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2AD9" w14:textId="77777777" w:rsidR="00A063D1" w:rsidRDefault="00A063D1" w:rsidP="00A063D1">
      <w:r w:rsidRPr="00452B92">
        <w:rPr>
          <w:rFonts w:cstheme="minorHAnsi"/>
          <w:b/>
          <w:noProof/>
          <w:szCs w:val="24"/>
          <w:lang w:eastAsia="cs-CZ"/>
        </w:rPr>
        <w:drawing>
          <wp:anchor distT="0" distB="0" distL="114300" distR="114300" simplePos="0" relativeHeight="251658240" behindDoc="0" locked="0" layoutInCell="1" allowOverlap="1" wp14:anchorId="36047AC8" wp14:editId="64E7277E">
            <wp:simplePos x="0" y="0"/>
            <wp:positionH relativeFrom="margin">
              <wp:align>center</wp:align>
            </wp:positionH>
            <wp:positionV relativeFrom="margin">
              <wp:align>top</wp:align>
            </wp:positionV>
            <wp:extent cx="791210" cy="559435"/>
            <wp:effectExtent l="0" t="0" r="8890" b="0"/>
            <wp:wrapSquare wrapText="bothSides"/>
            <wp:docPr id="14"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9151" name="obrázek 2" descr="NKU_LOGO 1"/>
                    <pic:cNvPicPr>
                      <a:picLocks noChangeAspect="1" noChangeArrowheads="1"/>
                    </pic:cNvPicPr>
                  </pic:nvPicPr>
                  <pic:blipFill>
                    <a:blip r:embed="rId11" cstate="print"/>
                    <a:stretch>
                      <a:fillRect/>
                    </a:stretch>
                  </pic:blipFill>
                  <pic:spPr bwMode="auto">
                    <a:xfrm>
                      <a:off x="0" y="0"/>
                      <a:ext cx="791210" cy="559435"/>
                    </a:xfrm>
                    <a:prstGeom prst="rect">
                      <a:avLst/>
                    </a:prstGeom>
                    <a:noFill/>
                    <a:ln w="9525">
                      <a:noFill/>
                      <a:miter lim="800000"/>
                      <a:headEnd/>
                      <a:tailEnd/>
                    </a:ln>
                  </pic:spPr>
                </pic:pic>
              </a:graphicData>
            </a:graphic>
          </wp:anchor>
        </w:drawing>
      </w:r>
    </w:p>
    <w:p w14:paraId="709A8C70" w14:textId="77777777" w:rsidR="00A063D1" w:rsidRDefault="00A063D1" w:rsidP="00A063D1"/>
    <w:p w14:paraId="740A9B12" w14:textId="77777777" w:rsidR="00A063D1" w:rsidRDefault="00A063D1" w:rsidP="00A063D1"/>
    <w:p w14:paraId="55EC0171" w14:textId="77777777" w:rsidR="00A063D1" w:rsidRDefault="00A063D1" w:rsidP="00A063D1"/>
    <w:p w14:paraId="5A002849" w14:textId="77777777" w:rsidR="00A063D1" w:rsidRDefault="00A063D1" w:rsidP="00A063D1"/>
    <w:p w14:paraId="5316695C" w14:textId="77777777" w:rsidR="00A063D1" w:rsidRPr="0067032C" w:rsidRDefault="00A063D1" w:rsidP="0067032C">
      <w:pPr>
        <w:spacing w:after="0"/>
        <w:jc w:val="center"/>
        <w:rPr>
          <w:b/>
          <w:sz w:val="28"/>
          <w:szCs w:val="28"/>
        </w:rPr>
      </w:pPr>
      <w:r w:rsidRPr="0067032C">
        <w:rPr>
          <w:b/>
          <w:sz w:val="28"/>
          <w:szCs w:val="28"/>
        </w:rPr>
        <w:t>Kontrolní závěr z kontrolní akce</w:t>
      </w:r>
    </w:p>
    <w:p w14:paraId="1DD4DD65" w14:textId="77777777" w:rsidR="00A063D1" w:rsidRPr="0067032C" w:rsidRDefault="00A063D1" w:rsidP="0067032C">
      <w:pPr>
        <w:spacing w:after="0"/>
        <w:jc w:val="center"/>
        <w:rPr>
          <w:b/>
          <w:sz w:val="28"/>
          <w:szCs w:val="28"/>
        </w:rPr>
      </w:pPr>
      <w:r w:rsidRPr="0067032C">
        <w:rPr>
          <w:b/>
          <w:sz w:val="28"/>
          <w:szCs w:val="28"/>
        </w:rPr>
        <w:t>19/14</w:t>
      </w:r>
    </w:p>
    <w:p w14:paraId="0C4CE5A6" w14:textId="4452F79B" w:rsidR="00F248DC" w:rsidRDefault="008C0C51" w:rsidP="008C0C51">
      <w:pPr>
        <w:spacing w:after="0"/>
        <w:jc w:val="center"/>
        <w:rPr>
          <w:b/>
          <w:sz w:val="28"/>
          <w:szCs w:val="28"/>
        </w:rPr>
      </w:pPr>
      <w:r w:rsidRPr="008C0C51">
        <w:rPr>
          <w:b/>
          <w:sz w:val="28"/>
          <w:szCs w:val="28"/>
        </w:rPr>
        <w:t xml:space="preserve">Zavedení elektronické identifikace a zajištění elektronického přístupu </w:t>
      </w:r>
      <w:r w:rsidR="00F534F1">
        <w:rPr>
          <w:b/>
          <w:sz w:val="28"/>
          <w:szCs w:val="28"/>
        </w:rPr>
        <w:br/>
      </w:r>
      <w:r w:rsidRPr="008C0C51">
        <w:rPr>
          <w:b/>
          <w:sz w:val="28"/>
          <w:szCs w:val="28"/>
        </w:rPr>
        <w:t>ke službám veřejné</w:t>
      </w:r>
      <w:r w:rsidR="002B1E45">
        <w:rPr>
          <w:b/>
          <w:sz w:val="28"/>
          <w:szCs w:val="28"/>
        </w:rPr>
        <w:t xml:space="preserve"> </w:t>
      </w:r>
      <w:r w:rsidRPr="008C0C51">
        <w:rPr>
          <w:b/>
          <w:sz w:val="28"/>
          <w:szCs w:val="28"/>
        </w:rPr>
        <w:t xml:space="preserve">správy </w:t>
      </w:r>
    </w:p>
    <w:p w14:paraId="1265AAEC" w14:textId="00D2D775" w:rsidR="004D48B9" w:rsidRDefault="004D48B9" w:rsidP="008C0C51">
      <w:pPr>
        <w:spacing w:after="0"/>
        <w:jc w:val="center"/>
        <w:rPr>
          <w:b/>
          <w:sz w:val="28"/>
          <w:szCs w:val="28"/>
        </w:rPr>
      </w:pPr>
    </w:p>
    <w:p w14:paraId="33A049A5" w14:textId="77777777" w:rsidR="004D48B9" w:rsidRDefault="004D48B9" w:rsidP="008C0C51">
      <w:pPr>
        <w:spacing w:after="0"/>
        <w:jc w:val="center"/>
      </w:pPr>
    </w:p>
    <w:p w14:paraId="7D12D616" w14:textId="5E312DA8" w:rsidR="0067032C" w:rsidRPr="0067032C" w:rsidRDefault="0067032C" w:rsidP="0067032C">
      <w:pPr>
        <w:pStyle w:val="Zkladn"/>
        <w:spacing w:before="0" w:after="480"/>
        <w:rPr>
          <w:rFonts w:asciiTheme="minorHAnsi" w:hAnsiTheme="minorHAnsi" w:cstheme="minorHAnsi"/>
        </w:rPr>
      </w:pPr>
      <w:r w:rsidRPr="0067032C">
        <w:rPr>
          <w:rFonts w:asciiTheme="minorHAnsi" w:hAnsiTheme="minorHAnsi" w:cstheme="minorHAnsi"/>
        </w:rPr>
        <w:t>Kontrolní akce byla zařazena do plánu kontrolní činnosti Nejvyššího kontrolního úřadu (dále také „NKÚ“) na rok 201</w:t>
      </w:r>
      <w:r w:rsidR="008C0C51">
        <w:rPr>
          <w:rFonts w:asciiTheme="minorHAnsi" w:hAnsiTheme="minorHAnsi" w:cstheme="minorHAnsi"/>
        </w:rPr>
        <w:t>9</w:t>
      </w:r>
      <w:r w:rsidRPr="0067032C">
        <w:rPr>
          <w:rFonts w:asciiTheme="minorHAnsi" w:hAnsiTheme="minorHAnsi" w:cstheme="minorHAnsi"/>
        </w:rPr>
        <w:t xml:space="preserve"> pod číslem </w:t>
      </w:r>
      <w:r w:rsidR="008C0C51">
        <w:rPr>
          <w:rFonts w:asciiTheme="minorHAnsi" w:hAnsiTheme="minorHAnsi" w:cstheme="minorHAnsi"/>
        </w:rPr>
        <w:t>19/14.</w:t>
      </w:r>
      <w:r w:rsidRPr="0067032C">
        <w:rPr>
          <w:rFonts w:asciiTheme="minorHAnsi" w:hAnsiTheme="minorHAnsi" w:cstheme="minorHAnsi"/>
        </w:rPr>
        <w:t xml:space="preserve"> Kontrolní akci řídil a kontrolní závěr vypracoval člen NKÚ Ing. </w:t>
      </w:r>
      <w:r w:rsidR="008E5064">
        <w:rPr>
          <w:rFonts w:asciiTheme="minorHAnsi" w:hAnsiTheme="minorHAnsi" w:cstheme="minorHAnsi"/>
        </w:rPr>
        <w:t>Jan Vedral</w:t>
      </w:r>
      <w:r w:rsidRPr="0067032C">
        <w:rPr>
          <w:rFonts w:asciiTheme="minorHAnsi" w:hAnsiTheme="minorHAnsi" w:cstheme="minorHAnsi"/>
        </w:rPr>
        <w:t>.</w:t>
      </w:r>
    </w:p>
    <w:p w14:paraId="56AC0074" w14:textId="77777777" w:rsidR="008E5064" w:rsidRDefault="0067032C" w:rsidP="008E5064">
      <w:pPr>
        <w:pStyle w:val="Zkladn"/>
        <w:spacing w:before="0" w:after="240"/>
        <w:rPr>
          <w:rFonts w:asciiTheme="minorHAnsi" w:hAnsiTheme="minorHAnsi" w:cstheme="minorHAnsi"/>
        </w:rPr>
      </w:pPr>
      <w:r w:rsidRPr="0067032C">
        <w:rPr>
          <w:rFonts w:asciiTheme="minorHAnsi" w:hAnsiTheme="minorHAnsi" w:cstheme="minorHAnsi"/>
          <w:b/>
        </w:rPr>
        <w:t>Cílem kontroly</w:t>
      </w:r>
      <w:r w:rsidRPr="0067032C">
        <w:rPr>
          <w:rFonts w:asciiTheme="minorHAnsi" w:hAnsiTheme="minorHAnsi" w:cstheme="minorHAnsi"/>
        </w:rPr>
        <w:t xml:space="preserve"> bylo </w:t>
      </w:r>
      <w:r w:rsidR="008E5064">
        <w:rPr>
          <w:rFonts w:asciiTheme="minorHAnsi" w:hAnsiTheme="minorHAnsi" w:cstheme="minorHAnsi"/>
        </w:rPr>
        <w:t>p</w:t>
      </w:r>
      <w:r w:rsidR="008E5064" w:rsidRPr="008E5064">
        <w:rPr>
          <w:rFonts w:asciiTheme="minorHAnsi" w:hAnsiTheme="minorHAnsi" w:cstheme="minorHAnsi"/>
        </w:rPr>
        <w:t>rověřit hospodárnost a účelnost peněžních prostředků vynaložených na elektronizaci veřejné správy zejména v souvislosti se zavedením elektronické identifikace</w:t>
      </w:r>
      <w:r w:rsidR="008E5064">
        <w:rPr>
          <w:rFonts w:asciiTheme="minorHAnsi" w:hAnsiTheme="minorHAnsi" w:cstheme="minorHAnsi"/>
        </w:rPr>
        <w:t>.</w:t>
      </w:r>
    </w:p>
    <w:p w14:paraId="1F9A42BA" w14:textId="77777777" w:rsidR="0067032C" w:rsidRPr="0067032C" w:rsidRDefault="0067032C" w:rsidP="008E5064">
      <w:pPr>
        <w:pStyle w:val="Zkladn"/>
        <w:spacing w:before="0" w:after="240"/>
        <w:rPr>
          <w:rFonts w:asciiTheme="minorHAnsi" w:hAnsiTheme="minorHAnsi" w:cstheme="minorHAnsi"/>
          <w:b/>
        </w:rPr>
      </w:pPr>
      <w:r w:rsidRPr="0067032C">
        <w:rPr>
          <w:rFonts w:asciiTheme="minorHAnsi" w:hAnsiTheme="minorHAnsi" w:cstheme="minorHAnsi"/>
          <w:b/>
        </w:rPr>
        <w:t>Kontrolované osoby:</w:t>
      </w:r>
    </w:p>
    <w:p w14:paraId="7BFE9236" w14:textId="1E243C41" w:rsidR="0067032C" w:rsidRPr="0067032C" w:rsidRDefault="008E5064" w:rsidP="0067032C">
      <w:pPr>
        <w:spacing w:after="0"/>
        <w:rPr>
          <w:rFonts w:cstheme="minorHAnsi"/>
          <w:szCs w:val="24"/>
        </w:rPr>
      </w:pPr>
      <w:r w:rsidRPr="008E5064">
        <w:rPr>
          <w:rFonts w:cstheme="minorHAnsi"/>
          <w:szCs w:val="24"/>
        </w:rPr>
        <w:t xml:space="preserve">Ministerstvo vnitra </w:t>
      </w:r>
      <w:r w:rsidR="0067032C" w:rsidRPr="0067032C">
        <w:rPr>
          <w:rFonts w:cstheme="minorHAnsi"/>
          <w:szCs w:val="24"/>
        </w:rPr>
        <w:t>(dále také „M</w:t>
      </w:r>
      <w:r>
        <w:rPr>
          <w:rFonts w:cstheme="minorHAnsi"/>
          <w:szCs w:val="24"/>
        </w:rPr>
        <w:t>V</w:t>
      </w:r>
      <w:r w:rsidR="0067032C" w:rsidRPr="0067032C">
        <w:rPr>
          <w:rFonts w:cstheme="minorHAnsi"/>
          <w:szCs w:val="24"/>
        </w:rPr>
        <w:t>“),</w:t>
      </w:r>
    </w:p>
    <w:p w14:paraId="703C2E1B" w14:textId="7F153405" w:rsidR="008E5064" w:rsidRDefault="008E5064" w:rsidP="0067032C">
      <w:pPr>
        <w:spacing w:after="0"/>
        <w:rPr>
          <w:rFonts w:cstheme="minorHAnsi"/>
          <w:szCs w:val="24"/>
        </w:rPr>
      </w:pPr>
      <w:r w:rsidRPr="008E5064">
        <w:rPr>
          <w:rFonts w:cstheme="minorHAnsi"/>
          <w:szCs w:val="24"/>
        </w:rPr>
        <w:t>Správa základních registrů</w:t>
      </w:r>
      <w:r w:rsidR="004D48B9">
        <w:rPr>
          <w:rFonts w:cstheme="minorHAnsi"/>
          <w:szCs w:val="24"/>
        </w:rPr>
        <w:t>, Praha</w:t>
      </w:r>
      <w:r w:rsidRPr="008E5064">
        <w:rPr>
          <w:rFonts w:cstheme="minorHAnsi"/>
          <w:szCs w:val="24"/>
        </w:rPr>
        <w:t xml:space="preserve"> </w:t>
      </w:r>
      <w:r>
        <w:rPr>
          <w:rFonts w:cstheme="minorHAnsi"/>
          <w:szCs w:val="24"/>
        </w:rPr>
        <w:t>(dále také „SZR“),</w:t>
      </w:r>
    </w:p>
    <w:p w14:paraId="4FC1B1D3" w14:textId="1CAC63B1" w:rsidR="008E5064" w:rsidRDefault="008E5064" w:rsidP="0067032C">
      <w:pPr>
        <w:spacing w:after="0"/>
        <w:rPr>
          <w:rFonts w:cstheme="minorHAnsi"/>
          <w:szCs w:val="24"/>
        </w:rPr>
      </w:pPr>
      <w:r w:rsidRPr="008E5064">
        <w:rPr>
          <w:rFonts w:cstheme="minorHAnsi"/>
          <w:szCs w:val="24"/>
        </w:rPr>
        <w:t>Národní agentura pro komunikační a informační technologie, s.</w:t>
      </w:r>
      <w:r w:rsidR="008465BB">
        <w:rPr>
          <w:rFonts w:cstheme="minorHAnsi"/>
          <w:szCs w:val="24"/>
        </w:rPr>
        <w:t> </w:t>
      </w:r>
      <w:r w:rsidRPr="008E5064">
        <w:rPr>
          <w:rFonts w:cstheme="minorHAnsi"/>
          <w:szCs w:val="24"/>
        </w:rPr>
        <w:t>p</w:t>
      </w:r>
      <w:r w:rsidR="004D48B9">
        <w:rPr>
          <w:rFonts w:cstheme="minorHAnsi"/>
          <w:szCs w:val="24"/>
        </w:rPr>
        <w:t>., Praha (dále také „NAKIT“).</w:t>
      </w:r>
    </w:p>
    <w:p w14:paraId="54CFDAC5" w14:textId="77777777" w:rsidR="008E5064" w:rsidRDefault="008E5064" w:rsidP="0067032C">
      <w:pPr>
        <w:spacing w:after="0"/>
        <w:rPr>
          <w:rFonts w:cstheme="minorHAnsi"/>
          <w:szCs w:val="24"/>
        </w:rPr>
      </w:pPr>
    </w:p>
    <w:p w14:paraId="45089FB7" w14:textId="2DE46C0B" w:rsidR="0067032C" w:rsidRPr="0067032C" w:rsidRDefault="0067032C" w:rsidP="0067032C">
      <w:pPr>
        <w:spacing w:after="240"/>
        <w:rPr>
          <w:rFonts w:cstheme="minorHAnsi"/>
          <w:szCs w:val="24"/>
        </w:rPr>
      </w:pPr>
      <w:r w:rsidRPr="0067032C">
        <w:rPr>
          <w:rFonts w:eastAsia="Times New Roman" w:cstheme="minorHAnsi"/>
          <w:szCs w:val="24"/>
        </w:rPr>
        <w:t xml:space="preserve">Kontrola byla prováděna u kontrolovaných osob v období </w:t>
      </w:r>
      <w:r w:rsidRPr="00F97B27">
        <w:rPr>
          <w:rFonts w:eastAsia="Times New Roman" w:cstheme="minorHAnsi"/>
          <w:szCs w:val="24"/>
        </w:rPr>
        <w:t xml:space="preserve">od </w:t>
      </w:r>
      <w:r w:rsidR="0044421C" w:rsidRPr="00F97B27">
        <w:rPr>
          <w:rFonts w:eastAsia="Times New Roman" w:cstheme="minorHAnsi"/>
          <w:szCs w:val="24"/>
        </w:rPr>
        <w:t>června</w:t>
      </w:r>
      <w:r w:rsidRPr="00F97B27">
        <w:rPr>
          <w:rFonts w:eastAsia="Times New Roman" w:cstheme="minorHAnsi"/>
          <w:szCs w:val="24"/>
        </w:rPr>
        <w:t xml:space="preserve"> 20</w:t>
      </w:r>
      <w:r w:rsidR="0044421C" w:rsidRPr="00F97B27">
        <w:rPr>
          <w:rFonts w:eastAsia="Times New Roman" w:cstheme="minorHAnsi"/>
          <w:szCs w:val="24"/>
        </w:rPr>
        <w:t>19</w:t>
      </w:r>
      <w:r w:rsidRPr="00F97B27">
        <w:rPr>
          <w:rFonts w:eastAsia="Times New Roman" w:cstheme="minorHAnsi"/>
          <w:szCs w:val="24"/>
        </w:rPr>
        <w:t xml:space="preserve"> do </w:t>
      </w:r>
      <w:r w:rsidR="003A13C2" w:rsidRPr="00F97B27">
        <w:rPr>
          <w:rFonts w:eastAsia="Times New Roman" w:cstheme="minorHAnsi"/>
          <w:szCs w:val="24"/>
        </w:rPr>
        <w:t xml:space="preserve">února </w:t>
      </w:r>
      <w:r w:rsidRPr="00F97B27">
        <w:rPr>
          <w:rFonts w:eastAsia="Times New Roman" w:cstheme="minorHAnsi"/>
          <w:szCs w:val="24"/>
        </w:rPr>
        <w:t>20</w:t>
      </w:r>
      <w:r w:rsidR="0044421C" w:rsidRPr="00F97B27">
        <w:rPr>
          <w:rFonts w:eastAsia="Times New Roman" w:cstheme="minorHAnsi"/>
          <w:szCs w:val="24"/>
        </w:rPr>
        <w:t>20</w:t>
      </w:r>
      <w:r w:rsidRPr="0067032C">
        <w:rPr>
          <w:rFonts w:eastAsia="Times New Roman" w:cstheme="minorHAnsi"/>
          <w:szCs w:val="24"/>
        </w:rPr>
        <w:t>.</w:t>
      </w:r>
    </w:p>
    <w:p w14:paraId="76E41BC0" w14:textId="77777777" w:rsidR="0067032C" w:rsidRPr="0067032C" w:rsidRDefault="0067032C" w:rsidP="0067032C">
      <w:pPr>
        <w:spacing w:after="480"/>
        <w:rPr>
          <w:rFonts w:cstheme="minorHAnsi"/>
          <w:szCs w:val="24"/>
        </w:rPr>
      </w:pPr>
      <w:r w:rsidRPr="0067032C">
        <w:rPr>
          <w:rFonts w:cstheme="minorHAnsi"/>
          <w:b/>
          <w:szCs w:val="24"/>
        </w:rPr>
        <w:t>Kontrolováno bylo období</w:t>
      </w:r>
      <w:r w:rsidRPr="0067032C">
        <w:rPr>
          <w:rFonts w:cstheme="minorHAnsi"/>
          <w:szCs w:val="24"/>
        </w:rPr>
        <w:t xml:space="preserve"> od </w:t>
      </w:r>
      <w:r w:rsidR="00877CC9">
        <w:rPr>
          <w:rFonts w:cstheme="minorHAnsi"/>
          <w:szCs w:val="24"/>
        </w:rPr>
        <w:t>roku 2012</w:t>
      </w:r>
      <w:r w:rsidRPr="0067032C">
        <w:rPr>
          <w:rFonts w:cstheme="minorHAnsi"/>
          <w:szCs w:val="24"/>
        </w:rPr>
        <w:t xml:space="preserve"> do </w:t>
      </w:r>
      <w:r w:rsidR="00877CC9">
        <w:rPr>
          <w:rFonts w:cstheme="minorHAnsi"/>
          <w:szCs w:val="24"/>
        </w:rPr>
        <w:t>roku 2019</w:t>
      </w:r>
      <w:r w:rsidRPr="0067032C">
        <w:rPr>
          <w:rFonts w:cstheme="minorHAnsi"/>
          <w:szCs w:val="24"/>
        </w:rPr>
        <w:t>, v případě věcných souvislostí i období do ukončení kontroly.</w:t>
      </w:r>
    </w:p>
    <w:p w14:paraId="280980A6" w14:textId="612B1B13" w:rsidR="0067032C" w:rsidRDefault="0067032C" w:rsidP="00545D96">
      <w:pPr>
        <w:spacing w:after="0"/>
        <w:ind w:left="567" w:hanging="567"/>
        <w:rPr>
          <w:rFonts w:cstheme="minorHAnsi"/>
          <w:sz w:val="20"/>
          <w:szCs w:val="20"/>
        </w:rPr>
      </w:pPr>
      <w:r w:rsidRPr="00517A9E">
        <w:rPr>
          <w:rFonts w:cstheme="minorHAnsi"/>
          <w:b/>
          <w:sz w:val="20"/>
          <w:szCs w:val="20"/>
        </w:rPr>
        <w:t>Pozn</w:t>
      </w:r>
      <w:r w:rsidRPr="00000FC7">
        <w:rPr>
          <w:rFonts w:cstheme="minorHAnsi"/>
          <w:b/>
          <w:sz w:val="20"/>
          <w:szCs w:val="20"/>
        </w:rPr>
        <w:t xml:space="preserve">.: </w:t>
      </w:r>
      <w:r w:rsidR="00545D96">
        <w:rPr>
          <w:rFonts w:cstheme="minorHAnsi"/>
          <w:sz w:val="20"/>
          <w:szCs w:val="20"/>
        </w:rPr>
        <w:tab/>
      </w:r>
      <w:r w:rsidRPr="00517A9E">
        <w:rPr>
          <w:rFonts w:cstheme="minorHAnsi"/>
          <w:sz w:val="20"/>
          <w:szCs w:val="20"/>
        </w:rPr>
        <w:t>Právní předpisy uvedené v tomto kontrolním závěru jsou aplikovány ve znění účinném pro kontrolované období.</w:t>
      </w:r>
      <w:r w:rsidR="0043688B">
        <w:rPr>
          <w:rFonts w:cstheme="minorHAnsi"/>
          <w:sz w:val="20"/>
          <w:szCs w:val="20"/>
        </w:rPr>
        <w:t xml:space="preserve"> Všechny uvedené částky jsou včetně DPH.</w:t>
      </w:r>
    </w:p>
    <w:p w14:paraId="0F99295D" w14:textId="77777777" w:rsidR="0067032C" w:rsidRPr="00517A9E" w:rsidRDefault="0067032C" w:rsidP="0067032C">
      <w:pPr>
        <w:spacing w:after="0"/>
        <w:rPr>
          <w:rFonts w:cstheme="minorHAnsi"/>
          <w:sz w:val="20"/>
          <w:szCs w:val="20"/>
        </w:rPr>
      </w:pPr>
    </w:p>
    <w:p w14:paraId="01D48C16" w14:textId="77777777" w:rsidR="0067032C" w:rsidRDefault="0067032C" w:rsidP="0067032C">
      <w:pPr>
        <w:spacing w:after="0"/>
        <w:rPr>
          <w:rFonts w:cstheme="minorHAnsi"/>
          <w:sz w:val="20"/>
          <w:szCs w:val="20"/>
        </w:rPr>
      </w:pPr>
    </w:p>
    <w:p w14:paraId="59EDC156" w14:textId="1A9E3788" w:rsidR="0067032C" w:rsidRDefault="0067032C" w:rsidP="0067032C">
      <w:pPr>
        <w:spacing w:after="0"/>
        <w:rPr>
          <w:rFonts w:cstheme="minorHAnsi"/>
          <w:sz w:val="20"/>
          <w:szCs w:val="20"/>
        </w:rPr>
      </w:pPr>
    </w:p>
    <w:p w14:paraId="42C51BDF" w14:textId="77777777" w:rsidR="00FA57DD" w:rsidRPr="00517A9E" w:rsidRDefault="00FA57DD" w:rsidP="0067032C">
      <w:pPr>
        <w:spacing w:after="0"/>
        <w:rPr>
          <w:rFonts w:cstheme="minorHAnsi"/>
          <w:sz w:val="20"/>
          <w:szCs w:val="20"/>
        </w:rPr>
      </w:pPr>
    </w:p>
    <w:p w14:paraId="4F9B85EF" w14:textId="4C1B61CC" w:rsidR="00E548D4" w:rsidRDefault="0067032C" w:rsidP="00E548D4">
      <w:pPr>
        <w:widowControl w:val="0"/>
        <w:autoSpaceDE w:val="0"/>
        <w:autoSpaceDN w:val="0"/>
        <w:adjustRightInd w:val="0"/>
        <w:spacing w:line="276" w:lineRule="auto"/>
        <w:rPr>
          <w:rFonts w:ascii="Calibri" w:hAnsi="Calibri" w:cs="Calibri"/>
          <w:lang w:eastAsia="cs-CZ"/>
        </w:rPr>
      </w:pPr>
      <w:r w:rsidRPr="00517A9E">
        <w:rPr>
          <w:rFonts w:cstheme="minorHAnsi"/>
          <w:b/>
          <w:bCs/>
          <w:i/>
          <w:iCs/>
          <w:szCs w:val="24"/>
        </w:rPr>
        <w:t>K o l e g i u m   N K</w:t>
      </w:r>
      <w:r w:rsidR="00E548D4">
        <w:rPr>
          <w:rFonts w:cstheme="minorHAnsi"/>
          <w:b/>
          <w:bCs/>
          <w:i/>
          <w:iCs/>
          <w:szCs w:val="24"/>
        </w:rPr>
        <w:t> </w:t>
      </w:r>
      <w:r w:rsidRPr="00517A9E">
        <w:rPr>
          <w:rFonts w:cstheme="minorHAnsi"/>
          <w:b/>
          <w:bCs/>
          <w:i/>
          <w:iCs/>
          <w:szCs w:val="24"/>
        </w:rPr>
        <w:t>Ú</w:t>
      </w:r>
      <w:r w:rsidR="00E548D4">
        <w:rPr>
          <w:rFonts w:cstheme="minorHAnsi"/>
          <w:b/>
          <w:bCs/>
          <w:i/>
          <w:iCs/>
          <w:szCs w:val="24"/>
        </w:rPr>
        <w:t xml:space="preserve"> </w:t>
      </w:r>
      <w:r w:rsidR="007725B0">
        <w:rPr>
          <w:rFonts w:cstheme="minorHAnsi"/>
          <w:b/>
          <w:bCs/>
          <w:i/>
          <w:iCs/>
          <w:szCs w:val="24"/>
        </w:rPr>
        <w:tab/>
        <w:t xml:space="preserve">  </w:t>
      </w:r>
      <w:r w:rsidR="00E548D4" w:rsidRPr="00006EC1">
        <w:rPr>
          <w:rFonts w:ascii="Calibri" w:hAnsi="Calibri" w:cs="Calibri"/>
          <w:lang w:eastAsia="cs-CZ"/>
        </w:rPr>
        <w:t xml:space="preserve">na svém </w:t>
      </w:r>
      <w:r w:rsidR="00163CA2">
        <w:rPr>
          <w:rFonts w:ascii="Calibri" w:hAnsi="Calibri" w:cs="Calibri"/>
          <w:lang w:eastAsia="cs-CZ"/>
        </w:rPr>
        <w:t>IX</w:t>
      </w:r>
      <w:r w:rsidR="00E548D4" w:rsidRPr="00006EC1">
        <w:rPr>
          <w:rFonts w:ascii="Calibri" w:hAnsi="Calibri" w:cs="Calibri"/>
          <w:lang w:eastAsia="cs-CZ"/>
        </w:rPr>
        <w:t>. jednání, které se konalo dne</w:t>
      </w:r>
      <w:r w:rsidR="00E548D4">
        <w:rPr>
          <w:rFonts w:ascii="Calibri" w:hAnsi="Calibri" w:cs="Calibri"/>
          <w:lang w:eastAsia="cs-CZ"/>
        </w:rPr>
        <w:t xml:space="preserve"> </w:t>
      </w:r>
      <w:r w:rsidR="00163CA2">
        <w:rPr>
          <w:rFonts w:ascii="Calibri" w:hAnsi="Calibri" w:cs="Calibri"/>
          <w:lang w:eastAsia="cs-CZ"/>
        </w:rPr>
        <w:t>15</w:t>
      </w:r>
      <w:r w:rsidR="00E548D4">
        <w:rPr>
          <w:rFonts w:ascii="Calibri" w:hAnsi="Calibri" w:cs="Calibri"/>
          <w:lang w:eastAsia="cs-CZ"/>
        </w:rPr>
        <w:t>. června</w:t>
      </w:r>
      <w:r w:rsidR="00E548D4" w:rsidRPr="00006EC1">
        <w:rPr>
          <w:rFonts w:ascii="Calibri" w:hAnsi="Calibri" w:cs="Calibri"/>
          <w:lang w:eastAsia="cs-CZ"/>
        </w:rPr>
        <w:t xml:space="preserve"> 2020,</w:t>
      </w:r>
    </w:p>
    <w:p w14:paraId="68E03AF2" w14:textId="18B54B45" w:rsidR="0067032C" w:rsidRDefault="0067032C" w:rsidP="0070785A">
      <w:pPr>
        <w:ind w:right="68"/>
        <w:rPr>
          <w:rFonts w:ascii="Calibri" w:hAnsi="Calibri" w:cs="Calibri"/>
          <w:lang w:eastAsia="cs-CZ"/>
        </w:rPr>
      </w:pPr>
      <w:proofErr w:type="gramStart"/>
      <w:r w:rsidRPr="00517A9E">
        <w:rPr>
          <w:rFonts w:cstheme="minorHAnsi"/>
          <w:b/>
          <w:bCs/>
          <w:i/>
          <w:iCs/>
          <w:szCs w:val="24"/>
        </w:rPr>
        <w:t>s c h v á l i l o</w:t>
      </w:r>
      <w:r w:rsidR="00BD486B">
        <w:rPr>
          <w:rFonts w:cstheme="minorHAnsi"/>
          <w:b/>
          <w:bCs/>
          <w:i/>
          <w:iCs/>
          <w:szCs w:val="24"/>
        </w:rPr>
        <w:t xml:space="preserve">   </w:t>
      </w:r>
      <w:r w:rsidR="007725B0" w:rsidRPr="00006EC1">
        <w:rPr>
          <w:rFonts w:ascii="Calibri" w:hAnsi="Calibri" w:cs="Calibri"/>
          <w:lang w:eastAsia="cs-CZ"/>
        </w:rPr>
        <w:t>usnesením č.</w:t>
      </w:r>
      <w:proofErr w:type="gramEnd"/>
      <w:r w:rsidR="007725B0" w:rsidRPr="00006EC1">
        <w:rPr>
          <w:rFonts w:ascii="Calibri" w:hAnsi="Calibri" w:cs="Calibri"/>
          <w:lang w:eastAsia="cs-CZ"/>
        </w:rPr>
        <w:t xml:space="preserve"> </w:t>
      </w:r>
      <w:r w:rsidR="004E1785">
        <w:rPr>
          <w:rFonts w:ascii="Calibri" w:hAnsi="Calibri" w:cs="Calibri"/>
          <w:lang w:eastAsia="cs-CZ"/>
        </w:rPr>
        <w:t>9</w:t>
      </w:r>
      <w:r w:rsidR="007725B0">
        <w:rPr>
          <w:rFonts w:ascii="Calibri" w:hAnsi="Calibri" w:cs="Calibri"/>
          <w:lang w:eastAsia="cs-CZ"/>
        </w:rPr>
        <w:t>/IX</w:t>
      </w:r>
      <w:r w:rsidR="007725B0" w:rsidRPr="00006EC1">
        <w:rPr>
          <w:rFonts w:ascii="Calibri" w:hAnsi="Calibri" w:cs="Calibri"/>
          <w:lang w:eastAsia="cs-CZ"/>
        </w:rPr>
        <w:t>/2020</w:t>
      </w:r>
    </w:p>
    <w:p w14:paraId="7D423239" w14:textId="484E8E7A" w:rsidR="0067032C" w:rsidRPr="00517A9E" w:rsidRDefault="0067032C" w:rsidP="0067032C">
      <w:pPr>
        <w:spacing w:after="0"/>
        <w:ind w:right="70"/>
        <w:rPr>
          <w:rFonts w:cstheme="minorHAnsi"/>
          <w:szCs w:val="24"/>
        </w:rPr>
      </w:pPr>
      <w:r w:rsidRPr="00517A9E">
        <w:rPr>
          <w:rFonts w:cstheme="minorHAnsi"/>
          <w:b/>
          <w:bCs/>
          <w:i/>
          <w:iCs/>
          <w:szCs w:val="24"/>
        </w:rPr>
        <w:t>k o n t r o l n í   z á v ě r</w:t>
      </w:r>
      <w:r w:rsidRPr="00517A9E">
        <w:rPr>
          <w:rFonts w:cstheme="minorHAnsi"/>
          <w:b/>
          <w:szCs w:val="24"/>
        </w:rPr>
        <w:t xml:space="preserve">   </w:t>
      </w:r>
      <w:r w:rsidRPr="00517A9E">
        <w:rPr>
          <w:rFonts w:cstheme="minorHAnsi"/>
          <w:szCs w:val="24"/>
        </w:rPr>
        <w:t>v tomto znění:</w:t>
      </w:r>
    </w:p>
    <w:p w14:paraId="4078BE22" w14:textId="5CDEF84B" w:rsidR="00254D6D" w:rsidRPr="005C7F8F" w:rsidRDefault="00254D6D" w:rsidP="005C7F8F">
      <w:pPr>
        <w:jc w:val="center"/>
        <w:rPr>
          <w:b/>
          <w:smallCaps/>
          <w:color w:val="2E74B5" w:themeColor="accent1" w:themeShade="BF"/>
          <w:sz w:val="32"/>
        </w:rPr>
      </w:pPr>
    </w:p>
    <w:p w14:paraId="71CBD30F" w14:textId="064FCA3E" w:rsidR="002B1E45" w:rsidRPr="009A42E3" w:rsidRDefault="009F7F27" w:rsidP="002B1E45">
      <w:pPr>
        <w:rPr>
          <w:rStyle w:val="A4"/>
          <w:b/>
          <w:color w:val="auto"/>
          <w:sz w:val="32"/>
          <w:szCs w:val="32"/>
        </w:rPr>
      </w:pPr>
      <w:r w:rsidRPr="009A42E3">
        <w:rPr>
          <w:rStyle w:val="A4"/>
          <w:b/>
          <w:color w:val="auto"/>
          <w:sz w:val="32"/>
          <w:szCs w:val="32"/>
        </w:rPr>
        <w:lastRenderedPageBreak/>
        <w:t>Elektronická identifikace v Evropě</w:t>
      </w:r>
    </w:p>
    <w:p w14:paraId="07BDCC68" w14:textId="323D8A03" w:rsidR="002B1E45" w:rsidRDefault="005607B3" w:rsidP="005C502C">
      <w:pPr>
        <w:jc w:val="center"/>
      </w:pPr>
      <w:r>
        <w:rPr>
          <w:noProof/>
          <w:lang w:eastAsia="cs-CZ"/>
        </w:rPr>
        <w:drawing>
          <wp:inline distT="0" distB="0" distL="0" distR="0" wp14:anchorId="7DE46F60" wp14:editId="1FE5620B">
            <wp:extent cx="4965405" cy="3510594"/>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ropa_2.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3305" cy="3516179"/>
                    </a:xfrm>
                    <a:prstGeom prst="rect">
                      <a:avLst/>
                    </a:prstGeom>
                  </pic:spPr>
                </pic:pic>
              </a:graphicData>
            </a:graphic>
          </wp:inline>
        </w:drawing>
      </w:r>
    </w:p>
    <w:p w14:paraId="54E2ADAE" w14:textId="77BCBEE5" w:rsidR="00D51170" w:rsidRDefault="009F7F27" w:rsidP="009F7F27">
      <w:pPr>
        <w:jc w:val="left"/>
        <w:rPr>
          <w:i/>
          <w:sz w:val="20"/>
          <w:szCs w:val="20"/>
        </w:rPr>
      </w:pPr>
      <w:r w:rsidRPr="00CB1FFD">
        <w:rPr>
          <w:b/>
          <w:i/>
          <w:sz w:val="20"/>
          <w:szCs w:val="20"/>
        </w:rPr>
        <w:t>Zdroj:</w:t>
      </w:r>
      <w:r w:rsidRPr="009F7F27">
        <w:rPr>
          <w:i/>
          <w:sz w:val="20"/>
          <w:szCs w:val="20"/>
        </w:rPr>
        <w:t xml:space="preserve"> vlastní zpracování</w:t>
      </w:r>
      <w:r w:rsidR="00CB1FFD">
        <w:rPr>
          <w:i/>
          <w:sz w:val="20"/>
          <w:szCs w:val="20"/>
        </w:rPr>
        <w:t>.</w:t>
      </w:r>
    </w:p>
    <w:p w14:paraId="1AA6B934" w14:textId="3D88D9F8" w:rsidR="009F7F27" w:rsidRPr="009F7F27" w:rsidRDefault="009F7F27" w:rsidP="009F7F27">
      <w:pPr>
        <w:jc w:val="left"/>
        <w:rPr>
          <w:szCs w:val="24"/>
        </w:rPr>
      </w:pPr>
      <w:r>
        <w:rPr>
          <w:szCs w:val="24"/>
        </w:rPr>
        <w:t xml:space="preserve">Země, které zavedly elektronickou identifikaci v souladu s nařízením </w:t>
      </w:r>
      <w:proofErr w:type="spellStart"/>
      <w:r>
        <w:rPr>
          <w:szCs w:val="24"/>
        </w:rPr>
        <w:t>eIDAS</w:t>
      </w:r>
      <w:proofErr w:type="spellEnd"/>
      <w:r>
        <w:rPr>
          <w:rStyle w:val="Znakapoznpodarou"/>
          <w:szCs w:val="24"/>
        </w:rPr>
        <w:footnoteReference w:id="2"/>
      </w:r>
      <w:r>
        <w:rPr>
          <w:szCs w:val="24"/>
        </w:rPr>
        <w:t xml:space="preserve">. </w:t>
      </w:r>
    </w:p>
    <w:p w14:paraId="69C452FB" w14:textId="0254DBDA" w:rsidR="009F7F27" w:rsidRDefault="009F7F27" w:rsidP="009F7F27">
      <w:pPr>
        <w:jc w:val="left"/>
        <w:rPr>
          <w:i/>
          <w:sz w:val="20"/>
          <w:szCs w:val="20"/>
        </w:rPr>
      </w:pPr>
    </w:p>
    <w:p w14:paraId="23D351BA" w14:textId="577BFB73" w:rsidR="009F7F27" w:rsidRPr="009A42E3" w:rsidRDefault="009F7F27" w:rsidP="009F7F27">
      <w:pPr>
        <w:rPr>
          <w:rStyle w:val="A4"/>
          <w:b/>
          <w:color w:val="auto"/>
          <w:sz w:val="32"/>
          <w:szCs w:val="32"/>
        </w:rPr>
      </w:pPr>
      <w:r w:rsidRPr="009A42E3">
        <w:rPr>
          <w:rStyle w:val="A4"/>
          <w:b/>
          <w:color w:val="auto"/>
          <w:sz w:val="32"/>
          <w:szCs w:val="32"/>
        </w:rPr>
        <w:t>Digitalizace veřejné správy v České republice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gridCol w:w="3021"/>
      </w:tblGrid>
      <w:tr w:rsidR="000B6666" w14:paraId="2590C98D" w14:textId="77777777" w:rsidTr="000B6666">
        <w:trPr>
          <w:trHeight w:val="1918"/>
        </w:trPr>
        <w:tc>
          <w:tcPr>
            <w:tcW w:w="3020" w:type="dxa"/>
          </w:tcPr>
          <w:p w14:paraId="1E57301B" w14:textId="4EA3BE5E" w:rsidR="000B6666" w:rsidRDefault="000B6666" w:rsidP="000B6666">
            <w:pPr>
              <w:jc w:val="center"/>
              <w:rPr>
                <w:rStyle w:val="A5"/>
              </w:rPr>
            </w:pPr>
            <w:r>
              <w:rPr>
                <w:rStyle w:val="A5"/>
              </w:rPr>
              <w:t>246,4 mil. Kč</w:t>
            </w:r>
          </w:p>
          <w:p w14:paraId="11DD3A74" w14:textId="18F4B168" w:rsidR="000B6666" w:rsidRPr="00055D3A" w:rsidRDefault="000B6666" w:rsidP="000B6666">
            <w:pPr>
              <w:jc w:val="center"/>
              <w:rPr>
                <w:rStyle w:val="A1"/>
                <w:b/>
                <w:bCs/>
                <w:sz w:val="40"/>
                <w:szCs w:val="40"/>
              </w:rPr>
            </w:pPr>
            <w:r>
              <w:rPr>
                <w:sz w:val="20"/>
                <w:szCs w:val="20"/>
              </w:rPr>
              <w:t xml:space="preserve">Celkové výdaje na vytvoření NIA a </w:t>
            </w:r>
            <w:r w:rsidRPr="00000FC7">
              <w:rPr>
                <w:i/>
                <w:sz w:val="20"/>
                <w:szCs w:val="20"/>
              </w:rPr>
              <w:t>Portálu občana</w:t>
            </w:r>
          </w:p>
        </w:tc>
        <w:tc>
          <w:tcPr>
            <w:tcW w:w="3021" w:type="dxa"/>
          </w:tcPr>
          <w:p w14:paraId="6F1821EB" w14:textId="75D854C6" w:rsidR="000B6666" w:rsidRDefault="000B6666" w:rsidP="000B6666">
            <w:pPr>
              <w:jc w:val="center"/>
              <w:rPr>
                <w:rStyle w:val="A5"/>
              </w:rPr>
            </w:pPr>
            <w:r>
              <w:rPr>
                <w:rStyle w:val="A5"/>
              </w:rPr>
              <w:t>1,76 mil.</w:t>
            </w:r>
          </w:p>
          <w:p w14:paraId="4D05DE63" w14:textId="6B95AA9D" w:rsidR="000B6666" w:rsidRPr="002A1FD1" w:rsidRDefault="00CA6CBC" w:rsidP="00CA6CBC">
            <w:pPr>
              <w:jc w:val="center"/>
              <w:rPr>
                <w:rStyle w:val="A1"/>
                <w:sz w:val="20"/>
                <w:szCs w:val="20"/>
              </w:rPr>
            </w:pPr>
            <w:r>
              <w:rPr>
                <w:bCs/>
                <w:color w:val="000000"/>
                <w:sz w:val="20"/>
                <w:szCs w:val="20"/>
              </w:rPr>
              <w:t>E</w:t>
            </w:r>
            <w:r w:rsidR="005E592A">
              <w:rPr>
                <w:bCs/>
                <w:color w:val="000000"/>
                <w:sz w:val="20"/>
                <w:szCs w:val="20"/>
              </w:rPr>
              <w:t>lektronických občanských průkazů</w:t>
            </w:r>
            <w:r w:rsidR="000B6666" w:rsidRPr="00B00266">
              <w:rPr>
                <w:bCs/>
                <w:color w:val="000000"/>
                <w:sz w:val="20"/>
                <w:szCs w:val="20"/>
              </w:rPr>
              <w:t xml:space="preserve"> </w:t>
            </w:r>
            <w:r>
              <w:rPr>
                <w:bCs/>
                <w:color w:val="000000"/>
                <w:sz w:val="20"/>
                <w:szCs w:val="20"/>
              </w:rPr>
              <w:t xml:space="preserve">vydaných </w:t>
            </w:r>
            <w:r w:rsidR="000B6666" w:rsidRPr="00B00266">
              <w:rPr>
                <w:bCs/>
                <w:color w:val="000000"/>
                <w:sz w:val="20"/>
                <w:szCs w:val="20"/>
              </w:rPr>
              <w:t>do konce roku 2019</w:t>
            </w:r>
          </w:p>
        </w:tc>
        <w:tc>
          <w:tcPr>
            <w:tcW w:w="3021" w:type="dxa"/>
          </w:tcPr>
          <w:p w14:paraId="75316204" w14:textId="0CB52580" w:rsidR="000B6666" w:rsidRDefault="000B6666" w:rsidP="000B6666">
            <w:pPr>
              <w:jc w:val="center"/>
              <w:rPr>
                <w:rStyle w:val="A5"/>
              </w:rPr>
            </w:pPr>
            <w:r>
              <w:rPr>
                <w:rStyle w:val="A5"/>
              </w:rPr>
              <w:t>146 mil. Kč</w:t>
            </w:r>
          </w:p>
          <w:p w14:paraId="028A1C6F" w14:textId="55BA9A76" w:rsidR="000B6666" w:rsidRPr="002A1FD1" w:rsidRDefault="000B6666" w:rsidP="000B6666">
            <w:pPr>
              <w:jc w:val="center"/>
              <w:rPr>
                <w:sz w:val="20"/>
                <w:szCs w:val="20"/>
              </w:rPr>
            </w:pPr>
            <w:r>
              <w:rPr>
                <w:sz w:val="20"/>
                <w:szCs w:val="20"/>
              </w:rPr>
              <w:t xml:space="preserve">Celkové výdaje na </w:t>
            </w:r>
            <w:r w:rsidR="000B5FA9">
              <w:rPr>
                <w:sz w:val="20"/>
                <w:szCs w:val="20"/>
              </w:rPr>
              <w:t xml:space="preserve">pořízení </w:t>
            </w:r>
            <w:r w:rsidR="005E592A">
              <w:rPr>
                <w:sz w:val="20"/>
                <w:szCs w:val="20"/>
              </w:rPr>
              <w:t>elektronických občanských průkazů</w:t>
            </w:r>
            <w:r>
              <w:rPr>
                <w:sz w:val="20"/>
                <w:szCs w:val="20"/>
              </w:rPr>
              <w:t xml:space="preserve"> vy</w:t>
            </w:r>
            <w:r w:rsidR="00CA6CBC">
              <w:rPr>
                <w:sz w:val="20"/>
                <w:szCs w:val="20"/>
              </w:rPr>
              <w:t>naložené</w:t>
            </w:r>
            <w:r>
              <w:rPr>
                <w:sz w:val="20"/>
                <w:szCs w:val="20"/>
              </w:rPr>
              <w:t xml:space="preserve"> do konce roku 2019</w:t>
            </w:r>
          </w:p>
          <w:p w14:paraId="07716DDF" w14:textId="77777777" w:rsidR="000B6666" w:rsidRPr="002D0F91" w:rsidRDefault="000B6666" w:rsidP="000B6666">
            <w:pPr>
              <w:rPr>
                <w:rStyle w:val="A1"/>
                <w:rFonts w:ascii="Calibri Light" w:hAnsi="Calibri Light" w:cs="Calibri Light"/>
                <w:sz w:val="20"/>
                <w:szCs w:val="20"/>
              </w:rPr>
            </w:pPr>
          </w:p>
        </w:tc>
      </w:tr>
      <w:tr w:rsidR="000B6666" w14:paraId="7376F1BB" w14:textId="77777777" w:rsidTr="000B6666">
        <w:tc>
          <w:tcPr>
            <w:tcW w:w="3020" w:type="dxa"/>
          </w:tcPr>
          <w:p w14:paraId="3E90DFE9" w14:textId="653A79DF" w:rsidR="000B6666" w:rsidRDefault="002D2A7A" w:rsidP="000B6666">
            <w:pPr>
              <w:jc w:val="center"/>
              <w:rPr>
                <w:rStyle w:val="A5"/>
              </w:rPr>
            </w:pPr>
            <w:r>
              <w:rPr>
                <w:rStyle w:val="A5"/>
              </w:rPr>
              <w:t>13 %</w:t>
            </w:r>
          </w:p>
          <w:p w14:paraId="5ABA2833" w14:textId="71818C98" w:rsidR="000B6666" w:rsidRPr="002A1FD1" w:rsidRDefault="00CA6CBC" w:rsidP="00CA6CBC">
            <w:pPr>
              <w:jc w:val="center"/>
              <w:rPr>
                <w:rStyle w:val="A1"/>
                <w:rFonts w:ascii="Calibri Light" w:hAnsi="Calibri Light" w:cs="Calibri Light"/>
              </w:rPr>
            </w:pPr>
            <w:r>
              <w:rPr>
                <w:sz w:val="20"/>
                <w:szCs w:val="20"/>
              </w:rPr>
              <w:t>z</w:t>
            </w:r>
            <w:r w:rsidR="005E592A">
              <w:rPr>
                <w:sz w:val="20"/>
                <w:szCs w:val="20"/>
              </w:rPr>
              <w:t xml:space="preserve"> vydaných</w:t>
            </w:r>
            <w:r w:rsidR="002D2A7A" w:rsidRPr="00B00266">
              <w:rPr>
                <w:sz w:val="20"/>
                <w:szCs w:val="20"/>
              </w:rPr>
              <w:t xml:space="preserve"> </w:t>
            </w:r>
            <w:r w:rsidR="005E592A">
              <w:rPr>
                <w:sz w:val="20"/>
                <w:szCs w:val="20"/>
              </w:rPr>
              <w:t>elektronických občanských průkazů</w:t>
            </w:r>
            <w:r w:rsidR="002D2A7A" w:rsidRPr="00B00266">
              <w:rPr>
                <w:sz w:val="20"/>
                <w:szCs w:val="20"/>
              </w:rPr>
              <w:t xml:space="preserve"> </w:t>
            </w:r>
            <w:r w:rsidR="005E592A">
              <w:rPr>
                <w:sz w:val="20"/>
                <w:szCs w:val="20"/>
              </w:rPr>
              <w:t>mělo</w:t>
            </w:r>
            <w:r w:rsidR="002D2A7A" w:rsidRPr="00B00266">
              <w:rPr>
                <w:sz w:val="20"/>
                <w:szCs w:val="20"/>
              </w:rPr>
              <w:t xml:space="preserve"> </w:t>
            </w:r>
            <w:r w:rsidR="005E592A">
              <w:rPr>
                <w:sz w:val="20"/>
                <w:szCs w:val="20"/>
              </w:rPr>
              <w:t>aktivov</w:t>
            </w:r>
            <w:r>
              <w:rPr>
                <w:sz w:val="20"/>
                <w:szCs w:val="20"/>
              </w:rPr>
              <w:t>án</w:t>
            </w:r>
            <w:r w:rsidR="002D2A7A" w:rsidRPr="00B00266">
              <w:rPr>
                <w:sz w:val="20"/>
                <w:szCs w:val="20"/>
              </w:rPr>
              <w:t xml:space="preserve"> certifikát pro elektronickou identifikaci</w:t>
            </w:r>
          </w:p>
        </w:tc>
        <w:tc>
          <w:tcPr>
            <w:tcW w:w="3021" w:type="dxa"/>
          </w:tcPr>
          <w:p w14:paraId="32A51C9F" w14:textId="6CBB2368" w:rsidR="000B6666" w:rsidRDefault="002D2A7A" w:rsidP="000B6666">
            <w:pPr>
              <w:jc w:val="center"/>
              <w:rPr>
                <w:rStyle w:val="A5"/>
              </w:rPr>
            </w:pPr>
            <w:r>
              <w:rPr>
                <w:rStyle w:val="A5"/>
              </w:rPr>
              <w:t xml:space="preserve">0,5 % </w:t>
            </w:r>
          </w:p>
          <w:p w14:paraId="0347CF6A" w14:textId="668BEB1B" w:rsidR="000B6666" w:rsidRPr="002A1FD1" w:rsidRDefault="00CA6CBC" w:rsidP="0086573B">
            <w:pPr>
              <w:jc w:val="center"/>
              <w:rPr>
                <w:rStyle w:val="A1"/>
                <w:b/>
                <w:bCs/>
                <w:sz w:val="20"/>
                <w:szCs w:val="20"/>
              </w:rPr>
            </w:pPr>
            <w:r>
              <w:rPr>
                <w:sz w:val="20"/>
                <w:szCs w:val="20"/>
              </w:rPr>
              <w:t>z</w:t>
            </w:r>
            <w:r w:rsidR="00D06438">
              <w:rPr>
                <w:sz w:val="20"/>
                <w:szCs w:val="20"/>
              </w:rPr>
              <w:t> celkového počtu 8,7 mil</w:t>
            </w:r>
            <w:r w:rsidR="0086573B">
              <w:rPr>
                <w:sz w:val="20"/>
                <w:szCs w:val="20"/>
              </w:rPr>
              <w:t>ionu</w:t>
            </w:r>
            <w:r w:rsidR="00D06438">
              <w:rPr>
                <w:sz w:val="20"/>
                <w:szCs w:val="20"/>
              </w:rPr>
              <w:t xml:space="preserve"> </w:t>
            </w:r>
            <w:r w:rsidR="002D2A7A" w:rsidRPr="00B00266">
              <w:rPr>
                <w:sz w:val="20"/>
                <w:szCs w:val="20"/>
              </w:rPr>
              <w:t xml:space="preserve">občanů ČR starších 18 let využilo </w:t>
            </w:r>
            <w:r w:rsidR="002D2A7A" w:rsidRPr="00000FC7">
              <w:rPr>
                <w:i/>
                <w:sz w:val="20"/>
                <w:szCs w:val="20"/>
              </w:rPr>
              <w:t>Portál občana</w:t>
            </w:r>
          </w:p>
        </w:tc>
        <w:tc>
          <w:tcPr>
            <w:tcW w:w="3021" w:type="dxa"/>
          </w:tcPr>
          <w:p w14:paraId="74ECCC34" w14:textId="393B9C04" w:rsidR="000B6666" w:rsidRDefault="00FE3669" w:rsidP="000B6666">
            <w:pPr>
              <w:jc w:val="center"/>
              <w:rPr>
                <w:rStyle w:val="A5"/>
              </w:rPr>
            </w:pPr>
            <w:r>
              <w:rPr>
                <w:rStyle w:val="A5"/>
              </w:rPr>
              <w:t>29</w:t>
            </w:r>
          </w:p>
          <w:p w14:paraId="59F84709" w14:textId="78F6920B" w:rsidR="000B6666" w:rsidRPr="00B00266" w:rsidRDefault="00CA6CBC" w:rsidP="00A84D12">
            <w:pPr>
              <w:jc w:val="center"/>
              <w:rPr>
                <w:b/>
                <w:bCs/>
                <w:color w:val="000000"/>
                <w:sz w:val="20"/>
                <w:szCs w:val="20"/>
              </w:rPr>
            </w:pPr>
            <w:r>
              <w:rPr>
                <w:sz w:val="20"/>
                <w:szCs w:val="20"/>
              </w:rPr>
              <w:t>d</w:t>
            </w:r>
            <w:r w:rsidR="002B1E45">
              <w:rPr>
                <w:sz w:val="20"/>
                <w:szCs w:val="20"/>
              </w:rPr>
              <w:t>ostupných s</w:t>
            </w:r>
            <w:r w:rsidR="00FE3669">
              <w:rPr>
                <w:sz w:val="20"/>
                <w:szCs w:val="20"/>
              </w:rPr>
              <w:t xml:space="preserve">lužeb státní správy s celostátním dosahem bylo na </w:t>
            </w:r>
            <w:r w:rsidR="00FE3669" w:rsidRPr="00000FC7">
              <w:rPr>
                <w:i/>
                <w:sz w:val="20"/>
                <w:szCs w:val="20"/>
              </w:rPr>
              <w:t>Portálu občana</w:t>
            </w:r>
            <w:r w:rsidR="005E592A">
              <w:rPr>
                <w:sz w:val="20"/>
                <w:szCs w:val="20"/>
              </w:rPr>
              <w:t xml:space="preserve"> (seznam služeb</w:t>
            </w:r>
            <w:r w:rsidR="007E2606">
              <w:rPr>
                <w:sz w:val="20"/>
                <w:szCs w:val="20"/>
              </w:rPr>
              <w:t xml:space="preserve"> je uveden</w:t>
            </w:r>
            <w:r w:rsidR="005E592A">
              <w:rPr>
                <w:sz w:val="20"/>
                <w:szCs w:val="20"/>
              </w:rPr>
              <w:t xml:space="preserve"> v příloze </w:t>
            </w:r>
            <w:r w:rsidR="007E2606">
              <w:rPr>
                <w:sz w:val="20"/>
                <w:szCs w:val="20"/>
              </w:rPr>
              <w:t>č. 2</w:t>
            </w:r>
            <w:r w:rsidR="005E592A">
              <w:rPr>
                <w:sz w:val="20"/>
                <w:szCs w:val="20"/>
              </w:rPr>
              <w:t>)</w:t>
            </w:r>
          </w:p>
          <w:p w14:paraId="24C9F98A" w14:textId="77777777" w:rsidR="000B6666" w:rsidRPr="002D0F91" w:rsidRDefault="000B6666" w:rsidP="000B6666">
            <w:pPr>
              <w:rPr>
                <w:rStyle w:val="A1"/>
                <w:rFonts w:ascii="Calibri Light" w:hAnsi="Calibri Light" w:cs="Calibri Light"/>
                <w:sz w:val="20"/>
                <w:szCs w:val="20"/>
              </w:rPr>
            </w:pPr>
          </w:p>
        </w:tc>
      </w:tr>
    </w:tbl>
    <w:p w14:paraId="52A70BFA" w14:textId="1DD42799" w:rsidR="00877CC9" w:rsidRDefault="00BB7A62" w:rsidP="00CA6CBC">
      <w:pPr>
        <w:pStyle w:val="Nadpis1"/>
        <w:ind w:left="567" w:hanging="141"/>
      </w:pPr>
      <w:r w:rsidRPr="00BB7A62">
        <w:lastRenderedPageBreak/>
        <w:t>S</w:t>
      </w:r>
      <w:r w:rsidR="005C7F8F">
        <w:t xml:space="preserve">hrnutí a </w:t>
      </w:r>
      <w:r w:rsidRPr="00BB7A62">
        <w:t>vyhodnocení</w:t>
      </w:r>
    </w:p>
    <w:p w14:paraId="45260102" w14:textId="04ACB720" w:rsidR="00345689" w:rsidRPr="00345689" w:rsidRDefault="00192519" w:rsidP="007D6E01">
      <w:r>
        <w:t>NKÚ</w:t>
      </w:r>
      <w:r w:rsidR="008E01EE">
        <w:t xml:space="preserve"> </w:t>
      </w:r>
      <w:r>
        <w:t xml:space="preserve">kontrolou ověřil, zda Ministerstvo vnitra vynaložilo v období </w:t>
      </w:r>
      <w:r w:rsidR="001036E9">
        <w:t xml:space="preserve">let </w:t>
      </w:r>
      <w:r>
        <w:t>2012</w:t>
      </w:r>
      <w:r>
        <w:rPr>
          <w:rFonts w:cstheme="minorHAnsi"/>
        </w:rPr>
        <w:t>–</w:t>
      </w:r>
      <w:r w:rsidRPr="0092494A">
        <w:t xml:space="preserve">2019 finanční prostředky na elektronizaci veřejné správy </w:t>
      </w:r>
      <w:r w:rsidRPr="0092494A">
        <w:rPr>
          <w:rFonts w:cstheme="minorHAnsi"/>
        </w:rPr>
        <w:t>hospodárně a účelně. Kontrola se z</w:t>
      </w:r>
      <w:r>
        <w:rPr>
          <w:rFonts w:cstheme="minorHAnsi"/>
        </w:rPr>
        <w:t>aměřila</w:t>
      </w:r>
      <w:r w:rsidR="006E24DB">
        <w:rPr>
          <w:rFonts w:cstheme="minorHAnsi"/>
        </w:rPr>
        <w:t xml:space="preserve"> na</w:t>
      </w:r>
      <w:r>
        <w:rPr>
          <w:rFonts w:cstheme="minorHAnsi"/>
        </w:rPr>
        <w:t xml:space="preserve"> </w:t>
      </w:r>
      <w:r w:rsidR="00DB7DF3">
        <w:rPr>
          <w:rFonts w:cstheme="minorHAnsi"/>
        </w:rPr>
        <w:t xml:space="preserve">plnění vybraných </w:t>
      </w:r>
      <w:r>
        <w:rPr>
          <w:rFonts w:cstheme="minorHAnsi"/>
        </w:rPr>
        <w:t xml:space="preserve">strategických cílů </w:t>
      </w:r>
      <w:proofErr w:type="spellStart"/>
      <w:r>
        <w:rPr>
          <w:rFonts w:cstheme="minorHAnsi"/>
        </w:rPr>
        <w:t>eGovernmentu</w:t>
      </w:r>
      <w:proofErr w:type="spellEnd"/>
      <w:r w:rsidR="00DB7DF3">
        <w:rPr>
          <w:rFonts w:cstheme="minorHAnsi"/>
        </w:rPr>
        <w:t>, a to zejména</w:t>
      </w:r>
      <w:r w:rsidR="006E24DB">
        <w:rPr>
          <w:rFonts w:cstheme="minorHAnsi"/>
        </w:rPr>
        <w:t xml:space="preserve"> </w:t>
      </w:r>
      <w:r>
        <w:rPr>
          <w:rFonts w:cstheme="minorHAnsi"/>
        </w:rPr>
        <w:t>zav</w:t>
      </w:r>
      <w:r w:rsidR="00DB7DF3">
        <w:rPr>
          <w:rFonts w:cstheme="minorHAnsi"/>
        </w:rPr>
        <w:t xml:space="preserve">edení </w:t>
      </w:r>
      <w:r>
        <w:rPr>
          <w:rFonts w:cstheme="minorHAnsi"/>
        </w:rPr>
        <w:t>elektronické identifikace</w:t>
      </w:r>
      <w:r w:rsidR="00DB7DF3" w:rsidRPr="00DB7DF3">
        <w:rPr>
          <w:rFonts w:cstheme="minorHAnsi"/>
        </w:rPr>
        <w:t xml:space="preserve"> </w:t>
      </w:r>
      <w:r w:rsidR="00DB7DF3">
        <w:rPr>
          <w:rFonts w:cstheme="minorHAnsi"/>
        </w:rPr>
        <w:t>a zajištění přístup</w:t>
      </w:r>
      <w:r w:rsidR="006E24DB">
        <w:rPr>
          <w:rFonts w:cstheme="minorHAnsi"/>
        </w:rPr>
        <w:t>u</w:t>
      </w:r>
      <w:r w:rsidR="00DB7DF3">
        <w:rPr>
          <w:rFonts w:cstheme="minorHAnsi"/>
        </w:rPr>
        <w:t xml:space="preserve"> k digitálním veřejným službám prostřednictvím </w:t>
      </w:r>
      <w:r w:rsidR="00DB7DF3" w:rsidRPr="00000FC7">
        <w:rPr>
          <w:rFonts w:cstheme="minorHAnsi"/>
          <w:i/>
        </w:rPr>
        <w:t>Portálu občana</w:t>
      </w:r>
      <w:r w:rsidR="00DB7DF3">
        <w:rPr>
          <w:rFonts w:cstheme="minorHAnsi"/>
          <w:szCs w:val="24"/>
        </w:rPr>
        <w:t>.</w:t>
      </w:r>
    </w:p>
    <w:p w14:paraId="5F2BDA2B" w14:textId="6E671537" w:rsidR="004A70DB" w:rsidRDefault="005E592A" w:rsidP="004A70DB">
      <w:pPr>
        <w:tabs>
          <w:tab w:val="left" w:pos="2835"/>
        </w:tabs>
        <w:rPr>
          <w:b/>
        </w:rPr>
      </w:pPr>
      <w:r>
        <w:rPr>
          <w:b/>
        </w:rPr>
        <w:t>Dva</w:t>
      </w:r>
      <w:r w:rsidRPr="007D6E01">
        <w:rPr>
          <w:b/>
        </w:rPr>
        <w:t xml:space="preserve"> klíčové nástroje </w:t>
      </w:r>
      <w:proofErr w:type="spellStart"/>
      <w:r w:rsidRPr="007D6E01">
        <w:rPr>
          <w:b/>
        </w:rPr>
        <w:t>eGovernmentu</w:t>
      </w:r>
      <w:proofErr w:type="spellEnd"/>
      <w:r>
        <w:rPr>
          <w:b/>
        </w:rPr>
        <w:t>,</w:t>
      </w:r>
      <w:r w:rsidRPr="000E6057">
        <w:rPr>
          <w:b/>
        </w:rPr>
        <w:t xml:space="preserve"> </w:t>
      </w:r>
      <w:r w:rsidRPr="007D6E01">
        <w:rPr>
          <w:b/>
        </w:rPr>
        <w:t xml:space="preserve">systém elektronické identifikace a </w:t>
      </w:r>
      <w:r w:rsidRPr="00000FC7">
        <w:rPr>
          <w:b/>
          <w:i/>
        </w:rPr>
        <w:t>Portál občana</w:t>
      </w:r>
      <w:r>
        <w:rPr>
          <w:b/>
        </w:rPr>
        <w:t>,</w:t>
      </w:r>
      <w:r w:rsidRPr="007D6E01">
        <w:rPr>
          <w:b/>
        </w:rPr>
        <w:t xml:space="preserve"> </w:t>
      </w:r>
      <w:r>
        <w:rPr>
          <w:b/>
        </w:rPr>
        <w:t xml:space="preserve">které </w:t>
      </w:r>
      <w:r w:rsidRPr="007D6E01">
        <w:rPr>
          <w:b/>
        </w:rPr>
        <w:t>umožňují snazší přístup k digitálním službám veřejné správy</w:t>
      </w:r>
      <w:r>
        <w:rPr>
          <w:b/>
        </w:rPr>
        <w:t>, spustilo MV ve spolupráci se SZR a</w:t>
      </w:r>
      <w:r w:rsidRPr="007D6E01">
        <w:rPr>
          <w:b/>
        </w:rPr>
        <w:t xml:space="preserve"> NAKIT v roce 2018. </w:t>
      </w:r>
      <w:r w:rsidR="004A70DB">
        <w:rPr>
          <w:b/>
        </w:rPr>
        <w:t>MV spolu se SZR a NAKIT zavedlo systém elektronické identi</w:t>
      </w:r>
      <w:r w:rsidR="00C326A5">
        <w:rPr>
          <w:b/>
        </w:rPr>
        <w:t xml:space="preserve">fikace a </w:t>
      </w:r>
      <w:r w:rsidR="00C326A5" w:rsidRPr="00000FC7">
        <w:rPr>
          <w:b/>
          <w:i/>
        </w:rPr>
        <w:t>Portál občana</w:t>
      </w:r>
      <w:r w:rsidR="00C326A5">
        <w:rPr>
          <w:b/>
        </w:rPr>
        <w:t xml:space="preserve"> na základě</w:t>
      </w:r>
      <w:r w:rsidR="004A70DB">
        <w:rPr>
          <w:b/>
        </w:rPr>
        <w:t xml:space="preserve"> </w:t>
      </w:r>
      <w:r w:rsidR="00C326A5" w:rsidRPr="00000FC7">
        <w:rPr>
          <w:b/>
          <w:i/>
        </w:rPr>
        <w:t>Strategického rámce</w:t>
      </w:r>
      <w:r w:rsidR="004A70DB" w:rsidRPr="00000FC7">
        <w:rPr>
          <w:b/>
          <w:i/>
        </w:rPr>
        <w:t xml:space="preserve"> rozvoje veřejné správy</w:t>
      </w:r>
      <w:r w:rsidR="0094729E" w:rsidRPr="00000FC7">
        <w:rPr>
          <w:b/>
          <w:i/>
        </w:rPr>
        <w:t xml:space="preserve"> České republiky</w:t>
      </w:r>
      <w:r w:rsidR="004A70DB" w:rsidRPr="00000FC7">
        <w:rPr>
          <w:b/>
          <w:i/>
        </w:rPr>
        <w:t xml:space="preserve"> </w:t>
      </w:r>
      <w:r w:rsidR="00C90922">
        <w:rPr>
          <w:b/>
          <w:i/>
        </w:rPr>
        <w:t xml:space="preserve">pro období </w:t>
      </w:r>
      <w:r w:rsidR="0094729E" w:rsidRPr="00000FC7">
        <w:rPr>
          <w:b/>
          <w:i/>
        </w:rPr>
        <w:t>2014–2020</w:t>
      </w:r>
      <w:r w:rsidR="0094729E">
        <w:rPr>
          <w:b/>
        </w:rPr>
        <w:t xml:space="preserve"> </w:t>
      </w:r>
      <w:r w:rsidR="004A70DB">
        <w:rPr>
          <w:b/>
        </w:rPr>
        <w:t>(dále jen „SRRVS“) a strategi</w:t>
      </w:r>
      <w:r w:rsidR="00C326A5">
        <w:rPr>
          <w:b/>
        </w:rPr>
        <w:t>e</w:t>
      </w:r>
      <w:r w:rsidR="004A70DB">
        <w:rPr>
          <w:b/>
        </w:rPr>
        <w:t xml:space="preserve"> </w:t>
      </w:r>
      <w:r w:rsidR="004A70DB" w:rsidRPr="00000FC7">
        <w:rPr>
          <w:b/>
          <w:i/>
        </w:rPr>
        <w:t>Digitální Česko</w:t>
      </w:r>
      <w:r w:rsidR="004A70DB">
        <w:rPr>
          <w:b/>
        </w:rPr>
        <w:t>.</w:t>
      </w:r>
      <w:r w:rsidR="004A70DB">
        <w:rPr>
          <w:rStyle w:val="Znakapoznpodarou"/>
          <w:b/>
        </w:rPr>
        <w:footnoteReference w:id="3"/>
      </w:r>
      <w:r w:rsidR="004A70DB">
        <w:rPr>
          <w:b/>
        </w:rPr>
        <w:t xml:space="preserve"> </w:t>
      </w:r>
      <w:r w:rsidR="000676E3" w:rsidRPr="007D6E01">
        <w:rPr>
          <w:b/>
        </w:rPr>
        <w:t xml:space="preserve">NKÚ </w:t>
      </w:r>
      <w:r w:rsidR="000676E3">
        <w:rPr>
          <w:b/>
        </w:rPr>
        <w:t>vyhodnotil</w:t>
      </w:r>
      <w:r w:rsidR="000676E3" w:rsidRPr="007D6E01">
        <w:rPr>
          <w:b/>
        </w:rPr>
        <w:t xml:space="preserve">, že </w:t>
      </w:r>
      <w:r w:rsidR="000676E3">
        <w:rPr>
          <w:b/>
        </w:rPr>
        <w:t>c</w:t>
      </w:r>
      <w:r w:rsidR="004A70DB" w:rsidRPr="007D6E01">
        <w:rPr>
          <w:b/>
        </w:rPr>
        <w:t>íle SRRVS</w:t>
      </w:r>
      <w:r w:rsidR="004A70DB">
        <w:rPr>
          <w:b/>
        </w:rPr>
        <w:t xml:space="preserve"> v oblasti </w:t>
      </w:r>
      <w:proofErr w:type="spellStart"/>
      <w:r w:rsidR="004A70DB">
        <w:rPr>
          <w:b/>
        </w:rPr>
        <w:t>eGovernmentu</w:t>
      </w:r>
      <w:proofErr w:type="spellEnd"/>
      <w:r w:rsidR="004A70DB" w:rsidRPr="007D6E01">
        <w:rPr>
          <w:b/>
        </w:rPr>
        <w:t xml:space="preserve"> </w:t>
      </w:r>
      <w:r w:rsidR="004A70DB">
        <w:rPr>
          <w:b/>
        </w:rPr>
        <w:t>však byly</w:t>
      </w:r>
      <w:r w:rsidR="004A70DB" w:rsidRPr="007D6E01">
        <w:rPr>
          <w:b/>
        </w:rPr>
        <w:t xml:space="preserve"> naplněny pouze částečně. </w:t>
      </w:r>
      <w:r w:rsidR="004A70DB">
        <w:rPr>
          <w:b/>
        </w:rPr>
        <w:t>Kontrolované osoby</w:t>
      </w:r>
      <w:r w:rsidR="004A70DB" w:rsidRPr="007D6E01">
        <w:rPr>
          <w:b/>
        </w:rPr>
        <w:t xml:space="preserve"> </w:t>
      </w:r>
      <w:r w:rsidR="004A70DB">
        <w:rPr>
          <w:b/>
        </w:rPr>
        <w:t xml:space="preserve">systém elektronické identifikace a </w:t>
      </w:r>
      <w:r w:rsidR="004A70DB" w:rsidRPr="00000FC7">
        <w:rPr>
          <w:b/>
          <w:i/>
        </w:rPr>
        <w:t>Portál občana</w:t>
      </w:r>
      <w:r w:rsidR="004A70DB">
        <w:rPr>
          <w:b/>
        </w:rPr>
        <w:t xml:space="preserve"> úspěšně zrealizovaly po technické stránce</w:t>
      </w:r>
      <w:r w:rsidR="004A70DB" w:rsidRPr="007D6E01">
        <w:rPr>
          <w:b/>
        </w:rPr>
        <w:t xml:space="preserve"> s vynaložením cca </w:t>
      </w:r>
      <w:r w:rsidR="004A70DB" w:rsidRPr="004B6D1B">
        <w:rPr>
          <w:b/>
        </w:rPr>
        <w:t>246 mil. Kč</w:t>
      </w:r>
      <w:r w:rsidR="004A70DB" w:rsidRPr="007D6E01">
        <w:rPr>
          <w:b/>
        </w:rPr>
        <w:t xml:space="preserve">. </w:t>
      </w:r>
      <w:r w:rsidR="004A70DB">
        <w:rPr>
          <w:b/>
        </w:rPr>
        <w:t>Přesto e</w:t>
      </w:r>
      <w:r w:rsidR="004A70DB" w:rsidRPr="007D6E01">
        <w:rPr>
          <w:b/>
        </w:rPr>
        <w:t xml:space="preserve">lektronizace </w:t>
      </w:r>
      <w:r w:rsidR="004A70DB">
        <w:rPr>
          <w:b/>
        </w:rPr>
        <w:t xml:space="preserve">služeb </w:t>
      </w:r>
      <w:r w:rsidR="004A70DB" w:rsidRPr="007D6E01">
        <w:rPr>
          <w:b/>
        </w:rPr>
        <w:t>veřejné správy postupoval</w:t>
      </w:r>
      <w:r w:rsidR="004A70DB">
        <w:rPr>
          <w:b/>
        </w:rPr>
        <w:t>a</w:t>
      </w:r>
      <w:r w:rsidR="004A70DB" w:rsidRPr="007D6E01">
        <w:rPr>
          <w:b/>
        </w:rPr>
        <w:t xml:space="preserve"> do konce roku 2019 pomalu</w:t>
      </w:r>
      <w:r w:rsidR="004A70DB">
        <w:rPr>
          <w:b/>
        </w:rPr>
        <w:t>.</w:t>
      </w:r>
      <w:r w:rsidR="004A70DB" w:rsidRPr="007D6E01">
        <w:rPr>
          <w:b/>
        </w:rPr>
        <w:t xml:space="preserve"> </w:t>
      </w:r>
    </w:p>
    <w:p w14:paraId="0E9FDE29" w14:textId="36ABE231" w:rsidR="004A70DB" w:rsidRDefault="005E592A" w:rsidP="004A70DB">
      <w:pPr>
        <w:tabs>
          <w:tab w:val="left" w:pos="2835"/>
        </w:tabs>
        <w:rPr>
          <w:b/>
        </w:rPr>
      </w:pPr>
      <w:r>
        <w:rPr>
          <w:b/>
        </w:rPr>
        <w:t>V</w:t>
      </w:r>
      <w:r w:rsidR="008E01EE">
        <w:rPr>
          <w:b/>
        </w:rPr>
        <w:t xml:space="preserve"> </w:t>
      </w:r>
      <w:r>
        <w:rPr>
          <w:b/>
        </w:rPr>
        <w:t xml:space="preserve">souvislosti se zavedením elektronické identifikace zavedlo MV elektronické občanské průkazy (dále </w:t>
      </w:r>
      <w:r w:rsidR="00BD0765">
        <w:rPr>
          <w:b/>
        </w:rPr>
        <w:t>také</w:t>
      </w:r>
      <w:r>
        <w:rPr>
          <w:b/>
        </w:rPr>
        <w:t xml:space="preserve"> „</w:t>
      </w:r>
      <w:proofErr w:type="spellStart"/>
      <w:r>
        <w:rPr>
          <w:b/>
        </w:rPr>
        <w:t>eOP</w:t>
      </w:r>
      <w:proofErr w:type="spellEnd"/>
      <w:r>
        <w:rPr>
          <w:b/>
        </w:rPr>
        <w:t>“), kterých bylo do konce roku vydáno více než 1,7</w:t>
      </w:r>
      <w:r w:rsidR="002B4E95">
        <w:rPr>
          <w:b/>
        </w:rPr>
        <w:t>6</w:t>
      </w:r>
      <w:r>
        <w:rPr>
          <w:b/>
        </w:rPr>
        <w:t xml:space="preserve"> mil</w:t>
      </w:r>
      <w:r w:rsidR="00BD0765">
        <w:rPr>
          <w:b/>
        </w:rPr>
        <w:t>ionu.</w:t>
      </w:r>
      <w:r>
        <w:rPr>
          <w:b/>
        </w:rPr>
        <w:t xml:space="preserve"> </w:t>
      </w:r>
      <w:r w:rsidR="000676E3">
        <w:rPr>
          <w:b/>
        </w:rPr>
        <w:t>V</w:t>
      </w:r>
      <w:r w:rsidR="004A70DB">
        <w:rPr>
          <w:b/>
        </w:rPr>
        <w:t xml:space="preserve"> období </w:t>
      </w:r>
      <w:r w:rsidR="004A70DB" w:rsidRPr="007D6E01">
        <w:rPr>
          <w:b/>
        </w:rPr>
        <w:t>kontroly</w:t>
      </w:r>
      <w:r w:rsidR="004A70DB">
        <w:rPr>
          <w:b/>
        </w:rPr>
        <w:t xml:space="preserve"> NKÚ prezentovalo</w:t>
      </w:r>
      <w:r w:rsidR="004A70DB" w:rsidRPr="007D6E01">
        <w:rPr>
          <w:b/>
        </w:rPr>
        <w:t xml:space="preserve"> MV na </w:t>
      </w:r>
      <w:r w:rsidR="004A70DB" w:rsidRPr="00000FC7">
        <w:rPr>
          <w:b/>
          <w:i/>
        </w:rPr>
        <w:t>Portálu občana</w:t>
      </w:r>
      <w:r w:rsidR="004A70DB" w:rsidRPr="007D6E01">
        <w:rPr>
          <w:b/>
        </w:rPr>
        <w:t xml:space="preserve"> </w:t>
      </w:r>
      <w:r w:rsidR="004A70DB">
        <w:rPr>
          <w:b/>
        </w:rPr>
        <w:t xml:space="preserve">nabídku </w:t>
      </w:r>
      <w:r w:rsidR="004A70DB" w:rsidRPr="007D6E01">
        <w:rPr>
          <w:b/>
        </w:rPr>
        <w:t>100 dostupných elektronických služeb</w:t>
      </w:r>
      <w:r w:rsidR="004A70DB">
        <w:rPr>
          <w:b/>
        </w:rPr>
        <w:t>. V</w:t>
      </w:r>
      <w:r w:rsidR="004A70DB" w:rsidRPr="007D6E01">
        <w:rPr>
          <w:b/>
        </w:rPr>
        <w:t xml:space="preserve">e skutečnosti </w:t>
      </w:r>
      <w:r w:rsidR="00BD0765">
        <w:rPr>
          <w:b/>
        </w:rPr>
        <w:t xml:space="preserve">bylo </w:t>
      </w:r>
      <w:r w:rsidR="004A70DB" w:rsidRPr="007D6E01">
        <w:rPr>
          <w:b/>
        </w:rPr>
        <w:t xml:space="preserve">k dispozici </w:t>
      </w:r>
      <w:r w:rsidR="004A70DB" w:rsidRPr="00A37B7A">
        <w:rPr>
          <w:b/>
        </w:rPr>
        <w:t>pouze 29 služ</w:t>
      </w:r>
      <w:r w:rsidR="007177CD">
        <w:rPr>
          <w:b/>
        </w:rPr>
        <w:t>e</w:t>
      </w:r>
      <w:r w:rsidR="004A70DB" w:rsidRPr="00A37B7A">
        <w:rPr>
          <w:b/>
        </w:rPr>
        <w:t xml:space="preserve">b státní správy, které </w:t>
      </w:r>
      <w:r w:rsidR="00BD0765">
        <w:rPr>
          <w:b/>
        </w:rPr>
        <w:t>mohou být</w:t>
      </w:r>
      <w:r w:rsidR="004A70DB">
        <w:rPr>
          <w:b/>
        </w:rPr>
        <w:t xml:space="preserve"> potenciáln</w:t>
      </w:r>
      <w:r w:rsidR="00BD0765">
        <w:rPr>
          <w:b/>
        </w:rPr>
        <w:t>ě</w:t>
      </w:r>
      <w:r w:rsidR="004A70DB">
        <w:rPr>
          <w:b/>
        </w:rPr>
        <w:t xml:space="preserve"> </w:t>
      </w:r>
      <w:r w:rsidR="004A70DB" w:rsidRPr="00A37B7A">
        <w:rPr>
          <w:b/>
        </w:rPr>
        <w:t>využit</w:t>
      </w:r>
      <w:r w:rsidR="00BD0765">
        <w:rPr>
          <w:b/>
        </w:rPr>
        <w:t>y</w:t>
      </w:r>
      <w:r w:rsidR="004A70DB" w:rsidRPr="00A37B7A">
        <w:rPr>
          <w:b/>
        </w:rPr>
        <w:t xml:space="preserve"> všemi občany.</w:t>
      </w:r>
      <w:r w:rsidR="004A70DB" w:rsidRPr="0052393F">
        <w:rPr>
          <w:b/>
        </w:rPr>
        <w:t xml:space="preserve"> </w:t>
      </w:r>
      <w:r w:rsidR="004A70DB">
        <w:rPr>
          <w:b/>
        </w:rPr>
        <w:t>Z</w:t>
      </w:r>
      <w:r w:rsidR="004A70DB" w:rsidRPr="0052393F">
        <w:rPr>
          <w:b/>
        </w:rPr>
        <w:t xml:space="preserve">ájem občanů o jejich využití </w:t>
      </w:r>
      <w:r w:rsidR="004A70DB">
        <w:rPr>
          <w:b/>
        </w:rPr>
        <w:t xml:space="preserve">byl </w:t>
      </w:r>
      <w:r w:rsidR="004A70DB" w:rsidRPr="0052393F">
        <w:rPr>
          <w:b/>
        </w:rPr>
        <w:t xml:space="preserve">velmi malý, </w:t>
      </w:r>
      <w:r w:rsidR="00F96AA0">
        <w:rPr>
          <w:b/>
        </w:rPr>
        <w:t>k čemuž přispěla</w:t>
      </w:r>
      <w:r w:rsidR="004A70DB">
        <w:rPr>
          <w:b/>
        </w:rPr>
        <w:t xml:space="preserve"> skutečnost</w:t>
      </w:r>
      <w:r w:rsidR="004A70DB" w:rsidRPr="0052393F">
        <w:rPr>
          <w:b/>
        </w:rPr>
        <w:t>, že certifikát pro elektronickou identifikaci si nechalo aktivovat jen 13</w:t>
      </w:r>
      <w:r w:rsidR="00570DB8">
        <w:rPr>
          <w:b/>
        </w:rPr>
        <w:t> </w:t>
      </w:r>
      <w:r w:rsidR="004A70DB" w:rsidRPr="0052393F">
        <w:rPr>
          <w:b/>
        </w:rPr>
        <w:t xml:space="preserve">% </w:t>
      </w:r>
      <w:r w:rsidR="00BD0765">
        <w:rPr>
          <w:b/>
        </w:rPr>
        <w:t>držitelů elektronických občanských průkazů</w:t>
      </w:r>
      <w:r w:rsidR="004A70DB" w:rsidRPr="0052393F">
        <w:rPr>
          <w:b/>
        </w:rPr>
        <w:t xml:space="preserve"> a</w:t>
      </w:r>
      <w:r w:rsidR="004A70DB">
        <w:rPr>
          <w:rStyle w:val="Odkaznakoment"/>
          <w:b/>
        </w:rPr>
        <w:t xml:space="preserve"> </w:t>
      </w:r>
      <w:r w:rsidR="004A70DB" w:rsidRPr="00000FC7">
        <w:rPr>
          <w:rStyle w:val="Odkaznakoment"/>
          <w:b/>
          <w:i/>
          <w:sz w:val="24"/>
          <w:szCs w:val="24"/>
        </w:rPr>
        <w:t>P</w:t>
      </w:r>
      <w:r w:rsidR="004A70DB" w:rsidRPr="00000FC7">
        <w:rPr>
          <w:b/>
          <w:i/>
          <w:szCs w:val="24"/>
        </w:rPr>
        <w:t>ortál</w:t>
      </w:r>
      <w:r w:rsidR="004A70DB" w:rsidRPr="00000FC7">
        <w:rPr>
          <w:b/>
          <w:i/>
        </w:rPr>
        <w:t xml:space="preserve"> občana</w:t>
      </w:r>
      <w:r w:rsidR="004A70DB" w:rsidRPr="0052393F">
        <w:rPr>
          <w:b/>
        </w:rPr>
        <w:t xml:space="preserve"> využilo</w:t>
      </w:r>
      <w:r w:rsidR="00F96AA0">
        <w:rPr>
          <w:b/>
        </w:rPr>
        <w:t xml:space="preserve"> do konce roku 2019</w:t>
      </w:r>
      <w:r w:rsidR="004A70DB" w:rsidRPr="0052393F">
        <w:rPr>
          <w:b/>
        </w:rPr>
        <w:t xml:space="preserve"> </w:t>
      </w:r>
      <w:r w:rsidR="004A70DB">
        <w:rPr>
          <w:b/>
        </w:rPr>
        <w:t xml:space="preserve">necelých </w:t>
      </w:r>
      <w:r w:rsidR="004A70DB" w:rsidRPr="0052393F">
        <w:rPr>
          <w:b/>
        </w:rPr>
        <w:t>4</w:t>
      </w:r>
      <w:r w:rsidR="004A70DB">
        <w:rPr>
          <w:b/>
        </w:rPr>
        <w:t>6</w:t>
      </w:r>
      <w:r w:rsidR="004A70DB" w:rsidRPr="0052393F">
        <w:rPr>
          <w:b/>
        </w:rPr>
        <w:t xml:space="preserve"> tis</w:t>
      </w:r>
      <w:r w:rsidR="00C90922">
        <w:rPr>
          <w:b/>
        </w:rPr>
        <w:t>íc</w:t>
      </w:r>
      <w:r w:rsidR="004A70DB" w:rsidRPr="0052393F">
        <w:rPr>
          <w:b/>
        </w:rPr>
        <w:t xml:space="preserve"> o</w:t>
      </w:r>
      <w:r w:rsidR="00BD0765">
        <w:rPr>
          <w:b/>
        </w:rPr>
        <w:t>sob</w:t>
      </w:r>
      <w:r w:rsidR="004A70DB" w:rsidRPr="0052393F">
        <w:rPr>
          <w:b/>
        </w:rPr>
        <w:t>, což představuje pouze 0,5</w:t>
      </w:r>
      <w:r w:rsidR="00BD0765">
        <w:rPr>
          <w:b/>
        </w:rPr>
        <w:t> </w:t>
      </w:r>
      <w:r w:rsidR="004A70DB" w:rsidRPr="0052393F">
        <w:rPr>
          <w:b/>
        </w:rPr>
        <w:t xml:space="preserve">% plnoletých občanů ČR. </w:t>
      </w:r>
    </w:p>
    <w:p w14:paraId="261A92E7" w14:textId="2008B5E8" w:rsidR="004A70DB" w:rsidRPr="001C5D5E" w:rsidRDefault="004A70DB" w:rsidP="004A70DB">
      <w:pPr>
        <w:tabs>
          <w:tab w:val="left" w:pos="2835"/>
        </w:tabs>
        <w:rPr>
          <w:b/>
        </w:rPr>
      </w:pPr>
      <w:r w:rsidRPr="00553363">
        <w:rPr>
          <w:b/>
        </w:rPr>
        <w:t xml:space="preserve">I přes spuštění nových nástrojů hodnotí NKÚ dosavadní rozvoj </w:t>
      </w:r>
      <w:proofErr w:type="spellStart"/>
      <w:r w:rsidRPr="00553363">
        <w:rPr>
          <w:b/>
        </w:rPr>
        <w:t>eGovernmentu</w:t>
      </w:r>
      <w:proofErr w:type="spellEnd"/>
      <w:r w:rsidRPr="00553363">
        <w:rPr>
          <w:b/>
        </w:rPr>
        <w:t xml:space="preserve"> z pohledu</w:t>
      </w:r>
      <w:r w:rsidRPr="00553363">
        <w:t xml:space="preserve"> </w:t>
      </w:r>
      <w:r w:rsidRPr="00553363">
        <w:rPr>
          <w:b/>
        </w:rPr>
        <w:t>zajištění elektronického přístupu k digitálním službám veřejné správy</w:t>
      </w:r>
      <w:r w:rsidRPr="00553363" w:rsidDel="0063384F">
        <w:rPr>
          <w:b/>
        </w:rPr>
        <w:t xml:space="preserve"> </w:t>
      </w:r>
      <w:r w:rsidRPr="00553363">
        <w:rPr>
          <w:b/>
        </w:rPr>
        <w:t>jako nedostatečný</w:t>
      </w:r>
      <w:r w:rsidR="001036E9">
        <w:rPr>
          <w:b/>
        </w:rPr>
        <w:t>, neboť se</w:t>
      </w:r>
      <w:r w:rsidR="00B32B1A">
        <w:rPr>
          <w:b/>
        </w:rPr>
        <w:t xml:space="preserve"> </w:t>
      </w:r>
      <w:r w:rsidR="00B32B1A" w:rsidRPr="001C5D5E">
        <w:rPr>
          <w:b/>
        </w:rPr>
        <w:t>MV</w:t>
      </w:r>
      <w:r w:rsidR="0078044E" w:rsidRPr="001C5D5E">
        <w:rPr>
          <w:b/>
        </w:rPr>
        <w:t xml:space="preserve"> </w:t>
      </w:r>
      <w:r w:rsidR="001036E9" w:rsidRPr="001C5D5E">
        <w:rPr>
          <w:b/>
        </w:rPr>
        <w:t>n</w:t>
      </w:r>
      <w:r w:rsidRPr="001C5D5E">
        <w:rPr>
          <w:b/>
        </w:rPr>
        <w:t>epodařilo zajistit širokou nabídku dostupných služeb a</w:t>
      </w:r>
      <w:r w:rsidR="00BD0765">
        <w:rPr>
          <w:b/>
        </w:rPr>
        <w:t>ni</w:t>
      </w:r>
      <w:r w:rsidRPr="001C5D5E">
        <w:rPr>
          <w:b/>
        </w:rPr>
        <w:t xml:space="preserve"> významně rozšířit okruh občanů, kteří je aktivně využívají. Výrazného zlepšení v možnostech</w:t>
      </w:r>
      <w:r w:rsidR="002B1E45" w:rsidRPr="001C5D5E">
        <w:rPr>
          <w:b/>
        </w:rPr>
        <w:t xml:space="preserve"> řešit životní situace občanů</w:t>
      </w:r>
      <w:r w:rsidRPr="001C5D5E">
        <w:rPr>
          <w:b/>
        </w:rPr>
        <w:t xml:space="preserve"> bez nutnosti</w:t>
      </w:r>
      <w:r w:rsidR="002B1E45" w:rsidRPr="001C5D5E">
        <w:rPr>
          <w:b/>
        </w:rPr>
        <w:t xml:space="preserve"> osobní</w:t>
      </w:r>
      <w:r w:rsidRPr="001C5D5E">
        <w:rPr>
          <w:b/>
        </w:rPr>
        <w:t xml:space="preserve"> návštěvy úřadu</w:t>
      </w:r>
      <w:r w:rsidR="00336AE0" w:rsidRPr="001C5D5E">
        <w:rPr>
          <w:b/>
        </w:rPr>
        <w:t xml:space="preserve"> MV realiz</w:t>
      </w:r>
      <w:r w:rsidR="00700477">
        <w:rPr>
          <w:b/>
        </w:rPr>
        <w:t>ací elektronické identifikace a </w:t>
      </w:r>
      <w:r w:rsidR="00336AE0" w:rsidRPr="00000FC7">
        <w:rPr>
          <w:b/>
          <w:i/>
        </w:rPr>
        <w:t>Portálu občana</w:t>
      </w:r>
      <w:r w:rsidR="00336AE0" w:rsidRPr="001C5D5E">
        <w:rPr>
          <w:b/>
        </w:rPr>
        <w:t xml:space="preserve"> nedosáhlo</w:t>
      </w:r>
      <w:r w:rsidRPr="001C5D5E">
        <w:rPr>
          <w:b/>
        </w:rPr>
        <w:t>.</w:t>
      </w:r>
    </w:p>
    <w:p w14:paraId="68447484" w14:textId="0B2E2D59" w:rsidR="009A32D9" w:rsidRDefault="009A32D9" w:rsidP="000F5DBD">
      <w:pPr>
        <w:tabs>
          <w:tab w:val="left" w:pos="2835"/>
        </w:tabs>
        <w:rPr>
          <w:b/>
        </w:rPr>
      </w:pPr>
    </w:p>
    <w:p w14:paraId="25D758C3" w14:textId="1C28A6E4" w:rsidR="00466695" w:rsidRDefault="00466695">
      <w:pPr>
        <w:rPr>
          <w:b/>
        </w:rPr>
      </w:pPr>
      <w:r>
        <w:rPr>
          <w:b/>
        </w:rPr>
        <w:br w:type="page"/>
      </w:r>
    </w:p>
    <w:p w14:paraId="2DE95D48" w14:textId="1DC61818" w:rsidR="004A6F67" w:rsidRDefault="004A6F67" w:rsidP="004A6F67">
      <w:pPr>
        <w:tabs>
          <w:tab w:val="left" w:pos="2835"/>
        </w:tabs>
        <w:rPr>
          <w:b/>
        </w:rPr>
      </w:pPr>
      <w:r>
        <w:rPr>
          <w:b/>
        </w:rPr>
        <w:lastRenderedPageBreak/>
        <w:t>Celkové vyhodnocení vyplývá z následujících skutečností:</w:t>
      </w:r>
      <w:r w:rsidRPr="0052393F">
        <w:rPr>
          <w:b/>
        </w:rPr>
        <w:t xml:space="preserve"> </w:t>
      </w:r>
    </w:p>
    <w:p w14:paraId="6D2071D2" w14:textId="15B9C6A8" w:rsidR="00F66FCF" w:rsidRDefault="003E3AF8" w:rsidP="00000FC7">
      <w:pPr>
        <w:spacing w:after="0"/>
        <w:rPr>
          <w:b/>
        </w:rPr>
      </w:pPr>
      <w:r>
        <w:rPr>
          <w:b/>
        </w:rPr>
        <w:t xml:space="preserve">Elektronická identifikace a </w:t>
      </w:r>
      <w:r w:rsidRPr="00000FC7">
        <w:rPr>
          <w:b/>
          <w:i/>
        </w:rPr>
        <w:t>Portál občana</w:t>
      </w:r>
      <w:r w:rsidR="00F66FCF">
        <w:rPr>
          <w:b/>
        </w:rPr>
        <w:t xml:space="preserve"> byl</w:t>
      </w:r>
      <w:r>
        <w:rPr>
          <w:b/>
        </w:rPr>
        <w:t>y</w:t>
      </w:r>
      <w:r w:rsidR="00F66FCF">
        <w:rPr>
          <w:b/>
        </w:rPr>
        <w:t xml:space="preserve"> budován</w:t>
      </w:r>
      <w:r>
        <w:rPr>
          <w:b/>
        </w:rPr>
        <w:t>y</w:t>
      </w:r>
      <w:r w:rsidR="00F66FCF">
        <w:rPr>
          <w:b/>
        </w:rPr>
        <w:t xml:space="preserve"> v souladu se SRRVS</w:t>
      </w:r>
    </w:p>
    <w:p w14:paraId="6D6E204F" w14:textId="66B993EA" w:rsidR="007A1302" w:rsidRDefault="008A384A" w:rsidP="007A1302">
      <w:r w:rsidRPr="003E3AF8">
        <w:t xml:space="preserve">Strategické cíle </w:t>
      </w:r>
      <w:proofErr w:type="spellStart"/>
      <w:r w:rsidRPr="003E3AF8">
        <w:t>eGovernmentu</w:t>
      </w:r>
      <w:proofErr w:type="spellEnd"/>
      <w:r w:rsidRPr="003E3AF8">
        <w:t xml:space="preserve"> v ČR byly upraveny v </w:t>
      </w:r>
      <w:r w:rsidR="007A1302" w:rsidRPr="003E3AF8">
        <w:t>SRRVS</w:t>
      </w:r>
      <w:r>
        <w:t>, který</w:t>
      </w:r>
      <w:r w:rsidR="007A1302">
        <w:rPr>
          <w:b/>
        </w:rPr>
        <w:t xml:space="preserve"> </w:t>
      </w:r>
      <w:r w:rsidR="007A1302" w:rsidRPr="007D6E01">
        <w:t xml:space="preserve">mj. stanovil cíl </w:t>
      </w:r>
      <w:r w:rsidR="00C90922">
        <w:t>„</w:t>
      </w:r>
      <w:r w:rsidR="007A1302" w:rsidRPr="00B31397">
        <w:rPr>
          <w:i/>
        </w:rPr>
        <w:t>z</w:t>
      </w:r>
      <w:r w:rsidR="007A1302" w:rsidRPr="000A6B4D">
        <w:rPr>
          <w:i/>
        </w:rPr>
        <w:t xml:space="preserve">výšení dostupnosti a transparentnosti veřejné správy prostřednictvím nástrojů </w:t>
      </w:r>
      <w:proofErr w:type="spellStart"/>
      <w:r w:rsidR="007A1302" w:rsidRPr="000A6B4D">
        <w:rPr>
          <w:i/>
        </w:rPr>
        <w:t>eGovernmentu</w:t>
      </w:r>
      <w:proofErr w:type="spellEnd"/>
      <w:r w:rsidR="00C90922">
        <w:t>“</w:t>
      </w:r>
      <w:r w:rsidR="007A1302">
        <w:rPr>
          <w:i/>
        </w:rPr>
        <w:t xml:space="preserve">, </w:t>
      </w:r>
      <w:r w:rsidR="00336AE0">
        <w:t>tj.</w:t>
      </w:r>
      <w:r w:rsidR="007A1302" w:rsidRPr="00142261">
        <w:t xml:space="preserve"> d</w:t>
      </w:r>
      <w:r w:rsidR="007A1302" w:rsidRPr="000A6B4D">
        <w:t xml:space="preserve">obudovat přehledné, transparentní a současně flexibilní </w:t>
      </w:r>
      <w:r w:rsidR="00700477">
        <w:t>prostředí a podmínky právního a </w:t>
      </w:r>
      <w:r w:rsidR="007A1302" w:rsidRPr="000A6B4D">
        <w:t>institucionální</w:t>
      </w:r>
      <w:r w:rsidR="00D82E84">
        <w:t>ho</w:t>
      </w:r>
      <w:r w:rsidR="007A1302" w:rsidRPr="000A6B4D">
        <w:t xml:space="preserve"> charakteru pro plynulý rozvoj </w:t>
      </w:r>
      <w:proofErr w:type="spellStart"/>
      <w:r w:rsidR="007A1302" w:rsidRPr="000A6B4D">
        <w:t>eGovernmentu</w:t>
      </w:r>
      <w:proofErr w:type="spellEnd"/>
      <w:r w:rsidR="007A1302" w:rsidRPr="000A6B4D">
        <w:t xml:space="preserve"> a zajištění maximálního využití přínosů jeho fungování</w:t>
      </w:r>
      <w:r w:rsidR="007A1302">
        <w:rPr>
          <w:i/>
        </w:rPr>
        <w:t>.</w:t>
      </w:r>
      <w:r w:rsidR="007A1302">
        <w:t xml:space="preserve"> </w:t>
      </w:r>
      <w:r w:rsidR="007A1302" w:rsidRPr="000A6B4D">
        <w:t>K</w:t>
      </w:r>
      <w:r w:rsidR="008E01EE">
        <w:t xml:space="preserve"> </w:t>
      </w:r>
      <w:r w:rsidR="007A1302" w:rsidRPr="000A6B4D">
        <w:t>dosažení</w:t>
      </w:r>
      <w:r w:rsidR="007A1302">
        <w:t xml:space="preserve"> tohoto cíle měla podle aktualizovaného SRRVS</w:t>
      </w:r>
      <w:r w:rsidR="007A1302" w:rsidRPr="000A6B4D">
        <w:t xml:space="preserve"> přispět realizace plošně využitelného, jednotného, státem garantovaného a v rámci EU interoperabilního systému elektronické identifikace, autentizace a autorizace pro klíčové agendové a provozní informační systémy spravované orgány veřejné moci podle principů, které předpokládá nařízení </w:t>
      </w:r>
      <w:proofErr w:type="spellStart"/>
      <w:r w:rsidR="007A1302" w:rsidRPr="000A6B4D">
        <w:t>eIDAS</w:t>
      </w:r>
      <w:proofErr w:type="spellEnd"/>
      <w:r w:rsidR="007A1302">
        <w:t>.</w:t>
      </w:r>
      <w:r w:rsidR="00700DCD">
        <w:t xml:space="preserve"> </w:t>
      </w:r>
      <w:r w:rsidR="00F55034">
        <w:t xml:space="preserve">Kontrolované osoby zavedly systém elektronické identifikace a </w:t>
      </w:r>
      <w:r w:rsidR="00F55034" w:rsidRPr="00000FC7">
        <w:rPr>
          <w:i/>
        </w:rPr>
        <w:t>Portál občana</w:t>
      </w:r>
      <w:r w:rsidR="00F55034">
        <w:t xml:space="preserve"> v souladu se SRRVS. Vzhledem </w:t>
      </w:r>
      <w:r w:rsidR="00700477">
        <w:t>k nízké míře jejich využívání a </w:t>
      </w:r>
      <w:r w:rsidR="00F55034">
        <w:t xml:space="preserve">omezené nabídce služeb však tyto nástroje nemohly dostatečně přispět k rozvoji </w:t>
      </w:r>
      <w:proofErr w:type="spellStart"/>
      <w:r w:rsidR="00F55034">
        <w:t>eGovernmentu</w:t>
      </w:r>
      <w:proofErr w:type="spellEnd"/>
      <w:r w:rsidR="00F55034">
        <w:t xml:space="preserve"> a zajištění maximálního využití přínosů jeho fungování, a </w:t>
      </w:r>
      <w:r w:rsidR="00C90922">
        <w:t>tudíž ani</w:t>
      </w:r>
      <w:r w:rsidR="00F55034">
        <w:t xml:space="preserve"> k plnému dosažení cílů SRRVS.</w:t>
      </w:r>
    </w:p>
    <w:p w14:paraId="6939771D" w14:textId="7B5571A3" w:rsidR="00F66FCF" w:rsidRDefault="003E3AF8" w:rsidP="00000FC7">
      <w:pPr>
        <w:spacing w:after="0"/>
        <w:rPr>
          <w:b/>
        </w:rPr>
      </w:pPr>
      <w:r>
        <w:rPr>
          <w:b/>
        </w:rPr>
        <w:t>Náklady na vybudování</w:t>
      </w:r>
      <w:r w:rsidR="00467576">
        <w:rPr>
          <w:b/>
        </w:rPr>
        <w:t xml:space="preserve"> systému</w:t>
      </w:r>
      <w:r>
        <w:rPr>
          <w:b/>
        </w:rPr>
        <w:t xml:space="preserve"> elektronické identifikace byly téměř </w:t>
      </w:r>
      <w:r w:rsidR="00467576">
        <w:rPr>
          <w:b/>
        </w:rPr>
        <w:t>160</w:t>
      </w:r>
      <w:r>
        <w:rPr>
          <w:b/>
        </w:rPr>
        <w:t xml:space="preserve"> mil. Kč</w:t>
      </w:r>
    </w:p>
    <w:p w14:paraId="15EC59CE" w14:textId="7787B66D" w:rsidR="0011579A" w:rsidRDefault="008A384A" w:rsidP="007A1302">
      <w:r w:rsidRPr="003E3AF8">
        <w:t>Systém elektronické identifikace</w:t>
      </w:r>
      <w:r w:rsidR="005112C5">
        <w:t xml:space="preserve"> vytvořilo MV dle</w:t>
      </w:r>
      <w:r w:rsidR="00DA7419">
        <w:t xml:space="preserve"> </w:t>
      </w:r>
      <w:r w:rsidR="005112C5">
        <w:t>nařízení</w:t>
      </w:r>
      <w:r>
        <w:t xml:space="preserve"> </w:t>
      </w:r>
      <w:proofErr w:type="spellStart"/>
      <w:r>
        <w:t>eIDAS</w:t>
      </w:r>
      <w:proofErr w:type="spellEnd"/>
      <w:r>
        <w:t xml:space="preserve">, přičemž se částečně inspirovalo systémy elektronické identifikace existujícími v zahraničí. Český systém elektronické identifikace je založen primárně na </w:t>
      </w:r>
      <w:proofErr w:type="spellStart"/>
      <w:r>
        <w:t>eOP</w:t>
      </w:r>
      <w:proofErr w:type="spellEnd"/>
      <w:r>
        <w:t>, které jsou vydávány od července 2018.</w:t>
      </w:r>
      <w:r w:rsidR="00792D5C">
        <w:t xml:space="preserve"> Technickým realizátorem byla SZR, která ve spolupráci s NAKIT vytvořila tzv. </w:t>
      </w:r>
      <w:r w:rsidR="00792D5C" w:rsidRPr="00792D5C">
        <w:rPr>
          <w:i/>
        </w:rPr>
        <w:t>Národní bod pro identifikaci a autentizaci</w:t>
      </w:r>
      <w:r w:rsidR="00792D5C">
        <w:rPr>
          <w:i/>
        </w:rPr>
        <w:t xml:space="preserve"> </w:t>
      </w:r>
      <w:r w:rsidR="00792D5C">
        <w:t xml:space="preserve">(dále </w:t>
      </w:r>
      <w:r w:rsidR="000F3D94">
        <w:t>také</w:t>
      </w:r>
      <w:r w:rsidR="00792D5C">
        <w:t xml:space="preserve"> „NIA“). NIA je informační systém veřejné správy podporující proces elektronické identifikace a zajišťující ověření totožnosti občana vůči základním registrům veřejné správy. Náklady na vybudování tohoto systému dosáhly částky </w:t>
      </w:r>
      <w:r w:rsidR="00466695">
        <w:t>téměř 160</w:t>
      </w:r>
      <w:r w:rsidR="00DA7419">
        <w:t xml:space="preserve"> </w:t>
      </w:r>
      <w:r w:rsidR="00792D5C">
        <w:t xml:space="preserve">mil. Kč. Zavedením </w:t>
      </w:r>
      <w:proofErr w:type="spellStart"/>
      <w:r w:rsidR="00792D5C">
        <w:t>eOP</w:t>
      </w:r>
      <w:proofErr w:type="spellEnd"/>
      <w:r w:rsidR="00792D5C">
        <w:t xml:space="preserve"> se zvýšila částka za jeden vydaný občanský průkaz o</w:t>
      </w:r>
      <w:r w:rsidR="00DA7419">
        <w:t> </w:t>
      </w:r>
      <w:r w:rsidR="00792D5C">
        <w:t>29,87</w:t>
      </w:r>
      <w:r w:rsidR="00DA7419">
        <w:t> </w:t>
      </w:r>
      <w:r w:rsidR="00792D5C">
        <w:t xml:space="preserve">Kč </w:t>
      </w:r>
      <w:r w:rsidR="00F55034">
        <w:t>na 83,16 Kč</w:t>
      </w:r>
      <w:r w:rsidR="0043688B">
        <w:t>.</w:t>
      </w:r>
      <w:r w:rsidR="00F55034">
        <w:t xml:space="preserve"> </w:t>
      </w:r>
      <w:r w:rsidR="0011579A">
        <w:t xml:space="preserve">Do konce roku 2019 bylo vydáno celkem 1 755 615 nových </w:t>
      </w:r>
      <w:proofErr w:type="spellStart"/>
      <w:r w:rsidR="0011579A">
        <w:t>eOP</w:t>
      </w:r>
      <w:proofErr w:type="spellEnd"/>
      <w:r w:rsidR="00F55034">
        <w:t xml:space="preserve"> s celkov</w:t>
      </w:r>
      <w:r w:rsidR="0043688B">
        <w:t>ými náklady 145 996 943 Kč.</w:t>
      </w:r>
      <w:r w:rsidR="0011579A">
        <w:t xml:space="preserve"> Oproti stand</w:t>
      </w:r>
      <w:r w:rsidR="00336AE0">
        <w:t>ardním občanským průkazům se</w:t>
      </w:r>
      <w:r w:rsidR="0011579A">
        <w:t xml:space="preserve"> náklady na jejich vydáván</w:t>
      </w:r>
      <w:r w:rsidR="0043688B">
        <w:t>í zvýšily o 52 440 220 Kč</w:t>
      </w:r>
      <w:r w:rsidR="0011579A">
        <w:t>.</w:t>
      </w:r>
    </w:p>
    <w:p w14:paraId="01367538" w14:textId="75DD7F80" w:rsidR="008A384A" w:rsidRPr="00792D5C" w:rsidRDefault="0011579A" w:rsidP="007A1302">
      <w:r>
        <w:t xml:space="preserve">NKÚ </w:t>
      </w:r>
      <w:r w:rsidR="009B586F">
        <w:t>při</w:t>
      </w:r>
      <w:r w:rsidR="00DA7419">
        <w:t xml:space="preserve"> </w:t>
      </w:r>
      <w:r>
        <w:t xml:space="preserve">kontrole zjistil, že do konce roku 2019 mělo identifikační certifikát aktivováno 227 495 </w:t>
      </w:r>
      <w:proofErr w:type="spellStart"/>
      <w:r>
        <w:t>eOP</w:t>
      </w:r>
      <w:proofErr w:type="spellEnd"/>
      <w:r>
        <w:t xml:space="preserve">, to znamená, že pouze 13 % držitelů </w:t>
      </w:r>
      <w:proofErr w:type="spellStart"/>
      <w:r>
        <w:t>eOP</w:t>
      </w:r>
      <w:proofErr w:type="spellEnd"/>
      <w:r>
        <w:t xml:space="preserve"> jej mohlo využívat pro účely elektronické identifikace.</w:t>
      </w:r>
    </w:p>
    <w:p w14:paraId="270A9AA3" w14:textId="245C89B6" w:rsidR="00467576" w:rsidRDefault="00F66FCF" w:rsidP="00000FC7">
      <w:pPr>
        <w:spacing w:after="0"/>
        <w:rPr>
          <w:b/>
        </w:rPr>
      </w:pPr>
      <w:r>
        <w:rPr>
          <w:b/>
        </w:rPr>
        <w:t xml:space="preserve">Zakázka na vybudování </w:t>
      </w:r>
      <w:r w:rsidRPr="00000FC7">
        <w:rPr>
          <w:b/>
          <w:i/>
        </w:rPr>
        <w:t>Portálu občana</w:t>
      </w:r>
      <w:r>
        <w:rPr>
          <w:b/>
        </w:rPr>
        <w:t xml:space="preserve"> </w:t>
      </w:r>
      <w:r w:rsidR="00467576">
        <w:rPr>
          <w:b/>
        </w:rPr>
        <w:t>byla nadhodnocena o 4,8 mil. Kč</w:t>
      </w:r>
    </w:p>
    <w:p w14:paraId="2D2E3611" w14:textId="7840B739" w:rsidR="00843B75" w:rsidRDefault="00843B75" w:rsidP="00843B75">
      <w:r w:rsidRPr="00000FC7">
        <w:rPr>
          <w:i/>
        </w:rPr>
        <w:t>Portál občana</w:t>
      </w:r>
      <w:r>
        <w:t xml:space="preserve"> zajistilo MV prostřednictvím </w:t>
      </w:r>
      <w:r w:rsidR="00275B81">
        <w:t>státního podniku</w:t>
      </w:r>
      <w:r>
        <w:t xml:space="preserve"> N</w:t>
      </w:r>
      <w:r w:rsidR="00700477">
        <w:t>AKIT, se kterým v letech 2017 a </w:t>
      </w:r>
      <w:r>
        <w:t>2018 uzavřelo v souladu se</w:t>
      </w:r>
      <w:r w:rsidR="005F3E6F">
        <w:t xml:space="preserve"> zákonem č. 134/2016 Sb., o zadávání veřejných zakázek (dále také</w:t>
      </w:r>
      <w:r>
        <w:t xml:space="preserve"> </w:t>
      </w:r>
      <w:r w:rsidR="005F3E6F">
        <w:t>„</w:t>
      </w:r>
      <w:r>
        <w:t>ZZ</w:t>
      </w:r>
      <w:r w:rsidR="005F3E6F">
        <w:t>V</w:t>
      </w:r>
      <w:r>
        <w:t>Z</w:t>
      </w:r>
      <w:r w:rsidR="005F3E6F">
        <w:t>“)</w:t>
      </w:r>
      <w:r w:rsidR="00C90922">
        <w:t>,</w:t>
      </w:r>
      <w:r>
        <w:t xml:space="preserve"> celkem 3 smlouvy v rámci tzv. vertikální spolupráce, tedy mimo režim zadávacího řízení v podmínkách otevřené hospodářské soutěže. NAKIT následně </w:t>
      </w:r>
      <w:r w:rsidR="00CB17AB">
        <w:t>realizoval</w:t>
      </w:r>
      <w:r w:rsidR="00C90922">
        <w:t>a</w:t>
      </w:r>
      <w:r w:rsidR="00CB17AB">
        <w:t xml:space="preserve"> většinu</w:t>
      </w:r>
      <w:r>
        <w:t xml:space="preserve"> funkcionalit portálu </w:t>
      </w:r>
      <w:r w:rsidR="00CB17AB">
        <w:t>prostřednictvím zaměstnanců</w:t>
      </w:r>
      <w:r>
        <w:t xml:space="preserve"> externího dodavatele. Využil</w:t>
      </w:r>
      <w:r w:rsidR="00C90922">
        <w:t>a</w:t>
      </w:r>
      <w:r>
        <w:t xml:space="preserve"> k tomu rámcovou smlouvu, kterou m</w:t>
      </w:r>
      <w:r w:rsidR="003C7AC4">
        <w:t>ěl</w:t>
      </w:r>
      <w:r w:rsidR="00C90922">
        <w:t>a</w:t>
      </w:r>
      <w:r w:rsidR="003C7AC4">
        <w:t xml:space="preserve"> uzavřenu s externím dodavatelem</w:t>
      </w:r>
      <w:r>
        <w:t xml:space="preserve"> již od roku 2015</w:t>
      </w:r>
      <w:r>
        <w:rPr>
          <w:rStyle w:val="Znakapoznpodarou"/>
        </w:rPr>
        <w:footnoteReference w:id="4"/>
      </w:r>
      <w:r w:rsidR="00C90922">
        <w:t>,</w:t>
      </w:r>
      <w:r w:rsidR="00700477">
        <w:t xml:space="preserve"> a </w:t>
      </w:r>
      <w:r>
        <w:t>nemusel</w:t>
      </w:r>
      <w:r w:rsidR="00C90922">
        <w:t>a</w:t>
      </w:r>
      <w:r>
        <w:t xml:space="preserve"> tak</w:t>
      </w:r>
      <w:r w:rsidR="00CB17AB">
        <w:t xml:space="preserve"> realizovat</w:t>
      </w:r>
      <w:r>
        <w:t xml:space="preserve"> dodávky a služby </w:t>
      </w:r>
      <w:r w:rsidR="00CB17AB">
        <w:t>v novém zadávacím řízení</w:t>
      </w:r>
      <w:r>
        <w:t xml:space="preserve">. Celkové náklady na vytvoření </w:t>
      </w:r>
      <w:r w:rsidRPr="003F0BE7">
        <w:rPr>
          <w:i/>
        </w:rPr>
        <w:t>Portálu občana</w:t>
      </w:r>
      <w:r>
        <w:t xml:space="preserve"> dos</w:t>
      </w:r>
      <w:r w:rsidR="004C40DF">
        <w:t>áhly částky 86 922 336 Kč.</w:t>
      </w:r>
      <w:r>
        <w:t xml:space="preserve"> </w:t>
      </w:r>
      <w:r w:rsidR="004C40DF">
        <w:t>P</w:t>
      </w:r>
      <w:r>
        <w:t>ři výpočtu hodnoty</w:t>
      </w:r>
      <w:r w:rsidR="004C40DF">
        <w:t xml:space="preserve"> rámcové smlouvy na vytvoření</w:t>
      </w:r>
      <w:r>
        <w:t xml:space="preserve"> portálu nepostupovalo </w:t>
      </w:r>
      <w:r w:rsidR="004C40DF">
        <w:t xml:space="preserve">MV </w:t>
      </w:r>
      <w:r>
        <w:t xml:space="preserve">nejhospodárnějším způsobem a nadhodnotilo jeho </w:t>
      </w:r>
      <w:r>
        <w:lastRenderedPageBreak/>
        <w:t xml:space="preserve">celkovou hodnotu o 4,8 mil. Kč. Tento postup NKÚ vyhodnotil jako </w:t>
      </w:r>
      <w:r w:rsidR="006C106C">
        <w:t xml:space="preserve">skutečnost nasvědčující </w:t>
      </w:r>
      <w:r>
        <w:t>porušení rozpočtové kázně.</w:t>
      </w:r>
    </w:p>
    <w:p w14:paraId="14606AF9" w14:textId="56101625" w:rsidR="00F66FCF" w:rsidRDefault="00467576" w:rsidP="003F0BE7">
      <w:pPr>
        <w:spacing w:after="0"/>
        <w:rPr>
          <w:b/>
        </w:rPr>
      </w:pPr>
      <w:r>
        <w:rPr>
          <w:b/>
        </w:rPr>
        <w:t>Na</w:t>
      </w:r>
      <w:r w:rsidR="00F66FCF">
        <w:rPr>
          <w:b/>
        </w:rPr>
        <w:t> </w:t>
      </w:r>
      <w:r w:rsidRPr="003F0BE7">
        <w:rPr>
          <w:b/>
          <w:i/>
        </w:rPr>
        <w:t>P</w:t>
      </w:r>
      <w:r w:rsidR="00F66FCF" w:rsidRPr="003F0BE7">
        <w:rPr>
          <w:b/>
          <w:i/>
        </w:rPr>
        <w:t>ortálu občana</w:t>
      </w:r>
      <w:r w:rsidR="00F66FCF">
        <w:rPr>
          <w:b/>
        </w:rPr>
        <w:t xml:space="preserve"> </w:t>
      </w:r>
      <w:r>
        <w:rPr>
          <w:b/>
        </w:rPr>
        <w:t>bylo ke konci roku 2019</w:t>
      </w:r>
      <w:r w:rsidR="00F66FCF">
        <w:rPr>
          <w:b/>
        </w:rPr>
        <w:t xml:space="preserve"> </w:t>
      </w:r>
      <w:r>
        <w:rPr>
          <w:b/>
        </w:rPr>
        <w:t>dostupných 29 služeb</w:t>
      </w:r>
    </w:p>
    <w:p w14:paraId="72E1A16E" w14:textId="50DB1AD8" w:rsidR="004A0500" w:rsidRDefault="004A0500" w:rsidP="004A0500">
      <w:r w:rsidRPr="00467576">
        <w:t xml:space="preserve">Zpřístupňování digitálních služeb prostřednictvím </w:t>
      </w:r>
      <w:r w:rsidRPr="003F0BE7">
        <w:rPr>
          <w:i/>
        </w:rPr>
        <w:t>Portálu občana</w:t>
      </w:r>
      <w:r>
        <w:t xml:space="preserve"> bylo založeno na dobrovolnosti, jelikož orgány veřejné správy neměly zákonem stanovenu povinnost umožnit předávání dat ze svých informačních systémů do </w:t>
      </w:r>
      <w:r w:rsidRPr="003F0BE7">
        <w:rPr>
          <w:i/>
        </w:rPr>
        <w:t>Portálu občana</w:t>
      </w:r>
      <w:r w:rsidR="000B5FA9">
        <w:t xml:space="preserve">, </w:t>
      </w:r>
      <w:r>
        <w:t xml:space="preserve">tak se MV nepodařilo všechny plánované služby do </w:t>
      </w:r>
      <w:r w:rsidRPr="003F0BE7">
        <w:rPr>
          <w:i/>
        </w:rPr>
        <w:t>Portálu občana</w:t>
      </w:r>
      <w:r>
        <w:t xml:space="preserve"> integrovat.</w:t>
      </w:r>
    </w:p>
    <w:p w14:paraId="108E86FD" w14:textId="5911CAD8" w:rsidR="002035C8" w:rsidRDefault="002035C8" w:rsidP="002035C8">
      <w:r>
        <w:t>Rozvoj digitálních služeb komplikovala i neexistence jednotné a závazné definice digitální služby veřejné správy. To umožňovalo, aby MV mezi služb</w:t>
      </w:r>
      <w:r w:rsidR="00FD33F2">
        <w:t xml:space="preserve">y </w:t>
      </w:r>
      <w:r w:rsidR="00FD33F2" w:rsidRPr="003F0BE7">
        <w:rPr>
          <w:i/>
        </w:rPr>
        <w:t>Portálu občana</w:t>
      </w:r>
      <w:r w:rsidR="00FD33F2">
        <w:t xml:space="preserve"> započítávalo i </w:t>
      </w:r>
      <w:r>
        <w:t xml:space="preserve">běžné provozní funkce portálu a odkazy na portály jiných orgánů veřejné správy, ačkoli se nejednalo o služby agend státní správy pro řešení životních situací občanů. V průběhu kontroly tak MV prezentovalo na </w:t>
      </w:r>
      <w:r w:rsidRPr="003F0BE7">
        <w:rPr>
          <w:i/>
        </w:rPr>
        <w:t>Portálu občana</w:t>
      </w:r>
      <w:r>
        <w:t xml:space="preserve"> 100 dostupných služeb. Do tohoto počtu však zahrnulo také služby jiných portálů státní správy a </w:t>
      </w:r>
      <w:r w:rsidR="004A0500">
        <w:t xml:space="preserve">územních </w:t>
      </w:r>
      <w:r>
        <w:t xml:space="preserve">samosprávných celků, přičemž </w:t>
      </w:r>
      <w:r w:rsidRPr="003F0BE7">
        <w:rPr>
          <w:i/>
        </w:rPr>
        <w:t>Portál občana</w:t>
      </w:r>
      <w:r>
        <w:t xml:space="preserve"> v tomto případě funguje jako rozcestník umožňující přesměrování na tyto jednotlivé portály. </w:t>
      </w:r>
      <w:r w:rsidR="00D86C3A">
        <w:t xml:space="preserve">Funkci </w:t>
      </w:r>
      <w:r>
        <w:t>přesměrování na portál</w:t>
      </w:r>
      <w:r w:rsidR="00D86C3A">
        <w:t>y</w:t>
      </w:r>
      <w:r>
        <w:t xml:space="preserve"> orgán</w:t>
      </w:r>
      <w:r w:rsidR="00D86C3A">
        <w:t>ů</w:t>
      </w:r>
      <w:r>
        <w:t xml:space="preserve"> veřejné správy započítal </w:t>
      </w:r>
      <w:r w:rsidR="00D86C3A">
        <w:t xml:space="preserve">NKÚ </w:t>
      </w:r>
      <w:r>
        <w:t>jako jednu službu</w:t>
      </w:r>
      <w:r w:rsidR="00843B75">
        <w:t xml:space="preserve"> a</w:t>
      </w:r>
      <w:r>
        <w:t xml:space="preserve"> vyhodnotil, že </w:t>
      </w:r>
      <w:r w:rsidRPr="00F95CE3">
        <w:rPr>
          <w:i/>
        </w:rPr>
        <w:t>Portál občana</w:t>
      </w:r>
      <w:r>
        <w:t xml:space="preserve"> v průběhu kontroly nabízel </w:t>
      </w:r>
      <w:r w:rsidR="00843B75">
        <w:t xml:space="preserve">pouze </w:t>
      </w:r>
      <w:r w:rsidR="00FD33F2">
        <w:t>29 </w:t>
      </w:r>
      <w:r>
        <w:t>služeb státní správy s celostátním dosahem a 9 služeb</w:t>
      </w:r>
      <w:r w:rsidR="004A0500">
        <w:t xml:space="preserve"> územních</w:t>
      </w:r>
      <w:r>
        <w:t xml:space="preserve"> samosprávných celků. </w:t>
      </w:r>
    </w:p>
    <w:p w14:paraId="58A4126F" w14:textId="3377D80B" w:rsidR="00F66FCF" w:rsidRDefault="00DD6B43" w:rsidP="00823553">
      <w:pPr>
        <w:spacing w:after="0"/>
        <w:rPr>
          <w:b/>
        </w:rPr>
      </w:pPr>
      <w:r>
        <w:rPr>
          <w:b/>
        </w:rPr>
        <w:t xml:space="preserve">Využití </w:t>
      </w:r>
      <w:r w:rsidRPr="00823553">
        <w:rPr>
          <w:b/>
          <w:i/>
        </w:rPr>
        <w:t>Portálu občana</w:t>
      </w:r>
      <w:r>
        <w:rPr>
          <w:b/>
        </w:rPr>
        <w:t xml:space="preserve"> bylo minimální</w:t>
      </w:r>
    </w:p>
    <w:p w14:paraId="16898F1E" w14:textId="4FD1D01C" w:rsidR="002035C8" w:rsidRDefault="00F66FCF" w:rsidP="002035C8">
      <w:r>
        <w:t>Do</w:t>
      </w:r>
      <w:r w:rsidR="00843B75">
        <w:t xml:space="preserve"> </w:t>
      </w:r>
      <w:r w:rsidR="00843B75" w:rsidRPr="00823553">
        <w:rPr>
          <w:i/>
        </w:rPr>
        <w:t>Portálu občana</w:t>
      </w:r>
      <w:r w:rsidR="00843B75">
        <w:t xml:space="preserve"> </w:t>
      </w:r>
      <w:r>
        <w:t xml:space="preserve">se </w:t>
      </w:r>
      <w:r w:rsidR="00843B75">
        <w:t xml:space="preserve">do konce roku 2019 </w:t>
      </w:r>
      <w:r>
        <w:t xml:space="preserve">připojilo </w:t>
      </w:r>
      <w:r w:rsidR="00843B75">
        <w:t>necelých 46 000 uživatelů, což představuje pouze 0,5 % dospělých občanů ČR</w:t>
      </w:r>
      <w:r w:rsidR="004D68A2">
        <w:t xml:space="preserve">. </w:t>
      </w:r>
      <w:r w:rsidR="00C85B81">
        <w:t xml:space="preserve">Významná část služeb </w:t>
      </w:r>
      <w:r w:rsidR="00C85B81" w:rsidRPr="00823553">
        <w:rPr>
          <w:i/>
        </w:rPr>
        <w:t>Portálu občana</w:t>
      </w:r>
      <w:r w:rsidR="00C85B81">
        <w:t>, zejména souvisejících s</w:t>
      </w:r>
      <w:r w:rsidR="008E01EE">
        <w:t xml:space="preserve"> </w:t>
      </w:r>
      <w:r w:rsidR="00C85B81">
        <w:t>elektronickým podáním, je dostupná pouze uživatelům, kteří mají zřízen</w:t>
      </w:r>
      <w:r w:rsidR="00D4516C">
        <w:t>o</w:t>
      </w:r>
      <w:r w:rsidR="00FD33F2">
        <w:t xml:space="preserve">u </w:t>
      </w:r>
      <w:r w:rsidR="008E01EE">
        <w:br/>
      </w:r>
      <w:r w:rsidR="00FD33F2">
        <w:t>a</w:t>
      </w:r>
      <w:r w:rsidR="008E01EE">
        <w:t xml:space="preserve"> </w:t>
      </w:r>
      <w:r w:rsidR="00C85B81">
        <w:t>s</w:t>
      </w:r>
      <w:r w:rsidR="008E01EE">
        <w:t xml:space="preserve"> </w:t>
      </w:r>
      <w:r w:rsidR="00C85B81">
        <w:t>portálem propojen</w:t>
      </w:r>
      <w:r w:rsidR="00D4516C">
        <w:t>o</w:t>
      </w:r>
      <w:r w:rsidR="00C85B81">
        <w:t xml:space="preserve">u </w:t>
      </w:r>
      <w:r w:rsidR="00D86C3A">
        <w:t>d</w:t>
      </w:r>
      <w:r w:rsidR="00C85B81">
        <w:t xml:space="preserve">atovou schránku. Do konce roku 2019 bylo </w:t>
      </w:r>
      <w:r w:rsidR="003D54B9">
        <w:t xml:space="preserve">zprovozněno </w:t>
      </w:r>
      <w:r w:rsidR="0057788A">
        <w:t xml:space="preserve">celkem 182 149 </w:t>
      </w:r>
      <w:r w:rsidR="00D86C3A">
        <w:t>d</w:t>
      </w:r>
      <w:r w:rsidR="0057788A">
        <w:t xml:space="preserve">atových schránek fyzických osob, což představuje 2 % dospělých občanů ČR. </w:t>
      </w:r>
      <w:r w:rsidR="0057788A" w:rsidRPr="0084049F">
        <w:t xml:space="preserve">Na základě těchto skutečností vyhodnotil NKÚ </w:t>
      </w:r>
      <w:r w:rsidR="008F1970" w:rsidRPr="0084049F">
        <w:t xml:space="preserve">potenciální </w:t>
      </w:r>
      <w:r w:rsidR="0057788A" w:rsidRPr="0084049F">
        <w:t xml:space="preserve">růst počtu uživatelů </w:t>
      </w:r>
      <w:r w:rsidR="0057788A" w:rsidRPr="00823553">
        <w:rPr>
          <w:i/>
        </w:rPr>
        <w:t>Portálu občana</w:t>
      </w:r>
      <w:r w:rsidR="00FD33F2">
        <w:t xml:space="preserve">, </w:t>
      </w:r>
      <w:r w:rsidR="008E01EE">
        <w:br/>
      </w:r>
      <w:r w:rsidR="00FD33F2">
        <w:t>a</w:t>
      </w:r>
      <w:r w:rsidR="008E01EE">
        <w:t xml:space="preserve"> </w:t>
      </w:r>
      <w:r w:rsidR="008F1970" w:rsidRPr="0084049F">
        <w:t>s</w:t>
      </w:r>
      <w:r w:rsidR="008E01EE">
        <w:t xml:space="preserve"> </w:t>
      </w:r>
      <w:r w:rsidR="008F1970" w:rsidRPr="0084049F">
        <w:t xml:space="preserve">tím související přínos portálu k rozšíření </w:t>
      </w:r>
      <w:r w:rsidR="001564F2">
        <w:t xml:space="preserve">počtu </w:t>
      </w:r>
      <w:r w:rsidR="008F1970" w:rsidRPr="0084049F">
        <w:t xml:space="preserve">uživatelů </w:t>
      </w:r>
      <w:proofErr w:type="spellStart"/>
      <w:r w:rsidR="008F1970" w:rsidRPr="0084049F">
        <w:t>eGovernmentu</w:t>
      </w:r>
      <w:proofErr w:type="spellEnd"/>
      <w:r w:rsidR="008F1970" w:rsidRPr="0084049F">
        <w:t>,</w:t>
      </w:r>
      <w:r w:rsidR="0057788A" w:rsidRPr="0084049F">
        <w:t xml:space="preserve"> jako velmi omezený.</w:t>
      </w:r>
      <w:r w:rsidR="00F0214F" w:rsidRPr="0084049F">
        <w:rPr>
          <w:rStyle w:val="Znakapoznpodarou"/>
        </w:rPr>
        <w:footnoteReference w:id="5"/>
      </w:r>
    </w:p>
    <w:p w14:paraId="467FB224" w14:textId="77B9F403" w:rsidR="00BB0D9E" w:rsidRDefault="005110A1" w:rsidP="00BB0D9E">
      <w:r>
        <w:t>Jako možnou</w:t>
      </w:r>
      <w:r w:rsidR="0057788A">
        <w:t xml:space="preserve"> </w:t>
      </w:r>
      <w:r w:rsidRPr="00A07366">
        <w:t>příčinu</w:t>
      </w:r>
      <w:r w:rsidR="0057788A" w:rsidRPr="00A07366">
        <w:t xml:space="preserve"> nízkého počtu uživatelů </w:t>
      </w:r>
      <w:r w:rsidR="0057788A" w:rsidRPr="00823553">
        <w:rPr>
          <w:i/>
        </w:rPr>
        <w:t>Portálu občana</w:t>
      </w:r>
      <w:r w:rsidR="0057788A" w:rsidRPr="00A07366">
        <w:t xml:space="preserve"> a elektronické identifikace</w:t>
      </w:r>
      <w:r w:rsidR="001564F2">
        <w:t>,</w:t>
      </w:r>
      <w:r w:rsidR="0057788A" w:rsidRPr="00A07366">
        <w:t xml:space="preserve"> </w:t>
      </w:r>
      <w:r w:rsidR="0057788A">
        <w:t xml:space="preserve">resp. uživatelů </w:t>
      </w:r>
      <w:proofErr w:type="spellStart"/>
      <w:r w:rsidR="0057788A">
        <w:t>eGovernmentu</w:t>
      </w:r>
      <w:proofErr w:type="spellEnd"/>
      <w:r>
        <w:t xml:space="preserve">, identifikoval NKÚ nezájem občanů o dostupné služby. </w:t>
      </w:r>
      <w:r w:rsidR="0057788A">
        <w:t>NKÚ vyhodnotil</w:t>
      </w:r>
      <w:r w:rsidR="00BB0D9E">
        <w:t xml:space="preserve">, že MV nevyužilo </w:t>
      </w:r>
      <w:r w:rsidR="001564F2">
        <w:t xml:space="preserve">plně </w:t>
      </w:r>
      <w:r w:rsidR="00BB0D9E">
        <w:t>příklad</w:t>
      </w:r>
      <w:r w:rsidR="001564F2">
        <w:t>y</w:t>
      </w:r>
      <w:r w:rsidR="00BB0D9E">
        <w:t xml:space="preserve"> dobré praxe, přestože hledalo v zahraničí. Navzdory zahraničním zkušenostem</w:t>
      </w:r>
      <w:r w:rsidR="00DD6B43">
        <w:t xml:space="preserve">, </w:t>
      </w:r>
      <w:r w:rsidR="001564F2">
        <w:t xml:space="preserve">o </w:t>
      </w:r>
      <w:r w:rsidR="00DD6B43">
        <w:t>kter</w:t>
      </w:r>
      <w:r w:rsidR="001564F2">
        <w:t>ých</w:t>
      </w:r>
      <w:r w:rsidR="00DD6B43">
        <w:t xml:space="preserve"> </w:t>
      </w:r>
      <w:r w:rsidR="001564F2">
        <w:t xml:space="preserve">MV </w:t>
      </w:r>
      <w:r w:rsidR="00DD6B43">
        <w:t>mělo</w:t>
      </w:r>
      <w:r w:rsidR="00BB0D9E">
        <w:t xml:space="preserve"> </w:t>
      </w:r>
      <w:r w:rsidR="001564F2">
        <w:t>informace</w:t>
      </w:r>
      <w:r w:rsidR="00DD6B43">
        <w:t>,</w:t>
      </w:r>
      <w:r w:rsidR="00BB0D9E">
        <w:t xml:space="preserve"> neprovedlo analýzu potřeb uživatelů s cílem identifikovat, po kterých digitálních službách veřejné správy je mezi občany největší poptávka. Existuje tak riziko, že přednostně budou na </w:t>
      </w:r>
      <w:r w:rsidR="00BB0D9E" w:rsidRPr="00823553">
        <w:rPr>
          <w:i/>
        </w:rPr>
        <w:t>Portál občana</w:t>
      </w:r>
      <w:r w:rsidR="00BB0D9E">
        <w:t xml:space="preserve"> umís</w:t>
      </w:r>
      <w:r w:rsidR="00DD6B43">
        <w:t>ťovány</w:t>
      </w:r>
      <w:r w:rsidR="00BB0D9E">
        <w:t xml:space="preserve"> služby, které občané nevyhledávají, jsou však jednodušší na implementaci. Z mezinárodního srovnání provedeného v rámci kontroly </w:t>
      </w:r>
      <w:r w:rsidR="00DD6B43">
        <w:t>jednoznačně</w:t>
      </w:r>
      <w:r w:rsidR="00BB0D9E">
        <w:t xml:space="preserve"> vyplývá souvislost mezi množstvím digitalizovaných služeb a podílem občanů využívajících nástroj</w:t>
      </w:r>
      <w:r w:rsidR="001564F2">
        <w:t>e</w:t>
      </w:r>
      <w:r w:rsidR="00BB0D9E">
        <w:t xml:space="preserve"> </w:t>
      </w:r>
      <w:proofErr w:type="spellStart"/>
      <w:r w:rsidR="00BB0D9E">
        <w:t>eGovernmentu</w:t>
      </w:r>
      <w:proofErr w:type="spellEnd"/>
      <w:r w:rsidR="009907A0">
        <w:t xml:space="preserve"> (viz příloha</w:t>
      </w:r>
      <w:r w:rsidR="00031F84">
        <w:t xml:space="preserve"> KZ č. 1</w:t>
      </w:r>
      <w:r w:rsidR="009907A0">
        <w:t>)</w:t>
      </w:r>
      <w:r w:rsidR="00BB0D9E">
        <w:t>.</w:t>
      </w:r>
    </w:p>
    <w:p w14:paraId="6CEEBDEE" w14:textId="0F10D285" w:rsidR="0057788A" w:rsidRDefault="00B54FC6" w:rsidP="002035C8">
      <w:r>
        <w:t>P</w:t>
      </w:r>
      <w:r w:rsidR="00BB0D9E">
        <w:t>říčina nízké</w:t>
      </w:r>
      <w:r w:rsidR="0081318A">
        <w:t xml:space="preserve">ho počtu uživatelů </w:t>
      </w:r>
      <w:r w:rsidR="001564F2">
        <w:t xml:space="preserve">může spočívat </w:t>
      </w:r>
      <w:r w:rsidR="00DD6B43">
        <w:t xml:space="preserve">také </w:t>
      </w:r>
      <w:r w:rsidR="001564F2">
        <w:t>v</w:t>
      </w:r>
      <w:r w:rsidR="00DD6B43">
        <w:t> nedostatečn</w:t>
      </w:r>
      <w:r w:rsidR="001564F2">
        <w:t>é</w:t>
      </w:r>
      <w:r w:rsidR="00DD6B43">
        <w:t xml:space="preserve"> propagac</w:t>
      </w:r>
      <w:r w:rsidR="001564F2">
        <w:t>i</w:t>
      </w:r>
      <w:r w:rsidR="0081318A">
        <w:t xml:space="preserve"> existujících nástrojů </w:t>
      </w:r>
      <w:proofErr w:type="spellStart"/>
      <w:r w:rsidR="0081318A">
        <w:t>eGovernmentu</w:t>
      </w:r>
      <w:proofErr w:type="spellEnd"/>
      <w:r w:rsidR="0081318A">
        <w:t xml:space="preserve">. </w:t>
      </w:r>
      <w:r w:rsidR="0057788A">
        <w:t>MV se do ukončení kontroly nepodařilo spustit plánovanou komplexní informační kampaň k </w:t>
      </w:r>
      <w:proofErr w:type="spellStart"/>
      <w:r w:rsidR="0057788A">
        <w:t>eOP</w:t>
      </w:r>
      <w:proofErr w:type="spellEnd"/>
      <w:r w:rsidR="0057788A">
        <w:t xml:space="preserve"> a </w:t>
      </w:r>
      <w:r w:rsidR="0057788A" w:rsidRPr="00823553">
        <w:rPr>
          <w:i/>
        </w:rPr>
        <w:t>Portálu občana</w:t>
      </w:r>
      <w:r w:rsidR="00586B23">
        <w:t xml:space="preserve">, a to i přesto, že </w:t>
      </w:r>
      <w:r w:rsidR="00DD6B43">
        <w:t xml:space="preserve">nízké </w:t>
      </w:r>
      <w:r w:rsidR="0081318A">
        <w:t>povědomí</w:t>
      </w:r>
      <w:r w:rsidR="00586B23">
        <w:t xml:space="preserve"> </w:t>
      </w:r>
      <w:r w:rsidR="00586B23">
        <w:lastRenderedPageBreak/>
        <w:t xml:space="preserve">občanů o nabídce a funkcích elektronických služeb veřejné správy identifikovalo již v roce 2016 v závěrečné evaluaci strategie </w:t>
      </w:r>
      <w:r w:rsidR="00586B23" w:rsidRPr="00823553">
        <w:rPr>
          <w:i/>
        </w:rPr>
        <w:t xml:space="preserve">Smart </w:t>
      </w:r>
      <w:proofErr w:type="spellStart"/>
      <w:r w:rsidR="00586B23" w:rsidRPr="00823553">
        <w:rPr>
          <w:i/>
        </w:rPr>
        <w:t>Administration</w:t>
      </w:r>
      <w:proofErr w:type="spellEnd"/>
      <w:r w:rsidR="00586B23">
        <w:t>.</w:t>
      </w:r>
    </w:p>
    <w:p w14:paraId="15651FAF" w14:textId="3234B4F3" w:rsidR="00F66FCF" w:rsidRDefault="00F66FCF" w:rsidP="00823553">
      <w:pPr>
        <w:spacing w:after="0"/>
        <w:rPr>
          <w:b/>
        </w:rPr>
      </w:pPr>
      <w:r>
        <w:rPr>
          <w:b/>
        </w:rPr>
        <w:t xml:space="preserve">Zákon o právu </w:t>
      </w:r>
      <w:r w:rsidR="00A07366">
        <w:rPr>
          <w:b/>
        </w:rPr>
        <w:t>na digitální služby</w:t>
      </w:r>
      <w:r w:rsidR="00DD6B43">
        <w:rPr>
          <w:b/>
        </w:rPr>
        <w:t xml:space="preserve"> vytváří podmínky pro zlepšení</w:t>
      </w:r>
    </w:p>
    <w:p w14:paraId="2D0B1C81" w14:textId="32C3A1E0" w:rsidR="00843B75" w:rsidRDefault="00A07366" w:rsidP="00843B75">
      <w:r w:rsidRPr="00A07366">
        <w:t>Pozitivní změn</w:t>
      </w:r>
      <w:r w:rsidR="001564F2">
        <w:t>y</w:t>
      </w:r>
      <w:r w:rsidRPr="00A07366">
        <w:t xml:space="preserve"> v oblastech, ve kterých NKÚ identifikoval problémy, může přinést z</w:t>
      </w:r>
      <w:r w:rsidR="00905170">
        <w:t xml:space="preserve">ákon </w:t>
      </w:r>
      <w:r w:rsidR="008E01EE">
        <w:br/>
        <w:t xml:space="preserve">o </w:t>
      </w:r>
      <w:r w:rsidR="0078044E" w:rsidRPr="00A07366">
        <w:t>právu na digitální služby</w:t>
      </w:r>
      <w:r w:rsidR="0078044E" w:rsidRPr="00A07366">
        <w:rPr>
          <w:rStyle w:val="Znakapoznpodarou"/>
        </w:rPr>
        <w:footnoteReference w:id="6"/>
      </w:r>
      <w:r w:rsidR="00843B75" w:rsidRPr="00A07366">
        <w:t>.</w:t>
      </w:r>
      <w:r w:rsidR="00843B75">
        <w:t xml:space="preserve"> </w:t>
      </w:r>
      <w:r>
        <w:t>Tento z</w:t>
      </w:r>
      <w:r w:rsidR="002D32F3">
        <w:t>ákon</w:t>
      </w:r>
      <w:r w:rsidR="00843B75">
        <w:t xml:space="preserve"> zavádí mimo jiné prá</w:t>
      </w:r>
      <w:r w:rsidR="00905170">
        <w:t xml:space="preserve">vo občanů na digitální služby </w:t>
      </w:r>
      <w:r w:rsidR="008E01EE">
        <w:br/>
      </w:r>
      <w:r w:rsidR="00905170">
        <w:t>a</w:t>
      </w:r>
      <w:r w:rsidR="008E01EE">
        <w:t xml:space="preserve"> </w:t>
      </w:r>
      <w:r w:rsidR="00843B75">
        <w:t xml:space="preserve">povinnost orgánů veřejné správy poskytovat služby i digitálně. Zákon zavádí také novou možnost činit elektronická podání k orgánům veřejné správy. Kromě </w:t>
      </w:r>
      <w:r w:rsidR="001564F2">
        <w:t>d</w:t>
      </w:r>
      <w:r w:rsidR="00843B75">
        <w:t>atové schránky je nově možné činit tento úkon prostřednictvím informačního systému veřejné správy, který využívá prokazování totožnosti pomocí systému elektronické identifikace</w:t>
      </w:r>
      <w:r w:rsidR="00831263">
        <w:t xml:space="preserve"> (NIA)</w:t>
      </w:r>
      <w:r w:rsidR="00843B75">
        <w:t xml:space="preserve">. </w:t>
      </w:r>
      <w:r w:rsidR="00843B75" w:rsidRPr="0084049F">
        <w:t xml:space="preserve">Pro agendové informační systémy a </w:t>
      </w:r>
      <w:r w:rsidR="00843B75" w:rsidRPr="00823553">
        <w:rPr>
          <w:i/>
        </w:rPr>
        <w:t>Portál občana</w:t>
      </w:r>
      <w:r w:rsidR="00843B75" w:rsidRPr="0084049F">
        <w:t xml:space="preserve"> tento posun představuje rozšíření </w:t>
      </w:r>
      <w:r w:rsidR="001B2870">
        <w:t xml:space="preserve">o </w:t>
      </w:r>
      <w:r w:rsidR="00843B75" w:rsidRPr="0084049F">
        <w:t xml:space="preserve">další způsob přístupu k digitálním službám, který není závislý </w:t>
      </w:r>
      <w:r w:rsidR="008A185C">
        <w:t>na d</w:t>
      </w:r>
      <w:r w:rsidR="00843B75" w:rsidRPr="0084049F">
        <w:t>atových schránkách.</w:t>
      </w:r>
      <w:r w:rsidR="00843B75" w:rsidRPr="0084049F">
        <w:rPr>
          <w:rStyle w:val="Znakapoznpodarou"/>
        </w:rPr>
        <w:footnoteReference w:id="7"/>
      </w:r>
      <w:r w:rsidR="00843B75">
        <w:t xml:space="preserve"> </w:t>
      </w:r>
    </w:p>
    <w:p w14:paraId="4FA425AA" w14:textId="03BCA8DE" w:rsidR="00406D86" w:rsidRDefault="001564F2" w:rsidP="00823553">
      <w:pPr>
        <w:spacing w:after="0"/>
        <w:ind w:left="360"/>
        <w:rPr>
          <w:b/>
        </w:rPr>
      </w:pPr>
      <w:r>
        <w:rPr>
          <w:b/>
        </w:rPr>
        <w:t>NKÚ n</w:t>
      </w:r>
      <w:r w:rsidR="00406D86" w:rsidRPr="00406D86">
        <w:rPr>
          <w:b/>
        </w:rPr>
        <w:t>a základě</w:t>
      </w:r>
      <w:r w:rsidR="0072158E">
        <w:rPr>
          <w:b/>
        </w:rPr>
        <w:t xml:space="preserve"> skutečností</w:t>
      </w:r>
      <w:r w:rsidR="00406D86" w:rsidRPr="00406D86">
        <w:rPr>
          <w:b/>
        </w:rPr>
        <w:t xml:space="preserve"> zjištěných </w:t>
      </w:r>
      <w:r w:rsidR="0072158E">
        <w:rPr>
          <w:b/>
        </w:rPr>
        <w:t>kontrolou doporučuje</w:t>
      </w:r>
      <w:r w:rsidR="00406D86" w:rsidRPr="00406D86">
        <w:rPr>
          <w:b/>
        </w:rPr>
        <w:t>:</w:t>
      </w:r>
    </w:p>
    <w:p w14:paraId="343AD409" w14:textId="3789061D" w:rsidR="0057279E" w:rsidRPr="00DD6B43" w:rsidRDefault="0041680C" w:rsidP="00E81694">
      <w:pPr>
        <w:pStyle w:val="Odstavecseseznamem"/>
        <w:numPr>
          <w:ilvl w:val="0"/>
          <w:numId w:val="22"/>
        </w:numPr>
      </w:pPr>
      <w:r>
        <w:rPr>
          <w:rFonts w:cstheme="minorHAnsi"/>
          <w:b/>
          <w:szCs w:val="24"/>
        </w:rPr>
        <w:t>a</w:t>
      </w:r>
      <w:r w:rsidR="0057279E" w:rsidRPr="00DD6B43">
        <w:rPr>
          <w:rFonts w:cstheme="minorHAnsi"/>
          <w:b/>
          <w:szCs w:val="24"/>
        </w:rPr>
        <w:t xml:space="preserve">nalyzovat potřeby občanů a jejich poptávku po digitálních službách a </w:t>
      </w:r>
      <w:r w:rsidR="004C40DF" w:rsidRPr="00DD6B43">
        <w:rPr>
          <w:rFonts w:cstheme="minorHAnsi"/>
          <w:b/>
          <w:szCs w:val="24"/>
        </w:rPr>
        <w:t xml:space="preserve">stanovit harmonogram </w:t>
      </w:r>
      <w:r>
        <w:rPr>
          <w:rFonts w:cstheme="minorHAnsi"/>
          <w:b/>
          <w:szCs w:val="24"/>
        </w:rPr>
        <w:t>pro</w:t>
      </w:r>
      <w:r w:rsidR="004C40DF" w:rsidRPr="00DD6B43">
        <w:rPr>
          <w:rFonts w:cstheme="minorHAnsi"/>
          <w:b/>
          <w:szCs w:val="24"/>
        </w:rPr>
        <w:t xml:space="preserve"> digitalizaci a implementaci do </w:t>
      </w:r>
      <w:r w:rsidR="004C40DF" w:rsidRPr="00823553">
        <w:rPr>
          <w:rFonts w:cstheme="minorHAnsi"/>
          <w:b/>
          <w:i/>
          <w:szCs w:val="24"/>
        </w:rPr>
        <w:t>Portálu občana</w:t>
      </w:r>
      <w:r w:rsidR="004C40DF" w:rsidRPr="00DD6B43">
        <w:rPr>
          <w:rFonts w:cstheme="minorHAnsi"/>
          <w:b/>
          <w:szCs w:val="24"/>
        </w:rPr>
        <w:t xml:space="preserve"> </w:t>
      </w:r>
      <w:r w:rsidR="00DD6B43" w:rsidRPr="00DD6B43">
        <w:rPr>
          <w:rFonts w:cstheme="minorHAnsi"/>
          <w:b/>
          <w:szCs w:val="24"/>
        </w:rPr>
        <w:t>s ohledem na potřeby a zájem občanů</w:t>
      </w:r>
      <w:r>
        <w:rPr>
          <w:rFonts w:cstheme="minorHAnsi"/>
          <w:b/>
          <w:szCs w:val="24"/>
        </w:rPr>
        <w:t>,</w:t>
      </w:r>
    </w:p>
    <w:p w14:paraId="4B8168ED" w14:textId="3D53E2D4" w:rsidR="00CC2AE4" w:rsidRPr="00DD6B43" w:rsidRDefault="0041680C" w:rsidP="00E81694">
      <w:pPr>
        <w:pStyle w:val="Odstavecseseznamem"/>
        <w:numPr>
          <w:ilvl w:val="0"/>
          <w:numId w:val="22"/>
        </w:numPr>
        <w:rPr>
          <w:b/>
        </w:rPr>
      </w:pPr>
      <w:r>
        <w:rPr>
          <w:b/>
        </w:rPr>
        <w:t>r</w:t>
      </w:r>
      <w:r w:rsidR="00115A6F" w:rsidRPr="00DD6B43">
        <w:rPr>
          <w:b/>
        </w:rPr>
        <w:t>ealizovat</w:t>
      </w:r>
      <w:r w:rsidR="00A07B3C" w:rsidRPr="00DD6B43">
        <w:rPr>
          <w:b/>
        </w:rPr>
        <w:t xml:space="preserve"> </w:t>
      </w:r>
      <w:r w:rsidR="00115A6F" w:rsidRPr="00DD6B43">
        <w:rPr>
          <w:b/>
        </w:rPr>
        <w:t>systematickou</w:t>
      </w:r>
      <w:r w:rsidR="00A07B3C" w:rsidRPr="00DD6B43">
        <w:rPr>
          <w:b/>
        </w:rPr>
        <w:t xml:space="preserve"> propagaci dostupných nástrojů </w:t>
      </w:r>
      <w:proofErr w:type="spellStart"/>
      <w:r w:rsidR="00A07B3C" w:rsidRPr="00DD6B43">
        <w:rPr>
          <w:b/>
        </w:rPr>
        <w:t>eGovernmentu</w:t>
      </w:r>
      <w:proofErr w:type="spellEnd"/>
      <w:r w:rsidR="00115A6F" w:rsidRPr="00DD6B43">
        <w:rPr>
          <w:b/>
        </w:rPr>
        <w:t xml:space="preserve"> a jejich výhod mezi klienty veřejné správy</w:t>
      </w:r>
      <w:r>
        <w:rPr>
          <w:b/>
        </w:rPr>
        <w:t>,</w:t>
      </w:r>
    </w:p>
    <w:p w14:paraId="714792BA" w14:textId="4AF8DEA0" w:rsidR="004C40DF" w:rsidRPr="00DD6B43" w:rsidRDefault="0041680C" w:rsidP="00E81694">
      <w:pPr>
        <w:pStyle w:val="Odstavecseseznamem"/>
        <w:numPr>
          <w:ilvl w:val="0"/>
          <w:numId w:val="22"/>
        </w:numPr>
        <w:rPr>
          <w:b/>
        </w:rPr>
      </w:pPr>
      <w:r>
        <w:rPr>
          <w:b/>
        </w:rPr>
        <w:t>v</w:t>
      </w:r>
      <w:r w:rsidR="004C40DF" w:rsidRPr="00DD6B43">
        <w:rPr>
          <w:b/>
        </w:rPr>
        <w:t xml:space="preserve"> souladu se zákonem o právu na digitální služby zajistit možnost činit digitální úkon vůči orgánům veřejné správy i mimo </w:t>
      </w:r>
      <w:r>
        <w:rPr>
          <w:b/>
        </w:rPr>
        <w:t>d</w:t>
      </w:r>
      <w:r w:rsidR="004C40DF" w:rsidRPr="00DD6B43">
        <w:rPr>
          <w:b/>
        </w:rPr>
        <w:t>atové schránky prostřednictvím elektronické identifikace</w:t>
      </w:r>
      <w:r>
        <w:rPr>
          <w:b/>
        </w:rPr>
        <w:t>,</w:t>
      </w:r>
    </w:p>
    <w:p w14:paraId="576F52D3" w14:textId="0612D0B0" w:rsidR="00E81694" w:rsidRPr="00DD6B43" w:rsidRDefault="00EC61A6" w:rsidP="001A4366">
      <w:pPr>
        <w:pStyle w:val="Odstavecseseznamem"/>
        <w:numPr>
          <w:ilvl w:val="0"/>
          <w:numId w:val="22"/>
        </w:numPr>
        <w:rPr>
          <w:b/>
        </w:rPr>
      </w:pPr>
      <w:r>
        <w:rPr>
          <w:b/>
        </w:rPr>
        <w:t xml:space="preserve">aby </w:t>
      </w:r>
      <w:r w:rsidR="0041680C">
        <w:rPr>
          <w:b/>
        </w:rPr>
        <w:t>v</w:t>
      </w:r>
      <w:r w:rsidR="00E81694" w:rsidRPr="00DD6B43">
        <w:rPr>
          <w:b/>
        </w:rPr>
        <w:t> případě uzavírání smluv</w:t>
      </w:r>
      <w:r w:rsidR="001A4366">
        <w:rPr>
          <w:b/>
        </w:rPr>
        <w:t xml:space="preserve"> </w:t>
      </w:r>
      <w:r w:rsidR="00E81694" w:rsidRPr="00DD6B43">
        <w:rPr>
          <w:b/>
        </w:rPr>
        <w:t>mimo režim zákona o za</w:t>
      </w:r>
      <w:r w:rsidR="004C40DF" w:rsidRPr="00DD6B43">
        <w:rPr>
          <w:b/>
        </w:rPr>
        <w:t xml:space="preserve">dávání veřejných zakázek </w:t>
      </w:r>
      <w:r w:rsidR="00E81694" w:rsidRPr="00DD6B43">
        <w:rPr>
          <w:b/>
        </w:rPr>
        <w:t>v rámci vertik</w:t>
      </w:r>
      <w:r w:rsidR="004C40DF" w:rsidRPr="00DD6B43">
        <w:rPr>
          <w:b/>
        </w:rPr>
        <w:t>ální či horizontální spolupráce</w:t>
      </w:r>
      <w:r w:rsidR="00E81694" w:rsidRPr="00DD6B43">
        <w:rPr>
          <w:b/>
        </w:rPr>
        <w:t xml:space="preserve"> </w:t>
      </w:r>
      <w:r>
        <w:rPr>
          <w:b/>
        </w:rPr>
        <w:t>předávaly</w:t>
      </w:r>
      <w:r w:rsidR="00CD1B95" w:rsidRPr="00DD6B43">
        <w:rPr>
          <w:b/>
        </w:rPr>
        <w:t xml:space="preserve"> </w:t>
      </w:r>
      <w:r w:rsidR="001A4366">
        <w:rPr>
          <w:b/>
        </w:rPr>
        <w:t>ústřední orgány</w:t>
      </w:r>
      <w:r w:rsidR="001A4366" w:rsidRPr="001A4366">
        <w:rPr>
          <w:b/>
        </w:rPr>
        <w:t xml:space="preserve"> státní správy</w:t>
      </w:r>
      <w:r w:rsidR="001A4366">
        <w:rPr>
          <w:b/>
        </w:rPr>
        <w:t xml:space="preserve"> </w:t>
      </w:r>
      <w:r w:rsidR="00CD1B95" w:rsidRPr="00DD6B43">
        <w:rPr>
          <w:b/>
        </w:rPr>
        <w:t xml:space="preserve">předem </w:t>
      </w:r>
      <w:r w:rsidR="00E81694" w:rsidRPr="00DD6B43">
        <w:rPr>
          <w:b/>
        </w:rPr>
        <w:t>vlád</w:t>
      </w:r>
      <w:r>
        <w:rPr>
          <w:b/>
        </w:rPr>
        <w:t>ě</w:t>
      </w:r>
      <w:r w:rsidR="00E81694" w:rsidRPr="00DD6B43">
        <w:rPr>
          <w:b/>
        </w:rPr>
        <w:t xml:space="preserve"> </w:t>
      </w:r>
      <w:r w:rsidRPr="00DD6B43">
        <w:rPr>
          <w:b/>
        </w:rPr>
        <w:t>inform</w:t>
      </w:r>
      <w:r>
        <w:rPr>
          <w:b/>
        </w:rPr>
        <w:t>ace</w:t>
      </w:r>
      <w:r w:rsidRPr="00DD6B43">
        <w:rPr>
          <w:b/>
        </w:rPr>
        <w:t xml:space="preserve"> </w:t>
      </w:r>
      <w:r w:rsidR="00E81694" w:rsidRPr="00DD6B43">
        <w:rPr>
          <w:b/>
        </w:rPr>
        <w:t xml:space="preserve">o zapojení </w:t>
      </w:r>
      <w:r w:rsidR="00423C4B" w:rsidRPr="00DD6B43">
        <w:rPr>
          <w:b/>
        </w:rPr>
        <w:t xml:space="preserve">poddodavatelů </w:t>
      </w:r>
      <w:r w:rsidR="00E81694" w:rsidRPr="00DD6B43">
        <w:rPr>
          <w:b/>
        </w:rPr>
        <w:t>a o očekávaném rozsahu subdodávek.</w:t>
      </w:r>
    </w:p>
    <w:p w14:paraId="0B9D0870" w14:textId="588FF54B" w:rsidR="00E81694" w:rsidRPr="00823553" w:rsidRDefault="00E81694" w:rsidP="0041680C">
      <w:pPr>
        <w:pStyle w:val="Odstavecseseznamem"/>
        <w:ind w:left="0"/>
      </w:pPr>
    </w:p>
    <w:p w14:paraId="7D6292EB" w14:textId="424B6509" w:rsidR="00406D86" w:rsidRDefault="00406D86" w:rsidP="00CA6CBC">
      <w:pPr>
        <w:pStyle w:val="Nadpis1"/>
        <w:ind w:left="567" w:hanging="141"/>
      </w:pPr>
      <w:r w:rsidRPr="005C7F8F">
        <w:t>INFORMACE</w:t>
      </w:r>
      <w:r w:rsidRPr="00406D86">
        <w:t xml:space="preserve"> O KONTROLOVANÉ OBLASTI</w:t>
      </w:r>
    </w:p>
    <w:p w14:paraId="616FD4AC" w14:textId="533E0660" w:rsidR="00C64712" w:rsidRDefault="00C64712" w:rsidP="00C64712"/>
    <w:p w14:paraId="1D571D42" w14:textId="22F64696" w:rsidR="008972AA" w:rsidRDefault="008972AA" w:rsidP="00815096">
      <w:r>
        <w:t xml:space="preserve">SZR je správní úřad, který je podřízen MV. SZR je organizační složkou státu a zřízena byla </w:t>
      </w:r>
      <w:r w:rsidR="00836166">
        <w:t>ke dni</w:t>
      </w:r>
      <w:r>
        <w:t xml:space="preserve"> </w:t>
      </w:r>
      <w:r w:rsidR="00836166">
        <w:t xml:space="preserve">1. 1. 2010 </w:t>
      </w:r>
      <w:r>
        <w:t>zákonem č. 111/2009 Sb., o základních registrech.</w:t>
      </w:r>
      <w:r w:rsidR="00E35262">
        <w:t xml:space="preserve"> Mezi hlavní úkoly SZR patří správa a provoz informačního systému základních registrů. V souvislosti s elektronickou identifikac</w:t>
      </w:r>
      <w:r w:rsidR="00836166">
        <w:t>í</w:t>
      </w:r>
      <w:r w:rsidR="00E35262">
        <w:t xml:space="preserve"> je SZR správcem a provozovatelem NIA a zajišťuje vazbu systému elektronické identifikace na základní registry.</w:t>
      </w:r>
    </w:p>
    <w:p w14:paraId="67F21B4B" w14:textId="6E36FD18" w:rsidR="008972AA" w:rsidRDefault="008972AA" w:rsidP="00815096">
      <w:r>
        <w:t>Státní podnik NAKIT vznikl ke dni 1. 6. 2016 jako servisní organizace MV, která mj. poskytuje služby v oblasti informačních a komunikačních technologií.</w:t>
      </w:r>
    </w:p>
    <w:p w14:paraId="6517EBA9" w14:textId="60F4C154" w:rsidR="008F0020" w:rsidRDefault="00BB5259" w:rsidP="00815096">
      <w:r>
        <w:lastRenderedPageBreak/>
        <w:t>Elektronic</w:t>
      </w:r>
      <w:r w:rsidR="005A4A71">
        <w:t xml:space="preserve">ká </w:t>
      </w:r>
      <w:r w:rsidR="00D1778B">
        <w:t>identifikace</w:t>
      </w:r>
      <w:r w:rsidR="005A4A71">
        <w:t xml:space="preserve"> a </w:t>
      </w:r>
      <w:r w:rsidR="005A4A71" w:rsidRPr="00823553">
        <w:rPr>
          <w:i/>
        </w:rPr>
        <w:t>Portál občana</w:t>
      </w:r>
      <w:r w:rsidR="005A4A71">
        <w:t xml:space="preserve"> mají </w:t>
      </w:r>
      <w:r>
        <w:t>jako</w:t>
      </w:r>
      <w:r w:rsidR="00836166">
        <w:t>žto</w:t>
      </w:r>
      <w:r>
        <w:t xml:space="preserve"> nové nástroje </w:t>
      </w:r>
      <w:proofErr w:type="spellStart"/>
      <w:r>
        <w:t>eGovernmentu</w:t>
      </w:r>
      <w:proofErr w:type="spellEnd"/>
      <w:r>
        <w:t xml:space="preserve"> v souladu se </w:t>
      </w:r>
      <w:r w:rsidRPr="00823553">
        <w:rPr>
          <w:i/>
        </w:rPr>
        <w:t>Strategickým rámcem rozvoje veřejné správy ČR pro období 2014</w:t>
      </w:r>
      <w:r w:rsidR="00836166" w:rsidRPr="00823553">
        <w:rPr>
          <w:i/>
        </w:rPr>
        <w:t>–</w:t>
      </w:r>
      <w:r w:rsidRPr="00823553">
        <w:rPr>
          <w:i/>
        </w:rPr>
        <w:t>2020</w:t>
      </w:r>
      <w:r>
        <w:t xml:space="preserve"> </w:t>
      </w:r>
      <w:r w:rsidR="007D7125">
        <w:t>z</w:t>
      </w:r>
      <w:r w:rsidRPr="00BB5259">
        <w:t>výšit dostupnost</w:t>
      </w:r>
      <w:r w:rsidR="007D7125">
        <w:t>,</w:t>
      </w:r>
      <w:r w:rsidRPr="00BB5259">
        <w:t xml:space="preserve"> transparentnost</w:t>
      </w:r>
      <w:r w:rsidR="007D7125">
        <w:t xml:space="preserve"> a efektivitu </w:t>
      </w:r>
      <w:r w:rsidRPr="00BB5259">
        <w:t>veřejné správy</w:t>
      </w:r>
      <w:r w:rsidR="007D7125">
        <w:t xml:space="preserve">. </w:t>
      </w:r>
    </w:p>
    <w:p w14:paraId="5B773DB6" w14:textId="0E3E6F9A" w:rsidR="00C64712" w:rsidRDefault="00C64712" w:rsidP="00C64712">
      <w:r>
        <w:t>S</w:t>
      </w:r>
      <w:r w:rsidRPr="00C64712">
        <w:t>pecifick</w:t>
      </w:r>
      <w:r>
        <w:t>ým</w:t>
      </w:r>
      <w:r w:rsidRPr="00C64712">
        <w:t xml:space="preserve"> cíle</w:t>
      </w:r>
      <w:r>
        <w:t>m</w:t>
      </w:r>
      <w:r w:rsidRPr="00C64712">
        <w:t xml:space="preserve"> 3.1 </w:t>
      </w:r>
      <w:r>
        <w:t>SRRVS bylo dobudování</w:t>
      </w:r>
      <w:r w:rsidRPr="00C64712">
        <w:t xml:space="preserve"> přehledné</w:t>
      </w:r>
      <w:r>
        <w:t>ho</w:t>
      </w:r>
      <w:r w:rsidRPr="00C64712">
        <w:t>, transparentní</w:t>
      </w:r>
      <w:r>
        <w:t>ho</w:t>
      </w:r>
      <w:r w:rsidRPr="00C64712">
        <w:t xml:space="preserve"> a současně flexibilní</w:t>
      </w:r>
      <w:r>
        <w:t>ho</w:t>
      </w:r>
      <w:r w:rsidRPr="00C64712">
        <w:t xml:space="preserve"> prostředí a </w:t>
      </w:r>
      <w:r>
        <w:t>právních podmínek</w:t>
      </w:r>
      <w:r w:rsidRPr="00C64712">
        <w:t xml:space="preserve"> pro plynulý rozvoj </w:t>
      </w:r>
      <w:proofErr w:type="spellStart"/>
      <w:r w:rsidRPr="00C64712">
        <w:t>eGovernmentu</w:t>
      </w:r>
      <w:proofErr w:type="spellEnd"/>
      <w:r w:rsidRPr="00C64712">
        <w:t xml:space="preserve"> a zajištění maximálního využití přínosů jeho fungování.</w:t>
      </w:r>
      <w:r>
        <w:t xml:space="preserve"> </w:t>
      </w:r>
      <w:r w:rsidRPr="00C64712">
        <w:t>V rámci tohoto speci</w:t>
      </w:r>
      <w:r w:rsidR="00D1778B">
        <w:t>fického cíle měl být v období leden 2015 až</w:t>
      </w:r>
      <w:r w:rsidRPr="00C64712">
        <w:t xml:space="preserve"> </w:t>
      </w:r>
      <w:r w:rsidR="00D1778B">
        <w:t xml:space="preserve">prosinec </w:t>
      </w:r>
      <w:r w:rsidRPr="00C64712">
        <w:t xml:space="preserve">2020 </w:t>
      </w:r>
      <w:r w:rsidR="00836166">
        <w:t>vytvořen</w:t>
      </w:r>
      <w:r w:rsidRPr="00C64712">
        <w:t xml:space="preserve"> plošně využitelný, j</w:t>
      </w:r>
      <w:r w:rsidR="00A54639">
        <w:t>ednotný, státem garantovaný a v </w:t>
      </w:r>
      <w:r w:rsidRPr="00C64712">
        <w:t>rámci EU interoperabilní systém elektronické identifikace, autentizace a autorizace pro klíčové agendové a provozní informační systémy spravované orgány veřejné moci podle principů</w:t>
      </w:r>
      <w:r>
        <w:t xml:space="preserve"> </w:t>
      </w:r>
      <w:r w:rsidRPr="00C64712">
        <w:t xml:space="preserve">nařízení </w:t>
      </w:r>
      <w:proofErr w:type="spellStart"/>
      <w:r w:rsidRPr="00C64712">
        <w:t>eIDAS</w:t>
      </w:r>
      <w:proofErr w:type="spellEnd"/>
      <w:r>
        <w:t>.</w:t>
      </w:r>
    </w:p>
    <w:p w14:paraId="04C6F4C6" w14:textId="57B70797" w:rsidR="00826DA8" w:rsidRDefault="00C341A5" w:rsidP="00826DA8">
      <w:pPr>
        <w:tabs>
          <w:tab w:val="left" w:pos="2835"/>
        </w:tabs>
        <w:rPr>
          <w:b/>
        </w:rPr>
      </w:pPr>
      <w:r>
        <w:rPr>
          <w:noProof/>
          <w:sz w:val="16"/>
          <w:szCs w:val="16"/>
          <w:lang w:eastAsia="cs-CZ"/>
        </w:rPr>
        <w:drawing>
          <wp:inline distT="0" distB="0" distL="0" distR="0" wp14:anchorId="23AB0BC4" wp14:editId="713F1A43">
            <wp:extent cx="5760720" cy="40741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ma_19.5-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inline>
        </w:drawing>
      </w:r>
    </w:p>
    <w:p w14:paraId="5FA912C4" w14:textId="24D998CE" w:rsidR="00826DA8" w:rsidRPr="00823553" w:rsidRDefault="00826DA8" w:rsidP="00826DA8">
      <w:pPr>
        <w:tabs>
          <w:tab w:val="left" w:pos="2835"/>
        </w:tabs>
        <w:rPr>
          <w:sz w:val="20"/>
          <w:szCs w:val="20"/>
        </w:rPr>
      </w:pPr>
      <w:r w:rsidRPr="00823553">
        <w:rPr>
          <w:b/>
          <w:sz w:val="20"/>
          <w:szCs w:val="20"/>
        </w:rPr>
        <w:t>Zdroj:</w:t>
      </w:r>
      <w:r w:rsidRPr="00823553">
        <w:rPr>
          <w:sz w:val="20"/>
          <w:szCs w:val="20"/>
        </w:rPr>
        <w:t xml:space="preserve"> vlastní zpracování na základě skutečností zjištěných kontrolou</w:t>
      </w:r>
      <w:r w:rsidR="00A54639" w:rsidRPr="00823553">
        <w:rPr>
          <w:sz w:val="20"/>
          <w:szCs w:val="20"/>
        </w:rPr>
        <w:t>.</w:t>
      </w:r>
    </w:p>
    <w:p w14:paraId="3F1781DD" w14:textId="06B1F369" w:rsidR="0091727D" w:rsidRPr="00823553" w:rsidRDefault="00345AD8" w:rsidP="0091727D">
      <w:pPr>
        <w:pStyle w:val="Nadpis2"/>
        <w:rPr>
          <w:rFonts w:asciiTheme="minorHAnsi" w:hAnsiTheme="minorHAnsi" w:cstheme="minorHAnsi"/>
        </w:rPr>
      </w:pPr>
      <w:r w:rsidRPr="00823553">
        <w:rPr>
          <w:rFonts w:asciiTheme="minorHAnsi" w:hAnsiTheme="minorHAnsi" w:cstheme="minorHAnsi"/>
        </w:rPr>
        <w:t xml:space="preserve">Nařízení </w:t>
      </w:r>
      <w:proofErr w:type="spellStart"/>
      <w:r w:rsidRPr="00823553">
        <w:rPr>
          <w:rFonts w:asciiTheme="minorHAnsi" w:hAnsiTheme="minorHAnsi" w:cstheme="minorHAnsi"/>
        </w:rPr>
        <w:t>eIDAS</w:t>
      </w:r>
      <w:proofErr w:type="spellEnd"/>
    </w:p>
    <w:p w14:paraId="74CB57CD" w14:textId="571F9DF1" w:rsidR="003B2FD8" w:rsidRDefault="003B2FD8" w:rsidP="0091727D">
      <w:r>
        <w:t>MV a SZR v</w:t>
      </w:r>
      <w:r w:rsidRPr="000D6E77">
        <w:t xml:space="preserve">ytvořily </w:t>
      </w:r>
      <w:r w:rsidRPr="009A077A">
        <w:t>systém elektronické identifikace</w:t>
      </w:r>
      <w:r>
        <w:t xml:space="preserve"> na základě</w:t>
      </w:r>
      <w:r w:rsidRPr="000D6E77">
        <w:t xml:space="preserve"> </w:t>
      </w:r>
      <w:r>
        <w:t>nařízení</w:t>
      </w:r>
      <w:r w:rsidRPr="000D6E77">
        <w:t xml:space="preserve"> Evropského parlamentu a Rady (EU) č. 910/2014 ze dne 23. 7. 2014, o elektronické identifikaci a službách vytvářejících důvěru pro elektronické transakce na vnitřním trhu a o zrušení směrnice 1999/93/ES. </w:t>
      </w:r>
      <w:r>
        <w:t>Toto nařízení mimo jiné zavedlo jednotné podmínky pro systémy elektronické identifikace a prostředky sloužící k elektronickému prokazování totožnosti</w:t>
      </w:r>
      <w:r w:rsidR="00836166">
        <w:t>,</w:t>
      </w:r>
      <w:r>
        <w:t xml:space="preserve"> t</w:t>
      </w:r>
      <w:r w:rsidR="00836166">
        <w:t>j.</w:t>
      </w:r>
      <w:r>
        <w:t xml:space="preserve"> prostředky elektronické identifikace nebo také </w:t>
      </w:r>
      <w:proofErr w:type="spellStart"/>
      <w:r>
        <w:t>identitní</w:t>
      </w:r>
      <w:proofErr w:type="spellEnd"/>
      <w:r>
        <w:t xml:space="preserve"> prostředky. Nařízení současně zavedlo povinnost vzájemného uznávání </w:t>
      </w:r>
      <w:proofErr w:type="spellStart"/>
      <w:r>
        <w:t>identitních</w:t>
      </w:r>
      <w:proofErr w:type="spellEnd"/>
      <w:r>
        <w:t xml:space="preserve"> prostředků mezi členskými státy navzájem. </w:t>
      </w:r>
      <w:r w:rsidR="004A4423">
        <w:t>D</w:t>
      </w:r>
      <w:r w:rsidR="001224BB">
        <w:t>ále</w:t>
      </w:r>
      <w:r w:rsidR="004A4423">
        <w:t xml:space="preserve"> nařízení </w:t>
      </w:r>
      <w:r w:rsidR="001224BB">
        <w:t>zavedlo</w:t>
      </w:r>
      <w:r w:rsidR="004A4423">
        <w:t xml:space="preserve"> různé</w:t>
      </w:r>
      <w:r>
        <w:t xml:space="preserve"> </w:t>
      </w:r>
      <w:r w:rsidR="00836166">
        <w:t>kategorie</w:t>
      </w:r>
      <w:r w:rsidR="002216C0">
        <w:t xml:space="preserve"> </w:t>
      </w:r>
      <w:proofErr w:type="spellStart"/>
      <w:r>
        <w:t>identitních</w:t>
      </w:r>
      <w:proofErr w:type="spellEnd"/>
      <w:r>
        <w:t xml:space="preserve"> prostředků dle úrovně záruky prokázání totožnosti, </w:t>
      </w:r>
      <w:r w:rsidR="00836166">
        <w:t>tato úroveň může být</w:t>
      </w:r>
      <w:r>
        <w:t xml:space="preserve"> nízká, značná </w:t>
      </w:r>
      <w:r w:rsidR="0029579D">
        <w:t>nebo</w:t>
      </w:r>
      <w:r>
        <w:t xml:space="preserve"> vysoká.</w:t>
      </w:r>
    </w:p>
    <w:p w14:paraId="3DB2AB6B" w14:textId="199D000E" w:rsidR="00933F26" w:rsidRPr="00823553" w:rsidRDefault="00933F26" w:rsidP="0091727D">
      <w:pPr>
        <w:pStyle w:val="Nadpis2"/>
        <w:rPr>
          <w:rFonts w:asciiTheme="minorHAnsi" w:hAnsiTheme="minorHAnsi" w:cstheme="minorHAnsi"/>
        </w:rPr>
      </w:pPr>
      <w:r w:rsidRPr="00823553">
        <w:rPr>
          <w:rFonts w:asciiTheme="minorHAnsi" w:hAnsiTheme="minorHAnsi" w:cstheme="minorHAnsi"/>
        </w:rPr>
        <w:lastRenderedPageBreak/>
        <w:t>Národní bod pro identifikaci a autentizaci</w:t>
      </w:r>
    </w:p>
    <w:p w14:paraId="52CB7119" w14:textId="59BE062A" w:rsidR="00933F26" w:rsidRDefault="00DA7A57" w:rsidP="00837B3A">
      <w:r>
        <w:t xml:space="preserve">Řešení pro elektronickou identifikaci </w:t>
      </w:r>
      <w:r w:rsidR="00471CDF">
        <w:t xml:space="preserve">fyzických osob </w:t>
      </w:r>
      <w:r>
        <w:t xml:space="preserve">bylo ve formě </w:t>
      </w:r>
      <w:r w:rsidR="00471CDF" w:rsidRPr="00823553">
        <w:rPr>
          <w:i/>
        </w:rPr>
        <w:t>Národního bodu pro identifikaci a autentizaci</w:t>
      </w:r>
      <w:r w:rsidR="00471CDF">
        <w:t xml:space="preserve"> </w:t>
      </w:r>
      <w:r>
        <w:t xml:space="preserve">spuštěno v polovině roku </w:t>
      </w:r>
      <w:r w:rsidRPr="000713D0">
        <w:t>2018</w:t>
      </w:r>
      <w:r w:rsidR="00837B3A" w:rsidRPr="000713D0">
        <w:t xml:space="preserve"> na základě zákona č. 250/2017 Sb</w:t>
      </w:r>
      <w:r w:rsidR="00A54639">
        <w:t>., o </w:t>
      </w:r>
      <w:r w:rsidR="00B00266">
        <w:t>elektronické identifikaci</w:t>
      </w:r>
      <w:r w:rsidR="00837B3A" w:rsidRPr="000713D0">
        <w:t>.</w:t>
      </w:r>
      <w:r w:rsidR="00933F26" w:rsidRPr="000713D0">
        <w:t xml:space="preserve"> </w:t>
      </w:r>
      <w:r w:rsidR="00B00266">
        <w:t>Zákon mimo jiné stanovil povinnost využívat pro elektronické prokazování totožnosti pouze kvalifikovaný systém elektronické identifikace napojený na NIA. Národní bod</w:t>
      </w:r>
      <w:r w:rsidR="00B00266" w:rsidRPr="000713D0">
        <w:t xml:space="preserve"> </w:t>
      </w:r>
      <w:r w:rsidR="00933F26" w:rsidRPr="00F0214F">
        <w:t xml:space="preserve">realizovala a spravuje </w:t>
      </w:r>
      <w:r w:rsidR="00933F26" w:rsidRPr="000713D0">
        <w:t>Správa základních registrů. Poskytovatelům</w:t>
      </w:r>
      <w:r w:rsidR="00933F26">
        <w:t xml:space="preserve"> online služeb poskytuje NIA potřebnou zaručenou informaci o tom, kdo se jako klient přihlašuje k </w:t>
      </w:r>
      <w:r w:rsidR="00A93B99">
        <w:t>jimi</w:t>
      </w:r>
      <w:r w:rsidR="00933F26">
        <w:t xml:space="preserve"> poskytovaným službám.</w:t>
      </w:r>
      <w:r w:rsidR="00837B3A">
        <w:t xml:space="preserve"> Národní bod zprostředkovává komunikaci mezi uživateli, kvalifikovanými poskytovateli a kvalifikovanými správci nav</w:t>
      </w:r>
      <w:r w:rsidR="00A54639">
        <w:t>zájem a mezi těmito účastníky a </w:t>
      </w:r>
      <w:r w:rsidR="00837B3A">
        <w:t>základními registry.</w:t>
      </w:r>
    </w:p>
    <w:p w14:paraId="265B6F3D" w14:textId="0A7D3DE4" w:rsidR="009A077A" w:rsidRDefault="00933F26" w:rsidP="009A077A">
      <w:r>
        <w:t xml:space="preserve">Zároveň </w:t>
      </w:r>
      <w:r w:rsidR="00837B3A">
        <w:t xml:space="preserve">se spuštěním NIA </w:t>
      </w:r>
      <w:r w:rsidR="00DA7A57">
        <w:t xml:space="preserve">začalo MV vydávat </w:t>
      </w:r>
      <w:r w:rsidR="00471CDF">
        <w:t xml:space="preserve">nové </w:t>
      </w:r>
      <w:r w:rsidR="00DA7A57">
        <w:t>elektronické o</w:t>
      </w:r>
      <w:r w:rsidR="00471CDF">
        <w:t>bčanské průkazy</w:t>
      </w:r>
      <w:r w:rsidR="00DA7A57">
        <w:t xml:space="preserve">, které mohou občané po aktivaci čipu využít </w:t>
      </w:r>
      <w:r w:rsidR="00471CDF">
        <w:t>pro elektronickou identifikaci.</w:t>
      </w:r>
      <w:r w:rsidR="00DA7A57">
        <w:t xml:space="preserve"> O</w:t>
      </w:r>
      <w:r w:rsidR="00471CDF">
        <w:t xml:space="preserve">tevřela </w:t>
      </w:r>
      <w:r w:rsidR="00DA7A57">
        <w:t xml:space="preserve">se tak </w:t>
      </w:r>
      <w:r w:rsidR="00A54639">
        <w:t>cesta k </w:t>
      </w:r>
      <w:r w:rsidR="00471CDF">
        <w:t xml:space="preserve">tomu, aby </w:t>
      </w:r>
      <w:r w:rsidR="00DA7A57">
        <w:t xml:space="preserve">poskytovatelé digitálních služeb </w:t>
      </w:r>
      <w:r w:rsidR="00471CDF">
        <w:t>mohl</w:t>
      </w:r>
      <w:r w:rsidR="00DA7A57">
        <w:t xml:space="preserve">i </w:t>
      </w:r>
      <w:r w:rsidR="00471CDF">
        <w:t xml:space="preserve">identifikovat </w:t>
      </w:r>
      <w:r w:rsidR="00EB60B9">
        <w:t>uživatele</w:t>
      </w:r>
      <w:r w:rsidR="00471CDF">
        <w:t xml:space="preserve"> svých služeb </w:t>
      </w:r>
      <w:r w:rsidR="00DA7A57">
        <w:t xml:space="preserve">v souladu s nařízením </w:t>
      </w:r>
      <w:proofErr w:type="spellStart"/>
      <w:r w:rsidR="00DA7A57">
        <w:t>eIDAS</w:t>
      </w:r>
      <w:proofErr w:type="spellEnd"/>
      <w:r w:rsidR="00DA7A57">
        <w:t>.</w:t>
      </w:r>
      <w:r>
        <w:t xml:space="preserve"> </w:t>
      </w:r>
      <w:r w:rsidR="007E33B9">
        <w:t xml:space="preserve">K prokazování totožnosti online formou </w:t>
      </w:r>
      <w:r w:rsidR="00F90B9C">
        <w:t xml:space="preserve">lze </w:t>
      </w:r>
      <w:r>
        <w:t xml:space="preserve">kromě </w:t>
      </w:r>
      <w:proofErr w:type="spellStart"/>
      <w:r>
        <w:t>eOP</w:t>
      </w:r>
      <w:proofErr w:type="spellEnd"/>
      <w:r>
        <w:t xml:space="preserve"> využít i</w:t>
      </w:r>
      <w:r w:rsidR="00EB60B9">
        <w:t> </w:t>
      </w:r>
      <w:r w:rsidR="007E33B9" w:rsidRPr="00EB60B9">
        <w:t xml:space="preserve">identifikační </w:t>
      </w:r>
      <w:r w:rsidR="007E33B9" w:rsidRPr="00823553">
        <w:t>prostředek</w:t>
      </w:r>
      <w:r w:rsidR="007E33B9" w:rsidRPr="002E0B68">
        <w:rPr>
          <w:i/>
        </w:rPr>
        <w:t xml:space="preserve"> </w:t>
      </w:r>
      <w:r w:rsidR="00EB60B9" w:rsidRPr="00823553">
        <w:t>„j</w:t>
      </w:r>
      <w:r w:rsidR="007E33B9" w:rsidRPr="00823553">
        <w:t>méno, heslo a SMS</w:t>
      </w:r>
      <w:r w:rsidR="00EB60B9" w:rsidRPr="00823553">
        <w:t>“</w:t>
      </w:r>
      <w:r w:rsidR="005A4A71" w:rsidRPr="00EB60B9">
        <w:t>,</w:t>
      </w:r>
      <w:r w:rsidR="005A4A71">
        <w:t xml:space="preserve"> jehož správcem </w:t>
      </w:r>
      <w:r w:rsidR="007E33B9">
        <w:t>je Správa základních registrů a</w:t>
      </w:r>
      <w:r w:rsidR="00EB60B9">
        <w:t> </w:t>
      </w:r>
      <w:r w:rsidR="007E33B9">
        <w:t xml:space="preserve">mj. slouží pro přihlášení k uživatelskému účtu v </w:t>
      </w:r>
      <w:r w:rsidR="00C664ED">
        <w:t>NIA</w:t>
      </w:r>
      <w:r w:rsidR="007E33B9">
        <w:t>.</w:t>
      </w:r>
    </w:p>
    <w:p w14:paraId="5B3721B5" w14:textId="1F6CB3CF" w:rsidR="009A077A" w:rsidRPr="00823553" w:rsidRDefault="0013769E" w:rsidP="009A077A">
      <w:pPr>
        <w:pStyle w:val="Nadpis2"/>
        <w:rPr>
          <w:rFonts w:asciiTheme="minorHAnsi" w:hAnsiTheme="minorHAnsi" w:cstheme="minorHAnsi"/>
        </w:rPr>
      </w:pPr>
      <w:r w:rsidRPr="00823553">
        <w:rPr>
          <w:rFonts w:asciiTheme="minorHAnsi" w:hAnsiTheme="minorHAnsi" w:cstheme="minorHAnsi"/>
        </w:rPr>
        <w:t>Elektronické občanské průkazy s</w:t>
      </w:r>
      <w:r w:rsidR="009A077A" w:rsidRPr="00823553">
        <w:rPr>
          <w:rFonts w:asciiTheme="minorHAnsi" w:hAnsiTheme="minorHAnsi" w:cstheme="minorHAnsi"/>
        </w:rPr>
        <w:t> </w:t>
      </w:r>
      <w:r w:rsidRPr="00823553">
        <w:rPr>
          <w:rFonts w:asciiTheme="minorHAnsi" w:hAnsiTheme="minorHAnsi" w:cstheme="minorHAnsi"/>
        </w:rPr>
        <w:t>čipem</w:t>
      </w:r>
    </w:p>
    <w:p w14:paraId="7C96D97C" w14:textId="01BC0356" w:rsidR="0013769E" w:rsidRPr="00FE1A25" w:rsidRDefault="00B00266" w:rsidP="009A077A">
      <w:r>
        <w:t>Elektronické o</w:t>
      </w:r>
      <w:r w:rsidR="0013769E" w:rsidRPr="00FE1A25">
        <w:t>bčanské průkazy se strojově čitelnými údaji a kontaktním elektronickým čipem</w:t>
      </w:r>
      <w:r>
        <w:t xml:space="preserve"> byly zavedeny na základě novely zákona o občanských průkazech z roku 2017</w:t>
      </w:r>
      <w:r>
        <w:rPr>
          <w:rStyle w:val="Znakapoznpodarou"/>
        </w:rPr>
        <w:footnoteReference w:id="8"/>
      </w:r>
      <w:r>
        <w:t xml:space="preserve"> a MV je začalo</w:t>
      </w:r>
      <w:r w:rsidR="0013769E">
        <w:t xml:space="preserve"> vydávat všem občanům od </w:t>
      </w:r>
      <w:r w:rsidR="0013769E" w:rsidRPr="00FE1A25">
        <w:t>1. 7. 2018</w:t>
      </w:r>
      <w:r w:rsidR="0013769E">
        <w:t xml:space="preserve">. Občan si může do čipu uložit </w:t>
      </w:r>
      <w:r w:rsidR="0013769E" w:rsidRPr="00FE1A25">
        <w:t xml:space="preserve">kvalifikované certifikáty pro vytváření elektronických podpisů. Pomocí těchto certifikátů (a příslušných kryptografických klíčů) pak může držitel </w:t>
      </w:r>
      <w:proofErr w:type="spellStart"/>
      <w:r w:rsidR="00EB60B9">
        <w:t>eOP</w:t>
      </w:r>
      <w:proofErr w:type="spellEnd"/>
      <w:r w:rsidR="00EB60B9">
        <w:t xml:space="preserve"> </w:t>
      </w:r>
      <w:r w:rsidR="0013769E" w:rsidRPr="00FE1A25">
        <w:t xml:space="preserve">elektronicky podepisovat dokumenty, e-maily, smlouvy apod. </w:t>
      </w:r>
      <w:r w:rsidR="0013769E" w:rsidRPr="008F2C2A">
        <w:t>Držitel občanského průkazu si může uložit do svého občanského průka</w:t>
      </w:r>
      <w:r w:rsidR="0013769E">
        <w:t>zu tzv. autentizační certifikát, který je možné</w:t>
      </w:r>
      <w:r w:rsidR="0013769E" w:rsidRPr="008F2C2A">
        <w:t xml:space="preserve"> využívat v rámci různých komerčních řešení vyžadujících online identifikaci a autentizaci osob.</w:t>
      </w:r>
    </w:p>
    <w:p w14:paraId="0747A9D2" w14:textId="4B720FF6" w:rsidR="00933F26" w:rsidRPr="00823553" w:rsidRDefault="00933F26" w:rsidP="00BB1EB5">
      <w:pPr>
        <w:pStyle w:val="Nadpis2"/>
        <w:rPr>
          <w:rFonts w:ascii="Calibri" w:hAnsi="Calibri" w:cs="Calibri"/>
        </w:rPr>
      </w:pPr>
      <w:r w:rsidRPr="00823553">
        <w:rPr>
          <w:rFonts w:ascii="Calibri" w:hAnsi="Calibri" w:cs="Calibri"/>
        </w:rPr>
        <w:t xml:space="preserve">Portál </w:t>
      </w:r>
      <w:r w:rsidR="00BB1EB5" w:rsidRPr="00823553">
        <w:rPr>
          <w:rFonts w:ascii="Calibri" w:hAnsi="Calibri" w:cs="Calibri"/>
        </w:rPr>
        <w:t xml:space="preserve">veřejné správy a Portál </w:t>
      </w:r>
      <w:r w:rsidRPr="00823553">
        <w:rPr>
          <w:rFonts w:ascii="Calibri" w:hAnsi="Calibri" w:cs="Calibri"/>
        </w:rPr>
        <w:t>občana</w:t>
      </w:r>
    </w:p>
    <w:p w14:paraId="57A37271" w14:textId="7842B0E2" w:rsidR="00FE7E6C" w:rsidRDefault="00BB1EB5" w:rsidP="00417BAD">
      <w:r>
        <w:t xml:space="preserve">Elektronickou bránou občanů k informacím veřejné správy je </w:t>
      </w:r>
      <w:r w:rsidRPr="00823553">
        <w:rPr>
          <w:b/>
          <w:i/>
        </w:rPr>
        <w:t>Portál veřejné správy</w:t>
      </w:r>
      <w:r>
        <w:t xml:space="preserve">, který </w:t>
      </w:r>
      <w:r w:rsidR="002C42AD">
        <w:t xml:space="preserve">byl spuštěn již v roce 2003 </w:t>
      </w:r>
      <w:r>
        <w:t>na základě zákona č. 365/2000 Sb., o informačních systémech veřejné správy</w:t>
      </w:r>
      <w:r w:rsidR="00AD47E3">
        <w:t xml:space="preserve"> a o změně některých dalších zákonů</w:t>
      </w:r>
      <w:r>
        <w:t xml:space="preserve">. Hlavním smyslem </w:t>
      </w:r>
      <w:r w:rsidR="00EB577B" w:rsidRPr="00823553">
        <w:rPr>
          <w:i/>
        </w:rPr>
        <w:t>P</w:t>
      </w:r>
      <w:r w:rsidRPr="00823553">
        <w:rPr>
          <w:i/>
        </w:rPr>
        <w:t>ortálu</w:t>
      </w:r>
      <w:r w:rsidR="00EB577B" w:rsidRPr="00823553">
        <w:rPr>
          <w:i/>
        </w:rPr>
        <w:t xml:space="preserve"> veřejné správy</w:t>
      </w:r>
      <w:r>
        <w:t xml:space="preserve"> je </w:t>
      </w:r>
      <w:r w:rsidR="002C42AD">
        <w:t>zajistit</w:t>
      </w:r>
      <w:r>
        <w:t xml:space="preserve"> </w:t>
      </w:r>
      <w:r w:rsidR="00AD47E3">
        <w:t>fyzickým a právnickým osobám</w:t>
      </w:r>
      <w:r>
        <w:t xml:space="preserve"> </w:t>
      </w:r>
      <w:r w:rsidR="00417BAD">
        <w:t xml:space="preserve">elektronický </w:t>
      </w:r>
      <w:r w:rsidR="002C42AD">
        <w:t>přístup k </w:t>
      </w:r>
      <w:r w:rsidR="00417BAD">
        <w:t>informacím</w:t>
      </w:r>
      <w:r w:rsidR="002C42AD">
        <w:t xml:space="preserve"> úřadů </w:t>
      </w:r>
      <w:r>
        <w:t xml:space="preserve">(informační část). Komunikaci (transakční část) s úřady veřejné správy zajišťuje </w:t>
      </w:r>
      <w:r w:rsidR="002C42AD" w:rsidRPr="00823553">
        <w:rPr>
          <w:b/>
          <w:i/>
        </w:rPr>
        <w:t>Portál</w:t>
      </w:r>
      <w:r w:rsidR="00B44D63" w:rsidRPr="00823553">
        <w:rPr>
          <w:b/>
          <w:i/>
        </w:rPr>
        <w:t xml:space="preserve"> občana</w:t>
      </w:r>
      <w:r w:rsidR="00B44D63" w:rsidRPr="00823553">
        <w:rPr>
          <w:b/>
        </w:rPr>
        <w:t>,</w:t>
      </w:r>
      <w:r w:rsidR="00B44D63">
        <w:t xml:space="preserve"> který MV</w:t>
      </w:r>
      <w:r w:rsidR="002C42AD">
        <w:t xml:space="preserve"> začalo </w:t>
      </w:r>
      <w:r w:rsidR="00417BAD">
        <w:t xml:space="preserve">rozvíjet od </w:t>
      </w:r>
      <w:r w:rsidR="00D13BAC">
        <w:t xml:space="preserve">roku 2018 a od </w:t>
      </w:r>
      <w:r w:rsidR="00417BAD">
        <w:t>července 201</w:t>
      </w:r>
      <w:r w:rsidR="002C42AD">
        <w:t xml:space="preserve">8 </w:t>
      </w:r>
      <w:r w:rsidR="00D13BAC">
        <w:t xml:space="preserve">jej spustilo v nové podobě </w:t>
      </w:r>
      <w:r w:rsidR="002C42AD">
        <w:t>spolu s vydáváním nových elektronických občan</w:t>
      </w:r>
      <w:r w:rsidR="00FE1A25">
        <w:t xml:space="preserve">ských průkazů </w:t>
      </w:r>
      <w:r w:rsidR="002C42AD">
        <w:t>s čipem</w:t>
      </w:r>
      <w:r>
        <w:t>.</w:t>
      </w:r>
      <w:r w:rsidR="00417BAD">
        <w:t xml:space="preserve"> Nabídky elektronických služeb </w:t>
      </w:r>
      <w:r w:rsidR="00C95481">
        <w:t xml:space="preserve">jsou </w:t>
      </w:r>
      <w:r w:rsidR="00417BAD">
        <w:t xml:space="preserve">na </w:t>
      </w:r>
      <w:r w:rsidR="00417BAD" w:rsidRPr="00823553">
        <w:rPr>
          <w:i/>
        </w:rPr>
        <w:t xml:space="preserve">Portálu občana </w:t>
      </w:r>
      <w:r w:rsidR="00C95481">
        <w:t>prezentovány graficky formou tzv. dlaždic.</w:t>
      </w:r>
      <w:r w:rsidR="007E20BB">
        <w:t xml:space="preserve"> </w:t>
      </w:r>
    </w:p>
    <w:p w14:paraId="707772DB" w14:textId="36AC891E" w:rsidR="00B44D63" w:rsidRDefault="00B44D63" w:rsidP="00B44D63">
      <w:r>
        <w:t xml:space="preserve">Část služeb </w:t>
      </w:r>
      <w:r w:rsidR="00EB60B9">
        <w:t xml:space="preserve">nabízí </w:t>
      </w:r>
      <w:r w:rsidRPr="00823553">
        <w:rPr>
          <w:i/>
        </w:rPr>
        <w:t>Portál občana</w:t>
      </w:r>
      <w:r>
        <w:t xml:space="preserve"> přímo, například kalendář s mož</w:t>
      </w:r>
      <w:r w:rsidR="00A572A8">
        <w:t>n</w:t>
      </w:r>
      <w:r>
        <w:t xml:space="preserve">ostí </w:t>
      </w:r>
      <w:r w:rsidR="00A572A8">
        <w:t>notifi</w:t>
      </w:r>
      <w:r>
        <w:t>kací nadcházejíc</w:t>
      </w:r>
      <w:r w:rsidR="00A572A8">
        <w:t>íc</w:t>
      </w:r>
      <w:r>
        <w:t>h událostí č</w:t>
      </w:r>
      <w:r w:rsidR="00A572A8">
        <w:t>i</w:t>
      </w:r>
      <w:r>
        <w:t xml:space="preserve"> úložiště dokumentů. Většinu sl</w:t>
      </w:r>
      <w:r w:rsidR="00A572A8">
        <w:t>u</w:t>
      </w:r>
      <w:r>
        <w:t xml:space="preserve">žeb však pouze </w:t>
      </w:r>
      <w:r w:rsidR="00FE32C9">
        <w:t>„</w:t>
      </w:r>
      <w:r>
        <w:t>zastřešuje</w:t>
      </w:r>
      <w:r w:rsidR="00FE32C9">
        <w:t>“</w:t>
      </w:r>
      <w:r>
        <w:t xml:space="preserve"> </w:t>
      </w:r>
      <w:r w:rsidR="00C3775E">
        <w:br/>
      </w:r>
      <w:r w:rsidR="00EB60B9">
        <w:t>a</w:t>
      </w:r>
      <w:r w:rsidR="00A572A8">
        <w:t xml:space="preserve"> přihlášené uživatele s</w:t>
      </w:r>
      <w:r w:rsidR="00C3775E">
        <w:t xml:space="preserve"> </w:t>
      </w:r>
      <w:r w:rsidR="00A572A8">
        <w:t xml:space="preserve">již ověřenou identitou přesměrovává na portály zapojených poskytovatelů digitálních služeb. Jedná se například o služby </w:t>
      </w:r>
      <w:proofErr w:type="spellStart"/>
      <w:r w:rsidRPr="00823553">
        <w:rPr>
          <w:i/>
        </w:rPr>
        <w:t>ePortálu</w:t>
      </w:r>
      <w:proofErr w:type="spellEnd"/>
      <w:r>
        <w:t xml:space="preserve"> ČSSZ, </w:t>
      </w:r>
      <w:r w:rsidR="00A572A8">
        <w:t xml:space="preserve">daňového portálu či </w:t>
      </w:r>
      <w:r>
        <w:t xml:space="preserve">služby související s </w:t>
      </w:r>
      <w:proofErr w:type="spellStart"/>
      <w:r w:rsidRPr="00823553">
        <w:rPr>
          <w:i/>
        </w:rPr>
        <w:t>eRecept</w:t>
      </w:r>
      <w:r w:rsidR="00A572A8" w:rsidRPr="00823553">
        <w:rPr>
          <w:i/>
        </w:rPr>
        <w:t>em</w:t>
      </w:r>
      <w:proofErr w:type="spellEnd"/>
      <w:r>
        <w:t>.</w:t>
      </w:r>
    </w:p>
    <w:p w14:paraId="7F5536D9" w14:textId="5789C77E" w:rsidR="008F2C2A" w:rsidRDefault="003D4A41" w:rsidP="008F2C2A">
      <w:r>
        <w:lastRenderedPageBreak/>
        <w:t>S</w:t>
      </w:r>
      <w:r w:rsidR="00BF585A">
        <w:t>právcem</w:t>
      </w:r>
      <w:r w:rsidDel="00CC3E01">
        <w:t xml:space="preserve"> </w:t>
      </w:r>
      <w:r w:rsidR="00CC3E01" w:rsidRPr="00823553">
        <w:rPr>
          <w:i/>
        </w:rPr>
        <w:t>Portálu veřejné správy</w:t>
      </w:r>
      <w:r>
        <w:t xml:space="preserve"> i </w:t>
      </w:r>
      <w:r w:rsidRPr="00823553">
        <w:rPr>
          <w:i/>
        </w:rPr>
        <w:t>Portálu občana</w:t>
      </w:r>
      <w:r>
        <w:t xml:space="preserve"> je </w:t>
      </w:r>
      <w:r w:rsidR="00FE32C9">
        <w:t>MV</w:t>
      </w:r>
      <w:r w:rsidR="001552E0">
        <w:t xml:space="preserve">. </w:t>
      </w:r>
      <w:r w:rsidR="001552E0" w:rsidRPr="00823553">
        <w:rPr>
          <w:i/>
        </w:rPr>
        <w:t>Portál občana</w:t>
      </w:r>
      <w:r w:rsidR="001552E0">
        <w:t xml:space="preserve"> realizovalo </w:t>
      </w:r>
      <w:r w:rsidR="00EB60B9">
        <w:t xml:space="preserve">MV </w:t>
      </w:r>
      <w:r w:rsidR="001552E0">
        <w:t xml:space="preserve">od května 2018 do června 2019 v rámci projektu </w:t>
      </w:r>
      <w:r w:rsidR="001552E0" w:rsidRPr="00CB49A3">
        <w:rPr>
          <w:i/>
        </w:rPr>
        <w:t xml:space="preserve">Portál veřejné správy 2.0 </w:t>
      </w:r>
      <w:r w:rsidR="00FF7B97">
        <w:rPr>
          <w:i/>
        </w:rPr>
        <w:t>–</w:t>
      </w:r>
      <w:r w:rsidR="001552E0" w:rsidRPr="00CB49A3">
        <w:rPr>
          <w:i/>
        </w:rPr>
        <w:t xml:space="preserve"> Portál občana</w:t>
      </w:r>
      <w:r w:rsidR="001552E0" w:rsidRPr="001552E0">
        <w:t xml:space="preserve">, </w:t>
      </w:r>
      <w:r w:rsidR="00614E42">
        <w:br/>
      </w:r>
      <w:proofErr w:type="spellStart"/>
      <w:r w:rsidR="001552E0" w:rsidRPr="00614E42">
        <w:rPr>
          <w:spacing w:val="-1"/>
        </w:rPr>
        <w:t>reg</w:t>
      </w:r>
      <w:proofErr w:type="spellEnd"/>
      <w:r w:rsidR="001552E0" w:rsidRPr="00614E42">
        <w:rPr>
          <w:spacing w:val="-1"/>
        </w:rPr>
        <w:t xml:space="preserve">. </w:t>
      </w:r>
      <w:proofErr w:type="gramStart"/>
      <w:r w:rsidR="001552E0" w:rsidRPr="00614E42">
        <w:rPr>
          <w:spacing w:val="-1"/>
        </w:rPr>
        <w:t>č.</w:t>
      </w:r>
      <w:proofErr w:type="gramEnd"/>
      <w:r w:rsidR="00EB60B9" w:rsidRPr="00614E42">
        <w:rPr>
          <w:spacing w:val="-1"/>
        </w:rPr>
        <w:t xml:space="preserve"> </w:t>
      </w:r>
      <w:r w:rsidR="001552E0" w:rsidRPr="00614E42">
        <w:rPr>
          <w:spacing w:val="-1"/>
        </w:rPr>
        <w:t>CZ.06.3.05/0.0/0.0/15_007/0007473</w:t>
      </w:r>
      <w:r w:rsidR="00EB60B9" w:rsidRPr="00614E42">
        <w:rPr>
          <w:spacing w:val="-1"/>
        </w:rPr>
        <w:t>,</w:t>
      </w:r>
      <w:r w:rsidR="001552E0" w:rsidRPr="00614E42">
        <w:rPr>
          <w:spacing w:val="-1"/>
        </w:rPr>
        <w:t xml:space="preserve"> spolufinancovaného z </w:t>
      </w:r>
      <w:r w:rsidR="001552E0" w:rsidRPr="00614E42">
        <w:rPr>
          <w:i/>
          <w:spacing w:val="-1"/>
        </w:rPr>
        <w:t>Integrovaného regionálního</w:t>
      </w:r>
      <w:r w:rsidR="001552E0" w:rsidRPr="00823553">
        <w:rPr>
          <w:i/>
        </w:rPr>
        <w:t xml:space="preserve"> operačního programu</w:t>
      </w:r>
      <w:r w:rsidR="001552E0">
        <w:t>.</w:t>
      </w:r>
      <w:r w:rsidR="00FE7E6C">
        <w:t xml:space="preserve"> </w:t>
      </w:r>
      <w:r w:rsidR="001552E0">
        <w:t>P</w:t>
      </w:r>
      <w:r w:rsidR="00FE7E6C">
        <w:t xml:space="preserve">řípravu, realizaci a provoz </w:t>
      </w:r>
      <w:r w:rsidR="00FE7E6C" w:rsidRPr="00823553">
        <w:rPr>
          <w:i/>
        </w:rPr>
        <w:t>Portálu občana</w:t>
      </w:r>
      <w:r w:rsidR="00FE7E6C">
        <w:t xml:space="preserve"> zadalo </w:t>
      </w:r>
      <w:r w:rsidR="001552E0">
        <w:t xml:space="preserve">MV </w:t>
      </w:r>
      <w:r w:rsidR="00FE7E6C">
        <w:t xml:space="preserve">své servisní </w:t>
      </w:r>
      <w:r w:rsidR="00FE7E6C" w:rsidRPr="00E00626">
        <w:t>organizaci NAKIT</w:t>
      </w:r>
      <w:r w:rsidR="008F2C2A" w:rsidRPr="00E00626">
        <w:t>.</w:t>
      </w:r>
    </w:p>
    <w:p w14:paraId="27AEF75D" w14:textId="77777777" w:rsidR="007D7125" w:rsidRDefault="007D7125" w:rsidP="00406D86"/>
    <w:p w14:paraId="4AC2ED5B" w14:textId="4CE887E5" w:rsidR="00406D86" w:rsidRDefault="00406D86" w:rsidP="00CA6CBC">
      <w:pPr>
        <w:pStyle w:val="Nadpis1"/>
        <w:ind w:left="567" w:hanging="141"/>
      </w:pPr>
      <w:r w:rsidRPr="005C7F8F">
        <w:t>ROZSAH</w:t>
      </w:r>
      <w:r w:rsidRPr="00406D86">
        <w:t xml:space="preserve"> KONTROLY</w:t>
      </w:r>
    </w:p>
    <w:p w14:paraId="0E92E294" w14:textId="77777777" w:rsidR="004C2238" w:rsidRDefault="004C2238" w:rsidP="00823553">
      <w:pPr>
        <w:pStyle w:val="Zkladn"/>
        <w:spacing w:before="0"/>
        <w:rPr>
          <w:rFonts w:asciiTheme="minorHAnsi" w:hAnsiTheme="minorHAnsi" w:cstheme="minorHAnsi"/>
        </w:rPr>
      </w:pPr>
    </w:p>
    <w:p w14:paraId="6026177F" w14:textId="04C82DD4" w:rsidR="00B477D1" w:rsidRDefault="00B477D1" w:rsidP="00B477D1">
      <w:pPr>
        <w:pStyle w:val="Zkladn"/>
        <w:spacing w:before="0" w:after="240"/>
        <w:rPr>
          <w:rFonts w:asciiTheme="minorHAnsi" w:hAnsiTheme="minorHAnsi" w:cstheme="minorHAnsi"/>
        </w:rPr>
      </w:pPr>
      <w:r>
        <w:rPr>
          <w:rFonts w:asciiTheme="minorHAnsi" w:hAnsiTheme="minorHAnsi" w:cstheme="minorHAnsi"/>
        </w:rPr>
        <w:t xml:space="preserve">Kontrola byla zaměřena na realizaci systému elektronické identifikace a </w:t>
      </w:r>
      <w:r w:rsidRPr="00823553">
        <w:rPr>
          <w:rFonts w:asciiTheme="minorHAnsi" w:hAnsiTheme="minorHAnsi" w:cstheme="minorHAnsi"/>
          <w:i/>
        </w:rPr>
        <w:t>Portálu občana</w:t>
      </w:r>
      <w:r>
        <w:rPr>
          <w:rFonts w:asciiTheme="minorHAnsi" w:hAnsiTheme="minorHAnsi" w:cstheme="minorHAnsi"/>
        </w:rPr>
        <w:t xml:space="preserve">. Oba tyto nové nástroje </w:t>
      </w:r>
      <w:proofErr w:type="spellStart"/>
      <w:r>
        <w:rPr>
          <w:rFonts w:asciiTheme="minorHAnsi" w:hAnsiTheme="minorHAnsi" w:cstheme="minorHAnsi"/>
        </w:rPr>
        <w:t>eGovernmentu</w:t>
      </w:r>
      <w:proofErr w:type="spellEnd"/>
      <w:r>
        <w:rPr>
          <w:rFonts w:asciiTheme="minorHAnsi" w:hAnsiTheme="minorHAnsi" w:cstheme="minorHAnsi"/>
        </w:rPr>
        <w:t xml:space="preserve"> byly spuštěny v roce 2018 a jejich smyslem je umožnit občanům snazší přístup k digitálním službám orgánů veřejné správy. NKÚ proto p</w:t>
      </w:r>
      <w:r w:rsidR="0005431E">
        <w:rPr>
          <w:rFonts w:asciiTheme="minorHAnsi" w:hAnsiTheme="minorHAnsi" w:cstheme="minorHAnsi"/>
        </w:rPr>
        <w:t>rověřoval i </w:t>
      </w:r>
      <w:r>
        <w:rPr>
          <w:rFonts w:asciiTheme="minorHAnsi" w:hAnsiTheme="minorHAnsi" w:cstheme="minorHAnsi"/>
        </w:rPr>
        <w:t>to, zda a jakým způsobem uvedené nástroje přispěly k zlepšení dostupnosti a využívanosti digitálních služeb veřejné správy.</w:t>
      </w:r>
    </w:p>
    <w:p w14:paraId="04D58469" w14:textId="6138DC9F" w:rsidR="00B477D1" w:rsidRDefault="00B477D1" w:rsidP="00B477D1">
      <w:pPr>
        <w:pStyle w:val="Zkladn"/>
        <w:spacing w:before="0" w:after="240"/>
        <w:rPr>
          <w:rFonts w:asciiTheme="minorHAnsi" w:hAnsiTheme="minorHAnsi" w:cstheme="minorHAnsi"/>
        </w:rPr>
      </w:pPr>
      <w:r>
        <w:rPr>
          <w:rFonts w:asciiTheme="minorHAnsi" w:hAnsiTheme="minorHAnsi" w:cstheme="minorHAnsi"/>
        </w:rPr>
        <w:t xml:space="preserve">U </w:t>
      </w:r>
      <w:r w:rsidR="008B7B25">
        <w:rPr>
          <w:rFonts w:asciiTheme="minorHAnsi" w:hAnsiTheme="minorHAnsi" w:cstheme="minorHAnsi"/>
        </w:rPr>
        <w:t>MV</w:t>
      </w:r>
      <w:r>
        <w:rPr>
          <w:rFonts w:asciiTheme="minorHAnsi" w:hAnsiTheme="minorHAnsi" w:cstheme="minorHAnsi"/>
        </w:rPr>
        <w:t xml:space="preserve"> </w:t>
      </w:r>
      <w:r w:rsidR="00614E42">
        <w:rPr>
          <w:rFonts w:asciiTheme="minorHAnsi" w:hAnsiTheme="minorHAnsi" w:cstheme="minorHAnsi"/>
        </w:rPr>
        <w:t xml:space="preserve">kontrola </w:t>
      </w:r>
      <w:r>
        <w:rPr>
          <w:rFonts w:asciiTheme="minorHAnsi" w:hAnsiTheme="minorHAnsi" w:cstheme="minorHAnsi"/>
        </w:rPr>
        <w:t>prověř</w:t>
      </w:r>
      <w:r w:rsidR="00614E42">
        <w:rPr>
          <w:rFonts w:asciiTheme="minorHAnsi" w:hAnsiTheme="minorHAnsi" w:cstheme="minorHAnsi"/>
        </w:rPr>
        <w:t>ila</w:t>
      </w:r>
      <w:r>
        <w:rPr>
          <w:rFonts w:asciiTheme="minorHAnsi" w:hAnsiTheme="minorHAnsi" w:cstheme="minorHAnsi"/>
        </w:rPr>
        <w:t xml:space="preserve">, zda byly uvedené nástroje připraveny a realizovány v souladu se strategiemi </w:t>
      </w:r>
      <w:proofErr w:type="spellStart"/>
      <w:r>
        <w:rPr>
          <w:rFonts w:asciiTheme="minorHAnsi" w:hAnsiTheme="minorHAnsi" w:cstheme="minorHAnsi"/>
        </w:rPr>
        <w:t>eGovernmentu</w:t>
      </w:r>
      <w:proofErr w:type="spellEnd"/>
      <w:r>
        <w:rPr>
          <w:rFonts w:asciiTheme="minorHAnsi" w:hAnsiTheme="minorHAnsi" w:cstheme="minorHAnsi"/>
        </w:rPr>
        <w:t xml:space="preserve"> a jakým způsobem MV koordinovalo a řídilo svoje podřízené organizace při realizaci systému elektronické identifikace a </w:t>
      </w:r>
      <w:r w:rsidRPr="00823553">
        <w:rPr>
          <w:rFonts w:asciiTheme="minorHAnsi" w:hAnsiTheme="minorHAnsi" w:cstheme="minorHAnsi"/>
          <w:i/>
        </w:rPr>
        <w:t>Portálu občana</w:t>
      </w:r>
      <w:r>
        <w:rPr>
          <w:rFonts w:asciiTheme="minorHAnsi" w:hAnsiTheme="minorHAnsi" w:cstheme="minorHAnsi"/>
        </w:rPr>
        <w:t>. Dále se NK</w:t>
      </w:r>
      <w:r w:rsidR="008B7B25">
        <w:rPr>
          <w:rFonts w:asciiTheme="minorHAnsi" w:hAnsiTheme="minorHAnsi" w:cstheme="minorHAnsi"/>
        </w:rPr>
        <w:t>Ú zaměřil na</w:t>
      </w:r>
      <w:r w:rsidR="00A274E1">
        <w:rPr>
          <w:rFonts w:asciiTheme="minorHAnsi" w:hAnsiTheme="minorHAnsi" w:cstheme="minorHAnsi"/>
        </w:rPr>
        <w:t xml:space="preserve"> hospodárnost a účelnost </w:t>
      </w:r>
      <w:r w:rsidR="00614E42">
        <w:rPr>
          <w:rFonts w:asciiTheme="minorHAnsi" w:hAnsiTheme="minorHAnsi" w:cstheme="minorHAnsi"/>
        </w:rPr>
        <w:t xml:space="preserve">vynaložení </w:t>
      </w:r>
      <w:r w:rsidR="006F3A1F">
        <w:rPr>
          <w:rFonts w:asciiTheme="minorHAnsi" w:hAnsiTheme="minorHAnsi" w:cstheme="minorHAnsi"/>
        </w:rPr>
        <w:t>peněžních</w:t>
      </w:r>
      <w:r w:rsidR="00A274E1">
        <w:rPr>
          <w:rFonts w:asciiTheme="minorHAnsi" w:hAnsiTheme="minorHAnsi" w:cstheme="minorHAnsi"/>
        </w:rPr>
        <w:t xml:space="preserve"> prostředků</w:t>
      </w:r>
      <w:r w:rsidR="006F3A1F">
        <w:rPr>
          <w:rFonts w:asciiTheme="minorHAnsi" w:hAnsiTheme="minorHAnsi" w:cstheme="minorHAnsi"/>
        </w:rPr>
        <w:t xml:space="preserve"> </w:t>
      </w:r>
      <w:r w:rsidR="00A274E1">
        <w:rPr>
          <w:rFonts w:asciiTheme="minorHAnsi" w:hAnsiTheme="minorHAnsi" w:cstheme="minorHAnsi"/>
        </w:rPr>
        <w:t>na</w:t>
      </w:r>
      <w:r w:rsidR="008B7B25">
        <w:rPr>
          <w:rFonts w:asciiTheme="minorHAnsi" w:hAnsiTheme="minorHAnsi" w:cstheme="minorHAnsi"/>
        </w:rPr>
        <w:t xml:space="preserve"> vytvoření </w:t>
      </w:r>
      <w:r w:rsidR="008B7B25" w:rsidRPr="00823553">
        <w:rPr>
          <w:rFonts w:asciiTheme="minorHAnsi" w:hAnsiTheme="minorHAnsi" w:cstheme="minorHAnsi"/>
          <w:i/>
        </w:rPr>
        <w:t>Portálu občana</w:t>
      </w:r>
      <w:r w:rsidR="008B7B25">
        <w:rPr>
          <w:rFonts w:asciiTheme="minorHAnsi" w:hAnsiTheme="minorHAnsi" w:cstheme="minorHAnsi"/>
        </w:rPr>
        <w:t xml:space="preserve"> a zajištění dostupnosti digitálních služeb veřejné správy jeho prostřednictvím.</w:t>
      </w:r>
    </w:p>
    <w:p w14:paraId="0C8ED719" w14:textId="627F5DB4" w:rsidR="008B7B25" w:rsidRDefault="008B7B25" w:rsidP="00B477D1">
      <w:pPr>
        <w:pStyle w:val="Zkladn"/>
        <w:spacing w:before="0" w:after="240"/>
        <w:rPr>
          <w:rFonts w:asciiTheme="minorHAnsi" w:hAnsiTheme="minorHAnsi" w:cstheme="minorHAnsi"/>
        </w:rPr>
      </w:pPr>
      <w:r>
        <w:rPr>
          <w:rFonts w:asciiTheme="minorHAnsi" w:hAnsiTheme="minorHAnsi" w:cstheme="minorHAnsi"/>
        </w:rPr>
        <w:t xml:space="preserve">Při kontrole u SZR se NKÚ zaměřil na technickou realizaci NIA, </w:t>
      </w:r>
      <w:r w:rsidR="00A274E1">
        <w:rPr>
          <w:rFonts w:asciiTheme="minorHAnsi" w:hAnsiTheme="minorHAnsi" w:cstheme="minorHAnsi"/>
        </w:rPr>
        <w:t>hospodárnost a účelnost vynaklád</w:t>
      </w:r>
      <w:r w:rsidR="00614E42">
        <w:rPr>
          <w:rFonts w:asciiTheme="minorHAnsi" w:hAnsiTheme="minorHAnsi" w:cstheme="minorHAnsi"/>
        </w:rPr>
        <w:t>ání</w:t>
      </w:r>
      <w:r w:rsidR="00A274E1">
        <w:rPr>
          <w:rFonts w:asciiTheme="minorHAnsi" w:hAnsiTheme="minorHAnsi" w:cstheme="minorHAnsi"/>
        </w:rPr>
        <w:t xml:space="preserve"> </w:t>
      </w:r>
      <w:r w:rsidR="00737DB2">
        <w:rPr>
          <w:rFonts w:asciiTheme="minorHAnsi" w:hAnsiTheme="minorHAnsi" w:cstheme="minorHAnsi"/>
        </w:rPr>
        <w:t>peněžních</w:t>
      </w:r>
      <w:r w:rsidR="00A274E1">
        <w:rPr>
          <w:rFonts w:asciiTheme="minorHAnsi" w:hAnsiTheme="minorHAnsi" w:cstheme="minorHAnsi"/>
        </w:rPr>
        <w:t xml:space="preserve"> prostředků, </w:t>
      </w:r>
      <w:r>
        <w:rPr>
          <w:rFonts w:asciiTheme="minorHAnsi" w:hAnsiTheme="minorHAnsi" w:cstheme="minorHAnsi"/>
        </w:rPr>
        <w:t xml:space="preserve">na veřejné zakázky a </w:t>
      </w:r>
      <w:r w:rsidR="00737DB2">
        <w:rPr>
          <w:rFonts w:asciiTheme="minorHAnsi" w:hAnsiTheme="minorHAnsi" w:cstheme="minorHAnsi"/>
        </w:rPr>
        <w:t xml:space="preserve">na </w:t>
      </w:r>
      <w:r>
        <w:rPr>
          <w:rFonts w:asciiTheme="minorHAnsi" w:hAnsiTheme="minorHAnsi" w:cstheme="minorHAnsi"/>
        </w:rPr>
        <w:t>smlouvy, které SZR v souvislosti s vytvořením NIA uzavírala</w:t>
      </w:r>
      <w:r w:rsidR="00614E42">
        <w:rPr>
          <w:rFonts w:asciiTheme="minorHAnsi" w:hAnsiTheme="minorHAnsi" w:cstheme="minorHAnsi"/>
        </w:rPr>
        <w:t>,</w:t>
      </w:r>
      <w:r>
        <w:rPr>
          <w:rFonts w:asciiTheme="minorHAnsi" w:hAnsiTheme="minorHAnsi" w:cstheme="minorHAnsi"/>
        </w:rPr>
        <w:t xml:space="preserve"> a dále na zajištění provozu mezinárodního uzlu </w:t>
      </w:r>
      <w:proofErr w:type="spellStart"/>
      <w:r>
        <w:rPr>
          <w:rFonts w:asciiTheme="minorHAnsi" w:hAnsiTheme="minorHAnsi" w:cstheme="minorHAnsi"/>
        </w:rPr>
        <w:t>eIDAS</w:t>
      </w:r>
      <w:proofErr w:type="spellEnd"/>
      <w:r>
        <w:rPr>
          <w:rFonts w:asciiTheme="minorHAnsi" w:hAnsiTheme="minorHAnsi" w:cstheme="minorHAnsi"/>
        </w:rPr>
        <w:t>.</w:t>
      </w:r>
    </w:p>
    <w:p w14:paraId="5724FBB8" w14:textId="22B3AD3E" w:rsidR="008B7B25" w:rsidRDefault="008B7B25" w:rsidP="00B477D1">
      <w:pPr>
        <w:pStyle w:val="Zkladn"/>
        <w:spacing w:before="0" w:after="240"/>
        <w:rPr>
          <w:rFonts w:asciiTheme="minorHAnsi" w:hAnsiTheme="minorHAnsi" w:cstheme="minorHAnsi"/>
        </w:rPr>
      </w:pPr>
      <w:r>
        <w:rPr>
          <w:rFonts w:asciiTheme="minorHAnsi" w:hAnsiTheme="minorHAnsi" w:cstheme="minorHAnsi"/>
        </w:rPr>
        <w:t xml:space="preserve">U NAKIT se NKÚ při kontrole zaměřil na spolupráci NAKIT se SZR při realizaci NIA. Dále NKÚ prověřoval činnosti vykonávané NAKIT při vytváření </w:t>
      </w:r>
      <w:r w:rsidRPr="00823553">
        <w:rPr>
          <w:rFonts w:asciiTheme="minorHAnsi" w:hAnsiTheme="minorHAnsi" w:cstheme="minorHAnsi"/>
          <w:i/>
        </w:rPr>
        <w:t>Portálu občana</w:t>
      </w:r>
      <w:r>
        <w:rPr>
          <w:rFonts w:asciiTheme="minorHAnsi" w:hAnsiTheme="minorHAnsi" w:cstheme="minorHAnsi"/>
        </w:rPr>
        <w:t xml:space="preserve"> a smlouvy, které NAKIT za tímto účelem uzavíral</w:t>
      </w:r>
      <w:r w:rsidR="00614E42">
        <w:rPr>
          <w:rFonts w:asciiTheme="minorHAnsi" w:hAnsiTheme="minorHAnsi" w:cstheme="minorHAnsi"/>
        </w:rPr>
        <w:t>a</w:t>
      </w:r>
      <w:r>
        <w:rPr>
          <w:rFonts w:asciiTheme="minorHAnsi" w:hAnsiTheme="minorHAnsi" w:cstheme="minorHAnsi"/>
        </w:rPr>
        <w:t xml:space="preserve"> se svými dodavateli.</w:t>
      </w:r>
    </w:p>
    <w:p w14:paraId="62E666D7" w14:textId="669A8183" w:rsidR="00E70BFC" w:rsidRDefault="00AE49F5" w:rsidP="00B477D1">
      <w:pPr>
        <w:pStyle w:val="Zkladn"/>
        <w:spacing w:before="0" w:after="240"/>
        <w:rPr>
          <w:rFonts w:asciiTheme="minorHAnsi" w:hAnsiTheme="minorHAnsi" w:cstheme="minorHAnsi"/>
        </w:rPr>
      </w:pPr>
      <w:r>
        <w:rPr>
          <w:rFonts w:asciiTheme="minorHAnsi" w:hAnsiTheme="minorHAnsi" w:cstheme="minorHAnsi"/>
        </w:rPr>
        <w:t>Kontrolovaný objem</w:t>
      </w:r>
      <w:r w:rsidR="00737DB2">
        <w:rPr>
          <w:rFonts w:asciiTheme="minorHAnsi" w:hAnsiTheme="minorHAnsi" w:cstheme="minorHAnsi"/>
        </w:rPr>
        <w:t xml:space="preserve"> peněžních prostředků byl</w:t>
      </w:r>
      <w:r>
        <w:rPr>
          <w:rFonts w:asciiTheme="minorHAnsi" w:hAnsiTheme="minorHAnsi" w:cstheme="minorHAnsi"/>
        </w:rPr>
        <w:t xml:space="preserve"> 695 730 747 Kč a byly do něj zahrnuty výdaje na realizaci </w:t>
      </w:r>
      <w:r w:rsidRPr="00823553">
        <w:rPr>
          <w:rFonts w:asciiTheme="minorHAnsi" w:hAnsiTheme="minorHAnsi" w:cstheme="minorHAnsi"/>
          <w:i/>
        </w:rPr>
        <w:t>Portálu občana</w:t>
      </w:r>
      <w:r>
        <w:rPr>
          <w:rFonts w:asciiTheme="minorHAnsi" w:hAnsiTheme="minorHAnsi" w:cstheme="minorHAnsi"/>
        </w:rPr>
        <w:t xml:space="preserve">, na propagaci nástrojů </w:t>
      </w:r>
      <w:proofErr w:type="spellStart"/>
      <w:r>
        <w:rPr>
          <w:rFonts w:asciiTheme="minorHAnsi" w:hAnsiTheme="minorHAnsi" w:cstheme="minorHAnsi"/>
        </w:rPr>
        <w:t>eGovernmentu</w:t>
      </w:r>
      <w:proofErr w:type="spellEnd"/>
      <w:r>
        <w:rPr>
          <w:rFonts w:asciiTheme="minorHAnsi" w:hAnsiTheme="minorHAnsi" w:cstheme="minorHAnsi"/>
        </w:rPr>
        <w:t xml:space="preserve"> a na realizaci projektu MORIS</w:t>
      </w:r>
      <w:r>
        <w:rPr>
          <w:rStyle w:val="Znakapoznpodarou"/>
          <w:rFonts w:asciiTheme="minorHAnsi" w:hAnsiTheme="minorHAnsi" w:cstheme="minorHAnsi"/>
        </w:rPr>
        <w:footnoteReference w:id="9"/>
      </w:r>
      <w:r>
        <w:rPr>
          <w:rFonts w:asciiTheme="minorHAnsi" w:hAnsiTheme="minorHAnsi" w:cstheme="minorHAnsi"/>
        </w:rPr>
        <w:t>.</w:t>
      </w:r>
    </w:p>
    <w:p w14:paraId="14CE403D" w14:textId="77777777" w:rsidR="005E31E3" w:rsidRDefault="005E31E3" w:rsidP="00B477D1">
      <w:pPr>
        <w:pStyle w:val="Zkladn"/>
        <w:spacing w:before="0" w:after="240"/>
        <w:rPr>
          <w:rFonts w:asciiTheme="minorHAnsi" w:hAnsiTheme="minorHAnsi" w:cstheme="minorHAnsi"/>
        </w:rPr>
      </w:pPr>
    </w:p>
    <w:p w14:paraId="6CD9A825" w14:textId="77777777" w:rsidR="00C1450F" w:rsidRDefault="00C1450F">
      <w:pPr>
        <w:jc w:val="left"/>
        <w:rPr>
          <w:rFonts w:eastAsiaTheme="majorEastAsia" w:cstheme="majorBidi"/>
          <w:b/>
          <w:caps/>
          <w:szCs w:val="32"/>
        </w:rPr>
      </w:pPr>
      <w:r>
        <w:br w:type="page"/>
      </w:r>
    </w:p>
    <w:p w14:paraId="50751326" w14:textId="4889E316" w:rsidR="00406D86" w:rsidRPr="00406D86" w:rsidRDefault="00406D86" w:rsidP="00CA6CBC">
      <w:pPr>
        <w:pStyle w:val="Nadpis1"/>
        <w:ind w:left="567" w:hanging="141"/>
      </w:pPr>
      <w:r w:rsidRPr="005C7F8F">
        <w:lastRenderedPageBreak/>
        <w:t>PODROBNÉ</w:t>
      </w:r>
      <w:r w:rsidRPr="00406D86">
        <w:t xml:space="preserve"> SKUTEČNOSTI ZJIŠTĚNÉ KONTROLOU</w:t>
      </w:r>
    </w:p>
    <w:p w14:paraId="366C8201" w14:textId="7D987B27" w:rsidR="00891877" w:rsidRDefault="00891877" w:rsidP="00823553">
      <w:pPr>
        <w:spacing w:after="0"/>
      </w:pPr>
    </w:p>
    <w:p w14:paraId="7A7497AE" w14:textId="48B3BAEF" w:rsidR="00EE632A" w:rsidRPr="00823553" w:rsidRDefault="00EE632A" w:rsidP="00EE632A">
      <w:pPr>
        <w:pStyle w:val="Nadpis2"/>
        <w:rPr>
          <w:rFonts w:asciiTheme="minorHAnsi" w:hAnsiTheme="minorHAnsi" w:cstheme="minorHAnsi"/>
        </w:rPr>
      </w:pPr>
      <w:r w:rsidRPr="00823553">
        <w:rPr>
          <w:rFonts w:asciiTheme="minorHAnsi" w:hAnsiTheme="minorHAnsi" w:cstheme="minorHAnsi"/>
        </w:rPr>
        <w:t>Elektronická identifikace</w:t>
      </w:r>
    </w:p>
    <w:p w14:paraId="32173EB0" w14:textId="687595D6" w:rsidR="00A152C3" w:rsidRDefault="00A152C3" w:rsidP="00A152C3">
      <w:r>
        <w:t xml:space="preserve">Vytvoření NIA zajistilo MV prostřednictvím </w:t>
      </w:r>
      <w:r w:rsidR="005D6147">
        <w:t>Správy základních registrů</w:t>
      </w:r>
      <w:r>
        <w:t xml:space="preserve">, </w:t>
      </w:r>
      <w:r w:rsidR="002B4B46">
        <w:t>která</w:t>
      </w:r>
      <w:r>
        <w:t xml:space="preserve"> </w:t>
      </w:r>
      <w:r w:rsidR="002B4B46">
        <w:t>vybudování tohoto portálu zahrnula do</w:t>
      </w:r>
      <w:r>
        <w:t xml:space="preserve"> projektu s názvem </w:t>
      </w:r>
      <w:r>
        <w:rPr>
          <w:i/>
        </w:rPr>
        <w:t xml:space="preserve">Modulární registr pro informační systémy </w:t>
      </w:r>
      <w:r>
        <w:t>(dále jen „MORIS“). Projekt MORIS byl připravován již od roku 2014 a jednalo se o nadstavbu základních registrů veřejné správy umožňující především elektronickou identifikaci fyzických osob a s tím související vydávání údajů o těchto osobách ze základních registrů.</w:t>
      </w:r>
      <w:r w:rsidR="00A8362E">
        <w:t xml:space="preserve"> Za účelem realizace projektu uzavřela SZR s Odštěpným závodem ICT služby </w:t>
      </w:r>
      <w:r w:rsidR="009711AF">
        <w:t xml:space="preserve">České pošty, s. p., </w:t>
      </w:r>
      <w:r w:rsidR="00A8362E">
        <w:t>(dále jen „OZ</w:t>
      </w:r>
      <w:r w:rsidR="00043977">
        <w:t> ICTS</w:t>
      </w:r>
      <w:r w:rsidR="00A8362E">
        <w:t xml:space="preserve">“) </w:t>
      </w:r>
      <w:r w:rsidR="00A8362E">
        <w:rPr>
          <w:i/>
        </w:rPr>
        <w:t xml:space="preserve">Memorandum o plnění společného úkolu ve veřejném zájmu při realizaci projektu „Modulární registr pro informační systémy“. </w:t>
      </w:r>
      <w:r w:rsidR="00A8362E">
        <w:t>V průběhu realizace projektu byl OZ</w:t>
      </w:r>
      <w:r w:rsidR="00043977">
        <w:t> ICTS</w:t>
      </w:r>
      <w:r w:rsidR="00A8362E">
        <w:t xml:space="preserve"> zrušen </w:t>
      </w:r>
      <w:r w:rsidR="009711AF">
        <w:t xml:space="preserve">a </w:t>
      </w:r>
      <w:r w:rsidR="007634F3">
        <w:t>právním nástupcem</w:t>
      </w:r>
      <w:r w:rsidR="009711AF">
        <w:t xml:space="preserve"> se stal </w:t>
      </w:r>
      <w:r w:rsidR="00A8362E">
        <w:t xml:space="preserve">nově vzniklý státní podnik NAKIT. </w:t>
      </w:r>
    </w:p>
    <w:p w14:paraId="5ED18D10" w14:textId="05615664" w:rsidR="00A8362E" w:rsidRDefault="001D2A75" w:rsidP="00A152C3">
      <w:r>
        <w:t>V rámci plnění memoranda uzavřela SZR s</w:t>
      </w:r>
      <w:r w:rsidR="00DD0B71">
        <w:t xml:space="preserve"> </w:t>
      </w:r>
      <w:r>
        <w:t>OZ</w:t>
      </w:r>
      <w:r w:rsidR="00043977">
        <w:t> ICTS</w:t>
      </w:r>
      <w:r w:rsidR="00EB1898">
        <w:t>,</w:t>
      </w:r>
      <w:r>
        <w:t xml:space="preserve"> resp. NAKIT</w:t>
      </w:r>
      <w:r w:rsidR="00EB1898">
        <w:t>,</w:t>
      </w:r>
      <w:r>
        <w:t xml:space="preserve"> celkem 4 smlouvy týkající se realizace a provozu MORIS. Všechny tyto smlouvy byly uzavřeny v režimu tzv. horizontální spolupráce</w:t>
      </w:r>
      <w:r w:rsidR="009711AF">
        <w:t>,</w:t>
      </w:r>
      <w:r>
        <w:t xml:space="preserve"> a tedy </w:t>
      </w:r>
      <w:r w:rsidR="007634F3">
        <w:t>mimo režim ZZVZ</w:t>
      </w:r>
      <w:r>
        <w:t xml:space="preserve">. </w:t>
      </w:r>
      <w:r w:rsidR="00D67481">
        <w:t>NKÚ při kontrole těchto smluv a jejich plnění zjistil pouze dílčí nedostatky. U některých smluv nepostupovala SZR při jejich uveřejňování v registru smluv zcela podle pravidel stanovených</w:t>
      </w:r>
      <w:r w:rsidR="00E16501">
        <w:t xml:space="preserve"> zákon</w:t>
      </w:r>
      <w:r w:rsidR="009711AF">
        <w:t>em</w:t>
      </w:r>
      <w:r w:rsidR="00D67481">
        <w:t xml:space="preserve"> č. 340/2015 Sb., o</w:t>
      </w:r>
      <w:r w:rsidR="007634F3">
        <w:t xml:space="preserve"> </w:t>
      </w:r>
      <w:r w:rsidR="007634F3" w:rsidRPr="007634F3">
        <w:t>zvláštních podmínkách účinnosti některých smluv, uveřejňování těchto smluv a o registru smluv (zákon o registru smluv)</w:t>
      </w:r>
      <w:r w:rsidR="00D67481">
        <w:t>. Žádné z těchto pochybení však nemělo dopad na platnost smlouvy.</w:t>
      </w:r>
    </w:p>
    <w:p w14:paraId="779F84D6" w14:textId="4FD12D00" w:rsidR="00D67481" w:rsidRDefault="00AE085D" w:rsidP="00A152C3">
      <w:r>
        <w:t xml:space="preserve">NKÚ v kontrole zjistil, že </w:t>
      </w:r>
      <w:r w:rsidR="00DD0B71">
        <w:t xml:space="preserve">s </w:t>
      </w:r>
      <w:r>
        <w:t>vytvoření</w:t>
      </w:r>
      <w:r w:rsidR="00DD0B71">
        <w:t>m</w:t>
      </w:r>
      <w:r>
        <w:t xml:space="preserve"> NIA pro účely elektronické</w:t>
      </w:r>
      <w:r w:rsidR="0005431E">
        <w:t xml:space="preserve"> identifikace přímo </w:t>
      </w:r>
      <w:r w:rsidR="00DD0B71">
        <w:t>souviselo</w:t>
      </w:r>
      <w:r w:rsidR="0005431E">
        <w:t xml:space="preserve"> 5 </w:t>
      </w:r>
      <w:r>
        <w:t>smluv</w:t>
      </w:r>
      <w:r w:rsidR="00EC5DA0">
        <w:t>,</w:t>
      </w:r>
      <w:r w:rsidR="00DC18EB">
        <w:t xml:space="preserve"> z nichž 4 SZR uzavřela s NAKIT a 1 s externím dodavatelem.</w:t>
      </w:r>
      <w:r w:rsidR="00EC5DA0">
        <w:t xml:space="preserve"> </w:t>
      </w:r>
      <w:r w:rsidR="00DC18EB">
        <w:t>C</w:t>
      </w:r>
      <w:r w:rsidR="00EC5DA0">
        <w:t xml:space="preserve">elková hodnota plnění </w:t>
      </w:r>
      <w:r w:rsidR="00DC18EB">
        <w:t xml:space="preserve">smluv </w:t>
      </w:r>
      <w:r w:rsidR="00EC5DA0">
        <w:t>do konce roku 2019 dosáhla</w:t>
      </w:r>
      <w:r w:rsidR="00242645">
        <w:t xml:space="preserve"> částky</w:t>
      </w:r>
      <w:r w:rsidR="0043688B">
        <w:t xml:space="preserve"> 159 553 841 Kč</w:t>
      </w:r>
      <w:r w:rsidR="00EC5DA0">
        <w:t>.</w:t>
      </w:r>
      <w:r w:rsidR="00242645">
        <w:t xml:space="preserve"> </w:t>
      </w:r>
      <w:r w:rsidR="005A587A">
        <w:t>Do roku 2022 by pak hodnota plnění měla dosáhnout celkem 421 654 365 Kč.</w:t>
      </w:r>
    </w:p>
    <w:p w14:paraId="7A13BDB8" w14:textId="26B82E93" w:rsidR="00CD1DF7" w:rsidRDefault="005A587A" w:rsidP="005A587A">
      <w:r>
        <w:t xml:space="preserve">Součástí systému elektronické identifikace je tzv. </w:t>
      </w:r>
      <w:r w:rsidR="008A5452">
        <w:rPr>
          <w:i/>
        </w:rPr>
        <w:t>m</w:t>
      </w:r>
      <w:r w:rsidR="00EE632A" w:rsidRPr="005A587A">
        <w:rPr>
          <w:i/>
        </w:rPr>
        <w:t xml:space="preserve">ezinárodní uzel </w:t>
      </w:r>
      <w:proofErr w:type="spellStart"/>
      <w:r w:rsidR="00EE632A" w:rsidRPr="005A587A">
        <w:rPr>
          <w:i/>
        </w:rPr>
        <w:t>eIDAS</w:t>
      </w:r>
      <w:proofErr w:type="spellEnd"/>
      <w:r w:rsidR="00EE632A" w:rsidRPr="000D6E77">
        <w:t>, který je nutný pro rozpoznávání elektronické identifikace ostatních členských států EU</w:t>
      </w:r>
      <w:r>
        <w:t xml:space="preserve"> za podmínek stanovených nařízením </w:t>
      </w:r>
      <w:proofErr w:type="spellStart"/>
      <w:r>
        <w:t>eIDAS</w:t>
      </w:r>
      <w:proofErr w:type="spellEnd"/>
      <w:r w:rsidR="00EE632A" w:rsidRPr="000D6E77">
        <w:t xml:space="preserve">. </w:t>
      </w:r>
      <w:r>
        <w:t>Vytvoření a p</w:t>
      </w:r>
      <w:r w:rsidR="00EE632A" w:rsidRPr="000D6E77">
        <w:t xml:space="preserve">rovoz mezinárodního uzlu </w:t>
      </w:r>
      <w:proofErr w:type="spellStart"/>
      <w:r w:rsidR="00EE632A" w:rsidRPr="000D6E77">
        <w:t>eIDAS</w:t>
      </w:r>
      <w:proofErr w:type="spellEnd"/>
      <w:r w:rsidR="00EE632A" w:rsidRPr="000D6E77">
        <w:t xml:space="preserve"> zajistila SZR formou služby od externího dodavatele</w:t>
      </w:r>
      <w:r w:rsidR="00F77CE3">
        <w:rPr>
          <w:rStyle w:val="Znakapoznpodarou"/>
        </w:rPr>
        <w:footnoteReference w:id="10"/>
      </w:r>
      <w:r w:rsidR="00F77CE3">
        <w:t xml:space="preserve">. </w:t>
      </w:r>
      <w:r>
        <w:t>T</w:t>
      </w:r>
      <w:r w:rsidR="00EE632A" w:rsidRPr="000D6E77">
        <w:t>uto skutečnost zdůvodnilo</w:t>
      </w:r>
      <w:r>
        <w:t xml:space="preserve"> MV</w:t>
      </w:r>
      <w:r w:rsidR="00EE632A" w:rsidRPr="000D6E77">
        <w:t xml:space="preserve"> především nedostatkem odborných kapacit pracovníků MV a SZR</w:t>
      </w:r>
      <w:r>
        <w:t>.</w:t>
      </w:r>
      <w:r w:rsidR="00EE632A" w:rsidRPr="000D6E77">
        <w:t xml:space="preserve"> </w:t>
      </w:r>
      <w:r w:rsidR="00F77CE3">
        <w:t xml:space="preserve">Dodavatel </w:t>
      </w:r>
      <w:r w:rsidR="00EE632A" w:rsidRPr="000D6E77">
        <w:t xml:space="preserve">vytvořil mezinárodní uzel </w:t>
      </w:r>
      <w:proofErr w:type="spellStart"/>
      <w:r w:rsidR="00EE632A" w:rsidRPr="000D6E77">
        <w:t>eIDAS</w:t>
      </w:r>
      <w:proofErr w:type="spellEnd"/>
      <w:r w:rsidR="00EE632A" w:rsidRPr="000D6E77">
        <w:t xml:space="preserve"> s využitím evropských finančních prostředků</w:t>
      </w:r>
      <w:r w:rsidR="00EE632A" w:rsidRPr="000D6E77">
        <w:rPr>
          <w:rStyle w:val="Znakapoznpodarou"/>
        </w:rPr>
        <w:footnoteReference w:id="11"/>
      </w:r>
      <w:r w:rsidR="002C0BFC">
        <w:t xml:space="preserve">. </w:t>
      </w:r>
      <w:r w:rsidR="00CD1DF7" w:rsidRPr="00CD1DF7">
        <w:t xml:space="preserve">Kontrolou bylo zjištěno, že ve smlouvě mezi SZR a </w:t>
      </w:r>
      <w:r w:rsidR="00F77CE3">
        <w:t>dodavatelem</w:t>
      </w:r>
      <w:r w:rsidR="00CD1DF7" w:rsidRPr="00CD1DF7">
        <w:t xml:space="preserve"> bylo sjednáno finanční plnění ve formě paušálních plateb, jehož celková hodnota do ukončení smlouvy dosáhne 5 564 064 Kč.</w:t>
      </w:r>
    </w:p>
    <w:p w14:paraId="27262A42" w14:textId="02DF7228" w:rsidR="00EE632A" w:rsidRDefault="008C4037" w:rsidP="005A587A">
      <w:r>
        <w:t xml:space="preserve">Povinnost provozovat mezinárodní uzel vyplývá z nařízení </w:t>
      </w:r>
      <w:proofErr w:type="spellStart"/>
      <w:r>
        <w:t>eIDAS</w:t>
      </w:r>
      <w:proofErr w:type="spellEnd"/>
      <w:r>
        <w:t xml:space="preserve">. </w:t>
      </w:r>
      <w:r w:rsidR="00EE632A">
        <w:t>NKÚ upozorňuje, že p</w:t>
      </w:r>
      <w:r w:rsidR="00EE632A" w:rsidRPr="005A398C">
        <w:t xml:space="preserve">okud se MV, resp. SZR nepodaří do ukončení </w:t>
      </w:r>
      <w:r w:rsidR="00EE632A">
        <w:t>tohoto s</w:t>
      </w:r>
      <w:r w:rsidR="00EE632A" w:rsidRPr="005A398C">
        <w:t xml:space="preserve">mluvního vztahu </w:t>
      </w:r>
      <w:r w:rsidR="00EE632A">
        <w:t xml:space="preserve">zajistit vlastní </w:t>
      </w:r>
      <w:r w:rsidR="00EE632A" w:rsidRPr="005A398C">
        <w:t>odborné kapacity, zvyšuje se riziko, že provoz mezinárodního uzlu bude i do budoucna závislý na externím dodavateli</w:t>
      </w:r>
      <w:r w:rsidR="00146256">
        <w:t xml:space="preserve"> a zpoplatněn</w:t>
      </w:r>
      <w:r w:rsidR="00EE632A" w:rsidRPr="005A398C">
        <w:t>.</w:t>
      </w:r>
      <w:r>
        <w:t xml:space="preserve"> </w:t>
      </w:r>
    </w:p>
    <w:p w14:paraId="0851E22D" w14:textId="6A9F2FE8" w:rsidR="00DB0CBD" w:rsidRPr="000D6E77" w:rsidRDefault="00DB0CBD" w:rsidP="005A587A">
      <w:r>
        <w:lastRenderedPageBreak/>
        <w:t xml:space="preserve">Do konce roku 2019 vydalo MV celkem 1 755 615 nových </w:t>
      </w:r>
      <w:proofErr w:type="spellStart"/>
      <w:r>
        <w:t>eOP</w:t>
      </w:r>
      <w:proofErr w:type="spellEnd"/>
      <w:r>
        <w:t xml:space="preserve">. Identifikační certifikát si přitom nechalo aktivovat 227 495 držitelů, což představuje 13 % z celkového počtu vydaných </w:t>
      </w:r>
      <w:proofErr w:type="spellStart"/>
      <w:r>
        <w:t>eOP</w:t>
      </w:r>
      <w:proofErr w:type="spellEnd"/>
      <w:r>
        <w:t xml:space="preserve">. Cena za 1 ks </w:t>
      </w:r>
      <w:proofErr w:type="spellStart"/>
      <w:r>
        <w:t>eOP</w:t>
      </w:r>
      <w:proofErr w:type="spellEnd"/>
      <w:r>
        <w:t xml:space="preserve"> byla stanovena dodatkem k již existující smlouvě uzavřené mezi MV a Státní tiskárnou cenin, a to na 83,16 Kč. Oproti ceně za občanský průkaz bez elektronické</w:t>
      </w:r>
      <w:r w:rsidR="00BC5F89">
        <w:t>ho</w:t>
      </w:r>
      <w:r>
        <w:t xml:space="preserve"> čipu došlo k navýšení ceny za 1 dodaný kus o 29,87 Kč. Do konce roku 2019 došlo</w:t>
      </w:r>
      <w:r w:rsidR="002E7404">
        <w:t xml:space="preserve"> k</w:t>
      </w:r>
      <w:r>
        <w:t xml:space="preserve"> navýšení výdajů na vydávání občanských průkazů o 52 440 220 Kč.</w:t>
      </w:r>
    </w:p>
    <w:p w14:paraId="7E2FDFF8" w14:textId="4D0D66F0" w:rsidR="00EE632A" w:rsidRPr="00823553" w:rsidRDefault="00EE632A" w:rsidP="00EE632A">
      <w:pPr>
        <w:pStyle w:val="Nadpis2"/>
        <w:rPr>
          <w:rFonts w:asciiTheme="minorHAnsi" w:hAnsiTheme="minorHAnsi" w:cstheme="minorHAnsi"/>
        </w:rPr>
      </w:pPr>
      <w:r w:rsidRPr="00823553">
        <w:rPr>
          <w:rFonts w:asciiTheme="minorHAnsi" w:hAnsiTheme="minorHAnsi" w:cstheme="minorHAnsi"/>
        </w:rPr>
        <w:t>Portál občana</w:t>
      </w:r>
    </w:p>
    <w:p w14:paraId="1632E7DF" w14:textId="20A60C22" w:rsidR="005A587A" w:rsidRDefault="007A0EEA" w:rsidP="005A587A">
      <w:r>
        <w:t>V</w:t>
      </w:r>
      <w:r w:rsidR="00D27C40">
        <w:t xml:space="preserve">ytvoření </w:t>
      </w:r>
      <w:r w:rsidR="00D27C40" w:rsidRPr="00823553">
        <w:rPr>
          <w:i/>
        </w:rPr>
        <w:t>P</w:t>
      </w:r>
      <w:r w:rsidRPr="00823553">
        <w:rPr>
          <w:i/>
        </w:rPr>
        <w:t>ortálu občana</w:t>
      </w:r>
      <w:r>
        <w:t xml:space="preserve"> </w:t>
      </w:r>
      <w:r w:rsidR="00D27C40">
        <w:t xml:space="preserve">plánovalo MV již od roku 2017, kdy </w:t>
      </w:r>
      <w:r w:rsidR="00436AFB">
        <w:t>začalo připravovat tzv. ověření konceptu</w:t>
      </w:r>
      <w:r w:rsidR="00436AFB" w:rsidRPr="00823553">
        <w:t>,</w:t>
      </w:r>
      <w:r w:rsidR="00D27C40">
        <w:t xml:space="preserve"> označované také jako pilotní fáze </w:t>
      </w:r>
      <w:r w:rsidR="00D27C40" w:rsidRPr="00823553">
        <w:rPr>
          <w:i/>
        </w:rPr>
        <w:t>Portálu občana</w:t>
      </w:r>
      <w:r w:rsidR="00D27C40">
        <w:t>. V říjnu 2017 předložilo vládě informace k připravované zakázce</w:t>
      </w:r>
      <w:r w:rsidR="00117DD0">
        <w:rPr>
          <w:rStyle w:val="Znakapoznpodarou"/>
        </w:rPr>
        <w:footnoteReference w:id="12"/>
      </w:r>
      <w:r w:rsidR="00D27C40">
        <w:t xml:space="preserve"> na vytvoření pilotní fáze portálu s úmyslem uzavřít smlouvu s NAKIT na základě tzv. vertikální spolupráce, tedy mimo režim </w:t>
      </w:r>
      <w:r w:rsidR="002E7404">
        <w:t>ZZVZ</w:t>
      </w:r>
      <w:r w:rsidR="00D27C40">
        <w:rPr>
          <w:rStyle w:val="Znakapoznpodarou"/>
        </w:rPr>
        <w:footnoteReference w:id="13"/>
      </w:r>
      <w:r w:rsidR="00D27C40">
        <w:t>. V tomto materiálu MV zdůvodnilo, že MV ve vztahu k NAKIT naplňuje podmínky vertikální spolupráce stanovené zákonem o zadávání veřejných zakázek. MV dále uvedlo, že NAKIT je připraven</w:t>
      </w:r>
      <w:r w:rsidR="00436AFB">
        <w:t>a</w:t>
      </w:r>
      <w:r w:rsidR="00D27C40">
        <w:t xml:space="preserve"> požadované služby dodat</w:t>
      </w:r>
      <w:r w:rsidR="00AA0B34">
        <w:t xml:space="preserve"> </w:t>
      </w:r>
      <w:r w:rsidR="00436AFB">
        <w:t>a že</w:t>
      </w:r>
      <w:r w:rsidR="00AA0B34">
        <w:t xml:space="preserve"> disponuje volnými kapacitami zkušených odborníků v oblasti ICT.</w:t>
      </w:r>
    </w:p>
    <w:p w14:paraId="1568BDFB" w14:textId="1B8BFB58" w:rsidR="00AA0B34" w:rsidRDefault="00AA0B34" w:rsidP="005A587A">
      <w:r>
        <w:t xml:space="preserve">Dne 29. 11. 2017 pak MV uzavřelo s NAKIT smlouvu na vytvoření pilotní fáze </w:t>
      </w:r>
      <w:r w:rsidRPr="00823553">
        <w:rPr>
          <w:i/>
        </w:rPr>
        <w:t>Portálu občana</w:t>
      </w:r>
      <w:r>
        <w:t xml:space="preserve"> v celkové hodnotě plnění 9 972 336 Kč. Hned následující den 30. 11. 2017 však NAKIT uzavřel</w:t>
      </w:r>
      <w:r w:rsidR="00695778">
        <w:t>a</w:t>
      </w:r>
      <w:r>
        <w:t xml:space="preserve"> smlouvu s</w:t>
      </w:r>
      <w:r w:rsidR="00D27C90">
        <w:t> externím dodavatelem</w:t>
      </w:r>
      <w:r>
        <w:t xml:space="preserve"> </w:t>
      </w:r>
      <w:r w:rsidR="000C5BE6">
        <w:t xml:space="preserve">v celkové hodnotě </w:t>
      </w:r>
      <w:r w:rsidR="00E061E8">
        <w:t>2 407 900 Kč</w:t>
      </w:r>
      <w:r w:rsidR="007B5B2F">
        <w:t>,</w:t>
      </w:r>
      <w:r>
        <w:t xml:space="preserve"> jejímž předmětem bylo poskytnutí odborných kapacit na realizaci všech funkcionalit pilotní fáze portálu</w:t>
      </w:r>
      <w:r w:rsidR="00D27C90">
        <w:rPr>
          <w:rStyle w:val="Znakapoznpodarou"/>
        </w:rPr>
        <w:footnoteReference w:id="14"/>
      </w:r>
      <w:r>
        <w:t>.</w:t>
      </w:r>
      <w:r w:rsidR="00CF1B84">
        <w:t xml:space="preserve"> </w:t>
      </w:r>
      <w:r w:rsidR="00D27C90">
        <w:t>Dodavatelská společnost</w:t>
      </w:r>
      <w:r w:rsidR="00CF1B84">
        <w:t xml:space="preserve"> se tak významnou měrou podílela na vytvoření pilotní fáze </w:t>
      </w:r>
      <w:r w:rsidR="00CF1B84" w:rsidRPr="00823553">
        <w:rPr>
          <w:i/>
        </w:rPr>
        <w:t>Portálu občana</w:t>
      </w:r>
      <w:r w:rsidR="00CF1B84">
        <w:t xml:space="preserve">, což </w:t>
      </w:r>
      <w:r w:rsidR="00996578">
        <w:t>ne</w:t>
      </w:r>
      <w:r w:rsidR="00CF1B84">
        <w:t>bylo v </w:t>
      </w:r>
      <w:r w:rsidR="00996578">
        <w:t xml:space="preserve">souladu </w:t>
      </w:r>
      <w:r w:rsidR="00695778">
        <w:t>s výše uvedeným</w:t>
      </w:r>
      <w:r w:rsidR="00CF1B84">
        <w:t xml:space="preserve"> zdůvodněním</w:t>
      </w:r>
      <w:r w:rsidR="00554CFF">
        <w:t xml:space="preserve">, které MV předložilo vládě </w:t>
      </w:r>
      <w:r w:rsidR="00695778">
        <w:t>a</w:t>
      </w:r>
      <w:r w:rsidR="008C250E">
        <w:t> </w:t>
      </w:r>
      <w:r w:rsidR="00695778">
        <w:t>v</w:t>
      </w:r>
      <w:r w:rsidR="008C250E">
        <w:t> </w:t>
      </w:r>
      <w:r w:rsidR="00695778">
        <w:t>němž</w:t>
      </w:r>
      <w:r w:rsidR="00554CFF">
        <w:t xml:space="preserve"> uvedlo, že </w:t>
      </w:r>
      <w:r w:rsidR="00554CFF" w:rsidRPr="00823553">
        <w:rPr>
          <w:i/>
        </w:rPr>
        <w:t>Portál občana</w:t>
      </w:r>
      <w:r w:rsidR="00554CFF">
        <w:t xml:space="preserve"> dodá NAKIT.</w:t>
      </w:r>
    </w:p>
    <w:p w14:paraId="74470195" w14:textId="2F914E44" w:rsidR="00CF1B84" w:rsidRDefault="00A86DB3" w:rsidP="005A587A">
      <w:r>
        <w:t xml:space="preserve">Na základě výstupu z pilotní fáze </w:t>
      </w:r>
      <w:r w:rsidRPr="00823553">
        <w:rPr>
          <w:i/>
        </w:rPr>
        <w:t>Portálu občana</w:t>
      </w:r>
      <w:r>
        <w:t xml:space="preserve"> připravilo MV projekt s názvem </w:t>
      </w:r>
      <w:r>
        <w:rPr>
          <w:i/>
        </w:rPr>
        <w:t xml:space="preserve">Portál veřejné správy 2.0 – Portál občana </w:t>
      </w:r>
      <w:r>
        <w:t>spolufinancovaný z </w:t>
      </w:r>
      <w:r w:rsidRPr="00823553">
        <w:rPr>
          <w:i/>
        </w:rPr>
        <w:t xml:space="preserve">Integrovaného </w:t>
      </w:r>
      <w:r w:rsidR="00695778" w:rsidRPr="00823553">
        <w:rPr>
          <w:i/>
        </w:rPr>
        <w:t xml:space="preserve">regionálního </w:t>
      </w:r>
      <w:r w:rsidRPr="00823553">
        <w:rPr>
          <w:i/>
        </w:rPr>
        <w:t>operačního programu</w:t>
      </w:r>
      <w:r>
        <w:t>.</w:t>
      </w:r>
      <w:r w:rsidR="00052375">
        <w:t xml:space="preserve"> Hlavní aktivitou tohoto projektu byla realizace </w:t>
      </w:r>
      <w:r w:rsidR="00052375" w:rsidRPr="00823553">
        <w:rPr>
          <w:i/>
        </w:rPr>
        <w:t>Port</w:t>
      </w:r>
      <w:r w:rsidR="00CF3731" w:rsidRPr="00823553">
        <w:rPr>
          <w:i/>
        </w:rPr>
        <w:t>álu občana</w:t>
      </w:r>
      <w:r w:rsidR="00CF3731">
        <w:t xml:space="preserve">. Dne 27. </w:t>
      </w:r>
      <w:r w:rsidR="002A50E3">
        <w:t>9</w:t>
      </w:r>
      <w:r w:rsidR="00CF3731">
        <w:t xml:space="preserve">. 2018 MV předložilo vládě informaci o připravované zakázce, jejímž předmětem bylo uzavření rámcové smlouvy na vytvoření </w:t>
      </w:r>
      <w:r w:rsidR="00CF3731" w:rsidRPr="00823553">
        <w:rPr>
          <w:i/>
        </w:rPr>
        <w:t>Portálu občana</w:t>
      </w:r>
      <w:r w:rsidR="00CF3731">
        <w:t>. Smlouva měla být uzavřena formou vertikální spolupráce přímo</w:t>
      </w:r>
      <w:r w:rsidR="009449E1">
        <w:t xml:space="preserve"> s</w:t>
      </w:r>
      <w:r w:rsidR="00862AF7">
        <w:t> </w:t>
      </w:r>
      <w:r w:rsidR="00CF3731">
        <w:t>NAKIT. Tuto skutečnost MV zdůvodnilo tak, že NAKIT je připraven</w:t>
      </w:r>
      <w:r w:rsidR="00695778">
        <w:t>a</w:t>
      </w:r>
      <w:r w:rsidR="00CF3731">
        <w:t xml:space="preserve"> požadované služby poskytnout </w:t>
      </w:r>
      <w:r w:rsidR="00695778">
        <w:t>a že</w:t>
      </w:r>
      <w:r w:rsidR="00CF3731">
        <w:t xml:space="preserve"> disponuje volnými kapacitami zkušených odborníků v oboru ICT. V </w:t>
      </w:r>
      <w:r w:rsidR="00695778">
        <w:t>z</w:t>
      </w:r>
      <w:r w:rsidR="00CF3731">
        <w:t>adávací dokumentaci pak MV uvedlo, že je nutné zakázku zadat napřímo NAKIT z důvodu neposkytování interních informací o agendách státní správy soukromému sektoru.</w:t>
      </w:r>
    </w:p>
    <w:p w14:paraId="3DC8BC38" w14:textId="167C3764" w:rsidR="00CF3731" w:rsidRDefault="00996578" w:rsidP="005A587A">
      <w:r>
        <w:t>N</w:t>
      </w:r>
      <w:r w:rsidR="001A7716">
        <w:t xml:space="preserve">ásledně dne 26. 10. 2018 </w:t>
      </w:r>
      <w:r>
        <w:t>MV</w:t>
      </w:r>
      <w:r w:rsidR="001A7716">
        <w:t xml:space="preserve"> uzavřelo s NAKIT rámcovou smlouvu a z ní vycházející dvě dílčí smlouvy dne 29. 10. 2018 a 1. 3. 2019. Předmětem smluv </w:t>
      </w:r>
      <w:r w:rsidR="0043688B">
        <w:t>v celkové hodnotě 76 950 000 Kč</w:t>
      </w:r>
      <w:r w:rsidR="00445B13">
        <w:t xml:space="preserve"> </w:t>
      </w:r>
      <w:r w:rsidR="001A7716">
        <w:t xml:space="preserve">bylo vytvoření </w:t>
      </w:r>
      <w:r w:rsidR="001A7716" w:rsidRPr="00823553">
        <w:rPr>
          <w:i/>
        </w:rPr>
        <w:t>Portálu občana</w:t>
      </w:r>
      <w:r w:rsidR="001A7716">
        <w:t xml:space="preserve"> a implementace funkcionalit, které byly specifikovány v jejich přílohách. NAKIT však dostatečné kapacity na plnění těchto smluv</w:t>
      </w:r>
      <w:r w:rsidR="009C7F61">
        <w:t>,</w:t>
      </w:r>
      <w:r w:rsidR="001A7716">
        <w:t xml:space="preserve"> </w:t>
      </w:r>
      <w:r w:rsidR="009C7F61">
        <w:t xml:space="preserve">stejně jako v pilotní fázi, </w:t>
      </w:r>
      <w:r w:rsidR="001A7716">
        <w:t>neměl</w:t>
      </w:r>
      <w:r w:rsidR="00695778">
        <w:t>a</w:t>
      </w:r>
      <w:r w:rsidR="001A7716">
        <w:t xml:space="preserve"> a </w:t>
      </w:r>
      <w:r w:rsidR="009C7F61">
        <w:t xml:space="preserve">opět si je </w:t>
      </w:r>
      <w:r w:rsidR="001A7716">
        <w:t>zajisti</w:t>
      </w:r>
      <w:r w:rsidR="009C7F61">
        <w:t>l</w:t>
      </w:r>
      <w:r w:rsidR="00695778">
        <w:t>a</w:t>
      </w:r>
      <w:r w:rsidR="001A7716">
        <w:t xml:space="preserve"> od</w:t>
      </w:r>
      <w:r w:rsidR="00694E3A">
        <w:t xml:space="preserve"> stejného </w:t>
      </w:r>
      <w:r w:rsidR="001A7716">
        <w:t>externího dodavatele</w:t>
      </w:r>
      <w:r w:rsidR="009C7F61">
        <w:t xml:space="preserve">, a to prostřednictvím dílčích </w:t>
      </w:r>
      <w:bookmarkStart w:id="0" w:name="_GoBack"/>
      <w:bookmarkEnd w:id="0"/>
      <w:r w:rsidR="009C7F61">
        <w:lastRenderedPageBreak/>
        <w:t>smluv</w:t>
      </w:r>
      <w:r w:rsidR="00695778">
        <w:rPr>
          <w:rStyle w:val="Znakapoznpodarou"/>
        </w:rPr>
        <w:footnoteReference w:id="15"/>
      </w:r>
      <w:r w:rsidR="009C7F61">
        <w:t xml:space="preserve"> k rámcové </w:t>
      </w:r>
      <w:r w:rsidR="00A71CD7">
        <w:t>smlouvě z roku 2015, kdy celková hodnota</w:t>
      </w:r>
      <w:r w:rsidR="009C7F61">
        <w:t xml:space="preserve"> smluvní</w:t>
      </w:r>
      <w:r w:rsidR="00A71CD7">
        <w:t>ho plnění činila</w:t>
      </w:r>
      <w:bookmarkStart w:id="1" w:name="_Ref40097487"/>
      <w:r w:rsidR="0043688B">
        <w:t xml:space="preserve"> 68 740 766 Kč</w:t>
      </w:r>
      <w:bookmarkEnd w:id="1"/>
      <w:r w:rsidR="009C7F61">
        <w:t>.</w:t>
      </w:r>
      <w:r w:rsidR="00EE3571">
        <w:t xml:space="preserve"> MV o této skutečnosti vědělo již při přípravě</w:t>
      </w:r>
      <w:r w:rsidR="00A71CD7">
        <w:t xml:space="preserve"> veřejné</w:t>
      </w:r>
      <w:r w:rsidR="00EE3571">
        <w:t xml:space="preserve"> zakázky.</w:t>
      </w:r>
    </w:p>
    <w:p w14:paraId="2D8EA9CE" w14:textId="3665B991" w:rsidR="00F33186" w:rsidRDefault="00F33186" w:rsidP="007A55E0">
      <w:r>
        <w:t xml:space="preserve">MV uhradilo státnímu podniku NAKIT za realizaci celého </w:t>
      </w:r>
      <w:r w:rsidRPr="00823553">
        <w:rPr>
          <w:i/>
        </w:rPr>
        <w:t>Portálu o</w:t>
      </w:r>
      <w:r w:rsidR="0043688B" w:rsidRPr="00823553">
        <w:rPr>
          <w:i/>
        </w:rPr>
        <w:t>bčana</w:t>
      </w:r>
      <w:r w:rsidR="0043688B">
        <w:t xml:space="preserve"> celkem 86 922 336</w:t>
      </w:r>
      <w:r w:rsidR="003A26F6">
        <w:t> </w:t>
      </w:r>
      <w:r w:rsidR="0043688B">
        <w:t>Kč</w:t>
      </w:r>
      <w:r>
        <w:t>.</w:t>
      </w:r>
      <w:r w:rsidR="00CD49E1">
        <w:t xml:space="preserve"> NKÚ vyhodnotil, že MV využilo pro vytvoření </w:t>
      </w:r>
      <w:r w:rsidR="00CD49E1" w:rsidRPr="00823553">
        <w:rPr>
          <w:i/>
        </w:rPr>
        <w:t>Portálu občana</w:t>
      </w:r>
      <w:r w:rsidR="00CD49E1">
        <w:t xml:space="preserve"> vertikální spolupráci s NAKIT v souladu se ZZVZ.</w:t>
      </w:r>
    </w:p>
    <w:p w14:paraId="406B4A5F" w14:textId="41FFCCF6" w:rsidR="008E7510" w:rsidRDefault="008E7510" w:rsidP="008E7510">
      <w:r>
        <w:t>NAKIT si zajistil</w:t>
      </w:r>
      <w:r w:rsidR="008C250E">
        <w:t>a</w:t>
      </w:r>
      <w:r>
        <w:t xml:space="preserve"> odborné kapacity u </w:t>
      </w:r>
      <w:r w:rsidR="001638D0">
        <w:t>externího dodavatele</w:t>
      </w:r>
      <w:r>
        <w:t xml:space="preserve"> na základě existující rámcové smlouvy</w:t>
      </w:r>
      <w:r w:rsidR="00A71CD7">
        <w:t xml:space="preserve"> s názvem</w:t>
      </w:r>
      <w:r>
        <w:t xml:space="preserve"> </w:t>
      </w:r>
      <w:r w:rsidRPr="00EE3571">
        <w:rPr>
          <w:i/>
        </w:rPr>
        <w:t>Rámcov</w:t>
      </w:r>
      <w:r w:rsidR="00A71CD7">
        <w:rPr>
          <w:i/>
        </w:rPr>
        <w:t>á smlouva</w:t>
      </w:r>
      <w:r w:rsidRPr="00EE3571">
        <w:rPr>
          <w:i/>
        </w:rPr>
        <w:t xml:space="preserve"> na nákup integrovaného aplikačního systém</w:t>
      </w:r>
      <w:r>
        <w:rPr>
          <w:i/>
        </w:rPr>
        <w:t xml:space="preserve">u. </w:t>
      </w:r>
      <w:r>
        <w:t xml:space="preserve">Předmět plnění této rámcové smlouvy byl vymezen velmi obecně, což umožnilo NAKIT využít ji i pro realizaci </w:t>
      </w:r>
      <w:r w:rsidRPr="00823553">
        <w:rPr>
          <w:i/>
        </w:rPr>
        <w:t>Portálu občana</w:t>
      </w:r>
      <w:r>
        <w:t>. Za tímto účelem uzavřel</w:t>
      </w:r>
      <w:r w:rsidR="008C250E">
        <w:t>a</w:t>
      </w:r>
      <w:r>
        <w:t xml:space="preserve"> NAKIT s </w:t>
      </w:r>
      <w:r w:rsidR="001638D0">
        <w:t>dodavatelem</w:t>
      </w:r>
      <w:r>
        <w:t xml:space="preserve"> celkem 5 dílčích smluv</w:t>
      </w:r>
      <w:r w:rsidR="00616755">
        <w:t>,</w:t>
      </w:r>
      <w:r w:rsidR="008A185C">
        <w:t xml:space="preserve"> </w:t>
      </w:r>
      <w:r>
        <w:t>za jejichž plnění uhradil</w:t>
      </w:r>
      <w:r w:rsidR="008C250E">
        <w:t>a</w:t>
      </w:r>
      <w:r>
        <w:t xml:space="preserve"> celkem </w:t>
      </w:r>
      <w:r w:rsidR="009A7C9F">
        <w:t>64 731 382</w:t>
      </w:r>
      <w:r>
        <w:t xml:space="preserve"> Kč. </w:t>
      </w:r>
      <w:r w:rsidR="00616755">
        <w:t xml:space="preserve">Z částky, kterou NAKIT od MV za realizaci </w:t>
      </w:r>
      <w:r w:rsidR="00616755" w:rsidRPr="00823553">
        <w:rPr>
          <w:i/>
        </w:rPr>
        <w:t>Portálu občana</w:t>
      </w:r>
      <w:r w:rsidR="00616755">
        <w:t xml:space="preserve"> obdržel</w:t>
      </w:r>
      <w:r w:rsidR="008C250E">
        <w:t>a</w:t>
      </w:r>
      <w:r w:rsidR="00616755">
        <w:t>, tak uhradil</w:t>
      </w:r>
      <w:r w:rsidR="00E928CB">
        <w:t>a</w:t>
      </w:r>
      <w:r w:rsidR="00616755">
        <w:t xml:space="preserve"> 75 % </w:t>
      </w:r>
      <w:r w:rsidR="00996578">
        <w:t>pod</w:t>
      </w:r>
      <w:r w:rsidR="00616755">
        <w:t xml:space="preserve">dodavateli. </w:t>
      </w:r>
      <w:r>
        <w:t xml:space="preserve">Z hlediska </w:t>
      </w:r>
      <w:r w:rsidR="00A71CD7">
        <w:t>odpracovaných dní</w:t>
      </w:r>
      <w:r>
        <w:t xml:space="preserve"> pak zaměstnanci NAKIT odpra</w:t>
      </w:r>
      <w:r w:rsidR="000B5FA9">
        <w:t xml:space="preserve">covali na </w:t>
      </w:r>
      <w:r w:rsidR="000B5FA9" w:rsidRPr="00823553">
        <w:rPr>
          <w:i/>
        </w:rPr>
        <w:t>Portálu občana</w:t>
      </w:r>
      <w:r w:rsidR="000B5FA9">
        <w:t xml:space="preserve"> 1</w:t>
      </w:r>
      <w:r w:rsidR="00E928CB">
        <w:t> </w:t>
      </w:r>
      <w:r w:rsidR="000B5FA9">
        <w:t>131</w:t>
      </w:r>
      <w:r>
        <w:t xml:space="preserve"> člověkodní, zatímco zaměstnanci </w:t>
      </w:r>
      <w:r w:rsidR="001638D0">
        <w:t>dodavatele</w:t>
      </w:r>
      <w:r>
        <w:t xml:space="preserve"> odpracovali 4</w:t>
      </w:r>
      <w:r w:rsidR="00E928CB">
        <w:t> </w:t>
      </w:r>
      <w:r>
        <w:t>872 člověkodní.</w:t>
      </w:r>
    </w:p>
    <w:p w14:paraId="161CFAC0" w14:textId="1B991E63" w:rsidR="00D27C40" w:rsidRDefault="00DA712E" w:rsidP="005A587A">
      <w:r>
        <w:t xml:space="preserve">Potřebnost </w:t>
      </w:r>
      <w:r w:rsidR="00407278">
        <w:t>vertikální</w:t>
      </w:r>
      <w:r>
        <w:t xml:space="preserve"> spolupráce</w:t>
      </w:r>
      <w:r w:rsidR="00407278">
        <w:t xml:space="preserve"> s NAKIT</w:t>
      </w:r>
      <w:r>
        <w:t xml:space="preserve"> odůvodnilo </w:t>
      </w:r>
      <w:r w:rsidR="00CD49E1">
        <w:t xml:space="preserve">MV </w:t>
      </w:r>
      <w:r>
        <w:t>skutečnostmi, které se nezakládaly na pravdě. NAKIT totiž neměl</w:t>
      </w:r>
      <w:r w:rsidR="00E928CB">
        <w:t>a</w:t>
      </w:r>
      <w:r>
        <w:t xml:space="preserve"> dostatek odborných kapacit a musel</w:t>
      </w:r>
      <w:r w:rsidR="00E928CB">
        <w:t>a</w:t>
      </w:r>
      <w:r>
        <w:t xml:space="preserve"> si je zajistit od svého poddodavatele. Ten ve výsledku odvedl na </w:t>
      </w:r>
      <w:r w:rsidRPr="00823553">
        <w:rPr>
          <w:i/>
        </w:rPr>
        <w:t>Portálu občana</w:t>
      </w:r>
      <w:r>
        <w:t xml:space="preserve"> více než 4násobně větší množství práce.</w:t>
      </w:r>
      <w:r w:rsidR="00DF4455">
        <w:t xml:space="preserve"> Zároveň také nastala situace, kdy se k informacím o agendách veřejné správy dostal subjekt soukromého sektoru, čemuž </w:t>
      </w:r>
      <w:r w:rsidR="00E928CB">
        <w:t xml:space="preserve">se </w:t>
      </w:r>
      <w:r w:rsidR="00DF4455">
        <w:t xml:space="preserve">mimo jiné </w:t>
      </w:r>
      <w:r w:rsidR="00EE34DE">
        <w:t xml:space="preserve">mělo </w:t>
      </w:r>
      <w:r w:rsidR="00DF4455">
        <w:t>pomocí vertikální spolupráce s NAKIT zabránit.</w:t>
      </w:r>
    </w:p>
    <w:p w14:paraId="7ABF2812" w14:textId="22DC8234" w:rsidR="00D27C40" w:rsidRDefault="00DF4455" w:rsidP="005A587A">
      <w:r>
        <w:t xml:space="preserve">Celkovou hodnotu </w:t>
      </w:r>
      <w:r w:rsidRPr="00823553">
        <w:rPr>
          <w:i/>
        </w:rPr>
        <w:t>Portálu občana</w:t>
      </w:r>
      <w:r>
        <w:rPr>
          <w:rStyle w:val="Znakapoznpodarou"/>
        </w:rPr>
        <w:footnoteReference w:id="16"/>
      </w:r>
      <w:r>
        <w:t xml:space="preserve"> stanovilo </w:t>
      </w:r>
      <w:r w:rsidR="00C7596F">
        <w:t xml:space="preserve">MV </w:t>
      </w:r>
      <w:r>
        <w:t xml:space="preserve">již při přípravě projektu </w:t>
      </w:r>
      <w:r>
        <w:rPr>
          <w:i/>
        </w:rPr>
        <w:t xml:space="preserve">Portál veřejné správy 2.0 – Portál občana, </w:t>
      </w:r>
      <w:r>
        <w:t xml:space="preserve">a to ve studii proveditelnosti. </w:t>
      </w:r>
      <w:r w:rsidR="00DD4708">
        <w:t xml:space="preserve">Při stanovení hodnoty vycházelo </w:t>
      </w:r>
      <w:r w:rsidR="00C7596F">
        <w:t xml:space="preserve">MV </w:t>
      </w:r>
      <w:r w:rsidR="00DD4708">
        <w:t>z </w:t>
      </w:r>
      <w:r w:rsidR="00C7596F">
        <w:rPr>
          <w:i/>
        </w:rPr>
        <w:t>c</w:t>
      </w:r>
      <w:r w:rsidR="00DD4708">
        <w:rPr>
          <w:i/>
        </w:rPr>
        <w:t>eníku obvyklých cen ICT prací</w:t>
      </w:r>
      <w:r w:rsidR="00DD4708" w:rsidRPr="00823553">
        <w:rPr>
          <w:rStyle w:val="Znakapoznpodarou"/>
        </w:rPr>
        <w:footnoteReference w:id="17"/>
      </w:r>
      <w:r w:rsidR="001624F9">
        <w:t xml:space="preserve"> </w:t>
      </w:r>
      <w:r w:rsidR="00DD4708">
        <w:t xml:space="preserve">a především ze znaleckého posudku, který si nechalo </w:t>
      </w:r>
      <w:r w:rsidR="00C7596F">
        <w:t>k pilotní fázi portálu vy</w:t>
      </w:r>
      <w:r w:rsidR="00DD4708">
        <w:t>pracovat od externího znalce. Oproti pilotní fázi však MV nevyužilo znaleckého posudku, ale stanovení hodnoty provedlo samo.</w:t>
      </w:r>
      <w:r w:rsidR="00C241F7">
        <w:t xml:space="preserve"> Zároveň, oproti pilotní fázi a </w:t>
      </w:r>
      <w:r w:rsidR="00DD4708">
        <w:t xml:space="preserve">postupu znalce, zvolilo </w:t>
      </w:r>
      <w:r w:rsidR="00C7596F">
        <w:t xml:space="preserve">MV </w:t>
      </w:r>
      <w:r w:rsidR="00DD4708">
        <w:t>jiný způsob výpočtu</w:t>
      </w:r>
      <w:r w:rsidR="00D06315">
        <w:t xml:space="preserve">, ve kterém nezohlednilo míru zapojení jednotlivých </w:t>
      </w:r>
      <w:r w:rsidR="00D278D6">
        <w:t xml:space="preserve">odborných IT </w:t>
      </w:r>
      <w:r w:rsidR="00D06315">
        <w:t xml:space="preserve">rolí. MV využilo výpočet pomocí prostého aritmetického průměru namísto průměru váženého, a to i přesto, že si míru zapojení jednotlivých rolí (tedy váhy) v dokumentu stanovilo. Tímto výpočtem MV dospělo k částce 76 919 301 Kč, kterou upravilo na 76 950 000 Kč. Pokud by však MV při výpočtu míru zapojení rolí zohlednilo, pak by výsledná hodnota (po započtení DPH) byla nižší o 4 817 947 Kč. NKÚ tak vyhodnotil, že MV při stanovení hodnoty </w:t>
      </w:r>
      <w:r w:rsidR="00D06315" w:rsidRPr="00823553">
        <w:rPr>
          <w:i/>
        </w:rPr>
        <w:t>Portálu občana</w:t>
      </w:r>
      <w:r w:rsidR="00D06315">
        <w:t xml:space="preserve"> nepostupovalo nejhospodárnějším způsobem </w:t>
      </w:r>
      <w:r w:rsidR="001E6338">
        <w:t>dle</w:t>
      </w:r>
      <w:r w:rsidR="00B03C77">
        <w:t xml:space="preserve"> </w:t>
      </w:r>
      <w:r w:rsidR="00D06315">
        <w:t>ustanovení § 45 odst. 2 zákona č. 218/2000 Sb., o rozpočtových pravidlech a o změně některých souvisejících zákonů</w:t>
      </w:r>
      <w:r w:rsidR="00E064DA">
        <w:t xml:space="preserve"> (rozpočtová pravidla)</w:t>
      </w:r>
      <w:r w:rsidR="00D06315">
        <w:t>.</w:t>
      </w:r>
    </w:p>
    <w:p w14:paraId="69CF6640" w14:textId="09AE00CF" w:rsidR="00D06315" w:rsidRDefault="00BD1F46" w:rsidP="005A587A">
      <w:r>
        <w:t xml:space="preserve">MV </w:t>
      </w:r>
      <w:r w:rsidR="00F16A6E">
        <w:t>takto</w:t>
      </w:r>
      <w:r>
        <w:t xml:space="preserve"> vypočtenou částku po celou dobu trvání projektu nezměnilo a využilo ji jako hodnotu rámcové smlouvy uzavřené s NAKIT. Po převzetí díla pak MV tuto částku, na základě fakturace, uhradilo. NKÚ tento postup vyhodnotil </w:t>
      </w:r>
      <w:r w:rsidR="006C106C">
        <w:t xml:space="preserve">jako </w:t>
      </w:r>
      <w:r w:rsidR="00C13466">
        <w:t xml:space="preserve">skutečnost nasvědčující </w:t>
      </w:r>
      <w:r>
        <w:t xml:space="preserve">porušení rozpočtové </w:t>
      </w:r>
      <w:r>
        <w:lastRenderedPageBreak/>
        <w:t>kázně podle ustanovení § 44 odst. 1 písm. f) zákona č. 218/2000 Sb.</w:t>
      </w:r>
      <w:r w:rsidR="00B57969">
        <w:t xml:space="preserve"> Vzhledem ke skutečnosti, že </w:t>
      </w:r>
      <w:r w:rsidR="00B57969" w:rsidRPr="00823553">
        <w:rPr>
          <w:i/>
        </w:rPr>
        <w:t>Portál občana</w:t>
      </w:r>
      <w:r w:rsidR="00B57969">
        <w:t xml:space="preserve"> byl realizován v rámci projektu spolufinancovaného z fond</w:t>
      </w:r>
      <w:r w:rsidR="00F16A6E">
        <w:t>u</w:t>
      </w:r>
      <w:r w:rsidR="00B57969">
        <w:t xml:space="preserve"> EU, vyhodnotil NKÚ jednání MV i jako nesrovnalost ve smyslu ustanovení článku 2 nařízení EU č.</w:t>
      </w:r>
      <w:r w:rsidR="0095455B">
        <w:t> </w:t>
      </w:r>
      <w:r w:rsidR="00B57969">
        <w:t>1303/2013.</w:t>
      </w:r>
      <w:r w:rsidR="00B57969">
        <w:rPr>
          <w:rStyle w:val="Znakapoznpodarou"/>
        </w:rPr>
        <w:footnoteReference w:id="18"/>
      </w:r>
    </w:p>
    <w:p w14:paraId="4C844034" w14:textId="1B90C484" w:rsidR="003A5BA0" w:rsidRPr="00823553" w:rsidRDefault="003A5BA0" w:rsidP="003A5BA0">
      <w:pPr>
        <w:pStyle w:val="Nadpis2"/>
        <w:rPr>
          <w:rFonts w:asciiTheme="minorHAnsi" w:hAnsiTheme="minorHAnsi" w:cstheme="minorHAnsi"/>
        </w:rPr>
      </w:pPr>
      <w:r w:rsidRPr="00823553">
        <w:rPr>
          <w:rFonts w:asciiTheme="minorHAnsi" w:hAnsiTheme="minorHAnsi" w:cstheme="minorHAnsi"/>
        </w:rPr>
        <w:t>Digitální služby</w:t>
      </w:r>
    </w:p>
    <w:p w14:paraId="035CA301" w14:textId="7F1549F6" w:rsidR="0045518F" w:rsidRDefault="0045518F" w:rsidP="0045518F">
      <w:r>
        <w:t xml:space="preserve">Již při přípravě projektu </w:t>
      </w:r>
      <w:r>
        <w:rPr>
          <w:i/>
        </w:rPr>
        <w:t xml:space="preserve">Portál veřejné správy 2.0 – Portál občana </w:t>
      </w:r>
      <w:r>
        <w:t xml:space="preserve">identifikovalo </w:t>
      </w:r>
      <w:r w:rsidR="00F16A6E">
        <w:t xml:space="preserve">MV </w:t>
      </w:r>
      <w:r>
        <w:t>riziko spočívající v neochotě orgánů veřejné správy poskytovat do portálu data. Toto riziko se při realizaci portálu naplnilo</w:t>
      </w:r>
      <w:r w:rsidR="00F16A6E">
        <w:t>, neboť se</w:t>
      </w:r>
      <w:r>
        <w:t xml:space="preserve"> nepodařilo implementovat některé plánované služby. Ze zápisů z jednání projektového týmu například vyplývá, že MV plánovalo na </w:t>
      </w:r>
      <w:r w:rsidRPr="00823553">
        <w:rPr>
          <w:i/>
        </w:rPr>
        <w:t>Portálu občana</w:t>
      </w:r>
      <w:r>
        <w:t xml:space="preserve"> zpřístupnit agendy spojené se silničními vozidly a zbrojními průkazy</w:t>
      </w:r>
      <w:r w:rsidR="00734E44">
        <w:t>,</w:t>
      </w:r>
      <w:r>
        <w:t xml:space="preserve"> a to propojením portálu s </w:t>
      </w:r>
      <w:r w:rsidR="00F16A6E">
        <w:t>r</w:t>
      </w:r>
      <w:r>
        <w:t xml:space="preserve">egistrem vozidel a </w:t>
      </w:r>
      <w:r w:rsidR="00F16A6E">
        <w:t>r</w:t>
      </w:r>
      <w:r>
        <w:t xml:space="preserve">egistrem zbraní. </w:t>
      </w:r>
      <w:r w:rsidR="00500341">
        <w:t>Ze zápisů z jednání projektového týmu však vyplývá, že v</w:t>
      </w:r>
      <w:r>
        <w:t xml:space="preserve"> obou případech záměr MV zmařila </w:t>
      </w:r>
      <w:r w:rsidR="00E064DA">
        <w:t>nedostatečná spolupráce</w:t>
      </w:r>
      <w:r>
        <w:t xml:space="preserve"> dotčených subjektů (Ministerstva dopravy a Policie ČR)</w:t>
      </w:r>
      <w:r w:rsidR="00E064DA">
        <w:t xml:space="preserve"> při</w:t>
      </w:r>
      <w:r>
        <w:t xml:space="preserve"> napojení na uvedené registry. Do konce kontroly se tak ty</w:t>
      </w:r>
      <w:r w:rsidR="00837FA6">
        <w:t>to</w:t>
      </w:r>
      <w:r>
        <w:t xml:space="preserve"> služby na </w:t>
      </w:r>
      <w:r w:rsidRPr="00823553">
        <w:rPr>
          <w:i/>
        </w:rPr>
        <w:t>Portálu občana</w:t>
      </w:r>
      <w:r>
        <w:t xml:space="preserve"> zajistit nepodařilo.</w:t>
      </w:r>
    </w:p>
    <w:p w14:paraId="74B7F010" w14:textId="558D10AF" w:rsidR="00D751E3" w:rsidRDefault="00D751E3" w:rsidP="0045518F">
      <w:r>
        <w:t xml:space="preserve">Při zajišťování napojení dalších služeb na </w:t>
      </w:r>
      <w:r w:rsidRPr="00823553">
        <w:rPr>
          <w:i/>
        </w:rPr>
        <w:t>Portál občana</w:t>
      </w:r>
      <w:r>
        <w:t xml:space="preserve"> po jeho spuštění do provozu MV postupovalo tak, že </w:t>
      </w:r>
      <w:r w:rsidR="006C106C">
        <w:t xml:space="preserve">oslovilo </w:t>
      </w:r>
      <w:r>
        <w:t xml:space="preserve">16 orgánů státní správy s informací o spuštění portálu a žádostí po poskytnutí seznamu služeb, které by bylo možné do portálu </w:t>
      </w:r>
      <w:r w:rsidR="00F16A6E">
        <w:t>doplnit</w:t>
      </w:r>
      <w:r>
        <w:t xml:space="preserve">. </w:t>
      </w:r>
      <w:r w:rsidR="00E12E13">
        <w:t>MV obdrželo celkem 12 odpověd</w:t>
      </w:r>
      <w:r w:rsidR="009D258B">
        <w:t>í</w:t>
      </w:r>
      <w:r w:rsidR="00E12E13">
        <w:t xml:space="preserve">, ve kterých některé orgány státní správy uvedly, že aktivitu zapojení do </w:t>
      </w:r>
      <w:r w:rsidR="00E12E13" w:rsidRPr="00823553">
        <w:rPr>
          <w:i/>
        </w:rPr>
        <w:t>Portálu občana</w:t>
      </w:r>
      <w:r w:rsidR="00E12E13">
        <w:t xml:space="preserve"> vítají a podporují. Některé však uvedly i překážky, které implementaci jejich služeb do </w:t>
      </w:r>
      <w:r w:rsidR="00E12E13" w:rsidRPr="00823553">
        <w:rPr>
          <w:i/>
        </w:rPr>
        <w:t>Portálu občana</w:t>
      </w:r>
      <w:r w:rsidR="00E12E13">
        <w:t xml:space="preserve"> brán</w:t>
      </w:r>
      <w:r w:rsidR="00F16A6E">
        <w:t>í</w:t>
      </w:r>
      <w:r w:rsidR="00E12E13">
        <w:t>. Jednalo se především o nedostatečnou</w:t>
      </w:r>
      <w:r w:rsidR="00F16A6E">
        <w:t>,</w:t>
      </w:r>
      <w:r w:rsidR="00E12E13">
        <w:t xml:space="preserve"> res</w:t>
      </w:r>
      <w:r w:rsidR="00BC1D31">
        <w:t>p</w:t>
      </w:r>
      <w:r w:rsidR="00E12E13">
        <w:t>. nejasnou právní úpravu, nutné úpravy informačních systémů a s tím související vynakládání peněžních prostředků.</w:t>
      </w:r>
    </w:p>
    <w:p w14:paraId="0B4ED9AD" w14:textId="2FC50807" w:rsidR="005E7AD1" w:rsidRDefault="005E7AD1" w:rsidP="0045518F">
      <w:r>
        <w:t xml:space="preserve">MV nemělo potřebné zákonné zmocnění k tomu, aby přimělo ostatní orgány veřejné správy k implementaci služeb do </w:t>
      </w:r>
      <w:r w:rsidRPr="00823553">
        <w:rPr>
          <w:i/>
        </w:rPr>
        <w:t>Portálu občana</w:t>
      </w:r>
      <w:r w:rsidR="00F16A6E">
        <w:t>,</w:t>
      </w:r>
      <w:r>
        <w:t xml:space="preserve"> ani nezajistilo žádnou formu závazné spolupráce. Zapojení ostatních subjektů tak bylo čistě na bázi dobrovolnosti. Ke zlepšení této situace by měl podle MV přispět nový zákon č. 12/2020 Sb., o právu na digitální služby</w:t>
      </w:r>
      <w:r w:rsidR="00507F74">
        <w:t xml:space="preserve"> a o změně některých zákonů</w:t>
      </w:r>
      <w:r>
        <w:t>.</w:t>
      </w:r>
      <w:r w:rsidR="00572D86">
        <w:t xml:space="preserve"> Ten totiž zavádí právo občanů na využívání digitální služby a orgánům veřejné moci stanovuje povinnost digitální služby poskytovat.</w:t>
      </w:r>
      <w:r w:rsidR="00572D86">
        <w:rPr>
          <w:rStyle w:val="Znakapoznpodarou"/>
        </w:rPr>
        <w:footnoteReference w:id="19"/>
      </w:r>
      <w:r w:rsidR="00572D86">
        <w:t xml:space="preserve"> Dále zákon stanovil orgánům veřejné moci povinnost zveřejňovat prostřednictvím MV elektronické formuláře umožňující automatizované doplňování údajů po prokázání totožnosti uživatele prostřednictvím systému elektronické identifikace. </w:t>
      </w:r>
      <w:r w:rsidR="00D17D99">
        <w:t xml:space="preserve">Vzhledem k nabytí účinnosti zákona </w:t>
      </w:r>
      <w:r w:rsidR="001E6338">
        <w:t>na počátku roku 2020</w:t>
      </w:r>
      <w:r w:rsidR="00D17D99">
        <w:t xml:space="preserve"> nemohl NKÚ účinnost těchto opatření v praxi ověřit.</w:t>
      </w:r>
    </w:p>
    <w:p w14:paraId="3B766961" w14:textId="6CFBF8E5" w:rsidR="00D17D99" w:rsidRDefault="00D17D99" w:rsidP="0045518F">
      <w:r>
        <w:t>V průběhu kontroly M</w:t>
      </w:r>
      <w:r w:rsidR="00973EDE">
        <w:t>inisterstvo vnitra</w:t>
      </w:r>
      <w:r w:rsidDel="00F41469">
        <w:t xml:space="preserve"> </w:t>
      </w:r>
      <w:r w:rsidR="00F41469">
        <w:t>předložilo</w:t>
      </w:r>
      <w:r>
        <w:t xml:space="preserve"> seznam 100 služeb dostupných přes </w:t>
      </w:r>
      <w:r w:rsidRPr="00823553">
        <w:rPr>
          <w:i/>
        </w:rPr>
        <w:t>Portál občana</w:t>
      </w:r>
      <w:r>
        <w:t>. Do tohoto počtu však byly zahrnuty i služby dostupné na portálech jiných orgánů státní správy</w:t>
      </w:r>
      <w:r w:rsidR="004C2958">
        <w:t xml:space="preserve"> a</w:t>
      </w:r>
      <w:r w:rsidR="00F16A6E">
        <w:t> </w:t>
      </w:r>
      <w:r w:rsidR="003F4151">
        <w:t xml:space="preserve">územních </w:t>
      </w:r>
      <w:r w:rsidR="004C2958">
        <w:t>samosprávných celků</w:t>
      </w:r>
      <w:r>
        <w:t xml:space="preserve">, přičemž </w:t>
      </w:r>
      <w:r w:rsidRPr="00823553">
        <w:rPr>
          <w:i/>
        </w:rPr>
        <w:t>Portál občana</w:t>
      </w:r>
      <w:r>
        <w:t xml:space="preserve"> ve většině případů umožňoval pouze přesměrování přihlášeného uživatele na jiný portál. </w:t>
      </w:r>
      <w:r w:rsidR="00530A64">
        <w:t xml:space="preserve">Například v případě Ministerstva financí uvedlo MV 27 služeb dostupných přes </w:t>
      </w:r>
      <w:r w:rsidR="00530A64" w:rsidRPr="00823553">
        <w:rPr>
          <w:i/>
        </w:rPr>
        <w:t>Portál občana</w:t>
      </w:r>
      <w:r w:rsidR="00530A64">
        <w:t xml:space="preserve">, přičemž portál </w:t>
      </w:r>
      <w:r w:rsidR="00530A64">
        <w:lastRenderedPageBreak/>
        <w:t xml:space="preserve">umožňoval pouze přesměrování uživatele na </w:t>
      </w:r>
      <w:r w:rsidR="00530A64" w:rsidRPr="00823553">
        <w:rPr>
          <w:i/>
        </w:rPr>
        <w:t>Daňový portál</w:t>
      </w:r>
      <w:r w:rsidR="00530A64">
        <w:t xml:space="preserve"> finanční správy.</w:t>
      </w:r>
      <w:r w:rsidR="00530A64">
        <w:rPr>
          <w:rStyle w:val="Znakapoznpodarou"/>
        </w:rPr>
        <w:footnoteReference w:id="20"/>
      </w:r>
      <w:r w:rsidR="00530A64">
        <w:t xml:space="preserve"> U České správy sociálního zabezpečení bylo evidováno 17 služeb, jednalo se přitom o </w:t>
      </w:r>
      <w:r w:rsidR="003F4151">
        <w:t>obdobnou</w:t>
      </w:r>
      <w:r w:rsidR="00530A64">
        <w:t xml:space="preserve"> situaci. </w:t>
      </w:r>
    </w:p>
    <w:p w14:paraId="49D9C422" w14:textId="52217E0B" w:rsidR="008C349B" w:rsidRDefault="00530A64" w:rsidP="0045518F">
      <w:r>
        <w:t xml:space="preserve">Služby orgánů veřejné správy jsou </w:t>
      </w:r>
      <w:r w:rsidRPr="00B34CDE">
        <w:t>na</w:t>
      </w:r>
      <w:r w:rsidRPr="00823553">
        <w:rPr>
          <w:i/>
        </w:rPr>
        <w:t xml:space="preserve"> Portálu občana</w:t>
      </w:r>
      <w:r>
        <w:t xml:space="preserve"> publikovány formou tzv. dlaždic, přičemž jsou rozlišovány dva typy: aktivní a pasivní dlaždice. Aktivní dlaždice umožňují přímo zobrazení údajů z dané agendy či informačního systému (např. u dlaždice Ministerstva dopravy s </w:t>
      </w:r>
      <w:r w:rsidR="00973EDE">
        <w:t>b</w:t>
      </w:r>
      <w:r>
        <w:t xml:space="preserve">odovým hodnocením řidiče je přímo vidět aktuální počet bodů). Pasivní dlaždice umožňují pouze přesměrování přihlášeného uživatele na jiný </w:t>
      </w:r>
      <w:r w:rsidR="00CA2ED2">
        <w:t xml:space="preserve">portál (takto funguje většina dlaždic). </w:t>
      </w:r>
    </w:p>
    <w:p w14:paraId="3292E6F3" w14:textId="00AAFF3B" w:rsidR="00E454FA" w:rsidRDefault="008C349B" w:rsidP="0045518F">
      <w:r>
        <w:t xml:space="preserve">NKÚ vyhodnotil, že do nabídky služeb </w:t>
      </w:r>
      <w:r w:rsidRPr="00823553">
        <w:rPr>
          <w:i/>
        </w:rPr>
        <w:t>Portálu občana</w:t>
      </w:r>
      <w:r>
        <w:t xml:space="preserve"> nelze souhrnně započítávat funkcionality dostupné na portálech jiných orgánů veřejné moci. Dle názoru NKÚ je třeba také rozlišovat využitelnost služeb (poskytovaných formou dlaždic), a to z hlediska jejich dosahu</w:t>
      </w:r>
      <w:r w:rsidR="00973EDE">
        <w:t>,</w:t>
      </w:r>
      <w:r>
        <w:t xml:space="preserve"> resp. počtu uživatelů. Nelze </w:t>
      </w:r>
      <w:r w:rsidR="00973EDE">
        <w:t xml:space="preserve">stavět </w:t>
      </w:r>
      <w:r>
        <w:t xml:space="preserve">na stejnou úroveň služby ústředních orgánů státní správy s celostátním dosahem a služby </w:t>
      </w:r>
      <w:r w:rsidR="003F4151">
        <w:t xml:space="preserve">územních </w:t>
      </w:r>
      <w:r>
        <w:t>samosprávných celků, které jsou určen</w:t>
      </w:r>
      <w:r w:rsidR="00973EDE">
        <w:t>y</w:t>
      </w:r>
      <w:r>
        <w:t xml:space="preserve"> jejich obyvatelům.</w:t>
      </w:r>
      <w:r w:rsidR="00E454FA">
        <w:t xml:space="preserve"> Například propojení </w:t>
      </w:r>
      <w:r w:rsidR="00E454FA" w:rsidRPr="00823553">
        <w:rPr>
          <w:i/>
        </w:rPr>
        <w:t>Portálu občana</w:t>
      </w:r>
      <w:r w:rsidR="00E454FA">
        <w:t xml:space="preserve"> </w:t>
      </w:r>
      <w:r w:rsidR="00973EDE">
        <w:t>s</w:t>
      </w:r>
      <w:r w:rsidR="002D58CD">
        <w:t> </w:t>
      </w:r>
      <w:r w:rsidR="00E454FA" w:rsidRPr="00823553">
        <w:rPr>
          <w:i/>
        </w:rPr>
        <w:t>Portál</w:t>
      </w:r>
      <w:r w:rsidR="00973EDE">
        <w:rPr>
          <w:i/>
        </w:rPr>
        <w:t>em</w:t>
      </w:r>
      <w:r w:rsidR="00E454FA" w:rsidRPr="00823553">
        <w:rPr>
          <w:i/>
        </w:rPr>
        <w:t xml:space="preserve"> občana města Telč</w:t>
      </w:r>
      <w:r w:rsidR="00E454FA">
        <w:t xml:space="preserve"> je využitelné především </w:t>
      </w:r>
      <w:r w:rsidR="00973EDE">
        <w:t xml:space="preserve">pro </w:t>
      </w:r>
      <w:r w:rsidR="00E454FA">
        <w:t>obyvatel</w:t>
      </w:r>
      <w:r w:rsidR="00973EDE">
        <w:t>e</w:t>
      </w:r>
      <w:r w:rsidR="00E454FA">
        <w:t xml:space="preserve"> města Telč, který</w:t>
      </w:r>
      <w:r w:rsidR="00F41469">
        <w:t>ch</w:t>
      </w:r>
      <w:r w:rsidR="00E454FA">
        <w:t xml:space="preserve"> je 5</w:t>
      </w:r>
      <w:r w:rsidR="00E42CFA">
        <w:t> </w:t>
      </w:r>
      <w:r w:rsidR="00E454FA">
        <w:t xml:space="preserve">267. Naproti tomu služba </w:t>
      </w:r>
      <w:r w:rsidR="00973EDE">
        <w:t>„b</w:t>
      </w:r>
      <w:r w:rsidR="00E454FA">
        <w:t>odové hodnocení řidiče</w:t>
      </w:r>
      <w:r w:rsidR="00973EDE">
        <w:t>“</w:t>
      </w:r>
      <w:r w:rsidR="00E454FA">
        <w:t xml:space="preserve"> je využitelná pro 6 078 136 držitelů řidičského průkazu. Plánované služby </w:t>
      </w:r>
      <w:r w:rsidR="00973EDE">
        <w:t>r</w:t>
      </w:r>
      <w:r w:rsidR="00E454FA">
        <w:t xml:space="preserve">egistru zbraní a </w:t>
      </w:r>
      <w:r w:rsidR="00973EDE">
        <w:t>r</w:t>
      </w:r>
      <w:r w:rsidR="00E454FA">
        <w:t>egistru vozidel, které se nepodařilo zajistit, mají potenciáln</w:t>
      </w:r>
      <w:r w:rsidR="00873EAC">
        <w:t>í využitelnost pro více než 6,3 </w:t>
      </w:r>
      <w:r w:rsidR="00E454FA">
        <w:t>mil</w:t>
      </w:r>
      <w:r w:rsidR="00973EDE">
        <w:t>ionu</w:t>
      </w:r>
      <w:r w:rsidR="00E454FA">
        <w:t xml:space="preserve"> občanů (držitelé řidičského průkazu a držitelé zbrojního průkazu).</w:t>
      </w:r>
    </w:p>
    <w:p w14:paraId="7E15CBAB" w14:textId="76EDC775" w:rsidR="00530A64" w:rsidRDefault="00CA2ED2" w:rsidP="0045518F">
      <w:r>
        <w:t>Ke dni</w:t>
      </w:r>
      <w:r w:rsidR="00D85F84">
        <w:t xml:space="preserve"> </w:t>
      </w:r>
      <w:r>
        <w:t xml:space="preserve">12. 12. 2019 bylo na </w:t>
      </w:r>
      <w:r w:rsidRPr="00823553">
        <w:rPr>
          <w:i/>
        </w:rPr>
        <w:t>Portálu občana</w:t>
      </w:r>
      <w:r>
        <w:t xml:space="preserve"> k dispozici celkem 14 dlaždic služeb orgánů státní správy a 9 dlaždic </w:t>
      </w:r>
      <w:r w:rsidR="003F4151">
        <w:t xml:space="preserve">územních </w:t>
      </w:r>
      <w:r>
        <w:t>samosprávných celků.</w:t>
      </w:r>
    </w:p>
    <w:p w14:paraId="71CBFA7D" w14:textId="71243663" w:rsidR="00CA2ED2" w:rsidRDefault="00CA2ED2" w:rsidP="0045518F">
      <w:r>
        <w:t xml:space="preserve">Další významnou funkcionalitou </w:t>
      </w:r>
      <w:r w:rsidRPr="00823553">
        <w:rPr>
          <w:i/>
        </w:rPr>
        <w:t>Portálu občana</w:t>
      </w:r>
      <w:r>
        <w:t xml:space="preserve"> je možnost činit elektronická podání prostřednictvím předvyplněných formulářů. </w:t>
      </w:r>
      <w:r w:rsidR="00877D76">
        <w:t>Ke dni 12. 12. 2019 bylo možné využít celkem 15</w:t>
      </w:r>
      <w:r w:rsidR="002D58CD">
        <w:t> </w:t>
      </w:r>
      <w:r w:rsidR="00877D76">
        <w:t>fo</w:t>
      </w:r>
      <w:r w:rsidR="006240F5">
        <w:t xml:space="preserve">rmulářů, které </w:t>
      </w:r>
      <w:r w:rsidR="000B5419">
        <w:t xml:space="preserve">sloužily </w:t>
      </w:r>
      <w:r w:rsidR="006240F5">
        <w:t xml:space="preserve">převážně </w:t>
      </w:r>
      <w:r w:rsidR="00877D76">
        <w:t>pro podá</w:t>
      </w:r>
      <w:r w:rsidR="000B5419">
        <w:t>vá</w:t>
      </w:r>
      <w:r w:rsidR="00877D76">
        <w:t>ní žádost</w:t>
      </w:r>
      <w:r w:rsidR="000B5419">
        <w:t>í</w:t>
      </w:r>
      <w:r w:rsidR="00877D76">
        <w:t xml:space="preserve"> o výpisy z rejstříků. Tyto formuláře jsou odesílány prostřednictvím </w:t>
      </w:r>
      <w:r w:rsidR="000B5419">
        <w:t>d</w:t>
      </w:r>
      <w:r w:rsidR="00877D76">
        <w:t xml:space="preserve">atové schránky. </w:t>
      </w:r>
      <w:r w:rsidR="000B5419">
        <w:t xml:space="preserve">Pokud je tedy občan </w:t>
      </w:r>
      <w:r w:rsidR="002D58CD">
        <w:t xml:space="preserve">chce </w:t>
      </w:r>
      <w:r w:rsidR="000B5419">
        <w:t xml:space="preserve">využít, musí mít </w:t>
      </w:r>
      <w:r w:rsidR="00877D76">
        <w:t>zřízenu</w:t>
      </w:r>
      <w:r w:rsidR="000B5419">
        <w:t xml:space="preserve"> d</w:t>
      </w:r>
      <w:r w:rsidR="00877D76">
        <w:t xml:space="preserve">atovou schránku a </w:t>
      </w:r>
      <w:r w:rsidR="000B5419">
        <w:t xml:space="preserve">ta musí být </w:t>
      </w:r>
      <w:r w:rsidR="00877D76">
        <w:t>propojen</w:t>
      </w:r>
      <w:r w:rsidR="000B5419">
        <w:t>a</w:t>
      </w:r>
      <w:r w:rsidR="00877D76">
        <w:t xml:space="preserve"> s </w:t>
      </w:r>
      <w:r w:rsidR="00877D76" w:rsidRPr="00823553">
        <w:rPr>
          <w:i/>
        </w:rPr>
        <w:t>Portálem občana</w:t>
      </w:r>
      <w:r w:rsidR="00877D76">
        <w:t>. NKÚ při kontrole zjistil, že do konce roku 2019, tedy po 10 letech jejich provozu</w:t>
      </w:r>
      <w:r w:rsidR="00877D76">
        <w:rPr>
          <w:rStyle w:val="Znakapoznpodarou"/>
        </w:rPr>
        <w:footnoteReference w:id="21"/>
      </w:r>
      <w:r w:rsidR="00877D76">
        <w:t xml:space="preserve">, mělo </w:t>
      </w:r>
      <w:r w:rsidR="000B5419">
        <w:t>d</w:t>
      </w:r>
      <w:r w:rsidR="00877D76">
        <w:t>atovou schránku 182 149 fyzických osob, což představuje 2</w:t>
      </w:r>
      <w:r w:rsidR="00C8335F">
        <w:t>,1</w:t>
      </w:r>
      <w:r w:rsidR="000B5419">
        <w:t> </w:t>
      </w:r>
      <w:r w:rsidR="00877D76">
        <w:t xml:space="preserve">% </w:t>
      </w:r>
      <w:r w:rsidR="0008196C">
        <w:t xml:space="preserve">dospělých </w:t>
      </w:r>
      <w:r w:rsidR="00877D76">
        <w:t>občanů</w:t>
      </w:r>
      <w:r w:rsidR="000B5419">
        <w:t xml:space="preserve"> ČR</w:t>
      </w:r>
      <w:r w:rsidR="00877D76">
        <w:t>.</w:t>
      </w:r>
      <w:r w:rsidR="008C349B">
        <w:t xml:space="preserve"> Potenciální počet uživatelů </w:t>
      </w:r>
      <w:r w:rsidR="008C349B" w:rsidRPr="00823553">
        <w:rPr>
          <w:i/>
        </w:rPr>
        <w:t>Portálu občana</w:t>
      </w:r>
      <w:r w:rsidR="008C349B">
        <w:t xml:space="preserve"> tak může být touto skutečnost</w:t>
      </w:r>
      <w:r w:rsidR="003F4151">
        <w:t>í</w:t>
      </w:r>
      <w:r w:rsidR="008C349B">
        <w:t xml:space="preserve"> limitov</w:t>
      </w:r>
      <w:r w:rsidR="003F057B">
        <w:t>án</w:t>
      </w:r>
      <w:r w:rsidR="008C349B">
        <w:t xml:space="preserve">. Závislost </w:t>
      </w:r>
      <w:r w:rsidR="003F057B">
        <w:t xml:space="preserve">využívání </w:t>
      </w:r>
      <w:r w:rsidR="008C349B">
        <w:t xml:space="preserve">služeb </w:t>
      </w:r>
      <w:r w:rsidR="008C349B" w:rsidRPr="00823553">
        <w:rPr>
          <w:i/>
        </w:rPr>
        <w:t>Portálu občana</w:t>
      </w:r>
      <w:r w:rsidR="008C349B">
        <w:t xml:space="preserve"> na vlastnictví datové schránky však může do budoucna vyřešit zákon o právu na digitální služby, který zavádí možnost činit elektronický úkon přímo přes informační systém umožňující prokázání totožnosti pomocí systému elektronické identifikace</w:t>
      </w:r>
      <w:r w:rsidR="008C349B">
        <w:rPr>
          <w:rStyle w:val="Znakapoznpodarou"/>
        </w:rPr>
        <w:footnoteReference w:id="22"/>
      </w:r>
      <w:r w:rsidR="008C349B">
        <w:t>.</w:t>
      </w:r>
      <w:r w:rsidR="0023494B">
        <w:t xml:space="preserve"> </w:t>
      </w:r>
    </w:p>
    <w:p w14:paraId="02BC021B" w14:textId="10659013" w:rsidR="0045518F" w:rsidRDefault="00DB0CBD" w:rsidP="0045518F">
      <w:r>
        <w:t xml:space="preserve">NKÚ při kontrole zjistil, že počet uživatelů </w:t>
      </w:r>
      <w:r w:rsidRPr="00823553">
        <w:rPr>
          <w:i/>
        </w:rPr>
        <w:t>Portálu občana</w:t>
      </w:r>
      <w:r>
        <w:t xml:space="preserve"> meziročně vzrostl z 13 513 na konci roku 2018 na 45 728 na konci roku 2019. Ve srovnání s celkovým p</w:t>
      </w:r>
      <w:r w:rsidR="00873EAC">
        <w:t>očtem občanů ČR starších 18 let</w:t>
      </w:r>
      <w:r w:rsidR="007574C0">
        <w:rPr>
          <w:rStyle w:val="Znakapoznpodarou"/>
        </w:rPr>
        <w:footnoteReference w:id="23"/>
      </w:r>
      <w:r w:rsidR="00873EAC">
        <w:t xml:space="preserve"> </w:t>
      </w:r>
      <w:r>
        <w:t xml:space="preserve">to představuje jen </w:t>
      </w:r>
      <w:r w:rsidR="007035EA">
        <w:t>0,52</w:t>
      </w:r>
      <w:r>
        <w:t xml:space="preserve"> % potenciálních uživatelů.</w:t>
      </w:r>
    </w:p>
    <w:p w14:paraId="78C7EECC" w14:textId="39DD0C46" w:rsidR="00681523" w:rsidRPr="0045518F" w:rsidRDefault="00681523" w:rsidP="0045518F">
      <w:r>
        <w:t xml:space="preserve">Od roku 2018 realizovalo </w:t>
      </w:r>
      <w:r w:rsidR="002D58CD">
        <w:t xml:space="preserve">MV </w:t>
      </w:r>
      <w:r>
        <w:t xml:space="preserve">různé aktivity spojené s propagací </w:t>
      </w:r>
      <w:proofErr w:type="spellStart"/>
      <w:r>
        <w:t>eOP</w:t>
      </w:r>
      <w:proofErr w:type="spellEnd"/>
      <w:r>
        <w:t xml:space="preserve"> a </w:t>
      </w:r>
      <w:r w:rsidRPr="00823553">
        <w:rPr>
          <w:i/>
        </w:rPr>
        <w:t>Portálu občana</w:t>
      </w:r>
      <w:r>
        <w:t xml:space="preserve">, přičemž se zaměřilo především na propagaci těchto nástrojů </w:t>
      </w:r>
      <w:proofErr w:type="spellStart"/>
      <w:r>
        <w:t>eGov</w:t>
      </w:r>
      <w:r w:rsidR="00553891">
        <w:t>ernmentu</w:t>
      </w:r>
      <w:proofErr w:type="spellEnd"/>
      <w:r w:rsidR="00553891">
        <w:t xml:space="preserve"> na sociálních sítích </w:t>
      </w:r>
      <w:r w:rsidR="00553891">
        <w:lastRenderedPageBreak/>
        <w:t>a </w:t>
      </w:r>
      <w:r>
        <w:t xml:space="preserve">v médiích. Zároveň MV připravovalo komplexní osvětovou kampaň zaměřenou na informování veřejnosti o výhodách využívání nástrojů </w:t>
      </w:r>
      <w:proofErr w:type="spellStart"/>
      <w:r>
        <w:t>eGovernmentu</w:t>
      </w:r>
      <w:proofErr w:type="spellEnd"/>
      <w:r>
        <w:t xml:space="preserve"> pro efektivní komunikaci s veřejnou správou a o možnostech řešit životní situace bez nutnosti návštěvy úřadu. Kampaň má být součástí projektu spolufinancovaného z fondů EU s názvem </w:t>
      </w:r>
      <w:r>
        <w:rPr>
          <w:i/>
        </w:rPr>
        <w:t xml:space="preserve">Vzdělávání zaměstnanců veřejné správy a propagace aktivit v oblasti </w:t>
      </w:r>
      <w:proofErr w:type="spellStart"/>
      <w:r>
        <w:rPr>
          <w:i/>
        </w:rPr>
        <w:t>eGovernmentu</w:t>
      </w:r>
      <w:proofErr w:type="spellEnd"/>
      <w:r>
        <w:rPr>
          <w:i/>
        </w:rPr>
        <w:t xml:space="preserve">. </w:t>
      </w:r>
      <w:r>
        <w:t xml:space="preserve">Do ukončení kontroly se však tuto kampaň nepodařilo spustit. Dle zjištění NKÚ by k jejímu spuštění mělo dojít </w:t>
      </w:r>
      <w:r w:rsidR="004E7FD0">
        <w:t>na jaře</w:t>
      </w:r>
      <w:r>
        <w:t xml:space="preserve"> 2020, tedy téměř dva roky </w:t>
      </w:r>
      <w:r w:rsidR="005D2895">
        <w:t>p</w:t>
      </w:r>
      <w:r>
        <w:t xml:space="preserve">o spuštění systému elektronické identifikace a </w:t>
      </w:r>
      <w:r w:rsidRPr="00823553">
        <w:rPr>
          <w:i/>
        </w:rPr>
        <w:t>Portálu občana</w:t>
      </w:r>
      <w:r>
        <w:t xml:space="preserve">. Nedostatky v oblasti informování veřejnosti o nástrojích </w:t>
      </w:r>
      <w:proofErr w:type="spellStart"/>
      <w:r>
        <w:t>eGovernmentu</w:t>
      </w:r>
      <w:proofErr w:type="spellEnd"/>
      <w:r>
        <w:t xml:space="preserve"> přitom MV zjistilo již v roce 2016 na základě dopadové evaluace strategie </w:t>
      </w:r>
      <w:r w:rsidRPr="00823553">
        <w:rPr>
          <w:i/>
        </w:rPr>
        <w:t xml:space="preserve">Smart </w:t>
      </w:r>
      <w:proofErr w:type="spellStart"/>
      <w:r w:rsidRPr="00823553">
        <w:rPr>
          <w:i/>
        </w:rPr>
        <w:t>Administration</w:t>
      </w:r>
      <w:proofErr w:type="spellEnd"/>
      <w:r>
        <w:rPr>
          <w:rStyle w:val="Znakapoznpodarou"/>
        </w:rPr>
        <w:footnoteReference w:id="24"/>
      </w:r>
      <w:r>
        <w:t>.</w:t>
      </w:r>
      <w:r w:rsidR="003739F4">
        <w:t xml:space="preserve"> Obdobné skutečnosti vyplynuly i z analýzy stavu znalostí občanů v oblasti </w:t>
      </w:r>
      <w:proofErr w:type="spellStart"/>
      <w:r w:rsidR="003739F4">
        <w:t>eGovernmentu</w:t>
      </w:r>
      <w:proofErr w:type="spellEnd"/>
      <w:r w:rsidR="003739F4">
        <w:t xml:space="preserve">, kterou si MV nechalo </w:t>
      </w:r>
      <w:r w:rsidR="001664CA">
        <w:t>vy</w:t>
      </w:r>
      <w:r w:rsidR="003739F4">
        <w:t>pracovat od společnosti STEM/MARK v </w:t>
      </w:r>
      <w:r w:rsidR="001664CA">
        <w:t>roce</w:t>
      </w:r>
      <w:r w:rsidR="003739F4">
        <w:t xml:space="preserve"> 2018</w:t>
      </w:r>
      <w:r w:rsidR="003739F4">
        <w:rPr>
          <w:rStyle w:val="Znakapoznpodarou"/>
        </w:rPr>
        <w:footnoteReference w:id="25"/>
      </w:r>
      <w:r w:rsidR="003739F4">
        <w:t>.</w:t>
      </w:r>
      <w:r w:rsidR="009B0415">
        <w:t xml:space="preserve"> </w:t>
      </w:r>
      <w:r w:rsidR="00BE78D7">
        <w:t>Tímto dotazováním</w:t>
      </w:r>
      <w:r w:rsidR="009B0415">
        <w:t xml:space="preserve"> bylo mimo jiné zjištěno, že 52 % lidí si myslí, že jsou o nástrojích </w:t>
      </w:r>
      <w:proofErr w:type="spellStart"/>
      <w:r w:rsidR="009B0415">
        <w:t>eGovernmentu</w:t>
      </w:r>
      <w:proofErr w:type="spellEnd"/>
      <w:r w:rsidR="009B0415">
        <w:t xml:space="preserve"> informován</w:t>
      </w:r>
      <w:r w:rsidR="001664CA">
        <w:t>i</w:t>
      </w:r>
      <w:r w:rsidR="009B0415">
        <w:t xml:space="preserve"> spíše špatně, žádné nástroje nezná 27 % dotázaných, jen 2 % respondentů zn</w:t>
      </w:r>
      <w:r w:rsidR="001664CA">
        <w:t>ají</w:t>
      </w:r>
      <w:r w:rsidR="009B0415">
        <w:t xml:space="preserve"> </w:t>
      </w:r>
      <w:proofErr w:type="spellStart"/>
      <w:r w:rsidR="009B0415">
        <w:t>eOP</w:t>
      </w:r>
      <w:proofErr w:type="spellEnd"/>
      <w:r w:rsidR="009B0415">
        <w:t xml:space="preserve"> a 70 % </w:t>
      </w:r>
      <w:r w:rsidR="006960C1">
        <w:t xml:space="preserve">dotázaných </w:t>
      </w:r>
      <w:r w:rsidR="009B0415">
        <w:t xml:space="preserve">občanů nezná </w:t>
      </w:r>
      <w:r w:rsidR="009B0415" w:rsidRPr="00823553">
        <w:rPr>
          <w:i/>
        </w:rPr>
        <w:t>Portál občana</w:t>
      </w:r>
      <w:r w:rsidR="009B0415">
        <w:t xml:space="preserve">. </w:t>
      </w:r>
    </w:p>
    <w:p w14:paraId="2FF3156F" w14:textId="5AC8FB7F" w:rsidR="00F2030E" w:rsidRDefault="00F2030E" w:rsidP="002A30AC"/>
    <w:p w14:paraId="6B650E20" w14:textId="6D6D9F1C" w:rsidR="002E043B" w:rsidRDefault="002E043B">
      <w:pPr>
        <w:jc w:val="left"/>
      </w:pPr>
      <w:r>
        <w:br w:type="page"/>
      </w:r>
    </w:p>
    <w:p w14:paraId="217DDA2D" w14:textId="24D99587" w:rsidR="002E043B" w:rsidRDefault="002E043B" w:rsidP="002E043B">
      <w:pPr>
        <w:pStyle w:val="Nadpis2"/>
        <w:rPr>
          <w:rFonts w:asciiTheme="minorHAnsi" w:hAnsiTheme="minorHAnsi" w:cstheme="minorHAnsi"/>
        </w:rPr>
      </w:pPr>
      <w:r w:rsidRPr="00823553">
        <w:rPr>
          <w:rFonts w:asciiTheme="minorHAnsi" w:hAnsiTheme="minorHAnsi" w:cstheme="minorHAnsi"/>
        </w:rPr>
        <w:lastRenderedPageBreak/>
        <w:t>Seznam zkratek</w:t>
      </w:r>
    </w:p>
    <w:p w14:paraId="4A4A307D" w14:textId="26ED9BB9" w:rsidR="008465BB" w:rsidRDefault="008465BB" w:rsidP="008465BB"/>
    <w:p w14:paraId="24148004" w14:textId="2B87E8B2" w:rsidR="001E29BB" w:rsidRDefault="001E29BB" w:rsidP="00823553">
      <w:pPr>
        <w:tabs>
          <w:tab w:val="left" w:pos="1985"/>
        </w:tabs>
        <w:ind w:left="1985" w:hanging="1985"/>
        <w:jc w:val="left"/>
        <w:rPr>
          <w:rFonts w:cstheme="minorHAnsi"/>
        </w:rPr>
      </w:pPr>
      <w:r>
        <w:rPr>
          <w:rFonts w:cstheme="minorHAnsi"/>
        </w:rPr>
        <w:t>BIEP</w:t>
      </w:r>
      <w:r>
        <w:rPr>
          <w:rFonts w:cstheme="minorHAnsi"/>
        </w:rPr>
        <w:tab/>
      </w:r>
      <w:proofErr w:type="spellStart"/>
      <w:r w:rsidRPr="00823553">
        <w:rPr>
          <w:i/>
        </w:rPr>
        <w:t>Benchmarking</w:t>
      </w:r>
      <w:proofErr w:type="spellEnd"/>
      <w:r w:rsidRPr="00823553">
        <w:rPr>
          <w:i/>
        </w:rPr>
        <w:t xml:space="preserve"> </w:t>
      </w:r>
      <w:proofErr w:type="spellStart"/>
      <w:r w:rsidRPr="00823553">
        <w:rPr>
          <w:i/>
        </w:rPr>
        <w:t>Information</w:t>
      </w:r>
      <w:proofErr w:type="spellEnd"/>
      <w:r w:rsidRPr="00823553">
        <w:rPr>
          <w:i/>
        </w:rPr>
        <w:t xml:space="preserve"> Exchange Project</w:t>
      </w:r>
      <w:r>
        <w:t xml:space="preserve"> (</w:t>
      </w:r>
      <w:r w:rsidR="008147DC" w:rsidRPr="008147DC">
        <w:t>p</w:t>
      </w:r>
      <w:r w:rsidRPr="008147DC">
        <w:t>rojekt</w:t>
      </w:r>
      <w:r w:rsidR="008147DC">
        <w:t xml:space="preserve"> NKÚ zaměřený na</w:t>
      </w:r>
      <w:r w:rsidRPr="008147DC">
        <w:t xml:space="preserve"> mezinárodní výměn</w:t>
      </w:r>
      <w:r w:rsidR="008147DC">
        <w:t>u</w:t>
      </w:r>
      <w:r w:rsidRPr="008147DC">
        <w:t xml:space="preserve"> a porovnávání informací</w:t>
      </w:r>
      <w:r w:rsidR="008147DC">
        <w:t xml:space="preserve"> z různých oblastí kontroly</w:t>
      </w:r>
      <w:r>
        <w:t>)</w:t>
      </w:r>
    </w:p>
    <w:p w14:paraId="417FD120" w14:textId="77777777" w:rsidR="001E29BB" w:rsidRDefault="001E29BB" w:rsidP="008465BB">
      <w:pPr>
        <w:tabs>
          <w:tab w:val="left" w:pos="1985"/>
        </w:tabs>
        <w:rPr>
          <w:rFonts w:cstheme="minorHAnsi"/>
        </w:rPr>
      </w:pPr>
      <w:r w:rsidRPr="008A185C">
        <w:rPr>
          <w:rFonts w:cstheme="minorHAnsi"/>
        </w:rPr>
        <w:t>ČR</w:t>
      </w:r>
      <w:r>
        <w:rPr>
          <w:rFonts w:cstheme="minorHAnsi"/>
        </w:rPr>
        <w:tab/>
      </w:r>
      <w:r w:rsidRPr="00BD486B">
        <w:rPr>
          <w:rFonts w:cstheme="minorHAnsi"/>
        </w:rPr>
        <w:t>Česká republika</w:t>
      </w:r>
    </w:p>
    <w:p w14:paraId="5F8690E4" w14:textId="77777777" w:rsidR="001E29BB" w:rsidRDefault="001E29BB" w:rsidP="008465BB">
      <w:pPr>
        <w:tabs>
          <w:tab w:val="left" w:pos="1985"/>
        </w:tabs>
        <w:rPr>
          <w:rFonts w:cstheme="minorHAnsi"/>
        </w:rPr>
      </w:pPr>
      <w:r w:rsidRPr="008A185C">
        <w:rPr>
          <w:rFonts w:cstheme="minorHAnsi"/>
        </w:rPr>
        <w:t>ČSSZ</w:t>
      </w:r>
      <w:r>
        <w:rPr>
          <w:rFonts w:cstheme="minorHAnsi"/>
        </w:rPr>
        <w:tab/>
      </w:r>
      <w:r w:rsidRPr="00BD486B">
        <w:rPr>
          <w:rFonts w:cstheme="minorHAnsi"/>
        </w:rPr>
        <w:t>Česká správa sociálního zabezpečení</w:t>
      </w:r>
    </w:p>
    <w:p w14:paraId="4871539E" w14:textId="77777777" w:rsidR="001E29BB" w:rsidRDefault="001E29BB" w:rsidP="00823553">
      <w:pPr>
        <w:tabs>
          <w:tab w:val="left" w:pos="1985"/>
        </w:tabs>
        <w:ind w:left="1985" w:hanging="1985"/>
        <w:jc w:val="left"/>
        <w:rPr>
          <w:rFonts w:cstheme="minorHAnsi"/>
        </w:rPr>
      </w:pPr>
      <w:r>
        <w:rPr>
          <w:rFonts w:cstheme="minorHAnsi"/>
        </w:rPr>
        <w:t>DESI</w:t>
      </w:r>
      <w:r>
        <w:rPr>
          <w:rFonts w:cstheme="minorHAnsi"/>
        </w:rPr>
        <w:tab/>
      </w:r>
      <w:r w:rsidRPr="00A46132">
        <w:rPr>
          <w:rFonts w:ascii="Calibri" w:eastAsia="Calibri" w:hAnsi="Calibri" w:cs="Times New Roman"/>
          <w:i/>
          <w:szCs w:val="24"/>
        </w:rPr>
        <w:t xml:space="preserve">Digital </w:t>
      </w:r>
      <w:r w:rsidRPr="00A46132">
        <w:rPr>
          <w:rFonts w:ascii="Calibri" w:eastAsia="Calibri" w:hAnsi="Calibri" w:cs="Times New Roman"/>
          <w:i/>
          <w:szCs w:val="24"/>
          <w:lang w:val="en-GB"/>
        </w:rPr>
        <w:t>Economy</w:t>
      </w:r>
      <w:r w:rsidRPr="00A46132">
        <w:rPr>
          <w:rFonts w:ascii="Calibri" w:eastAsia="Calibri" w:hAnsi="Calibri" w:cs="Times New Roman"/>
          <w:i/>
          <w:szCs w:val="24"/>
        </w:rPr>
        <w:t xml:space="preserve"> and Society Index</w:t>
      </w:r>
      <w:r>
        <w:rPr>
          <w:rFonts w:ascii="Calibri" w:eastAsia="Calibri" w:hAnsi="Calibri" w:cs="Times New Roman"/>
          <w:szCs w:val="24"/>
        </w:rPr>
        <w:t xml:space="preserve"> (index digitalizace ekonomiky a společnosti)</w:t>
      </w:r>
    </w:p>
    <w:p w14:paraId="3EA1B79B" w14:textId="49F9AFB8" w:rsidR="001E29BB" w:rsidRDefault="001E29BB" w:rsidP="008465BB">
      <w:pPr>
        <w:tabs>
          <w:tab w:val="left" w:pos="1985"/>
        </w:tabs>
        <w:rPr>
          <w:rFonts w:cstheme="minorHAnsi"/>
        </w:rPr>
      </w:pPr>
      <w:r w:rsidRPr="008A185C">
        <w:rPr>
          <w:rFonts w:cstheme="minorHAnsi"/>
        </w:rPr>
        <w:t>DPH</w:t>
      </w:r>
      <w:r>
        <w:rPr>
          <w:rFonts w:cstheme="minorHAnsi"/>
        </w:rPr>
        <w:tab/>
        <w:t>d</w:t>
      </w:r>
      <w:r w:rsidRPr="00BD486B">
        <w:rPr>
          <w:rFonts w:cstheme="minorHAnsi"/>
        </w:rPr>
        <w:t>aň z přidané hodnoty</w:t>
      </w:r>
    </w:p>
    <w:p w14:paraId="5D0D7BAA" w14:textId="77777777" w:rsidR="001E29BB" w:rsidRDefault="001E29BB" w:rsidP="008465BB">
      <w:pPr>
        <w:tabs>
          <w:tab w:val="left" w:pos="1985"/>
        </w:tabs>
        <w:ind w:left="1985" w:hanging="1985"/>
        <w:rPr>
          <w:rFonts w:cstheme="minorHAnsi"/>
        </w:rPr>
      </w:pPr>
      <w:proofErr w:type="spellStart"/>
      <w:r>
        <w:rPr>
          <w:rFonts w:cstheme="minorHAnsi"/>
        </w:rPr>
        <w:t>eID</w:t>
      </w:r>
      <w:proofErr w:type="spellEnd"/>
      <w:r>
        <w:rPr>
          <w:rFonts w:cstheme="minorHAnsi"/>
        </w:rPr>
        <w:tab/>
        <w:t>elektronická identifikace</w:t>
      </w:r>
    </w:p>
    <w:p w14:paraId="694E1819" w14:textId="77777777" w:rsidR="001E29BB" w:rsidRPr="008A185C" w:rsidRDefault="001E29BB" w:rsidP="00823553">
      <w:pPr>
        <w:tabs>
          <w:tab w:val="left" w:pos="1985"/>
        </w:tabs>
        <w:ind w:left="1985" w:hanging="1985"/>
        <w:jc w:val="left"/>
        <w:rPr>
          <w:rFonts w:cstheme="minorHAnsi"/>
        </w:rPr>
      </w:pPr>
      <w:proofErr w:type="spellStart"/>
      <w:r>
        <w:rPr>
          <w:rFonts w:cstheme="minorHAnsi"/>
        </w:rPr>
        <w:t>eIDAS</w:t>
      </w:r>
      <w:proofErr w:type="spellEnd"/>
      <w:r>
        <w:rPr>
          <w:rFonts w:cstheme="minorHAnsi"/>
        </w:rPr>
        <w:tab/>
        <w:t>n</w:t>
      </w:r>
      <w:r w:rsidRPr="00BC410C">
        <w:t xml:space="preserve">ařízení Evropského parlamentu a Rady (EU) č. 910/2014 </w:t>
      </w:r>
      <w:r>
        <w:br/>
      </w:r>
      <w:r w:rsidRPr="00BC410C">
        <w:t>ze dne 23. 7. 2014, o elektronické identifikaci a</w:t>
      </w:r>
      <w:r>
        <w:t xml:space="preserve"> </w:t>
      </w:r>
      <w:r w:rsidRPr="00BC410C">
        <w:t xml:space="preserve">službách </w:t>
      </w:r>
      <w:r>
        <w:br/>
      </w:r>
      <w:r w:rsidRPr="00BC410C">
        <w:t xml:space="preserve">vytvářejících důvěru pro elektronické transakce na vnitřním </w:t>
      </w:r>
      <w:r>
        <w:br/>
      </w:r>
      <w:r w:rsidRPr="00BC410C">
        <w:t>trhu a o zrušení směrnice 1999/93/ES</w:t>
      </w:r>
    </w:p>
    <w:p w14:paraId="73FF7422" w14:textId="0AD70262" w:rsidR="001E29BB" w:rsidRDefault="001E29BB" w:rsidP="008465BB">
      <w:pPr>
        <w:tabs>
          <w:tab w:val="left" w:pos="1985"/>
        </w:tabs>
        <w:rPr>
          <w:rFonts w:cstheme="minorHAnsi"/>
        </w:rPr>
      </w:pPr>
      <w:proofErr w:type="spellStart"/>
      <w:r w:rsidRPr="008A185C">
        <w:rPr>
          <w:rFonts w:cstheme="minorHAnsi"/>
        </w:rPr>
        <w:t>eOP</w:t>
      </w:r>
      <w:proofErr w:type="spellEnd"/>
      <w:r>
        <w:rPr>
          <w:rFonts w:cstheme="minorHAnsi"/>
        </w:rPr>
        <w:tab/>
        <w:t>e</w:t>
      </w:r>
      <w:r w:rsidRPr="00BD486B">
        <w:rPr>
          <w:rFonts w:cstheme="minorHAnsi"/>
        </w:rPr>
        <w:t>lektronický občanský průkaz</w:t>
      </w:r>
    </w:p>
    <w:p w14:paraId="2A1742A0" w14:textId="77777777" w:rsidR="001E29BB" w:rsidRDefault="001E29BB" w:rsidP="008465BB">
      <w:pPr>
        <w:tabs>
          <w:tab w:val="left" w:pos="1985"/>
        </w:tabs>
        <w:rPr>
          <w:rFonts w:cstheme="minorHAnsi"/>
        </w:rPr>
      </w:pPr>
      <w:r w:rsidRPr="008A185C">
        <w:rPr>
          <w:rFonts w:cstheme="minorHAnsi"/>
        </w:rPr>
        <w:t>EU</w:t>
      </w:r>
      <w:r>
        <w:rPr>
          <w:rFonts w:cstheme="minorHAnsi"/>
        </w:rPr>
        <w:tab/>
      </w:r>
      <w:r w:rsidRPr="00BD486B">
        <w:rPr>
          <w:rFonts w:cstheme="minorHAnsi"/>
        </w:rPr>
        <w:t>Evropská unie</w:t>
      </w:r>
    </w:p>
    <w:p w14:paraId="5963BAC8" w14:textId="77777777" w:rsidR="001E29BB" w:rsidRDefault="001E29BB" w:rsidP="00BC410C">
      <w:pPr>
        <w:tabs>
          <w:tab w:val="left" w:pos="1985"/>
        </w:tabs>
        <w:rPr>
          <w:rFonts w:cstheme="minorHAnsi"/>
        </w:rPr>
      </w:pPr>
      <w:r>
        <w:rPr>
          <w:rFonts w:cstheme="minorHAnsi"/>
        </w:rPr>
        <w:t>ICT</w:t>
      </w:r>
      <w:r>
        <w:rPr>
          <w:rFonts w:cstheme="minorHAnsi"/>
        </w:rPr>
        <w:tab/>
        <w:t>informační a komunikační technologie</w:t>
      </w:r>
    </w:p>
    <w:p w14:paraId="62016F82" w14:textId="75832996" w:rsidR="001E29BB" w:rsidRDefault="001E29BB" w:rsidP="008465BB">
      <w:pPr>
        <w:tabs>
          <w:tab w:val="left" w:pos="1985"/>
        </w:tabs>
        <w:rPr>
          <w:rFonts w:cstheme="minorHAnsi"/>
        </w:rPr>
      </w:pPr>
      <w:r w:rsidRPr="008A185C">
        <w:rPr>
          <w:rFonts w:cstheme="minorHAnsi"/>
        </w:rPr>
        <w:t>IT</w:t>
      </w:r>
      <w:r>
        <w:rPr>
          <w:rFonts w:cstheme="minorHAnsi"/>
        </w:rPr>
        <w:tab/>
        <w:t>i</w:t>
      </w:r>
      <w:r w:rsidRPr="00BD486B">
        <w:rPr>
          <w:rFonts w:cstheme="minorHAnsi"/>
        </w:rPr>
        <w:t>nformační technologie</w:t>
      </w:r>
    </w:p>
    <w:p w14:paraId="6C1FBACC" w14:textId="77777777" w:rsidR="001E29BB" w:rsidRDefault="001E29BB" w:rsidP="00BC410C">
      <w:pPr>
        <w:tabs>
          <w:tab w:val="left" w:pos="1985"/>
        </w:tabs>
        <w:rPr>
          <w:rFonts w:cstheme="minorHAnsi"/>
        </w:rPr>
      </w:pPr>
      <w:r>
        <w:rPr>
          <w:rFonts w:cstheme="minorHAnsi"/>
        </w:rPr>
        <w:t>KZ</w:t>
      </w:r>
      <w:r>
        <w:rPr>
          <w:rFonts w:cstheme="minorHAnsi"/>
        </w:rPr>
        <w:tab/>
        <w:t>kontrolní závěr NKÚ</w:t>
      </w:r>
    </w:p>
    <w:p w14:paraId="184E0585" w14:textId="77777777" w:rsidR="001E29BB" w:rsidRDefault="001E29BB" w:rsidP="008465BB">
      <w:pPr>
        <w:tabs>
          <w:tab w:val="left" w:pos="1985"/>
        </w:tabs>
        <w:rPr>
          <w:rFonts w:cstheme="minorHAnsi"/>
          <w:i/>
        </w:rPr>
      </w:pPr>
      <w:r w:rsidRPr="008A185C">
        <w:rPr>
          <w:rFonts w:cstheme="minorHAnsi"/>
        </w:rPr>
        <w:t>MORIS</w:t>
      </w:r>
      <w:r w:rsidRPr="008465BB">
        <w:rPr>
          <w:rFonts w:cstheme="minorHAnsi"/>
          <w:i/>
        </w:rPr>
        <w:t xml:space="preserve"> </w:t>
      </w:r>
      <w:r>
        <w:rPr>
          <w:rFonts w:cstheme="minorHAnsi"/>
          <w:i/>
        </w:rPr>
        <w:tab/>
      </w:r>
      <w:r w:rsidRPr="00823553">
        <w:rPr>
          <w:rFonts w:cstheme="minorHAnsi"/>
          <w:i/>
        </w:rPr>
        <w:t>Modulární registr pro informační systémy</w:t>
      </w:r>
    </w:p>
    <w:p w14:paraId="043677E4" w14:textId="77777777" w:rsidR="001E29BB" w:rsidRDefault="001E29BB" w:rsidP="008465BB">
      <w:pPr>
        <w:tabs>
          <w:tab w:val="left" w:pos="1985"/>
        </w:tabs>
        <w:rPr>
          <w:rFonts w:cstheme="minorHAnsi"/>
        </w:rPr>
      </w:pPr>
      <w:r w:rsidRPr="008A185C">
        <w:rPr>
          <w:rFonts w:cstheme="minorHAnsi"/>
        </w:rPr>
        <w:t>MV</w:t>
      </w:r>
      <w:r>
        <w:rPr>
          <w:rFonts w:cstheme="minorHAnsi"/>
        </w:rPr>
        <w:tab/>
      </w:r>
      <w:r w:rsidRPr="00BD486B">
        <w:rPr>
          <w:rFonts w:cstheme="minorHAnsi"/>
        </w:rPr>
        <w:t>Ministerstvo vnitra</w:t>
      </w:r>
    </w:p>
    <w:p w14:paraId="38A21EA0" w14:textId="77777777" w:rsidR="001E29BB" w:rsidRDefault="001E29BB" w:rsidP="008465BB">
      <w:pPr>
        <w:tabs>
          <w:tab w:val="left" w:pos="1985"/>
        </w:tabs>
        <w:rPr>
          <w:rFonts w:cstheme="minorHAnsi"/>
        </w:rPr>
      </w:pPr>
      <w:r w:rsidRPr="008A185C">
        <w:rPr>
          <w:rFonts w:cstheme="minorHAnsi"/>
        </w:rPr>
        <w:t>NAKIT</w:t>
      </w:r>
      <w:r>
        <w:rPr>
          <w:rFonts w:cstheme="minorHAnsi"/>
        </w:rPr>
        <w:tab/>
      </w:r>
      <w:r w:rsidRPr="00BD486B">
        <w:rPr>
          <w:rFonts w:cstheme="minorHAnsi"/>
        </w:rPr>
        <w:t>Národní agentura pro komunikační a informační technologie, s.</w:t>
      </w:r>
      <w:r>
        <w:rPr>
          <w:rFonts w:cstheme="minorHAnsi"/>
        </w:rPr>
        <w:t> </w:t>
      </w:r>
      <w:r w:rsidRPr="00BD486B">
        <w:rPr>
          <w:rFonts w:cstheme="minorHAnsi"/>
        </w:rPr>
        <w:t>p.</w:t>
      </w:r>
    </w:p>
    <w:p w14:paraId="3E7DADD3" w14:textId="77777777" w:rsidR="001E29BB" w:rsidRDefault="001E29BB" w:rsidP="008465BB">
      <w:pPr>
        <w:tabs>
          <w:tab w:val="left" w:pos="1985"/>
        </w:tabs>
        <w:rPr>
          <w:rFonts w:cstheme="minorHAnsi"/>
        </w:rPr>
      </w:pPr>
      <w:r w:rsidRPr="008A185C">
        <w:rPr>
          <w:rFonts w:cstheme="minorHAnsi"/>
        </w:rPr>
        <w:t>NIA</w:t>
      </w:r>
      <w:r>
        <w:rPr>
          <w:rFonts w:cstheme="minorHAnsi"/>
        </w:rPr>
        <w:tab/>
        <w:t xml:space="preserve">informační systém </w:t>
      </w:r>
      <w:r w:rsidRPr="00823553">
        <w:rPr>
          <w:rFonts w:cstheme="minorHAnsi"/>
          <w:i/>
        </w:rPr>
        <w:t>Národní bod pro identifikaci a autentizaci</w:t>
      </w:r>
    </w:p>
    <w:p w14:paraId="76825F5A" w14:textId="77777777" w:rsidR="001E29BB" w:rsidRDefault="001E29BB" w:rsidP="008465BB">
      <w:pPr>
        <w:tabs>
          <w:tab w:val="left" w:pos="1985"/>
        </w:tabs>
        <w:rPr>
          <w:rFonts w:cstheme="minorHAnsi"/>
        </w:rPr>
      </w:pPr>
      <w:r w:rsidRPr="008A185C">
        <w:rPr>
          <w:rFonts w:cstheme="minorHAnsi"/>
        </w:rPr>
        <w:t>NKÚ</w:t>
      </w:r>
      <w:r>
        <w:rPr>
          <w:rFonts w:cstheme="minorHAnsi"/>
        </w:rPr>
        <w:tab/>
      </w:r>
      <w:r w:rsidRPr="00BD486B">
        <w:rPr>
          <w:rFonts w:cstheme="minorHAnsi"/>
        </w:rPr>
        <w:t>Nejvyšší kontrolní úřad</w:t>
      </w:r>
    </w:p>
    <w:p w14:paraId="0290E886" w14:textId="43DF6457" w:rsidR="001E29BB" w:rsidRDefault="001E29BB" w:rsidP="008465BB">
      <w:pPr>
        <w:tabs>
          <w:tab w:val="left" w:pos="1985"/>
        </w:tabs>
        <w:rPr>
          <w:rFonts w:cstheme="minorHAnsi"/>
        </w:rPr>
      </w:pPr>
      <w:r w:rsidRPr="00E852BF">
        <w:rPr>
          <w:rFonts w:cstheme="minorHAnsi"/>
        </w:rPr>
        <w:t>OZ</w:t>
      </w:r>
      <w:r>
        <w:rPr>
          <w:rFonts w:cstheme="minorHAnsi"/>
        </w:rPr>
        <w:t> ICTS</w:t>
      </w:r>
      <w:r>
        <w:rPr>
          <w:rFonts w:cstheme="minorHAnsi"/>
        </w:rPr>
        <w:tab/>
      </w:r>
      <w:r w:rsidRPr="008A185C">
        <w:rPr>
          <w:rFonts w:cstheme="minorHAnsi"/>
        </w:rPr>
        <w:t>Česká pošta, s. p., Odštěpný závod ICT služby</w:t>
      </w:r>
    </w:p>
    <w:p w14:paraId="0C3514A8" w14:textId="77777777" w:rsidR="001E29BB" w:rsidRDefault="001E29BB" w:rsidP="008465BB">
      <w:pPr>
        <w:tabs>
          <w:tab w:val="left" w:pos="1985"/>
        </w:tabs>
        <w:ind w:left="1985" w:hanging="1985"/>
        <w:rPr>
          <w:rFonts w:cstheme="minorHAnsi"/>
        </w:rPr>
      </w:pPr>
      <w:r>
        <w:rPr>
          <w:rFonts w:cstheme="minorHAnsi"/>
        </w:rPr>
        <w:t>SAI</w:t>
      </w:r>
      <w:r>
        <w:rPr>
          <w:rFonts w:cstheme="minorHAnsi"/>
        </w:rPr>
        <w:tab/>
      </w:r>
      <w:proofErr w:type="spellStart"/>
      <w:r>
        <w:rPr>
          <w:rFonts w:cstheme="minorHAnsi"/>
        </w:rPr>
        <w:t>S</w:t>
      </w:r>
      <w:r w:rsidRPr="000443A9">
        <w:rPr>
          <w:rFonts w:cstheme="minorHAnsi"/>
        </w:rPr>
        <w:t>upreme</w:t>
      </w:r>
      <w:proofErr w:type="spellEnd"/>
      <w:r w:rsidRPr="000443A9">
        <w:rPr>
          <w:rFonts w:cstheme="minorHAnsi"/>
        </w:rPr>
        <w:t xml:space="preserve"> </w:t>
      </w:r>
      <w:r>
        <w:rPr>
          <w:rFonts w:cstheme="minorHAnsi"/>
        </w:rPr>
        <w:t>A</w:t>
      </w:r>
      <w:r w:rsidRPr="000443A9">
        <w:rPr>
          <w:rFonts w:cstheme="minorHAnsi"/>
        </w:rPr>
        <w:t xml:space="preserve">udit </w:t>
      </w:r>
      <w:proofErr w:type="spellStart"/>
      <w:r>
        <w:rPr>
          <w:rFonts w:cstheme="minorHAnsi"/>
        </w:rPr>
        <w:t>I</w:t>
      </w:r>
      <w:r w:rsidRPr="000443A9">
        <w:rPr>
          <w:rFonts w:cstheme="minorHAnsi"/>
        </w:rPr>
        <w:t>nstitution</w:t>
      </w:r>
      <w:r>
        <w:rPr>
          <w:rFonts w:cstheme="minorHAnsi"/>
        </w:rPr>
        <w:t>s</w:t>
      </w:r>
      <w:proofErr w:type="spellEnd"/>
      <w:r>
        <w:rPr>
          <w:rFonts w:cstheme="minorHAnsi"/>
        </w:rPr>
        <w:t xml:space="preserve"> (nejvyšší kontrolní instituce)</w:t>
      </w:r>
    </w:p>
    <w:p w14:paraId="6B661872" w14:textId="1EBB9EBA" w:rsidR="001E29BB" w:rsidRDefault="001E29BB" w:rsidP="00823553">
      <w:pPr>
        <w:tabs>
          <w:tab w:val="left" w:pos="1985"/>
        </w:tabs>
        <w:ind w:left="1985" w:hanging="1985"/>
        <w:jc w:val="left"/>
        <w:rPr>
          <w:rFonts w:cstheme="minorHAnsi"/>
          <w:i/>
        </w:rPr>
      </w:pPr>
      <w:r w:rsidRPr="008A185C">
        <w:rPr>
          <w:rFonts w:cstheme="minorHAnsi"/>
        </w:rPr>
        <w:t>SRRVS</w:t>
      </w:r>
      <w:r>
        <w:rPr>
          <w:rFonts w:cstheme="minorHAnsi"/>
        </w:rPr>
        <w:tab/>
      </w:r>
      <w:r w:rsidRPr="00823553">
        <w:rPr>
          <w:rFonts w:cstheme="minorHAnsi"/>
          <w:i/>
        </w:rPr>
        <w:t xml:space="preserve">Strategický rámec rozvoje veřejné správy </w:t>
      </w:r>
      <w:r>
        <w:rPr>
          <w:rFonts w:cstheme="minorHAnsi"/>
          <w:i/>
        </w:rPr>
        <w:t xml:space="preserve">České republiky </w:t>
      </w:r>
      <w:r>
        <w:rPr>
          <w:rFonts w:cstheme="minorHAnsi"/>
          <w:i/>
        </w:rPr>
        <w:br/>
      </w:r>
      <w:r w:rsidRPr="00823553">
        <w:rPr>
          <w:rFonts w:cstheme="minorHAnsi"/>
          <w:i/>
        </w:rPr>
        <w:t>pro období 2014–2020</w:t>
      </w:r>
    </w:p>
    <w:p w14:paraId="46C4ACB7" w14:textId="77777777" w:rsidR="001E29BB" w:rsidRDefault="001E29BB" w:rsidP="008465BB">
      <w:pPr>
        <w:tabs>
          <w:tab w:val="left" w:pos="1985"/>
        </w:tabs>
        <w:ind w:left="1985" w:hanging="1985"/>
        <w:rPr>
          <w:rFonts w:cstheme="minorHAnsi"/>
        </w:rPr>
      </w:pPr>
      <w:r w:rsidRPr="008A185C">
        <w:rPr>
          <w:rFonts w:cstheme="minorHAnsi"/>
        </w:rPr>
        <w:t>SZR</w:t>
      </w:r>
      <w:r>
        <w:rPr>
          <w:rFonts w:cstheme="minorHAnsi"/>
        </w:rPr>
        <w:tab/>
      </w:r>
      <w:r w:rsidRPr="00BD486B">
        <w:rPr>
          <w:rFonts w:cstheme="minorHAnsi"/>
        </w:rPr>
        <w:t>Správa základních registrů</w:t>
      </w:r>
    </w:p>
    <w:p w14:paraId="0222B4FD" w14:textId="1EC5008B" w:rsidR="001E29BB" w:rsidRDefault="001E29BB" w:rsidP="008465BB">
      <w:pPr>
        <w:tabs>
          <w:tab w:val="left" w:pos="1985"/>
        </w:tabs>
        <w:ind w:left="1985" w:hanging="1985"/>
        <w:rPr>
          <w:rFonts w:cstheme="minorHAnsi"/>
        </w:rPr>
      </w:pPr>
      <w:r w:rsidRPr="008A185C">
        <w:rPr>
          <w:rFonts w:cstheme="minorHAnsi"/>
        </w:rPr>
        <w:t>ZZVZ</w:t>
      </w:r>
      <w:r>
        <w:rPr>
          <w:rFonts w:cstheme="minorHAnsi"/>
        </w:rPr>
        <w:tab/>
        <w:t>z</w:t>
      </w:r>
      <w:r w:rsidRPr="00BD486B">
        <w:rPr>
          <w:rFonts w:cstheme="minorHAnsi"/>
        </w:rPr>
        <w:t>ákon č. 134/2016 Sb., o zadávání veřejných zakázek</w:t>
      </w:r>
    </w:p>
    <w:p w14:paraId="2B06BE29" w14:textId="1F8FB8A7" w:rsidR="004E32A1" w:rsidRDefault="004E32A1">
      <w:pPr>
        <w:jc w:val="left"/>
      </w:pPr>
      <w:r>
        <w:br w:type="page"/>
      </w:r>
    </w:p>
    <w:p w14:paraId="428795AC" w14:textId="27707C63" w:rsidR="004E32A1" w:rsidRPr="004E32A1" w:rsidRDefault="004E32A1" w:rsidP="004E32A1">
      <w:pPr>
        <w:jc w:val="left"/>
        <w:rPr>
          <w:b/>
          <w:sz w:val="22"/>
        </w:rPr>
      </w:pPr>
      <w:r w:rsidRPr="004E32A1">
        <w:rPr>
          <w:b/>
        </w:rPr>
        <w:lastRenderedPageBreak/>
        <w:t>Příloha KZ 19/14 č. 1</w:t>
      </w:r>
      <w:r>
        <w:rPr>
          <w:b/>
        </w:rPr>
        <w:t>:</w:t>
      </w:r>
      <w:r w:rsidRPr="004E32A1">
        <w:rPr>
          <w:b/>
        </w:rPr>
        <w:t xml:space="preserve"> Mezinárodní srovnání</w:t>
      </w:r>
    </w:p>
    <w:p w14:paraId="6685C106" w14:textId="77777777"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Česká republika v oblasti digitálních služeb veřejné správy a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rPr>
        <w:t xml:space="preserve"> ve srovnání s ostatními zeměmi EU dlouhodobě zaostává. Vyplývá to mimo jiné z výsledků srovnání, které provádí Evropská komise pomocí tzv. </w:t>
      </w:r>
      <w:r w:rsidRPr="00F95CE3">
        <w:rPr>
          <w:rFonts w:ascii="Calibri" w:eastAsia="Calibri" w:hAnsi="Calibri" w:cs="Times New Roman"/>
          <w:i/>
          <w:szCs w:val="24"/>
        </w:rPr>
        <w:t xml:space="preserve">Digital </w:t>
      </w:r>
      <w:proofErr w:type="spellStart"/>
      <w:r w:rsidRPr="00F95CE3">
        <w:rPr>
          <w:rFonts w:ascii="Calibri" w:eastAsia="Calibri" w:hAnsi="Calibri" w:cs="Times New Roman"/>
          <w:i/>
          <w:szCs w:val="24"/>
        </w:rPr>
        <w:t>Economy</w:t>
      </w:r>
      <w:proofErr w:type="spellEnd"/>
      <w:r w:rsidRPr="00F95CE3">
        <w:rPr>
          <w:rFonts w:ascii="Calibri" w:eastAsia="Calibri" w:hAnsi="Calibri" w:cs="Times New Roman"/>
          <w:i/>
          <w:szCs w:val="24"/>
        </w:rPr>
        <w:t xml:space="preserve"> and Society Index</w:t>
      </w:r>
      <w:r w:rsidRPr="004E32A1">
        <w:rPr>
          <w:rFonts w:ascii="Calibri" w:eastAsia="Calibri" w:hAnsi="Calibri" w:cs="Times New Roman"/>
          <w:szCs w:val="24"/>
          <w:vertAlign w:val="superscript"/>
        </w:rPr>
        <w:footnoteReference w:id="26"/>
      </w:r>
      <w:r w:rsidRPr="004E32A1">
        <w:rPr>
          <w:rFonts w:ascii="Calibri" w:eastAsia="Calibri" w:hAnsi="Calibri" w:cs="Times New Roman"/>
          <w:szCs w:val="24"/>
        </w:rPr>
        <w:t xml:space="preserve"> (dále také „DESI“). V roce 2019 se Česká republika umístila na 18. místě z 28 srovnávaných zemí, tedy pod průměrem EU.</w:t>
      </w:r>
    </w:p>
    <w:p w14:paraId="344ADF58" w14:textId="1C4531A2" w:rsidR="004E32A1" w:rsidRPr="004E32A1" w:rsidRDefault="004E32A1" w:rsidP="004E32A1">
      <w:pPr>
        <w:keepNext/>
        <w:spacing w:after="200" w:line="240" w:lineRule="auto"/>
        <w:rPr>
          <w:rFonts w:ascii="Calibri" w:eastAsia="Calibri" w:hAnsi="Calibri" w:cs="Times New Roman"/>
          <w:sz w:val="22"/>
        </w:rPr>
      </w:pPr>
      <w:r w:rsidRPr="004E32A1">
        <w:rPr>
          <w:rFonts w:ascii="Calibri" w:eastAsia="Calibri" w:hAnsi="Calibri" w:cs="Times New Roman"/>
          <w:b/>
          <w:sz w:val="22"/>
        </w:rPr>
        <w:t xml:space="preserve">Graf č. </w:t>
      </w:r>
      <w:r w:rsidRPr="004E32A1">
        <w:rPr>
          <w:rFonts w:ascii="Calibri" w:eastAsia="Calibri" w:hAnsi="Calibri" w:cs="Times New Roman"/>
          <w:b/>
          <w:sz w:val="22"/>
        </w:rPr>
        <w:fldChar w:fldCharType="begin"/>
      </w:r>
      <w:r w:rsidRPr="004E32A1">
        <w:rPr>
          <w:rFonts w:ascii="Calibri" w:eastAsia="Calibri" w:hAnsi="Calibri" w:cs="Times New Roman"/>
          <w:b/>
          <w:sz w:val="22"/>
        </w:rPr>
        <w:instrText xml:space="preserve"> SEQ Graf_č.: \* ARABIC </w:instrText>
      </w:r>
      <w:r w:rsidRPr="004E32A1">
        <w:rPr>
          <w:rFonts w:ascii="Calibri" w:eastAsia="Calibri" w:hAnsi="Calibri" w:cs="Times New Roman"/>
          <w:b/>
          <w:sz w:val="22"/>
        </w:rPr>
        <w:fldChar w:fldCharType="separate"/>
      </w:r>
      <w:r w:rsidR="000A499A">
        <w:rPr>
          <w:rFonts w:ascii="Calibri" w:eastAsia="Calibri" w:hAnsi="Calibri" w:cs="Times New Roman"/>
          <w:b/>
          <w:noProof/>
          <w:sz w:val="22"/>
        </w:rPr>
        <w:t>1</w:t>
      </w:r>
      <w:r w:rsidRPr="004E32A1">
        <w:rPr>
          <w:rFonts w:ascii="Calibri" w:eastAsia="Calibri" w:hAnsi="Calibri" w:cs="Times New Roman"/>
          <w:b/>
          <w:sz w:val="22"/>
        </w:rPr>
        <w:fldChar w:fldCharType="end"/>
      </w:r>
      <w:r w:rsidRPr="004E32A1">
        <w:rPr>
          <w:rFonts w:ascii="Calibri" w:eastAsia="Calibri" w:hAnsi="Calibri" w:cs="Times New Roman"/>
          <w:b/>
          <w:sz w:val="22"/>
        </w:rPr>
        <w:t>:</w:t>
      </w:r>
      <w:r w:rsidRPr="004E32A1">
        <w:rPr>
          <w:rFonts w:ascii="Calibri" w:eastAsia="Calibri" w:hAnsi="Calibri" w:cs="Times New Roman"/>
          <w:sz w:val="22"/>
        </w:rPr>
        <w:t xml:space="preserve"> </w:t>
      </w:r>
      <w:r w:rsidRPr="004E32A1">
        <w:rPr>
          <w:rFonts w:ascii="Calibri" w:eastAsia="Calibri" w:hAnsi="Calibri" w:cs="Times New Roman"/>
          <w:b/>
          <w:sz w:val="22"/>
        </w:rPr>
        <w:t>Index DESI 2019</w:t>
      </w:r>
    </w:p>
    <w:p w14:paraId="3766F67B" w14:textId="77777777" w:rsidR="004E32A1" w:rsidRPr="004E32A1" w:rsidRDefault="004E32A1" w:rsidP="004E32A1">
      <w:pPr>
        <w:spacing w:after="200" w:line="276" w:lineRule="auto"/>
        <w:rPr>
          <w:rFonts w:ascii="Calibri" w:eastAsia="Calibri" w:hAnsi="Calibri" w:cs="Times New Roman"/>
          <w:sz w:val="22"/>
        </w:rPr>
      </w:pPr>
      <w:r w:rsidRPr="004E32A1">
        <w:rPr>
          <w:rFonts w:ascii="Calibri" w:eastAsia="Calibri" w:hAnsi="Calibri" w:cs="Times New Roman"/>
          <w:noProof/>
          <w:sz w:val="22"/>
          <w:lang w:eastAsia="cs-CZ"/>
        </w:rPr>
        <w:drawing>
          <wp:inline distT="0" distB="0" distL="0" distR="0" wp14:anchorId="23C4829B" wp14:editId="44D3339F">
            <wp:extent cx="5759450" cy="2702900"/>
            <wp:effectExtent l="0" t="0" r="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I_2019_over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2702900"/>
                    </a:xfrm>
                    <a:prstGeom prst="rect">
                      <a:avLst/>
                    </a:prstGeom>
                  </pic:spPr>
                </pic:pic>
              </a:graphicData>
            </a:graphic>
          </wp:inline>
        </w:drawing>
      </w:r>
    </w:p>
    <w:p w14:paraId="040A996A" w14:textId="5B675DC5" w:rsidR="004E32A1" w:rsidRPr="00F95CE3" w:rsidRDefault="004E32A1" w:rsidP="004E32A1">
      <w:pPr>
        <w:spacing w:after="0" w:line="240" w:lineRule="auto"/>
        <w:rPr>
          <w:rFonts w:ascii="Calibri" w:eastAsia="Calibri" w:hAnsi="Calibri" w:cs="Times New Roman"/>
          <w:sz w:val="20"/>
          <w:szCs w:val="20"/>
          <w:lang w:eastAsia="cs-CZ"/>
        </w:rPr>
      </w:pPr>
      <w:r w:rsidRPr="004E32A1">
        <w:rPr>
          <w:rFonts w:ascii="Calibri" w:eastAsia="Calibri" w:hAnsi="Calibri" w:cs="Times New Roman"/>
          <w:b/>
          <w:sz w:val="20"/>
          <w:szCs w:val="20"/>
          <w:lang w:eastAsia="cs-CZ"/>
        </w:rPr>
        <w:t>Zdroj:</w:t>
      </w:r>
      <w:r w:rsidRPr="004E32A1">
        <w:rPr>
          <w:rFonts w:ascii="Calibri" w:eastAsia="Calibri" w:hAnsi="Calibri" w:cs="Times New Roman"/>
          <w:i/>
          <w:sz w:val="20"/>
          <w:szCs w:val="20"/>
          <w:lang w:eastAsia="cs-CZ"/>
        </w:rPr>
        <w:t xml:space="preserve"> </w:t>
      </w:r>
      <w:hyperlink r:id="rId15" w:history="1">
        <w:r w:rsidRPr="004E32A1">
          <w:rPr>
            <w:rFonts w:ascii="Calibri" w:eastAsia="Calibri" w:hAnsi="Calibri" w:cs="Times New Roman"/>
            <w:i/>
            <w:color w:val="0000FF"/>
            <w:sz w:val="20"/>
            <w:szCs w:val="20"/>
            <w:u w:val="single"/>
            <w:lang w:eastAsia="cs-CZ"/>
          </w:rPr>
          <w:t>https://digital-agenda-data.eu/datasets/desi/visualizations</w:t>
        </w:r>
      </w:hyperlink>
      <w:r w:rsidR="005E46E1" w:rsidRPr="00F95CE3">
        <w:rPr>
          <w:rFonts w:ascii="Calibri" w:eastAsia="Calibri" w:hAnsi="Calibri" w:cs="Times New Roman"/>
          <w:sz w:val="20"/>
          <w:szCs w:val="20"/>
          <w:lang w:eastAsia="cs-CZ"/>
        </w:rPr>
        <w:t>.</w:t>
      </w:r>
    </w:p>
    <w:p w14:paraId="25AC2AFC" w14:textId="77777777" w:rsidR="004E32A1" w:rsidRPr="004E32A1" w:rsidRDefault="004E32A1" w:rsidP="004E32A1">
      <w:pPr>
        <w:spacing w:after="0" w:line="240" w:lineRule="auto"/>
        <w:rPr>
          <w:rFonts w:ascii="Calibri" w:eastAsia="Calibri" w:hAnsi="Calibri" w:cs="Times New Roman"/>
          <w:i/>
          <w:sz w:val="20"/>
          <w:szCs w:val="20"/>
          <w:lang w:eastAsia="cs-CZ"/>
        </w:rPr>
      </w:pPr>
    </w:p>
    <w:p w14:paraId="58F9D738" w14:textId="15A68533" w:rsidR="004E32A1" w:rsidRPr="004E32A1" w:rsidRDefault="004E32A1" w:rsidP="004E32A1">
      <w:pPr>
        <w:spacing w:after="200" w:line="276" w:lineRule="auto"/>
        <w:rPr>
          <w:rFonts w:ascii="Calibri" w:eastAsia="Calibri" w:hAnsi="Calibri" w:cs="Times New Roman"/>
          <w:szCs w:val="24"/>
          <w:lang w:eastAsia="cs-CZ"/>
        </w:rPr>
      </w:pPr>
      <w:r w:rsidRPr="004E32A1">
        <w:rPr>
          <w:rFonts w:ascii="Calibri" w:eastAsia="Calibri" w:hAnsi="Calibri" w:cs="Times New Roman"/>
          <w:szCs w:val="24"/>
          <w:lang w:eastAsia="cs-CZ"/>
        </w:rPr>
        <w:t xml:space="preserve">Z hlediska předmětu kontroly měl nejvyšší vypovídací hodnotu dílčí ukazatel indexu DESI </w:t>
      </w:r>
      <w:r w:rsidR="00B62F65">
        <w:rPr>
          <w:rFonts w:ascii="Calibri" w:eastAsia="Calibri" w:hAnsi="Calibri" w:cs="Times New Roman"/>
          <w:szCs w:val="24"/>
          <w:lang w:eastAsia="cs-CZ"/>
        </w:rPr>
        <w:br/>
      </w:r>
      <w:r w:rsidRPr="004E32A1">
        <w:rPr>
          <w:rFonts w:ascii="Calibri" w:eastAsia="Calibri" w:hAnsi="Calibri" w:cs="Times New Roman"/>
          <w:szCs w:val="24"/>
          <w:lang w:eastAsia="cs-CZ"/>
        </w:rPr>
        <w:t xml:space="preserve">5 – </w:t>
      </w:r>
      <w:r w:rsidRPr="00F95CE3">
        <w:rPr>
          <w:rFonts w:ascii="Calibri" w:eastAsia="Calibri" w:hAnsi="Calibri" w:cs="Times New Roman"/>
          <w:i/>
          <w:szCs w:val="24"/>
          <w:lang w:eastAsia="cs-CZ"/>
        </w:rPr>
        <w:t>Digitální veřejné služby</w:t>
      </w:r>
      <w:r w:rsidRPr="004E32A1">
        <w:rPr>
          <w:rFonts w:ascii="Calibri" w:eastAsia="Calibri" w:hAnsi="Calibri" w:cs="Times New Roman"/>
          <w:szCs w:val="24"/>
          <w:lang w:eastAsia="cs-CZ"/>
        </w:rPr>
        <w:t>. Ve srovnání zemí dle tohoto ukazatele se Česká republika v roce 2019 umístila na 20. místě.</w:t>
      </w:r>
    </w:p>
    <w:p w14:paraId="03C258BD" w14:textId="15D1D7E7"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b/>
          <w:szCs w:val="24"/>
        </w:rPr>
        <w:t>Ukazatel 5 –</w:t>
      </w:r>
      <w:r w:rsidRPr="004E32A1">
        <w:rPr>
          <w:rFonts w:ascii="Calibri" w:eastAsia="Calibri" w:hAnsi="Calibri" w:cs="Times New Roman"/>
          <w:szCs w:val="24"/>
        </w:rPr>
        <w:t xml:space="preserve"> </w:t>
      </w:r>
      <w:r w:rsidRPr="00F95CE3">
        <w:rPr>
          <w:rFonts w:ascii="Calibri" w:eastAsia="Calibri" w:hAnsi="Calibri" w:cs="Times New Roman"/>
          <w:b/>
          <w:i/>
          <w:szCs w:val="24"/>
        </w:rPr>
        <w:t>Digitální veřejné služby</w:t>
      </w:r>
      <w:r w:rsidRPr="004E32A1">
        <w:rPr>
          <w:rFonts w:ascii="Calibri" w:eastAsia="Calibri" w:hAnsi="Calibri" w:cs="Times New Roman"/>
          <w:szCs w:val="24"/>
        </w:rPr>
        <w:t xml:space="preserve"> se skládá z dalších 5 ukazatelů, přičemž NKÚ se při kontrole zaměřil na kategorii </w:t>
      </w:r>
      <w:r w:rsidRPr="004E32A1">
        <w:rPr>
          <w:rFonts w:ascii="Calibri" w:eastAsia="Calibri" w:hAnsi="Calibri" w:cs="Times New Roman"/>
          <w:b/>
          <w:szCs w:val="24"/>
        </w:rPr>
        <w:t xml:space="preserve">5a1 </w:t>
      </w:r>
      <w:r w:rsidRPr="00F95CE3">
        <w:rPr>
          <w:rFonts w:ascii="Calibri" w:eastAsia="Calibri" w:hAnsi="Calibri" w:cs="Times New Roman"/>
          <w:b/>
          <w:i/>
          <w:szCs w:val="24"/>
        </w:rPr>
        <w:t xml:space="preserve">Uživatelé </w:t>
      </w:r>
      <w:r w:rsidR="004B18F5">
        <w:rPr>
          <w:rFonts w:ascii="Calibri" w:eastAsia="Calibri" w:hAnsi="Calibri" w:cs="Times New Roman"/>
          <w:b/>
          <w:i/>
          <w:szCs w:val="24"/>
        </w:rPr>
        <w:t xml:space="preserve">elektronické </w:t>
      </w:r>
      <w:r w:rsidRPr="00F95CE3">
        <w:rPr>
          <w:rFonts w:ascii="Calibri" w:eastAsia="Calibri" w:hAnsi="Calibri" w:cs="Times New Roman"/>
          <w:b/>
          <w:i/>
          <w:szCs w:val="24"/>
        </w:rPr>
        <w:t>veřejné správy</w:t>
      </w:r>
      <w:r w:rsidRPr="00F95CE3">
        <w:rPr>
          <w:rFonts w:ascii="Calibri" w:eastAsia="Calibri" w:hAnsi="Calibri" w:cs="Times New Roman"/>
          <w:b/>
          <w:szCs w:val="24"/>
        </w:rPr>
        <w:t>.</w:t>
      </w:r>
      <w:r w:rsidRPr="004E32A1">
        <w:rPr>
          <w:rFonts w:ascii="Calibri" w:eastAsia="Calibri" w:hAnsi="Calibri" w:cs="Times New Roman"/>
          <w:szCs w:val="24"/>
        </w:rPr>
        <w:t xml:space="preserve"> Tento ukazatel představuje procento </w:t>
      </w:r>
      <w:r w:rsidRPr="004E32A1">
        <w:rPr>
          <w:rFonts w:ascii="Calibri" w:eastAsia="Calibri" w:hAnsi="Calibri" w:cs="Times New Roman"/>
          <w:szCs w:val="24"/>
          <w:lang w:eastAsia="cs-CZ"/>
        </w:rPr>
        <w:t>uživatelů ve věku 16–74 let, kteří během předchozího roku zaslali vyplněný formulář veřejné správě přes internet. Ze srovnání vývoje hodnoty ukazatele 5a1 s průměrnou hodnotou EU za posledních 6 let vyplývá, že procentuální podíl uživatelů</w:t>
      </w:r>
      <w:r w:rsidR="004B18F5">
        <w:rPr>
          <w:rFonts w:ascii="Calibri" w:eastAsia="Calibri" w:hAnsi="Calibri" w:cs="Times New Roman"/>
          <w:szCs w:val="24"/>
          <w:lang w:eastAsia="cs-CZ"/>
        </w:rPr>
        <w:t xml:space="preserve"> </w:t>
      </w:r>
      <w:r w:rsidR="004B18F5" w:rsidRPr="00F95CE3">
        <w:rPr>
          <w:rFonts w:eastAsia="Calibri" w:cstheme="minorHAnsi"/>
          <w:szCs w:val="24"/>
          <w:lang w:eastAsia="cs-CZ"/>
        </w:rPr>
        <w:t>elektronické veřejné správy</w:t>
      </w:r>
      <w:r w:rsidR="00651A08" w:rsidRPr="00F95CE3">
        <w:rPr>
          <w:rFonts w:eastAsia="Calibri" w:cstheme="minorHAnsi"/>
          <w:szCs w:val="24"/>
          <w:lang w:eastAsia="cs-CZ"/>
        </w:rPr>
        <w:t xml:space="preserve"> se</w:t>
      </w:r>
      <w:r w:rsidRPr="004F13BB">
        <w:rPr>
          <w:rFonts w:ascii="Calibri" w:eastAsia="Calibri" w:hAnsi="Calibri" w:cs="Times New Roman"/>
          <w:szCs w:val="24"/>
          <w:lang w:eastAsia="cs-CZ"/>
        </w:rPr>
        <w:t xml:space="preserve"> </w:t>
      </w:r>
      <w:r w:rsidRPr="004E32A1">
        <w:rPr>
          <w:rFonts w:ascii="Calibri" w:eastAsia="Calibri" w:hAnsi="Calibri" w:cs="Times New Roman"/>
          <w:szCs w:val="24"/>
          <w:lang w:eastAsia="cs-CZ"/>
        </w:rPr>
        <w:t>v ČR zvýšil o 33,8</w:t>
      </w:r>
      <w:r>
        <w:rPr>
          <w:rFonts w:ascii="Calibri" w:eastAsia="Calibri" w:hAnsi="Calibri" w:cs="Times New Roman"/>
          <w:szCs w:val="24"/>
          <w:lang w:eastAsia="cs-CZ"/>
        </w:rPr>
        <w:t> </w:t>
      </w:r>
      <w:r w:rsidRPr="004E32A1">
        <w:rPr>
          <w:rFonts w:ascii="Calibri" w:eastAsia="Calibri" w:hAnsi="Calibri" w:cs="Times New Roman"/>
          <w:szCs w:val="24"/>
          <w:lang w:eastAsia="cs-CZ"/>
        </w:rPr>
        <w:t xml:space="preserve">% a rostl rychleji než průměr EU. </w:t>
      </w:r>
      <w:r w:rsidRPr="004E32A1">
        <w:rPr>
          <w:rFonts w:ascii="Calibri" w:eastAsia="Calibri" w:hAnsi="Calibri" w:cs="Times New Roman"/>
          <w:szCs w:val="24"/>
        </w:rPr>
        <w:t>V mezinárodním kontextu však ČR stále za ostatními zeměmi výrazně zaostává.</w:t>
      </w:r>
    </w:p>
    <w:p w14:paraId="320DD7B4" w14:textId="77777777" w:rsidR="006D0E78" w:rsidRDefault="006D0E78">
      <w:pPr>
        <w:jc w:val="left"/>
        <w:rPr>
          <w:b/>
          <w:iCs/>
          <w:szCs w:val="24"/>
        </w:rPr>
      </w:pPr>
      <w:r>
        <w:rPr>
          <w:b/>
          <w:iCs/>
          <w:szCs w:val="24"/>
        </w:rPr>
        <w:br w:type="page"/>
      </w:r>
    </w:p>
    <w:p w14:paraId="51D2F285" w14:textId="2FEC3909" w:rsidR="004E32A1" w:rsidRPr="00F95CE3" w:rsidRDefault="004E32A1" w:rsidP="00F95CE3">
      <w:pPr>
        <w:keepNext/>
        <w:spacing w:after="0" w:line="240" w:lineRule="auto"/>
        <w:rPr>
          <w:b/>
          <w:iCs/>
          <w:szCs w:val="24"/>
        </w:rPr>
      </w:pPr>
      <w:r w:rsidRPr="00F95CE3">
        <w:rPr>
          <w:b/>
          <w:iCs/>
          <w:szCs w:val="24"/>
        </w:rPr>
        <w:lastRenderedPageBreak/>
        <w:t xml:space="preserve">Tabulka č. </w:t>
      </w:r>
      <w:r w:rsidRPr="00F95CE3">
        <w:rPr>
          <w:b/>
          <w:iCs/>
          <w:szCs w:val="24"/>
        </w:rPr>
        <w:fldChar w:fldCharType="begin"/>
      </w:r>
      <w:r w:rsidRPr="00F95CE3">
        <w:rPr>
          <w:b/>
          <w:iCs/>
          <w:szCs w:val="24"/>
        </w:rPr>
        <w:instrText xml:space="preserve"> SEQ Tabulka_č._ \* ARABIC </w:instrText>
      </w:r>
      <w:r w:rsidRPr="00F95CE3">
        <w:rPr>
          <w:b/>
          <w:iCs/>
          <w:szCs w:val="24"/>
        </w:rPr>
        <w:fldChar w:fldCharType="separate"/>
      </w:r>
      <w:r w:rsidR="000A499A">
        <w:rPr>
          <w:b/>
          <w:iCs/>
          <w:noProof/>
          <w:szCs w:val="24"/>
        </w:rPr>
        <w:t>1</w:t>
      </w:r>
      <w:r w:rsidRPr="00F95CE3">
        <w:rPr>
          <w:b/>
          <w:iCs/>
          <w:szCs w:val="24"/>
        </w:rPr>
        <w:fldChar w:fldCharType="end"/>
      </w:r>
      <w:r w:rsidRPr="00F95CE3">
        <w:rPr>
          <w:b/>
          <w:iCs/>
          <w:szCs w:val="24"/>
        </w:rPr>
        <w:t xml:space="preserve">: Uživatelé </w:t>
      </w:r>
      <w:r w:rsidR="004B18F5">
        <w:rPr>
          <w:b/>
          <w:iCs/>
          <w:szCs w:val="24"/>
        </w:rPr>
        <w:t xml:space="preserve">elektronické </w:t>
      </w:r>
      <w:r w:rsidRPr="00F95CE3">
        <w:rPr>
          <w:b/>
          <w:iCs/>
          <w:szCs w:val="24"/>
        </w:rPr>
        <w:t>veřejné správy – ukazatel 5a1</w:t>
      </w:r>
    </w:p>
    <w:tbl>
      <w:tblPr>
        <w:tblStyle w:val="Mkatabulky"/>
        <w:tblW w:w="0" w:type="auto"/>
        <w:tblLook w:val="04A0" w:firstRow="1" w:lastRow="0" w:firstColumn="1" w:lastColumn="0" w:noHBand="0" w:noVBand="1"/>
      </w:tblPr>
      <w:tblGrid>
        <w:gridCol w:w="1288"/>
        <w:gridCol w:w="1294"/>
        <w:gridCol w:w="1296"/>
        <w:gridCol w:w="1296"/>
        <w:gridCol w:w="1296"/>
        <w:gridCol w:w="1296"/>
        <w:gridCol w:w="1296"/>
      </w:tblGrid>
      <w:tr w:rsidR="004E32A1" w:rsidRPr="004E32A1" w14:paraId="2F5C67D0" w14:textId="77777777" w:rsidTr="004E32A1">
        <w:tc>
          <w:tcPr>
            <w:tcW w:w="1315" w:type="dxa"/>
            <w:shd w:val="clear" w:color="auto" w:fill="E5F1FF"/>
          </w:tcPr>
          <w:p w14:paraId="24AECA6F" w14:textId="77777777" w:rsidR="004E32A1" w:rsidRPr="004E32A1" w:rsidRDefault="004E32A1" w:rsidP="004E32A1">
            <w:pPr>
              <w:jc w:val="left"/>
              <w:rPr>
                <w:b/>
                <w:sz w:val="20"/>
                <w:szCs w:val="20"/>
              </w:rPr>
            </w:pPr>
          </w:p>
        </w:tc>
        <w:tc>
          <w:tcPr>
            <w:tcW w:w="1315" w:type="dxa"/>
            <w:shd w:val="clear" w:color="auto" w:fill="E5F1FF"/>
          </w:tcPr>
          <w:p w14:paraId="6098D04D" w14:textId="77777777" w:rsidR="004E32A1" w:rsidRPr="004E32A1" w:rsidRDefault="004E32A1" w:rsidP="004E32A1">
            <w:pPr>
              <w:jc w:val="center"/>
              <w:rPr>
                <w:b/>
                <w:sz w:val="20"/>
                <w:szCs w:val="20"/>
              </w:rPr>
            </w:pPr>
            <w:r w:rsidRPr="004E32A1">
              <w:rPr>
                <w:b/>
                <w:sz w:val="20"/>
                <w:szCs w:val="20"/>
              </w:rPr>
              <w:t>2014</w:t>
            </w:r>
          </w:p>
        </w:tc>
        <w:tc>
          <w:tcPr>
            <w:tcW w:w="1316" w:type="dxa"/>
            <w:shd w:val="clear" w:color="auto" w:fill="E5F1FF"/>
          </w:tcPr>
          <w:p w14:paraId="617BFADA" w14:textId="77777777" w:rsidR="004E32A1" w:rsidRPr="004E32A1" w:rsidRDefault="004E32A1" w:rsidP="004E32A1">
            <w:pPr>
              <w:jc w:val="center"/>
              <w:rPr>
                <w:b/>
                <w:sz w:val="20"/>
                <w:szCs w:val="20"/>
              </w:rPr>
            </w:pPr>
            <w:r w:rsidRPr="004E32A1">
              <w:rPr>
                <w:b/>
                <w:sz w:val="20"/>
                <w:szCs w:val="20"/>
              </w:rPr>
              <w:t>2015</w:t>
            </w:r>
          </w:p>
        </w:tc>
        <w:tc>
          <w:tcPr>
            <w:tcW w:w="1316" w:type="dxa"/>
            <w:shd w:val="clear" w:color="auto" w:fill="E5F1FF"/>
          </w:tcPr>
          <w:p w14:paraId="6C537813" w14:textId="77777777" w:rsidR="004E32A1" w:rsidRPr="004E32A1" w:rsidRDefault="004E32A1" w:rsidP="004E32A1">
            <w:pPr>
              <w:jc w:val="center"/>
              <w:rPr>
                <w:b/>
                <w:sz w:val="20"/>
                <w:szCs w:val="20"/>
              </w:rPr>
            </w:pPr>
            <w:r w:rsidRPr="004E32A1">
              <w:rPr>
                <w:b/>
                <w:sz w:val="20"/>
                <w:szCs w:val="20"/>
              </w:rPr>
              <w:t>2016</w:t>
            </w:r>
          </w:p>
        </w:tc>
        <w:tc>
          <w:tcPr>
            <w:tcW w:w="1316" w:type="dxa"/>
            <w:shd w:val="clear" w:color="auto" w:fill="E5F1FF"/>
          </w:tcPr>
          <w:p w14:paraId="59326CE8" w14:textId="77777777" w:rsidR="004E32A1" w:rsidRPr="004E32A1" w:rsidRDefault="004E32A1" w:rsidP="004E32A1">
            <w:pPr>
              <w:jc w:val="center"/>
              <w:rPr>
                <w:b/>
                <w:sz w:val="20"/>
                <w:szCs w:val="20"/>
              </w:rPr>
            </w:pPr>
            <w:r w:rsidRPr="004E32A1">
              <w:rPr>
                <w:b/>
                <w:sz w:val="20"/>
                <w:szCs w:val="20"/>
              </w:rPr>
              <w:t>2017</w:t>
            </w:r>
          </w:p>
        </w:tc>
        <w:tc>
          <w:tcPr>
            <w:tcW w:w="1316" w:type="dxa"/>
            <w:shd w:val="clear" w:color="auto" w:fill="E5F1FF"/>
          </w:tcPr>
          <w:p w14:paraId="7E88F1CB" w14:textId="77777777" w:rsidR="004E32A1" w:rsidRPr="004E32A1" w:rsidRDefault="004E32A1" w:rsidP="004E32A1">
            <w:pPr>
              <w:jc w:val="center"/>
              <w:rPr>
                <w:b/>
                <w:sz w:val="20"/>
                <w:szCs w:val="20"/>
              </w:rPr>
            </w:pPr>
            <w:r w:rsidRPr="004E32A1">
              <w:rPr>
                <w:b/>
                <w:sz w:val="20"/>
                <w:szCs w:val="20"/>
              </w:rPr>
              <w:t>2018</w:t>
            </w:r>
          </w:p>
        </w:tc>
        <w:tc>
          <w:tcPr>
            <w:tcW w:w="1316" w:type="dxa"/>
            <w:shd w:val="clear" w:color="auto" w:fill="E5F1FF"/>
          </w:tcPr>
          <w:p w14:paraId="66B10011" w14:textId="77777777" w:rsidR="004E32A1" w:rsidRPr="004E32A1" w:rsidRDefault="004E32A1" w:rsidP="004E32A1">
            <w:pPr>
              <w:jc w:val="center"/>
              <w:rPr>
                <w:b/>
                <w:sz w:val="20"/>
                <w:szCs w:val="20"/>
              </w:rPr>
            </w:pPr>
            <w:r w:rsidRPr="004E32A1">
              <w:rPr>
                <w:b/>
                <w:sz w:val="20"/>
                <w:szCs w:val="20"/>
              </w:rPr>
              <w:t>2019</w:t>
            </w:r>
          </w:p>
        </w:tc>
      </w:tr>
      <w:tr w:rsidR="004E32A1" w:rsidRPr="004E32A1" w14:paraId="6953D816" w14:textId="77777777" w:rsidTr="004E32A1">
        <w:tc>
          <w:tcPr>
            <w:tcW w:w="1315" w:type="dxa"/>
            <w:vAlign w:val="center"/>
          </w:tcPr>
          <w:p w14:paraId="07077606" w14:textId="77777777" w:rsidR="004E32A1" w:rsidRPr="004E32A1" w:rsidRDefault="004E32A1" w:rsidP="004E32A1">
            <w:pPr>
              <w:jc w:val="left"/>
              <w:rPr>
                <w:sz w:val="20"/>
                <w:szCs w:val="20"/>
              </w:rPr>
            </w:pPr>
            <w:r w:rsidRPr="004E32A1">
              <w:rPr>
                <w:sz w:val="20"/>
                <w:szCs w:val="20"/>
              </w:rPr>
              <w:t>ČR</w:t>
            </w:r>
          </w:p>
        </w:tc>
        <w:tc>
          <w:tcPr>
            <w:tcW w:w="1315" w:type="dxa"/>
            <w:vAlign w:val="center"/>
          </w:tcPr>
          <w:p w14:paraId="44478764" w14:textId="77777777" w:rsidR="004E32A1" w:rsidRPr="004E32A1" w:rsidRDefault="004E32A1" w:rsidP="004E32A1">
            <w:pPr>
              <w:jc w:val="right"/>
              <w:rPr>
                <w:b/>
                <w:sz w:val="20"/>
                <w:szCs w:val="20"/>
              </w:rPr>
            </w:pPr>
            <w:r w:rsidRPr="004E32A1">
              <w:rPr>
                <w:b/>
                <w:sz w:val="20"/>
                <w:szCs w:val="20"/>
              </w:rPr>
              <w:t>17,7 %</w:t>
            </w:r>
          </w:p>
        </w:tc>
        <w:tc>
          <w:tcPr>
            <w:tcW w:w="1316" w:type="dxa"/>
            <w:vAlign w:val="center"/>
          </w:tcPr>
          <w:p w14:paraId="0721DE8C" w14:textId="77777777" w:rsidR="004E32A1" w:rsidRPr="004E32A1" w:rsidRDefault="004E32A1" w:rsidP="004E32A1">
            <w:pPr>
              <w:jc w:val="right"/>
              <w:rPr>
                <w:b/>
                <w:sz w:val="20"/>
                <w:szCs w:val="20"/>
              </w:rPr>
            </w:pPr>
            <w:r w:rsidRPr="004E32A1">
              <w:rPr>
                <w:b/>
                <w:sz w:val="20"/>
                <w:szCs w:val="20"/>
              </w:rPr>
              <w:t>27,7 %</w:t>
            </w:r>
          </w:p>
        </w:tc>
        <w:tc>
          <w:tcPr>
            <w:tcW w:w="1316" w:type="dxa"/>
            <w:vAlign w:val="center"/>
          </w:tcPr>
          <w:p w14:paraId="396364D2" w14:textId="77777777" w:rsidR="004E32A1" w:rsidRPr="004E32A1" w:rsidRDefault="004E32A1" w:rsidP="004E32A1">
            <w:pPr>
              <w:jc w:val="right"/>
              <w:rPr>
                <w:b/>
                <w:sz w:val="20"/>
                <w:szCs w:val="20"/>
              </w:rPr>
            </w:pPr>
            <w:r w:rsidRPr="004E32A1">
              <w:rPr>
                <w:b/>
                <w:sz w:val="20"/>
                <w:szCs w:val="20"/>
              </w:rPr>
              <w:t>24 %</w:t>
            </w:r>
          </w:p>
        </w:tc>
        <w:tc>
          <w:tcPr>
            <w:tcW w:w="1316" w:type="dxa"/>
            <w:vAlign w:val="center"/>
          </w:tcPr>
          <w:p w14:paraId="351F9C77" w14:textId="77777777" w:rsidR="004E32A1" w:rsidRPr="004E32A1" w:rsidRDefault="004E32A1" w:rsidP="004E32A1">
            <w:pPr>
              <w:jc w:val="right"/>
              <w:rPr>
                <w:b/>
                <w:sz w:val="20"/>
                <w:szCs w:val="20"/>
              </w:rPr>
            </w:pPr>
            <w:r w:rsidRPr="004E32A1">
              <w:rPr>
                <w:b/>
                <w:sz w:val="20"/>
                <w:szCs w:val="20"/>
              </w:rPr>
              <w:t>34,9 %</w:t>
            </w:r>
          </w:p>
        </w:tc>
        <w:tc>
          <w:tcPr>
            <w:tcW w:w="1316" w:type="dxa"/>
            <w:vAlign w:val="center"/>
          </w:tcPr>
          <w:p w14:paraId="18C24259" w14:textId="77777777" w:rsidR="004E32A1" w:rsidRPr="004E32A1" w:rsidRDefault="004E32A1" w:rsidP="004E32A1">
            <w:pPr>
              <w:jc w:val="right"/>
              <w:rPr>
                <w:b/>
                <w:sz w:val="20"/>
                <w:szCs w:val="20"/>
              </w:rPr>
            </w:pPr>
            <w:r w:rsidRPr="004E32A1">
              <w:rPr>
                <w:b/>
                <w:sz w:val="20"/>
                <w:szCs w:val="20"/>
              </w:rPr>
              <w:t xml:space="preserve"> 33,5 %</w:t>
            </w:r>
          </w:p>
        </w:tc>
        <w:tc>
          <w:tcPr>
            <w:tcW w:w="1316" w:type="dxa"/>
            <w:vAlign w:val="center"/>
          </w:tcPr>
          <w:p w14:paraId="6F77FDE3" w14:textId="77777777" w:rsidR="004E32A1" w:rsidRPr="004E32A1" w:rsidRDefault="004E32A1" w:rsidP="004E32A1">
            <w:pPr>
              <w:jc w:val="right"/>
              <w:rPr>
                <w:b/>
                <w:sz w:val="20"/>
                <w:szCs w:val="20"/>
              </w:rPr>
            </w:pPr>
            <w:r w:rsidRPr="004E32A1">
              <w:rPr>
                <w:b/>
                <w:sz w:val="20"/>
                <w:szCs w:val="20"/>
              </w:rPr>
              <w:t>51,5 %</w:t>
            </w:r>
          </w:p>
        </w:tc>
      </w:tr>
      <w:tr w:rsidR="004E32A1" w:rsidRPr="004E32A1" w14:paraId="345BAC1E" w14:textId="77777777" w:rsidTr="004E32A1">
        <w:tc>
          <w:tcPr>
            <w:tcW w:w="1315" w:type="dxa"/>
            <w:vAlign w:val="center"/>
          </w:tcPr>
          <w:p w14:paraId="5095B01D" w14:textId="77777777" w:rsidR="004E32A1" w:rsidRPr="004E32A1" w:rsidRDefault="004E32A1" w:rsidP="004E32A1">
            <w:pPr>
              <w:jc w:val="left"/>
              <w:rPr>
                <w:sz w:val="20"/>
                <w:szCs w:val="20"/>
              </w:rPr>
            </w:pPr>
            <w:r w:rsidRPr="004E32A1">
              <w:rPr>
                <w:sz w:val="20"/>
                <w:szCs w:val="20"/>
              </w:rPr>
              <w:t>EU</w:t>
            </w:r>
          </w:p>
        </w:tc>
        <w:tc>
          <w:tcPr>
            <w:tcW w:w="1315" w:type="dxa"/>
            <w:vAlign w:val="center"/>
          </w:tcPr>
          <w:p w14:paraId="1992267F" w14:textId="77777777" w:rsidR="004E32A1" w:rsidRPr="004E32A1" w:rsidRDefault="004E32A1" w:rsidP="004E32A1">
            <w:pPr>
              <w:jc w:val="right"/>
              <w:rPr>
                <w:sz w:val="20"/>
                <w:szCs w:val="20"/>
              </w:rPr>
            </w:pPr>
            <w:r w:rsidRPr="004E32A1">
              <w:rPr>
                <w:sz w:val="20"/>
                <w:szCs w:val="20"/>
              </w:rPr>
              <w:t>51,7 %</w:t>
            </w:r>
          </w:p>
        </w:tc>
        <w:tc>
          <w:tcPr>
            <w:tcW w:w="1316" w:type="dxa"/>
            <w:vAlign w:val="center"/>
          </w:tcPr>
          <w:p w14:paraId="16DBA770" w14:textId="77777777" w:rsidR="004E32A1" w:rsidRPr="004E32A1" w:rsidRDefault="004E32A1" w:rsidP="004E32A1">
            <w:pPr>
              <w:jc w:val="right"/>
              <w:rPr>
                <w:sz w:val="20"/>
                <w:szCs w:val="20"/>
              </w:rPr>
            </w:pPr>
            <w:r w:rsidRPr="004E32A1">
              <w:rPr>
                <w:sz w:val="20"/>
                <w:szCs w:val="20"/>
              </w:rPr>
              <w:t>56,9 %</w:t>
            </w:r>
          </w:p>
        </w:tc>
        <w:tc>
          <w:tcPr>
            <w:tcW w:w="1316" w:type="dxa"/>
            <w:vAlign w:val="center"/>
          </w:tcPr>
          <w:p w14:paraId="03B32A3D" w14:textId="77777777" w:rsidR="004E32A1" w:rsidRPr="004E32A1" w:rsidRDefault="004E32A1" w:rsidP="004E32A1">
            <w:pPr>
              <w:jc w:val="right"/>
              <w:rPr>
                <w:sz w:val="20"/>
                <w:szCs w:val="20"/>
              </w:rPr>
            </w:pPr>
            <w:r w:rsidRPr="004E32A1">
              <w:rPr>
                <w:sz w:val="20"/>
                <w:szCs w:val="20"/>
              </w:rPr>
              <w:t>57,1 %</w:t>
            </w:r>
          </w:p>
        </w:tc>
        <w:tc>
          <w:tcPr>
            <w:tcW w:w="1316" w:type="dxa"/>
            <w:vAlign w:val="center"/>
          </w:tcPr>
          <w:p w14:paraId="0B6822A1" w14:textId="77777777" w:rsidR="004E32A1" w:rsidRPr="004E32A1" w:rsidRDefault="004E32A1" w:rsidP="004E32A1">
            <w:pPr>
              <w:jc w:val="right"/>
              <w:rPr>
                <w:sz w:val="20"/>
                <w:szCs w:val="20"/>
              </w:rPr>
            </w:pPr>
            <w:r w:rsidRPr="004E32A1">
              <w:rPr>
                <w:sz w:val="20"/>
                <w:szCs w:val="20"/>
              </w:rPr>
              <w:t>59,7 %</w:t>
            </w:r>
          </w:p>
        </w:tc>
        <w:tc>
          <w:tcPr>
            <w:tcW w:w="1316" w:type="dxa"/>
            <w:vAlign w:val="center"/>
          </w:tcPr>
          <w:p w14:paraId="3505445E" w14:textId="77777777" w:rsidR="004E32A1" w:rsidRPr="004E32A1" w:rsidRDefault="004E32A1" w:rsidP="004E32A1">
            <w:pPr>
              <w:jc w:val="right"/>
              <w:rPr>
                <w:sz w:val="20"/>
                <w:szCs w:val="20"/>
              </w:rPr>
            </w:pPr>
            <w:r w:rsidRPr="004E32A1">
              <w:rPr>
                <w:sz w:val="20"/>
                <w:szCs w:val="20"/>
              </w:rPr>
              <w:t>58,5 %</w:t>
            </w:r>
          </w:p>
        </w:tc>
        <w:tc>
          <w:tcPr>
            <w:tcW w:w="1316" w:type="dxa"/>
            <w:vAlign w:val="center"/>
          </w:tcPr>
          <w:p w14:paraId="261CA7BC" w14:textId="77777777" w:rsidR="004E32A1" w:rsidRPr="004E32A1" w:rsidRDefault="004E32A1" w:rsidP="004E32A1">
            <w:pPr>
              <w:jc w:val="right"/>
              <w:rPr>
                <w:sz w:val="20"/>
                <w:szCs w:val="20"/>
              </w:rPr>
            </w:pPr>
            <w:r w:rsidRPr="004E32A1">
              <w:rPr>
                <w:sz w:val="20"/>
                <w:szCs w:val="20"/>
              </w:rPr>
              <w:t>64,3 %</w:t>
            </w:r>
          </w:p>
        </w:tc>
      </w:tr>
    </w:tbl>
    <w:p w14:paraId="3BE6C60D" w14:textId="28AA21B1" w:rsidR="004E32A1" w:rsidRPr="00F95CE3" w:rsidRDefault="004E32A1" w:rsidP="004E32A1">
      <w:pPr>
        <w:spacing w:after="0" w:line="240" w:lineRule="auto"/>
        <w:jc w:val="left"/>
        <w:rPr>
          <w:sz w:val="20"/>
          <w:szCs w:val="20"/>
          <w:lang w:eastAsia="cs-CZ"/>
        </w:rPr>
      </w:pPr>
      <w:r w:rsidRPr="004E32A1">
        <w:rPr>
          <w:b/>
          <w:sz w:val="20"/>
          <w:szCs w:val="20"/>
        </w:rPr>
        <w:t>Zdroj</w:t>
      </w:r>
      <w:r w:rsidRPr="003909AE">
        <w:rPr>
          <w:b/>
          <w:sz w:val="20"/>
          <w:szCs w:val="20"/>
        </w:rPr>
        <w:t>:</w:t>
      </w:r>
      <w:r w:rsidRPr="00F95CE3">
        <w:rPr>
          <w:b/>
          <w:sz w:val="20"/>
          <w:szCs w:val="20"/>
        </w:rPr>
        <w:t xml:space="preserve"> </w:t>
      </w:r>
      <w:hyperlink r:id="rId16" w:history="1">
        <w:r w:rsidRPr="00F95CE3">
          <w:rPr>
            <w:color w:val="0000FF"/>
            <w:sz w:val="20"/>
            <w:szCs w:val="20"/>
            <w:u w:val="single"/>
            <w:lang w:eastAsia="cs-CZ"/>
          </w:rPr>
          <w:t>https://digital-agenda-data.eu/datasets/desi/visualizations</w:t>
        </w:r>
      </w:hyperlink>
      <w:r w:rsidR="004B18F5" w:rsidRPr="00F95CE3">
        <w:rPr>
          <w:sz w:val="20"/>
          <w:szCs w:val="20"/>
          <w:lang w:eastAsia="cs-CZ"/>
        </w:rPr>
        <w:t>.</w:t>
      </w:r>
    </w:p>
    <w:p w14:paraId="1F48C1AF" w14:textId="77777777" w:rsidR="004E32A1" w:rsidRPr="004E32A1" w:rsidRDefault="004E32A1" w:rsidP="004E32A1">
      <w:pPr>
        <w:spacing w:after="200" w:line="276" w:lineRule="auto"/>
        <w:rPr>
          <w:rFonts w:ascii="Calibri" w:eastAsia="Calibri" w:hAnsi="Calibri" w:cs="Times New Roman"/>
          <w:sz w:val="22"/>
        </w:rPr>
      </w:pPr>
    </w:p>
    <w:p w14:paraId="453B0BB3" w14:textId="135C42E5" w:rsidR="004E32A1" w:rsidRPr="00F95CE3" w:rsidRDefault="004E32A1" w:rsidP="00F95CE3">
      <w:pPr>
        <w:keepNext/>
        <w:spacing w:after="120" w:line="240" w:lineRule="auto"/>
        <w:rPr>
          <w:rFonts w:ascii="Calibri" w:eastAsia="Calibri" w:hAnsi="Calibri" w:cs="Times New Roman"/>
          <w:b/>
          <w:szCs w:val="24"/>
        </w:rPr>
      </w:pPr>
      <w:r w:rsidRPr="00F95CE3">
        <w:rPr>
          <w:rFonts w:ascii="Calibri" w:eastAsia="Calibri" w:hAnsi="Calibri" w:cs="Times New Roman"/>
          <w:b/>
          <w:szCs w:val="24"/>
        </w:rPr>
        <w:t xml:space="preserve">Graf č. </w:t>
      </w:r>
      <w:r w:rsidRPr="00F95CE3">
        <w:rPr>
          <w:rFonts w:ascii="Calibri" w:eastAsia="Calibri" w:hAnsi="Calibri" w:cs="Times New Roman"/>
          <w:b/>
          <w:szCs w:val="24"/>
        </w:rPr>
        <w:fldChar w:fldCharType="begin"/>
      </w:r>
      <w:r w:rsidRPr="00F95CE3">
        <w:rPr>
          <w:rFonts w:ascii="Calibri" w:eastAsia="Calibri" w:hAnsi="Calibri" w:cs="Times New Roman"/>
          <w:b/>
          <w:szCs w:val="24"/>
        </w:rPr>
        <w:instrText xml:space="preserve"> SEQ Graf_č.: \* ARABIC </w:instrText>
      </w:r>
      <w:r w:rsidRPr="00F95CE3">
        <w:rPr>
          <w:rFonts w:ascii="Calibri" w:eastAsia="Calibri" w:hAnsi="Calibri" w:cs="Times New Roman"/>
          <w:b/>
          <w:szCs w:val="24"/>
        </w:rPr>
        <w:fldChar w:fldCharType="separate"/>
      </w:r>
      <w:r w:rsidR="000A499A">
        <w:rPr>
          <w:rFonts w:ascii="Calibri" w:eastAsia="Calibri" w:hAnsi="Calibri" w:cs="Times New Roman"/>
          <w:b/>
          <w:noProof/>
          <w:szCs w:val="24"/>
        </w:rPr>
        <w:t>2</w:t>
      </w:r>
      <w:r w:rsidRPr="00F95CE3">
        <w:rPr>
          <w:rFonts w:ascii="Calibri" w:eastAsia="Calibri" w:hAnsi="Calibri" w:cs="Times New Roman"/>
          <w:b/>
          <w:szCs w:val="24"/>
        </w:rPr>
        <w:fldChar w:fldCharType="end"/>
      </w:r>
      <w:r w:rsidRPr="00F95CE3">
        <w:rPr>
          <w:rFonts w:ascii="Calibri" w:eastAsia="Calibri" w:hAnsi="Calibri" w:cs="Times New Roman"/>
          <w:b/>
          <w:szCs w:val="24"/>
        </w:rPr>
        <w:t xml:space="preserve">: Uživatelé </w:t>
      </w:r>
      <w:r w:rsidR="004B18F5">
        <w:rPr>
          <w:rFonts w:ascii="Calibri" w:eastAsia="Calibri" w:hAnsi="Calibri" w:cs="Times New Roman"/>
          <w:b/>
          <w:szCs w:val="24"/>
        </w:rPr>
        <w:t xml:space="preserve">elektronické </w:t>
      </w:r>
      <w:r w:rsidRPr="00F95CE3">
        <w:rPr>
          <w:rFonts w:ascii="Calibri" w:eastAsia="Calibri" w:hAnsi="Calibri" w:cs="Times New Roman"/>
          <w:b/>
          <w:szCs w:val="24"/>
        </w:rPr>
        <w:t>veřejné správy – ukazatel 5a1</w:t>
      </w:r>
    </w:p>
    <w:p w14:paraId="053CA38E" w14:textId="77777777" w:rsidR="004E32A1" w:rsidRPr="004E32A1" w:rsidRDefault="004E32A1" w:rsidP="004E32A1">
      <w:pPr>
        <w:keepNext/>
        <w:spacing w:after="200" w:line="276" w:lineRule="auto"/>
        <w:rPr>
          <w:rFonts w:ascii="Calibri" w:eastAsia="Calibri" w:hAnsi="Calibri" w:cs="Times New Roman"/>
          <w:sz w:val="22"/>
        </w:rPr>
      </w:pPr>
      <w:r w:rsidRPr="004E32A1">
        <w:rPr>
          <w:rFonts w:ascii="Calibri" w:eastAsia="Calibri" w:hAnsi="Calibri" w:cs="Times New Roman"/>
          <w:noProof/>
          <w:sz w:val="22"/>
          <w:lang w:eastAsia="cs-CZ"/>
        </w:rPr>
        <w:drawing>
          <wp:inline distT="0" distB="0" distL="0" distR="0" wp14:anchorId="75704741" wp14:editId="6F6A896A">
            <wp:extent cx="5759450" cy="2438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i-components_users.png"/>
                    <pic:cNvPicPr/>
                  </pic:nvPicPr>
                  <pic:blipFill>
                    <a:blip r:embed="rId17">
                      <a:extLst>
                        <a:ext uri="{28A0092B-C50C-407E-A947-70E740481C1C}">
                          <a14:useLocalDpi xmlns:a14="http://schemas.microsoft.com/office/drawing/2010/main" val="0"/>
                        </a:ext>
                      </a:extLst>
                    </a:blip>
                    <a:stretch>
                      <a:fillRect/>
                    </a:stretch>
                  </pic:blipFill>
                  <pic:spPr>
                    <a:xfrm>
                      <a:off x="0" y="0"/>
                      <a:ext cx="5759450" cy="2438400"/>
                    </a:xfrm>
                    <a:prstGeom prst="rect">
                      <a:avLst/>
                    </a:prstGeom>
                  </pic:spPr>
                </pic:pic>
              </a:graphicData>
            </a:graphic>
          </wp:inline>
        </w:drawing>
      </w:r>
    </w:p>
    <w:p w14:paraId="025B23AE" w14:textId="73C28B97" w:rsidR="004E32A1" w:rsidRPr="00F95CE3" w:rsidRDefault="004E32A1" w:rsidP="004E32A1">
      <w:pPr>
        <w:spacing w:after="0" w:line="240" w:lineRule="auto"/>
        <w:rPr>
          <w:rFonts w:ascii="Calibri" w:eastAsia="Calibri" w:hAnsi="Calibri" w:cs="Times New Roman"/>
          <w:sz w:val="20"/>
          <w:szCs w:val="20"/>
          <w:lang w:eastAsia="cs-CZ"/>
        </w:rPr>
      </w:pPr>
      <w:r w:rsidRPr="003909AE">
        <w:rPr>
          <w:rFonts w:ascii="Calibri" w:eastAsia="Calibri" w:hAnsi="Calibri" w:cs="Times New Roman"/>
          <w:b/>
          <w:sz w:val="20"/>
          <w:szCs w:val="20"/>
        </w:rPr>
        <w:t>Zdroj:</w:t>
      </w:r>
      <w:r w:rsidRPr="00F95CE3">
        <w:rPr>
          <w:rFonts w:ascii="Calibri" w:eastAsia="Calibri" w:hAnsi="Calibri" w:cs="Times New Roman"/>
          <w:b/>
          <w:sz w:val="20"/>
          <w:szCs w:val="20"/>
        </w:rPr>
        <w:t xml:space="preserve"> </w:t>
      </w:r>
      <w:hyperlink r:id="rId18" w:history="1">
        <w:r w:rsidRPr="00F95CE3">
          <w:rPr>
            <w:rFonts w:ascii="Calibri" w:eastAsia="Calibri" w:hAnsi="Calibri" w:cs="Times New Roman"/>
            <w:color w:val="0000FF"/>
            <w:sz w:val="20"/>
            <w:szCs w:val="20"/>
            <w:u w:val="single"/>
            <w:lang w:eastAsia="cs-CZ"/>
          </w:rPr>
          <w:t>https://digital-agenda-data.eu/datasets/desi/visualizations</w:t>
        </w:r>
      </w:hyperlink>
      <w:r w:rsidR="004B18F5" w:rsidRPr="004B18F5">
        <w:rPr>
          <w:rFonts w:ascii="Calibri" w:eastAsia="Calibri" w:hAnsi="Calibri" w:cs="Times New Roman"/>
          <w:sz w:val="20"/>
          <w:szCs w:val="20"/>
          <w:lang w:eastAsia="cs-CZ"/>
        </w:rPr>
        <w:t>.</w:t>
      </w:r>
    </w:p>
    <w:p w14:paraId="7D747A50" w14:textId="77777777" w:rsidR="004E32A1" w:rsidRPr="004E32A1" w:rsidRDefault="004E32A1" w:rsidP="004E32A1">
      <w:pPr>
        <w:spacing w:after="200" w:line="240" w:lineRule="auto"/>
        <w:rPr>
          <w:rFonts w:ascii="Calibri" w:eastAsia="Calibri" w:hAnsi="Calibri" w:cs="Times New Roman"/>
          <w:b/>
          <w:iCs/>
          <w:sz w:val="20"/>
          <w:szCs w:val="20"/>
        </w:rPr>
      </w:pPr>
    </w:p>
    <w:p w14:paraId="2B05A5FC" w14:textId="53C44C8C"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Indikátor DESI však neposkytuje bližší informace o nástrojích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rPr>
        <w:t xml:space="preserve"> v jednotlivých zemích a nelze tak pouze na jeho základě určit, čím jsou rozdíly mezi srovnávanými zeměmi způsobeny. NKÚ proto nevycházel pouze ze srovnání DESI, ale </w:t>
      </w:r>
      <w:r w:rsidR="005E46E1">
        <w:rPr>
          <w:rFonts w:ascii="Calibri" w:eastAsia="Calibri" w:hAnsi="Calibri" w:cs="Times New Roman"/>
          <w:szCs w:val="24"/>
        </w:rPr>
        <w:t>provedl</w:t>
      </w:r>
      <w:r w:rsidR="005E46E1" w:rsidRPr="004E32A1">
        <w:rPr>
          <w:rFonts w:ascii="Calibri" w:eastAsia="Calibri" w:hAnsi="Calibri" w:cs="Times New Roman"/>
          <w:szCs w:val="24"/>
        </w:rPr>
        <w:t xml:space="preserve"> </w:t>
      </w:r>
      <w:r w:rsidRPr="004E32A1">
        <w:rPr>
          <w:rFonts w:ascii="Calibri" w:eastAsia="Calibri" w:hAnsi="Calibri" w:cs="Times New Roman"/>
          <w:szCs w:val="24"/>
        </w:rPr>
        <w:t>vlastní srovnání zaměřené na oblast elektronické identifikace a nabídku digitálních služeb veřejné správy.</w:t>
      </w:r>
      <w:r w:rsidR="00866011">
        <w:rPr>
          <w:rFonts w:ascii="Calibri" w:eastAsia="Calibri" w:hAnsi="Calibri" w:cs="Times New Roman"/>
          <w:szCs w:val="24"/>
        </w:rPr>
        <w:t xml:space="preserve"> V</w:t>
      </w:r>
      <w:r w:rsidR="00866011" w:rsidRPr="004E32A1">
        <w:rPr>
          <w:rFonts w:ascii="Calibri" w:eastAsia="Calibri" w:hAnsi="Calibri" w:cs="Times New Roman"/>
          <w:szCs w:val="24"/>
        </w:rPr>
        <w:t xml:space="preserve">ycházel </w:t>
      </w:r>
      <w:r w:rsidR="00866011">
        <w:rPr>
          <w:rFonts w:ascii="Calibri" w:eastAsia="Calibri" w:hAnsi="Calibri" w:cs="Times New Roman"/>
          <w:szCs w:val="24"/>
        </w:rPr>
        <w:t>p</w:t>
      </w:r>
      <w:r w:rsidRPr="004E32A1">
        <w:rPr>
          <w:rFonts w:ascii="Calibri" w:eastAsia="Calibri" w:hAnsi="Calibri" w:cs="Times New Roman"/>
          <w:szCs w:val="24"/>
        </w:rPr>
        <w:t>řitom z věstníků EU a dále oslovil v rámci projektu BIEP</w:t>
      </w:r>
      <w:r w:rsidRPr="004E32A1">
        <w:rPr>
          <w:rFonts w:ascii="Calibri" w:eastAsia="Calibri" w:hAnsi="Calibri" w:cs="Times New Roman"/>
          <w:szCs w:val="24"/>
          <w:vertAlign w:val="superscript"/>
        </w:rPr>
        <w:footnoteReference w:id="27"/>
      </w:r>
      <w:r w:rsidRPr="004E32A1">
        <w:rPr>
          <w:rFonts w:ascii="Calibri" w:eastAsia="Calibri" w:hAnsi="Calibri" w:cs="Times New Roman"/>
          <w:szCs w:val="24"/>
        </w:rPr>
        <w:t xml:space="preserve"> nejvyšší kontrolní instituce s žádostí o zodpovězení celkem 9 otázek týkajících se elektronické identifikace a digitálních služeb veřejné správy v daném státě. Odpovědi poskytli zástupci nejvyšších kontrolních institucí Švédska, Estonska, Litvy, Belgie, Francie, Německa a Rakouska.</w:t>
      </w:r>
    </w:p>
    <w:p w14:paraId="12BD8F4A" w14:textId="45603651" w:rsidR="004E32A1" w:rsidRPr="00F95CE3" w:rsidRDefault="004E32A1" w:rsidP="00F95CE3">
      <w:pPr>
        <w:keepNext/>
        <w:spacing w:after="0" w:line="240" w:lineRule="auto"/>
        <w:rPr>
          <w:rFonts w:ascii="Calibri" w:eastAsia="Calibri" w:hAnsi="Calibri" w:cs="Times New Roman"/>
          <w:b/>
          <w:iCs/>
          <w:szCs w:val="24"/>
        </w:rPr>
      </w:pPr>
      <w:r w:rsidRPr="00F95CE3">
        <w:rPr>
          <w:rFonts w:ascii="Calibri" w:eastAsia="Calibri" w:hAnsi="Calibri" w:cs="Times New Roman"/>
          <w:b/>
          <w:iCs/>
          <w:szCs w:val="24"/>
        </w:rPr>
        <w:t xml:space="preserve">Tabulka č. </w:t>
      </w:r>
      <w:r w:rsidRPr="00F95CE3">
        <w:rPr>
          <w:rFonts w:ascii="Calibri" w:eastAsia="Calibri" w:hAnsi="Calibri" w:cs="Times New Roman"/>
          <w:b/>
          <w:iCs/>
          <w:szCs w:val="24"/>
        </w:rPr>
        <w:fldChar w:fldCharType="begin"/>
      </w:r>
      <w:r w:rsidRPr="00F95CE3">
        <w:rPr>
          <w:rFonts w:ascii="Calibri" w:eastAsia="Calibri" w:hAnsi="Calibri" w:cs="Times New Roman"/>
          <w:b/>
          <w:iCs/>
          <w:szCs w:val="24"/>
        </w:rPr>
        <w:instrText xml:space="preserve"> SEQ Tabulka_č._ \* ARABIC </w:instrText>
      </w:r>
      <w:r w:rsidRPr="00F95CE3">
        <w:rPr>
          <w:rFonts w:ascii="Calibri" w:eastAsia="Calibri" w:hAnsi="Calibri" w:cs="Times New Roman"/>
          <w:b/>
          <w:iCs/>
          <w:szCs w:val="24"/>
        </w:rPr>
        <w:fldChar w:fldCharType="separate"/>
      </w:r>
      <w:r w:rsidR="000A499A">
        <w:rPr>
          <w:rFonts w:ascii="Calibri" w:eastAsia="Calibri" w:hAnsi="Calibri" w:cs="Times New Roman"/>
          <w:b/>
          <w:iCs/>
          <w:noProof/>
          <w:szCs w:val="24"/>
        </w:rPr>
        <w:t>2</w:t>
      </w:r>
      <w:r w:rsidRPr="00F95CE3">
        <w:rPr>
          <w:rFonts w:ascii="Calibri" w:eastAsia="Calibri" w:hAnsi="Calibri" w:cs="Times New Roman"/>
          <w:b/>
          <w:iCs/>
          <w:szCs w:val="24"/>
        </w:rPr>
        <w:fldChar w:fldCharType="end"/>
      </w:r>
      <w:r w:rsidRPr="00F95CE3">
        <w:rPr>
          <w:rFonts w:ascii="Calibri" w:eastAsia="Calibri" w:hAnsi="Calibri" w:cs="Times New Roman"/>
          <w:b/>
          <w:iCs/>
          <w:szCs w:val="24"/>
        </w:rPr>
        <w:t>: Srovnání přístupu k elektronické identifikaci ve vybraných státech EU</w:t>
      </w:r>
    </w:p>
    <w:tbl>
      <w:tblPr>
        <w:tblStyle w:val="Mkatabulky"/>
        <w:tblW w:w="9122" w:type="dxa"/>
        <w:tblLook w:val="04A0" w:firstRow="1" w:lastRow="0" w:firstColumn="1" w:lastColumn="0" w:noHBand="0" w:noVBand="1"/>
      </w:tblPr>
      <w:tblGrid>
        <w:gridCol w:w="1531"/>
        <w:gridCol w:w="2367"/>
        <w:gridCol w:w="2094"/>
        <w:gridCol w:w="1543"/>
        <w:gridCol w:w="1587"/>
      </w:tblGrid>
      <w:tr w:rsidR="004E32A1" w:rsidRPr="004E32A1" w14:paraId="267141A4" w14:textId="77777777" w:rsidTr="00F95CE3">
        <w:trPr>
          <w:tblHeader/>
        </w:trPr>
        <w:tc>
          <w:tcPr>
            <w:tcW w:w="1531" w:type="dxa"/>
            <w:shd w:val="clear" w:color="auto" w:fill="E5F1FF"/>
            <w:vAlign w:val="center"/>
          </w:tcPr>
          <w:p w14:paraId="0D2EBC17" w14:textId="77777777" w:rsidR="004E32A1" w:rsidRPr="004E32A1" w:rsidRDefault="004E32A1" w:rsidP="00F95CE3">
            <w:pPr>
              <w:jc w:val="center"/>
              <w:rPr>
                <w:b/>
                <w:sz w:val="20"/>
                <w:szCs w:val="20"/>
              </w:rPr>
            </w:pPr>
            <w:r w:rsidRPr="004E32A1">
              <w:rPr>
                <w:b/>
                <w:sz w:val="20"/>
                <w:szCs w:val="20"/>
              </w:rPr>
              <w:t>Stát</w:t>
            </w:r>
          </w:p>
        </w:tc>
        <w:tc>
          <w:tcPr>
            <w:tcW w:w="2367" w:type="dxa"/>
            <w:shd w:val="clear" w:color="auto" w:fill="E5F1FF"/>
            <w:vAlign w:val="center"/>
          </w:tcPr>
          <w:p w14:paraId="54F2664B" w14:textId="77777777" w:rsidR="004E32A1" w:rsidRPr="004E32A1" w:rsidRDefault="004E32A1" w:rsidP="00F95CE3">
            <w:pPr>
              <w:jc w:val="center"/>
              <w:rPr>
                <w:b/>
                <w:sz w:val="20"/>
                <w:szCs w:val="20"/>
              </w:rPr>
            </w:pPr>
            <w:r w:rsidRPr="004E32A1">
              <w:rPr>
                <w:b/>
                <w:sz w:val="20"/>
                <w:szCs w:val="20"/>
              </w:rPr>
              <w:t xml:space="preserve">Byl zaveden systém </w:t>
            </w:r>
            <w:proofErr w:type="spellStart"/>
            <w:r w:rsidRPr="004E32A1">
              <w:rPr>
                <w:b/>
                <w:sz w:val="20"/>
                <w:szCs w:val="20"/>
              </w:rPr>
              <w:t>eID</w:t>
            </w:r>
            <w:proofErr w:type="spellEnd"/>
            <w:r w:rsidRPr="004E32A1">
              <w:rPr>
                <w:b/>
                <w:sz w:val="20"/>
                <w:szCs w:val="20"/>
              </w:rPr>
              <w:t>?</w:t>
            </w:r>
          </w:p>
        </w:tc>
        <w:tc>
          <w:tcPr>
            <w:tcW w:w="2094" w:type="dxa"/>
            <w:shd w:val="clear" w:color="auto" w:fill="E5F1FF"/>
            <w:vAlign w:val="center"/>
          </w:tcPr>
          <w:p w14:paraId="724B1DF7" w14:textId="77777777" w:rsidR="004E32A1" w:rsidRPr="004E32A1" w:rsidRDefault="004E32A1" w:rsidP="00F95CE3">
            <w:pPr>
              <w:jc w:val="center"/>
              <w:rPr>
                <w:b/>
                <w:sz w:val="20"/>
                <w:szCs w:val="20"/>
              </w:rPr>
            </w:pPr>
            <w:r w:rsidRPr="004E32A1">
              <w:rPr>
                <w:b/>
                <w:sz w:val="20"/>
                <w:szCs w:val="20"/>
              </w:rPr>
              <w:t xml:space="preserve">Je jedním z prostředků </w:t>
            </w:r>
            <w:proofErr w:type="spellStart"/>
            <w:r w:rsidRPr="004E32A1">
              <w:rPr>
                <w:b/>
                <w:sz w:val="20"/>
                <w:szCs w:val="20"/>
              </w:rPr>
              <w:t>eID</w:t>
            </w:r>
            <w:proofErr w:type="spellEnd"/>
            <w:r w:rsidRPr="004E32A1">
              <w:rPr>
                <w:b/>
                <w:sz w:val="20"/>
                <w:szCs w:val="20"/>
              </w:rPr>
              <w:t xml:space="preserve"> občanský průkaz?</w:t>
            </w:r>
          </w:p>
        </w:tc>
        <w:tc>
          <w:tcPr>
            <w:tcW w:w="1543" w:type="dxa"/>
            <w:shd w:val="clear" w:color="auto" w:fill="E5F1FF"/>
            <w:vAlign w:val="center"/>
          </w:tcPr>
          <w:p w14:paraId="46C97AF3" w14:textId="77777777" w:rsidR="004E32A1" w:rsidRPr="004E32A1" w:rsidRDefault="004E32A1" w:rsidP="00F95CE3">
            <w:pPr>
              <w:jc w:val="center"/>
              <w:rPr>
                <w:b/>
                <w:sz w:val="20"/>
                <w:szCs w:val="20"/>
              </w:rPr>
            </w:pPr>
            <w:r w:rsidRPr="004E32A1">
              <w:rPr>
                <w:b/>
                <w:sz w:val="20"/>
                <w:szCs w:val="20"/>
              </w:rPr>
              <w:t xml:space="preserve">Existují i jiné prostředky </w:t>
            </w:r>
            <w:proofErr w:type="spellStart"/>
            <w:r w:rsidRPr="004E32A1">
              <w:rPr>
                <w:b/>
                <w:sz w:val="20"/>
                <w:szCs w:val="20"/>
              </w:rPr>
              <w:t>eID</w:t>
            </w:r>
            <w:proofErr w:type="spellEnd"/>
            <w:r w:rsidRPr="004E32A1">
              <w:rPr>
                <w:b/>
                <w:sz w:val="20"/>
                <w:szCs w:val="20"/>
              </w:rPr>
              <w:t>?</w:t>
            </w:r>
          </w:p>
        </w:tc>
        <w:tc>
          <w:tcPr>
            <w:tcW w:w="1587" w:type="dxa"/>
            <w:shd w:val="clear" w:color="auto" w:fill="E5F1FF"/>
            <w:vAlign w:val="center"/>
          </w:tcPr>
          <w:p w14:paraId="3A7E9D9C" w14:textId="77777777" w:rsidR="004E32A1" w:rsidRPr="004E32A1" w:rsidRDefault="004E32A1" w:rsidP="00F95CE3">
            <w:pPr>
              <w:jc w:val="center"/>
              <w:rPr>
                <w:b/>
                <w:sz w:val="20"/>
                <w:szCs w:val="20"/>
              </w:rPr>
            </w:pPr>
            <w:r w:rsidRPr="004E32A1">
              <w:rPr>
                <w:b/>
                <w:sz w:val="20"/>
                <w:szCs w:val="20"/>
              </w:rPr>
              <w:t xml:space="preserve">Má země notifikované prostředky </w:t>
            </w:r>
            <w:proofErr w:type="spellStart"/>
            <w:r w:rsidRPr="004E32A1">
              <w:rPr>
                <w:b/>
                <w:sz w:val="20"/>
                <w:szCs w:val="20"/>
              </w:rPr>
              <w:t>eID</w:t>
            </w:r>
            <w:proofErr w:type="spellEnd"/>
            <w:r w:rsidRPr="004E32A1">
              <w:rPr>
                <w:b/>
                <w:sz w:val="20"/>
                <w:szCs w:val="20"/>
              </w:rPr>
              <w:t>?</w:t>
            </w:r>
          </w:p>
        </w:tc>
      </w:tr>
      <w:tr w:rsidR="004E32A1" w:rsidRPr="004E32A1" w14:paraId="65C54C2D" w14:textId="77777777" w:rsidTr="00F95CE3">
        <w:tc>
          <w:tcPr>
            <w:tcW w:w="1531" w:type="dxa"/>
          </w:tcPr>
          <w:p w14:paraId="61EFED7E" w14:textId="2CB972F3" w:rsidR="004E32A1" w:rsidRPr="004E32A1" w:rsidRDefault="004E32A1" w:rsidP="005E46E1">
            <w:pPr>
              <w:jc w:val="left"/>
              <w:rPr>
                <w:b/>
                <w:sz w:val="20"/>
                <w:szCs w:val="20"/>
              </w:rPr>
            </w:pPr>
            <w:r w:rsidRPr="004E32A1">
              <w:rPr>
                <w:b/>
                <w:sz w:val="20"/>
                <w:szCs w:val="20"/>
              </w:rPr>
              <w:t>Česk</w:t>
            </w:r>
            <w:r w:rsidR="005E46E1">
              <w:rPr>
                <w:b/>
                <w:sz w:val="20"/>
                <w:szCs w:val="20"/>
              </w:rPr>
              <w:t>á republika</w:t>
            </w:r>
          </w:p>
        </w:tc>
        <w:tc>
          <w:tcPr>
            <w:tcW w:w="2367" w:type="dxa"/>
          </w:tcPr>
          <w:p w14:paraId="4C76EE76" w14:textId="77777777" w:rsidR="004E32A1" w:rsidRPr="004E32A1" w:rsidRDefault="004E32A1" w:rsidP="004E32A1">
            <w:pPr>
              <w:jc w:val="left"/>
              <w:rPr>
                <w:sz w:val="20"/>
                <w:szCs w:val="20"/>
              </w:rPr>
            </w:pPr>
            <w:r w:rsidRPr="004E32A1">
              <w:rPr>
                <w:sz w:val="20"/>
                <w:szCs w:val="20"/>
              </w:rPr>
              <w:t>ANO</w:t>
            </w:r>
          </w:p>
        </w:tc>
        <w:tc>
          <w:tcPr>
            <w:tcW w:w="2094" w:type="dxa"/>
          </w:tcPr>
          <w:p w14:paraId="09A71018" w14:textId="77777777" w:rsidR="004E32A1" w:rsidRPr="004E32A1" w:rsidRDefault="004E32A1" w:rsidP="004E32A1">
            <w:pPr>
              <w:jc w:val="left"/>
              <w:rPr>
                <w:sz w:val="20"/>
                <w:szCs w:val="20"/>
              </w:rPr>
            </w:pPr>
            <w:r w:rsidRPr="004E32A1">
              <w:rPr>
                <w:sz w:val="20"/>
                <w:szCs w:val="20"/>
              </w:rPr>
              <w:t>ANO</w:t>
            </w:r>
          </w:p>
        </w:tc>
        <w:tc>
          <w:tcPr>
            <w:tcW w:w="1543" w:type="dxa"/>
          </w:tcPr>
          <w:p w14:paraId="6921196C" w14:textId="77777777" w:rsidR="004E32A1" w:rsidRPr="004E32A1" w:rsidRDefault="004E32A1" w:rsidP="004E32A1">
            <w:pPr>
              <w:jc w:val="left"/>
              <w:rPr>
                <w:sz w:val="20"/>
                <w:szCs w:val="20"/>
              </w:rPr>
            </w:pPr>
            <w:r w:rsidRPr="004E32A1">
              <w:rPr>
                <w:sz w:val="20"/>
                <w:szCs w:val="20"/>
              </w:rPr>
              <w:t>ANO</w:t>
            </w:r>
          </w:p>
        </w:tc>
        <w:tc>
          <w:tcPr>
            <w:tcW w:w="1587" w:type="dxa"/>
          </w:tcPr>
          <w:p w14:paraId="35D9209F" w14:textId="77777777" w:rsidR="004E32A1" w:rsidRPr="004E32A1" w:rsidRDefault="004E32A1" w:rsidP="004E32A1">
            <w:pPr>
              <w:jc w:val="left"/>
              <w:rPr>
                <w:sz w:val="20"/>
                <w:szCs w:val="20"/>
              </w:rPr>
            </w:pPr>
            <w:r w:rsidRPr="004E32A1">
              <w:rPr>
                <w:sz w:val="20"/>
                <w:szCs w:val="20"/>
              </w:rPr>
              <w:t>ANO</w:t>
            </w:r>
          </w:p>
        </w:tc>
      </w:tr>
      <w:tr w:rsidR="004E32A1" w:rsidRPr="004E32A1" w14:paraId="7AE83BA5" w14:textId="77777777" w:rsidTr="00F95CE3">
        <w:tc>
          <w:tcPr>
            <w:tcW w:w="1531" w:type="dxa"/>
          </w:tcPr>
          <w:p w14:paraId="5D084113" w14:textId="77777777" w:rsidR="004E32A1" w:rsidRPr="004E32A1" w:rsidRDefault="004E32A1" w:rsidP="004E32A1">
            <w:pPr>
              <w:jc w:val="left"/>
              <w:rPr>
                <w:b/>
                <w:sz w:val="20"/>
                <w:szCs w:val="20"/>
              </w:rPr>
            </w:pPr>
            <w:r w:rsidRPr="004E32A1">
              <w:rPr>
                <w:b/>
                <w:sz w:val="20"/>
                <w:szCs w:val="20"/>
              </w:rPr>
              <w:t>Švédsko</w:t>
            </w:r>
          </w:p>
        </w:tc>
        <w:tc>
          <w:tcPr>
            <w:tcW w:w="2367" w:type="dxa"/>
          </w:tcPr>
          <w:p w14:paraId="20B550DE" w14:textId="617B90D1" w:rsidR="004E32A1" w:rsidRPr="004E32A1" w:rsidRDefault="004E32A1" w:rsidP="004E32A1">
            <w:pPr>
              <w:jc w:val="left"/>
              <w:rPr>
                <w:sz w:val="20"/>
                <w:szCs w:val="20"/>
              </w:rPr>
            </w:pPr>
            <w:r w:rsidRPr="004E32A1">
              <w:rPr>
                <w:sz w:val="20"/>
                <w:szCs w:val="20"/>
              </w:rPr>
              <w:t>ANO</w:t>
            </w:r>
            <w:r w:rsidR="005E46E1">
              <w:rPr>
                <w:sz w:val="20"/>
                <w:szCs w:val="20"/>
              </w:rPr>
              <w:t>,</w:t>
            </w:r>
          </w:p>
          <w:p w14:paraId="66EC1BC1" w14:textId="3ECA92E8" w:rsidR="004E32A1" w:rsidRPr="004E32A1" w:rsidRDefault="005E46E1" w:rsidP="005E46E1">
            <w:pPr>
              <w:jc w:val="left"/>
              <w:rPr>
                <w:sz w:val="20"/>
                <w:szCs w:val="20"/>
              </w:rPr>
            </w:pPr>
            <w:r>
              <w:rPr>
                <w:sz w:val="20"/>
                <w:szCs w:val="20"/>
              </w:rPr>
              <w:t>n</w:t>
            </w:r>
            <w:r w:rsidR="004E32A1" w:rsidRPr="004E32A1">
              <w:rPr>
                <w:sz w:val="20"/>
                <w:szCs w:val="20"/>
              </w:rPr>
              <w:t xml:space="preserve">eexistuje však systém </w:t>
            </w:r>
            <w:proofErr w:type="spellStart"/>
            <w:r w:rsidR="004E32A1" w:rsidRPr="004E32A1">
              <w:rPr>
                <w:sz w:val="20"/>
                <w:szCs w:val="20"/>
              </w:rPr>
              <w:t>eID</w:t>
            </w:r>
            <w:proofErr w:type="spellEnd"/>
            <w:r w:rsidR="004E32A1" w:rsidRPr="004E32A1">
              <w:rPr>
                <w:sz w:val="20"/>
                <w:szCs w:val="20"/>
              </w:rPr>
              <w:t xml:space="preserve"> provozovaný vládou, </w:t>
            </w:r>
            <w:r>
              <w:rPr>
                <w:sz w:val="20"/>
                <w:szCs w:val="20"/>
              </w:rPr>
              <w:t xml:space="preserve">nýbrž </w:t>
            </w:r>
            <w:r w:rsidR="004E32A1" w:rsidRPr="004E32A1">
              <w:rPr>
                <w:sz w:val="20"/>
                <w:szCs w:val="20"/>
              </w:rPr>
              <w:t>pouze soukrom</w:t>
            </w:r>
            <w:r>
              <w:rPr>
                <w:sz w:val="20"/>
                <w:szCs w:val="20"/>
              </w:rPr>
              <w:t>ými</w:t>
            </w:r>
            <w:r w:rsidR="004E32A1" w:rsidRPr="004E32A1">
              <w:rPr>
                <w:sz w:val="20"/>
                <w:szCs w:val="20"/>
              </w:rPr>
              <w:t xml:space="preserve"> subjekty</w:t>
            </w:r>
          </w:p>
        </w:tc>
        <w:tc>
          <w:tcPr>
            <w:tcW w:w="2094" w:type="dxa"/>
          </w:tcPr>
          <w:p w14:paraId="0AF1A36B" w14:textId="77777777" w:rsidR="004E32A1" w:rsidRPr="004E32A1" w:rsidRDefault="004E32A1" w:rsidP="004E32A1">
            <w:pPr>
              <w:jc w:val="left"/>
              <w:rPr>
                <w:sz w:val="20"/>
                <w:szCs w:val="20"/>
              </w:rPr>
            </w:pPr>
            <w:r w:rsidRPr="004E32A1">
              <w:rPr>
                <w:sz w:val="20"/>
                <w:szCs w:val="20"/>
              </w:rPr>
              <w:t>ANO</w:t>
            </w:r>
          </w:p>
        </w:tc>
        <w:tc>
          <w:tcPr>
            <w:tcW w:w="1543" w:type="dxa"/>
          </w:tcPr>
          <w:p w14:paraId="7316ED5A" w14:textId="77777777" w:rsidR="004E32A1" w:rsidRPr="004E32A1" w:rsidRDefault="004E32A1" w:rsidP="004E32A1">
            <w:pPr>
              <w:jc w:val="left"/>
              <w:rPr>
                <w:sz w:val="20"/>
                <w:szCs w:val="20"/>
              </w:rPr>
            </w:pPr>
            <w:r w:rsidRPr="004E32A1">
              <w:rPr>
                <w:sz w:val="20"/>
                <w:szCs w:val="20"/>
              </w:rPr>
              <w:t>ANO</w:t>
            </w:r>
          </w:p>
        </w:tc>
        <w:tc>
          <w:tcPr>
            <w:tcW w:w="1587" w:type="dxa"/>
          </w:tcPr>
          <w:p w14:paraId="519C7959" w14:textId="77777777" w:rsidR="004E32A1" w:rsidRPr="004E32A1" w:rsidRDefault="004E32A1" w:rsidP="004E32A1">
            <w:pPr>
              <w:jc w:val="left"/>
              <w:rPr>
                <w:sz w:val="20"/>
                <w:szCs w:val="20"/>
              </w:rPr>
            </w:pPr>
            <w:r w:rsidRPr="004E32A1">
              <w:rPr>
                <w:sz w:val="20"/>
                <w:szCs w:val="20"/>
              </w:rPr>
              <w:t>NE</w:t>
            </w:r>
          </w:p>
        </w:tc>
      </w:tr>
      <w:tr w:rsidR="004E32A1" w:rsidRPr="004E32A1" w14:paraId="5CBCF0B3" w14:textId="77777777" w:rsidTr="00F95CE3">
        <w:tc>
          <w:tcPr>
            <w:tcW w:w="1531" w:type="dxa"/>
          </w:tcPr>
          <w:p w14:paraId="3A4533DC" w14:textId="77777777" w:rsidR="004E32A1" w:rsidRPr="004E32A1" w:rsidRDefault="004E32A1" w:rsidP="004E32A1">
            <w:pPr>
              <w:jc w:val="left"/>
              <w:rPr>
                <w:b/>
                <w:sz w:val="20"/>
                <w:szCs w:val="20"/>
              </w:rPr>
            </w:pPr>
            <w:r w:rsidRPr="004E32A1">
              <w:rPr>
                <w:b/>
                <w:sz w:val="20"/>
                <w:szCs w:val="20"/>
              </w:rPr>
              <w:t>Estonsko</w:t>
            </w:r>
          </w:p>
        </w:tc>
        <w:tc>
          <w:tcPr>
            <w:tcW w:w="2367" w:type="dxa"/>
          </w:tcPr>
          <w:p w14:paraId="0BE34FC6" w14:textId="17592EE5" w:rsidR="004E32A1" w:rsidRPr="004E32A1" w:rsidRDefault="004E32A1" w:rsidP="004E32A1">
            <w:pPr>
              <w:jc w:val="left"/>
              <w:rPr>
                <w:sz w:val="20"/>
                <w:szCs w:val="20"/>
              </w:rPr>
            </w:pPr>
            <w:r w:rsidRPr="004E32A1">
              <w:rPr>
                <w:sz w:val="20"/>
                <w:szCs w:val="20"/>
              </w:rPr>
              <w:t>ANO</w:t>
            </w:r>
            <w:r w:rsidR="005E46E1">
              <w:rPr>
                <w:sz w:val="20"/>
                <w:szCs w:val="20"/>
              </w:rPr>
              <w:t>,</w:t>
            </w:r>
          </w:p>
          <w:p w14:paraId="2A781208" w14:textId="45CE8506" w:rsidR="004E32A1" w:rsidRPr="004E32A1" w:rsidRDefault="005E46E1" w:rsidP="004E32A1">
            <w:pPr>
              <w:jc w:val="left"/>
              <w:rPr>
                <w:sz w:val="20"/>
                <w:szCs w:val="20"/>
              </w:rPr>
            </w:pPr>
            <w:r>
              <w:rPr>
                <w:sz w:val="20"/>
                <w:szCs w:val="20"/>
              </w:rPr>
              <w:t>o</w:t>
            </w:r>
            <w:r w:rsidR="004E32A1" w:rsidRPr="004E32A1">
              <w:rPr>
                <w:sz w:val="20"/>
                <w:szCs w:val="20"/>
              </w:rPr>
              <w:t>d roku 2002</w:t>
            </w:r>
          </w:p>
        </w:tc>
        <w:tc>
          <w:tcPr>
            <w:tcW w:w="2094" w:type="dxa"/>
          </w:tcPr>
          <w:p w14:paraId="5B589219" w14:textId="77777777" w:rsidR="004E32A1" w:rsidRPr="004E32A1" w:rsidRDefault="004E32A1" w:rsidP="004E32A1">
            <w:pPr>
              <w:jc w:val="left"/>
              <w:rPr>
                <w:sz w:val="20"/>
                <w:szCs w:val="20"/>
              </w:rPr>
            </w:pPr>
            <w:r w:rsidRPr="004E32A1">
              <w:rPr>
                <w:sz w:val="20"/>
                <w:szCs w:val="20"/>
              </w:rPr>
              <w:t>ANO</w:t>
            </w:r>
          </w:p>
        </w:tc>
        <w:tc>
          <w:tcPr>
            <w:tcW w:w="1543" w:type="dxa"/>
          </w:tcPr>
          <w:p w14:paraId="6FE9B713" w14:textId="77777777" w:rsidR="004E32A1" w:rsidRPr="004E32A1" w:rsidRDefault="004E32A1" w:rsidP="004E32A1">
            <w:pPr>
              <w:jc w:val="left"/>
              <w:rPr>
                <w:sz w:val="20"/>
                <w:szCs w:val="20"/>
              </w:rPr>
            </w:pPr>
            <w:r w:rsidRPr="004E32A1">
              <w:rPr>
                <w:sz w:val="20"/>
                <w:szCs w:val="20"/>
              </w:rPr>
              <w:t>ANO</w:t>
            </w:r>
          </w:p>
        </w:tc>
        <w:tc>
          <w:tcPr>
            <w:tcW w:w="1587" w:type="dxa"/>
          </w:tcPr>
          <w:p w14:paraId="7421469D" w14:textId="7A1E833A" w:rsidR="004E32A1" w:rsidRPr="004E32A1" w:rsidRDefault="004E32A1" w:rsidP="004E32A1">
            <w:pPr>
              <w:jc w:val="left"/>
              <w:rPr>
                <w:sz w:val="20"/>
                <w:szCs w:val="20"/>
              </w:rPr>
            </w:pPr>
            <w:r w:rsidRPr="004E32A1">
              <w:rPr>
                <w:sz w:val="20"/>
                <w:szCs w:val="20"/>
              </w:rPr>
              <w:t>ANO</w:t>
            </w:r>
            <w:r w:rsidR="005E46E1">
              <w:rPr>
                <w:sz w:val="20"/>
                <w:szCs w:val="20"/>
              </w:rPr>
              <w:t>,</w:t>
            </w:r>
          </w:p>
          <w:p w14:paraId="3B9EF8D6" w14:textId="7B8D825D" w:rsidR="004E32A1" w:rsidRPr="004E32A1" w:rsidRDefault="005E46E1" w:rsidP="005E46E1">
            <w:pPr>
              <w:jc w:val="left"/>
              <w:rPr>
                <w:sz w:val="20"/>
                <w:szCs w:val="20"/>
              </w:rPr>
            </w:pPr>
            <w:r>
              <w:rPr>
                <w:sz w:val="20"/>
                <w:szCs w:val="20"/>
              </w:rPr>
              <w:t>c</w:t>
            </w:r>
            <w:r w:rsidR="004E32A1" w:rsidRPr="004E32A1">
              <w:rPr>
                <w:sz w:val="20"/>
                <w:szCs w:val="20"/>
              </w:rPr>
              <w:t>elkem 6</w:t>
            </w:r>
          </w:p>
        </w:tc>
      </w:tr>
      <w:tr w:rsidR="004E32A1" w:rsidRPr="004E32A1" w14:paraId="3D2D5660" w14:textId="77777777" w:rsidTr="00F95CE3">
        <w:tc>
          <w:tcPr>
            <w:tcW w:w="1531" w:type="dxa"/>
          </w:tcPr>
          <w:p w14:paraId="576ADD64" w14:textId="77777777" w:rsidR="004E32A1" w:rsidRPr="004E32A1" w:rsidRDefault="004E32A1" w:rsidP="004E32A1">
            <w:pPr>
              <w:jc w:val="left"/>
              <w:rPr>
                <w:b/>
                <w:sz w:val="20"/>
                <w:szCs w:val="20"/>
              </w:rPr>
            </w:pPr>
            <w:r w:rsidRPr="004E32A1">
              <w:rPr>
                <w:b/>
                <w:sz w:val="20"/>
                <w:szCs w:val="20"/>
              </w:rPr>
              <w:lastRenderedPageBreak/>
              <w:t>Litva</w:t>
            </w:r>
          </w:p>
        </w:tc>
        <w:tc>
          <w:tcPr>
            <w:tcW w:w="2367" w:type="dxa"/>
          </w:tcPr>
          <w:p w14:paraId="39BC216A" w14:textId="77777777" w:rsidR="004E32A1" w:rsidRPr="004E32A1" w:rsidRDefault="004E32A1" w:rsidP="004E32A1">
            <w:pPr>
              <w:jc w:val="left"/>
              <w:rPr>
                <w:sz w:val="20"/>
                <w:szCs w:val="20"/>
              </w:rPr>
            </w:pPr>
            <w:r w:rsidRPr="004E32A1">
              <w:rPr>
                <w:sz w:val="20"/>
                <w:szCs w:val="20"/>
              </w:rPr>
              <w:t>ANO</w:t>
            </w:r>
          </w:p>
        </w:tc>
        <w:tc>
          <w:tcPr>
            <w:tcW w:w="2094" w:type="dxa"/>
          </w:tcPr>
          <w:p w14:paraId="015AC26B" w14:textId="77777777" w:rsidR="004E32A1" w:rsidRPr="004E32A1" w:rsidRDefault="004E32A1" w:rsidP="004E32A1">
            <w:pPr>
              <w:jc w:val="left"/>
              <w:rPr>
                <w:sz w:val="20"/>
                <w:szCs w:val="20"/>
              </w:rPr>
            </w:pPr>
            <w:r w:rsidRPr="004E32A1">
              <w:rPr>
                <w:sz w:val="20"/>
                <w:szCs w:val="20"/>
              </w:rPr>
              <w:t>ANO</w:t>
            </w:r>
          </w:p>
        </w:tc>
        <w:tc>
          <w:tcPr>
            <w:tcW w:w="1543" w:type="dxa"/>
          </w:tcPr>
          <w:p w14:paraId="11E12D5C" w14:textId="77777777" w:rsidR="004E32A1" w:rsidRPr="004E32A1" w:rsidRDefault="004E32A1" w:rsidP="004E32A1">
            <w:pPr>
              <w:jc w:val="left"/>
              <w:rPr>
                <w:sz w:val="20"/>
                <w:szCs w:val="20"/>
              </w:rPr>
            </w:pPr>
            <w:r w:rsidRPr="004E32A1">
              <w:rPr>
                <w:sz w:val="20"/>
                <w:szCs w:val="20"/>
              </w:rPr>
              <w:t>ANO</w:t>
            </w:r>
          </w:p>
        </w:tc>
        <w:tc>
          <w:tcPr>
            <w:tcW w:w="1587" w:type="dxa"/>
          </w:tcPr>
          <w:p w14:paraId="0695D587" w14:textId="77777777" w:rsidR="004E32A1" w:rsidRPr="004E32A1" w:rsidRDefault="004E32A1" w:rsidP="004E32A1">
            <w:pPr>
              <w:jc w:val="left"/>
              <w:rPr>
                <w:sz w:val="20"/>
                <w:szCs w:val="20"/>
              </w:rPr>
            </w:pPr>
            <w:r w:rsidRPr="004E32A1">
              <w:rPr>
                <w:sz w:val="20"/>
                <w:szCs w:val="20"/>
              </w:rPr>
              <w:t>NE</w:t>
            </w:r>
          </w:p>
        </w:tc>
      </w:tr>
      <w:tr w:rsidR="004E32A1" w:rsidRPr="004E32A1" w14:paraId="5998EB53" w14:textId="77777777" w:rsidTr="00F95CE3">
        <w:tc>
          <w:tcPr>
            <w:tcW w:w="1531" w:type="dxa"/>
          </w:tcPr>
          <w:p w14:paraId="0F577729" w14:textId="77777777" w:rsidR="004E32A1" w:rsidRPr="004E32A1" w:rsidRDefault="004E32A1" w:rsidP="004E32A1">
            <w:pPr>
              <w:jc w:val="left"/>
              <w:rPr>
                <w:b/>
                <w:sz w:val="20"/>
                <w:szCs w:val="20"/>
              </w:rPr>
            </w:pPr>
            <w:r w:rsidRPr="004E32A1">
              <w:rPr>
                <w:b/>
                <w:sz w:val="20"/>
                <w:szCs w:val="20"/>
              </w:rPr>
              <w:t>Belgie</w:t>
            </w:r>
          </w:p>
        </w:tc>
        <w:tc>
          <w:tcPr>
            <w:tcW w:w="2367" w:type="dxa"/>
          </w:tcPr>
          <w:p w14:paraId="29830642" w14:textId="2A9B64F5" w:rsidR="004E32A1" w:rsidRPr="004E32A1" w:rsidRDefault="004E32A1" w:rsidP="004E32A1">
            <w:pPr>
              <w:jc w:val="left"/>
              <w:rPr>
                <w:sz w:val="20"/>
                <w:szCs w:val="20"/>
              </w:rPr>
            </w:pPr>
            <w:r w:rsidRPr="004E32A1">
              <w:rPr>
                <w:sz w:val="20"/>
                <w:szCs w:val="20"/>
              </w:rPr>
              <w:t>ANO</w:t>
            </w:r>
            <w:r w:rsidR="005E46E1">
              <w:rPr>
                <w:sz w:val="20"/>
                <w:szCs w:val="20"/>
              </w:rPr>
              <w:t>,</w:t>
            </w:r>
          </w:p>
          <w:p w14:paraId="2293EBD1" w14:textId="6DC112B0" w:rsidR="004E32A1" w:rsidRPr="004E32A1" w:rsidRDefault="005E46E1" w:rsidP="005E46E1">
            <w:pPr>
              <w:jc w:val="left"/>
              <w:rPr>
                <w:sz w:val="20"/>
                <w:szCs w:val="20"/>
              </w:rPr>
            </w:pPr>
            <w:r>
              <w:rPr>
                <w:sz w:val="20"/>
                <w:szCs w:val="20"/>
              </w:rPr>
              <w:t>o</w:t>
            </w:r>
            <w:r w:rsidR="004E32A1" w:rsidRPr="004E32A1">
              <w:rPr>
                <w:sz w:val="20"/>
                <w:szCs w:val="20"/>
              </w:rPr>
              <w:t>d roku 2004</w:t>
            </w:r>
          </w:p>
        </w:tc>
        <w:tc>
          <w:tcPr>
            <w:tcW w:w="2094" w:type="dxa"/>
          </w:tcPr>
          <w:p w14:paraId="1FCA829A" w14:textId="77777777" w:rsidR="004E32A1" w:rsidRPr="004E32A1" w:rsidRDefault="004E32A1" w:rsidP="004E32A1">
            <w:pPr>
              <w:jc w:val="left"/>
              <w:rPr>
                <w:sz w:val="20"/>
                <w:szCs w:val="20"/>
              </w:rPr>
            </w:pPr>
            <w:r w:rsidRPr="004E32A1">
              <w:rPr>
                <w:sz w:val="20"/>
                <w:szCs w:val="20"/>
              </w:rPr>
              <w:t>ANO</w:t>
            </w:r>
          </w:p>
        </w:tc>
        <w:tc>
          <w:tcPr>
            <w:tcW w:w="1543" w:type="dxa"/>
          </w:tcPr>
          <w:p w14:paraId="370100F9" w14:textId="77777777" w:rsidR="004E32A1" w:rsidRPr="004E32A1" w:rsidRDefault="004E32A1" w:rsidP="004E32A1">
            <w:pPr>
              <w:jc w:val="left"/>
              <w:rPr>
                <w:sz w:val="20"/>
                <w:szCs w:val="20"/>
              </w:rPr>
            </w:pPr>
            <w:r w:rsidRPr="004E32A1">
              <w:rPr>
                <w:sz w:val="20"/>
                <w:szCs w:val="20"/>
              </w:rPr>
              <w:t>ANO</w:t>
            </w:r>
          </w:p>
        </w:tc>
        <w:tc>
          <w:tcPr>
            <w:tcW w:w="1587" w:type="dxa"/>
          </w:tcPr>
          <w:p w14:paraId="3C8F1EAF" w14:textId="77777777" w:rsidR="004E32A1" w:rsidRPr="004E32A1" w:rsidRDefault="004E32A1" w:rsidP="004E32A1">
            <w:pPr>
              <w:jc w:val="left"/>
              <w:rPr>
                <w:sz w:val="20"/>
                <w:szCs w:val="20"/>
              </w:rPr>
            </w:pPr>
            <w:r w:rsidRPr="004E32A1">
              <w:rPr>
                <w:sz w:val="20"/>
                <w:szCs w:val="20"/>
              </w:rPr>
              <w:t>ANO</w:t>
            </w:r>
          </w:p>
        </w:tc>
      </w:tr>
      <w:tr w:rsidR="004E32A1" w:rsidRPr="004E32A1" w14:paraId="77F15BA1" w14:textId="77777777" w:rsidTr="00F95CE3">
        <w:tc>
          <w:tcPr>
            <w:tcW w:w="1531" w:type="dxa"/>
          </w:tcPr>
          <w:p w14:paraId="5A88C17E" w14:textId="77777777" w:rsidR="004E32A1" w:rsidRPr="004E32A1" w:rsidRDefault="004E32A1" w:rsidP="004E32A1">
            <w:pPr>
              <w:jc w:val="left"/>
              <w:rPr>
                <w:b/>
                <w:sz w:val="20"/>
                <w:szCs w:val="20"/>
              </w:rPr>
            </w:pPr>
            <w:r w:rsidRPr="004E32A1">
              <w:rPr>
                <w:b/>
                <w:sz w:val="20"/>
                <w:szCs w:val="20"/>
              </w:rPr>
              <w:t>Francie</w:t>
            </w:r>
          </w:p>
        </w:tc>
        <w:tc>
          <w:tcPr>
            <w:tcW w:w="2367" w:type="dxa"/>
          </w:tcPr>
          <w:p w14:paraId="4B73DFA8" w14:textId="77777777" w:rsidR="004E32A1" w:rsidRPr="004E32A1" w:rsidRDefault="004E32A1" w:rsidP="004E32A1">
            <w:pPr>
              <w:jc w:val="left"/>
              <w:rPr>
                <w:sz w:val="20"/>
                <w:szCs w:val="20"/>
              </w:rPr>
            </w:pPr>
            <w:r w:rsidRPr="004E32A1">
              <w:rPr>
                <w:sz w:val="20"/>
                <w:szCs w:val="20"/>
              </w:rPr>
              <w:t>ANO</w:t>
            </w:r>
          </w:p>
        </w:tc>
        <w:tc>
          <w:tcPr>
            <w:tcW w:w="2094" w:type="dxa"/>
          </w:tcPr>
          <w:p w14:paraId="3758048D" w14:textId="77777777" w:rsidR="004E32A1" w:rsidRPr="004E32A1" w:rsidRDefault="004E32A1" w:rsidP="004E32A1">
            <w:pPr>
              <w:jc w:val="left"/>
              <w:rPr>
                <w:sz w:val="20"/>
                <w:szCs w:val="20"/>
              </w:rPr>
            </w:pPr>
            <w:r w:rsidRPr="004E32A1">
              <w:rPr>
                <w:sz w:val="20"/>
                <w:szCs w:val="20"/>
              </w:rPr>
              <w:t>NE</w:t>
            </w:r>
          </w:p>
        </w:tc>
        <w:tc>
          <w:tcPr>
            <w:tcW w:w="1543" w:type="dxa"/>
          </w:tcPr>
          <w:p w14:paraId="46B36ADE" w14:textId="77777777" w:rsidR="004E32A1" w:rsidRPr="004E32A1" w:rsidRDefault="004E32A1" w:rsidP="004E32A1">
            <w:pPr>
              <w:jc w:val="left"/>
              <w:rPr>
                <w:sz w:val="20"/>
                <w:szCs w:val="20"/>
              </w:rPr>
            </w:pPr>
            <w:r w:rsidRPr="004E32A1">
              <w:rPr>
                <w:sz w:val="20"/>
                <w:szCs w:val="20"/>
              </w:rPr>
              <w:t>ANO</w:t>
            </w:r>
          </w:p>
        </w:tc>
        <w:tc>
          <w:tcPr>
            <w:tcW w:w="1587" w:type="dxa"/>
          </w:tcPr>
          <w:p w14:paraId="6C1791B9" w14:textId="2881E9F7" w:rsidR="004E32A1" w:rsidRPr="004E32A1" w:rsidRDefault="004E32A1" w:rsidP="004E32A1">
            <w:pPr>
              <w:jc w:val="left"/>
              <w:rPr>
                <w:sz w:val="20"/>
                <w:szCs w:val="20"/>
              </w:rPr>
            </w:pPr>
            <w:r w:rsidRPr="004E32A1">
              <w:rPr>
                <w:sz w:val="20"/>
                <w:szCs w:val="20"/>
              </w:rPr>
              <w:t>ANO</w:t>
            </w:r>
            <w:r w:rsidR="005E46E1">
              <w:rPr>
                <w:sz w:val="20"/>
                <w:szCs w:val="20"/>
              </w:rPr>
              <w:t>,</w:t>
            </w:r>
          </w:p>
          <w:p w14:paraId="5F3E668F" w14:textId="7308D546" w:rsidR="004E32A1" w:rsidRPr="004E32A1" w:rsidRDefault="005E46E1" w:rsidP="005E46E1">
            <w:pPr>
              <w:jc w:val="left"/>
              <w:rPr>
                <w:sz w:val="20"/>
                <w:szCs w:val="20"/>
              </w:rPr>
            </w:pPr>
            <w:r>
              <w:rPr>
                <w:sz w:val="20"/>
                <w:szCs w:val="20"/>
              </w:rPr>
              <w:t>c</w:t>
            </w:r>
            <w:r w:rsidR="004E32A1" w:rsidRPr="004E32A1">
              <w:rPr>
                <w:sz w:val="20"/>
                <w:szCs w:val="20"/>
              </w:rPr>
              <w:t>elkem 2</w:t>
            </w:r>
          </w:p>
        </w:tc>
      </w:tr>
      <w:tr w:rsidR="004E32A1" w:rsidRPr="004E32A1" w14:paraId="28DCE427" w14:textId="77777777" w:rsidTr="00F95CE3">
        <w:tc>
          <w:tcPr>
            <w:tcW w:w="1531" w:type="dxa"/>
          </w:tcPr>
          <w:p w14:paraId="01552DF9" w14:textId="77777777" w:rsidR="004E32A1" w:rsidRPr="004E32A1" w:rsidRDefault="004E32A1" w:rsidP="004E32A1">
            <w:pPr>
              <w:jc w:val="left"/>
              <w:rPr>
                <w:b/>
                <w:sz w:val="20"/>
                <w:szCs w:val="20"/>
              </w:rPr>
            </w:pPr>
            <w:r w:rsidRPr="004E32A1">
              <w:rPr>
                <w:b/>
                <w:sz w:val="20"/>
                <w:szCs w:val="20"/>
              </w:rPr>
              <w:t>Německo</w:t>
            </w:r>
          </w:p>
        </w:tc>
        <w:tc>
          <w:tcPr>
            <w:tcW w:w="2367" w:type="dxa"/>
          </w:tcPr>
          <w:p w14:paraId="3BD14DF3" w14:textId="23FC7477" w:rsidR="004E32A1" w:rsidRPr="004E32A1" w:rsidRDefault="004E32A1" w:rsidP="004E32A1">
            <w:pPr>
              <w:jc w:val="left"/>
              <w:rPr>
                <w:sz w:val="20"/>
                <w:szCs w:val="20"/>
              </w:rPr>
            </w:pPr>
            <w:r w:rsidRPr="004E32A1">
              <w:rPr>
                <w:sz w:val="20"/>
                <w:szCs w:val="20"/>
              </w:rPr>
              <w:t>ANO</w:t>
            </w:r>
            <w:r w:rsidR="005E46E1">
              <w:rPr>
                <w:sz w:val="20"/>
                <w:szCs w:val="20"/>
              </w:rPr>
              <w:t>,</w:t>
            </w:r>
          </w:p>
          <w:p w14:paraId="67A8285C" w14:textId="30496BBD" w:rsidR="004E32A1" w:rsidRPr="004E32A1" w:rsidRDefault="005E46E1" w:rsidP="005E46E1">
            <w:pPr>
              <w:jc w:val="left"/>
              <w:rPr>
                <w:sz w:val="20"/>
                <w:szCs w:val="20"/>
              </w:rPr>
            </w:pPr>
            <w:r>
              <w:rPr>
                <w:sz w:val="20"/>
                <w:szCs w:val="20"/>
              </w:rPr>
              <w:t>o</w:t>
            </w:r>
            <w:r w:rsidR="004E32A1" w:rsidRPr="004E32A1">
              <w:rPr>
                <w:sz w:val="20"/>
                <w:szCs w:val="20"/>
              </w:rPr>
              <w:t>d roku 2010</w:t>
            </w:r>
          </w:p>
        </w:tc>
        <w:tc>
          <w:tcPr>
            <w:tcW w:w="2094" w:type="dxa"/>
          </w:tcPr>
          <w:p w14:paraId="392148DC" w14:textId="77777777" w:rsidR="004E32A1" w:rsidRPr="004E32A1" w:rsidRDefault="004E32A1" w:rsidP="004E32A1">
            <w:pPr>
              <w:jc w:val="left"/>
              <w:rPr>
                <w:sz w:val="20"/>
                <w:szCs w:val="20"/>
              </w:rPr>
            </w:pPr>
            <w:r w:rsidRPr="004E32A1">
              <w:rPr>
                <w:sz w:val="20"/>
                <w:szCs w:val="20"/>
              </w:rPr>
              <w:t>ANO</w:t>
            </w:r>
          </w:p>
        </w:tc>
        <w:tc>
          <w:tcPr>
            <w:tcW w:w="1543" w:type="dxa"/>
          </w:tcPr>
          <w:p w14:paraId="4CF4E7ED" w14:textId="77777777" w:rsidR="004E32A1" w:rsidRPr="004E32A1" w:rsidRDefault="004E32A1" w:rsidP="004E32A1">
            <w:pPr>
              <w:jc w:val="left"/>
              <w:rPr>
                <w:sz w:val="20"/>
                <w:szCs w:val="20"/>
              </w:rPr>
            </w:pPr>
            <w:r w:rsidRPr="004E32A1">
              <w:rPr>
                <w:sz w:val="20"/>
                <w:szCs w:val="20"/>
              </w:rPr>
              <w:t>ANO</w:t>
            </w:r>
          </w:p>
        </w:tc>
        <w:tc>
          <w:tcPr>
            <w:tcW w:w="1587" w:type="dxa"/>
          </w:tcPr>
          <w:p w14:paraId="6A725E4A" w14:textId="15598FB4" w:rsidR="004E32A1" w:rsidRPr="004E32A1" w:rsidRDefault="004E32A1" w:rsidP="004E32A1">
            <w:pPr>
              <w:jc w:val="left"/>
              <w:rPr>
                <w:sz w:val="20"/>
                <w:szCs w:val="20"/>
              </w:rPr>
            </w:pPr>
            <w:r w:rsidRPr="004E32A1">
              <w:rPr>
                <w:sz w:val="20"/>
                <w:szCs w:val="20"/>
              </w:rPr>
              <w:t>ANO</w:t>
            </w:r>
            <w:r w:rsidR="005E46E1">
              <w:rPr>
                <w:sz w:val="20"/>
                <w:szCs w:val="20"/>
              </w:rPr>
              <w:t>,</w:t>
            </w:r>
          </w:p>
          <w:p w14:paraId="40982C00" w14:textId="03A95412" w:rsidR="004E32A1" w:rsidRPr="004E32A1" w:rsidRDefault="005E46E1" w:rsidP="005E46E1">
            <w:pPr>
              <w:jc w:val="left"/>
              <w:rPr>
                <w:sz w:val="20"/>
                <w:szCs w:val="20"/>
              </w:rPr>
            </w:pPr>
            <w:r>
              <w:rPr>
                <w:sz w:val="20"/>
                <w:szCs w:val="20"/>
              </w:rPr>
              <w:t>c</w:t>
            </w:r>
            <w:r w:rsidR="004E32A1" w:rsidRPr="004E32A1">
              <w:rPr>
                <w:sz w:val="20"/>
                <w:szCs w:val="20"/>
              </w:rPr>
              <w:t>elkem 2</w:t>
            </w:r>
          </w:p>
        </w:tc>
      </w:tr>
      <w:tr w:rsidR="004E32A1" w:rsidRPr="004E32A1" w14:paraId="469A4181" w14:textId="77777777" w:rsidTr="00F95CE3">
        <w:tc>
          <w:tcPr>
            <w:tcW w:w="1531" w:type="dxa"/>
          </w:tcPr>
          <w:p w14:paraId="3D297214" w14:textId="77777777" w:rsidR="004E32A1" w:rsidRPr="004E32A1" w:rsidRDefault="004E32A1" w:rsidP="004E32A1">
            <w:pPr>
              <w:jc w:val="left"/>
              <w:rPr>
                <w:b/>
                <w:sz w:val="20"/>
                <w:szCs w:val="20"/>
              </w:rPr>
            </w:pPr>
            <w:r w:rsidRPr="004E32A1">
              <w:rPr>
                <w:b/>
                <w:sz w:val="20"/>
                <w:szCs w:val="20"/>
              </w:rPr>
              <w:t>Rakousko</w:t>
            </w:r>
          </w:p>
        </w:tc>
        <w:tc>
          <w:tcPr>
            <w:tcW w:w="2367" w:type="dxa"/>
          </w:tcPr>
          <w:p w14:paraId="7A0A2ECC" w14:textId="77777777" w:rsidR="004E32A1" w:rsidRPr="004E32A1" w:rsidRDefault="004E32A1" w:rsidP="004E32A1">
            <w:pPr>
              <w:jc w:val="left"/>
              <w:rPr>
                <w:sz w:val="20"/>
                <w:szCs w:val="20"/>
              </w:rPr>
            </w:pPr>
            <w:r w:rsidRPr="004E32A1">
              <w:rPr>
                <w:sz w:val="20"/>
                <w:szCs w:val="20"/>
              </w:rPr>
              <w:t>ANO</w:t>
            </w:r>
          </w:p>
        </w:tc>
        <w:tc>
          <w:tcPr>
            <w:tcW w:w="2094" w:type="dxa"/>
          </w:tcPr>
          <w:p w14:paraId="73B23786" w14:textId="77777777" w:rsidR="004E32A1" w:rsidRPr="004E32A1" w:rsidRDefault="004E32A1" w:rsidP="004E32A1">
            <w:pPr>
              <w:jc w:val="left"/>
              <w:rPr>
                <w:sz w:val="20"/>
                <w:szCs w:val="20"/>
              </w:rPr>
            </w:pPr>
            <w:r w:rsidRPr="004E32A1">
              <w:rPr>
                <w:sz w:val="20"/>
                <w:szCs w:val="20"/>
              </w:rPr>
              <w:t>ANO</w:t>
            </w:r>
          </w:p>
        </w:tc>
        <w:tc>
          <w:tcPr>
            <w:tcW w:w="1543" w:type="dxa"/>
          </w:tcPr>
          <w:p w14:paraId="170913C8" w14:textId="77777777" w:rsidR="004E32A1" w:rsidRPr="004E32A1" w:rsidRDefault="004E32A1" w:rsidP="004E32A1">
            <w:pPr>
              <w:jc w:val="left"/>
              <w:rPr>
                <w:sz w:val="20"/>
                <w:szCs w:val="20"/>
              </w:rPr>
            </w:pPr>
            <w:r w:rsidRPr="004E32A1">
              <w:rPr>
                <w:sz w:val="20"/>
                <w:szCs w:val="20"/>
              </w:rPr>
              <w:t>ANO</w:t>
            </w:r>
          </w:p>
        </w:tc>
        <w:tc>
          <w:tcPr>
            <w:tcW w:w="1587" w:type="dxa"/>
          </w:tcPr>
          <w:p w14:paraId="52489C1F" w14:textId="77777777" w:rsidR="004E32A1" w:rsidRPr="004E32A1" w:rsidRDefault="004E32A1" w:rsidP="004E32A1">
            <w:pPr>
              <w:keepNext/>
              <w:jc w:val="left"/>
              <w:rPr>
                <w:sz w:val="20"/>
                <w:szCs w:val="20"/>
              </w:rPr>
            </w:pPr>
            <w:r w:rsidRPr="004E32A1">
              <w:rPr>
                <w:sz w:val="20"/>
                <w:szCs w:val="20"/>
              </w:rPr>
              <w:t>NE</w:t>
            </w:r>
          </w:p>
        </w:tc>
      </w:tr>
    </w:tbl>
    <w:p w14:paraId="26CFCF73" w14:textId="4750522B" w:rsidR="004E32A1" w:rsidRPr="004E32A1" w:rsidRDefault="004E32A1" w:rsidP="004E32A1">
      <w:pPr>
        <w:spacing w:after="200" w:line="240" w:lineRule="auto"/>
        <w:rPr>
          <w:rFonts w:ascii="Calibri" w:eastAsia="Calibri" w:hAnsi="Calibri" w:cs="Times New Roman"/>
          <w:b/>
          <w:sz w:val="20"/>
          <w:szCs w:val="20"/>
        </w:rPr>
      </w:pPr>
      <w:r w:rsidRPr="004E32A1">
        <w:rPr>
          <w:rFonts w:ascii="Calibri" w:eastAsia="Calibri" w:hAnsi="Calibri" w:cs="Times New Roman"/>
          <w:b/>
          <w:sz w:val="20"/>
          <w:szCs w:val="20"/>
        </w:rPr>
        <w:t xml:space="preserve">Zdroj: </w:t>
      </w:r>
      <w:r w:rsidR="005E46E1">
        <w:rPr>
          <w:rFonts w:ascii="Calibri" w:eastAsia="Calibri" w:hAnsi="Calibri" w:cs="Times New Roman"/>
          <w:sz w:val="20"/>
          <w:szCs w:val="20"/>
        </w:rPr>
        <w:t>d</w:t>
      </w:r>
      <w:r w:rsidRPr="004E32A1">
        <w:rPr>
          <w:rFonts w:ascii="Calibri" w:eastAsia="Calibri" w:hAnsi="Calibri" w:cs="Times New Roman"/>
          <w:sz w:val="20"/>
          <w:szCs w:val="20"/>
        </w:rPr>
        <w:t xml:space="preserve">otazník NKÚ </w:t>
      </w:r>
      <w:r w:rsidR="002C497F">
        <w:rPr>
          <w:rFonts w:ascii="Calibri" w:eastAsia="Calibri" w:hAnsi="Calibri" w:cs="Times New Roman"/>
          <w:sz w:val="20"/>
          <w:szCs w:val="20"/>
        </w:rPr>
        <w:t>vyplněný</w:t>
      </w:r>
      <w:r w:rsidR="00BA0ADD">
        <w:rPr>
          <w:rFonts w:ascii="Calibri" w:eastAsia="Calibri" w:hAnsi="Calibri" w:cs="Times New Roman"/>
          <w:sz w:val="20"/>
          <w:szCs w:val="20"/>
        </w:rPr>
        <w:t xml:space="preserve"> nejvyššími</w:t>
      </w:r>
      <w:r w:rsidR="002C497F">
        <w:rPr>
          <w:rFonts w:ascii="Calibri" w:eastAsia="Calibri" w:hAnsi="Calibri" w:cs="Times New Roman"/>
          <w:sz w:val="20"/>
          <w:szCs w:val="20"/>
        </w:rPr>
        <w:t xml:space="preserve"> kontrolními </w:t>
      </w:r>
      <w:r w:rsidR="00BA0ADD">
        <w:rPr>
          <w:rFonts w:ascii="Calibri" w:eastAsia="Calibri" w:hAnsi="Calibri" w:cs="Times New Roman"/>
          <w:sz w:val="20"/>
          <w:szCs w:val="20"/>
        </w:rPr>
        <w:t>institucemi</w:t>
      </w:r>
      <w:r w:rsidR="002C497F">
        <w:rPr>
          <w:rFonts w:ascii="Calibri" w:eastAsia="Calibri" w:hAnsi="Calibri" w:cs="Times New Roman"/>
          <w:sz w:val="20"/>
          <w:szCs w:val="20"/>
        </w:rPr>
        <w:t xml:space="preserve"> příslušných zemí </w:t>
      </w:r>
      <w:r w:rsidRPr="004E32A1">
        <w:rPr>
          <w:rFonts w:ascii="Calibri" w:eastAsia="Calibri" w:hAnsi="Calibri" w:cs="Times New Roman"/>
          <w:sz w:val="20"/>
          <w:szCs w:val="20"/>
        </w:rPr>
        <w:t>v rámci projektu BIEP.</w:t>
      </w:r>
    </w:p>
    <w:p w14:paraId="0D564399" w14:textId="6F6D1C47"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V další otázce se NKÚ dotazoval, jaký je počet občanů využívajících elektronickou identifikaci pro přístup k online službám veřejné správy.</w:t>
      </w:r>
    </w:p>
    <w:p w14:paraId="416C0FBC" w14:textId="402DE0CC" w:rsidR="004E32A1" w:rsidRPr="00F95CE3" w:rsidRDefault="004E32A1" w:rsidP="00F95CE3">
      <w:pPr>
        <w:keepNext/>
        <w:spacing w:after="0" w:line="240" w:lineRule="auto"/>
        <w:rPr>
          <w:rFonts w:ascii="Calibri" w:eastAsia="Calibri" w:hAnsi="Calibri" w:cs="Times New Roman"/>
          <w:b/>
          <w:iCs/>
          <w:szCs w:val="24"/>
        </w:rPr>
      </w:pPr>
      <w:r w:rsidRPr="00F95CE3">
        <w:rPr>
          <w:rFonts w:ascii="Calibri" w:eastAsia="Calibri" w:hAnsi="Calibri" w:cs="Times New Roman"/>
          <w:b/>
          <w:iCs/>
          <w:szCs w:val="24"/>
        </w:rPr>
        <w:t xml:space="preserve">Tabulka č. </w:t>
      </w:r>
      <w:r w:rsidRPr="00F95CE3">
        <w:rPr>
          <w:rFonts w:ascii="Calibri" w:eastAsia="Calibri" w:hAnsi="Calibri" w:cs="Times New Roman"/>
          <w:b/>
          <w:iCs/>
          <w:szCs w:val="24"/>
        </w:rPr>
        <w:fldChar w:fldCharType="begin"/>
      </w:r>
      <w:r w:rsidRPr="00F95CE3">
        <w:rPr>
          <w:rFonts w:ascii="Calibri" w:eastAsia="Calibri" w:hAnsi="Calibri" w:cs="Times New Roman"/>
          <w:b/>
          <w:iCs/>
          <w:szCs w:val="24"/>
        </w:rPr>
        <w:instrText xml:space="preserve"> SEQ Tabulka_č._ \* ARABIC </w:instrText>
      </w:r>
      <w:r w:rsidRPr="00F95CE3">
        <w:rPr>
          <w:rFonts w:ascii="Calibri" w:eastAsia="Calibri" w:hAnsi="Calibri" w:cs="Times New Roman"/>
          <w:b/>
          <w:iCs/>
          <w:szCs w:val="24"/>
        </w:rPr>
        <w:fldChar w:fldCharType="separate"/>
      </w:r>
      <w:r w:rsidR="000A499A">
        <w:rPr>
          <w:rFonts w:ascii="Calibri" w:eastAsia="Calibri" w:hAnsi="Calibri" w:cs="Times New Roman"/>
          <w:b/>
          <w:iCs/>
          <w:noProof/>
          <w:szCs w:val="24"/>
        </w:rPr>
        <w:t>3</w:t>
      </w:r>
      <w:r w:rsidRPr="00F95CE3">
        <w:rPr>
          <w:rFonts w:ascii="Calibri" w:eastAsia="Calibri" w:hAnsi="Calibri" w:cs="Times New Roman"/>
          <w:b/>
          <w:iCs/>
          <w:szCs w:val="24"/>
        </w:rPr>
        <w:fldChar w:fldCharType="end"/>
      </w:r>
      <w:r w:rsidRPr="00F95CE3">
        <w:rPr>
          <w:rFonts w:ascii="Calibri" w:eastAsia="Calibri" w:hAnsi="Calibri" w:cs="Times New Roman"/>
          <w:b/>
          <w:iCs/>
          <w:szCs w:val="24"/>
        </w:rPr>
        <w:t>: Počet občanů využívajících elektronickou identifikaci</w:t>
      </w:r>
    </w:p>
    <w:tbl>
      <w:tblPr>
        <w:tblStyle w:val="Mkatabulky"/>
        <w:tblW w:w="0" w:type="auto"/>
        <w:tblLook w:val="04A0" w:firstRow="1" w:lastRow="0" w:firstColumn="1" w:lastColumn="0" w:noHBand="0" w:noVBand="1"/>
      </w:tblPr>
      <w:tblGrid>
        <w:gridCol w:w="2208"/>
        <w:gridCol w:w="6854"/>
      </w:tblGrid>
      <w:tr w:rsidR="004E32A1" w:rsidRPr="004E32A1" w14:paraId="31A4CBF8" w14:textId="77777777" w:rsidTr="004E32A1">
        <w:tc>
          <w:tcPr>
            <w:tcW w:w="2235" w:type="dxa"/>
            <w:shd w:val="clear" w:color="auto" w:fill="E5F1FF"/>
          </w:tcPr>
          <w:p w14:paraId="69A48040" w14:textId="77777777" w:rsidR="004E32A1" w:rsidRPr="004E32A1" w:rsidRDefault="004E32A1" w:rsidP="004E32A1">
            <w:pPr>
              <w:jc w:val="left"/>
              <w:rPr>
                <w:b/>
                <w:sz w:val="20"/>
                <w:szCs w:val="20"/>
              </w:rPr>
            </w:pPr>
            <w:r w:rsidRPr="004E32A1">
              <w:rPr>
                <w:b/>
                <w:sz w:val="20"/>
                <w:szCs w:val="20"/>
              </w:rPr>
              <w:t>Stát</w:t>
            </w:r>
          </w:p>
        </w:tc>
        <w:tc>
          <w:tcPr>
            <w:tcW w:w="6975" w:type="dxa"/>
            <w:shd w:val="clear" w:color="auto" w:fill="E5F1FF"/>
          </w:tcPr>
          <w:p w14:paraId="66D91919" w14:textId="77777777" w:rsidR="004E32A1" w:rsidRPr="004E32A1" w:rsidRDefault="004E32A1" w:rsidP="004E32A1">
            <w:pPr>
              <w:jc w:val="left"/>
              <w:rPr>
                <w:sz w:val="20"/>
                <w:szCs w:val="20"/>
              </w:rPr>
            </w:pPr>
          </w:p>
        </w:tc>
      </w:tr>
      <w:tr w:rsidR="004E32A1" w:rsidRPr="004E32A1" w14:paraId="0A52A286" w14:textId="77777777" w:rsidTr="004E32A1">
        <w:tc>
          <w:tcPr>
            <w:tcW w:w="2235" w:type="dxa"/>
          </w:tcPr>
          <w:p w14:paraId="1A31B48D" w14:textId="77777777" w:rsidR="004E32A1" w:rsidRPr="004E32A1" w:rsidRDefault="004E32A1" w:rsidP="004E32A1">
            <w:pPr>
              <w:jc w:val="left"/>
              <w:rPr>
                <w:b/>
                <w:sz w:val="20"/>
                <w:szCs w:val="20"/>
              </w:rPr>
            </w:pPr>
            <w:r w:rsidRPr="004E32A1">
              <w:rPr>
                <w:b/>
                <w:sz w:val="20"/>
                <w:szCs w:val="20"/>
              </w:rPr>
              <w:t>Švédsko</w:t>
            </w:r>
          </w:p>
        </w:tc>
        <w:tc>
          <w:tcPr>
            <w:tcW w:w="6975" w:type="dxa"/>
          </w:tcPr>
          <w:p w14:paraId="7FE83553" w14:textId="5F6428A5" w:rsidR="004E32A1" w:rsidRPr="004E32A1" w:rsidRDefault="004E32A1" w:rsidP="005E46E1">
            <w:pPr>
              <w:jc w:val="left"/>
              <w:rPr>
                <w:sz w:val="20"/>
                <w:szCs w:val="20"/>
              </w:rPr>
            </w:pPr>
            <w:r w:rsidRPr="004E32A1">
              <w:rPr>
                <w:sz w:val="20"/>
                <w:szCs w:val="20"/>
              </w:rPr>
              <w:t xml:space="preserve">V roce 2018 udával dominantní poskytovatel elektronické identifikace </w:t>
            </w:r>
            <w:proofErr w:type="spellStart"/>
            <w:r w:rsidRPr="004E32A1">
              <w:rPr>
                <w:sz w:val="20"/>
                <w:szCs w:val="20"/>
              </w:rPr>
              <w:t>BankID</w:t>
            </w:r>
            <w:proofErr w:type="spellEnd"/>
            <w:r w:rsidRPr="004E32A1">
              <w:rPr>
                <w:sz w:val="20"/>
                <w:szCs w:val="20"/>
              </w:rPr>
              <w:t xml:space="preserve"> počet 7,9 mil</w:t>
            </w:r>
            <w:r w:rsidR="005E46E1">
              <w:rPr>
                <w:sz w:val="20"/>
                <w:szCs w:val="20"/>
              </w:rPr>
              <w:t>ionu</w:t>
            </w:r>
            <w:r w:rsidRPr="004E32A1">
              <w:rPr>
                <w:sz w:val="20"/>
                <w:szCs w:val="20"/>
              </w:rPr>
              <w:t xml:space="preserve"> držitelů.</w:t>
            </w:r>
          </w:p>
        </w:tc>
      </w:tr>
      <w:tr w:rsidR="004E32A1" w:rsidRPr="004E32A1" w14:paraId="779B2C1E" w14:textId="77777777" w:rsidTr="004E32A1">
        <w:tc>
          <w:tcPr>
            <w:tcW w:w="2235" w:type="dxa"/>
          </w:tcPr>
          <w:p w14:paraId="1F319B6A" w14:textId="77777777" w:rsidR="004E32A1" w:rsidRPr="004E32A1" w:rsidRDefault="004E32A1" w:rsidP="004E32A1">
            <w:pPr>
              <w:jc w:val="left"/>
              <w:rPr>
                <w:b/>
                <w:sz w:val="20"/>
                <w:szCs w:val="20"/>
              </w:rPr>
            </w:pPr>
            <w:r w:rsidRPr="004E32A1">
              <w:rPr>
                <w:b/>
                <w:sz w:val="20"/>
                <w:szCs w:val="20"/>
              </w:rPr>
              <w:t>Estonsko</w:t>
            </w:r>
          </w:p>
        </w:tc>
        <w:tc>
          <w:tcPr>
            <w:tcW w:w="6975" w:type="dxa"/>
          </w:tcPr>
          <w:p w14:paraId="4D23F5D8" w14:textId="77777777" w:rsidR="004E32A1" w:rsidRPr="004E32A1" w:rsidRDefault="004E32A1" w:rsidP="004E32A1">
            <w:pPr>
              <w:jc w:val="left"/>
              <w:rPr>
                <w:sz w:val="20"/>
                <w:szCs w:val="20"/>
              </w:rPr>
            </w:pPr>
            <w:r w:rsidRPr="004E32A1">
              <w:rPr>
                <w:sz w:val="20"/>
                <w:szCs w:val="20"/>
              </w:rPr>
              <w:t xml:space="preserve">V roce 2019 mělo 98 % Estonců identifikační kartu ID </w:t>
            </w:r>
            <w:proofErr w:type="spellStart"/>
            <w:r w:rsidRPr="004E32A1">
              <w:rPr>
                <w:sz w:val="20"/>
                <w:szCs w:val="20"/>
              </w:rPr>
              <w:t>card</w:t>
            </w:r>
            <w:proofErr w:type="spellEnd"/>
            <w:r w:rsidRPr="004E32A1">
              <w:rPr>
                <w:sz w:val="20"/>
                <w:szCs w:val="20"/>
              </w:rPr>
              <w:t>.</w:t>
            </w:r>
          </w:p>
        </w:tc>
      </w:tr>
      <w:tr w:rsidR="004E32A1" w:rsidRPr="004E32A1" w14:paraId="1CA6AE33" w14:textId="77777777" w:rsidTr="004E32A1">
        <w:tc>
          <w:tcPr>
            <w:tcW w:w="2235" w:type="dxa"/>
          </w:tcPr>
          <w:p w14:paraId="16F87423" w14:textId="77777777" w:rsidR="004E32A1" w:rsidRPr="004E32A1" w:rsidRDefault="004E32A1" w:rsidP="004E32A1">
            <w:pPr>
              <w:jc w:val="left"/>
              <w:rPr>
                <w:b/>
                <w:sz w:val="20"/>
                <w:szCs w:val="20"/>
              </w:rPr>
            </w:pPr>
            <w:r w:rsidRPr="004E32A1">
              <w:rPr>
                <w:b/>
                <w:sz w:val="20"/>
                <w:szCs w:val="20"/>
              </w:rPr>
              <w:t>Belgie</w:t>
            </w:r>
          </w:p>
        </w:tc>
        <w:tc>
          <w:tcPr>
            <w:tcW w:w="6975" w:type="dxa"/>
          </w:tcPr>
          <w:p w14:paraId="548C124B" w14:textId="77777777" w:rsidR="004E32A1" w:rsidRPr="004E32A1" w:rsidRDefault="004E32A1" w:rsidP="004E32A1">
            <w:pPr>
              <w:jc w:val="left"/>
              <w:rPr>
                <w:sz w:val="20"/>
                <w:szCs w:val="20"/>
              </w:rPr>
            </w:pPr>
            <w:r w:rsidRPr="004E32A1">
              <w:rPr>
                <w:sz w:val="20"/>
                <w:szCs w:val="20"/>
              </w:rPr>
              <w:t xml:space="preserve">V roce 2019 mělo 99 % občanů </w:t>
            </w:r>
            <w:proofErr w:type="spellStart"/>
            <w:r w:rsidRPr="004E32A1">
              <w:rPr>
                <w:sz w:val="20"/>
                <w:szCs w:val="20"/>
              </w:rPr>
              <w:t>eID</w:t>
            </w:r>
            <w:proofErr w:type="spellEnd"/>
            <w:r w:rsidRPr="004E32A1">
              <w:rPr>
                <w:sz w:val="20"/>
                <w:szCs w:val="20"/>
              </w:rPr>
              <w:t xml:space="preserve"> kartu.</w:t>
            </w:r>
          </w:p>
        </w:tc>
      </w:tr>
      <w:tr w:rsidR="004E32A1" w:rsidRPr="004E32A1" w14:paraId="21946484" w14:textId="77777777" w:rsidTr="004E32A1">
        <w:tc>
          <w:tcPr>
            <w:tcW w:w="2235" w:type="dxa"/>
          </w:tcPr>
          <w:p w14:paraId="4175A408" w14:textId="77777777" w:rsidR="004E32A1" w:rsidRPr="004E32A1" w:rsidRDefault="004E32A1" w:rsidP="004E32A1">
            <w:pPr>
              <w:jc w:val="left"/>
              <w:rPr>
                <w:b/>
                <w:sz w:val="20"/>
                <w:szCs w:val="20"/>
              </w:rPr>
            </w:pPr>
            <w:r w:rsidRPr="004E32A1">
              <w:rPr>
                <w:b/>
                <w:sz w:val="20"/>
                <w:szCs w:val="20"/>
              </w:rPr>
              <w:t>Německo</w:t>
            </w:r>
          </w:p>
        </w:tc>
        <w:tc>
          <w:tcPr>
            <w:tcW w:w="6975" w:type="dxa"/>
          </w:tcPr>
          <w:p w14:paraId="5922A803" w14:textId="77777777" w:rsidR="004E32A1" w:rsidRPr="004E32A1" w:rsidRDefault="004E32A1" w:rsidP="004E32A1">
            <w:pPr>
              <w:jc w:val="left"/>
              <w:rPr>
                <w:sz w:val="20"/>
                <w:szCs w:val="20"/>
              </w:rPr>
            </w:pPr>
            <w:r w:rsidRPr="004E32A1">
              <w:rPr>
                <w:sz w:val="20"/>
                <w:szCs w:val="20"/>
              </w:rPr>
              <w:t xml:space="preserve">Do konce roku 2018 mělo 48 % vydaných </w:t>
            </w:r>
            <w:proofErr w:type="spellStart"/>
            <w:r w:rsidRPr="004E32A1">
              <w:rPr>
                <w:sz w:val="20"/>
                <w:szCs w:val="20"/>
              </w:rPr>
              <w:t>eID</w:t>
            </w:r>
            <w:proofErr w:type="spellEnd"/>
            <w:r w:rsidRPr="004E32A1">
              <w:rPr>
                <w:sz w:val="20"/>
                <w:szCs w:val="20"/>
              </w:rPr>
              <w:t xml:space="preserve"> karet aktivovanou funkci </w:t>
            </w:r>
            <w:proofErr w:type="spellStart"/>
            <w:r w:rsidRPr="004E32A1">
              <w:rPr>
                <w:sz w:val="20"/>
                <w:szCs w:val="20"/>
              </w:rPr>
              <w:t>eID</w:t>
            </w:r>
            <w:proofErr w:type="spellEnd"/>
            <w:r w:rsidRPr="004E32A1">
              <w:rPr>
                <w:sz w:val="20"/>
                <w:szCs w:val="20"/>
              </w:rPr>
              <w:t>.</w:t>
            </w:r>
          </w:p>
        </w:tc>
      </w:tr>
      <w:tr w:rsidR="004E32A1" w:rsidRPr="004E32A1" w14:paraId="3697FE6D" w14:textId="77777777" w:rsidTr="004E32A1">
        <w:tc>
          <w:tcPr>
            <w:tcW w:w="2235" w:type="dxa"/>
          </w:tcPr>
          <w:p w14:paraId="54E0E53B" w14:textId="77777777" w:rsidR="004E32A1" w:rsidRPr="004E32A1" w:rsidRDefault="004E32A1" w:rsidP="004E32A1">
            <w:pPr>
              <w:jc w:val="left"/>
              <w:rPr>
                <w:b/>
                <w:sz w:val="20"/>
                <w:szCs w:val="20"/>
              </w:rPr>
            </w:pPr>
            <w:r w:rsidRPr="004E32A1">
              <w:rPr>
                <w:b/>
                <w:sz w:val="20"/>
                <w:szCs w:val="20"/>
              </w:rPr>
              <w:t>Francie</w:t>
            </w:r>
          </w:p>
        </w:tc>
        <w:tc>
          <w:tcPr>
            <w:tcW w:w="6975" w:type="dxa"/>
          </w:tcPr>
          <w:p w14:paraId="52C6FB00" w14:textId="2078393B" w:rsidR="004E32A1" w:rsidRPr="004E32A1" w:rsidRDefault="004E32A1" w:rsidP="005E46E1">
            <w:pPr>
              <w:jc w:val="left"/>
              <w:rPr>
                <w:sz w:val="20"/>
                <w:szCs w:val="20"/>
              </w:rPr>
            </w:pPr>
            <w:r w:rsidRPr="004E32A1">
              <w:rPr>
                <w:sz w:val="20"/>
                <w:szCs w:val="20"/>
              </w:rPr>
              <w:t>Celkem 12,1 mil</w:t>
            </w:r>
            <w:r w:rsidR="005E46E1">
              <w:rPr>
                <w:sz w:val="20"/>
                <w:szCs w:val="20"/>
              </w:rPr>
              <w:t>ionu</w:t>
            </w:r>
            <w:r w:rsidRPr="004E32A1">
              <w:rPr>
                <w:sz w:val="20"/>
                <w:szCs w:val="20"/>
              </w:rPr>
              <w:t xml:space="preserve"> Francouzů mělo účet pro přístup k elektronickým službám France </w:t>
            </w:r>
            <w:proofErr w:type="spellStart"/>
            <w:r w:rsidRPr="00F95CE3">
              <w:rPr>
                <w:sz w:val="20"/>
                <w:szCs w:val="20"/>
              </w:rPr>
              <w:t>Connect</w:t>
            </w:r>
            <w:proofErr w:type="spellEnd"/>
            <w:r w:rsidRPr="004E32A1">
              <w:rPr>
                <w:sz w:val="20"/>
                <w:szCs w:val="20"/>
              </w:rPr>
              <w:t>. To pře</w:t>
            </w:r>
            <w:r w:rsidR="003909AE">
              <w:rPr>
                <w:sz w:val="20"/>
                <w:szCs w:val="20"/>
              </w:rPr>
              <w:t>d</w:t>
            </w:r>
            <w:r w:rsidRPr="004E32A1">
              <w:rPr>
                <w:sz w:val="20"/>
                <w:szCs w:val="20"/>
              </w:rPr>
              <w:t>stavuje asi 18 % obyvatel Francie.</w:t>
            </w:r>
          </w:p>
        </w:tc>
      </w:tr>
      <w:tr w:rsidR="004E32A1" w:rsidRPr="004E32A1" w14:paraId="40D2D39E" w14:textId="77777777" w:rsidTr="004E32A1">
        <w:tc>
          <w:tcPr>
            <w:tcW w:w="2235" w:type="dxa"/>
          </w:tcPr>
          <w:p w14:paraId="000863C2" w14:textId="77777777" w:rsidR="004E32A1" w:rsidRPr="004E32A1" w:rsidRDefault="004E32A1" w:rsidP="004E32A1">
            <w:pPr>
              <w:jc w:val="left"/>
              <w:rPr>
                <w:b/>
                <w:sz w:val="20"/>
                <w:szCs w:val="20"/>
              </w:rPr>
            </w:pPr>
            <w:r w:rsidRPr="004E32A1">
              <w:rPr>
                <w:b/>
                <w:sz w:val="20"/>
                <w:szCs w:val="20"/>
              </w:rPr>
              <w:t>Litva</w:t>
            </w:r>
          </w:p>
        </w:tc>
        <w:tc>
          <w:tcPr>
            <w:tcW w:w="6975" w:type="dxa"/>
          </w:tcPr>
          <w:p w14:paraId="5CE7B9E1" w14:textId="77777777" w:rsidR="004E32A1" w:rsidRPr="004E32A1" w:rsidRDefault="004E32A1" w:rsidP="004E32A1">
            <w:pPr>
              <w:jc w:val="left"/>
              <w:rPr>
                <w:sz w:val="20"/>
                <w:szCs w:val="20"/>
              </w:rPr>
            </w:pPr>
            <w:r w:rsidRPr="004E32A1">
              <w:rPr>
                <w:sz w:val="20"/>
                <w:szCs w:val="20"/>
              </w:rPr>
              <w:t>V roce 2019 využilo 40,2 % obyvatel elektronické veřejné a správní služby.</w:t>
            </w:r>
          </w:p>
        </w:tc>
      </w:tr>
      <w:tr w:rsidR="004E32A1" w:rsidRPr="004E32A1" w14:paraId="30644082" w14:textId="77777777" w:rsidTr="004E32A1">
        <w:tc>
          <w:tcPr>
            <w:tcW w:w="2235" w:type="dxa"/>
          </w:tcPr>
          <w:p w14:paraId="730D2492" w14:textId="3F384681" w:rsidR="004E32A1" w:rsidRPr="004E32A1" w:rsidRDefault="004E32A1" w:rsidP="000D3E68">
            <w:pPr>
              <w:jc w:val="left"/>
              <w:rPr>
                <w:b/>
                <w:sz w:val="20"/>
                <w:szCs w:val="20"/>
              </w:rPr>
            </w:pPr>
            <w:r w:rsidRPr="004E32A1">
              <w:rPr>
                <w:b/>
                <w:sz w:val="20"/>
                <w:szCs w:val="20"/>
              </w:rPr>
              <w:t>Česk</w:t>
            </w:r>
            <w:r w:rsidR="000D3E68">
              <w:rPr>
                <w:b/>
                <w:sz w:val="20"/>
                <w:szCs w:val="20"/>
              </w:rPr>
              <w:t>á republika</w:t>
            </w:r>
          </w:p>
        </w:tc>
        <w:tc>
          <w:tcPr>
            <w:tcW w:w="6975" w:type="dxa"/>
          </w:tcPr>
          <w:p w14:paraId="5A40DC84" w14:textId="3F7B1512" w:rsidR="004E32A1" w:rsidRPr="004E32A1" w:rsidRDefault="004E32A1" w:rsidP="004E32A1">
            <w:pPr>
              <w:keepNext/>
              <w:jc w:val="left"/>
              <w:rPr>
                <w:sz w:val="20"/>
                <w:szCs w:val="20"/>
              </w:rPr>
            </w:pPr>
            <w:r w:rsidRPr="004E32A1">
              <w:rPr>
                <w:sz w:val="20"/>
                <w:szCs w:val="20"/>
              </w:rPr>
              <w:t xml:space="preserve">Do konce roku 2019 </w:t>
            </w:r>
            <w:r w:rsidR="001A334E">
              <w:rPr>
                <w:sz w:val="20"/>
                <w:szCs w:val="20"/>
              </w:rPr>
              <w:t>využilo</w:t>
            </w:r>
            <w:r w:rsidRPr="004E32A1">
              <w:rPr>
                <w:sz w:val="20"/>
                <w:szCs w:val="20"/>
              </w:rPr>
              <w:t xml:space="preserve"> </w:t>
            </w:r>
            <w:r w:rsidRPr="00F95CE3">
              <w:rPr>
                <w:i/>
                <w:sz w:val="20"/>
                <w:szCs w:val="20"/>
              </w:rPr>
              <w:t>Portál občana</w:t>
            </w:r>
            <w:r w:rsidRPr="004E32A1">
              <w:rPr>
                <w:sz w:val="20"/>
                <w:szCs w:val="20"/>
              </w:rPr>
              <w:t xml:space="preserve"> 0,5 % občanů starších 18 let a </w:t>
            </w:r>
            <w:r w:rsidR="001A334E">
              <w:rPr>
                <w:sz w:val="20"/>
                <w:szCs w:val="20"/>
              </w:rPr>
              <w:t>d</w:t>
            </w:r>
            <w:r w:rsidRPr="004E32A1">
              <w:rPr>
                <w:sz w:val="20"/>
                <w:szCs w:val="20"/>
              </w:rPr>
              <w:t>atovou schránku si zřídil</w:t>
            </w:r>
            <w:r w:rsidR="001A334E">
              <w:rPr>
                <w:sz w:val="20"/>
                <w:szCs w:val="20"/>
              </w:rPr>
              <w:t>a</w:t>
            </w:r>
            <w:r w:rsidRPr="004E32A1">
              <w:rPr>
                <w:sz w:val="20"/>
                <w:szCs w:val="20"/>
              </w:rPr>
              <w:t xml:space="preserve"> 2 % plnoletých </w:t>
            </w:r>
            <w:proofErr w:type="gramStart"/>
            <w:r w:rsidRPr="004E32A1">
              <w:rPr>
                <w:sz w:val="20"/>
                <w:szCs w:val="20"/>
              </w:rPr>
              <w:t>občanů.*</w:t>
            </w:r>
            <w:proofErr w:type="gramEnd"/>
          </w:p>
          <w:p w14:paraId="055887F4" w14:textId="77777777" w:rsidR="004E32A1" w:rsidRPr="004E32A1" w:rsidRDefault="004E32A1" w:rsidP="004E32A1">
            <w:pPr>
              <w:keepNext/>
              <w:jc w:val="left"/>
              <w:rPr>
                <w:sz w:val="20"/>
                <w:szCs w:val="20"/>
              </w:rPr>
            </w:pPr>
            <w:r w:rsidRPr="004E32A1">
              <w:rPr>
                <w:sz w:val="20"/>
                <w:szCs w:val="20"/>
              </w:rPr>
              <w:t xml:space="preserve">Do konce roku 2019 si nechalo identifikační certifikát aktivovat 13 % držitelů </w:t>
            </w:r>
            <w:proofErr w:type="spellStart"/>
            <w:r w:rsidRPr="004E32A1">
              <w:rPr>
                <w:sz w:val="20"/>
                <w:szCs w:val="20"/>
              </w:rPr>
              <w:t>eOP</w:t>
            </w:r>
            <w:proofErr w:type="spellEnd"/>
            <w:r w:rsidRPr="004E32A1">
              <w:rPr>
                <w:sz w:val="20"/>
                <w:szCs w:val="20"/>
              </w:rPr>
              <w:t>.</w:t>
            </w:r>
          </w:p>
        </w:tc>
      </w:tr>
    </w:tbl>
    <w:p w14:paraId="110B7CCB" w14:textId="1E29A55F" w:rsidR="004E32A1" w:rsidRPr="004E32A1" w:rsidRDefault="004E32A1" w:rsidP="004E0A40">
      <w:pPr>
        <w:spacing w:after="0" w:line="240" w:lineRule="auto"/>
        <w:rPr>
          <w:rFonts w:ascii="Calibri" w:eastAsia="Calibri" w:hAnsi="Calibri" w:cs="Times New Roman"/>
          <w:sz w:val="20"/>
          <w:szCs w:val="20"/>
        </w:rPr>
      </w:pPr>
      <w:r w:rsidRPr="004E32A1">
        <w:rPr>
          <w:rFonts w:ascii="Calibri" w:eastAsia="Calibri" w:hAnsi="Calibri" w:cs="Times New Roman"/>
          <w:b/>
          <w:sz w:val="20"/>
          <w:szCs w:val="20"/>
        </w:rPr>
        <w:t xml:space="preserve">Zdroj: </w:t>
      </w:r>
      <w:r w:rsidR="001A334E">
        <w:rPr>
          <w:rFonts w:ascii="Calibri" w:eastAsia="Calibri" w:hAnsi="Calibri" w:cs="Times New Roman"/>
          <w:sz w:val="20"/>
          <w:szCs w:val="20"/>
        </w:rPr>
        <w:t>d</w:t>
      </w:r>
      <w:r w:rsidRPr="004E32A1">
        <w:rPr>
          <w:rFonts w:ascii="Calibri" w:eastAsia="Calibri" w:hAnsi="Calibri" w:cs="Times New Roman"/>
          <w:sz w:val="20"/>
          <w:szCs w:val="20"/>
        </w:rPr>
        <w:t xml:space="preserve">otazník NKÚ </w:t>
      </w:r>
      <w:r w:rsidR="002C497F">
        <w:rPr>
          <w:rFonts w:ascii="Calibri" w:eastAsia="Calibri" w:hAnsi="Calibri" w:cs="Times New Roman"/>
          <w:sz w:val="20"/>
          <w:szCs w:val="20"/>
        </w:rPr>
        <w:t>vyplněný</w:t>
      </w:r>
      <w:r w:rsidR="00BA0ADD">
        <w:rPr>
          <w:rFonts w:ascii="Calibri" w:eastAsia="Calibri" w:hAnsi="Calibri" w:cs="Times New Roman"/>
          <w:sz w:val="20"/>
          <w:szCs w:val="20"/>
        </w:rPr>
        <w:t xml:space="preserve"> nejvyššími</w:t>
      </w:r>
      <w:r w:rsidR="002C497F">
        <w:rPr>
          <w:rFonts w:ascii="Calibri" w:eastAsia="Calibri" w:hAnsi="Calibri" w:cs="Times New Roman"/>
          <w:sz w:val="20"/>
          <w:szCs w:val="20"/>
        </w:rPr>
        <w:t xml:space="preserve"> kontrolními </w:t>
      </w:r>
      <w:r w:rsidR="00BA0ADD">
        <w:rPr>
          <w:rFonts w:ascii="Calibri" w:eastAsia="Calibri" w:hAnsi="Calibri" w:cs="Times New Roman"/>
          <w:sz w:val="20"/>
          <w:szCs w:val="20"/>
        </w:rPr>
        <w:t>institucemi</w:t>
      </w:r>
      <w:r w:rsidR="002C497F">
        <w:rPr>
          <w:rFonts w:ascii="Calibri" w:eastAsia="Calibri" w:hAnsi="Calibri" w:cs="Times New Roman"/>
          <w:sz w:val="20"/>
          <w:szCs w:val="20"/>
        </w:rPr>
        <w:t xml:space="preserve"> příslušných zemí </w:t>
      </w:r>
      <w:r w:rsidRPr="004E32A1">
        <w:rPr>
          <w:rFonts w:ascii="Calibri" w:eastAsia="Calibri" w:hAnsi="Calibri" w:cs="Times New Roman"/>
          <w:sz w:val="20"/>
          <w:szCs w:val="20"/>
        </w:rPr>
        <w:t>v rámci projektu BIEP.</w:t>
      </w:r>
    </w:p>
    <w:p w14:paraId="00BF28C1" w14:textId="3EB9F3DF" w:rsidR="004E32A1" w:rsidRPr="004E32A1" w:rsidRDefault="004E32A1" w:rsidP="008A185C">
      <w:pPr>
        <w:spacing w:after="200" w:line="240" w:lineRule="auto"/>
        <w:ind w:left="284" w:hanging="284"/>
        <w:rPr>
          <w:rFonts w:ascii="Calibri" w:eastAsia="Calibri" w:hAnsi="Calibri" w:cs="Times New Roman"/>
          <w:sz w:val="22"/>
        </w:rPr>
      </w:pPr>
      <w:r w:rsidRPr="004E32A1">
        <w:rPr>
          <w:rFonts w:ascii="Calibri" w:eastAsia="Calibri" w:hAnsi="Calibri" w:cs="Times New Roman"/>
          <w:sz w:val="22"/>
        </w:rPr>
        <w:t>*</w:t>
      </w:r>
      <w:r w:rsidR="008A185C">
        <w:rPr>
          <w:rFonts w:ascii="Calibri" w:eastAsia="Calibri" w:hAnsi="Calibri" w:cs="Times New Roman"/>
          <w:sz w:val="22"/>
        </w:rPr>
        <w:tab/>
      </w:r>
      <w:r w:rsidRPr="004E32A1">
        <w:rPr>
          <w:rFonts w:ascii="Calibri" w:eastAsia="Calibri" w:hAnsi="Calibri" w:cs="Times New Roman"/>
          <w:sz w:val="20"/>
          <w:szCs w:val="20"/>
        </w:rPr>
        <w:t>Datové schránky jsou základním nástrojem pro elektronickou korespondenci s orgány veřejné správy</w:t>
      </w:r>
      <w:r w:rsidR="001A334E">
        <w:rPr>
          <w:rFonts w:ascii="Calibri" w:eastAsia="Calibri" w:hAnsi="Calibri" w:cs="Times New Roman"/>
          <w:sz w:val="20"/>
          <w:szCs w:val="20"/>
        </w:rPr>
        <w:t>,</w:t>
      </w:r>
      <w:r w:rsidRPr="004E32A1">
        <w:rPr>
          <w:rFonts w:ascii="Calibri" w:eastAsia="Calibri" w:hAnsi="Calibri" w:cs="Times New Roman"/>
          <w:sz w:val="20"/>
          <w:szCs w:val="20"/>
        </w:rPr>
        <w:t xml:space="preserve"> fungují již od roku 2009.</w:t>
      </w:r>
    </w:p>
    <w:p w14:paraId="408B1FA6" w14:textId="4C91518A"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Zapojené SAI na tuto otázku uvedly různorodé údaje. Za Švédsko, Estonsko, Belgii a Německo byla prezentována data vztahující se k elektronické identifikaci, </w:t>
      </w:r>
      <w:r w:rsidR="001A334E">
        <w:rPr>
          <w:rFonts w:ascii="Calibri" w:eastAsia="Calibri" w:hAnsi="Calibri" w:cs="Times New Roman"/>
          <w:szCs w:val="24"/>
        </w:rPr>
        <w:t>z</w:t>
      </w:r>
      <w:r w:rsidRPr="004E32A1">
        <w:rPr>
          <w:rFonts w:ascii="Calibri" w:eastAsia="Calibri" w:hAnsi="Calibri" w:cs="Times New Roman"/>
          <w:szCs w:val="24"/>
        </w:rPr>
        <w:t>a Francii a Litvu počet, resp. podíl občanů, kteří využili digitálních služeb. I přes tyto metodické odlišnosti je zřejmé, že míra využívání elektronické identifikace a digitálních služeb veřejné správy je v ČR ve srovnání s výše uvedenými státy nízká.</w:t>
      </w:r>
    </w:p>
    <w:p w14:paraId="3449EB3D" w14:textId="7DF20826"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Jednou z klíčových oblastí kontroly bylo poskytování digitálních/online služeb veřejné správy. Centrálním portálem a rozcestníkem pro přístup k digitálním službám v ČR se stal </w:t>
      </w:r>
      <w:r w:rsidRPr="00F95CE3">
        <w:rPr>
          <w:rFonts w:ascii="Calibri" w:eastAsia="Calibri" w:hAnsi="Calibri" w:cs="Times New Roman"/>
          <w:i/>
          <w:szCs w:val="24"/>
        </w:rPr>
        <w:t>Portál občana</w:t>
      </w:r>
      <w:r w:rsidRPr="004E32A1">
        <w:rPr>
          <w:rFonts w:ascii="Calibri" w:eastAsia="Calibri" w:hAnsi="Calibri" w:cs="Times New Roman"/>
          <w:szCs w:val="24"/>
        </w:rPr>
        <w:t xml:space="preserve">. MV při jeho </w:t>
      </w:r>
      <w:r w:rsidR="001A334E">
        <w:rPr>
          <w:rFonts w:ascii="Calibri" w:eastAsia="Calibri" w:hAnsi="Calibri" w:cs="Times New Roman"/>
          <w:szCs w:val="24"/>
        </w:rPr>
        <w:t>tvorbě</w:t>
      </w:r>
      <w:r w:rsidRPr="004E32A1">
        <w:rPr>
          <w:rFonts w:ascii="Calibri" w:eastAsia="Calibri" w:hAnsi="Calibri" w:cs="Times New Roman"/>
          <w:szCs w:val="24"/>
        </w:rPr>
        <w:t xml:space="preserve"> vycházelo z praxe a zkušeností Velké Británie a tamního portálu GOV.UK. Také ve většině srovnávaných států existuje centrální portál veřejné správy, jak ukazuje tabulka č. 4.</w:t>
      </w:r>
    </w:p>
    <w:p w14:paraId="12D2507D" w14:textId="77777777" w:rsidR="004E32A1" w:rsidRPr="004E32A1" w:rsidRDefault="004E32A1" w:rsidP="004E32A1">
      <w:pPr>
        <w:jc w:val="left"/>
        <w:rPr>
          <w:rFonts w:ascii="Calibri" w:eastAsia="Calibri" w:hAnsi="Calibri" w:cs="Times New Roman"/>
          <w:b/>
          <w:iCs/>
          <w:sz w:val="22"/>
        </w:rPr>
      </w:pPr>
      <w:r w:rsidRPr="004E32A1">
        <w:rPr>
          <w:rFonts w:ascii="Calibri" w:eastAsia="Calibri" w:hAnsi="Calibri" w:cs="Times New Roman"/>
          <w:b/>
          <w:iCs/>
          <w:sz w:val="22"/>
        </w:rPr>
        <w:br w:type="page"/>
      </w:r>
    </w:p>
    <w:p w14:paraId="29669045" w14:textId="0D89A870" w:rsidR="004E32A1" w:rsidRPr="00F95CE3" w:rsidRDefault="004E32A1" w:rsidP="00F95CE3">
      <w:pPr>
        <w:keepNext/>
        <w:spacing w:after="0" w:line="240" w:lineRule="auto"/>
        <w:rPr>
          <w:rFonts w:ascii="Calibri" w:eastAsia="Calibri" w:hAnsi="Calibri" w:cs="Times New Roman"/>
          <w:b/>
          <w:iCs/>
          <w:szCs w:val="24"/>
        </w:rPr>
      </w:pPr>
      <w:r w:rsidRPr="00F95CE3">
        <w:rPr>
          <w:rFonts w:ascii="Calibri" w:eastAsia="Calibri" w:hAnsi="Calibri" w:cs="Times New Roman"/>
          <w:b/>
          <w:iCs/>
          <w:szCs w:val="24"/>
        </w:rPr>
        <w:lastRenderedPageBreak/>
        <w:t xml:space="preserve">Tabulka č. </w:t>
      </w:r>
      <w:r w:rsidRPr="00F95CE3">
        <w:rPr>
          <w:rFonts w:ascii="Calibri" w:eastAsia="Calibri" w:hAnsi="Calibri" w:cs="Times New Roman"/>
          <w:b/>
          <w:iCs/>
          <w:szCs w:val="24"/>
        </w:rPr>
        <w:fldChar w:fldCharType="begin"/>
      </w:r>
      <w:r w:rsidRPr="00F95CE3">
        <w:rPr>
          <w:rFonts w:ascii="Calibri" w:eastAsia="Calibri" w:hAnsi="Calibri" w:cs="Times New Roman"/>
          <w:b/>
          <w:iCs/>
          <w:szCs w:val="24"/>
        </w:rPr>
        <w:instrText xml:space="preserve"> SEQ Tabulka_č._ \* ARABIC </w:instrText>
      </w:r>
      <w:r w:rsidRPr="00F95CE3">
        <w:rPr>
          <w:rFonts w:ascii="Calibri" w:eastAsia="Calibri" w:hAnsi="Calibri" w:cs="Times New Roman"/>
          <w:b/>
          <w:iCs/>
          <w:szCs w:val="24"/>
        </w:rPr>
        <w:fldChar w:fldCharType="separate"/>
      </w:r>
      <w:r w:rsidR="000A499A">
        <w:rPr>
          <w:rFonts w:ascii="Calibri" w:eastAsia="Calibri" w:hAnsi="Calibri" w:cs="Times New Roman"/>
          <w:b/>
          <w:iCs/>
          <w:noProof/>
          <w:szCs w:val="24"/>
        </w:rPr>
        <w:t>4</w:t>
      </w:r>
      <w:r w:rsidRPr="00F95CE3">
        <w:rPr>
          <w:rFonts w:ascii="Calibri" w:eastAsia="Calibri" w:hAnsi="Calibri" w:cs="Times New Roman"/>
          <w:b/>
          <w:iCs/>
          <w:szCs w:val="24"/>
        </w:rPr>
        <w:fldChar w:fldCharType="end"/>
      </w:r>
      <w:r w:rsidRPr="00F95CE3">
        <w:rPr>
          <w:rFonts w:ascii="Calibri" w:eastAsia="Calibri" w:hAnsi="Calibri" w:cs="Times New Roman"/>
          <w:b/>
          <w:iCs/>
          <w:szCs w:val="24"/>
        </w:rPr>
        <w:t>: Centrální portály veřejné správy</w:t>
      </w:r>
    </w:p>
    <w:tbl>
      <w:tblPr>
        <w:tblStyle w:val="Mkatabulky"/>
        <w:tblW w:w="0" w:type="auto"/>
        <w:tblLook w:val="04A0" w:firstRow="1" w:lastRow="0" w:firstColumn="1" w:lastColumn="0" w:noHBand="0" w:noVBand="1"/>
      </w:tblPr>
      <w:tblGrid>
        <w:gridCol w:w="2200"/>
        <w:gridCol w:w="6862"/>
      </w:tblGrid>
      <w:tr w:rsidR="004E32A1" w:rsidRPr="004E32A1" w14:paraId="6E90BD13" w14:textId="77777777" w:rsidTr="004E32A1">
        <w:tc>
          <w:tcPr>
            <w:tcW w:w="2235" w:type="dxa"/>
          </w:tcPr>
          <w:p w14:paraId="5EB97E22" w14:textId="77777777" w:rsidR="004E32A1" w:rsidRPr="004E32A1" w:rsidRDefault="004E32A1" w:rsidP="004E32A1">
            <w:pPr>
              <w:jc w:val="left"/>
              <w:rPr>
                <w:b/>
                <w:sz w:val="20"/>
                <w:szCs w:val="20"/>
              </w:rPr>
            </w:pPr>
            <w:r w:rsidRPr="004E32A1">
              <w:rPr>
                <w:b/>
                <w:sz w:val="20"/>
                <w:szCs w:val="20"/>
              </w:rPr>
              <w:t>Švédsko</w:t>
            </w:r>
          </w:p>
        </w:tc>
        <w:tc>
          <w:tcPr>
            <w:tcW w:w="6975" w:type="dxa"/>
          </w:tcPr>
          <w:p w14:paraId="0D28BABE" w14:textId="77777777" w:rsidR="004E32A1" w:rsidRPr="004E32A1" w:rsidRDefault="004E32A1" w:rsidP="004E32A1">
            <w:pPr>
              <w:jc w:val="left"/>
              <w:rPr>
                <w:sz w:val="20"/>
                <w:szCs w:val="20"/>
              </w:rPr>
            </w:pPr>
            <w:r w:rsidRPr="004E32A1">
              <w:rPr>
                <w:sz w:val="20"/>
                <w:szCs w:val="20"/>
              </w:rPr>
              <w:t>NE</w:t>
            </w:r>
          </w:p>
        </w:tc>
      </w:tr>
      <w:tr w:rsidR="004E32A1" w:rsidRPr="004E32A1" w14:paraId="58ADE01E" w14:textId="77777777" w:rsidTr="004E32A1">
        <w:tc>
          <w:tcPr>
            <w:tcW w:w="2235" w:type="dxa"/>
          </w:tcPr>
          <w:p w14:paraId="41B268A1" w14:textId="77777777" w:rsidR="004E32A1" w:rsidRPr="004E32A1" w:rsidRDefault="004E32A1" w:rsidP="004E32A1">
            <w:pPr>
              <w:jc w:val="left"/>
              <w:rPr>
                <w:b/>
                <w:sz w:val="20"/>
                <w:szCs w:val="20"/>
              </w:rPr>
            </w:pPr>
            <w:r w:rsidRPr="004E32A1">
              <w:rPr>
                <w:b/>
                <w:sz w:val="20"/>
                <w:szCs w:val="20"/>
              </w:rPr>
              <w:t>Estonsko</w:t>
            </w:r>
          </w:p>
        </w:tc>
        <w:tc>
          <w:tcPr>
            <w:tcW w:w="6975" w:type="dxa"/>
          </w:tcPr>
          <w:p w14:paraId="7464C386" w14:textId="0D906A2B" w:rsidR="004E32A1" w:rsidRPr="00F07172" w:rsidRDefault="004E32A1" w:rsidP="004E32A1">
            <w:pPr>
              <w:jc w:val="left"/>
              <w:rPr>
                <w:sz w:val="20"/>
                <w:szCs w:val="20"/>
              </w:rPr>
            </w:pPr>
            <w:r w:rsidRPr="00F07172">
              <w:rPr>
                <w:sz w:val="20"/>
                <w:szCs w:val="20"/>
              </w:rPr>
              <w:t>ANO</w:t>
            </w:r>
            <w:r w:rsidR="001A334E" w:rsidRPr="00F07172">
              <w:rPr>
                <w:sz w:val="20"/>
                <w:szCs w:val="20"/>
              </w:rPr>
              <w:t>,</w:t>
            </w:r>
            <w:r w:rsidRPr="00F07172">
              <w:rPr>
                <w:sz w:val="20"/>
                <w:szCs w:val="20"/>
              </w:rPr>
              <w:t xml:space="preserve"> </w:t>
            </w:r>
            <w:hyperlink r:id="rId19" w:history="1">
              <w:r w:rsidR="001A334E" w:rsidRPr="00F07172">
                <w:rPr>
                  <w:rStyle w:val="Hypertextovodkaz"/>
                  <w:color w:val="auto"/>
                  <w:sz w:val="20"/>
                  <w:szCs w:val="20"/>
                  <w:u w:val="none"/>
                </w:rPr>
                <w:t>www.eesti.ee</w:t>
              </w:r>
            </w:hyperlink>
            <w:r w:rsidR="001A334E" w:rsidRPr="00F07172">
              <w:rPr>
                <w:sz w:val="20"/>
                <w:szCs w:val="20"/>
              </w:rPr>
              <w:t xml:space="preserve"> </w:t>
            </w:r>
          </w:p>
        </w:tc>
      </w:tr>
      <w:tr w:rsidR="004E32A1" w:rsidRPr="004E32A1" w14:paraId="4BE10AF6" w14:textId="77777777" w:rsidTr="004E32A1">
        <w:tc>
          <w:tcPr>
            <w:tcW w:w="2235" w:type="dxa"/>
          </w:tcPr>
          <w:p w14:paraId="217BC33B" w14:textId="77777777" w:rsidR="004E32A1" w:rsidRPr="004E32A1" w:rsidRDefault="004E32A1" w:rsidP="004E32A1">
            <w:pPr>
              <w:jc w:val="left"/>
              <w:rPr>
                <w:b/>
                <w:sz w:val="20"/>
                <w:szCs w:val="20"/>
              </w:rPr>
            </w:pPr>
            <w:r w:rsidRPr="004E32A1">
              <w:rPr>
                <w:b/>
                <w:sz w:val="20"/>
                <w:szCs w:val="20"/>
              </w:rPr>
              <w:t>Litva</w:t>
            </w:r>
          </w:p>
        </w:tc>
        <w:tc>
          <w:tcPr>
            <w:tcW w:w="6975" w:type="dxa"/>
          </w:tcPr>
          <w:p w14:paraId="23FD6A3A" w14:textId="133D2AD7" w:rsidR="004E32A1" w:rsidRPr="00F07172" w:rsidRDefault="004E32A1" w:rsidP="004E32A1">
            <w:pPr>
              <w:jc w:val="left"/>
              <w:rPr>
                <w:sz w:val="20"/>
                <w:szCs w:val="20"/>
              </w:rPr>
            </w:pPr>
            <w:r w:rsidRPr="00F07172">
              <w:rPr>
                <w:sz w:val="20"/>
                <w:szCs w:val="20"/>
              </w:rPr>
              <w:t>ANO</w:t>
            </w:r>
            <w:r w:rsidR="001A334E" w:rsidRPr="00F07172">
              <w:rPr>
                <w:sz w:val="20"/>
                <w:szCs w:val="20"/>
              </w:rPr>
              <w:t>,</w:t>
            </w:r>
            <w:r w:rsidRPr="00F07172">
              <w:rPr>
                <w:sz w:val="20"/>
                <w:szCs w:val="20"/>
              </w:rPr>
              <w:t xml:space="preserve"> </w:t>
            </w:r>
            <w:hyperlink r:id="rId20" w:history="1">
              <w:r w:rsidRPr="00F07172">
                <w:rPr>
                  <w:sz w:val="20"/>
                  <w:szCs w:val="20"/>
                </w:rPr>
                <w:t>www.epaslaugos.lt</w:t>
              </w:r>
            </w:hyperlink>
          </w:p>
        </w:tc>
      </w:tr>
      <w:tr w:rsidR="004E32A1" w:rsidRPr="004E32A1" w14:paraId="5DF35EE1" w14:textId="77777777" w:rsidTr="004E32A1">
        <w:tc>
          <w:tcPr>
            <w:tcW w:w="2235" w:type="dxa"/>
          </w:tcPr>
          <w:p w14:paraId="136E5BAF" w14:textId="77777777" w:rsidR="004E32A1" w:rsidRPr="004E32A1" w:rsidRDefault="004E32A1" w:rsidP="004E32A1">
            <w:pPr>
              <w:jc w:val="left"/>
              <w:rPr>
                <w:b/>
                <w:sz w:val="20"/>
                <w:szCs w:val="20"/>
              </w:rPr>
            </w:pPr>
            <w:r w:rsidRPr="004E32A1">
              <w:rPr>
                <w:b/>
                <w:sz w:val="20"/>
                <w:szCs w:val="20"/>
              </w:rPr>
              <w:t>Belgie</w:t>
            </w:r>
          </w:p>
        </w:tc>
        <w:tc>
          <w:tcPr>
            <w:tcW w:w="6975" w:type="dxa"/>
          </w:tcPr>
          <w:p w14:paraId="0BBFF3A9" w14:textId="128719BB" w:rsidR="004E32A1" w:rsidRPr="00F07172" w:rsidRDefault="004E32A1" w:rsidP="004E32A1">
            <w:pPr>
              <w:jc w:val="left"/>
              <w:rPr>
                <w:sz w:val="20"/>
                <w:szCs w:val="20"/>
              </w:rPr>
            </w:pPr>
            <w:r w:rsidRPr="00F07172">
              <w:rPr>
                <w:sz w:val="20"/>
                <w:szCs w:val="20"/>
              </w:rPr>
              <w:t>ANO</w:t>
            </w:r>
            <w:r w:rsidR="001A334E" w:rsidRPr="00F07172">
              <w:rPr>
                <w:sz w:val="20"/>
                <w:szCs w:val="20"/>
              </w:rPr>
              <w:t>,</w:t>
            </w:r>
            <w:r w:rsidRPr="00F07172">
              <w:rPr>
                <w:sz w:val="20"/>
                <w:szCs w:val="20"/>
              </w:rPr>
              <w:t xml:space="preserve"> </w:t>
            </w:r>
            <w:hyperlink r:id="rId21" w:history="1">
              <w:r w:rsidRPr="00F07172">
                <w:rPr>
                  <w:sz w:val="20"/>
                  <w:szCs w:val="20"/>
                </w:rPr>
                <w:t>www.belgium.be/nl/online_dienst</w:t>
              </w:r>
            </w:hyperlink>
          </w:p>
        </w:tc>
      </w:tr>
      <w:tr w:rsidR="004E32A1" w:rsidRPr="004E32A1" w14:paraId="503C16FC" w14:textId="77777777" w:rsidTr="004E32A1">
        <w:tc>
          <w:tcPr>
            <w:tcW w:w="2235" w:type="dxa"/>
          </w:tcPr>
          <w:p w14:paraId="5C8BB853" w14:textId="77777777" w:rsidR="004E32A1" w:rsidRPr="004E32A1" w:rsidRDefault="004E32A1" w:rsidP="004E32A1">
            <w:pPr>
              <w:jc w:val="left"/>
              <w:rPr>
                <w:b/>
                <w:sz w:val="20"/>
                <w:szCs w:val="20"/>
              </w:rPr>
            </w:pPr>
            <w:r w:rsidRPr="004E32A1">
              <w:rPr>
                <w:b/>
                <w:sz w:val="20"/>
                <w:szCs w:val="20"/>
              </w:rPr>
              <w:t>Francie</w:t>
            </w:r>
          </w:p>
        </w:tc>
        <w:tc>
          <w:tcPr>
            <w:tcW w:w="6975" w:type="dxa"/>
          </w:tcPr>
          <w:p w14:paraId="772B3924" w14:textId="33A43495" w:rsidR="004E32A1" w:rsidRPr="00F07172" w:rsidRDefault="004E32A1" w:rsidP="001A334E">
            <w:pPr>
              <w:jc w:val="left"/>
              <w:rPr>
                <w:sz w:val="20"/>
                <w:szCs w:val="20"/>
              </w:rPr>
            </w:pPr>
            <w:r w:rsidRPr="00F07172">
              <w:rPr>
                <w:sz w:val="20"/>
                <w:szCs w:val="20"/>
              </w:rPr>
              <w:t>ANO</w:t>
            </w:r>
            <w:r w:rsidR="001A334E" w:rsidRPr="00F07172">
              <w:rPr>
                <w:sz w:val="20"/>
                <w:szCs w:val="20"/>
              </w:rPr>
              <w:t>,</w:t>
            </w:r>
            <w:r w:rsidRPr="00F07172">
              <w:rPr>
                <w:sz w:val="20"/>
                <w:szCs w:val="20"/>
              </w:rPr>
              <w:t xml:space="preserve"> </w:t>
            </w:r>
            <w:hyperlink r:id="rId22" w:history="1">
              <w:r w:rsidRPr="00F07172">
                <w:rPr>
                  <w:rStyle w:val="Hypertextovodkaz"/>
                  <w:color w:val="auto"/>
                  <w:sz w:val="20"/>
                  <w:szCs w:val="20"/>
                  <w:u w:val="none"/>
                </w:rPr>
                <w:t>franceconnect.gouv.fr</w:t>
              </w:r>
            </w:hyperlink>
          </w:p>
        </w:tc>
      </w:tr>
      <w:tr w:rsidR="004E32A1" w:rsidRPr="004E32A1" w14:paraId="42629FFA" w14:textId="77777777" w:rsidTr="004E32A1">
        <w:tc>
          <w:tcPr>
            <w:tcW w:w="2235" w:type="dxa"/>
          </w:tcPr>
          <w:p w14:paraId="2C4A9398" w14:textId="77777777" w:rsidR="004E32A1" w:rsidRPr="004E32A1" w:rsidRDefault="004E32A1" w:rsidP="004E32A1">
            <w:pPr>
              <w:jc w:val="left"/>
              <w:rPr>
                <w:b/>
                <w:sz w:val="20"/>
                <w:szCs w:val="20"/>
              </w:rPr>
            </w:pPr>
            <w:r w:rsidRPr="004E32A1">
              <w:rPr>
                <w:b/>
                <w:sz w:val="20"/>
                <w:szCs w:val="20"/>
              </w:rPr>
              <w:t>Německo</w:t>
            </w:r>
          </w:p>
        </w:tc>
        <w:tc>
          <w:tcPr>
            <w:tcW w:w="6975" w:type="dxa"/>
          </w:tcPr>
          <w:p w14:paraId="440D0416" w14:textId="77777777" w:rsidR="004E32A1" w:rsidRPr="00F07172" w:rsidRDefault="004E32A1" w:rsidP="004E32A1">
            <w:pPr>
              <w:jc w:val="left"/>
              <w:rPr>
                <w:sz w:val="20"/>
                <w:szCs w:val="20"/>
              </w:rPr>
            </w:pPr>
            <w:r w:rsidRPr="00F07172">
              <w:rPr>
                <w:sz w:val="20"/>
                <w:szCs w:val="20"/>
              </w:rPr>
              <w:t>Centrální portál je ve vývoji spolu s několika dalšími portály státních institucí.</w:t>
            </w:r>
          </w:p>
        </w:tc>
      </w:tr>
      <w:tr w:rsidR="004E32A1" w:rsidRPr="004E32A1" w14:paraId="7F495562" w14:textId="77777777" w:rsidTr="004E32A1">
        <w:tc>
          <w:tcPr>
            <w:tcW w:w="2235" w:type="dxa"/>
          </w:tcPr>
          <w:p w14:paraId="5CA00772" w14:textId="77777777" w:rsidR="004E32A1" w:rsidRPr="004E32A1" w:rsidRDefault="004E32A1" w:rsidP="004E32A1">
            <w:pPr>
              <w:jc w:val="left"/>
              <w:rPr>
                <w:b/>
                <w:sz w:val="20"/>
                <w:szCs w:val="20"/>
              </w:rPr>
            </w:pPr>
            <w:r w:rsidRPr="004E32A1">
              <w:rPr>
                <w:b/>
                <w:sz w:val="20"/>
                <w:szCs w:val="20"/>
              </w:rPr>
              <w:t>Rakousko</w:t>
            </w:r>
          </w:p>
        </w:tc>
        <w:tc>
          <w:tcPr>
            <w:tcW w:w="6975" w:type="dxa"/>
          </w:tcPr>
          <w:p w14:paraId="024A8127" w14:textId="3D8201C9" w:rsidR="004E32A1" w:rsidRPr="00F07172" w:rsidRDefault="004E32A1" w:rsidP="004E32A1">
            <w:pPr>
              <w:keepNext/>
              <w:jc w:val="left"/>
              <w:rPr>
                <w:sz w:val="20"/>
                <w:szCs w:val="20"/>
              </w:rPr>
            </w:pPr>
            <w:r w:rsidRPr="00F07172">
              <w:rPr>
                <w:sz w:val="20"/>
                <w:szCs w:val="20"/>
              </w:rPr>
              <w:t>ANO</w:t>
            </w:r>
            <w:r w:rsidR="001A334E" w:rsidRPr="00F07172">
              <w:rPr>
                <w:sz w:val="20"/>
                <w:szCs w:val="20"/>
              </w:rPr>
              <w:t>,</w:t>
            </w:r>
            <w:r w:rsidRPr="00F07172">
              <w:rPr>
                <w:sz w:val="20"/>
                <w:szCs w:val="20"/>
              </w:rPr>
              <w:t xml:space="preserve"> </w:t>
            </w:r>
            <w:hyperlink r:id="rId23" w:history="1">
              <w:r w:rsidRPr="00F07172">
                <w:rPr>
                  <w:rStyle w:val="Hypertextovodkaz"/>
                  <w:color w:val="auto"/>
                  <w:sz w:val="20"/>
                  <w:szCs w:val="20"/>
                  <w:u w:val="none"/>
                </w:rPr>
                <w:t>www.oesterreich.gv.at</w:t>
              </w:r>
            </w:hyperlink>
          </w:p>
        </w:tc>
      </w:tr>
    </w:tbl>
    <w:p w14:paraId="3B5D94DA" w14:textId="5CD76835" w:rsidR="004E32A1" w:rsidRPr="004E32A1" w:rsidRDefault="004E32A1" w:rsidP="004E32A1">
      <w:pPr>
        <w:spacing w:after="200" w:line="240" w:lineRule="auto"/>
        <w:rPr>
          <w:rFonts w:ascii="Calibri" w:eastAsia="Calibri" w:hAnsi="Calibri" w:cs="Times New Roman"/>
          <w:b/>
          <w:sz w:val="20"/>
          <w:szCs w:val="20"/>
        </w:rPr>
      </w:pPr>
      <w:r w:rsidRPr="004E32A1">
        <w:rPr>
          <w:rFonts w:ascii="Calibri" w:eastAsia="Calibri" w:hAnsi="Calibri" w:cs="Times New Roman"/>
          <w:b/>
          <w:sz w:val="20"/>
          <w:szCs w:val="20"/>
        </w:rPr>
        <w:t xml:space="preserve">Zdroj: </w:t>
      </w:r>
      <w:r w:rsidR="00F07172">
        <w:rPr>
          <w:rFonts w:ascii="Calibri" w:eastAsia="Calibri" w:hAnsi="Calibri" w:cs="Times New Roman"/>
          <w:sz w:val="20"/>
          <w:szCs w:val="20"/>
        </w:rPr>
        <w:t>d</w:t>
      </w:r>
      <w:r w:rsidRPr="004E32A1">
        <w:rPr>
          <w:rFonts w:ascii="Calibri" w:eastAsia="Calibri" w:hAnsi="Calibri" w:cs="Times New Roman"/>
          <w:sz w:val="20"/>
          <w:szCs w:val="20"/>
        </w:rPr>
        <w:t xml:space="preserve">otazník NKÚ </w:t>
      </w:r>
      <w:r w:rsidR="002C497F">
        <w:rPr>
          <w:rFonts w:ascii="Calibri" w:eastAsia="Calibri" w:hAnsi="Calibri" w:cs="Times New Roman"/>
          <w:sz w:val="20"/>
          <w:szCs w:val="20"/>
        </w:rPr>
        <w:t xml:space="preserve">vyplněný </w:t>
      </w:r>
      <w:r w:rsidR="00BA0ADD">
        <w:rPr>
          <w:rFonts w:ascii="Calibri" w:eastAsia="Calibri" w:hAnsi="Calibri" w:cs="Times New Roman"/>
          <w:sz w:val="20"/>
          <w:szCs w:val="20"/>
        </w:rPr>
        <w:t xml:space="preserve">nejvyššími </w:t>
      </w:r>
      <w:r w:rsidR="002C497F">
        <w:rPr>
          <w:rFonts w:ascii="Calibri" w:eastAsia="Calibri" w:hAnsi="Calibri" w:cs="Times New Roman"/>
          <w:sz w:val="20"/>
          <w:szCs w:val="20"/>
        </w:rPr>
        <w:t xml:space="preserve">kontrolními </w:t>
      </w:r>
      <w:r w:rsidR="00BA0ADD">
        <w:rPr>
          <w:rFonts w:ascii="Calibri" w:eastAsia="Calibri" w:hAnsi="Calibri" w:cs="Times New Roman"/>
          <w:sz w:val="20"/>
          <w:szCs w:val="20"/>
        </w:rPr>
        <w:t>institucemi</w:t>
      </w:r>
      <w:r w:rsidR="002C497F">
        <w:rPr>
          <w:rFonts w:ascii="Calibri" w:eastAsia="Calibri" w:hAnsi="Calibri" w:cs="Times New Roman"/>
          <w:sz w:val="20"/>
          <w:szCs w:val="20"/>
        </w:rPr>
        <w:t xml:space="preserve"> příslušných zemí</w:t>
      </w:r>
      <w:r w:rsidR="00F07172">
        <w:rPr>
          <w:rFonts w:ascii="Calibri" w:eastAsia="Calibri" w:hAnsi="Calibri" w:cs="Times New Roman"/>
          <w:sz w:val="20"/>
          <w:szCs w:val="20"/>
        </w:rPr>
        <w:t xml:space="preserve"> </w:t>
      </w:r>
      <w:r w:rsidRPr="004E32A1">
        <w:rPr>
          <w:rFonts w:ascii="Calibri" w:eastAsia="Calibri" w:hAnsi="Calibri" w:cs="Times New Roman"/>
          <w:sz w:val="20"/>
          <w:szCs w:val="20"/>
        </w:rPr>
        <w:t>v rámci projektu BIEP.</w:t>
      </w:r>
    </w:p>
    <w:p w14:paraId="10245088" w14:textId="576214AC"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Přístup k digitálním službám veřejné správy tak byl v ČR budován obdobně jako ve většině srovnávaných zemí. </w:t>
      </w:r>
    </w:p>
    <w:p w14:paraId="5C322302" w14:textId="6C4043CE" w:rsidR="004E32A1" w:rsidRPr="004E32A1" w:rsidRDefault="004E32A1" w:rsidP="004E32A1">
      <w:pPr>
        <w:spacing w:after="200" w:line="276" w:lineRule="auto"/>
        <w:rPr>
          <w:rFonts w:ascii="Calibri" w:eastAsia="Calibri" w:hAnsi="Calibri" w:cs="Times New Roman"/>
          <w:b/>
          <w:szCs w:val="24"/>
        </w:rPr>
      </w:pPr>
      <w:r w:rsidRPr="004E32A1">
        <w:rPr>
          <w:rFonts w:ascii="Calibri" w:eastAsia="Calibri" w:hAnsi="Calibri" w:cs="Times New Roman"/>
          <w:szCs w:val="24"/>
        </w:rPr>
        <w:t xml:space="preserve">Při </w:t>
      </w:r>
      <w:r w:rsidR="00F909DB">
        <w:rPr>
          <w:rFonts w:ascii="Calibri" w:eastAsia="Calibri" w:hAnsi="Calibri" w:cs="Times New Roman"/>
          <w:szCs w:val="24"/>
        </w:rPr>
        <w:t>tvorbě</w:t>
      </w:r>
      <w:r w:rsidR="00F909DB" w:rsidRPr="004E32A1">
        <w:rPr>
          <w:rFonts w:ascii="Calibri" w:eastAsia="Calibri" w:hAnsi="Calibri" w:cs="Times New Roman"/>
          <w:szCs w:val="24"/>
        </w:rPr>
        <w:t xml:space="preserve"> </w:t>
      </w:r>
      <w:r w:rsidRPr="00F95CE3">
        <w:rPr>
          <w:rFonts w:ascii="Calibri" w:eastAsia="Calibri" w:hAnsi="Calibri" w:cs="Times New Roman"/>
          <w:i/>
          <w:szCs w:val="24"/>
        </w:rPr>
        <w:t>Portálu občana</w:t>
      </w:r>
      <w:r w:rsidRPr="004E32A1">
        <w:rPr>
          <w:rFonts w:ascii="Calibri" w:eastAsia="Calibri" w:hAnsi="Calibri" w:cs="Times New Roman"/>
          <w:szCs w:val="24"/>
        </w:rPr>
        <w:t xml:space="preserve"> vycházelo MV ze zkušeností britského portálu GOV.UK a </w:t>
      </w:r>
      <w:r w:rsidRPr="004E32A1">
        <w:rPr>
          <w:rFonts w:ascii="Calibri" w:eastAsia="Calibri" w:hAnsi="Calibri" w:cs="Times New Roman"/>
          <w:b/>
          <w:szCs w:val="24"/>
        </w:rPr>
        <w:t xml:space="preserve">bylo seznámeno s tím, že budování britského portálu vycházelo ze zkoumání potřeb jeho budoucích uživatelů. Přesto MV neprovedlo žádnou analýzu potřeb uživatelů s cílem nabídnout prostřednictvím </w:t>
      </w:r>
      <w:r w:rsidRPr="00F95CE3">
        <w:rPr>
          <w:rFonts w:ascii="Calibri" w:eastAsia="Calibri" w:hAnsi="Calibri" w:cs="Times New Roman"/>
          <w:b/>
          <w:i/>
          <w:szCs w:val="24"/>
        </w:rPr>
        <w:t>Portálu občana</w:t>
      </w:r>
      <w:r w:rsidRPr="004E32A1">
        <w:rPr>
          <w:rFonts w:ascii="Calibri" w:eastAsia="Calibri" w:hAnsi="Calibri" w:cs="Times New Roman"/>
          <w:b/>
          <w:szCs w:val="24"/>
        </w:rPr>
        <w:t xml:space="preserve"> především ty služby, o které mají občané nejvíce zájem. Poptávka občanů po elektronických službách veřejné správy je přitom stěžejním předpokladem pro rozvoj </w:t>
      </w:r>
      <w:proofErr w:type="spellStart"/>
      <w:r w:rsidRPr="004E32A1">
        <w:rPr>
          <w:rFonts w:ascii="Calibri" w:eastAsia="Calibri" w:hAnsi="Calibri" w:cs="Times New Roman"/>
          <w:b/>
          <w:szCs w:val="24"/>
        </w:rPr>
        <w:t>eGovernmentu</w:t>
      </w:r>
      <w:proofErr w:type="spellEnd"/>
      <w:r w:rsidRPr="004E32A1">
        <w:rPr>
          <w:rFonts w:ascii="Calibri" w:eastAsia="Calibri" w:hAnsi="Calibri" w:cs="Times New Roman"/>
          <w:b/>
          <w:szCs w:val="24"/>
        </w:rPr>
        <w:t>, který je primárně stavěn jako služba pro občana.</w:t>
      </w:r>
    </w:p>
    <w:p w14:paraId="0A75E703" w14:textId="117F6A5F"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Nezbytnou a zákonnou podmínkou pro plné </w:t>
      </w:r>
      <w:r w:rsidR="00F909DB" w:rsidRPr="004E32A1">
        <w:rPr>
          <w:rFonts w:ascii="Calibri" w:eastAsia="Calibri" w:hAnsi="Calibri" w:cs="Times New Roman"/>
          <w:szCs w:val="24"/>
        </w:rPr>
        <w:t xml:space="preserve">využívání </w:t>
      </w:r>
      <w:r w:rsidRPr="004E32A1">
        <w:rPr>
          <w:rFonts w:ascii="Calibri" w:eastAsia="Calibri" w:hAnsi="Calibri" w:cs="Times New Roman"/>
          <w:szCs w:val="24"/>
        </w:rPr>
        <w:t>elektronick</w:t>
      </w:r>
      <w:r w:rsidR="00F909DB">
        <w:rPr>
          <w:rFonts w:ascii="Calibri" w:eastAsia="Calibri" w:hAnsi="Calibri" w:cs="Times New Roman"/>
          <w:szCs w:val="24"/>
        </w:rPr>
        <w:t>ých</w:t>
      </w:r>
      <w:r w:rsidRPr="004E32A1">
        <w:rPr>
          <w:rFonts w:ascii="Calibri" w:eastAsia="Calibri" w:hAnsi="Calibri" w:cs="Times New Roman"/>
          <w:szCs w:val="24"/>
        </w:rPr>
        <w:t xml:space="preserve"> služeb veřejné správy je zaručené ověření totožnosti. Podmínky a způsob elektronické identifikace upravuje na celoevropské úrovni nařízení </w:t>
      </w:r>
      <w:proofErr w:type="spellStart"/>
      <w:r w:rsidRPr="004E32A1">
        <w:rPr>
          <w:rFonts w:ascii="Calibri" w:eastAsia="Calibri" w:hAnsi="Calibri" w:cs="Times New Roman"/>
          <w:szCs w:val="24"/>
        </w:rPr>
        <w:t>eIDAS</w:t>
      </w:r>
      <w:proofErr w:type="spellEnd"/>
      <w:r w:rsidRPr="004E32A1">
        <w:rPr>
          <w:rFonts w:ascii="Calibri" w:eastAsia="Calibri" w:hAnsi="Calibri" w:cs="Times New Roman"/>
          <w:szCs w:val="24"/>
        </w:rPr>
        <w:t xml:space="preserve">. V něm je stanoveno, že členské státy, které zavedou systém elektronické identifikace a v souladu s nařízením jej oznámí Evropské komisi v rámci tzv. notifikace, </w:t>
      </w:r>
      <w:r w:rsidR="00F909DB" w:rsidRPr="004E32A1">
        <w:rPr>
          <w:rFonts w:ascii="Calibri" w:eastAsia="Calibri" w:hAnsi="Calibri" w:cs="Times New Roman"/>
          <w:szCs w:val="24"/>
        </w:rPr>
        <w:t xml:space="preserve">musí </w:t>
      </w:r>
      <w:r w:rsidRPr="004E32A1">
        <w:rPr>
          <w:rFonts w:ascii="Calibri" w:eastAsia="Calibri" w:hAnsi="Calibri" w:cs="Times New Roman"/>
          <w:szCs w:val="24"/>
        </w:rPr>
        <w:t xml:space="preserve">následně do 12 měsíců uznávat v rámci přeshraniční identifikace i prostředky elektronické identifikace jiných členských států, které již prošly notifikací. V praxi to znamená, že k digitálním službám veřejné správy jednoho státu bude možné přistupovat pomocí elektronické identifikace jiného státu. Český systém elektronické identifikace založený na </w:t>
      </w:r>
      <w:proofErr w:type="spellStart"/>
      <w:r w:rsidRPr="004E32A1">
        <w:rPr>
          <w:rFonts w:ascii="Calibri" w:eastAsia="Calibri" w:hAnsi="Calibri" w:cs="Times New Roman"/>
          <w:szCs w:val="24"/>
        </w:rPr>
        <w:t>eOP</w:t>
      </w:r>
      <w:proofErr w:type="spellEnd"/>
      <w:r w:rsidRPr="004E32A1">
        <w:rPr>
          <w:rFonts w:ascii="Calibri" w:eastAsia="Calibri" w:hAnsi="Calibri" w:cs="Times New Roman"/>
          <w:szCs w:val="24"/>
        </w:rPr>
        <w:t xml:space="preserve"> byl oficiálně notifikován a vyhlášen ve </w:t>
      </w:r>
      <w:r w:rsidR="00F909DB" w:rsidRPr="00F95CE3">
        <w:rPr>
          <w:rFonts w:ascii="Calibri" w:eastAsia="Calibri" w:hAnsi="Calibri" w:cs="Times New Roman"/>
          <w:i/>
          <w:szCs w:val="24"/>
        </w:rPr>
        <w:t>V</w:t>
      </w:r>
      <w:r w:rsidRPr="00F95CE3">
        <w:rPr>
          <w:rFonts w:ascii="Calibri" w:eastAsia="Calibri" w:hAnsi="Calibri" w:cs="Times New Roman"/>
          <w:i/>
          <w:szCs w:val="24"/>
        </w:rPr>
        <w:t xml:space="preserve">ěstníku Evropské </w:t>
      </w:r>
      <w:r w:rsidR="00F909DB" w:rsidRPr="00F95CE3">
        <w:rPr>
          <w:rFonts w:ascii="Calibri" w:eastAsia="Calibri" w:hAnsi="Calibri" w:cs="Times New Roman"/>
          <w:i/>
          <w:szCs w:val="24"/>
        </w:rPr>
        <w:t>unie</w:t>
      </w:r>
      <w:r w:rsidR="00D85F84">
        <w:rPr>
          <w:rFonts w:ascii="Calibri" w:eastAsia="Calibri" w:hAnsi="Calibri" w:cs="Times New Roman"/>
          <w:szCs w:val="24"/>
        </w:rPr>
        <w:t xml:space="preserve"> dne 13. </w:t>
      </w:r>
      <w:r w:rsidRPr="004E32A1">
        <w:rPr>
          <w:rFonts w:ascii="Calibri" w:eastAsia="Calibri" w:hAnsi="Calibri" w:cs="Times New Roman"/>
          <w:szCs w:val="24"/>
        </w:rPr>
        <w:t xml:space="preserve">9. 2019, tedy přibližně 14 měsíců po spuštění systémů elektronické identifikace v ČR. Od 13. 9. 2020 tak bude možné přistupovat například k estonským digitálním službám pomocí českého </w:t>
      </w:r>
      <w:proofErr w:type="spellStart"/>
      <w:r w:rsidRPr="004E32A1">
        <w:rPr>
          <w:rFonts w:ascii="Calibri" w:eastAsia="Calibri" w:hAnsi="Calibri" w:cs="Times New Roman"/>
          <w:szCs w:val="24"/>
        </w:rPr>
        <w:t>eOP</w:t>
      </w:r>
      <w:proofErr w:type="spellEnd"/>
      <w:r w:rsidRPr="004E32A1">
        <w:rPr>
          <w:rFonts w:ascii="Calibri" w:eastAsia="Calibri" w:hAnsi="Calibri" w:cs="Times New Roman"/>
          <w:szCs w:val="24"/>
        </w:rPr>
        <w:t>.</w:t>
      </w:r>
    </w:p>
    <w:p w14:paraId="682C050D" w14:textId="7C974F51"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Ke dni 13. 9. 2019</w:t>
      </w:r>
      <w:r w:rsidRPr="004E32A1">
        <w:rPr>
          <w:rFonts w:ascii="Calibri" w:eastAsia="Calibri" w:hAnsi="Calibri" w:cs="Times New Roman"/>
          <w:szCs w:val="24"/>
          <w:vertAlign w:val="superscript"/>
        </w:rPr>
        <w:footnoteReference w:id="28"/>
      </w:r>
      <w:r w:rsidRPr="004E32A1">
        <w:rPr>
          <w:rFonts w:ascii="Calibri" w:eastAsia="Calibri" w:hAnsi="Calibri" w:cs="Times New Roman"/>
          <w:szCs w:val="24"/>
        </w:rPr>
        <w:t xml:space="preserve"> byly notifikovány systémy elektr</w:t>
      </w:r>
      <w:r w:rsidR="004E0A40">
        <w:rPr>
          <w:rFonts w:ascii="Calibri" w:eastAsia="Calibri" w:hAnsi="Calibri" w:cs="Times New Roman"/>
          <w:szCs w:val="24"/>
        </w:rPr>
        <w:t xml:space="preserve">onické identifikace z celkem 13 </w:t>
      </w:r>
      <w:r w:rsidRPr="004E32A1">
        <w:rPr>
          <w:rFonts w:ascii="Calibri" w:eastAsia="Calibri" w:hAnsi="Calibri" w:cs="Times New Roman"/>
          <w:szCs w:val="24"/>
        </w:rPr>
        <w:t>členských států: České republiky, Německa, Itálie, Chorvatska, Estonska, Španělska, Lucemburska, Belgie, Portugalska, Velké Británie, Nizozemí, Slovenska a Lotyšska.</w:t>
      </w:r>
    </w:p>
    <w:p w14:paraId="7BCAAEF1" w14:textId="686BECC4"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Následující časová osa zobrazuje zavádění elektronické identifikace ve vybraných evropských státech. Za zmínku stojí Švédsko, kde již v roce 2003 fungovala elektronická identifikace, kterou zajišťovaly banky prostřednictvím tzv. </w:t>
      </w:r>
      <w:proofErr w:type="spellStart"/>
      <w:r w:rsidRPr="004E32A1">
        <w:rPr>
          <w:rFonts w:ascii="Calibri" w:eastAsia="Calibri" w:hAnsi="Calibri" w:cs="Times New Roman"/>
          <w:szCs w:val="24"/>
        </w:rPr>
        <w:t>BankID</w:t>
      </w:r>
      <w:proofErr w:type="spellEnd"/>
      <w:r w:rsidRPr="004E32A1">
        <w:rPr>
          <w:rFonts w:ascii="Calibri" w:eastAsia="Calibri" w:hAnsi="Calibri" w:cs="Times New Roman"/>
          <w:szCs w:val="24"/>
        </w:rPr>
        <w:t>.</w:t>
      </w:r>
    </w:p>
    <w:p w14:paraId="29A650FC" w14:textId="5D55B82F" w:rsidR="004E32A1" w:rsidRPr="004E32A1" w:rsidRDefault="00C341A5" w:rsidP="004E32A1">
      <w:pPr>
        <w:spacing w:after="200" w:line="276" w:lineRule="auto"/>
        <w:rPr>
          <w:rFonts w:ascii="Calibri" w:eastAsia="Calibri" w:hAnsi="Calibri" w:cs="Times New Roman"/>
          <w:szCs w:val="24"/>
        </w:rPr>
      </w:pPr>
      <w:r>
        <w:rPr>
          <w:noProof/>
          <w:sz w:val="16"/>
          <w:szCs w:val="16"/>
          <w:lang w:eastAsia="cs-CZ"/>
        </w:rPr>
        <w:lastRenderedPageBreak/>
        <w:drawing>
          <wp:inline distT="0" distB="0" distL="0" distR="0" wp14:anchorId="3C87BE6A" wp14:editId="34122638">
            <wp:extent cx="5760720" cy="3824605"/>
            <wp:effectExtent l="0" t="0" r="0"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sova osa 22.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20" cy="3824605"/>
                    </a:xfrm>
                    <a:prstGeom prst="rect">
                      <a:avLst/>
                    </a:prstGeom>
                  </pic:spPr>
                </pic:pic>
              </a:graphicData>
            </a:graphic>
          </wp:inline>
        </w:drawing>
      </w:r>
    </w:p>
    <w:p w14:paraId="6C7D89B8" w14:textId="3421E48E" w:rsidR="004E32A1" w:rsidRPr="004E32A1" w:rsidRDefault="004E32A1" w:rsidP="004E32A1">
      <w:pPr>
        <w:spacing w:after="200" w:line="276" w:lineRule="auto"/>
        <w:rPr>
          <w:rFonts w:ascii="Calibri" w:eastAsia="Calibri" w:hAnsi="Calibri" w:cs="Times New Roman"/>
          <w:sz w:val="20"/>
          <w:szCs w:val="20"/>
        </w:rPr>
      </w:pPr>
      <w:r w:rsidRPr="004E32A1">
        <w:rPr>
          <w:rFonts w:ascii="Calibri" w:eastAsia="Calibri" w:hAnsi="Calibri" w:cs="Times New Roman"/>
          <w:b/>
          <w:sz w:val="20"/>
          <w:szCs w:val="20"/>
        </w:rPr>
        <w:t>Zdroj</w:t>
      </w:r>
      <w:r w:rsidRPr="00F95CE3">
        <w:rPr>
          <w:rFonts w:ascii="Calibri" w:eastAsia="Calibri" w:hAnsi="Calibri" w:cs="Times New Roman"/>
          <w:b/>
          <w:sz w:val="20"/>
          <w:szCs w:val="20"/>
        </w:rPr>
        <w:t>:</w:t>
      </w:r>
      <w:r w:rsidRPr="004E32A1">
        <w:rPr>
          <w:rFonts w:ascii="Calibri" w:eastAsia="Calibri" w:hAnsi="Calibri" w:cs="Times New Roman"/>
          <w:sz w:val="20"/>
          <w:szCs w:val="20"/>
        </w:rPr>
        <w:t xml:space="preserve"> </w:t>
      </w:r>
      <w:r w:rsidR="00F909DB">
        <w:rPr>
          <w:rFonts w:ascii="Calibri" w:eastAsia="Calibri" w:hAnsi="Calibri" w:cs="Times New Roman"/>
          <w:sz w:val="20"/>
          <w:szCs w:val="20"/>
        </w:rPr>
        <w:t>informace zjištěné kontrolou; graficky zpracoval NKÚ.</w:t>
      </w:r>
    </w:p>
    <w:p w14:paraId="27193E33" w14:textId="77E3E5D8"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Samotná notifikace systémů elektronické identifikace vypovídá o úrovni vyspělosti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rPr>
        <w:t xml:space="preserve"> pouze dílčím způsobem, neboť nereflektuje rozšíření a nabídku elektronických služeb poskytovaných občanům. To dokládají příklady Švédska, Finska, Nizozemska nebo Dánska. Přestože tyto země nemají dosud notifikován systém elektronické identifikace, řadí se mezi evropskou špičku v oblasti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rPr>
        <w:t>. Výhodou těchto států je, že systém elektronické identifikace vytvářely v úzké spolupráci se soukromým sektorem</w:t>
      </w:r>
      <w:r w:rsidRPr="004E32A1" w:rsidDel="00F4541D">
        <w:rPr>
          <w:rFonts w:ascii="Calibri" w:eastAsia="Calibri" w:hAnsi="Calibri" w:cs="Times New Roman"/>
          <w:szCs w:val="24"/>
        </w:rPr>
        <w:t xml:space="preserve"> </w:t>
      </w:r>
      <w:r w:rsidRPr="004E32A1">
        <w:rPr>
          <w:rFonts w:ascii="Calibri" w:eastAsia="Calibri" w:hAnsi="Calibri" w:cs="Times New Roman"/>
          <w:szCs w:val="24"/>
        </w:rPr>
        <w:t xml:space="preserve">a před přijetím nařízení </w:t>
      </w:r>
      <w:proofErr w:type="spellStart"/>
      <w:r w:rsidRPr="004E32A1">
        <w:rPr>
          <w:rFonts w:ascii="Calibri" w:eastAsia="Calibri" w:hAnsi="Calibri" w:cs="Times New Roman"/>
          <w:szCs w:val="24"/>
        </w:rPr>
        <w:t>eIDAS</w:t>
      </w:r>
      <w:proofErr w:type="spellEnd"/>
      <w:r w:rsidRPr="004E32A1">
        <w:rPr>
          <w:rFonts w:ascii="Calibri" w:eastAsia="Calibri" w:hAnsi="Calibri" w:cs="Times New Roman"/>
          <w:szCs w:val="24"/>
        </w:rPr>
        <w:t xml:space="preserve">, tj. v době, kdy ověření elektronické identity za splnění státem požadovaných podmínek mohly provádět soukromoprávní subjekty, například banky prostřednictvím vlastního elektronického bankovnictví. Tento přístup zásadně přispěl k tomu, že nabídka elektronické služby veřejné správy masivně penetrovala mezi občany, aniž by stát po nich vyžadoval obstarat si nový prostředek pro prokázání elektronické identity, např. obdobu českého </w:t>
      </w:r>
      <w:proofErr w:type="spellStart"/>
      <w:r w:rsidRPr="004E32A1">
        <w:rPr>
          <w:rFonts w:ascii="Calibri" w:eastAsia="Calibri" w:hAnsi="Calibri" w:cs="Times New Roman"/>
          <w:szCs w:val="24"/>
        </w:rPr>
        <w:t>eOP</w:t>
      </w:r>
      <w:proofErr w:type="spellEnd"/>
      <w:r w:rsidRPr="004E32A1">
        <w:rPr>
          <w:rFonts w:ascii="Calibri" w:eastAsia="Calibri" w:hAnsi="Calibri" w:cs="Times New Roman"/>
          <w:szCs w:val="24"/>
        </w:rPr>
        <w:t>. Rozšíření počtu možných uživatelů elektronických služeb prostřednictvím elektronického bankovnictví umožní v ČR až novela zákona o bankách účinná od 1. ledna 2021</w:t>
      </w:r>
      <w:r w:rsidRPr="004E32A1">
        <w:rPr>
          <w:rFonts w:ascii="Calibri" w:eastAsia="Calibri" w:hAnsi="Calibri" w:cs="Times New Roman"/>
          <w:szCs w:val="24"/>
          <w:vertAlign w:val="superscript"/>
        </w:rPr>
        <w:footnoteReference w:id="29"/>
      </w:r>
      <w:r w:rsidRPr="004E32A1">
        <w:rPr>
          <w:rFonts w:ascii="Calibri" w:eastAsia="Calibri" w:hAnsi="Calibri" w:cs="Times New Roman"/>
          <w:szCs w:val="24"/>
        </w:rPr>
        <w:t>.</w:t>
      </w:r>
    </w:p>
    <w:p w14:paraId="0E73E2CD" w14:textId="41C6FCC3"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Notifikace systému elektronické identifikace ČR je pouze částečným úspěchem</w:t>
      </w:r>
      <w:r w:rsidR="0014375B">
        <w:rPr>
          <w:rFonts w:ascii="Calibri" w:eastAsia="Calibri" w:hAnsi="Calibri" w:cs="Times New Roman"/>
          <w:szCs w:val="24"/>
        </w:rPr>
        <w:t xml:space="preserve"> a </w:t>
      </w:r>
      <w:r w:rsidRPr="004E32A1">
        <w:rPr>
          <w:rFonts w:ascii="Calibri" w:eastAsia="Calibri" w:hAnsi="Calibri" w:cs="Times New Roman"/>
          <w:szCs w:val="24"/>
        </w:rPr>
        <w:t xml:space="preserve">nemůže kompenzovat nedostatečnou nabídku elektronických služeb státní správy </w:t>
      </w:r>
      <w:r w:rsidR="0014375B">
        <w:rPr>
          <w:rFonts w:ascii="Calibri" w:eastAsia="Calibri" w:hAnsi="Calibri" w:cs="Times New Roman"/>
          <w:szCs w:val="24"/>
        </w:rPr>
        <w:t>či</w:t>
      </w:r>
      <w:r w:rsidRPr="004E32A1">
        <w:rPr>
          <w:rFonts w:ascii="Calibri" w:eastAsia="Calibri" w:hAnsi="Calibri" w:cs="Times New Roman"/>
          <w:szCs w:val="24"/>
        </w:rPr>
        <w:t xml:space="preserve"> nízký počet občanů, kteří mají relevantní prostředek elektronické identifikace</w:t>
      </w:r>
      <w:r w:rsidR="0014375B">
        <w:rPr>
          <w:rFonts w:ascii="Calibri" w:eastAsia="Calibri" w:hAnsi="Calibri" w:cs="Times New Roman"/>
          <w:szCs w:val="24"/>
        </w:rPr>
        <w:t>.</w:t>
      </w:r>
    </w:p>
    <w:p w14:paraId="0ED095C3" w14:textId="6C00BE08"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lastRenderedPageBreak/>
        <w:t xml:space="preserve">Jak NKÚ vyhodnotil v části IV. </w:t>
      </w:r>
      <w:r w:rsidR="00BD09BA">
        <w:rPr>
          <w:rFonts w:ascii="Calibri" w:eastAsia="Calibri" w:hAnsi="Calibri" w:cs="Times New Roman"/>
          <w:szCs w:val="24"/>
        </w:rPr>
        <w:t xml:space="preserve">tohoto </w:t>
      </w:r>
      <w:r w:rsidRPr="004E32A1">
        <w:rPr>
          <w:rFonts w:ascii="Calibri" w:eastAsia="Calibri" w:hAnsi="Calibri" w:cs="Times New Roman"/>
          <w:szCs w:val="24"/>
        </w:rPr>
        <w:t xml:space="preserve">kontrolního závěru, </w:t>
      </w:r>
      <w:r w:rsidRPr="00F95CE3">
        <w:rPr>
          <w:rFonts w:ascii="Calibri" w:eastAsia="Calibri" w:hAnsi="Calibri" w:cs="Times New Roman"/>
          <w:i/>
          <w:szCs w:val="24"/>
        </w:rPr>
        <w:t>Portál občana</w:t>
      </w:r>
      <w:r w:rsidRPr="004E32A1">
        <w:rPr>
          <w:rFonts w:ascii="Calibri" w:eastAsia="Calibri" w:hAnsi="Calibri" w:cs="Times New Roman"/>
          <w:szCs w:val="24"/>
        </w:rPr>
        <w:t xml:space="preserve"> se potýkal rok a půl od </w:t>
      </w:r>
      <w:r w:rsidR="00BD09BA">
        <w:rPr>
          <w:rFonts w:ascii="Calibri" w:eastAsia="Calibri" w:hAnsi="Calibri" w:cs="Times New Roman"/>
          <w:szCs w:val="24"/>
        </w:rPr>
        <w:t>svého</w:t>
      </w:r>
      <w:r w:rsidRPr="004E32A1">
        <w:rPr>
          <w:rFonts w:ascii="Calibri" w:eastAsia="Calibri" w:hAnsi="Calibri" w:cs="Times New Roman"/>
          <w:szCs w:val="24"/>
        </w:rPr>
        <w:t xml:space="preserve"> spuštění s nízkou mírou využití občany (0,5</w:t>
      </w:r>
      <w:r w:rsidR="00BD09BA">
        <w:rPr>
          <w:rFonts w:ascii="Calibri" w:eastAsia="Calibri" w:hAnsi="Calibri" w:cs="Times New Roman"/>
          <w:szCs w:val="24"/>
        </w:rPr>
        <w:t> </w:t>
      </w:r>
      <w:r w:rsidRPr="004E32A1">
        <w:rPr>
          <w:rFonts w:ascii="Calibri" w:eastAsia="Calibri" w:hAnsi="Calibri" w:cs="Times New Roman"/>
          <w:szCs w:val="24"/>
        </w:rPr>
        <w:t xml:space="preserve">% obyvatel ČR). </w:t>
      </w:r>
      <w:r w:rsidR="00BD09BA">
        <w:rPr>
          <w:rFonts w:ascii="Calibri" w:eastAsia="Calibri" w:hAnsi="Calibri" w:cs="Times New Roman"/>
          <w:szCs w:val="24"/>
        </w:rPr>
        <w:t>V</w:t>
      </w:r>
      <w:r w:rsidRPr="004E32A1">
        <w:rPr>
          <w:rFonts w:ascii="Calibri" w:eastAsia="Calibri" w:hAnsi="Calibri" w:cs="Times New Roman"/>
          <w:szCs w:val="24"/>
        </w:rPr>
        <w:t>yužití</w:t>
      </w:r>
      <w:r w:rsidR="00BD09BA">
        <w:rPr>
          <w:rFonts w:ascii="Calibri" w:eastAsia="Calibri" w:hAnsi="Calibri" w:cs="Times New Roman"/>
          <w:szCs w:val="24"/>
        </w:rPr>
        <w:t xml:space="preserve"> přitom</w:t>
      </w:r>
      <w:r w:rsidRPr="004E32A1">
        <w:rPr>
          <w:rFonts w:ascii="Calibri" w:eastAsia="Calibri" w:hAnsi="Calibri" w:cs="Times New Roman"/>
          <w:szCs w:val="24"/>
        </w:rPr>
        <w:t xml:space="preserve"> závisí</w:t>
      </w:r>
      <w:r w:rsidR="00BD09BA">
        <w:rPr>
          <w:rFonts w:ascii="Calibri" w:eastAsia="Calibri" w:hAnsi="Calibri" w:cs="Times New Roman"/>
          <w:szCs w:val="24"/>
        </w:rPr>
        <w:t xml:space="preserve"> především</w:t>
      </w:r>
      <w:r w:rsidRPr="004E32A1">
        <w:rPr>
          <w:rFonts w:ascii="Calibri" w:eastAsia="Calibri" w:hAnsi="Calibri" w:cs="Times New Roman"/>
          <w:szCs w:val="24"/>
        </w:rPr>
        <w:t xml:space="preserve"> na dostupnosti poskytovaných elektronických služeb, které </w:t>
      </w:r>
      <w:r w:rsidR="00BD09BA">
        <w:rPr>
          <w:rFonts w:ascii="Calibri" w:eastAsia="Calibri" w:hAnsi="Calibri" w:cs="Times New Roman"/>
          <w:szCs w:val="24"/>
        </w:rPr>
        <w:t>musí být</w:t>
      </w:r>
      <w:r w:rsidRPr="004E32A1">
        <w:rPr>
          <w:rFonts w:ascii="Calibri" w:eastAsia="Calibri" w:hAnsi="Calibri" w:cs="Times New Roman"/>
          <w:szCs w:val="24"/>
        </w:rPr>
        <w:t xml:space="preserve"> pro občany</w:t>
      </w:r>
      <w:r w:rsidR="00BD09BA">
        <w:rPr>
          <w:rFonts w:ascii="Calibri" w:eastAsia="Calibri" w:hAnsi="Calibri" w:cs="Times New Roman"/>
          <w:szCs w:val="24"/>
        </w:rPr>
        <w:t xml:space="preserve"> i </w:t>
      </w:r>
      <w:r w:rsidRPr="004E32A1">
        <w:rPr>
          <w:rFonts w:ascii="Calibri" w:eastAsia="Calibri" w:hAnsi="Calibri" w:cs="Times New Roman"/>
          <w:szCs w:val="24"/>
        </w:rPr>
        <w:t>podnikatele přínosem a</w:t>
      </w:r>
      <w:r w:rsidR="00BD09BA">
        <w:rPr>
          <w:rFonts w:ascii="Calibri" w:eastAsia="Calibri" w:hAnsi="Calibri" w:cs="Times New Roman"/>
          <w:szCs w:val="24"/>
        </w:rPr>
        <w:t xml:space="preserve"> musí jim</w:t>
      </w:r>
      <w:r w:rsidRPr="004E32A1">
        <w:rPr>
          <w:rFonts w:ascii="Calibri" w:eastAsia="Calibri" w:hAnsi="Calibri" w:cs="Times New Roman"/>
          <w:szCs w:val="24"/>
        </w:rPr>
        <w:t xml:space="preserve"> usnadň</w:t>
      </w:r>
      <w:r w:rsidR="00BD09BA">
        <w:rPr>
          <w:rFonts w:ascii="Calibri" w:eastAsia="Calibri" w:hAnsi="Calibri" w:cs="Times New Roman"/>
          <w:szCs w:val="24"/>
        </w:rPr>
        <w:t>ovat</w:t>
      </w:r>
      <w:r w:rsidRPr="004E32A1">
        <w:rPr>
          <w:rFonts w:ascii="Calibri" w:eastAsia="Calibri" w:hAnsi="Calibri" w:cs="Times New Roman"/>
          <w:szCs w:val="24"/>
        </w:rPr>
        <w:t xml:space="preserve"> řešení životních situací.</w:t>
      </w:r>
    </w:p>
    <w:p w14:paraId="730E11A9" w14:textId="74EA0A2F" w:rsidR="004E32A1" w:rsidRPr="004E32A1" w:rsidRDefault="0014375B" w:rsidP="004E32A1">
      <w:pPr>
        <w:spacing w:after="200" w:line="276" w:lineRule="auto"/>
        <w:rPr>
          <w:rFonts w:ascii="Calibri" w:eastAsia="Calibri" w:hAnsi="Calibri" w:cs="Times New Roman"/>
          <w:szCs w:val="24"/>
        </w:rPr>
      </w:pPr>
      <w:r>
        <w:rPr>
          <w:rFonts w:ascii="Calibri" w:eastAsia="Calibri" w:hAnsi="Calibri" w:cs="Times New Roman"/>
          <w:szCs w:val="24"/>
        </w:rPr>
        <w:t>Pro mezinárodní porovnání</w:t>
      </w:r>
      <w:r w:rsidR="004E32A1" w:rsidRPr="004E32A1">
        <w:rPr>
          <w:rFonts w:ascii="Calibri" w:eastAsia="Calibri" w:hAnsi="Calibri" w:cs="Times New Roman"/>
          <w:szCs w:val="24"/>
        </w:rPr>
        <w:t xml:space="preserve"> výkonnosti </w:t>
      </w:r>
      <w:proofErr w:type="spellStart"/>
      <w:r w:rsidR="004E32A1" w:rsidRPr="004E32A1">
        <w:rPr>
          <w:rFonts w:ascii="Calibri" w:eastAsia="Calibri" w:hAnsi="Calibri" w:cs="Times New Roman"/>
          <w:szCs w:val="24"/>
        </w:rPr>
        <w:t>eGovernmentu</w:t>
      </w:r>
      <w:proofErr w:type="spellEnd"/>
      <w:r w:rsidR="004E32A1" w:rsidRPr="004E32A1">
        <w:rPr>
          <w:rFonts w:ascii="Calibri" w:eastAsia="Calibri" w:hAnsi="Calibri" w:cs="Times New Roman"/>
          <w:szCs w:val="24"/>
        </w:rPr>
        <w:t xml:space="preserve"> jsou </w:t>
      </w:r>
      <w:r>
        <w:rPr>
          <w:rFonts w:ascii="Calibri" w:eastAsia="Calibri" w:hAnsi="Calibri" w:cs="Times New Roman"/>
          <w:szCs w:val="24"/>
        </w:rPr>
        <w:t xml:space="preserve">důležité mj. </w:t>
      </w:r>
      <w:r w:rsidR="004E32A1" w:rsidRPr="004E32A1">
        <w:rPr>
          <w:rFonts w:ascii="Calibri" w:eastAsia="Calibri" w:hAnsi="Calibri" w:cs="Times New Roman"/>
          <w:szCs w:val="24"/>
        </w:rPr>
        <w:t xml:space="preserve">dva ukazatele – penetrace digitálních služeb a digitalizace veřejné správy. </w:t>
      </w:r>
      <w:r w:rsidR="004E32A1" w:rsidRPr="004E32A1">
        <w:rPr>
          <w:rFonts w:ascii="Calibri" w:eastAsia="Calibri" w:hAnsi="Calibri" w:cs="Times New Roman"/>
          <w:b/>
          <w:szCs w:val="24"/>
        </w:rPr>
        <w:t>Penetrace</w:t>
      </w:r>
      <w:r w:rsidR="004E32A1" w:rsidRPr="004E32A1">
        <w:rPr>
          <w:rFonts w:ascii="Calibri" w:eastAsia="Calibri" w:hAnsi="Calibri" w:cs="Times New Roman"/>
          <w:szCs w:val="24"/>
        </w:rPr>
        <w:t xml:space="preserve"> digitálních služeb vypovídá o míře využívání těchto služeb občany. </w:t>
      </w:r>
      <w:r w:rsidR="004E32A1" w:rsidRPr="004E32A1">
        <w:rPr>
          <w:rFonts w:ascii="Calibri" w:eastAsia="Calibri" w:hAnsi="Calibri" w:cs="Times New Roman"/>
          <w:b/>
          <w:szCs w:val="24"/>
        </w:rPr>
        <w:t>Míra digitalizace</w:t>
      </w:r>
      <w:r w:rsidR="004E32A1" w:rsidRPr="004E32A1">
        <w:rPr>
          <w:rFonts w:ascii="Calibri" w:eastAsia="Calibri" w:hAnsi="Calibri" w:cs="Times New Roman"/>
          <w:szCs w:val="24"/>
        </w:rPr>
        <w:t xml:space="preserve"> odráží úroveň digitalizace procesů veřejné správy.</w:t>
      </w:r>
    </w:p>
    <w:p w14:paraId="7DC86698" w14:textId="5195AD33"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Evropská komise ve svém </w:t>
      </w:r>
      <w:r w:rsidR="0014375B">
        <w:rPr>
          <w:rFonts w:ascii="Calibri" w:eastAsia="Calibri" w:hAnsi="Calibri" w:cs="Times New Roman"/>
          <w:szCs w:val="24"/>
        </w:rPr>
        <w:t>materiálu</w:t>
      </w:r>
      <w:r w:rsidRPr="004E32A1">
        <w:rPr>
          <w:rFonts w:ascii="Calibri" w:eastAsia="Calibri" w:hAnsi="Calibri" w:cs="Times New Roman"/>
          <w:szCs w:val="24"/>
        </w:rPr>
        <w:t xml:space="preserve"> z roku 2019</w:t>
      </w:r>
      <w:r w:rsidRPr="004E32A1">
        <w:rPr>
          <w:rFonts w:ascii="Calibri" w:eastAsia="Calibri" w:hAnsi="Calibri" w:cs="Times New Roman"/>
          <w:szCs w:val="24"/>
          <w:vertAlign w:val="superscript"/>
        </w:rPr>
        <w:footnoteReference w:id="30"/>
      </w:r>
      <w:r w:rsidRPr="004E32A1">
        <w:rPr>
          <w:rFonts w:ascii="Calibri" w:eastAsia="Calibri" w:hAnsi="Calibri" w:cs="Times New Roman"/>
          <w:szCs w:val="24"/>
        </w:rPr>
        <w:t xml:space="preserve"> konstatuje, že evropskou cestu k digitalizaci veřejné správy ukazují Malta, Estonsko a Rakousko, přičemž mezi lídry lze zařadit i Lotyšsko, Litvu a Finsko. </w:t>
      </w:r>
    </w:p>
    <w:p w14:paraId="0C14CC22" w14:textId="2F4170FA" w:rsidR="004E32A1" w:rsidRPr="00F95CE3" w:rsidRDefault="004E32A1" w:rsidP="00F95CE3">
      <w:pPr>
        <w:keepNext/>
        <w:spacing w:after="0" w:line="240" w:lineRule="auto"/>
        <w:rPr>
          <w:rFonts w:ascii="Calibri" w:eastAsia="Calibri" w:hAnsi="Calibri" w:cs="Times New Roman"/>
          <w:b/>
          <w:szCs w:val="24"/>
        </w:rPr>
      </w:pPr>
      <w:r w:rsidRPr="00F95CE3">
        <w:rPr>
          <w:rFonts w:ascii="Calibri" w:eastAsia="Calibri" w:hAnsi="Calibri" w:cs="Times New Roman"/>
          <w:b/>
          <w:szCs w:val="24"/>
        </w:rPr>
        <w:t xml:space="preserve">Graf č. </w:t>
      </w:r>
      <w:r w:rsidRPr="00F95CE3">
        <w:rPr>
          <w:rFonts w:ascii="Calibri" w:eastAsia="Calibri" w:hAnsi="Calibri" w:cs="Times New Roman"/>
          <w:b/>
          <w:szCs w:val="24"/>
        </w:rPr>
        <w:fldChar w:fldCharType="begin"/>
      </w:r>
      <w:r w:rsidRPr="00F95CE3">
        <w:rPr>
          <w:rFonts w:ascii="Calibri" w:eastAsia="Calibri" w:hAnsi="Calibri" w:cs="Times New Roman"/>
          <w:b/>
          <w:szCs w:val="24"/>
        </w:rPr>
        <w:instrText xml:space="preserve"> SEQ Graf_č.: \* ARABIC </w:instrText>
      </w:r>
      <w:r w:rsidRPr="00F95CE3">
        <w:rPr>
          <w:rFonts w:ascii="Calibri" w:eastAsia="Calibri" w:hAnsi="Calibri" w:cs="Times New Roman"/>
          <w:b/>
          <w:szCs w:val="24"/>
        </w:rPr>
        <w:fldChar w:fldCharType="separate"/>
      </w:r>
      <w:r w:rsidR="000A499A">
        <w:rPr>
          <w:rFonts w:ascii="Calibri" w:eastAsia="Calibri" w:hAnsi="Calibri" w:cs="Times New Roman"/>
          <w:b/>
          <w:noProof/>
          <w:szCs w:val="24"/>
        </w:rPr>
        <w:t>3</w:t>
      </w:r>
      <w:r w:rsidRPr="00F95CE3">
        <w:rPr>
          <w:rFonts w:ascii="Calibri" w:eastAsia="Calibri" w:hAnsi="Calibri" w:cs="Times New Roman"/>
          <w:b/>
          <w:szCs w:val="24"/>
        </w:rPr>
        <w:fldChar w:fldCharType="end"/>
      </w:r>
      <w:r w:rsidR="00BD486B" w:rsidRPr="00F95CE3">
        <w:rPr>
          <w:rFonts w:ascii="Calibri" w:eastAsia="Calibri" w:hAnsi="Calibri" w:cs="Times New Roman"/>
          <w:b/>
          <w:szCs w:val="24"/>
        </w:rPr>
        <w:t>:</w:t>
      </w:r>
      <w:r w:rsidRPr="00F95CE3">
        <w:rPr>
          <w:rFonts w:ascii="Calibri" w:eastAsia="Calibri" w:hAnsi="Calibri" w:cs="Times New Roman"/>
          <w:b/>
          <w:szCs w:val="24"/>
        </w:rPr>
        <w:t xml:space="preserve"> Úroveň penetrace a digitalizace veřejných služeb v zemích EU</w:t>
      </w:r>
    </w:p>
    <w:p w14:paraId="14E7F205" w14:textId="77777777" w:rsidR="004E32A1" w:rsidRPr="004E32A1" w:rsidRDefault="004E32A1" w:rsidP="004E32A1">
      <w:pPr>
        <w:keepNext/>
        <w:spacing w:after="200" w:line="276" w:lineRule="auto"/>
        <w:rPr>
          <w:rFonts w:ascii="Calibri" w:eastAsia="Calibri" w:hAnsi="Calibri" w:cs="Times New Roman"/>
          <w:sz w:val="22"/>
        </w:rPr>
      </w:pPr>
      <w:r w:rsidRPr="004E32A1">
        <w:rPr>
          <w:rFonts w:ascii="Calibri" w:eastAsia="Calibri" w:hAnsi="Calibri" w:cs="Times New Roman"/>
          <w:noProof/>
          <w:sz w:val="22"/>
          <w:lang w:eastAsia="cs-CZ"/>
        </w:rPr>
        <w:drawing>
          <wp:inline distT="0" distB="0" distL="0" distR="0" wp14:anchorId="5713FB11" wp14:editId="34938D60">
            <wp:extent cx="5759450" cy="31369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izace_penetrace.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3136900"/>
                    </a:xfrm>
                    <a:prstGeom prst="rect">
                      <a:avLst/>
                    </a:prstGeom>
                  </pic:spPr>
                </pic:pic>
              </a:graphicData>
            </a:graphic>
          </wp:inline>
        </w:drawing>
      </w:r>
    </w:p>
    <w:p w14:paraId="213C701A" w14:textId="7E0D6807" w:rsidR="004E32A1" w:rsidRPr="004E32A1" w:rsidRDefault="004E32A1" w:rsidP="004E32A1">
      <w:pPr>
        <w:spacing w:after="200" w:line="240" w:lineRule="auto"/>
        <w:rPr>
          <w:rFonts w:ascii="Calibri" w:eastAsia="Calibri" w:hAnsi="Calibri" w:cs="Times New Roman"/>
          <w:b/>
          <w:sz w:val="20"/>
          <w:szCs w:val="20"/>
        </w:rPr>
      </w:pPr>
      <w:r w:rsidRPr="004E32A1">
        <w:rPr>
          <w:rFonts w:ascii="Calibri" w:eastAsia="Calibri" w:hAnsi="Calibri" w:cs="Times New Roman"/>
          <w:b/>
          <w:sz w:val="20"/>
          <w:szCs w:val="20"/>
        </w:rPr>
        <w:t xml:space="preserve">Zdroj: </w:t>
      </w:r>
      <w:r w:rsidR="006F7789" w:rsidRPr="005F44AE">
        <w:rPr>
          <w:rFonts w:ascii="Calibri" w:eastAsia="Calibri" w:hAnsi="Calibri" w:cs="Times New Roman"/>
          <w:sz w:val="20"/>
          <w:szCs w:val="20"/>
        </w:rPr>
        <w:t>s</w:t>
      </w:r>
      <w:r w:rsidRPr="00F95CE3">
        <w:rPr>
          <w:rFonts w:ascii="Calibri" w:eastAsia="Calibri" w:hAnsi="Calibri" w:cs="Times New Roman"/>
          <w:sz w:val="20"/>
          <w:szCs w:val="20"/>
        </w:rPr>
        <w:t xml:space="preserve">tudie </w:t>
      </w:r>
      <w:proofErr w:type="spellStart"/>
      <w:r w:rsidRPr="00F95CE3">
        <w:rPr>
          <w:rFonts w:ascii="Calibri" w:eastAsia="Calibri" w:hAnsi="Calibri" w:cs="Times New Roman"/>
          <w:i/>
          <w:sz w:val="20"/>
          <w:szCs w:val="20"/>
        </w:rPr>
        <w:t>eGovernment</w:t>
      </w:r>
      <w:proofErr w:type="spellEnd"/>
      <w:r w:rsidRPr="00F95CE3">
        <w:rPr>
          <w:rFonts w:ascii="Calibri" w:eastAsia="Calibri" w:hAnsi="Calibri" w:cs="Times New Roman"/>
          <w:i/>
          <w:sz w:val="20"/>
          <w:szCs w:val="20"/>
        </w:rPr>
        <w:t xml:space="preserve"> </w:t>
      </w:r>
      <w:proofErr w:type="spellStart"/>
      <w:r w:rsidRPr="00F95CE3">
        <w:rPr>
          <w:rFonts w:ascii="Calibri" w:eastAsia="Calibri" w:hAnsi="Calibri" w:cs="Times New Roman"/>
          <w:i/>
          <w:sz w:val="20"/>
          <w:szCs w:val="20"/>
        </w:rPr>
        <w:t>Benchmark</w:t>
      </w:r>
      <w:proofErr w:type="spellEnd"/>
      <w:r w:rsidRPr="00F95CE3">
        <w:rPr>
          <w:rFonts w:ascii="Calibri" w:eastAsia="Calibri" w:hAnsi="Calibri" w:cs="Times New Roman"/>
          <w:i/>
          <w:sz w:val="20"/>
          <w:szCs w:val="20"/>
        </w:rPr>
        <w:t xml:space="preserve"> 2019</w:t>
      </w:r>
      <w:r w:rsidRPr="00F95CE3">
        <w:rPr>
          <w:rFonts w:ascii="Calibri" w:eastAsia="Calibri" w:hAnsi="Calibri" w:cs="Times New Roman"/>
          <w:sz w:val="20"/>
          <w:szCs w:val="20"/>
        </w:rPr>
        <w:t xml:space="preserve">, Evropská </w:t>
      </w:r>
      <w:r w:rsidR="005F44AE" w:rsidRPr="005F44AE">
        <w:rPr>
          <w:rFonts w:ascii="Calibri" w:eastAsia="Calibri" w:hAnsi="Calibri" w:cs="Times New Roman"/>
          <w:sz w:val="20"/>
          <w:szCs w:val="20"/>
        </w:rPr>
        <w:t>unie 2019</w:t>
      </w:r>
      <w:r w:rsidRPr="00F95CE3">
        <w:rPr>
          <w:rFonts w:ascii="Calibri" w:eastAsia="Calibri" w:hAnsi="Calibri" w:cs="Times New Roman"/>
          <w:sz w:val="20"/>
          <w:szCs w:val="20"/>
        </w:rPr>
        <w:t>.</w:t>
      </w:r>
    </w:p>
    <w:p w14:paraId="26A55776" w14:textId="635CCA67"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Česká republika se v roce 2019 nacházela pod průměrem Evropské unie v oblasti penetrace i</w:t>
      </w:r>
      <w:r w:rsidR="0014375B">
        <w:rPr>
          <w:rFonts w:ascii="Calibri" w:eastAsia="Calibri" w:hAnsi="Calibri" w:cs="Times New Roman"/>
          <w:szCs w:val="24"/>
        </w:rPr>
        <w:t> </w:t>
      </w:r>
      <w:r w:rsidRPr="004E32A1">
        <w:rPr>
          <w:rFonts w:ascii="Calibri" w:eastAsia="Calibri" w:hAnsi="Calibri" w:cs="Times New Roman"/>
          <w:szCs w:val="24"/>
        </w:rPr>
        <w:t>digitalizace. V porovnání s ostatními členskými zeměmi si vedla o něco lépe v oblasti digitalizace. V oblasti průniku digitálních služeb do veřejného života jí však evropský průzkum vystavil nedostatečné hodnocení.</w:t>
      </w:r>
    </w:p>
    <w:p w14:paraId="3018FE51" w14:textId="4EDF5A4F"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Z výše uvedeného grafu je zřejmá přímá úměra mezi mírou digitalizace a mírou penetrace. Obecně platí, že země, které dosahují vysoké míry digitalizace, jsou úspěšné i v případě využívání </w:t>
      </w:r>
      <w:r w:rsidR="0014375B">
        <w:rPr>
          <w:rFonts w:ascii="Calibri" w:eastAsia="Calibri" w:hAnsi="Calibri" w:cs="Times New Roman"/>
          <w:szCs w:val="24"/>
        </w:rPr>
        <w:t>elektronických</w:t>
      </w:r>
      <w:r w:rsidR="0014375B" w:rsidRPr="004E32A1">
        <w:rPr>
          <w:rFonts w:ascii="Calibri" w:eastAsia="Calibri" w:hAnsi="Calibri" w:cs="Times New Roman"/>
          <w:szCs w:val="24"/>
        </w:rPr>
        <w:t xml:space="preserve"> </w:t>
      </w:r>
      <w:r w:rsidRPr="004E32A1">
        <w:rPr>
          <w:rFonts w:ascii="Calibri" w:eastAsia="Calibri" w:hAnsi="Calibri" w:cs="Times New Roman"/>
          <w:szCs w:val="24"/>
        </w:rPr>
        <w:t xml:space="preserve">služeb občany. Příklad Malty však naznačuje, že tato závislost </w:t>
      </w:r>
      <w:r w:rsidR="0014375B">
        <w:rPr>
          <w:rFonts w:ascii="Calibri" w:eastAsia="Calibri" w:hAnsi="Calibri" w:cs="Times New Roman"/>
          <w:szCs w:val="24"/>
        </w:rPr>
        <w:t>nemusí platit vždy</w:t>
      </w:r>
      <w:r w:rsidRPr="004E32A1">
        <w:rPr>
          <w:rFonts w:ascii="Calibri" w:eastAsia="Calibri" w:hAnsi="Calibri" w:cs="Times New Roman"/>
          <w:szCs w:val="24"/>
        </w:rPr>
        <w:t xml:space="preserve">. Malta, které se podařilo zajistit nejvyšší míru digitalizace v EU, patří zároveň mezi země, kde lidé digitalizované veřejné služby využívají nejméně. Naopak státy jako Dánsko, </w:t>
      </w:r>
      <w:r w:rsidRPr="004E32A1">
        <w:rPr>
          <w:rFonts w:ascii="Calibri" w:eastAsia="Calibri" w:hAnsi="Calibri" w:cs="Times New Roman"/>
          <w:szCs w:val="24"/>
        </w:rPr>
        <w:lastRenderedPageBreak/>
        <w:t xml:space="preserve">Finsko a Švédsko vykazují vysokou míru penetrace a přitom pouze střední míru digitalizace služeb. Velká Británie pak dosahuje dokonce vysoké míry penetrace při podprůměrné míře digitalizace, což lze vysvětlit digitalizací prioritních služeb dle poptávky jejich uživatelů, </w:t>
      </w:r>
      <w:r w:rsidR="0014375B">
        <w:rPr>
          <w:rFonts w:ascii="Calibri" w:eastAsia="Calibri" w:hAnsi="Calibri" w:cs="Times New Roman"/>
          <w:szCs w:val="24"/>
        </w:rPr>
        <w:t>tj. </w:t>
      </w:r>
      <w:r w:rsidR="00641C85">
        <w:rPr>
          <w:rFonts w:ascii="Calibri" w:eastAsia="Calibri" w:hAnsi="Calibri" w:cs="Times New Roman"/>
          <w:szCs w:val="24"/>
        </w:rPr>
        <w:t xml:space="preserve">dle </w:t>
      </w:r>
      <w:r w:rsidRPr="004E32A1">
        <w:rPr>
          <w:rFonts w:ascii="Calibri" w:eastAsia="Calibri" w:hAnsi="Calibri" w:cs="Times New Roman"/>
          <w:szCs w:val="24"/>
        </w:rPr>
        <w:t xml:space="preserve">potřeb občanů. </w:t>
      </w:r>
    </w:p>
    <w:p w14:paraId="49E148F6" w14:textId="628A6473"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 xml:space="preserve">Z informací od Ministerstva vnitra NKÚ zjistil, že zástupci britského úřadu </w:t>
      </w:r>
      <w:proofErr w:type="spellStart"/>
      <w:r w:rsidRPr="004E32A1">
        <w:rPr>
          <w:rFonts w:ascii="Calibri" w:eastAsia="Calibri" w:hAnsi="Calibri" w:cs="Times New Roman"/>
          <w:szCs w:val="24"/>
        </w:rPr>
        <w:t>Governme</w:t>
      </w:r>
      <w:r w:rsidR="00641C85">
        <w:rPr>
          <w:rFonts w:ascii="Calibri" w:eastAsia="Calibri" w:hAnsi="Calibri" w:cs="Times New Roman"/>
          <w:szCs w:val="24"/>
        </w:rPr>
        <w:t>n</w:t>
      </w:r>
      <w:r w:rsidRPr="004E32A1">
        <w:rPr>
          <w:rFonts w:ascii="Calibri" w:eastAsia="Calibri" w:hAnsi="Calibri" w:cs="Times New Roman"/>
          <w:szCs w:val="24"/>
        </w:rPr>
        <w:t>t</w:t>
      </w:r>
      <w:proofErr w:type="spellEnd"/>
      <w:r w:rsidRPr="004E32A1">
        <w:rPr>
          <w:rFonts w:ascii="Calibri" w:eastAsia="Calibri" w:hAnsi="Calibri" w:cs="Times New Roman"/>
          <w:szCs w:val="24"/>
        </w:rPr>
        <w:t xml:space="preserve"> Digital </w:t>
      </w:r>
      <w:proofErr w:type="spellStart"/>
      <w:r w:rsidRPr="004E32A1">
        <w:rPr>
          <w:rFonts w:ascii="Calibri" w:eastAsia="Calibri" w:hAnsi="Calibri" w:cs="Times New Roman"/>
          <w:szCs w:val="24"/>
        </w:rPr>
        <w:t>Service</w:t>
      </w:r>
      <w:proofErr w:type="spellEnd"/>
      <w:r w:rsidRPr="004E32A1">
        <w:rPr>
          <w:rFonts w:ascii="Calibri" w:eastAsia="Calibri" w:hAnsi="Calibri" w:cs="Times New Roman"/>
          <w:szCs w:val="24"/>
        </w:rPr>
        <w:t xml:space="preserve">, zabývajícího se elektronizací služeb a správou portálu Gov.UK, doporučili zástupcům Ministerstva vnitra </w:t>
      </w:r>
      <w:r w:rsidR="00641C85">
        <w:rPr>
          <w:rFonts w:ascii="Calibri" w:eastAsia="Calibri" w:hAnsi="Calibri" w:cs="Times New Roman"/>
          <w:szCs w:val="24"/>
        </w:rPr>
        <w:t xml:space="preserve">provést před </w:t>
      </w:r>
      <w:r w:rsidRPr="004E32A1">
        <w:rPr>
          <w:rFonts w:ascii="Calibri" w:eastAsia="Calibri" w:hAnsi="Calibri" w:cs="Times New Roman"/>
          <w:szCs w:val="24"/>
        </w:rPr>
        <w:t>zav</w:t>
      </w:r>
      <w:r w:rsidR="00641C85">
        <w:rPr>
          <w:rFonts w:ascii="Calibri" w:eastAsia="Calibri" w:hAnsi="Calibri" w:cs="Times New Roman"/>
          <w:szCs w:val="24"/>
        </w:rPr>
        <w:t>edením</w:t>
      </w:r>
      <w:r w:rsidRPr="004E32A1">
        <w:rPr>
          <w:rFonts w:ascii="Calibri" w:eastAsia="Calibri" w:hAnsi="Calibri" w:cs="Times New Roman"/>
          <w:szCs w:val="24"/>
        </w:rPr>
        <w:t xml:space="preserve"> digitálních služeb analýzu potřeb a digitalizovat primárně služby, o které mají občané nejv</w:t>
      </w:r>
      <w:r w:rsidR="00641C85">
        <w:rPr>
          <w:rFonts w:ascii="Calibri" w:eastAsia="Calibri" w:hAnsi="Calibri" w:cs="Times New Roman"/>
          <w:szCs w:val="24"/>
        </w:rPr>
        <w:t>ětší</w:t>
      </w:r>
      <w:r w:rsidRPr="004E32A1">
        <w:rPr>
          <w:rFonts w:ascii="Calibri" w:eastAsia="Calibri" w:hAnsi="Calibri" w:cs="Times New Roman"/>
          <w:szCs w:val="24"/>
        </w:rPr>
        <w:t xml:space="preserve"> zájem. Tímto způsobem je možné dosáhnout vysoké míry využívání</w:t>
      </w:r>
      <w:r w:rsidR="00641C85">
        <w:rPr>
          <w:rFonts w:ascii="Calibri" w:eastAsia="Calibri" w:hAnsi="Calibri" w:cs="Times New Roman"/>
          <w:szCs w:val="24"/>
        </w:rPr>
        <w:t xml:space="preserve"> (</w:t>
      </w:r>
      <w:r w:rsidRPr="004E32A1">
        <w:rPr>
          <w:rFonts w:ascii="Calibri" w:eastAsia="Calibri" w:hAnsi="Calibri" w:cs="Times New Roman"/>
          <w:szCs w:val="24"/>
        </w:rPr>
        <w:t>penetrace</w:t>
      </w:r>
      <w:r w:rsidR="00641C85">
        <w:rPr>
          <w:rFonts w:ascii="Calibri" w:eastAsia="Calibri" w:hAnsi="Calibri" w:cs="Times New Roman"/>
          <w:szCs w:val="24"/>
        </w:rPr>
        <w:t>),</w:t>
      </w:r>
      <w:r w:rsidRPr="004E32A1">
        <w:rPr>
          <w:rFonts w:ascii="Calibri" w:eastAsia="Calibri" w:hAnsi="Calibri" w:cs="Times New Roman"/>
          <w:szCs w:val="24"/>
        </w:rPr>
        <w:t xml:space="preserve"> a</w:t>
      </w:r>
      <w:r w:rsidR="00641C85">
        <w:rPr>
          <w:rFonts w:ascii="Calibri" w:eastAsia="Calibri" w:hAnsi="Calibri" w:cs="Times New Roman"/>
          <w:szCs w:val="24"/>
        </w:rPr>
        <w:t>niž by bylo</w:t>
      </w:r>
      <w:r w:rsidRPr="004E32A1">
        <w:rPr>
          <w:rFonts w:ascii="Calibri" w:eastAsia="Calibri" w:hAnsi="Calibri" w:cs="Times New Roman"/>
          <w:szCs w:val="24"/>
        </w:rPr>
        <w:t xml:space="preserve"> nutné složitě digitalizovat všechny veřejné služby.</w:t>
      </w:r>
    </w:p>
    <w:p w14:paraId="62B8CF8B" w14:textId="157E239D" w:rsidR="004E32A1" w:rsidRPr="004E32A1" w:rsidRDefault="004E32A1" w:rsidP="004E32A1">
      <w:pPr>
        <w:spacing w:after="200" w:line="276" w:lineRule="auto"/>
        <w:rPr>
          <w:rFonts w:ascii="Calibri" w:eastAsia="Calibri" w:hAnsi="Calibri" w:cs="Times New Roman"/>
          <w:szCs w:val="24"/>
        </w:rPr>
      </w:pPr>
      <w:r w:rsidRPr="004E32A1">
        <w:rPr>
          <w:rFonts w:ascii="Calibri" w:eastAsia="Calibri" w:hAnsi="Calibri" w:cs="Times New Roman"/>
          <w:szCs w:val="24"/>
        </w:rPr>
        <w:t>Dalším způsobem, jak dosáhnout vysoké míry penetrace digitálních služeb</w:t>
      </w:r>
      <w:r w:rsidR="00F17EE0">
        <w:rPr>
          <w:rFonts w:ascii="Calibri" w:eastAsia="Calibri" w:hAnsi="Calibri" w:cs="Times New Roman"/>
          <w:szCs w:val="24"/>
        </w:rPr>
        <w:t>,</w:t>
      </w:r>
      <w:r w:rsidRPr="004E32A1">
        <w:rPr>
          <w:rFonts w:ascii="Calibri" w:eastAsia="Calibri" w:hAnsi="Calibri" w:cs="Times New Roman"/>
          <w:szCs w:val="24"/>
        </w:rPr>
        <w:t xml:space="preserve"> je jejich komplexní propagace. V kontrole NKÚ zjistil, že Ministerstvo vnitra nástroje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rPr>
        <w:t xml:space="preserve"> propagovalo nedostatečně. Již v roce 2016 </w:t>
      </w:r>
      <w:r w:rsidR="00F17EE0">
        <w:rPr>
          <w:rFonts w:ascii="Calibri" w:eastAsia="Calibri" w:hAnsi="Calibri" w:cs="Times New Roman"/>
          <w:szCs w:val="24"/>
        </w:rPr>
        <w:t>MV</w:t>
      </w:r>
      <w:r w:rsidRPr="004E32A1">
        <w:rPr>
          <w:rFonts w:ascii="Calibri" w:eastAsia="Calibri" w:hAnsi="Calibri" w:cs="Times New Roman"/>
          <w:szCs w:val="24"/>
        </w:rPr>
        <w:t xml:space="preserve"> zjistilo slabé povědomí občanů ČR o možnostech a</w:t>
      </w:r>
      <w:r w:rsidRPr="004E32A1">
        <w:rPr>
          <w:rFonts w:ascii="Calibri" w:eastAsia="Calibri" w:hAnsi="Calibri" w:cs="Times New Roman"/>
          <w:sz w:val="22"/>
        </w:rPr>
        <w:t> </w:t>
      </w:r>
      <w:r w:rsidRPr="004E32A1">
        <w:rPr>
          <w:rFonts w:ascii="Calibri" w:eastAsia="Calibri" w:hAnsi="Calibri" w:cs="Times New Roman"/>
          <w:szCs w:val="24"/>
        </w:rPr>
        <w:t xml:space="preserve">nástrojích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vertAlign w:val="superscript"/>
        </w:rPr>
        <w:footnoteReference w:id="31"/>
      </w:r>
      <w:r w:rsidRPr="004E32A1">
        <w:rPr>
          <w:rFonts w:ascii="Calibri" w:eastAsia="Calibri" w:hAnsi="Calibri" w:cs="Times New Roman"/>
          <w:szCs w:val="24"/>
        </w:rPr>
        <w:t>. Z průzkumu provedeného v roce 2018</w:t>
      </w:r>
      <w:r w:rsidRPr="004E32A1">
        <w:rPr>
          <w:rFonts w:ascii="Calibri" w:eastAsia="Calibri" w:hAnsi="Calibri" w:cs="Times New Roman"/>
          <w:szCs w:val="24"/>
          <w:vertAlign w:val="superscript"/>
        </w:rPr>
        <w:footnoteReference w:id="32"/>
      </w:r>
      <w:r w:rsidRPr="004E32A1">
        <w:rPr>
          <w:rFonts w:ascii="Calibri" w:eastAsia="Calibri" w:hAnsi="Calibri" w:cs="Times New Roman"/>
          <w:szCs w:val="24"/>
        </w:rPr>
        <w:t xml:space="preserve"> pak vyplynulo, že více než polovina občanů si myslí, že je o možnostech elektronické komunikace s veřejnou správou informována nedostatečně. Do konce roku 2019 však Ministerstvo vnitra nezahájilo plánovanou komplexní kampaň na propagaci nástrojů </w:t>
      </w:r>
      <w:proofErr w:type="spellStart"/>
      <w:r w:rsidRPr="004E32A1">
        <w:rPr>
          <w:rFonts w:ascii="Calibri" w:eastAsia="Calibri" w:hAnsi="Calibri" w:cs="Times New Roman"/>
          <w:szCs w:val="24"/>
        </w:rPr>
        <w:t>eGovernmentu</w:t>
      </w:r>
      <w:proofErr w:type="spellEnd"/>
      <w:r w:rsidRPr="004E32A1">
        <w:rPr>
          <w:rFonts w:ascii="Calibri" w:eastAsia="Calibri" w:hAnsi="Calibri" w:cs="Times New Roman"/>
          <w:szCs w:val="24"/>
        </w:rPr>
        <w:t xml:space="preserve">, jako je elektronická identifikace a </w:t>
      </w:r>
      <w:r w:rsidRPr="00F95CE3">
        <w:rPr>
          <w:rFonts w:ascii="Calibri" w:eastAsia="Calibri" w:hAnsi="Calibri" w:cs="Times New Roman"/>
          <w:i/>
          <w:szCs w:val="24"/>
        </w:rPr>
        <w:t>Portál občana</w:t>
      </w:r>
      <w:r w:rsidRPr="004E32A1">
        <w:rPr>
          <w:rFonts w:ascii="Calibri" w:eastAsia="Calibri" w:hAnsi="Calibri" w:cs="Times New Roman"/>
          <w:szCs w:val="24"/>
        </w:rPr>
        <w:t>.</w:t>
      </w:r>
    </w:p>
    <w:p w14:paraId="66FF00F4" w14:textId="74EE3E73" w:rsidR="004E32A1" w:rsidRPr="004E32A1" w:rsidRDefault="00F17EE0" w:rsidP="004E32A1">
      <w:pPr>
        <w:spacing w:after="200" w:line="276" w:lineRule="auto"/>
        <w:rPr>
          <w:rFonts w:ascii="Calibri" w:eastAsia="Calibri" w:hAnsi="Calibri" w:cs="Times New Roman"/>
          <w:b/>
          <w:szCs w:val="24"/>
        </w:rPr>
      </w:pPr>
      <w:r>
        <w:rPr>
          <w:rFonts w:ascii="Calibri" w:eastAsia="Calibri" w:hAnsi="Calibri" w:cs="Times New Roman"/>
          <w:b/>
          <w:szCs w:val="24"/>
        </w:rPr>
        <w:t>Poznatky z</w:t>
      </w:r>
      <w:r w:rsidR="004E32A1" w:rsidRPr="004E32A1">
        <w:rPr>
          <w:rFonts w:ascii="Calibri" w:eastAsia="Calibri" w:hAnsi="Calibri" w:cs="Times New Roman"/>
          <w:b/>
          <w:szCs w:val="24"/>
        </w:rPr>
        <w:t> výše uveden</w:t>
      </w:r>
      <w:r>
        <w:rPr>
          <w:rFonts w:ascii="Calibri" w:eastAsia="Calibri" w:hAnsi="Calibri" w:cs="Times New Roman"/>
          <w:b/>
          <w:szCs w:val="24"/>
        </w:rPr>
        <w:t>ého</w:t>
      </w:r>
      <w:r w:rsidR="004E32A1" w:rsidRPr="004E32A1">
        <w:rPr>
          <w:rFonts w:ascii="Calibri" w:eastAsia="Calibri" w:hAnsi="Calibri" w:cs="Times New Roman"/>
          <w:b/>
          <w:szCs w:val="24"/>
        </w:rPr>
        <w:t xml:space="preserve"> mezinárodního srovnání lze shrnout</w:t>
      </w:r>
      <w:r>
        <w:rPr>
          <w:rFonts w:ascii="Calibri" w:eastAsia="Calibri" w:hAnsi="Calibri" w:cs="Times New Roman"/>
          <w:b/>
          <w:szCs w:val="24"/>
        </w:rPr>
        <w:t xml:space="preserve"> do následujících bodů</w:t>
      </w:r>
      <w:r w:rsidR="004E32A1" w:rsidRPr="004E32A1">
        <w:rPr>
          <w:rFonts w:ascii="Calibri" w:eastAsia="Calibri" w:hAnsi="Calibri" w:cs="Times New Roman"/>
          <w:b/>
          <w:szCs w:val="24"/>
        </w:rPr>
        <w:t xml:space="preserve">: </w:t>
      </w:r>
    </w:p>
    <w:p w14:paraId="5FD47B56" w14:textId="649BD6C2" w:rsidR="004E32A1" w:rsidRPr="004E32A1" w:rsidRDefault="004E32A1" w:rsidP="00F95CE3">
      <w:pPr>
        <w:numPr>
          <w:ilvl w:val="0"/>
          <w:numId w:val="17"/>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 xml:space="preserve">Přístup </w:t>
      </w:r>
      <w:r w:rsidR="00F17EE0">
        <w:rPr>
          <w:rFonts w:ascii="Calibri" w:eastAsia="Calibri" w:hAnsi="Calibri" w:cs="Times New Roman"/>
          <w:b/>
          <w:szCs w:val="24"/>
        </w:rPr>
        <w:t>do</w:t>
      </w:r>
      <w:r w:rsidRPr="004E32A1">
        <w:rPr>
          <w:rFonts w:ascii="Calibri" w:eastAsia="Calibri" w:hAnsi="Calibri" w:cs="Times New Roman"/>
          <w:b/>
          <w:szCs w:val="24"/>
        </w:rPr>
        <w:t xml:space="preserve"> systému elektronické identifikace a centrální</w:t>
      </w:r>
      <w:r w:rsidR="00F17EE0">
        <w:rPr>
          <w:rFonts w:ascii="Calibri" w:eastAsia="Calibri" w:hAnsi="Calibri" w:cs="Times New Roman"/>
          <w:b/>
          <w:szCs w:val="24"/>
        </w:rPr>
        <w:t>ho</w:t>
      </w:r>
      <w:r w:rsidRPr="004E32A1">
        <w:rPr>
          <w:rFonts w:ascii="Calibri" w:eastAsia="Calibri" w:hAnsi="Calibri" w:cs="Times New Roman"/>
          <w:b/>
          <w:szCs w:val="24"/>
        </w:rPr>
        <w:t xml:space="preserve"> </w:t>
      </w:r>
      <w:r w:rsidRPr="00F95CE3">
        <w:rPr>
          <w:rFonts w:ascii="Calibri" w:eastAsia="Calibri" w:hAnsi="Calibri" w:cs="Times New Roman"/>
          <w:b/>
          <w:i/>
          <w:szCs w:val="24"/>
        </w:rPr>
        <w:t>Portálu občana</w:t>
      </w:r>
      <w:r w:rsidRPr="004E32A1">
        <w:rPr>
          <w:rFonts w:ascii="Calibri" w:eastAsia="Calibri" w:hAnsi="Calibri" w:cs="Times New Roman"/>
          <w:b/>
          <w:szCs w:val="24"/>
        </w:rPr>
        <w:t xml:space="preserve"> zvolilo MV obdobný jako ve státech EU, kde je </w:t>
      </w:r>
      <w:proofErr w:type="spellStart"/>
      <w:r w:rsidRPr="004E32A1">
        <w:rPr>
          <w:rFonts w:ascii="Calibri" w:eastAsia="Calibri" w:hAnsi="Calibri" w:cs="Times New Roman"/>
          <w:b/>
          <w:szCs w:val="24"/>
        </w:rPr>
        <w:t>eGovernment</w:t>
      </w:r>
      <w:proofErr w:type="spellEnd"/>
      <w:r w:rsidRPr="004E32A1">
        <w:rPr>
          <w:rFonts w:ascii="Calibri" w:eastAsia="Calibri" w:hAnsi="Calibri" w:cs="Times New Roman"/>
          <w:b/>
          <w:szCs w:val="24"/>
        </w:rPr>
        <w:t xml:space="preserve"> na </w:t>
      </w:r>
      <w:r w:rsidR="00F17EE0">
        <w:rPr>
          <w:rFonts w:ascii="Calibri" w:eastAsia="Calibri" w:hAnsi="Calibri" w:cs="Times New Roman"/>
          <w:b/>
          <w:szCs w:val="24"/>
        </w:rPr>
        <w:t xml:space="preserve">vyšší </w:t>
      </w:r>
      <w:r w:rsidRPr="004E32A1">
        <w:rPr>
          <w:rFonts w:ascii="Calibri" w:eastAsia="Calibri" w:hAnsi="Calibri" w:cs="Times New Roman"/>
          <w:b/>
          <w:szCs w:val="24"/>
        </w:rPr>
        <w:t>úrovni</w:t>
      </w:r>
      <w:r w:rsidR="00F17EE0" w:rsidRPr="00F17EE0">
        <w:rPr>
          <w:rFonts w:ascii="Calibri" w:eastAsia="Calibri" w:hAnsi="Calibri" w:cs="Times New Roman"/>
          <w:b/>
          <w:szCs w:val="24"/>
        </w:rPr>
        <w:t xml:space="preserve"> </w:t>
      </w:r>
      <w:r w:rsidR="00F17EE0" w:rsidRPr="004E32A1">
        <w:rPr>
          <w:rFonts w:ascii="Calibri" w:eastAsia="Calibri" w:hAnsi="Calibri" w:cs="Times New Roman"/>
          <w:b/>
          <w:szCs w:val="24"/>
        </w:rPr>
        <w:t>vyspěl</w:t>
      </w:r>
      <w:r w:rsidR="00F17EE0">
        <w:rPr>
          <w:rFonts w:ascii="Calibri" w:eastAsia="Calibri" w:hAnsi="Calibri" w:cs="Times New Roman"/>
          <w:b/>
          <w:szCs w:val="24"/>
        </w:rPr>
        <w:t>osti</w:t>
      </w:r>
      <w:r w:rsidRPr="004E32A1">
        <w:rPr>
          <w:rFonts w:ascii="Calibri" w:eastAsia="Calibri" w:hAnsi="Calibri" w:cs="Times New Roman"/>
          <w:b/>
          <w:szCs w:val="24"/>
        </w:rPr>
        <w:t>.</w:t>
      </w:r>
    </w:p>
    <w:p w14:paraId="758C8541" w14:textId="77777777" w:rsidR="004E32A1" w:rsidRPr="004E32A1" w:rsidRDefault="004E32A1" w:rsidP="00F95CE3">
      <w:pPr>
        <w:numPr>
          <w:ilvl w:val="0"/>
          <w:numId w:val="17"/>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 xml:space="preserve">V zemích, které se umísťují na předních příčkách ve srovnání dle počtu uživatelů </w:t>
      </w:r>
      <w:proofErr w:type="spellStart"/>
      <w:r w:rsidRPr="004E32A1">
        <w:rPr>
          <w:rFonts w:ascii="Calibri" w:eastAsia="Calibri" w:hAnsi="Calibri" w:cs="Times New Roman"/>
          <w:b/>
          <w:szCs w:val="24"/>
        </w:rPr>
        <w:t>eGovernmentu</w:t>
      </w:r>
      <w:proofErr w:type="spellEnd"/>
      <w:r w:rsidRPr="004E32A1">
        <w:rPr>
          <w:rFonts w:ascii="Calibri" w:eastAsia="Calibri" w:hAnsi="Calibri" w:cs="Times New Roman"/>
          <w:b/>
          <w:szCs w:val="24"/>
        </w:rPr>
        <w:t>, byly do systému elektronické identifikace zapojeny soukromé subjekty, zejména banky.</w:t>
      </w:r>
    </w:p>
    <w:p w14:paraId="2AE107D9" w14:textId="1B68FDBC" w:rsidR="004E32A1" w:rsidRPr="004E32A1" w:rsidRDefault="004E32A1" w:rsidP="00F95CE3">
      <w:pPr>
        <w:numPr>
          <w:ilvl w:val="0"/>
          <w:numId w:val="17"/>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 xml:space="preserve">Existuje přímá souvislost mezi mírou digitalizace služeb veřejné správy a mírou penetrace, ČR však zaostává v obou </w:t>
      </w:r>
      <w:r w:rsidR="00F17EE0">
        <w:rPr>
          <w:rFonts w:ascii="Calibri" w:eastAsia="Calibri" w:hAnsi="Calibri" w:cs="Times New Roman"/>
          <w:b/>
          <w:szCs w:val="24"/>
        </w:rPr>
        <w:t xml:space="preserve">těchto </w:t>
      </w:r>
      <w:r w:rsidR="001D20F9">
        <w:rPr>
          <w:rFonts w:ascii="Calibri" w:eastAsia="Calibri" w:hAnsi="Calibri" w:cs="Times New Roman"/>
          <w:b/>
          <w:szCs w:val="24"/>
        </w:rPr>
        <w:t>ukazatelích</w:t>
      </w:r>
      <w:r w:rsidR="00F17EE0">
        <w:rPr>
          <w:rFonts w:ascii="Calibri" w:eastAsia="Calibri" w:hAnsi="Calibri" w:cs="Times New Roman"/>
          <w:b/>
          <w:szCs w:val="24"/>
        </w:rPr>
        <w:t xml:space="preserve"> –</w:t>
      </w:r>
      <w:r w:rsidRPr="004E32A1">
        <w:rPr>
          <w:rFonts w:ascii="Calibri" w:eastAsia="Calibri" w:hAnsi="Calibri" w:cs="Times New Roman"/>
          <w:b/>
          <w:szCs w:val="24"/>
        </w:rPr>
        <w:t xml:space="preserve"> přetrvává nízká míra využívání nástrojů </w:t>
      </w:r>
      <w:proofErr w:type="spellStart"/>
      <w:r w:rsidRPr="004E32A1">
        <w:rPr>
          <w:rFonts w:ascii="Calibri" w:eastAsia="Calibri" w:hAnsi="Calibri" w:cs="Times New Roman"/>
          <w:b/>
          <w:szCs w:val="24"/>
        </w:rPr>
        <w:t>eGovernmentu</w:t>
      </w:r>
      <w:proofErr w:type="spellEnd"/>
      <w:r w:rsidRPr="004E32A1">
        <w:rPr>
          <w:rFonts w:ascii="Calibri" w:eastAsia="Calibri" w:hAnsi="Calibri" w:cs="Times New Roman"/>
          <w:b/>
          <w:szCs w:val="24"/>
        </w:rPr>
        <w:t xml:space="preserve">, jako </w:t>
      </w:r>
      <w:r w:rsidR="00F17EE0">
        <w:rPr>
          <w:rFonts w:ascii="Calibri" w:eastAsia="Calibri" w:hAnsi="Calibri" w:cs="Times New Roman"/>
          <w:b/>
          <w:szCs w:val="24"/>
        </w:rPr>
        <w:t>jsou</w:t>
      </w:r>
      <w:r w:rsidRPr="004E32A1">
        <w:rPr>
          <w:rFonts w:ascii="Calibri" w:eastAsia="Calibri" w:hAnsi="Calibri" w:cs="Times New Roman"/>
          <w:b/>
          <w:szCs w:val="24"/>
        </w:rPr>
        <w:t xml:space="preserve"> elektronická identifikace, </w:t>
      </w:r>
      <w:r w:rsidRPr="00F95CE3">
        <w:rPr>
          <w:rFonts w:ascii="Calibri" w:eastAsia="Calibri" w:hAnsi="Calibri" w:cs="Times New Roman"/>
          <w:b/>
          <w:i/>
          <w:szCs w:val="24"/>
        </w:rPr>
        <w:t>Portál občana</w:t>
      </w:r>
      <w:r w:rsidRPr="004E32A1">
        <w:rPr>
          <w:rFonts w:ascii="Calibri" w:eastAsia="Calibri" w:hAnsi="Calibri" w:cs="Times New Roman"/>
          <w:b/>
          <w:szCs w:val="24"/>
        </w:rPr>
        <w:t xml:space="preserve"> </w:t>
      </w:r>
      <w:r w:rsidR="00F17EE0">
        <w:rPr>
          <w:rFonts w:ascii="Calibri" w:eastAsia="Calibri" w:hAnsi="Calibri" w:cs="Times New Roman"/>
          <w:b/>
          <w:szCs w:val="24"/>
        </w:rPr>
        <w:t>či</w:t>
      </w:r>
      <w:r w:rsidRPr="004E32A1">
        <w:rPr>
          <w:rFonts w:ascii="Calibri" w:eastAsia="Calibri" w:hAnsi="Calibri" w:cs="Times New Roman"/>
          <w:b/>
          <w:szCs w:val="24"/>
        </w:rPr>
        <w:t xml:space="preserve"> </w:t>
      </w:r>
      <w:r w:rsidR="00F17EE0">
        <w:rPr>
          <w:rFonts w:ascii="Calibri" w:eastAsia="Calibri" w:hAnsi="Calibri" w:cs="Times New Roman"/>
          <w:b/>
          <w:szCs w:val="24"/>
        </w:rPr>
        <w:t>d</w:t>
      </w:r>
      <w:r w:rsidRPr="004E32A1">
        <w:rPr>
          <w:rFonts w:ascii="Calibri" w:eastAsia="Calibri" w:hAnsi="Calibri" w:cs="Times New Roman"/>
          <w:b/>
          <w:szCs w:val="24"/>
        </w:rPr>
        <w:t>atové schránky</w:t>
      </w:r>
      <w:r w:rsidR="00F17EE0">
        <w:rPr>
          <w:rFonts w:ascii="Calibri" w:eastAsia="Calibri" w:hAnsi="Calibri" w:cs="Times New Roman"/>
          <w:b/>
          <w:szCs w:val="24"/>
        </w:rPr>
        <w:t>,</w:t>
      </w:r>
      <w:r w:rsidRPr="004E32A1">
        <w:rPr>
          <w:rFonts w:ascii="Calibri" w:eastAsia="Calibri" w:hAnsi="Calibri" w:cs="Times New Roman"/>
          <w:b/>
          <w:szCs w:val="24"/>
        </w:rPr>
        <w:t xml:space="preserve"> a digitalizovány byly nejprve ty služby státní správy, které měly sice adekvátní připravenost, ale nevycházely z analýzy potřeb uživatelů.</w:t>
      </w:r>
    </w:p>
    <w:p w14:paraId="15F6E5C7" w14:textId="7B57D7CF" w:rsidR="004E32A1" w:rsidRPr="004E32A1" w:rsidRDefault="004E32A1" w:rsidP="00F95CE3">
      <w:pPr>
        <w:numPr>
          <w:ilvl w:val="0"/>
          <w:numId w:val="17"/>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Zavedení systému elektronické identifikace a jeho notifikace j</w:t>
      </w:r>
      <w:r w:rsidR="001D20F9">
        <w:rPr>
          <w:rFonts w:ascii="Calibri" w:eastAsia="Calibri" w:hAnsi="Calibri" w:cs="Times New Roman"/>
          <w:b/>
          <w:szCs w:val="24"/>
        </w:rPr>
        <w:t>sou</w:t>
      </w:r>
      <w:r w:rsidRPr="004E32A1">
        <w:rPr>
          <w:rFonts w:ascii="Calibri" w:eastAsia="Calibri" w:hAnsi="Calibri" w:cs="Times New Roman"/>
          <w:b/>
          <w:szCs w:val="24"/>
        </w:rPr>
        <w:t xml:space="preserve"> žádoucí krok</w:t>
      </w:r>
      <w:r w:rsidR="001D20F9">
        <w:rPr>
          <w:rFonts w:ascii="Calibri" w:eastAsia="Calibri" w:hAnsi="Calibri" w:cs="Times New Roman"/>
          <w:b/>
          <w:szCs w:val="24"/>
        </w:rPr>
        <w:t>y</w:t>
      </w:r>
      <w:r w:rsidRPr="004E32A1">
        <w:rPr>
          <w:rFonts w:ascii="Calibri" w:eastAsia="Calibri" w:hAnsi="Calibri" w:cs="Times New Roman"/>
          <w:b/>
          <w:szCs w:val="24"/>
        </w:rPr>
        <w:t xml:space="preserve"> v rozvoji </w:t>
      </w:r>
      <w:proofErr w:type="spellStart"/>
      <w:r w:rsidRPr="004E32A1">
        <w:rPr>
          <w:rFonts w:ascii="Calibri" w:eastAsia="Calibri" w:hAnsi="Calibri" w:cs="Times New Roman"/>
          <w:b/>
          <w:szCs w:val="24"/>
        </w:rPr>
        <w:t>eGovernmentu</w:t>
      </w:r>
      <w:proofErr w:type="spellEnd"/>
      <w:r w:rsidRPr="004E32A1">
        <w:rPr>
          <w:rFonts w:ascii="Calibri" w:eastAsia="Calibri" w:hAnsi="Calibri" w:cs="Times New Roman"/>
          <w:b/>
          <w:szCs w:val="24"/>
        </w:rPr>
        <w:t>, a</w:t>
      </w:r>
      <w:r w:rsidR="001D20F9">
        <w:rPr>
          <w:rFonts w:ascii="Calibri" w:eastAsia="Calibri" w:hAnsi="Calibri" w:cs="Times New Roman"/>
          <w:b/>
          <w:szCs w:val="24"/>
        </w:rPr>
        <w:t>však jejich</w:t>
      </w:r>
      <w:r w:rsidRPr="004E32A1">
        <w:rPr>
          <w:rFonts w:ascii="Calibri" w:eastAsia="Calibri" w:hAnsi="Calibri" w:cs="Times New Roman"/>
          <w:b/>
          <w:szCs w:val="24"/>
        </w:rPr>
        <w:t xml:space="preserve"> vliv na míru využívání </w:t>
      </w:r>
      <w:r w:rsidR="001D20F9">
        <w:rPr>
          <w:rFonts w:ascii="Calibri" w:eastAsia="Calibri" w:hAnsi="Calibri" w:cs="Times New Roman"/>
          <w:b/>
          <w:szCs w:val="24"/>
        </w:rPr>
        <w:t>elektronických služeb veřejné správy</w:t>
      </w:r>
      <w:r w:rsidRPr="004E32A1">
        <w:rPr>
          <w:rFonts w:ascii="Calibri" w:eastAsia="Calibri" w:hAnsi="Calibri" w:cs="Times New Roman"/>
          <w:b/>
          <w:szCs w:val="24"/>
        </w:rPr>
        <w:t xml:space="preserve"> se zatím neprojevil, což se odrazilo i v hodnocení DESI.</w:t>
      </w:r>
    </w:p>
    <w:p w14:paraId="3BD9C3E2" w14:textId="77777777" w:rsidR="004E32A1" w:rsidRPr="004E32A1" w:rsidRDefault="004E32A1" w:rsidP="004E32A1">
      <w:pPr>
        <w:spacing w:after="200" w:line="276" w:lineRule="auto"/>
        <w:ind w:left="720"/>
        <w:contextualSpacing/>
        <w:rPr>
          <w:rFonts w:ascii="Calibri" w:eastAsia="Calibri" w:hAnsi="Calibri" w:cs="Times New Roman"/>
          <w:b/>
          <w:szCs w:val="24"/>
        </w:rPr>
      </w:pPr>
    </w:p>
    <w:p w14:paraId="2C3C7E9C" w14:textId="73FF14EF" w:rsidR="004E32A1" w:rsidRPr="004E32A1" w:rsidRDefault="004E32A1" w:rsidP="004E32A1">
      <w:pPr>
        <w:spacing w:after="200" w:line="276" w:lineRule="auto"/>
        <w:rPr>
          <w:rFonts w:ascii="Calibri" w:eastAsia="Calibri" w:hAnsi="Calibri" w:cs="Times New Roman"/>
          <w:b/>
          <w:szCs w:val="24"/>
        </w:rPr>
      </w:pPr>
      <w:r w:rsidRPr="004E32A1">
        <w:rPr>
          <w:rFonts w:ascii="Calibri" w:eastAsia="Calibri" w:hAnsi="Calibri" w:cs="Times New Roman"/>
          <w:b/>
          <w:szCs w:val="24"/>
        </w:rPr>
        <w:lastRenderedPageBreak/>
        <w:t xml:space="preserve">Na základě mezinárodních zkušeností a </w:t>
      </w:r>
      <w:r w:rsidR="00C0189E">
        <w:rPr>
          <w:rFonts w:ascii="Calibri" w:eastAsia="Calibri" w:hAnsi="Calibri" w:cs="Times New Roman"/>
          <w:b/>
          <w:szCs w:val="24"/>
        </w:rPr>
        <w:t xml:space="preserve">poznatků z kontroly </w:t>
      </w:r>
      <w:r w:rsidRPr="004E32A1">
        <w:rPr>
          <w:rFonts w:ascii="Calibri" w:eastAsia="Calibri" w:hAnsi="Calibri" w:cs="Times New Roman"/>
          <w:b/>
          <w:szCs w:val="24"/>
        </w:rPr>
        <w:t xml:space="preserve">identifikoval </w:t>
      </w:r>
      <w:r w:rsidR="00C0189E" w:rsidRPr="004E32A1">
        <w:rPr>
          <w:rFonts w:ascii="Calibri" w:eastAsia="Calibri" w:hAnsi="Calibri" w:cs="Times New Roman"/>
          <w:b/>
          <w:szCs w:val="24"/>
        </w:rPr>
        <w:t xml:space="preserve">NKÚ </w:t>
      </w:r>
      <w:r w:rsidRPr="004E32A1">
        <w:rPr>
          <w:rFonts w:ascii="Calibri" w:eastAsia="Calibri" w:hAnsi="Calibri" w:cs="Times New Roman"/>
          <w:b/>
          <w:szCs w:val="24"/>
        </w:rPr>
        <w:t xml:space="preserve">několik příkladů dobré praxe, které formuluje jako doporučení pro další postup budování </w:t>
      </w:r>
      <w:proofErr w:type="spellStart"/>
      <w:r w:rsidRPr="004E32A1">
        <w:rPr>
          <w:rFonts w:ascii="Calibri" w:eastAsia="Calibri" w:hAnsi="Calibri" w:cs="Times New Roman"/>
          <w:b/>
          <w:szCs w:val="24"/>
        </w:rPr>
        <w:t>eGovernmentu</w:t>
      </w:r>
      <w:proofErr w:type="spellEnd"/>
      <w:r w:rsidRPr="004E32A1">
        <w:rPr>
          <w:rFonts w:ascii="Calibri" w:eastAsia="Calibri" w:hAnsi="Calibri" w:cs="Times New Roman"/>
          <w:b/>
          <w:szCs w:val="24"/>
        </w:rPr>
        <w:t xml:space="preserve"> a zavádění digitálních služeb.</w:t>
      </w:r>
    </w:p>
    <w:p w14:paraId="27D1E16B" w14:textId="1BD31507" w:rsidR="004E32A1" w:rsidRPr="004E32A1" w:rsidRDefault="004E32A1" w:rsidP="00F95CE3">
      <w:pPr>
        <w:numPr>
          <w:ilvl w:val="0"/>
          <w:numId w:val="16"/>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Analyzovat a zohlednit potřeby uživatelů, tedy poptávku občanů po digitálních službách s cílem digitalizovat prioritně ty služby, o které mají občané nejv</w:t>
      </w:r>
      <w:r w:rsidR="002D10C3">
        <w:rPr>
          <w:rFonts w:ascii="Calibri" w:eastAsia="Calibri" w:hAnsi="Calibri" w:cs="Times New Roman"/>
          <w:b/>
          <w:szCs w:val="24"/>
        </w:rPr>
        <w:t>ětší</w:t>
      </w:r>
      <w:r w:rsidRPr="004E32A1">
        <w:rPr>
          <w:rFonts w:ascii="Calibri" w:eastAsia="Calibri" w:hAnsi="Calibri" w:cs="Times New Roman"/>
          <w:b/>
          <w:szCs w:val="24"/>
        </w:rPr>
        <w:t xml:space="preserve"> zájem.</w:t>
      </w:r>
    </w:p>
    <w:p w14:paraId="39C188EF" w14:textId="60C586A0" w:rsidR="004E32A1" w:rsidRPr="004E32A1" w:rsidRDefault="004E32A1" w:rsidP="00F95CE3">
      <w:pPr>
        <w:numPr>
          <w:ilvl w:val="0"/>
          <w:numId w:val="16"/>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 xml:space="preserve">Sledovat a analyzovat míru digitalizace veřejných služeb v digitálně úspěšných zemích s cílem nalezení dobré praxe a zajistit dostupnost těch digitálních služeb, které se v </w:t>
      </w:r>
      <w:r w:rsidR="00C44016">
        <w:rPr>
          <w:rFonts w:ascii="Calibri" w:eastAsia="Calibri" w:hAnsi="Calibri" w:cs="Times New Roman"/>
          <w:b/>
          <w:szCs w:val="24"/>
        </w:rPr>
        <w:t>sledovaných</w:t>
      </w:r>
      <w:r w:rsidRPr="004E32A1">
        <w:rPr>
          <w:rFonts w:ascii="Calibri" w:eastAsia="Calibri" w:hAnsi="Calibri" w:cs="Times New Roman"/>
          <w:b/>
          <w:szCs w:val="24"/>
        </w:rPr>
        <w:t xml:space="preserve"> zemích osvědčily.</w:t>
      </w:r>
    </w:p>
    <w:p w14:paraId="50AF021A" w14:textId="6352D022" w:rsidR="004E32A1" w:rsidRPr="004E32A1" w:rsidRDefault="00C44016" w:rsidP="00F95CE3">
      <w:pPr>
        <w:numPr>
          <w:ilvl w:val="0"/>
          <w:numId w:val="16"/>
        </w:numPr>
        <w:spacing w:after="200" w:line="276" w:lineRule="auto"/>
        <w:contextualSpacing/>
        <w:rPr>
          <w:rFonts w:ascii="Calibri" w:eastAsia="Calibri" w:hAnsi="Calibri" w:cs="Times New Roman"/>
          <w:b/>
          <w:szCs w:val="24"/>
        </w:rPr>
      </w:pPr>
      <w:r>
        <w:rPr>
          <w:rFonts w:ascii="Calibri" w:eastAsia="Calibri" w:hAnsi="Calibri" w:cs="Times New Roman"/>
          <w:b/>
          <w:szCs w:val="24"/>
        </w:rPr>
        <w:t>Monitorovat</w:t>
      </w:r>
      <w:r w:rsidR="004E32A1" w:rsidRPr="004E32A1">
        <w:rPr>
          <w:rFonts w:ascii="Calibri" w:eastAsia="Calibri" w:hAnsi="Calibri" w:cs="Times New Roman"/>
          <w:b/>
          <w:szCs w:val="24"/>
        </w:rPr>
        <w:t xml:space="preserve"> a vyhodnocovat míru využívání nástrojů </w:t>
      </w:r>
      <w:proofErr w:type="spellStart"/>
      <w:r w:rsidR="004E32A1" w:rsidRPr="004E32A1">
        <w:rPr>
          <w:rFonts w:ascii="Calibri" w:eastAsia="Calibri" w:hAnsi="Calibri" w:cs="Times New Roman"/>
          <w:b/>
          <w:szCs w:val="24"/>
        </w:rPr>
        <w:t>eGovernmentu</w:t>
      </w:r>
      <w:proofErr w:type="spellEnd"/>
      <w:r w:rsidR="004E32A1" w:rsidRPr="004E32A1">
        <w:rPr>
          <w:rFonts w:ascii="Calibri" w:eastAsia="Calibri" w:hAnsi="Calibri" w:cs="Times New Roman"/>
          <w:b/>
          <w:szCs w:val="24"/>
        </w:rPr>
        <w:t xml:space="preserve"> a realizovat aktivity směřující ke zvýšení povědomí občanů o nástrojích </w:t>
      </w:r>
      <w:proofErr w:type="spellStart"/>
      <w:r w:rsidR="004E32A1" w:rsidRPr="004E32A1">
        <w:rPr>
          <w:rFonts w:ascii="Calibri" w:eastAsia="Calibri" w:hAnsi="Calibri" w:cs="Times New Roman"/>
          <w:b/>
          <w:szCs w:val="24"/>
        </w:rPr>
        <w:t>eGovernmentu</w:t>
      </w:r>
      <w:proofErr w:type="spellEnd"/>
      <w:r w:rsidR="004E32A1" w:rsidRPr="004E32A1">
        <w:rPr>
          <w:rFonts w:ascii="Calibri" w:eastAsia="Calibri" w:hAnsi="Calibri" w:cs="Times New Roman"/>
          <w:b/>
          <w:szCs w:val="24"/>
        </w:rPr>
        <w:t xml:space="preserve"> a jejich přínosech, </w:t>
      </w:r>
      <w:r>
        <w:rPr>
          <w:rFonts w:ascii="Calibri" w:eastAsia="Calibri" w:hAnsi="Calibri" w:cs="Times New Roman"/>
          <w:b/>
          <w:szCs w:val="24"/>
        </w:rPr>
        <w:t>např. zahájit</w:t>
      </w:r>
      <w:r w:rsidR="004E32A1" w:rsidRPr="004E32A1">
        <w:rPr>
          <w:rFonts w:ascii="Calibri" w:eastAsia="Calibri" w:hAnsi="Calibri" w:cs="Times New Roman"/>
          <w:b/>
          <w:szCs w:val="24"/>
        </w:rPr>
        <w:t xml:space="preserve"> komplexní propagační kampaň zaměřen</w:t>
      </w:r>
      <w:r>
        <w:rPr>
          <w:rFonts w:ascii="Calibri" w:eastAsia="Calibri" w:hAnsi="Calibri" w:cs="Times New Roman"/>
          <w:b/>
          <w:szCs w:val="24"/>
        </w:rPr>
        <w:t>ou</w:t>
      </w:r>
      <w:r w:rsidR="004E32A1" w:rsidRPr="004E32A1">
        <w:rPr>
          <w:rFonts w:ascii="Calibri" w:eastAsia="Calibri" w:hAnsi="Calibri" w:cs="Times New Roman"/>
          <w:b/>
          <w:szCs w:val="24"/>
        </w:rPr>
        <w:t xml:space="preserve"> na elektronickou identifikaci a dostupné digitální služby. </w:t>
      </w:r>
    </w:p>
    <w:p w14:paraId="64F09202" w14:textId="7B0792BF" w:rsidR="004E32A1" w:rsidRPr="004E32A1" w:rsidRDefault="004E32A1" w:rsidP="00F95CE3">
      <w:pPr>
        <w:numPr>
          <w:ilvl w:val="0"/>
          <w:numId w:val="16"/>
        </w:numPr>
        <w:spacing w:after="200" w:line="276" w:lineRule="auto"/>
        <w:contextualSpacing/>
        <w:rPr>
          <w:rFonts w:ascii="Calibri" w:eastAsia="Calibri" w:hAnsi="Calibri" w:cs="Times New Roman"/>
          <w:b/>
          <w:szCs w:val="24"/>
        </w:rPr>
      </w:pPr>
      <w:r w:rsidRPr="004E32A1">
        <w:rPr>
          <w:rFonts w:ascii="Calibri" w:eastAsia="Calibri" w:hAnsi="Calibri" w:cs="Times New Roman"/>
          <w:b/>
          <w:szCs w:val="24"/>
        </w:rPr>
        <w:t>Rozvíjet systém elektronické identifikace</w:t>
      </w:r>
      <w:r w:rsidR="00C44016">
        <w:rPr>
          <w:rFonts w:ascii="Calibri" w:eastAsia="Calibri" w:hAnsi="Calibri" w:cs="Times New Roman"/>
          <w:b/>
          <w:szCs w:val="24"/>
        </w:rPr>
        <w:t>, a to jak</w:t>
      </w:r>
      <w:r w:rsidRPr="004E32A1">
        <w:rPr>
          <w:rFonts w:ascii="Calibri" w:eastAsia="Calibri" w:hAnsi="Calibri" w:cs="Times New Roman"/>
          <w:b/>
          <w:szCs w:val="24"/>
        </w:rPr>
        <w:t xml:space="preserve"> ve smyslu většího zapojení soukromého sektoru, například bank</w:t>
      </w:r>
      <w:r w:rsidR="00C44016">
        <w:rPr>
          <w:rFonts w:ascii="Calibri" w:eastAsia="Calibri" w:hAnsi="Calibri" w:cs="Times New Roman"/>
          <w:b/>
          <w:szCs w:val="24"/>
        </w:rPr>
        <w:t>, tak ve smyslu</w:t>
      </w:r>
      <w:r w:rsidRPr="004E32A1">
        <w:rPr>
          <w:rFonts w:ascii="Calibri" w:eastAsia="Calibri" w:hAnsi="Calibri" w:cs="Times New Roman"/>
          <w:b/>
          <w:szCs w:val="24"/>
        </w:rPr>
        <w:t xml:space="preserve"> rozšíření o další prostředky elektronické identifikace, které se osvědčily v jiných evropských zemích.</w:t>
      </w:r>
    </w:p>
    <w:p w14:paraId="7C1E4C83" w14:textId="77777777" w:rsidR="004E32A1" w:rsidRPr="004E32A1" w:rsidRDefault="004E32A1" w:rsidP="004E32A1">
      <w:pPr>
        <w:jc w:val="left"/>
        <w:rPr>
          <w:b/>
        </w:rPr>
      </w:pPr>
    </w:p>
    <w:p w14:paraId="67AB9164" w14:textId="150CB6D7" w:rsidR="004E32A1" w:rsidRDefault="004E32A1">
      <w:pPr>
        <w:jc w:val="left"/>
      </w:pPr>
      <w:r>
        <w:br w:type="page"/>
      </w:r>
    </w:p>
    <w:p w14:paraId="5936AB9E" w14:textId="3C41F236" w:rsidR="004E32A1" w:rsidRDefault="004E32A1" w:rsidP="004E32A1">
      <w:pPr>
        <w:spacing w:after="0"/>
        <w:jc w:val="left"/>
        <w:rPr>
          <w:b/>
          <w:szCs w:val="24"/>
        </w:rPr>
      </w:pPr>
      <w:r w:rsidRPr="004E32A1">
        <w:rPr>
          <w:b/>
          <w:szCs w:val="24"/>
        </w:rPr>
        <w:lastRenderedPageBreak/>
        <w:t>Příloha KZ 19/14 č. 2</w:t>
      </w:r>
      <w:r>
        <w:rPr>
          <w:b/>
          <w:szCs w:val="24"/>
        </w:rPr>
        <w:t>:</w:t>
      </w:r>
      <w:r w:rsidRPr="004E32A1">
        <w:rPr>
          <w:b/>
          <w:szCs w:val="24"/>
        </w:rPr>
        <w:t xml:space="preserve"> Přehled služeb dostupných na </w:t>
      </w:r>
      <w:r w:rsidRPr="00F95CE3">
        <w:rPr>
          <w:b/>
          <w:i/>
          <w:szCs w:val="24"/>
        </w:rPr>
        <w:t>Portálu občana</w:t>
      </w:r>
    </w:p>
    <w:p w14:paraId="5DA31824" w14:textId="77777777" w:rsidR="004E32A1" w:rsidRPr="004E32A1" w:rsidRDefault="004E32A1" w:rsidP="004E32A1">
      <w:pPr>
        <w:spacing w:after="0"/>
        <w:jc w:val="left"/>
        <w:rPr>
          <w:b/>
          <w:szCs w:val="24"/>
        </w:rPr>
      </w:pPr>
    </w:p>
    <w:p w14:paraId="2162BB12" w14:textId="74CBB8FF" w:rsidR="004E32A1" w:rsidRDefault="004E32A1" w:rsidP="004E32A1">
      <w:pPr>
        <w:spacing w:after="0"/>
        <w:jc w:val="left"/>
        <w:rPr>
          <w:szCs w:val="24"/>
        </w:rPr>
      </w:pPr>
      <w:r w:rsidRPr="004E32A1">
        <w:rPr>
          <w:szCs w:val="24"/>
        </w:rPr>
        <w:t>NKÚ při kontrole zjistil, že ke dni 12. 12. 2019, tedy 17 měsíců po spuštění</w:t>
      </w:r>
      <w:r w:rsidR="00C44016">
        <w:rPr>
          <w:szCs w:val="24"/>
        </w:rPr>
        <w:t>,</w:t>
      </w:r>
      <w:r w:rsidRPr="004E32A1">
        <w:rPr>
          <w:szCs w:val="24"/>
        </w:rPr>
        <w:t xml:space="preserve"> bylo na </w:t>
      </w:r>
      <w:r w:rsidRPr="00F95CE3">
        <w:rPr>
          <w:i/>
          <w:szCs w:val="24"/>
        </w:rPr>
        <w:t>Portálu občana</w:t>
      </w:r>
      <w:r w:rsidRPr="004E32A1">
        <w:rPr>
          <w:szCs w:val="24"/>
        </w:rPr>
        <w:t xml:space="preserve"> dostupných celkem 14 dlaždic jednotlivých služeb:</w:t>
      </w:r>
    </w:p>
    <w:p w14:paraId="37DEC169" w14:textId="77777777" w:rsidR="004E32A1" w:rsidRPr="004E32A1" w:rsidRDefault="004E32A1" w:rsidP="004E32A1">
      <w:pPr>
        <w:spacing w:after="0"/>
        <w:jc w:val="left"/>
        <w:rPr>
          <w:szCs w:val="24"/>
        </w:rPr>
      </w:pPr>
    </w:p>
    <w:p w14:paraId="63AF5FE1" w14:textId="77777777" w:rsidR="004E32A1" w:rsidRPr="004E32A1" w:rsidRDefault="004E32A1" w:rsidP="004E32A1">
      <w:pPr>
        <w:numPr>
          <w:ilvl w:val="0"/>
          <w:numId w:val="23"/>
        </w:numPr>
        <w:contextualSpacing/>
        <w:jc w:val="left"/>
        <w:rPr>
          <w:szCs w:val="24"/>
        </w:rPr>
      </w:pPr>
      <w:r w:rsidRPr="004E32A1">
        <w:rPr>
          <w:szCs w:val="24"/>
        </w:rPr>
        <w:t>Náhled do katastru nemovitostí</w:t>
      </w:r>
    </w:p>
    <w:p w14:paraId="59FE195F" w14:textId="77777777" w:rsidR="004E32A1" w:rsidRPr="004E32A1" w:rsidRDefault="004E32A1" w:rsidP="004E32A1">
      <w:pPr>
        <w:numPr>
          <w:ilvl w:val="0"/>
          <w:numId w:val="23"/>
        </w:numPr>
        <w:contextualSpacing/>
        <w:jc w:val="left"/>
        <w:rPr>
          <w:szCs w:val="24"/>
        </w:rPr>
      </w:pPr>
      <w:r w:rsidRPr="004E32A1">
        <w:rPr>
          <w:szCs w:val="24"/>
        </w:rPr>
        <w:t>Bodové hodnocení řidiče</w:t>
      </w:r>
    </w:p>
    <w:p w14:paraId="04203B2A" w14:textId="77777777" w:rsidR="004E32A1" w:rsidRPr="004E32A1" w:rsidRDefault="004E32A1" w:rsidP="004E32A1">
      <w:pPr>
        <w:numPr>
          <w:ilvl w:val="0"/>
          <w:numId w:val="23"/>
        </w:numPr>
        <w:contextualSpacing/>
        <w:jc w:val="left"/>
        <w:rPr>
          <w:szCs w:val="24"/>
        </w:rPr>
      </w:pPr>
      <w:r w:rsidRPr="004E32A1">
        <w:rPr>
          <w:szCs w:val="24"/>
        </w:rPr>
        <w:t>Žádost o vyjádření k existenci technické infrastruktury</w:t>
      </w:r>
    </w:p>
    <w:p w14:paraId="638A7214" w14:textId="77777777" w:rsidR="004E32A1" w:rsidRPr="004E32A1" w:rsidRDefault="004E32A1" w:rsidP="004E32A1">
      <w:pPr>
        <w:numPr>
          <w:ilvl w:val="0"/>
          <w:numId w:val="23"/>
        </w:numPr>
        <w:contextualSpacing/>
        <w:jc w:val="left"/>
        <w:rPr>
          <w:szCs w:val="24"/>
        </w:rPr>
      </w:pPr>
      <w:r w:rsidRPr="004E32A1">
        <w:rPr>
          <w:szCs w:val="24"/>
        </w:rPr>
        <w:t>Česká správa sociálního zabezpečení</w:t>
      </w:r>
    </w:p>
    <w:p w14:paraId="51474F78" w14:textId="77777777" w:rsidR="004E32A1" w:rsidRPr="004E32A1" w:rsidRDefault="004E32A1" w:rsidP="004E32A1">
      <w:pPr>
        <w:numPr>
          <w:ilvl w:val="0"/>
          <w:numId w:val="23"/>
        </w:numPr>
        <w:contextualSpacing/>
        <w:jc w:val="left"/>
        <w:rPr>
          <w:szCs w:val="24"/>
        </w:rPr>
      </w:pPr>
      <w:r w:rsidRPr="004E32A1">
        <w:rPr>
          <w:szCs w:val="24"/>
        </w:rPr>
        <w:t>Národní bod pro identifikaci a autentizaci – klíč k elektronickým službám</w:t>
      </w:r>
    </w:p>
    <w:p w14:paraId="37C07F24" w14:textId="77777777" w:rsidR="004E32A1" w:rsidRPr="004E32A1" w:rsidRDefault="004E32A1" w:rsidP="004E32A1">
      <w:pPr>
        <w:numPr>
          <w:ilvl w:val="0"/>
          <w:numId w:val="23"/>
        </w:numPr>
        <w:contextualSpacing/>
        <w:jc w:val="left"/>
        <w:rPr>
          <w:szCs w:val="24"/>
        </w:rPr>
      </w:pPr>
      <w:proofErr w:type="spellStart"/>
      <w:r w:rsidRPr="004E32A1">
        <w:rPr>
          <w:szCs w:val="24"/>
        </w:rPr>
        <w:t>Epreskripce</w:t>
      </w:r>
      <w:proofErr w:type="spellEnd"/>
    </w:p>
    <w:p w14:paraId="6EDA6C08" w14:textId="77777777" w:rsidR="004E32A1" w:rsidRPr="004E32A1" w:rsidRDefault="004E32A1" w:rsidP="004E32A1">
      <w:pPr>
        <w:numPr>
          <w:ilvl w:val="0"/>
          <w:numId w:val="23"/>
        </w:numPr>
        <w:contextualSpacing/>
        <w:jc w:val="left"/>
        <w:rPr>
          <w:szCs w:val="24"/>
        </w:rPr>
      </w:pPr>
      <w:r w:rsidRPr="004E32A1">
        <w:rPr>
          <w:szCs w:val="24"/>
        </w:rPr>
        <w:t xml:space="preserve">Novinky na Portálu občana (propojení na sociální síť </w:t>
      </w:r>
      <w:proofErr w:type="spellStart"/>
      <w:r w:rsidRPr="004E32A1">
        <w:rPr>
          <w:szCs w:val="24"/>
        </w:rPr>
        <w:t>Twitter</w:t>
      </w:r>
      <w:proofErr w:type="spellEnd"/>
      <w:r w:rsidRPr="004E32A1">
        <w:rPr>
          <w:szCs w:val="24"/>
        </w:rPr>
        <w:t>)</w:t>
      </w:r>
    </w:p>
    <w:p w14:paraId="4C6F5495" w14:textId="77777777" w:rsidR="004E32A1" w:rsidRPr="004E32A1" w:rsidRDefault="004E32A1" w:rsidP="004E32A1">
      <w:pPr>
        <w:numPr>
          <w:ilvl w:val="0"/>
          <w:numId w:val="23"/>
        </w:numPr>
        <w:contextualSpacing/>
        <w:jc w:val="left"/>
        <w:rPr>
          <w:szCs w:val="24"/>
        </w:rPr>
      </w:pPr>
      <w:r w:rsidRPr="004E32A1">
        <w:rPr>
          <w:szCs w:val="24"/>
        </w:rPr>
        <w:t>Ministerstvo práce a sociálních věcí</w:t>
      </w:r>
    </w:p>
    <w:p w14:paraId="660CC4B3" w14:textId="77777777" w:rsidR="004E32A1" w:rsidRPr="004E32A1" w:rsidRDefault="004E32A1" w:rsidP="004E32A1">
      <w:pPr>
        <w:numPr>
          <w:ilvl w:val="0"/>
          <w:numId w:val="23"/>
        </w:numPr>
        <w:contextualSpacing/>
        <w:jc w:val="left"/>
        <w:rPr>
          <w:szCs w:val="24"/>
        </w:rPr>
      </w:pPr>
      <w:r w:rsidRPr="004E32A1">
        <w:rPr>
          <w:szCs w:val="24"/>
        </w:rPr>
        <w:t>Úřad práce ČR</w:t>
      </w:r>
    </w:p>
    <w:p w14:paraId="12E2E870" w14:textId="77777777" w:rsidR="004E32A1" w:rsidRPr="004E32A1" w:rsidRDefault="004E32A1" w:rsidP="004E32A1">
      <w:pPr>
        <w:numPr>
          <w:ilvl w:val="0"/>
          <w:numId w:val="23"/>
        </w:numPr>
        <w:contextualSpacing/>
        <w:jc w:val="left"/>
        <w:rPr>
          <w:szCs w:val="24"/>
        </w:rPr>
      </w:pPr>
      <w:r w:rsidRPr="004E32A1">
        <w:rPr>
          <w:szCs w:val="24"/>
        </w:rPr>
        <w:t>Národní kontaktní místo pro elektronické zdravotnictví</w:t>
      </w:r>
    </w:p>
    <w:p w14:paraId="25FBC943" w14:textId="77777777" w:rsidR="004E32A1" w:rsidRPr="004E32A1" w:rsidRDefault="004E32A1" w:rsidP="004E32A1">
      <w:pPr>
        <w:numPr>
          <w:ilvl w:val="0"/>
          <w:numId w:val="23"/>
        </w:numPr>
        <w:contextualSpacing/>
        <w:jc w:val="left"/>
        <w:rPr>
          <w:szCs w:val="24"/>
        </w:rPr>
      </w:pPr>
      <w:r w:rsidRPr="004E32A1">
        <w:rPr>
          <w:szCs w:val="24"/>
        </w:rPr>
        <w:t>Elektronická podání pro Finanční správu (EPO)</w:t>
      </w:r>
    </w:p>
    <w:p w14:paraId="4764C823" w14:textId="48F5E160" w:rsidR="004E32A1" w:rsidRPr="004E32A1" w:rsidRDefault="004E32A1" w:rsidP="004E32A1">
      <w:pPr>
        <w:numPr>
          <w:ilvl w:val="0"/>
          <w:numId w:val="23"/>
        </w:numPr>
        <w:contextualSpacing/>
        <w:jc w:val="left"/>
        <w:rPr>
          <w:szCs w:val="24"/>
        </w:rPr>
      </w:pPr>
      <w:r w:rsidRPr="004E32A1">
        <w:rPr>
          <w:szCs w:val="24"/>
        </w:rPr>
        <w:t>Výstup z živnostenského rejstříku</w:t>
      </w:r>
    </w:p>
    <w:p w14:paraId="005EB46B" w14:textId="77777777" w:rsidR="004E32A1" w:rsidRPr="004E32A1" w:rsidRDefault="004E32A1" w:rsidP="004E32A1">
      <w:pPr>
        <w:numPr>
          <w:ilvl w:val="0"/>
          <w:numId w:val="23"/>
        </w:numPr>
        <w:contextualSpacing/>
        <w:jc w:val="left"/>
        <w:rPr>
          <w:szCs w:val="24"/>
        </w:rPr>
      </w:pPr>
      <w:r w:rsidRPr="004E32A1">
        <w:rPr>
          <w:szCs w:val="24"/>
        </w:rPr>
        <w:t>Jednotný registrační formulář</w:t>
      </w:r>
    </w:p>
    <w:p w14:paraId="4C3C2E35" w14:textId="77777777" w:rsidR="004E32A1" w:rsidRPr="004E32A1" w:rsidRDefault="004E32A1" w:rsidP="004E32A1">
      <w:pPr>
        <w:numPr>
          <w:ilvl w:val="0"/>
          <w:numId w:val="23"/>
        </w:numPr>
        <w:spacing w:after="0"/>
        <w:contextualSpacing/>
        <w:jc w:val="left"/>
        <w:rPr>
          <w:szCs w:val="24"/>
        </w:rPr>
      </w:pPr>
      <w:r w:rsidRPr="004E32A1">
        <w:rPr>
          <w:szCs w:val="24"/>
        </w:rPr>
        <w:t xml:space="preserve">OZP </w:t>
      </w:r>
      <w:proofErr w:type="spellStart"/>
      <w:r w:rsidRPr="004E32A1">
        <w:rPr>
          <w:szCs w:val="24"/>
        </w:rPr>
        <w:t>Vitakarta</w:t>
      </w:r>
      <w:proofErr w:type="spellEnd"/>
    </w:p>
    <w:p w14:paraId="69B89019" w14:textId="77777777" w:rsidR="004E32A1" w:rsidRDefault="004E32A1" w:rsidP="004E32A1">
      <w:pPr>
        <w:spacing w:after="0"/>
        <w:jc w:val="left"/>
        <w:rPr>
          <w:szCs w:val="24"/>
        </w:rPr>
      </w:pPr>
    </w:p>
    <w:p w14:paraId="3BC59015" w14:textId="2D6E6C71" w:rsidR="004E32A1" w:rsidRDefault="004E32A1" w:rsidP="004E32A1">
      <w:pPr>
        <w:spacing w:after="0"/>
        <w:jc w:val="left"/>
        <w:rPr>
          <w:szCs w:val="24"/>
        </w:rPr>
      </w:pPr>
      <w:r w:rsidRPr="004E32A1">
        <w:rPr>
          <w:szCs w:val="24"/>
        </w:rPr>
        <w:t>Dále 9 dlaždic portálu územních samosprávných celků:</w:t>
      </w:r>
    </w:p>
    <w:p w14:paraId="004301F9" w14:textId="77777777" w:rsidR="004E32A1" w:rsidRPr="004E32A1" w:rsidRDefault="004E32A1" w:rsidP="004E32A1">
      <w:pPr>
        <w:spacing w:after="0"/>
        <w:jc w:val="left"/>
        <w:rPr>
          <w:szCs w:val="24"/>
        </w:rPr>
      </w:pPr>
    </w:p>
    <w:p w14:paraId="25353BEA" w14:textId="77777777" w:rsidR="004E32A1" w:rsidRPr="004E32A1" w:rsidRDefault="004E32A1" w:rsidP="004E32A1">
      <w:pPr>
        <w:numPr>
          <w:ilvl w:val="0"/>
          <w:numId w:val="24"/>
        </w:numPr>
        <w:contextualSpacing/>
        <w:jc w:val="left"/>
        <w:rPr>
          <w:szCs w:val="24"/>
        </w:rPr>
      </w:pPr>
      <w:r w:rsidRPr="004E32A1">
        <w:rPr>
          <w:szCs w:val="24"/>
        </w:rPr>
        <w:t>Portál občana města Pelhřimov</w:t>
      </w:r>
    </w:p>
    <w:p w14:paraId="06484206" w14:textId="77777777" w:rsidR="004E32A1" w:rsidRPr="004E32A1" w:rsidRDefault="004E32A1" w:rsidP="004E32A1">
      <w:pPr>
        <w:numPr>
          <w:ilvl w:val="0"/>
          <w:numId w:val="24"/>
        </w:numPr>
        <w:contextualSpacing/>
        <w:jc w:val="left"/>
        <w:rPr>
          <w:szCs w:val="24"/>
        </w:rPr>
      </w:pPr>
      <w:r w:rsidRPr="004E32A1">
        <w:rPr>
          <w:szCs w:val="24"/>
        </w:rPr>
        <w:t>Portál občana města Chotěboř</w:t>
      </w:r>
    </w:p>
    <w:p w14:paraId="1D1994A2" w14:textId="77777777" w:rsidR="004E32A1" w:rsidRPr="004E32A1" w:rsidRDefault="004E32A1" w:rsidP="004E32A1">
      <w:pPr>
        <w:numPr>
          <w:ilvl w:val="0"/>
          <w:numId w:val="24"/>
        </w:numPr>
        <w:contextualSpacing/>
        <w:jc w:val="left"/>
        <w:rPr>
          <w:szCs w:val="24"/>
        </w:rPr>
      </w:pPr>
      <w:r w:rsidRPr="004E32A1">
        <w:rPr>
          <w:szCs w:val="24"/>
        </w:rPr>
        <w:t>Portál občana města Říčany</w:t>
      </w:r>
    </w:p>
    <w:p w14:paraId="7967C405" w14:textId="77777777" w:rsidR="004E32A1" w:rsidRPr="004E32A1" w:rsidRDefault="004E32A1" w:rsidP="004E32A1">
      <w:pPr>
        <w:numPr>
          <w:ilvl w:val="0"/>
          <w:numId w:val="24"/>
        </w:numPr>
        <w:contextualSpacing/>
        <w:jc w:val="left"/>
        <w:rPr>
          <w:szCs w:val="24"/>
        </w:rPr>
      </w:pPr>
      <w:r w:rsidRPr="004E32A1">
        <w:rPr>
          <w:szCs w:val="24"/>
        </w:rPr>
        <w:t>Portál občana města Telč</w:t>
      </w:r>
    </w:p>
    <w:p w14:paraId="1CD7E45C" w14:textId="77777777" w:rsidR="004E32A1" w:rsidRPr="004E32A1" w:rsidRDefault="004E32A1" w:rsidP="004E32A1">
      <w:pPr>
        <w:numPr>
          <w:ilvl w:val="0"/>
          <w:numId w:val="24"/>
        </w:numPr>
        <w:contextualSpacing/>
        <w:jc w:val="left"/>
        <w:rPr>
          <w:szCs w:val="24"/>
        </w:rPr>
      </w:pPr>
      <w:r w:rsidRPr="004E32A1">
        <w:rPr>
          <w:szCs w:val="24"/>
        </w:rPr>
        <w:t>Portál občana města Znojma</w:t>
      </w:r>
    </w:p>
    <w:p w14:paraId="216070AB" w14:textId="77777777" w:rsidR="004E32A1" w:rsidRPr="004E32A1" w:rsidRDefault="004E32A1" w:rsidP="004E32A1">
      <w:pPr>
        <w:numPr>
          <w:ilvl w:val="0"/>
          <w:numId w:val="24"/>
        </w:numPr>
        <w:contextualSpacing/>
        <w:jc w:val="left"/>
        <w:rPr>
          <w:szCs w:val="24"/>
        </w:rPr>
      </w:pPr>
      <w:r w:rsidRPr="004E32A1">
        <w:rPr>
          <w:szCs w:val="24"/>
        </w:rPr>
        <w:t>Portál občana města Lysá nad Labem</w:t>
      </w:r>
    </w:p>
    <w:p w14:paraId="0BCF2265" w14:textId="77777777" w:rsidR="004E32A1" w:rsidRPr="004E32A1" w:rsidRDefault="004E32A1" w:rsidP="004E32A1">
      <w:pPr>
        <w:numPr>
          <w:ilvl w:val="0"/>
          <w:numId w:val="24"/>
        </w:numPr>
        <w:contextualSpacing/>
        <w:jc w:val="left"/>
        <w:rPr>
          <w:szCs w:val="24"/>
        </w:rPr>
      </w:pPr>
      <w:r w:rsidRPr="004E32A1">
        <w:rPr>
          <w:szCs w:val="24"/>
        </w:rPr>
        <w:t>Portál občana města Příbram</w:t>
      </w:r>
    </w:p>
    <w:p w14:paraId="2467411A" w14:textId="7EE0D682" w:rsidR="004E32A1" w:rsidRDefault="004E32A1" w:rsidP="004E32A1">
      <w:pPr>
        <w:numPr>
          <w:ilvl w:val="0"/>
          <w:numId w:val="24"/>
        </w:numPr>
        <w:spacing w:after="0"/>
        <w:contextualSpacing/>
        <w:jc w:val="left"/>
        <w:rPr>
          <w:szCs w:val="24"/>
        </w:rPr>
      </w:pPr>
      <w:proofErr w:type="spellStart"/>
      <w:r w:rsidRPr="004E32A1">
        <w:rPr>
          <w:szCs w:val="24"/>
        </w:rPr>
        <w:t>Epodatelna</w:t>
      </w:r>
      <w:proofErr w:type="spellEnd"/>
      <w:r w:rsidRPr="004E32A1">
        <w:rPr>
          <w:szCs w:val="24"/>
        </w:rPr>
        <w:t xml:space="preserve"> Moravskoslezského kraje</w:t>
      </w:r>
    </w:p>
    <w:p w14:paraId="1292474B" w14:textId="4B273CC5" w:rsidR="00F95CE3" w:rsidRPr="004E32A1" w:rsidRDefault="00F95CE3" w:rsidP="004E32A1">
      <w:pPr>
        <w:numPr>
          <w:ilvl w:val="0"/>
          <w:numId w:val="24"/>
        </w:numPr>
        <w:spacing w:after="0"/>
        <w:contextualSpacing/>
        <w:jc w:val="left"/>
        <w:rPr>
          <w:szCs w:val="24"/>
        </w:rPr>
      </w:pPr>
      <w:r>
        <w:rPr>
          <w:szCs w:val="24"/>
        </w:rPr>
        <w:t>Rezervační systém města Říčany</w:t>
      </w:r>
    </w:p>
    <w:p w14:paraId="6D13B55D" w14:textId="77777777" w:rsidR="004E32A1" w:rsidRDefault="004E32A1" w:rsidP="004E32A1">
      <w:pPr>
        <w:spacing w:after="0"/>
        <w:jc w:val="left"/>
        <w:rPr>
          <w:szCs w:val="24"/>
        </w:rPr>
      </w:pPr>
    </w:p>
    <w:p w14:paraId="28395611" w14:textId="793F5A54" w:rsidR="004E32A1" w:rsidRDefault="004E32A1" w:rsidP="004E32A1">
      <w:pPr>
        <w:spacing w:after="0"/>
        <w:jc w:val="left"/>
        <w:rPr>
          <w:szCs w:val="24"/>
        </w:rPr>
      </w:pPr>
      <w:r w:rsidRPr="004E32A1">
        <w:rPr>
          <w:szCs w:val="24"/>
        </w:rPr>
        <w:t xml:space="preserve">Dále </w:t>
      </w:r>
      <w:r w:rsidRPr="00F95CE3">
        <w:rPr>
          <w:i/>
          <w:szCs w:val="24"/>
        </w:rPr>
        <w:t>Portál občana</w:t>
      </w:r>
      <w:r w:rsidRPr="004E32A1">
        <w:rPr>
          <w:szCs w:val="24"/>
        </w:rPr>
        <w:t xml:space="preserve"> umožňoval činit elektronická podání </w:t>
      </w:r>
      <w:r w:rsidR="00C44016">
        <w:rPr>
          <w:szCs w:val="24"/>
        </w:rPr>
        <w:t>k</w:t>
      </w:r>
      <w:r w:rsidRPr="004E32A1">
        <w:rPr>
          <w:szCs w:val="24"/>
        </w:rPr>
        <w:t xml:space="preserve"> orgánům veřejné správy prostřednictvím 15 předvyplněných formulářů:</w:t>
      </w:r>
    </w:p>
    <w:p w14:paraId="7C0D3336" w14:textId="77777777" w:rsidR="004E32A1" w:rsidRPr="004E32A1" w:rsidRDefault="004E32A1" w:rsidP="004E32A1">
      <w:pPr>
        <w:spacing w:after="0"/>
        <w:jc w:val="left"/>
        <w:rPr>
          <w:szCs w:val="24"/>
        </w:rPr>
      </w:pPr>
    </w:p>
    <w:p w14:paraId="3AA798ED" w14:textId="6F06EB58" w:rsidR="004E32A1" w:rsidRPr="004E32A1" w:rsidRDefault="004E32A1" w:rsidP="004E32A1">
      <w:pPr>
        <w:numPr>
          <w:ilvl w:val="0"/>
          <w:numId w:val="24"/>
        </w:numPr>
        <w:contextualSpacing/>
        <w:jc w:val="left"/>
        <w:rPr>
          <w:szCs w:val="24"/>
        </w:rPr>
      </w:pPr>
      <w:r w:rsidRPr="004E32A1">
        <w:rPr>
          <w:szCs w:val="24"/>
        </w:rPr>
        <w:t>Výpis údajů z registru obyvatel</w:t>
      </w:r>
    </w:p>
    <w:p w14:paraId="4AA29244" w14:textId="777F7F49" w:rsidR="004E32A1" w:rsidRPr="004E32A1" w:rsidRDefault="004E32A1" w:rsidP="004E32A1">
      <w:pPr>
        <w:numPr>
          <w:ilvl w:val="0"/>
          <w:numId w:val="24"/>
        </w:numPr>
        <w:contextualSpacing/>
        <w:jc w:val="left"/>
        <w:rPr>
          <w:szCs w:val="24"/>
        </w:rPr>
      </w:pPr>
      <w:r w:rsidRPr="004E32A1">
        <w:rPr>
          <w:szCs w:val="24"/>
        </w:rPr>
        <w:t>Výpis o využití údajů z registru obyvatel</w:t>
      </w:r>
    </w:p>
    <w:p w14:paraId="59D21032" w14:textId="7142F825" w:rsidR="004E32A1" w:rsidRPr="004E32A1" w:rsidRDefault="004E32A1" w:rsidP="004E32A1">
      <w:pPr>
        <w:numPr>
          <w:ilvl w:val="0"/>
          <w:numId w:val="24"/>
        </w:numPr>
        <w:contextualSpacing/>
        <w:jc w:val="left"/>
        <w:rPr>
          <w:szCs w:val="24"/>
        </w:rPr>
      </w:pPr>
      <w:r w:rsidRPr="004E32A1">
        <w:rPr>
          <w:szCs w:val="24"/>
        </w:rPr>
        <w:t>Veřejný výpis z registru osob</w:t>
      </w:r>
    </w:p>
    <w:p w14:paraId="6AC431AB" w14:textId="3136A18C" w:rsidR="004E32A1" w:rsidRPr="004E32A1" w:rsidRDefault="004E32A1" w:rsidP="004E32A1">
      <w:pPr>
        <w:numPr>
          <w:ilvl w:val="0"/>
          <w:numId w:val="24"/>
        </w:numPr>
        <w:contextualSpacing/>
        <w:jc w:val="left"/>
        <w:rPr>
          <w:szCs w:val="24"/>
        </w:rPr>
      </w:pPr>
      <w:r w:rsidRPr="004E32A1">
        <w:rPr>
          <w:szCs w:val="24"/>
        </w:rPr>
        <w:t>Neveřejný výpis údajů podnikající fyzické osoby z registru osob</w:t>
      </w:r>
    </w:p>
    <w:p w14:paraId="03B24F5B" w14:textId="17E04650" w:rsidR="004E32A1" w:rsidRPr="004E32A1" w:rsidRDefault="004E32A1" w:rsidP="004E32A1">
      <w:pPr>
        <w:numPr>
          <w:ilvl w:val="0"/>
          <w:numId w:val="24"/>
        </w:numPr>
        <w:contextualSpacing/>
        <w:jc w:val="left"/>
        <w:rPr>
          <w:szCs w:val="24"/>
        </w:rPr>
      </w:pPr>
      <w:r w:rsidRPr="004E32A1">
        <w:rPr>
          <w:szCs w:val="24"/>
        </w:rPr>
        <w:t>Výpis o využití údajů z registru osob</w:t>
      </w:r>
    </w:p>
    <w:p w14:paraId="6A9B0EA1" w14:textId="11F6255C" w:rsidR="004E32A1" w:rsidRPr="004E32A1" w:rsidRDefault="004E32A1" w:rsidP="004E32A1">
      <w:pPr>
        <w:numPr>
          <w:ilvl w:val="0"/>
          <w:numId w:val="24"/>
        </w:numPr>
        <w:contextualSpacing/>
        <w:jc w:val="left"/>
        <w:rPr>
          <w:szCs w:val="24"/>
        </w:rPr>
      </w:pPr>
      <w:r w:rsidRPr="004E32A1">
        <w:rPr>
          <w:szCs w:val="24"/>
        </w:rPr>
        <w:t>Výpis bodového hodnocení řidiče</w:t>
      </w:r>
    </w:p>
    <w:p w14:paraId="598D15A5" w14:textId="2B03FA0A" w:rsidR="004E32A1" w:rsidRPr="004E32A1" w:rsidRDefault="004E32A1" w:rsidP="004E32A1">
      <w:pPr>
        <w:numPr>
          <w:ilvl w:val="0"/>
          <w:numId w:val="24"/>
        </w:numPr>
        <w:contextualSpacing/>
        <w:jc w:val="left"/>
        <w:rPr>
          <w:szCs w:val="24"/>
        </w:rPr>
      </w:pPr>
      <w:r w:rsidRPr="004E32A1">
        <w:rPr>
          <w:szCs w:val="24"/>
        </w:rPr>
        <w:t>Výpis ze seznamu kvalifikovaných dodavatelů</w:t>
      </w:r>
    </w:p>
    <w:p w14:paraId="14844F02" w14:textId="529C0D46" w:rsidR="004E32A1" w:rsidRPr="004E32A1" w:rsidRDefault="004E32A1" w:rsidP="004E32A1">
      <w:pPr>
        <w:numPr>
          <w:ilvl w:val="0"/>
          <w:numId w:val="24"/>
        </w:numPr>
        <w:contextualSpacing/>
        <w:jc w:val="left"/>
        <w:rPr>
          <w:szCs w:val="24"/>
        </w:rPr>
      </w:pPr>
      <w:r w:rsidRPr="004E32A1">
        <w:rPr>
          <w:szCs w:val="24"/>
        </w:rPr>
        <w:t>Výpis z insolvenčního rejstříku</w:t>
      </w:r>
    </w:p>
    <w:p w14:paraId="32D7C111" w14:textId="47176D54" w:rsidR="004E32A1" w:rsidRPr="004E32A1" w:rsidRDefault="004E32A1" w:rsidP="004E32A1">
      <w:pPr>
        <w:numPr>
          <w:ilvl w:val="0"/>
          <w:numId w:val="24"/>
        </w:numPr>
        <w:contextualSpacing/>
        <w:jc w:val="left"/>
        <w:rPr>
          <w:szCs w:val="24"/>
        </w:rPr>
      </w:pPr>
      <w:r w:rsidRPr="004E32A1">
        <w:rPr>
          <w:szCs w:val="24"/>
        </w:rPr>
        <w:lastRenderedPageBreak/>
        <w:t>Výpis z rejstříku trestů právnických osob</w:t>
      </w:r>
    </w:p>
    <w:p w14:paraId="1A166BA4" w14:textId="68CA02FC" w:rsidR="004E32A1" w:rsidRPr="004E32A1" w:rsidRDefault="004E32A1" w:rsidP="004E32A1">
      <w:pPr>
        <w:numPr>
          <w:ilvl w:val="0"/>
          <w:numId w:val="24"/>
        </w:numPr>
        <w:contextualSpacing/>
        <w:jc w:val="left"/>
        <w:rPr>
          <w:szCs w:val="24"/>
        </w:rPr>
      </w:pPr>
      <w:r w:rsidRPr="004E32A1">
        <w:rPr>
          <w:szCs w:val="24"/>
        </w:rPr>
        <w:t>Výpis z veřejného rejstříku</w:t>
      </w:r>
    </w:p>
    <w:p w14:paraId="692C2A79" w14:textId="28E164BA" w:rsidR="004E32A1" w:rsidRPr="004E32A1" w:rsidRDefault="004E32A1" w:rsidP="004E32A1">
      <w:pPr>
        <w:numPr>
          <w:ilvl w:val="0"/>
          <w:numId w:val="24"/>
        </w:numPr>
        <w:contextualSpacing/>
        <w:jc w:val="left"/>
        <w:rPr>
          <w:szCs w:val="24"/>
        </w:rPr>
      </w:pPr>
      <w:r w:rsidRPr="004E32A1">
        <w:rPr>
          <w:szCs w:val="24"/>
        </w:rPr>
        <w:t>Výpis z živnostenského rejstříku</w:t>
      </w:r>
    </w:p>
    <w:p w14:paraId="5E665120" w14:textId="69E1EB9D" w:rsidR="004E32A1" w:rsidRPr="004E32A1" w:rsidRDefault="004E32A1" w:rsidP="004E32A1">
      <w:pPr>
        <w:numPr>
          <w:ilvl w:val="0"/>
          <w:numId w:val="24"/>
        </w:numPr>
        <w:contextualSpacing/>
        <w:jc w:val="left"/>
        <w:rPr>
          <w:szCs w:val="24"/>
        </w:rPr>
      </w:pPr>
      <w:r w:rsidRPr="004E32A1">
        <w:rPr>
          <w:szCs w:val="24"/>
        </w:rPr>
        <w:t>Neveřejný výpis z živnostenského rejstříku</w:t>
      </w:r>
    </w:p>
    <w:p w14:paraId="16432B6B" w14:textId="24820CA1" w:rsidR="004E32A1" w:rsidRPr="004E32A1" w:rsidRDefault="004E32A1" w:rsidP="004E32A1">
      <w:pPr>
        <w:numPr>
          <w:ilvl w:val="0"/>
          <w:numId w:val="24"/>
        </w:numPr>
        <w:contextualSpacing/>
        <w:jc w:val="left"/>
        <w:rPr>
          <w:szCs w:val="24"/>
        </w:rPr>
      </w:pPr>
      <w:r w:rsidRPr="004E32A1">
        <w:rPr>
          <w:szCs w:val="24"/>
        </w:rPr>
        <w:t xml:space="preserve">Výpis z </w:t>
      </w:r>
      <w:r w:rsidR="00C44016">
        <w:rPr>
          <w:szCs w:val="24"/>
        </w:rPr>
        <w:t>r</w:t>
      </w:r>
      <w:r w:rsidRPr="004E32A1">
        <w:rPr>
          <w:szCs w:val="24"/>
        </w:rPr>
        <w:t>ejstříku trestů</w:t>
      </w:r>
    </w:p>
    <w:p w14:paraId="29E565D7" w14:textId="2C2B3B34" w:rsidR="004E32A1" w:rsidRPr="004E32A1" w:rsidRDefault="004E32A1" w:rsidP="004E32A1">
      <w:pPr>
        <w:numPr>
          <w:ilvl w:val="0"/>
          <w:numId w:val="24"/>
        </w:numPr>
        <w:contextualSpacing/>
        <w:jc w:val="left"/>
        <w:rPr>
          <w:szCs w:val="24"/>
        </w:rPr>
      </w:pPr>
      <w:r w:rsidRPr="004E32A1">
        <w:rPr>
          <w:szCs w:val="24"/>
        </w:rPr>
        <w:t>Podání žádosti o informace</w:t>
      </w:r>
    </w:p>
    <w:p w14:paraId="6080A4E6" w14:textId="7AA84F09" w:rsidR="004E32A1" w:rsidRPr="004E32A1" w:rsidRDefault="004E32A1" w:rsidP="004E32A1">
      <w:pPr>
        <w:numPr>
          <w:ilvl w:val="0"/>
          <w:numId w:val="24"/>
        </w:numPr>
        <w:contextualSpacing/>
        <w:jc w:val="left"/>
        <w:rPr>
          <w:szCs w:val="24"/>
        </w:rPr>
      </w:pPr>
      <w:r w:rsidRPr="004E32A1">
        <w:rPr>
          <w:szCs w:val="24"/>
        </w:rPr>
        <w:t>Potvrzení o studiu</w:t>
      </w:r>
    </w:p>
    <w:p w14:paraId="23CF20A9" w14:textId="77777777" w:rsidR="002E043B" w:rsidRPr="004E32A1" w:rsidRDefault="002E043B" w:rsidP="002A30AC">
      <w:pPr>
        <w:rPr>
          <w:szCs w:val="24"/>
        </w:rPr>
      </w:pPr>
    </w:p>
    <w:sectPr w:rsidR="002E043B" w:rsidRPr="004E32A1" w:rsidSect="004D48B9">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10DE6" w14:textId="77777777" w:rsidR="008E01EE" w:rsidRDefault="008E01EE" w:rsidP="002A30AC">
      <w:pPr>
        <w:spacing w:after="0" w:line="240" w:lineRule="auto"/>
      </w:pPr>
      <w:r>
        <w:separator/>
      </w:r>
    </w:p>
  </w:endnote>
  <w:endnote w:type="continuationSeparator" w:id="0">
    <w:p w14:paraId="503A0FB2" w14:textId="77777777" w:rsidR="008E01EE" w:rsidRDefault="008E01EE" w:rsidP="002A30AC">
      <w:pPr>
        <w:spacing w:after="0" w:line="240" w:lineRule="auto"/>
      </w:pPr>
      <w:r>
        <w:continuationSeparator/>
      </w:r>
    </w:p>
  </w:endnote>
  <w:endnote w:type="continuationNotice" w:id="1">
    <w:p w14:paraId="61480433" w14:textId="77777777" w:rsidR="008E01EE" w:rsidRDefault="008E0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47421"/>
      <w:docPartObj>
        <w:docPartGallery w:val="Page Numbers (Bottom of Page)"/>
        <w:docPartUnique/>
      </w:docPartObj>
    </w:sdtPr>
    <w:sdtEndPr/>
    <w:sdtContent>
      <w:p w14:paraId="17A1C708" w14:textId="247D365C" w:rsidR="008E01EE" w:rsidRDefault="008E01EE">
        <w:pPr>
          <w:pStyle w:val="Zpat"/>
          <w:jc w:val="center"/>
        </w:pPr>
        <w:r>
          <w:fldChar w:fldCharType="begin"/>
        </w:r>
        <w:r>
          <w:instrText>PAGE   \* MERGEFORMAT</w:instrText>
        </w:r>
        <w:r>
          <w:fldChar w:fldCharType="separate"/>
        </w:r>
        <w:r w:rsidR="000A499A">
          <w:rPr>
            <w:noProof/>
          </w:rPr>
          <w:t>26</w:t>
        </w:r>
        <w:r>
          <w:fldChar w:fldCharType="end"/>
        </w:r>
      </w:p>
    </w:sdtContent>
  </w:sdt>
  <w:p w14:paraId="4D03FA15" w14:textId="77777777" w:rsidR="008E01EE" w:rsidRDefault="008E01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7BA88" w14:textId="77777777" w:rsidR="008E01EE" w:rsidRDefault="008E01EE" w:rsidP="002A30AC">
      <w:pPr>
        <w:spacing w:after="0" w:line="240" w:lineRule="auto"/>
      </w:pPr>
      <w:r>
        <w:separator/>
      </w:r>
    </w:p>
  </w:footnote>
  <w:footnote w:type="continuationSeparator" w:id="0">
    <w:p w14:paraId="0C4FBDA2" w14:textId="77777777" w:rsidR="008E01EE" w:rsidRDefault="008E01EE" w:rsidP="002A30AC">
      <w:pPr>
        <w:spacing w:after="0" w:line="240" w:lineRule="auto"/>
      </w:pPr>
      <w:r>
        <w:continuationSeparator/>
      </w:r>
    </w:p>
  </w:footnote>
  <w:footnote w:type="continuationNotice" w:id="1">
    <w:p w14:paraId="7F197295" w14:textId="77777777" w:rsidR="008E01EE" w:rsidRDefault="008E01EE">
      <w:pPr>
        <w:spacing w:after="0" w:line="240" w:lineRule="auto"/>
      </w:pPr>
    </w:p>
  </w:footnote>
  <w:footnote w:id="2">
    <w:p w14:paraId="4E0381F7" w14:textId="6124C9F8" w:rsidR="008E01EE" w:rsidRDefault="008E01EE" w:rsidP="006F7789">
      <w:pPr>
        <w:pStyle w:val="Textpoznpodarou"/>
        <w:ind w:left="284" w:hanging="284"/>
      </w:pPr>
      <w:r>
        <w:rPr>
          <w:rStyle w:val="Znakapoznpodarou"/>
        </w:rPr>
        <w:footnoteRef/>
      </w:r>
      <w:r>
        <w:t xml:space="preserve"> </w:t>
      </w:r>
      <w:r>
        <w:tab/>
        <w:t>N</w:t>
      </w:r>
      <w:r w:rsidRPr="009819DA">
        <w:t>ařízení Evropského parlamentu a Rady (EU) č. 910/2014 ze dne 23. 7. 2014</w:t>
      </w:r>
      <w:r>
        <w:t>, o elektronické identifikaci a </w:t>
      </w:r>
      <w:r w:rsidRPr="009819DA">
        <w:t>službách vytvářejících důvěru pro elektronické transakce na vnitřním trhu a o zrušení směrnice 1999/93/ES</w:t>
      </w:r>
      <w:r>
        <w:t>.</w:t>
      </w:r>
    </w:p>
  </w:footnote>
  <w:footnote w:id="3">
    <w:p w14:paraId="7B2C3E81" w14:textId="44BA2A5D" w:rsidR="008E01EE" w:rsidRDefault="008E01EE" w:rsidP="006F7789">
      <w:pPr>
        <w:pStyle w:val="Textpoznpodarou"/>
        <w:ind w:left="284" w:hanging="284"/>
      </w:pPr>
      <w:r>
        <w:rPr>
          <w:rStyle w:val="Znakapoznpodarou"/>
        </w:rPr>
        <w:footnoteRef/>
      </w:r>
      <w:r>
        <w:t xml:space="preserve"> </w:t>
      </w:r>
      <w:r>
        <w:tab/>
        <w:t xml:space="preserve">SRRVS schválila vláda svým usnesením ze dne 27. srpna 2014 č. 680. Součástí koncepce </w:t>
      </w:r>
      <w:r w:rsidRPr="00000FC7">
        <w:rPr>
          <w:i/>
        </w:rPr>
        <w:t>Digitální Česko</w:t>
      </w:r>
      <w:r>
        <w:t xml:space="preserve"> je zejména </w:t>
      </w:r>
      <w:r w:rsidRPr="00000FC7">
        <w:rPr>
          <w:i/>
        </w:rPr>
        <w:t>Informační koncepce České republiky</w:t>
      </w:r>
      <w:r>
        <w:t>, kterou schválila vláda svým usnesením ze dne 3. 10. 2018 č. 629.</w:t>
      </w:r>
    </w:p>
  </w:footnote>
  <w:footnote w:id="4">
    <w:p w14:paraId="6178F076" w14:textId="11D9AF0F" w:rsidR="008E01EE" w:rsidRPr="003909AE" w:rsidRDefault="008E01EE" w:rsidP="006F7789">
      <w:pPr>
        <w:pStyle w:val="Textpoznpodarou"/>
        <w:ind w:left="284" w:hanging="284"/>
      </w:pPr>
      <w:r w:rsidRPr="003909AE">
        <w:rPr>
          <w:rStyle w:val="Znakapoznpodarou"/>
        </w:rPr>
        <w:footnoteRef/>
      </w:r>
      <w:r w:rsidRPr="003909AE">
        <w:t xml:space="preserve"> </w:t>
      </w:r>
      <w:r w:rsidRPr="003909AE">
        <w:tab/>
      </w:r>
      <w:r>
        <w:t xml:space="preserve">Viz: </w:t>
      </w:r>
      <w:hyperlink r:id="rId1" w:history="1">
        <w:r w:rsidRPr="003F0BE7">
          <w:rPr>
            <w:rStyle w:val="Hypertextovodkaz"/>
          </w:rPr>
          <w:t>https://smlouvy.gov.cz/smlouva/2486094</w:t>
        </w:r>
      </w:hyperlink>
      <w:r w:rsidRPr="003909AE">
        <w:t>.</w:t>
      </w:r>
    </w:p>
  </w:footnote>
  <w:footnote w:id="5">
    <w:p w14:paraId="553FE8D1" w14:textId="5111B873" w:rsidR="008E01EE" w:rsidRPr="00CA6CBC" w:rsidRDefault="008E01EE" w:rsidP="006F7789">
      <w:pPr>
        <w:pStyle w:val="Textpoznpodarou"/>
        <w:ind w:left="284" w:hanging="284"/>
      </w:pPr>
      <w:r w:rsidRPr="003909AE">
        <w:rPr>
          <w:rStyle w:val="Znakapoznpodarou"/>
        </w:rPr>
        <w:footnoteRef/>
      </w:r>
      <w:r w:rsidRPr="003909AE">
        <w:t xml:space="preserve"> </w:t>
      </w:r>
      <w:r>
        <w:tab/>
      </w:r>
      <w:r w:rsidRPr="003909AE">
        <w:t xml:space="preserve">Od 1. 3. 2020 je však možné si zřídit </w:t>
      </w:r>
      <w:r>
        <w:t>d</w:t>
      </w:r>
      <w:r w:rsidRPr="003909AE">
        <w:t xml:space="preserve">atovou schránku z domova za použití elektronické identifikace pomocí </w:t>
      </w:r>
      <w:proofErr w:type="spellStart"/>
      <w:r w:rsidRPr="003909AE">
        <w:t>eOP</w:t>
      </w:r>
      <w:proofErr w:type="spellEnd"/>
      <w:r w:rsidRPr="003909AE">
        <w:t>.</w:t>
      </w:r>
    </w:p>
  </w:footnote>
  <w:footnote w:id="6">
    <w:p w14:paraId="79201808" w14:textId="7B1FB512" w:rsidR="008E01EE" w:rsidRDefault="008E01EE" w:rsidP="006F7789">
      <w:pPr>
        <w:pStyle w:val="Textpoznpodarou"/>
        <w:ind w:left="284" w:hanging="284"/>
      </w:pPr>
      <w:r>
        <w:rPr>
          <w:rStyle w:val="Znakapoznpodarou"/>
        </w:rPr>
        <w:footnoteRef/>
      </w:r>
      <w:r>
        <w:t xml:space="preserve"> </w:t>
      </w:r>
      <w:r>
        <w:tab/>
        <w:t>Zákon č. 12/2020 Sb., o právu na digitální služby a o změně některých zákonů; schválen 11. 12. 2019 a účinný od 1. 2. 2020.</w:t>
      </w:r>
    </w:p>
  </w:footnote>
  <w:footnote w:id="7">
    <w:p w14:paraId="52FFB435" w14:textId="11180E97" w:rsidR="008E01EE" w:rsidRDefault="008E01EE" w:rsidP="006F7789">
      <w:pPr>
        <w:pStyle w:val="Textpoznpodarou"/>
        <w:ind w:left="284" w:hanging="284"/>
      </w:pPr>
      <w:r>
        <w:rPr>
          <w:rStyle w:val="Znakapoznpodarou"/>
        </w:rPr>
        <w:footnoteRef/>
      </w:r>
      <w:r>
        <w:t xml:space="preserve"> </w:t>
      </w:r>
      <w:r>
        <w:tab/>
      </w:r>
      <w:r w:rsidRPr="0072158E">
        <w:t>Vzhledem k tomu, že část zákona č. 12/2020 Sb. upravující právo na digitální služby (</w:t>
      </w:r>
      <w:r>
        <w:t xml:space="preserve">ustanovení </w:t>
      </w:r>
      <w:r w:rsidRPr="0072158E">
        <w:t xml:space="preserve">§ 1 až 4, § 9 a </w:t>
      </w:r>
      <w:r>
        <w:t xml:space="preserve">ustanovení </w:t>
      </w:r>
      <w:r w:rsidRPr="0072158E">
        <w:t>§ 11 až 14) nabyla účinnosti 1. 2. 2020 a část zákona upravující právo na digitální služby (</w:t>
      </w:r>
      <w:r>
        <w:t xml:space="preserve">ustanovení </w:t>
      </w:r>
      <w:r w:rsidRPr="0072158E">
        <w:t xml:space="preserve">§ 5 až 8 a </w:t>
      </w:r>
      <w:r>
        <w:t xml:space="preserve">ustanovení </w:t>
      </w:r>
      <w:r w:rsidRPr="0072158E">
        <w:t>§ 10) nabude účinnosti až 1. 2. 2022</w:t>
      </w:r>
      <w:r>
        <w:t>,</w:t>
      </w:r>
      <w:r w:rsidRPr="0072158E">
        <w:t xml:space="preserve"> nemohl NKÚ jeho implementaci ověřit kontrolou.</w:t>
      </w:r>
    </w:p>
  </w:footnote>
  <w:footnote w:id="8">
    <w:p w14:paraId="5EE3B784" w14:textId="1C541E98" w:rsidR="008E01EE" w:rsidRDefault="008E01EE" w:rsidP="006F7789">
      <w:pPr>
        <w:pStyle w:val="Textpoznpodarou"/>
        <w:ind w:left="284" w:hanging="284"/>
      </w:pPr>
      <w:r>
        <w:rPr>
          <w:rStyle w:val="Znakapoznpodarou"/>
        </w:rPr>
        <w:footnoteRef/>
      </w:r>
      <w:r>
        <w:t xml:space="preserve"> </w:t>
      </w:r>
      <w:r>
        <w:tab/>
        <w:t>Zákon č. 195/2017 Sb., kterým se mění zákon č. 328/1999 Sb., o občanských průkazech, ve znění pozdějších předpisů, a další související zákony.</w:t>
      </w:r>
    </w:p>
  </w:footnote>
  <w:footnote w:id="9">
    <w:p w14:paraId="274A0C8F" w14:textId="20361142" w:rsidR="008E01EE" w:rsidRPr="006F7789" w:rsidRDefault="008E01EE" w:rsidP="006F7789">
      <w:pPr>
        <w:pStyle w:val="Textpoznpodarou"/>
        <w:ind w:left="284" w:hanging="284"/>
      </w:pPr>
      <w:r w:rsidRPr="003909AE">
        <w:rPr>
          <w:rStyle w:val="Znakapoznpodarou"/>
        </w:rPr>
        <w:footnoteRef/>
      </w:r>
      <w:r w:rsidRPr="003909AE">
        <w:t xml:space="preserve"> </w:t>
      </w:r>
      <w:r w:rsidRPr="006F7789">
        <w:tab/>
        <w:t xml:space="preserve">NKÚ při kontrole prověřoval všechny veřejné zakázky a smlouvy, které SZR </w:t>
      </w:r>
      <w:r>
        <w:t>v souvislosti s</w:t>
      </w:r>
      <w:r w:rsidRPr="006F7789">
        <w:t xml:space="preserve"> projekt</w:t>
      </w:r>
      <w:r>
        <w:t>em</w:t>
      </w:r>
      <w:r w:rsidRPr="006F7789">
        <w:t xml:space="preserve"> MORIS uzav</w:t>
      </w:r>
      <w:r>
        <w:t>řela</w:t>
      </w:r>
      <w:r w:rsidRPr="006F7789">
        <w:t>, neboť v rámci projektu MORIS byl vytvořen systém elektronické identifikace.</w:t>
      </w:r>
    </w:p>
  </w:footnote>
  <w:footnote w:id="10">
    <w:p w14:paraId="7D7D5F1C" w14:textId="0AADFC45" w:rsidR="008E01EE" w:rsidRDefault="008E01EE" w:rsidP="006F7789">
      <w:pPr>
        <w:pStyle w:val="Textpoznpodarou"/>
        <w:ind w:left="284" w:hanging="284"/>
      </w:pPr>
      <w:r>
        <w:rPr>
          <w:rStyle w:val="Znakapoznpodarou"/>
        </w:rPr>
        <w:footnoteRef/>
      </w:r>
      <w:r>
        <w:t xml:space="preserve"> </w:t>
      </w:r>
      <w:r>
        <w:tab/>
        <w:t xml:space="preserve">Viz </w:t>
      </w:r>
      <w:hyperlink r:id="rId2" w:history="1">
        <w:r w:rsidRPr="006F7789">
          <w:rPr>
            <w:rStyle w:val="Hypertextovodkaz"/>
          </w:rPr>
          <w:t>https://smlouvy.gov.cz/smlouva/6675511</w:t>
        </w:r>
      </w:hyperlink>
      <w:r>
        <w:t>.</w:t>
      </w:r>
    </w:p>
  </w:footnote>
  <w:footnote w:id="11">
    <w:p w14:paraId="7EF84106" w14:textId="45B5EBCF" w:rsidR="008E01EE" w:rsidRDefault="008E01EE" w:rsidP="006F7789">
      <w:pPr>
        <w:pStyle w:val="Textpoznpodarou"/>
        <w:ind w:left="284" w:hanging="284"/>
      </w:pPr>
      <w:r>
        <w:rPr>
          <w:rStyle w:val="Znakapoznpodarou"/>
        </w:rPr>
        <w:footnoteRef/>
      </w:r>
      <w:r>
        <w:t xml:space="preserve"> </w:t>
      </w:r>
      <w:r>
        <w:tab/>
        <w:t xml:space="preserve">Dodavatel získal grant v rámci tzv. </w:t>
      </w:r>
      <w:r w:rsidRPr="00823553">
        <w:rPr>
          <w:i/>
        </w:rPr>
        <w:t>Nástroje pro propojení Evropy</w:t>
      </w:r>
      <w:r>
        <w:t xml:space="preserve"> (</w:t>
      </w:r>
      <w:proofErr w:type="spellStart"/>
      <w:r w:rsidRPr="00823553">
        <w:rPr>
          <w:i/>
        </w:rPr>
        <w:t>Connecting</w:t>
      </w:r>
      <w:proofErr w:type="spellEnd"/>
      <w:r w:rsidRPr="00823553">
        <w:rPr>
          <w:i/>
        </w:rPr>
        <w:t xml:space="preserve"> </w:t>
      </w:r>
      <w:proofErr w:type="spellStart"/>
      <w:r w:rsidRPr="00823553">
        <w:rPr>
          <w:i/>
        </w:rPr>
        <w:t>Europe</w:t>
      </w:r>
      <w:proofErr w:type="spellEnd"/>
      <w:r w:rsidRPr="00823553">
        <w:rPr>
          <w:i/>
        </w:rPr>
        <w:t xml:space="preserve"> </w:t>
      </w:r>
      <w:proofErr w:type="spellStart"/>
      <w:r w:rsidRPr="00823553">
        <w:rPr>
          <w:i/>
        </w:rPr>
        <w:t>Facility</w:t>
      </w:r>
      <w:proofErr w:type="spellEnd"/>
      <w:r>
        <w:t xml:space="preserve">, CEF), který </w:t>
      </w:r>
      <w:r>
        <w:br/>
        <w:t>byl zřízen nařízením Evropského parlamentu a Rady (EU) č. 1316/2013</w:t>
      </w:r>
      <w:r w:rsidRPr="002B587A">
        <w:t xml:space="preserve"> </w:t>
      </w:r>
      <w:r>
        <w:t xml:space="preserve">ze dne 11. prosince 2013, kterým se vytváří Nástroj pro propojení Evropy, mění nařízení (EU) č. 913/2010 a zrušují nařízení (ES) č. 680/2007 </w:t>
      </w:r>
      <w:r>
        <w:br/>
        <w:t>a (ES) č. 67/2010.</w:t>
      </w:r>
    </w:p>
  </w:footnote>
  <w:footnote w:id="12">
    <w:p w14:paraId="3FE0574F" w14:textId="6E1E6583" w:rsidR="008E01EE" w:rsidRDefault="008E01EE" w:rsidP="006F7789">
      <w:pPr>
        <w:pStyle w:val="Textpoznpodarou"/>
        <w:ind w:left="284" w:hanging="284"/>
      </w:pPr>
      <w:r>
        <w:rPr>
          <w:rStyle w:val="Znakapoznpodarou"/>
        </w:rPr>
        <w:footnoteRef/>
      </w:r>
      <w:r>
        <w:t xml:space="preserve"> </w:t>
      </w:r>
      <w:r>
        <w:tab/>
        <w:t xml:space="preserve">V souladu s usnesením vlády ČR ze dne 22. 3. 2017 č. 208, </w:t>
      </w:r>
      <w:r w:rsidRPr="00117DD0">
        <w:t>o uložení povinnost</w:t>
      </w:r>
      <w:r>
        <w:t>í</w:t>
      </w:r>
      <w:r w:rsidRPr="00117DD0">
        <w:t xml:space="preserve"> v souvislosti se zadáváním veřejných zakázek v jednacím řízení bez uveřejnění, na základě spolupráce zadavatelů a na základě výjimek</w:t>
      </w:r>
      <w:r>
        <w:t>.</w:t>
      </w:r>
    </w:p>
  </w:footnote>
  <w:footnote w:id="13">
    <w:p w14:paraId="7AE350CE" w14:textId="1F2941B6" w:rsidR="008E01EE" w:rsidRDefault="008E01EE" w:rsidP="006F7789">
      <w:pPr>
        <w:pStyle w:val="Textpoznpodarou"/>
        <w:ind w:left="284" w:hanging="284"/>
      </w:pPr>
      <w:r>
        <w:rPr>
          <w:rStyle w:val="Znakapoznpodarou"/>
        </w:rPr>
        <w:footnoteRef/>
      </w:r>
      <w:r>
        <w:t xml:space="preserve"> </w:t>
      </w:r>
      <w:r>
        <w:tab/>
        <w:t>Vertikální spolupráce je upravena v ustanovení § 11 ZZVZ.</w:t>
      </w:r>
    </w:p>
  </w:footnote>
  <w:footnote w:id="14">
    <w:p w14:paraId="0DF0447B" w14:textId="0CCAA4FC" w:rsidR="008E01EE" w:rsidRDefault="008E01EE" w:rsidP="006F7789">
      <w:pPr>
        <w:pStyle w:val="Textpoznpodarou"/>
        <w:ind w:left="284" w:hanging="284"/>
      </w:pPr>
      <w:r>
        <w:rPr>
          <w:rStyle w:val="Znakapoznpodarou"/>
        </w:rPr>
        <w:footnoteRef/>
      </w:r>
      <w:r>
        <w:t xml:space="preserve"> </w:t>
      </w:r>
      <w:r>
        <w:tab/>
        <w:t xml:space="preserve">Viz: </w:t>
      </w:r>
      <w:hyperlink r:id="rId3" w:history="1">
        <w:r w:rsidRPr="00E923EE">
          <w:rPr>
            <w:rStyle w:val="Hypertextovodkaz"/>
          </w:rPr>
          <w:t>https://smlouvy.gov.cz/smlouva/3935744</w:t>
        </w:r>
      </w:hyperlink>
      <w:r>
        <w:t>.</w:t>
      </w:r>
    </w:p>
  </w:footnote>
  <w:footnote w:id="15">
    <w:p w14:paraId="5505BCE8" w14:textId="77777777" w:rsidR="008E01EE" w:rsidRDefault="008E01EE" w:rsidP="00695778">
      <w:pPr>
        <w:pStyle w:val="Textpoznpodarou"/>
        <w:ind w:left="284" w:hanging="284"/>
        <w:jc w:val="left"/>
      </w:pPr>
      <w:r>
        <w:rPr>
          <w:rStyle w:val="Znakapoznpodarou"/>
        </w:rPr>
        <w:footnoteRef/>
      </w:r>
      <w:r>
        <w:t> </w:t>
      </w:r>
      <w:r>
        <w:tab/>
        <w:t xml:space="preserve">Viz: </w:t>
      </w:r>
      <w:hyperlink r:id="rId4" w:history="1">
        <w:r w:rsidRPr="00E470F2">
          <w:rPr>
            <w:rStyle w:val="Hypertextovodkaz"/>
          </w:rPr>
          <w:t>https://smlouvy.gov.cz/smlouva/3935744</w:t>
        </w:r>
      </w:hyperlink>
      <w:r>
        <w:t>, </w:t>
      </w:r>
      <w:hyperlink r:id="rId5" w:history="1">
        <w:r w:rsidRPr="00E470F2">
          <w:rPr>
            <w:rStyle w:val="Hypertextovodkaz"/>
          </w:rPr>
          <w:t>https://smlouvy.gov.cz/smlouva/6075983</w:t>
        </w:r>
      </w:hyperlink>
      <w:r>
        <w:t xml:space="preserve">, </w:t>
      </w:r>
      <w:hyperlink r:id="rId6" w:history="1">
        <w:r w:rsidRPr="00E470F2">
          <w:rPr>
            <w:rStyle w:val="Hypertextovodkaz"/>
          </w:rPr>
          <w:t>https://smlouvy.gov.cz/smlouva/8206059</w:t>
        </w:r>
      </w:hyperlink>
      <w:r>
        <w:t>, </w:t>
      </w:r>
      <w:hyperlink r:id="rId7" w:history="1">
        <w:r w:rsidRPr="00E470F2">
          <w:rPr>
            <w:rStyle w:val="Hypertextovodkaz"/>
          </w:rPr>
          <w:t>https://smlouvy.gov.cz/smlouva/7557271</w:t>
        </w:r>
      </w:hyperlink>
      <w:r>
        <w:t xml:space="preserve">, </w:t>
      </w:r>
      <w:hyperlink r:id="rId8" w:history="1">
        <w:r w:rsidRPr="00E470F2">
          <w:rPr>
            <w:rStyle w:val="Hypertextovodkaz"/>
          </w:rPr>
          <w:t>https://smlouvy.gov.cz/smlouva/7641135</w:t>
        </w:r>
      </w:hyperlink>
      <w:r>
        <w:rPr>
          <w:rStyle w:val="Hypertextovodkaz"/>
          <w:color w:val="auto"/>
          <w:u w:val="none"/>
        </w:rPr>
        <w:t>.</w:t>
      </w:r>
      <w:r>
        <w:t xml:space="preserve"> </w:t>
      </w:r>
    </w:p>
  </w:footnote>
  <w:footnote w:id="16">
    <w:p w14:paraId="6F5DD486" w14:textId="51D3EBA0" w:rsidR="008E01EE" w:rsidRDefault="008E01EE" w:rsidP="006F7789">
      <w:pPr>
        <w:pStyle w:val="Textpoznpodarou"/>
        <w:ind w:left="284" w:hanging="284"/>
      </w:pPr>
      <w:r>
        <w:rPr>
          <w:rStyle w:val="Znakapoznpodarou"/>
        </w:rPr>
        <w:footnoteRef/>
      </w:r>
      <w:r>
        <w:t xml:space="preserve"> </w:t>
      </w:r>
      <w:r>
        <w:tab/>
        <w:t>Jedná se o celkovou finanční hodnotu výstupu projektu, do které není započítána pilotní fáze.</w:t>
      </w:r>
    </w:p>
  </w:footnote>
  <w:footnote w:id="17">
    <w:p w14:paraId="1F9F0327" w14:textId="7E4BA709" w:rsidR="008E01EE" w:rsidRDefault="008E01EE" w:rsidP="006F7789">
      <w:pPr>
        <w:pStyle w:val="Textpoznpodarou"/>
        <w:ind w:left="284" w:hanging="284"/>
      </w:pPr>
      <w:r>
        <w:rPr>
          <w:rStyle w:val="Znakapoznpodarou"/>
        </w:rPr>
        <w:footnoteRef/>
      </w:r>
      <w:r>
        <w:t xml:space="preserve"> </w:t>
      </w:r>
      <w:r>
        <w:tab/>
        <w:t>Ceník obvyklých cen ICT prací zpracovala Vysoká škola ekonomická v Praze.</w:t>
      </w:r>
    </w:p>
  </w:footnote>
  <w:footnote w:id="18">
    <w:p w14:paraId="1F5F0517" w14:textId="252B3E15" w:rsidR="008E01EE" w:rsidRDefault="008E01EE" w:rsidP="006F7789">
      <w:pPr>
        <w:pStyle w:val="Textpoznpodarou"/>
        <w:ind w:left="284" w:hanging="284"/>
      </w:pPr>
      <w:r>
        <w:rPr>
          <w:rStyle w:val="Znakapoznpodarou"/>
        </w:rPr>
        <w:footnoteRef/>
      </w:r>
      <w:r>
        <w:t xml:space="preserve"> </w:t>
      </w:r>
      <w:r>
        <w:tab/>
      </w:r>
      <w:r w:rsidRPr="00B57969">
        <w:t>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t>.</w:t>
      </w:r>
    </w:p>
  </w:footnote>
  <w:footnote w:id="19">
    <w:p w14:paraId="0F496A28" w14:textId="0FA1AB91" w:rsidR="008E01EE" w:rsidRDefault="008E01EE" w:rsidP="006F7789">
      <w:pPr>
        <w:pStyle w:val="Textpoznpodarou"/>
        <w:ind w:left="284" w:hanging="284"/>
      </w:pPr>
      <w:r>
        <w:rPr>
          <w:rStyle w:val="Znakapoznpodarou"/>
        </w:rPr>
        <w:footnoteRef/>
      </w:r>
      <w:r>
        <w:t xml:space="preserve"> </w:t>
      </w:r>
      <w:r>
        <w:tab/>
        <w:t>Ustanovení § 3 odst. 2 zákona č. 12/2020 Sb.</w:t>
      </w:r>
    </w:p>
  </w:footnote>
  <w:footnote w:id="20">
    <w:p w14:paraId="5AC30E38" w14:textId="60339C3E" w:rsidR="008E01EE" w:rsidRDefault="008E01EE" w:rsidP="006F7789">
      <w:pPr>
        <w:pStyle w:val="Textpoznpodarou"/>
        <w:ind w:left="284" w:hanging="284"/>
      </w:pPr>
      <w:r>
        <w:rPr>
          <w:rStyle w:val="Znakapoznpodarou"/>
        </w:rPr>
        <w:footnoteRef/>
      </w:r>
      <w:r>
        <w:t xml:space="preserve"> </w:t>
      </w:r>
      <w:r>
        <w:tab/>
        <w:t>Portál umožňující elektronická podání k finanční správě (adisepo.mfcr.cz).</w:t>
      </w:r>
    </w:p>
  </w:footnote>
  <w:footnote w:id="21">
    <w:p w14:paraId="142474C2" w14:textId="742DC5ED" w:rsidR="008E01EE" w:rsidRDefault="008E01EE" w:rsidP="006F7789">
      <w:pPr>
        <w:pStyle w:val="Textpoznpodarou"/>
        <w:ind w:left="284" w:hanging="284"/>
      </w:pPr>
      <w:r>
        <w:rPr>
          <w:rStyle w:val="Znakapoznpodarou"/>
        </w:rPr>
        <w:footnoteRef/>
      </w:r>
      <w:r>
        <w:t xml:space="preserve"> </w:t>
      </w:r>
      <w:r>
        <w:tab/>
        <w:t xml:space="preserve">Datové schránky byly do českého právního řádu zavedeny zákonem </w:t>
      </w:r>
      <w:r w:rsidRPr="00877D76">
        <w:t xml:space="preserve">č. 300/2008 Sb., o elektronických úkonech a </w:t>
      </w:r>
      <w:r>
        <w:t>autorizované konverzi dokumentů, a spuštěny do provozu byly v roce 2009.</w:t>
      </w:r>
    </w:p>
  </w:footnote>
  <w:footnote w:id="22">
    <w:p w14:paraId="75824724" w14:textId="5021EDA7" w:rsidR="008E01EE" w:rsidRDefault="008E01EE" w:rsidP="006F7789">
      <w:pPr>
        <w:pStyle w:val="Textpoznpodarou"/>
        <w:ind w:left="284" w:hanging="284"/>
      </w:pPr>
      <w:r>
        <w:rPr>
          <w:rStyle w:val="Znakapoznpodarou"/>
        </w:rPr>
        <w:footnoteRef/>
      </w:r>
      <w:r>
        <w:t xml:space="preserve"> </w:t>
      </w:r>
      <w:r>
        <w:tab/>
        <w:t>Ustanovení § 4 odst. 1 písm. c) zákona č. 12/2020 Sb.</w:t>
      </w:r>
    </w:p>
  </w:footnote>
  <w:footnote w:id="23">
    <w:p w14:paraId="6E78265E" w14:textId="08B51278" w:rsidR="008E01EE" w:rsidRDefault="008E01EE" w:rsidP="006F7789">
      <w:pPr>
        <w:pStyle w:val="Textpoznpodarou"/>
        <w:ind w:left="284" w:hanging="284"/>
      </w:pPr>
      <w:r>
        <w:rPr>
          <w:rStyle w:val="Znakapoznpodarou"/>
        </w:rPr>
        <w:footnoteRef/>
      </w:r>
      <w:r>
        <w:t xml:space="preserve"> </w:t>
      </w:r>
      <w:r>
        <w:tab/>
        <w:t xml:space="preserve">K 31. 12. 2019 měla ČR 8 694 474 obyvatel starších 18 let; zdroj: veřejná databáze Českého statistického úřadu </w:t>
      </w:r>
      <w:r w:rsidRPr="00B00266">
        <w:rPr>
          <w:i/>
        </w:rPr>
        <w:t>Složení obyvatelstva podle pohlaví a jednotek věku</w:t>
      </w:r>
      <w:r>
        <w:t>.</w:t>
      </w:r>
    </w:p>
  </w:footnote>
  <w:footnote w:id="24">
    <w:p w14:paraId="61940BB0" w14:textId="396F60BC" w:rsidR="008E01EE" w:rsidRDefault="008E01EE" w:rsidP="006F7789">
      <w:pPr>
        <w:pStyle w:val="Textpoznpodarou"/>
        <w:ind w:left="284" w:hanging="284"/>
      </w:pPr>
      <w:r>
        <w:rPr>
          <w:rStyle w:val="Znakapoznpodarou"/>
        </w:rPr>
        <w:footnoteRef/>
      </w:r>
      <w:r>
        <w:t xml:space="preserve"> </w:t>
      </w:r>
      <w:r>
        <w:tab/>
        <w:t xml:space="preserve">Dopadová ex-post evaluace </w:t>
      </w:r>
      <w:r w:rsidRPr="00823553">
        <w:rPr>
          <w:i/>
        </w:rPr>
        <w:t xml:space="preserve">Strategie realizace Smart </w:t>
      </w:r>
      <w:r w:rsidRPr="00823553">
        <w:rPr>
          <w:i/>
          <w:lang w:val="en-GB"/>
        </w:rPr>
        <w:t>Administration</w:t>
      </w:r>
      <w:r w:rsidRPr="00823553">
        <w:rPr>
          <w:i/>
        </w:rPr>
        <w:t xml:space="preserve"> v období 2007–2015</w:t>
      </w:r>
      <w:r>
        <w:t>, zpracovaná v roce 2016.</w:t>
      </w:r>
    </w:p>
  </w:footnote>
  <w:footnote w:id="25">
    <w:p w14:paraId="67668FA9" w14:textId="314251DB" w:rsidR="008E01EE" w:rsidRDefault="008E01EE" w:rsidP="006F7789">
      <w:pPr>
        <w:pStyle w:val="Textpoznpodarou"/>
        <w:ind w:left="284" w:hanging="284"/>
      </w:pPr>
      <w:r>
        <w:rPr>
          <w:rStyle w:val="Znakapoznpodarou"/>
        </w:rPr>
        <w:footnoteRef/>
      </w:r>
      <w:r>
        <w:t xml:space="preserve"> </w:t>
      </w:r>
      <w:r>
        <w:tab/>
        <w:t xml:space="preserve">Analýza stavu znalostí občanů v oblasti </w:t>
      </w:r>
      <w:proofErr w:type="spellStart"/>
      <w:r>
        <w:t>eGovernmentu</w:t>
      </w:r>
      <w:proofErr w:type="spellEnd"/>
      <w:r>
        <w:t xml:space="preserve"> zpracovaná v období </w:t>
      </w:r>
      <w:proofErr w:type="gramStart"/>
      <w:r>
        <w:t>srpen</w:t>
      </w:r>
      <w:proofErr w:type="gramEnd"/>
      <w:r>
        <w:t>–</w:t>
      </w:r>
      <w:proofErr w:type="gramStart"/>
      <w:r>
        <w:t>září</w:t>
      </w:r>
      <w:proofErr w:type="gramEnd"/>
      <w:r>
        <w:t xml:space="preserve"> 2018 jako vstupní analýza projektu </w:t>
      </w:r>
      <w:r w:rsidRPr="00823553">
        <w:rPr>
          <w:i/>
        </w:rPr>
        <w:t xml:space="preserve">Vzdělávání zaměstnanců veřejné správy a propagace aktivit v oblasti </w:t>
      </w:r>
      <w:proofErr w:type="spellStart"/>
      <w:r w:rsidRPr="00823553">
        <w:rPr>
          <w:i/>
        </w:rPr>
        <w:t>eGovernmentu</w:t>
      </w:r>
      <w:proofErr w:type="spellEnd"/>
      <w:r w:rsidRPr="003739F4">
        <w:t>.</w:t>
      </w:r>
    </w:p>
  </w:footnote>
  <w:footnote w:id="26">
    <w:p w14:paraId="64A6502A" w14:textId="104EC1AA" w:rsidR="008E01EE" w:rsidRPr="008C5F37" w:rsidRDefault="008E01EE" w:rsidP="00F95CE3">
      <w:pPr>
        <w:spacing w:after="0"/>
        <w:ind w:left="284" w:hanging="284"/>
      </w:pPr>
      <w:r w:rsidRPr="00BE06B6">
        <w:rPr>
          <w:rStyle w:val="Znakapoznpodarou"/>
          <w:sz w:val="20"/>
          <w:szCs w:val="20"/>
        </w:rPr>
        <w:footnoteRef/>
      </w:r>
      <w:r w:rsidRPr="00BE06B6">
        <w:rPr>
          <w:sz w:val="20"/>
          <w:szCs w:val="20"/>
        </w:rPr>
        <w:t xml:space="preserve"> </w:t>
      </w:r>
      <w:r>
        <w:rPr>
          <w:sz w:val="20"/>
          <w:szCs w:val="20"/>
        </w:rPr>
        <w:tab/>
      </w:r>
      <w:r w:rsidRPr="00BE06B6">
        <w:rPr>
          <w:sz w:val="20"/>
          <w:szCs w:val="20"/>
        </w:rPr>
        <w:t xml:space="preserve">Index DESI je jedním z nejpoužívanějších nástrojů pro porovnání vyspělosti jednotlivých států EU v různých aspektech digitální ekonomiky. Jedná se o složený index zahrnující přibližně 30 relevantních ukazatelů digitální konkurenceschopnosti. Srovnání zemí dle </w:t>
      </w:r>
      <w:r>
        <w:rPr>
          <w:sz w:val="20"/>
          <w:szCs w:val="20"/>
        </w:rPr>
        <w:t>tohoto indexu</w:t>
      </w:r>
      <w:r w:rsidRPr="00BE06B6">
        <w:rPr>
          <w:sz w:val="20"/>
          <w:szCs w:val="20"/>
        </w:rPr>
        <w:t xml:space="preserve"> je publikováno (prováděno) od roku 2014 </w:t>
      </w:r>
      <w:r>
        <w:rPr>
          <w:sz w:val="20"/>
          <w:szCs w:val="20"/>
        </w:rPr>
        <w:t>(metodika výpočtu se za tu dobu změnila jen minimálně).</w:t>
      </w:r>
    </w:p>
  </w:footnote>
  <w:footnote w:id="27">
    <w:p w14:paraId="5B5E4FFF" w14:textId="6E4D9456" w:rsidR="008E01EE" w:rsidRDefault="008E01EE" w:rsidP="00BD486B">
      <w:pPr>
        <w:pStyle w:val="Textpoznpodarou"/>
        <w:ind w:left="284" w:hanging="284"/>
      </w:pPr>
      <w:r>
        <w:rPr>
          <w:rStyle w:val="Znakapoznpodarou"/>
        </w:rPr>
        <w:footnoteRef/>
      </w:r>
      <w:r>
        <w:t xml:space="preserve"> </w:t>
      </w:r>
      <w:r>
        <w:tab/>
      </w:r>
      <w:proofErr w:type="spellStart"/>
      <w:r>
        <w:t>Benchmarking</w:t>
      </w:r>
      <w:proofErr w:type="spellEnd"/>
      <w:r>
        <w:t xml:space="preserve"> </w:t>
      </w:r>
      <w:proofErr w:type="spellStart"/>
      <w:r>
        <w:t>Information</w:t>
      </w:r>
      <w:proofErr w:type="spellEnd"/>
      <w:r>
        <w:t xml:space="preserve"> Exchange Project byl vytvořen za účelem výměny informací mezi nejvyššími kontrolními institucemi v rámci přeshraniční spolupráce a podpory mezinárodního srovnání. Bližší informace o projektu na biep.nku.cz.</w:t>
      </w:r>
    </w:p>
  </w:footnote>
  <w:footnote w:id="28">
    <w:p w14:paraId="4C2FC353" w14:textId="2CDBE59E" w:rsidR="008E01EE" w:rsidRDefault="008E01EE" w:rsidP="00BD486B">
      <w:pPr>
        <w:pStyle w:val="Textpoznpodarou"/>
        <w:ind w:left="284" w:hanging="284"/>
      </w:pPr>
      <w:r>
        <w:rPr>
          <w:rStyle w:val="Znakapoznpodarou"/>
        </w:rPr>
        <w:footnoteRef/>
      </w:r>
      <w:r>
        <w:t xml:space="preserve"> </w:t>
      </w:r>
      <w:r>
        <w:tab/>
        <w:t xml:space="preserve">Dokončením notifikace se rozumí vyhlášení ve </w:t>
      </w:r>
      <w:r w:rsidRPr="00F95CE3">
        <w:rPr>
          <w:i/>
        </w:rPr>
        <w:t>Věstníku EU</w:t>
      </w:r>
      <w:r>
        <w:t xml:space="preserve">. V tomto případě se jedná o </w:t>
      </w:r>
      <w:r w:rsidRPr="00F95CE3">
        <w:rPr>
          <w:i/>
        </w:rPr>
        <w:t>Věstník EU</w:t>
      </w:r>
      <w:r>
        <w:t xml:space="preserve"> 2019/C 309/09 ze dne 13. 9. 2019.</w:t>
      </w:r>
    </w:p>
  </w:footnote>
  <w:footnote w:id="29">
    <w:p w14:paraId="5F653140" w14:textId="1BBAB2E8" w:rsidR="008E01EE" w:rsidRDefault="008E01EE" w:rsidP="00BD486B">
      <w:pPr>
        <w:pStyle w:val="Textpoznpodarou"/>
        <w:ind w:left="284" w:hanging="284"/>
      </w:pPr>
      <w:r>
        <w:rPr>
          <w:rStyle w:val="Znakapoznpodarou"/>
        </w:rPr>
        <w:footnoteRef/>
      </w:r>
      <w:r>
        <w:t xml:space="preserve"> </w:t>
      </w:r>
      <w:r>
        <w:tab/>
        <w:t xml:space="preserve">Zákon č. 49/2020 Sb., </w:t>
      </w:r>
      <w:r w:rsidRPr="0042482F">
        <w:t>kterým se mění zákon č. 21/1992 Sb., o bankách, ve znění pozdějších předpisů, a zákon č. 253/2008 Sb., o některých opatřeních proti legalizaci výnosů z trestné činnosti a financování terorismu, ve znění pozdějších předpisů, a některé další zákony</w:t>
      </w:r>
      <w:r>
        <w:t>.</w:t>
      </w:r>
    </w:p>
  </w:footnote>
  <w:footnote w:id="30">
    <w:p w14:paraId="481F45E2" w14:textId="47FF89F8" w:rsidR="008E01EE" w:rsidRPr="005F44AE" w:rsidRDefault="008E01EE" w:rsidP="005F44AE">
      <w:pPr>
        <w:pStyle w:val="Textpoznpodarou"/>
        <w:ind w:left="284" w:hanging="284"/>
      </w:pPr>
      <w:r w:rsidRPr="005F44AE">
        <w:rPr>
          <w:rStyle w:val="Znakapoznpodarou"/>
        </w:rPr>
        <w:footnoteRef/>
      </w:r>
      <w:r w:rsidRPr="005F44AE">
        <w:t xml:space="preserve"> </w:t>
      </w:r>
      <w:r w:rsidRPr="005F44AE">
        <w:tab/>
      </w:r>
      <w:proofErr w:type="spellStart"/>
      <w:r w:rsidRPr="00F95CE3">
        <w:rPr>
          <w:i/>
        </w:rPr>
        <w:t>eGovernment</w:t>
      </w:r>
      <w:proofErr w:type="spellEnd"/>
      <w:r w:rsidRPr="00F95CE3">
        <w:rPr>
          <w:i/>
        </w:rPr>
        <w:t xml:space="preserve"> </w:t>
      </w:r>
      <w:proofErr w:type="spellStart"/>
      <w:r w:rsidRPr="00F95CE3">
        <w:rPr>
          <w:i/>
        </w:rPr>
        <w:t>Benchmark</w:t>
      </w:r>
      <w:proofErr w:type="spellEnd"/>
      <w:r w:rsidRPr="00F95CE3">
        <w:rPr>
          <w:i/>
        </w:rPr>
        <w:t xml:space="preserve"> 2019</w:t>
      </w:r>
      <w:r w:rsidRPr="005F44AE">
        <w:t xml:space="preserve">, </w:t>
      </w:r>
      <w:proofErr w:type="spellStart"/>
      <w:r w:rsidRPr="005F44AE">
        <w:t>Insight</w:t>
      </w:r>
      <w:proofErr w:type="spellEnd"/>
      <w:r w:rsidRPr="005F44AE">
        <w:t xml:space="preserve"> report; Lucemburk, Úřad pro publikace Evropské unie 2019.</w:t>
      </w:r>
      <w:r>
        <w:t xml:space="preserve"> </w:t>
      </w:r>
    </w:p>
  </w:footnote>
  <w:footnote w:id="31">
    <w:p w14:paraId="72C8BC93" w14:textId="030857B7" w:rsidR="008E01EE" w:rsidRPr="009304C0" w:rsidRDefault="008E01EE" w:rsidP="00FC0365">
      <w:pPr>
        <w:pStyle w:val="Textpoznpodarou"/>
        <w:ind w:left="284" w:hanging="284"/>
      </w:pPr>
      <w:r>
        <w:rPr>
          <w:rStyle w:val="Znakapoznpodarou"/>
        </w:rPr>
        <w:footnoteRef/>
      </w:r>
      <w:r>
        <w:t xml:space="preserve"> </w:t>
      </w:r>
      <w:r>
        <w:tab/>
        <w:t xml:space="preserve">Na základě </w:t>
      </w:r>
      <w:r>
        <w:rPr>
          <w:i/>
        </w:rPr>
        <w:t xml:space="preserve">Dopadové ex-post evaluace Strategie realizace Smart </w:t>
      </w:r>
      <w:proofErr w:type="spellStart"/>
      <w:r>
        <w:rPr>
          <w:i/>
        </w:rPr>
        <w:t>Administration</w:t>
      </w:r>
      <w:proofErr w:type="spellEnd"/>
      <w:r>
        <w:rPr>
          <w:i/>
        </w:rPr>
        <w:t xml:space="preserve"> v období 2007–2015 </w:t>
      </w:r>
      <w:r>
        <w:t>zpracované v roce 2016.</w:t>
      </w:r>
    </w:p>
  </w:footnote>
  <w:footnote w:id="32">
    <w:p w14:paraId="19F74C90" w14:textId="1D7E59E7" w:rsidR="008E01EE" w:rsidRPr="00D85F84" w:rsidRDefault="008E01EE" w:rsidP="00FC0365">
      <w:pPr>
        <w:pStyle w:val="Textpoznpodarou"/>
        <w:ind w:left="284" w:hanging="284"/>
      </w:pPr>
      <w:r>
        <w:rPr>
          <w:rStyle w:val="Znakapoznpodarou"/>
        </w:rPr>
        <w:footnoteRef/>
      </w:r>
      <w:r>
        <w:t xml:space="preserve"> </w:t>
      </w:r>
      <w:r>
        <w:tab/>
        <w:t xml:space="preserve">Průzkum společnosti STEM/MARK zpracovaný v srpnu a září 2018, který si objednalo MV jako součást vstupní analýzy k projektu s názvem </w:t>
      </w:r>
      <w:r>
        <w:rPr>
          <w:i/>
        </w:rPr>
        <w:t xml:space="preserve">Vzdělávání zaměstnanců veřejné správy a propagace aktivit v oblasti </w:t>
      </w:r>
      <w:proofErr w:type="spellStart"/>
      <w:r>
        <w:rPr>
          <w:i/>
        </w:rPr>
        <w:t>eGovernmentu</w:t>
      </w:r>
      <w:proofErr w:type="spellEnd"/>
      <w:r w:rsidRPr="00D85F8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7A0"/>
    <w:multiLevelType w:val="hybridMultilevel"/>
    <w:tmpl w:val="FAB46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3B1BC7"/>
    <w:multiLevelType w:val="hybridMultilevel"/>
    <w:tmpl w:val="C2C82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D36CA3"/>
    <w:multiLevelType w:val="hybridMultilevel"/>
    <w:tmpl w:val="1562BDD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AB021FE"/>
    <w:multiLevelType w:val="hybridMultilevel"/>
    <w:tmpl w:val="85324C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5F4F3E"/>
    <w:multiLevelType w:val="hybridMultilevel"/>
    <w:tmpl w:val="8FBC91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CE0607"/>
    <w:multiLevelType w:val="hybridMultilevel"/>
    <w:tmpl w:val="F1C2469E"/>
    <w:lvl w:ilvl="0" w:tplc="5706109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E7B4A"/>
    <w:multiLevelType w:val="hybridMultilevel"/>
    <w:tmpl w:val="96F2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FB7412"/>
    <w:multiLevelType w:val="hybridMultilevel"/>
    <w:tmpl w:val="407892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CEB08D9"/>
    <w:multiLevelType w:val="hybridMultilevel"/>
    <w:tmpl w:val="987C7742"/>
    <w:lvl w:ilvl="0" w:tplc="E4F2C78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8E5A45"/>
    <w:multiLevelType w:val="hybridMultilevel"/>
    <w:tmpl w:val="02AE235E"/>
    <w:lvl w:ilvl="0" w:tplc="7F9282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E86866"/>
    <w:multiLevelType w:val="hybridMultilevel"/>
    <w:tmpl w:val="FD8A1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AD33CF"/>
    <w:multiLevelType w:val="hybridMultilevel"/>
    <w:tmpl w:val="95987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411CE"/>
    <w:multiLevelType w:val="hybridMultilevel"/>
    <w:tmpl w:val="7C822998"/>
    <w:lvl w:ilvl="0" w:tplc="3FE46F6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0227FE"/>
    <w:multiLevelType w:val="hybridMultilevel"/>
    <w:tmpl w:val="DD34996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33311E2D"/>
    <w:multiLevelType w:val="hybridMultilevel"/>
    <w:tmpl w:val="C866A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DD24C2"/>
    <w:multiLevelType w:val="hybridMultilevel"/>
    <w:tmpl w:val="C8587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1F44AB"/>
    <w:multiLevelType w:val="hybridMultilevel"/>
    <w:tmpl w:val="A830A974"/>
    <w:lvl w:ilvl="0" w:tplc="491C12C2">
      <w:start w:val="1"/>
      <w:numFmt w:val="bullet"/>
      <w:pStyle w:val="Odrkypuntky"/>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FF2943"/>
    <w:multiLevelType w:val="hybridMultilevel"/>
    <w:tmpl w:val="55E48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5336C7"/>
    <w:multiLevelType w:val="hybridMultilevel"/>
    <w:tmpl w:val="5A54D73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58710C"/>
    <w:multiLevelType w:val="hybridMultilevel"/>
    <w:tmpl w:val="4334A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5C48E7"/>
    <w:multiLevelType w:val="hybridMultilevel"/>
    <w:tmpl w:val="908005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5206B"/>
    <w:multiLevelType w:val="hybridMultilevel"/>
    <w:tmpl w:val="A0E265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8B926A4"/>
    <w:multiLevelType w:val="hybridMultilevel"/>
    <w:tmpl w:val="28D0285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
  </w:num>
  <w:num w:numId="2">
    <w:abstractNumId w:val="13"/>
  </w:num>
  <w:num w:numId="3">
    <w:abstractNumId w:val="0"/>
  </w:num>
  <w:num w:numId="4">
    <w:abstractNumId w:val="3"/>
  </w:num>
  <w:num w:numId="5">
    <w:abstractNumId w:val="17"/>
  </w:num>
  <w:num w:numId="6">
    <w:abstractNumId w:val="6"/>
  </w:num>
  <w:num w:numId="7">
    <w:abstractNumId w:val="10"/>
  </w:num>
  <w:num w:numId="8">
    <w:abstractNumId w:val="19"/>
  </w:num>
  <w:num w:numId="9">
    <w:abstractNumId w:val="5"/>
  </w:num>
  <w:num w:numId="10">
    <w:abstractNumId w:val="15"/>
  </w:num>
  <w:num w:numId="11">
    <w:abstractNumId w:val="21"/>
  </w:num>
  <w:num w:numId="12">
    <w:abstractNumId w:val="22"/>
  </w:num>
  <w:num w:numId="13">
    <w:abstractNumId w:val="2"/>
  </w:num>
  <w:num w:numId="14">
    <w:abstractNumId w:val="16"/>
  </w:num>
  <w:num w:numId="15">
    <w:abstractNumId w:val="16"/>
    <w:lvlOverride w:ilvl="0">
      <w:startOverride w:val="1"/>
    </w:lvlOverride>
  </w:num>
  <w:num w:numId="16">
    <w:abstractNumId w:val="9"/>
  </w:num>
  <w:num w:numId="17">
    <w:abstractNumId w:val="8"/>
  </w:num>
  <w:num w:numId="18">
    <w:abstractNumId w:val="18"/>
  </w:num>
  <w:num w:numId="19">
    <w:abstractNumId w:val="20"/>
  </w:num>
  <w:num w:numId="20">
    <w:abstractNumId w:val="4"/>
  </w:num>
  <w:num w:numId="21">
    <w:abstractNumId w:val="12"/>
  </w:num>
  <w:num w:numId="22">
    <w:abstractNumId w:val="7"/>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14"/>
    <w:rsid w:val="00000FC7"/>
    <w:rsid w:val="000028B4"/>
    <w:rsid w:val="00002B91"/>
    <w:rsid w:val="000041E5"/>
    <w:rsid w:val="000075A4"/>
    <w:rsid w:val="000110DF"/>
    <w:rsid w:val="00011F1B"/>
    <w:rsid w:val="00012F4D"/>
    <w:rsid w:val="0001773D"/>
    <w:rsid w:val="00020771"/>
    <w:rsid w:val="00021EE6"/>
    <w:rsid w:val="000222B7"/>
    <w:rsid w:val="00023125"/>
    <w:rsid w:val="000232E8"/>
    <w:rsid w:val="00023C0A"/>
    <w:rsid w:val="00024BF2"/>
    <w:rsid w:val="00025ED8"/>
    <w:rsid w:val="00030CFE"/>
    <w:rsid w:val="00031E87"/>
    <w:rsid w:val="00031F84"/>
    <w:rsid w:val="000360B5"/>
    <w:rsid w:val="00037D98"/>
    <w:rsid w:val="00040804"/>
    <w:rsid w:val="00040D10"/>
    <w:rsid w:val="00043977"/>
    <w:rsid w:val="000443A9"/>
    <w:rsid w:val="00047850"/>
    <w:rsid w:val="000507BE"/>
    <w:rsid w:val="00051D0F"/>
    <w:rsid w:val="000520BB"/>
    <w:rsid w:val="00052375"/>
    <w:rsid w:val="000534B3"/>
    <w:rsid w:val="00053937"/>
    <w:rsid w:val="00053A19"/>
    <w:rsid w:val="0005431E"/>
    <w:rsid w:val="00063661"/>
    <w:rsid w:val="00065F73"/>
    <w:rsid w:val="000676E3"/>
    <w:rsid w:val="00070AD6"/>
    <w:rsid w:val="000713D0"/>
    <w:rsid w:val="000714CE"/>
    <w:rsid w:val="0007180C"/>
    <w:rsid w:val="0007565E"/>
    <w:rsid w:val="0007783A"/>
    <w:rsid w:val="0008196C"/>
    <w:rsid w:val="0008240D"/>
    <w:rsid w:val="00082492"/>
    <w:rsid w:val="00083A2E"/>
    <w:rsid w:val="000876B3"/>
    <w:rsid w:val="00087DD8"/>
    <w:rsid w:val="0009326B"/>
    <w:rsid w:val="000965E8"/>
    <w:rsid w:val="000966B0"/>
    <w:rsid w:val="000A499A"/>
    <w:rsid w:val="000A6259"/>
    <w:rsid w:val="000A728E"/>
    <w:rsid w:val="000A79F1"/>
    <w:rsid w:val="000A7DB6"/>
    <w:rsid w:val="000B0A87"/>
    <w:rsid w:val="000B204D"/>
    <w:rsid w:val="000B36EE"/>
    <w:rsid w:val="000B419E"/>
    <w:rsid w:val="000B5419"/>
    <w:rsid w:val="000B58F9"/>
    <w:rsid w:val="000B5FA9"/>
    <w:rsid w:val="000B6666"/>
    <w:rsid w:val="000C26E1"/>
    <w:rsid w:val="000C3811"/>
    <w:rsid w:val="000C5BE6"/>
    <w:rsid w:val="000C6A18"/>
    <w:rsid w:val="000D2199"/>
    <w:rsid w:val="000D3E68"/>
    <w:rsid w:val="000D48C9"/>
    <w:rsid w:val="000D6893"/>
    <w:rsid w:val="000D73BC"/>
    <w:rsid w:val="000E2E7B"/>
    <w:rsid w:val="000E56FB"/>
    <w:rsid w:val="000E6057"/>
    <w:rsid w:val="000E6569"/>
    <w:rsid w:val="000E6A93"/>
    <w:rsid w:val="000E785A"/>
    <w:rsid w:val="000F1715"/>
    <w:rsid w:val="000F3D94"/>
    <w:rsid w:val="000F5729"/>
    <w:rsid w:val="000F5DBD"/>
    <w:rsid w:val="001013D3"/>
    <w:rsid w:val="00102B13"/>
    <w:rsid w:val="001036E9"/>
    <w:rsid w:val="00103E6C"/>
    <w:rsid w:val="00104E49"/>
    <w:rsid w:val="0010519C"/>
    <w:rsid w:val="00107212"/>
    <w:rsid w:val="001074EA"/>
    <w:rsid w:val="00111B35"/>
    <w:rsid w:val="00112AD7"/>
    <w:rsid w:val="001142A6"/>
    <w:rsid w:val="00114809"/>
    <w:rsid w:val="0011579A"/>
    <w:rsid w:val="00115A6F"/>
    <w:rsid w:val="00115FE4"/>
    <w:rsid w:val="0011662E"/>
    <w:rsid w:val="00117C02"/>
    <w:rsid w:val="00117DD0"/>
    <w:rsid w:val="0012049D"/>
    <w:rsid w:val="001215E3"/>
    <w:rsid w:val="001224BB"/>
    <w:rsid w:val="001229FB"/>
    <w:rsid w:val="0013037D"/>
    <w:rsid w:val="00132E42"/>
    <w:rsid w:val="0013343E"/>
    <w:rsid w:val="00133656"/>
    <w:rsid w:val="00136AF0"/>
    <w:rsid w:val="0013769E"/>
    <w:rsid w:val="00142261"/>
    <w:rsid w:val="00142505"/>
    <w:rsid w:val="00142BFF"/>
    <w:rsid w:val="0014375B"/>
    <w:rsid w:val="001437B7"/>
    <w:rsid w:val="00144283"/>
    <w:rsid w:val="00146256"/>
    <w:rsid w:val="0015021F"/>
    <w:rsid w:val="00151098"/>
    <w:rsid w:val="001530FA"/>
    <w:rsid w:val="00153DD1"/>
    <w:rsid w:val="00154372"/>
    <w:rsid w:val="00154866"/>
    <w:rsid w:val="00154EFC"/>
    <w:rsid w:val="00155261"/>
    <w:rsid w:val="001552E0"/>
    <w:rsid w:val="001564F2"/>
    <w:rsid w:val="00161831"/>
    <w:rsid w:val="001624F9"/>
    <w:rsid w:val="001638D0"/>
    <w:rsid w:val="00163CA2"/>
    <w:rsid w:val="001664CA"/>
    <w:rsid w:val="001701A5"/>
    <w:rsid w:val="00175232"/>
    <w:rsid w:val="00175393"/>
    <w:rsid w:val="001754EA"/>
    <w:rsid w:val="001774C0"/>
    <w:rsid w:val="00182B57"/>
    <w:rsid w:val="001904A7"/>
    <w:rsid w:val="00190A2A"/>
    <w:rsid w:val="00191538"/>
    <w:rsid w:val="00191F62"/>
    <w:rsid w:val="00192519"/>
    <w:rsid w:val="00194CB0"/>
    <w:rsid w:val="00195426"/>
    <w:rsid w:val="001966B3"/>
    <w:rsid w:val="001A0B00"/>
    <w:rsid w:val="001A334E"/>
    <w:rsid w:val="001A4366"/>
    <w:rsid w:val="001A6C8E"/>
    <w:rsid w:val="001A76FD"/>
    <w:rsid w:val="001A7716"/>
    <w:rsid w:val="001B1339"/>
    <w:rsid w:val="001B2870"/>
    <w:rsid w:val="001B2A97"/>
    <w:rsid w:val="001B3E22"/>
    <w:rsid w:val="001B3E5A"/>
    <w:rsid w:val="001B4E75"/>
    <w:rsid w:val="001B58A9"/>
    <w:rsid w:val="001B635C"/>
    <w:rsid w:val="001B76CE"/>
    <w:rsid w:val="001C0A9C"/>
    <w:rsid w:val="001C4EBA"/>
    <w:rsid w:val="001C5D5E"/>
    <w:rsid w:val="001C5EB8"/>
    <w:rsid w:val="001C69A7"/>
    <w:rsid w:val="001C6EA2"/>
    <w:rsid w:val="001D078C"/>
    <w:rsid w:val="001D1187"/>
    <w:rsid w:val="001D20F9"/>
    <w:rsid w:val="001D2A75"/>
    <w:rsid w:val="001D5940"/>
    <w:rsid w:val="001E0466"/>
    <w:rsid w:val="001E249E"/>
    <w:rsid w:val="001E29BB"/>
    <w:rsid w:val="001E6338"/>
    <w:rsid w:val="001E6383"/>
    <w:rsid w:val="001E6839"/>
    <w:rsid w:val="001F3F71"/>
    <w:rsid w:val="001F4364"/>
    <w:rsid w:val="001F7C69"/>
    <w:rsid w:val="0020330D"/>
    <w:rsid w:val="002035C8"/>
    <w:rsid w:val="00205A05"/>
    <w:rsid w:val="00206031"/>
    <w:rsid w:val="002068EE"/>
    <w:rsid w:val="002147F4"/>
    <w:rsid w:val="00216312"/>
    <w:rsid w:val="00217672"/>
    <w:rsid w:val="002216C0"/>
    <w:rsid w:val="00222A21"/>
    <w:rsid w:val="00231538"/>
    <w:rsid w:val="00231C34"/>
    <w:rsid w:val="00233CE6"/>
    <w:rsid w:val="0023494B"/>
    <w:rsid w:val="002374B3"/>
    <w:rsid w:val="002417FE"/>
    <w:rsid w:val="00242645"/>
    <w:rsid w:val="00245033"/>
    <w:rsid w:val="00247192"/>
    <w:rsid w:val="002529C1"/>
    <w:rsid w:val="0025469F"/>
    <w:rsid w:val="00254D6D"/>
    <w:rsid w:val="0025562F"/>
    <w:rsid w:val="002556E4"/>
    <w:rsid w:val="00263386"/>
    <w:rsid w:val="0026454E"/>
    <w:rsid w:val="002655B3"/>
    <w:rsid w:val="00266DF8"/>
    <w:rsid w:val="00275B81"/>
    <w:rsid w:val="00275BE1"/>
    <w:rsid w:val="00276C89"/>
    <w:rsid w:val="0028136B"/>
    <w:rsid w:val="002817F2"/>
    <w:rsid w:val="002845D2"/>
    <w:rsid w:val="00284D41"/>
    <w:rsid w:val="002910DF"/>
    <w:rsid w:val="00291915"/>
    <w:rsid w:val="0029462A"/>
    <w:rsid w:val="0029524A"/>
    <w:rsid w:val="0029579D"/>
    <w:rsid w:val="002978B9"/>
    <w:rsid w:val="002A1689"/>
    <w:rsid w:val="002A1FD1"/>
    <w:rsid w:val="002A30AC"/>
    <w:rsid w:val="002A31FF"/>
    <w:rsid w:val="002A3F94"/>
    <w:rsid w:val="002A469C"/>
    <w:rsid w:val="002A50E3"/>
    <w:rsid w:val="002B044E"/>
    <w:rsid w:val="002B1D61"/>
    <w:rsid w:val="002B1E45"/>
    <w:rsid w:val="002B20BA"/>
    <w:rsid w:val="002B3BA5"/>
    <w:rsid w:val="002B4A9D"/>
    <w:rsid w:val="002B4B46"/>
    <w:rsid w:val="002B4E95"/>
    <w:rsid w:val="002B587A"/>
    <w:rsid w:val="002B67B4"/>
    <w:rsid w:val="002C0BFC"/>
    <w:rsid w:val="002C42AD"/>
    <w:rsid w:val="002C497F"/>
    <w:rsid w:val="002D10C3"/>
    <w:rsid w:val="002D1785"/>
    <w:rsid w:val="002D2A7A"/>
    <w:rsid w:val="002D32F3"/>
    <w:rsid w:val="002D4523"/>
    <w:rsid w:val="002D58CD"/>
    <w:rsid w:val="002D7DAE"/>
    <w:rsid w:val="002E043B"/>
    <w:rsid w:val="002E0B68"/>
    <w:rsid w:val="002E29F2"/>
    <w:rsid w:val="002E4EA7"/>
    <w:rsid w:val="002E5810"/>
    <w:rsid w:val="002E7404"/>
    <w:rsid w:val="002F131D"/>
    <w:rsid w:val="002F59E2"/>
    <w:rsid w:val="003007A3"/>
    <w:rsid w:val="00302798"/>
    <w:rsid w:val="00304294"/>
    <w:rsid w:val="0030713F"/>
    <w:rsid w:val="003104C5"/>
    <w:rsid w:val="00310AD5"/>
    <w:rsid w:val="00312AC3"/>
    <w:rsid w:val="00312F7B"/>
    <w:rsid w:val="0031390F"/>
    <w:rsid w:val="003148CE"/>
    <w:rsid w:val="003169B2"/>
    <w:rsid w:val="00322518"/>
    <w:rsid w:val="00322603"/>
    <w:rsid w:val="00323F0D"/>
    <w:rsid w:val="00326C61"/>
    <w:rsid w:val="00330196"/>
    <w:rsid w:val="00335191"/>
    <w:rsid w:val="0033543F"/>
    <w:rsid w:val="0033664F"/>
    <w:rsid w:val="00336AE0"/>
    <w:rsid w:val="00337BED"/>
    <w:rsid w:val="00340A20"/>
    <w:rsid w:val="00343AF3"/>
    <w:rsid w:val="00345689"/>
    <w:rsid w:val="00345779"/>
    <w:rsid w:val="00345AD8"/>
    <w:rsid w:val="0035564B"/>
    <w:rsid w:val="00357EE6"/>
    <w:rsid w:val="00357FD7"/>
    <w:rsid w:val="003618B6"/>
    <w:rsid w:val="00363685"/>
    <w:rsid w:val="003637AD"/>
    <w:rsid w:val="00366074"/>
    <w:rsid w:val="003674C7"/>
    <w:rsid w:val="0036776C"/>
    <w:rsid w:val="003739E2"/>
    <w:rsid w:val="003739F4"/>
    <w:rsid w:val="00376FB0"/>
    <w:rsid w:val="00377711"/>
    <w:rsid w:val="00382BD4"/>
    <w:rsid w:val="0038308A"/>
    <w:rsid w:val="003830C9"/>
    <w:rsid w:val="00384294"/>
    <w:rsid w:val="00385A64"/>
    <w:rsid w:val="00385FC5"/>
    <w:rsid w:val="003909AE"/>
    <w:rsid w:val="003911BF"/>
    <w:rsid w:val="00392731"/>
    <w:rsid w:val="00394439"/>
    <w:rsid w:val="0039508C"/>
    <w:rsid w:val="003A0546"/>
    <w:rsid w:val="003A13C2"/>
    <w:rsid w:val="003A26F6"/>
    <w:rsid w:val="003A4C17"/>
    <w:rsid w:val="003A5BA0"/>
    <w:rsid w:val="003A5E5E"/>
    <w:rsid w:val="003B27BF"/>
    <w:rsid w:val="003B2FD8"/>
    <w:rsid w:val="003B3C82"/>
    <w:rsid w:val="003C395B"/>
    <w:rsid w:val="003C5D07"/>
    <w:rsid w:val="003C665B"/>
    <w:rsid w:val="003C7AC4"/>
    <w:rsid w:val="003D0648"/>
    <w:rsid w:val="003D2AF7"/>
    <w:rsid w:val="003D4A41"/>
    <w:rsid w:val="003D54B9"/>
    <w:rsid w:val="003E1E51"/>
    <w:rsid w:val="003E3AF8"/>
    <w:rsid w:val="003E45C1"/>
    <w:rsid w:val="003F057B"/>
    <w:rsid w:val="003F0BE7"/>
    <w:rsid w:val="003F2CAB"/>
    <w:rsid w:val="003F4151"/>
    <w:rsid w:val="003F4457"/>
    <w:rsid w:val="003F4D39"/>
    <w:rsid w:val="003F5DEA"/>
    <w:rsid w:val="0040351E"/>
    <w:rsid w:val="00403AB0"/>
    <w:rsid w:val="00406D86"/>
    <w:rsid w:val="00407191"/>
    <w:rsid w:val="00407278"/>
    <w:rsid w:val="004076DE"/>
    <w:rsid w:val="004124F7"/>
    <w:rsid w:val="00412D84"/>
    <w:rsid w:val="00414DB4"/>
    <w:rsid w:val="0041680C"/>
    <w:rsid w:val="00417050"/>
    <w:rsid w:val="00417BAD"/>
    <w:rsid w:val="00423C4B"/>
    <w:rsid w:val="0042520F"/>
    <w:rsid w:val="004309A4"/>
    <w:rsid w:val="0043688B"/>
    <w:rsid w:val="00436AFB"/>
    <w:rsid w:val="00441D60"/>
    <w:rsid w:val="0044421C"/>
    <w:rsid w:val="00444D96"/>
    <w:rsid w:val="00445B13"/>
    <w:rsid w:val="00445CBA"/>
    <w:rsid w:val="004521DA"/>
    <w:rsid w:val="00452A17"/>
    <w:rsid w:val="00454B12"/>
    <w:rsid w:val="00454ED6"/>
    <w:rsid w:val="0045518F"/>
    <w:rsid w:val="004615CA"/>
    <w:rsid w:val="00465992"/>
    <w:rsid w:val="00466695"/>
    <w:rsid w:val="00466B07"/>
    <w:rsid w:val="00467576"/>
    <w:rsid w:val="00471CC7"/>
    <w:rsid w:val="00471CDF"/>
    <w:rsid w:val="004739F7"/>
    <w:rsid w:val="004752DC"/>
    <w:rsid w:val="0048016E"/>
    <w:rsid w:val="0048123C"/>
    <w:rsid w:val="00482945"/>
    <w:rsid w:val="00483B3A"/>
    <w:rsid w:val="00485943"/>
    <w:rsid w:val="00485A0E"/>
    <w:rsid w:val="004863B3"/>
    <w:rsid w:val="004934B5"/>
    <w:rsid w:val="004938D9"/>
    <w:rsid w:val="00494073"/>
    <w:rsid w:val="004953AF"/>
    <w:rsid w:val="00497D69"/>
    <w:rsid w:val="004A0500"/>
    <w:rsid w:val="004A17D1"/>
    <w:rsid w:val="004A31FE"/>
    <w:rsid w:val="004A4423"/>
    <w:rsid w:val="004A6F67"/>
    <w:rsid w:val="004A70DB"/>
    <w:rsid w:val="004B18F5"/>
    <w:rsid w:val="004B4F49"/>
    <w:rsid w:val="004B5F10"/>
    <w:rsid w:val="004B640D"/>
    <w:rsid w:val="004B6D1B"/>
    <w:rsid w:val="004B7799"/>
    <w:rsid w:val="004C1120"/>
    <w:rsid w:val="004C2238"/>
    <w:rsid w:val="004C2958"/>
    <w:rsid w:val="004C40DF"/>
    <w:rsid w:val="004D099C"/>
    <w:rsid w:val="004D17C8"/>
    <w:rsid w:val="004D48B9"/>
    <w:rsid w:val="004D6763"/>
    <w:rsid w:val="004D68A2"/>
    <w:rsid w:val="004E0A40"/>
    <w:rsid w:val="004E1338"/>
    <w:rsid w:val="004E1785"/>
    <w:rsid w:val="004E32A1"/>
    <w:rsid w:val="004E3690"/>
    <w:rsid w:val="004E7FD0"/>
    <w:rsid w:val="004F13BB"/>
    <w:rsid w:val="004F2EF7"/>
    <w:rsid w:val="004F4E2A"/>
    <w:rsid w:val="004F55B6"/>
    <w:rsid w:val="004F7B8A"/>
    <w:rsid w:val="00500341"/>
    <w:rsid w:val="0050038E"/>
    <w:rsid w:val="00501B31"/>
    <w:rsid w:val="005042CE"/>
    <w:rsid w:val="00507F74"/>
    <w:rsid w:val="00510669"/>
    <w:rsid w:val="005110A1"/>
    <w:rsid w:val="005112C5"/>
    <w:rsid w:val="00512401"/>
    <w:rsid w:val="00513663"/>
    <w:rsid w:val="0051390F"/>
    <w:rsid w:val="00516B89"/>
    <w:rsid w:val="00520B7D"/>
    <w:rsid w:val="005213B6"/>
    <w:rsid w:val="00521E95"/>
    <w:rsid w:val="0052393F"/>
    <w:rsid w:val="005243B2"/>
    <w:rsid w:val="00526559"/>
    <w:rsid w:val="0053077E"/>
    <w:rsid w:val="00530A64"/>
    <w:rsid w:val="00536813"/>
    <w:rsid w:val="00536C0F"/>
    <w:rsid w:val="0054384A"/>
    <w:rsid w:val="00545D96"/>
    <w:rsid w:val="00547AE2"/>
    <w:rsid w:val="00551791"/>
    <w:rsid w:val="00552AA0"/>
    <w:rsid w:val="00552C93"/>
    <w:rsid w:val="005532F2"/>
    <w:rsid w:val="00553363"/>
    <w:rsid w:val="00553684"/>
    <w:rsid w:val="00553891"/>
    <w:rsid w:val="00554CFF"/>
    <w:rsid w:val="005553F6"/>
    <w:rsid w:val="00555B4A"/>
    <w:rsid w:val="005607B3"/>
    <w:rsid w:val="00562F74"/>
    <w:rsid w:val="00564A90"/>
    <w:rsid w:val="0056541E"/>
    <w:rsid w:val="00570214"/>
    <w:rsid w:val="00570DB8"/>
    <w:rsid w:val="0057279E"/>
    <w:rsid w:val="00572D86"/>
    <w:rsid w:val="005739B4"/>
    <w:rsid w:val="005774B8"/>
    <w:rsid w:val="0057788A"/>
    <w:rsid w:val="00577D1D"/>
    <w:rsid w:val="00577DAF"/>
    <w:rsid w:val="005802FE"/>
    <w:rsid w:val="0058054B"/>
    <w:rsid w:val="00580E46"/>
    <w:rsid w:val="005827AA"/>
    <w:rsid w:val="00586211"/>
    <w:rsid w:val="00586B23"/>
    <w:rsid w:val="00586B36"/>
    <w:rsid w:val="00587236"/>
    <w:rsid w:val="00595951"/>
    <w:rsid w:val="005969FE"/>
    <w:rsid w:val="00596C3F"/>
    <w:rsid w:val="005A398C"/>
    <w:rsid w:val="005A4230"/>
    <w:rsid w:val="005A4A71"/>
    <w:rsid w:val="005A587A"/>
    <w:rsid w:val="005C0025"/>
    <w:rsid w:val="005C0361"/>
    <w:rsid w:val="005C502C"/>
    <w:rsid w:val="005C5337"/>
    <w:rsid w:val="005C5738"/>
    <w:rsid w:val="005C71DA"/>
    <w:rsid w:val="005C73BE"/>
    <w:rsid w:val="005C764C"/>
    <w:rsid w:val="005C7F8F"/>
    <w:rsid w:val="005D03AB"/>
    <w:rsid w:val="005D24E1"/>
    <w:rsid w:val="005D2895"/>
    <w:rsid w:val="005D3DDD"/>
    <w:rsid w:val="005D3EF3"/>
    <w:rsid w:val="005D4977"/>
    <w:rsid w:val="005D5353"/>
    <w:rsid w:val="005D6147"/>
    <w:rsid w:val="005D7105"/>
    <w:rsid w:val="005E31E3"/>
    <w:rsid w:val="005E46E1"/>
    <w:rsid w:val="005E560B"/>
    <w:rsid w:val="005E592A"/>
    <w:rsid w:val="005E5E2C"/>
    <w:rsid w:val="005E7AD1"/>
    <w:rsid w:val="005F3E6F"/>
    <w:rsid w:val="005F44AE"/>
    <w:rsid w:val="005F51AF"/>
    <w:rsid w:val="005F5AB9"/>
    <w:rsid w:val="00600342"/>
    <w:rsid w:val="0060562B"/>
    <w:rsid w:val="00605F17"/>
    <w:rsid w:val="006122A0"/>
    <w:rsid w:val="00613C3A"/>
    <w:rsid w:val="00613E2B"/>
    <w:rsid w:val="00614031"/>
    <w:rsid w:val="00614E42"/>
    <w:rsid w:val="00616755"/>
    <w:rsid w:val="0061728B"/>
    <w:rsid w:val="00617679"/>
    <w:rsid w:val="006177E0"/>
    <w:rsid w:val="006210BA"/>
    <w:rsid w:val="00622518"/>
    <w:rsid w:val="006240F5"/>
    <w:rsid w:val="006324F5"/>
    <w:rsid w:val="0063384F"/>
    <w:rsid w:val="00633AE5"/>
    <w:rsid w:val="00637563"/>
    <w:rsid w:val="00641406"/>
    <w:rsid w:val="00641C85"/>
    <w:rsid w:val="00641ED6"/>
    <w:rsid w:val="00643071"/>
    <w:rsid w:val="00651A08"/>
    <w:rsid w:val="006527EB"/>
    <w:rsid w:val="00653FC6"/>
    <w:rsid w:val="006541AC"/>
    <w:rsid w:val="00657EC1"/>
    <w:rsid w:val="00660989"/>
    <w:rsid w:val="00660C8F"/>
    <w:rsid w:val="006617DE"/>
    <w:rsid w:val="0067032C"/>
    <w:rsid w:val="00670D3F"/>
    <w:rsid w:val="00674396"/>
    <w:rsid w:val="00674638"/>
    <w:rsid w:val="0068009B"/>
    <w:rsid w:val="00681523"/>
    <w:rsid w:val="00681B5F"/>
    <w:rsid w:val="00682157"/>
    <w:rsid w:val="00683242"/>
    <w:rsid w:val="00685412"/>
    <w:rsid w:val="00685A19"/>
    <w:rsid w:val="00690D7D"/>
    <w:rsid w:val="006915AD"/>
    <w:rsid w:val="006915C5"/>
    <w:rsid w:val="00691ED6"/>
    <w:rsid w:val="00694950"/>
    <w:rsid w:val="00694E3A"/>
    <w:rsid w:val="00695778"/>
    <w:rsid w:val="00695C46"/>
    <w:rsid w:val="006960C1"/>
    <w:rsid w:val="006971CF"/>
    <w:rsid w:val="00697679"/>
    <w:rsid w:val="00697D1F"/>
    <w:rsid w:val="006A0E8D"/>
    <w:rsid w:val="006A1EDB"/>
    <w:rsid w:val="006A478C"/>
    <w:rsid w:val="006A49C8"/>
    <w:rsid w:val="006A5704"/>
    <w:rsid w:val="006A5B0B"/>
    <w:rsid w:val="006B08A5"/>
    <w:rsid w:val="006B0A79"/>
    <w:rsid w:val="006B4FEF"/>
    <w:rsid w:val="006B6D28"/>
    <w:rsid w:val="006B6E2B"/>
    <w:rsid w:val="006C106C"/>
    <w:rsid w:val="006C260C"/>
    <w:rsid w:val="006C40EA"/>
    <w:rsid w:val="006C6EDD"/>
    <w:rsid w:val="006D0737"/>
    <w:rsid w:val="006D0D71"/>
    <w:rsid w:val="006D0E78"/>
    <w:rsid w:val="006D2A84"/>
    <w:rsid w:val="006E05ED"/>
    <w:rsid w:val="006E068D"/>
    <w:rsid w:val="006E24DB"/>
    <w:rsid w:val="006E2D27"/>
    <w:rsid w:val="006E2FBD"/>
    <w:rsid w:val="006E64C4"/>
    <w:rsid w:val="006F17F3"/>
    <w:rsid w:val="006F35D0"/>
    <w:rsid w:val="006F3A1F"/>
    <w:rsid w:val="006F485E"/>
    <w:rsid w:val="006F70DE"/>
    <w:rsid w:val="006F7174"/>
    <w:rsid w:val="006F7789"/>
    <w:rsid w:val="00700477"/>
    <w:rsid w:val="00700DCD"/>
    <w:rsid w:val="007035EA"/>
    <w:rsid w:val="00704F08"/>
    <w:rsid w:val="00706E08"/>
    <w:rsid w:val="0070785A"/>
    <w:rsid w:val="00710C26"/>
    <w:rsid w:val="00714AB8"/>
    <w:rsid w:val="00716A65"/>
    <w:rsid w:val="00717434"/>
    <w:rsid w:val="007177BB"/>
    <w:rsid w:val="007177CD"/>
    <w:rsid w:val="0072158E"/>
    <w:rsid w:val="00722009"/>
    <w:rsid w:val="007236CF"/>
    <w:rsid w:val="00727506"/>
    <w:rsid w:val="00734E44"/>
    <w:rsid w:val="00735998"/>
    <w:rsid w:val="00737DB2"/>
    <w:rsid w:val="00747D42"/>
    <w:rsid w:val="00747ECC"/>
    <w:rsid w:val="00753A7D"/>
    <w:rsid w:val="00755F56"/>
    <w:rsid w:val="007574C0"/>
    <w:rsid w:val="007579B2"/>
    <w:rsid w:val="00760AF5"/>
    <w:rsid w:val="00762BE8"/>
    <w:rsid w:val="007634F3"/>
    <w:rsid w:val="00765DE7"/>
    <w:rsid w:val="0076661A"/>
    <w:rsid w:val="00770AE4"/>
    <w:rsid w:val="00771E9D"/>
    <w:rsid w:val="007725B0"/>
    <w:rsid w:val="0077494C"/>
    <w:rsid w:val="00774DF6"/>
    <w:rsid w:val="00774E68"/>
    <w:rsid w:val="00775698"/>
    <w:rsid w:val="007758D3"/>
    <w:rsid w:val="007777B4"/>
    <w:rsid w:val="0078044E"/>
    <w:rsid w:val="00781D35"/>
    <w:rsid w:val="007823B3"/>
    <w:rsid w:val="0078441F"/>
    <w:rsid w:val="00785798"/>
    <w:rsid w:val="00787E10"/>
    <w:rsid w:val="00787E1E"/>
    <w:rsid w:val="00792D5C"/>
    <w:rsid w:val="00793294"/>
    <w:rsid w:val="00796AE1"/>
    <w:rsid w:val="007A0EEA"/>
    <w:rsid w:val="007A1302"/>
    <w:rsid w:val="007A1910"/>
    <w:rsid w:val="007A389C"/>
    <w:rsid w:val="007A55E0"/>
    <w:rsid w:val="007A563B"/>
    <w:rsid w:val="007A5799"/>
    <w:rsid w:val="007A6DB3"/>
    <w:rsid w:val="007B0BB6"/>
    <w:rsid w:val="007B2ACB"/>
    <w:rsid w:val="007B3572"/>
    <w:rsid w:val="007B57D6"/>
    <w:rsid w:val="007B5B2F"/>
    <w:rsid w:val="007B72A2"/>
    <w:rsid w:val="007B7486"/>
    <w:rsid w:val="007D0B87"/>
    <w:rsid w:val="007D190E"/>
    <w:rsid w:val="007D6E01"/>
    <w:rsid w:val="007D7125"/>
    <w:rsid w:val="007E20BB"/>
    <w:rsid w:val="007E2606"/>
    <w:rsid w:val="007E33B9"/>
    <w:rsid w:val="007E4190"/>
    <w:rsid w:val="007E776D"/>
    <w:rsid w:val="007F1EBE"/>
    <w:rsid w:val="007F652A"/>
    <w:rsid w:val="00801238"/>
    <w:rsid w:val="0080181F"/>
    <w:rsid w:val="008065A3"/>
    <w:rsid w:val="00807BF6"/>
    <w:rsid w:val="00810393"/>
    <w:rsid w:val="00812D4A"/>
    <w:rsid w:val="0081318A"/>
    <w:rsid w:val="008137AA"/>
    <w:rsid w:val="0081387E"/>
    <w:rsid w:val="008147DC"/>
    <w:rsid w:val="00815096"/>
    <w:rsid w:val="00815A47"/>
    <w:rsid w:val="008170F3"/>
    <w:rsid w:val="00823553"/>
    <w:rsid w:val="00823B10"/>
    <w:rsid w:val="00826DA8"/>
    <w:rsid w:val="00827334"/>
    <w:rsid w:val="00827E9A"/>
    <w:rsid w:val="00831263"/>
    <w:rsid w:val="00831F07"/>
    <w:rsid w:val="008321E8"/>
    <w:rsid w:val="00832DAA"/>
    <w:rsid w:val="00834A9B"/>
    <w:rsid w:val="008351F1"/>
    <w:rsid w:val="00836166"/>
    <w:rsid w:val="008369BF"/>
    <w:rsid w:val="00837738"/>
    <w:rsid w:val="00837A13"/>
    <w:rsid w:val="00837B3A"/>
    <w:rsid w:val="00837FA6"/>
    <w:rsid w:val="0084049F"/>
    <w:rsid w:val="008418E6"/>
    <w:rsid w:val="00843B75"/>
    <w:rsid w:val="00844ADA"/>
    <w:rsid w:val="008462F5"/>
    <w:rsid w:val="008465BB"/>
    <w:rsid w:val="00852049"/>
    <w:rsid w:val="00852199"/>
    <w:rsid w:val="0085366D"/>
    <w:rsid w:val="00856CF2"/>
    <w:rsid w:val="00862818"/>
    <w:rsid w:val="00862899"/>
    <w:rsid w:val="00862AF7"/>
    <w:rsid w:val="00862C73"/>
    <w:rsid w:val="0086573B"/>
    <w:rsid w:val="00865766"/>
    <w:rsid w:val="00865B9B"/>
    <w:rsid w:val="00866011"/>
    <w:rsid w:val="008674E5"/>
    <w:rsid w:val="00873EAC"/>
    <w:rsid w:val="008768BA"/>
    <w:rsid w:val="00876D06"/>
    <w:rsid w:val="008775D2"/>
    <w:rsid w:val="00877CC9"/>
    <w:rsid w:val="00877D76"/>
    <w:rsid w:val="0088183E"/>
    <w:rsid w:val="00881C2D"/>
    <w:rsid w:val="00883761"/>
    <w:rsid w:val="008839C7"/>
    <w:rsid w:val="00891877"/>
    <w:rsid w:val="00892A2B"/>
    <w:rsid w:val="00894DEA"/>
    <w:rsid w:val="0089568F"/>
    <w:rsid w:val="008972AA"/>
    <w:rsid w:val="008A185C"/>
    <w:rsid w:val="008A1C2E"/>
    <w:rsid w:val="008A1ED3"/>
    <w:rsid w:val="008A30D2"/>
    <w:rsid w:val="008A384A"/>
    <w:rsid w:val="008A44B6"/>
    <w:rsid w:val="008A5452"/>
    <w:rsid w:val="008A684F"/>
    <w:rsid w:val="008B0A24"/>
    <w:rsid w:val="008B3E36"/>
    <w:rsid w:val="008B64DD"/>
    <w:rsid w:val="008B7B25"/>
    <w:rsid w:val="008C0C51"/>
    <w:rsid w:val="008C250E"/>
    <w:rsid w:val="008C349B"/>
    <w:rsid w:val="008C4037"/>
    <w:rsid w:val="008C5513"/>
    <w:rsid w:val="008C5F37"/>
    <w:rsid w:val="008D3D1E"/>
    <w:rsid w:val="008E01EE"/>
    <w:rsid w:val="008E1019"/>
    <w:rsid w:val="008E16A9"/>
    <w:rsid w:val="008E2A62"/>
    <w:rsid w:val="008E5064"/>
    <w:rsid w:val="008E7022"/>
    <w:rsid w:val="008E7510"/>
    <w:rsid w:val="008E77B5"/>
    <w:rsid w:val="008F0020"/>
    <w:rsid w:val="008F094B"/>
    <w:rsid w:val="008F1970"/>
    <w:rsid w:val="008F2993"/>
    <w:rsid w:val="008F2C2A"/>
    <w:rsid w:val="008F46C8"/>
    <w:rsid w:val="008F7DB4"/>
    <w:rsid w:val="00903399"/>
    <w:rsid w:val="00905170"/>
    <w:rsid w:val="00906E98"/>
    <w:rsid w:val="0091154C"/>
    <w:rsid w:val="00911E67"/>
    <w:rsid w:val="0091291A"/>
    <w:rsid w:val="009129BE"/>
    <w:rsid w:val="009139D6"/>
    <w:rsid w:val="009163C1"/>
    <w:rsid w:val="0091727D"/>
    <w:rsid w:val="00917C0B"/>
    <w:rsid w:val="0092248D"/>
    <w:rsid w:val="00922BF7"/>
    <w:rsid w:val="0092494A"/>
    <w:rsid w:val="00927378"/>
    <w:rsid w:val="00933F26"/>
    <w:rsid w:val="00935E3A"/>
    <w:rsid w:val="00940316"/>
    <w:rsid w:val="009426BB"/>
    <w:rsid w:val="009449E1"/>
    <w:rsid w:val="0094729E"/>
    <w:rsid w:val="00947593"/>
    <w:rsid w:val="00947E4E"/>
    <w:rsid w:val="00953032"/>
    <w:rsid w:val="00953AE2"/>
    <w:rsid w:val="0095455B"/>
    <w:rsid w:val="00957F34"/>
    <w:rsid w:val="0096027C"/>
    <w:rsid w:val="00960976"/>
    <w:rsid w:val="00963526"/>
    <w:rsid w:val="00963AA3"/>
    <w:rsid w:val="00965879"/>
    <w:rsid w:val="00966D27"/>
    <w:rsid w:val="009711AF"/>
    <w:rsid w:val="00973EDE"/>
    <w:rsid w:val="009819DA"/>
    <w:rsid w:val="00984467"/>
    <w:rsid w:val="00985733"/>
    <w:rsid w:val="00985992"/>
    <w:rsid w:val="00986141"/>
    <w:rsid w:val="009873B9"/>
    <w:rsid w:val="009907A0"/>
    <w:rsid w:val="00990D63"/>
    <w:rsid w:val="009936FB"/>
    <w:rsid w:val="00995059"/>
    <w:rsid w:val="009953BC"/>
    <w:rsid w:val="009960EE"/>
    <w:rsid w:val="00996578"/>
    <w:rsid w:val="00997616"/>
    <w:rsid w:val="00997974"/>
    <w:rsid w:val="009A077A"/>
    <w:rsid w:val="009A32D9"/>
    <w:rsid w:val="009A42E3"/>
    <w:rsid w:val="009A7700"/>
    <w:rsid w:val="009A7C9F"/>
    <w:rsid w:val="009B02C8"/>
    <w:rsid w:val="009B0415"/>
    <w:rsid w:val="009B3468"/>
    <w:rsid w:val="009B586F"/>
    <w:rsid w:val="009B6386"/>
    <w:rsid w:val="009B67FE"/>
    <w:rsid w:val="009B722E"/>
    <w:rsid w:val="009C4FB8"/>
    <w:rsid w:val="009C7F61"/>
    <w:rsid w:val="009D0114"/>
    <w:rsid w:val="009D1242"/>
    <w:rsid w:val="009D258B"/>
    <w:rsid w:val="009D4F2A"/>
    <w:rsid w:val="009D5AE3"/>
    <w:rsid w:val="009D761C"/>
    <w:rsid w:val="009E11D2"/>
    <w:rsid w:val="009E1857"/>
    <w:rsid w:val="009E47BB"/>
    <w:rsid w:val="009F15C3"/>
    <w:rsid w:val="009F2592"/>
    <w:rsid w:val="009F583C"/>
    <w:rsid w:val="009F5987"/>
    <w:rsid w:val="009F7CA0"/>
    <w:rsid w:val="009F7F27"/>
    <w:rsid w:val="00A0002F"/>
    <w:rsid w:val="00A0178D"/>
    <w:rsid w:val="00A03187"/>
    <w:rsid w:val="00A05563"/>
    <w:rsid w:val="00A063D1"/>
    <w:rsid w:val="00A06B95"/>
    <w:rsid w:val="00A06FE9"/>
    <w:rsid w:val="00A07366"/>
    <w:rsid w:val="00A07B3C"/>
    <w:rsid w:val="00A1145C"/>
    <w:rsid w:val="00A13684"/>
    <w:rsid w:val="00A14F3D"/>
    <w:rsid w:val="00A152C3"/>
    <w:rsid w:val="00A170BF"/>
    <w:rsid w:val="00A23F44"/>
    <w:rsid w:val="00A274E1"/>
    <w:rsid w:val="00A2763B"/>
    <w:rsid w:val="00A365AC"/>
    <w:rsid w:val="00A37A6E"/>
    <w:rsid w:val="00A37B7A"/>
    <w:rsid w:val="00A37FBF"/>
    <w:rsid w:val="00A401E8"/>
    <w:rsid w:val="00A46132"/>
    <w:rsid w:val="00A46DCC"/>
    <w:rsid w:val="00A504CD"/>
    <w:rsid w:val="00A51714"/>
    <w:rsid w:val="00A5288A"/>
    <w:rsid w:val="00A54639"/>
    <w:rsid w:val="00A55C9F"/>
    <w:rsid w:val="00A55D7A"/>
    <w:rsid w:val="00A572A8"/>
    <w:rsid w:val="00A607C5"/>
    <w:rsid w:val="00A618AE"/>
    <w:rsid w:val="00A62703"/>
    <w:rsid w:val="00A63622"/>
    <w:rsid w:val="00A63F23"/>
    <w:rsid w:val="00A63F63"/>
    <w:rsid w:val="00A64CC0"/>
    <w:rsid w:val="00A6712E"/>
    <w:rsid w:val="00A711E1"/>
    <w:rsid w:val="00A71CD7"/>
    <w:rsid w:val="00A758D5"/>
    <w:rsid w:val="00A7661B"/>
    <w:rsid w:val="00A76A51"/>
    <w:rsid w:val="00A76EEB"/>
    <w:rsid w:val="00A77F9B"/>
    <w:rsid w:val="00A81189"/>
    <w:rsid w:val="00A8362E"/>
    <w:rsid w:val="00A84D12"/>
    <w:rsid w:val="00A86DB3"/>
    <w:rsid w:val="00A87B4C"/>
    <w:rsid w:val="00A93B99"/>
    <w:rsid w:val="00A979A5"/>
    <w:rsid w:val="00AA0050"/>
    <w:rsid w:val="00AA0B34"/>
    <w:rsid w:val="00AA1069"/>
    <w:rsid w:val="00AB0B9D"/>
    <w:rsid w:val="00AB2C03"/>
    <w:rsid w:val="00AB4C69"/>
    <w:rsid w:val="00AB6FCE"/>
    <w:rsid w:val="00AC046A"/>
    <w:rsid w:val="00AC0D81"/>
    <w:rsid w:val="00AC4FE7"/>
    <w:rsid w:val="00AC65B8"/>
    <w:rsid w:val="00AD47E3"/>
    <w:rsid w:val="00AE0625"/>
    <w:rsid w:val="00AE085D"/>
    <w:rsid w:val="00AE3A87"/>
    <w:rsid w:val="00AE49F5"/>
    <w:rsid w:val="00AE74C2"/>
    <w:rsid w:val="00AF1F96"/>
    <w:rsid w:val="00AF5829"/>
    <w:rsid w:val="00B00266"/>
    <w:rsid w:val="00B03780"/>
    <w:rsid w:val="00B03C77"/>
    <w:rsid w:val="00B03D26"/>
    <w:rsid w:val="00B06016"/>
    <w:rsid w:val="00B0754A"/>
    <w:rsid w:val="00B11F65"/>
    <w:rsid w:val="00B14885"/>
    <w:rsid w:val="00B26902"/>
    <w:rsid w:val="00B27F30"/>
    <w:rsid w:val="00B31397"/>
    <w:rsid w:val="00B32B1A"/>
    <w:rsid w:val="00B33669"/>
    <w:rsid w:val="00B34CDE"/>
    <w:rsid w:val="00B363CD"/>
    <w:rsid w:val="00B409D7"/>
    <w:rsid w:val="00B414EB"/>
    <w:rsid w:val="00B41A5B"/>
    <w:rsid w:val="00B42A82"/>
    <w:rsid w:val="00B44D63"/>
    <w:rsid w:val="00B45461"/>
    <w:rsid w:val="00B45CD3"/>
    <w:rsid w:val="00B4735C"/>
    <w:rsid w:val="00B477D1"/>
    <w:rsid w:val="00B51866"/>
    <w:rsid w:val="00B54FC6"/>
    <w:rsid w:val="00B55A9A"/>
    <w:rsid w:val="00B57969"/>
    <w:rsid w:val="00B62F65"/>
    <w:rsid w:val="00B659D5"/>
    <w:rsid w:val="00B70551"/>
    <w:rsid w:val="00B7078E"/>
    <w:rsid w:val="00B721CC"/>
    <w:rsid w:val="00B72963"/>
    <w:rsid w:val="00B804E8"/>
    <w:rsid w:val="00B8126A"/>
    <w:rsid w:val="00B8144F"/>
    <w:rsid w:val="00B83BB1"/>
    <w:rsid w:val="00B83DBF"/>
    <w:rsid w:val="00B86292"/>
    <w:rsid w:val="00B877B6"/>
    <w:rsid w:val="00B9067F"/>
    <w:rsid w:val="00B90DB9"/>
    <w:rsid w:val="00B91366"/>
    <w:rsid w:val="00B93009"/>
    <w:rsid w:val="00B96FBA"/>
    <w:rsid w:val="00B97586"/>
    <w:rsid w:val="00BA0ADD"/>
    <w:rsid w:val="00BA0EBE"/>
    <w:rsid w:val="00BA18A8"/>
    <w:rsid w:val="00BA3771"/>
    <w:rsid w:val="00BA692D"/>
    <w:rsid w:val="00BB0067"/>
    <w:rsid w:val="00BB0D9E"/>
    <w:rsid w:val="00BB1EB5"/>
    <w:rsid w:val="00BB4010"/>
    <w:rsid w:val="00BB5259"/>
    <w:rsid w:val="00BB7A62"/>
    <w:rsid w:val="00BC126C"/>
    <w:rsid w:val="00BC1D31"/>
    <w:rsid w:val="00BC1D41"/>
    <w:rsid w:val="00BC2D79"/>
    <w:rsid w:val="00BC410C"/>
    <w:rsid w:val="00BC5F89"/>
    <w:rsid w:val="00BD0765"/>
    <w:rsid w:val="00BD09BA"/>
    <w:rsid w:val="00BD1F46"/>
    <w:rsid w:val="00BD47BA"/>
    <w:rsid w:val="00BD486B"/>
    <w:rsid w:val="00BD656F"/>
    <w:rsid w:val="00BE155F"/>
    <w:rsid w:val="00BE1813"/>
    <w:rsid w:val="00BE18CF"/>
    <w:rsid w:val="00BE2699"/>
    <w:rsid w:val="00BE2D9D"/>
    <w:rsid w:val="00BE417E"/>
    <w:rsid w:val="00BE4EE3"/>
    <w:rsid w:val="00BE4EEC"/>
    <w:rsid w:val="00BE50B6"/>
    <w:rsid w:val="00BE78D7"/>
    <w:rsid w:val="00BF0C4E"/>
    <w:rsid w:val="00BF0CA3"/>
    <w:rsid w:val="00BF1B3C"/>
    <w:rsid w:val="00BF585A"/>
    <w:rsid w:val="00BF7AC9"/>
    <w:rsid w:val="00BF7F8E"/>
    <w:rsid w:val="00C001D2"/>
    <w:rsid w:val="00C011F9"/>
    <w:rsid w:val="00C0189E"/>
    <w:rsid w:val="00C029D8"/>
    <w:rsid w:val="00C02A4F"/>
    <w:rsid w:val="00C0302D"/>
    <w:rsid w:val="00C03A70"/>
    <w:rsid w:val="00C061AB"/>
    <w:rsid w:val="00C06C30"/>
    <w:rsid w:val="00C06D1D"/>
    <w:rsid w:val="00C11FCD"/>
    <w:rsid w:val="00C120A2"/>
    <w:rsid w:val="00C13466"/>
    <w:rsid w:val="00C1450F"/>
    <w:rsid w:val="00C1727D"/>
    <w:rsid w:val="00C210DE"/>
    <w:rsid w:val="00C241F7"/>
    <w:rsid w:val="00C25E4B"/>
    <w:rsid w:val="00C326A5"/>
    <w:rsid w:val="00C33394"/>
    <w:rsid w:val="00C341A5"/>
    <w:rsid w:val="00C35C0B"/>
    <w:rsid w:val="00C36A86"/>
    <w:rsid w:val="00C3775E"/>
    <w:rsid w:val="00C44016"/>
    <w:rsid w:val="00C44C60"/>
    <w:rsid w:val="00C45929"/>
    <w:rsid w:val="00C4597C"/>
    <w:rsid w:val="00C47281"/>
    <w:rsid w:val="00C50D59"/>
    <w:rsid w:val="00C51385"/>
    <w:rsid w:val="00C52B5A"/>
    <w:rsid w:val="00C55D43"/>
    <w:rsid w:val="00C5718D"/>
    <w:rsid w:val="00C64712"/>
    <w:rsid w:val="00C6489A"/>
    <w:rsid w:val="00C66258"/>
    <w:rsid w:val="00C6628E"/>
    <w:rsid w:val="00C664ED"/>
    <w:rsid w:val="00C72E6E"/>
    <w:rsid w:val="00C73BE2"/>
    <w:rsid w:val="00C75868"/>
    <w:rsid w:val="00C7596F"/>
    <w:rsid w:val="00C80D67"/>
    <w:rsid w:val="00C81A6C"/>
    <w:rsid w:val="00C8318E"/>
    <w:rsid w:val="00C8335F"/>
    <w:rsid w:val="00C83B13"/>
    <w:rsid w:val="00C85B81"/>
    <w:rsid w:val="00C90922"/>
    <w:rsid w:val="00C92116"/>
    <w:rsid w:val="00C92FDC"/>
    <w:rsid w:val="00C942A1"/>
    <w:rsid w:val="00C95481"/>
    <w:rsid w:val="00CA2ED2"/>
    <w:rsid w:val="00CA3087"/>
    <w:rsid w:val="00CA37A2"/>
    <w:rsid w:val="00CA4C0C"/>
    <w:rsid w:val="00CA58C5"/>
    <w:rsid w:val="00CA6B5B"/>
    <w:rsid w:val="00CA6CBC"/>
    <w:rsid w:val="00CB17AB"/>
    <w:rsid w:val="00CB1DBB"/>
    <w:rsid w:val="00CB1FFD"/>
    <w:rsid w:val="00CB49A3"/>
    <w:rsid w:val="00CC04ED"/>
    <w:rsid w:val="00CC089F"/>
    <w:rsid w:val="00CC08AC"/>
    <w:rsid w:val="00CC08B3"/>
    <w:rsid w:val="00CC0F1E"/>
    <w:rsid w:val="00CC2AE4"/>
    <w:rsid w:val="00CC3E01"/>
    <w:rsid w:val="00CC4FD6"/>
    <w:rsid w:val="00CD0871"/>
    <w:rsid w:val="00CD1B95"/>
    <w:rsid w:val="00CD1DF7"/>
    <w:rsid w:val="00CD49E1"/>
    <w:rsid w:val="00CE06A8"/>
    <w:rsid w:val="00CE1283"/>
    <w:rsid w:val="00CE19C6"/>
    <w:rsid w:val="00CE1F3D"/>
    <w:rsid w:val="00CE2357"/>
    <w:rsid w:val="00CE54E6"/>
    <w:rsid w:val="00CE6530"/>
    <w:rsid w:val="00CE6800"/>
    <w:rsid w:val="00CE7ECB"/>
    <w:rsid w:val="00CF0802"/>
    <w:rsid w:val="00CF1B84"/>
    <w:rsid w:val="00CF3731"/>
    <w:rsid w:val="00CF3C4F"/>
    <w:rsid w:val="00CF4DC9"/>
    <w:rsid w:val="00CF61BC"/>
    <w:rsid w:val="00CF6E6C"/>
    <w:rsid w:val="00D02D95"/>
    <w:rsid w:val="00D02E0B"/>
    <w:rsid w:val="00D054E2"/>
    <w:rsid w:val="00D06315"/>
    <w:rsid w:val="00D06438"/>
    <w:rsid w:val="00D1132E"/>
    <w:rsid w:val="00D12AE6"/>
    <w:rsid w:val="00D13BAC"/>
    <w:rsid w:val="00D13FE3"/>
    <w:rsid w:val="00D165B3"/>
    <w:rsid w:val="00D1778B"/>
    <w:rsid w:val="00D17D99"/>
    <w:rsid w:val="00D218E5"/>
    <w:rsid w:val="00D21F30"/>
    <w:rsid w:val="00D22E46"/>
    <w:rsid w:val="00D278B6"/>
    <w:rsid w:val="00D278D6"/>
    <w:rsid w:val="00D27C40"/>
    <w:rsid w:val="00D27C90"/>
    <w:rsid w:val="00D30EE0"/>
    <w:rsid w:val="00D314A7"/>
    <w:rsid w:val="00D36229"/>
    <w:rsid w:val="00D36A89"/>
    <w:rsid w:val="00D36F5E"/>
    <w:rsid w:val="00D37AE7"/>
    <w:rsid w:val="00D4028C"/>
    <w:rsid w:val="00D406D9"/>
    <w:rsid w:val="00D42706"/>
    <w:rsid w:val="00D42E89"/>
    <w:rsid w:val="00D43CED"/>
    <w:rsid w:val="00D43E6F"/>
    <w:rsid w:val="00D44F17"/>
    <w:rsid w:val="00D4516C"/>
    <w:rsid w:val="00D51110"/>
    <w:rsid w:val="00D51170"/>
    <w:rsid w:val="00D52B53"/>
    <w:rsid w:val="00D54C2A"/>
    <w:rsid w:val="00D5710C"/>
    <w:rsid w:val="00D57115"/>
    <w:rsid w:val="00D63A53"/>
    <w:rsid w:val="00D64DE0"/>
    <w:rsid w:val="00D67481"/>
    <w:rsid w:val="00D71076"/>
    <w:rsid w:val="00D729EE"/>
    <w:rsid w:val="00D751E3"/>
    <w:rsid w:val="00D81ECD"/>
    <w:rsid w:val="00D82E84"/>
    <w:rsid w:val="00D84F38"/>
    <w:rsid w:val="00D85F84"/>
    <w:rsid w:val="00D86C3A"/>
    <w:rsid w:val="00D879CE"/>
    <w:rsid w:val="00D93091"/>
    <w:rsid w:val="00D947A1"/>
    <w:rsid w:val="00D9776D"/>
    <w:rsid w:val="00D97C16"/>
    <w:rsid w:val="00DA2CC1"/>
    <w:rsid w:val="00DA2D16"/>
    <w:rsid w:val="00DA6DAB"/>
    <w:rsid w:val="00DA712E"/>
    <w:rsid w:val="00DA7419"/>
    <w:rsid w:val="00DA7A57"/>
    <w:rsid w:val="00DB0CBD"/>
    <w:rsid w:val="00DB1BF2"/>
    <w:rsid w:val="00DB738A"/>
    <w:rsid w:val="00DB7DF3"/>
    <w:rsid w:val="00DC18EB"/>
    <w:rsid w:val="00DC33F0"/>
    <w:rsid w:val="00DC578E"/>
    <w:rsid w:val="00DD0B71"/>
    <w:rsid w:val="00DD10F1"/>
    <w:rsid w:val="00DD13BE"/>
    <w:rsid w:val="00DD1D3D"/>
    <w:rsid w:val="00DD4708"/>
    <w:rsid w:val="00DD58EB"/>
    <w:rsid w:val="00DD6A4A"/>
    <w:rsid w:val="00DD6B43"/>
    <w:rsid w:val="00DE04F1"/>
    <w:rsid w:val="00DE217A"/>
    <w:rsid w:val="00DE432F"/>
    <w:rsid w:val="00DE5494"/>
    <w:rsid w:val="00DE5EDC"/>
    <w:rsid w:val="00DE70EC"/>
    <w:rsid w:val="00DF21F0"/>
    <w:rsid w:val="00DF236A"/>
    <w:rsid w:val="00DF2727"/>
    <w:rsid w:val="00DF2CD2"/>
    <w:rsid w:val="00DF4053"/>
    <w:rsid w:val="00DF4455"/>
    <w:rsid w:val="00DF466D"/>
    <w:rsid w:val="00E00626"/>
    <w:rsid w:val="00E04257"/>
    <w:rsid w:val="00E055BB"/>
    <w:rsid w:val="00E055FD"/>
    <w:rsid w:val="00E061E8"/>
    <w:rsid w:val="00E064DA"/>
    <w:rsid w:val="00E12E13"/>
    <w:rsid w:val="00E14832"/>
    <w:rsid w:val="00E152C8"/>
    <w:rsid w:val="00E15F32"/>
    <w:rsid w:val="00E16501"/>
    <w:rsid w:val="00E16D96"/>
    <w:rsid w:val="00E2036B"/>
    <w:rsid w:val="00E213D1"/>
    <w:rsid w:val="00E2356D"/>
    <w:rsid w:val="00E35262"/>
    <w:rsid w:val="00E356D0"/>
    <w:rsid w:val="00E35FA5"/>
    <w:rsid w:val="00E37906"/>
    <w:rsid w:val="00E42CFA"/>
    <w:rsid w:val="00E454FA"/>
    <w:rsid w:val="00E4705F"/>
    <w:rsid w:val="00E50484"/>
    <w:rsid w:val="00E548D4"/>
    <w:rsid w:val="00E54D27"/>
    <w:rsid w:val="00E5529F"/>
    <w:rsid w:val="00E56987"/>
    <w:rsid w:val="00E57A3C"/>
    <w:rsid w:val="00E60633"/>
    <w:rsid w:val="00E60C9B"/>
    <w:rsid w:val="00E62014"/>
    <w:rsid w:val="00E634B3"/>
    <w:rsid w:val="00E63D66"/>
    <w:rsid w:val="00E65D61"/>
    <w:rsid w:val="00E66522"/>
    <w:rsid w:val="00E703B2"/>
    <w:rsid w:val="00E70BFC"/>
    <w:rsid w:val="00E7101E"/>
    <w:rsid w:val="00E71CF5"/>
    <w:rsid w:val="00E81694"/>
    <w:rsid w:val="00E817C4"/>
    <w:rsid w:val="00E81DFE"/>
    <w:rsid w:val="00E852BF"/>
    <w:rsid w:val="00E8686F"/>
    <w:rsid w:val="00E928CB"/>
    <w:rsid w:val="00E930F9"/>
    <w:rsid w:val="00E94ED9"/>
    <w:rsid w:val="00E9621B"/>
    <w:rsid w:val="00EA2639"/>
    <w:rsid w:val="00EA65F9"/>
    <w:rsid w:val="00EB1898"/>
    <w:rsid w:val="00EB34BB"/>
    <w:rsid w:val="00EB577B"/>
    <w:rsid w:val="00EB60B9"/>
    <w:rsid w:val="00EB76F1"/>
    <w:rsid w:val="00EC1328"/>
    <w:rsid w:val="00EC1C5B"/>
    <w:rsid w:val="00EC5DA0"/>
    <w:rsid w:val="00EC61A6"/>
    <w:rsid w:val="00EC7EF7"/>
    <w:rsid w:val="00ED0893"/>
    <w:rsid w:val="00ED2850"/>
    <w:rsid w:val="00ED44DC"/>
    <w:rsid w:val="00ED4ECE"/>
    <w:rsid w:val="00ED588D"/>
    <w:rsid w:val="00EE201C"/>
    <w:rsid w:val="00EE34DE"/>
    <w:rsid w:val="00EE3571"/>
    <w:rsid w:val="00EE632A"/>
    <w:rsid w:val="00EF1E83"/>
    <w:rsid w:val="00EF262F"/>
    <w:rsid w:val="00EF44A5"/>
    <w:rsid w:val="00EF58C4"/>
    <w:rsid w:val="00EF64E7"/>
    <w:rsid w:val="00F0214F"/>
    <w:rsid w:val="00F07172"/>
    <w:rsid w:val="00F15E80"/>
    <w:rsid w:val="00F16A6E"/>
    <w:rsid w:val="00F17EE0"/>
    <w:rsid w:val="00F2030E"/>
    <w:rsid w:val="00F20942"/>
    <w:rsid w:val="00F20EB6"/>
    <w:rsid w:val="00F248DC"/>
    <w:rsid w:val="00F24F8D"/>
    <w:rsid w:val="00F26D29"/>
    <w:rsid w:val="00F313CB"/>
    <w:rsid w:val="00F31D2C"/>
    <w:rsid w:val="00F33186"/>
    <w:rsid w:val="00F37974"/>
    <w:rsid w:val="00F41469"/>
    <w:rsid w:val="00F42E0B"/>
    <w:rsid w:val="00F4379C"/>
    <w:rsid w:val="00F44BC7"/>
    <w:rsid w:val="00F52651"/>
    <w:rsid w:val="00F5291C"/>
    <w:rsid w:val="00F534F1"/>
    <w:rsid w:val="00F55034"/>
    <w:rsid w:val="00F55220"/>
    <w:rsid w:val="00F56A27"/>
    <w:rsid w:val="00F56B8F"/>
    <w:rsid w:val="00F619D5"/>
    <w:rsid w:val="00F64A8E"/>
    <w:rsid w:val="00F64BE0"/>
    <w:rsid w:val="00F65E7D"/>
    <w:rsid w:val="00F65F36"/>
    <w:rsid w:val="00F66FCF"/>
    <w:rsid w:val="00F6788E"/>
    <w:rsid w:val="00F737D3"/>
    <w:rsid w:val="00F73F8F"/>
    <w:rsid w:val="00F74AA0"/>
    <w:rsid w:val="00F76B38"/>
    <w:rsid w:val="00F77CE3"/>
    <w:rsid w:val="00F81EB0"/>
    <w:rsid w:val="00F827FD"/>
    <w:rsid w:val="00F82AB2"/>
    <w:rsid w:val="00F87F8B"/>
    <w:rsid w:val="00F909DB"/>
    <w:rsid w:val="00F90B9C"/>
    <w:rsid w:val="00F93620"/>
    <w:rsid w:val="00F95985"/>
    <w:rsid w:val="00F95CE3"/>
    <w:rsid w:val="00F963F1"/>
    <w:rsid w:val="00F96641"/>
    <w:rsid w:val="00F96AA0"/>
    <w:rsid w:val="00F97B27"/>
    <w:rsid w:val="00FA0F05"/>
    <w:rsid w:val="00FA0F98"/>
    <w:rsid w:val="00FA1C2F"/>
    <w:rsid w:val="00FA57DD"/>
    <w:rsid w:val="00FA79E7"/>
    <w:rsid w:val="00FB0A12"/>
    <w:rsid w:val="00FB0A7C"/>
    <w:rsid w:val="00FB1EBE"/>
    <w:rsid w:val="00FB2B65"/>
    <w:rsid w:val="00FB3233"/>
    <w:rsid w:val="00FB519F"/>
    <w:rsid w:val="00FC0365"/>
    <w:rsid w:val="00FC3225"/>
    <w:rsid w:val="00FC3228"/>
    <w:rsid w:val="00FC4432"/>
    <w:rsid w:val="00FC5F08"/>
    <w:rsid w:val="00FD2D37"/>
    <w:rsid w:val="00FD33F2"/>
    <w:rsid w:val="00FD61BA"/>
    <w:rsid w:val="00FE0DA9"/>
    <w:rsid w:val="00FE0E5A"/>
    <w:rsid w:val="00FE1A25"/>
    <w:rsid w:val="00FE296D"/>
    <w:rsid w:val="00FE32C9"/>
    <w:rsid w:val="00FE3669"/>
    <w:rsid w:val="00FE5973"/>
    <w:rsid w:val="00FE7E6C"/>
    <w:rsid w:val="00FF10C9"/>
    <w:rsid w:val="00FF4872"/>
    <w:rsid w:val="00FF5270"/>
    <w:rsid w:val="00FF60FD"/>
    <w:rsid w:val="00FF69B3"/>
    <w:rsid w:val="00FF707A"/>
    <w:rsid w:val="00FF7146"/>
    <w:rsid w:val="00FF74F8"/>
    <w:rsid w:val="00FF7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A06C"/>
  <w15:chartTrackingRefBased/>
  <w15:docId w15:val="{9B8466AD-9C22-4A2C-8F64-D810639A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27D"/>
    <w:pPr>
      <w:jc w:val="both"/>
    </w:pPr>
    <w:rPr>
      <w:sz w:val="24"/>
    </w:rPr>
  </w:style>
  <w:style w:type="paragraph" w:styleId="Nadpis1">
    <w:name w:val="heading 1"/>
    <w:basedOn w:val="Normln"/>
    <w:next w:val="Normln"/>
    <w:link w:val="Nadpis1Char"/>
    <w:uiPriority w:val="9"/>
    <w:qFormat/>
    <w:rsid w:val="00406D86"/>
    <w:pPr>
      <w:keepNext/>
      <w:keepLines/>
      <w:numPr>
        <w:numId w:val="21"/>
      </w:numPr>
      <w:spacing w:before="240" w:after="0"/>
      <w:jc w:val="center"/>
      <w:outlineLvl w:val="0"/>
    </w:pPr>
    <w:rPr>
      <w:rFonts w:eastAsiaTheme="majorEastAsia" w:cstheme="majorBidi"/>
      <w:b/>
      <w:caps/>
      <w:szCs w:val="32"/>
    </w:rPr>
  </w:style>
  <w:style w:type="paragraph" w:styleId="Nadpis2">
    <w:name w:val="heading 2"/>
    <w:basedOn w:val="Normln"/>
    <w:next w:val="Normln"/>
    <w:link w:val="Nadpis2Char"/>
    <w:uiPriority w:val="9"/>
    <w:unhideWhenUsed/>
    <w:qFormat/>
    <w:rsid w:val="005C7F8F"/>
    <w:pPr>
      <w:keepNext/>
      <w:keepLines/>
      <w:spacing w:before="40" w:after="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519F"/>
    <w:pPr>
      <w:ind w:left="720"/>
      <w:contextualSpacing/>
    </w:pPr>
  </w:style>
  <w:style w:type="paragraph" w:styleId="Textbubliny">
    <w:name w:val="Balloon Text"/>
    <w:basedOn w:val="Normln"/>
    <w:link w:val="TextbublinyChar"/>
    <w:uiPriority w:val="99"/>
    <w:semiHidden/>
    <w:unhideWhenUsed/>
    <w:rsid w:val="003777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711"/>
    <w:rPr>
      <w:rFonts w:ascii="Segoe UI" w:hAnsi="Segoe UI" w:cs="Segoe UI"/>
      <w:sz w:val="18"/>
      <w:szCs w:val="18"/>
    </w:rPr>
  </w:style>
  <w:style w:type="paragraph" w:customStyle="1" w:styleId="Zkladn">
    <w:name w:val="Základní"/>
    <w:basedOn w:val="Normln"/>
    <w:rsid w:val="0067032C"/>
    <w:pPr>
      <w:spacing w:before="120" w:after="0" w:line="240" w:lineRule="auto"/>
    </w:pPr>
    <w:rPr>
      <w:rFonts w:ascii="Arial" w:eastAsia="Times New Roman" w:hAnsi="Arial" w:cs="Times New Roman"/>
      <w:szCs w:val="24"/>
    </w:rPr>
  </w:style>
  <w:style w:type="character" w:customStyle="1" w:styleId="Nadpis1Char">
    <w:name w:val="Nadpis 1 Char"/>
    <w:basedOn w:val="Standardnpsmoodstavce"/>
    <w:link w:val="Nadpis1"/>
    <w:uiPriority w:val="9"/>
    <w:rsid w:val="00406D86"/>
    <w:rPr>
      <w:rFonts w:eastAsiaTheme="majorEastAsia" w:cstheme="majorBidi"/>
      <w:b/>
      <w:caps/>
      <w:sz w:val="24"/>
      <w:szCs w:val="32"/>
    </w:rPr>
  </w:style>
  <w:style w:type="paragraph" w:styleId="Zhlav">
    <w:name w:val="header"/>
    <w:basedOn w:val="Normln"/>
    <w:link w:val="ZhlavChar"/>
    <w:uiPriority w:val="99"/>
    <w:unhideWhenUsed/>
    <w:rsid w:val="00B148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4885"/>
    <w:rPr>
      <w:sz w:val="24"/>
    </w:rPr>
  </w:style>
  <w:style w:type="paragraph" w:styleId="Zpat">
    <w:name w:val="footer"/>
    <w:basedOn w:val="Normln"/>
    <w:link w:val="ZpatChar"/>
    <w:uiPriority w:val="99"/>
    <w:unhideWhenUsed/>
    <w:rsid w:val="00B14885"/>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885"/>
    <w:rPr>
      <w:sz w:val="24"/>
    </w:rPr>
  </w:style>
  <w:style w:type="character" w:styleId="Odkaznakoment">
    <w:name w:val="annotation reference"/>
    <w:basedOn w:val="Standardnpsmoodstavce"/>
    <w:uiPriority w:val="99"/>
    <w:semiHidden/>
    <w:unhideWhenUsed/>
    <w:rsid w:val="00B14885"/>
    <w:rPr>
      <w:sz w:val="16"/>
      <w:szCs w:val="16"/>
    </w:rPr>
  </w:style>
  <w:style w:type="paragraph" w:styleId="Textkomente">
    <w:name w:val="annotation text"/>
    <w:basedOn w:val="Normln"/>
    <w:link w:val="TextkomenteChar"/>
    <w:uiPriority w:val="99"/>
    <w:unhideWhenUsed/>
    <w:rsid w:val="00B14885"/>
    <w:pPr>
      <w:spacing w:line="240" w:lineRule="auto"/>
    </w:pPr>
    <w:rPr>
      <w:sz w:val="20"/>
      <w:szCs w:val="20"/>
    </w:rPr>
  </w:style>
  <w:style w:type="character" w:customStyle="1" w:styleId="TextkomenteChar">
    <w:name w:val="Text komentáře Char"/>
    <w:basedOn w:val="Standardnpsmoodstavce"/>
    <w:link w:val="Textkomente"/>
    <w:uiPriority w:val="99"/>
    <w:rsid w:val="00B14885"/>
    <w:rPr>
      <w:sz w:val="20"/>
      <w:szCs w:val="20"/>
    </w:rPr>
  </w:style>
  <w:style w:type="paragraph" w:styleId="Pedmtkomente">
    <w:name w:val="annotation subject"/>
    <w:basedOn w:val="Textkomente"/>
    <w:next w:val="Textkomente"/>
    <w:link w:val="PedmtkomenteChar"/>
    <w:uiPriority w:val="99"/>
    <w:semiHidden/>
    <w:unhideWhenUsed/>
    <w:rsid w:val="00B14885"/>
    <w:rPr>
      <w:b/>
      <w:bCs/>
    </w:rPr>
  </w:style>
  <w:style w:type="character" w:customStyle="1" w:styleId="PedmtkomenteChar">
    <w:name w:val="Předmět komentáře Char"/>
    <w:basedOn w:val="TextkomenteChar"/>
    <w:link w:val="Pedmtkomente"/>
    <w:uiPriority w:val="99"/>
    <w:semiHidden/>
    <w:rsid w:val="00B14885"/>
    <w:rPr>
      <w:b/>
      <w:bCs/>
      <w:sz w:val="20"/>
      <w:szCs w:val="20"/>
    </w:rPr>
  </w:style>
  <w:style w:type="table" w:styleId="Mkatabulky">
    <w:name w:val="Table Grid"/>
    <w:basedOn w:val="Normlntabulka"/>
    <w:uiPriority w:val="39"/>
    <w:rsid w:val="00A4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365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365AC"/>
    <w:rPr>
      <w:sz w:val="20"/>
      <w:szCs w:val="20"/>
    </w:rPr>
  </w:style>
  <w:style w:type="character" w:styleId="Znakapoznpodarou">
    <w:name w:val="footnote reference"/>
    <w:basedOn w:val="Standardnpsmoodstavce"/>
    <w:uiPriority w:val="99"/>
    <w:unhideWhenUsed/>
    <w:rsid w:val="00A365AC"/>
    <w:rPr>
      <w:vertAlign w:val="superscript"/>
    </w:rPr>
  </w:style>
  <w:style w:type="character" w:customStyle="1" w:styleId="Nadpis2Char">
    <w:name w:val="Nadpis 2 Char"/>
    <w:basedOn w:val="Standardnpsmoodstavce"/>
    <w:link w:val="Nadpis2"/>
    <w:uiPriority w:val="9"/>
    <w:rsid w:val="005C7F8F"/>
    <w:rPr>
      <w:rFonts w:asciiTheme="majorHAnsi" w:eastAsiaTheme="majorEastAsia" w:hAnsiTheme="majorHAnsi" w:cstheme="majorBidi"/>
      <w:b/>
      <w:sz w:val="26"/>
      <w:szCs w:val="26"/>
    </w:rPr>
  </w:style>
  <w:style w:type="paragraph" w:customStyle="1" w:styleId="Odrkypuntky">
    <w:name w:val="Odrážky puntíky"/>
    <w:basedOn w:val="Normln"/>
    <w:rsid w:val="00FA0F05"/>
    <w:pPr>
      <w:numPr>
        <w:numId w:val="14"/>
      </w:numPr>
    </w:pPr>
  </w:style>
  <w:style w:type="paragraph" w:customStyle="1" w:styleId="Default">
    <w:name w:val="Default"/>
    <w:rsid w:val="00A37B7A"/>
    <w:pPr>
      <w:autoSpaceDE w:val="0"/>
      <w:autoSpaceDN w:val="0"/>
      <w:adjustRightInd w:val="0"/>
      <w:spacing w:after="0" w:line="240" w:lineRule="auto"/>
    </w:pPr>
    <w:rPr>
      <w:rFonts w:ascii="Calibri" w:hAnsi="Calibri" w:cs="Calibri"/>
      <w:color w:val="000000"/>
      <w:sz w:val="24"/>
      <w:szCs w:val="24"/>
    </w:rPr>
  </w:style>
  <w:style w:type="table" w:customStyle="1" w:styleId="Mkatabulky1">
    <w:name w:val="Mřížka tabulky1"/>
    <w:basedOn w:val="Normlntabulka"/>
    <w:next w:val="Mkatabulky"/>
    <w:uiPriority w:val="59"/>
    <w:rsid w:val="00B4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rsid w:val="00643071"/>
    <w:rPr>
      <w:color w:val="0000FF"/>
      <w:u w:val="single"/>
    </w:rPr>
  </w:style>
  <w:style w:type="paragraph" w:styleId="Titulek">
    <w:name w:val="caption"/>
    <w:basedOn w:val="Normln"/>
    <w:next w:val="Normln"/>
    <w:uiPriority w:val="35"/>
    <w:unhideWhenUsed/>
    <w:qFormat/>
    <w:rsid w:val="00643071"/>
    <w:pPr>
      <w:spacing w:after="200" w:line="240" w:lineRule="auto"/>
    </w:pPr>
    <w:rPr>
      <w:i/>
      <w:iCs/>
      <w:color w:val="44546A" w:themeColor="text2"/>
      <w:sz w:val="18"/>
      <w:szCs w:val="18"/>
    </w:rPr>
  </w:style>
  <w:style w:type="table" w:customStyle="1" w:styleId="Mkatabulky2">
    <w:name w:val="Mřížka tabulky2"/>
    <w:basedOn w:val="Normlntabulka"/>
    <w:next w:val="Mkatabulky"/>
    <w:uiPriority w:val="59"/>
    <w:rsid w:val="00495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0B6666"/>
    <w:rPr>
      <w:color w:val="000000"/>
      <w:sz w:val="28"/>
      <w:szCs w:val="28"/>
    </w:rPr>
  </w:style>
  <w:style w:type="character" w:customStyle="1" w:styleId="A4">
    <w:name w:val="A4"/>
    <w:uiPriority w:val="99"/>
    <w:rsid w:val="000B6666"/>
    <w:rPr>
      <w:color w:val="000000"/>
      <w:sz w:val="60"/>
      <w:szCs w:val="60"/>
    </w:rPr>
  </w:style>
  <w:style w:type="character" w:customStyle="1" w:styleId="A5">
    <w:name w:val="A5"/>
    <w:uiPriority w:val="99"/>
    <w:rsid w:val="000B6666"/>
    <w:rPr>
      <w:b/>
      <w:bCs/>
      <w:color w:val="000000"/>
      <w:sz w:val="40"/>
      <w:szCs w:val="40"/>
    </w:rPr>
  </w:style>
  <w:style w:type="character" w:styleId="Sledovanodkaz">
    <w:name w:val="FollowedHyperlink"/>
    <w:basedOn w:val="Standardnpsmoodstavce"/>
    <w:uiPriority w:val="99"/>
    <w:semiHidden/>
    <w:unhideWhenUsed/>
    <w:rsid w:val="001A334E"/>
    <w:rPr>
      <w:color w:val="954F72" w:themeColor="followedHyperlink"/>
      <w:u w:val="single"/>
    </w:rPr>
  </w:style>
  <w:style w:type="paragraph" w:styleId="Revize">
    <w:name w:val="Revision"/>
    <w:hidden/>
    <w:uiPriority w:val="99"/>
    <w:semiHidden/>
    <w:rsid w:val="00F909D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2682">
      <w:bodyDiv w:val="1"/>
      <w:marLeft w:val="0"/>
      <w:marRight w:val="0"/>
      <w:marTop w:val="0"/>
      <w:marBottom w:val="0"/>
      <w:divBdr>
        <w:top w:val="none" w:sz="0" w:space="0" w:color="auto"/>
        <w:left w:val="none" w:sz="0" w:space="0" w:color="auto"/>
        <w:bottom w:val="none" w:sz="0" w:space="0" w:color="auto"/>
        <w:right w:val="none" w:sz="0" w:space="0" w:color="auto"/>
      </w:divBdr>
    </w:div>
    <w:div w:id="62606458">
      <w:bodyDiv w:val="1"/>
      <w:marLeft w:val="0"/>
      <w:marRight w:val="0"/>
      <w:marTop w:val="0"/>
      <w:marBottom w:val="0"/>
      <w:divBdr>
        <w:top w:val="none" w:sz="0" w:space="0" w:color="auto"/>
        <w:left w:val="none" w:sz="0" w:space="0" w:color="auto"/>
        <w:bottom w:val="none" w:sz="0" w:space="0" w:color="auto"/>
        <w:right w:val="none" w:sz="0" w:space="0" w:color="auto"/>
      </w:divBdr>
    </w:div>
    <w:div w:id="220866026">
      <w:bodyDiv w:val="1"/>
      <w:marLeft w:val="0"/>
      <w:marRight w:val="0"/>
      <w:marTop w:val="0"/>
      <w:marBottom w:val="0"/>
      <w:divBdr>
        <w:top w:val="none" w:sz="0" w:space="0" w:color="auto"/>
        <w:left w:val="none" w:sz="0" w:space="0" w:color="auto"/>
        <w:bottom w:val="none" w:sz="0" w:space="0" w:color="auto"/>
        <w:right w:val="none" w:sz="0" w:space="0" w:color="auto"/>
      </w:divBdr>
    </w:div>
    <w:div w:id="232159978">
      <w:bodyDiv w:val="1"/>
      <w:marLeft w:val="0"/>
      <w:marRight w:val="0"/>
      <w:marTop w:val="0"/>
      <w:marBottom w:val="0"/>
      <w:divBdr>
        <w:top w:val="none" w:sz="0" w:space="0" w:color="auto"/>
        <w:left w:val="none" w:sz="0" w:space="0" w:color="auto"/>
        <w:bottom w:val="none" w:sz="0" w:space="0" w:color="auto"/>
        <w:right w:val="none" w:sz="0" w:space="0" w:color="auto"/>
      </w:divBdr>
    </w:div>
    <w:div w:id="641885152">
      <w:bodyDiv w:val="1"/>
      <w:marLeft w:val="0"/>
      <w:marRight w:val="0"/>
      <w:marTop w:val="0"/>
      <w:marBottom w:val="0"/>
      <w:divBdr>
        <w:top w:val="none" w:sz="0" w:space="0" w:color="auto"/>
        <w:left w:val="none" w:sz="0" w:space="0" w:color="auto"/>
        <w:bottom w:val="none" w:sz="0" w:space="0" w:color="auto"/>
        <w:right w:val="none" w:sz="0" w:space="0" w:color="auto"/>
      </w:divBdr>
    </w:div>
    <w:div w:id="715931411">
      <w:bodyDiv w:val="1"/>
      <w:marLeft w:val="0"/>
      <w:marRight w:val="0"/>
      <w:marTop w:val="0"/>
      <w:marBottom w:val="0"/>
      <w:divBdr>
        <w:top w:val="none" w:sz="0" w:space="0" w:color="auto"/>
        <w:left w:val="none" w:sz="0" w:space="0" w:color="auto"/>
        <w:bottom w:val="none" w:sz="0" w:space="0" w:color="auto"/>
        <w:right w:val="none" w:sz="0" w:space="0" w:color="auto"/>
      </w:divBdr>
    </w:div>
    <w:div w:id="743379694">
      <w:bodyDiv w:val="1"/>
      <w:marLeft w:val="0"/>
      <w:marRight w:val="0"/>
      <w:marTop w:val="0"/>
      <w:marBottom w:val="0"/>
      <w:divBdr>
        <w:top w:val="none" w:sz="0" w:space="0" w:color="auto"/>
        <w:left w:val="none" w:sz="0" w:space="0" w:color="auto"/>
        <w:bottom w:val="none" w:sz="0" w:space="0" w:color="auto"/>
        <w:right w:val="none" w:sz="0" w:space="0" w:color="auto"/>
      </w:divBdr>
    </w:div>
    <w:div w:id="791243606">
      <w:bodyDiv w:val="1"/>
      <w:marLeft w:val="0"/>
      <w:marRight w:val="0"/>
      <w:marTop w:val="0"/>
      <w:marBottom w:val="0"/>
      <w:divBdr>
        <w:top w:val="none" w:sz="0" w:space="0" w:color="auto"/>
        <w:left w:val="none" w:sz="0" w:space="0" w:color="auto"/>
        <w:bottom w:val="none" w:sz="0" w:space="0" w:color="auto"/>
        <w:right w:val="none" w:sz="0" w:space="0" w:color="auto"/>
      </w:divBdr>
    </w:div>
    <w:div w:id="871303456">
      <w:bodyDiv w:val="1"/>
      <w:marLeft w:val="0"/>
      <w:marRight w:val="0"/>
      <w:marTop w:val="0"/>
      <w:marBottom w:val="0"/>
      <w:divBdr>
        <w:top w:val="none" w:sz="0" w:space="0" w:color="auto"/>
        <w:left w:val="none" w:sz="0" w:space="0" w:color="auto"/>
        <w:bottom w:val="none" w:sz="0" w:space="0" w:color="auto"/>
        <w:right w:val="none" w:sz="0" w:space="0" w:color="auto"/>
      </w:divBdr>
    </w:div>
    <w:div w:id="1146242909">
      <w:bodyDiv w:val="1"/>
      <w:marLeft w:val="0"/>
      <w:marRight w:val="0"/>
      <w:marTop w:val="0"/>
      <w:marBottom w:val="0"/>
      <w:divBdr>
        <w:top w:val="none" w:sz="0" w:space="0" w:color="auto"/>
        <w:left w:val="none" w:sz="0" w:space="0" w:color="auto"/>
        <w:bottom w:val="none" w:sz="0" w:space="0" w:color="auto"/>
        <w:right w:val="none" w:sz="0" w:space="0" w:color="auto"/>
      </w:divBdr>
    </w:div>
    <w:div w:id="1155953148">
      <w:bodyDiv w:val="1"/>
      <w:marLeft w:val="0"/>
      <w:marRight w:val="0"/>
      <w:marTop w:val="0"/>
      <w:marBottom w:val="0"/>
      <w:divBdr>
        <w:top w:val="none" w:sz="0" w:space="0" w:color="auto"/>
        <w:left w:val="none" w:sz="0" w:space="0" w:color="auto"/>
        <w:bottom w:val="none" w:sz="0" w:space="0" w:color="auto"/>
        <w:right w:val="none" w:sz="0" w:space="0" w:color="auto"/>
      </w:divBdr>
    </w:div>
    <w:div w:id="1263997257">
      <w:bodyDiv w:val="1"/>
      <w:marLeft w:val="0"/>
      <w:marRight w:val="0"/>
      <w:marTop w:val="0"/>
      <w:marBottom w:val="0"/>
      <w:divBdr>
        <w:top w:val="none" w:sz="0" w:space="0" w:color="auto"/>
        <w:left w:val="none" w:sz="0" w:space="0" w:color="auto"/>
        <w:bottom w:val="none" w:sz="0" w:space="0" w:color="auto"/>
        <w:right w:val="none" w:sz="0" w:space="0" w:color="auto"/>
      </w:divBdr>
    </w:div>
    <w:div w:id="1348218199">
      <w:bodyDiv w:val="1"/>
      <w:marLeft w:val="0"/>
      <w:marRight w:val="0"/>
      <w:marTop w:val="0"/>
      <w:marBottom w:val="0"/>
      <w:divBdr>
        <w:top w:val="none" w:sz="0" w:space="0" w:color="auto"/>
        <w:left w:val="none" w:sz="0" w:space="0" w:color="auto"/>
        <w:bottom w:val="none" w:sz="0" w:space="0" w:color="auto"/>
        <w:right w:val="none" w:sz="0" w:space="0" w:color="auto"/>
      </w:divBdr>
    </w:div>
    <w:div w:id="1429426969">
      <w:bodyDiv w:val="1"/>
      <w:marLeft w:val="0"/>
      <w:marRight w:val="0"/>
      <w:marTop w:val="0"/>
      <w:marBottom w:val="0"/>
      <w:divBdr>
        <w:top w:val="none" w:sz="0" w:space="0" w:color="auto"/>
        <w:left w:val="none" w:sz="0" w:space="0" w:color="auto"/>
        <w:bottom w:val="none" w:sz="0" w:space="0" w:color="auto"/>
        <w:right w:val="none" w:sz="0" w:space="0" w:color="auto"/>
      </w:divBdr>
    </w:div>
    <w:div w:id="1647318586">
      <w:bodyDiv w:val="1"/>
      <w:marLeft w:val="0"/>
      <w:marRight w:val="0"/>
      <w:marTop w:val="0"/>
      <w:marBottom w:val="0"/>
      <w:divBdr>
        <w:top w:val="none" w:sz="0" w:space="0" w:color="auto"/>
        <w:left w:val="none" w:sz="0" w:space="0" w:color="auto"/>
        <w:bottom w:val="none" w:sz="0" w:space="0" w:color="auto"/>
        <w:right w:val="none" w:sz="0" w:space="0" w:color="auto"/>
      </w:divBdr>
    </w:div>
    <w:div w:id="1945384792">
      <w:bodyDiv w:val="1"/>
      <w:marLeft w:val="0"/>
      <w:marRight w:val="0"/>
      <w:marTop w:val="0"/>
      <w:marBottom w:val="0"/>
      <w:divBdr>
        <w:top w:val="none" w:sz="0" w:space="0" w:color="auto"/>
        <w:left w:val="none" w:sz="0" w:space="0" w:color="auto"/>
        <w:bottom w:val="none" w:sz="0" w:space="0" w:color="auto"/>
        <w:right w:val="none" w:sz="0" w:space="0" w:color="auto"/>
      </w:divBdr>
    </w:div>
    <w:div w:id="1991785151">
      <w:bodyDiv w:val="1"/>
      <w:marLeft w:val="0"/>
      <w:marRight w:val="0"/>
      <w:marTop w:val="0"/>
      <w:marBottom w:val="0"/>
      <w:divBdr>
        <w:top w:val="none" w:sz="0" w:space="0" w:color="auto"/>
        <w:left w:val="none" w:sz="0" w:space="0" w:color="auto"/>
        <w:bottom w:val="none" w:sz="0" w:space="0" w:color="auto"/>
        <w:right w:val="none" w:sz="0" w:space="0" w:color="auto"/>
      </w:divBdr>
    </w:div>
    <w:div w:id="2090149931">
      <w:bodyDiv w:val="1"/>
      <w:marLeft w:val="0"/>
      <w:marRight w:val="0"/>
      <w:marTop w:val="0"/>
      <w:marBottom w:val="0"/>
      <w:divBdr>
        <w:top w:val="none" w:sz="0" w:space="0" w:color="auto"/>
        <w:left w:val="none" w:sz="0" w:space="0" w:color="auto"/>
        <w:bottom w:val="none" w:sz="0" w:space="0" w:color="auto"/>
        <w:right w:val="none" w:sz="0" w:space="0" w:color="auto"/>
      </w:divBdr>
    </w:div>
    <w:div w:id="20992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igital-agenda-data.eu/datasets/desi/visualiz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elgium.be/nl/online_diens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hyperlink" Target="https://digital-agenda-data.eu/datasets/desi/visualizations" TargetMode="External"/><Relationship Id="rId20" Type="http://schemas.openxmlformats.org/officeDocument/2006/relationships/hyperlink" Target="http://www.epaslaug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digital-agenda-data.eu/datasets/desi/visualizations" TargetMode="External"/><Relationship Id="rId23" Type="http://schemas.openxmlformats.org/officeDocument/2006/relationships/hyperlink" Target="file:///C:\Users\HOFFMANNOVA\AppData\Local\Microsoft\Windows\INetCache\Content.Outlook\BPWNOS3E\www.oesterreich.gv.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esti.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file:///C:\Users\HOFFMANNOVA\AppData\Local\Microsoft\Windows\INetCache\Content.Outlook\BPWNOS3E\franceconnect.gouv.f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mlouvy.gov.cz/smlouva/7641135" TargetMode="External"/><Relationship Id="rId3" Type="http://schemas.openxmlformats.org/officeDocument/2006/relationships/hyperlink" Target="https://smlouvy.gov.cz/smlouva/3935744" TargetMode="External"/><Relationship Id="rId7" Type="http://schemas.openxmlformats.org/officeDocument/2006/relationships/hyperlink" Target="https://smlouvy.gov.cz/smlouva/7557271" TargetMode="External"/><Relationship Id="rId2" Type="http://schemas.openxmlformats.org/officeDocument/2006/relationships/hyperlink" Target="https://smlouvy.gov.cz/smlouva/6675511" TargetMode="External"/><Relationship Id="rId1" Type="http://schemas.openxmlformats.org/officeDocument/2006/relationships/hyperlink" Target="https://smlouvy.gov.cz/smlouva/2486094" TargetMode="External"/><Relationship Id="rId6" Type="http://schemas.openxmlformats.org/officeDocument/2006/relationships/hyperlink" Target="https://smlouvy.gov.cz/smlouva/8206059" TargetMode="External"/><Relationship Id="rId5" Type="http://schemas.openxmlformats.org/officeDocument/2006/relationships/hyperlink" Target="https://smlouvy.gov.cz/smlouva/6075983" TargetMode="External"/><Relationship Id="rId4" Type="http://schemas.openxmlformats.org/officeDocument/2006/relationships/hyperlink" Target="https://smlouvy.gov.cz/smlouva/393574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3B7F908F0F9346B85ECE0B3BF4E6A5" ma:contentTypeVersion="1" ma:contentTypeDescription="Vytvoří nový dokument" ma:contentTypeScope="" ma:versionID="fd44ead2307c76b89014c3aa978d33e8">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0624-1141-42C4-88C4-1EB97AC3138E}">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98CCB2-9427-44E6-8F86-54987B79B439}">
  <ds:schemaRefs>
    <ds:schemaRef ds:uri="http://schemas.microsoft.com/sharepoint/v3/contenttype/forms"/>
  </ds:schemaRefs>
</ds:datastoreItem>
</file>

<file path=customXml/itemProps3.xml><?xml version="1.0" encoding="utf-8"?>
<ds:datastoreItem xmlns:ds="http://schemas.openxmlformats.org/officeDocument/2006/customXml" ds:itemID="{1CFDCFB4-F12B-4259-BDB9-CAAF56A48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320D5-7343-4B68-A229-23F830CC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72FC3D53.dotm</Template>
  <TotalTime>8</TotalTime>
  <Pages>26</Pages>
  <Words>7771</Words>
  <Characters>45852</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Kontrolní závěr z kontrolní akce NKÚ č. 19/14 - Zavedení elektronické identifikace a zajištění elektronického přístupu ke službám veřejné správy</vt:lpstr>
    </vt:vector>
  </TitlesOfParts>
  <Company>NKU</Company>
  <LinksUpToDate>false</LinksUpToDate>
  <CharactersWithSpaces>53516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19/14 - Zavedení elektronické identifikace a zajištění elektronického přístupu ke službám veřejné správy</dc:title>
  <dc:subject/>
  <dc:creator>Nejvyšší kontrolní úřad</dc:creator>
  <cp:keywords>kontrolní závěr; elektronická identifikace; elektronizace veřejné správy</cp:keywords>
  <dc:description/>
  <cp:lastModifiedBy>KOKRDA Daniel</cp:lastModifiedBy>
  <cp:revision>7</cp:revision>
  <cp:lastPrinted>2020-07-13T10:53:00Z</cp:lastPrinted>
  <dcterms:created xsi:type="dcterms:W3CDTF">2020-06-30T06:47:00Z</dcterms:created>
  <dcterms:modified xsi:type="dcterms:W3CDTF">2020-07-13T10:53:00Z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0x0101000B3B7F908F0F9346B85ECE0B3BF4E6A5</vt:lpwstr>
  </property>
</Properties>
</file>