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D3CD3" w14:textId="77777777" w:rsidR="00DA02F7" w:rsidRDefault="00A26BD8" w:rsidP="008C417C">
      <w:pPr>
        <w:jc w:val="center"/>
      </w:pPr>
      <w:r>
        <w:rPr>
          <w:noProof/>
          <w:lang w:eastAsia="cs-CZ"/>
        </w:rPr>
        <w:drawing>
          <wp:inline distT="0" distB="0" distL="0" distR="0" wp14:anchorId="14A445E6" wp14:editId="7D1A33EF">
            <wp:extent cx="791210" cy="559435"/>
            <wp:effectExtent l="0" t="0" r="8890" b="0"/>
            <wp:docPr id="14" name="obrázek 2" descr="NKU_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02073" name="obrázek 2" descr="NKU_LOGO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33535" w14:textId="77777777" w:rsidR="00DA02F7" w:rsidRDefault="00DA02F7" w:rsidP="00D45AE4"/>
    <w:p w14:paraId="26DD01D4" w14:textId="77777777" w:rsidR="00DA02F7" w:rsidRDefault="00DA02F7" w:rsidP="00D45AE4"/>
    <w:p w14:paraId="079BF81D" w14:textId="77777777" w:rsidR="00DA02F7" w:rsidRPr="008C417C" w:rsidRDefault="00A26BD8" w:rsidP="008C417C">
      <w:pPr>
        <w:jc w:val="center"/>
        <w:rPr>
          <w:b/>
          <w:sz w:val="28"/>
        </w:rPr>
      </w:pPr>
      <w:r w:rsidRPr="008C417C">
        <w:rPr>
          <w:b/>
          <w:sz w:val="28"/>
        </w:rPr>
        <w:t>Kontrolní závěr z kontrolní akce</w:t>
      </w:r>
    </w:p>
    <w:p w14:paraId="058A18B3" w14:textId="77777777" w:rsidR="00DA02F7" w:rsidRPr="008C417C" w:rsidRDefault="00DA02F7" w:rsidP="008C417C">
      <w:pPr>
        <w:jc w:val="center"/>
        <w:rPr>
          <w:b/>
          <w:sz w:val="28"/>
        </w:rPr>
      </w:pPr>
    </w:p>
    <w:p w14:paraId="1DE24C4B" w14:textId="77777777" w:rsidR="00DA02F7" w:rsidRPr="008C417C" w:rsidRDefault="00A26BD8" w:rsidP="008C417C">
      <w:pPr>
        <w:jc w:val="center"/>
        <w:rPr>
          <w:b/>
          <w:sz w:val="28"/>
        </w:rPr>
      </w:pPr>
      <w:r w:rsidRPr="008C417C">
        <w:rPr>
          <w:b/>
          <w:sz w:val="28"/>
        </w:rPr>
        <w:t>19/31</w:t>
      </w:r>
    </w:p>
    <w:p w14:paraId="0D9594BE" w14:textId="77777777" w:rsidR="00DA02F7" w:rsidRPr="008C417C" w:rsidRDefault="00DA02F7" w:rsidP="008C417C">
      <w:pPr>
        <w:jc w:val="center"/>
        <w:rPr>
          <w:b/>
          <w:sz w:val="28"/>
        </w:rPr>
      </w:pPr>
    </w:p>
    <w:p w14:paraId="3E77F90B" w14:textId="77777777" w:rsidR="00DA02F7" w:rsidRPr="008C417C" w:rsidRDefault="00A26BD8" w:rsidP="008C5D77">
      <w:pPr>
        <w:rPr>
          <w:b/>
          <w:sz w:val="28"/>
        </w:rPr>
      </w:pPr>
      <w:r w:rsidRPr="008C417C">
        <w:rPr>
          <w:b/>
          <w:sz w:val="28"/>
        </w:rPr>
        <w:t xml:space="preserve">Závěrečný účet kapitoly státního rozpočtu </w:t>
      </w:r>
      <w:r w:rsidRPr="00E4102A">
        <w:rPr>
          <w:b/>
          <w:i/>
          <w:sz w:val="28"/>
        </w:rPr>
        <w:t>M</w:t>
      </w:r>
      <w:r w:rsidR="00EF77A0" w:rsidRPr="00E4102A">
        <w:rPr>
          <w:b/>
          <w:i/>
          <w:sz w:val="28"/>
        </w:rPr>
        <w:t>inisterstvo školství, mládeže a </w:t>
      </w:r>
      <w:r w:rsidRPr="00E4102A">
        <w:rPr>
          <w:b/>
          <w:i/>
          <w:sz w:val="28"/>
        </w:rPr>
        <w:t>tělovýchovy</w:t>
      </w:r>
      <w:r w:rsidRPr="008C417C">
        <w:rPr>
          <w:b/>
          <w:sz w:val="28"/>
        </w:rPr>
        <w:t xml:space="preserve"> za rok 2019, účetní závěrka M</w:t>
      </w:r>
      <w:r w:rsidR="00EF77A0">
        <w:rPr>
          <w:b/>
          <w:sz w:val="28"/>
        </w:rPr>
        <w:t>inisterstva školství, mládeže a </w:t>
      </w:r>
      <w:r w:rsidRPr="008C417C">
        <w:rPr>
          <w:b/>
          <w:sz w:val="28"/>
        </w:rPr>
        <w:t>tělovýchovy za rok 2019 a údaje předkládané Ministerstvem školství, mládeže a tělovýchovy pro hodnocení plnění státního rozpočtu za rok 2019</w:t>
      </w:r>
    </w:p>
    <w:p w14:paraId="1B99E16E" w14:textId="77777777" w:rsidR="00DA02F7" w:rsidRDefault="00DA02F7" w:rsidP="00D45AE4"/>
    <w:p w14:paraId="796A08E8" w14:textId="77777777" w:rsidR="00DA02F7" w:rsidRDefault="00DA02F7" w:rsidP="00D45AE4"/>
    <w:p w14:paraId="73E4A536" w14:textId="77777777" w:rsidR="00DA02F7" w:rsidRPr="00DA02F7" w:rsidRDefault="00A26BD8" w:rsidP="008C417C">
      <w:pPr>
        <w:spacing w:after="240"/>
      </w:pPr>
      <w:r w:rsidRPr="00DA02F7">
        <w:t>Kontrolní akce byla zařazena do plánu kontrolní činnosti Nejvyššího kontrolního úřadu (dále také „NKÚ“) na rok 2019 pod číslem 19/31. Kontrolní akci řídil a kontrolní závěr vypracoval člen NKÚ Ing. Jan Vedral.</w:t>
      </w:r>
    </w:p>
    <w:p w14:paraId="25A30F6A" w14:textId="77777777" w:rsidR="00DA02F7" w:rsidRDefault="00A26BD8" w:rsidP="008C417C">
      <w:pPr>
        <w:spacing w:before="240"/>
      </w:pPr>
      <w:r w:rsidRPr="008C417C">
        <w:rPr>
          <w:b/>
        </w:rPr>
        <w:t>Cílem kontroly</w:t>
      </w:r>
      <w:r>
        <w:t xml:space="preserve"> </w:t>
      </w:r>
      <w:r w:rsidRPr="00DA02F7">
        <w:t>bylo prověřit, zda Ministerstvo školství, mládeže a tělovýchovy při sestavení závěrečného účtu a při vedení účetnictví a sestavení účetní závěrky a předkládání údajů pro hodnocení plnění státního rozpočtu za rok 2019 postupovalo v souladu s příslušnými právními předpisy.</w:t>
      </w:r>
      <w:r>
        <w:t xml:space="preserve"> </w:t>
      </w:r>
    </w:p>
    <w:p w14:paraId="7B9326A7" w14:textId="77777777" w:rsidR="00DA02F7" w:rsidRPr="008C417C" w:rsidRDefault="00A26BD8" w:rsidP="00D45AE4">
      <w:pPr>
        <w:pStyle w:val="Zkladn"/>
        <w:rPr>
          <w:rFonts w:asciiTheme="minorHAnsi" w:hAnsiTheme="minorHAnsi" w:cstheme="minorHAnsi"/>
          <w:b/>
        </w:rPr>
      </w:pPr>
      <w:r w:rsidRPr="008C417C">
        <w:rPr>
          <w:rFonts w:asciiTheme="minorHAnsi" w:hAnsiTheme="minorHAnsi" w:cstheme="minorHAnsi"/>
          <w:b/>
        </w:rPr>
        <w:t>Kontrolovan</w:t>
      </w:r>
      <w:r w:rsidR="00326D51">
        <w:rPr>
          <w:rFonts w:asciiTheme="minorHAnsi" w:hAnsiTheme="minorHAnsi" w:cstheme="minorHAnsi"/>
          <w:b/>
        </w:rPr>
        <w:t>á</w:t>
      </w:r>
      <w:r w:rsidRPr="008C417C">
        <w:rPr>
          <w:rFonts w:asciiTheme="minorHAnsi" w:hAnsiTheme="minorHAnsi" w:cstheme="minorHAnsi"/>
          <w:b/>
        </w:rPr>
        <w:t xml:space="preserve"> osob</w:t>
      </w:r>
      <w:r w:rsidR="00326D51">
        <w:rPr>
          <w:rFonts w:asciiTheme="minorHAnsi" w:hAnsiTheme="minorHAnsi" w:cstheme="minorHAnsi"/>
          <w:b/>
        </w:rPr>
        <w:t>a</w:t>
      </w:r>
      <w:r w:rsidRPr="008C417C">
        <w:rPr>
          <w:rFonts w:asciiTheme="minorHAnsi" w:hAnsiTheme="minorHAnsi" w:cstheme="minorHAnsi"/>
          <w:b/>
        </w:rPr>
        <w:t>:</w:t>
      </w:r>
    </w:p>
    <w:p w14:paraId="573ECA01" w14:textId="77777777" w:rsidR="00DA02F7" w:rsidRPr="008C417C" w:rsidRDefault="00A26BD8" w:rsidP="00D45AE4">
      <w:pPr>
        <w:rPr>
          <w:rFonts w:cstheme="minorHAnsi"/>
        </w:rPr>
      </w:pPr>
      <w:r w:rsidRPr="008C417C">
        <w:rPr>
          <w:rFonts w:cstheme="minorHAnsi"/>
        </w:rPr>
        <w:t>Ministerstvo školství, mládeže a tělovýchovy (dále také „MŠMT“).</w:t>
      </w:r>
    </w:p>
    <w:p w14:paraId="1ED87397" w14:textId="77777777" w:rsidR="00DA02F7" w:rsidRDefault="00DA02F7" w:rsidP="00D45AE4"/>
    <w:p w14:paraId="70D7188E" w14:textId="77777777" w:rsidR="00DA02F7" w:rsidRDefault="00A26BD8" w:rsidP="00D45AE4">
      <w:r>
        <w:t>Kontrola byla prováděna u kontrolovan</w:t>
      </w:r>
      <w:r w:rsidR="00C163E2">
        <w:t>é</w:t>
      </w:r>
      <w:r>
        <w:t xml:space="preserve"> osob</w:t>
      </w:r>
      <w:r w:rsidR="00C163E2">
        <w:t>y</w:t>
      </w:r>
      <w:r>
        <w:t xml:space="preserve"> v období od prosince 2019 do června 2020.</w:t>
      </w:r>
    </w:p>
    <w:p w14:paraId="06D60257" w14:textId="77777777" w:rsidR="008C417C" w:rsidRDefault="008C417C" w:rsidP="00D45AE4">
      <w:pPr>
        <w:rPr>
          <w:rFonts w:cstheme="minorHAnsi"/>
          <w:b/>
        </w:rPr>
      </w:pPr>
      <w:bookmarkStart w:id="0" w:name="_GoBack"/>
      <w:bookmarkEnd w:id="0"/>
    </w:p>
    <w:p w14:paraId="5B2475BB" w14:textId="77777777" w:rsidR="00DA02F7" w:rsidRDefault="00A26BD8" w:rsidP="00D45AE4">
      <w:r>
        <w:rPr>
          <w:rFonts w:cstheme="minorHAnsi"/>
          <w:b/>
        </w:rPr>
        <w:t>Kontrolováno bylo období</w:t>
      </w:r>
      <w:r>
        <w:rPr>
          <w:rFonts w:cstheme="minorHAnsi"/>
        </w:rPr>
        <w:t xml:space="preserve"> roku 2019</w:t>
      </w:r>
      <w:r w:rsidR="004B687E">
        <w:rPr>
          <w:rFonts w:cstheme="minorHAnsi"/>
        </w:rPr>
        <w:t xml:space="preserve"> </w:t>
      </w:r>
      <w:r>
        <w:t>včetně souvisejících skutečností z let předchozích a roku následujícího.</w:t>
      </w:r>
    </w:p>
    <w:p w14:paraId="20C574A1" w14:textId="77777777" w:rsidR="00DA02F7" w:rsidRPr="00DA02F7" w:rsidRDefault="00DA02F7" w:rsidP="00D45AE4"/>
    <w:p w14:paraId="52181B54" w14:textId="77777777" w:rsidR="00DA02F7" w:rsidRDefault="00DA02F7" w:rsidP="00D45AE4"/>
    <w:p w14:paraId="01DD535D" w14:textId="77777777" w:rsidR="00DA02F7" w:rsidRDefault="00A26BD8" w:rsidP="008C417C">
      <w:pPr>
        <w:spacing w:after="160"/>
        <w:rPr>
          <w:szCs w:val="22"/>
          <w:lang w:eastAsia="cs-CZ"/>
        </w:rPr>
      </w:pPr>
      <w:r>
        <w:rPr>
          <w:rFonts w:cstheme="minorHAnsi"/>
          <w:b/>
          <w:bCs/>
          <w:i/>
          <w:iCs/>
        </w:rPr>
        <w:t xml:space="preserve">K o l e g i u m   N K Ú </w:t>
      </w:r>
      <w:r>
        <w:rPr>
          <w:rFonts w:cstheme="minorHAnsi"/>
          <w:b/>
          <w:bCs/>
          <w:i/>
          <w:iCs/>
        </w:rPr>
        <w:tab/>
        <w:t xml:space="preserve">  </w:t>
      </w:r>
      <w:r w:rsidR="008D2A47">
        <w:rPr>
          <w:lang w:eastAsia="cs-CZ"/>
        </w:rPr>
        <w:t>na svém XV. jednání, které se konalo dne 5. října</w:t>
      </w:r>
      <w:r>
        <w:rPr>
          <w:lang w:eastAsia="cs-CZ"/>
        </w:rPr>
        <w:t xml:space="preserve"> 2020,</w:t>
      </w:r>
    </w:p>
    <w:p w14:paraId="22D3D534" w14:textId="77777777" w:rsidR="00DA02F7" w:rsidRDefault="00A26BD8" w:rsidP="008C417C">
      <w:pPr>
        <w:spacing w:after="160"/>
        <w:rPr>
          <w:lang w:eastAsia="cs-CZ"/>
        </w:rPr>
      </w:pPr>
      <w:proofErr w:type="gramStart"/>
      <w:r>
        <w:rPr>
          <w:rFonts w:cstheme="minorHAnsi"/>
          <w:b/>
          <w:bCs/>
          <w:i/>
          <w:iCs/>
        </w:rPr>
        <w:t xml:space="preserve">s c h v á l i l o   </w:t>
      </w:r>
      <w:r w:rsidR="00047A2E">
        <w:rPr>
          <w:lang w:eastAsia="cs-CZ"/>
        </w:rPr>
        <w:t>usnesením č.</w:t>
      </w:r>
      <w:proofErr w:type="gramEnd"/>
      <w:r w:rsidR="00047A2E">
        <w:rPr>
          <w:lang w:eastAsia="cs-CZ"/>
        </w:rPr>
        <w:t xml:space="preserve"> </w:t>
      </w:r>
      <w:r w:rsidR="00571607">
        <w:rPr>
          <w:lang w:eastAsia="cs-CZ"/>
        </w:rPr>
        <w:t>6</w:t>
      </w:r>
      <w:r w:rsidR="00EF77A0">
        <w:rPr>
          <w:lang w:eastAsia="cs-CZ"/>
        </w:rPr>
        <w:t>/XV</w:t>
      </w:r>
      <w:r>
        <w:rPr>
          <w:lang w:eastAsia="cs-CZ"/>
        </w:rPr>
        <w:t>/2020</w:t>
      </w:r>
    </w:p>
    <w:p w14:paraId="33A6EB22" w14:textId="77777777" w:rsidR="00DA02F7" w:rsidRDefault="00A26BD8" w:rsidP="008C417C">
      <w:pPr>
        <w:spacing w:after="160"/>
      </w:pPr>
      <w:r w:rsidRPr="008C417C">
        <w:rPr>
          <w:rFonts w:cstheme="minorHAnsi"/>
          <w:b/>
          <w:bCs/>
          <w:i/>
          <w:iCs/>
        </w:rPr>
        <w:t>k o n t r o l n í   z á v ě r</w:t>
      </w:r>
      <w:r>
        <w:t xml:space="preserve">   v tomto znění:</w:t>
      </w:r>
    </w:p>
    <w:p w14:paraId="25974D85" w14:textId="77777777" w:rsidR="00F01EF2" w:rsidRDefault="00F01EF2" w:rsidP="00D45AE4"/>
    <w:p w14:paraId="3885BCCF" w14:textId="77777777" w:rsidR="00F01EF2" w:rsidRDefault="00F01EF2" w:rsidP="00D45AE4"/>
    <w:p w14:paraId="7DA934B3" w14:textId="77777777" w:rsidR="00F01EF2" w:rsidRDefault="00F01EF2" w:rsidP="00D45AE4"/>
    <w:p w14:paraId="5F57BF9F" w14:textId="77777777" w:rsidR="00F01EF2" w:rsidRPr="008C417C" w:rsidRDefault="00A26BD8" w:rsidP="00F01EF2">
      <w:pPr>
        <w:ind w:left="567" w:hanging="567"/>
        <w:rPr>
          <w:sz w:val="20"/>
        </w:rPr>
      </w:pPr>
      <w:r w:rsidRPr="008C417C">
        <w:rPr>
          <w:b/>
          <w:sz w:val="20"/>
        </w:rPr>
        <w:t xml:space="preserve">Pozn.: </w:t>
      </w:r>
      <w:r w:rsidRPr="008C417C">
        <w:rPr>
          <w:sz w:val="20"/>
        </w:rPr>
        <w:tab/>
        <w:t xml:space="preserve">Právní předpisy uvedené v tomto kontrolním závěru jsou aplikovány ve znění účinném pro kontrolované období. </w:t>
      </w:r>
    </w:p>
    <w:p w14:paraId="445F15B2" w14:textId="77777777" w:rsidR="00522143" w:rsidRDefault="00A26BD8" w:rsidP="00D45AE4">
      <w:r>
        <w:br w:type="page"/>
      </w:r>
    </w:p>
    <w:p w14:paraId="0ED02CD4" w14:textId="77777777" w:rsidR="00922703" w:rsidRDefault="00922703" w:rsidP="00D45AE4">
      <w:pPr>
        <w:rPr>
          <w:rStyle w:val="A4"/>
          <w:b/>
          <w:sz w:val="32"/>
          <w:szCs w:val="32"/>
        </w:rPr>
        <w:sectPr w:rsidR="00922703" w:rsidSect="008746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54685A" w14:textId="77777777" w:rsidR="00522143" w:rsidRDefault="00A26BD8" w:rsidP="00D53A28">
      <w:pPr>
        <w:jc w:val="center"/>
        <w:rPr>
          <w:rStyle w:val="A4"/>
          <w:b/>
          <w:sz w:val="32"/>
          <w:szCs w:val="32"/>
        </w:rPr>
      </w:pPr>
      <w:r>
        <w:rPr>
          <w:rStyle w:val="A4"/>
          <w:b/>
          <w:sz w:val="32"/>
          <w:szCs w:val="32"/>
        </w:rPr>
        <w:lastRenderedPageBreak/>
        <w:t>Spolehlivost účetní závěrky a</w:t>
      </w:r>
      <w:r w:rsidR="0082798B">
        <w:rPr>
          <w:rStyle w:val="A4"/>
          <w:b/>
          <w:sz w:val="32"/>
          <w:szCs w:val="32"/>
        </w:rPr>
        <w:t xml:space="preserve"> </w:t>
      </w:r>
      <w:r>
        <w:rPr>
          <w:rStyle w:val="A4"/>
          <w:b/>
          <w:sz w:val="32"/>
          <w:szCs w:val="32"/>
        </w:rPr>
        <w:t>výkaz</w:t>
      </w:r>
      <w:r w:rsidR="0082798B">
        <w:rPr>
          <w:rStyle w:val="A4"/>
          <w:b/>
          <w:sz w:val="32"/>
          <w:szCs w:val="32"/>
        </w:rPr>
        <w:t>u pro hodnocení plnění rozpočtu</w:t>
      </w:r>
      <w:r>
        <w:rPr>
          <w:rStyle w:val="A4"/>
          <w:b/>
          <w:sz w:val="32"/>
          <w:szCs w:val="32"/>
        </w:rPr>
        <w:t xml:space="preserve"> MŠMT</w:t>
      </w:r>
      <w:r w:rsidR="0082798B">
        <w:rPr>
          <w:rStyle w:val="A4"/>
          <w:b/>
          <w:sz w:val="32"/>
          <w:szCs w:val="32"/>
        </w:rPr>
        <w:t xml:space="preserve"> </w:t>
      </w:r>
      <w:r>
        <w:rPr>
          <w:rStyle w:val="A4"/>
          <w:b/>
          <w:sz w:val="32"/>
          <w:szCs w:val="32"/>
        </w:rPr>
        <w:t>za rok 2019</w:t>
      </w:r>
    </w:p>
    <w:p w14:paraId="38342C66" w14:textId="77777777" w:rsidR="00F01EF2" w:rsidRDefault="00F01EF2" w:rsidP="00D45AE4">
      <w:pPr>
        <w:rPr>
          <w:rStyle w:val="A4"/>
          <w:b/>
          <w:sz w:val="32"/>
          <w:szCs w:val="32"/>
        </w:rPr>
      </w:pPr>
    </w:p>
    <w:tbl>
      <w:tblPr>
        <w:tblStyle w:val="Mkatabulky"/>
        <w:tblW w:w="8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969"/>
        <w:gridCol w:w="1985"/>
        <w:gridCol w:w="3021"/>
      </w:tblGrid>
      <w:tr w:rsidR="004026AF" w14:paraId="332F3978" w14:textId="77777777" w:rsidTr="00E4102A">
        <w:trPr>
          <w:trHeight w:val="2294"/>
        </w:trPr>
        <w:tc>
          <w:tcPr>
            <w:tcW w:w="3969" w:type="dxa"/>
            <w:hideMark/>
          </w:tcPr>
          <w:p w14:paraId="44980784" w14:textId="77777777" w:rsidR="001F6A24" w:rsidRDefault="00A26BD8" w:rsidP="001C016A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251,59</w:t>
            </w:r>
            <w:r w:rsidR="003117CC">
              <w:rPr>
                <w:rStyle w:val="A5"/>
              </w:rPr>
              <w:t xml:space="preserve"> </w:t>
            </w:r>
            <w:r>
              <w:rPr>
                <w:rStyle w:val="A5"/>
              </w:rPr>
              <w:t>mld. Kč</w:t>
            </w:r>
          </w:p>
          <w:p w14:paraId="17653137" w14:textId="77777777" w:rsidR="003117CC" w:rsidRDefault="003117CC" w:rsidP="001C016A">
            <w:pPr>
              <w:jc w:val="center"/>
              <w:rPr>
                <w:sz w:val="20"/>
                <w:szCs w:val="22"/>
              </w:rPr>
            </w:pPr>
          </w:p>
          <w:p w14:paraId="201DD1CA" w14:textId="77777777" w:rsidR="001F6A24" w:rsidRPr="00D53A28" w:rsidRDefault="00A26BD8" w:rsidP="0041568E">
            <w:pPr>
              <w:jc w:val="center"/>
              <w:rPr>
                <w:sz w:val="20"/>
                <w:szCs w:val="20"/>
              </w:rPr>
            </w:pPr>
            <w:r w:rsidRPr="003B5D2B">
              <w:rPr>
                <w:sz w:val="20"/>
                <w:szCs w:val="20"/>
              </w:rPr>
              <w:t>celková aktiva v n</w:t>
            </w:r>
            <w:r w:rsidRPr="007C0DAA">
              <w:rPr>
                <w:sz w:val="20"/>
                <w:szCs w:val="20"/>
              </w:rPr>
              <w:t>etto hodnotě k 31. prosinci 2019</w:t>
            </w:r>
          </w:p>
        </w:tc>
        <w:tc>
          <w:tcPr>
            <w:tcW w:w="1985" w:type="dxa"/>
          </w:tcPr>
          <w:p w14:paraId="3305FED0" w14:textId="77777777" w:rsidR="001F6A24" w:rsidRPr="008C417C" w:rsidRDefault="001F6A24" w:rsidP="007D0960">
            <w:pPr>
              <w:jc w:val="center"/>
              <w:rPr>
                <w:rStyle w:val="A1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80D2F88" w14:textId="77777777" w:rsidR="00C50CE7" w:rsidRPr="003B5D2B" w:rsidRDefault="00A26BD8" w:rsidP="00C50CE7">
            <w:pPr>
              <w:jc w:val="center"/>
              <w:rPr>
                <w:rStyle w:val="A5"/>
              </w:rPr>
            </w:pPr>
            <w:r w:rsidRPr="003B5D2B">
              <w:rPr>
                <w:rStyle w:val="A5"/>
              </w:rPr>
              <w:t>89,6 mil. Kč</w:t>
            </w:r>
            <w:r w:rsidRPr="002132D5">
              <w:rPr>
                <w:rStyle w:val="Znakapoznpodarou"/>
                <w:rFonts w:eastAsia="Calibri"/>
                <w:sz w:val="40"/>
                <w:szCs w:val="40"/>
              </w:rPr>
              <w:footnoteReference w:id="1"/>
            </w:r>
          </w:p>
          <w:p w14:paraId="7CE53032" w14:textId="77777777" w:rsidR="00C50CE7" w:rsidRDefault="00C50CE7" w:rsidP="00C50CE7">
            <w:pPr>
              <w:jc w:val="center"/>
              <w:rPr>
                <w:sz w:val="20"/>
                <w:szCs w:val="20"/>
              </w:rPr>
            </w:pPr>
          </w:p>
          <w:p w14:paraId="7F76EC6A" w14:textId="77777777" w:rsidR="00C50CE7" w:rsidRPr="003B5D2B" w:rsidRDefault="00A26BD8" w:rsidP="00C50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zjištěné </w:t>
            </w:r>
            <w:r w:rsidRPr="00D53A28">
              <w:rPr>
                <w:sz w:val="20"/>
                <w:szCs w:val="20"/>
              </w:rPr>
              <w:t xml:space="preserve">nesprávnosti v účetní závěrce </w:t>
            </w:r>
          </w:p>
          <w:p w14:paraId="1058A143" w14:textId="77777777" w:rsidR="001F6A24" w:rsidRPr="00BC1CE5" w:rsidRDefault="001F6A24" w:rsidP="001C016A">
            <w:pPr>
              <w:jc w:val="center"/>
              <w:rPr>
                <w:rStyle w:val="A1"/>
                <w:rFonts w:cstheme="minorHAnsi"/>
                <w:sz w:val="20"/>
                <w:szCs w:val="20"/>
              </w:rPr>
            </w:pPr>
          </w:p>
        </w:tc>
      </w:tr>
      <w:tr w:rsidR="004026AF" w14:paraId="3A5C56EF" w14:textId="77777777" w:rsidTr="00E4102A">
        <w:trPr>
          <w:trHeight w:val="1701"/>
        </w:trPr>
        <w:tc>
          <w:tcPr>
            <w:tcW w:w="3969" w:type="dxa"/>
          </w:tcPr>
          <w:p w14:paraId="35BC77ED" w14:textId="4011EBDC" w:rsidR="00C50CE7" w:rsidRPr="003B5D2B" w:rsidRDefault="00A26BD8" w:rsidP="00C50CE7">
            <w:pPr>
              <w:jc w:val="center"/>
              <w:rPr>
                <w:rStyle w:val="A5"/>
                <w:rFonts w:cstheme="minorBidi"/>
              </w:rPr>
            </w:pPr>
            <w:r w:rsidRPr="003B5D2B">
              <w:rPr>
                <w:rStyle w:val="A5"/>
              </w:rPr>
              <w:t>209,87/14,77 mld. Kč</w:t>
            </w:r>
          </w:p>
          <w:p w14:paraId="1A5195F1" w14:textId="77777777" w:rsidR="00C50CE7" w:rsidRDefault="00A26BD8" w:rsidP="00C50CE7">
            <w:pPr>
              <w:jc w:val="center"/>
              <w:rPr>
                <w:rStyle w:val="A5"/>
              </w:rPr>
            </w:pPr>
            <w:r>
              <w:rPr>
                <w:sz w:val="20"/>
              </w:rPr>
              <w:t>v</w:t>
            </w:r>
            <w:r w:rsidRPr="008C417C">
              <w:rPr>
                <w:sz w:val="20"/>
              </w:rPr>
              <w:t xml:space="preserve">ýdaje/příjmy MŠMT </w:t>
            </w:r>
            <w:r>
              <w:rPr>
                <w:sz w:val="20"/>
              </w:rPr>
              <w:br/>
            </w:r>
            <w:r w:rsidRPr="008C417C">
              <w:rPr>
                <w:sz w:val="20"/>
              </w:rPr>
              <w:t>za rok 2019</w:t>
            </w:r>
          </w:p>
        </w:tc>
        <w:tc>
          <w:tcPr>
            <w:tcW w:w="1985" w:type="dxa"/>
          </w:tcPr>
          <w:p w14:paraId="46F20608" w14:textId="77777777" w:rsidR="00C50CE7" w:rsidRDefault="00C50CE7" w:rsidP="00FD6701">
            <w:pPr>
              <w:jc w:val="center"/>
              <w:rPr>
                <w:rStyle w:val="A5"/>
              </w:rPr>
            </w:pPr>
          </w:p>
        </w:tc>
        <w:tc>
          <w:tcPr>
            <w:tcW w:w="3021" w:type="dxa"/>
          </w:tcPr>
          <w:p w14:paraId="4DDE45AF" w14:textId="77777777" w:rsidR="00C50CE7" w:rsidRPr="003B5D2B" w:rsidRDefault="00A26BD8" w:rsidP="00C50CE7">
            <w:pPr>
              <w:jc w:val="center"/>
              <w:rPr>
                <w:b/>
                <w:bCs/>
                <w:sz w:val="40"/>
                <w:szCs w:val="40"/>
              </w:rPr>
            </w:pPr>
            <w:r w:rsidRPr="003B5D2B">
              <w:rPr>
                <w:b/>
                <w:bCs/>
                <w:color w:val="000000"/>
                <w:sz w:val="40"/>
                <w:szCs w:val="40"/>
              </w:rPr>
              <w:t>807,55 mil. Kč</w:t>
            </w:r>
            <w:r w:rsidR="00920E00" w:rsidRPr="002132D5">
              <w:rPr>
                <w:bCs/>
                <w:color w:val="000000"/>
                <w:sz w:val="40"/>
                <w:szCs w:val="40"/>
                <w:vertAlign w:val="superscript"/>
              </w:rPr>
              <w:t>1</w:t>
            </w:r>
          </w:p>
          <w:p w14:paraId="6324302D" w14:textId="77777777" w:rsidR="00C50CE7" w:rsidRDefault="00C50CE7" w:rsidP="00C50CE7">
            <w:pPr>
              <w:jc w:val="center"/>
              <w:rPr>
                <w:sz w:val="20"/>
                <w:szCs w:val="20"/>
              </w:rPr>
            </w:pPr>
          </w:p>
          <w:p w14:paraId="7E5913DF" w14:textId="77777777" w:rsidR="00C50CE7" w:rsidRPr="00077688" w:rsidRDefault="00A26BD8" w:rsidP="003B5D2B">
            <w:pPr>
              <w:jc w:val="center"/>
              <w:rPr>
                <w:rFonts w:ascii="Segoe UI Symbol" w:hAnsi="Segoe UI Symbol" w:cs="Segoe UI Symbol"/>
                <w:b/>
                <w:sz w:val="56"/>
                <w:szCs w:val="44"/>
              </w:rPr>
            </w:pPr>
            <w:r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zjištěné </w:t>
            </w:r>
            <w:r w:rsidRPr="00D53A28">
              <w:rPr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nesprávnosti ve výkazu pro hodnocení plnění rozpočtu</w:t>
            </w:r>
          </w:p>
        </w:tc>
      </w:tr>
    </w:tbl>
    <w:p w14:paraId="037FF1A9" w14:textId="77777777" w:rsidR="00922703" w:rsidRDefault="00922703" w:rsidP="00922703">
      <w:pPr>
        <w:rPr>
          <w:rStyle w:val="A4"/>
          <w:b/>
          <w:sz w:val="24"/>
          <w:szCs w:val="32"/>
        </w:rPr>
      </w:pPr>
    </w:p>
    <w:p w14:paraId="5E6683E9" w14:textId="77777777" w:rsidR="00387694" w:rsidRDefault="00387694" w:rsidP="00922703">
      <w:pPr>
        <w:rPr>
          <w:rStyle w:val="A4"/>
          <w:b/>
          <w:sz w:val="24"/>
          <w:szCs w:val="32"/>
        </w:rPr>
        <w:sectPr w:rsidR="00387694" w:rsidSect="005211B1">
          <w:footerReference w:type="defaul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DDF5F3B" w14:textId="276DC31B" w:rsidR="00922703" w:rsidRPr="009D7702" w:rsidRDefault="00A26BD8" w:rsidP="00E4102A">
      <w:pPr>
        <w:ind w:left="284" w:right="142"/>
        <w:jc w:val="center"/>
        <w:rPr>
          <w:rStyle w:val="A4"/>
          <w:b/>
          <w:sz w:val="24"/>
          <w:szCs w:val="32"/>
        </w:rPr>
      </w:pPr>
      <w:r w:rsidRPr="009D7702">
        <w:rPr>
          <w:rStyle w:val="A4"/>
          <w:b/>
          <w:sz w:val="24"/>
          <w:szCs w:val="32"/>
        </w:rPr>
        <w:t xml:space="preserve">Spolehlivost účetní závěrky sestavené </w:t>
      </w:r>
      <w:r w:rsidR="00611C2D">
        <w:rPr>
          <w:rStyle w:val="A4"/>
          <w:b/>
          <w:sz w:val="24"/>
          <w:szCs w:val="32"/>
        </w:rPr>
        <w:br/>
      </w:r>
      <w:r w:rsidRPr="009D7702">
        <w:rPr>
          <w:rStyle w:val="A4"/>
          <w:b/>
          <w:sz w:val="24"/>
          <w:szCs w:val="32"/>
        </w:rPr>
        <w:t>k</w:t>
      </w:r>
      <w:r w:rsidR="00611C2D">
        <w:rPr>
          <w:rStyle w:val="A4"/>
          <w:b/>
          <w:sz w:val="24"/>
          <w:szCs w:val="32"/>
        </w:rPr>
        <w:t xml:space="preserve"> </w:t>
      </w:r>
      <w:r w:rsidRPr="009D7702">
        <w:rPr>
          <w:rStyle w:val="A4"/>
          <w:b/>
          <w:sz w:val="24"/>
          <w:szCs w:val="32"/>
        </w:rPr>
        <w:t>31.</w:t>
      </w:r>
      <w:r w:rsidR="00611C2D">
        <w:rPr>
          <w:rStyle w:val="A4"/>
          <w:b/>
          <w:sz w:val="24"/>
          <w:szCs w:val="32"/>
        </w:rPr>
        <w:t xml:space="preserve"> </w:t>
      </w:r>
      <w:r w:rsidRPr="009D7702">
        <w:rPr>
          <w:rStyle w:val="A4"/>
          <w:b/>
          <w:sz w:val="24"/>
          <w:szCs w:val="32"/>
        </w:rPr>
        <w:t>prosinci 2019 ve struktuře dle jednotlivých výkazů</w:t>
      </w:r>
    </w:p>
    <w:p w14:paraId="1D552F41" w14:textId="38E2AB31" w:rsidR="00387694" w:rsidRDefault="00A26BD8" w:rsidP="00E4102A">
      <w:pPr>
        <w:ind w:left="709"/>
        <w:jc w:val="center"/>
        <w:rPr>
          <w:rStyle w:val="A4"/>
          <w:b/>
          <w:sz w:val="24"/>
          <w:szCs w:val="32"/>
        </w:rPr>
      </w:pPr>
      <w:r w:rsidRPr="009D7702">
        <w:rPr>
          <w:rStyle w:val="A4"/>
          <w:b/>
          <w:sz w:val="24"/>
          <w:szCs w:val="32"/>
        </w:rPr>
        <w:t>Spolehlivost výkazu pro hodnocení plnění rozpočtu sestaveného k 31.</w:t>
      </w:r>
      <w:r w:rsidR="00115968">
        <w:rPr>
          <w:rStyle w:val="A4"/>
          <w:b/>
          <w:sz w:val="24"/>
          <w:szCs w:val="32"/>
        </w:rPr>
        <w:t> </w:t>
      </w:r>
      <w:r w:rsidRPr="009D7702">
        <w:rPr>
          <w:rStyle w:val="A4"/>
          <w:b/>
          <w:sz w:val="24"/>
          <w:szCs w:val="32"/>
        </w:rPr>
        <w:t>prosinci 2019</w:t>
      </w:r>
    </w:p>
    <w:p w14:paraId="68029BC4" w14:textId="77777777" w:rsidR="00387694" w:rsidRDefault="00387694" w:rsidP="00387694">
      <w:pPr>
        <w:ind w:left="284"/>
        <w:rPr>
          <w:rStyle w:val="A4"/>
          <w:b/>
          <w:sz w:val="24"/>
          <w:szCs w:val="32"/>
        </w:rPr>
      </w:pPr>
    </w:p>
    <w:p w14:paraId="471E8F29" w14:textId="77777777" w:rsidR="00387694" w:rsidRDefault="00387694" w:rsidP="00387694">
      <w:pPr>
        <w:ind w:left="284"/>
        <w:rPr>
          <w:rStyle w:val="A4"/>
          <w:b/>
          <w:sz w:val="24"/>
          <w:szCs w:val="32"/>
        </w:rPr>
        <w:sectPr w:rsidR="00387694" w:rsidSect="00D53A28">
          <w:type w:val="continuous"/>
          <w:pgSz w:w="11906" w:h="16838"/>
          <w:pgMar w:top="1417" w:right="1417" w:bottom="1417" w:left="1417" w:header="708" w:footer="708" w:gutter="0"/>
          <w:cols w:num="2" w:space="566"/>
          <w:titlePg/>
          <w:docGrid w:linePitch="360"/>
        </w:sectPr>
      </w:pPr>
    </w:p>
    <w:p w14:paraId="7A66F361" w14:textId="77777777" w:rsidR="00A45B53" w:rsidRDefault="00A26BD8">
      <w:pPr>
        <w:spacing w:after="160"/>
        <w:jc w:val="left"/>
        <w:rPr>
          <w:rStyle w:val="A4"/>
          <w:b/>
          <w:sz w:val="28"/>
          <w:szCs w:val="32"/>
        </w:rPr>
      </w:pPr>
      <w:r>
        <w:rPr>
          <w:b/>
          <w:noProof/>
          <w:color w:val="000000"/>
          <w:sz w:val="28"/>
          <w:szCs w:val="32"/>
          <w:lang w:eastAsia="cs-CZ"/>
        </w:rPr>
        <w:drawing>
          <wp:inline distT="0" distB="0" distL="0" distR="0" wp14:anchorId="71475E8B" wp14:editId="5A02EB1D">
            <wp:extent cx="5760720" cy="19069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710099" name="Graf kruhový 1a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3C81F" w14:textId="77777777" w:rsidR="00387694" w:rsidRDefault="00A26BD8">
      <w:pPr>
        <w:spacing w:after="160"/>
        <w:jc w:val="left"/>
        <w:rPr>
          <w:rStyle w:val="A4"/>
          <w:b/>
          <w:sz w:val="28"/>
          <w:szCs w:val="32"/>
        </w:rPr>
      </w:pPr>
      <w:r>
        <w:rPr>
          <w:rStyle w:val="A4"/>
          <w:b/>
          <w:sz w:val="28"/>
          <w:szCs w:val="32"/>
        </w:rPr>
        <w:br w:type="page"/>
      </w:r>
    </w:p>
    <w:p w14:paraId="72713F13" w14:textId="77777777" w:rsidR="00377895" w:rsidRDefault="00A26BD8" w:rsidP="00A0568F">
      <w:pPr>
        <w:pStyle w:val="Nadpis1"/>
        <w:spacing w:after="360" w:line="257" w:lineRule="auto"/>
      </w:pPr>
      <w:r>
        <w:lastRenderedPageBreak/>
        <w:t>I. Shrnutí a vyhodnocení</w:t>
      </w:r>
    </w:p>
    <w:p w14:paraId="7D8DB8BB" w14:textId="43E6206A" w:rsidR="00414BED" w:rsidRDefault="00A26BD8" w:rsidP="00414BED">
      <w:r w:rsidRPr="003B5D2B">
        <w:t xml:space="preserve">NKÚ prověřil správnost vedení účetnictví, spolehlivost účetního a rozpočtového výkaznictví </w:t>
      </w:r>
      <w:r w:rsidR="000C023B">
        <w:br/>
      </w:r>
      <w:r w:rsidRPr="003B5D2B">
        <w:t xml:space="preserve">a správnost sestavení závěrečného účtu MŠMT. </w:t>
      </w:r>
      <w:r w:rsidRPr="004B1946">
        <w:t xml:space="preserve">Při kontrole bylo provedeno i vyhodnocení opatření </w:t>
      </w:r>
      <w:r w:rsidR="009272B6" w:rsidRPr="004B1946">
        <w:t xml:space="preserve">přijatých </w:t>
      </w:r>
      <w:r w:rsidRPr="004B1946">
        <w:t xml:space="preserve">k nápravě nedostatků zjištěných kontrolní akcí NKÚ č. </w:t>
      </w:r>
      <w:r w:rsidR="00187D4B">
        <w:t>15/35</w:t>
      </w:r>
      <w:r>
        <w:rPr>
          <w:rStyle w:val="Znakapoznpodarou"/>
        </w:rPr>
        <w:footnoteReference w:id="2"/>
      </w:r>
      <w:r w:rsidRPr="004B1946">
        <w:t>.</w:t>
      </w:r>
    </w:p>
    <w:p w14:paraId="40F4CF73" w14:textId="77777777" w:rsidR="00414BED" w:rsidRPr="00414BED" w:rsidRDefault="00414BED" w:rsidP="00414BED"/>
    <w:p w14:paraId="0AC74FD0" w14:textId="77777777" w:rsidR="00004C46" w:rsidRPr="00C05E4C" w:rsidRDefault="00A26BD8" w:rsidP="003B5D2B">
      <w:pPr>
        <w:pStyle w:val="Nadpis2"/>
      </w:pPr>
      <w:r w:rsidRPr="00C05E4C">
        <w:t xml:space="preserve">Vedení účetnictví </w:t>
      </w:r>
      <w:r w:rsidR="003B5D2B" w:rsidRPr="003B5D2B">
        <w:t xml:space="preserve">a spolehlivost </w:t>
      </w:r>
      <w:r w:rsidR="003B5D2B">
        <w:t xml:space="preserve">údajů </w:t>
      </w:r>
      <w:r w:rsidR="003B5D2B" w:rsidRPr="003B5D2B">
        <w:t>účetní závěrky MŠMT sestavené k 31. 12. 2019</w:t>
      </w:r>
    </w:p>
    <w:p w14:paraId="1B4D9AA8" w14:textId="77777777" w:rsidR="00952A3C" w:rsidRPr="00D53A28" w:rsidRDefault="00A26BD8" w:rsidP="00D53A28">
      <w:r w:rsidRPr="00D53A28">
        <w:t xml:space="preserve">Kontrolou byly zjištěny nesprávnosti, které MŠMT ještě v průběhu kontroly opravilo. Jednalo se o účetní případy, které nebyly zaúčtovány správně. Opravu </w:t>
      </w:r>
      <w:r w:rsidR="00B56CCA" w:rsidRPr="00D53A28">
        <w:t>těchto</w:t>
      </w:r>
      <w:r w:rsidRPr="00D53A28">
        <w:t xml:space="preserve"> nesprávností MŠMT realizovalo ještě před uzavřením účetních knih za rok 201</w:t>
      </w:r>
      <w:r w:rsidR="004312BE" w:rsidRPr="00D53A28">
        <w:t>9</w:t>
      </w:r>
      <w:r w:rsidRPr="00D53A28">
        <w:t xml:space="preserve"> a před sestavením účetní závěrky. M</w:t>
      </w:r>
      <w:r w:rsidR="004312BE" w:rsidRPr="00D53A28">
        <w:t>ŠMT</w:t>
      </w:r>
      <w:r w:rsidRPr="00D53A28">
        <w:t xml:space="preserve"> takto opravilo nesprávnosti v celkovém součtu převyšující</w:t>
      </w:r>
      <w:r w:rsidR="00D93728" w:rsidRPr="00D53A28">
        <w:t>m</w:t>
      </w:r>
      <w:r w:rsidRPr="00D53A28">
        <w:t xml:space="preserve"> </w:t>
      </w:r>
      <w:r w:rsidR="004312BE" w:rsidRPr="00D53A28">
        <w:t>49</w:t>
      </w:r>
      <w:r w:rsidRPr="00D53A28">
        <w:t> mld. Kč</w:t>
      </w:r>
      <w:r w:rsidR="00F75500" w:rsidRPr="00D53A28">
        <w:t xml:space="preserve">, </w:t>
      </w:r>
      <w:r w:rsidR="00B2580C" w:rsidRPr="00D53A28">
        <w:t xml:space="preserve">jednalo se zejména o chybné vykázání změny stavu dohadných účtů v přehledu o peněžních tocích ve výši </w:t>
      </w:r>
      <w:r w:rsidR="00F6032F" w:rsidRPr="00D53A28">
        <w:t>46</w:t>
      </w:r>
      <w:r w:rsidR="00920E00">
        <w:t>,5</w:t>
      </w:r>
      <w:r w:rsidR="00F6032F" w:rsidRPr="00D53A28">
        <w:t xml:space="preserve"> mld. Kč</w:t>
      </w:r>
      <w:r w:rsidRPr="00D53A28">
        <w:t>.</w:t>
      </w:r>
    </w:p>
    <w:p w14:paraId="0B32EC70" w14:textId="77777777" w:rsidR="00952A3C" w:rsidRPr="00BE29D5" w:rsidRDefault="00952A3C" w:rsidP="00D45AE4"/>
    <w:p w14:paraId="3BA52A27" w14:textId="77777777" w:rsidR="0001518E" w:rsidRDefault="00A26BD8" w:rsidP="00D53A28">
      <w:pPr>
        <w:spacing w:after="120"/>
        <w:rPr>
          <w:rFonts w:cstheme="minorHAnsi"/>
          <w:b/>
        </w:rPr>
      </w:pPr>
      <w:r>
        <w:rPr>
          <w:rFonts w:cstheme="minorHAnsi"/>
        </w:rPr>
        <w:t xml:space="preserve">Dále byly </w:t>
      </w:r>
      <w:r w:rsidR="007B359C" w:rsidRPr="005C4E99">
        <w:rPr>
          <w:rFonts w:cstheme="minorHAnsi"/>
        </w:rPr>
        <w:t>v </w:t>
      </w:r>
      <w:r w:rsidR="007B359C" w:rsidRPr="005C4E99">
        <w:t xml:space="preserve">účetní závěrce </w:t>
      </w:r>
      <w:r w:rsidR="007B359C">
        <w:t>MŠMT</w:t>
      </w:r>
      <w:r w:rsidR="007B359C" w:rsidRPr="005C4E99">
        <w:t xml:space="preserve"> sestavené k 31. prosinci 2019</w:t>
      </w:r>
      <w:r w:rsidR="007B359C">
        <w:t xml:space="preserve"> </w:t>
      </w:r>
      <w:r>
        <w:rPr>
          <w:rFonts w:cstheme="minorHAnsi"/>
        </w:rPr>
        <w:t xml:space="preserve">zjištěny nesprávnosti ve výši 89,6 mil. Kč, </w:t>
      </w:r>
      <w:r>
        <w:t>které nebyly v průběhu kontroly opraveny</w:t>
      </w:r>
      <w:r>
        <w:rPr>
          <w:rFonts w:cstheme="minorHAnsi"/>
        </w:rPr>
        <w:t xml:space="preserve">. Jejich </w:t>
      </w:r>
      <w:r w:rsidR="007B359C">
        <w:rPr>
          <w:rFonts w:cstheme="minorHAnsi"/>
        </w:rPr>
        <w:t xml:space="preserve">celková </w:t>
      </w:r>
      <w:r>
        <w:rPr>
          <w:rFonts w:cstheme="minorHAnsi"/>
        </w:rPr>
        <w:t>výše nebyla</w:t>
      </w:r>
      <w:r w:rsidR="007B359C">
        <w:rPr>
          <w:rFonts w:cstheme="minorHAnsi"/>
        </w:rPr>
        <w:t xml:space="preserve"> s ohledem na stanovenou </w:t>
      </w:r>
      <w:proofErr w:type="spellStart"/>
      <w:r w:rsidR="007B359C">
        <w:rPr>
          <w:rFonts w:cstheme="minorHAnsi"/>
        </w:rPr>
        <w:t>m</w:t>
      </w:r>
      <w:r w:rsidR="00BC1C6F">
        <w:rPr>
          <w:rFonts w:cstheme="minorHAnsi"/>
        </w:rPr>
        <w:t>a</w:t>
      </w:r>
      <w:r w:rsidR="007B359C">
        <w:rPr>
          <w:rFonts w:cstheme="minorHAnsi"/>
        </w:rPr>
        <w:t>terialitu</w:t>
      </w:r>
      <w:proofErr w:type="spellEnd"/>
      <w:r>
        <w:rPr>
          <w:rFonts w:cstheme="minorHAnsi"/>
        </w:rPr>
        <w:t xml:space="preserve"> významná. </w:t>
      </w:r>
    </w:p>
    <w:p w14:paraId="4A4EED1D" w14:textId="77777777" w:rsidR="00BC579B" w:rsidRDefault="00BC579B" w:rsidP="00D53A28">
      <w:pPr>
        <w:spacing w:after="120"/>
        <w:rPr>
          <w:rFonts w:eastAsia="Calibri"/>
        </w:rPr>
      </w:pPr>
    </w:p>
    <w:p w14:paraId="50EB4E4C" w14:textId="77777777" w:rsidR="00E74BB1" w:rsidRDefault="00A26BD8" w:rsidP="00E74BB1">
      <w:pPr>
        <w:shd w:val="clear" w:color="auto" w:fill="DEEAF6" w:themeFill="accent1" w:themeFillTint="33"/>
        <w:rPr>
          <w:b/>
        </w:rPr>
      </w:pPr>
      <w:r>
        <w:rPr>
          <w:rFonts w:eastAsia="Calibri" w:cstheme="minorHAnsi"/>
          <w:b/>
        </w:rPr>
        <w:t xml:space="preserve">Dle názoru NKÚ </w:t>
      </w:r>
      <w:r w:rsidRPr="00420560">
        <w:rPr>
          <w:b/>
        </w:rPr>
        <w:t xml:space="preserve">podává </w:t>
      </w:r>
      <w:r>
        <w:rPr>
          <w:b/>
        </w:rPr>
        <w:t xml:space="preserve">účetní závěrka MŠMT sestavená k 31. prosinci 2019 ve všech významných ohledech </w:t>
      </w:r>
      <w:r w:rsidRPr="00420560">
        <w:rPr>
          <w:b/>
        </w:rPr>
        <w:t>věrný a poctivý obraz předmětu účetnictví a finanční situace účetní jednotky dle účetních předpisů pro některé vybrané účetní jednotky.</w:t>
      </w:r>
    </w:p>
    <w:p w14:paraId="6E278E80" w14:textId="77777777" w:rsidR="00E74BB1" w:rsidRDefault="00E74BB1" w:rsidP="00F36F15">
      <w:pPr>
        <w:rPr>
          <w:rFonts w:eastAsia="Calibri"/>
        </w:rPr>
      </w:pPr>
    </w:p>
    <w:p w14:paraId="7E92BCFB" w14:textId="77777777" w:rsidR="005272C5" w:rsidRDefault="00A26BD8" w:rsidP="005272C5">
      <w:pPr>
        <w:rPr>
          <w:rFonts w:eastAsia="Calibri"/>
        </w:rPr>
      </w:pPr>
      <w:r w:rsidRPr="00A43304">
        <w:rPr>
          <w:rFonts w:eastAsia="Calibri"/>
        </w:rPr>
        <w:t>Podrobnosti ke zjištěným nesprávnostem jsou uvedeny</w:t>
      </w:r>
      <w:r w:rsidRPr="00530006">
        <w:rPr>
          <w:rFonts w:eastAsia="Calibri"/>
        </w:rPr>
        <w:t xml:space="preserve"> v částech IV.1. a </w:t>
      </w:r>
      <w:proofErr w:type="gramStart"/>
      <w:r w:rsidRPr="00530006">
        <w:rPr>
          <w:rFonts w:eastAsia="Calibri"/>
        </w:rPr>
        <w:t>IV.2. tohoto</w:t>
      </w:r>
      <w:proofErr w:type="gramEnd"/>
      <w:r w:rsidRPr="00530006">
        <w:rPr>
          <w:rFonts w:eastAsia="Calibri"/>
        </w:rPr>
        <w:t xml:space="preserve"> kontrolního závěru.</w:t>
      </w:r>
    </w:p>
    <w:p w14:paraId="04A402F2" w14:textId="77777777" w:rsidR="00A0568F" w:rsidRDefault="00A0568F" w:rsidP="005272C5">
      <w:pPr>
        <w:rPr>
          <w:rFonts w:eastAsia="Calibri"/>
        </w:rPr>
      </w:pPr>
    </w:p>
    <w:p w14:paraId="5E68EC62" w14:textId="77777777" w:rsidR="00004C46" w:rsidRDefault="00A26BD8" w:rsidP="00C05E4C">
      <w:pPr>
        <w:pStyle w:val="Nadpis2"/>
      </w:pPr>
      <w:r w:rsidRPr="00BC579B">
        <w:t xml:space="preserve">Spolehlivost výkazu pro hodnocení plnění rozpočtu Ministerstva školství, mládeže </w:t>
      </w:r>
      <w:r w:rsidR="000C023B">
        <w:br/>
      </w:r>
      <w:r w:rsidRPr="00BC579B">
        <w:t xml:space="preserve">a tělovýchovy sestaveného k 31. </w:t>
      </w:r>
      <w:r w:rsidR="00805C77">
        <w:t>prosinci</w:t>
      </w:r>
      <w:r w:rsidRPr="00BC579B">
        <w:t xml:space="preserve"> 2019</w:t>
      </w:r>
    </w:p>
    <w:p w14:paraId="35624E1A" w14:textId="63218134" w:rsidR="00903F80" w:rsidRDefault="00A26BD8" w:rsidP="00BC579B">
      <w:pPr>
        <w:rPr>
          <w:rFonts w:eastAsia="Calibri"/>
        </w:rPr>
      </w:pPr>
      <w:r>
        <w:t>Kontrolou b</w:t>
      </w:r>
      <w:r w:rsidR="00AE66F5">
        <w:t>ylo zjištěno, že někt</w:t>
      </w:r>
      <w:r w:rsidR="00825076">
        <w:t xml:space="preserve">eré informace uvedené ve </w:t>
      </w:r>
      <w:r w:rsidR="00825076" w:rsidRPr="00756A0A">
        <w:t>výkazu</w:t>
      </w:r>
      <w:r w:rsidRPr="00756A0A">
        <w:t xml:space="preserve"> pro hodnocení plnění rozpočtu</w:t>
      </w:r>
      <w:r w:rsidRPr="00805C77">
        <w:t xml:space="preserve"> Ministerstva školství, mládeže a tělovýchovy sestaven</w:t>
      </w:r>
      <w:r w:rsidR="00766AEC">
        <w:t>é</w:t>
      </w:r>
      <w:r w:rsidR="00756A0A">
        <w:t>m</w:t>
      </w:r>
      <w:r w:rsidRPr="00805C77">
        <w:t xml:space="preserve"> k 31. </w:t>
      </w:r>
      <w:r>
        <w:t>prosinci</w:t>
      </w:r>
      <w:r w:rsidRPr="00805C77">
        <w:t xml:space="preserve"> 2019 (dále také „výkaz FIN 1-12 OSS“)</w:t>
      </w:r>
      <w:r>
        <w:t xml:space="preserve"> </w:t>
      </w:r>
      <w:r w:rsidR="00AE66F5">
        <w:t xml:space="preserve">nebyly vykázány v souladu s právními předpisy. </w:t>
      </w:r>
      <w:r w:rsidR="00AE66F5" w:rsidRPr="00647518">
        <w:rPr>
          <w:rFonts w:cstheme="minorHAnsi"/>
        </w:rPr>
        <w:t>Celková částka nesprávností</w:t>
      </w:r>
      <w:r w:rsidR="00AE66F5" w:rsidRPr="00E00627">
        <w:rPr>
          <w:rFonts w:cstheme="minorHAnsi"/>
        </w:rPr>
        <w:t>, které byly v průběhu kontroly zjištěny</w:t>
      </w:r>
      <w:r w:rsidR="002C2D40">
        <w:rPr>
          <w:rFonts w:cstheme="minorHAnsi"/>
        </w:rPr>
        <w:t xml:space="preserve"> ve výši 807,55 mil. Kč</w:t>
      </w:r>
      <w:r w:rsidR="00AE66F5" w:rsidRPr="00E00627">
        <w:rPr>
          <w:rFonts w:cstheme="minorHAnsi"/>
        </w:rPr>
        <w:t>,</w:t>
      </w:r>
      <w:r w:rsidR="00F03CA4">
        <w:rPr>
          <w:rFonts w:cstheme="minorHAnsi"/>
        </w:rPr>
        <w:t xml:space="preserve"> </w:t>
      </w:r>
      <w:r w:rsidR="002C2D40">
        <w:rPr>
          <w:rFonts w:cstheme="minorHAnsi"/>
        </w:rPr>
        <w:t>ne</w:t>
      </w:r>
      <w:r w:rsidR="00AE66F5">
        <w:rPr>
          <w:rFonts w:cstheme="minorHAnsi"/>
        </w:rPr>
        <w:t>byla</w:t>
      </w:r>
      <w:r w:rsidR="00540CE8">
        <w:rPr>
          <w:rFonts w:cstheme="minorHAnsi"/>
        </w:rPr>
        <w:t xml:space="preserve"> s ohledem na stanovenou </w:t>
      </w:r>
      <w:proofErr w:type="spellStart"/>
      <w:r w:rsidR="00540CE8">
        <w:rPr>
          <w:rFonts w:cstheme="minorHAnsi"/>
        </w:rPr>
        <w:t>materialitu</w:t>
      </w:r>
      <w:proofErr w:type="spellEnd"/>
      <w:r w:rsidR="00B70CF8">
        <w:rPr>
          <w:rFonts w:cstheme="minorHAnsi"/>
        </w:rPr>
        <w:t xml:space="preserve"> významn</w:t>
      </w:r>
      <w:r w:rsidR="002C2D40">
        <w:rPr>
          <w:rFonts w:cstheme="minorHAnsi"/>
        </w:rPr>
        <w:t>á</w:t>
      </w:r>
      <w:r w:rsidR="00B70CF8">
        <w:rPr>
          <w:rFonts w:cstheme="minorHAnsi"/>
        </w:rPr>
        <w:t>.</w:t>
      </w:r>
    </w:p>
    <w:p w14:paraId="175B14B0" w14:textId="77777777" w:rsidR="00BC579B" w:rsidRDefault="00BC579B" w:rsidP="00BC579B"/>
    <w:p w14:paraId="76AA13B3" w14:textId="77777777" w:rsidR="00A0568F" w:rsidRDefault="00A0568F">
      <w:pPr>
        <w:spacing w:after="160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C35643A" w14:textId="2311A315" w:rsidR="00805C77" w:rsidRDefault="00A26BD8" w:rsidP="00805C77">
      <w:pPr>
        <w:shd w:val="clear" w:color="auto" w:fill="DEEAF6" w:themeFill="accent1" w:themeFillTint="33"/>
        <w:rPr>
          <w:rFonts w:cstheme="minorHAnsi"/>
          <w:b/>
        </w:rPr>
      </w:pPr>
      <w:r>
        <w:rPr>
          <w:rFonts w:cstheme="minorHAnsi"/>
          <w:b/>
        </w:rPr>
        <w:lastRenderedPageBreak/>
        <w:t>NKÚ nezjistil</w:t>
      </w:r>
      <w:r w:rsidRPr="007A4030">
        <w:rPr>
          <w:rFonts w:cstheme="minorHAnsi"/>
          <w:b/>
        </w:rPr>
        <w:t xml:space="preserve"> skutečnosti svědčící o tom, že výkaz pro hodnocení plnění rozpočtu Ministerstva školství, mládeže a tělovýchovy sestavený k 31. </w:t>
      </w:r>
      <w:r>
        <w:rPr>
          <w:rFonts w:cstheme="minorHAnsi"/>
          <w:b/>
        </w:rPr>
        <w:t>prosinci</w:t>
      </w:r>
      <w:r w:rsidRPr="007A4030">
        <w:rPr>
          <w:rFonts w:cstheme="minorHAnsi"/>
          <w:b/>
        </w:rPr>
        <w:t xml:space="preserve"> 2019 není ve všech významných ohledech sestaven v souladu s příslušnými právními předpisy.</w:t>
      </w:r>
    </w:p>
    <w:p w14:paraId="4752D911" w14:textId="77777777" w:rsidR="00805C77" w:rsidRDefault="00805C77" w:rsidP="00BC579B"/>
    <w:p w14:paraId="505E2C67" w14:textId="48F5FAAC" w:rsidR="00BC579B" w:rsidRDefault="00A26BD8" w:rsidP="00BC579B">
      <w:pPr>
        <w:rPr>
          <w:rFonts w:eastAsia="Calibri"/>
        </w:rPr>
      </w:pPr>
      <w:r>
        <w:rPr>
          <w:rFonts w:eastAsia="Calibri"/>
        </w:rPr>
        <w:t>Podrobnosti k</w:t>
      </w:r>
      <w:r w:rsidR="00540CE8">
        <w:rPr>
          <w:rFonts w:eastAsia="Calibri"/>
        </w:rPr>
        <w:t>e</w:t>
      </w:r>
      <w:r w:rsidR="009272B6">
        <w:rPr>
          <w:rFonts w:eastAsia="Calibri"/>
        </w:rPr>
        <w:t xml:space="preserve"> </w:t>
      </w:r>
      <w:r w:rsidR="00540CE8">
        <w:rPr>
          <w:rFonts w:eastAsia="Calibri"/>
        </w:rPr>
        <w:t xml:space="preserve">zjištěným </w:t>
      </w:r>
      <w:r>
        <w:rPr>
          <w:rFonts w:eastAsia="Calibri"/>
        </w:rPr>
        <w:t>nespráv</w:t>
      </w:r>
      <w:r w:rsidR="00903F80">
        <w:rPr>
          <w:rFonts w:eastAsia="Calibri"/>
        </w:rPr>
        <w:t xml:space="preserve">nostem jsou </w:t>
      </w:r>
      <w:r w:rsidR="00903F80" w:rsidRPr="000A08C9">
        <w:rPr>
          <w:rFonts w:eastAsia="Calibri"/>
        </w:rPr>
        <w:t xml:space="preserve">uvedeny v části </w:t>
      </w:r>
      <w:proofErr w:type="gramStart"/>
      <w:r w:rsidR="00903F80" w:rsidRPr="000A08C9">
        <w:rPr>
          <w:rFonts w:eastAsia="Calibri"/>
        </w:rPr>
        <w:t>IV.</w:t>
      </w:r>
      <w:r w:rsidR="000A08C9" w:rsidRPr="000A08C9">
        <w:rPr>
          <w:rFonts w:eastAsia="Calibri"/>
        </w:rPr>
        <w:t>3.</w:t>
      </w:r>
      <w:r w:rsidRPr="000A08C9">
        <w:rPr>
          <w:rFonts w:eastAsia="Calibri"/>
        </w:rPr>
        <w:t xml:space="preserve"> tohoto</w:t>
      </w:r>
      <w:proofErr w:type="gramEnd"/>
      <w:r w:rsidRPr="000A08C9">
        <w:rPr>
          <w:rFonts w:eastAsia="Calibri"/>
        </w:rPr>
        <w:t xml:space="preserve"> kontrolního</w:t>
      </w:r>
      <w:r>
        <w:rPr>
          <w:rFonts w:eastAsia="Calibri"/>
        </w:rPr>
        <w:t xml:space="preserve"> závěru.</w:t>
      </w:r>
    </w:p>
    <w:p w14:paraId="75C2A745" w14:textId="77777777" w:rsidR="00A0568F" w:rsidRPr="007B00A1" w:rsidRDefault="00A0568F" w:rsidP="00BC579B">
      <w:pPr>
        <w:rPr>
          <w:rFonts w:eastAsia="Calibri"/>
        </w:rPr>
      </w:pPr>
    </w:p>
    <w:p w14:paraId="47DA5358" w14:textId="77777777" w:rsidR="007B00A1" w:rsidRPr="007B00A1" w:rsidRDefault="00A26BD8" w:rsidP="00C05E4C">
      <w:pPr>
        <w:pStyle w:val="Nadpis2"/>
      </w:pPr>
      <w:r w:rsidRPr="007B00A1">
        <w:t xml:space="preserve">Závěrečný účet kapitoly 333 – </w:t>
      </w:r>
      <w:r w:rsidRPr="00E4102A">
        <w:rPr>
          <w:i/>
        </w:rPr>
        <w:t>Ministerstvo školství, mládeže a tělovýchovy</w:t>
      </w:r>
      <w:r w:rsidRPr="007B00A1">
        <w:t xml:space="preserve"> za rok 2019</w:t>
      </w:r>
    </w:p>
    <w:p w14:paraId="1DBC2E56" w14:textId="1F9E6750" w:rsidR="00F27B58" w:rsidRDefault="00A26BD8" w:rsidP="00EB51D9">
      <w:pPr>
        <w:rPr>
          <w:rFonts w:cstheme="minorHAnsi"/>
        </w:rPr>
      </w:pPr>
      <w:r>
        <w:rPr>
          <w:rFonts w:cstheme="minorHAnsi"/>
        </w:rPr>
        <w:t xml:space="preserve">Nesprávnosti zjištěné v průvodní zprávě a v tabulkových přílohách </w:t>
      </w:r>
      <w:r w:rsidR="009272B6">
        <w:rPr>
          <w:rFonts w:cstheme="minorHAnsi"/>
        </w:rPr>
        <w:t>z</w:t>
      </w:r>
      <w:r>
        <w:rPr>
          <w:rFonts w:cstheme="minorHAnsi"/>
        </w:rPr>
        <w:t xml:space="preserve">ávěrečného účtu kapitoly 333 MŠMT </w:t>
      </w:r>
      <w:r w:rsidR="005272C5">
        <w:rPr>
          <w:rFonts w:cstheme="minorHAnsi"/>
        </w:rPr>
        <w:t>ne</w:t>
      </w:r>
      <w:r>
        <w:rPr>
          <w:rFonts w:cstheme="minorHAnsi"/>
        </w:rPr>
        <w:t xml:space="preserve">byly významné. </w:t>
      </w:r>
    </w:p>
    <w:p w14:paraId="574A6B23" w14:textId="77777777" w:rsidR="00B35EAA" w:rsidRDefault="00B35EAA" w:rsidP="00EB51D9">
      <w:pPr>
        <w:rPr>
          <w:rFonts w:cstheme="minorHAnsi"/>
        </w:rPr>
      </w:pPr>
    </w:p>
    <w:p w14:paraId="5CFD0C02" w14:textId="77777777" w:rsidR="007B00A1" w:rsidRPr="00EB51D9" w:rsidRDefault="00A26BD8" w:rsidP="00BE69DD">
      <w:pPr>
        <w:shd w:val="clear" w:color="auto" w:fill="DEEAF6" w:themeFill="accent1" w:themeFillTint="33"/>
        <w:rPr>
          <w:rFonts w:cstheme="minorHAnsi"/>
          <w:b/>
        </w:rPr>
      </w:pPr>
      <w:r w:rsidRPr="00EB51D9">
        <w:rPr>
          <w:rFonts w:cstheme="minorHAnsi"/>
          <w:b/>
        </w:rPr>
        <w:t xml:space="preserve">NKÚ nezjistil žádné skutečnosti svědčící o tom, že informace uvedené v závěrečném účtu kapitoly státního rozpočtu 333 – </w:t>
      </w:r>
      <w:r w:rsidRPr="005C1A0A">
        <w:rPr>
          <w:rFonts w:cstheme="minorHAnsi"/>
          <w:b/>
          <w:i/>
        </w:rPr>
        <w:t>Ministerstvo školství, mládeže a tělovýchovy</w:t>
      </w:r>
      <w:r w:rsidRPr="00EB51D9">
        <w:rPr>
          <w:rFonts w:cstheme="minorHAnsi"/>
          <w:b/>
        </w:rPr>
        <w:t xml:space="preserve"> za rok 2019 nejsou ve všech významných ohledech v souladu s příslušnými právními předpisy.</w:t>
      </w:r>
    </w:p>
    <w:p w14:paraId="72C290F3" w14:textId="77777777" w:rsidR="007B00A1" w:rsidRDefault="007B00A1" w:rsidP="00AB4C92">
      <w:pPr>
        <w:rPr>
          <w:rFonts w:eastAsia="Calibri"/>
        </w:rPr>
      </w:pPr>
    </w:p>
    <w:p w14:paraId="2D3FAD85" w14:textId="1AEE1ED6" w:rsidR="007C42CD" w:rsidRPr="007B00A1" w:rsidRDefault="007C42CD" w:rsidP="007C42CD">
      <w:pPr>
        <w:rPr>
          <w:rFonts w:eastAsia="Calibri"/>
        </w:rPr>
      </w:pPr>
      <w:r>
        <w:rPr>
          <w:rFonts w:eastAsia="Calibri"/>
        </w:rPr>
        <w:t xml:space="preserve">Podrobnosti jsou </w:t>
      </w:r>
      <w:r w:rsidRPr="000A08C9">
        <w:rPr>
          <w:rFonts w:eastAsia="Calibri"/>
        </w:rPr>
        <w:t xml:space="preserve">uvedeny v části </w:t>
      </w:r>
      <w:proofErr w:type="gramStart"/>
      <w:r w:rsidRPr="000A08C9">
        <w:rPr>
          <w:rFonts w:eastAsia="Calibri"/>
        </w:rPr>
        <w:t>IV.</w:t>
      </w:r>
      <w:r>
        <w:rPr>
          <w:rFonts w:eastAsia="Calibri"/>
        </w:rPr>
        <w:t xml:space="preserve">4 </w:t>
      </w:r>
      <w:r w:rsidRPr="000A08C9">
        <w:rPr>
          <w:rFonts w:eastAsia="Calibri"/>
        </w:rPr>
        <w:t>tohoto</w:t>
      </w:r>
      <w:proofErr w:type="gramEnd"/>
      <w:r w:rsidRPr="000A08C9">
        <w:rPr>
          <w:rFonts w:eastAsia="Calibri"/>
        </w:rPr>
        <w:t xml:space="preserve"> kontrolního</w:t>
      </w:r>
      <w:r>
        <w:rPr>
          <w:rFonts w:eastAsia="Calibri"/>
        </w:rPr>
        <w:t xml:space="preserve"> závěru.</w:t>
      </w:r>
    </w:p>
    <w:p w14:paraId="7EF088E0" w14:textId="77777777" w:rsidR="007C42CD" w:rsidRPr="00AB4C92" w:rsidRDefault="007C42CD" w:rsidP="00AB4C92">
      <w:pPr>
        <w:rPr>
          <w:rFonts w:eastAsia="Calibri"/>
        </w:rPr>
      </w:pPr>
    </w:p>
    <w:p w14:paraId="6CBFF71A" w14:textId="77777777" w:rsidR="0041507F" w:rsidRDefault="00A26BD8" w:rsidP="00C05E4C">
      <w:pPr>
        <w:pStyle w:val="Nadpis2"/>
      </w:pPr>
      <w:r w:rsidRPr="00AB4C92">
        <w:t xml:space="preserve">Soulad prověřovaných transakcí s ostatními právními předpisy </w:t>
      </w:r>
    </w:p>
    <w:p w14:paraId="1B7798DC" w14:textId="50F6E1A9" w:rsidR="00377009" w:rsidRPr="00BC1CE5" w:rsidRDefault="00A26BD8" w:rsidP="00BC1CE5">
      <w:r w:rsidRPr="00BC1CE5">
        <w:t xml:space="preserve">U vybraných transakcí prověřil </w:t>
      </w:r>
      <w:r w:rsidR="0042611F" w:rsidRPr="00BC1CE5">
        <w:t xml:space="preserve">NKÚ </w:t>
      </w:r>
      <w:r w:rsidRPr="00BC1CE5">
        <w:t>soulad s vybranými ustanoveními právních předpisů, které nemají přímou vazbu na správnost účetního a rozpočtového vykázání prověřovaných operací (nakládání s</w:t>
      </w:r>
      <w:r w:rsidR="00F564CC">
        <w:t> </w:t>
      </w:r>
      <w:r w:rsidRPr="00BC1CE5">
        <w:t>majetkem</w:t>
      </w:r>
      <w:r w:rsidR="00F564CC">
        <w:t xml:space="preserve">, </w:t>
      </w:r>
      <w:r w:rsidRPr="00BC1CE5">
        <w:t>porušení rozpočtové kázně</w:t>
      </w:r>
      <w:r w:rsidR="00FF0D38">
        <w:t xml:space="preserve"> či </w:t>
      </w:r>
      <w:r w:rsidR="00F564CC">
        <w:t>provádění finanční kontroly</w:t>
      </w:r>
      <w:r w:rsidRPr="00BC1CE5">
        <w:t>).</w:t>
      </w:r>
    </w:p>
    <w:p w14:paraId="562FDF80" w14:textId="77777777" w:rsidR="00BE69DD" w:rsidRPr="00BC1CE5" w:rsidRDefault="00BE69DD" w:rsidP="00BC1CE5"/>
    <w:p w14:paraId="059E1875" w14:textId="77777777" w:rsidR="00377009" w:rsidRDefault="00A26BD8" w:rsidP="00BE69DD">
      <w:pPr>
        <w:pStyle w:val="Zkladntext2"/>
        <w:shd w:val="clear" w:color="auto" w:fill="DEEAF6" w:themeFill="accent1" w:themeFillTint="33"/>
        <w:spacing w:line="240" w:lineRule="auto"/>
        <w:rPr>
          <w:rFonts w:asciiTheme="minorHAnsi" w:hAnsiTheme="minorHAnsi" w:cstheme="minorHAnsi"/>
          <w:b/>
          <w:color w:val="000000"/>
          <w:lang w:val="cs-CZ"/>
        </w:rPr>
      </w:pPr>
      <w:r>
        <w:rPr>
          <w:rFonts w:asciiTheme="minorHAnsi" w:hAnsiTheme="minorHAnsi" w:cstheme="minorHAnsi"/>
          <w:b/>
          <w:color w:val="000000"/>
          <w:lang w:val="cs-CZ"/>
        </w:rPr>
        <w:t>NKÚ</w:t>
      </w:r>
      <w:r w:rsidRPr="00460D8B">
        <w:rPr>
          <w:rFonts w:asciiTheme="minorHAnsi" w:hAnsiTheme="minorHAnsi" w:cstheme="minorHAnsi"/>
          <w:b/>
          <w:color w:val="000000"/>
          <w:lang w:val="cs-CZ"/>
        </w:rPr>
        <w:t xml:space="preserve"> nezjistil žádné skutečnosti svědčící o tom, že vybrané transakce nebyly realizovány </w:t>
      </w:r>
      <w:r w:rsidR="002A12E7">
        <w:rPr>
          <w:rFonts w:asciiTheme="minorHAnsi" w:hAnsiTheme="minorHAnsi" w:cstheme="minorHAnsi"/>
          <w:b/>
          <w:color w:val="000000"/>
          <w:lang w:val="cs-CZ"/>
        </w:rPr>
        <w:br/>
      </w:r>
      <w:r w:rsidRPr="00460D8B">
        <w:rPr>
          <w:rFonts w:asciiTheme="minorHAnsi" w:hAnsiTheme="minorHAnsi" w:cstheme="minorHAnsi"/>
          <w:b/>
          <w:color w:val="000000"/>
          <w:lang w:val="cs-CZ"/>
        </w:rPr>
        <w:t>v souladu s příslušnými právními předpisy.</w:t>
      </w:r>
    </w:p>
    <w:p w14:paraId="1D1CE3A6" w14:textId="77777777" w:rsidR="00BE69DD" w:rsidRPr="00460D8B" w:rsidRDefault="00BE69DD" w:rsidP="00BE69DD">
      <w:pPr>
        <w:pStyle w:val="Zkladntext2"/>
        <w:spacing w:line="240" w:lineRule="auto"/>
        <w:rPr>
          <w:rFonts w:asciiTheme="minorHAnsi" w:hAnsiTheme="minorHAnsi" w:cstheme="minorHAnsi"/>
          <w:b/>
          <w:color w:val="000000"/>
          <w:lang w:val="cs-CZ"/>
        </w:rPr>
      </w:pPr>
    </w:p>
    <w:p w14:paraId="7856120C" w14:textId="3D2B1ADF" w:rsidR="0041507F" w:rsidRPr="00984FAE" w:rsidRDefault="00A26BD8" w:rsidP="00C05E4C">
      <w:pPr>
        <w:pStyle w:val="Nadpis2"/>
      </w:pPr>
      <w:r w:rsidRPr="00984FAE">
        <w:t xml:space="preserve">Vyhodnocení opatření </w:t>
      </w:r>
      <w:r w:rsidR="00FA461D">
        <w:t xml:space="preserve">přijatých </w:t>
      </w:r>
      <w:r w:rsidRPr="00984FAE">
        <w:t>k nápravě nedostatků</w:t>
      </w:r>
      <w:r w:rsidR="00E14D56">
        <w:t xml:space="preserve"> zjištěných </w:t>
      </w:r>
      <w:r w:rsidRPr="00984FAE">
        <w:t>kontrolní akc</w:t>
      </w:r>
      <w:r w:rsidR="00E14D56">
        <w:t>í</w:t>
      </w:r>
      <w:r w:rsidRPr="00984FAE">
        <w:t xml:space="preserve"> NKÚ č.</w:t>
      </w:r>
      <w:r w:rsidR="00E14D56">
        <w:t> </w:t>
      </w:r>
      <w:r w:rsidRPr="00984FAE">
        <w:t>15/35</w:t>
      </w:r>
    </w:p>
    <w:p w14:paraId="18FF3FC9" w14:textId="0400C614" w:rsidR="00D93728" w:rsidRDefault="00A45B53" w:rsidP="00D53A28">
      <w:pPr>
        <w:shd w:val="clear" w:color="auto" w:fill="DEEAF6" w:themeFill="accent1" w:themeFillTint="33"/>
      </w:pPr>
      <w:r w:rsidRPr="00C0189B">
        <w:rPr>
          <w:rFonts w:eastAsia="Calibri" w:cstheme="minorHAnsi"/>
        </w:rPr>
        <w:t>Vláda ČR uložila svým usnesením ze dne 5. prosince 2016 č. 1083</w:t>
      </w:r>
      <w:r w:rsidRPr="00C0189B">
        <w:rPr>
          <w:rStyle w:val="Znakapoznpodarou"/>
          <w:rFonts w:eastAsia="Calibri" w:cstheme="minorHAnsi"/>
        </w:rPr>
        <w:footnoteReference w:id="3"/>
      </w:r>
      <w:r w:rsidRPr="00C0189B">
        <w:rPr>
          <w:rFonts w:eastAsia="Calibri" w:cstheme="minorHAnsi"/>
        </w:rPr>
        <w:t xml:space="preserve"> ministryni školství, mládeže a tělovýchovy realizovat celkem sedm opatření k nápravě zjištění uvedených v kontrolním závěru z kontrolní akce NKÚ č. 15/35, MŠMT</w:t>
      </w:r>
      <w:r w:rsidR="00E14D56">
        <w:rPr>
          <w:rFonts w:eastAsia="Calibri" w:cstheme="minorHAnsi"/>
        </w:rPr>
        <w:t xml:space="preserve"> z toho</w:t>
      </w:r>
      <w:r w:rsidRPr="00C0189B">
        <w:rPr>
          <w:rFonts w:eastAsia="Calibri" w:cstheme="minorHAnsi"/>
        </w:rPr>
        <w:t xml:space="preserve"> realizovalo dvě opatření.</w:t>
      </w:r>
      <w:r w:rsidR="00A424C2">
        <w:rPr>
          <w:rFonts w:cstheme="minorHAnsi"/>
          <w:b/>
        </w:rPr>
        <w:t xml:space="preserve"> </w:t>
      </w:r>
      <w:r w:rsidR="00E14D56">
        <w:rPr>
          <w:rFonts w:cstheme="minorHAnsi"/>
          <w:b/>
        </w:rPr>
        <w:t>D</w:t>
      </w:r>
      <w:r w:rsidR="00A424C2">
        <w:rPr>
          <w:rFonts w:cstheme="minorHAnsi"/>
          <w:b/>
        </w:rPr>
        <w:t>alších</w:t>
      </w:r>
      <w:r w:rsidR="00C32813" w:rsidRPr="00BE69DD">
        <w:rPr>
          <w:rFonts w:cstheme="minorHAnsi"/>
          <w:b/>
        </w:rPr>
        <w:t xml:space="preserve"> 5</w:t>
      </w:r>
      <w:r w:rsidR="00E14D56">
        <w:rPr>
          <w:rFonts w:cstheme="minorHAnsi"/>
          <w:b/>
        </w:rPr>
        <w:t> </w:t>
      </w:r>
      <w:r w:rsidR="00154448">
        <w:rPr>
          <w:rFonts w:cstheme="minorHAnsi"/>
          <w:b/>
        </w:rPr>
        <w:t xml:space="preserve">opatření </w:t>
      </w:r>
      <w:r w:rsidR="00C32813" w:rsidRPr="00BE69DD">
        <w:rPr>
          <w:rFonts w:cstheme="minorHAnsi"/>
          <w:b/>
        </w:rPr>
        <w:t xml:space="preserve">již </w:t>
      </w:r>
      <w:r w:rsidR="00A424C2" w:rsidRPr="00BE69DD">
        <w:rPr>
          <w:rFonts w:cstheme="minorHAnsi"/>
          <w:b/>
        </w:rPr>
        <w:t>nebyl</w:t>
      </w:r>
      <w:r w:rsidR="00E14D56">
        <w:rPr>
          <w:rFonts w:cstheme="minorHAnsi"/>
          <w:b/>
        </w:rPr>
        <w:t>o</w:t>
      </w:r>
      <w:r w:rsidR="00A424C2" w:rsidRPr="00BE69DD">
        <w:rPr>
          <w:rFonts w:cstheme="minorHAnsi"/>
          <w:b/>
        </w:rPr>
        <w:t xml:space="preserve"> </w:t>
      </w:r>
      <w:r w:rsidR="00C32813" w:rsidRPr="00BE69DD">
        <w:rPr>
          <w:rFonts w:cstheme="minorHAnsi"/>
          <w:b/>
        </w:rPr>
        <w:t>pro rok 2019 relevantní</w:t>
      </w:r>
      <w:r w:rsidR="00E14D56">
        <w:rPr>
          <w:rFonts w:cstheme="minorHAnsi"/>
          <w:b/>
        </w:rPr>
        <w:t>ch</w:t>
      </w:r>
      <w:r w:rsidR="00C32813" w:rsidRPr="00BE69DD">
        <w:rPr>
          <w:rFonts w:cstheme="minorHAnsi"/>
          <w:b/>
        </w:rPr>
        <w:t>.</w:t>
      </w:r>
      <w:r w:rsidR="00BE77A0">
        <w:rPr>
          <w:rFonts w:cstheme="minorHAnsi"/>
          <w:b/>
        </w:rPr>
        <w:t xml:space="preserve"> </w:t>
      </w:r>
      <w:r w:rsidR="00BE77A0" w:rsidRPr="00BE69DD">
        <w:rPr>
          <w:b/>
        </w:rPr>
        <w:t xml:space="preserve">MŠMT </w:t>
      </w:r>
      <w:r w:rsidR="00BE77A0" w:rsidRPr="00BE69DD">
        <w:rPr>
          <w:rFonts w:cstheme="minorHAnsi"/>
          <w:b/>
        </w:rPr>
        <w:t>reagovalo na všechna zjištění</w:t>
      </w:r>
      <w:r>
        <w:rPr>
          <w:rFonts w:cstheme="minorHAnsi"/>
          <w:b/>
        </w:rPr>
        <w:t xml:space="preserve"> NKÚ</w:t>
      </w:r>
      <w:r w:rsidR="00BE77A0">
        <w:rPr>
          <w:rFonts w:cstheme="minorHAnsi"/>
          <w:b/>
        </w:rPr>
        <w:t>.</w:t>
      </w:r>
    </w:p>
    <w:p w14:paraId="133ECB61" w14:textId="77777777" w:rsidR="00A47159" w:rsidRDefault="00A47159" w:rsidP="00D93728">
      <w:pPr>
        <w:pStyle w:val="Nadpis1"/>
        <w:spacing w:after="160" w:line="257" w:lineRule="auto"/>
        <w:sectPr w:rsidR="00A47159" w:rsidSect="0038769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B0CF50B" w14:textId="77777777" w:rsidR="00C125CA" w:rsidRDefault="00A26BD8" w:rsidP="00D93728">
      <w:pPr>
        <w:pStyle w:val="Nadpis1"/>
        <w:spacing w:after="160" w:line="257" w:lineRule="auto"/>
      </w:pPr>
      <w:r>
        <w:lastRenderedPageBreak/>
        <w:t>II. Informace o kontrolované oblasti</w:t>
      </w:r>
    </w:p>
    <w:p w14:paraId="6B2198A9" w14:textId="15EBF20F" w:rsidR="00F6053D" w:rsidRDefault="00A26BD8" w:rsidP="00D45AE4">
      <w:pPr>
        <w:rPr>
          <w:szCs w:val="23"/>
        </w:rPr>
      </w:pPr>
      <w:r>
        <w:t xml:space="preserve">MŠMT bylo zřízeno zákonem č. 2/1969 Sb., o zřízení ministerstev a jiných ústředních orgánů státní správy České republiky. </w:t>
      </w:r>
      <w:r w:rsidRPr="00460D8B">
        <w:t>Dle tohoto zákona je MŠMT ústředním orgánem pro předškolní zařízení, školská zařízení, základní školy, střední školy a vysoké školy, pro vědní politiku, výzkum a vývoj, včetně mezinárodní spolupráce v této oblasti, a pro vědecké hodnosti, pro státní péči o děti, mládež a tělesnou výchovu. Nejvýznamnější oblastí v gesci MŠMT je regionální školství, které je upraveno především zákonem č. 561/2004 Sb., o předškolním, základním, středním</w:t>
      </w:r>
      <w:r w:rsidR="00BB0A91">
        <w:t>,</w:t>
      </w:r>
      <w:r w:rsidRPr="00460D8B">
        <w:t xml:space="preserve"> vyšším odborném </w:t>
      </w:r>
      <w:r w:rsidR="008D77F1">
        <w:t>a jiném vzdělávání (školský zákon)</w:t>
      </w:r>
      <w:r w:rsidRPr="00460D8B">
        <w:t xml:space="preserve">, ve znění pozdějších předpisů. </w:t>
      </w:r>
      <w:r w:rsidR="00CA21D2">
        <w:rPr>
          <w:szCs w:val="23"/>
        </w:rPr>
        <w:t xml:space="preserve">MŠMT je také řídicím orgánem </w:t>
      </w:r>
      <w:r w:rsidR="0086404F">
        <w:rPr>
          <w:szCs w:val="23"/>
        </w:rPr>
        <w:t>o</w:t>
      </w:r>
      <w:r w:rsidRPr="00460D8B">
        <w:rPr>
          <w:szCs w:val="23"/>
        </w:rPr>
        <w:t xml:space="preserve">peračního programu </w:t>
      </w:r>
      <w:r w:rsidRPr="00460D8B">
        <w:rPr>
          <w:i/>
          <w:iCs/>
          <w:szCs w:val="23"/>
        </w:rPr>
        <w:t xml:space="preserve">Výzkum, vývoj a vzdělávání </w:t>
      </w:r>
      <w:r w:rsidRPr="00460D8B">
        <w:rPr>
          <w:szCs w:val="23"/>
        </w:rPr>
        <w:t>pro programové období 2014</w:t>
      </w:r>
      <w:r w:rsidR="0086404F">
        <w:rPr>
          <w:szCs w:val="23"/>
        </w:rPr>
        <w:t>–</w:t>
      </w:r>
      <w:r w:rsidRPr="00460D8B">
        <w:rPr>
          <w:szCs w:val="23"/>
        </w:rPr>
        <w:t>2020</w:t>
      </w:r>
      <w:r>
        <w:rPr>
          <w:rStyle w:val="Znakapoznpodarou"/>
          <w:szCs w:val="23"/>
        </w:rPr>
        <w:footnoteReference w:id="4"/>
      </w:r>
      <w:r w:rsidR="00F564CC">
        <w:rPr>
          <w:szCs w:val="23"/>
        </w:rPr>
        <w:t xml:space="preserve"> (dále také „OP VVV“)</w:t>
      </w:r>
      <w:r w:rsidRPr="00460D8B">
        <w:rPr>
          <w:szCs w:val="23"/>
        </w:rPr>
        <w:t>.</w:t>
      </w:r>
    </w:p>
    <w:p w14:paraId="02EA7A5E" w14:textId="77777777" w:rsidR="00BF5CB8" w:rsidRDefault="00BF5CB8" w:rsidP="00D45AE4">
      <w:pPr>
        <w:rPr>
          <w:szCs w:val="23"/>
        </w:rPr>
      </w:pPr>
    </w:p>
    <w:p w14:paraId="78651C12" w14:textId="17B1E5EB" w:rsidR="00C0189B" w:rsidRPr="00E4102A" w:rsidRDefault="00C0189B" w:rsidP="00C0189B">
      <w:pPr>
        <w:rPr>
          <w:rFonts w:ascii="Calibri" w:eastAsia="Calibri" w:hAnsi="Calibri"/>
        </w:rPr>
      </w:pPr>
      <w:r>
        <w:t>Podle zákona č. 219/2000 Sb., o majetku České republiky a jejím vystupování v právních vztazích, je MŠMT organizační složkou státu a dle zákona č. 563/1991 Sb., o účetnictví, vybranou účetní jednotkou.</w:t>
      </w:r>
      <w:r w:rsidR="007C1261">
        <w:t xml:space="preserve"> </w:t>
      </w:r>
      <w:r w:rsidRPr="004C10EC">
        <w:rPr>
          <w:rFonts w:ascii="Calibri" w:eastAsia="Calibri" w:hAnsi="Calibri"/>
        </w:rPr>
        <w:t xml:space="preserve">MŠMT je ústředním orgánem </w:t>
      </w:r>
      <w:r w:rsidR="006D1A94">
        <w:rPr>
          <w:rFonts w:ascii="Calibri" w:eastAsia="Calibri" w:hAnsi="Calibri"/>
        </w:rPr>
        <w:t>státní správy a podle zákona č. </w:t>
      </w:r>
      <w:r w:rsidRPr="004C10EC">
        <w:rPr>
          <w:rFonts w:ascii="Calibri" w:eastAsia="Calibri" w:hAnsi="Calibri"/>
        </w:rPr>
        <w:t>218/2000 Sb., o rozpočtových pravidlech a o změně některých souvisejících zákonů (rozpočtová pravidla), je správcem rozpočtové kapitoly 333</w:t>
      </w:r>
      <w:r w:rsidR="007C1261">
        <w:rPr>
          <w:rFonts w:ascii="Calibri" w:eastAsia="Calibri" w:hAnsi="Calibri"/>
        </w:rPr>
        <w:t xml:space="preserve"> – </w:t>
      </w:r>
      <w:r w:rsidRPr="007C1261">
        <w:rPr>
          <w:rFonts w:ascii="Calibri" w:eastAsia="Calibri" w:hAnsi="Calibri"/>
          <w:i/>
        </w:rPr>
        <w:t>M</w:t>
      </w:r>
      <w:r w:rsidR="006D1A94">
        <w:rPr>
          <w:rFonts w:ascii="Calibri" w:eastAsia="Calibri" w:hAnsi="Calibri"/>
          <w:i/>
        </w:rPr>
        <w:t>inisterstvo školství, mládeže a </w:t>
      </w:r>
      <w:r w:rsidRPr="007C1261">
        <w:rPr>
          <w:rFonts w:ascii="Calibri" w:eastAsia="Calibri" w:hAnsi="Calibri"/>
          <w:i/>
        </w:rPr>
        <w:t>tělovýchovy</w:t>
      </w:r>
      <w:r w:rsidRPr="004C10EC">
        <w:rPr>
          <w:rFonts w:ascii="Calibri" w:eastAsia="Calibri" w:hAnsi="Calibri"/>
        </w:rPr>
        <w:t>.</w:t>
      </w:r>
    </w:p>
    <w:p w14:paraId="59F2DA06" w14:textId="77777777" w:rsidR="001C6712" w:rsidRDefault="001C6712" w:rsidP="00D45AE4"/>
    <w:p w14:paraId="54A2EFEB" w14:textId="77777777" w:rsidR="001C6712" w:rsidRDefault="00A26BD8" w:rsidP="00D45AE4">
      <w:r>
        <w:rPr>
          <w:szCs w:val="23"/>
        </w:rPr>
        <w:t xml:space="preserve">MŠMT bylo k 31. </w:t>
      </w:r>
      <w:r w:rsidR="00B52D6B">
        <w:rPr>
          <w:szCs w:val="23"/>
        </w:rPr>
        <w:t>prosinci</w:t>
      </w:r>
      <w:r>
        <w:rPr>
          <w:szCs w:val="23"/>
        </w:rPr>
        <w:t xml:space="preserve"> 2019 zřizovatelem </w:t>
      </w:r>
      <w:r w:rsidR="00076991">
        <w:t>2</w:t>
      </w:r>
      <w:r w:rsidRPr="00460D8B">
        <w:t xml:space="preserve"> </w:t>
      </w:r>
      <w:r w:rsidR="00076991">
        <w:t>organizačních složek státu</w:t>
      </w:r>
      <w:r w:rsidRPr="00460D8B">
        <w:t xml:space="preserve"> a </w:t>
      </w:r>
      <w:r w:rsidR="00076991">
        <w:t>78</w:t>
      </w:r>
      <w:r>
        <w:t xml:space="preserve"> </w:t>
      </w:r>
      <w:r w:rsidRPr="00460D8B">
        <w:t>příspěvkových organizací.</w:t>
      </w:r>
    </w:p>
    <w:p w14:paraId="09DAFF1D" w14:textId="77777777" w:rsidR="00BF5CB8" w:rsidRDefault="00BF5CB8" w:rsidP="00D45AE4">
      <w:pPr>
        <w:pStyle w:val="Titulek"/>
      </w:pPr>
    </w:p>
    <w:p w14:paraId="3179AEDD" w14:textId="5FBCC375" w:rsidR="000953E1" w:rsidRPr="000953E1" w:rsidRDefault="00A26BD8" w:rsidP="00D45AE4">
      <w:pPr>
        <w:pStyle w:val="Titulek"/>
      </w:pPr>
      <w:r w:rsidRPr="000953E1">
        <w:t xml:space="preserve">Tabulka č. </w:t>
      </w:r>
      <w:r w:rsidR="00E1426C">
        <w:fldChar w:fldCharType="begin"/>
      </w:r>
      <w:r>
        <w:instrText xml:space="preserve"> SEQ Tabulka_č._ \* ARABIC </w:instrText>
      </w:r>
      <w:r w:rsidR="00E1426C">
        <w:fldChar w:fldCharType="separate"/>
      </w:r>
      <w:r w:rsidR="00582779">
        <w:rPr>
          <w:noProof/>
        </w:rPr>
        <w:t>1</w:t>
      </w:r>
      <w:r w:rsidR="00E1426C">
        <w:rPr>
          <w:noProof/>
        </w:rPr>
        <w:fldChar w:fldCharType="end"/>
      </w:r>
      <w:r w:rsidRPr="000953E1">
        <w:t xml:space="preserve">: </w:t>
      </w:r>
      <w:r>
        <w:t>Údaje ÚZ – rozvaha a výkaz zisku a ztráty, údaje za běžné účetní období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4746"/>
      </w:tblGrid>
      <w:tr w:rsidR="004026AF" w14:paraId="3B285E41" w14:textId="77777777" w:rsidTr="009F5F82">
        <w:trPr>
          <w:trHeight w:val="300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24361806" w14:textId="77777777" w:rsidR="000953E1" w:rsidRPr="00BF5CB8" w:rsidRDefault="00A26BD8" w:rsidP="00BF5CB8">
            <w:pPr>
              <w:jc w:val="center"/>
              <w:rPr>
                <w:b/>
                <w:sz w:val="22"/>
                <w:lang w:eastAsia="cs-CZ"/>
              </w:rPr>
            </w:pPr>
            <w:r w:rsidRPr="00BF5CB8">
              <w:rPr>
                <w:b/>
                <w:sz w:val="22"/>
                <w:lang w:eastAsia="cs-CZ"/>
              </w:rPr>
              <w:t>Ukazatel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A445973" w14:textId="77777777" w:rsidR="000953E1" w:rsidRPr="00BF5CB8" w:rsidRDefault="00A26BD8" w:rsidP="00BF5CB8">
            <w:pPr>
              <w:jc w:val="center"/>
              <w:rPr>
                <w:b/>
                <w:sz w:val="22"/>
                <w:lang w:eastAsia="cs-CZ"/>
              </w:rPr>
            </w:pPr>
            <w:r w:rsidRPr="00BF5CB8">
              <w:rPr>
                <w:b/>
                <w:sz w:val="22"/>
                <w:lang w:eastAsia="cs-CZ"/>
              </w:rPr>
              <w:t>Částka v Kč</w:t>
            </w:r>
          </w:p>
        </w:tc>
      </w:tr>
      <w:tr w:rsidR="004026AF" w14:paraId="394D0F3B" w14:textId="77777777" w:rsidTr="009F5F82">
        <w:trPr>
          <w:trHeight w:val="300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669" w14:textId="77777777" w:rsidR="000953E1" w:rsidRPr="00BF5CB8" w:rsidRDefault="00A26BD8" w:rsidP="00D45AE4">
            <w:pPr>
              <w:rPr>
                <w:sz w:val="22"/>
                <w:lang w:eastAsia="cs-CZ"/>
              </w:rPr>
            </w:pPr>
            <w:bookmarkStart w:id="1" w:name="RANGE!A2"/>
            <w:r w:rsidRPr="00BF5CB8">
              <w:rPr>
                <w:sz w:val="22"/>
                <w:lang w:eastAsia="cs-CZ"/>
              </w:rPr>
              <w:t>Aktiva netto</w:t>
            </w:r>
            <w:bookmarkEnd w:id="1"/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A8F8" w14:textId="77777777" w:rsidR="000953E1" w:rsidRPr="00BF5CB8" w:rsidRDefault="00A26BD8" w:rsidP="00C95BB2">
            <w:pPr>
              <w:ind w:right="57"/>
              <w:jc w:val="righ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251 590 153 903,38</w:t>
            </w:r>
          </w:p>
        </w:tc>
      </w:tr>
      <w:tr w:rsidR="004026AF" w14:paraId="411BF831" w14:textId="77777777" w:rsidTr="009F5F82">
        <w:trPr>
          <w:trHeight w:val="300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BCE" w14:textId="77777777" w:rsidR="000953E1" w:rsidRPr="00BF5CB8" w:rsidRDefault="00A26BD8" w:rsidP="00D45AE4">
            <w:pPr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 xml:space="preserve">Pasiva 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1B7" w14:textId="77777777" w:rsidR="000953E1" w:rsidRPr="00BF5CB8" w:rsidRDefault="00A26BD8" w:rsidP="00C95BB2">
            <w:pPr>
              <w:ind w:right="57"/>
              <w:jc w:val="righ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251 590 153 903,38</w:t>
            </w:r>
          </w:p>
        </w:tc>
      </w:tr>
      <w:tr w:rsidR="004026AF" w14:paraId="2CC76962" w14:textId="77777777" w:rsidTr="009F5F82">
        <w:trPr>
          <w:trHeight w:val="300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3A0D" w14:textId="77777777" w:rsidR="000953E1" w:rsidRPr="00BF5CB8" w:rsidRDefault="00A26BD8" w:rsidP="00D45AE4">
            <w:pPr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 xml:space="preserve">Náklady 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526" w14:textId="77777777" w:rsidR="000953E1" w:rsidRPr="00BF5CB8" w:rsidRDefault="00A26BD8" w:rsidP="00C95BB2">
            <w:pPr>
              <w:ind w:right="57"/>
              <w:jc w:val="righ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209 745 470 984,46</w:t>
            </w:r>
          </w:p>
        </w:tc>
      </w:tr>
      <w:tr w:rsidR="004026AF" w14:paraId="3F1F355E" w14:textId="77777777" w:rsidTr="009F5F82">
        <w:trPr>
          <w:trHeight w:val="300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1A0" w14:textId="77777777" w:rsidR="000953E1" w:rsidRPr="00BF5CB8" w:rsidRDefault="00A26BD8" w:rsidP="00D45AE4">
            <w:pPr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 xml:space="preserve">Výnosy 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6CD6" w14:textId="77777777" w:rsidR="000953E1" w:rsidRPr="00BF5CB8" w:rsidRDefault="00A26BD8" w:rsidP="00C95BB2">
            <w:pPr>
              <w:ind w:right="57"/>
              <w:jc w:val="righ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11 106 017 629,27</w:t>
            </w:r>
          </w:p>
        </w:tc>
      </w:tr>
    </w:tbl>
    <w:p w14:paraId="2B4F3902" w14:textId="77777777" w:rsidR="000953E1" w:rsidRPr="00BF5CB8" w:rsidRDefault="00A26BD8" w:rsidP="001569F6">
      <w:pPr>
        <w:ind w:left="567" w:hanging="567"/>
        <w:rPr>
          <w:sz w:val="20"/>
        </w:rPr>
      </w:pPr>
      <w:r w:rsidRPr="00BF5CB8">
        <w:rPr>
          <w:b/>
          <w:sz w:val="20"/>
        </w:rPr>
        <w:t>Zdroj:</w:t>
      </w:r>
      <w:r w:rsidRPr="00BF5CB8">
        <w:rPr>
          <w:sz w:val="20"/>
        </w:rPr>
        <w:t xml:space="preserve"> </w:t>
      </w:r>
      <w:r w:rsidR="001569F6">
        <w:rPr>
          <w:sz w:val="20"/>
        </w:rPr>
        <w:tab/>
      </w:r>
      <w:r w:rsidRPr="00BF5CB8">
        <w:rPr>
          <w:sz w:val="20"/>
        </w:rPr>
        <w:t>ÚZ</w:t>
      </w:r>
      <w:r w:rsidR="00A24D08">
        <w:rPr>
          <w:sz w:val="20"/>
        </w:rPr>
        <w:t>.</w:t>
      </w:r>
    </w:p>
    <w:p w14:paraId="635E0ED1" w14:textId="0FD1EAB3" w:rsidR="001C6712" w:rsidRPr="00BF5CB8" w:rsidRDefault="00A26BD8" w:rsidP="005C1A0A">
      <w:pPr>
        <w:ind w:left="567" w:hanging="567"/>
        <w:rPr>
          <w:sz w:val="20"/>
        </w:rPr>
      </w:pPr>
      <w:r w:rsidRPr="00BF5CB8">
        <w:rPr>
          <w:b/>
          <w:sz w:val="20"/>
        </w:rPr>
        <w:t>Pozn.:</w:t>
      </w:r>
      <w:r w:rsidR="005F0833" w:rsidRPr="00BF5CB8">
        <w:rPr>
          <w:sz w:val="20"/>
        </w:rPr>
        <w:tab/>
      </w:r>
      <w:r w:rsidR="001569F6">
        <w:rPr>
          <w:sz w:val="20"/>
        </w:rPr>
        <w:t>A</w:t>
      </w:r>
      <w:r w:rsidRPr="00BF5CB8">
        <w:rPr>
          <w:sz w:val="20"/>
        </w:rPr>
        <w:t>ktiv</w:t>
      </w:r>
      <w:r w:rsidR="001569F6">
        <w:rPr>
          <w:sz w:val="20"/>
        </w:rPr>
        <w:t>a</w:t>
      </w:r>
      <w:r w:rsidRPr="00BF5CB8">
        <w:rPr>
          <w:sz w:val="20"/>
        </w:rPr>
        <w:t xml:space="preserve"> j</w:t>
      </w:r>
      <w:r w:rsidR="001569F6">
        <w:rPr>
          <w:sz w:val="20"/>
        </w:rPr>
        <w:t>sou</w:t>
      </w:r>
      <w:r w:rsidRPr="00BF5CB8">
        <w:rPr>
          <w:sz w:val="20"/>
        </w:rPr>
        <w:t xml:space="preserve"> </w:t>
      </w:r>
      <w:r w:rsidR="001569F6">
        <w:rPr>
          <w:sz w:val="20"/>
        </w:rPr>
        <w:t xml:space="preserve">v tabulce </w:t>
      </w:r>
      <w:r w:rsidRPr="00BF5CB8">
        <w:rPr>
          <w:sz w:val="20"/>
        </w:rPr>
        <w:t xml:space="preserve">uvedena v netto hodnotě, brutto hodnota aktiv byla k 31. </w:t>
      </w:r>
      <w:r w:rsidR="007C1231">
        <w:rPr>
          <w:sz w:val="20"/>
        </w:rPr>
        <w:t>prosinci</w:t>
      </w:r>
      <w:r w:rsidRPr="00BF5CB8">
        <w:rPr>
          <w:sz w:val="20"/>
        </w:rPr>
        <w:t xml:space="preserve"> 2019 ve výši 252 285 188 508,33 Kč.</w:t>
      </w:r>
    </w:p>
    <w:p w14:paraId="2A6B5E3D" w14:textId="77777777" w:rsidR="00BF5CB8" w:rsidRDefault="00BF5CB8" w:rsidP="00D45AE4">
      <w:pPr>
        <w:pStyle w:val="Titulek"/>
      </w:pPr>
    </w:p>
    <w:p w14:paraId="740B1CBA" w14:textId="77777777" w:rsidR="00327156" w:rsidRDefault="00327156">
      <w:pPr>
        <w:spacing w:after="160"/>
        <w:jc w:val="left"/>
        <w:rPr>
          <w:b/>
          <w:iCs/>
          <w:color w:val="000000" w:themeColor="text1"/>
        </w:rPr>
      </w:pPr>
      <w:r>
        <w:br w:type="page"/>
      </w:r>
    </w:p>
    <w:p w14:paraId="695A1237" w14:textId="452719B7" w:rsidR="00B8579C" w:rsidRDefault="00A26BD8" w:rsidP="002132D5">
      <w:pPr>
        <w:pStyle w:val="Titulek"/>
        <w:ind w:left="1332" w:hanging="1332"/>
        <w:jc w:val="left"/>
      </w:pPr>
      <w:r>
        <w:lastRenderedPageBreak/>
        <w:t xml:space="preserve">Tabulka č. </w:t>
      </w:r>
      <w:r w:rsidR="00E1426C">
        <w:fldChar w:fldCharType="begin"/>
      </w:r>
      <w:r>
        <w:instrText xml:space="preserve"> SEQ Tabulka_č._ \* ARABIC </w:instrText>
      </w:r>
      <w:r w:rsidR="00E1426C">
        <w:fldChar w:fldCharType="separate"/>
      </w:r>
      <w:r w:rsidR="00582779">
        <w:rPr>
          <w:noProof/>
        </w:rPr>
        <w:t>2</w:t>
      </w:r>
      <w:r w:rsidR="00E1426C">
        <w:rPr>
          <w:noProof/>
        </w:rPr>
        <w:fldChar w:fldCharType="end"/>
      </w:r>
      <w:r>
        <w:t xml:space="preserve">: </w:t>
      </w:r>
      <w:r w:rsidR="005639E6" w:rsidRPr="005639E6">
        <w:t xml:space="preserve">Údaje </w:t>
      </w:r>
      <w:r w:rsidR="005639E6">
        <w:t>MŠMT</w:t>
      </w:r>
      <w:r w:rsidR="005639E6" w:rsidRPr="005639E6">
        <w:t xml:space="preserve"> k 31. 12. 2019 – příloha – část </w:t>
      </w:r>
      <w:proofErr w:type="gramStart"/>
      <w:r w:rsidR="005639E6" w:rsidRPr="005639E6">
        <w:t>A.4.</w:t>
      </w:r>
      <w:proofErr w:type="gramEnd"/>
      <w:r w:rsidR="005639E6" w:rsidRPr="005639E6">
        <w:t xml:space="preserve"> </w:t>
      </w:r>
      <w:r w:rsidR="005639E6" w:rsidRPr="00E4102A">
        <w:rPr>
          <w:i/>
        </w:rPr>
        <w:t>Informace podle</w:t>
      </w:r>
      <w:r w:rsidR="009A29BC" w:rsidRPr="00E4102A">
        <w:rPr>
          <w:i/>
        </w:rPr>
        <w:t xml:space="preserve"> ustanovení </w:t>
      </w:r>
      <w:r w:rsidR="00EA664A" w:rsidRPr="00E4102A">
        <w:rPr>
          <w:i/>
        </w:rPr>
        <w:t>§ </w:t>
      </w:r>
      <w:r w:rsidR="005639E6" w:rsidRPr="00E4102A">
        <w:rPr>
          <w:i/>
        </w:rPr>
        <w:t>7 odst. 5 zákona č. 563/1991 Sb. o stavu účtů v knize podrozvahových účtů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2126"/>
      </w:tblGrid>
      <w:tr w:rsidR="004026AF" w14:paraId="443D81CC" w14:textId="77777777" w:rsidTr="00EA664A">
        <w:trPr>
          <w:trHeight w:val="340"/>
          <w:tblHeader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F79B18E" w14:textId="77777777" w:rsidR="00B8579C" w:rsidRPr="00BF5CB8" w:rsidRDefault="00A26BD8" w:rsidP="00BF5CB8">
            <w:pPr>
              <w:jc w:val="center"/>
              <w:rPr>
                <w:b/>
                <w:sz w:val="22"/>
                <w:lang w:eastAsia="cs-CZ"/>
              </w:rPr>
            </w:pPr>
            <w:r w:rsidRPr="00BF5CB8">
              <w:rPr>
                <w:b/>
                <w:sz w:val="22"/>
                <w:lang w:eastAsia="cs-CZ"/>
              </w:rPr>
              <w:t>Položka výkazu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A9D6BCE" w14:textId="77777777" w:rsidR="00B8579C" w:rsidRPr="00BF5CB8" w:rsidRDefault="00A26BD8" w:rsidP="00BF5CB8">
            <w:pPr>
              <w:jc w:val="center"/>
              <w:rPr>
                <w:b/>
                <w:sz w:val="22"/>
                <w:lang w:eastAsia="cs-CZ"/>
              </w:rPr>
            </w:pPr>
            <w:r w:rsidRPr="00BF5CB8">
              <w:rPr>
                <w:b/>
                <w:sz w:val="22"/>
                <w:lang w:eastAsia="cs-CZ"/>
              </w:rPr>
              <w:t>Částka v Kč</w:t>
            </w:r>
          </w:p>
        </w:tc>
      </w:tr>
      <w:tr w:rsidR="004026AF" w14:paraId="134E1631" w14:textId="77777777" w:rsidTr="00EA664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F49" w14:textId="77777777" w:rsidR="00B8579C" w:rsidRPr="00BF5CB8" w:rsidRDefault="00A26BD8" w:rsidP="00D45AE4">
            <w:pPr>
              <w:rPr>
                <w:sz w:val="22"/>
                <w:lang w:eastAsia="cs-CZ"/>
              </w:rPr>
            </w:pPr>
            <w:proofErr w:type="gramStart"/>
            <w:r w:rsidRPr="00BF5CB8">
              <w:rPr>
                <w:sz w:val="22"/>
                <w:lang w:eastAsia="cs-CZ"/>
              </w:rPr>
              <w:t>P.I.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94A2" w14:textId="77777777" w:rsidR="00B8579C" w:rsidRPr="00BF5CB8" w:rsidRDefault="00A26BD8" w:rsidP="00D45AE4">
            <w:pPr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Majetek a závazky účetní jednotky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EC6" w14:textId="77777777" w:rsidR="00B8579C" w:rsidRPr="00BF5CB8" w:rsidRDefault="00A26BD8" w:rsidP="00C95BB2">
            <w:pPr>
              <w:ind w:right="57"/>
              <w:jc w:val="righ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14 301 982,27</w:t>
            </w:r>
          </w:p>
        </w:tc>
      </w:tr>
      <w:tr w:rsidR="004026AF" w14:paraId="34F00343" w14:textId="77777777" w:rsidTr="00EA664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1B7C" w14:textId="77777777" w:rsidR="00B8579C" w:rsidRPr="00BF5CB8" w:rsidRDefault="00A26BD8" w:rsidP="00D45AE4">
            <w:pPr>
              <w:rPr>
                <w:sz w:val="22"/>
                <w:lang w:eastAsia="cs-CZ"/>
              </w:rPr>
            </w:pPr>
            <w:proofErr w:type="gramStart"/>
            <w:r w:rsidRPr="00BF5CB8">
              <w:rPr>
                <w:sz w:val="22"/>
                <w:lang w:eastAsia="cs-CZ"/>
              </w:rPr>
              <w:t>P.II</w:t>
            </w:r>
            <w:proofErr w:type="gramEnd"/>
            <w:r w:rsidRPr="00BF5CB8">
              <w:rPr>
                <w:sz w:val="22"/>
                <w:lang w:eastAsia="cs-CZ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3B0A" w14:textId="77777777" w:rsidR="00B8579C" w:rsidRPr="00BF5CB8" w:rsidRDefault="00A26BD8" w:rsidP="00E4102A">
            <w:pPr>
              <w:jc w:val="lef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Krátkodobé podmíněné pohledávky z transferů a krátkodobé podmíněné závazky z transferů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C40D" w14:textId="77777777" w:rsidR="00B8579C" w:rsidRPr="00BF5CB8" w:rsidRDefault="00A26BD8" w:rsidP="00C95BB2">
            <w:pPr>
              <w:ind w:right="57"/>
              <w:jc w:val="righ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153 963 729,18</w:t>
            </w:r>
          </w:p>
        </w:tc>
      </w:tr>
      <w:tr w:rsidR="004026AF" w14:paraId="311FDD6B" w14:textId="77777777" w:rsidTr="00EA664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E153" w14:textId="77777777" w:rsidR="00B8579C" w:rsidRPr="00BF5CB8" w:rsidRDefault="00A26BD8" w:rsidP="00D45AE4">
            <w:pPr>
              <w:rPr>
                <w:sz w:val="22"/>
                <w:lang w:eastAsia="cs-CZ"/>
              </w:rPr>
            </w:pPr>
            <w:proofErr w:type="gramStart"/>
            <w:r w:rsidRPr="00BF5CB8">
              <w:rPr>
                <w:sz w:val="22"/>
                <w:lang w:eastAsia="cs-CZ"/>
              </w:rPr>
              <w:t>P.III</w:t>
            </w:r>
            <w:proofErr w:type="gramEnd"/>
            <w:r w:rsidRPr="00BF5CB8">
              <w:rPr>
                <w:sz w:val="22"/>
                <w:lang w:eastAsia="cs-CZ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200" w14:textId="77777777" w:rsidR="00B8579C" w:rsidRPr="00BF5CB8" w:rsidRDefault="00A26BD8" w:rsidP="00E4102A">
            <w:pPr>
              <w:jc w:val="lef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Podmíněné pohledávky z důvodu užívání majetku jinou osobou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05CA" w14:textId="77777777" w:rsidR="00B8579C" w:rsidRPr="00BF5CB8" w:rsidRDefault="00A26BD8" w:rsidP="00C95BB2">
            <w:pPr>
              <w:ind w:right="57"/>
              <w:jc w:val="righ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17 970 860,71</w:t>
            </w:r>
          </w:p>
        </w:tc>
      </w:tr>
      <w:tr w:rsidR="004026AF" w14:paraId="10FB329E" w14:textId="77777777" w:rsidTr="00EA664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0CD7" w14:textId="77777777" w:rsidR="00B8579C" w:rsidRPr="00BF5CB8" w:rsidRDefault="00A26BD8" w:rsidP="00D45AE4">
            <w:pPr>
              <w:rPr>
                <w:sz w:val="22"/>
                <w:lang w:eastAsia="cs-CZ"/>
              </w:rPr>
            </w:pPr>
            <w:proofErr w:type="gramStart"/>
            <w:r w:rsidRPr="00BF5CB8">
              <w:rPr>
                <w:sz w:val="22"/>
                <w:lang w:eastAsia="cs-CZ"/>
              </w:rPr>
              <w:t>P.IV</w:t>
            </w:r>
            <w:proofErr w:type="gramEnd"/>
            <w:r w:rsidRPr="00BF5CB8">
              <w:rPr>
                <w:sz w:val="22"/>
                <w:lang w:eastAsia="cs-CZ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6C13" w14:textId="77777777" w:rsidR="00B8579C" w:rsidRPr="00BF5CB8" w:rsidRDefault="00A26BD8" w:rsidP="00E4102A">
            <w:pPr>
              <w:jc w:val="lef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Další podmíněné pohledávky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1D2" w14:textId="77777777" w:rsidR="00B8579C" w:rsidRPr="00BF5CB8" w:rsidRDefault="00A26BD8" w:rsidP="00C95BB2">
            <w:pPr>
              <w:ind w:right="57"/>
              <w:jc w:val="righ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47 981 869,25</w:t>
            </w:r>
          </w:p>
        </w:tc>
      </w:tr>
      <w:tr w:rsidR="004026AF" w14:paraId="4D8CA117" w14:textId="77777777" w:rsidTr="00EA664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9C43" w14:textId="77777777" w:rsidR="00B8579C" w:rsidRPr="00BF5CB8" w:rsidRDefault="00A26BD8" w:rsidP="00D45AE4">
            <w:pPr>
              <w:rPr>
                <w:sz w:val="22"/>
                <w:lang w:eastAsia="cs-CZ"/>
              </w:rPr>
            </w:pPr>
            <w:proofErr w:type="gramStart"/>
            <w:r w:rsidRPr="00BF5CB8">
              <w:rPr>
                <w:sz w:val="22"/>
                <w:lang w:eastAsia="cs-CZ"/>
              </w:rPr>
              <w:t>P.V.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670A" w14:textId="77777777" w:rsidR="00B8579C" w:rsidRPr="00BF5CB8" w:rsidRDefault="00A26BD8" w:rsidP="00E4102A">
            <w:pPr>
              <w:jc w:val="lef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Dlouhodobé podmíněné pohledávky z transferů a dlouhodobé podmíněné závazky z transferů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D62" w14:textId="77777777" w:rsidR="00B8579C" w:rsidRPr="00BF5CB8" w:rsidRDefault="00A26BD8" w:rsidP="00C95BB2">
            <w:pPr>
              <w:ind w:right="57"/>
              <w:jc w:val="righ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51 716 793 355,80</w:t>
            </w:r>
          </w:p>
        </w:tc>
      </w:tr>
      <w:tr w:rsidR="004026AF" w14:paraId="2CD13F50" w14:textId="77777777" w:rsidTr="00EA664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DD0D" w14:textId="77777777" w:rsidR="00B8579C" w:rsidRPr="00BF5CB8" w:rsidRDefault="00A26BD8" w:rsidP="00D45AE4">
            <w:pPr>
              <w:rPr>
                <w:sz w:val="22"/>
                <w:lang w:eastAsia="cs-CZ"/>
              </w:rPr>
            </w:pPr>
            <w:proofErr w:type="gramStart"/>
            <w:r w:rsidRPr="00BF5CB8">
              <w:rPr>
                <w:sz w:val="22"/>
                <w:lang w:eastAsia="cs-CZ"/>
              </w:rPr>
              <w:t>P.VI</w:t>
            </w:r>
            <w:proofErr w:type="gramEnd"/>
            <w:r w:rsidRPr="00BF5CB8">
              <w:rPr>
                <w:sz w:val="22"/>
                <w:lang w:eastAsia="cs-CZ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291" w14:textId="77777777" w:rsidR="00B8579C" w:rsidRPr="00BF5CB8" w:rsidRDefault="00A26BD8" w:rsidP="00E4102A">
            <w:pPr>
              <w:jc w:val="lef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Podmíněné závazky z důvodu užívání cizího majetku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0C29" w14:textId="77777777" w:rsidR="00B8579C" w:rsidRPr="00BF5CB8" w:rsidRDefault="00A26BD8" w:rsidP="00C95BB2">
            <w:pPr>
              <w:ind w:right="57"/>
              <w:jc w:val="righ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1 778 315,00</w:t>
            </w:r>
          </w:p>
        </w:tc>
      </w:tr>
      <w:tr w:rsidR="004026AF" w14:paraId="4E4FFD00" w14:textId="77777777" w:rsidTr="00EA664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F4D" w14:textId="77777777" w:rsidR="00B8579C" w:rsidRPr="00BF5CB8" w:rsidRDefault="00A26BD8" w:rsidP="00D45AE4">
            <w:pPr>
              <w:rPr>
                <w:sz w:val="22"/>
                <w:lang w:eastAsia="cs-CZ"/>
              </w:rPr>
            </w:pPr>
            <w:proofErr w:type="gramStart"/>
            <w:r w:rsidRPr="00BF5CB8">
              <w:rPr>
                <w:sz w:val="22"/>
                <w:lang w:eastAsia="cs-CZ"/>
              </w:rPr>
              <w:t>P.VII</w:t>
            </w:r>
            <w:proofErr w:type="gramEnd"/>
            <w:r w:rsidRPr="00BF5CB8">
              <w:rPr>
                <w:sz w:val="22"/>
                <w:lang w:eastAsia="cs-CZ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280" w14:textId="77777777" w:rsidR="00B8579C" w:rsidRPr="00BF5CB8" w:rsidRDefault="00A26BD8" w:rsidP="00E4102A">
            <w:pPr>
              <w:jc w:val="lef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Další podmíněné závazky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3723" w14:textId="77777777" w:rsidR="00B8579C" w:rsidRPr="00BF5CB8" w:rsidRDefault="00A26BD8" w:rsidP="00C95BB2">
            <w:pPr>
              <w:ind w:right="57"/>
              <w:jc w:val="righ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592 856 744,82</w:t>
            </w:r>
          </w:p>
        </w:tc>
      </w:tr>
      <w:tr w:rsidR="004026AF" w14:paraId="05352D90" w14:textId="77777777" w:rsidTr="00EA664A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C72F" w14:textId="77777777" w:rsidR="00B8579C" w:rsidRPr="00BF5CB8" w:rsidRDefault="00A26BD8" w:rsidP="00D45AE4">
            <w:pPr>
              <w:rPr>
                <w:sz w:val="22"/>
                <w:lang w:eastAsia="cs-CZ"/>
              </w:rPr>
            </w:pPr>
            <w:proofErr w:type="gramStart"/>
            <w:r w:rsidRPr="00BF5CB8">
              <w:rPr>
                <w:sz w:val="22"/>
                <w:lang w:eastAsia="cs-CZ"/>
              </w:rPr>
              <w:t>P.VIII</w:t>
            </w:r>
            <w:proofErr w:type="gramEnd"/>
            <w:r w:rsidRPr="00BF5CB8">
              <w:rPr>
                <w:sz w:val="22"/>
                <w:lang w:eastAsia="cs-CZ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3C47" w14:textId="77777777" w:rsidR="00B8579C" w:rsidRPr="00BF5CB8" w:rsidRDefault="00A26BD8" w:rsidP="00D45AE4">
            <w:pPr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Ostatní podmíněná aktiva a ostatní podmíněná pasiva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4057" w14:textId="77777777" w:rsidR="00B8579C" w:rsidRPr="00BF5CB8" w:rsidRDefault="00A26BD8" w:rsidP="00C95BB2">
            <w:pPr>
              <w:ind w:right="57"/>
              <w:jc w:val="righ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1 280 265,00</w:t>
            </w:r>
          </w:p>
        </w:tc>
      </w:tr>
    </w:tbl>
    <w:p w14:paraId="6421ACA0" w14:textId="77777777" w:rsidR="00BF5CB8" w:rsidRPr="00BF5CB8" w:rsidRDefault="00A26BD8" w:rsidP="00BF5CB8">
      <w:pPr>
        <w:rPr>
          <w:sz w:val="20"/>
        </w:rPr>
      </w:pPr>
      <w:r w:rsidRPr="00BF5CB8">
        <w:rPr>
          <w:b/>
          <w:sz w:val="20"/>
        </w:rPr>
        <w:t>Zdroj:</w:t>
      </w:r>
      <w:r w:rsidRPr="00BF5CB8">
        <w:rPr>
          <w:sz w:val="20"/>
        </w:rPr>
        <w:t xml:space="preserve"> ÚZ</w:t>
      </w:r>
      <w:r w:rsidR="00A24D08">
        <w:rPr>
          <w:sz w:val="20"/>
        </w:rPr>
        <w:t>.</w:t>
      </w:r>
    </w:p>
    <w:p w14:paraId="7AE8629E" w14:textId="77777777" w:rsidR="00BF5CB8" w:rsidRDefault="00BF5CB8" w:rsidP="00D45AE4">
      <w:pPr>
        <w:pStyle w:val="Titulek"/>
      </w:pPr>
    </w:p>
    <w:p w14:paraId="401C4833" w14:textId="5B8C1B72" w:rsidR="005F0833" w:rsidRDefault="00A26BD8" w:rsidP="002132D5">
      <w:pPr>
        <w:pStyle w:val="Titulek"/>
        <w:ind w:left="1332" w:hanging="1332"/>
        <w:jc w:val="left"/>
      </w:pPr>
      <w:r>
        <w:t xml:space="preserve">Tabulka č. </w:t>
      </w:r>
      <w:r w:rsidR="00E1426C">
        <w:fldChar w:fldCharType="begin"/>
      </w:r>
      <w:r>
        <w:instrText xml:space="preserve"> SEQ Tabulka_č._ \* ARABIC </w:instrText>
      </w:r>
      <w:r w:rsidR="00E1426C">
        <w:fldChar w:fldCharType="separate"/>
      </w:r>
      <w:r w:rsidR="00582779">
        <w:rPr>
          <w:noProof/>
        </w:rPr>
        <w:t>3</w:t>
      </w:r>
      <w:r w:rsidR="00E1426C">
        <w:rPr>
          <w:noProof/>
        </w:rPr>
        <w:fldChar w:fldCharType="end"/>
      </w:r>
      <w:r>
        <w:t xml:space="preserve">: Údaje z výkazu pro hodnocení plnění rozpočtu MŠMT </w:t>
      </w:r>
      <w:r w:rsidR="006B396E">
        <w:t>sestaveného k 31.</w:t>
      </w:r>
      <w:r w:rsidR="00257580">
        <w:t> </w:t>
      </w:r>
      <w:r w:rsidR="006B396E">
        <w:t>prosinci 2019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4026AF" w14:paraId="7341DD1E" w14:textId="77777777" w:rsidTr="005F0833">
        <w:trPr>
          <w:trHeight w:val="30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80AAFA9" w14:textId="77777777" w:rsidR="005F0833" w:rsidRPr="00BF5CB8" w:rsidRDefault="00A26BD8" w:rsidP="00BF5CB8">
            <w:pPr>
              <w:jc w:val="center"/>
              <w:rPr>
                <w:b/>
                <w:sz w:val="22"/>
                <w:lang w:eastAsia="cs-CZ"/>
              </w:rPr>
            </w:pPr>
            <w:r w:rsidRPr="00BF5CB8">
              <w:rPr>
                <w:b/>
                <w:sz w:val="22"/>
                <w:lang w:eastAsia="cs-CZ"/>
              </w:rPr>
              <w:t>Ukazatel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D01A5C8" w14:textId="77777777" w:rsidR="005F0833" w:rsidRPr="00BF5CB8" w:rsidRDefault="00A26BD8" w:rsidP="00BF5CB8">
            <w:pPr>
              <w:jc w:val="center"/>
              <w:rPr>
                <w:b/>
                <w:sz w:val="22"/>
                <w:lang w:eastAsia="cs-CZ"/>
              </w:rPr>
            </w:pPr>
            <w:r w:rsidRPr="00BF5CB8">
              <w:rPr>
                <w:b/>
                <w:sz w:val="22"/>
                <w:lang w:eastAsia="cs-CZ"/>
              </w:rPr>
              <w:t>Částka v Kč</w:t>
            </w:r>
          </w:p>
        </w:tc>
      </w:tr>
      <w:tr w:rsidR="004026AF" w14:paraId="631AB430" w14:textId="77777777" w:rsidTr="005F0833">
        <w:trPr>
          <w:trHeight w:val="30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4A8" w14:textId="77777777" w:rsidR="005F0833" w:rsidRPr="00BF5CB8" w:rsidRDefault="00A26BD8" w:rsidP="00D45AE4">
            <w:pPr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Příjmy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2525" w14:textId="77777777" w:rsidR="005F0833" w:rsidRPr="00BF5CB8" w:rsidRDefault="00A26BD8" w:rsidP="00C95BB2">
            <w:pPr>
              <w:ind w:right="57"/>
              <w:jc w:val="righ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14 771 690 683,35</w:t>
            </w:r>
          </w:p>
        </w:tc>
      </w:tr>
      <w:tr w:rsidR="004026AF" w14:paraId="5DD11EBF" w14:textId="77777777" w:rsidTr="005F0833">
        <w:trPr>
          <w:trHeight w:val="30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74AD" w14:textId="77777777" w:rsidR="005F0833" w:rsidRPr="00BF5CB8" w:rsidRDefault="00A26BD8" w:rsidP="00D45AE4">
            <w:pPr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Výdaje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BF27" w14:textId="77777777" w:rsidR="005F0833" w:rsidRPr="00BF5CB8" w:rsidRDefault="00A26BD8" w:rsidP="00C95BB2">
            <w:pPr>
              <w:ind w:right="57"/>
              <w:jc w:val="right"/>
              <w:rPr>
                <w:sz w:val="22"/>
                <w:lang w:eastAsia="cs-CZ"/>
              </w:rPr>
            </w:pPr>
            <w:r w:rsidRPr="00BF5CB8">
              <w:rPr>
                <w:sz w:val="22"/>
                <w:lang w:eastAsia="cs-CZ"/>
              </w:rPr>
              <w:t>209 866 029 603,21</w:t>
            </w:r>
          </w:p>
        </w:tc>
      </w:tr>
    </w:tbl>
    <w:p w14:paraId="3A956E96" w14:textId="77777777" w:rsidR="005F0833" w:rsidRPr="00BF5CB8" w:rsidRDefault="00A26BD8" w:rsidP="00D45AE4">
      <w:pPr>
        <w:rPr>
          <w:sz w:val="20"/>
        </w:rPr>
      </w:pPr>
      <w:r w:rsidRPr="00BF5CB8">
        <w:rPr>
          <w:b/>
          <w:sz w:val="20"/>
        </w:rPr>
        <w:t>Zdroj:</w:t>
      </w:r>
      <w:r w:rsidRPr="00BF5CB8">
        <w:rPr>
          <w:sz w:val="20"/>
        </w:rPr>
        <w:t xml:space="preserve"> výkaz FIN 1-12 OSS</w:t>
      </w:r>
      <w:r w:rsidR="00A24D08">
        <w:rPr>
          <w:sz w:val="20"/>
        </w:rPr>
        <w:t>.</w:t>
      </w:r>
    </w:p>
    <w:p w14:paraId="11C04B3C" w14:textId="77777777" w:rsidR="004E159B" w:rsidRDefault="00A26BD8">
      <w:pPr>
        <w:spacing w:after="160"/>
        <w:jc w:val="left"/>
        <w:rPr>
          <w:rFonts w:cstheme="minorHAnsi"/>
          <w:b/>
          <w:sz w:val="28"/>
          <w:szCs w:val="28"/>
        </w:rPr>
      </w:pPr>
      <w:r>
        <w:br w:type="page"/>
      </w:r>
    </w:p>
    <w:p w14:paraId="1912EF00" w14:textId="77777777" w:rsidR="00D45AE4" w:rsidRDefault="00A26BD8" w:rsidP="00D93728">
      <w:pPr>
        <w:pStyle w:val="Nadpis1"/>
        <w:spacing w:after="160" w:line="257" w:lineRule="auto"/>
      </w:pPr>
      <w:r>
        <w:lastRenderedPageBreak/>
        <w:t>III. Rozsah kontroly</w:t>
      </w:r>
    </w:p>
    <w:p w14:paraId="0667A14E" w14:textId="780C42C1" w:rsidR="00D45AE4" w:rsidRDefault="00A26BD8" w:rsidP="00D45AE4">
      <w:r w:rsidRPr="00D45AE4">
        <w:t>Kontrolní akce byla kontrolou typu finanční audit a jejím cílem bylo</w:t>
      </w:r>
      <w:r>
        <w:t xml:space="preserve"> prověřit, zda MŠMT při vedení účetnictví v roce 2019 a sestavení účetní závěrky k 31. </w:t>
      </w:r>
      <w:r w:rsidR="00554809">
        <w:t>prosinci</w:t>
      </w:r>
      <w:r>
        <w:t xml:space="preserve"> 2019, při předklád</w:t>
      </w:r>
      <w:r w:rsidR="00E71C30">
        <w:t>á</w:t>
      </w:r>
      <w:r>
        <w:t>ní údajů pro hodnocení plnění rozpočtu a při sestavení závěrečného účtu za rok 2019 postupovalo v souladu s příslušnými právními předpisy.</w:t>
      </w:r>
    </w:p>
    <w:p w14:paraId="50A3D9B1" w14:textId="77777777" w:rsidR="00D45AE4" w:rsidRDefault="00D45AE4" w:rsidP="00D45AE4"/>
    <w:p w14:paraId="38E34985" w14:textId="77777777" w:rsidR="00E570A0" w:rsidRDefault="00A26BD8" w:rsidP="007C0DAA">
      <w:r w:rsidRPr="00D53A28">
        <w:rPr>
          <w:b/>
        </w:rPr>
        <w:t>V oblasti vedení účetnictví</w:t>
      </w:r>
      <w:r w:rsidRPr="004B1946">
        <w:t xml:space="preserve"> se kontrola zaměřila na jeho správnost, úplnost, průkaznost a srozumitelnost. Prověřila dodržování směrné účtové osnovy a správnost používání účetních metod. Byly identifikovány významné transakční cykly a </w:t>
      </w:r>
      <w:r w:rsidR="00E033F8">
        <w:t xml:space="preserve">u </w:t>
      </w:r>
      <w:r w:rsidR="00E033F8" w:rsidRPr="00D53A28">
        <w:t>vybraných účetních případů bylo</w:t>
      </w:r>
      <w:r w:rsidR="00E033F8" w:rsidRPr="004B1946">
        <w:t xml:space="preserve"> </w:t>
      </w:r>
      <w:r w:rsidRPr="004B1946">
        <w:t>posouzeno nastavení systému účtování</w:t>
      </w:r>
      <w:r w:rsidR="00E033F8" w:rsidRPr="00E033F8">
        <w:t xml:space="preserve"> </w:t>
      </w:r>
      <w:r w:rsidR="00E033F8" w:rsidRPr="004B1946">
        <w:t xml:space="preserve">a vykazování informací o skutečnostech, které jsou </w:t>
      </w:r>
      <w:r w:rsidRPr="00D53A28">
        <w:t>předmětem účetnictví</w:t>
      </w:r>
      <w:r>
        <w:rPr>
          <w:rStyle w:val="Znakapoznpodarou"/>
        </w:rPr>
        <w:footnoteReference w:id="5"/>
      </w:r>
      <w:r>
        <w:t xml:space="preserve"> a měly vliv na hodnotu kontrolovaných významných konečných zůstatků účtů v ÚZ.</w:t>
      </w:r>
    </w:p>
    <w:p w14:paraId="02885494" w14:textId="77777777" w:rsidR="00E570A0" w:rsidRDefault="00E570A0" w:rsidP="00E570A0"/>
    <w:p w14:paraId="43215C66" w14:textId="77777777" w:rsidR="00E570A0" w:rsidRDefault="00A26BD8" w:rsidP="00E570A0">
      <w:r>
        <w:t xml:space="preserve">V případě </w:t>
      </w:r>
      <w:r>
        <w:rPr>
          <w:b/>
        </w:rPr>
        <w:t>údajů předkládaných pro hodnocení plnění státního rozpočtu</w:t>
      </w:r>
      <w:r>
        <w:t xml:space="preserve"> bylo prověřováno, zda byla dodržena správnost třídění příjmů a výdajů rozpočtovou skladbou v oblasti druhového a odvětvového třídění dle vyhlášky č. 323/2002 Sb., o rozpočtové skladbě.</w:t>
      </w:r>
    </w:p>
    <w:p w14:paraId="71E29C75" w14:textId="77777777" w:rsidR="00FB659B" w:rsidRDefault="00FB659B" w:rsidP="00E570A0"/>
    <w:p w14:paraId="1D991876" w14:textId="2539538D" w:rsidR="00FB659B" w:rsidRPr="0025150E" w:rsidRDefault="00A26BD8" w:rsidP="0025150E">
      <w:pPr>
        <w:rPr>
          <w:rFonts w:cstheme="minorHAnsi"/>
        </w:rPr>
      </w:pPr>
      <w:r w:rsidRPr="00DE6626">
        <w:rPr>
          <w:lang w:eastAsia="cs-CZ"/>
        </w:rPr>
        <w:t xml:space="preserve">Při kontrole </w:t>
      </w:r>
      <w:r w:rsidRPr="0093276B">
        <w:rPr>
          <w:b/>
          <w:lang w:eastAsia="cs-CZ"/>
        </w:rPr>
        <w:t>závěrečného účtu</w:t>
      </w:r>
      <w:r w:rsidRPr="00DE6626">
        <w:rPr>
          <w:lang w:eastAsia="cs-CZ"/>
        </w:rPr>
        <w:t xml:space="preserve"> kapitoly </w:t>
      </w:r>
      <w:r>
        <w:rPr>
          <w:lang w:eastAsia="cs-CZ"/>
        </w:rPr>
        <w:t>333</w:t>
      </w:r>
      <w:r w:rsidRPr="00DE6626">
        <w:rPr>
          <w:lang w:eastAsia="cs-CZ"/>
        </w:rPr>
        <w:t xml:space="preserve"> </w:t>
      </w:r>
      <w:r>
        <w:rPr>
          <w:lang w:eastAsia="cs-CZ"/>
        </w:rPr>
        <w:t>MŠMT</w:t>
      </w:r>
      <w:r w:rsidRPr="00DE6626">
        <w:rPr>
          <w:lang w:eastAsia="cs-CZ"/>
        </w:rPr>
        <w:t xml:space="preserve"> za rok 201</w:t>
      </w:r>
      <w:r>
        <w:rPr>
          <w:lang w:eastAsia="cs-CZ"/>
        </w:rPr>
        <w:t>9 bylo prověřováno, zda je sestaven v souladu s požadavky vyhlášky č. 419/2001 Sb.</w:t>
      </w:r>
      <w:r>
        <w:rPr>
          <w:rStyle w:val="Znakapoznpodarou"/>
          <w:lang w:eastAsia="cs-CZ"/>
        </w:rPr>
        <w:footnoteReference w:id="6"/>
      </w:r>
      <w:r w:rsidR="007D1F86">
        <w:rPr>
          <w:lang w:eastAsia="cs-CZ"/>
        </w:rPr>
        <w:t>.</w:t>
      </w:r>
      <w:r w:rsidR="008540A5">
        <w:rPr>
          <w:rFonts w:cstheme="minorHAnsi"/>
        </w:rPr>
        <w:t xml:space="preserve"> </w:t>
      </w:r>
      <w:r w:rsidR="0025150E" w:rsidRPr="0025150E">
        <w:rPr>
          <w:rFonts w:cstheme="minorHAnsi"/>
        </w:rPr>
        <w:t xml:space="preserve">U vybraných </w:t>
      </w:r>
      <w:r w:rsidR="00E71C30">
        <w:rPr>
          <w:rFonts w:cstheme="minorHAnsi"/>
        </w:rPr>
        <w:t>účetních případů</w:t>
      </w:r>
      <w:r w:rsidR="0025150E" w:rsidRPr="0025150E">
        <w:rPr>
          <w:rFonts w:cstheme="minorHAnsi"/>
        </w:rPr>
        <w:t xml:space="preserve"> byla prověřena správnost a úplnost údajů a číselných hodnot uvedených v průvodní zprávě, v</w:t>
      </w:r>
      <w:r w:rsidR="002132D5">
        <w:rPr>
          <w:rFonts w:cstheme="minorHAnsi"/>
        </w:rPr>
        <w:t> </w:t>
      </w:r>
      <w:r w:rsidR="0025150E" w:rsidRPr="0025150E">
        <w:rPr>
          <w:rFonts w:cstheme="minorHAnsi"/>
        </w:rPr>
        <w:t>číselných sestavách a tabulkových přílohách a jejich soulad s finančními v</w:t>
      </w:r>
      <w:r w:rsidR="009F5F82">
        <w:rPr>
          <w:rFonts w:cstheme="minorHAnsi"/>
        </w:rPr>
        <w:t>ýkazy, s úda</w:t>
      </w:r>
      <w:r w:rsidR="00D23993">
        <w:rPr>
          <w:rFonts w:cstheme="minorHAnsi"/>
        </w:rPr>
        <w:t>ji v</w:t>
      </w:r>
      <w:r w:rsidR="002132D5">
        <w:rPr>
          <w:rFonts w:cstheme="minorHAnsi"/>
        </w:rPr>
        <w:t> </w:t>
      </w:r>
      <w:r w:rsidR="00D23993">
        <w:rPr>
          <w:rFonts w:cstheme="minorHAnsi"/>
        </w:rPr>
        <w:t>účetnictví a </w:t>
      </w:r>
      <w:r w:rsidR="009F5F82">
        <w:rPr>
          <w:rFonts w:cstheme="minorHAnsi"/>
        </w:rPr>
        <w:t>s </w:t>
      </w:r>
      <w:r w:rsidR="0025150E" w:rsidRPr="0025150E">
        <w:rPr>
          <w:rFonts w:cstheme="minorHAnsi"/>
        </w:rPr>
        <w:t>podklady jednotlivých věcně příslušných odborů MŠMT.</w:t>
      </w:r>
    </w:p>
    <w:p w14:paraId="154C2656" w14:textId="77777777" w:rsidR="008540A5" w:rsidRDefault="008540A5" w:rsidP="00E570A0"/>
    <w:p w14:paraId="25675EF3" w14:textId="77777777" w:rsidR="00E570A0" w:rsidRDefault="00A26BD8" w:rsidP="00E570A0">
      <w:r w:rsidRPr="003B56BA">
        <w:t xml:space="preserve">Výběr položek ÚZ a údajů předkládaných MŠMT pro hodnocení plnění státního rozpočtu provedl NKÚ </w:t>
      </w:r>
      <w:r w:rsidRPr="001E615E">
        <w:rPr>
          <w:b/>
        </w:rPr>
        <w:t>se zaměřením na významnost a na vyhodnocená rizika nesprávnosti vykázaných údajů</w:t>
      </w:r>
      <w:r w:rsidRPr="00E4102A">
        <w:rPr>
          <w:b/>
        </w:rPr>
        <w:t>.</w:t>
      </w:r>
    </w:p>
    <w:p w14:paraId="09B2627A" w14:textId="77777777" w:rsidR="00E570A0" w:rsidRDefault="00E570A0" w:rsidP="007C0DAA"/>
    <w:p w14:paraId="1B789FC4" w14:textId="2D7E3B9F" w:rsidR="00D45AE4" w:rsidRPr="00D45AE4" w:rsidRDefault="00A26BD8" w:rsidP="00D45AE4">
      <w:r w:rsidRPr="00D45AE4">
        <w:rPr>
          <w:b/>
        </w:rPr>
        <w:t>Kontrolovaný objem</w:t>
      </w:r>
      <w:r w:rsidRPr="00D45AE4">
        <w:t xml:space="preserve"> finančních prostředků a majetku představuje hodnotu aktiv</w:t>
      </w:r>
      <w:r w:rsidR="00810D76">
        <w:t xml:space="preserve"> (netto)</w:t>
      </w:r>
      <w:r w:rsidRPr="00D45AE4">
        <w:t xml:space="preserve">, pasiv, nákladů, výnosů a podrozvahových účtů vykázaných v ÚZ a vyčíslených v tabulkách </w:t>
      </w:r>
      <w:r w:rsidR="008A5515">
        <w:br/>
      </w:r>
      <w:r w:rsidRPr="00D45AE4">
        <w:t xml:space="preserve">č. </w:t>
      </w:r>
      <w:r>
        <w:t>1 a 2</w:t>
      </w:r>
      <w:r w:rsidRPr="00D45AE4">
        <w:t xml:space="preserve">. Kontrolovaný objem finančních prostředků v rámci výkazu FIN 1-12 OSS byl </w:t>
      </w:r>
      <w:r>
        <w:t>v případě příjmů vyčíslen ve výši 5 mld. Kč a v případě výdajů ve výši 38,5 mld. Kč.</w:t>
      </w:r>
    </w:p>
    <w:p w14:paraId="7D95D394" w14:textId="77777777" w:rsidR="00C51785" w:rsidRDefault="00C51785" w:rsidP="00D53A28">
      <w:pPr>
        <w:pStyle w:val="textKZ"/>
      </w:pPr>
    </w:p>
    <w:p w14:paraId="77E2C980" w14:textId="77777777" w:rsidR="004E159B" w:rsidRDefault="00A26BD8" w:rsidP="00D45AE4">
      <w:r>
        <w:t xml:space="preserve">U relevantních transakcí byl </w:t>
      </w:r>
      <w:r w:rsidRPr="00C51785">
        <w:rPr>
          <w:b/>
        </w:rPr>
        <w:t>prověřován soulad s vybranými ustanoveními dalších právních předpisů</w:t>
      </w:r>
      <w:r w:rsidRPr="00E4102A">
        <w:rPr>
          <w:b/>
        </w:rPr>
        <w:t>,</w:t>
      </w:r>
      <w:r>
        <w:t xml:space="preserve"> a to zejména s ustanoveními zákona č. 218/2000 Sb</w:t>
      </w:r>
      <w:r w:rsidR="001E615E">
        <w:t>.</w:t>
      </w:r>
      <w:r>
        <w:t xml:space="preserve"> a zákona č. 219/2000 Sb. Prověřován byl i soulad nastavení vnitřního kontrolního systému MŠMT se zákonem </w:t>
      </w:r>
      <w:r w:rsidR="00EA664A">
        <w:t>č. </w:t>
      </w:r>
      <w:r>
        <w:t xml:space="preserve">320/2001 Sb., o finanční kontrole ve veřejné správě a o </w:t>
      </w:r>
      <w:r w:rsidR="009F5F82">
        <w:t>změně některých zákonů (zákon o </w:t>
      </w:r>
      <w:r>
        <w:t>finanční kontrole), a jeho prováděcí vyhláškou č. 416/2004 Sb., kterou se provádí zákon č.</w:t>
      </w:r>
      <w:r w:rsidR="00EA664A">
        <w:t> </w:t>
      </w:r>
      <w:r>
        <w:t>320/2001 Sb., o finanční kontrole ve veřejné správě a o změně některých zákonů (zákon</w:t>
      </w:r>
      <w:r w:rsidR="009F5F82">
        <w:t xml:space="preserve"> </w:t>
      </w:r>
      <w:r>
        <w:lastRenderedPageBreak/>
        <w:t>o</w:t>
      </w:r>
      <w:r w:rsidR="009F5F82">
        <w:t> </w:t>
      </w:r>
      <w:r>
        <w:t>finanční kontrole), ve znění zákona č. 309/2002 Sb., zákona č. 320/2002 Sb. a zákona č.</w:t>
      </w:r>
      <w:r w:rsidR="009F5F82">
        <w:t> </w:t>
      </w:r>
      <w:r>
        <w:t xml:space="preserve">123/2003 Sb., a to v rozsahu stanoveného předmětu a cíle kontrolní akce. U vybraných transakcí bylo prověřováno provedení finanční kontroly. </w:t>
      </w:r>
    </w:p>
    <w:p w14:paraId="525933B4" w14:textId="77777777" w:rsidR="004E159B" w:rsidRDefault="004E159B" w:rsidP="00D45AE4"/>
    <w:p w14:paraId="43215223" w14:textId="236A38BB" w:rsidR="00D45AE4" w:rsidRDefault="00A26BD8" w:rsidP="00D45AE4">
      <w:r>
        <w:t xml:space="preserve">V rámci kontroly byla také </w:t>
      </w:r>
      <w:r w:rsidRPr="004E159B">
        <w:t xml:space="preserve">vyhodnocena </w:t>
      </w:r>
      <w:r w:rsidR="00E71C30" w:rsidRPr="00C51785">
        <w:rPr>
          <w:b/>
        </w:rPr>
        <w:t xml:space="preserve">opatření </w:t>
      </w:r>
      <w:r w:rsidR="004C10EC" w:rsidRPr="007C1261">
        <w:rPr>
          <w:b/>
        </w:rPr>
        <w:t xml:space="preserve">přijatá </w:t>
      </w:r>
      <w:r w:rsidRPr="00C51785">
        <w:rPr>
          <w:b/>
        </w:rPr>
        <w:t>k nápravě nedostatků zjištěných kontrolní akc</w:t>
      </w:r>
      <w:r w:rsidR="00E71C30">
        <w:rPr>
          <w:b/>
        </w:rPr>
        <w:t>í</w:t>
      </w:r>
      <w:r w:rsidRPr="00C51785">
        <w:rPr>
          <w:b/>
        </w:rPr>
        <w:t xml:space="preserve"> </w:t>
      </w:r>
      <w:r w:rsidR="00E71C30">
        <w:rPr>
          <w:b/>
        </w:rPr>
        <w:t xml:space="preserve">NKÚ </w:t>
      </w:r>
      <w:r w:rsidRPr="00C51785">
        <w:rPr>
          <w:b/>
        </w:rPr>
        <w:t>č. 1</w:t>
      </w:r>
      <w:r w:rsidR="005B35E6" w:rsidRPr="00C51785">
        <w:rPr>
          <w:b/>
        </w:rPr>
        <w:t>5/35</w:t>
      </w:r>
      <w:r w:rsidRPr="00C51785">
        <w:rPr>
          <w:b/>
        </w:rPr>
        <w:t xml:space="preserve"> – </w:t>
      </w:r>
      <w:r w:rsidRPr="00877730">
        <w:rPr>
          <w:b/>
          <w:i/>
        </w:rPr>
        <w:t xml:space="preserve">Závěrečný účet kapitoly státního rozpočtu Ministerstvo </w:t>
      </w:r>
      <w:r w:rsidR="005B35E6" w:rsidRPr="00877730">
        <w:rPr>
          <w:b/>
          <w:i/>
        </w:rPr>
        <w:t>školství, mládeže a tělovýchovy za rok 2015</w:t>
      </w:r>
      <w:r w:rsidRPr="00877730">
        <w:rPr>
          <w:b/>
          <w:i/>
        </w:rPr>
        <w:t xml:space="preserve">, účetní závěrka Ministerstva </w:t>
      </w:r>
      <w:r w:rsidR="00D23993">
        <w:rPr>
          <w:b/>
          <w:i/>
        </w:rPr>
        <w:t>školství, mládeže a </w:t>
      </w:r>
      <w:r w:rsidR="005B35E6" w:rsidRPr="00877730">
        <w:rPr>
          <w:b/>
          <w:i/>
        </w:rPr>
        <w:t>tělovýchovy</w:t>
      </w:r>
      <w:r w:rsidRPr="00877730">
        <w:rPr>
          <w:b/>
          <w:i/>
        </w:rPr>
        <w:t xml:space="preserve"> za rok 201</w:t>
      </w:r>
      <w:r w:rsidR="005B35E6" w:rsidRPr="00877730">
        <w:rPr>
          <w:b/>
          <w:i/>
        </w:rPr>
        <w:t>5</w:t>
      </w:r>
      <w:r w:rsidRPr="00877730">
        <w:rPr>
          <w:b/>
          <w:i/>
        </w:rPr>
        <w:t xml:space="preserve"> a</w:t>
      </w:r>
      <w:r w:rsidR="00E71C30">
        <w:rPr>
          <w:b/>
          <w:i/>
        </w:rPr>
        <w:t xml:space="preserve"> </w:t>
      </w:r>
      <w:r w:rsidRPr="00877730">
        <w:rPr>
          <w:b/>
          <w:i/>
        </w:rPr>
        <w:t xml:space="preserve">údaje předkládané Ministerstvem </w:t>
      </w:r>
      <w:r w:rsidR="00D23993">
        <w:rPr>
          <w:b/>
          <w:i/>
        </w:rPr>
        <w:t>školství, mládeže a </w:t>
      </w:r>
      <w:r w:rsidR="005B35E6" w:rsidRPr="00877730">
        <w:rPr>
          <w:b/>
          <w:i/>
        </w:rPr>
        <w:t>tělovýchovy</w:t>
      </w:r>
      <w:r w:rsidRPr="00877730">
        <w:rPr>
          <w:b/>
          <w:i/>
        </w:rPr>
        <w:t xml:space="preserve"> pro hodnocení plnění státního rozpočtu za rok 201</w:t>
      </w:r>
      <w:r w:rsidR="005B35E6" w:rsidRPr="00877730">
        <w:rPr>
          <w:b/>
          <w:i/>
        </w:rPr>
        <w:t>5</w:t>
      </w:r>
      <w:r w:rsidRPr="00E4102A">
        <w:rPr>
          <w:b/>
        </w:rPr>
        <w:t xml:space="preserve">. </w:t>
      </w:r>
    </w:p>
    <w:p w14:paraId="7058E912" w14:textId="77777777" w:rsidR="008E4853" w:rsidRDefault="00A26BD8">
      <w:pPr>
        <w:spacing w:after="160"/>
        <w:jc w:val="left"/>
        <w:rPr>
          <w:rFonts w:cstheme="minorHAnsi"/>
          <w:b/>
          <w:sz w:val="28"/>
          <w:szCs w:val="28"/>
        </w:rPr>
      </w:pPr>
      <w:r>
        <w:br w:type="page"/>
      </w:r>
    </w:p>
    <w:p w14:paraId="1DF24802" w14:textId="77777777" w:rsidR="00B8579C" w:rsidRDefault="00A26BD8" w:rsidP="005C1A0A">
      <w:pPr>
        <w:pStyle w:val="Nadpis1"/>
      </w:pPr>
      <w:r>
        <w:lastRenderedPageBreak/>
        <w:t>IV. Podrobné skutečnosti zjištěné kontrolou</w:t>
      </w:r>
    </w:p>
    <w:p w14:paraId="72C140ED" w14:textId="77777777" w:rsidR="001C23C9" w:rsidRPr="00D93728" w:rsidRDefault="00A26BD8" w:rsidP="00C05E4C">
      <w:pPr>
        <w:pStyle w:val="Nadpis2"/>
        <w:numPr>
          <w:ilvl w:val="0"/>
          <w:numId w:val="14"/>
        </w:numPr>
      </w:pPr>
      <w:r w:rsidRPr="00D93728">
        <w:t>Opravy nesprávností v účetnictví identifikovaných v průběhu kontroly</w:t>
      </w:r>
    </w:p>
    <w:p w14:paraId="7AE4B9E2" w14:textId="0EFFC1B5" w:rsidR="001C23C9" w:rsidRDefault="00A26BD8" w:rsidP="001C23C9">
      <w:r>
        <w:t>Kontrolní akce č. 19/31 byla zahájena v průběhu kontrolovaného účetního období 2019, což umožnilo MŠMT ještě v průběhu kontroly před uzavřením účetních knih na základě upozornění NKÚ provést opravu identifikovaných nesprávností. MŠMT před uzavřením účetních knih opravilo v účetnictví</w:t>
      </w:r>
      <w:r w:rsidR="009D2A82" w:rsidRPr="009D2A82">
        <w:t xml:space="preserve"> </w:t>
      </w:r>
      <w:r w:rsidR="009D2A82">
        <w:t>nesprávnosti</w:t>
      </w:r>
      <w:r>
        <w:t xml:space="preserve">, jejichž celková výše </w:t>
      </w:r>
      <w:r w:rsidRPr="00D63BA1">
        <w:t>přesáhla 49 mld. Kč</w:t>
      </w:r>
      <w:r>
        <w:t>. Jednalo se například o nesprávné vykazování:</w:t>
      </w:r>
    </w:p>
    <w:p w14:paraId="33BC019F" w14:textId="77C94902" w:rsidR="001C23C9" w:rsidRDefault="00A26BD8" w:rsidP="00516E59">
      <w:pPr>
        <w:pStyle w:val="Odstavecseseznamem"/>
        <w:numPr>
          <w:ilvl w:val="0"/>
          <w:numId w:val="4"/>
        </w:numPr>
        <w:jc w:val="left"/>
      </w:pPr>
      <w:r>
        <w:t>změn stav</w:t>
      </w:r>
      <w:r w:rsidR="009D2A82">
        <w:t>ů</w:t>
      </w:r>
      <w:r>
        <w:t xml:space="preserve"> dohadných položek v rámci přehledu o peněžních tocích</w:t>
      </w:r>
      <w:r w:rsidR="001C016A">
        <w:t xml:space="preserve"> (46,5 mld. Kč)</w:t>
      </w:r>
      <w:r>
        <w:t>,</w:t>
      </w:r>
    </w:p>
    <w:p w14:paraId="4E97079A" w14:textId="77777777" w:rsidR="001C23C9" w:rsidRDefault="00A26BD8" w:rsidP="00516E59">
      <w:pPr>
        <w:pStyle w:val="Odstavecseseznamem"/>
        <w:numPr>
          <w:ilvl w:val="0"/>
          <w:numId w:val="4"/>
        </w:numPr>
        <w:jc w:val="left"/>
      </w:pPr>
      <w:r>
        <w:t>dlouhodobých podmíněných závazků související</w:t>
      </w:r>
      <w:r w:rsidR="00530006">
        <w:t>ch</w:t>
      </w:r>
      <w:r>
        <w:t xml:space="preserve"> s členskými příspěvky mezinárodním organizacím</w:t>
      </w:r>
      <w:r w:rsidR="001C016A">
        <w:t xml:space="preserve"> (2,9 mld. Kč)</w:t>
      </w:r>
      <w:r>
        <w:t>,</w:t>
      </w:r>
    </w:p>
    <w:p w14:paraId="130B8CCB" w14:textId="69A86BBF" w:rsidR="001C23C9" w:rsidRDefault="00A26BD8" w:rsidP="00516E59">
      <w:pPr>
        <w:pStyle w:val="Odstavecseseznamem"/>
        <w:numPr>
          <w:ilvl w:val="0"/>
          <w:numId w:val="4"/>
        </w:numPr>
        <w:jc w:val="left"/>
      </w:pPr>
      <w:r>
        <w:t>pohledáv</w:t>
      </w:r>
      <w:r w:rsidR="009D2A82">
        <w:t>e</w:t>
      </w:r>
      <w:r w:rsidR="002132D5">
        <w:t>k</w:t>
      </w:r>
      <w:r>
        <w:t xml:space="preserve"> a související</w:t>
      </w:r>
      <w:r w:rsidR="009D2A82">
        <w:t>ch</w:t>
      </w:r>
      <w:r>
        <w:t xml:space="preserve"> opravn</w:t>
      </w:r>
      <w:r w:rsidR="009D2A82">
        <w:t>ých</w:t>
      </w:r>
      <w:r>
        <w:t xml:space="preserve"> polož</w:t>
      </w:r>
      <w:r w:rsidR="009D2A82">
        <w:t>e</w:t>
      </w:r>
      <w:r>
        <w:t>k</w:t>
      </w:r>
      <w:r w:rsidR="001C016A">
        <w:t xml:space="preserve"> (</w:t>
      </w:r>
      <w:r w:rsidR="00250FC5">
        <w:t>7,5 mil. Kč)</w:t>
      </w:r>
      <w:r>
        <w:t>.</w:t>
      </w:r>
    </w:p>
    <w:p w14:paraId="3D250629" w14:textId="77777777" w:rsidR="001C23C9" w:rsidRDefault="001C23C9" w:rsidP="001C23C9"/>
    <w:p w14:paraId="506A387F" w14:textId="77777777" w:rsidR="00A24D08" w:rsidRDefault="00A26BD8" w:rsidP="00516E59">
      <w:pPr>
        <w:pStyle w:val="Nadpis2"/>
        <w:numPr>
          <w:ilvl w:val="0"/>
          <w:numId w:val="14"/>
        </w:numPr>
        <w:jc w:val="left"/>
      </w:pPr>
      <w:r w:rsidRPr="00A24D08">
        <w:t xml:space="preserve">Spolehlivost údajů účetní závěrky Ministerstva školství, mládeže a tělovýchovy sestavené k 31. </w:t>
      </w:r>
      <w:r w:rsidR="00530006">
        <w:t>prosinci</w:t>
      </w:r>
      <w:r w:rsidRPr="00A24D08">
        <w:t xml:space="preserve"> 2019 </w:t>
      </w:r>
    </w:p>
    <w:p w14:paraId="160645AB" w14:textId="7D3A6F86" w:rsidR="00A24D08" w:rsidRDefault="00A26BD8" w:rsidP="00A24D08">
      <w:r w:rsidRPr="00A24D08">
        <w:t xml:space="preserve">Při </w:t>
      </w:r>
      <w:r w:rsidR="000E5F6D">
        <w:t>kontrole</w:t>
      </w:r>
      <w:r w:rsidRPr="00A24D08">
        <w:t xml:space="preserve"> spolehlivosti ÚZ byly zjištěny a vyčísleny nesprávnosti</w:t>
      </w:r>
      <w:r w:rsidR="00E111E8">
        <w:t>. J</w:t>
      </w:r>
      <w:r w:rsidRPr="00A24D08">
        <w:t xml:space="preserve">ejich dopad na jednotlivé části ÚZ zobrazuje následující tabulka. </w:t>
      </w:r>
    </w:p>
    <w:p w14:paraId="09AB6952" w14:textId="77777777" w:rsidR="00A24D08" w:rsidRDefault="00A24D08" w:rsidP="00A24D08"/>
    <w:p w14:paraId="0FF42B1C" w14:textId="2E401501" w:rsidR="00A24D08" w:rsidRDefault="00A26BD8" w:rsidP="000E5F6D">
      <w:pPr>
        <w:pStyle w:val="Titulek"/>
        <w:tabs>
          <w:tab w:val="right" w:pos="9072"/>
        </w:tabs>
      </w:pPr>
      <w:r>
        <w:t xml:space="preserve">Tabulka č. </w:t>
      </w:r>
      <w:r w:rsidR="00E1426C">
        <w:fldChar w:fldCharType="begin"/>
      </w:r>
      <w:r>
        <w:instrText xml:space="preserve"> SEQ Tabulka_č._ \* ARABIC </w:instrText>
      </w:r>
      <w:r w:rsidR="00E1426C">
        <w:fldChar w:fldCharType="separate"/>
      </w:r>
      <w:r w:rsidR="00582779">
        <w:rPr>
          <w:noProof/>
        </w:rPr>
        <w:t>4</w:t>
      </w:r>
      <w:r w:rsidR="00E1426C">
        <w:rPr>
          <w:noProof/>
        </w:rPr>
        <w:fldChar w:fldCharType="end"/>
      </w:r>
      <w:r>
        <w:t xml:space="preserve">: Přehled vyčíslených nesprávností zjištěných v jednotlivých částech ÚZ </w:t>
      </w:r>
      <w:r w:rsidR="000E5F6D">
        <w:tab/>
      </w:r>
      <w:r>
        <w:t>(v Kč)</w:t>
      </w: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501"/>
      </w:tblGrid>
      <w:tr w:rsidR="004026AF" w14:paraId="5300775D" w14:textId="77777777" w:rsidTr="000E5F6D">
        <w:trPr>
          <w:trHeight w:val="300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5F1FF"/>
            <w:vAlign w:val="center"/>
            <w:hideMark/>
          </w:tcPr>
          <w:p w14:paraId="25268D1E" w14:textId="77777777" w:rsidR="00A24D08" w:rsidRPr="00A24D08" w:rsidRDefault="00A26BD8" w:rsidP="00A24D08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</w:pPr>
            <w:r w:rsidRPr="00A24D08"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  <w:t>Nesprávnost v účetní závěrce</w:t>
            </w:r>
          </w:p>
        </w:tc>
      </w:tr>
      <w:tr w:rsidR="004026AF" w14:paraId="58E474EB" w14:textId="77777777" w:rsidTr="000E5F6D">
        <w:trPr>
          <w:trHeight w:val="30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3EFFEDB" w14:textId="77777777" w:rsidR="00A24D08" w:rsidRPr="00A24D08" w:rsidRDefault="00A26BD8" w:rsidP="00A24D08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</w:pPr>
            <w:r w:rsidRPr="00A24D08"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  <w:t>Výkaz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910E9C1" w14:textId="77777777" w:rsidR="00A24D08" w:rsidRPr="00A24D08" w:rsidRDefault="00A26BD8" w:rsidP="000E5F6D">
            <w:pPr>
              <w:spacing w:line="240" w:lineRule="auto"/>
              <w:ind w:right="-29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</w:pPr>
            <w:r w:rsidRPr="00A24D08"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  <w:t>Celková nesprávnost</w:t>
            </w:r>
          </w:p>
        </w:tc>
      </w:tr>
      <w:tr w:rsidR="004026AF" w14:paraId="53F39D55" w14:textId="77777777" w:rsidTr="000E5F6D">
        <w:trPr>
          <w:trHeight w:val="30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6331D" w14:textId="77777777" w:rsidR="00A24D08" w:rsidRPr="00A24D08" w:rsidRDefault="00A26BD8" w:rsidP="00A24D08">
            <w:pPr>
              <w:spacing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</w:pPr>
            <w:r w:rsidRPr="00A24D08"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  <w:t>CELKOVÁ NESPRÁVNOST V ÚČETNÍ ZÁVĚRCE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3ADEA" w14:textId="77777777" w:rsidR="00A24D08" w:rsidRPr="00A24D08" w:rsidRDefault="00A26BD8" w:rsidP="00C95BB2">
            <w:pPr>
              <w:spacing w:line="240" w:lineRule="auto"/>
              <w:ind w:right="57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</w:pPr>
            <w:r w:rsidRPr="00A24D08"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  <w:t>89 647 546,19</w:t>
            </w:r>
          </w:p>
        </w:tc>
      </w:tr>
      <w:tr w:rsidR="004026AF" w14:paraId="63938E9D" w14:textId="77777777" w:rsidTr="000E5F6D">
        <w:trPr>
          <w:trHeight w:val="30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7AFFA" w14:textId="77777777" w:rsidR="00A24D08" w:rsidRPr="00A24D08" w:rsidRDefault="00A26BD8" w:rsidP="00A24D08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</w:pPr>
            <w:r w:rsidRPr="00A24D08"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  <w:t>Rozvaha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6EB74" w14:textId="77777777" w:rsidR="00A24D08" w:rsidRPr="00A24D08" w:rsidRDefault="00A26BD8" w:rsidP="00C95BB2">
            <w:pPr>
              <w:spacing w:line="240" w:lineRule="auto"/>
              <w:ind w:right="57"/>
              <w:jc w:val="right"/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</w:pPr>
            <w:r w:rsidRPr="00A24D08"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  <w:t>61 227 978,51</w:t>
            </w:r>
          </w:p>
        </w:tc>
      </w:tr>
      <w:tr w:rsidR="004026AF" w14:paraId="79D4A90B" w14:textId="77777777" w:rsidTr="000E5F6D">
        <w:trPr>
          <w:trHeight w:val="30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31632" w14:textId="77777777" w:rsidR="00A24D08" w:rsidRPr="00A24D08" w:rsidRDefault="00A26BD8" w:rsidP="00A24D08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</w:pPr>
            <w:r w:rsidRPr="00A24D08"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  <w:t>Výkaz zisku a ztráty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74AFC" w14:textId="77777777" w:rsidR="00A24D08" w:rsidRPr="00A24D08" w:rsidRDefault="00A26BD8" w:rsidP="00C95BB2">
            <w:pPr>
              <w:spacing w:line="240" w:lineRule="auto"/>
              <w:ind w:right="57"/>
              <w:jc w:val="right"/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</w:pPr>
            <w:r w:rsidRPr="00A24D08"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  <w:t>26 542 440,30</w:t>
            </w:r>
          </w:p>
        </w:tc>
      </w:tr>
      <w:tr w:rsidR="004026AF" w14:paraId="75798B1B" w14:textId="77777777" w:rsidTr="000E5F6D">
        <w:trPr>
          <w:trHeight w:val="30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602CE" w14:textId="77777777" w:rsidR="00A24D08" w:rsidRPr="00A24D08" w:rsidRDefault="00A26BD8" w:rsidP="00A24D08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</w:pPr>
            <w:r w:rsidRPr="00A24D08"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  <w:t>Příloha účetní závěrky (podrozvahové účty)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683C2" w14:textId="77777777" w:rsidR="00A24D08" w:rsidRPr="00A24D08" w:rsidRDefault="00A26BD8" w:rsidP="00C95BB2">
            <w:pPr>
              <w:spacing w:line="240" w:lineRule="auto"/>
              <w:ind w:right="57"/>
              <w:jc w:val="right"/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</w:pPr>
            <w:r w:rsidRPr="00A24D08"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  <w:t>1 877 127,38</w:t>
            </w:r>
          </w:p>
        </w:tc>
      </w:tr>
      <w:tr w:rsidR="004026AF" w14:paraId="6EED6902" w14:textId="77777777" w:rsidTr="000E5F6D">
        <w:trPr>
          <w:trHeight w:val="30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A7EA6" w14:textId="77777777" w:rsidR="00A24D08" w:rsidRPr="00A24D08" w:rsidRDefault="00A26BD8" w:rsidP="00A24D08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</w:pPr>
            <w:r w:rsidRPr="00A24D08"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  <w:t>Přehled o peněžních tocích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97941" w14:textId="77777777" w:rsidR="00A24D08" w:rsidRPr="00A24D08" w:rsidRDefault="00A26BD8" w:rsidP="00C95BB2">
            <w:pPr>
              <w:spacing w:line="240" w:lineRule="auto"/>
              <w:ind w:right="57"/>
              <w:jc w:val="right"/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</w:pPr>
            <w:r w:rsidRPr="00A24D08"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  <w:t>0,00</w:t>
            </w:r>
          </w:p>
        </w:tc>
      </w:tr>
      <w:tr w:rsidR="004026AF" w14:paraId="322A49D4" w14:textId="77777777" w:rsidTr="000E5F6D">
        <w:trPr>
          <w:trHeight w:val="300"/>
        </w:trPr>
        <w:tc>
          <w:tcPr>
            <w:tcW w:w="4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26CFC" w14:textId="77777777" w:rsidR="00A24D08" w:rsidRPr="00A24D08" w:rsidRDefault="00A26BD8" w:rsidP="00A24D08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</w:pPr>
            <w:r w:rsidRPr="00A24D08"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  <w:t>Přehled o změnách vlastního kapitálu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BD1BF" w14:textId="77777777" w:rsidR="00A24D08" w:rsidRPr="00A24D08" w:rsidRDefault="00A26BD8" w:rsidP="00C95BB2">
            <w:pPr>
              <w:spacing w:line="240" w:lineRule="auto"/>
              <w:ind w:right="57"/>
              <w:jc w:val="right"/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</w:pPr>
            <w:r w:rsidRPr="00A24D08"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  <w:t>0,00</w:t>
            </w:r>
          </w:p>
        </w:tc>
      </w:tr>
    </w:tbl>
    <w:p w14:paraId="2B9EDDDA" w14:textId="0D32F13A" w:rsidR="00A24D08" w:rsidRDefault="00A24D08" w:rsidP="00A24D08">
      <w:pPr>
        <w:rPr>
          <w:b/>
          <w:sz w:val="20"/>
        </w:rPr>
      </w:pPr>
    </w:p>
    <w:p w14:paraId="765CFD28" w14:textId="77777777" w:rsidR="00516E59" w:rsidRDefault="00516E59" w:rsidP="00A24D08">
      <w:pPr>
        <w:rPr>
          <w:b/>
        </w:rPr>
      </w:pPr>
    </w:p>
    <w:p w14:paraId="08B1CDE3" w14:textId="46FC0681" w:rsidR="00A24D08" w:rsidRPr="00A4540D" w:rsidRDefault="00A26BD8" w:rsidP="00A24D08">
      <w:pPr>
        <w:rPr>
          <w:b/>
        </w:rPr>
      </w:pPr>
      <w:r w:rsidRPr="00A24D08">
        <w:t xml:space="preserve">Pro </w:t>
      </w:r>
      <w:r>
        <w:t>posouzení spolehlivosti informací v ÚZ byla stanovena významnost neboli materialita</w:t>
      </w:r>
      <w:r w:rsidR="00080FDC">
        <w:rPr>
          <w:vertAlign w:val="superscript"/>
        </w:rPr>
        <w:t>1</w:t>
      </w:r>
      <w:r>
        <w:t xml:space="preserve"> ve výši 5 mld. Kč. </w:t>
      </w:r>
      <w:r w:rsidRPr="00A4540D">
        <w:rPr>
          <w:b/>
        </w:rPr>
        <w:t xml:space="preserve">Kontrolou zjištěné nesprávnosti v ÚZ </w:t>
      </w:r>
      <w:r w:rsidR="00357781" w:rsidRPr="00A4540D">
        <w:rPr>
          <w:b/>
        </w:rPr>
        <w:t xml:space="preserve">tak neměly dopad na spolehlivost výkazů ÚZ MŠMT sestavených k 31. </w:t>
      </w:r>
      <w:r w:rsidR="00261F24" w:rsidRPr="00A4540D">
        <w:rPr>
          <w:b/>
        </w:rPr>
        <w:t>prosinci</w:t>
      </w:r>
      <w:r w:rsidR="00357781" w:rsidRPr="00A4540D">
        <w:rPr>
          <w:b/>
        </w:rPr>
        <w:t xml:space="preserve"> 2019.</w:t>
      </w:r>
    </w:p>
    <w:p w14:paraId="28344134" w14:textId="77777777" w:rsidR="00807F4C" w:rsidRDefault="00807F4C" w:rsidP="00A24D08"/>
    <w:p w14:paraId="77B62328" w14:textId="77777777" w:rsidR="00807F4C" w:rsidRDefault="00A26BD8" w:rsidP="00A24D08">
      <w:r>
        <w:t xml:space="preserve">Jednalo se především o skutečnosti uvedené v částech </w:t>
      </w:r>
      <w:r w:rsidR="00261F24">
        <w:t>2.1</w:t>
      </w:r>
      <w:r>
        <w:t xml:space="preserve"> až </w:t>
      </w:r>
      <w:r w:rsidR="00261F24">
        <w:t>2.5</w:t>
      </w:r>
      <w:r>
        <w:t xml:space="preserve"> tohoto kontrolního závěru.</w:t>
      </w:r>
    </w:p>
    <w:p w14:paraId="216FA95F" w14:textId="77777777" w:rsidR="00807F4C" w:rsidRPr="00C05E4C" w:rsidRDefault="00807F4C" w:rsidP="00C05E4C"/>
    <w:p w14:paraId="53C17475" w14:textId="77777777" w:rsidR="001C23C9" w:rsidRPr="00D93728" w:rsidRDefault="00A26BD8" w:rsidP="00516E59">
      <w:pPr>
        <w:pStyle w:val="Nadpis3"/>
        <w:ind w:left="426" w:hanging="426"/>
      </w:pPr>
      <w:r w:rsidRPr="00D93728">
        <w:t>Nesprávné vykázání záloh na poskytnuté transfery</w:t>
      </w:r>
    </w:p>
    <w:p w14:paraId="3F9D8944" w14:textId="77777777" w:rsidR="00E8242C" w:rsidRDefault="00A26BD8" w:rsidP="001C23C9">
      <w:r>
        <w:t>MŠMT v roce 2019 účtovalo o poskytnutých finančních prostředcích na akce v rámci EDS/SMVS</w:t>
      </w:r>
      <w:r>
        <w:rPr>
          <w:rStyle w:val="Znakapoznpodarou"/>
        </w:rPr>
        <w:footnoteReference w:id="7"/>
      </w:r>
      <w:r>
        <w:t xml:space="preserve"> – podprogram 133D 523 – </w:t>
      </w:r>
      <w:r w:rsidRPr="00B21952">
        <w:rPr>
          <w:i/>
        </w:rPr>
        <w:t>Rozvoj materiálně technické základ</w:t>
      </w:r>
      <w:r w:rsidR="00EA25B9">
        <w:rPr>
          <w:i/>
        </w:rPr>
        <w:t>n</w:t>
      </w:r>
      <w:r w:rsidRPr="00B21952">
        <w:rPr>
          <w:i/>
        </w:rPr>
        <w:t>y sportovních svazů</w:t>
      </w:r>
      <w:r>
        <w:t xml:space="preserve"> </w:t>
      </w:r>
      <w:r>
        <w:lastRenderedPageBreak/>
        <w:t xml:space="preserve">jako o dlouhodobých </w:t>
      </w:r>
      <w:r w:rsidR="00B21952">
        <w:t xml:space="preserve">poskytnutých </w:t>
      </w:r>
      <w:r>
        <w:t xml:space="preserve">zálohách. V kontrolovaných případech se však nejednalo o dlouhodobé zálohy, neboť </w:t>
      </w:r>
      <w:r w:rsidRPr="00516E59">
        <w:rPr>
          <w:i/>
        </w:rPr>
        <w:t xml:space="preserve">rozhodnutí </w:t>
      </w:r>
      <w:r w:rsidR="00EA25B9" w:rsidRPr="00516E59">
        <w:rPr>
          <w:i/>
        </w:rPr>
        <w:t>o poskytnutí dotace</w:t>
      </w:r>
      <w:r w:rsidR="00EA25B9">
        <w:t xml:space="preserve"> </w:t>
      </w:r>
      <w:r>
        <w:t>byla vydána v období září až listopad 2019</w:t>
      </w:r>
      <w:r w:rsidR="00013A00">
        <w:t xml:space="preserve"> a </w:t>
      </w:r>
      <w:r>
        <w:t>ukončen</w:t>
      </w:r>
      <w:r w:rsidR="00B21952">
        <w:t>í</w:t>
      </w:r>
      <w:r>
        <w:t xml:space="preserve"> všech kontrolovaných akcí </w:t>
      </w:r>
      <w:r w:rsidR="00E7206D">
        <w:t xml:space="preserve">a termín vyčerpání dotace </w:t>
      </w:r>
      <w:r w:rsidR="00B21952">
        <w:t>by</w:t>
      </w:r>
      <w:r w:rsidR="00D84AC5">
        <w:t>ly</w:t>
      </w:r>
      <w:r w:rsidR="00B21952">
        <w:t xml:space="preserve"> </w:t>
      </w:r>
      <w:r>
        <w:t>rozhodnutí</w:t>
      </w:r>
      <w:r w:rsidR="00B21952">
        <w:t>m</w:t>
      </w:r>
      <w:r w:rsidR="00EA25B9">
        <w:t>i</w:t>
      </w:r>
      <w:r w:rsidR="00877730">
        <w:t xml:space="preserve"> stanoven</w:t>
      </w:r>
      <w:r w:rsidR="00D84AC5">
        <w:t>y</w:t>
      </w:r>
      <w:r w:rsidR="00877730">
        <w:t xml:space="preserve"> na 31. </w:t>
      </w:r>
      <w:r w:rsidR="00B21952">
        <w:t>prosinec</w:t>
      </w:r>
      <w:r>
        <w:t xml:space="preserve"> 2019.</w:t>
      </w:r>
    </w:p>
    <w:p w14:paraId="19A7CA99" w14:textId="77777777" w:rsidR="00D93728" w:rsidRDefault="00D93728" w:rsidP="001C23C9"/>
    <w:p w14:paraId="551421B4" w14:textId="77777777" w:rsidR="001C23C9" w:rsidRDefault="00A26BD8" w:rsidP="001C23C9">
      <w:r>
        <w:t xml:space="preserve">V důsledku této skutečnosti MŠMT v rozvaze v údajích za běžné období podhodnotilo zůstatek účtu </w:t>
      </w:r>
      <w:r w:rsidRPr="00516E59">
        <w:rPr>
          <w:b/>
        </w:rPr>
        <w:t>373</w:t>
      </w:r>
      <w:r w:rsidRPr="00DF3A03">
        <w:rPr>
          <w:b/>
          <w:i/>
        </w:rPr>
        <w:t xml:space="preserve"> – Krátkodobé poskytnuté zálohy na transfery</w:t>
      </w:r>
      <w:r>
        <w:t xml:space="preserve"> </w:t>
      </w:r>
      <w:r w:rsidRPr="009103D5">
        <w:rPr>
          <w:b/>
        </w:rPr>
        <w:t>o 39</w:t>
      </w:r>
      <w:r w:rsidR="00EC2215">
        <w:rPr>
          <w:b/>
        </w:rPr>
        <w:t>,</w:t>
      </w:r>
      <w:r w:rsidRPr="009103D5">
        <w:rPr>
          <w:b/>
        </w:rPr>
        <w:t>6</w:t>
      </w:r>
      <w:r w:rsidR="00EC2215">
        <w:rPr>
          <w:b/>
        </w:rPr>
        <w:t xml:space="preserve"> mil. Kč</w:t>
      </w:r>
      <w:r>
        <w:t xml:space="preserve"> a o stejnou částku nadhodnotilo zůstatek účtu </w:t>
      </w:r>
      <w:r w:rsidRPr="00516E59">
        <w:rPr>
          <w:b/>
        </w:rPr>
        <w:t>471</w:t>
      </w:r>
      <w:r w:rsidRPr="00DF3A03">
        <w:rPr>
          <w:b/>
          <w:i/>
        </w:rPr>
        <w:t xml:space="preserve"> – Dlouhodobé poskytnuté zálohy na transfery</w:t>
      </w:r>
      <w:r w:rsidRPr="00516E59">
        <w:rPr>
          <w:b/>
        </w:rPr>
        <w:t xml:space="preserve">. </w:t>
      </w:r>
    </w:p>
    <w:p w14:paraId="005DD33B" w14:textId="77777777" w:rsidR="00450EFF" w:rsidRDefault="00450EFF" w:rsidP="001C23C9"/>
    <w:p w14:paraId="2A7D33EF" w14:textId="77777777" w:rsidR="003B1A87" w:rsidRPr="006E42B3" w:rsidRDefault="00A26BD8" w:rsidP="000805D1">
      <w:pPr>
        <w:pStyle w:val="Nadpis3"/>
        <w:ind w:left="426" w:hanging="426"/>
      </w:pPr>
      <w:r w:rsidRPr="006E42B3">
        <w:t xml:space="preserve">Nesprávné účtování a vykazování vratek </w:t>
      </w:r>
    </w:p>
    <w:p w14:paraId="203E25D4" w14:textId="62E7FA62" w:rsidR="00F276E4" w:rsidRPr="00623B07" w:rsidRDefault="00A26BD8" w:rsidP="00F276E4">
      <w:pPr>
        <w:rPr>
          <w:rFonts w:eastAsia="Calibri"/>
          <w:szCs w:val="22"/>
        </w:rPr>
      </w:pPr>
      <w:r>
        <w:rPr>
          <w:rFonts w:eastAsia="Calibri"/>
          <w:szCs w:val="22"/>
        </w:rPr>
        <w:t>V roce 2019 MŠMT v</w:t>
      </w:r>
      <w:r w:rsidRPr="00623B07">
        <w:rPr>
          <w:rFonts w:eastAsia="Calibri"/>
          <w:szCs w:val="22"/>
        </w:rPr>
        <w:t xml:space="preserve"> rámci OP VVV přijalo od příjemců </w:t>
      </w:r>
      <w:r w:rsidR="00A4540D">
        <w:rPr>
          <w:rFonts w:eastAsia="Calibri"/>
          <w:szCs w:val="22"/>
        </w:rPr>
        <w:t xml:space="preserve">vratky </w:t>
      </w:r>
      <w:r w:rsidRPr="00623B07">
        <w:rPr>
          <w:rFonts w:eastAsia="Calibri"/>
          <w:szCs w:val="22"/>
        </w:rPr>
        <w:t>dotací</w:t>
      </w:r>
      <w:r w:rsidR="00E8242C">
        <w:rPr>
          <w:rFonts w:eastAsia="Calibri"/>
          <w:szCs w:val="22"/>
        </w:rPr>
        <w:t xml:space="preserve"> </w:t>
      </w:r>
      <w:r w:rsidRPr="00623B07">
        <w:rPr>
          <w:rFonts w:eastAsia="Calibri"/>
          <w:szCs w:val="22"/>
        </w:rPr>
        <w:t>na základě výz</w:t>
      </w:r>
      <w:r w:rsidR="00AE299D">
        <w:rPr>
          <w:rFonts w:eastAsia="Calibri"/>
          <w:szCs w:val="22"/>
        </w:rPr>
        <w:t>e</w:t>
      </w:r>
      <w:r w:rsidRPr="00623B07">
        <w:rPr>
          <w:rFonts w:eastAsia="Calibri"/>
          <w:szCs w:val="22"/>
        </w:rPr>
        <w:t>v</w:t>
      </w:r>
      <w:r w:rsidR="004C0BF9">
        <w:rPr>
          <w:rFonts w:eastAsia="Calibri"/>
          <w:szCs w:val="22"/>
        </w:rPr>
        <w:t xml:space="preserve"> </w:t>
      </w:r>
      <w:r w:rsidRPr="00623B07">
        <w:rPr>
          <w:rFonts w:eastAsia="Calibri"/>
          <w:szCs w:val="22"/>
        </w:rPr>
        <w:t>říd</w:t>
      </w:r>
      <w:r w:rsidR="00AE299D">
        <w:rPr>
          <w:rFonts w:eastAsia="Calibri"/>
          <w:szCs w:val="22"/>
        </w:rPr>
        <w:t>i</w:t>
      </w:r>
      <w:r w:rsidRPr="00623B07">
        <w:rPr>
          <w:rFonts w:eastAsia="Calibri"/>
          <w:szCs w:val="22"/>
        </w:rPr>
        <w:t xml:space="preserve">cího orgánu </w:t>
      </w:r>
      <w:r w:rsidR="00AE299D">
        <w:rPr>
          <w:rFonts w:eastAsia="Calibri"/>
          <w:szCs w:val="22"/>
        </w:rPr>
        <w:t xml:space="preserve">(MŠMT) </w:t>
      </w:r>
      <w:r w:rsidR="004C0BF9">
        <w:rPr>
          <w:rFonts w:eastAsia="Calibri"/>
          <w:szCs w:val="22"/>
        </w:rPr>
        <w:t xml:space="preserve">k vrácení dotace nebo její části </w:t>
      </w:r>
      <w:r w:rsidR="00AE299D">
        <w:rPr>
          <w:rFonts w:eastAsia="Calibri"/>
          <w:szCs w:val="22"/>
        </w:rPr>
        <w:t xml:space="preserve">– tyto </w:t>
      </w:r>
      <w:r w:rsidR="00151137">
        <w:rPr>
          <w:rFonts w:eastAsia="Calibri"/>
          <w:szCs w:val="22"/>
        </w:rPr>
        <w:t>výzvy</w:t>
      </w:r>
      <w:r w:rsidR="00AE299D">
        <w:rPr>
          <w:rFonts w:eastAsia="Calibri"/>
          <w:szCs w:val="22"/>
        </w:rPr>
        <w:t xml:space="preserve"> byly </w:t>
      </w:r>
      <w:r w:rsidRPr="00623B07">
        <w:rPr>
          <w:rFonts w:eastAsia="Calibri"/>
          <w:szCs w:val="22"/>
        </w:rPr>
        <w:t>vyd</w:t>
      </w:r>
      <w:r w:rsidR="00AE299D">
        <w:rPr>
          <w:rFonts w:eastAsia="Calibri"/>
          <w:szCs w:val="22"/>
        </w:rPr>
        <w:t>ány</w:t>
      </w:r>
      <w:r w:rsidRPr="00623B07">
        <w:rPr>
          <w:rFonts w:eastAsia="Calibri"/>
          <w:szCs w:val="22"/>
        </w:rPr>
        <w:t xml:space="preserve"> dle </w:t>
      </w:r>
      <w:r w:rsidR="00AB2195">
        <w:rPr>
          <w:rFonts w:eastAsia="Calibri"/>
          <w:szCs w:val="22"/>
        </w:rPr>
        <w:t xml:space="preserve">ustanovení </w:t>
      </w:r>
      <w:r w:rsidRPr="00623B07">
        <w:rPr>
          <w:rFonts w:eastAsia="Calibri"/>
          <w:szCs w:val="22"/>
        </w:rPr>
        <w:t>§ 14</w:t>
      </w:r>
      <w:r w:rsidR="00623B07" w:rsidRPr="00623B07">
        <w:rPr>
          <w:rFonts w:eastAsia="Calibri"/>
          <w:szCs w:val="22"/>
        </w:rPr>
        <w:t>f</w:t>
      </w:r>
      <w:r w:rsidRPr="00623B07">
        <w:rPr>
          <w:rFonts w:eastAsia="Calibri"/>
          <w:szCs w:val="22"/>
        </w:rPr>
        <w:t xml:space="preserve"> odst. 3 zákona č. 218/2000 Sb.</w:t>
      </w:r>
      <w:r>
        <w:rPr>
          <w:rStyle w:val="Znakapoznpodarou"/>
          <w:rFonts w:eastAsia="Calibri"/>
          <w:szCs w:val="22"/>
        </w:rPr>
        <w:footnoteReference w:id="8"/>
      </w:r>
    </w:p>
    <w:p w14:paraId="0B3DFB41" w14:textId="77777777" w:rsidR="0096535D" w:rsidRDefault="0096535D" w:rsidP="00F276E4">
      <w:pPr>
        <w:rPr>
          <w:rFonts w:eastAsia="Calibri"/>
          <w:szCs w:val="22"/>
        </w:rPr>
      </w:pPr>
    </w:p>
    <w:p w14:paraId="63DC99CB" w14:textId="50A59527" w:rsidR="00F276E4" w:rsidRPr="00623B07" w:rsidRDefault="00A26BD8" w:rsidP="00F276E4">
      <w:pPr>
        <w:rPr>
          <w:rFonts w:eastAsia="Calibri"/>
          <w:szCs w:val="22"/>
        </w:rPr>
      </w:pPr>
      <w:r w:rsidRPr="00623B07">
        <w:rPr>
          <w:rFonts w:eastAsia="Calibri"/>
          <w:szCs w:val="22"/>
        </w:rPr>
        <w:t xml:space="preserve">Vratky </w:t>
      </w:r>
      <w:r w:rsidR="003566E5">
        <w:rPr>
          <w:rFonts w:eastAsia="Calibri"/>
          <w:szCs w:val="22"/>
        </w:rPr>
        <w:t xml:space="preserve">dotací </w:t>
      </w:r>
      <w:r w:rsidRPr="00623B07">
        <w:rPr>
          <w:rFonts w:eastAsia="Calibri"/>
          <w:szCs w:val="22"/>
        </w:rPr>
        <w:t xml:space="preserve">vyplývaly z kontrolních postupů, </w:t>
      </w:r>
      <w:r w:rsidR="00AE299D">
        <w:rPr>
          <w:rFonts w:eastAsia="Calibri"/>
          <w:szCs w:val="22"/>
        </w:rPr>
        <w:t>jež</w:t>
      </w:r>
      <w:r w:rsidRPr="00623B07">
        <w:rPr>
          <w:rFonts w:eastAsia="Calibri"/>
          <w:szCs w:val="22"/>
        </w:rPr>
        <w:t xml:space="preserve"> MŠMT uplatnilo při administrativním ověření žádostí o platbu </w:t>
      </w:r>
      <w:r w:rsidR="00AE299D">
        <w:rPr>
          <w:rFonts w:eastAsia="Calibri"/>
          <w:szCs w:val="22"/>
        </w:rPr>
        <w:t>a jejichž prostřednictvím</w:t>
      </w:r>
      <w:r w:rsidR="00F32616">
        <w:rPr>
          <w:rFonts w:eastAsia="Calibri"/>
          <w:szCs w:val="22"/>
        </w:rPr>
        <w:t xml:space="preserve"> </w:t>
      </w:r>
      <w:r w:rsidRPr="00623B07">
        <w:rPr>
          <w:rFonts w:eastAsia="Calibri"/>
          <w:szCs w:val="22"/>
        </w:rPr>
        <w:t>identifikoval</w:t>
      </w:r>
      <w:r w:rsidR="00F32616">
        <w:rPr>
          <w:rFonts w:eastAsia="Calibri"/>
          <w:szCs w:val="22"/>
        </w:rPr>
        <w:t>o</w:t>
      </w:r>
      <w:r w:rsidRPr="00623B07">
        <w:rPr>
          <w:rFonts w:eastAsia="Calibri"/>
          <w:szCs w:val="22"/>
        </w:rPr>
        <w:t xml:space="preserve"> </w:t>
      </w:r>
      <w:r w:rsidR="00F32616">
        <w:rPr>
          <w:rFonts w:eastAsia="Calibri"/>
          <w:szCs w:val="22"/>
        </w:rPr>
        <w:t xml:space="preserve">(jakožto </w:t>
      </w:r>
      <w:r w:rsidR="00F32616" w:rsidRPr="00623B07">
        <w:rPr>
          <w:rFonts w:eastAsia="Calibri"/>
          <w:szCs w:val="22"/>
        </w:rPr>
        <w:t>říd</w:t>
      </w:r>
      <w:r w:rsidR="00F32616">
        <w:rPr>
          <w:rFonts w:eastAsia="Calibri"/>
          <w:szCs w:val="22"/>
        </w:rPr>
        <w:t>i</w:t>
      </w:r>
      <w:r w:rsidR="00F32616" w:rsidRPr="00623B07">
        <w:rPr>
          <w:rFonts w:eastAsia="Calibri"/>
          <w:szCs w:val="22"/>
        </w:rPr>
        <w:t>cí orgán</w:t>
      </w:r>
      <w:r w:rsidR="00F32616">
        <w:rPr>
          <w:rFonts w:eastAsia="Calibri"/>
          <w:szCs w:val="22"/>
        </w:rPr>
        <w:t>)</w:t>
      </w:r>
      <w:r w:rsidR="00F32616" w:rsidRPr="00623B07">
        <w:rPr>
          <w:rFonts w:eastAsia="Calibri"/>
          <w:szCs w:val="22"/>
        </w:rPr>
        <w:t xml:space="preserve"> </w:t>
      </w:r>
      <w:r w:rsidRPr="00623B07">
        <w:rPr>
          <w:rFonts w:eastAsia="Calibri"/>
          <w:szCs w:val="22"/>
        </w:rPr>
        <w:t>nezpůsobilé výdaje projektu s dopadem na celkovou disponibilní alokaci projektu.</w:t>
      </w:r>
    </w:p>
    <w:p w14:paraId="2104EEE5" w14:textId="77777777" w:rsidR="0096535D" w:rsidRDefault="0096535D" w:rsidP="00A67AD3">
      <w:pPr>
        <w:rPr>
          <w:rFonts w:eastAsia="Calibri"/>
          <w:szCs w:val="22"/>
        </w:rPr>
      </w:pPr>
    </w:p>
    <w:p w14:paraId="554D7B1E" w14:textId="633392CA" w:rsidR="007035DC" w:rsidRDefault="00A26BD8" w:rsidP="00A67AD3">
      <w:pPr>
        <w:rPr>
          <w:rFonts w:eastAsia="Calibri"/>
          <w:szCs w:val="22"/>
        </w:rPr>
      </w:pPr>
      <w:r w:rsidRPr="00623B07">
        <w:rPr>
          <w:rFonts w:eastAsia="Calibri"/>
          <w:szCs w:val="22"/>
        </w:rPr>
        <w:t xml:space="preserve">V souvislosti s přijatými prostředky na základě </w:t>
      </w:r>
      <w:r w:rsidR="003566E5">
        <w:rPr>
          <w:rFonts w:eastAsia="Calibri"/>
          <w:szCs w:val="22"/>
        </w:rPr>
        <w:t xml:space="preserve">výše </w:t>
      </w:r>
      <w:r w:rsidRPr="00623B07">
        <w:rPr>
          <w:rFonts w:eastAsia="Calibri"/>
          <w:szCs w:val="22"/>
        </w:rPr>
        <w:t xml:space="preserve">uvedených výzev </w:t>
      </w:r>
      <w:r w:rsidR="00AE299D" w:rsidRPr="00623B07">
        <w:rPr>
          <w:rFonts w:eastAsia="Calibri"/>
          <w:szCs w:val="22"/>
        </w:rPr>
        <w:t xml:space="preserve">vykazovalo </w:t>
      </w:r>
      <w:r w:rsidR="00A67AD3" w:rsidRPr="00623B07">
        <w:rPr>
          <w:rFonts w:eastAsia="Calibri"/>
          <w:szCs w:val="22"/>
        </w:rPr>
        <w:t xml:space="preserve">MŠMT ve svém účetnictví výnosy z přijatých vrácených prostředků jako výnosy z činnosti. </w:t>
      </w:r>
      <w:r w:rsidRPr="00623B07">
        <w:rPr>
          <w:rFonts w:eastAsia="Calibri"/>
          <w:szCs w:val="22"/>
        </w:rPr>
        <w:t>MŠMT při vykazování tak nezohlednilo skutečnost</w:t>
      </w:r>
      <w:r w:rsidR="00A67AD3" w:rsidRPr="00623B07">
        <w:rPr>
          <w:rFonts w:eastAsia="Calibri"/>
          <w:szCs w:val="22"/>
        </w:rPr>
        <w:t>, že příjemce</w:t>
      </w:r>
      <w:r w:rsidRPr="00623B07">
        <w:rPr>
          <w:rFonts w:eastAsia="Calibri"/>
          <w:szCs w:val="22"/>
        </w:rPr>
        <w:t xml:space="preserve"> část poskytnuté</w:t>
      </w:r>
      <w:r w:rsidR="00A67AD3" w:rsidRPr="00623B07">
        <w:rPr>
          <w:rFonts w:eastAsia="Calibri"/>
          <w:szCs w:val="22"/>
        </w:rPr>
        <w:t xml:space="preserve"> dotac</w:t>
      </w:r>
      <w:r w:rsidR="002423B3">
        <w:rPr>
          <w:rFonts w:eastAsia="Calibri"/>
          <w:szCs w:val="22"/>
        </w:rPr>
        <w:t>e</w:t>
      </w:r>
      <w:r w:rsidR="00A67AD3" w:rsidRPr="00623B07">
        <w:rPr>
          <w:rFonts w:eastAsia="Calibri"/>
          <w:szCs w:val="22"/>
        </w:rPr>
        <w:t xml:space="preserve"> vynaložil v rozporu s</w:t>
      </w:r>
      <w:r w:rsidR="00F25981">
        <w:rPr>
          <w:rFonts w:eastAsia="Calibri"/>
          <w:szCs w:val="22"/>
        </w:rPr>
        <w:t> </w:t>
      </w:r>
      <w:r w:rsidR="00A67AD3" w:rsidRPr="00623B07">
        <w:rPr>
          <w:rFonts w:eastAsia="Calibri"/>
          <w:szCs w:val="22"/>
        </w:rPr>
        <w:t>podmínkami</w:t>
      </w:r>
      <w:r w:rsidR="00F25981">
        <w:rPr>
          <w:rFonts w:eastAsia="Calibri"/>
          <w:szCs w:val="22"/>
        </w:rPr>
        <w:t>. V důsledku toho MŠMT nezpůsobilé výdaje s dopadem na celkovou disponibilní alokaci projektu z</w:t>
      </w:r>
      <w:r w:rsidR="005857C0">
        <w:rPr>
          <w:rFonts w:eastAsia="Calibri"/>
          <w:szCs w:val="22"/>
        </w:rPr>
        <w:t xml:space="preserve">ároveň </w:t>
      </w:r>
      <w:r w:rsidR="00623B07" w:rsidRPr="00623B07">
        <w:rPr>
          <w:rFonts w:eastAsia="Calibri"/>
          <w:szCs w:val="22"/>
        </w:rPr>
        <w:t>vykazovalo jako nevyúčtovanou zálohu na transfer</w:t>
      </w:r>
      <w:r w:rsidR="00825076">
        <w:rPr>
          <w:rFonts w:eastAsia="Calibri"/>
          <w:szCs w:val="22"/>
        </w:rPr>
        <w:t xml:space="preserve"> </w:t>
      </w:r>
      <w:r w:rsidR="00C90F9A">
        <w:rPr>
          <w:rFonts w:eastAsia="Calibri"/>
          <w:szCs w:val="22"/>
        </w:rPr>
        <w:t>a </w:t>
      </w:r>
      <w:r w:rsidR="00825076">
        <w:rPr>
          <w:rFonts w:eastAsia="Calibri"/>
          <w:szCs w:val="22"/>
        </w:rPr>
        <w:t>náklady z poskytnutého transferu.</w:t>
      </w:r>
      <w:r w:rsidR="00623B07">
        <w:rPr>
          <w:rFonts w:eastAsia="Calibri"/>
          <w:szCs w:val="22"/>
        </w:rPr>
        <w:t xml:space="preserve"> </w:t>
      </w:r>
    </w:p>
    <w:p w14:paraId="18790305" w14:textId="77777777" w:rsidR="0096535D" w:rsidRDefault="0096535D" w:rsidP="008B3FCB"/>
    <w:p w14:paraId="7575977A" w14:textId="77777777" w:rsidR="00A67AD3" w:rsidRPr="00772B62" w:rsidRDefault="00A26BD8" w:rsidP="008B3FCB">
      <w:r w:rsidRPr="00772B62">
        <w:t xml:space="preserve">V důsledku této skutečnosti MŠMT v rozvaze v údajích za běžné období nadhodnotilo zůstatek účtu </w:t>
      </w:r>
      <w:r w:rsidRPr="00516E59">
        <w:rPr>
          <w:b/>
          <w:bCs/>
          <w:iCs/>
        </w:rPr>
        <w:t>471</w:t>
      </w:r>
      <w:r w:rsidRPr="00772B62">
        <w:rPr>
          <w:b/>
          <w:bCs/>
          <w:i/>
          <w:iCs/>
        </w:rPr>
        <w:t xml:space="preserve"> – Dlouhodobé poskytnuté zálohy na transfery</w:t>
      </w:r>
      <w:r w:rsidRPr="00772B62">
        <w:rPr>
          <w:b/>
          <w:bCs/>
          <w:iCs/>
        </w:rPr>
        <w:t xml:space="preserve"> o 19</w:t>
      </w:r>
      <w:r w:rsidR="00B7700D">
        <w:rPr>
          <w:b/>
          <w:bCs/>
          <w:iCs/>
        </w:rPr>
        <w:t>,</w:t>
      </w:r>
      <w:r w:rsidRPr="00772B62">
        <w:rPr>
          <w:b/>
          <w:bCs/>
          <w:iCs/>
        </w:rPr>
        <w:t>1</w:t>
      </w:r>
      <w:r w:rsidR="00B7700D">
        <w:rPr>
          <w:b/>
          <w:bCs/>
          <w:iCs/>
        </w:rPr>
        <w:t xml:space="preserve"> mil. Kč</w:t>
      </w:r>
      <w:r w:rsidRPr="00772B62">
        <w:t xml:space="preserve"> a o stejnou částku nadhodnotilo zůstatek účtu </w:t>
      </w:r>
      <w:r w:rsidRPr="00516E59">
        <w:rPr>
          <w:b/>
          <w:bCs/>
          <w:iCs/>
        </w:rPr>
        <w:t>389</w:t>
      </w:r>
      <w:r w:rsidRPr="00772B62">
        <w:rPr>
          <w:b/>
          <w:bCs/>
          <w:i/>
          <w:iCs/>
        </w:rPr>
        <w:t xml:space="preserve"> – Dohadné účty pasivní. </w:t>
      </w:r>
      <w:r w:rsidRPr="00772B62">
        <w:rPr>
          <w:bCs/>
          <w:iCs/>
        </w:rPr>
        <w:t xml:space="preserve">MŠMT dále ve výkazu zisku a ztráty v údajích za běžné účetní období </w:t>
      </w:r>
      <w:r w:rsidRPr="00772B62">
        <w:rPr>
          <w:b/>
          <w:bCs/>
          <w:iCs/>
        </w:rPr>
        <w:t>nadhodnotilo zůst</w:t>
      </w:r>
      <w:r w:rsidR="00772B62" w:rsidRPr="00772B62">
        <w:rPr>
          <w:b/>
          <w:bCs/>
          <w:iCs/>
        </w:rPr>
        <w:t>ate</w:t>
      </w:r>
      <w:r w:rsidRPr="00772B62">
        <w:rPr>
          <w:b/>
          <w:bCs/>
          <w:iCs/>
        </w:rPr>
        <w:t xml:space="preserve">k účtu </w:t>
      </w:r>
      <w:r w:rsidRPr="00516E59">
        <w:rPr>
          <w:b/>
          <w:bCs/>
          <w:iCs/>
        </w:rPr>
        <w:t>649</w:t>
      </w:r>
      <w:r w:rsidRPr="00772B62">
        <w:rPr>
          <w:b/>
          <w:bCs/>
          <w:i/>
          <w:iCs/>
        </w:rPr>
        <w:t xml:space="preserve"> – Ostatní výnosy z činnosti </w:t>
      </w:r>
      <w:r w:rsidRPr="00772B62">
        <w:rPr>
          <w:b/>
          <w:bCs/>
          <w:iCs/>
        </w:rPr>
        <w:t xml:space="preserve">o </w:t>
      </w:r>
      <w:r w:rsidR="00B7700D" w:rsidRPr="00772B62">
        <w:rPr>
          <w:b/>
          <w:bCs/>
          <w:iCs/>
        </w:rPr>
        <w:t>19</w:t>
      </w:r>
      <w:r w:rsidR="00B7700D">
        <w:rPr>
          <w:b/>
          <w:bCs/>
          <w:iCs/>
        </w:rPr>
        <w:t>,</w:t>
      </w:r>
      <w:r w:rsidR="00B7700D" w:rsidRPr="00772B62">
        <w:rPr>
          <w:b/>
          <w:bCs/>
          <w:iCs/>
        </w:rPr>
        <w:t>1</w:t>
      </w:r>
      <w:r w:rsidR="00B7700D">
        <w:rPr>
          <w:b/>
          <w:bCs/>
          <w:iCs/>
        </w:rPr>
        <w:t xml:space="preserve"> mil. Kč</w:t>
      </w:r>
      <w:r w:rsidRPr="00772B62">
        <w:rPr>
          <w:b/>
          <w:bCs/>
          <w:iCs/>
        </w:rPr>
        <w:t xml:space="preserve">, nadhodnotilo zůstatek účtu </w:t>
      </w:r>
      <w:r w:rsidRPr="00516E59">
        <w:rPr>
          <w:b/>
          <w:bCs/>
          <w:iCs/>
        </w:rPr>
        <w:t>571</w:t>
      </w:r>
      <w:r w:rsidRPr="00772B62">
        <w:rPr>
          <w:b/>
          <w:bCs/>
          <w:i/>
          <w:iCs/>
        </w:rPr>
        <w:t xml:space="preserve"> – Náklady vybraných ústředních vládních institucí na transfery</w:t>
      </w:r>
      <w:r w:rsidR="00772B62" w:rsidRPr="00772B62">
        <w:rPr>
          <w:b/>
          <w:bCs/>
          <w:iCs/>
        </w:rPr>
        <w:t xml:space="preserve"> o 5</w:t>
      </w:r>
      <w:r w:rsidR="00B7700D">
        <w:rPr>
          <w:b/>
          <w:bCs/>
          <w:iCs/>
        </w:rPr>
        <w:t>,6 mil. Kč</w:t>
      </w:r>
      <w:r w:rsidR="00772B62" w:rsidRPr="00772B62">
        <w:rPr>
          <w:b/>
          <w:bCs/>
          <w:iCs/>
        </w:rPr>
        <w:t xml:space="preserve"> a nadhodnotilo zůstatek účtu </w:t>
      </w:r>
      <w:r w:rsidR="00772B62" w:rsidRPr="00516E59">
        <w:rPr>
          <w:b/>
          <w:bCs/>
          <w:iCs/>
        </w:rPr>
        <w:t>575</w:t>
      </w:r>
      <w:r w:rsidR="00772B62" w:rsidRPr="00772B62">
        <w:rPr>
          <w:b/>
          <w:bCs/>
          <w:i/>
          <w:iCs/>
        </w:rPr>
        <w:t xml:space="preserve"> – Náklady vybraných ústředních vládních institucí na předfinancování transferů </w:t>
      </w:r>
      <w:r w:rsidR="00772B62" w:rsidRPr="00772B62">
        <w:rPr>
          <w:b/>
          <w:bCs/>
          <w:iCs/>
        </w:rPr>
        <w:t>o 13</w:t>
      </w:r>
      <w:r w:rsidR="00B7700D">
        <w:rPr>
          <w:b/>
          <w:bCs/>
          <w:iCs/>
        </w:rPr>
        <w:t>,</w:t>
      </w:r>
      <w:r w:rsidR="00772B62" w:rsidRPr="00772B62">
        <w:rPr>
          <w:b/>
          <w:bCs/>
          <w:iCs/>
        </w:rPr>
        <w:t>5</w:t>
      </w:r>
      <w:r w:rsidR="00B7700D">
        <w:rPr>
          <w:b/>
          <w:bCs/>
          <w:iCs/>
        </w:rPr>
        <w:t xml:space="preserve"> mil. Kč</w:t>
      </w:r>
      <w:r w:rsidR="00772B62" w:rsidRPr="00772B62">
        <w:rPr>
          <w:b/>
          <w:bCs/>
          <w:iCs/>
        </w:rPr>
        <w:t xml:space="preserve">. </w:t>
      </w:r>
    </w:p>
    <w:p w14:paraId="3B411A28" w14:textId="77777777" w:rsidR="003B1A87" w:rsidRPr="003B1A87" w:rsidRDefault="003B1A87" w:rsidP="003B1A87">
      <w:pPr>
        <w:rPr>
          <w:highlight w:val="yellow"/>
        </w:rPr>
      </w:pPr>
    </w:p>
    <w:p w14:paraId="54383B00" w14:textId="77777777" w:rsidR="008A5515" w:rsidRDefault="008A5515">
      <w:pPr>
        <w:spacing w:after="160"/>
        <w:jc w:val="left"/>
        <w:rPr>
          <w:b/>
        </w:rPr>
      </w:pPr>
      <w:r>
        <w:br w:type="page"/>
      </w:r>
    </w:p>
    <w:p w14:paraId="4B954DAB" w14:textId="5EC2049F" w:rsidR="00450EFF" w:rsidRDefault="00A26BD8" w:rsidP="000805D1">
      <w:pPr>
        <w:pStyle w:val="Nadpis3"/>
        <w:keepNext/>
        <w:ind w:left="426" w:hanging="426"/>
      </w:pPr>
      <w:r>
        <w:lastRenderedPageBreak/>
        <w:t>Nesprávné účtování a vykazování vratek z odnětí dotací OP VVV</w:t>
      </w:r>
    </w:p>
    <w:p w14:paraId="39D16A7E" w14:textId="178403F2" w:rsidR="00C0189B" w:rsidRDefault="00C0189B" w:rsidP="00C0189B">
      <w:pPr>
        <w:rPr>
          <w:rFonts w:ascii="Calibri" w:eastAsia="Calibri" w:hAnsi="Calibri"/>
        </w:rPr>
      </w:pPr>
      <w:r w:rsidRPr="00585115">
        <w:rPr>
          <w:rFonts w:ascii="Calibri" w:eastAsia="Calibri" w:hAnsi="Calibri"/>
        </w:rPr>
        <w:t>MŠMT rozhodlo z důvod</w:t>
      </w:r>
      <w:r w:rsidR="00906DFC">
        <w:rPr>
          <w:rFonts w:ascii="Calibri" w:eastAsia="Calibri" w:hAnsi="Calibri"/>
        </w:rPr>
        <w:t>ů</w:t>
      </w:r>
      <w:r w:rsidRPr="00585115">
        <w:rPr>
          <w:rFonts w:ascii="Calibri" w:eastAsia="Calibri" w:hAnsi="Calibri"/>
        </w:rPr>
        <w:t xml:space="preserve"> uvedených v</w:t>
      </w:r>
      <w:r w:rsidR="003C43AC">
        <w:rPr>
          <w:rFonts w:ascii="Calibri" w:eastAsia="Calibri" w:hAnsi="Calibri"/>
        </w:rPr>
        <w:t xml:space="preserve"> ustanovení </w:t>
      </w:r>
      <w:r w:rsidRPr="00585115">
        <w:rPr>
          <w:rFonts w:ascii="Calibri" w:eastAsia="Calibri" w:hAnsi="Calibri"/>
        </w:rPr>
        <w:t>§ 15 odst. 1 písm. d) zákona č.</w:t>
      </w:r>
      <w:r w:rsidR="000805D1">
        <w:rPr>
          <w:rFonts w:ascii="Calibri" w:eastAsia="Calibri" w:hAnsi="Calibri"/>
        </w:rPr>
        <w:t> </w:t>
      </w:r>
      <w:r w:rsidRPr="00585115">
        <w:rPr>
          <w:rFonts w:ascii="Calibri" w:eastAsia="Calibri" w:hAnsi="Calibri"/>
        </w:rPr>
        <w:t>218/2000</w:t>
      </w:r>
      <w:r w:rsidR="000805D1">
        <w:rPr>
          <w:rFonts w:ascii="Calibri" w:eastAsia="Calibri" w:hAnsi="Calibri"/>
        </w:rPr>
        <w:t> </w:t>
      </w:r>
      <w:r w:rsidRPr="00585115">
        <w:rPr>
          <w:rFonts w:ascii="Calibri" w:eastAsia="Calibri" w:hAnsi="Calibri"/>
        </w:rPr>
        <w:t>Sb. o odnětí dotace (transferů)</w:t>
      </w:r>
      <w:r w:rsidR="00906DFC">
        <w:rPr>
          <w:rFonts w:ascii="Calibri" w:eastAsia="Calibri" w:hAnsi="Calibri"/>
        </w:rPr>
        <w:t xml:space="preserve"> z</w:t>
      </w:r>
      <w:r w:rsidRPr="00585115">
        <w:rPr>
          <w:rFonts w:ascii="Calibri" w:eastAsia="Calibri" w:hAnsi="Calibri"/>
        </w:rPr>
        <w:t xml:space="preserve"> </w:t>
      </w:r>
      <w:proofErr w:type="gramStart"/>
      <w:r w:rsidRPr="00585115">
        <w:rPr>
          <w:rFonts w:ascii="Calibri" w:eastAsia="Calibri" w:hAnsi="Calibri"/>
        </w:rPr>
        <w:t>OP</w:t>
      </w:r>
      <w:proofErr w:type="gramEnd"/>
      <w:r w:rsidRPr="00585115">
        <w:rPr>
          <w:rFonts w:ascii="Calibri" w:eastAsia="Calibri" w:hAnsi="Calibri"/>
        </w:rPr>
        <w:t xml:space="preserve"> VVV (dále také „rozhodnutí o odnětí dotace“) u</w:t>
      </w:r>
      <w:r w:rsidR="00A26BA0">
        <w:rPr>
          <w:rFonts w:ascii="Calibri" w:eastAsia="Calibri" w:hAnsi="Calibri"/>
        </w:rPr>
        <w:t> </w:t>
      </w:r>
      <w:r w:rsidRPr="00585115">
        <w:rPr>
          <w:rFonts w:ascii="Calibri" w:eastAsia="Calibri" w:hAnsi="Calibri"/>
        </w:rPr>
        <w:t xml:space="preserve">kontrolovaných účetních případů a v roce 2019 přijalo na základě rozhodnutí o odnětí dotace vratky </w:t>
      </w:r>
      <w:r>
        <w:rPr>
          <w:rFonts w:ascii="Calibri" w:eastAsia="Calibri" w:hAnsi="Calibri"/>
        </w:rPr>
        <w:t>těchto</w:t>
      </w:r>
      <w:r w:rsidRPr="00585115">
        <w:rPr>
          <w:rFonts w:ascii="Calibri" w:eastAsia="Calibri" w:hAnsi="Calibri"/>
        </w:rPr>
        <w:t xml:space="preserve"> dotací (transferů)</w:t>
      </w:r>
      <w:r w:rsidRPr="003A11E6">
        <w:rPr>
          <w:rFonts w:ascii="Calibri" w:eastAsia="Calibri" w:hAnsi="Calibri"/>
        </w:rPr>
        <w:t>.</w:t>
      </w:r>
    </w:p>
    <w:p w14:paraId="31EF47A7" w14:textId="77777777" w:rsidR="00585115" w:rsidRPr="003A11E6" w:rsidRDefault="00585115" w:rsidP="00681B04">
      <w:pPr>
        <w:rPr>
          <w:rFonts w:cstheme="minorHAnsi"/>
        </w:rPr>
      </w:pPr>
    </w:p>
    <w:p w14:paraId="439CB061" w14:textId="52BBC295" w:rsidR="008B610C" w:rsidRPr="003566E5" w:rsidRDefault="00A26BD8" w:rsidP="00681B04">
      <w:pPr>
        <w:rPr>
          <w:rFonts w:cstheme="minorHAnsi"/>
        </w:rPr>
      </w:pPr>
      <w:r w:rsidRPr="008B610C">
        <w:rPr>
          <w:rFonts w:cstheme="minorHAnsi"/>
        </w:rPr>
        <w:t xml:space="preserve">MŠMT v souvislosti s nabytím právní moci rozhodnutí o odnětí dotace </w:t>
      </w:r>
      <w:r w:rsidR="002F20A1" w:rsidRPr="008B610C">
        <w:rPr>
          <w:rFonts w:cstheme="minorHAnsi"/>
        </w:rPr>
        <w:t xml:space="preserve">neúčtovalo </w:t>
      </w:r>
      <w:r w:rsidRPr="008B610C">
        <w:rPr>
          <w:rFonts w:cstheme="minorHAnsi"/>
        </w:rPr>
        <w:t xml:space="preserve">o vzniku pohledávky z transferu, tj. o nároku na vrácení již poskytnuté dotace. Dále tyto vrácené poskytnuté prostředky vykázalo jako výnosy z transferu na účtech </w:t>
      </w:r>
      <w:r w:rsidRPr="00516E59">
        <w:rPr>
          <w:rFonts w:cstheme="minorHAnsi"/>
        </w:rPr>
        <w:t>671</w:t>
      </w:r>
      <w:r w:rsidRPr="008B610C">
        <w:rPr>
          <w:rFonts w:cstheme="minorHAnsi"/>
          <w:i/>
        </w:rPr>
        <w:t xml:space="preserve"> – Výnosy vybraných ústředních vládních institucí z transferů</w:t>
      </w:r>
      <w:r w:rsidRPr="008B610C">
        <w:rPr>
          <w:rFonts w:cstheme="minorHAnsi"/>
        </w:rPr>
        <w:t xml:space="preserve"> a </w:t>
      </w:r>
      <w:r w:rsidRPr="00516E59">
        <w:rPr>
          <w:rFonts w:cstheme="minorHAnsi"/>
        </w:rPr>
        <w:t>675</w:t>
      </w:r>
      <w:r w:rsidRPr="008B610C">
        <w:rPr>
          <w:rFonts w:cstheme="minorHAnsi"/>
          <w:i/>
        </w:rPr>
        <w:t xml:space="preserve"> – Výnosy vybraných ústředních vládních institucí z předfinancování transferů</w:t>
      </w:r>
      <w:r w:rsidRPr="008B610C">
        <w:rPr>
          <w:rFonts w:cstheme="minorHAnsi"/>
        </w:rPr>
        <w:t>, i když mělo účtovat o snížení nákladů</w:t>
      </w:r>
      <w:r w:rsidR="00825076">
        <w:rPr>
          <w:rFonts w:cstheme="minorHAnsi"/>
        </w:rPr>
        <w:t>, které již vykázalo z titulu poskytnuté dotace</w:t>
      </w:r>
      <w:r w:rsidR="000861E1">
        <w:rPr>
          <w:rFonts w:cstheme="minorHAnsi"/>
        </w:rPr>
        <w:t>.</w:t>
      </w:r>
      <w:r w:rsidR="00EA7772">
        <w:rPr>
          <w:rFonts w:cstheme="minorHAnsi"/>
        </w:rPr>
        <w:t xml:space="preserve"> </w:t>
      </w:r>
      <w:r w:rsidRPr="00681B04">
        <w:t xml:space="preserve">MŠMT tak ve výkazu zisku a ztráty v údajích za běžné účetní období nadhodnotilo zůstatek účtu </w:t>
      </w:r>
      <w:r w:rsidRPr="00516E59">
        <w:rPr>
          <w:b/>
        </w:rPr>
        <w:t>675</w:t>
      </w:r>
      <w:r w:rsidRPr="00681B04">
        <w:rPr>
          <w:b/>
          <w:i/>
        </w:rPr>
        <w:t xml:space="preserve"> </w:t>
      </w:r>
      <w:r w:rsidR="00681B04" w:rsidRPr="00681B04">
        <w:rPr>
          <w:b/>
          <w:i/>
        </w:rPr>
        <w:t>–</w:t>
      </w:r>
      <w:r w:rsidRPr="00681B04">
        <w:rPr>
          <w:b/>
          <w:i/>
        </w:rPr>
        <w:t xml:space="preserve"> Výnosy vybraných ústředních vládních institucí z</w:t>
      </w:r>
      <w:r w:rsidR="00FD2346">
        <w:rPr>
          <w:b/>
          <w:i/>
        </w:rPr>
        <w:t> </w:t>
      </w:r>
      <w:r w:rsidRPr="00681B04">
        <w:rPr>
          <w:b/>
          <w:i/>
        </w:rPr>
        <w:t>předfinancování transferů</w:t>
      </w:r>
      <w:r w:rsidRPr="00681B04">
        <w:t xml:space="preserve"> </w:t>
      </w:r>
      <w:r w:rsidRPr="00681B04">
        <w:rPr>
          <w:b/>
        </w:rPr>
        <w:t>o částku ve výši 5</w:t>
      </w:r>
      <w:r w:rsidR="00745A7B">
        <w:rPr>
          <w:b/>
        </w:rPr>
        <w:t>,9 mil.</w:t>
      </w:r>
      <w:r w:rsidRPr="00681B04">
        <w:rPr>
          <w:b/>
        </w:rPr>
        <w:t xml:space="preserve"> Kč</w:t>
      </w:r>
      <w:r w:rsidRPr="00681B04">
        <w:t xml:space="preserve"> a o stejnou částku nadhodnotilo zůstatek účtu </w:t>
      </w:r>
      <w:r w:rsidRPr="00516E59">
        <w:rPr>
          <w:b/>
        </w:rPr>
        <w:t>575</w:t>
      </w:r>
      <w:r w:rsidRPr="00681B04">
        <w:rPr>
          <w:b/>
          <w:i/>
        </w:rPr>
        <w:t xml:space="preserve"> – Náklady vybraných ústředních vládních institucí na předfinancování transfer</w:t>
      </w:r>
      <w:r w:rsidR="00151137">
        <w:rPr>
          <w:b/>
          <w:i/>
        </w:rPr>
        <w:t>ů</w:t>
      </w:r>
      <w:r w:rsidRPr="00516E59">
        <w:rPr>
          <w:b/>
        </w:rPr>
        <w:t>,</w:t>
      </w:r>
      <w:r w:rsidR="00681B04" w:rsidRPr="00681B04">
        <w:t xml:space="preserve"> dále nadhodnotilo zůstatek účtu </w:t>
      </w:r>
      <w:r w:rsidR="00681B04" w:rsidRPr="00516E59">
        <w:rPr>
          <w:b/>
        </w:rPr>
        <w:t>671</w:t>
      </w:r>
      <w:r w:rsidR="00681B04" w:rsidRPr="00681B04">
        <w:rPr>
          <w:b/>
          <w:i/>
        </w:rPr>
        <w:t xml:space="preserve"> – Výnosy vybraných ústředních vládních institucí z transferů</w:t>
      </w:r>
      <w:r w:rsidR="00681B04" w:rsidRPr="00681B04">
        <w:t xml:space="preserve"> </w:t>
      </w:r>
      <w:r w:rsidR="00681B04" w:rsidRPr="00681B04">
        <w:rPr>
          <w:b/>
        </w:rPr>
        <w:t>o částku 1</w:t>
      </w:r>
      <w:r w:rsidR="00745A7B">
        <w:rPr>
          <w:b/>
        </w:rPr>
        <w:t>,2 mil. Kč</w:t>
      </w:r>
      <w:r w:rsidR="00681B04" w:rsidRPr="00681B04">
        <w:t xml:space="preserve"> a o stej</w:t>
      </w:r>
      <w:r w:rsidR="00681B04">
        <w:t>n</w:t>
      </w:r>
      <w:r w:rsidR="00681B04" w:rsidRPr="00681B04">
        <w:t>ou částku nadhod</w:t>
      </w:r>
      <w:r w:rsidR="00681B04">
        <w:t>not</w:t>
      </w:r>
      <w:r w:rsidR="00681B04" w:rsidRPr="00681B04">
        <w:t xml:space="preserve">ilo zůstatek účtu </w:t>
      </w:r>
      <w:r w:rsidR="00681B04" w:rsidRPr="00516E59">
        <w:rPr>
          <w:b/>
        </w:rPr>
        <w:t>571</w:t>
      </w:r>
      <w:r w:rsidR="00FD2346">
        <w:rPr>
          <w:b/>
          <w:i/>
        </w:rPr>
        <w:t> </w:t>
      </w:r>
      <w:r w:rsidR="00681B04" w:rsidRPr="00681B04">
        <w:rPr>
          <w:b/>
          <w:i/>
        </w:rPr>
        <w:t>–</w:t>
      </w:r>
      <w:r w:rsidR="00FD2346">
        <w:rPr>
          <w:b/>
          <w:i/>
        </w:rPr>
        <w:t> </w:t>
      </w:r>
      <w:r w:rsidR="00681B04" w:rsidRPr="00681B04">
        <w:rPr>
          <w:b/>
          <w:i/>
        </w:rPr>
        <w:t>Náklady vybraných ústředních vládních institucí na transfery</w:t>
      </w:r>
      <w:r w:rsidR="00681B04" w:rsidRPr="00516E59">
        <w:rPr>
          <w:b/>
        </w:rPr>
        <w:t>.</w:t>
      </w:r>
      <w:r w:rsidR="00681B04" w:rsidRPr="00681B04">
        <w:t xml:space="preserve"> </w:t>
      </w:r>
    </w:p>
    <w:p w14:paraId="6D27437D" w14:textId="77777777" w:rsidR="00D93728" w:rsidRDefault="00D93728" w:rsidP="00681B04"/>
    <w:p w14:paraId="165512D7" w14:textId="24F900C9" w:rsidR="00681B04" w:rsidRPr="00681B04" w:rsidRDefault="002C2D60" w:rsidP="00681B04">
      <w:r>
        <w:t xml:space="preserve">Dále </w:t>
      </w:r>
      <w:r w:rsidR="00A26BD8">
        <w:t xml:space="preserve">MŠMT v souvislosti s nabytím právní moci rozhodnutí o odnětí dotace </w:t>
      </w:r>
      <w:r>
        <w:t xml:space="preserve">neúčtovalo </w:t>
      </w:r>
      <w:r w:rsidR="00A26BD8">
        <w:t>v případ</w:t>
      </w:r>
      <w:r>
        <w:t>ech</w:t>
      </w:r>
      <w:r w:rsidR="00A26BD8">
        <w:t>, kdy částka vratky pře</w:t>
      </w:r>
      <w:r w:rsidR="00D73AA4">
        <w:t>d</w:t>
      </w:r>
      <w:r w:rsidR="00A26BD8">
        <w:t>stavovala již refundované prostředky</w:t>
      </w:r>
      <w:r w:rsidR="004866F8">
        <w:t xml:space="preserve"> z Národního fondu Ministerstva financí</w:t>
      </w:r>
      <w:r w:rsidR="009D0530">
        <w:t>,</w:t>
      </w:r>
      <w:r w:rsidR="00A26BD8">
        <w:t xml:space="preserve"> o snížení záloh</w:t>
      </w:r>
      <w:r w:rsidR="00AD6C62">
        <w:t xml:space="preserve"> </w:t>
      </w:r>
      <w:r w:rsidR="00A26BD8">
        <w:t>a dohadných položek pasivních. V důsledku této skutečnosti MŠMT v rozvaze v údajích za běžné období nadhodnotilo zůstatek účtu</w:t>
      </w:r>
      <w:r>
        <w:t xml:space="preserve"> </w:t>
      </w:r>
      <w:r w:rsidR="005263D9">
        <w:br/>
      </w:r>
      <w:r w:rsidR="00A26BD8" w:rsidRPr="00516E59">
        <w:rPr>
          <w:b/>
        </w:rPr>
        <w:t>471</w:t>
      </w:r>
      <w:r w:rsidR="00A26BD8" w:rsidRPr="00681B04">
        <w:rPr>
          <w:b/>
          <w:i/>
        </w:rPr>
        <w:t xml:space="preserve"> – Dlouhodobé poskytnuté zálohy na transfery</w:t>
      </w:r>
      <w:r w:rsidR="00A26BD8">
        <w:t xml:space="preserve"> </w:t>
      </w:r>
      <w:r w:rsidR="00A26BD8" w:rsidRPr="00681B04">
        <w:rPr>
          <w:b/>
        </w:rPr>
        <w:t xml:space="preserve">o částku ve výši </w:t>
      </w:r>
      <w:r w:rsidR="007A1C3E" w:rsidRPr="00681B04">
        <w:rPr>
          <w:b/>
        </w:rPr>
        <w:t>1</w:t>
      </w:r>
      <w:r w:rsidR="007A1C3E">
        <w:rPr>
          <w:b/>
        </w:rPr>
        <w:t xml:space="preserve">,2 mil. </w:t>
      </w:r>
      <w:r w:rsidR="00A26BD8" w:rsidRPr="00681B04">
        <w:rPr>
          <w:b/>
        </w:rPr>
        <w:t>Kč</w:t>
      </w:r>
      <w:r w:rsidR="00A26BD8">
        <w:t xml:space="preserve"> a o</w:t>
      </w:r>
      <w:r w:rsidR="005263D9">
        <w:t xml:space="preserve"> </w:t>
      </w:r>
      <w:r w:rsidR="00A26BD8">
        <w:t xml:space="preserve">stejnou částku nadhodnotilo zůstatek účtu </w:t>
      </w:r>
      <w:r w:rsidR="00A26BD8" w:rsidRPr="00516E59">
        <w:rPr>
          <w:b/>
        </w:rPr>
        <w:t>389</w:t>
      </w:r>
      <w:r w:rsidR="00A26BD8" w:rsidRPr="00681B04">
        <w:rPr>
          <w:b/>
          <w:i/>
        </w:rPr>
        <w:t xml:space="preserve"> –</w:t>
      </w:r>
      <w:r w:rsidR="00A26BD8">
        <w:rPr>
          <w:b/>
          <w:i/>
        </w:rPr>
        <w:t xml:space="preserve"> D</w:t>
      </w:r>
      <w:r w:rsidR="00A26BD8" w:rsidRPr="00681B04">
        <w:rPr>
          <w:b/>
          <w:i/>
        </w:rPr>
        <w:t>ohadné účty pasivní</w:t>
      </w:r>
      <w:r w:rsidR="00A26BD8" w:rsidRPr="00516E59">
        <w:rPr>
          <w:b/>
        </w:rPr>
        <w:t>.</w:t>
      </w:r>
      <w:r w:rsidR="00A26BD8">
        <w:t xml:space="preserve"> </w:t>
      </w:r>
    </w:p>
    <w:p w14:paraId="58C08278" w14:textId="77777777" w:rsidR="00450EFF" w:rsidRPr="00450EFF" w:rsidRDefault="00450EFF" w:rsidP="00450EFF"/>
    <w:p w14:paraId="6C5A108E" w14:textId="77777777" w:rsidR="001C23C9" w:rsidRPr="00450EFF" w:rsidRDefault="00A26BD8" w:rsidP="000805D1">
      <w:pPr>
        <w:pStyle w:val="Nadpis3"/>
        <w:ind w:left="426" w:hanging="426"/>
      </w:pPr>
      <w:r w:rsidRPr="00450EFF">
        <w:t xml:space="preserve">Neúčtování o </w:t>
      </w:r>
      <w:r w:rsidR="009D58CC">
        <w:t>pohledávkách</w:t>
      </w:r>
    </w:p>
    <w:p w14:paraId="563A050E" w14:textId="77777777" w:rsidR="001C23C9" w:rsidRPr="00297E02" w:rsidRDefault="00A26BD8" w:rsidP="001C23C9">
      <w:pPr>
        <w:rPr>
          <w:b/>
        </w:rPr>
      </w:pPr>
      <w:r>
        <w:t xml:space="preserve">MŠMT </w:t>
      </w:r>
      <w:r w:rsidR="00AD6C62">
        <w:t xml:space="preserve">neúčtovalo a </w:t>
      </w:r>
      <w:r>
        <w:t xml:space="preserve">nevykázalo v účetnictví pohledávky a související výnosy vyplývající z neuhrazených rozhodnutí dle zákona č. 111/1998 Sb., </w:t>
      </w:r>
      <w:r w:rsidR="000861E1">
        <w:t xml:space="preserve">o </w:t>
      </w:r>
      <w:r w:rsidRPr="00460D8B">
        <w:rPr>
          <w:rFonts w:cstheme="minorHAnsi"/>
          <w:bCs/>
          <w:iCs/>
        </w:rPr>
        <w:t>vysokých školách</w:t>
      </w:r>
      <w:r w:rsidR="00CB4425">
        <w:rPr>
          <w:rFonts w:cstheme="minorHAnsi"/>
          <w:bCs/>
          <w:iCs/>
        </w:rPr>
        <w:t xml:space="preserve"> </w:t>
      </w:r>
      <w:r w:rsidR="00A26BA0">
        <w:rPr>
          <w:rFonts w:ascii="Calibri" w:eastAsia="Calibri" w:hAnsi="Calibri"/>
        </w:rPr>
        <w:t>a o změně a </w:t>
      </w:r>
      <w:r w:rsidR="00CB4425" w:rsidRPr="00CB4425">
        <w:rPr>
          <w:rFonts w:ascii="Calibri" w:eastAsia="Calibri" w:hAnsi="Calibri"/>
        </w:rPr>
        <w:t>doplnění dalších zákonů (zákon o vysokých školách)</w:t>
      </w:r>
      <w:r w:rsidR="000861E1">
        <w:rPr>
          <w:rFonts w:cstheme="minorHAnsi"/>
          <w:bCs/>
          <w:iCs/>
        </w:rPr>
        <w:t>,</w:t>
      </w:r>
      <w:r>
        <w:t xml:space="preserve"> a </w:t>
      </w:r>
      <w:r w:rsidR="000861E1">
        <w:t xml:space="preserve">dále </w:t>
      </w:r>
      <w:r>
        <w:t>náhrad</w:t>
      </w:r>
      <w:r w:rsidR="000861E1">
        <w:t>y</w:t>
      </w:r>
      <w:r>
        <w:t xml:space="preserve"> nákladů řízení dle zákona č. 250/2016 Sb., </w:t>
      </w:r>
      <w:r w:rsidRPr="00460D8B">
        <w:rPr>
          <w:rFonts w:cstheme="minorHAnsi"/>
          <w:bCs/>
          <w:iCs/>
        </w:rPr>
        <w:t>o odpovědnosti za přestupky a řízení o nich</w:t>
      </w:r>
      <w:r>
        <w:rPr>
          <w:rFonts w:cstheme="minorHAnsi"/>
          <w:bCs/>
          <w:iCs/>
        </w:rPr>
        <w:t>.</w:t>
      </w:r>
      <w:r>
        <w:t xml:space="preserve"> </w:t>
      </w:r>
      <w:r w:rsidR="009D58CC">
        <w:rPr>
          <w:b/>
        </w:rPr>
        <w:t>Ú</w:t>
      </w:r>
      <w:r w:rsidR="002D1482">
        <w:rPr>
          <w:b/>
        </w:rPr>
        <w:t>četnictví MŠMT za rok 2019</w:t>
      </w:r>
      <w:r w:rsidRPr="00297E02">
        <w:rPr>
          <w:b/>
        </w:rPr>
        <w:t xml:space="preserve"> bylo</w:t>
      </w:r>
      <w:r w:rsidR="009D58CC">
        <w:rPr>
          <w:b/>
        </w:rPr>
        <w:t xml:space="preserve"> tedy</w:t>
      </w:r>
      <w:r w:rsidRPr="00297E02">
        <w:rPr>
          <w:b/>
        </w:rPr>
        <w:t xml:space="preserve"> neúplné</w:t>
      </w:r>
      <w:r w:rsidR="00825076">
        <w:rPr>
          <w:b/>
        </w:rPr>
        <w:t>, neboť MŠMT</w:t>
      </w:r>
      <w:r w:rsidR="001950B5">
        <w:rPr>
          <w:b/>
        </w:rPr>
        <w:t xml:space="preserve"> nezaúčtovalo v účetním období roku 2019 v účetních knihách všechny </w:t>
      </w:r>
      <w:r w:rsidR="00AD6C62">
        <w:rPr>
          <w:b/>
        </w:rPr>
        <w:t>účetní případy</w:t>
      </w:r>
      <w:r w:rsidR="001950B5">
        <w:rPr>
          <w:b/>
        </w:rPr>
        <w:t>, tj.</w:t>
      </w:r>
      <w:r w:rsidR="00825076">
        <w:rPr>
          <w:b/>
        </w:rPr>
        <w:t xml:space="preserve"> nevykázalo veškeré nároky státního rozpočtu.</w:t>
      </w:r>
    </w:p>
    <w:p w14:paraId="0AE0D277" w14:textId="77777777" w:rsidR="00CB4425" w:rsidRDefault="00CB4425" w:rsidP="001C23C9"/>
    <w:p w14:paraId="6DF6D3AE" w14:textId="325202F4" w:rsidR="001C23C9" w:rsidRDefault="00365469" w:rsidP="000805D1">
      <w:pPr>
        <w:pStyle w:val="Nadpis3"/>
        <w:ind w:left="426" w:hanging="426"/>
      </w:pPr>
      <w:r>
        <w:t>Neuvedení</w:t>
      </w:r>
      <w:r w:rsidR="00A26BD8">
        <w:t xml:space="preserve"> významných skutečnost</w:t>
      </w:r>
      <w:r>
        <w:t>í</w:t>
      </w:r>
      <w:r w:rsidR="00A26BD8">
        <w:t xml:space="preserve"> v příloze ÚZ</w:t>
      </w:r>
    </w:p>
    <w:p w14:paraId="312399BF" w14:textId="5935BD07" w:rsidR="00816B3F" w:rsidRPr="00816B3F" w:rsidRDefault="00A26BD8" w:rsidP="00E52B14">
      <w:pPr>
        <w:rPr>
          <w:lang w:eastAsia="cs-CZ"/>
        </w:rPr>
      </w:pPr>
      <w:r w:rsidRPr="00816B3F">
        <w:rPr>
          <w:rFonts w:cstheme="minorHAnsi"/>
          <w:bCs/>
          <w:iCs/>
        </w:rPr>
        <w:t xml:space="preserve">MŠMT </w:t>
      </w:r>
      <w:r w:rsidRPr="00816B3F">
        <w:rPr>
          <w:lang w:eastAsia="cs-CZ"/>
        </w:rPr>
        <w:t xml:space="preserve">k 31. </w:t>
      </w:r>
      <w:r w:rsidR="008627CD">
        <w:rPr>
          <w:lang w:eastAsia="cs-CZ"/>
        </w:rPr>
        <w:t>prosinci</w:t>
      </w:r>
      <w:r w:rsidRPr="00816B3F">
        <w:rPr>
          <w:lang w:eastAsia="cs-CZ"/>
        </w:rPr>
        <w:t xml:space="preserve"> 2019 na účtu </w:t>
      </w:r>
      <w:r w:rsidRPr="00516E59">
        <w:rPr>
          <w:b/>
          <w:lang w:eastAsia="cs-CZ"/>
        </w:rPr>
        <w:t>344</w:t>
      </w:r>
      <w:r w:rsidRPr="008627CD">
        <w:rPr>
          <w:b/>
          <w:i/>
          <w:lang w:eastAsia="cs-CZ"/>
        </w:rPr>
        <w:t xml:space="preserve"> –</w:t>
      </w:r>
      <w:r w:rsidRPr="008627CD">
        <w:rPr>
          <w:b/>
          <w:lang w:eastAsia="cs-CZ"/>
        </w:rPr>
        <w:t xml:space="preserve"> </w:t>
      </w:r>
      <w:r w:rsidRPr="008627CD">
        <w:rPr>
          <w:b/>
          <w:i/>
          <w:lang w:eastAsia="cs-CZ"/>
        </w:rPr>
        <w:t>Pohledávky za osobami mimo vybrané vládní instituce</w:t>
      </w:r>
      <w:r w:rsidRPr="00816B3F">
        <w:rPr>
          <w:lang w:eastAsia="cs-CZ"/>
        </w:rPr>
        <w:t xml:space="preserve"> vykázalo zůstatek ve výši 632</w:t>
      </w:r>
      <w:r w:rsidR="007A1C3E">
        <w:rPr>
          <w:lang w:eastAsia="cs-CZ"/>
        </w:rPr>
        <w:t>,5 mil.</w:t>
      </w:r>
      <w:r w:rsidRPr="00816B3F">
        <w:rPr>
          <w:lang w:eastAsia="cs-CZ"/>
        </w:rPr>
        <w:t xml:space="preserve"> Kč</w:t>
      </w:r>
      <w:r w:rsidR="008627CD">
        <w:rPr>
          <w:lang w:eastAsia="cs-CZ"/>
        </w:rPr>
        <w:t xml:space="preserve">. Jednalo se o neuhrazené </w:t>
      </w:r>
      <w:r w:rsidRPr="00816B3F">
        <w:rPr>
          <w:lang w:eastAsia="cs-CZ"/>
        </w:rPr>
        <w:t xml:space="preserve">pohledávky za Národním fondem (dále také „NF“) ze souhrnných žádostí o platbu </w:t>
      </w:r>
      <w:r w:rsidR="00B625CB">
        <w:rPr>
          <w:lang w:eastAsia="cs-CZ"/>
        </w:rPr>
        <w:t xml:space="preserve">z </w:t>
      </w:r>
      <w:r w:rsidR="00B625CB">
        <w:t>o</w:t>
      </w:r>
      <w:r w:rsidRPr="00816B3F">
        <w:t xml:space="preserve">peračního programu </w:t>
      </w:r>
      <w:r w:rsidRPr="00516E59">
        <w:rPr>
          <w:i/>
        </w:rPr>
        <w:t>Výzkum a vývoj pro inovace</w:t>
      </w:r>
      <w:r w:rsidRPr="00816B3F">
        <w:t xml:space="preserve"> (dále také „</w:t>
      </w:r>
      <w:r w:rsidRPr="00816B3F">
        <w:rPr>
          <w:lang w:eastAsia="cs-CZ"/>
        </w:rPr>
        <w:t xml:space="preserve">OP </w:t>
      </w:r>
      <w:proofErr w:type="spellStart"/>
      <w:r w:rsidRPr="00816B3F">
        <w:rPr>
          <w:lang w:eastAsia="cs-CZ"/>
        </w:rPr>
        <w:t>VaVpI</w:t>
      </w:r>
      <w:proofErr w:type="spellEnd"/>
      <w:r w:rsidRPr="00816B3F">
        <w:rPr>
          <w:lang w:eastAsia="cs-CZ"/>
        </w:rPr>
        <w:t>“) ve výši 458</w:t>
      </w:r>
      <w:r w:rsidR="007A1C3E">
        <w:rPr>
          <w:lang w:eastAsia="cs-CZ"/>
        </w:rPr>
        <w:t>,8 mil.</w:t>
      </w:r>
      <w:r w:rsidRPr="00816B3F">
        <w:rPr>
          <w:lang w:eastAsia="cs-CZ"/>
        </w:rPr>
        <w:t xml:space="preserve"> Kč a </w:t>
      </w:r>
      <w:r w:rsidR="00B625CB">
        <w:rPr>
          <w:lang w:eastAsia="cs-CZ"/>
        </w:rPr>
        <w:t>o</w:t>
      </w:r>
      <w:r w:rsidRPr="00816B3F">
        <w:rPr>
          <w:lang w:eastAsia="cs-CZ"/>
        </w:rPr>
        <w:t xml:space="preserve">peračního programu </w:t>
      </w:r>
      <w:r w:rsidRPr="00516E59">
        <w:rPr>
          <w:i/>
          <w:lang w:eastAsia="cs-CZ"/>
        </w:rPr>
        <w:t>Vzdělávání pro konkurenceschopnost</w:t>
      </w:r>
      <w:r w:rsidRPr="00816B3F">
        <w:rPr>
          <w:lang w:eastAsia="cs-CZ"/>
        </w:rPr>
        <w:t xml:space="preserve"> (dále také „OP VK“) ve výši 173</w:t>
      </w:r>
      <w:r w:rsidR="007A1C3E">
        <w:rPr>
          <w:lang w:eastAsia="cs-CZ"/>
        </w:rPr>
        <w:t>,7 mil.</w:t>
      </w:r>
      <w:r w:rsidRPr="00816B3F">
        <w:rPr>
          <w:lang w:eastAsia="cs-CZ"/>
        </w:rPr>
        <w:t xml:space="preserve"> Kč. </w:t>
      </w:r>
    </w:p>
    <w:p w14:paraId="3DCDFEA4" w14:textId="77777777" w:rsidR="00816B3F" w:rsidRDefault="00816B3F" w:rsidP="00E52B14">
      <w:pPr>
        <w:rPr>
          <w:b/>
          <w:lang w:eastAsia="cs-CZ"/>
        </w:rPr>
      </w:pPr>
    </w:p>
    <w:p w14:paraId="22AEB3A5" w14:textId="321CC2AB" w:rsidR="00E52B14" w:rsidRPr="00516E59" w:rsidRDefault="00A26BD8" w:rsidP="009D0530">
      <w:pPr>
        <w:rPr>
          <w:rFonts w:ascii="Calibri" w:eastAsia="Times New Roman" w:hAnsi="Calibri" w:cs="Times New Roman"/>
          <w:b/>
          <w:lang w:eastAsia="cs-CZ"/>
        </w:rPr>
      </w:pPr>
      <w:r>
        <w:lastRenderedPageBreak/>
        <w:t>Uvedené operační programy</w:t>
      </w:r>
      <w:r w:rsidR="001C23C9">
        <w:t xml:space="preserve"> byly spolufinancovány z rozpočtu E</w:t>
      </w:r>
      <w:r w:rsidR="0052503F">
        <w:t>vropské unie (dále také „EU“</w:t>
      </w:r>
      <w:r>
        <w:t>)</w:t>
      </w:r>
      <w:r w:rsidR="001C23C9">
        <w:t xml:space="preserve"> v</w:t>
      </w:r>
      <w:r w:rsidR="00E458C1">
        <w:t> rámci programového období 2007</w:t>
      </w:r>
      <w:r w:rsidR="00E458C1" w:rsidRPr="00E458C1">
        <w:rPr>
          <w:rFonts w:cstheme="minorHAnsi"/>
          <w:i/>
        </w:rPr>
        <w:t>–</w:t>
      </w:r>
      <w:r w:rsidR="001C23C9">
        <w:t>2013</w:t>
      </w:r>
      <w:r w:rsidR="00F43E17">
        <w:t xml:space="preserve"> a jejich financová</w:t>
      </w:r>
      <w:r w:rsidR="001C23C9">
        <w:t>ní bylo ze strany MŠMT coby říd</w:t>
      </w:r>
      <w:r w:rsidR="001B4CA6">
        <w:t>i</w:t>
      </w:r>
      <w:r w:rsidR="001C23C9">
        <w:t>cího orgánu ukončeno</w:t>
      </w:r>
      <w:r w:rsidR="00A367D0">
        <w:t xml:space="preserve"> v roce 2016</w:t>
      </w:r>
      <w:r w:rsidR="001C23C9">
        <w:t xml:space="preserve">. </w:t>
      </w:r>
      <w:r w:rsidR="002068DC">
        <w:rPr>
          <w:b/>
          <w:lang w:eastAsia="cs-CZ"/>
        </w:rPr>
        <w:t>V</w:t>
      </w:r>
      <w:r w:rsidR="0052503F" w:rsidRPr="00460D8B">
        <w:rPr>
          <w:b/>
          <w:lang w:eastAsia="cs-CZ"/>
        </w:rPr>
        <w:t>ynaložené prostředky MŠMT coby říd</w:t>
      </w:r>
      <w:r w:rsidR="001B4CA6">
        <w:rPr>
          <w:b/>
          <w:lang w:eastAsia="cs-CZ"/>
        </w:rPr>
        <w:t>i</w:t>
      </w:r>
      <w:r w:rsidR="0052503F" w:rsidRPr="00460D8B">
        <w:rPr>
          <w:b/>
          <w:lang w:eastAsia="cs-CZ"/>
        </w:rPr>
        <w:t xml:space="preserve">cí orgán zahrnulo do souhrnných žádostí o platbu a nárokovalo tak u </w:t>
      </w:r>
      <w:r>
        <w:rPr>
          <w:b/>
          <w:lang w:eastAsia="cs-CZ"/>
        </w:rPr>
        <w:t>NF</w:t>
      </w:r>
      <w:r w:rsidR="0052503F" w:rsidRPr="00460D8B">
        <w:rPr>
          <w:b/>
          <w:lang w:eastAsia="cs-CZ"/>
        </w:rPr>
        <w:t xml:space="preserve"> prostředky z rozpočtu EU. NF souhrnné žádosti schválil v roce 2016 a částečně proplatil v letech 2016 a 2018, avšak k 31. </w:t>
      </w:r>
      <w:r>
        <w:rPr>
          <w:b/>
          <w:lang w:eastAsia="cs-CZ"/>
        </w:rPr>
        <w:t>prosinci</w:t>
      </w:r>
      <w:r w:rsidR="0052503F" w:rsidRPr="00460D8B">
        <w:rPr>
          <w:b/>
          <w:lang w:eastAsia="cs-CZ"/>
        </w:rPr>
        <w:t xml:space="preserve"> 2019 zbývalo k proplacení 632</w:t>
      </w:r>
      <w:r w:rsidR="007D475C">
        <w:rPr>
          <w:b/>
          <w:lang w:eastAsia="cs-CZ"/>
        </w:rPr>
        <w:t>,5 mil.</w:t>
      </w:r>
      <w:r w:rsidR="0052503F" w:rsidRPr="00460D8B">
        <w:rPr>
          <w:b/>
          <w:lang w:eastAsia="cs-CZ"/>
        </w:rPr>
        <w:t xml:space="preserve"> Kč. Z uvedeného vyplývá, že tyto pohledávky </w:t>
      </w:r>
      <w:r w:rsidR="001B4CA6">
        <w:rPr>
          <w:b/>
          <w:lang w:eastAsia="cs-CZ"/>
        </w:rPr>
        <w:t>vzhledem ke své</w:t>
      </w:r>
      <w:r w:rsidR="0052503F" w:rsidRPr="00460D8B">
        <w:rPr>
          <w:b/>
          <w:lang w:eastAsia="cs-CZ"/>
        </w:rPr>
        <w:t xml:space="preserve"> pova</w:t>
      </w:r>
      <w:r w:rsidR="001B4CA6">
        <w:rPr>
          <w:b/>
          <w:lang w:eastAsia="cs-CZ"/>
        </w:rPr>
        <w:t>ze</w:t>
      </w:r>
      <w:r w:rsidR="0052503F" w:rsidRPr="00460D8B">
        <w:rPr>
          <w:b/>
          <w:lang w:eastAsia="cs-CZ"/>
        </w:rPr>
        <w:t xml:space="preserve"> </w:t>
      </w:r>
      <w:r w:rsidR="001B4CA6">
        <w:rPr>
          <w:b/>
          <w:lang w:eastAsia="cs-CZ"/>
        </w:rPr>
        <w:t xml:space="preserve">a </w:t>
      </w:r>
      <w:r w:rsidR="0052503F" w:rsidRPr="00460D8B">
        <w:rPr>
          <w:b/>
          <w:lang w:eastAsia="cs-CZ"/>
        </w:rPr>
        <w:t>vzhledem k</w:t>
      </w:r>
      <w:r w:rsidR="001B4CA6">
        <w:rPr>
          <w:b/>
          <w:lang w:eastAsia="cs-CZ"/>
        </w:rPr>
        <w:t> </w:t>
      </w:r>
      <w:r w:rsidR="009D0530">
        <w:rPr>
          <w:b/>
          <w:lang w:eastAsia="cs-CZ"/>
        </w:rPr>
        <w:t>finančnímu</w:t>
      </w:r>
      <w:r w:rsidR="001B4CA6">
        <w:rPr>
          <w:b/>
          <w:lang w:eastAsia="cs-CZ"/>
        </w:rPr>
        <w:t xml:space="preserve"> </w:t>
      </w:r>
      <w:r w:rsidR="009D0530">
        <w:rPr>
          <w:b/>
          <w:lang w:eastAsia="cs-CZ"/>
        </w:rPr>
        <w:t>uzavírání</w:t>
      </w:r>
      <w:r w:rsidR="00AF43D1">
        <w:rPr>
          <w:b/>
          <w:lang w:eastAsia="cs-CZ"/>
        </w:rPr>
        <w:t xml:space="preserve"> programového období 2007–</w:t>
      </w:r>
      <w:r w:rsidR="0052503F" w:rsidRPr="00460D8B">
        <w:rPr>
          <w:b/>
          <w:lang w:eastAsia="cs-CZ"/>
        </w:rPr>
        <w:t xml:space="preserve">2013 </w:t>
      </w:r>
      <w:r w:rsidR="001B4CA6" w:rsidRPr="00460D8B">
        <w:rPr>
          <w:b/>
          <w:lang w:eastAsia="cs-CZ"/>
        </w:rPr>
        <w:t xml:space="preserve">představují </w:t>
      </w:r>
      <w:r w:rsidR="0052503F" w:rsidRPr="00460D8B">
        <w:rPr>
          <w:b/>
          <w:lang w:eastAsia="cs-CZ"/>
        </w:rPr>
        <w:t>pro uživatele účetní závěrky významnou informaci o tom, že MŠMT vynaložilo v</w:t>
      </w:r>
      <w:r w:rsidR="00AB2195">
        <w:rPr>
          <w:b/>
          <w:lang w:eastAsia="cs-CZ"/>
        </w:rPr>
        <w:t> rámci programového období 2007</w:t>
      </w:r>
      <w:r w:rsidR="00AB2195" w:rsidRPr="00AB2195">
        <w:rPr>
          <w:rFonts w:cstheme="minorHAnsi"/>
          <w:b/>
          <w:i/>
        </w:rPr>
        <w:t>–</w:t>
      </w:r>
      <w:r w:rsidR="0052503F" w:rsidRPr="00460D8B">
        <w:rPr>
          <w:b/>
          <w:lang w:eastAsia="cs-CZ"/>
        </w:rPr>
        <w:t>2013 prostředky ze SR ve výši 632</w:t>
      </w:r>
      <w:r w:rsidR="007D475C">
        <w:rPr>
          <w:b/>
          <w:lang w:eastAsia="cs-CZ"/>
        </w:rPr>
        <w:t>,5 mil.</w:t>
      </w:r>
      <w:r w:rsidR="0052503F" w:rsidRPr="00460D8B">
        <w:rPr>
          <w:b/>
          <w:lang w:eastAsia="cs-CZ"/>
        </w:rPr>
        <w:t xml:space="preserve"> Kč, které měly být následně do </w:t>
      </w:r>
      <w:r>
        <w:rPr>
          <w:b/>
          <w:lang w:eastAsia="cs-CZ"/>
        </w:rPr>
        <w:t>státního rozpočtu</w:t>
      </w:r>
      <w:r w:rsidR="0052503F" w:rsidRPr="00460D8B">
        <w:rPr>
          <w:b/>
          <w:lang w:eastAsia="cs-CZ"/>
        </w:rPr>
        <w:t xml:space="preserve"> převedeny zpět z rozpočtu EU, avšak k 31. </w:t>
      </w:r>
      <w:r>
        <w:rPr>
          <w:b/>
          <w:lang w:eastAsia="cs-CZ"/>
        </w:rPr>
        <w:t>prosinci</w:t>
      </w:r>
      <w:r w:rsidR="0052503F" w:rsidRPr="00460D8B">
        <w:rPr>
          <w:b/>
          <w:lang w:eastAsia="cs-CZ"/>
        </w:rPr>
        <w:t xml:space="preserve"> 2019 k tomuto převodu nedošlo.</w:t>
      </w:r>
      <w:r>
        <w:rPr>
          <w:b/>
          <w:lang w:eastAsia="cs-CZ"/>
        </w:rPr>
        <w:t xml:space="preserve"> </w:t>
      </w:r>
      <w:r w:rsidRPr="00E52B14">
        <w:rPr>
          <w:rFonts w:ascii="Calibri" w:eastAsia="Times New Roman" w:hAnsi="Calibri" w:cs="Times New Roman"/>
          <w:b/>
        </w:rPr>
        <w:t>MŠMT mělo tuto významnou skutečnost komentovat v </w:t>
      </w:r>
      <w:r w:rsidR="001B4CA6">
        <w:rPr>
          <w:rFonts w:ascii="Calibri" w:eastAsia="Times New Roman" w:hAnsi="Calibri" w:cs="Times New Roman"/>
          <w:b/>
        </w:rPr>
        <w:t>p</w:t>
      </w:r>
      <w:r w:rsidRPr="00E52B14">
        <w:rPr>
          <w:rFonts w:ascii="Calibri" w:eastAsia="Times New Roman" w:hAnsi="Calibri" w:cs="Times New Roman"/>
          <w:b/>
        </w:rPr>
        <w:t>říloze účetní závěrky v </w:t>
      </w:r>
      <w:proofErr w:type="gramStart"/>
      <w:r w:rsidRPr="00E52B14">
        <w:rPr>
          <w:rFonts w:ascii="Calibri" w:eastAsia="Times New Roman" w:hAnsi="Calibri" w:cs="Times New Roman"/>
          <w:b/>
        </w:rPr>
        <w:t>položce</w:t>
      </w:r>
      <w:r w:rsidRPr="00E52B14">
        <w:rPr>
          <w:rFonts w:ascii="Calibri" w:eastAsia="Times New Roman" w:hAnsi="Calibri" w:cs="Times New Roman"/>
          <w:b/>
          <w:i/>
          <w:lang w:eastAsia="cs-CZ"/>
        </w:rPr>
        <w:t xml:space="preserve"> E.1.</w:t>
      </w:r>
      <w:proofErr w:type="gramEnd"/>
      <w:r w:rsidRPr="00E52B14">
        <w:rPr>
          <w:rFonts w:ascii="Calibri" w:eastAsia="Times New Roman" w:hAnsi="Calibri" w:cs="Times New Roman"/>
          <w:b/>
          <w:i/>
          <w:lang w:eastAsia="cs-CZ"/>
        </w:rPr>
        <w:t xml:space="preserve"> Doplňující informace k položkám rozvahy</w:t>
      </w:r>
      <w:r w:rsidRPr="00516E59">
        <w:rPr>
          <w:rFonts w:ascii="Calibri" w:eastAsia="Times New Roman" w:hAnsi="Calibri" w:cs="Times New Roman"/>
          <w:b/>
          <w:lang w:eastAsia="cs-CZ"/>
        </w:rPr>
        <w:t>.</w:t>
      </w:r>
    </w:p>
    <w:p w14:paraId="232E8128" w14:textId="77777777" w:rsidR="00816B3F" w:rsidRDefault="00816B3F" w:rsidP="00E42B55">
      <w:pPr>
        <w:rPr>
          <w:rFonts w:ascii="Calibri" w:eastAsia="Times New Roman" w:hAnsi="Calibri" w:cs="Times New Roman"/>
          <w:lang w:eastAsia="cs-CZ"/>
        </w:rPr>
      </w:pPr>
    </w:p>
    <w:p w14:paraId="4A1DA88F" w14:textId="32A972F2" w:rsidR="00E52B14" w:rsidRPr="00FC55AB" w:rsidRDefault="00D647A4" w:rsidP="00E42B55">
      <w:pPr>
        <w:autoSpaceDE w:val="0"/>
        <w:autoSpaceDN w:val="0"/>
        <w:adjustRightInd w:val="0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MŠMT neinformovalo v příloze ÚZ o významné skutečnosti, že pohledávky z programov</w:t>
      </w:r>
      <w:r w:rsidR="00377949">
        <w:rPr>
          <w:rFonts w:eastAsia="Times New Roman" w:cstheme="minorHAnsi"/>
          <w:b/>
          <w:lang w:eastAsia="cs-CZ"/>
        </w:rPr>
        <w:t>é</w:t>
      </w:r>
      <w:r w:rsidR="00210D84">
        <w:rPr>
          <w:rFonts w:eastAsia="Times New Roman" w:cstheme="minorHAnsi"/>
          <w:b/>
          <w:lang w:eastAsia="cs-CZ"/>
        </w:rPr>
        <w:t>ho</w:t>
      </w:r>
      <w:r>
        <w:rPr>
          <w:rFonts w:eastAsia="Times New Roman" w:cstheme="minorHAnsi"/>
          <w:b/>
          <w:lang w:eastAsia="cs-CZ"/>
        </w:rPr>
        <w:t xml:space="preserve"> období </w:t>
      </w:r>
      <w:r w:rsidR="00AF43D1">
        <w:rPr>
          <w:b/>
          <w:lang w:eastAsia="cs-CZ"/>
        </w:rPr>
        <w:t>2007–</w:t>
      </w:r>
      <w:r w:rsidRPr="00460D8B">
        <w:rPr>
          <w:b/>
          <w:lang w:eastAsia="cs-CZ"/>
        </w:rPr>
        <w:t xml:space="preserve">2013 </w:t>
      </w:r>
      <w:r>
        <w:rPr>
          <w:rFonts w:eastAsia="Times New Roman" w:cstheme="minorHAnsi"/>
          <w:b/>
          <w:lang w:eastAsia="cs-CZ"/>
        </w:rPr>
        <w:t xml:space="preserve">ve výši 632,5 mil. Kč nemusejí být v plné výši uhrazeny. Tato skutečnost se potvrdila v roce 2020, kdy MŠMT obdrželo </w:t>
      </w:r>
      <w:r w:rsidR="00A26BD8" w:rsidRPr="00FC55AB">
        <w:rPr>
          <w:rFonts w:eastAsia="Times New Roman" w:cstheme="minorHAnsi"/>
          <w:b/>
          <w:lang w:eastAsia="cs-CZ"/>
        </w:rPr>
        <w:t xml:space="preserve">od </w:t>
      </w:r>
      <w:r w:rsidR="00816B3F" w:rsidRPr="00FC55AB">
        <w:rPr>
          <w:rFonts w:eastAsia="Times New Roman" w:cstheme="minorHAnsi"/>
          <w:b/>
          <w:lang w:eastAsia="cs-CZ"/>
        </w:rPr>
        <w:t>NF</w:t>
      </w:r>
      <w:r w:rsidR="00AF43D1">
        <w:rPr>
          <w:rFonts w:eastAsia="Times New Roman" w:cstheme="minorHAnsi"/>
          <w:b/>
          <w:lang w:eastAsia="cs-CZ"/>
        </w:rPr>
        <w:t xml:space="preserve"> informaci, že v </w:t>
      </w:r>
      <w:r w:rsidR="00A26BD8" w:rsidRPr="00FC55AB">
        <w:rPr>
          <w:rFonts w:eastAsia="Times New Roman" w:cstheme="minorHAnsi"/>
          <w:b/>
          <w:lang w:eastAsia="cs-CZ"/>
        </w:rPr>
        <w:t>souvislosti s finančním uzav</w:t>
      </w:r>
      <w:r w:rsidR="00AF43D1">
        <w:rPr>
          <w:rFonts w:eastAsia="Times New Roman" w:cstheme="minorHAnsi"/>
          <w:b/>
          <w:lang w:eastAsia="cs-CZ"/>
        </w:rPr>
        <w:t>íráním programového období 2007–</w:t>
      </w:r>
      <w:r w:rsidR="00A26BD8" w:rsidRPr="00FC55AB">
        <w:rPr>
          <w:rFonts w:eastAsia="Times New Roman" w:cstheme="minorHAnsi"/>
          <w:b/>
          <w:lang w:eastAsia="cs-CZ"/>
        </w:rPr>
        <w:t>2013 Ministerstvo financí v březnu 2020 vyřadilo z</w:t>
      </w:r>
      <w:r w:rsidR="0008138C">
        <w:rPr>
          <w:rFonts w:eastAsia="Times New Roman" w:cstheme="minorHAnsi"/>
          <w:b/>
          <w:lang w:eastAsia="cs-CZ"/>
        </w:rPr>
        <w:t> </w:t>
      </w:r>
      <w:r w:rsidR="00A26BD8" w:rsidRPr="00FC55AB">
        <w:rPr>
          <w:rFonts w:eastAsia="Times New Roman" w:cstheme="minorHAnsi"/>
          <w:b/>
          <w:lang w:eastAsia="cs-CZ"/>
        </w:rPr>
        <w:t xml:space="preserve">rozvahových účtů neuhrazené závazky OP VK a OP </w:t>
      </w:r>
      <w:proofErr w:type="spellStart"/>
      <w:r w:rsidR="00A26BD8" w:rsidRPr="00FC55AB">
        <w:rPr>
          <w:rFonts w:eastAsia="Times New Roman" w:cstheme="minorHAnsi"/>
          <w:b/>
          <w:lang w:eastAsia="cs-CZ"/>
        </w:rPr>
        <w:t>VaVpI</w:t>
      </w:r>
      <w:proofErr w:type="spellEnd"/>
      <w:r w:rsidR="00A26BD8" w:rsidRPr="00FC55AB">
        <w:rPr>
          <w:rFonts w:eastAsia="Times New Roman" w:cstheme="minorHAnsi"/>
          <w:b/>
          <w:lang w:eastAsia="cs-CZ"/>
        </w:rPr>
        <w:t xml:space="preserve"> vůči MŠMT</w:t>
      </w:r>
      <w:r w:rsidR="003566E5">
        <w:rPr>
          <w:rFonts w:eastAsia="Times New Roman" w:cstheme="minorHAnsi"/>
          <w:b/>
          <w:lang w:eastAsia="cs-CZ"/>
        </w:rPr>
        <w:t xml:space="preserve">. </w:t>
      </w:r>
      <w:r w:rsidR="00B0701B">
        <w:rPr>
          <w:rFonts w:eastAsia="Times New Roman" w:cstheme="minorHAnsi"/>
          <w:b/>
          <w:lang w:eastAsia="cs-CZ"/>
        </w:rPr>
        <w:t>Ministerstvo financí dále MŠMT</w:t>
      </w:r>
      <w:r w:rsidR="00E51CAF" w:rsidRPr="00FC55AB">
        <w:rPr>
          <w:rFonts w:eastAsia="Times New Roman" w:cstheme="minorHAnsi"/>
          <w:b/>
          <w:lang w:eastAsia="cs-CZ"/>
        </w:rPr>
        <w:t xml:space="preserve"> </w:t>
      </w:r>
      <w:r w:rsidR="00B0701B">
        <w:rPr>
          <w:rFonts w:eastAsia="Times New Roman" w:cstheme="minorHAnsi"/>
          <w:b/>
          <w:lang w:eastAsia="cs-CZ"/>
        </w:rPr>
        <w:t>doporuč</w:t>
      </w:r>
      <w:r w:rsidR="006A5224">
        <w:rPr>
          <w:rFonts w:eastAsia="Times New Roman" w:cstheme="minorHAnsi"/>
          <w:b/>
          <w:lang w:eastAsia="cs-CZ"/>
        </w:rPr>
        <w:t xml:space="preserve">ilo, že má </w:t>
      </w:r>
      <w:r w:rsidR="00E51CAF" w:rsidRPr="00FC55AB">
        <w:rPr>
          <w:rFonts w:eastAsia="Times New Roman" w:cstheme="minorHAnsi"/>
          <w:b/>
          <w:lang w:eastAsia="cs-CZ"/>
        </w:rPr>
        <w:t>uvedené pohledávk</w:t>
      </w:r>
      <w:r w:rsidR="003566E5">
        <w:rPr>
          <w:rFonts w:eastAsia="Times New Roman" w:cstheme="minorHAnsi"/>
          <w:b/>
          <w:lang w:eastAsia="cs-CZ"/>
        </w:rPr>
        <w:t xml:space="preserve">y za NF z titulu OP VK a OP </w:t>
      </w:r>
      <w:proofErr w:type="spellStart"/>
      <w:r w:rsidR="003566E5">
        <w:rPr>
          <w:rFonts w:eastAsia="Times New Roman" w:cstheme="minorHAnsi"/>
          <w:b/>
          <w:lang w:eastAsia="cs-CZ"/>
        </w:rPr>
        <w:t>VaVp</w:t>
      </w:r>
      <w:r w:rsidR="00E51CAF" w:rsidRPr="00FC55AB">
        <w:rPr>
          <w:rFonts w:eastAsia="Times New Roman" w:cstheme="minorHAnsi"/>
          <w:b/>
          <w:lang w:eastAsia="cs-CZ"/>
        </w:rPr>
        <w:t>I</w:t>
      </w:r>
      <w:proofErr w:type="spellEnd"/>
      <w:r w:rsidR="00E51CAF" w:rsidRPr="00FC55AB">
        <w:rPr>
          <w:rFonts w:eastAsia="Times New Roman" w:cstheme="minorHAnsi"/>
          <w:b/>
          <w:lang w:eastAsia="cs-CZ"/>
        </w:rPr>
        <w:t xml:space="preserve"> </w:t>
      </w:r>
      <w:r w:rsidR="003566E5">
        <w:rPr>
          <w:rFonts w:eastAsia="Times New Roman" w:cstheme="minorHAnsi"/>
          <w:b/>
          <w:lang w:eastAsia="cs-CZ"/>
        </w:rPr>
        <w:t xml:space="preserve">ve výši </w:t>
      </w:r>
      <w:r w:rsidR="006A5224" w:rsidRPr="00460D8B">
        <w:rPr>
          <w:b/>
          <w:lang w:eastAsia="cs-CZ"/>
        </w:rPr>
        <w:t>632</w:t>
      </w:r>
      <w:r w:rsidR="001A6713">
        <w:rPr>
          <w:b/>
          <w:lang w:eastAsia="cs-CZ"/>
        </w:rPr>
        <w:t xml:space="preserve">,5 mil. </w:t>
      </w:r>
      <w:r w:rsidR="006A5224" w:rsidRPr="00460D8B">
        <w:rPr>
          <w:b/>
          <w:lang w:eastAsia="cs-CZ"/>
        </w:rPr>
        <w:t>Kč</w:t>
      </w:r>
      <w:r w:rsidR="006A5224" w:rsidRPr="00FC55AB">
        <w:rPr>
          <w:rFonts w:eastAsia="Times New Roman" w:cstheme="minorHAnsi"/>
          <w:b/>
          <w:lang w:eastAsia="cs-CZ"/>
        </w:rPr>
        <w:t xml:space="preserve"> </w:t>
      </w:r>
      <w:r w:rsidR="00E51CAF" w:rsidRPr="00FC55AB">
        <w:rPr>
          <w:rFonts w:eastAsia="Times New Roman" w:cstheme="minorHAnsi"/>
          <w:b/>
          <w:lang w:eastAsia="cs-CZ"/>
        </w:rPr>
        <w:t xml:space="preserve">odúčtovat. V souvislosti s tím NF </w:t>
      </w:r>
      <w:r w:rsidR="00E51CAF" w:rsidRPr="00FC55AB">
        <w:rPr>
          <w:rFonts w:cstheme="minorHAnsi"/>
          <w:b/>
        </w:rPr>
        <w:t xml:space="preserve">upozornil MŠMT, že </w:t>
      </w:r>
      <w:r w:rsidR="000B7569" w:rsidRPr="00FC55AB">
        <w:rPr>
          <w:rFonts w:cstheme="minorHAnsi"/>
          <w:b/>
        </w:rPr>
        <w:t xml:space="preserve">na příjmový účet </w:t>
      </w:r>
      <w:r w:rsidR="00FC55AB" w:rsidRPr="00FC55AB">
        <w:rPr>
          <w:rFonts w:cstheme="minorHAnsi"/>
          <w:b/>
        </w:rPr>
        <w:t xml:space="preserve">MŠMT </w:t>
      </w:r>
      <w:r w:rsidR="000B7569" w:rsidRPr="00FC55AB">
        <w:rPr>
          <w:rFonts w:cstheme="minorHAnsi"/>
          <w:b/>
        </w:rPr>
        <w:t xml:space="preserve">zašle </w:t>
      </w:r>
      <w:r w:rsidR="00B0701B">
        <w:rPr>
          <w:rFonts w:cstheme="minorHAnsi"/>
          <w:b/>
        </w:rPr>
        <w:t xml:space="preserve">peněžní </w:t>
      </w:r>
      <w:r w:rsidR="000B7569" w:rsidRPr="00FC55AB">
        <w:rPr>
          <w:rFonts w:cstheme="minorHAnsi"/>
          <w:b/>
        </w:rPr>
        <w:t>prostředky</w:t>
      </w:r>
      <w:r w:rsidR="003566E5">
        <w:rPr>
          <w:rFonts w:cstheme="minorHAnsi"/>
          <w:b/>
        </w:rPr>
        <w:t xml:space="preserve"> z titulu uvedených operačních programů</w:t>
      </w:r>
      <w:r w:rsidR="000B7569" w:rsidRPr="00FC55AB">
        <w:rPr>
          <w:rFonts w:cstheme="minorHAnsi"/>
          <w:b/>
        </w:rPr>
        <w:t xml:space="preserve">, pokud </w:t>
      </w:r>
      <w:r w:rsidR="00E51CAF" w:rsidRPr="00FC55AB">
        <w:rPr>
          <w:rFonts w:cstheme="minorHAnsi"/>
          <w:b/>
        </w:rPr>
        <w:t>budou</w:t>
      </w:r>
      <w:r w:rsidR="003566E5">
        <w:rPr>
          <w:rFonts w:cstheme="minorHAnsi"/>
          <w:b/>
        </w:rPr>
        <w:t xml:space="preserve"> peněžní prostředky</w:t>
      </w:r>
      <w:r w:rsidR="00E51CAF" w:rsidRPr="00FC55AB">
        <w:rPr>
          <w:rFonts w:cstheme="minorHAnsi"/>
          <w:b/>
        </w:rPr>
        <w:t xml:space="preserve"> </w:t>
      </w:r>
      <w:r w:rsidR="00FC55AB" w:rsidRPr="00FC55AB">
        <w:rPr>
          <w:rFonts w:cstheme="minorHAnsi"/>
          <w:b/>
        </w:rPr>
        <w:t xml:space="preserve">za daný operační program na účtu NF </w:t>
      </w:r>
      <w:r w:rsidR="00E51CAF" w:rsidRPr="00FC55AB">
        <w:rPr>
          <w:rFonts w:cstheme="minorHAnsi"/>
          <w:b/>
        </w:rPr>
        <w:t>vygenerovány v důsledku vymožených prostředků nebo</w:t>
      </w:r>
      <w:r w:rsidR="00FC55AB">
        <w:rPr>
          <w:rFonts w:cstheme="minorHAnsi"/>
          <w:b/>
        </w:rPr>
        <w:t xml:space="preserve"> </w:t>
      </w:r>
      <w:r w:rsidR="00E51CAF" w:rsidRPr="00FC55AB">
        <w:rPr>
          <w:rFonts w:cstheme="minorHAnsi"/>
          <w:b/>
        </w:rPr>
        <w:t>dodatečně obdržených prostředků od E</w:t>
      </w:r>
      <w:r w:rsidR="00FC55AB" w:rsidRPr="00FC55AB">
        <w:rPr>
          <w:rFonts w:cstheme="minorHAnsi"/>
          <w:b/>
        </w:rPr>
        <w:t xml:space="preserve">vropské komise. </w:t>
      </w:r>
    </w:p>
    <w:p w14:paraId="6ED8454C" w14:textId="77777777" w:rsidR="001C23C9" w:rsidRDefault="001C23C9" w:rsidP="0052503F"/>
    <w:p w14:paraId="79E75C28" w14:textId="77777777" w:rsidR="00953478" w:rsidRDefault="00A26BD8" w:rsidP="00C05E4C">
      <w:pPr>
        <w:pStyle w:val="Nadpis2"/>
        <w:numPr>
          <w:ilvl w:val="0"/>
          <w:numId w:val="14"/>
        </w:numPr>
      </w:pPr>
      <w:r>
        <w:t>Spolehlivost výkazu pro hodnocení plnění rozpočtu Ministerstva školství, mládeže a</w:t>
      </w:r>
      <w:r w:rsidR="009F5F82">
        <w:t> </w:t>
      </w:r>
      <w:r>
        <w:t>tělovýchovy sestavené</w:t>
      </w:r>
      <w:r w:rsidR="00377949">
        <w:t>ho</w:t>
      </w:r>
      <w:r>
        <w:t xml:space="preserve"> k 31. </w:t>
      </w:r>
      <w:r w:rsidR="000A08C9">
        <w:t>prosinci</w:t>
      </w:r>
      <w:r>
        <w:t xml:space="preserve"> 2019</w:t>
      </w:r>
    </w:p>
    <w:p w14:paraId="3BC76BEF" w14:textId="29AB8030" w:rsidR="00953478" w:rsidRDefault="00A26BD8" w:rsidP="00953478">
      <w:r>
        <w:t>Při prověř</w:t>
      </w:r>
      <w:r w:rsidR="00B17CCE">
        <w:t>ování</w:t>
      </w:r>
      <w:r>
        <w:t xml:space="preserve"> spolehlivosti výkazu FIN 1-12 OSS byly zjištěny a vyčísleny nesprávnosti, jejich dopad na výkaz FIN 1-12 OSS zobrazuje následující tabulka. </w:t>
      </w:r>
    </w:p>
    <w:p w14:paraId="6C847DF9" w14:textId="77777777" w:rsidR="00A93547" w:rsidRDefault="00A93547" w:rsidP="00953478"/>
    <w:p w14:paraId="31E1A49B" w14:textId="7F89E57C" w:rsidR="00A93547" w:rsidRDefault="00A26BD8" w:rsidP="002132D5">
      <w:pPr>
        <w:pStyle w:val="Titulek"/>
        <w:tabs>
          <w:tab w:val="right" w:pos="9072"/>
        </w:tabs>
        <w:jc w:val="left"/>
      </w:pPr>
      <w:r>
        <w:t xml:space="preserve">Tabulka č. </w:t>
      </w:r>
      <w:r w:rsidR="00E1426C">
        <w:fldChar w:fldCharType="begin"/>
      </w:r>
      <w:r>
        <w:instrText xml:space="preserve"> SEQ Tabulka_č._ \* ARABIC </w:instrText>
      </w:r>
      <w:r w:rsidR="00E1426C">
        <w:fldChar w:fldCharType="separate"/>
      </w:r>
      <w:r w:rsidR="00582779">
        <w:rPr>
          <w:noProof/>
        </w:rPr>
        <w:t>5</w:t>
      </w:r>
      <w:r w:rsidR="00E1426C">
        <w:rPr>
          <w:noProof/>
        </w:rPr>
        <w:fldChar w:fldCharType="end"/>
      </w:r>
      <w:r>
        <w:t xml:space="preserve">: Přehled vyčíslených nesprávností zjištěných ve výkazu FIN 1-12 OSS </w:t>
      </w:r>
      <w:r w:rsidR="001B4CA6">
        <w:tab/>
      </w:r>
      <w:r>
        <w:t>(v Kč)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4026AF" w14:paraId="6CF39C07" w14:textId="77777777" w:rsidTr="00A93547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38749E8F" w14:textId="77777777" w:rsidR="00A93547" w:rsidRPr="00A93547" w:rsidRDefault="00A26BD8" w:rsidP="00A935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</w:pPr>
            <w:r w:rsidRPr="00A93547"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  <w:t>Nesprávnost ve výkazu FIN 1-12 OSS</w:t>
            </w:r>
          </w:p>
        </w:tc>
      </w:tr>
      <w:tr w:rsidR="004026AF" w14:paraId="7E90105B" w14:textId="77777777" w:rsidTr="00A93547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8B5AEB4" w14:textId="77777777" w:rsidR="00A93547" w:rsidRPr="00A93547" w:rsidRDefault="00A26BD8" w:rsidP="00A935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</w:pPr>
            <w:r w:rsidRPr="00A93547"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  <w:t>Údaje předkládané pro hodnocení plnění rozpočtu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CFC1A76" w14:textId="77777777" w:rsidR="00A93547" w:rsidRPr="00A93547" w:rsidRDefault="00A26BD8" w:rsidP="00A93547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</w:pPr>
            <w:r w:rsidRPr="00A93547"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  <w:t>Celková nesprávnost</w:t>
            </w:r>
          </w:p>
        </w:tc>
      </w:tr>
      <w:tr w:rsidR="004026AF" w14:paraId="2332F3AF" w14:textId="77777777" w:rsidTr="00A93547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7E0C" w14:textId="77777777" w:rsidR="00A93547" w:rsidRPr="00A93547" w:rsidRDefault="00A26BD8" w:rsidP="00A93547">
            <w:pPr>
              <w:spacing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</w:pPr>
            <w:r w:rsidRPr="00A93547"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  <w:t>CELKOVÁ NESPRÁVNOST VE VÝKAZU FIN 1-12 OSS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9077" w14:textId="77777777" w:rsidR="00A93547" w:rsidRPr="00A93547" w:rsidRDefault="00A26BD8" w:rsidP="00C95BB2">
            <w:pPr>
              <w:spacing w:line="240" w:lineRule="auto"/>
              <w:ind w:right="57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</w:pPr>
            <w:r w:rsidRPr="00A93547">
              <w:rPr>
                <w:rFonts w:ascii="Calibri" w:eastAsia="Times New Roman" w:hAnsi="Calibri"/>
                <w:b/>
                <w:bCs/>
                <w:color w:val="000000"/>
                <w:sz w:val="22"/>
                <w:szCs w:val="20"/>
                <w:lang w:eastAsia="cs-CZ"/>
              </w:rPr>
              <w:t>807 550 359,92</w:t>
            </w:r>
          </w:p>
        </w:tc>
      </w:tr>
      <w:tr w:rsidR="004026AF" w14:paraId="7BF8A834" w14:textId="77777777" w:rsidTr="00A93547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3ADE" w14:textId="77777777" w:rsidR="00A93547" w:rsidRPr="00A93547" w:rsidRDefault="00A26BD8" w:rsidP="00A93547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</w:pPr>
            <w:r w:rsidRPr="00A93547"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  <w:t>Příjmy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3CA0" w14:textId="77777777" w:rsidR="00A93547" w:rsidRPr="00A93547" w:rsidRDefault="00A26BD8" w:rsidP="00C95BB2">
            <w:pPr>
              <w:spacing w:line="240" w:lineRule="auto"/>
              <w:ind w:right="57"/>
              <w:jc w:val="right"/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</w:pPr>
            <w:r w:rsidRPr="00A93547"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  <w:t>6 059 028,91</w:t>
            </w:r>
          </w:p>
        </w:tc>
      </w:tr>
      <w:tr w:rsidR="004026AF" w14:paraId="5660C9BA" w14:textId="77777777" w:rsidTr="00A93547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CA2E" w14:textId="77777777" w:rsidR="00A93547" w:rsidRPr="00A93547" w:rsidRDefault="00A26BD8" w:rsidP="00A93547">
            <w:pPr>
              <w:spacing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</w:pPr>
            <w:r w:rsidRPr="00A93547"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  <w:t>Výdaje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00C8" w14:textId="77777777" w:rsidR="00A93547" w:rsidRPr="00A93547" w:rsidRDefault="00A26BD8" w:rsidP="00C95BB2">
            <w:pPr>
              <w:spacing w:line="240" w:lineRule="auto"/>
              <w:ind w:right="57"/>
              <w:jc w:val="right"/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</w:pPr>
            <w:r w:rsidRPr="00A93547">
              <w:rPr>
                <w:rFonts w:ascii="Calibri" w:eastAsia="Times New Roman" w:hAnsi="Calibri"/>
                <w:color w:val="000000"/>
                <w:sz w:val="22"/>
                <w:szCs w:val="20"/>
                <w:lang w:eastAsia="cs-CZ"/>
              </w:rPr>
              <w:t>801 491 331,01</w:t>
            </w:r>
          </w:p>
        </w:tc>
      </w:tr>
    </w:tbl>
    <w:p w14:paraId="44D43062" w14:textId="77777777" w:rsidR="00A93547" w:rsidRDefault="00A93547" w:rsidP="00953478"/>
    <w:p w14:paraId="1B50E85C" w14:textId="7CF10EB1" w:rsidR="00107DD1" w:rsidRDefault="00A26BD8" w:rsidP="00107DD1">
      <w:pPr>
        <w:rPr>
          <w:rFonts w:cstheme="minorHAnsi"/>
        </w:rPr>
      </w:pPr>
      <w:r>
        <w:t xml:space="preserve">MŠMT v roce 2019 v některých případech nevykázalo ve výkazu FIN 1-12 OSS správné údaje. </w:t>
      </w:r>
      <w:proofErr w:type="gramStart"/>
      <w:r>
        <w:t>Jednalo</w:t>
      </w:r>
      <w:proofErr w:type="gramEnd"/>
      <w:r>
        <w:t xml:space="preserve"> se </w:t>
      </w:r>
      <w:r>
        <w:rPr>
          <w:rFonts w:cstheme="minorHAnsi"/>
        </w:rPr>
        <w:t>především o nesprávné zatřídění výdajů na činnost říd</w:t>
      </w:r>
      <w:r w:rsidR="00B17CCE">
        <w:rPr>
          <w:rFonts w:cstheme="minorHAnsi"/>
        </w:rPr>
        <w:t>i</w:t>
      </w:r>
      <w:r>
        <w:rPr>
          <w:rFonts w:cstheme="minorHAnsi"/>
        </w:rPr>
        <w:t>cího orgánu OP VVV</w:t>
      </w:r>
      <w:r w:rsidR="000837F4">
        <w:rPr>
          <w:rFonts w:cstheme="minorHAnsi"/>
        </w:rPr>
        <w:t xml:space="preserve"> </w:t>
      </w:r>
      <w:r>
        <w:rPr>
          <w:rFonts w:cstheme="minorHAnsi"/>
        </w:rPr>
        <w:t>ve výši 455,5 mil. Kč a výdajů na účelovou podporu poskytnutou</w:t>
      </w:r>
      <w:r w:rsidR="00CE611B">
        <w:rPr>
          <w:rFonts w:cstheme="minorHAnsi"/>
        </w:rPr>
        <w:t xml:space="preserve"> Ministerstvem školství, mládeže a</w:t>
      </w:r>
      <w:r w:rsidR="000D1C12">
        <w:rPr>
          <w:rFonts w:cstheme="minorHAnsi"/>
        </w:rPr>
        <w:t> </w:t>
      </w:r>
      <w:r w:rsidR="00CE611B">
        <w:rPr>
          <w:rFonts w:cstheme="minorHAnsi"/>
        </w:rPr>
        <w:t>tělovýchovy</w:t>
      </w:r>
      <w:r>
        <w:rPr>
          <w:rFonts w:cstheme="minorHAnsi"/>
        </w:rPr>
        <w:t xml:space="preserve"> </w:t>
      </w:r>
      <w:r w:rsidR="00AF43D1">
        <w:rPr>
          <w:rFonts w:cstheme="minorHAnsi"/>
        </w:rPr>
        <w:t>dle zákona č. 130/2002 Sb., o</w:t>
      </w:r>
      <w:r w:rsidR="000D1C12">
        <w:rPr>
          <w:rFonts w:cstheme="minorHAnsi"/>
        </w:rPr>
        <w:t xml:space="preserve"> </w:t>
      </w:r>
      <w:r>
        <w:rPr>
          <w:rFonts w:cstheme="minorHAnsi"/>
        </w:rPr>
        <w:t>podpoře výzkumu, experimentálního vývoje a</w:t>
      </w:r>
      <w:r w:rsidR="000D1C12">
        <w:rPr>
          <w:rFonts w:cstheme="minorHAnsi"/>
        </w:rPr>
        <w:t> </w:t>
      </w:r>
      <w:r>
        <w:rPr>
          <w:rFonts w:cstheme="minorHAnsi"/>
        </w:rPr>
        <w:t>inovací z veřejných prostředků a o změně některých souvisejících zákonů (zákon o podpoře výz</w:t>
      </w:r>
      <w:r w:rsidR="00AF43D1">
        <w:rPr>
          <w:rFonts w:cstheme="minorHAnsi"/>
        </w:rPr>
        <w:t>kumu, experimentálního vývoje a </w:t>
      </w:r>
      <w:r>
        <w:rPr>
          <w:rFonts w:cstheme="minorHAnsi"/>
        </w:rPr>
        <w:t xml:space="preserve">inovací), ve výši 345,9 mil. Kč. </w:t>
      </w:r>
    </w:p>
    <w:p w14:paraId="2A298487" w14:textId="449D3CF8" w:rsidR="00107DD1" w:rsidRDefault="00A26BD8" w:rsidP="008A5515">
      <w:pPr>
        <w:spacing w:before="240"/>
      </w:pPr>
      <w:r>
        <w:lastRenderedPageBreak/>
        <w:t>Podrobnosti k uvedeným nesprávnostem jsou uvedeny v částech 3.1 a 3.2 tohoto kontrolního závěru.</w:t>
      </w:r>
    </w:p>
    <w:p w14:paraId="15CDF494" w14:textId="77777777" w:rsidR="00A60394" w:rsidRDefault="00A60394" w:rsidP="00953478"/>
    <w:p w14:paraId="192C9AD3" w14:textId="1B9EBCA2" w:rsidR="00F43E17" w:rsidRDefault="00A26BD8" w:rsidP="00953478">
      <w:r>
        <w:t>Pro posouzení spolehlivosti informací ve výkazu FIN 1-12 OSS byla stanovena významnost neboli materialita</w:t>
      </w:r>
      <w:r w:rsidR="00080FDC">
        <w:rPr>
          <w:vertAlign w:val="superscript"/>
        </w:rPr>
        <w:t>1</w:t>
      </w:r>
      <w:r>
        <w:t xml:space="preserve"> ve výši </w:t>
      </w:r>
      <w:r w:rsidRPr="00F43E17">
        <w:rPr>
          <w:b/>
        </w:rPr>
        <w:t>4,2 mld. Kč</w:t>
      </w:r>
      <w:r w:rsidRPr="00516E59">
        <w:rPr>
          <w:b/>
        </w:rPr>
        <w:t>.</w:t>
      </w:r>
      <w:r>
        <w:t xml:space="preserve"> </w:t>
      </w:r>
      <w:r w:rsidRPr="000A08C9">
        <w:rPr>
          <w:b/>
        </w:rPr>
        <w:t>Kontrolou zjištěné nesprávnosti ve výkazu FIN 1-12 OSS tak neměly dopad na spolehlivost příjmů a výdajů ve výkazu FIN 1-12 OSS.</w:t>
      </w:r>
      <w:r>
        <w:t xml:space="preserve"> </w:t>
      </w:r>
    </w:p>
    <w:p w14:paraId="5F3C47F3" w14:textId="77777777" w:rsidR="00F43E17" w:rsidRDefault="00F43E17" w:rsidP="00953478"/>
    <w:p w14:paraId="26A11111" w14:textId="77777777" w:rsidR="00F43E17" w:rsidRDefault="00A26BD8" w:rsidP="000805D1">
      <w:pPr>
        <w:pStyle w:val="Nadpis3"/>
        <w:ind w:left="426" w:hanging="426"/>
      </w:pPr>
      <w:r>
        <w:t>Nesprávné zatřídění výdajů dle odvětvového členění rozpočtové skladby</w:t>
      </w:r>
    </w:p>
    <w:p w14:paraId="0C188036" w14:textId="6C257ADF" w:rsidR="00C15CA3" w:rsidRDefault="00A26BD8" w:rsidP="00C15CA3">
      <w:pPr>
        <w:rPr>
          <w:rFonts w:cs="Arial"/>
          <w:bCs/>
          <w:iCs/>
        </w:rPr>
      </w:pPr>
      <w:r>
        <w:t>Největší objem výdajů za roky 2017 až 2019 v rámci odvětvového třídění výdajů definovaného vyhláškou č. 323/2002 Sb</w:t>
      </w:r>
      <w:r w:rsidR="005D75AC">
        <w:t>.</w:t>
      </w:r>
      <w:r>
        <w:rPr>
          <w:color w:val="000000"/>
        </w:rPr>
        <w:t xml:space="preserve"> byl ve všech třech letech zatříděn a prezentován jako </w:t>
      </w:r>
      <w:r w:rsidR="005D75AC">
        <w:rPr>
          <w:color w:val="000000"/>
        </w:rPr>
        <w:t xml:space="preserve">výdaje na </w:t>
      </w:r>
      <w:r>
        <w:rPr>
          <w:color w:val="000000"/>
        </w:rPr>
        <w:t xml:space="preserve">ostatní záležitosti vzdělávání (paragraf </w:t>
      </w:r>
      <w:r w:rsidRPr="00516E59">
        <w:t>3299</w:t>
      </w:r>
      <w:r w:rsidRPr="00460D8B">
        <w:rPr>
          <w:i/>
        </w:rPr>
        <w:t xml:space="preserve"> – Ostatní záležitosti vzdělávání</w:t>
      </w:r>
      <w:r w:rsidRPr="00717BEB">
        <w:t>)</w:t>
      </w:r>
      <w:r>
        <w:t xml:space="preserve">, dále jako </w:t>
      </w:r>
      <w:r w:rsidR="005D75AC">
        <w:t>výdaje na</w:t>
      </w:r>
      <w:r w:rsidR="00431247">
        <w:t xml:space="preserve"> vysoké </w:t>
      </w:r>
      <w:r>
        <w:t xml:space="preserve">školství (paragraf </w:t>
      </w:r>
      <w:r w:rsidRPr="00516E59">
        <w:t>3211</w:t>
      </w:r>
      <w:r w:rsidRPr="00717BEB">
        <w:rPr>
          <w:i/>
        </w:rPr>
        <w:t xml:space="preserve"> – Vysoké školy</w:t>
      </w:r>
      <w:r w:rsidR="003566E5">
        <w:t>), výdaje</w:t>
      </w:r>
      <w:r w:rsidR="009827E7">
        <w:t xml:space="preserve"> do </w:t>
      </w:r>
      <w:r>
        <w:t>oblast</w:t>
      </w:r>
      <w:r w:rsidR="009827E7">
        <w:t>i</w:t>
      </w:r>
      <w:r>
        <w:t xml:space="preserve"> výzkumu, vývoje a inovac</w:t>
      </w:r>
      <w:r w:rsidR="009827E7">
        <w:t>í</w:t>
      </w:r>
      <w:r>
        <w:t xml:space="preserve"> na vysokých školách (paragraf </w:t>
      </w:r>
      <w:r w:rsidRPr="00516E59">
        <w:t>3212</w:t>
      </w:r>
      <w:r w:rsidRPr="00460D8B">
        <w:rPr>
          <w:i/>
        </w:rPr>
        <w:t xml:space="preserve"> – Výzkum, vývoj a inovace na </w:t>
      </w:r>
      <w:r>
        <w:rPr>
          <w:i/>
        </w:rPr>
        <w:t>vysokých školách</w:t>
      </w:r>
      <w:r>
        <w:t xml:space="preserve">) a dále </w:t>
      </w:r>
      <w:r w:rsidR="00C95BB2">
        <w:br/>
      </w:r>
      <w:r>
        <w:t xml:space="preserve">pak </w:t>
      </w:r>
      <w:r w:rsidR="009827E7">
        <w:t>jako výdaje do oblasti</w:t>
      </w:r>
      <w:r>
        <w:t xml:space="preserve"> ostatního výzkumu odvětvově nespecifikovaného (paragraf </w:t>
      </w:r>
      <w:r w:rsidRPr="00516E59">
        <w:rPr>
          <w:rFonts w:cs="Arial"/>
          <w:bCs/>
          <w:iCs/>
        </w:rPr>
        <w:t>3809</w:t>
      </w:r>
      <w:r w:rsidR="00C95BB2">
        <w:rPr>
          <w:rFonts w:cs="Arial"/>
          <w:bCs/>
          <w:i/>
          <w:iCs/>
        </w:rPr>
        <w:t> </w:t>
      </w:r>
      <w:r w:rsidRPr="00460D8B">
        <w:rPr>
          <w:rFonts w:cs="Arial"/>
          <w:bCs/>
          <w:i/>
          <w:iCs/>
        </w:rPr>
        <w:t>–</w:t>
      </w:r>
      <w:r w:rsidR="00C95BB2">
        <w:rPr>
          <w:rFonts w:cs="Arial"/>
          <w:bCs/>
          <w:i/>
          <w:iCs/>
        </w:rPr>
        <w:t> </w:t>
      </w:r>
      <w:r w:rsidRPr="00460D8B">
        <w:rPr>
          <w:rFonts w:cs="Arial"/>
          <w:bCs/>
          <w:i/>
          <w:iCs/>
        </w:rPr>
        <w:t>Ostatní výzkum a vývoj odvětvově nespecifikovaný</w:t>
      </w:r>
      <w:r>
        <w:rPr>
          <w:rFonts w:cs="Arial"/>
          <w:bCs/>
          <w:iCs/>
        </w:rPr>
        <w:t>).</w:t>
      </w:r>
    </w:p>
    <w:p w14:paraId="22FB5296" w14:textId="77777777" w:rsidR="00686C8D" w:rsidRDefault="00686C8D" w:rsidP="00C15CA3">
      <w:pPr>
        <w:rPr>
          <w:rFonts w:cs="Arial"/>
          <w:bCs/>
          <w:iCs/>
        </w:rPr>
      </w:pPr>
    </w:p>
    <w:p w14:paraId="1E9C1C76" w14:textId="74E7A3BC" w:rsidR="00EF2EDC" w:rsidRDefault="00A26BD8" w:rsidP="00EF2EDC">
      <w:pPr>
        <w:rPr>
          <w:rFonts w:cs="Arial"/>
          <w:bCs/>
          <w:iCs/>
        </w:rPr>
      </w:pPr>
      <w:r>
        <w:rPr>
          <w:rFonts w:cs="Arial"/>
          <w:bCs/>
          <w:iCs/>
        </w:rPr>
        <w:t xml:space="preserve">Struktura a vývoj skutečných </w:t>
      </w:r>
      <w:r w:rsidR="009827E7">
        <w:rPr>
          <w:rFonts w:cs="Arial"/>
          <w:bCs/>
          <w:iCs/>
        </w:rPr>
        <w:t>výdajů</w:t>
      </w:r>
      <w:r>
        <w:rPr>
          <w:rFonts w:cs="Arial"/>
          <w:bCs/>
          <w:iCs/>
        </w:rPr>
        <w:t>, které MŠMT zatřídilo z hlediska odvětvového se zaměřením na významné výdaje</w:t>
      </w:r>
      <w:r>
        <w:rPr>
          <w:rStyle w:val="Znakapoznpodarou"/>
          <w:rFonts w:cs="Arial"/>
          <w:bCs/>
          <w:iCs/>
        </w:rPr>
        <w:footnoteReference w:id="9"/>
      </w:r>
      <w:r>
        <w:rPr>
          <w:rFonts w:cs="Arial"/>
          <w:bCs/>
          <w:iCs/>
        </w:rPr>
        <w:t xml:space="preserve">, </w:t>
      </w:r>
      <w:r w:rsidR="00435A71">
        <w:rPr>
          <w:rFonts w:cs="Arial"/>
          <w:bCs/>
          <w:iCs/>
        </w:rPr>
        <w:t>jsou</w:t>
      </w:r>
      <w:r>
        <w:rPr>
          <w:rFonts w:cs="Arial"/>
          <w:bCs/>
          <w:iCs/>
        </w:rPr>
        <w:t xml:space="preserve"> znázorněn</w:t>
      </w:r>
      <w:r w:rsidR="00435A71">
        <w:rPr>
          <w:rFonts w:cs="Arial"/>
          <w:bCs/>
          <w:iCs/>
        </w:rPr>
        <w:t>y</w:t>
      </w:r>
      <w:r>
        <w:rPr>
          <w:rFonts w:cs="Arial"/>
          <w:bCs/>
          <w:iCs/>
        </w:rPr>
        <w:t xml:space="preserve"> v grafu č. 1.</w:t>
      </w:r>
    </w:p>
    <w:p w14:paraId="65FC97C8" w14:textId="77777777" w:rsidR="00EF2EDC" w:rsidRDefault="00EF2EDC" w:rsidP="00EF2EDC">
      <w:pPr>
        <w:rPr>
          <w:rFonts w:cs="Arial"/>
          <w:bCs/>
          <w:iCs/>
        </w:rPr>
      </w:pPr>
    </w:p>
    <w:p w14:paraId="2657C759" w14:textId="0E798B4F" w:rsidR="00C15CA3" w:rsidRDefault="00A26BD8" w:rsidP="00327156">
      <w:pPr>
        <w:pStyle w:val="Titulek"/>
        <w:spacing w:after="120"/>
        <w:ind w:left="964" w:hanging="964"/>
        <w:jc w:val="left"/>
      </w:pPr>
      <w:r>
        <w:t xml:space="preserve">Graf č. </w:t>
      </w:r>
      <w:r w:rsidR="00E1426C">
        <w:fldChar w:fldCharType="begin"/>
      </w:r>
      <w:r>
        <w:instrText xml:space="preserve"> SEQ Graf_č. \* ARABIC </w:instrText>
      </w:r>
      <w:r w:rsidR="00E1426C">
        <w:fldChar w:fldCharType="separate"/>
      </w:r>
      <w:r w:rsidR="00582779">
        <w:rPr>
          <w:noProof/>
        </w:rPr>
        <w:t>1</w:t>
      </w:r>
      <w:r w:rsidR="00E1426C">
        <w:rPr>
          <w:noProof/>
        </w:rPr>
        <w:fldChar w:fldCharType="end"/>
      </w:r>
      <w:r>
        <w:t xml:space="preserve">: </w:t>
      </w:r>
      <w:r w:rsidRPr="00460D8B">
        <w:t xml:space="preserve">Vývoj výdajů zatříděných na </w:t>
      </w:r>
      <w:r w:rsidR="00717BEB">
        <w:t>paragraf</w:t>
      </w:r>
      <w:r w:rsidRPr="00460D8B">
        <w:t xml:space="preserve"> 3299 oproti výdajům zatříděným na vybraných a </w:t>
      </w:r>
      <w:r>
        <w:t xml:space="preserve">na </w:t>
      </w:r>
      <w:r w:rsidRPr="00460D8B">
        <w:t xml:space="preserve">ostatních </w:t>
      </w:r>
      <w:r>
        <w:t>paragrafech</w:t>
      </w:r>
      <w:r w:rsidRPr="00460D8B">
        <w:t> (v tis. Kč)</w:t>
      </w:r>
    </w:p>
    <w:p w14:paraId="10876632" w14:textId="77777777" w:rsidR="00C15CA3" w:rsidRDefault="00A26BD8" w:rsidP="00C15CA3">
      <w:r>
        <w:rPr>
          <w:noProof/>
          <w:lang w:eastAsia="cs-CZ"/>
        </w:rPr>
        <w:drawing>
          <wp:inline distT="0" distB="0" distL="0" distR="0" wp14:anchorId="3D0291AD" wp14:editId="4946DA12">
            <wp:extent cx="5705475" cy="2913321"/>
            <wp:effectExtent l="0" t="0" r="0" b="190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5683CDE" w14:textId="43861D18" w:rsidR="00717BEB" w:rsidRPr="00BF5CB8" w:rsidRDefault="00A26BD8" w:rsidP="00717BEB">
      <w:pPr>
        <w:rPr>
          <w:sz w:val="20"/>
        </w:rPr>
      </w:pPr>
      <w:r w:rsidRPr="00686C8D">
        <w:rPr>
          <w:b/>
          <w:sz w:val="20"/>
        </w:rPr>
        <w:t>Zdroj</w:t>
      </w:r>
      <w:r w:rsidR="00686C8D" w:rsidRPr="00686C8D">
        <w:rPr>
          <w:b/>
          <w:sz w:val="20"/>
        </w:rPr>
        <w:t>:</w:t>
      </w:r>
      <w:r w:rsidR="00686C8D" w:rsidRPr="00686C8D">
        <w:rPr>
          <w:sz w:val="20"/>
        </w:rPr>
        <w:t xml:space="preserve"> výkazy</w:t>
      </w:r>
      <w:r w:rsidR="00C035F3" w:rsidRPr="00686C8D">
        <w:rPr>
          <w:sz w:val="20"/>
        </w:rPr>
        <w:t xml:space="preserve"> FIN 1-12 OSS</w:t>
      </w:r>
      <w:r w:rsidR="00435A71">
        <w:rPr>
          <w:sz w:val="20"/>
        </w:rPr>
        <w:t xml:space="preserve"> za roky 2017–2019</w:t>
      </w:r>
      <w:r w:rsidRPr="00686C8D">
        <w:rPr>
          <w:sz w:val="20"/>
        </w:rPr>
        <w:t>.</w:t>
      </w:r>
    </w:p>
    <w:p w14:paraId="7AF3ED08" w14:textId="77777777" w:rsidR="00C15CA3" w:rsidRDefault="00C15CA3" w:rsidP="00C15CA3"/>
    <w:p w14:paraId="01D9D9BA" w14:textId="77777777" w:rsidR="008A5515" w:rsidRDefault="008A5515">
      <w:pPr>
        <w:spacing w:after="160"/>
        <w:jc w:val="left"/>
        <w:rPr>
          <w:rFonts w:cs="Arial"/>
          <w:bCs/>
          <w:iCs/>
        </w:rPr>
      </w:pPr>
      <w:r>
        <w:rPr>
          <w:rFonts w:cs="Arial"/>
          <w:bCs/>
          <w:iCs/>
        </w:rPr>
        <w:br w:type="page"/>
      </w:r>
    </w:p>
    <w:p w14:paraId="7AD94AAF" w14:textId="0C3C56C7" w:rsidR="00EF2EDC" w:rsidRDefault="00A26BD8" w:rsidP="00EF2EDC">
      <w:pPr>
        <w:rPr>
          <w:rFonts w:cs="Arial"/>
          <w:b/>
          <w:bCs/>
          <w:iCs/>
        </w:rPr>
      </w:pPr>
      <w:r>
        <w:rPr>
          <w:rFonts w:cs="Arial"/>
          <w:bCs/>
          <w:iCs/>
        </w:rPr>
        <w:lastRenderedPageBreak/>
        <w:t>Skutečné výdaje zatříděn</w:t>
      </w:r>
      <w:r w:rsidR="00C035F3">
        <w:rPr>
          <w:rFonts w:cs="Arial"/>
          <w:bCs/>
          <w:iCs/>
        </w:rPr>
        <w:t>é</w:t>
      </w:r>
      <w:r>
        <w:rPr>
          <w:rFonts w:cs="Arial"/>
          <w:bCs/>
          <w:iCs/>
        </w:rPr>
        <w:t xml:space="preserve"> na </w:t>
      </w:r>
      <w:r w:rsidRPr="001673A8">
        <w:rPr>
          <w:rFonts w:cs="Arial"/>
          <w:b/>
          <w:bCs/>
          <w:iCs/>
        </w:rPr>
        <w:t xml:space="preserve">paragraf </w:t>
      </w:r>
      <w:r w:rsidRPr="00516E59">
        <w:rPr>
          <w:b/>
        </w:rPr>
        <w:t>3299</w:t>
      </w:r>
      <w:r w:rsidRPr="001673A8">
        <w:rPr>
          <w:b/>
          <w:i/>
        </w:rPr>
        <w:t xml:space="preserve"> – Ostatní záležitosti vzdělávání</w:t>
      </w:r>
      <w:r w:rsidRPr="001673A8">
        <w:rPr>
          <w:rFonts w:cs="Arial"/>
          <w:b/>
          <w:bCs/>
          <w:iCs/>
        </w:rPr>
        <w:t xml:space="preserve"> předsta</w:t>
      </w:r>
      <w:r w:rsidR="001673A8" w:rsidRPr="001673A8">
        <w:rPr>
          <w:rFonts w:cs="Arial"/>
          <w:b/>
          <w:bCs/>
          <w:iCs/>
        </w:rPr>
        <w:t>vovaly více než 60</w:t>
      </w:r>
      <w:r w:rsidRPr="001673A8">
        <w:rPr>
          <w:rFonts w:cs="Arial"/>
          <w:b/>
          <w:bCs/>
          <w:iCs/>
        </w:rPr>
        <w:t>% podíl na všech výdajích</w:t>
      </w:r>
      <w:r w:rsidR="00C035F3">
        <w:rPr>
          <w:rFonts w:cs="Arial"/>
          <w:b/>
          <w:bCs/>
          <w:iCs/>
        </w:rPr>
        <w:t>,</w:t>
      </w:r>
      <w:r w:rsidRPr="001673A8">
        <w:rPr>
          <w:rFonts w:cs="Arial"/>
          <w:b/>
          <w:bCs/>
          <w:iCs/>
        </w:rPr>
        <w:t xml:space="preserve"> a to ve všech třech letech.</w:t>
      </w:r>
    </w:p>
    <w:p w14:paraId="7D13024C" w14:textId="77777777" w:rsidR="001673A8" w:rsidRPr="001673A8" w:rsidRDefault="001673A8" w:rsidP="00EF2EDC">
      <w:pPr>
        <w:rPr>
          <w:rFonts w:cs="Arial"/>
          <w:b/>
          <w:bCs/>
          <w:iCs/>
        </w:rPr>
      </w:pPr>
    </w:p>
    <w:p w14:paraId="5D4C1F02" w14:textId="274C88FE" w:rsidR="0063217B" w:rsidRPr="00EF2EDC" w:rsidRDefault="00A26BD8" w:rsidP="005B48EC">
      <w:r>
        <w:rPr>
          <w:rFonts w:cs="Arial"/>
          <w:bCs/>
          <w:iCs/>
        </w:rPr>
        <w:t>Kontrolou</w:t>
      </w:r>
      <w:r w:rsidR="00EE50E2">
        <w:t xml:space="preserve"> </w:t>
      </w:r>
      <w:r w:rsidR="005B48EC">
        <w:t>bylo zjištěno nesprávné zatřídění</w:t>
      </w:r>
      <w:r w:rsidR="00EF2EDC">
        <w:rPr>
          <w:rFonts w:cs="Arial"/>
          <w:bCs/>
          <w:iCs/>
        </w:rPr>
        <w:t xml:space="preserve"> výdajů na paragraf </w:t>
      </w:r>
      <w:r w:rsidR="00EF2EDC" w:rsidRPr="00516E59">
        <w:t>3299</w:t>
      </w:r>
      <w:r w:rsidR="00EF2EDC" w:rsidRPr="00460D8B">
        <w:rPr>
          <w:i/>
        </w:rPr>
        <w:t xml:space="preserve"> – Ostatní záležitosti vzdělávání</w:t>
      </w:r>
      <w:r w:rsidR="005B48EC">
        <w:t xml:space="preserve">, které </w:t>
      </w:r>
      <w:r w:rsidR="00EF2EDC">
        <w:t>se týkal</w:t>
      </w:r>
      <w:r w:rsidR="005B48EC">
        <w:t>o</w:t>
      </w:r>
      <w:r w:rsidR="00EF2EDC">
        <w:t xml:space="preserve"> výdajů </w:t>
      </w:r>
      <w:r w:rsidR="00EE50E2">
        <w:t>realizovaných</w:t>
      </w:r>
      <w:r w:rsidR="00EF2EDC">
        <w:t xml:space="preserve"> </w:t>
      </w:r>
      <w:r w:rsidR="005B48EC">
        <w:t xml:space="preserve">MŠMT </w:t>
      </w:r>
      <w:r w:rsidR="00EE50E2">
        <w:t xml:space="preserve">v rámci </w:t>
      </w:r>
      <w:r w:rsidR="00686C8D">
        <w:t xml:space="preserve">OP VVV. </w:t>
      </w:r>
      <w:r>
        <w:t xml:space="preserve">MŠMT v roce 2019 výdaje peněžních prostředků v rámci realizace projektů prioritní osy 4 – </w:t>
      </w:r>
      <w:r w:rsidRPr="00516E59">
        <w:rPr>
          <w:i/>
        </w:rPr>
        <w:t>Technická pomoc</w:t>
      </w:r>
      <w:r>
        <w:t xml:space="preserve"> </w:t>
      </w:r>
      <w:r w:rsidR="00435A71">
        <w:t xml:space="preserve">OP VVV </w:t>
      </w:r>
      <w:r w:rsidR="003566E5">
        <w:t xml:space="preserve">nesprávně </w:t>
      </w:r>
      <w:r>
        <w:t xml:space="preserve">zatřídilo z hlediska odvětvového na paragraf </w:t>
      </w:r>
      <w:r w:rsidRPr="00516E59">
        <w:t>3299</w:t>
      </w:r>
      <w:r w:rsidRPr="00460D8B">
        <w:rPr>
          <w:i/>
        </w:rPr>
        <w:t xml:space="preserve"> – Ostatní záležitosti vzdělávání</w:t>
      </w:r>
      <w:r>
        <w:t>. Tyto výdaje MŠMT vynaložilo na zajištění výkonu říd</w:t>
      </w:r>
      <w:r w:rsidR="00435A71">
        <w:t>i</w:t>
      </w:r>
      <w:r>
        <w:t xml:space="preserve">cího orgánu a </w:t>
      </w:r>
      <w:proofErr w:type="gramStart"/>
      <w:r>
        <w:t>představovaly</w:t>
      </w:r>
      <w:proofErr w:type="gramEnd"/>
      <w:r>
        <w:t xml:space="preserve"> úhradu za vlastní projekty</w:t>
      </w:r>
      <w:r w:rsidR="00686C8D">
        <w:t xml:space="preserve"> OP VVV. </w:t>
      </w:r>
      <w:r w:rsidR="00797A2B">
        <w:t xml:space="preserve">Jednalo se o výdaje na </w:t>
      </w:r>
      <w:r>
        <w:t xml:space="preserve">vlastní činnost MŠMT, </w:t>
      </w:r>
      <w:r w:rsidR="00797A2B">
        <w:t xml:space="preserve">výdaje tak </w:t>
      </w:r>
      <w:r>
        <w:t>neměly charakter ostatních záležitostí vzdělávání a nejednalo s</w:t>
      </w:r>
      <w:r w:rsidR="00797A2B">
        <w:t xml:space="preserve">e ani o nespecifikované výdaje. </w:t>
      </w:r>
      <w:r>
        <w:t xml:space="preserve">V důsledku této skutečnosti MŠMT ve výkazu FIN 1-12 OSS </w:t>
      </w:r>
      <w:r w:rsidRPr="009D3D01">
        <w:rPr>
          <w:b/>
        </w:rPr>
        <w:t xml:space="preserve">nadhodnotilo rozpočtový paragraf </w:t>
      </w:r>
      <w:r w:rsidRPr="00516E59">
        <w:rPr>
          <w:b/>
        </w:rPr>
        <w:t>3299</w:t>
      </w:r>
      <w:r w:rsidRPr="009D3D01">
        <w:rPr>
          <w:b/>
          <w:i/>
        </w:rPr>
        <w:t xml:space="preserve"> – Ostatní záležitosti vzdělávání</w:t>
      </w:r>
      <w:r w:rsidR="005B48EC" w:rsidRPr="009D3D01">
        <w:rPr>
          <w:b/>
        </w:rPr>
        <w:t xml:space="preserve"> o 455</w:t>
      </w:r>
      <w:r w:rsidR="001A6713">
        <w:rPr>
          <w:b/>
        </w:rPr>
        <w:t>,</w:t>
      </w:r>
      <w:r w:rsidR="005B48EC" w:rsidRPr="009D3D01">
        <w:rPr>
          <w:b/>
        </w:rPr>
        <w:t>5</w:t>
      </w:r>
      <w:r w:rsidR="001A6713">
        <w:rPr>
          <w:b/>
        </w:rPr>
        <w:t xml:space="preserve"> mil.</w:t>
      </w:r>
      <w:r w:rsidR="005B48EC" w:rsidRPr="009D3D01">
        <w:rPr>
          <w:b/>
        </w:rPr>
        <w:t xml:space="preserve"> Kč</w:t>
      </w:r>
      <w:r w:rsidR="005B48EC">
        <w:t xml:space="preserve"> </w:t>
      </w:r>
      <w:r w:rsidR="005B48EC" w:rsidRPr="00CA21D2">
        <w:t xml:space="preserve">a </w:t>
      </w:r>
      <w:r w:rsidR="009D3D01" w:rsidRPr="00CA21D2">
        <w:t xml:space="preserve">o </w:t>
      </w:r>
      <w:r w:rsidR="005B48EC" w:rsidRPr="00CA21D2">
        <w:t>stejnou částku</w:t>
      </w:r>
      <w:r w:rsidR="005B48EC" w:rsidRPr="009D3D01">
        <w:rPr>
          <w:b/>
        </w:rPr>
        <w:t xml:space="preserve"> podhodnotilo rozpočtový paragraf </w:t>
      </w:r>
      <w:r w:rsidR="005B48EC" w:rsidRPr="00516E59">
        <w:rPr>
          <w:b/>
        </w:rPr>
        <w:t>3261</w:t>
      </w:r>
      <w:r w:rsidR="005B48EC" w:rsidRPr="009D3D01">
        <w:rPr>
          <w:b/>
          <w:i/>
        </w:rPr>
        <w:t xml:space="preserve"> – Činnost ústředního orgánu státní správy ve vzdělávání</w:t>
      </w:r>
      <w:r w:rsidR="005B48EC" w:rsidRPr="00516E59">
        <w:rPr>
          <w:b/>
          <w:i/>
        </w:rPr>
        <w:t>.</w:t>
      </w:r>
    </w:p>
    <w:p w14:paraId="4C4E843D" w14:textId="77777777" w:rsidR="00760585" w:rsidRDefault="00760585" w:rsidP="00760585"/>
    <w:p w14:paraId="7B34034E" w14:textId="46CD9AAB" w:rsidR="00760585" w:rsidRPr="00797A2B" w:rsidRDefault="00A26BD8" w:rsidP="00760585">
      <w:pPr>
        <w:rPr>
          <w:rFonts w:cstheme="minorBidi"/>
          <w:sz w:val="22"/>
          <w:szCs w:val="22"/>
        </w:rPr>
      </w:pPr>
      <w:r>
        <w:t>MŠMT dále v roce 2019 poskytlo peněžní prostředky dle zákona č. 130/2002 Sb.</w:t>
      </w:r>
      <w:r w:rsidR="00797A2B">
        <w:rPr>
          <w:rFonts w:cstheme="minorBidi"/>
          <w:sz w:val="22"/>
          <w:szCs w:val="22"/>
        </w:rPr>
        <w:t xml:space="preserve"> </w:t>
      </w:r>
      <w:r w:rsidR="00EB1E41">
        <w:t xml:space="preserve">Tyto </w:t>
      </w:r>
      <w:r>
        <w:t>výdaje MŠMT zatřídilo z hlediska odvětvového členění dle rozpočtové skladby na paragraf</w:t>
      </w:r>
      <w:r w:rsidR="000D1C12">
        <w:t xml:space="preserve"> </w:t>
      </w:r>
      <w:r w:rsidR="008E33E5">
        <w:br/>
      </w:r>
      <w:r w:rsidRPr="00516E59">
        <w:t>3809</w:t>
      </w:r>
      <w:r>
        <w:rPr>
          <w:i/>
        </w:rPr>
        <w:t xml:space="preserve"> – Ostatní výzkum a vývoj odvětvově nespecifikovaný</w:t>
      </w:r>
      <w:r>
        <w:t>. MŠMT mělo z právních aktů informaci o</w:t>
      </w:r>
      <w:r w:rsidR="00703DE5">
        <w:t> </w:t>
      </w:r>
      <w:r>
        <w:t>tom, na jaký druh projektu peněžní prostředky poskytuje, a mělo tedy zvolit takov</w:t>
      </w:r>
      <w:r w:rsidR="00E41453">
        <w:t>é</w:t>
      </w:r>
      <w:r>
        <w:t xml:space="preserve"> paragraf</w:t>
      </w:r>
      <w:r w:rsidR="00E41453">
        <w:t>y</w:t>
      </w:r>
      <w:r>
        <w:t xml:space="preserve"> rozpočtové skladby, kter</w:t>
      </w:r>
      <w:r w:rsidR="00E41453">
        <w:t>é</w:t>
      </w:r>
      <w:r>
        <w:t xml:space="preserve"> nejlépe odpovíd</w:t>
      </w:r>
      <w:r w:rsidR="00797A2B">
        <w:t>al</w:t>
      </w:r>
      <w:r w:rsidR="00E41453">
        <w:t>y</w:t>
      </w:r>
      <w:r>
        <w:t xml:space="preserve"> podpo</w:t>
      </w:r>
      <w:r w:rsidR="00E41453">
        <w:t>řeným</w:t>
      </w:r>
      <w:r>
        <w:t xml:space="preserve"> odvětví</w:t>
      </w:r>
      <w:r w:rsidR="00E41453">
        <w:t>m</w:t>
      </w:r>
      <w:r>
        <w:t xml:space="preserve">. V důsledku </w:t>
      </w:r>
      <w:r w:rsidR="00D647A4">
        <w:t xml:space="preserve">opomenutí </w:t>
      </w:r>
      <w:r>
        <w:t xml:space="preserve">této skutečnosti MŠMT ve výkazu FIN 1-12 OSS </w:t>
      </w:r>
      <w:r w:rsidRPr="0063207B">
        <w:rPr>
          <w:b/>
        </w:rPr>
        <w:t xml:space="preserve">nadhodnotilo rozpočtový paragraf </w:t>
      </w:r>
      <w:r w:rsidRPr="00516E59">
        <w:rPr>
          <w:b/>
        </w:rPr>
        <w:t>3809</w:t>
      </w:r>
      <w:r w:rsidRPr="0063207B">
        <w:rPr>
          <w:b/>
          <w:i/>
        </w:rPr>
        <w:t xml:space="preserve"> – Ostatní výzkum a vývoj odvětvově nespecifikovaný </w:t>
      </w:r>
      <w:r w:rsidRPr="0063207B">
        <w:rPr>
          <w:b/>
        </w:rPr>
        <w:t>o 34</w:t>
      </w:r>
      <w:r w:rsidR="001A6713">
        <w:rPr>
          <w:b/>
        </w:rPr>
        <w:t xml:space="preserve">6 mil. </w:t>
      </w:r>
      <w:r w:rsidRPr="0063207B">
        <w:rPr>
          <w:b/>
        </w:rPr>
        <w:t xml:space="preserve">Kč a podhodnotilo rozpočtový paragraf </w:t>
      </w:r>
      <w:r w:rsidRPr="00516E59">
        <w:rPr>
          <w:b/>
        </w:rPr>
        <w:t>2181</w:t>
      </w:r>
      <w:r w:rsidRPr="0063207B">
        <w:rPr>
          <w:b/>
          <w:i/>
        </w:rPr>
        <w:t xml:space="preserve"> – Výzkum a vývoj v palivech a energetice</w:t>
      </w:r>
      <w:r w:rsidRPr="0063207B">
        <w:rPr>
          <w:b/>
        </w:rPr>
        <w:t xml:space="preserve"> o 15</w:t>
      </w:r>
      <w:r w:rsidR="001A6713">
        <w:rPr>
          <w:b/>
        </w:rPr>
        <w:t xml:space="preserve">6 mil. </w:t>
      </w:r>
      <w:r w:rsidRPr="0063207B">
        <w:rPr>
          <w:b/>
        </w:rPr>
        <w:t xml:space="preserve">Kč, rozpočtový paragraf </w:t>
      </w:r>
      <w:r w:rsidRPr="00516E59">
        <w:rPr>
          <w:b/>
        </w:rPr>
        <w:t>2182</w:t>
      </w:r>
      <w:r w:rsidRPr="0063207B">
        <w:rPr>
          <w:b/>
          <w:i/>
        </w:rPr>
        <w:t xml:space="preserve"> – Výzkum a vývoj v průmyslu kromě paliv a energetiky</w:t>
      </w:r>
      <w:r w:rsidRPr="0063207B">
        <w:rPr>
          <w:b/>
        </w:rPr>
        <w:t xml:space="preserve"> </w:t>
      </w:r>
      <w:r w:rsidR="00C47F99" w:rsidRPr="0063207B">
        <w:rPr>
          <w:b/>
        </w:rPr>
        <w:t>o 32</w:t>
      </w:r>
      <w:r w:rsidR="00E41453">
        <w:rPr>
          <w:b/>
        </w:rPr>
        <w:t xml:space="preserve"> </w:t>
      </w:r>
      <w:r w:rsidR="001A6713">
        <w:rPr>
          <w:b/>
        </w:rPr>
        <w:t>mil.</w:t>
      </w:r>
      <w:r w:rsidR="00C47F99" w:rsidRPr="0063207B">
        <w:rPr>
          <w:b/>
        </w:rPr>
        <w:t xml:space="preserve"> Kč </w:t>
      </w:r>
      <w:r w:rsidRPr="0063207B">
        <w:rPr>
          <w:b/>
        </w:rPr>
        <w:t>a</w:t>
      </w:r>
      <w:r w:rsidR="00E41453">
        <w:rPr>
          <w:b/>
        </w:rPr>
        <w:t> </w:t>
      </w:r>
      <w:r w:rsidRPr="0063207B">
        <w:rPr>
          <w:b/>
        </w:rPr>
        <w:t xml:space="preserve">rozpočtový paragraf </w:t>
      </w:r>
      <w:r w:rsidRPr="00516E59">
        <w:rPr>
          <w:b/>
        </w:rPr>
        <w:t>3589</w:t>
      </w:r>
      <w:r w:rsidRPr="0063207B">
        <w:rPr>
          <w:b/>
          <w:i/>
        </w:rPr>
        <w:t xml:space="preserve"> – Ostatní výzkum a vývoj ve zdravotnictví </w:t>
      </w:r>
      <w:r w:rsidRPr="0063207B">
        <w:rPr>
          <w:b/>
        </w:rPr>
        <w:t>o 158 </w:t>
      </w:r>
      <w:r w:rsidR="001A6713">
        <w:rPr>
          <w:b/>
        </w:rPr>
        <w:t>mil. </w:t>
      </w:r>
      <w:r w:rsidRPr="0063207B">
        <w:rPr>
          <w:b/>
        </w:rPr>
        <w:t xml:space="preserve">Kč. </w:t>
      </w:r>
    </w:p>
    <w:p w14:paraId="156FBDCD" w14:textId="77777777" w:rsidR="00760585" w:rsidRPr="00C15CA3" w:rsidRDefault="00760585" w:rsidP="00C15CA3"/>
    <w:p w14:paraId="7AD11BB0" w14:textId="57DE202C" w:rsidR="00F43E17" w:rsidRPr="00C05E4C" w:rsidRDefault="00A26BD8" w:rsidP="000805D1">
      <w:pPr>
        <w:pStyle w:val="Nadpis3"/>
        <w:ind w:left="426" w:hanging="426"/>
      </w:pPr>
      <w:r w:rsidRPr="00C05E4C">
        <w:t xml:space="preserve">Nesprávné zatřídění příjmů </w:t>
      </w:r>
      <w:r w:rsidR="00E41453">
        <w:t xml:space="preserve">plynoucích </w:t>
      </w:r>
      <w:r w:rsidR="0063207B" w:rsidRPr="00C05E4C">
        <w:t>z rozhodnutí o</w:t>
      </w:r>
      <w:r w:rsidRPr="00C05E4C">
        <w:t> odnětí dotace</w:t>
      </w:r>
    </w:p>
    <w:p w14:paraId="4320344F" w14:textId="5E270E3D" w:rsidR="00C22AC1" w:rsidRPr="00C22AC1" w:rsidRDefault="00A26BD8" w:rsidP="00C22AC1">
      <w:r>
        <w:t>MŠMT v roce 2019 přijalo peněžní prostředky z</w:t>
      </w:r>
      <w:r w:rsidR="003566E5">
        <w:t> titulu pravomocn</w:t>
      </w:r>
      <w:r w:rsidR="00E41453">
        <w:t>ých</w:t>
      </w:r>
      <w:r w:rsidR="003566E5">
        <w:t xml:space="preserve"> </w:t>
      </w:r>
      <w:r>
        <w:t>rozhodnutí o odnětí dotace</w:t>
      </w:r>
      <w:r>
        <w:rPr>
          <w:rStyle w:val="Znakapoznpodarou"/>
        </w:rPr>
        <w:footnoteReference w:id="10"/>
      </w:r>
      <w:r w:rsidR="0063207B">
        <w:t xml:space="preserve"> </w:t>
      </w:r>
      <w:r>
        <w:t xml:space="preserve">a tyto příjmy zatřídilo z hlediska druhového na rozpočtovou položku </w:t>
      </w:r>
      <w:r w:rsidRPr="00516E59">
        <w:t>2329</w:t>
      </w:r>
      <w:r w:rsidRPr="00C22AC1">
        <w:rPr>
          <w:i/>
        </w:rPr>
        <w:t xml:space="preserve"> – Ostatní nedaňové příjmy jinde nezařazené</w:t>
      </w:r>
      <w:r>
        <w:t xml:space="preserve">. Jednalo se však o vratky transferů, které </w:t>
      </w:r>
      <w:r w:rsidR="003566E5">
        <w:t xml:space="preserve">MŠMT </w:t>
      </w:r>
      <w:r>
        <w:t>dříve na základě rozhodnutí o poskytnutí dotac</w:t>
      </w:r>
      <w:r w:rsidR="00CE611B">
        <w:t>í</w:t>
      </w:r>
      <w:r>
        <w:t xml:space="preserve"> </w:t>
      </w:r>
      <w:proofErr w:type="gramStart"/>
      <w:r>
        <w:t>poskytlo</w:t>
      </w:r>
      <w:proofErr w:type="gramEnd"/>
      <w:r>
        <w:t xml:space="preserve"> </w:t>
      </w:r>
      <w:r w:rsidR="00CE611B">
        <w:t xml:space="preserve">příjemcům </w:t>
      </w:r>
      <w:r>
        <w:t xml:space="preserve">na realizaci projektů OP VVV. V důsledku této skutečnosti MŠMT </w:t>
      </w:r>
      <w:r w:rsidR="00897443">
        <w:t xml:space="preserve">ve </w:t>
      </w:r>
      <w:r>
        <w:t xml:space="preserve">výkazu FIN 1-12 OSS </w:t>
      </w:r>
      <w:r w:rsidRPr="00897443">
        <w:rPr>
          <w:b/>
        </w:rPr>
        <w:t xml:space="preserve">nadhodnotilo rozpočtovou položku </w:t>
      </w:r>
      <w:r w:rsidRPr="00516E59">
        <w:rPr>
          <w:b/>
        </w:rPr>
        <w:t>2329</w:t>
      </w:r>
      <w:r w:rsidRPr="00897443">
        <w:rPr>
          <w:b/>
          <w:i/>
        </w:rPr>
        <w:t xml:space="preserve"> – Ostatní nedaňové příjmy jinde nezařazené </w:t>
      </w:r>
      <w:r w:rsidRPr="00897443">
        <w:rPr>
          <w:b/>
        </w:rPr>
        <w:t>o 5</w:t>
      </w:r>
      <w:r w:rsidR="000F7963">
        <w:rPr>
          <w:b/>
        </w:rPr>
        <w:t>,9 mil.</w:t>
      </w:r>
      <w:r w:rsidRPr="00897443">
        <w:rPr>
          <w:b/>
        </w:rPr>
        <w:t xml:space="preserve"> Kč a o stejnou částku podhodnotilo rozpočtovou položku </w:t>
      </w:r>
      <w:r w:rsidRPr="00516E59">
        <w:rPr>
          <w:b/>
        </w:rPr>
        <w:t>2229</w:t>
      </w:r>
      <w:r w:rsidRPr="00897443">
        <w:rPr>
          <w:b/>
          <w:i/>
        </w:rPr>
        <w:t xml:space="preserve"> – Ostatní přijaté vratky transferů</w:t>
      </w:r>
      <w:r w:rsidRPr="00897443">
        <w:rPr>
          <w:b/>
        </w:rPr>
        <w:t>.</w:t>
      </w:r>
      <w:r>
        <w:t xml:space="preserve"> </w:t>
      </w:r>
    </w:p>
    <w:p w14:paraId="4583A0D4" w14:textId="77777777" w:rsidR="004D444E" w:rsidRDefault="004D444E" w:rsidP="004D444E"/>
    <w:p w14:paraId="16A3873C" w14:textId="77777777" w:rsidR="00E41453" w:rsidRDefault="00E41453">
      <w:pPr>
        <w:spacing w:after="160"/>
        <w:jc w:val="left"/>
        <w:rPr>
          <w:b/>
        </w:rPr>
      </w:pPr>
      <w:r>
        <w:br w:type="page"/>
      </w:r>
    </w:p>
    <w:p w14:paraId="65BDAE98" w14:textId="0F359BB7" w:rsidR="004D444E" w:rsidRDefault="00A26BD8" w:rsidP="005C1A0A">
      <w:pPr>
        <w:pStyle w:val="Nadpis2"/>
        <w:keepNext/>
        <w:numPr>
          <w:ilvl w:val="0"/>
          <w:numId w:val="14"/>
        </w:numPr>
        <w:ind w:left="357" w:hanging="357"/>
      </w:pPr>
      <w:r>
        <w:lastRenderedPageBreak/>
        <w:t xml:space="preserve">Závěrečný účet kapitoly </w:t>
      </w:r>
      <w:r w:rsidRPr="004D444E">
        <w:t xml:space="preserve">333 – </w:t>
      </w:r>
      <w:r w:rsidRPr="00516E59">
        <w:rPr>
          <w:i/>
        </w:rPr>
        <w:t>Ministerstvo školství, mládeže a tělovýchovy</w:t>
      </w:r>
      <w:r>
        <w:t xml:space="preserve"> za rok 2019</w:t>
      </w:r>
    </w:p>
    <w:p w14:paraId="38DFE54B" w14:textId="77777777" w:rsidR="002B2B61" w:rsidRDefault="00A26BD8" w:rsidP="004D444E">
      <w:pPr>
        <w:rPr>
          <w:rFonts w:cstheme="minorHAnsi"/>
        </w:rPr>
      </w:pPr>
      <w:r>
        <w:t xml:space="preserve">Závěrečný účet kapitoly 333 – </w:t>
      </w:r>
      <w:r w:rsidRPr="005C1A0A">
        <w:rPr>
          <w:i/>
        </w:rPr>
        <w:t>Ministerstvo školství, mládeže a tělovýchovy</w:t>
      </w:r>
      <w:r>
        <w:t xml:space="preserve"> za rok 2019 byl zpracován v rozsahu stanoveném vyhláškou č. 419/2001 Sb.</w:t>
      </w:r>
    </w:p>
    <w:p w14:paraId="006C538E" w14:textId="77777777" w:rsidR="002B2B61" w:rsidRDefault="002B2B61" w:rsidP="004D444E">
      <w:pPr>
        <w:rPr>
          <w:rFonts w:cstheme="minorHAnsi"/>
        </w:rPr>
      </w:pPr>
    </w:p>
    <w:p w14:paraId="56CE11E0" w14:textId="2B636B63" w:rsidR="00684B3F" w:rsidRDefault="00A26BD8" w:rsidP="004D444E">
      <w:pPr>
        <w:rPr>
          <w:b/>
        </w:rPr>
      </w:pPr>
      <w:r w:rsidRPr="002B2B61">
        <w:rPr>
          <w:rFonts w:cstheme="minorHAnsi"/>
        </w:rPr>
        <w:t>Při kontrole</w:t>
      </w:r>
      <w:r w:rsidR="002B2B61" w:rsidRPr="002B2B61">
        <w:rPr>
          <w:rFonts w:cstheme="minorHAnsi"/>
        </w:rPr>
        <w:t xml:space="preserve"> správnosti a úplnosti </w:t>
      </w:r>
      <w:r w:rsidRPr="002B2B61">
        <w:t>údajů a číselných hodnot uvedených v průvodní zprávě</w:t>
      </w:r>
      <w:r w:rsidR="002B2B61" w:rsidRPr="002B2B61">
        <w:t xml:space="preserve"> závěrečného účtu</w:t>
      </w:r>
      <w:r w:rsidRPr="002B2B61">
        <w:t xml:space="preserve">, v číselných sestavách a </w:t>
      </w:r>
      <w:r w:rsidR="00897443">
        <w:t xml:space="preserve">v </w:t>
      </w:r>
      <w:r w:rsidRPr="002B2B61">
        <w:t>tabulkových přílohách</w:t>
      </w:r>
      <w:r w:rsidR="002B2B61" w:rsidRPr="002B2B61">
        <w:t xml:space="preserve"> </w:t>
      </w:r>
      <w:r w:rsidR="003D1948" w:rsidRPr="003D1948">
        <w:rPr>
          <w:b/>
        </w:rPr>
        <w:t>ne</w:t>
      </w:r>
      <w:r w:rsidR="002B2B61" w:rsidRPr="003D1948">
        <w:rPr>
          <w:b/>
        </w:rPr>
        <w:t>byly</w:t>
      </w:r>
      <w:r w:rsidR="003D1948">
        <w:rPr>
          <w:b/>
        </w:rPr>
        <w:t xml:space="preserve"> zjištěny </w:t>
      </w:r>
      <w:r w:rsidR="002B2B61" w:rsidRPr="00897443">
        <w:rPr>
          <w:b/>
        </w:rPr>
        <w:t xml:space="preserve">významné </w:t>
      </w:r>
      <w:r w:rsidR="00EB1E41">
        <w:rPr>
          <w:b/>
        </w:rPr>
        <w:t>nesprávnosti</w:t>
      </w:r>
      <w:r w:rsidR="00E41453">
        <w:rPr>
          <w:b/>
        </w:rPr>
        <w:t>;</w:t>
      </w:r>
      <w:r w:rsidR="002B2B61" w:rsidRPr="00897443">
        <w:rPr>
          <w:b/>
        </w:rPr>
        <w:t xml:space="preserve"> </w:t>
      </w:r>
      <w:r w:rsidR="00E41453">
        <w:rPr>
          <w:b/>
        </w:rPr>
        <w:t>odhalené drobné nesprávnosti dle názoru NKÚ nemají</w:t>
      </w:r>
      <w:r w:rsidR="002B2B61" w:rsidRPr="00897443">
        <w:rPr>
          <w:b/>
        </w:rPr>
        <w:t xml:space="preserve"> </w:t>
      </w:r>
      <w:r w:rsidR="00E41453">
        <w:rPr>
          <w:b/>
        </w:rPr>
        <w:t xml:space="preserve">samostatně ani </w:t>
      </w:r>
      <w:r w:rsidR="00E41453" w:rsidRPr="00897443">
        <w:rPr>
          <w:b/>
        </w:rPr>
        <w:t xml:space="preserve">v souhrnu </w:t>
      </w:r>
      <w:r w:rsidR="002B2B61" w:rsidRPr="00897443">
        <w:rPr>
          <w:b/>
        </w:rPr>
        <w:t>významný vliv na vypovídací schopnost závěrečného účtu</w:t>
      </w:r>
      <w:r w:rsidRPr="00897443">
        <w:rPr>
          <w:b/>
        </w:rPr>
        <w:t xml:space="preserve">. </w:t>
      </w:r>
    </w:p>
    <w:p w14:paraId="18311D2F" w14:textId="77777777" w:rsidR="008E33E5" w:rsidRDefault="008E33E5" w:rsidP="00684B3F">
      <w:pPr>
        <w:widowControl w:val="0"/>
        <w:rPr>
          <w:rFonts w:cstheme="minorHAnsi"/>
          <w:b/>
        </w:rPr>
      </w:pPr>
    </w:p>
    <w:p w14:paraId="11A0BD60" w14:textId="77777777" w:rsidR="00D4120E" w:rsidRDefault="00D4120E" w:rsidP="00684B3F">
      <w:pPr>
        <w:widowControl w:val="0"/>
        <w:rPr>
          <w:rFonts w:cstheme="minorHAnsi"/>
          <w:b/>
        </w:rPr>
      </w:pPr>
    </w:p>
    <w:p w14:paraId="46B3B8C7" w14:textId="77777777" w:rsidR="008E33E5" w:rsidRDefault="008E33E5" w:rsidP="00684B3F">
      <w:pPr>
        <w:widowControl w:val="0"/>
        <w:rPr>
          <w:rFonts w:cstheme="minorHAnsi"/>
          <w:b/>
        </w:rPr>
      </w:pPr>
    </w:p>
    <w:p w14:paraId="77C48A33" w14:textId="77777777" w:rsidR="00684B3F" w:rsidRDefault="00A26BD8" w:rsidP="00684B3F">
      <w:pPr>
        <w:widowControl w:val="0"/>
        <w:rPr>
          <w:rFonts w:cstheme="minorHAnsi"/>
          <w:b/>
        </w:rPr>
      </w:pPr>
      <w:r>
        <w:rPr>
          <w:rFonts w:cstheme="minorHAnsi"/>
          <w:b/>
        </w:rPr>
        <w:t>Seznam zkratek</w:t>
      </w:r>
    </w:p>
    <w:p w14:paraId="49F6B38C" w14:textId="77777777" w:rsidR="00684B3F" w:rsidRDefault="00684B3F" w:rsidP="00684B3F">
      <w:pPr>
        <w:keepNext/>
        <w:tabs>
          <w:tab w:val="left" w:pos="2552"/>
        </w:tabs>
        <w:ind w:left="2552" w:hanging="2552"/>
        <w:rPr>
          <w:rFonts w:cstheme="minorHAnsi"/>
        </w:rPr>
      </w:pPr>
    </w:p>
    <w:p w14:paraId="5CBCC60D" w14:textId="77777777" w:rsidR="00B17CCE" w:rsidRPr="008B7DC0" w:rsidRDefault="00B17CCE" w:rsidP="00516E59">
      <w:pPr>
        <w:tabs>
          <w:tab w:val="left" w:pos="2552"/>
        </w:tabs>
        <w:spacing w:after="120" w:line="240" w:lineRule="auto"/>
        <w:ind w:left="2552" w:hanging="2552"/>
        <w:jc w:val="left"/>
        <w:rPr>
          <w:rFonts w:cstheme="minorHAnsi"/>
        </w:rPr>
      </w:pPr>
      <w:r>
        <w:rPr>
          <w:rFonts w:cstheme="minorHAnsi"/>
        </w:rPr>
        <w:t>333 MŠMT</w:t>
      </w:r>
      <w:r>
        <w:rPr>
          <w:rFonts w:cstheme="minorHAnsi"/>
        </w:rPr>
        <w:tab/>
        <w:t xml:space="preserve">kapitola státního rozpočtu 333 – </w:t>
      </w:r>
      <w:r w:rsidRPr="00516E59">
        <w:rPr>
          <w:rFonts w:cstheme="minorHAnsi"/>
          <w:i/>
        </w:rPr>
        <w:t>Ministerstvo školství, mládeže a</w:t>
      </w:r>
      <w:r>
        <w:rPr>
          <w:rFonts w:cstheme="minorHAnsi"/>
          <w:i/>
        </w:rPr>
        <w:t> </w:t>
      </w:r>
      <w:r w:rsidRPr="00516E59">
        <w:rPr>
          <w:rFonts w:cstheme="minorHAnsi"/>
          <w:i/>
        </w:rPr>
        <w:t>tělovýchovy</w:t>
      </w:r>
    </w:p>
    <w:p w14:paraId="5106C44D" w14:textId="77777777" w:rsidR="00B17CCE" w:rsidRDefault="00B17CCE" w:rsidP="00516E59">
      <w:pPr>
        <w:tabs>
          <w:tab w:val="left" w:pos="2552"/>
        </w:tabs>
        <w:spacing w:after="120" w:line="240" w:lineRule="auto"/>
        <w:ind w:left="2552" w:hanging="2552"/>
        <w:rPr>
          <w:rFonts w:cstheme="minorHAnsi"/>
        </w:rPr>
      </w:pPr>
      <w:r>
        <w:rPr>
          <w:rFonts w:cstheme="minorHAnsi"/>
        </w:rPr>
        <w:t>ČR</w:t>
      </w:r>
      <w:r>
        <w:rPr>
          <w:rFonts w:cstheme="minorHAnsi"/>
        </w:rPr>
        <w:tab/>
        <w:t>Česká republika</w:t>
      </w:r>
    </w:p>
    <w:p w14:paraId="0BA5A72D" w14:textId="77777777" w:rsidR="00B17CCE" w:rsidRDefault="00B17CCE" w:rsidP="00516E59">
      <w:pPr>
        <w:tabs>
          <w:tab w:val="left" w:pos="2552"/>
        </w:tabs>
        <w:spacing w:after="120" w:line="240" w:lineRule="auto"/>
        <w:ind w:left="2552" w:hanging="2552"/>
        <w:rPr>
          <w:rFonts w:cstheme="minorHAnsi"/>
        </w:rPr>
      </w:pPr>
      <w:r>
        <w:rPr>
          <w:rFonts w:cstheme="minorHAnsi"/>
        </w:rPr>
        <w:t>EDS/SMVS</w:t>
      </w:r>
      <w:r>
        <w:rPr>
          <w:rFonts w:cstheme="minorHAnsi"/>
        </w:rPr>
        <w:tab/>
      </w:r>
      <w:r w:rsidRPr="00516E59">
        <w:rPr>
          <w:i/>
        </w:rPr>
        <w:t>Evidenční dotační systém</w:t>
      </w:r>
      <w:r>
        <w:t xml:space="preserve"> a </w:t>
      </w:r>
      <w:r w:rsidRPr="00516E59">
        <w:rPr>
          <w:i/>
        </w:rPr>
        <w:t>Správa majetku ve vlastnictví státu</w:t>
      </w:r>
    </w:p>
    <w:p w14:paraId="6D0B1DB8" w14:textId="201B72B5" w:rsidR="00B17CCE" w:rsidRDefault="00B17CCE" w:rsidP="00516E59">
      <w:pPr>
        <w:tabs>
          <w:tab w:val="left" w:pos="2552"/>
        </w:tabs>
        <w:spacing w:after="120" w:line="240" w:lineRule="auto"/>
        <w:ind w:left="2552" w:hanging="2552"/>
        <w:rPr>
          <w:rFonts w:cstheme="minorHAnsi"/>
        </w:rPr>
      </w:pPr>
      <w:r>
        <w:rPr>
          <w:rFonts w:cstheme="minorHAnsi"/>
        </w:rPr>
        <w:t>EU</w:t>
      </w:r>
      <w:r>
        <w:rPr>
          <w:rFonts w:cstheme="minorHAnsi"/>
        </w:rPr>
        <w:tab/>
        <w:t>Evropská unie</w:t>
      </w:r>
    </w:p>
    <w:p w14:paraId="738FEC60" w14:textId="77777777" w:rsidR="00B17CCE" w:rsidRPr="00684B3F" w:rsidRDefault="00B17CCE" w:rsidP="00516E59">
      <w:pPr>
        <w:tabs>
          <w:tab w:val="left" w:pos="2552"/>
        </w:tabs>
        <w:spacing w:after="120" w:line="240" w:lineRule="auto"/>
        <w:ind w:left="2552" w:hanging="2552"/>
        <w:rPr>
          <w:rFonts w:cstheme="minorHAnsi"/>
        </w:rPr>
      </w:pPr>
      <w:r w:rsidRPr="00684B3F">
        <w:rPr>
          <w:rFonts w:cstheme="minorHAnsi"/>
        </w:rPr>
        <w:t>MŠMT</w:t>
      </w:r>
      <w:r w:rsidRPr="00684B3F">
        <w:rPr>
          <w:rFonts w:cstheme="minorHAnsi"/>
        </w:rPr>
        <w:tab/>
        <w:t>Ministerstvo školství, mládeže a tělovýchovy</w:t>
      </w:r>
    </w:p>
    <w:p w14:paraId="736C25E5" w14:textId="77777777" w:rsidR="00B17CCE" w:rsidRDefault="00B17CCE" w:rsidP="00516E59">
      <w:pPr>
        <w:tabs>
          <w:tab w:val="left" w:pos="2552"/>
        </w:tabs>
        <w:spacing w:after="120" w:line="240" w:lineRule="auto"/>
        <w:ind w:left="2552" w:hanging="2552"/>
        <w:rPr>
          <w:rFonts w:cstheme="minorHAnsi"/>
        </w:rPr>
      </w:pPr>
      <w:r>
        <w:rPr>
          <w:rFonts w:cstheme="minorHAnsi"/>
        </w:rPr>
        <w:t>NF</w:t>
      </w:r>
      <w:r>
        <w:rPr>
          <w:rFonts w:cstheme="minorHAnsi"/>
        </w:rPr>
        <w:tab/>
        <w:t>Národní fond</w:t>
      </w:r>
    </w:p>
    <w:p w14:paraId="16F6A852" w14:textId="77777777" w:rsidR="00B17CCE" w:rsidRPr="00684B3F" w:rsidRDefault="00B17CCE" w:rsidP="00516E59">
      <w:pPr>
        <w:tabs>
          <w:tab w:val="left" w:pos="2552"/>
        </w:tabs>
        <w:spacing w:after="120" w:line="240" w:lineRule="auto"/>
        <w:rPr>
          <w:rFonts w:cstheme="minorHAnsi"/>
        </w:rPr>
      </w:pPr>
      <w:r w:rsidRPr="00684B3F">
        <w:rPr>
          <w:rFonts w:cstheme="minorHAnsi"/>
        </w:rPr>
        <w:t>NKÚ</w:t>
      </w:r>
      <w:r w:rsidRPr="00684B3F">
        <w:rPr>
          <w:rFonts w:cstheme="minorHAnsi"/>
        </w:rPr>
        <w:tab/>
        <w:t>Nejvyšší kontrolní úřad</w:t>
      </w:r>
    </w:p>
    <w:p w14:paraId="0FA41B72" w14:textId="580C5701" w:rsidR="00B17CCE" w:rsidRDefault="00B17CCE" w:rsidP="00516E59">
      <w:pPr>
        <w:tabs>
          <w:tab w:val="left" w:pos="2552"/>
        </w:tabs>
        <w:spacing w:after="120" w:line="240" w:lineRule="auto"/>
        <w:ind w:left="2552" w:hanging="2552"/>
        <w:rPr>
          <w:rFonts w:cstheme="minorHAnsi"/>
        </w:rPr>
      </w:pPr>
      <w:r>
        <w:rPr>
          <w:rFonts w:cstheme="minorHAnsi"/>
        </w:rPr>
        <w:t xml:space="preserve">OP </w:t>
      </w:r>
      <w:proofErr w:type="spellStart"/>
      <w:r>
        <w:rPr>
          <w:rFonts w:cstheme="minorHAnsi"/>
        </w:rPr>
        <w:t>VaVpI</w:t>
      </w:r>
      <w:proofErr w:type="spellEnd"/>
      <w:r>
        <w:rPr>
          <w:rFonts w:cstheme="minorHAnsi"/>
        </w:rPr>
        <w:tab/>
        <w:t xml:space="preserve">operační program </w:t>
      </w:r>
      <w:r w:rsidRPr="00516E59">
        <w:rPr>
          <w:rFonts w:cstheme="minorHAnsi"/>
          <w:i/>
        </w:rPr>
        <w:t>Výzkum a vývoj pro inovace</w:t>
      </w:r>
    </w:p>
    <w:p w14:paraId="25BDAD19" w14:textId="6C72A59D" w:rsidR="00B17CCE" w:rsidRDefault="00B17CCE" w:rsidP="00516E59">
      <w:pPr>
        <w:tabs>
          <w:tab w:val="left" w:pos="2552"/>
        </w:tabs>
        <w:spacing w:after="120" w:line="240" w:lineRule="auto"/>
        <w:ind w:left="2552" w:hanging="2552"/>
        <w:rPr>
          <w:rFonts w:cstheme="minorHAnsi"/>
        </w:rPr>
      </w:pPr>
      <w:r>
        <w:rPr>
          <w:rFonts w:cstheme="minorHAnsi"/>
        </w:rPr>
        <w:t>OP VK</w:t>
      </w:r>
      <w:r>
        <w:rPr>
          <w:rFonts w:cstheme="minorHAnsi"/>
        </w:rPr>
        <w:tab/>
        <w:t xml:space="preserve">operační program </w:t>
      </w:r>
      <w:r w:rsidRPr="00516E59">
        <w:rPr>
          <w:rFonts w:cstheme="minorHAnsi"/>
          <w:i/>
        </w:rPr>
        <w:t>Vzdělávání pro konkurenceschopnost</w:t>
      </w:r>
    </w:p>
    <w:p w14:paraId="78A652E6" w14:textId="05487997" w:rsidR="00B17CCE" w:rsidRDefault="00B17CCE" w:rsidP="00516E59">
      <w:pPr>
        <w:tabs>
          <w:tab w:val="left" w:pos="2552"/>
        </w:tabs>
        <w:spacing w:after="120" w:line="240" w:lineRule="auto"/>
        <w:ind w:left="2552" w:hanging="2552"/>
        <w:rPr>
          <w:rFonts w:cstheme="minorHAnsi"/>
        </w:rPr>
      </w:pPr>
      <w:r w:rsidRPr="00684B3F">
        <w:rPr>
          <w:rFonts w:cstheme="minorHAnsi"/>
        </w:rPr>
        <w:t>OP VVV</w:t>
      </w:r>
      <w:r w:rsidRPr="00684B3F">
        <w:rPr>
          <w:rFonts w:cstheme="minorHAnsi"/>
        </w:rPr>
        <w:tab/>
      </w:r>
      <w:r>
        <w:rPr>
          <w:rFonts w:cstheme="minorHAnsi"/>
        </w:rPr>
        <w:t>o</w:t>
      </w:r>
      <w:r w:rsidRPr="00684B3F">
        <w:rPr>
          <w:rFonts w:cstheme="minorHAnsi"/>
        </w:rPr>
        <w:t>perační</w:t>
      </w:r>
      <w:r>
        <w:rPr>
          <w:rFonts w:cstheme="minorHAnsi"/>
        </w:rPr>
        <w:t xml:space="preserve"> program</w:t>
      </w:r>
      <w:r w:rsidRPr="00684B3F">
        <w:rPr>
          <w:rFonts w:cstheme="minorHAnsi"/>
        </w:rPr>
        <w:t xml:space="preserve"> </w:t>
      </w:r>
      <w:r w:rsidRPr="00516E59">
        <w:rPr>
          <w:rFonts w:cstheme="minorHAnsi"/>
          <w:i/>
        </w:rPr>
        <w:t>Výzkum, vývoj a vzdělávání</w:t>
      </w:r>
    </w:p>
    <w:p w14:paraId="1FC731F3" w14:textId="77777777" w:rsidR="00B17CCE" w:rsidRDefault="00B17CCE" w:rsidP="00516E59">
      <w:pPr>
        <w:tabs>
          <w:tab w:val="left" w:pos="2552"/>
        </w:tabs>
        <w:spacing w:after="120" w:line="240" w:lineRule="auto"/>
        <w:ind w:left="2552" w:hanging="2552"/>
        <w:rPr>
          <w:rFonts w:cstheme="minorHAnsi"/>
        </w:rPr>
      </w:pPr>
      <w:r>
        <w:rPr>
          <w:rFonts w:cstheme="minorHAnsi"/>
        </w:rPr>
        <w:t>SR</w:t>
      </w:r>
      <w:r>
        <w:rPr>
          <w:rFonts w:cstheme="minorHAnsi"/>
        </w:rPr>
        <w:tab/>
        <w:t>státní rozpočet</w:t>
      </w:r>
    </w:p>
    <w:p w14:paraId="37D3FC70" w14:textId="77777777" w:rsidR="00B17CCE" w:rsidRDefault="00B17CCE" w:rsidP="00516E59">
      <w:pPr>
        <w:tabs>
          <w:tab w:val="left" w:pos="2552"/>
        </w:tabs>
        <w:spacing w:after="120" w:line="240" w:lineRule="auto"/>
        <w:ind w:left="2552" w:hanging="2552"/>
        <w:rPr>
          <w:rFonts w:cstheme="minorHAnsi"/>
        </w:rPr>
      </w:pPr>
      <w:r>
        <w:rPr>
          <w:rFonts w:cstheme="minorHAnsi"/>
        </w:rPr>
        <w:t>ÚZ</w:t>
      </w:r>
      <w:r>
        <w:rPr>
          <w:rFonts w:cstheme="minorHAnsi"/>
        </w:rPr>
        <w:tab/>
        <w:t>účetní závěrka MŠMT sestavená k 31. prosinci 2019</w:t>
      </w:r>
    </w:p>
    <w:p w14:paraId="56880812" w14:textId="559085A6" w:rsidR="00684B3F" w:rsidRDefault="00B17CCE" w:rsidP="00B17CCE">
      <w:pPr>
        <w:tabs>
          <w:tab w:val="left" w:pos="2552"/>
        </w:tabs>
        <w:spacing w:after="120" w:line="240" w:lineRule="auto"/>
        <w:ind w:left="2552" w:hanging="2552"/>
        <w:rPr>
          <w:b/>
          <w:lang w:eastAsia="cs-CZ"/>
        </w:rPr>
      </w:pPr>
      <w:r w:rsidRPr="00684B3F">
        <w:rPr>
          <w:rFonts w:cstheme="minorHAnsi"/>
        </w:rPr>
        <w:t>výkaz FIN 1-12 OSS</w:t>
      </w:r>
      <w:r w:rsidRPr="00684B3F">
        <w:rPr>
          <w:rFonts w:cstheme="minorHAnsi"/>
        </w:rPr>
        <w:tab/>
      </w:r>
      <w:r>
        <w:t>výkaz</w:t>
      </w:r>
      <w:r w:rsidRPr="00805C77">
        <w:t xml:space="preserve"> pro hodnocení plnění rozpočtu Ministerstva školství, mládeže a tělovýchovy sestavený k 31. </w:t>
      </w:r>
      <w:r>
        <w:t>prosinci</w:t>
      </w:r>
      <w:r w:rsidRPr="00805C77">
        <w:t xml:space="preserve"> 2019</w:t>
      </w:r>
    </w:p>
    <w:p w14:paraId="3BAA7055" w14:textId="77777777" w:rsidR="004429E9" w:rsidRPr="004D444E" w:rsidRDefault="004429E9" w:rsidP="004D444E"/>
    <w:sectPr w:rsidR="004429E9" w:rsidRPr="004D444E" w:rsidSect="00A4715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6B4A0" w14:textId="77777777" w:rsidR="003710F9" w:rsidRDefault="003710F9">
      <w:pPr>
        <w:spacing w:line="240" w:lineRule="auto"/>
      </w:pPr>
      <w:r>
        <w:separator/>
      </w:r>
    </w:p>
  </w:endnote>
  <w:endnote w:type="continuationSeparator" w:id="0">
    <w:p w14:paraId="1BCD0FA1" w14:textId="77777777" w:rsidR="003710F9" w:rsidRDefault="00371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D9B2" w14:textId="77777777" w:rsidR="00582779" w:rsidRDefault="005827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DE3A1" w14:textId="77777777" w:rsidR="00582779" w:rsidRDefault="005827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840256"/>
      <w:docPartObj>
        <w:docPartGallery w:val="Page Numbers (Bottom of Page)"/>
        <w:docPartUnique/>
      </w:docPartObj>
    </w:sdtPr>
    <w:sdtEndPr/>
    <w:sdtContent>
      <w:p w14:paraId="1CBADD44" w14:textId="6EE141F1" w:rsidR="003F7042" w:rsidRDefault="00A26BD8" w:rsidP="008746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779">
          <w:rPr>
            <w:noProof/>
          </w:rPr>
          <w:t>5</w:t>
        </w:r>
        <w:r>
          <w:fldChar w:fldCharType="end"/>
        </w:r>
      </w:p>
    </w:sdtContent>
  </w:sdt>
  <w:p w14:paraId="47C72948" w14:textId="77777777" w:rsidR="003F7042" w:rsidRDefault="003F704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334898"/>
      <w:docPartObj>
        <w:docPartGallery w:val="Page Numbers (Bottom of Page)"/>
        <w:docPartUnique/>
      </w:docPartObj>
    </w:sdtPr>
    <w:sdtEndPr/>
    <w:sdtContent>
      <w:p w14:paraId="729679AC" w14:textId="6806E5DC" w:rsidR="003F7042" w:rsidRDefault="00A26B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779">
          <w:rPr>
            <w:noProof/>
          </w:rPr>
          <w:t>15</w:t>
        </w:r>
        <w:r>
          <w:fldChar w:fldCharType="end"/>
        </w:r>
      </w:p>
    </w:sdtContent>
  </w:sdt>
  <w:p w14:paraId="11C6C2F5" w14:textId="77777777" w:rsidR="003F7042" w:rsidRDefault="003F7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D3C26" w14:textId="77777777" w:rsidR="003710F9" w:rsidRDefault="003710F9" w:rsidP="00D45AE4">
      <w:r>
        <w:separator/>
      </w:r>
    </w:p>
  </w:footnote>
  <w:footnote w:type="continuationSeparator" w:id="0">
    <w:p w14:paraId="0825C11D" w14:textId="77777777" w:rsidR="003710F9" w:rsidRDefault="003710F9" w:rsidP="00D45AE4">
      <w:r>
        <w:continuationSeparator/>
      </w:r>
    </w:p>
  </w:footnote>
  <w:footnote w:id="1">
    <w:p w14:paraId="23AAC9B5" w14:textId="2E363BCC" w:rsidR="00FB008B" w:rsidRDefault="00A26BD8" w:rsidP="000805D1">
      <w:pPr>
        <w:pStyle w:val="Textpoznpodarou"/>
        <w:spacing w:after="0"/>
        <w:ind w:left="284" w:hanging="284"/>
        <w:rPr>
          <w:rFonts w:cstheme="minorHAnsi"/>
        </w:rPr>
      </w:pPr>
      <w:r w:rsidRPr="001A79A3">
        <w:rPr>
          <w:rStyle w:val="Znakapoznpodarou"/>
          <w:rFonts w:eastAsia="Calibri" w:cstheme="minorHAnsi"/>
        </w:rPr>
        <w:footnoteRef/>
      </w:r>
      <w:r w:rsidR="00A45B53">
        <w:rPr>
          <w:rFonts w:cstheme="minorHAnsi"/>
        </w:rPr>
        <w:t xml:space="preserve"> </w:t>
      </w:r>
      <w:r w:rsidR="000805D1">
        <w:rPr>
          <w:rFonts w:cstheme="minorHAnsi"/>
        </w:rPr>
        <w:tab/>
      </w:r>
      <w:r w:rsidRPr="005C4E99">
        <w:rPr>
          <w:rFonts w:cstheme="minorHAnsi"/>
        </w:rPr>
        <w:t>Pro posouzení významnosti zjištěných nesprávností v údajích účetní závěrky byla stanovena významnost</w:t>
      </w:r>
      <w:r w:rsidR="00EA664A">
        <w:rPr>
          <w:rFonts w:cstheme="minorHAnsi"/>
        </w:rPr>
        <w:t xml:space="preserve"> </w:t>
      </w:r>
      <w:r w:rsidRPr="005C4E99">
        <w:rPr>
          <w:rFonts w:cstheme="minorHAnsi"/>
        </w:rPr>
        <w:t xml:space="preserve">ve výši 2 % z celkových aktiv v </w:t>
      </w:r>
      <w:r w:rsidR="008A4214">
        <w:rPr>
          <w:rFonts w:cstheme="minorHAnsi"/>
        </w:rPr>
        <w:t>netto</w:t>
      </w:r>
      <w:r w:rsidRPr="005C4E99">
        <w:rPr>
          <w:rFonts w:cstheme="minorHAnsi"/>
        </w:rPr>
        <w:t xml:space="preserve"> hodnotě vykázaných k 31. 12. 2019, tj. ve výši 5 mld. Kč.</w:t>
      </w:r>
    </w:p>
    <w:p w14:paraId="6A08F42D" w14:textId="3FA6B45C" w:rsidR="00FB008B" w:rsidRDefault="00A26BD8" w:rsidP="000805D1">
      <w:pPr>
        <w:pStyle w:val="Textpoznpodarou"/>
        <w:spacing w:after="0"/>
        <w:ind w:left="284"/>
        <w:rPr>
          <w:rFonts w:cstheme="minorHAnsi"/>
        </w:rPr>
      </w:pPr>
      <w:r w:rsidRPr="005C4E99">
        <w:rPr>
          <w:rFonts w:cstheme="minorHAnsi"/>
        </w:rPr>
        <w:t>Pro posouzení významnosti zjištěných nesprávností v údajích předkládaných pro hodnocení plnění rozpočtu byla stanovena významnost ve výši 2 % z celkových výdajů vykázaných k 31. 12. 2019, tj. ve výši 4,2 mld. Kč.</w:t>
      </w:r>
      <w:r>
        <w:rPr>
          <w:rFonts w:cstheme="minorHAnsi"/>
        </w:rPr>
        <w:t xml:space="preserve"> </w:t>
      </w:r>
    </w:p>
    <w:p w14:paraId="748C50DD" w14:textId="79620336" w:rsidR="00FB008B" w:rsidRDefault="00A26BD8" w:rsidP="000805D1">
      <w:pPr>
        <w:pStyle w:val="Textpoznpodarou"/>
        <w:spacing w:after="0"/>
        <w:ind w:left="284"/>
        <w:rPr>
          <w:rFonts w:cstheme="minorHAnsi"/>
        </w:rPr>
      </w:pPr>
      <w:r w:rsidRPr="005C4E99">
        <w:rPr>
          <w:rFonts w:cstheme="minorHAnsi"/>
        </w:rPr>
        <w:t>Významnost (</w:t>
      </w:r>
      <w:proofErr w:type="spellStart"/>
      <w:r w:rsidRPr="005C4E99">
        <w:rPr>
          <w:rFonts w:cstheme="minorHAnsi"/>
        </w:rPr>
        <w:t>materialita</w:t>
      </w:r>
      <w:proofErr w:type="spellEnd"/>
      <w:r w:rsidRPr="005C4E99">
        <w:rPr>
          <w:rFonts w:cstheme="minorHAnsi"/>
        </w:rPr>
        <w:t>) reprezentuje hodnotu nesprávností, jejíž překročení by již mohlo ovlivnit přiměřeně znalého uživatele.</w:t>
      </w:r>
    </w:p>
    <w:p w14:paraId="46072B6A" w14:textId="40222DFF" w:rsidR="003B0407" w:rsidRPr="00B63DFD" w:rsidRDefault="00920E00" w:rsidP="000805D1">
      <w:pPr>
        <w:pStyle w:val="Textpoznpodarou"/>
        <w:spacing w:after="0"/>
        <w:ind w:left="284"/>
        <w:rPr>
          <w:rFonts w:cstheme="minorHAnsi"/>
        </w:rPr>
      </w:pPr>
      <w:r w:rsidRPr="005972DA">
        <w:rPr>
          <w:rFonts w:eastAsia="Calibri" w:cstheme="minorHAnsi"/>
        </w:rPr>
        <w:t>Při</w:t>
      </w:r>
      <w:r w:rsidRPr="005972DA">
        <w:rPr>
          <w:rFonts w:cstheme="minorHAnsi"/>
        </w:rPr>
        <w:t xml:space="preserve"> stanovení významnosti postupuje NKÚ v souladu s </w:t>
      </w:r>
      <w:r w:rsidR="008A4214">
        <w:rPr>
          <w:rFonts w:cstheme="minorHAnsi"/>
        </w:rPr>
        <w:t>k</w:t>
      </w:r>
      <w:r w:rsidRPr="005972DA">
        <w:rPr>
          <w:rFonts w:cstheme="minorHAnsi"/>
        </w:rPr>
        <w:t xml:space="preserve">ontrolními standardy NKÚ a </w:t>
      </w:r>
      <w:r w:rsidRPr="005972DA">
        <w:rPr>
          <w:rFonts w:eastAsia="Calibri" w:cstheme="minorHAnsi"/>
        </w:rPr>
        <w:t>zohledňuje</w:t>
      </w:r>
      <w:r w:rsidRPr="005972DA">
        <w:rPr>
          <w:rFonts w:cstheme="minorHAnsi"/>
        </w:rPr>
        <w:t xml:space="preserve"> </w:t>
      </w:r>
      <w:r w:rsidRPr="005972DA">
        <w:rPr>
          <w:rFonts w:eastAsia="Calibri" w:cstheme="minorHAnsi"/>
        </w:rPr>
        <w:t>příklady</w:t>
      </w:r>
      <w:r w:rsidRPr="005972DA">
        <w:rPr>
          <w:rFonts w:cstheme="minorHAnsi"/>
        </w:rPr>
        <w:t xml:space="preserve"> dobré praxe vyplývající z mezinárodních </w:t>
      </w:r>
      <w:r w:rsidRPr="005972DA">
        <w:rPr>
          <w:rFonts w:eastAsia="Calibri" w:cstheme="minorHAnsi"/>
        </w:rPr>
        <w:t>standardů</w:t>
      </w:r>
      <w:r w:rsidRPr="005972DA">
        <w:rPr>
          <w:rFonts w:cstheme="minorHAnsi"/>
        </w:rPr>
        <w:t xml:space="preserve"> nejvyšších kontrolních institucí (ISSAI) pro </w:t>
      </w:r>
      <w:r w:rsidRPr="005972DA">
        <w:rPr>
          <w:rFonts w:eastAsia="Calibri" w:cstheme="minorHAnsi"/>
        </w:rPr>
        <w:t>finanční</w:t>
      </w:r>
      <w:r w:rsidRPr="005972DA">
        <w:rPr>
          <w:rFonts w:cstheme="minorHAnsi"/>
        </w:rPr>
        <w:t xml:space="preserve"> audit</w:t>
      </w:r>
      <w:r w:rsidR="007C1261">
        <w:rPr>
          <w:rFonts w:cstheme="minorHAnsi"/>
        </w:rPr>
        <w:t>.</w:t>
      </w:r>
    </w:p>
  </w:footnote>
  <w:footnote w:id="2">
    <w:p w14:paraId="1C196889" w14:textId="77777777" w:rsidR="003F7042" w:rsidRPr="00ED14D2" w:rsidRDefault="00A26BD8" w:rsidP="000805D1">
      <w:pPr>
        <w:pStyle w:val="Textpoznpodarou"/>
        <w:ind w:left="284" w:hanging="284"/>
        <w:rPr>
          <w:rFonts w:cstheme="minorHAnsi"/>
        </w:rPr>
      </w:pPr>
      <w:r w:rsidRPr="00035800">
        <w:rPr>
          <w:rStyle w:val="Znakapoznpodarou"/>
          <w:rFonts w:cstheme="minorHAnsi"/>
        </w:rPr>
        <w:footnoteRef/>
      </w:r>
      <w:r w:rsidRPr="00E4102A">
        <w:rPr>
          <w:rStyle w:val="Znakapoznpodarou"/>
          <w:rFonts w:cstheme="minorHAnsi"/>
          <w:vertAlign w:val="baseline"/>
        </w:rPr>
        <w:t xml:space="preserve"> </w:t>
      </w:r>
      <w:r w:rsidR="000805D1" w:rsidRPr="00E4102A">
        <w:rPr>
          <w:rStyle w:val="Znakapoznpodarou"/>
          <w:rFonts w:cstheme="minorHAnsi"/>
          <w:vertAlign w:val="baseline"/>
        </w:rPr>
        <w:tab/>
      </w:r>
      <w:r w:rsidRPr="00ED14D2">
        <w:rPr>
          <w:rFonts w:cstheme="minorHAnsi"/>
        </w:rPr>
        <w:t xml:space="preserve">Kontrolní akce č. </w:t>
      </w:r>
      <w:r>
        <w:rPr>
          <w:rFonts w:cstheme="minorHAnsi"/>
        </w:rPr>
        <w:t>15/35</w:t>
      </w:r>
      <w:r w:rsidRPr="00ED14D2">
        <w:rPr>
          <w:rFonts w:cstheme="minorHAnsi"/>
        </w:rPr>
        <w:t xml:space="preserve"> – </w:t>
      </w:r>
      <w:r w:rsidRPr="00187D4B">
        <w:rPr>
          <w:rFonts w:cstheme="minorHAnsi"/>
          <w:i/>
        </w:rPr>
        <w:t xml:space="preserve">Závěrečný účet kapitoly státního rozpočtu Ministerstvo školství, mládeže </w:t>
      </w:r>
      <w:r w:rsidR="000C023B">
        <w:rPr>
          <w:rFonts w:cstheme="minorHAnsi"/>
          <w:i/>
        </w:rPr>
        <w:br/>
      </w:r>
      <w:r w:rsidRPr="00187D4B">
        <w:rPr>
          <w:rFonts w:cstheme="minorHAnsi"/>
          <w:i/>
        </w:rPr>
        <w:t>a tělovýchovy za rok 2015, účetní závěrka Ministerstva školství, mládeže a tělovýchovy za rok 2015 a údaje předkládané Ministerstvem školství, mládeže a tělovýchovy pro hodnocení plněn</w:t>
      </w:r>
      <w:r>
        <w:rPr>
          <w:rFonts w:cstheme="minorHAnsi"/>
          <w:i/>
        </w:rPr>
        <w:t>í státního rozpočtu za rok 2015</w:t>
      </w:r>
      <w:r>
        <w:rPr>
          <w:rFonts w:cstheme="minorHAnsi"/>
        </w:rPr>
        <w:t>;</w:t>
      </w:r>
      <w:r w:rsidRPr="00ED14D2">
        <w:rPr>
          <w:rFonts w:cstheme="minorHAnsi"/>
        </w:rPr>
        <w:t xml:space="preserve"> kontrolní závěr byl zveřejněn v</w:t>
      </w:r>
      <w:r>
        <w:rPr>
          <w:rFonts w:cstheme="minorHAnsi"/>
        </w:rPr>
        <w:t> </w:t>
      </w:r>
      <w:r w:rsidRPr="00ED14D2">
        <w:rPr>
          <w:rFonts w:cstheme="minorHAnsi"/>
        </w:rPr>
        <w:t xml:space="preserve">částce </w:t>
      </w:r>
      <w:r>
        <w:rPr>
          <w:rFonts w:cstheme="minorHAnsi"/>
        </w:rPr>
        <w:t>4/2016</w:t>
      </w:r>
      <w:r w:rsidRPr="00ED14D2">
        <w:rPr>
          <w:rFonts w:cstheme="minorHAnsi"/>
        </w:rPr>
        <w:t xml:space="preserve"> </w:t>
      </w:r>
      <w:r w:rsidRPr="00403ED0">
        <w:rPr>
          <w:rFonts w:cstheme="minorHAnsi"/>
          <w:i/>
        </w:rPr>
        <w:t>Věstníku NKÚ</w:t>
      </w:r>
      <w:r w:rsidRPr="00ED14D2">
        <w:rPr>
          <w:rFonts w:cstheme="minorHAnsi"/>
        </w:rPr>
        <w:t>.</w:t>
      </w:r>
    </w:p>
  </w:footnote>
  <w:footnote w:id="3">
    <w:p w14:paraId="15CC203F" w14:textId="77777777" w:rsidR="00A45B53" w:rsidRPr="0088233F" w:rsidRDefault="00A45B53" w:rsidP="009841A8">
      <w:pPr>
        <w:ind w:left="284" w:hanging="284"/>
      </w:pPr>
      <w:r w:rsidRPr="00EA664A">
        <w:rPr>
          <w:rStyle w:val="Znakapoznpodarou"/>
          <w:sz w:val="20"/>
          <w:szCs w:val="20"/>
        </w:rPr>
        <w:footnoteRef/>
      </w:r>
      <w:r w:rsidRPr="00EA664A">
        <w:rPr>
          <w:sz w:val="20"/>
          <w:szCs w:val="20"/>
        </w:rPr>
        <w:t xml:space="preserve"> </w:t>
      </w:r>
      <w:r w:rsidR="009841A8">
        <w:rPr>
          <w:sz w:val="20"/>
          <w:szCs w:val="20"/>
        </w:rPr>
        <w:tab/>
      </w:r>
      <w:r w:rsidRPr="00A45B53">
        <w:rPr>
          <w:rFonts w:eastAsia="Times New Roman" w:cstheme="minorHAnsi"/>
          <w:sz w:val="20"/>
          <w:szCs w:val="20"/>
        </w:rPr>
        <w:t>Usnesení vlády České republiky ze dne 5. prosince 2016 č. 1083</w:t>
      </w:r>
      <w:r w:rsidR="009841A8">
        <w:rPr>
          <w:rFonts w:eastAsia="Times New Roman" w:cstheme="minorHAnsi"/>
          <w:sz w:val="20"/>
          <w:szCs w:val="20"/>
        </w:rPr>
        <w:t>,</w:t>
      </w:r>
      <w:r w:rsidRPr="00A45B53">
        <w:rPr>
          <w:rFonts w:eastAsia="Times New Roman" w:cstheme="minorHAnsi"/>
          <w:sz w:val="20"/>
          <w:szCs w:val="20"/>
        </w:rPr>
        <w:t xml:space="preserve"> </w:t>
      </w:r>
      <w:r w:rsidRPr="00E4102A">
        <w:rPr>
          <w:rFonts w:eastAsia="Times New Roman" w:cstheme="minorHAnsi"/>
          <w:i/>
          <w:sz w:val="20"/>
          <w:szCs w:val="20"/>
        </w:rPr>
        <w:t>ke Kontrolnímu závěru Nejvyššího kontrolního úřadu z kontrolní akce č. 15/35 Závěrečný účet kapitoly státního rozpočtu M</w:t>
      </w:r>
      <w:r w:rsidR="00081C0B" w:rsidRPr="00E4102A">
        <w:rPr>
          <w:rFonts w:eastAsia="Times New Roman" w:cstheme="minorHAnsi"/>
          <w:i/>
          <w:sz w:val="20"/>
          <w:szCs w:val="20"/>
        </w:rPr>
        <w:t>inisterstvo školství, mládeže a </w:t>
      </w:r>
      <w:r w:rsidRPr="00E4102A">
        <w:rPr>
          <w:rFonts w:eastAsia="Times New Roman" w:cstheme="minorHAnsi"/>
          <w:i/>
          <w:sz w:val="20"/>
          <w:szCs w:val="20"/>
        </w:rPr>
        <w:t xml:space="preserve">tělovýchovy za rok 2015, účetní závěrka Ministerstva školství, mládeže a tělovýchovy za rok 2015 a údaje předkládané Ministerstvem školství, mládeže a tělovýchovy pro hodnocení </w:t>
      </w:r>
      <w:r w:rsidR="00081C0B" w:rsidRPr="00E4102A">
        <w:rPr>
          <w:rFonts w:eastAsia="Times New Roman" w:cstheme="minorHAnsi"/>
          <w:i/>
          <w:sz w:val="20"/>
          <w:szCs w:val="20"/>
        </w:rPr>
        <w:t>plnění státního rozpočtu za rok </w:t>
      </w:r>
      <w:r w:rsidRPr="00E4102A">
        <w:rPr>
          <w:rFonts w:eastAsia="Times New Roman" w:cstheme="minorHAnsi"/>
          <w:i/>
          <w:sz w:val="20"/>
          <w:szCs w:val="20"/>
        </w:rPr>
        <w:t>2015</w:t>
      </w:r>
      <w:r w:rsidR="007C1261">
        <w:rPr>
          <w:rFonts w:eastAsia="Times New Roman" w:cstheme="minorHAnsi"/>
          <w:sz w:val="20"/>
          <w:szCs w:val="20"/>
        </w:rPr>
        <w:t>.</w:t>
      </w:r>
    </w:p>
    <w:p w14:paraId="52FDC782" w14:textId="77777777" w:rsidR="00A45B53" w:rsidRDefault="00A45B53">
      <w:pPr>
        <w:pStyle w:val="Textpoznpodarou"/>
      </w:pPr>
    </w:p>
  </w:footnote>
  <w:footnote w:id="4">
    <w:p w14:paraId="6CDBB006" w14:textId="049487AB" w:rsidR="003F7042" w:rsidRPr="005520AD" w:rsidRDefault="00A26BD8" w:rsidP="009841A8">
      <w:pPr>
        <w:pStyle w:val="Textpoznpodarou"/>
        <w:ind w:left="284" w:hanging="284"/>
      </w:pPr>
      <w:r w:rsidRPr="005211B1">
        <w:rPr>
          <w:rStyle w:val="Znakapoznpodarou"/>
        </w:rPr>
        <w:footnoteRef/>
      </w:r>
      <w:r w:rsidR="00EA664A">
        <w:t xml:space="preserve"> </w:t>
      </w:r>
      <w:r w:rsidR="009841A8">
        <w:tab/>
      </w:r>
      <w:r w:rsidR="001569F6">
        <w:t>Vláda</w:t>
      </w:r>
      <w:r w:rsidRPr="005520AD">
        <w:t xml:space="preserve"> </w:t>
      </w:r>
      <w:r>
        <w:t xml:space="preserve">České republiky </w:t>
      </w:r>
      <w:r w:rsidR="001569F6">
        <w:t xml:space="preserve">svým usnesením </w:t>
      </w:r>
      <w:r w:rsidRPr="005520AD">
        <w:t xml:space="preserve">ze dne 28. listopadu 2012 </w:t>
      </w:r>
      <w:r>
        <w:t xml:space="preserve">č. 867 </w:t>
      </w:r>
      <w:r w:rsidRPr="005520AD">
        <w:t xml:space="preserve">schválila vymezení operačních programů pro </w:t>
      </w:r>
      <w:r w:rsidRPr="00E4102A">
        <w:rPr>
          <w:i/>
        </w:rPr>
        <w:t>Evropský fond regionálního rozvoje, Fond soudržnosti</w:t>
      </w:r>
      <w:r w:rsidRPr="005520AD">
        <w:t xml:space="preserve"> a </w:t>
      </w:r>
      <w:r w:rsidRPr="00E4102A">
        <w:rPr>
          <w:i/>
        </w:rPr>
        <w:t>Evropský sociální fond</w:t>
      </w:r>
      <w:r w:rsidRPr="005520AD">
        <w:t xml:space="preserve"> v rámci cíle </w:t>
      </w:r>
      <w:r w:rsidRPr="00E4102A">
        <w:rPr>
          <w:i/>
        </w:rPr>
        <w:t>Investice pro růst a zaměstnanost</w:t>
      </w:r>
      <w:r w:rsidRPr="005520AD">
        <w:t xml:space="preserve"> a MŠMT bylo tímto usnesením pověřeno přípravou a řízením OP VVV.</w:t>
      </w:r>
    </w:p>
  </w:footnote>
  <w:footnote w:id="5">
    <w:p w14:paraId="42FCC24D" w14:textId="63262E4C" w:rsidR="003F7042" w:rsidRDefault="00A26BD8" w:rsidP="008A5515">
      <w:pPr>
        <w:pStyle w:val="Textpoznpodarou"/>
        <w:spacing w:after="0"/>
        <w:ind w:left="284" w:hanging="284"/>
      </w:pPr>
      <w:r>
        <w:rPr>
          <w:rStyle w:val="Znakapoznpodarou"/>
          <w:rFonts w:ascii="Calibri" w:hAnsi="Calibri" w:cs="Calibri"/>
        </w:rPr>
        <w:footnoteRef/>
      </w:r>
      <w:r>
        <w:t xml:space="preserve"> </w:t>
      </w:r>
      <w:r w:rsidR="009841A8">
        <w:tab/>
      </w:r>
      <w:r>
        <w:t>Organizační složky státu jsou povinny v souladu se zákonem č. 563/1991 Sb. účtovat o stavu a pohybu majetku</w:t>
      </w:r>
      <w:r w:rsidR="00B77B31">
        <w:t xml:space="preserve"> </w:t>
      </w:r>
      <w:r>
        <w:t>a jiných aktiv, závazků a jiných pasiv, o nákladech a výnosech a o výsledku hospodaření.</w:t>
      </w:r>
    </w:p>
  </w:footnote>
  <w:footnote w:id="6">
    <w:p w14:paraId="75B6E201" w14:textId="77777777" w:rsidR="003F7042" w:rsidRDefault="00A26BD8" w:rsidP="009841A8">
      <w:pPr>
        <w:pStyle w:val="Textpoznpodarou"/>
        <w:ind w:left="284" w:hanging="284"/>
      </w:pPr>
      <w:r>
        <w:rPr>
          <w:rStyle w:val="Znakapoznpodarou"/>
        </w:rPr>
        <w:footnoteRef/>
      </w:r>
      <w:r w:rsidR="00EA664A">
        <w:t xml:space="preserve"> </w:t>
      </w:r>
      <w:r w:rsidR="009841A8">
        <w:tab/>
      </w:r>
      <w:r>
        <w:rPr>
          <w:rFonts w:cstheme="minorHAnsi"/>
        </w:rPr>
        <w:t>V</w:t>
      </w:r>
      <w:r w:rsidRPr="0025150E">
        <w:rPr>
          <w:rFonts w:cstheme="minorHAnsi"/>
        </w:rPr>
        <w:t>yhl</w:t>
      </w:r>
      <w:r>
        <w:rPr>
          <w:rFonts w:cstheme="minorHAnsi"/>
        </w:rPr>
        <w:t>áška</w:t>
      </w:r>
      <w:r w:rsidRPr="0025150E">
        <w:rPr>
          <w:rFonts w:cstheme="minorHAnsi"/>
        </w:rPr>
        <w:t xml:space="preserve"> č. 419/2001 Sb., o rozsahu, struktuře a termínech údajů předkládaných pro vypracování návrhu státního závěrečného účtu a o rozsahu a termínech sestavení návrhů závěrečných účtů kapitol státního rozpočtu</w:t>
      </w:r>
      <w:r>
        <w:rPr>
          <w:rFonts w:cstheme="minorHAnsi"/>
        </w:rPr>
        <w:t>.</w:t>
      </w:r>
    </w:p>
  </w:footnote>
  <w:footnote w:id="7">
    <w:p w14:paraId="04093EFF" w14:textId="710A20BB" w:rsidR="003F7042" w:rsidRDefault="00A26BD8" w:rsidP="009841A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="009841A8">
        <w:tab/>
      </w:r>
      <w:r w:rsidR="009340F0">
        <w:t xml:space="preserve">Informační systém tvořený dvěma částmi, a to </w:t>
      </w:r>
      <w:r w:rsidR="00810D76" w:rsidRPr="00516E59">
        <w:rPr>
          <w:i/>
        </w:rPr>
        <w:t>Evidenční</w:t>
      </w:r>
      <w:r w:rsidR="009340F0" w:rsidRPr="00516E59">
        <w:rPr>
          <w:i/>
        </w:rPr>
        <w:t>m</w:t>
      </w:r>
      <w:r w:rsidR="00810D76" w:rsidRPr="00516E59">
        <w:rPr>
          <w:i/>
        </w:rPr>
        <w:t xml:space="preserve"> dotační</w:t>
      </w:r>
      <w:r w:rsidR="009340F0" w:rsidRPr="00516E59">
        <w:rPr>
          <w:i/>
        </w:rPr>
        <w:t>m</w:t>
      </w:r>
      <w:r w:rsidR="00810D76" w:rsidRPr="00516E59">
        <w:rPr>
          <w:i/>
        </w:rPr>
        <w:t xml:space="preserve"> systém</w:t>
      </w:r>
      <w:r w:rsidR="009340F0" w:rsidRPr="00516E59">
        <w:rPr>
          <w:i/>
        </w:rPr>
        <w:t>em</w:t>
      </w:r>
      <w:r w:rsidR="00810D76">
        <w:t xml:space="preserve"> a </w:t>
      </w:r>
      <w:r w:rsidR="00810D76" w:rsidRPr="00516E59">
        <w:rPr>
          <w:i/>
        </w:rPr>
        <w:t>Správ</w:t>
      </w:r>
      <w:r w:rsidR="009340F0" w:rsidRPr="00516E59">
        <w:rPr>
          <w:i/>
        </w:rPr>
        <w:t>ou</w:t>
      </w:r>
      <w:r w:rsidR="00810D76" w:rsidRPr="00516E59">
        <w:rPr>
          <w:i/>
        </w:rPr>
        <w:t xml:space="preserve"> majetku ve vlastnictví s</w:t>
      </w:r>
      <w:r w:rsidRPr="00516E59">
        <w:rPr>
          <w:i/>
        </w:rPr>
        <w:t>tátu</w:t>
      </w:r>
      <w:r w:rsidR="00C90F9A">
        <w:t>.</w:t>
      </w:r>
    </w:p>
  </w:footnote>
  <w:footnote w:id="8">
    <w:p w14:paraId="71C26F36" w14:textId="3E490603" w:rsidR="004C0BF9" w:rsidRDefault="00A26BD8" w:rsidP="009841A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="009841A8">
        <w:tab/>
      </w:r>
      <w:r w:rsidR="00080FDC">
        <w:t>U</w:t>
      </w:r>
      <w:r w:rsidR="00B77B31">
        <w:t xml:space="preserve">stanovení </w:t>
      </w:r>
      <w:r>
        <w:t>§ 14f</w:t>
      </w:r>
      <w:r w:rsidR="00080FDC">
        <w:t xml:space="preserve"> </w:t>
      </w:r>
      <w:r>
        <w:t>odst. 3 zákona č. 218/2000 Sb.</w:t>
      </w:r>
      <w:r w:rsidR="003A11E6">
        <w:t xml:space="preserve"> </w:t>
      </w:r>
      <w:r>
        <w:t xml:space="preserve">stanoví: </w:t>
      </w:r>
      <w:r w:rsidRPr="00516E59">
        <w:t>„</w:t>
      </w:r>
      <w:r w:rsidRPr="00D53A28">
        <w:rPr>
          <w:i/>
        </w:rPr>
        <w:t>Poskytovatel písemně vyzve příjemce dotace k</w:t>
      </w:r>
      <w:r w:rsidR="009841A8">
        <w:rPr>
          <w:i/>
        </w:rPr>
        <w:t> </w:t>
      </w:r>
      <w:r w:rsidRPr="00D53A28">
        <w:rPr>
          <w:i/>
        </w:rPr>
        <w:t xml:space="preserve">vrácení dotace nebo její části v jím stanovené lhůtě, pokud se na základě kontrolního zjištění důvodně domnívá, že příjemce dotace v přímé souvislosti s ní </w:t>
      </w:r>
      <w:r w:rsidR="007C42CD">
        <w:rPr>
          <w:i/>
        </w:rPr>
        <w:t xml:space="preserve">a) </w:t>
      </w:r>
      <w:r w:rsidRPr="00D53A28">
        <w:rPr>
          <w:i/>
        </w:rPr>
        <w:t>porušil povinnost</w:t>
      </w:r>
      <w:r w:rsidR="005263D9">
        <w:rPr>
          <w:i/>
        </w:rPr>
        <w:t xml:space="preserve"> stanovenou právním předpisem</w:t>
      </w:r>
      <w:r w:rsidR="005263D9" w:rsidRPr="005263D9">
        <w:rPr>
          <w:i/>
        </w:rPr>
        <w:t>…</w:t>
      </w:r>
      <w:r w:rsidRPr="00D53A28">
        <w:rPr>
          <w:i/>
        </w:rPr>
        <w:t>,</w:t>
      </w:r>
      <w:r w:rsidR="007C42CD">
        <w:rPr>
          <w:i/>
        </w:rPr>
        <w:t xml:space="preserve"> b)</w:t>
      </w:r>
      <w:r w:rsidR="005263D9">
        <w:rPr>
          <w:i/>
        </w:rPr>
        <w:t> </w:t>
      </w:r>
      <w:r w:rsidRPr="00D53A28">
        <w:rPr>
          <w:i/>
        </w:rPr>
        <w:t>nedodržel účel dotace,</w:t>
      </w:r>
      <w:r w:rsidR="007C42CD">
        <w:rPr>
          <w:i/>
        </w:rPr>
        <w:t xml:space="preserve"> </w:t>
      </w:r>
      <w:r w:rsidRPr="00D53A28">
        <w:rPr>
          <w:i/>
        </w:rPr>
        <w:t xml:space="preserve">nebo </w:t>
      </w:r>
      <w:r w:rsidR="007C42CD">
        <w:rPr>
          <w:i/>
        </w:rPr>
        <w:t xml:space="preserve">c) </w:t>
      </w:r>
      <w:r w:rsidRPr="00D53A28">
        <w:rPr>
          <w:i/>
        </w:rPr>
        <w:t xml:space="preserve">porušil jinou podmínku, za které byla dotace poskytnuta a u které nelze vyzvat k provedení opatření k nápravě </w:t>
      </w:r>
      <w:r w:rsidR="007C42CD">
        <w:rPr>
          <w:i/>
        </w:rPr>
        <w:t>podle odstavce 1.</w:t>
      </w:r>
      <w:r w:rsidRPr="00516E59">
        <w:t>“</w:t>
      </w:r>
    </w:p>
  </w:footnote>
  <w:footnote w:id="9">
    <w:p w14:paraId="4B315BC2" w14:textId="101F0C1E" w:rsidR="003F7042" w:rsidRDefault="00A26BD8" w:rsidP="009841A8">
      <w:pPr>
        <w:pStyle w:val="Textpoznpodarou"/>
        <w:ind w:left="284" w:hanging="284"/>
      </w:pPr>
      <w:r w:rsidRPr="005211B1">
        <w:rPr>
          <w:rStyle w:val="Znakapoznpodarou"/>
        </w:rPr>
        <w:footnoteRef/>
      </w:r>
      <w:r w:rsidRPr="005211B1">
        <w:t xml:space="preserve"> </w:t>
      </w:r>
      <w:r w:rsidR="009841A8">
        <w:tab/>
      </w:r>
      <w:r w:rsidRPr="005211B1">
        <w:t>Vybrány byly pouze ty paragrafy, jejichž podíl na celkových výdajích v daných letech byl vyšší než 2</w:t>
      </w:r>
      <w:r w:rsidR="00435A71">
        <w:t> </w:t>
      </w:r>
      <w:r w:rsidRPr="005211B1">
        <w:t xml:space="preserve">%. Paragrafy s podílem </w:t>
      </w:r>
      <w:r w:rsidR="00435A71">
        <w:t>menším než</w:t>
      </w:r>
      <w:r w:rsidRPr="005211B1">
        <w:t xml:space="preserve"> 2 % jsou zahrnuty </w:t>
      </w:r>
      <w:r w:rsidR="00435A71">
        <w:t>ve sloupci</w:t>
      </w:r>
      <w:r w:rsidRPr="005211B1">
        <w:t xml:space="preserve"> „Ostatní</w:t>
      </w:r>
      <w:r w:rsidR="00435A71">
        <w:t> §</w:t>
      </w:r>
      <w:r w:rsidRPr="005211B1">
        <w:t>“.</w:t>
      </w:r>
    </w:p>
  </w:footnote>
  <w:footnote w:id="10">
    <w:p w14:paraId="3F9A061B" w14:textId="77777777" w:rsidR="003F7042" w:rsidRDefault="00A26BD8" w:rsidP="009841A8">
      <w:pPr>
        <w:pStyle w:val="Textpoznpodarou"/>
        <w:ind w:left="284" w:hanging="284"/>
      </w:pPr>
      <w:r>
        <w:rPr>
          <w:rStyle w:val="Znakapoznpodarou"/>
        </w:rPr>
        <w:footnoteRef/>
      </w:r>
      <w:r w:rsidR="00B77B31">
        <w:t xml:space="preserve"> </w:t>
      </w:r>
      <w:r w:rsidR="009841A8">
        <w:tab/>
      </w:r>
      <w:r>
        <w:t>Rozhodnutí byla vydána dle</w:t>
      </w:r>
      <w:r w:rsidR="00AB2195">
        <w:t xml:space="preserve"> ustanovení</w:t>
      </w:r>
      <w:r>
        <w:t xml:space="preserve"> § 15 odst. 1 písm. d) zákona č. 218/2000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EA6FA" w14:textId="77777777" w:rsidR="00582779" w:rsidRDefault="005827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6191" w14:textId="77777777" w:rsidR="00582779" w:rsidRDefault="005827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A705" w14:textId="77777777" w:rsidR="00582779" w:rsidRDefault="005827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853"/>
    <w:multiLevelType w:val="multilevel"/>
    <w:tmpl w:val="AF9C62C2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283344"/>
    <w:multiLevelType w:val="hybridMultilevel"/>
    <w:tmpl w:val="B53A2A64"/>
    <w:lvl w:ilvl="0" w:tplc="E5E28D8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3C42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E4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A2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64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054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2D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24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DA3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735D"/>
    <w:multiLevelType w:val="hybridMultilevel"/>
    <w:tmpl w:val="217E5694"/>
    <w:lvl w:ilvl="0" w:tplc="563CB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E1346" w:tentative="1">
      <w:start w:val="1"/>
      <w:numFmt w:val="lowerLetter"/>
      <w:lvlText w:val="%2."/>
      <w:lvlJc w:val="left"/>
      <w:pPr>
        <w:ind w:left="1440" w:hanging="360"/>
      </w:pPr>
    </w:lvl>
    <w:lvl w:ilvl="2" w:tplc="A432B852" w:tentative="1">
      <w:start w:val="1"/>
      <w:numFmt w:val="lowerRoman"/>
      <w:lvlText w:val="%3."/>
      <w:lvlJc w:val="right"/>
      <w:pPr>
        <w:ind w:left="2160" w:hanging="180"/>
      </w:pPr>
    </w:lvl>
    <w:lvl w:ilvl="3" w:tplc="942E130A" w:tentative="1">
      <w:start w:val="1"/>
      <w:numFmt w:val="decimal"/>
      <w:lvlText w:val="%4."/>
      <w:lvlJc w:val="left"/>
      <w:pPr>
        <w:ind w:left="2880" w:hanging="360"/>
      </w:pPr>
    </w:lvl>
    <w:lvl w:ilvl="4" w:tplc="BDE0F3EE" w:tentative="1">
      <w:start w:val="1"/>
      <w:numFmt w:val="lowerLetter"/>
      <w:lvlText w:val="%5."/>
      <w:lvlJc w:val="left"/>
      <w:pPr>
        <w:ind w:left="3600" w:hanging="360"/>
      </w:pPr>
    </w:lvl>
    <w:lvl w:ilvl="5" w:tplc="86329CB4" w:tentative="1">
      <w:start w:val="1"/>
      <w:numFmt w:val="lowerRoman"/>
      <w:lvlText w:val="%6."/>
      <w:lvlJc w:val="right"/>
      <w:pPr>
        <w:ind w:left="4320" w:hanging="180"/>
      </w:pPr>
    </w:lvl>
    <w:lvl w:ilvl="6" w:tplc="408C8F3A" w:tentative="1">
      <w:start w:val="1"/>
      <w:numFmt w:val="decimal"/>
      <w:lvlText w:val="%7."/>
      <w:lvlJc w:val="left"/>
      <w:pPr>
        <w:ind w:left="5040" w:hanging="360"/>
      </w:pPr>
    </w:lvl>
    <w:lvl w:ilvl="7" w:tplc="3E7A58DA" w:tentative="1">
      <w:start w:val="1"/>
      <w:numFmt w:val="lowerLetter"/>
      <w:lvlText w:val="%8."/>
      <w:lvlJc w:val="left"/>
      <w:pPr>
        <w:ind w:left="5760" w:hanging="360"/>
      </w:pPr>
    </w:lvl>
    <w:lvl w:ilvl="8" w:tplc="02502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0B43"/>
    <w:multiLevelType w:val="multilevel"/>
    <w:tmpl w:val="0E145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dpis3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87077F"/>
    <w:multiLevelType w:val="hybridMultilevel"/>
    <w:tmpl w:val="846A3CDC"/>
    <w:lvl w:ilvl="0" w:tplc="1124E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6E43AE0" w:tentative="1">
      <w:start w:val="1"/>
      <w:numFmt w:val="lowerLetter"/>
      <w:lvlText w:val="%2."/>
      <w:lvlJc w:val="left"/>
      <w:pPr>
        <w:ind w:left="1440" w:hanging="360"/>
      </w:pPr>
    </w:lvl>
    <w:lvl w:ilvl="2" w:tplc="149ADE20" w:tentative="1">
      <w:start w:val="1"/>
      <w:numFmt w:val="lowerRoman"/>
      <w:lvlText w:val="%3."/>
      <w:lvlJc w:val="right"/>
      <w:pPr>
        <w:ind w:left="2160" w:hanging="180"/>
      </w:pPr>
    </w:lvl>
    <w:lvl w:ilvl="3" w:tplc="FC68A50C" w:tentative="1">
      <w:start w:val="1"/>
      <w:numFmt w:val="decimal"/>
      <w:lvlText w:val="%4."/>
      <w:lvlJc w:val="left"/>
      <w:pPr>
        <w:ind w:left="2880" w:hanging="360"/>
      </w:pPr>
    </w:lvl>
    <w:lvl w:ilvl="4" w:tplc="4EA8D844" w:tentative="1">
      <w:start w:val="1"/>
      <w:numFmt w:val="lowerLetter"/>
      <w:lvlText w:val="%5."/>
      <w:lvlJc w:val="left"/>
      <w:pPr>
        <w:ind w:left="3600" w:hanging="360"/>
      </w:pPr>
    </w:lvl>
    <w:lvl w:ilvl="5" w:tplc="47D64EF8" w:tentative="1">
      <w:start w:val="1"/>
      <w:numFmt w:val="lowerRoman"/>
      <w:lvlText w:val="%6."/>
      <w:lvlJc w:val="right"/>
      <w:pPr>
        <w:ind w:left="4320" w:hanging="180"/>
      </w:pPr>
    </w:lvl>
    <w:lvl w:ilvl="6" w:tplc="EE2811BC" w:tentative="1">
      <w:start w:val="1"/>
      <w:numFmt w:val="decimal"/>
      <w:lvlText w:val="%7."/>
      <w:lvlJc w:val="left"/>
      <w:pPr>
        <w:ind w:left="5040" w:hanging="360"/>
      </w:pPr>
    </w:lvl>
    <w:lvl w:ilvl="7" w:tplc="D1AE8F72" w:tentative="1">
      <w:start w:val="1"/>
      <w:numFmt w:val="lowerLetter"/>
      <w:lvlText w:val="%8."/>
      <w:lvlJc w:val="left"/>
      <w:pPr>
        <w:ind w:left="5760" w:hanging="360"/>
      </w:pPr>
    </w:lvl>
    <w:lvl w:ilvl="8" w:tplc="7916A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07FF"/>
    <w:multiLevelType w:val="hybridMultilevel"/>
    <w:tmpl w:val="108889C4"/>
    <w:lvl w:ilvl="0" w:tplc="0FE40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6A0A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22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E5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E7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F41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8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0F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80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4754E"/>
    <w:multiLevelType w:val="hybridMultilevel"/>
    <w:tmpl w:val="D968F172"/>
    <w:lvl w:ilvl="0" w:tplc="9A402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70685BE" w:tentative="1">
      <w:start w:val="1"/>
      <w:numFmt w:val="lowerLetter"/>
      <w:lvlText w:val="%2."/>
      <w:lvlJc w:val="left"/>
      <w:pPr>
        <w:ind w:left="1440" w:hanging="360"/>
      </w:pPr>
    </w:lvl>
    <w:lvl w:ilvl="2" w:tplc="47227700" w:tentative="1">
      <w:start w:val="1"/>
      <w:numFmt w:val="lowerRoman"/>
      <w:lvlText w:val="%3."/>
      <w:lvlJc w:val="right"/>
      <w:pPr>
        <w:ind w:left="2160" w:hanging="180"/>
      </w:pPr>
    </w:lvl>
    <w:lvl w:ilvl="3" w:tplc="DF5677A4" w:tentative="1">
      <w:start w:val="1"/>
      <w:numFmt w:val="decimal"/>
      <w:lvlText w:val="%4."/>
      <w:lvlJc w:val="left"/>
      <w:pPr>
        <w:ind w:left="2880" w:hanging="360"/>
      </w:pPr>
    </w:lvl>
    <w:lvl w:ilvl="4" w:tplc="528E8196" w:tentative="1">
      <w:start w:val="1"/>
      <w:numFmt w:val="lowerLetter"/>
      <w:lvlText w:val="%5."/>
      <w:lvlJc w:val="left"/>
      <w:pPr>
        <w:ind w:left="3600" w:hanging="360"/>
      </w:pPr>
    </w:lvl>
    <w:lvl w:ilvl="5" w:tplc="BAC80380" w:tentative="1">
      <w:start w:val="1"/>
      <w:numFmt w:val="lowerRoman"/>
      <w:lvlText w:val="%6."/>
      <w:lvlJc w:val="right"/>
      <w:pPr>
        <w:ind w:left="4320" w:hanging="180"/>
      </w:pPr>
    </w:lvl>
    <w:lvl w:ilvl="6" w:tplc="B1A490FA" w:tentative="1">
      <w:start w:val="1"/>
      <w:numFmt w:val="decimal"/>
      <w:lvlText w:val="%7."/>
      <w:lvlJc w:val="left"/>
      <w:pPr>
        <w:ind w:left="5040" w:hanging="360"/>
      </w:pPr>
    </w:lvl>
    <w:lvl w:ilvl="7" w:tplc="2EF27A8E" w:tentative="1">
      <w:start w:val="1"/>
      <w:numFmt w:val="lowerLetter"/>
      <w:lvlText w:val="%8."/>
      <w:lvlJc w:val="left"/>
      <w:pPr>
        <w:ind w:left="5760" w:hanging="360"/>
      </w:pPr>
    </w:lvl>
    <w:lvl w:ilvl="8" w:tplc="30940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30D5D"/>
    <w:multiLevelType w:val="multilevel"/>
    <w:tmpl w:val="0C3A612C"/>
    <w:lvl w:ilvl="0">
      <w:start w:val="1"/>
      <w:numFmt w:val="decimal"/>
      <w:pStyle w:val="Nadpis2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4D34B27"/>
    <w:multiLevelType w:val="hybridMultilevel"/>
    <w:tmpl w:val="C8AAD2AA"/>
    <w:lvl w:ilvl="0" w:tplc="7A0C79F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DACA2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20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EA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6BF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20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6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E89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C8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B6BCC"/>
    <w:multiLevelType w:val="hybridMultilevel"/>
    <w:tmpl w:val="2DA2EDBA"/>
    <w:lvl w:ilvl="0" w:tplc="A128F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18968E" w:tentative="1">
      <w:start w:val="1"/>
      <w:numFmt w:val="lowerLetter"/>
      <w:lvlText w:val="%2."/>
      <w:lvlJc w:val="left"/>
      <w:pPr>
        <w:ind w:left="1440" w:hanging="360"/>
      </w:pPr>
    </w:lvl>
    <w:lvl w:ilvl="2" w:tplc="2FD2E326" w:tentative="1">
      <w:start w:val="1"/>
      <w:numFmt w:val="lowerRoman"/>
      <w:lvlText w:val="%3."/>
      <w:lvlJc w:val="right"/>
      <w:pPr>
        <w:ind w:left="2160" w:hanging="180"/>
      </w:pPr>
    </w:lvl>
    <w:lvl w:ilvl="3" w:tplc="A4D8632A" w:tentative="1">
      <w:start w:val="1"/>
      <w:numFmt w:val="decimal"/>
      <w:lvlText w:val="%4."/>
      <w:lvlJc w:val="left"/>
      <w:pPr>
        <w:ind w:left="2880" w:hanging="360"/>
      </w:pPr>
    </w:lvl>
    <w:lvl w:ilvl="4" w:tplc="A34ADEAC" w:tentative="1">
      <w:start w:val="1"/>
      <w:numFmt w:val="lowerLetter"/>
      <w:lvlText w:val="%5."/>
      <w:lvlJc w:val="left"/>
      <w:pPr>
        <w:ind w:left="3600" w:hanging="360"/>
      </w:pPr>
    </w:lvl>
    <w:lvl w:ilvl="5" w:tplc="0A6C14A2" w:tentative="1">
      <w:start w:val="1"/>
      <w:numFmt w:val="lowerRoman"/>
      <w:lvlText w:val="%6."/>
      <w:lvlJc w:val="right"/>
      <w:pPr>
        <w:ind w:left="4320" w:hanging="180"/>
      </w:pPr>
    </w:lvl>
    <w:lvl w:ilvl="6" w:tplc="0C846EB0" w:tentative="1">
      <w:start w:val="1"/>
      <w:numFmt w:val="decimal"/>
      <w:lvlText w:val="%7."/>
      <w:lvlJc w:val="left"/>
      <w:pPr>
        <w:ind w:left="5040" w:hanging="360"/>
      </w:pPr>
    </w:lvl>
    <w:lvl w:ilvl="7" w:tplc="D4AEB6CC" w:tentative="1">
      <w:start w:val="1"/>
      <w:numFmt w:val="lowerLetter"/>
      <w:lvlText w:val="%8."/>
      <w:lvlJc w:val="left"/>
      <w:pPr>
        <w:ind w:left="5760" w:hanging="360"/>
      </w:pPr>
    </w:lvl>
    <w:lvl w:ilvl="8" w:tplc="4ABEB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E06A1"/>
    <w:multiLevelType w:val="hybridMultilevel"/>
    <w:tmpl w:val="F85217FC"/>
    <w:lvl w:ilvl="0" w:tplc="F1841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6AEE114" w:tentative="1">
      <w:start w:val="1"/>
      <w:numFmt w:val="lowerLetter"/>
      <w:lvlText w:val="%2."/>
      <w:lvlJc w:val="left"/>
      <w:pPr>
        <w:ind w:left="1440" w:hanging="360"/>
      </w:pPr>
    </w:lvl>
    <w:lvl w:ilvl="2" w:tplc="5358D56E" w:tentative="1">
      <w:start w:val="1"/>
      <w:numFmt w:val="lowerRoman"/>
      <w:lvlText w:val="%3."/>
      <w:lvlJc w:val="right"/>
      <w:pPr>
        <w:ind w:left="2160" w:hanging="180"/>
      </w:pPr>
    </w:lvl>
    <w:lvl w:ilvl="3" w:tplc="6F8A7982" w:tentative="1">
      <w:start w:val="1"/>
      <w:numFmt w:val="decimal"/>
      <w:lvlText w:val="%4."/>
      <w:lvlJc w:val="left"/>
      <w:pPr>
        <w:ind w:left="2880" w:hanging="360"/>
      </w:pPr>
    </w:lvl>
    <w:lvl w:ilvl="4" w:tplc="D7740AA8" w:tentative="1">
      <w:start w:val="1"/>
      <w:numFmt w:val="lowerLetter"/>
      <w:lvlText w:val="%5."/>
      <w:lvlJc w:val="left"/>
      <w:pPr>
        <w:ind w:left="3600" w:hanging="360"/>
      </w:pPr>
    </w:lvl>
    <w:lvl w:ilvl="5" w:tplc="28A483C0" w:tentative="1">
      <w:start w:val="1"/>
      <w:numFmt w:val="lowerRoman"/>
      <w:lvlText w:val="%6."/>
      <w:lvlJc w:val="right"/>
      <w:pPr>
        <w:ind w:left="4320" w:hanging="180"/>
      </w:pPr>
    </w:lvl>
    <w:lvl w:ilvl="6" w:tplc="F9781BB8" w:tentative="1">
      <w:start w:val="1"/>
      <w:numFmt w:val="decimal"/>
      <w:lvlText w:val="%7."/>
      <w:lvlJc w:val="left"/>
      <w:pPr>
        <w:ind w:left="5040" w:hanging="360"/>
      </w:pPr>
    </w:lvl>
    <w:lvl w:ilvl="7" w:tplc="AD900880" w:tentative="1">
      <w:start w:val="1"/>
      <w:numFmt w:val="lowerLetter"/>
      <w:lvlText w:val="%8."/>
      <w:lvlJc w:val="left"/>
      <w:pPr>
        <w:ind w:left="5760" w:hanging="360"/>
      </w:pPr>
    </w:lvl>
    <w:lvl w:ilvl="8" w:tplc="73B679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0"/>
  </w:num>
  <w:num w:numId="11">
    <w:abstractNumId w:val="0"/>
  </w:num>
  <w:num w:numId="12">
    <w:abstractNumId w:val="10"/>
  </w:num>
  <w:num w:numId="13">
    <w:abstractNumId w:val="3"/>
  </w:num>
  <w:num w:numId="14">
    <w:abstractNumId w:val="3"/>
  </w:num>
  <w:num w:numId="15">
    <w:abstractNumId w:val="2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CB"/>
    <w:rsid w:val="0000155C"/>
    <w:rsid w:val="00004C46"/>
    <w:rsid w:val="0000564D"/>
    <w:rsid w:val="00013A00"/>
    <w:rsid w:val="0001518E"/>
    <w:rsid w:val="00016738"/>
    <w:rsid w:val="00035800"/>
    <w:rsid w:val="00040DE5"/>
    <w:rsid w:val="00047A2E"/>
    <w:rsid w:val="0007138E"/>
    <w:rsid w:val="00076991"/>
    <w:rsid w:val="00077688"/>
    <w:rsid w:val="000805D1"/>
    <w:rsid w:val="00080FDC"/>
    <w:rsid w:val="0008138C"/>
    <w:rsid w:val="00081C0B"/>
    <w:rsid w:val="000837F4"/>
    <w:rsid w:val="000861E1"/>
    <w:rsid w:val="00094EE1"/>
    <w:rsid w:val="000953E1"/>
    <w:rsid w:val="000A08C9"/>
    <w:rsid w:val="000A0F59"/>
    <w:rsid w:val="000A13C1"/>
    <w:rsid w:val="000B0700"/>
    <w:rsid w:val="000B7569"/>
    <w:rsid w:val="000C023B"/>
    <w:rsid w:val="000D1C12"/>
    <w:rsid w:val="000D4293"/>
    <w:rsid w:val="000E47BA"/>
    <w:rsid w:val="000E5F6D"/>
    <w:rsid w:val="000F6CE7"/>
    <w:rsid w:val="000F762F"/>
    <w:rsid w:val="000F7963"/>
    <w:rsid w:val="00101C58"/>
    <w:rsid w:val="00106ED9"/>
    <w:rsid w:val="00107DD1"/>
    <w:rsid w:val="00115968"/>
    <w:rsid w:val="00127DA5"/>
    <w:rsid w:val="00130260"/>
    <w:rsid w:val="0013749E"/>
    <w:rsid w:val="00151137"/>
    <w:rsid w:val="00154448"/>
    <w:rsid w:val="00154D16"/>
    <w:rsid w:val="001569F6"/>
    <w:rsid w:val="0015792D"/>
    <w:rsid w:val="001673A8"/>
    <w:rsid w:val="00187D4B"/>
    <w:rsid w:val="001950B5"/>
    <w:rsid w:val="001964BF"/>
    <w:rsid w:val="001973A9"/>
    <w:rsid w:val="001A6713"/>
    <w:rsid w:val="001A6DB5"/>
    <w:rsid w:val="001B4CA6"/>
    <w:rsid w:val="001C016A"/>
    <w:rsid w:val="001C0A48"/>
    <w:rsid w:val="001C23C9"/>
    <w:rsid w:val="001C47F0"/>
    <w:rsid w:val="001C49B8"/>
    <w:rsid w:val="001C64A8"/>
    <w:rsid w:val="001C6712"/>
    <w:rsid w:val="001E615E"/>
    <w:rsid w:val="001F5B35"/>
    <w:rsid w:val="001F6A24"/>
    <w:rsid w:val="002068DC"/>
    <w:rsid w:val="00210D84"/>
    <w:rsid w:val="00212866"/>
    <w:rsid w:val="002132D5"/>
    <w:rsid w:val="00215EBE"/>
    <w:rsid w:val="00227B14"/>
    <w:rsid w:val="002305A8"/>
    <w:rsid w:val="002423B3"/>
    <w:rsid w:val="00245C22"/>
    <w:rsid w:val="00250FC5"/>
    <w:rsid w:val="0025150E"/>
    <w:rsid w:val="00257580"/>
    <w:rsid w:val="00261F24"/>
    <w:rsid w:val="00265B73"/>
    <w:rsid w:val="00280E49"/>
    <w:rsid w:val="00292E97"/>
    <w:rsid w:val="00297E02"/>
    <w:rsid w:val="002A12E7"/>
    <w:rsid w:val="002A13EB"/>
    <w:rsid w:val="002A560B"/>
    <w:rsid w:val="002A5DA1"/>
    <w:rsid w:val="002B2B61"/>
    <w:rsid w:val="002C2C93"/>
    <w:rsid w:val="002C2D40"/>
    <w:rsid w:val="002C2D60"/>
    <w:rsid w:val="002D1482"/>
    <w:rsid w:val="002D6F15"/>
    <w:rsid w:val="002F20A1"/>
    <w:rsid w:val="003117CC"/>
    <w:rsid w:val="00311B7A"/>
    <w:rsid w:val="00314898"/>
    <w:rsid w:val="00315922"/>
    <w:rsid w:val="003159A1"/>
    <w:rsid w:val="00326CD9"/>
    <w:rsid w:val="00326D51"/>
    <w:rsid w:val="00327156"/>
    <w:rsid w:val="003566E5"/>
    <w:rsid w:val="00357781"/>
    <w:rsid w:val="00365469"/>
    <w:rsid w:val="00367EEC"/>
    <w:rsid w:val="003710F9"/>
    <w:rsid w:val="00371928"/>
    <w:rsid w:val="0037513A"/>
    <w:rsid w:val="00377009"/>
    <w:rsid w:val="00377895"/>
    <w:rsid w:val="00377949"/>
    <w:rsid w:val="00387694"/>
    <w:rsid w:val="00392223"/>
    <w:rsid w:val="00396C65"/>
    <w:rsid w:val="003A11E6"/>
    <w:rsid w:val="003B0407"/>
    <w:rsid w:val="003B1A87"/>
    <w:rsid w:val="003B56BA"/>
    <w:rsid w:val="003B5D2B"/>
    <w:rsid w:val="003C43AC"/>
    <w:rsid w:val="003D1948"/>
    <w:rsid w:val="003D4865"/>
    <w:rsid w:val="003F3563"/>
    <w:rsid w:val="003F7042"/>
    <w:rsid w:val="004026AF"/>
    <w:rsid w:val="00403ED0"/>
    <w:rsid w:val="00404001"/>
    <w:rsid w:val="00414BED"/>
    <w:rsid w:val="0041507F"/>
    <w:rsid w:val="0041568E"/>
    <w:rsid w:val="00420560"/>
    <w:rsid w:val="00423654"/>
    <w:rsid w:val="0042611F"/>
    <w:rsid w:val="00431247"/>
    <w:rsid w:val="004312BE"/>
    <w:rsid w:val="00433507"/>
    <w:rsid w:val="00435A71"/>
    <w:rsid w:val="004429E9"/>
    <w:rsid w:val="00450EFF"/>
    <w:rsid w:val="00450FAD"/>
    <w:rsid w:val="0045116C"/>
    <w:rsid w:val="00460D8B"/>
    <w:rsid w:val="004636E2"/>
    <w:rsid w:val="00464794"/>
    <w:rsid w:val="00467CAE"/>
    <w:rsid w:val="00470A5D"/>
    <w:rsid w:val="00482D2E"/>
    <w:rsid w:val="004866F8"/>
    <w:rsid w:val="00493385"/>
    <w:rsid w:val="004B1946"/>
    <w:rsid w:val="004B40D1"/>
    <w:rsid w:val="004B687E"/>
    <w:rsid w:val="004C0BF9"/>
    <w:rsid w:val="004C10EC"/>
    <w:rsid w:val="004C44A6"/>
    <w:rsid w:val="004D444E"/>
    <w:rsid w:val="004D59B1"/>
    <w:rsid w:val="004E109B"/>
    <w:rsid w:val="004E159B"/>
    <w:rsid w:val="004F46C6"/>
    <w:rsid w:val="0051364B"/>
    <w:rsid w:val="00515DF4"/>
    <w:rsid w:val="00516E59"/>
    <w:rsid w:val="005211B1"/>
    <w:rsid w:val="00522143"/>
    <w:rsid w:val="0052503F"/>
    <w:rsid w:val="005263D9"/>
    <w:rsid w:val="005270C4"/>
    <w:rsid w:val="005272C5"/>
    <w:rsid w:val="00530006"/>
    <w:rsid w:val="0054026A"/>
    <w:rsid w:val="00540CE8"/>
    <w:rsid w:val="005502AA"/>
    <w:rsid w:val="00550924"/>
    <w:rsid w:val="005520AD"/>
    <w:rsid w:val="00554809"/>
    <w:rsid w:val="00557E67"/>
    <w:rsid w:val="005631FF"/>
    <w:rsid w:val="005639E6"/>
    <w:rsid w:val="005656B5"/>
    <w:rsid w:val="00571607"/>
    <w:rsid w:val="005747E2"/>
    <w:rsid w:val="00582548"/>
    <w:rsid w:val="00582779"/>
    <w:rsid w:val="00585115"/>
    <w:rsid w:val="005857C0"/>
    <w:rsid w:val="005B35E6"/>
    <w:rsid w:val="005B48EC"/>
    <w:rsid w:val="005C1A0A"/>
    <w:rsid w:val="005C4E99"/>
    <w:rsid w:val="005D573D"/>
    <w:rsid w:val="005D583A"/>
    <w:rsid w:val="005D75AC"/>
    <w:rsid w:val="005E0DAD"/>
    <w:rsid w:val="005E6BEA"/>
    <w:rsid w:val="005E7020"/>
    <w:rsid w:val="005F0833"/>
    <w:rsid w:val="006057C5"/>
    <w:rsid w:val="00611C2D"/>
    <w:rsid w:val="00614BBD"/>
    <w:rsid w:val="00623B07"/>
    <w:rsid w:val="0063207B"/>
    <w:rsid w:val="0063217B"/>
    <w:rsid w:val="00647518"/>
    <w:rsid w:val="00653EEF"/>
    <w:rsid w:val="00663E28"/>
    <w:rsid w:val="00667546"/>
    <w:rsid w:val="00667E08"/>
    <w:rsid w:val="006740C1"/>
    <w:rsid w:val="0067458B"/>
    <w:rsid w:val="00681B04"/>
    <w:rsid w:val="00683F80"/>
    <w:rsid w:val="00684B3F"/>
    <w:rsid w:val="00686C8D"/>
    <w:rsid w:val="00691553"/>
    <w:rsid w:val="006A5224"/>
    <w:rsid w:val="006B396E"/>
    <w:rsid w:val="006B4F06"/>
    <w:rsid w:val="006D1A94"/>
    <w:rsid w:val="006E355A"/>
    <w:rsid w:val="006E42B3"/>
    <w:rsid w:val="006F1241"/>
    <w:rsid w:val="006F2952"/>
    <w:rsid w:val="007035DC"/>
    <w:rsid w:val="00703DE5"/>
    <w:rsid w:val="0071477A"/>
    <w:rsid w:val="00717BEB"/>
    <w:rsid w:val="0073045A"/>
    <w:rsid w:val="007354AD"/>
    <w:rsid w:val="007411B5"/>
    <w:rsid w:val="00744B49"/>
    <w:rsid w:val="00745A7B"/>
    <w:rsid w:val="00747A21"/>
    <w:rsid w:val="00756A0A"/>
    <w:rsid w:val="00760585"/>
    <w:rsid w:val="00766AEC"/>
    <w:rsid w:val="00772B62"/>
    <w:rsid w:val="00774205"/>
    <w:rsid w:val="007949BB"/>
    <w:rsid w:val="00797A2B"/>
    <w:rsid w:val="007A0F55"/>
    <w:rsid w:val="007A1C3E"/>
    <w:rsid w:val="007A2116"/>
    <w:rsid w:val="007A4030"/>
    <w:rsid w:val="007A628F"/>
    <w:rsid w:val="007B00A1"/>
    <w:rsid w:val="007B359C"/>
    <w:rsid w:val="007B5E8B"/>
    <w:rsid w:val="007C0DAA"/>
    <w:rsid w:val="007C1231"/>
    <w:rsid w:val="007C1261"/>
    <w:rsid w:val="007C2265"/>
    <w:rsid w:val="007C42CD"/>
    <w:rsid w:val="007C44F9"/>
    <w:rsid w:val="007D0960"/>
    <w:rsid w:val="007D18F9"/>
    <w:rsid w:val="007D1F86"/>
    <w:rsid w:val="007D475C"/>
    <w:rsid w:val="007D5056"/>
    <w:rsid w:val="007E268B"/>
    <w:rsid w:val="007F6B2A"/>
    <w:rsid w:val="00805C77"/>
    <w:rsid w:val="00807F4C"/>
    <w:rsid w:val="00810D76"/>
    <w:rsid w:val="0081409F"/>
    <w:rsid w:val="00816B3F"/>
    <w:rsid w:val="008246EC"/>
    <w:rsid w:val="00825076"/>
    <w:rsid w:val="0082798B"/>
    <w:rsid w:val="00835C43"/>
    <w:rsid w:val="00835FFD"/>
    <w:rsid w:val="008540A5"/>
    <w:rsid w:val="008627CD"/>
    <w:rsid w:val="0086404F"/>
    <w:rsid w:val="0086615C"/>
    <w:rsid w:val="008746F8"/>
    <w:rsid w:val="00877730"/>
    <w:rsid w:val="008808E6"/>
    <w:rsid w:val="00897443"/>
    <w:rsid w:val="008A4214"/>
    <w:rsid w:val="008A5515"/>
    <w:rsid w:val="008B371B"/>
    <w:rsid w:val="008B3FCB"/>
    <w:rsid w:val="008B610C"/>
    <w:rsid w:val="008B7DC0"/>
    <w:rsid w:val="008C417C"/>
    <w:rsid w:val="008C5D77"/>
    <w:rsid w:val="008C7661"/>
    <w:rsid w:val="008D2137"/>
    <w:rsid w:val="008D2A47"/>
    <w:rsid w:val="008D77F1"/>
    <w:rsid w:val="008E2C57"/>
    <w:rsid w:val="008E33E5"/>
    <w:rsid w:val="008E4853"/>
    <w:rsid w:val="008F0C49"/>
    <w:rsid w:val="00900B49"/>
    <w:rsid w:val="00903F80"/>
    <w:rsid w:val="00904782"/>
    <w:rsid w:val="009064CB"/>
    <w:rsid w:val="00906DFC"/>
    <w:rsid w:val="009103D5"/>
    <w:rsid w:val="00920E00"/>
    <w:rsid w:val="00922703"/>
    <w:rsid w:val="009272B6"/>
    <w:rsid w:val="0093276B"/>
    <w:rsid w:val="00933A2F"/>
    <w:rsid w:val="00933A7D"/>
    <w:rsid w:val="009340F0"/>
    <w:rsid w:val="00935EA8"/>
    <w:rsid w:val="009469D0"/>
    <w:rsid w:val="00952A3C"/>
    <w:rsid w:val="00953478"/>
    <w:rsid w:val="00957D08"/>
    <w:rsid w:val="0096067D"/>
    <w:rsid w:val="009619FA"/>
    <w:rsid w:val="0096535D"/>
    <w:rsid w:val="009827E7"/>
    <w:rsid w:val="009841A8"/>
    <w:rsid w:val="00984FAE"/>
    <w:rsid w:val="00992144"/>
    <w:rsid w:val="00996231"/>
    <w:rsid w:val="009A29BC"/>
    <w:rsid w:val="009B0C5B"/>
    <w:rsid w:val="009B7C7F"/>
    <w:rsid w:val="009D0530"/>
    <w:rsid w:val="009D2A82"/>
    <w:rsid w:val="009D2C63"/>
    <w:rsid w:val="009D3D01"/>
    <w:rsid w:val="009D58CC"/>
    <w:rsid w:val="009D7702"/>
    <w:rsid w:val="009E2BA6"/>
    <w:rsid w:val="009F31C1"/>
    <w:rsid w:val="009F5F82"/>
    <w:rsid w:val="00A0049F"/>
    <w:rsid w:val="00A02D26"/>
    <w:rsid w:val="00A0568F"/>
    <w:rsid w:val="00A11CB4"/>
    <w:rsid w:val="00A148DC"/>
    <w:rsid w:val="00A231FE"/>
    <w:rsid w:val="00A2322C"/>
    <w:rsid w:val="00A24D08"/>
    <w:rsid w:val="00A26BA0"/>
    <w:rsid w:val="00A26BD8"/>
    <w:rsid w:val="00A27728"/>
    <w:rsid w:val="00A367D0"/>
    <w:rsid w:val="00A424C2"/>
    <w:rsid w:val="00A43304"/>
    <w:rsid w:val="00A44090"/>
    <w:rsid w:val="00A4540D"/>
    <w:rsid w:val="00A45B53"/>
    <w:rsid w:val="00A468F2"/>
    <w:rsid w:val="00A47159"/>
    <w:rsid w:val="00A60394"/>
    <w:rsid w:val="00A66D39"/>
    <w:rsid w:val="00A67AD3"/>
    <w:rsid w:val="00A720AA"/>
    <w:rsid w:val="00A76D82"/>
    <w:rsid w:val="00A86751"/>
    <w:rsid w:val="00A93547"/>
    <w:rsid w:val="00AA67F7"/>
    <w:rsid w:val="00AB2195"/>
    <w:rsid w:val="00AB4C92"/>
    <w:rsid w:val="00AC07C2"/>
    <w:rsid w:val="00AC2504"/>
    <w:rsid w:val="00AC45CB"/>
    <w:rsid w:val="00AD31CC"/>
    <w:rsid w:val="00AD6C62"/>
    <w:rsid w:val="00AE299D"/>
    <w:rsid w:val="00AE63B6"/>
    <w:rsid w:val="00AE66F5"/>
    <w:rsid w:val="00AF43D1"/>
    <w:rsid w:val="00B0701B"/>
    <w:rsid w:val="00B12A91"/>
    <w:rsid w:val="00B17CCE"/>
    <w:rsid w:val="00B21952"/>
    <w:rsid w:val="00B2580C"/>
    <w:rsid w:val="00B25DDD"/>
    <w:rsid w:val="00B35EAA"/>
    <w:rsid w:val="00B52D6B"/>
    <w:rsid w:val="00B56CCA"/>
    <w:rsid w:val="00B625CB"/>
    <w:rsid w:val="00B63DFD"/>
    <w:rsid w:val="00B70CF8"/>
    <w:rsid w:val="00B7591F"/>
    <w:rsid w:val="00B7700D"/>
    <w:rsid w:val="00B77B31"/>
    <w:rsid w:val="00B8579C"/>
    <w:rsid w:val="00B868C8"/>
    <w:rsid w:val="00BA2F04"/>
    <w:rsid w:val="00BA41ED"/>
    <w:rsid w:val="00BB09B8"/>
    <w:rsid w:val="00BB0A91"/>
    <w:rsid w:val="00BC1C6F"/>
    <w:rsid w:val="00BC1CD7"/>
    <w:rsid w:val="00BC1CE5"/>
    <w:rsid w:val="00BC401E"/>
    <w:rsid w:val="00BC579B"/>
    <w:rsid w:val="00BE125D"/>
    <w:rsid w:val="00BE29D5"/>
    <w:rsid w:val="00BE69DD"/>
    <w:rsid w:val="00BE77A0"/>
    <w:rsid w:val="00BF1F8D"/>
    <w:rsid w:val="00BF5CB8"/>
    <w:rsid w:val="00C0189B"/>
    <w:rsid w:val="00C035F3"/>
    <w:rsid w:val="00C053D4"/>
    <w:rsid w:val="00C05A4C"/>
    <w:rsid w:val="00C05E4C"/>
    <w:rsid w:val="00C125CA"/>
    <w:rsid w:val="00C153C4"/>
    <w:rsid w:val="00C15CA3"/>
    <w:rsid w:val="00C163E2"/>
    <w:rsid w:val="00C22AC1"/>
    <w:rsid w:val="00C32813"/>
    <w:rsid w:val="00C45F6A"/>
    <w:rsid w:val="00C47F99"/>
    <w:rsid w:val="00C50CE7"/>
    <w:rsid w:val="00C51785"/>
    <w:rsid w:val="00C563BA"/>
    <w:rsid w:val="00C77628"/>
    <w:rsid w:val="00C838BE"/>
    <w:rsid w:val="00C90F9A"/>
    <w:rsid w:val="00C94E03"/>
    <w:rsid w:val="00C95BB2"/>
    <w:rsid w:val="00CA21D2"/>
    <w:rsid w:val="00CA6501"/>
    <w:rsid w:val="00CB4425"/>
    <w:rsid w:val="00CC14FB"/>
    <w:rsid w:val="00CC37AF"/>
    <w:rsid w:val="00CC37B5"/>
    <w:rsid w:val="00CC610F"/>
    <w:rsid w:val="00CC7856"/>
    <w:rsid w:val="00CD62B0"/>
    <w:rsid w:val="00CE2C46"/>
    <w:rsid w:val="00CE3077"/>
    <w:rsid w:val="00CE5AF6"/>
    <w:rsid w:val="00CE611B"/>
    <w:rsid w:val="00CF2571"/>
    <w:rsid w:val="00D019D8"/>
    <w:rsid w:val="00D01C51"/>
    <w:rsid w:val="00D07FE3"/>
    <w:rsid w:val="00D207D5"/>
    <w:rsid w:val="00D23993"/>
    <w:rsid w:val="00D31219"/>
    <w:rsid w:val="00D4120E"/>
    <w:rsid w:val="00D45AE4"/>
    <w:rsid w:val="00D53A28"/>
    <w:rsid w:val="00D56472"/>
    <w:rsid w:val="00D603DD"/>
    <w:rsid w:val="00D63BA1"/>
    <w:rsid w:val="00D647A4"/>
    <w:rsid w:val="00D73AA4"/>
    <w:rsid w:val="00D84AC5"/>
    <w:rsid w:val="00D93728"/>
    <w:rsid w:val="00D93AC6"/>
    <w:rsid w:val="00DA02F7"/>
    <w:rsid w:val="00DA6E0E"/>
    <w:rsid w:val="00DC15CD"/>
    <w:rsid w:val="00DE0EAF"/>
    <w:rsid w:val="00DE5446"/>
    <w:rsid w:val="00DE6626"/>
    <w:rsid w:val="00DF3A03"/>
    <w:rsid w:val="00DF542A"/>
    <w:rsid w:val="00E00627"/>
    <w:rsid w:val="00E033F8"/>
    <w:rsid w:val="00E04120"/>
    <w:rsid w:val="00E069FB"/>
    <w:rsid w:val="00E111E8"/>
    <w:rsid w:val="00E1426C"/>
    <w:rsid w:val="00E14D56"/>
    <w:rsid w:val="00E3167A"/>
    <w:rsid w:val="00E4102A"/>
    <w:rsid w:val="00E41453"/>
    <w:rsid w:val="00E42B55"/>
    <w:rsid w:val="00E43098"/>
    <w:rsid w:val="00E458C1"/>
    <w:rsid w:val="00E4650E"/>
    <w:rsid w:val="00E50AC0"/>
    <w:rsid w:val="00E51CAF"/>
    <w:rsid w:val="00E52B14"/>
    <w:rsid w:val="00E570A0"/>
    <w:rsid w:val="00E71C30"/>
    <w:rsid w:val="00E7206D"/>
    <w:rsid w:val="00E74BB1"/>
    <w:rsid w:val="00E8242C"/>
    <w:rsid w:val="00E837B7"/>
    <w:rsid w:val="00E8577C"/>
    <w:rsid w:val="00E87667"/>
    <w:rsid w:val="00E90A52"/>
    <w:rsid w:val="00EA25B9"/>
    <w:rsid w:val="00EA4568"/>
    <w:rsid w:val="00EA664A"/>
    <w:rsid w:val="00EA7772"/>
    <w:rsid w:val="00EB1CB4"/>
    <w:rsid w:val="00EB1E41"/>
    <w:rsid w:val="00EB51D9"/>
    <w:rsid w:val="00EC043D"/>
    <w:rsid w:val="00EC2215"/>
    <w:rsid w:val="00ED0AA1"/>
    <w:rsid w:val="00ED14D2"/>
    <w:rsid w:val="00EE50E2"/>
    <w:rsid w:val="00EF2EDC"/>
    <w:rsid w:val="00EF77A0"/>
    <w:rsid w:val="00F01EF2"/>
    <w:rsid w:val="00F03CA4"/>
    <w:rsid w:val="00F25981"/>
    <w:rsid w:val="00F276E4"/>
    <w:rsid w:val="00F27B58"/>
    <w:rsid w:val="00F27F3B"/>
    <w:rsid w:val="00F31C40"/>
    <w:rsid w:val="00F32616"/>
    <w:rsid w:val="00F36F15"/>
    <w:rsid w:val="00F407A1"/>
    <w:rsid w:val="00F43E17"/>
    <w:rsid w:val="00F45303"/>
    <w:rsid w:val="00F564CC"/>
    <w:rsid w:val="00F6032F"/>
    <w:rsid w:val="00F6053D"/>
    <w:rsid w:val="00F6238E"/>
    <w:rsid w:val="00F655A5"/>
    <w:rsid w:val="00F72B37"/>
    <w:rsid w:val="00F75500"/>
    <w:rsid w:val="00F8279C"/>
    <w:rsid w:val="00F82834"/>
    <w:rsid w:val="00FA009D"/>
    <w:rsid w:val="00FA461D"/>
    <w:rsid w:val="00FA48C2"/>
    <w:rsid w:val="00FB008B"/>
    <w:rsid w:val="00FB659B"/>
    <w:rsid w:val="00FC55AB"/>
    <w:rsid w:val="00FD2346"/>
    <w:rsid w:val="00FD6701"/>
    <w:rsid w:val="00FE58BA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68962"/>
  <w15:chartTrackingRefBased/>
  <w15:docId w15:val="{1A2501E9-C24F-4AE7-AF85-D028DB24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7694"/>
    <w:pPr>
      <w:spacing w:after="0"/>
      <w:jc w:val="both"/>
    </w:pPr>
    <w:rPr>
      <w:rFonts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45AE4"/>
    <w:pPr>
      <w:spacing w:line="256" w:lineRule="auto"/>
      <w:jc w:val="center"/>
      <w:outlineLvl w:val="0"/>
    </w:pPr>
    <w:rPr>
      <w:rFonts w:cstheme="minorHAnsi"/>
      <w:b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C05E4C"/>
    <w:pPr>
      <w:numPr>
        <w:numId w:val="16"/>
      </w:numPr>
      <w:spacing w:before="240" w:after="160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E42B3"/>
    <w:pPr>
      <w:numPr>
        <w:ilvl w:val="1"/>
        <w:numId w:val="14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05E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_0,List Paragraph_1,Nad,Nadpis pro KZ,Odstavec_muj,odrážky"/>
    <w:basedOn w:val="Normln"/>
    <w:link w:val="OdstavecseseznamemChar"/>
    <w:uiPriority w:val="34"/>
    <w:qFormat/>
    <w:rsid w:val="00004C46"/>
    <w:pPr>
      <w:ind w:left="720"/>
      <w:contextualSpacing/>
    </w:pPr>
  </w:style>
  <w:style w:type="paragraph" w:styleId="Textpoznpodarou">
    <w:name w:val="footnote text"/>
    <w:aliases w:val="Boston 10,Char,Char Char Char1,Font: Geneva 9,Footnote,Fußnotentextf,Geneva 9,Podrozdzia3,Podrozdział,Schriftart: 10 pt,Schriftart: 8 pt,Schriftart: 9 pt,Text pozn. pod čarou1,Text poznámky pod čiarou 007,f,pozn. pod čarou"/>
    <w:basedOn w:val="Normln"/>
    <w:link w:val="TextpoznpodarouChar"/>
    <w:unhideWhenUsed/>
    <w:qFormat/>
    <w:rsid w:val="00F6053D"/>
    <w:pPr>
      <w:spacing w:after="120" w:line="240" w:lineRule="auto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aliases w:val="Boston 10 Char,Char Char,Char Char Char1 Char,Font: Geneva 9 Char,Footnote Char,Fußnotentextf Char,Geneva 9 Char,Podrozdzia3 Char,Podrozdział Char,Schriftart: 10 pt Char,Schriftart: 8 pt Char,Schriftart: 9 pt Char,f Char"/>
    <w:basedOn w:val="Standardnpsmoodstavce"/>
    <w:link w:val="Textpoznpodarou"/>
    <w:rsid w:val="00F6053D"/>
    <w:rPr>
      <w:rFonts w:eastAsia="Times New Roman" w:cs="Times New Roman"/>
      <w:sz w:val="20"/>
      <w:szCs w:val="20"/>
    </w:rPr>
  </w:style>
  <w:style w:type="character" w:styleId="Znakapoznpodarou">
    <w:name w:val="footnote reference"/>
    <w:aliases w:val="12 b.,Appel note de bas de p,Appel note de bas de page,BVI fnr,Char Car Car Car Car,Footnote Reference Superscript,Footnote symbol,Légende,PGI Fußnote Ziffer,PGI Fußnote Ziffer + Times New Roman,Zúžené o ...,number"/>
    <w:basedOn w:val="Standardnpsmoodstavce"/>
    <w:uiPriority w:val="99"/>
    <w:unhideWhenUsed/>
    <w:rsid w:val="00F6053D"/>
    <w:rPr>
      <w:vertAlign w:val="superscript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0953E1"/>
    <w:pPr>
      <w:keepNext/>
      <w:spacing w:line="240" w:lineRule="auto"/>
    </w:pPr>
    <w:rPr>
      <w:b/>
      <w:iCs/>
      <w:color w:val="000000" w:themeColor="text1"/>
    </w:rPr>
  </w:style>
  <w:style w:type="character" w:customStyle="1" w:styleId="A1">
    <w:name w:val="A1"/>
    <w:uiPriority w:val="99"/>
    <w:rsid w:val="00522143"/>
    <w:rPr>
      <w:color w:val="000000"/>
      <w:sz w:val="28"/>
      <w:szCs w:val="28"/>
    </w:rPr>
  </w:style>
  <w:style w:type="character" w:customStyle="1" w:styleId="A4">
    <w:name w:val="A4"/>
    <w:uiPriority w:val="99"/>
    <w:rsid w:val="00522143"/>
    <w:rPr>
      <w:color w:val="000000"/>
      <w:sz w:val="60"/>
      <w:szCs w:val="60"/>
    </w:rPr>
  </w:style>
  <w:style w:type="character" w:customStyle="1" w:styleId="A5">
    <w:name w:val="A5"/>
    <w:uiPriority w:val="99"/>
    <w:rsid w:val="00522143"/>
    <w:rPr>
      <w:b/>
      <w:bCs/>
      <w:color w:val="000000"/>
      <w:sz w:val="40"/>
      <w:szCs w:val="40"/>
    </w:rPr>
  </w:style>
  <w:style w:type="table" w:styleId="Mkatabulky">
    <w:name w:val="Table Grid"/>
    <w:basedOn w:val="Normlntabulka"/>
    <w:uiPriority w:val="39"/>
    <w:rsid w:val="005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">
    <w:name w:val="Základní"/>
    <w:basedOn w:val="Normln"/>
    <w:rsid w:val="00DA02F7"/>
    <w:pPr>
      <w:spacing w:before="120" w:line="240" w:lineRule="auto"/>
    </w:pPr>
    <w:rPr>
      <w:rFonts w:ascii="Arial" w:eastAsia="Times New Roman" w:hAnsi="Arial" w:cs="Times New Roman"/>
    </w:rPr>
  </w:style>
  <w:style w:type="character" w:customStyle="1" w:styleId="Nadpis1Char">
    <w:name w:val="Nadpis 1 Char"/>
    <w:basedOn w:val="Standardnpsmoodstavce"/>
    <w:link w:val="Nadpis1"/>
    <w:rsid w:val="00D45AE4"/>
    <w:rPr>
      <w:rFonts w:cstheme="minorHAnsi"/>
      <w:b/>
      <w:sz w:val="28"/>
      <w:szCs w:val="28"/>
    </w:rPr>
  </w:style>
  <w:style w:type="character" w:customStyle="1" w:styleId="textKZChar">
    <w:name w:val="text KZ Char"/>
    <w:basedOn w:val="Standardnpsmoodstavce"/>
    <w:link w:val="textKZ"/>
    <w:locked/>
    <w:rsid w:val="00D45AE4"/>
    <w:rPr>
      <w:rFonts w:ascii="Calibri" w:hAnsi="Calibri" w:cs="Times New Roman"/>
      <w:sz w:val="24"/>
      <w:szCs w:val="24"/>
    </w:rPr>
  </w:style>
  <w:style w:type="paragraph" w:customStyle="1" w:styleId="textKZ">
    <w:name w:val="text KZ"/>
    <w:basedOn w:val="Normln"/>
    <w:link w:val="textKZChar"/>
    <w:qFormat/>
    <w:rsid w:val="00D45AE4"/>
    <w:pPr>
      <w:spacing w:after="12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C05E4C"/>
    <w:rPr>
      <w:rFonts w:cs="Calibr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E42B3"/>
    <w:rPr>
      <w:rFonts w:cs="Calibri"/>
      <w:b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450EFF"/>
    <w:pPr>
      <w:spacing w:after="120" w:line="240" w:lineRule="auto"/>
    </w:pPr>
    <w:rPr>
      <w:rFonts w:ascii="Calibri" w:eastAsia="Times New Roman" w:hAnsi="Calibri"/>
    </w:rPr>
  </w:style>
  <w:style w:type="character" w:customStyle="1" w:styleId="textodstavceChar">
    <w:name w:val="text odstavce Char"/>
    <w:basedOn w:val="Standardnpsmoodstavce"/>
    <w:link w:val="textodstavce"/>
    <w:rsid w:val="00450EFF"/>
    <w:rPr>
      <w:rFonts w:ascii="Calibri" w:eastAsia="Times New Roman" w:hAnsi="Calibri" w:cs="Calibri"/>
      <w:sz w:val="24"/>
      <w:szCs w:val="24"/>
    </w:rPr>
  </w:style>
  <w:style w:type="character" w:customStyle="1" w:styleId="OdstavecseseznamemChar">
    <w:name w:val="Odstavec se seznamem Char"/>
    <w:aliases w:val="List Paragraph_0 Char,List Paragraph_1 Char,Nad Char,Nadpis pro KZ Char,Odstavec_muj Char,odrážky Char"/>
    <w:link w:val="Odstavecseseznamem"/>
    <w:uiPriority w:val="34"/>
    <w:locked/>
    <w:rsid w:val="008B610C"/>
    <w:rPr>
      <w:rFonts w:cs="Calibri"/>
      <w:sz w:val="24"/>
      <w:szCs w:val="24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C15CA3"/>
    <w:rPr>
      <w:rFonts w:cs="Calibri"/>
      <w:b/>
      <w:iCs/>
      <w:color w:val="000000" w:themeColor="text1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2AC1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2AC1"/>
    <w:rPr>
      <w:rFonts w:cs="Calibr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22AC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B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BED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377009"/>
    <w:pPr>
      <w:spacing w:after="120" w:line="480" w:lineRule="auto"/>
    </w:pPr>
    <w:rPr>
      <w:rFonts w:ascii="Calibri" w:eastAsia="Times New Roman" w:hAnsi="Calibri" w:cs="Times New Roman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77009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C05E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hlav">
    <w:name w:val="header"/>
    <w:basedOn w:val="Normln"/>
    <w:link w:val="ZhlavChar"/>
    <w:unhideWhenUsed/>
    <w:rsid w:val="005211B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11B1"/>
    <w:rPr>
      <w:rFonts w:cs="Calibr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211B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1B1"/>
    <w:rPr>
      <w:rFonts w:cs="Calibri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163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63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63E2"/>
    <w:rPr>
      <w:rFonts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63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63E2"/>
    <w:rPr>
      <w:rFonts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231FE"/>
    <w:pPr>
      <w:spacing w:after="0" w:line="240" w:lineRule="auto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BIRNBAUMOVA\Plocha\Anal&#253;za%20v&#253;daj&#367;_odv&#283;tvov&#233;%20t&#345;&#237;d&#283;n&#237;\V&#253;voj%20v&#253;daj&#367;_odv&#283;tvov&#233;%20t&#345;&#237;d&#283;n&#237;_2017%20ay%202019_k%2015_5_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§ 3299</c:v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numRef>
              <c:f>'[Vývoj výdajů_odvětvové třídění_2017 ay 2019_k 15_5_2020.xlsx]Graf č 1 PL '!$F$26:$F$28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'[Vývoj výdajů_odvětvové třídění_2017 ay 2019_k 15_5_2020.xlsx]Graf č 1 PL '!$G$26:$G$28</c:f>
              <c:numCache>
                <c:formatCode>#,##0.00</c:formatCode>
                <c:ptCount val="3"/>
                <c:pt idx="0">
                  <c:v>105129122.58363001</c:v>
                </c:pt>
                <c:pt idx="1">
                  <c:v>119939349.29061</c:v>
                </c:pt>
                <c:pt idx="2">
                  <c:v>139895876.36477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21-43D7-BFF5-E3E1030D9918}"/>
            </c:ext>
          </c:extLst>
        </c:ser>
        <c:ser>
          <c:idx val="1"/>
          <c:order val="1"/>
          <c:tx>
            <c:v>§ 3211</c:v>
          </c:tx>
          <c:spPr>
            <a:solidFill>
              <a:srgbClr val="004595">
                <a:alpha val="80000"/>
              </a:srgbClr>
            </a:solidFill>
            <a:ln>
              <a:noFill/>
            </a:ln>
            <a:effectLst/>
          </c:spPr>
          <c:invertIfNegative val="0"/>
          <c:cat>
            <c:numRef>
              <c:f>'[Vývoj výdajů_odvětvové třídění_2017 ay 2019_k 15_5_2020.xlsx]Graf č 1 PL '!$F$26:$F$28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'[Vývoj výdajů_odvětvové třídění_2017 ay 2019_k 15_5_2020.xlsx]Graf č 1 PL '!$H$26:$H$28</c:f>
              <c:numCache>
                <c:formatCode>#,##0.00</c:formatCode>
                <c:ptCount val="3"/>
                <c:pt idx="0">
                  <c:v>22625790.358630002</c:v>
                </c:pt>
                <c:pt idx="1">
                  <c:v>31139822.96212</c:v>
                </c:pt>
                <c:pt idx="2">
                  <c:v>30891192.835960001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21-43D7-BFF5-E3E1030D9918}"/>
            </c:ext>
          </c:extLst>
        </c:ser>
        <c:ser>
          <c:idx val="2"/>
          <c:order val="2"/>
          <c:tx>
            <c:v>§ 3212</c:v>
          </c:tx>
          <c:spPr>
            <a:solidFill>
              <a:srgbClr val="004595">
                <a:alpha val="69804"/>
              </a:srgbClr>
            </a:solidFill>
            <a:ln>
              <a:noFill/>
            </a:ln>
            <a:effectLst/>
          </c:spPr>
          <c:invertIfNegative val="0"/>
          <c:cat>
            <c:numRef>
              <c:f>'[Vývoj výdajů_odvětvové třídění_2017 ay 2019_k 15_5_2020.xlsx]Graf č 1 PL '!$F$26:$F$28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'[Vývoj výdajů_odvětvové třídění_2017 ay 2019_k 15_5_2020.xlsx]Graf č 1 PL '!$I$26:$I$28</c:f>
              <c:numCache>
                <c:formatCode>#,##0.00</c:formatCode>
                <c:ptCount val="3"/>
                <c:pt idx="0">
                  <c:v>9852317.9520100001</c:v>
                </c:pt>
                <c:pt idx="1">
                  <c:v>14861661.042239999</c:v>
                </c:pt>
                <c:pt idx="2">
                  <c:v>13876337.71902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21-43D7-BFF5-E3E1030D9918}"/>
            </c:ext>
          </c:extLst>
        </c:ser>
        <c:ser>
          <c:idx val="3"/>
          <c:order val="3"/>
          <c:tx>
            <c:v>§ 3809</c:v>
          </c:tx>
          <c:spPr>
            <a:solidFill>
              <a:srgbClr val="004595">
                <a:alpha val="60000"/>
              </a:srgbClr>
            </a:solidFill>
            <a:ln>
              <a:noFill/>
            </a:ln>
            <a:effectLst/>
          </c:spPr>
          <c:invertIfNegative val="0"/>
          <c:cat>
            <c:numRef>
              <c:f>'[Vývoj výdajů_odvětvové třídění_2017 ay 2019_k 15_5_2020.xlsx]Graf č 1 PL '!$F$26:$F$28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'[Vývoj výdajů_odvětvové třídění_2017 ay 2019_k 15_5_2020.xlsx]Graf č 1 PL '!$J$26:$J$28</c:f>
              <c:numCache>
                <c:formatCode>#,##0.00</c:formatCode>
                <c:ptCount val="3"/>
                <c:pt idx="0">
                  <c:v>6838344.8546200003</c:v>
                </c:pt>
                <c:pt idx="1">
                  <c:v>6134419.9000800001</c:v>
                </c:pt>
                <c:pt idx="2">
                  <c:v>6614777.9495799998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21-43D7-BFF5-E3E1030D9918}"/>
            </c:ext>
          </c:extLst>
        </c:ser>
        <c:ser>
          <c:idx val="4"/>
          <c:order val="4"/>
          <c:tx>
            <c:v>Ostatní §</c:v>
          </c:tx>
          <c:spPr>
            <a:solidFill>
              <a:srgbClr val="004595">
                <a:alpha val="50196"/>
              </a:srgbClr>
            </a:solidFill>
            <a:ln>
              <a:noFill/>
            </a:ln>
            <a:effectLst/>
          </c:spPr>
          <c:invertIfNegative val="0"/>
          <c:cat>
            <c:numRef>
              <c:f>'[Vývoj výdajů_odvětvové třídění_2017 ay 2019_k 15_5_2020.xlsx]Graf č 1 PL '!$F$26:$F$28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'[Vývoj výdajů_odvětvové třídění_2017 ay 2019_k 15_5_2020.xlsx]Graf č 1 PL '!$K$26:$K$28</c:f>
              <c:numCache>
                <c:formatCode>#,##0.00</c:formatCode>
                <c:ptCount val="3"/>
                <c:pt idx="0">
                  <c:v>12529613.574280001</c:v>
                </c:pt>
                <c:pt idx="1">
                  <c:v>14752573.324170001</c:v>
                </c:pt>
                <c:pt idx="2">
                  <c:v>18587844.733880002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21-43D7-BFF5-E3E1030D99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3584184"/>
        <c:axId val="253584576"/>
      </c:barChart>
      <c:catAx>
        <c:axId val="253584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3584576"/>
        <c:crosses val="autoZero"/>
        <c:auto val="1"/>
        <c:lblAlgn val="ctr"/>
        <c:lblOffset val="100"/>
        <c:noMultiLvlLbl val="0"/>
      </c:catAx>
      <c:valAx>
        <c:axId val="253584576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 w="6350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3584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7653718285214344"/>
          <c:y val="0.40414224263633713"/>
          <c:w val="0.10679615048118986"/>
          <c:h val="0.465279965004374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B2B0-4EDE-4A9D-8073-31B3F120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2B11766D.dotm</Template>
  <TotalTime>4</TotalTime>
  <Pages>15</Pages>
  <Words>3898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19/31 - Závěrečný účet kapitoly státního rozpočtu Ministerstvo školství, mládeže a tělovýchovy za rok 2019, účetní závěrka Ministerstva školství, mládeže a tělovýchovy za rok 2019 a údaje předkládané Ministerstvem š</vt:lpstr>
    </vt:vector>
  </TitlesOfParts>
  <Company>NKU</Company>
  <LinksUpToDate>false</LinksUpToDate>
  <CharactersWithSpaces>26844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19/31 - Závěrečný účet kapitoly státního rozpočtu Ministerstvo školství, mládeže a tělovýchovy za rok 2019, účetní závěrka Ministerstva školství, mládeže a tělovýchovy za rok 2019 a údaje předkládané Ministerstvem školství, mládeže a tělovýchovy pro hodnocení plnění státního rozpočtu za rok 2019</dc:title>
  <dc:creator>Nejvyšší kontrolní úřad</dc:creator>
  <cp:keywords>kontrolní závěr; účetnictví; MŠMT; Ministerstvo školství, mládeže a tělovýchovy</cp:keywords>
  <cp:lastModifiedBy>KOKRDA Daniel</cp:lastModifiedBy>
  <cp:revision>3</cp:revision>
  <cp:lastPrinted>2020-10-19T08:01:00Z</cp:lastPrinted>
  <dcterms:created xsi:type="dcterms:W3CDTF">2020-10-19T08:00:00Z</dcterms:created>
  <dcterms:modified xsi:type="dcterms:W3CDTF">2020-10-19T08:02:00Z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144/20-NKU200/462/20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200/4/20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1.9.2020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&lt;TABLE&gt;&lt;TR&gt;&lt;TD&gt;Č.j.:&lt;/TD&gt;&lt;TD&gt;144/20-NKU200/462/20&lt;/TD&gt;&lt;/TR&gt;&lt;TR&gt;&lt;TD&gt;&lt;/TD&gt;&lt;TD&gt;&lt;/TD&gt;&lt;/TR&gt;&lt;/TABLE&gt;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kontrolní</vt:lpwstr>
  </property>
  <property fmtid="{D5CDD505-2E9C-101B-9397-08002B2CF9AE}" pid="16" name="DisplayName_UserPoriz_Pisemnost">
    <vt:lpwstr>Jana Másílková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20-10490/NKU</vt:lpwstr>
  </property>
  <property fmtid="{D5CDD505-2E9C-101B-9397-08002B2CF9AE}" pid="19" name="Key_BarCode_Pisemnost">
    <vt:lpwstr>*B000368700*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2</vt:lpwstr>
  </property>
  <property fmtid="{D5CDD505-2E9C-101B-9397-08002B2CF9AE}" pid="27" name="PocetListu_Pisemnost">
    <vt:lpwstr>2/1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20-10490/NKU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144/20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KZ 19/31 - připomínkové řízení </vt:lpwstr>
  </property>
  <property fmtid="{D5CDD505-2E9C-101B-9397-08002B2CF9AE}" pid="41" name="Zkratka_SpisovyUzel_PoziceZodpo_Pisemnost">
    <vt:lpwstr>200</vt:lpwstr>
  </property>
</Properties>
</file>