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1EB76" w14:textId="77777777" w:rsidR="00AB3724" w:rsidRPr="006F63D5" w:rsidRDefault="00AB3724" w:rsidP="006F63D5">
      <w:pPr>
        <w:spacing w:line="264" w:lineRule="auto"/>
        <w:jc w:val="center"/>
      </w:pPr>
      <w:bookmarkStart w:id="0" w:name="_GoBack"/>
      <w:bookmarkEnd w:id="0"/>
      <w:r w:rsidRPr="006F63D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3783839" wp14:editId="06118B66">
            <wp:simplePos x="0" y="0"/>
            <wp:positionH relativeFrom="margin">
              <wp:posOffset>2522220</wp:posOffset>
            </wp:positionH>
            <wp:positionV relativeFrom="paragraph">
              <wp:posOffset>1270</wp:posOffset>
            </wp:positionV>
            <wp:extent cx="763905" cy="53975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631484" w14:textId="77777777" w:rsidR="00AB3724" w:rsidRPr="006F63D5" w:rsidRDefault="00AB3724" w:rsidP="006F63D5">
      <w:pPr>
        <w:spacing w:line="264" w:lineRule="auto"/>
        <w:jc w:val="center"/>
      </w:pPr>
    </w:p>
    <w:p w14:paraId="7216CF29" w14:textId="77777777" w:rsidR="006F63D5" w:rsidRPr="006F63D5" w:rsidRDefault="006F63D5" w:rsidP="006F63D5">
      <w:pPr>
        <w:spacing w:line="264" w:lineRule="auto"/>
        <w:jc w:val="center"/>
      </w:pPr>
    </w:p>
    <w:p w14:paraId="70165579" w14:textId="77777777" w:rsidR="00AB3724" w:rsidRPr="006F63D5" w:rsidRDefault="00AB3724" w:rsidP="006F63D5">
      <w:pPr>
        <w:spacing w:line="264" w:lineRule="auto"/>
        <w:jc w:val="center"/>
        <w:rPr>
          <w:b/>
          <w:sz w:val="28"/>
        </w:rPr>
      </w:pPr>
      <w:r w:rsidRPr="006F63D5">
        <w:rPr>
          <w:b/>
          <w:sz w:val="28"/>
        </w:rPr>
        <w:t>Kontrolní závěr z kontrolní akce</w:t>
      </w:r>
    </w:p>
    <w:p w14:paraId="23D9ED48" w14:textId="77777777" w:rsidR="00AB3724" w:rsidRPr="006F63D5" w:rsidRDefault="00AB3724" w:rsidP="006F63D5">
      <w:pPr>
        <w:spacing w:line="264" w:lineRule="auto"/>
        <w:jc w:val="center"/>
      </w:pPr>
    </w:p>
    <w:p w14:paraId="7A70B367" w14:textId="77777777" w:rsidR="00AB3724" w:rsidRPr="006F63D5" w:rsidRDefault="00D54CD1" w:rsidP="006F63D5">
      <w:pPr>
        <w:spacing w:line="264" w:lineRule="auto"/>
        <w:jc w:val="center"/>
        <w:rPr>
          <w:b/>
          <w:sz w:val="28"/>
        </w:rPr>
      </w:pPr>
      <w:r w:rsidRPr="006F63D5">
        <w:rPr>
          <w:b/>
          <w:sz w:val="28"/>
        </w:rPr>
        <w:t>20/13</w:t>
      </w:r>
    </w:p>
    <w:p w14:paraId="509F64DD" w14:textId="77777777" w:rsidR="00AB3724" w:rsidRPr="006F63D5" w:rsidRDefault="00AB3724" w:rsidP="006F63D5">
      <w:pPr>
        <w:spacing w:line="264" w:lineRule="auto"/>
        <w:jc w:val="center"/>
      </w:pPr>
    </w:p>
    <w:p w14:paraId="0DED423D" w14:textId="77777777" w:rsidR="00AB3724" w:rsidRPr="006F63D5" w:rsidRDefault="00D54CD1" w:rsidP="006F63D5">
      <w:pPr>
        <w:spacing w:line="264" w:lineRule="auto"/>
        <w:jc w:val="center"/>
        <w:rPr>
          <w:b/>
          <w:sz w:val="28"/>
        </w:rPr>
      </w:pPr>
      <w:r w:rsidRPr="006F63D5">
        <w:rPr>
          <w:b/>
          <w:sz w:val="28"/>
        </w:rPr>
        <w:t>Investiční pobídky</w:t>
      </w:r>
    </w:p>
    <w:p w14:paraId="6212CA5E" w14:textId="77777777" w:rsidR="00AB3724" w:rsidRPr="006F63D5" w:rsidRDefault="00AB3724" w:rsidP="006F63D5">
      <w:pPr>
        <w:spacing w:line="264" w:lineRule="auto"/>
      </w:pPr>
    </w:p>
    <w:p w14:paraId="05EA586F" w14:textId="77777777" w:rsidR="00BC5A0B" w:rsidRPr="006F63D5" w:rsidRDefault="00BC5A0B" w:rsidP="006F63D5">
      <w:pPr>
        <w:spacing w:line="264" w:lineRule="auto"/>
      </w:pPr>
    </w:p>
    <w:p w14:paraId="0A4F5D77" w14:textId="77777777" w:rsidR="00AB3724" w:rsidRPr="006F63D5" w:rsidRDefault="00AB3724" w:rsidP="006F63D5">
      <w:pPr>
        <w:spacing w:line="264" w:lineRule="auto"/>
        <w:rPr>
          <w:color w:val="000000" w:themeColor="text1"/>
        </w:rPr>
      </w:pPr>
      <w:r w:rsidRPr="006F63D5">
        <w:rPr>
          <w:color w:val="000000" w:themeColor="text1"/>
        </w:rPr>
        <w:t>Kontrolní akce byla zařazena do plánu kontrolní činnosti Nej</w:t>
      </w:r>
      <w:r w:rsidR="00BB2F43" w:rsidRPr="006F63D5">
        <w:rPr>
          <w:color w:val="000000" w:themeColor="text1"/>
        </w:rPr>
        <w:t>vyššího kontrolního úřadu (dále </w:t>
      </w:r>
      <w:r w:rsidRPr="006F63D5">
        <w:rPr>
          <w:color w:val="000000" w:themeColor="text1"/>
        </w:rPr>
        <w:t xml:space="preserve">jen „NKÚ“) na rok </w:t>
      </w:r>
      <w:r w:rsidR="00D54CD1" w:rsidRPr="006F63D5">
        <w:rPr>
          <w:color w:val="000000" w:themeColor="text1"/>
        </w:rPr>
        <w:t>2020</w:t>
      </w:r>
      <w:r w:rsidRPr="006F63D5">
        <w:rPr>
          <w:color w:val="000000" w:themeColor="text1"/>
        </w:rPr>
        <w:t xml:space="preserve"> pod číslem </w:t>
      </w:r>
      <w:r w:rsidR="00D54CD1" w:rsidRPr="006F63D5">
        <w:rPr>
          <w:color w:val="000000" w:themeColor="text1"/>
        </w:rPr>
        <w:t>20/13</w:t>
      </w:r>
      <w:r w:rsidRPr="006F63D5">
        <w:rPr>
          <w:color w:val="000000" w:themeColor="text1"/>
        </w:rPr>
        <w:t xml:space="preserve">. Kontrolní akci řídil a kontrolní závěr vypracoval člen NKÚ Ing. </w:t>
      </w:r>
      <w:r w:rsidR="00D54CD1" w:rsidRPr="006F63D5">
        <w:rPr>
          <w:color w:val="000000" w:themeColor="text1"/>
        </w:rPr>
        <w:t>Adolf Beznoska</w:t>
      </w:r>
      <w:r w:rsidRPr="006F63D5">
        <w:rPr>
          <w:color w:val="000000" w:themeColor="text1"/>
        </w:rPr>
        <w:t>.</w:t>
      </w:r>
    </w:p>
    <w:p w14:paraId="21C1481E" w14:textId="77777777" w:rsidR="00AB3724" w:rsidRPr="006F63D5" w:rsidRDefault="00AB3724" w:rsidP="006F63D5">
      <w:pPr>
        <w:spacing w:line="264" w:lineRule="auto"/>
        <w:rPr>
          <w:color w:val="000000" w:themeColor="text1"/>
        </w:rPr>
      </w:pPr>
    </w:p>
    <w:p w14:paraId="0EF86EFC" w14:textId="77777777" w:rsidR="007163A7" w:rsidRPr="006F63D5" w:rsidRDefault="00AB3724" w:rsidP="006F63D5">
      <w:pPr>
        <w:spacing w:line="264" w:lineRule="auto"/>
      </w:pPr>
      <w:r w:rsidRPr="006F63D5">
        <w:rPr>
          <w:color w:val="000000" w:themeColor="text1"/>
        </w:rPr>
        <w:t>Cílem kontroly bylo</w:t>
      </w:r>
      <w:r w:rsidR="007163A7" w:rsidRPr="006F63D5">
        <w:t xml:space="preserve"> </w:t>
      </w:r>
      <w:r w:rsidR="00D54CD1" w:rsidRPr="006F63D5">
        <w:t>prověřit, zda systém poskytování investičních pobídek určených zahraničním a tuzemským subjektům přináší deklarované přínosy a zda jsou tyto přínosy průkazné.</w:t>
      </w:r>
    </w:p>
    <w:p w14:paraId="6BC662FB" w14:textId="77777777" w:rsidR="00AB3724" w:rsidRPr="006F63D5" w:rsidRDefault="00AB3724" w:rsidP="006F63D5">
      <w:pPr>
        <w:spacing w:line="264" w:lineRule="auto"/>
      </w:pPr>
    </w:p>
    <w:p w14:paraId="34D0222F" w14:textId="77777777" w:rsidR="00AB3724" w:rsidRPr="006F63D5" w:rsidRDefault="00AB3724" w:rsidP="006F63D5">
      <w:pPr>
        <w:spacing w:line="264" w:lineRule="auto"/>
        <w:rPr>
          <w:color w:val="000000" w:themeColor="text1"/>
        </w:rPr>
      </w:pPr>
      <w:r w:rsidRPr="006F63D5">
        <w:rPr>
          <w:color w:val="000000" w:themeColor="text1"/>
        </w:rPr>
        <w:t xml:space="preserve">Kontrola byla prováděna u kontrolovaných osob v období od </w:t>
      </w:r>
      <w:r w:rsidR="00D54CD1" w:rsidRPr="006F63D5">
        <w:rPr>
          <w:color w:val="000000" w:themeColor="text1"/>
        </w:rPr>
        <w:t xml:space="preserve">června do </w:t>
      </w:r>
      <w:r w:rsidR="00B05E7D" w:rsidRPr="006F63D5">
        <w:rPr>
          <w:color w:val="000000" w:themeColor="text1"/>
        </w:rPr>
        <w:t>prosince</w:t>
      </w:r>
      <w:r w:rsidR="00D54CD1" w:rsidRPr="006F63D5">
        <w:rPr>
          <w:color w:val="000000" w:themeColor="text1"/>
        </w:rPr>
        <w:t xml:space="preserve"> 2020</w:t>
      </w:r>
      <w:r w:rsidRPr="006F63D5">
        <w:rPr>
          <w:color w:val="000000" w:themeColor="text1"/>
        </w:rPr>
        <w:t xml:space="preserve">. </w:t>
      </w:r>
    </w:p>
    <w:p w14:paraId="2FBC273D" w14:textId="77777777" w:rsidR="00AB3724" w:rsidRPr="006F63D5" w:rsidRDefault="00AB3724" w:rsidP="006F63D5">
      <w:pPr>
        <w:spacing w:line="264" w:lineRule="auto"/>
        <w:rPr>
          <w:color w:val="000000" w:themeColor="text1"/>
        </w:rPr>
      </w:pPr>
    </w:p>
    <w:p w14:paraId="603A118C" w14:textId="77777777" w:rsidR="00AB3724" w:rsidRPr="006F63D5" w:rsidRDefault="00AB3724" w:rsidP="006F63D5">
      <w:pPr>
        <w:spacing w:line="264" w:lineRule="auto"/>
        <w:rPr>
          <w:color w:val="000000" w:themeColor="text1"/>
        </w:rPr>
      </w:pPr>
      <w:r w:rsidRPr="006F63D5">
        <w:rPr>
          <w:color w:val="000000" w:themeColor="text1"/>
        </w:rPr>
        <w:t>Kontrolovaným obdobím byly roky 201</w:t>
      </w:r>
      <w:r w:rsidR="00D54CD1" w:rsidRPr="006F63D5">
        <w:rPr>
          <w:color w:val="000000" w:themeColor="text1"/>
        </w:rPr>
        <w:t>7</w:t>
      </w:r>
      <w:r w:rsidRPr="006F63D5">
        <w:rPr>
          <w:color w:val="000000" w:themeColor="text1"/>
        </w:rPr>
        <w:t xml:space="preserve"> až 201</w:t>
      </w:r>
      <w:r w:rsidR="007163A7" w:rsidRPr="006F63D5">
        <w:rPr>
          <w:color w:val="000000" w:themeColor="text1"/>
        </w:rPr>
        <w:t>9</w:t>
      </w:r>
      <w:r w:rsidRPr="006F63D5">
        <w:rPr>
          <w:color w:val="000000" w:themeColor="text1"/>
        </w:rPr>
        <w:t>, v případě věcných sou</w:t>
      </w:r>
      <w:r w:rsidR="00D54CD1" w:rsidRPr="006F63D5">
        <w:rPr>
          <w:color w:val="000000" w:themeColor="text1"/>
        </w:rPr>
        <w:t>vislostí i období předcházející a období do ukončení kontroly.</w:t>
      </w:r>
    </w:p>
    <w:p w14:paraId="2EBFFF27" w14:textId="77777777" w:rsidR="00AB3724" w:rsidRPr="006F63D5" w:rsidRDefault="00AB3724" w:rsidP="006F63D5">
      <w:pPr>
        <w:spacing w:line="264" w:lineRule="auto"/>
        <w:rPr>
          <w:color w:val="000000" w:themeColor="text1"/>
        </w:rPr>
      </w:pPr>
    </w:p>
    <w:p w14:paraId="16AC4619" w14:textId="77777777" w:rsidR="00AB3724" w:rsidRPr="006F63D5" w:rsidRDefault="00AB3724" w:rsidP="006F63D5">
      <w:pPr>
        <w:spacing w:line="264" w:lineRule="auto"/>
        <w:rPr>
          <w:color w:val="000000" w:themeColor="text1"/>
        </w:rPr>
      </w:pPr>
      <w:r w:rsidRPr="006F63D5">
        <w:rPr>
          <w:b/>
          <w:color w:val="000000" w:themeColor="text1"/>
        </w:rPr>
        <w:t>Kontrolované osoby:</w:t>
      </w:r>
      <w:r w:rsidRPr="006F63D5">
        <w:rPr>
          <w:b/>
          <w:color w:val="000000" w:themeColor="text1"/>
        </w:rPr>
        <w:cr/>
      </w:r>
      <w:r w:rsidR="007163A7" w:rsidRPr="006F63D5">
        <w:rPr>
          <w:color w:val="000000" w:themeColor="text1"/>
        </w:rPr>
        <w:t>Ministerstvo průmyslu a obchodu</w:t>
      </w:r>
      <w:r w:rsidRPr="006F63D5">
        <w:rPr>
          <w:color w:val="000000" w:themeColor="text1"/>
        </w:rPr>
        <w:t xml:space="preserve"> </w:t>
      </w:r>
      <w:r w:rsidR="00D54CD1" w:rsidRPr="006F63D5">
        <w:rPr>
          <w:bCs/>
          <w:iCs/>
          <w:color w:val="000000" w:themeColor="text1"/>
        </w:rPr>
        <w:t>(dále jen</w:t>
      </w:r>
      <w:r w:rsidR="007163A7" w:rsidRPr="006F63D5">
        <w:rPr>
          <w:bCs/>
          <w:iCs/>
          <w:color w:val="000000" w:themeColor="text1"/>
        </w:rPr>
        <w:t xml:space="preserve"> „MPO</w:t>
      </w:r>
      <w:r w:rsidRPr="006F63D5">
        <w:rPr>
          <w:bCs/>
          <w:iCs/>
          <w:color w:val="000000" w:themeColor="text1"/>
        </w:rPr>
        <w:t>“);</w:t>
      </w:r>
      <w:r w:rsidRPr="006F63D5">
        <w:rPr>
          <w:color w:val="000000" w:themeColor="text1"/>
        </w:rPr>
        <w:t xml:space="preserve"> </w:t>
      </w:r>
    </w:p>
    <w:p w14:paraId="6A09F922" w14:textId="77777777" w:rsidR="00AB3724" w:rsidRPr="006F63D5" w:rsidRDefault="00D54CD1" w:rsidP="006F63D5">
      <w:pPr>
        <w:spacing w:line="264" w:lineRule="auto"/>
        <w:rPr>
          <w:rStyle w:val="Siln"/>
          <w:b w:val="0"/>
          <w:bCs w:val="0"/>
          <w:color w:val="000000" w:themeColor="text1"/>
        </w:rPr>
      </w:pPr>
      <w:r w:rsidRPr="006F63D5">
        <w:rPr>
          <w:lang w:eastAsia="cs-CZ"/>
        </w:rPr>
        <w:t>Agentura pro podporu podnikání a investic CzechInvest (dále jen „Agentura CzechInvest</w:t>
      </w:r>
      <w:r w:rsidRPr="006F63D5">
        <w:rPr>
          <w:bCs/>
          <w:iCs/>
          <w:color w:val="000000" w:themeColor="text1"/>
        </w:rPr>
        <w:t>“)</w:t>
      </w:r>
      <w:r w:rsidR="00AB3724" w:rsidRPr="006F63D5">
        <w:rPr>
          <w:bCs/>
          <w:iCs/>
          <w:color w:val="000000" w:themeColor="text1"/>
        </w:rPr>
        <w:t>.</w:t>
      </w:r>
    </w:p>
    <w:p w14:paraId="1BA77534" w14:textId="77777777" w:rsidR="00AB3724" w:rsidRPr="006F63D5" w:rsidRDefault="00AB3724" w:rsidP="006F63D5">
      <w:pPr>
        <w:spacing w:line="264" w:lineRule="auto"/>
        <w:rPr>
          <w:color w:val="000000" w:themeColor="text1"/>
        </w:rPr>
      </w:pPr>
    </w:p>
    <w:p w14:paraId="02481C4B" w14:textId="77777777" w:rsidR="00AB3724" w:rsidRPr="006F63D5" w:rsidRDefault="00AB3724" w:rsidP="006F63D5">
      <w:pPr>
        <w:spacing w:line="264" w:lineRule="auto"/>
        <w:rPr>
          <w:color w:val="000000" w:themeColor="text1"/>
        </w:rPr>
      </w:pPr>
    </w:p>
    <w:p w14:paraId="237218E7" w14:textId="77777777" w:rsidR="00AB3724" w:rsidRPr="006F63D5" w:rsidRDefault="00AB3724" w:rsidP="006F63D5">
      <w:pPr>
        <w:spacing w:line="360" w:lineRule="auto"/>
        <w:rPr>
          <w:color w:val="000000" w:themeColor="text1"/>
        </w:rPr>
      </w:pPr>
      <w:r w:rsidRPr="006F63D5">
        <w:rPr>
          <w:b/>
          <w:i/>
          <w:color w:val="000000" w:themeColor="text1"/>
          <w:spacing w:val="40"/>
        </w:rPr>
        <w:t>Kolegium</w:t>
      </w:r>
      <w:r w:rsidRPr="006F63D5">
        <w:rPr>
          <w:b/>
          <w:i/>
          <w:color w:val="000000" w:themeColor="text1"/>
        </w:rPr>
        <w:t xml:space="preserve">   </w:t>
      </w:r>
      <w:r w:rsidRPr="006F63D5">
        <w:rPr>
          <w:b/>
          <w:i/>
          <w:color w:val="000000" w:themeColor="text1"/>
          <w:spacing w:val="40"/>
        </w:rPr>
        <w:t>NKÚ</w:t>
      </w:r>
      <w:r w:rsidRPr="006F63D5">
        <w:rPr>
          <w:b/>
          <w:i/>
          <w:color w:val="000000" w:themeColor="text1"/>
        </w:rPr>
        <w:t xml:space="preserve">   </w:t>
      </w:r>
      <w:r w:rsidR="006E0CFA" w:rsidRPr="006F63D5">
        <w:rPr>
          <w:color w:val="000000" w:themeColor="text1"/>
        </w:rPr>
        <w:t>na svém IV. jednání, které se konalo dne 22. února 2021</w:t>
      </w:r>
      <w:r w:rsidRPr="006F63D5">
        <w:rPr>
          <w:color w:val="000000" w:themeColor="text1"/>
        </w:rPr>
        <w:t>,</w:t>
      </w:r>
    </w:p>
    <w:p w14:paraId="6B321D79" w14:textId="77777777" w:rsidR="00575078" w:rsidRPr="006F63D5" w:rsidRDefault="00AB3724" w:rsidP="006F63D5">
      <w:pPr>
        <w:spacing w:line="360" w:lineRule="auto"/>
        <w:rPr>
          <w:color w:val="000000" w:themeColor="text1"/>
        </w:rPr>
      </w:pPr>
      <w:r w:rsidRPr="006F63D5">
        <w:rPr>
          <w:b/>
          <w:i/>
          <w:color w:val="000000" w:themeColor="text1"/>
          <w:spacing w:val="40"/>
        </w:rPr>
        <w:t>schválilo</w:t>
      </w:r>
      <w:r w:rsidRPr="006F63D5">
        <w:rPr>
          <w:b/>
          <w:i/>
          <w:color w:val="000000" w:themeColor="text1"/>
        </w:rPr>
        <w:t xml:space="preserve">   </w:t>
      </w:r>
      <w:r w:rsidRPr="006F63D5">
        <w:rPr>
          <w:color w:val="000000" w:themeColor="text1"/>
        </w:rPr>
        <w:t xml:space="preserve">usnesením č. </w:t>
      </w:r>
      <w:r w:rsidR="00555C3C" w:rsidRPr="006F63D5">
        <w:rPr>
          <w:color w:val="000000" w:themeColor="text1"/>
        </w:rPr>
        <w:t>11</w:t>
      </w:r>
      <w:r w:rsidR="006E0CFA" w:rsidRPr="006F63D5">
        <w:rPr>
          <w:color w:val="000000" w:themeColor="text1"/>
        </w:rPr>
        <w:t>/IV</w:t>
      </w:r>
      <w:r w:rsidR="00D54CD1" w:rsidRPr="006F63D5">
        <w:rPr>
          <w:color w:val="000000" w:themeColor="text1"/>
        </w:rPr>
        <w:t>/2021</w:t>
      </w:r>
    </w:p>
    <w:p w14:paraId="7CA1ADB4" w14:textId="77777777" w:rsidR="00AB3724" w:rsidRPr="006F63D5" w:rsidRDefault="00AB3724" w:rsidP="006F63D5">
      <w:pPr>
        <w:spacing w:line="360" w:lineRule="auto"/>
        <w:rPr>
          <w:color w:val="000000" w:themeColor="text1"/>
        </w:rPr>
      </w:pPr>
      <w:r w:rsidRPr="006F63D5">
        <w:rPr>
          <w:b/>
          <w:i/>
          <w:color w:val="000000" w:themeColor="text1"/>
          <w:spacing w:val="40"/>
        </w:rPr>
        <w:t>kontrolní</w:t>
      </w:r>
      <w:r w:rsidRPr="006F63D5">
        <w:rPr>
          <w:b/>
          <w:i/>
          <w:color w:val="000000" w:themeColor="text1"/>
        </w:rPr>
        <w:t xml:space="preserve">   </w:t>
      </w:r>
      <w:r w:rsidRPr="006F63D5">
        <w:rPr>
          <w:b/>
          <w:i/>
          <w:color w:val="000000" w:themeColor="text1"/>
          <w:spacing w:val="40"/>
        </w:rPr>
        <w:t>závěr</w:t>
      </w:r>
      <w:r w:rsidRPr="006F63D5">
        <w:rPr>
          <w:color w:val="000000" w:themeColor="text1"/>
        </w:rPr>
        <w:t xml:space="preserve">   v tomto znění:</w:t>
      </w:r>
    </w:p>
    <w:p w14:paraId="6191D13E" w14:textId="77777777" w:rsidR="00AB3724" w:rsidRPr="006F63D5" w:rsidRDefault="00AB3724" w:rsidP="006F63D5">
      <w:pPr>
        <w:spacing w:line="264" w:lineRule="auto"/>
      </w:pPr>
    </w:p>
    <w:p w14:paraId="3215254B" w14:textId="77777777" w:rsidR="00AB3724" w:rsidRPr="006F63D5" w:rsidRDefault="00AB3724" w:rsidP="006F63D5">
      <w:pPr>
        <w:spacing w:line="264" w:lineRule="auto"/>
      </w:pPr>
    </w:p>
    <w:p w14:paraId="70448C0E" w14:textId="77777777" w:rsidR="002023AE" w:rsidRPr="006F63D5" w:rsidRDefault="00AB3724" w:rsidP="006F63D5">
      <w:pPr>
        <w:spacing w:line="264" w:lineRule="auto"/>
        <w:jc w:val="left"/>
        <w:rPr>
          <w:b/>
        </w:rPr>
      </w:pPr>
      <w:r w:rsidRPr="006F63D5">
        <w:rPr>
          <w:b/>
        </w:rPr>
        <w:br w:type="page"/>
      </w:r>
    </w:p>
    <w:p w14:paraId="10BDDED0" w14:textId="77777777" w:rsidR="00CE11DE" w:rsidRDefault="00D54CD1" w:rsidP="00CE11DE">
      <w:pPr>
        <w:jc w:val="center"/>
        <w:rPr>
          <w:b/>
          <w:bCs/>
          <w:highlight w:val="yellow"/>
          <w:lang w:eastAsia="cs-CZ"/>
        </w:rPr>
      </w:pPr>
      <w:r>
        <w:rPr>
          <w:rStyle w:val="A4"/>
          <w:color w:val="5B9BD5" w:themeColor="accent1"/>
          <w:sz w:val="50"/>
          <w:szCs w:val="50"/>
        </w:rPr>
        <w:lastRenderedPageBreak/>
        <w:t>Investiční pobídky</w:t>
      </w:r>
      <w:r w:rsidR="00CE11DE" w:rsidRPr="00CE11DE">
        <w:rPr>
          <w:b/>
          <w:bCs/>
          <w:highlight w:val="yellow"/>
          <w:lang w:eastAsia="cs-CZ"/>
        </w:rPr>
        <w:t xml:space="preserve"> </w:t>
      </w:r>
    </w:p>
    <w:p w14:paraId="5F19906D" w14:textId="77777777" w:rsidR="00900023" w:rsidRDefault="00900023" w:rsidP="00CE11DE">
      <w:pPr>
        <w:jc w:val="center"/>
        <w:rPr>
          <w:b/>
          <w:bCs/>
          <w:highlight w:val="yellow"/>
          <w:lang w:eastAsia="cs-CZ"/>
        </w:rPr>
      </w:pPr>
    </w:p>
    <w:p w14:paraId="72C68EA5" w14:textId="77777777" w:rsidR="009F21B8" w:rsidRDefault="009F21B8" w:rsidP="00CE11DE">
      <w:pPr>
        <w:jc w:val="center"/>
        <w:rPr>
          <w:b/>
          <w:bCs/>
          <w:highlight w:val="yellow"/>
          <w:lang w:eastAsia="cs-CZ"/>
        </w:rPr>
      </w:pPr>
    </w:p>
    <w:p w14:paraId="465B431B" w14:textId="77777777" w:rsidR="009F21B8" w:rsidRPr="009F21B8" w:rsidRDefault="009F21B8" w:rsidP="009F21B8">
      <w:pPr>
        <w:jc w:val="center"/>
        <w:rPr>
          <w:b/>
          <w:color w:val="auto"/>
        </w:rPr>
      </w:pPr>
      <w:r w:rsidRPr="00FD79FE">
        <w:rPr>
          <w:rStyle w:val="A4"/>
          <w:b/>
          <w:color w:val="auto"/>
          <w:sz w:val="24"/>
          <w:szCs w:val="24"/>
        </w:rPr>
        <w:t xml:space="preserve">Účelem investičních pobídek je podpora hospodářského rozvoje </w:t>
      </w:r>
      <w:r w:rsidR="00136E6D">
        <w:rPr>
          <w:rStyle w:val="A4"/>
          <w:b/>
          <w:color w:val="auto"/>
          <w:sz w:val="24"/>
          <w:szCs w:val="24"/>
        </w:rPr>
        <w:br/>
      </w:r>
      <w:r w:rsidR="006F63D5">
        <w:rPr>
          <w:rStyle w:val="A4"/>
          <w:b/>
          <w:color w:val="auto"/>
          <w:sz w:val="24"/>
          <w:szCs w:val="24"/>
        </w:rPr>
        <w:t>a </w:t>
      </w:r>
      <w:r w:rsidRPr="00FD79FE">
        <w:rPr>
          <w:rStyle w:val="A4"/>
          <w:b/>
          <w:color w:val="auto"/>
          <w:sz w:val="24"/>
          <w:szCs w:val="24"/>
        </w:rPr>
        <w:t xml:space="preserve">vytváření pracovních míst na území ČR. </w:t>
      </w:r>
    </w:p>
    <w:p w14:paraId="362A43B1" w14:textId="77777777" w:rsidR="002835F3" w:rsidRDefault="002835F3" w:rsidP="00CE11DE">
      <w:pPr>
        <w:jc w:val="center"/>
        <w:rPr>
          <w:b/>
          <w:bCs/>
          <w:highlight w:val="yellow"/>
          <w:lang w:eastAsia="cs-CZ"/>
        </w:rPr>
      </w:pPr>
    </w:p>
    <w:p w14:paraId="0E73B1D3" w14:textId="77777777" w:rsidR="00E8254E" w:rsidRDefault="00E8254E" w:rsidP="00CE11DE">
      <w:pPr>
        <w:jc w:val="center"/>
        <w:rPr>
          <w:b/>
          <w:bCs/>
          <w:highlight w:val="yellow"/>
          <w:lang w:eastAsia="cs-CZ"/>
        </w:rPr>
      </w:pPr>
    </w:p>
    <w:tbl>
      <w:tblPr>
        <w:tblStyle w:val="Mkatabulky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2891"/>
        <w:gridCol w:w="3005"/>
        <w:gridCol w:w="3345"/>
      </w:tblGrid>
      <w:tr w:rsidR="002835F3" w:rsidRPr="00055D3A" w14:paraId="439C39B0" w14:textId="77777777" w:rsidTr="00E8254E">
        <w:trPr>
          <w:trHeight w:val="715"/>
        </w:trPr>
        <w:tc>
          <w:tcPr>
            <w:tcW w:w="2891" w:type="dxa"/>
          </w:tcPr>
          <w:p w14:paraId="07799AF0" w14:textId="77777777" w:rsidR="002835F3" w:rsidRDefault="002835F3" w:rsidP="00241F14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955</w:t>
            </w:r>
          </w:p>
          <w:p w14:paraId="5F398DE7" w14:textId="77777777" w:rsidR="002835F3" w:rsidRDefault="002835F3" w:rsidP="00241F14">
            <w:pPr>
              <w:jc w:val="center"/>
              <w:rPr>
                <w:rStyle w:val="A5"/>
              </w:rPr>
            </w:pPr>
            <w:r w:rsidRPr="006F63D5">
              <w:rPr>
                <w:szCs w:val="20"/>
              </w:rPr>
              <w:t>Přislíbených invest</w:t>
            </w:r>
            <w:r w:rsidR="00BB2F43" w:rsidRPr="006F63D5">
              <w:rPr>
                <w:szCs w:val="20"/>
              </w:rPr>
              <w:t>ičních pobídek od roku 2000 do</w:t>
            </w:r>
            <w:r w:rsidR="00B31921" w:rsidRPr="006F63D5">
              <w:rPr>
                <w:szCs w:val="20"/>
              </w:rPr>
              <w:t xml:space="preserve"> září</w:t>
            </w:r>
            <w:r w:rsidR="00BB2F43" w:rsidRPr="006F63D5">
              <w:rPr>
                <w:szCs w:val="20"/>
              </w:rPr>
              <w:t xml:space="preserve"> </w:t>
            </w:r>
            <w:r w:rsidRPr="006F63D5">
              <w:rPr>
                <w:szCs w:val="20"/>
              </w:rPr>
              <w:t>2020</w:t>
            </w:r>
          </w:p>
        </w:tc>
        <w:tc>
          <w:tcPr>
            <w:tcW w:w="3005" w:type="dxa"/>
          </w:tcPr>
          <w:p w14:paraId="3E05B0E8" w14:textId="77777777" w:rsidR="002835F3" w:rsidRDefault="002835F3" w:rsidP="00241F14">
            <w:pPr>
              <w:jc w:val="center"/>
              <w:rPr>
                <w:rStyle w:val="A5"/>
              </w:rPr>
            </w:pPr>
            <w:r w:rsidRPr="002835F3">
              <w:rPr>
                <w:rStyle w:val="A5"/>
                <w:sz w:val="22"/>
                <w:szCs w:val="22"/>
              </w:rPr>
              <w:t>více než</w:t>
            </w:r>
            <w:r>
              <w:rPr>
                <w:rStyle w:val="A5"/>
              </w:rPr>
              <w:t xml:space="preserve"> </w:t>
            </w:r>
            <w:r w:rsidR="005B0857">
              <w:rPr>
                <w:rStyle w:val="A5"/>
              </w:rPr>
              <w:t>75</w:t>
            </w:r>
            <w:r>
              <w:rPr>
                <w:rStyle w:val="A5"/>
              </w:rPr>
              <w:t xml:space="preserve"> mld. Kč </w:t>
            </w:r>
          </w:p>
          <w:p w14:paraId="7B6093E3" w14:textId="77777777" w:rsidR="002835F3" w:rsidRPr="00055D3A" w:rsidRDefault="002835F3" w:rsidP="00E8254E">
            <w:pPr>
              <w:jc w:val="center"/>
              <w:rPr>
                <w:rStyle w:val="A1"/>
                <w:b/>
                <w:bCs/>
                <w:sz w:val="40"/>
                <w:szCs w:val="40"/>
              </w:rPr>
            </w:pPr>
            <w:r w:rsidRPr="006F63D5">
              <w:rPr>
                <w:szCs w:val="20"/>
              </w:rPr>
              <w:t xml:space="preserve">Objem čerpaných investičních pobídek </w:t>
            </w:r>
            <w:r w:rsidR="00E8254E">
              <w:rPr>
                <w:szCs w:val="20"/>
              </w:rPr>
              <w:br/>
            </w:r>
            <w:r w:rsidR="005B0857" w:rsidRPr="006F63D5">
              <w:rPr>
                <w:szCs w:val="20"/>
              </w:rPr>
              <w:t xml:space="preserve">od roku 2000 do roku </w:t>
            </w:r>
            <w:r w:rsidR="00B31921" w:rsidRPr="006F63D5">
              <w:rPr>
                <w:szCs w:val="20"/>
              </w:rPr>
              <w:t>2019</w:t>
            </w:r>
          </w:p>
        </w:tc>
        <w:tc>
          <w:tcPr>
            <w:tcW w:w="3345" w:type="dxa"/>
          </w:tcPr>
          <w:p w14:paraId="431662FA" w14:textId="77777777" w:rsidR="002835F3" w:rsidRDefault="005B0857" w:rsidP="00241F14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85 %</w:t>
            </w:r>
          </w:p>
          <w:p w14:paraId="4CDFDFDF" w14:textId="77777777" w:rsidR="002835F3" w:rsidRPr="00055D3A" w:rsidRDefault="005B0857" w:rsidP="005B0857">
            <w:pPr>
              <w:jc w:val="center"/>
              <w:rPr>
                <w:rStyle w:val="A1"/>
                <w:color w:val="auto"/>
                <w:sz w:val="20"/>
                <w:szCs w:val="20"/>
              </w:rPr>
            </w:pPr>
            <w:r w:rsidRPr="006F63D5">
              <w:rPr>
                <w:szCs w:val="20"/>
              </w:rPr>
              <w:t>Podíl investičních pobídek čerpaných formou slevy na dani z příjmů na celkovém čerpání</w:t>
            </w:r>
          </w:p>
        </w:tc>
      </w:tr>
    </w:tbl>
    <w:p w14:paraId="5B5E004F" w14:textId="77777777" w:rsidR="002835F3" w:rsidRDefault="002835F3" w:rsidP="00CE11DE">
      <w:pPr>
        <w:jc w:val="center"/>
        <w:rPr>
          <w:b/>
          <w:bCs/>
          <w:highlight w:val="yellow"/>
          <w:lang w:eastAsia="cs-CZ"/>
        </w:rPr>
      </w:pPr>
    </w:p>
    <w:p w14:paraId="403EBBB4" w14:textId="77777777" w:rsidR="009F21B8" w:rsidRDefault="009F21B8" w:rsidP="00CE11DE">
      <w:pPr>
        <w:jc w:val="center"/>
        <w:rPr>
          <w:b/>
          <w:bCs/>
          <w:highlight w:val="yellow"/>
          <w:lang w:eastAsia="cs-CZ"/>
        </w:rPr>
      </w:pPr>
    </w:p>
    <w:p w14:paraId="41B3BC89" w14:textId="77777777" w:rsidR="009F21B8" w:rsidRDefault="00991D5F" w:rsidP="009F21B8">
      <w:pPr>
        <w:jc w:val="center"/>
        <w:rPr>
          <w:rStyle w:val="A4"/>
          <w:b/>
          <w:color w:val="auto"/>
          <w:sz w:val="24"/>
          <w:szCs w:val="24"/>
        </w:rPr>
      </w:pPr>
      <w:r w:rsidRPr="00991D5F">
        <w:rPr>
          <w:rStyle w:val="A4"/>
          <w:b/>
          <w:color w:val="auto"/>
          <w:sz w:val="24"/>
          <w:szCs w:val="24"/>
        </w:rPr>
        <w:t>Naprostá většina investičních pobídek směřovala do zpracovatelského průmyslu.</w:t>
      </w:r>
    </w:p>
    <w:p w14:paraId="2754ACF0" w14:textId="77777777" w:rsidR="00E8254E" w:rsidRPr="00991D5F" w:rsidRDefault="00E8254E" w:rsidP="009F21B8">
      <w:pPr>
        <w:jc w:val="center"/>
        <w:rPr>
          <w:rStyle w:val="A4"/>
          <w:b/>
          <w:color w:val="auto"/>
          <w:sz w:val="24"/>
          <w:szCs w:val="24"/>
        </w:rPr>
      </w:pPr>
    </w:p>
    <w:tbl>
      <w:tblPr>
        <w:tblStyle w:val="Mkatabulky"/>
        <w:tblW w:w="7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118"/>
        <w:gridCol w:w="3969"/>
      </w:tblGrid>
      <w:tr w:rsidR="009F21B8" w:rsidRPr="00924439" w14:paraId="06B1C425" w14:textId="77777777" w:rsidTr="00E8254E">
        <w:trPr>
          <w:trHeight w:val="715"/>
          <w:jc w:val="center"/>
        </w:trPr>
        <w:tc>
          <w:tcPr>
            <w:tcW w:w="3118" w:type="dxa"/>
          </w:tcPr>
          <w:p w14:paraId="767B2C81" w14:textId="77777777" w:rsidR="009F21B8" w:rsidRDefault="009F21B8" w:rsidP="00241F14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96 %</w:t>
            </w:r>
          </w:p>
          <w:p w14:paraId="6E674F57" w14:textId="77777777" w:rsidR="009F21B8" w:rsidRPr="00055D3A" w:rsidRDefault="009F21B8" w:rsidP="00E8254E">
            <w:pPr>
              <w:jc w:val="center"/>
              <w:rPr>
                <w:rStyle w:val="A1"/>
                <w:b/>
                <w:bCs/>
                <w:sz w:val="40"/>
                <w:szCs w:val="40"/>
              </w:rPr>
            </w:pPr>
            <w:r w:rsidRPr="00E8254E">
              <w:rPr>
                <w:szCs w:val="20"/>
              </w:rPr>
              <w:t xml:space="preserve">Investičních pobídek </w:t>
            </w:r>
            <w:r w:rsidR="00E8254E">
              <w:rPr>
                <w:szCs w:val="20"/>
              </w:rPr>
              <w:br/>
            </w:r>
            <w:r w:rsidRPr="00E8254E">
              <w:rPr>
                <w:szCs w:val="20"/>
              </w:rPr>
              <w:t>ve zpracovatelském průmyslu od roku 2012</w:t>
            </w:r>
          </w:p>
        </w:tc>
        <w:tc>
          <w:tcPr>
            <w:tcW w:w="3969" w:type="dxa"/>
          </w:tcPr>
          <w:p w14:paraId="0C5BADD3" w14:textId="77777777" w:rsidR="009F21B8" w:rsidRDefault="009F21B8" w:rsidP="00241F14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 xml:space="preserve">4 % </w:t>
            </w:r>
          </w:p>
          <w:p w14:paraId="34283CD0" w14:textId="77777777" w:rsidR="009F21B8" w:rsidRPr="00055D3A" w:rsidRDefault="009F21B8" w:rsidP="00E8254E">
            <w:pPr>
              <w:jc w:val="center"/>
              <w:rPr>
                <w:rStyle w:val="A1"/>
                <w:color w:val="auto"/>
                <w:sz w:val="20"/>
                <w:szCs w:val="20"/>
              </w:rPr>
            </w:pPr>
            <w:r w:rsidRPr="00E8254E">
              <w:rPr>
                <w:szCs w:val="20"/>
              </w:rPr>
              <w:t>Investičních pobídek v</w:t>
            </w:r>
            <w:r w:rsidR="00E8254E">
              <w:rPr>
                <w:szCs w:val="20"/>
              </w:rPr>
              <w:t> </w:t>
            </w:r>
            <w:r w:rsidRPr="00E8254E">
              <w:rPr>
                <w:szCs w:val="20"/>
              </w:rPr>
              <w:t>technologických centrech</w:t>
            </w:r>
            <w:r w:rsidR="00E8254E">
              <w:rPr>
                <w:szCs w:val="20"/>
              </w:rPr>
              <w:t xml:space="preserve"> </w:t>
            </w:r>
            <w:r w:rsidRPr="00E8254E">
              <w:rPr>
                <w:szCs w:val="20"/>
              </w:rPr>
              <w:t>a</w:t>
            </w:r>
            <w:r w:rsidR="00E8254E">
              <w:rPr>
                <w:szCs w:val="20"/>
              </w:rPr>
              <w:t> v </w:t>
            </w:r>
            <w:r w:rsidRPr="00E8254E">
              <w:rPr>
                <w:szCs w:val="20"/>
              </w:rPr>
              <w:t xml:space="preserve">centrech strategických služeb </w:t>
            </w:r>
            <w:r w:rsidR="00E8254E">
              <w:rPr>
                <w:szCs w:val="20"/>
              </w:rPr>
              <w:br/>
            </w:r>
            <w:r w:rsidRPr="00E8254E">
              <w:rPr>
                <w:szCs w:val="20"/>
              </w:rPr>
              <w:t>od roku 2012</w:t>
            </w:r>
          </w:p>
        </w:tc>
      </w:tr>
    </w:tbl>
    <w:p w14:paraId="6CBE64FA" w14:textId="77777777" w:rsidR="005B0857" w:rsidRDefault="005B0857" w:rsidP="00E8254E">
      <w:pPr>
        <w:jc w:val="center"/>
        <w:rPr>
          <w:b/>
          <w:bCs/>
          <w:highlight w:val="yellow"/>
          <w:lang w:eastAsia="cs-CZ"/>
        </w:rPr>
      </w:pPr>
    </w:p>
    <w:p w14:paraId="5F34CB19" w14:textId="77777777" w:rsidR="004C7442" w:rsidRPr="005B0857" w:rsidRDefault="004C7442" w:rsidP="00E8254E">
      <w:pPr>
        <w:jc w:val="center"/>
        <w:rPr>
          <w:rStyle w:val="A4"/>
          <w:color w:val="auto"/>
          <w:sz w:val="24"/>
          <w:szCs w:val="24"/>
        </w:rPr>
      </w:pPr>
    </w:p>
    <w:p w14:paraId="076056BA" w14:textId="77777777" w:rsidR="00924439" w:rsidRDefault="008336FE" w:rsidP="00E8254E">
      <w:pPr>
        <w:jc w:val="center"/>
        <w:rPr>
          <w:rStyle w:val="A4"/>
          <w:b/>
          <w:color w:val="auto"/>
          <w:sz w:val="24"/>
          <w:szCs w:val="24"/>
        </w:rPr>
      </w:pPr>
      <w:r w:rsidRPr="00EC0D96">
        <w:rPr>
          <w:rStyle w:val="A4"/>
          <w:b/>
          <w:color w:val="auto"/>
          <w:sz w:val="24"/>
          <w:szCs w:val="24"/>
        </w:rPr>
        <w:t>Míra nezaměstnanosti klesala</w:t>
      </w:r>
      <w:r w:rsidR="00272463" w:rsidRPr="00EC0D96">
        <w:rPr>
          <w:rStyle w:val="A4"/>
          <w:b/>
          <w:color w:val="auto"/>
          <w:sz w:val="24"/>
          <w:szCs w:val="24"/>
        </w:rPr>
        <w:t>,</w:t>
      </w:r>
      <w:r w:rsidR="00E8254E">
        <w:rPr>
          <w:rStyle w:val="A4"/>
          <w:b/>
          <w:color w:val="auto"/>
          <w:sz w:val="24"/>
          <w:szCs w:val="24"/>
        </w:rPr>
        <w:t xml:space="preserve"> </w:t>
      </w:r>
      <w:r w:rsidRPr="00EC0D96">
        <w:rPr>
          <w:rStyle w:val="A4"/>
          <w:b/>
          <w:color w:val="auto"/>
          <w:sz w:val="24"/>
          <w:szCs w:val="24"/>
        </w:rPr>
        <w:t>počet přislíbených investičních pobídek neklesal.</w:t>
      </w:r>
    </w:p>
    <w:p w14:paraId="15EBCC7A" w14:textId="77777777" w:rsidR="00F55090" w:rsidRPr="00EC0D96" w:rsidRDefault="00F55090" w:rsidP="00E8254E">
      <w:pPr>
        <w:jc w:val="center"/>
        <w:rPr>
          <w:rStyle w:val="A4"/>
          <w:b/>
          <w:color w:val="auto"/>
          <w:sz w:val="24"/>
          <w:szCs w:val="24"/>
        </w:rPr>
      </w:pPr>
    </w:p>
    <w:p w14:paraId="121032EC" w14:textId="3D864CB9" w:rsidR="00961010" w:rsidRDefault="00CD5FEE" w:rsidP="003639C6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643A3A22" wp14:editId="285C4D76">
            <wp:extent cx="5413248" cy="2626157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7E4FF8" w14:textId="77777777" w:rsidR="00E8254E" w:rsidRDefault="00E8254E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12CE9478" w14:textId="77777777" w:rsidR="00AB3724" w:rsidRPr="00136E6D" w:rsidRDefault="00AB3724" w:rsidP="00136E6D">
      <w:pPr>
        <w:spacing w:after="120" w:line="264" w:lineRule="auto"/>
        <w:jc w:val="center"/>
        <w:rPr>
          <w:b/>
          <w:sz w:val="28"/>
        </w:rPr>
      </w:pPr>
      <w:r w:rsidRPr="00136E6D">
        <w:rPr>
          <w:b/>
          <w:sz w:val="28"/>
        </w:rPr>
        <w:lastRenderedPageBreak/>
        <w:t>I. Shrnutí a vyhodnocení</w:t>
      </w:r>
    </w:p>
    <w:p w14:paraId="1A227BFD" w14:textId="77777777" w:rsidR="003750ED" w:rsidRPr="00F55090" w:rsidRDefault="000945B7" w:rsidP="00136E6D">
      <w:pPr>
        <w:spacing w:after="120" w:line="264" w:lineRule="auto"/>
        <w:rPr>
          <w:color w:val="000000" w:themeColor="text1"/>
        </w:rPr>
      </w:pPr>
      <w:r w:rsidRPr="00F55090">
        <w:rPr>
          <w:color w:val="000000" w:themeColor="text1"/>
        </w:rPr>
        <w:t xml:space="preserve">NKÚ prověřil postup MPO a </w:t>
      </w:r>
      <w:r w:rsidR="005C1191" w:rsidRPr="00F55090">
        <w:rPr>
          <w:color w:val="000000" w:themeColor="text1"/>
        </w:rPr>
        <w:t>Agentury CzechInvest při poskyto</w:t>
      </w:r>
      <w:r w:rsidR="00772D7D" w:rsidRPr="00F55090">
        <w:rPr>
          <w:color w:val="000000" w:themeColor="text1"/>
        </w:rPr>
        <w:t>vání investičních pobídek tuzemským a zahraničním subjektům,</w:t>
      </w:r>
      <w:r w:rsidR="00E33149" w:rsidRPr="00F55090">
        <w:rPr>
          <w:color w:val="000000" w:themeColor="text1"/>
        </w:rPr>
        <w:t xml:space="preserve"> deklarované přínosy</w:t>
      </w:r>
      <w:r w:rsidR="007F651F" w:rsidRPr="00F55090">
        <w:rPr>
          <w:color w:val="000000" w:themeColor="text1"/>
        </w:rPr>
        <w:t xml:space="preserve"> investičních pobídek</w:t>
      </w:r>
      <w:r w:rsidR="00E33149" w:rsidRPr="00F55090">
        <w:rPr>
          <w:color w:val="000000" w:themeColor="text1"/>
        </w:rPr>
        <w:t xml:space="preserve"> a </w:t>
      </w:r>
      <w:r w:rsidR="007F651F" w:rsidRPr="00F55090">
        <w:rPr>
          <w:color w:val="000000" w:themeColor="text1"/>
        </w:rPr>
        <w:t>jejich vyhodnocování.</w:t>
      </w:r>
    </w:p>
    <w:p w14:paraId="37FB5BD2" w14:textId="77777777" w:rsidR="00590FC2" w:rsidRPr="00F55090" w:rsidRDefault="00407605" w:rsidP="00136E6D">
      <w:pPr>
        <w:spacing w:after="120" w:line="264" w:lineRule="auto"/>
        <w:rPr>
          <w:b/>
          <w:bCs/>
          <w:color w:val="000000" w:themeColor="text1"/>
          <w:lang w:eastAsia="cs-CZ"/>
        </w:rPr>
      </w:pPr>
      <w:r w:rsidRPr="00F55090">
        <w:rPr>
          <w:b/>
          <w:color w:val="000000" w:themeColor="text1"/>
          <w:lang w:eastAsia="cs-CZ"/>
        </w:rPr>
        <w:t>Investiční pobídky jsou</w:t>
      </w:r>
      <w:r w:rsidR="00BF3805" w:rsidRPr="00F55090">
        <w:rPr>
          <w:b/>
          <w:color w:val="000000" w:themeColor="text1"/>
          <w:lang w:eastAsia="cs-CZ"/>
        </w:rPr>
        <w:t xml:space="preserve"> v ČR poskytovány od roku 1998, přičemž o</w:t>
      </w:r>
      <w:r w:rsidRPr="00F55090">
        <w:rPr>
          <w:b/>
          <w:color w:val="000000" w:themeColor="text1"/>
          <w:lang w:eastAsia="cs-CZ"/>
        </w:rPr>
        <w:t>d roku 2000 je jeji</w:t>
      </w:r>
      <w:r w:rsidR="001F6704" w:rsidRPr="00F55090">
        <w:rPr>
          <w:b/>
          <w:color w:val="000000" w:themeColor="text1"/>
          <w:lang w:eastAsia="cs-CZ"/>
        </w:rPr>
        <w:t>ch poskytování upraven</w:t>
      </w:r>
      <w:r w:rsidR="00BF3805" w:rsidRPr="00F55090">
        <w:rPr>
          <w:b/>
          <w:color w:val="000000" w:themeColor="text1"/>
          <w:lang w:eastAsia="cs-CZ"/>
        </w:rPr>
        <w:t>o</w:t>
      </w:r>
      <w:r w:rsidR="00F96137" w:rsidRPr="00F55090">
        <w:rPr>
          <w:b/>
          <w:color w:val="000000" w:themeColor="text1"/>
          <w:lang w:eastAsia="cs-CZ"/>
        </w:rPr>
        <w:t xml:space="preserve"> z</w:t>
      </w:r>
      <w:r w:rsidR="00223FF7" w:rsidRPr="00F55090">
        <w:rPr>
          <w:b/>
          <w:color w:val="000000" w:themeColor="text1"/>
          <w:lang w:eastAsia="cs-CZ"/>
        </w:rPr>
        <w:t>ákonem o investičních pobídkách</w:t>
      </w:r>
      <w:r w:rsidR="00AB7755" w:rsidRPr="00F55090">
        <w:rPr>
          <w:rStyle w:val="Znakapoznpodarou"/>
          <w:b/>
          <w:color w:val="000000" w:themeColor="text1"/>
          <w:lang w:eastAsia="cs-CZ"/>
        </w:rPr>
        <w:footnoteReference w:id="2"/>
      </w:r>
      <w:r w:rsidR="00473FAE" w:rsidRPr="00F55090">
        <w:rPr>
          <w:b/>
          <w:color w:val="000000" w:themeColor="text1"/>
          <w:lang w:eastAsia="cs-CZ"/>
        </w:rPr>
        <w:t xml:space="preserve"> (dále také „zákon“)</w:t>
      </w:r>
      <w:r w:rsidR="002E7028" w:rsidRPr="00F55090">
        <w:rPr>
          <w:b/>
          <w:color w:val="000000" w:themeColor="text1"/>
          <w:lang w:eastAsia="cs-CZ"/>
        </w:rPr>
        <w:t xml:space="preserve">. </w:t>
      </w:r>
      <w:r w:rsidR="007F651F" w:rsidRPr="00F55090">
        <w:rPr>
          <w:b/>
          <w:bCs/>
          <w:color w:val="000000" w:themeColor="text1"/>
          <w:lang w:eastAsia="cs-CZ"/>
        </w:rPr>
        <w:t xml:space="preserve">Od roku 2000 do konce září 2020 MPO přislíbilo 955 investičních pobídek. </w:t>
      </w:r>
      <w:r w:rsidR="00590FC2" w:rsidRPr="00F55090">
        <w:rPr>
          <w:b/>
          <w:bCs/>
          <w:color w:val="000000" w:themeColor="text1"/>
          <w:lang w:eastAsia="cs-CZ"/>
        </w:rPr>
        <w:t xml:space="preserve">Na investičních pobídkách </w:t>
      </w:r>
      <w:r w:rsidR="00CE2C23" w:rsidRPr="00F55090">
        <w:rPr>
          <w:b/>
          <w:bCs/>
          <w:color w:val="000000" w:themeColor="text1"/>
          <w:lang w:eastAsia="cs-CZ"/>
        </w:rPr>
        <w:t>příjemci</w:t>
      </w:r>
      <w:r w:rsidR="0088303A" w:rsidRPr="00F55090">
        <w:rPr>
          <w:b/>
          <w:bCs/>
          <w:color w:val="000000" w:themeColor="text1"/>
          <w:lang w:eastAsia="cs-CZ"/>
        </w:rPr>
        <w:t xml:space="preserve"> od roku 2000 </w:t>
      </w:r>
      <w:r w:rsidR="00590FC2" w:rsidRPr="00F55090">
        <w:rPr>
          <w:b/>
          <w:bCs/>
          <w:color w:val="000000" w:themeColor="text1"/>
          <w:lang w:eastAsia="cs-CZ"/>
        </w:rPr>
        <w:t xml:space="preserve">do konce roku </w:t>
      </w:r>
      <w:r w:rsidR="00CE2C23" w:rsidRPr="00F55090">
        <w:rPr>
          <w:b/>
          <w:bCs/>
          <w:color w:val="000000" w:themeColor="text1"/>
          <w:lang w:eastAsia="cs-CZ"/>
        </w:rPr>
        <w:t>2019 vyčerpali</w:t>
      </w:r>
      <w:r w:rsidR="006D0F1B" w:rsidRPr="00F55090">
        <w:rPr>
          <w:b/>
          <w:bCs/>
          <w:color w:val="000000" w:themeColor="text1"/>
          <w:lang w:eastAsia="cs-CZ"/>
        </w:rPr>
        <w:t xml:space="preserve"> více než 75 mld. </w:t>
      </w:r>
      <w:r w:rsidR="00590FC2" w:rsidRPr="00F55090">
        <w:rPr>
          <w:b/>
          <w:bCs/>
          <w:color w:val="000000" w:themeColor="text1"/>
          <w:lang w:eastAsia="cs-CZ"/>
        </w:rPr>
        <w:t>Kč</w:t>
      </w:r>
      <w:r w:rsidR="00590FC2" w:rsidRPr="00F55090">
        <w:rPr>
          <w:rStyle w:val="Znakapoznpodarou"/>
          <w:b/>
          <w:bCs/>
          <w:color w:val="000000" w:themeColor="text1"/>
          <w:lang w:eastAsia="cs-CZ"/>
        </w:rPr>
        <w:footnoteReference w:id="3"/>
      </w:r>
      <w:r w:rsidR="00590FC2" w:rsidRPr="00F55090">
        <w:rPr>
          <w:b/>
          <w:bCs/>
          <w:color w:val="000000" w:themeColor="text1"/>
          <w:lang w:eastAsia="cs-CZ"/>
        </w:rPr>
        <w:t>. Nejvíce peněžních prostředků (</w:t>
      </w:r>
      <w:r w:rsidR="008336FE" w:rsidRPr="00F55090">
        <w:rPr>
          <w:b/>
          <w:bCs/>
          <w:color w:val="000000" w:themeColor="text1"/>
          <w:lang w:eastAsia="cs-CZ"/>
        </w:rPr>
        <w:t>více než 64 mld. Kč</w:t>
      </w:r>
      <w:r w:rsidR="00590FC2" w:rsidRPr="00F55090">
        <w:rPr>
          <w:b/>
          <w:bCs/>
          <w:color w:val="000000" w:themeColor="text1"/>
          <w:lang w:eastAsia="cs-CZ"/>
        </w:rPr>
        <w:t xml:space="preserve">) </w:t>
      </w:r>
      <w:r w:rsidR="00CE2C23" w:rsidRPr="00F55090">
        <w:rPr>
          <w:b/>
          <w:bCs/>
          <w:color w:val="000000" w:themeColor="text1"/>
          <w:lang w:eastAsia="cs-CZ"/>
        </w:rPr>
        <w:t>čerpali</w:t>
      </w:r>
      <w:r w:rsidR="00590FC2" w:rsidRPr="00F55090">
        <w:rPr>
          <w:b/>
          <w:bCs/>
          <w:color w:val="000000" w:themeColor="text1"/>
          <w:lang w:eastAsia="cs-CZ"/>
        </w:rPr>
        <w:t xml:space="preserve"> na investiční pobídky f</w:t>
      </w:r>
      <w:r w:rsidR="006D0F1B" w:rsidRPr="00F55090">
        <w:rPr>
          <w:b/>
          <w:bCs/>
          <w:color w:val="000000" w:themeColor="text1"/>
          <w:lang w:eastAsia="cs-CZ"/>
        </w:rPr>
        <w:t xml:space="preserve">ormou slevy na dani z příjmů. </w:t>
      </w:r>
    </w:p>
    <w:p w14:paraId="40FE68FF" w14:textId="77777777" w:rsidR="00C37114" w:rsidRPr="00F55090" w:rsidRDefault="0080704C" w:rsidP="00136E6D">
      <w:pPr>
        <w:spacing w:after="120" w:line="264" w:lineRule="auto"/>
        <w:rPr>
          <w:b/>
          <w:color w:val="000000" w:themeColor="text1"/>
          <w:lang w:eastAsia="cs-CZ"/>
        </w:rPr>
      </w:pPr>
      <w:r w:rsidRPr="00F55090">
        <w:rPr>
          <w:b/>
          <w:color w:val="000000" w:themeColor="text1"/>
          <w:lang w:eastAsia="cs-CZ"/>
        </w:rPr>
        <w:t xml:space="preserve">Přestože v letech 2015 až 2019 v ČR postupně klesala míra nezaměstnanosti, počet příslibů investičních pobídek neklesal, dokonce do roku 2018 rostl. </w:t>
      </w:r>
      <w:r w:rsidR="009E458D" w:rsidRPr="00F55090">
        <w:rPr>
          <w:b/>
          <w:color w:val="000000" w:themeColor="text1"/>
          <w:lang w:eastAsia="cs-CZ"/>
        </w:rPr>
        <w:t>Dle NKÚ nebyl</w:t>
      </w:r>
      <w:r w:rsidRPr="00F55090">
        <w:rPr>
          <w:b/>
          <w:color w:val="000000" w:themeColor="text1"/>
          <w:lang w:eastAsia="cs-CZ"/>
        </w:rPr>
        <w:t>a</w:t>
      </w:r>
      <w:r w:rsidR="009E458D" w:rsidRPr="00F55090">
        <w:rPr>
          <w:b/>
          <w:color w:val="000000" w:themeColor="text1"/>
          <w:lang w:eastAsia="cs-CZ"/>
        </w:rPr>
        <w:t xml:space="preserve"> </w:t>
      </w:r>
      <w:r w:rsidR="00C37114" w:rsidRPr="00F55090">
        <w:rPr>
          <w:b/>
          <w:color w:val="000000" w:themeColor="text1"/>
          <w:lang w:eastAsia="cs-CZ"/>
        </w:rPr>
        <w:t>prokázán</w:t>
      </w:r>
      <w:r w:rsidRPr="00F55090">
        <w:rPr>
          <w:b/>
          <w:color w:val="000000" w:themeColor="text1"/>
          <w:lang w:eastAsia="cs-CZ"/>
        </w:rPr>
        <w:t>a potřeba poskytování investičních pobídek v období nízké nezaměstnanosti.</w:t>
      </w:r>
      <w:r w:rsidR="00C37114" w:rsidRPr="00F55090">
        <w:rPr>
          <w:b/>
          <w:color w:val="000000" w:themeColor="text1"/>
          <w:lang w:eastAsia="cs-CZ"/>
        </w:rPr>
        <w:t xml:space="preserve">  </w:t>
      </w:r>
    </w:p>
    <w:p w14:paraId="7B0ED314" w14:textId="6B48BDBB" w:rsidR="00980BE7" w:rsidRPr="00F55090" w:rsidRDefault="00CE2C23" w:rsidP="00136E6D">
      <w:pPr>
        <w:spacing w:after="120" w:line="264" w:lineRule="auto"/>
        <w:rPr>
          <w:b/>
          <w:color w:val="000000" w:themeColor="text1"/>
          <w:lang w:eastAsia="cs-CZ"/>
        </w:rPr>
      </w:pPr>
      <w:r w:rsidRPr="00F55090">
        <w:rPr>
          <w:b/>
          <w:color w:val="000000" w:themeColor="text1"/>
          <w:lang w:eastAsia="cs-CZ"/>
        </w:rPr>
        <w:t xml:space="preserve">Naprostou většinu </w:t>
      </w:r>
      <w:r w:rsidR="009E1D66" w:rsidRPr="00F55090">
        <w:rPr>
          <w:b/>
          <w:color w:val="000000" w:themeColor="text1"/>
          <w:lang w:eastAsia="cs-CZ"/>
        </w:rPr>
        <w:t xml:space="preserve">investičních pobídek </w:t>
      </w:r>
      <w:r w:rsidRPr="00F55090">
        <w:rPr>
          <w:b/>
          <w:color w:val="000000" w:themeColor="text1"/>
          <w:lang w:eastAsia="cs-CZ"/>
        </w:rPr>
        <w:t>MPO poskytlo</w:t>
      </w:r>
      <w:r w:rsidR="008336FE" w:rsidRPr="00F55090">
        <w:rPr>
          <w:b/>
          <w:color w:val="000000" w:themeColor="text1"/>
          <w:lang w:eastAsia="cs-CZ"/>
        </w:rPr>
        <w:t xml:space="preserve"> na investiční akce ve</w:t>
      </w:r>
      <w:r w:rsidR="00F55090" w:rsidRPr="00F55090">
        <w:rPr>
          <w:b/>
          <w:color w:val="000000" w:themeColor="text1"/>
          <w:lang w:eastAsia="cs-CZ"/>
        </w:rPr>
        <w:t xml:space="preserve"> </w:t>
      </w:r>
      <w:r w:rsidR="009E1D66" w:rsidRPr="00F55090">
        <w:rPr>
          <w:b/>
          <w:color w:val="000000" w:themeColor="text1"/>
          <w:lang w:eastAsia="cs-CZ"/>
        </w:rPr>
        <w:t xml:space="preserve">zpracovatelském průmyslu, </w:t>
      </w:r>
      <w:r w:rsidR="00C15DD9">
        <w:rPr>
          <w:b/>
          <w:color w:val="000000" w:themeColor="text1"/>
          <w:lang w:eastAsia="cs-CZ"/>
        </w:rPr>
        <w:t>kde nebyla</w:t>
      </w:r>
      <w:r w:rsidR="009E1D66" w:rsidRPr="00F55090">
        <w:rPr>
          <w:b/>
          <w:color w:val="000000" w:themeColor="text1"/>
          <w:lang w:eastAsia="cs-CZ"/>
        </w:rPr>
        <w:t xml:space="preserve"> povinnost realizovat vyšší přidanou hodnotu</w:t>
      </w:r>
      <w:r w:rsidR="009E1D66" w:rsidRPr="00F55090">
        <w:rPr>
          <w:rStyle w:val="Znakapoznpodarou"/>
          <w:b/>
          <w:color w:val="000000" w:themeColor="text1"/>
          <w:lang w:eastAsia="cs-CZ"/>
        </w:rPr>
        <w:footnoteReference w:id="4"/>
      </w:r>
      <w:r w:rsidR="009E1D66" w:rsidRPr="00F55090">
        <w:rPr>
          <w:b/>
          <w:color w:val="000000" w:themeColor="text1"/>
          <w:lang w:eastAsia="cs-CZ"/>
        </w:rPr>
        <w:t>. Od</w:t>
      </w:r>
      <w:r w:rsidR="00136E6D">
        <w:rPr>
          <w:b/>
          <w:color w:val="000000" w:themeColor="text1"/>
          <w:lang w:eastAsia="cs-CZ"/>
        </w:rPr>
        <w:t xml:space="preserve"> </w:t>
      </w:r>
      <w:r w:rsidR="009E1D66" w:rsidRPr="00F55090">
        <w:rPr>
          <w:b/>
          <w:color w:val="000000" w:themeColor="text1"/>
          <w:lang w:eastAsia="cs-CZ"/>
        </w:rPr>
        <w:t>září roku 2019</w:t>
      </w:r>
      <w:r w:rsidR="009E1D66" w:rsidRPr="00F55090">
        <w:rPr>
          <w:rStyle w:val="Znakapoznpodarou"/>
          <w:b/>
          <w:color w:val="000000" w:themeColor="text1"/>
          <w:lang w:eastAsia="cs-CZ"/>
        </w:rPr>
        <w:footnoteReference w:id="5"/>
      </w:r>
      <w:r w:rsidR="00473FAE" w:rsidRPr="00F55090">
        <w:rPr>
          <w:b/>
          <w:color w:val="000000" w:themeColor="text1"/>
          <w:lang w:eastAsia="cs-CZ"/>
        </w:rPr>
        <w:t xml:space="preserve"> </w:t>
      </w:r>
      <w:r w:rsidR="007F651F" w:rsidRPr="00F55090">
        <w:rPr>
          <w:b/>
          <w:color w:val="000000" w:themeColor="text1"/>
          <w:lang w:eastAsia="cs-CZ"/>
        </w:rPr>
        <w:t xml:space="preserve">podmínil </w:t>
      </w:r>
      <w:r w:rsidR="009E1D66" w:rsidRPr="00F55090">
        <w:rPr>
          <w:b/>
          <w:color w:val="000000" w:themeColor="text1"/>
          <w:lang w:eastAsia="cs-CZ"/>
        </w:rPr>
        <w:t xml:space="preserve">zákon </w:t>
      </w:r>
      <w:r w:rsidR="007F651F" w:rsidRPr="00F55090">
        <w:rPr>
          <w:b/>
          <w:color w:val="000000" w:themeColor="text1"/>
          <w:lang w:eastAsia="cs-CZ"/>
        </w:rPr>
        <w:t>poskytnutí investičních pobídky realizací vyšší přidané hodnoty</w:t>
      </w:r>
      <w:r w:rsidR="009E1D66" w:rsidRPr="00F55090">
        <w:rPr>
          <w:b/>
          <w:color w:val="000000" w:themeColor="text1"/>
          <w:lang w:eastAsia="cs-CZ"/>
        </w:rPr>
        <w:t xml:space="preserve">. </w:t>
      </w:r>
      <w:r w:rsidR="00E27A5C" w:rsidRPr="00F55090">
        <w:rPr>
          <w:b/>
          <w:color w:val="000000" w:themeColor="text1"/>
          <w:lang w:eastAsia="cs-CZ"/>
        </w:rPr>
        <w:t>Po tomto zpřísnění</w:t>
      </w:r>
      <w:r w:rsidR="009E1D66" w:rsidRPr="00F55090">
        <w:rPr>
          <w:b/>
          <w:color w:val="000000" w:themeColor="text1"/>
          <w:lang w:eastAsia="cs-CZ"/>
        </w:rPr>
        <w:t xml:space="preserve"> zákona výrazně poklesl zájem o získání</w:t>
      </w:r>
      <w:r w:rsidR="008454D2" w:rsidRPr="00F55090">
        <w:rPr>
          <w:b/>
          <w:color w:val="000000" w:themeColor="text1"/>
          <w:lang w:eastAsia="cs-CZ"/>
        </w:rPr>
        <w:t xml:space="preserve"> investičních pobídek</w:t>
      </w:r>
      <w:r w:rsidR="009E1D66" w:rsidRPr="00F55090">
        <w:rPr>
          <w:b/>
          <w:color w:val="000000" w:themeColor="text1"/>
          <w:lang w:eastAsia="cs-CZ"/>
        </w:rPr>
        <w:t>.</w:t>
      </w:r>
    </w:p>
    <w:p w14:paraId="02C49B4F" w14:textId="0824F0E4" w:rsidR="00681F55" w:rsidRPr="00F55090" w:rsidRDefault="00FE1583" w:rsidP="00136E6D">
      <w:pPr>
        <w:spacing w:after="120" w:line="264" w:lineRule="auto"/>
        <w:rPr>
          <w:b/>
          <w:color w:val="000000" w:themeColor="text1"/>
          <w:lang w:eastAsia="cs-CZ"/>
        </w:rPr>
      </w:pPr>
      <w:r w:rsidRPr="00F55090">
        <w:rPr>
          <w:b/>
          <w:bCs/>
          <w:color w:val="000000" w:themeColor="text1"/>
          <w:lang w:eastAsia="cs-CZ"/>
        </w:rPr>
        <w:t xml:space="preserve">Od roku 2014 </w:t>
      </w:r>
      <w:r w:rsidR="00D34751" w:rsidRPr="00F55090">
        <w:rPr>
          <w:b/>
          <w:bCs/>
          <w:color w:val="000000" w:themeColor="text1"/>
          <w:lang w:eastAsia="cs-CZ"/>
        </w:rPr>
        <w:t xml:space="preserve">nechávalo </w:t>
      </w:r>
      <w:r w:rsidRPr="00F55090">
        <w:rPr>
          <w:b/>
          <w:bCs/>
          <w:color w:val="000000" w:themeColor="text1"/>
          <w:lang w:eastAsia="cs-CZ"/>
        </w:rPr>
        <w:t>MPO na základě požadavku Evropské komise</w:t>
      </w:r>
      <w:r w:rsidR="007C7B5A" w:rsidRPr="00F55090">
        <w:rPr>
          <w:rStyle w:val="Znakapoznpodarou"/>
          <w:b/>
          <w:bCs/>
          <w:color w:val="000000" w:themeColor="text1"/>
          <w:lang w:eastAsia="cs-CZ"/>
        </w:rPr>
        <w:footnoteReference w:id="6"/>
      </w:r>
      <w:r w:rsidRPr="00F55090">
        <w:rPr>
          <w:b/>
          <w:bCs/>
          <w:color w:val="000000" w:themeColor="text1"/>
          <w:lang w:eastAsia="cs-CZ"/>
        </w:rPr>
        <w:t xml:space="preserve"> zpracovávat hodnocení poskytnutých investičních pobídek externí společností. </w:t>
      </w:r>
      <w:r w:rsidR="0002404E" w:rsidRPr="00F55090">
        <w:rPr>
          <w:b/>
          <w:color w:val="000000" w:themeColor="text1"/>
          <w:lang w:eastAsia="cs-CZ"/>
        </w:rPr>
        <w:t>Z</w:t>
      </w:r>
      <w:r w:rsidR="002E0C5E" w:rsidRPr="00F55090">
        <w:rPr>
          <w:b/>
          <w:color w:val="000000" w:themeColor="text1"/>
          <w:lang w:eastAsia="cs-CZ"/>
        </w:rPr>
        <w:t xml:space="preserve">pracovaná </w:t>
      </w:r>
      <w:r w:rsidR="008336FE" w:rsidRPr="00F55090">
        <w:rPr>
          <w:b/>
          <w:color w:val="000000" w:themeColor="text1"/>
          <w:lang w:eastAsia="cs-CZ"/>
        </w:rPr>
        <w:t>hodnocení neo</w:t>
      </w:r>
      <w:r w:rsidR="002E0C5E" w:rsidRPr="00F55090">
        <w:rPr>
          <w:b/>
          <w:color w:val="000000" w:themeColor="text1"/>
          <w:lang w:eastAsia="cs-CZ"/>
        </w:rPr>
        <w:t>bsahovala</w:t>
      </w:r>
      <w:r w:rsidR="008336FE" w:rsidRPr="00F55090">
        <w:rPr>
          <w:b/>
          <w:color w:val="000000" w:themeColor="text1"/>
          <w:lang w:eastAsia="cs-CZ"/>
        </w:rPr>
        <w:t xml:space="preserve"> </w:t>
      </w:r>
      <w:r w:rsidR="0002404E" w:rsidRPr="00F55090">
        <w:rPr>
          <w:b/>
          <w:color w:val="000000" w:themeColor="text1"/>
          <w:lang w:eastAsia="cs-CZ"/>
        </w:rPr>
        <w:t xml:space="preserve">naplnění jednotlivých dílčích cílů. Dle NKÚ tedy hodnocení neposkytovalo přehled o tom, jak investiční pobídky </w:t>
      </w:r>
      <w:r w:rsidR="002E0C5E" w:rsidRPr="00F55090">
        <w:rPr>
          <w:b/>
          <w:color w:val="000000" w:themeColor="text1"/>
          <w:lang w:eastAsia="cs-CZ"/>
        </w:rPr>
        <w:t>přispěly k</w:t>
      </w:r>
      <w:r w:rsidR="005A02E5" w:rsidRPr="00F55090">
        <w:rPr>
          <w:b/>
          <w:color w:val="000000" w:themeColor="text1"/>
          <w:lang w:eastAsia="cs-CZ"/>
        </w:rPr>
        <w:t>e</w:t>
      </w:r>
      <w:r w:rsidR="006867A7">
        <w:rPr>
          <w:b/>
          <w:color w:val="000000" w:themeColor="text1"/>
          <w:lang w:eastAsia="cs-CZ"/>
        </w:rPr>
        <w:t xml:space="preserve"> </w:t>
      </w:r>
      <w:r w:rsidR="00461DCF" w:rsidRPr="00F55090">
        <w:rPr>
          <w:b/>
          <w:color w:val="000000" w:themeColor="text1"/>
          <w:lang w:eastAsia="cs-CZ"/>
        </w:rPr>
        <w:t>stanoveným</w:t>
      </w:r>
      <w:r w:rsidR="00136E6D">
        <w:rPr>
          <w:b/>
          <w:color w:val="000000" w:themeColor="text1"/>
          <w:lang w:eastAsia="cs-CZ"/>
        </w:rPr>
        <w:t xml:space="preserve"> </w:t>
      </w:r>
      <w:r w:rsidR="00CE2C23" w:rsidRPr="00F55090">
        <w:rPr>
          <w:b/>
          <w:color w:val="000000" w:themeColor="text1"/>
          <w:lang w:eastAsia="cs-CZ"/>
        </w:rPr>
        <w:t>cílům v oblasti hospodářského rozvoje</w:t>
      </w:r>
      <w:r w:rsidR="007A31A8" w:rsidRPr="00F55090">
        <w:rPr>
          <w:b/>
          <w:color w:val="000000" w:themeColor="text1"/>
          <w:lang w:eastAsia="cs-CZ"/>
        </w:rPr>
        <w:t xml:space="preserve"> a vytváření pracovních míst na území ČR.</w:t>
      </w:r>
    </w:p>
    <w:p w14:paraId="4B86CEAF" w14:textId="77777777" w:rsidR="008454D2" w:rsidRPr="00F55090" w:rsidRDefault="0044728A" w:rsidP="00E05284">
      <w:pPr>
        <w:keepNext/>
        <w:spacing w:before="120" w:after="120" w:line="264" w:lineRule="auto"/>
        <w:rPr>
          <w:color w:val="000000" w:themeColor="text1"/>
        </w:rPr>
      </w:pPr>
      <w:r w:rsidRPr="00F55090">
        <w:rPr>
          <w:color w:val="000000" w:themeColor="text1"/>
        </w:rPr>
        <w:t>Celkové vyhodnocení vyplývá z následujících skutečností zjištěných kontrolou</w:t>
      </w:r>
      <w:r w:rsidR="008454D2" w:rsidRPr="00F55090">
        <w:rPr>
          <w:color w:val="000000" w:themeColor="text1"/>
        </w:rPr>
        <w:t>:</w:t>
      </w:r>
    </w:p>
    <w:p w14:paraId="0DB3F721" w14:textId="77777777" w:rsidR="00D15B08" w:rsidRPr="00F55090" w:rsidRDefault="00D15B08" w:rsidP="00136E6D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t xml:space="preserve">Zákon o investičních pobídkách nabyl účinnosti dne 1. května 2000. O osm let později MPO </w:t>
      </w:r>
      <w:r w:rsidR="00C37114" w:rsidRPr="00F55090">
        <w:rPr>
          <w:color w:val="000000" w:themeColor="text1"/>
        </w:rPr>
        <w:t xml:space="preserve">na základě analýzy zpracované Vysokou školou ekonomickou v Praze </w:t>
      </w:r>
      <w:r w:rsidRPr="00F55090">
        <w:rPr>
          <w:color w:val="000000" w:themeColor="text1"/>
        </w:rPr>
        <w:t>navrhlo vládě ČR investiční pobídky</w:t>
      </w:r>
      <w:r w:rsidR="00590FC2" w:rsidRPr="00F55090">
        <w:rPr>
          <w:color w:val="000000" w:themeColor="text1"/>
        </w:rPr>
        <w:t xml:space="preserve"> poskytované podle zákon</w:t>
      </w:r>
      <w:r w:rsidR="00083E4E" w:rsidRPr="00F55090">
        <w:rPr>
          <w:color w:val="000000" w:themeColor="text1"/>
        </w:rPr>
        <w:t>a</w:t>
      </w:r>
      <w:r w:rsidR="00590FC2" w:rsidRPr="00F55090">
        <w:rPr>
          <w:color w:val="000000" w:themeColor="text1"/>
        </w:rPr>
        <w:t xml:space="preserve"> </w:t>
      </w:r>
      <w:r w:rsidRPr="00F55090">
        <w:rPr>
          <w:color w:val="000000" w:themeColor="text1"/>
        </w:rPr>
        <w:t xml:space="preserve">zrušit. Návrh vláda ČR nakonec neschválila </w:t>
      </w:r>
      <w:r w:rsidR="000E73F7" w:rsidRPr="00F55090">
        <w:rPr>
          <w:color w:val="000000" w:themeColor="text1"/>
        </w:rPr>
        <w:t>a</w:t>
      </w:r>
      <w:r w:rsidR="00BC5A0B" w:rsidRPr="00F55090">
        <w:rPr>
          <w:color w:val="000000" w:themeColor="text1"/>
        </w:rPr>
        <w:t> </w:t>
      </w:r>
      <w:r w:rsidR="000E73F7" w:rsidRPr="00F55090">
        <w:rPr>
          <w:color w:val="000000" w:themeColor="text1"/>
        </w:rPr>
        <w:t>zákon zrušen nebyl</w:t>
      </w:r>
      <w:r w:rsidRPr="00F55090">
        <w:rPr>
          <w:color w:val="000000" w:themeColor="text1"/>
        </w:rPr>
        <w:t>.</w:t>
      </w:r>
      <w:r w:rsidR="00FE7456" w:rsidRPr="00F55090">
        <w:rPr>
          <w:color w:val="000000" w:themeColor="text1"/>
        </w:rPr>
        <w:t xml:space="preserve"> </w:t>
      </w:r>
    </w:p>
    <w:p w14:paraId="4C1C7884" w14:textId="77777777" w:rsidR="00FC4C95" w:rsidRPr="00F55090" w:rsidRDefault="002E0C5E" w:rsidP="00136E6D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lastRenderedPageBreak/>
        <w:t xml:space="preserve">Od roku 2000 bylo možné získat investiční pobídku jen ve zpracovatelském průmyslu. </w:t>
      </w:r>
      <w:r w:rsidR="009F21B8" w:rsidRPr="00F55090">
        <w:rPr>
          <w:color w:val="000000" w:themeColor="text1"/>
        </w:rPr>
        <w:t>Od </w:t>
      </w:r>
      <w:r w:rsidR="008454D2" w:rsidRPr="00F55090">
        <w:rPr>
          <w:color w:val="000000" w:themeColor="text1"/>
        </w:rPr>
        <w:t xml:space="preserve">roku 2012 je umožněno </w:t>
      </w:r>
      <w:r w:rsidR="00DB2C0C" w:rsidRPr="00F55090">
        <w:rPr>
          <w:color w:val="000000" w:themeColor="text1"/>
        </w:rPr>
        <w:t>je</w:t>
      </w:r>
      <w:r w:rsidR="008454D2" w:rsidRPr="00F55090">
        <w:rPr>
          <w:color w:val="000000" w:themeColor="text1"/>
        </w:rPr>
        <w:t xml:space="preserve"> získat i v technologických centrech a </w:t>
      </w:r>
      <w:r w:rsidRPr="00F55090">
        <w:rPr>
          <w:color w:val="000000" w:themeColor="text1"/>
        </w:rPr>
        <w:t>centrech strategických služeb. I přesto byl stále největší zájem o získání investičních pobíd</w:t>
      </w:r>
      <w:r w:rsidR="005A02E5" w:rsidRPr="00F55090">
        <w:rPr>
          <w:color w:val="000000" w:themeColor="text1"/>
        </w:rPr>
        <w:t>ek ve </w:t>
      </w:r>
      <w:r w:rsidR="00A5500C" w:rsidRPr="00F55090">
        <w:rPr>
          <w:color w:val="000000" w:themeColor="text1"/>
        </w:rPr>
        <w:t xml:space="preserve">zpracovatelském průmyslu bez </w:t>
      </w:r>
      <w:r w:rsidR="004C7442" w:rsidRPr="00F55090">
        <w:rPr>
          <w:color w:val="000000" w:themeColor="text1"/>
        </w:rPr>
        <w:t xml:space="preserve">povinnosti </w:t>
      </w:r>
      <w:r w:rsidR="00F01C57" w:rsidRPr="00F55090">
        <w:rPr>
          <w:color w:val="000000" w:themeColor="text1"/>
        </w:rPr>
        <w:t>realizovat investiční akce v rámci činnosti s vyšší přidanou hodnotou.</w:t>
      </w:r>
      <w:r w:rsidR="00C92515" w:rsidRPr="00F55090">
        <w:rPr>
          <w:color w:val="000000" w:themeColor="text1"/>
        </w:rPr>
        <w:t xml:space="preserve"> </w:t>
      </w:r>
    </w:p>
    <w:p w14:paraId="7B483D63" w14:textId="77777777" w:rsidR="00275D8B" w:rsidRPr="00F55090" w:rsidRDefault="00CE2C23" w:rsidP="00136E6D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t>Podmínka</w:t>
      </w:r>
      <w:r w:rsidR="00000BCF" w:rsidRPr="00F55090">
        <w:rPr>
          <w:color w:val="000000" w:themeColor="text1"/>
        </w:rPr>
        <w:t xml:space="preserve"> realizovat </w:t>
      </w:r>
      <w:r w:rsidR="007F651F" w:rsidRPr="00F55090">
        <w:rPr>
          <w:color w:val="000000" w:themeColor="text1"/>
        </w:rPr>
        <w:t>investiční akce v rámci činnosti</w:t>
      </w:r>
      <w:r w:rsidR="00000BCF" w:rsidRPr="00F55090">
        <w:rPr>
          <w:color w:val="000000" w:themeColor="text1"/>
        </w:rPr>
        <w:t xml:space="preserve"> s vyšší přidanou hodnot</w:t>
      </w:r>
      <w:r w:rsidR="00C37114" w:rsidRPr="00F55090">
        <w:rPr>
          <w:color w:val="000000" w:themeColor="text1"/>
        </w:rPr>
        <w:t>o</w:t>
      </w:r>
      <w:r w:rsidR="009F21B8" w:rsidRPr="00F55090">
        <w:rPr>
          <w:color w:val="000000" w:themeColor="text1"/>
        </w:rPr>
        <w:t>u byla do</w:t>
      </w:r>
      <w:r w:rsidR="008952C0">
        <w:rPr>
          <w:color w:val="000000" w:themeColor="text1"/>
        </w:rPr>
        <w:t xml:space="preserve"> </w:t>
      </w:r>
      <w:r w:rsidR="00000BCF" w:rsidRPr="00F55090">
        <w:rPr>
          <w:color w:val="000000" w:themeColor="text1"/>
        </w:rPr>
        <w:t>zákona o investičních pobídkách začleněna až o</w:t>
      </w:r>
      <w:r w:rsidR="008454D2" w:rsidRPr="00F55090">
        <w:rPr>
          <w:color w:val="000000" w:themeColor="text1"/>
        </w:rPr>
        <w:t xml:space="preserve">d 6. září </w:t>
      </w:r>
      <w:r w:rsidR="00000BCF" w:rsidRPr="00F55090">
        <w:rPr>
          <w:color w:val="000000" w:themeColor="text1"/>
        </w:rPr>
        <w:t xml:space="preserve">2019. </w:t>
      </w:r>
    </w:p>
    <w:p w14:paraId="1D67EC36" w14:textId="77777777" w:rsidR="002433BF" w:rsidRPr="00F55090" w:rsidRDefault="00275D8B" w:rsidP="00136E6D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t>Během jednoho roku od zavedení povinnost</w:t>
      </w:r>
      <w:r w:rsidR="00DB2C0C" w:rsidRPr="00F55090">
        <w:rPr>
          <w:color w:val="000000" w:themeColor="text1"/>
        </w:rPr>
        <w:t>i</w:t>
      </w:r>
      <w:r w:rsidRPr="00F55090">
        <w:rPr>
          <w:color w:val="000000" w:themeColor="text1"/>
        </w:rPr>
        <w:t xml:space="preserve"> realizovat vyšší přidanou hodnotu (tj. od 6.</w:t>
      </w:r>
      <w:r w:rsidR="00BC5A0B" w:rsidRPr="00F55090">
        <w:rPr>
          <w:color w:val="000000" w:themeColor="text1"/>
        </w:rPr>
        <w:t> </w:t>
      </w:r>
      <w:r w:rsidRPr="00F55090">
        <w:rPr>
          <w:color w:val="000000" w:themeColor="text1"/>
        </w:rPr>
        <w:t xml:space="preserve">září 2019 do 10. září 2020) přijala Agentura CzechInvest 11 </w:t>
      </w:r>
      <w:r w:rsidR="00AE5D85" w:rsidRPr="00F55090">
        <w:rPr>
          <w:color w:val="000000" w:themeColor="text1"/>
        </w:rPr>
        <w:t>žádostí o</w:t>
      </w:r>
      <w:r w:rsidRPr="00F55090">
        <w:rPr>
          <w:color w:val="000000" w:themeColor="text1"/>
        </w:rPr>
        <w:t xml:space="preserve"> investiční pobídku. V předešlých letech př</w:t>
      </w:r>
      <w:r w:rsidR="00E254C8" w:rsidRPr="00F55090">
        <w:rPr>
          <w:color w:val="000000" w:themeColor="text1"/>
        </w:rPr>
        <w:t xml:space="preserve">ijímala průměrně 75 </w:t>
      </w:r>
      <w:r w:rsidR="00AE5D85" w:rsidRPr="00F55090">
        <w:rPr>
          <w:color w:val="000000" w:themeColor="text1"/>
        </w:rPr>
        <w:t>žádostí</w:t>
      </w:r>
      <w:r w:rsidRPr="00F55090">
        <w:rPr>
          <w:color w:val="000000" w:themeColor="text1"/>
        </w:rPr>
        <w:t xml:space="preserve"> ročně.</w:t>
      </w:r>
    </w:p>
    <w:p w14:paraId="36DDA72A" w14:textId="0C3A1D38" w:rsidR="009B2B4C" w:rsidRPr="00F55090" w:rsidRDefault="00C92515" w:rsidP="00136E6D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  <w:lang w:eastAsia="cs-CZ"/>
        </w:rPr>
        <w:t>Do září roku 2019 z</w:t>
      </w:r>
      <w:r w:rsidR="00165ECB" w:rsidRPr="00F55090">
        <w:rPr>
          <w:bCs/>
          <w:color w:val="000000" w:themeColor="text1"/>
          <w:lang w:eastAsia="cs-CZ"/>
        </w:rPr>
        <w:t>ákon neumožňoval, aby MPO reagovalo při poskytování investičních pob</w:t>
      </w:r>
      <w:r w:rsidR="002433BF" w:rsidRPr="00F55090">
        <w:rPr>
          <w:bCs/>
          <w:color w:val="000000" w:themeColor="text1"/>
          <w:lang w:eastAsia="cs-CZ"/>
        </w:rPr>
        <w:t xml:space="preserve">ídek na </w:t>
      </w:r>
      <w:r w:rsidRPr="00F55090">
        <w:rPr>
          <w:bCs/>
          <w:color w:val="000000" w:themeColor="text1"/>
          <w:lang w:eastAsia="cs-CZ"/>
        </w:rPr>
        <w:t>nízkou nezaměstnanost</w:t>
      </w:r>
      <w:r w:rsidR="00165ECB" w:rsidRPr="00F55090">
        <w:rPr>
          <w:bCs/>
          <w:color w:val="000000" w:themeColor="text1"/>
          <w:lang w:eastAsia="cs-CZ"/>
        </w:rPr>
        <w:t>. Pokud žadatel splnil zákonné podmínky a pokud v případě strategických investičních akcí</w:t>
      </w:r>
      <w:r w:rsidR="00165ECB" w:rsidRPr="00F55090">
        <w:rPr>
          <w:rStyle w:val="Znakapoznpodarou"/>
          <w:bCs/>
          <w:color w:val="000000" w:themeColor="text1"/>
          <w:lang w:eastAsia="cs-CZ"/>
        </w:rPr>
        <w:footnoteReference w:id="7"/>
      </w:r>
      <w:r w:rsidR="00165ECB" w:rsidRPr="00F55090">
        <w:rPr>
          <w:bCs/>
          <w:color w:val="000000" w:themeColor="text1"/>
          <w:lang w:eastAsia="cs-CZ"/>
        </w:rPr>
        <w:t xml:space="preserve"> byla pobídka schválena vládou ČR, příslib žadatel získal. Od </w:t>
      </w:r>
      <w:r w:rsidRPr="00F55090">
        <w:rPr>
          <w:bCs/>
          <w:color w:val="000000" w:themeColor="text1"/>
          <w:lang w:eastAsia="cs-CZ"/>
        </w:rPr>
        <w:t xml:space="preserve">6. září </w:t>
      </w:r>
      <w:r w:rsidR="00165ECB" w:rsidRPr="00F55090">
        <w:rPr>
          <w:bCs/>
          <w:color w:val="000000" w:themeColor="text1"/>
          <w:lang w:eastAsia="cs-CZ"/>
        </w:rPr>
        <w:t xml:space="preserve">2019 vláda ČR schvaluje poskytnutí všech investičních pobídek a </w:t>
      </w:r>
      <w:r w:rsidR="00165ECB" w:rsidRPr="00F55090">
        <w:rPr>
          <w:color w:val="000000" w:themeColor="text1"/>
        </w:rPr>
        <w:t>svým nařízením</w:t>
      </w:r>
      <w:r w:rsidR="00165ECB" w:rsidRPr="00F55090">
        <w:rPr>
          <w:rStyle w:val="Znakapoznpodarou"/>
          <w:color w:val="000000" w:themeColor="text1"/>
        </w:rPr>
        <w:footnoteReference w:id="8"/>
      </w:r>
      <w:r w:rsidR="00165ECB" w:rsidRPr="00F55090">
        <w:rPr>
          <w:color w:val="000000" w:themeColor="text1"/>
        </w:rPr>
        <w:t xml:space="preserve"> stanovuje</w:t>
      </w:r>
      <w:r w:rsidRPr="00F55090">
        <w:rPr>
          <w:color w:val="000000" w:themeColor="text1"/>
        </w:rPr>
        <w:t>, mimo jiné na základě vývoje nezaměstnanosti</w:t>
      </w:r>
      <w:r w:rsidR="00165ECB" w:rsidRPr="00F55090">
        <w:rPr>
          <w:color w:val="000000" w:themeColor="text1"/>
        </w:rPr>
        <w:t>, na</w:t>
      </w:r>
      <w:r w:rsidR="00E05284">
        <w:rPr>
          <w:color w:val="000000" w:themeColor="text1"/>
        </w:rPr>
        <w:t xml:space="preserve"> </w:t>
      </w:r>
      <w:r w:rsidR="00165ECB" w:rsidRPr="00F55090">
        <w:rPr>
          <w:color w:val="000000" w:themeColor="text1"/>
        </w:rPr>
        <w:t>které typy investičních akcí může MPO investiční pobídku poskytnout.</w:t>
      </w:r>
    </w:p>
    <w:p w14:paraId="7062BE09" w14:textId="7202E159" w:rsidR="00DD2A21" w:rsidRPr="00F55090" w:rsidRDefault="005E749D" w:rsidP="00136E6D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t>MPO každoročně sledovalo výš</w:t>
      </w:r>
      <w:r w:rsidR="00B37011" w:rsidRPr="00F55090">
        <w:rPr>
          <w:color w:val="000000" w:themeColor="text1"/>
        </w:rPr>
        <w:t xml:space="preserve">i čerpání investičních pobídek. </w:t>
      </w:r>
      <w:r w:rsidR="0080704C" w:rsidRPr="00F55090">
        <w:rPr>
          <w:color w:val="000000" w:themeColor="text1"/>
        </w:rPr>
        <w:t>Nejvyšší objemy byly čerpány v letech 2008, 2012, 2014 a 2017</w:t>
      </w:r>
      <w:r w:rsidR="00A115A0">
        <w:rPr>
          <w:color w:val="000000" w:themeColor="text1"/>
        </w:rPr>
        <w:t>,</w:t>
      </w:r>
      <w:r w:rsidR="0080704C" w:rsidRPr="00F55090">
        <w:rPr>
          <w:color w:val="000000" w:themeColor="text1"/>
        </w:rPr>
        <w:t xml:space="preserve"> kdy příjemci čerpali v</w:t>
      </w:r>
      <w:r w:rsidR="00241F14" w:rsidRPr="00F55090">
        <w:rPr>
          <w:color w:val="000000" w:themeColor="text1"/>
        </w:rPr>
        <w:t>í</w:t>
      </w:r>
      <w:r w:rsidR="0080704C" w:rsidRPr="00F55090">
        <w:rPr>
          <w:color w:val="000000" w:themeColor="text1"/>
        </w:rPr>
        <w:t>ce než 5 miliard korun.</w:t>
      </w:r>
    </w:p>
    <w:p w14:paraId="17215FED" w14:textId="2C7F9E46" w:rsidR="003B2877" w:rsidRPr="00F55090" w:rsidRDefault="00461DCF" w:rsidP="00136E6D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t xml:space="preserve">MPO </w:t>
      </w:r>
      <w:r w:rsidR="00980BC7" w:rsidRPr="00F55090">
        <w:rPr>
          <w:color w:val="000000" w:themeColor="text1"/>
        </w:rPr>
        <w:t xml:space="preserve">zveřejňovalo hodnocení investičních pobídek zpracované externí společností v termínech stanovených Evropskou komisí. </w:t>
      </w:r>
      <w:r w:rsidR="009D52E0" w:rsidRPr="00F55090">
        <w:rPr>
          <w:color w:val="000000" w:themeColor="text1"/>
        </w:rPr>
        <w:t xml:space="preserve">Dle </w:t>
      </w:r>
      <w:r w:rsidR="00721695" w:rsidRPr="00F55090">
        <w:rPr>
          <w:color w:val="000000" w:themeColor="text1"/>
        </w:rPr>
        <w:t xml:space="preserve">NKÚ </w:t>
      </w:r>
      <w:r w:rsidR="00980BC7" w:rsidRPr="00F55090">
        <w:rPr>
          <w:color w:val="000000" w:themeColor="text1"/>
        </w:rPr>
        <w:t xml:space="preserve">ale zpracovaná </w:t>
      </w:r>
      <w:r w:rsidR="00721695" w:rsidRPr="00F55090">
        <w:rPr>
          <w:color w:val="000000" w:themeColor="text1"/>
        </w:rPr>
        <w:t xml:space="preserve">hodnocení neobsahovala vyhodnocení, </w:t>
      </w:r>
      <w:r w:rsidR="007A31A8" w:rsidRPr="00F55090">
        <w:rPr>
          <w:color w:val="000000" w:themeColor="text1"/>
        </w:rPr>
        <w:t>jak konkrétně</w:t>
      </w:r>
      <w:r w:rsidR="00721695" w:rsidRPr="00F55090">
        <w:rPr>
          <w:color w:val="000000" w:themeColor="text1"/>
        </w:rPr>
        <w:t xml:space="preserve"> poskytnuté investičních pobídky přispěly </w:t>
      </w:r>
      <w:r w:rsidR="00565AC8" w:rsidRPr="00F55090">
        <w:rPr>
          <w:color w:val="000000" w:themeColor="text1"/>
        </w:rPr>
        <w:t>k naplnění stanovených cílů.</w:t>
      </w:r>
      <w:r w:rsidR="007A31A8" w:rsidRPr="00F55090">
        <w:rPr>
          <w:color w:val="000000" w:themeColor="text1"/>
        </w:rPr>
        <w:t xml:space="preserve"> Nebyl např. vůbec uveden počet sku</w:t>
      </w:r>
      <w:r w:rsidR="00DB2C0C" w:rsidRPr="00F55090">
        <w:rPr>
          <w:color w:val="000000" w:themeColor="text1"/>
        </w:rPr>
        <w:t>tečně vzniklých pracovních míst</w:t>
      </w:r>
      <w:r w:rsidR="00DE1CDA" w:rsidRPr="00F55090">
        <w:rPr>
          <w:color w:val="000000" w:themeColor="text1"/>
        </w:rPr>
        <w:t>.</w:t>
      </w:r>
    </w:p>
    <w:p w14:paraId="7669B5ED" w14:textId="77777777" w:rsidR="00980BC7" w:rsidRPr="00F55090" w:rsidRDefault="009D52E0" w:rsidP="00136E6D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t xml:space="preserve">Jedním ze zdrojů dat pro zpracování </w:t>
      </w:r>
      <w:r w:rsidR="00721695" w:rsidRPr="00F55090">
        <w:rPr>
          <w:color w:val="000000" w:themeColor="text1"/>
        </w:rPr>
        <w:t>hodnocení</w:t>
      </w:r>
      <w:r w:rsidRPr="00F55090">
        <w:rPr>
          <w:color w:val="000000" w:themeColor="text1"/>
        </w:rPr>
        <w:t xml:space="preserve"> byly dotazníky rozeslané</w:t>
      </w:r>
      <w:r w:rsidR="00B37011" w:rsidRPr="00F55090">
        <w:rPr>
          <w:color w:val="000000" w:themeColor="text1"/>
        </w:rPr>
        <w:t xml:space="preserve"> externí společností</w:t>
      </w:r>
      <w:r w:rsidRPr="00F55090">
        <w:rPr>
          <w:color w:val="000000" w:themeColor="text1"/>
        </w:rPr>
        <w:t xml:space="preserve"> příjemcům investičních pobídek. MPO </w:t>
      </w:r>
      <w:r w:rsidR="00241F14" w:rsidRPr="00F55090">
        <w:rPr>
          <w:color w:val="000000" w:themeColor="text1"/>
        </w:rPr>
        <w:t>nepožádalo podle zákona příjemce k poskytnutí dat o stavu realizace investiční akce a skutečné výši čerpání podpory.</w:t>
      </w:r>
      <w:r w:rsidR="00980BC7" w:rsidRPr="00F55090">
        <w:rPr>
          <w:color w:val="000000" w:themeColor="text1"/>
        </w:rPr>
        <w:t xml:space="preserve"> Tuto záležitost MPO zcela</w:t>
      </w:r>
      <w:r w:rsidRPr="00F55090">
        <w:rPr>
          <w:color w:val="000000" w:themeColor="text1"/>
        </w:rPr>
        <w:t xml:space="preserve"> </w:t>
      </w:r>
      <w:r w:rsidR="00ED6DC5" w:rsidRPr="00F55090">
        <w:rPr>
          <w:color w:val="000000" w:themeColor="text1"/>
        </w:rPr>
        <w:t xml:space="preserve">nechalo </w:t>
      </w:r>
      <w:r w:rsidR="00980BC7" w:rsidRPr="00F55090">
        <w:rPr>
          <w:color w:val="000000" w:themeColor="text1"/>
        </w:rPr>
        <w:t xml:space="preserve">na </w:t>
      </w:r>
      <w:r w:rsidR="00721695" w:rsidRPr="00F55090">
        <w:rPr>
          <w:color w:val="000000" w:themeColor="text1"/>
        </w:rPr>
        <w:t xml:space="preserve">externí společnosti. </w:t>
      </w:r>
      <w:r w:rsidR="007A31A8" w:rsidRPr="00F55090">
        <w:rPr>
          <w:color w:val="000000" w:themeColor="text1"/>
        </w:rPr>
        <w:t>Data neposkytli všichni příjemci.</w:t>
      </w:r>
    </w:p>
    <w:p w14:paraId="50753317" w14:textId="36E7AE5C" w:rsidR="007A31A8" w:rsidRPr="00F55090" w:rsidRDefault="00991D5F" w:rsidP="00136E6D">
      <w:pPr>
        <w:pStyle w:val="Odstavecseseznamem"/>
        <w:numPr>
          <w:ilvl w:val="0"/>
          <w:numId w:val="36"/>
        </w:numPr>
        <w:tabs>
          <w:tab w:val="left" w:pos="284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t>V letech 2000 až 2020 příjemci plánovali realizovat investice s podporou investičních pobídek v objemu 700 mld. Kč a bylo plánováno vytvoření 137 tis</w:t>
      </w:r>
      <w:r w:rsidR="00A115A0">
        <w:rPr>
          <w:color w:val="000000" w:themeColor="text1"/>
        </w:rPr>
        <w:t>íců</w:t>
      </w:r>
      <w:r w:rsidRPr="00F55090">
        <w:rPr>
          <w:color w:val="000000" w:themeColor="text1"/>
        </w:rPr>
        <w:t xml:space="preserve"> nových pracovních míst. </w:t>
      </w:r>
      <w:r w:rsidR="00241F14" w:rsidRPr="00F55090">
        <w:rPr>
          <w:color w:val="000000" w:themeColor="text1"/>
        </w:rPr>
        <w:t>Reálně však příjemci měli povinnost splnit pouze minimální hodnoty objemu investice či počtu vytvořených pracovních míst dané zákonem popříp</w:t>
      </w:r>
      <w:r w:rsidR="00473FAE" w:rsidRPr="00F55090">
        <w:rPr>
          <w:color w:val="000000" w:themeColor="text1"/>
        </w:rPr>
        <w:t>adě nařízením vlády č. 221/2019 </w:t>
      </w:r>
      <w:r w:rsidR="00241F14" w:rsidRPr="00F55090">
        <w:rPr>
          <w:color w:val="000000" w:themeColor="text1"/>
        </w:rPr>
        <w:t>Sb</w:t>
      </w:r>
      <w:r w:rsidR="00473FAE" w:rsidRPr="00F55090">
        <w:rPr>
          <w:color w:val="000000" w:themeColor="text1"/>
        </w:rPr>
        <w:t>.</w:t>
      </w:r>
      <w:r w:rsidR="00241F14" w:rsidRPr="00F55090">
        <w:rPr>
          <w:color w:val="000000" w:themeColor="text1"/>
        </w:rPr>
        <w:t>, nikoliv naplnit plánované hodnoty.</w:t>
      </w:r>
      <w:r w:rsidR="00C37114" w:rsidRPr="00F55090">
        <w:rPr>
          <w:color w:val="000000" w:themeColor="text1"/>
        </w:rPr>
        <w:t xml:space="preserve"> </w:t>
      </w:r>
    </w:p>
    <w:p w14:paraId="3B35EC12" w14:textId="77777777" w:rsidR="00900023" w:rsidRPr="00F55090" w:rsidRDefault="00900023" w:rsidP="00136E6D">
      <w:pPr>
        <w:pStyle w:val="Odstavecseseznamem"/>
        <w:numPr>
          <w:ilvl w:val="0"/>
          <w:numId w:val="36"/>
        </w:numPr>
        <w:tabs>
          <w:tab w:val="left" w:pos="284"/>
          <w:tab w:val="left" w:pos="426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t>Z hodnocení zpracovaného v roce 2020 vyplynulo, že m</w:t>
      </w:r>
      <w:r w:rsidR="005546D1" w:rsidRPr="00F55090">
        <w:rPr>
          <w:color w:val="000000" w:themeColor="text1"/>
        </w:rPr>
        <w:t xml:space="preserve">ezi </w:t>
      </w:r>
      <w:r w:rsidR="00B92A7B" w:rsidRPr="00F55090">
        <w:rPr>
          <w:color w:val="000000" w:themeColor="text1"/>
        </w:rPr>
        <w:t>289</w:t>
      </w:r>
      <w:r w:rsidR="00C05951" w:rsidRPr="00F55090">
        <w:rPr>
          <w:color w:val="000000" w:themeColor="text1"/>
        </w:rPr>
        <w:t xml:space="preserve"> příjemci investičních pobídek </w:t>
      </w:r>
      <w:r w:rsidR="00083E4E" w:rsidRPr="00F55090">
        <w:rPr>
          <w:color w:val="000000" w:themeColor="text1"/>
        </w:rPr>
        <w:t>z let 2014 až 2019 do značné míry</w:t>
      </w:r>
      <w:r w:rsidR="00C05951" w:rsidRPr="00F55090">
        <w:rPr>
          <w:color w:val="000000" w:themeColor="text1"/>
        </w:rPr>
        <w:t xml:space="preserve"> </w:t>
      </w:r>
      <w:r w:rsidR="00B92A7B" w:rsidRPr="00F55090">
        <w:rPr>
          <w:color w:val="000000" w:themeColor="text1"/>
        </w:rPr>
        <w:t>převažovaly</w:t>
      </w:r>
      <w:r w:rsidR="00C05951" w:rsidRPr="00F55090">
        <w:rPr>
          <w:color w:val="000000" w:themeColor="text1"/>
        </w:rPr>
        <w:t xml:space="preserve"> velk</w:t>
      </w:r>
      <w:r w:rsidR="003F4BD9" w:rsidRPr="00F55090">
        <w:rPr>
          <w:color w:val="000000" w:themeColor="text1"/>
        </w:rPr>
        <w:t xml:space="preserve">é </w:t>
      </w:r>
      <w:r w:rsidRPr="00F55090">
        <w:rPr>
          <w:color w:val="000000" w:themeColor="text1"/>
        </w:rPr>
        <w:t xml:space="preserve">české </w:t>
      </w:r>
      <w:r w:rsidR="003F4BD9" w:rsidRPr="00F55090">
        <w:rPr>
          <w:color w:val="000000" w:themeColor="text1"/>
        </w:rPr>
        <w:t xml:space="preserve">podniky. </w:t>
      </w:r>
    </w:p>
    <w:p w14:paraId="1EAE4BE7" w14:textId="77777777" w:rsidR="00930F39" w:rsidRPr="00F55090" w:rsidRDefault="00900023" w:rsidP="00136E6D">
      <w:pPr>
        <w:pStyle w:val="Odstavecseseznamem"/>
        <w:numPr>
          <w:ilvl w:val="0"/>
          <w:numId w:val="36"/>
        </w:numPr>
        <w:tabs>
          <w:tab w:val="left" w:pos="284"/>
          <w:tab w:val="left" w:pos="426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</w:rPr>
        <w:t>Z hodnocení dále vyplynulo</w:t>
      </w:r>
      <w:r w:rsidR="007C7B5A" w:rsidRPr="00F55090">
        <w:rPr>
          <w:color w:val="000000" w:themeColor="text1"/>
        </w:rPr>
        <w:t xml:space="preserve">, že </w:t>
      </w:r>
      <w:r w:rsidR="00241F14" w:rsidRPr="00F55090">
        <w:rPr>
          <w:color w:val="000000" w:themeColor="text1"/>
        </w:rPr>
        <w:t xml:space="preserve">MPO nehodnotilo dopad investičních pobídek na ostatní podnikatele pobídkami nepodpořené. </w:t>
      </w:r>
      <w:r w:rsidR="00EA1B56" w:rsidRPr="00F55090">
        <w:rPr>
          <w:color w:val="000000" w:themeColor="text1"/>
        </w:rPr>
        <w:t xml:space="preserve"> </w:t>
      </w:r>
    </w:p>
    <w:p w14:paraId="1FA29CD6" w14:textId="77777777" w:rsidR="00900023" w:rsidRPr="00F55090" w:rsidRDefault="008E07F7" w:rsidP="00136E6D">
      <w:pPr>
        <w:pStyle w:val="Odstavecseseznamem"/>
        <w:numPr>
          <w:ilvl w:val="0"/>
          <w:numId w:val="36"/>
        </w:numPr>
        <w:tabs>
          <w:tab w:val="left" w:pos="284"/>
          <w:tab w:val="left" w:pos="426"/>
        </w:tabs>
        <w:spacing w:before="120" w:after="120" w:line="264" w:lineRule="auto"/>
        <w:ind w:left="0" w:firstLine="0"/>
        <w:contextualSpacing w:val="0"/>
        <w:rPr>
          <w:color w:val="000000" w:themeColor="text1"/>
        </w:rPr>
      </w:pPr>
      <w:r w:rsidRPr="00F55090">
        <w:rPr>
          <w:color w:val="000000" w:themeColor="text1"/>
          <w:lang w:eastAsia="cs-CZ"/>
        </w:rPr>
        <w:lastRenderedPageBreak/>
        <w:t>S příchodem podpořených společnosti vznikaly v regionech další dodatečné výdaje státního rozpočtu</w:t>
      </w:r>
      <w:r w:rsidR="002433BF" w:rsidRPr="00F55090">
        <w:rPr>
          <w:color w:val="000000" w:themeColor="text1"/>
          <w:lang w:eastAsia="cs-CZ"/>
        </w:rPr>
        <w:t xml:space="preserve">. </w:t>
      </w:r>
      <w:r w:rsidR="00555188" w:rsidRPr="00F55090">
        <w:rPr>
          <w:color w:val="000000" w:themeColor="text1"/>
          <w:lang w:eastAsia="cs-CZ"/>
        </w:rPr>
        <w:t>MPO</w:t>
      </w:r>
      <w:r w:rsidRPr="00F55090">
        <w:rPr>
          <w:color w:val="000000" w:themeColor="text1"/>
          <w:lang w:eastAsia="cs-CZ"/>
        </w:rPr>
        <w:t xml:space="preserve"> </w:t>
      </w:r>
      <w:r w:rsidR="00555188" w:rsidRPr="00F55090">
        <w:rPr>
          <w:color w:val="000000" w:themeColor="text1"/>
          <w:lang w:eastAsia="cs-CZ"/>
        </w:rPr>
        <w:t>ne</w:t>
      </w:r>
      <w:r w:rsidR="00121B98" w:rsidRPr="00F55090">
        <w:rPr>
          <w:color w:val="000000" w:themeColor="text1"/>
          <w:lang w:eastAsia="cs-CZ"/>
        </w:rPr>
        <w:t xml:space="preserve">sledovalo výši </w:t>
      </w:r>
      <w:r w:rsidRPr="00F55090">
        <w:rPr>
          <w:color w:val="000000" w:themeColor="text1"/>
          <w:lang w:eastAsia="cs-CZ"/>
        </w:rPr>
        <w:t xml:space="preserve">těchto </w:t>
      </w:r>
      <w:r w:rsidR="00121B98" w:rsidRPr="00F55090">
        <w:rPr>
          <w:color w:val="000000" w:themeColor="text1"/>
          <w:lang w:eastAsia="cs-CZ"/>
        </w:rPr>
        <w:t xml:space="preserve">výdajů </w:t>
      </w:r>
      <w:r w:rsidR="007C7B5A" w:rsidRPr="00F55090">
        <w:rPr>
          <w:color w:val="000000" w:themeColor="text1"/>
          <w:lang w:eastAsia="cs-CZ"/>
        </w:rPr>
        <w:t xml:space="preserve">a </w:t>
      </w:r>
      <w:r w:rsidR="00555188" w:rsidRPr="00F55090">
        <w:rPr>
          <w:color w:val="000000" w:themeColor="text1"/>
          <w:lang w:eastAsia="cs-CZ"/>
        </w:rPr>
        <w:t>nezapočítávalo je</w:t>
      </w:r>
      <w:r w:rsidR="00900023" w:rsidRPr="00F55090">
        <w:rPr>
          <w:color w:val="000000" w:themeColor="text1"/>
          <w:lang w:eastAsia="cs-CZ"/>
        </w:rPr>
        <w:t xml:space="preserve"> do výdajů státního rozpočtu na investiční pobídky.</w:t>
      </w:r>
    </w:p>
    <w:p w14:paraId="3C676EE5" w14:textId="77777777" w:rsidR="00CB419C" w:rsidRPr="00F55090" w:rsidRDefault="003410FA" w:rsidP="00136E6D">
      <w:pPr>
        <w:pStyle w:val="Odstavecseseznamem"/>
        <w:numPr>
          <w:ilvl w:val="0"/>
          <w:numId w:val="36"/>
        </w:numPr>
        <w:tabs>
          <w:tab w:val="left" w:pos="284"/>
          <w:tab w:val="left" w:pos="426"/>
        </w:tabs>
        <w:spacing w:before="120" w:after="120" w:line="264" w:lineRule="auto"/>
        <w:ind w:left="0" w:firstLine="0"/>
        <w:contextualSpacing w:val="0"/>
        <w:rPr>
          <w:color w:val="000000" w:themeColor="text1"/>
          <w:lang w:eastAsia="cs-CZ"/>
        </w:rPr>
      </w:pPr>
      <w:r w:rsidRPr="00F55090">
        <w:rPr>
          <w:color w:val="000000" w:themeColor="text1"/>
        </w:rPr>
        <w:t xml:space="preserve">U </w:t>
      </w:r>
      <w:r w:rsidR="00A12C51" w:rsidRPr="00F55090">
        <w:rPr>
          <w:color w:val="000000" w:themeColor="text1"/>
        </w:rPr>
        <w:t>vybraného vzorku 16</w:t>
      </w:r>
      <w:r w:rsidRPr="00F55090">
        <w:rPr>
          <w:color w:val="000000" w:themeColor="text1"/>
        </w:rPr>
        <w:t xml:space="preserve"> investičních pobídek NKÚ </w:t>
      </w:r>
      <w:r w:rsidR="00A12C51" w:rsidRPr="00F55090">
        <w:rPr>
          <w:color w:val="000000" w:themeColor="text1"/>
        </w:rPr>
        <w:t>nezjist</w:t>
      </w:r>
      <w:r w:rsidR="005A02E5" w:rsidRPr="00F55090">
        <w:rPr>
          <w:color w:val="000000" w:themeColor="text1"/>
        </w:rPr>
        <w:t>il u Agentury CzechInvest ani u </w:t>
      </w:r>
      <w:r w:rsidR="00A12C51" w:rsidRPr="00F55090">
        <w:rPr>
          <w:color w:val="000000" w:themeColor="text1"/>
        </w:rPr>
        <w:t>MPO formální pochybení.</w:t>
      </w:r>
    </w:p>
    <w:p w14:paraId="67162706" w14:textId="77777777" w:rsidR="002433BF" w:rsidRPr="00F55090" w:rsidRDefault="002433BF" w:rsidP="00F55090">
      <w:pPr>
        <w:pStyle w:val="Odstavecseseznamem"/>
        <w:spacing w:line="264" w:lineRule="auto"/>
        <w:ind w:left="0"/>
        <w:contextualSpacing w:val="0"/>
        <w:rPr>
          <w:color w:val="000000" w:themeColor="text1"/>
          <w:lang w:eastAsia="cs-CZ"/>
        </w:rPr>
      </w:pPr>
    </w:p>
    <w:p w14:paraId="57E3F73B" w14:textId="77777777" w:rsidR="009B3F22" w:rsidRPr="00F55090" w:rsidRDefault="009B3F22" w:rsidP="00F55090">
      <w:pPr>
        <w:spacing w:line="264" w:lineRule="auto"/>
        <w:rPr>
          <w:color w:val="000000" w:themeColor="text1"/>
          <w:lang w:eastAsia="cs-CZ"/>
        </w:rPr>
      </w:pPr>
    </w:p>
    <w:p w14:paraId="5F907B68" w14:textId="77777777" w:rsidR="00AB3724" w:rsidRPr="008952C0" w:rsidRDefault="00AB3724" w:rsidP="008952C0">
      <w:pPr>
        <w:pStyle w:val="Nadpis1"/>
        <w:spacing w:after="120" w:line="264" w:lineRule="auto"/>
        <w:rPr>
          <w:color w:val="000000" w:themeColor="text1"/>
          <w:sz w:val="28"/>
          <w:szCs w:val="24"/>
        </w:rPr>
      </w:pPr>
      <w:r w:rsidRPr="008952C0">
        <w:rPr>
          <w:color w:val="000000" w:themeColor="text1"/>
          <w:sz w:val="28"/>
          <w:szCs w:val="24"/>
        </w:rPr>
        <w:t>II. Informace o kontrolované oblasti</w:t>
      </w:r>
    </w:p>
    <w:p w14:paraId="44DB30FA" w14:textId="5EC73A6D" w:rsidR="00393DFB" w:rsidRPr="006F63D5" w:rsidRDefault="00393DFB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>Investiční po</w:t>
      </w:r>
      <w:r w:rsidR="00407605" w:rsidRPr="006F63D5">
        <w:rPr>
          <w:color w:val="000000" w:themeColor="text1"/>
        </w:rPr>
        <w:t>bídky jsou v ČR poskytovány</w:t>
      </w:r>
      <w:r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>od roku 1998</w:t>
      </w:r>
      <w:r w:rsidRPr="006F63D5">
        <w:rPr>
          <w:color w:val="000000" w:themeColor="text1"/>
        </w:rPr>
        <w:t>, kdy bylo schváleno usnesení vlády</w:t>
      </w:r>
      <w:r w:rsidR="003723CF" w:rsidRPr="006F63D5">
        <w:rPr>
          <w:color w:val="000000" w:themeColor="text1"/>
        </w:rPr>
        <w:t xml:space="preserve"> ČR</w:t>
      </w:r>
      <w:r w:rsidRPr="006F63D5">
        <w:rPr>
          <w:color w:val="000000" w:themeColor="text1"/>
        </w:rPr>
        <w:t xml:space="preserve"> ze dne 29. dubna 1998 č. 298</w:t>
      </w:r>
      <w:r w:rsidRPr="006F63D5">
        <w:rPr>
          <w:rStyle w:val="Znakapoznpodarou"/>
          <w:color w:val="000000" w:themeColor="text1"/>
        </w:rPr>
        <w:footnoteReference w:id="9"/>
      </w:r>
      <w:r w:rsidR="008A5519" w:rsidRPr="006F63D5">
        <w:rPr>
          <w:color w:val="000000" w:themeColor="text1"/>
        </w:rPr>
        <w:t xml:space="preserve">, </w:t>
      </w:r>
      <w:r w:rsidRPr="006F63D5">
        <w:rPr>
          <w:color w:val="000000" w:themeColor="text1"/>
        </w:rPr>
        <w:t xml:space="preserve">které umožnilo </w:t>
      </w:r>
      <w:r w:rsidR="00DB2C0C" w:rsidRPr="006F63D5">
        <w:rPr>
          <w:color w:val="000000" w:themeColor="text1"/>
        </w:rPr>
        <w:t xml:space="preserve">jejich poskytování </w:t>
      </w:r>
      <w:r w:rsidR="00EE589D" w:rsidRPr="006F63D5">
        <w:rPr>
          <w:color w:val="000000" w:themeColor="text1"/>
        </w:rPr>
        <w:t>do přijetí právní úpravy</w:t>
      </w:r>
      <w:r w:rsidRPr="006F63D5">
        <w:rPr>
          <w:color w:val="000000" w:themeColor="text1"/>
        </w:rPr>
        <w:t>.</w:t>
      </w:r>
      <w:r w:rsidR="00E83372" w:rsidRPr="006F63D5">
        <w:rPr>
          <w:color w:val="000000" w:themeColor="text1"/>
        </w:rPr>
        <w:t xml:space="preserve"> </w:t>
      </w:r>
      <w:r w:rsidR="00DB2C0C" w:rsidRPr="006F63D5">
        <w:rPr>
          <w:b/>
          <w:color w:val="000000" w:themeColor="text1"/>
        </w:rPr>
        <w:t>Od </w:t>
      </w:r>
      <w:r w:rsidR="00C53B74" w:rsidRPr="006F63D5">
        <w:rPr>
          <w:b/>
          <w:color w:val="000000" w:themeColor="text1"/>
        </w:rPr>
        <w:t>1. května 2000</w:t>
      </w:r>
      <w:r w:rsidR="002E39AF" w:rsidRPr="006F63D5">
        <w:rPr>
          <w:color w:val="000000" w:themeColor="text1"/>
        </w:rPr>
        <w:t xml:space="preserve"> je poskytování investičních pobídek upraveno </w:t>
      </w:r>
      <w:r w:rsidR="002E39AF" w:rsidRPr="006F63D5">
        <w:rPr>
          <w:b/>
          <w:color w:val="000000" w:themeColor="text1"/>
        </w:rPr>
        <w:t xml:space="preserve">zákonem </w:t>
      </w:r>
      <w:r w:rsidRPr="006F63D5">
        <w:rPr>
          <w:b/>
          <w:color w:val="000000" w:themeColor="text1"/>
        </w:rPr>
        <w:t>o</w:t>
      </w:r>
      <w:r w:rsidR="005A02E5" w:rsidRPr="006F63D5">
        <w:rPr>
          <w:b/>
          <w:color w:val="000000" w:themeColor="text1"/>
        </w:rPr>
        <w:t> </w:t>
      </w:r>
      <w:r w:rsidRPr="006F63D5">
        <w:rPr>
          <w:b/>
          <w:color w:val="000000" w:themeColor="text1"/>
        </w:rPr>
        <w:t>investičních pobídkách</w:t>
      </w:r>
      <w:r w:rsidR="00AB7755" w:rsidRPr="00C05A01">
        <w:rPr>
          <w:b/>
          <w:color w:val="000000" w:themeColor="text1"/>
        </w:rPr>
        <w:t>,</w:t>
      </w:r>
      <w:r w:rsidR="00AB7755" w:rsidRPr="006F63D5">
        <w:rPr>
          <w:color w:val="000000" w:themeColor="text1"/>
        </w:rPr>
        <w:t xml:space="preserve"> který </w:t>
      </w:r>
      <w:r w:rsidRPr="006F63D5">
        <w:rPr>
          <w:color w:val="000000" w:themeColor="text1"/>
        </w:rPr>
        <w:t xml:space="preserve">stanovuje </w:t>
      </w:r>
      <w:r w:rsidR="003877FB" w:rsidRPr="006F63D5">
        <w:rPr>
          <w:color w:val="000000" w:themeColor="text1"/>
        </w:rPr>
        <w:t xml:space="preserve">jejich </w:t>
      </w:r>
      <w:r w:rsidRPr="006F63D5">
        <w:rPr>
          <w:color w:val="000000" w:themeColor="text1"/>
        </w:rPr>
        <w:t>formy, podmínky</w:t>
      </w:r>
      <w:r w:rsidR="0026607D" w:rsidRPr="006F63D5">
        <w:rPr>
          <w:color w:val="000000" w:themeColor="text1"/>
        </w:rPr>
        <w:t>, za</w:t>
      </w:r>
      <w:r w:rsidR="006774BE">
        <w:rPr>
          <w:color w:val="000000" w:themeColor="text1"/>
        </w:rPr>
        <w:t xml:space="preserve"> </w:t>
      </w:r>
      <w:r w:rsidR="008A5519" w:rsidRPr="006F63D5">
        <w:rPr>
          <w:color w:val="000000" w:themeColor="text1"/>
        </w:rPr>
        <w:t xml:space="preserve">kterých </w:t>
      </w:r>
      <w:r w:rsidR="00166798" w:rsidRPr="006F63D5">
        <w:rPr>
          <w:color w:val="000000" w:themeColor="text1"/>
        </w:rPr>
        <w:t xml:space="preserve">je </w:t>
      </w:r>
      <w:r w:rsidR="008A5519" w:rsidRPr="006F63D5">
        <w:rPr>
          <w:color w:val="000000" w:themeColor="text1"/>
        </w:rPr>
        <w:t>lze poskytnout</w:t>
      </w:r>
      <w:r w:rsidRPr="006F63D5">
        <w:rPr>
          <w:color w:val="000000" w:themeColor="text1"/>
        </w:rPr>
        <w:t xml:space="preserve">, postup při jejich poskytování a výkon státní správy s tím související. </w:t>
      </w:r>
    </w:p>
    <w:p w14:paraId="27F2CBC0" w14:textId="74D7E3CA" w:rsidR="00680633" w:rsidRPr="006F63D5" w:rsidRDefault="00393DFB" w:rsidP="006F63D5">
      <w:pPr>
        <w:spacing w:after="120" w:line="264" w:lineRule="auto"/>
        <w:rPr>
          <w:b/>
          <w:color w:val="000000" w:themeColor="text1"/>
        </w:rPr>
      </w:pPr>
      <w:r w:rsidRPr="006F63D5">
        <w:rPr>
          <w:b/>
          <w:color w:val="000000" w:themeColor="text1"/>
        </w:rPr>
        <w:t xml:space="preserve">Investiční pobídky jsou určeny </w:t>
      </w:r>
      <w:r w:rsidRPr="006F63D5">
        <w:rPr>
          <w:color w:val="000000" w:themeColor="text1"/>
        </w:rPr>
        <w:t xml:space="preserve">tuzemským i zahraničním investorům na území ČR, bez ohledu na jejich velikost nebo právní formu. </w:t>
      </w:r>
      <w:r w:rsidR="004D1443" w:rsidRPr="006F63D5">
        <w:rPr>
          <w:b/>
          <w:color w:val="000000" w:themeColor="text1"/>
        </w:rPr>
        <w:t xml:space="preserve">Příjemcem </w:t>
      </w:r>
      <w:r w:rsidR="004D1443" w:rsidRPr="006F63D5">
        <w:rPr>
          <w:color w:val="000000" w:themeColor="text1"/>
        </w:rPr>
        <w:t xml:space="preserve">je podnikající právnická nebo fyzická osoba, které MPO vydalo </w:t>
      </w:r>
      <w:r w:rsidR="006774BE">
        <w:rPr>
          <w:b/>
          <w:color w:val="000000" w:themeColor="text1"/>
        </w:rPr>
        <w:t>r</w:t>
      </w:r>
      <w:r w:rsidR="004D1443" w:rsidRPr="006F63D5">
        <w:rPr>
          <w:b/>
          <w:color w:val="000000" w:themeColor="text1"/>
        </w:rPr>
        <w:t>ozhodnutí o příslibu investiční pobídky.</w:t>
      </w:r>
    </w:p>
    <w:p w14:paraId="287F51EE" w14:textId="194AA2D0" w:rsidR="00680633" w:rsidRPr="006F63D5" w:rsidRDefault="00585CE7" w:rsidP="006F63D5">
      <w:pPr>
        <w:spacing w:after="120" w:line="264" w:lineRule="auto"/>
        <w:rPr>
          <w:b/>
          <w:color w:val="000000" w:themeColor="text1"/>
        </w:rPr>
      </w:pPr>
      <w:r w:rsidRPr="006F63D5">
        <w:rPr>
          <w:color w:val="000000" w:themeColor="text1"/>
        </w:rPr>
        <w:t xml:space="preserve">Zákon o investičních pobídkách spadá do působnosti </w:t>
      </w:r>
      <w:r w:rsidRPr="006F63D5">
        <w:rPr>
          <w:b/>
          <w:color w:val="000000" w:themeColor="text1"/>
        </w:rPr>
        <w:t>MPO</w:t>
      </w:r>
      <w:r w:rsidRPr="00C05A01">
        <w:rPr>
          <w:b/>
          <w:color w:val="000000" w:themeColor="text1"/>
        </w:rPr>
        <w:t>,</w:t>
      </w:r>
      <w:r w:rsidRPr="006F63D5">
        <w:rPr>
          <w:color w:val="000000" w:themeColor="text1"/>
        </w:rPr>
        <w:t xml:space="preserve"> které ve spolupráci s dalšími dotčenými orgány</w:t>
      </w:r>
      <w:r w:rsidR="00EE589D" w:rsidRPr="006F63D5">
        <w:rPr>
          <w:color w:val="000000" w:themeColor="text1"/>
        </w:rPr>
        <w:t xml:space="preserve"> a subjekty</w:t>
      </w:r>
      <w:r w:rsidRPr="006F63D5">
        <w:rPr>
          <w:color w:val="000000" w:themeColor="text1"/>
        </w:rPr>
        <w:t xml:space="preserve"> posuzuje žádosti a </w:t>
      </w:r>
      <w:r w:rsidRPr="006F63D5">
        <w:rPr>
          <w:b/>
          <w:color w:val="000000" w:themeColor="text1"/>
        </w:rPr>
        <w:t>vydává</w:t>
      </w:r>
      <w:r w:rsidRPr="006F63D5">
        <w:rPr>
          <w:color w:val="000000" w:themeColor="text1"/>
        </w:rPr>
        <w:t xml:space="preserve"> </w:t>
      </w:r>
      <w:r w:rsidR="00C66541">
        <w:rPr>
          <w:b/>
          <w:color w:val="000000" w:themeColor="text1"/>
        </w:rPr>
        <w:t>r</w:t>
      </w:r>
      <w:r w:rsidRPr="006F63D5">
        <w:rPr>
          <w:b/>
          <w:color w:val="000000" w:themeColor="text1"/>
        </w:rPr>
        <w:t>ozhodnutí</w:t>
      </w:r>
      <w:r w:rsidR="005A02E5" w:rsidRPr="006F63D5">
        <w:rPr>
          <w:b/>
          <w:color w:val="000000" w:themeColor="text1"/>
        </w:rPr>
        <w:t xml:space="preserve"> o </w:t>
      </w:r>
      <w:r w:rsidRPr="006F63D5">
        <w:rPr>
          <w:b/>
          <w:color w:val="000000" w:themeColor="text1"/>
        </w:rPr>
        <w:t>příslibu investiční pobídky</w:t>
      </w:r>
      <w:r w:rsidRPr="006F63D5">
        <w:rPr>
          <w:color w:val="000000" w:themeColor="text1"/>
        </w:rPr>
        <w:t>. Dohlíží, aby nedocházelo k překročení přípustné</w:t>
      </w:r>
      <w:r w:rsidR="00B4263A" w:rsidRPr="006F63D5">
        <w:rPr>
          <w:color w:val="000000" w:themeColor="text1"/>
        </w:rPr>
        <w:t xml:space="preserve"> míry veřejné podpory stanovené</w:t>
      </w:r>
      <w:r w:rsidRPr="006F63D5">
        <w:rPr>
          <w:color w:val="000000" w:themeColor="text1"/>
        </w:rPr>
        <w:t xml:space="preserve"> </w:t>
      </w:r>
      <w:r w:rsidR="00EE589D" w:rsidRPr="006F63D5">
        <w:rPr>
          <w:color w:val="000000" w:themeColor="text1"/>
        </w:rPr>
        <w:t>právními předpisy Evropské unie</w:t>
      </w:r>
      <w:r w:rsidRPr="006F63D5">
        <w:rPr>
          <w:color w:val="000000" w:themeColor="text1"/>
        </w:rPr>
        <w:t xml:space="preserve">. Je </w:t>
      </w:r>
      <w:r w:rsidRPr="006F63D5">
        <w:rPr>
          <w:b/>
          <w:color w:val="000000" w:themeColor="text1"/>
        </w:rPr>
        <w:t>poskytovatelem investiční pobídky</w:t>
      </w:r>
      <w:r w:rsidRPr="006F63D5">
        <w:rPr>
          <w:color w:val="000000" w:themeColor="text1"/>
        </w:rPr>
        <w:t xml:space="preserve"> formou hmotné podpory pořízení dlouhodobého hmotného a </w:t>
      </w:r>
      <w:r w:rsidR="005A02E5" w:rsidRPr="006F63D5">
        <w:rPr>
          <w:color w:val="000000" w:themeColor="text1"/>
        </w:rPr>
        <w:t xml:space="preserve">nehmotného majetku </w:t>
      </w:r>
      <w:r w:rsidR="005A02E5" w:rsidRPr="006F63D5">
        <w:rPr>
          <w:b/>
          <w:color w:val="000000" w:themeColor="text1"/>
        </w:rPr>
        <w:t>pro</w:t>
      </w:r>
      <w:r w:rsidR="00B843C9">
        <w:rPr>
          <w:b/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>strategické investiční akce.</w:t>
      </w:r>
      <w:r w:rsidR="0049365C" w:rsidRPr="006F63D5">
        <w:rPr>
          <w:b/>
          <w:color w:val="000000" w:themeColor="text1"/>
        </w:rPr>
        <w:t xml:space="preserve"> </w:t>
      </w:r>
    </w:p>
    <w:p w14:paraId="3776CE62" w14:textId="77777777" w:rsidR="00585CE7" w:rsidRPr="006F63D5" w:rsidRDefault="00585CE7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 xml:space="preserve">Subjektem zmocněným zákonem o investičních pobídkách k příjmu záměrů získat investiční pobídku a ke zpracování posudků </w:t>
      </w:r>
      <w:r w:rsidR="000534E1" w:rsidRPr="006F63D5">
        <w:rPr>
          <w:color w:val="000000" w:themeColor="text1"/>
        </w:rPr>
        <w:t>k přijatým</w:t>
      </w:r>
      <w:r w:rsidRPr="006F63D5">
        <w:rPr>
          <w:color w:val="000000" w:themeColor="text1"/>
        </w:rPr>
        <w:t xml:space="preserve"> záměrů</w:t>
      </w:r>
      <w:r w:rsidR="000534E1" w:rsidRPr="006F63D5">
        <w:rPr>
          <w:color w:val="000000" w:themeColor="text1"/>
        </w:rPr>
        <w:t>m</w:t>
      </w:r>
      <w:r w:rsidRPr="006F63D5">
        <w:rPr>
          <w:color w:val="000000" w:themeColor="text1"/>
        </w:rPr>
        <w:t xml:space="preserve"> je </w:t>
      </w:r>
      <w:r w:rsidRPr="006F63D5">
        <w:rPr>
          <w:b/>
          <w:color w:val="000000" w:themeColor="text1"/>
        </w:rPr>
        <w:t>Agentura CzechInvest</w:t>
      </w:r>
      <w:r w:rsidRPr="00C05A01">
        <w:rPr>
          <w:b/>
          <w:color w:val="000000" w:themeColor="text1"/>
        </w:rPr>
        <w:t>,</w:t>
      </w:r>
      <w:r w:rsidRPr="006F63D5">
        <w:rPr>
          <w:color w:val="000000" w:themeColor="text1"/>
        </w:rPr>
        <w:t xml:space="preserve"> která je státní příspěvkovou organizací podřízenou MPO.</w:t>
      </w:r>
    </w:p>
    <w:p w14:paraId="63D864E9" w14:textId="77777777" w:rsidR="009262B5" w:rsidRPr="006F63D5" w:rsidRDefault="009262B5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 xml:space="preserve">Dalšími orgány a subjekty dotčenými zákonem jsou Ministerstvo práce a sociálních věcí, Ministerstvo financí, Ministerstvo zemědělství, Ministerstvo životního prostředí a </w:t>
      </w:r>
      <w:r w:rsidR="004E4466" w:rsidRPr="006F63D5">
        <w:rPr>
          <w:color w:val="000000" w:themeColor="text1"/>
        </w:rPr>
        <w:t>obce</w:t>
      </w:r>
      <w:r w:rsidRPr="006F63D5">
        <w:rPr>
          <w:color w:val="000000" w:themeColor="text1"/>
        </w:rPr>
        <w:t>.</w:t>
      </w:r>
    </w:p>
    <w:p w14:paraId="7FA41A47" w14:textId="77777777" w:rsidR="00393DFB" w:rsidRPr="006F63D5" w:rsidRDefault="00393DFB" w:rsidP="006867A7">
      <w:pPr>
        <w:keepNext/>
        <w:spacing w:after="120" w:line="264" w:lineRule="auto"/>
        <w:rPr>
          <w:color w:val="000000" w:themeColor="text1"/>
        </w:rPr>
      </w:pPr>
      <w:r w:rsidRPr="006F63D5">
        <w:rPr>
          <w:b/>
          <w:color w:val="000000" w:themeColor="text1"/>
        </w:rPr>
        <w:t>Dle zákona je investiční pobídkou veřejná podpora ve formě:</w:t>
      </w:r>
    </w:p>
    <w:p w14:paraId="55911B9D" w14:textId="77777777" w:rsidR="00393DFB" w:rsidRPr="006F63D5" w:rsidRDefault="00393DFB" w:rsidP="008952C0">
      <w:pPr>
        <w:pStyle w:val="Odstavecseseznamem"/>
        <w:numPr>
          <w:ilvl w:val="0"/>
          <w:numId w:val="37"/>
        </w:numPr>
        <w:tabs>
          <w:tab w:val="left" w:pos="284"/>
        </w:tabs>
        <w:spacing w:line="264" w:lineRule="auto"/>
        <w:ind w:left="284" w:hanging="284"/>
        <w:contextualSpacing w:val="0"/>
        <w:rPr>
          <w:color w:val="000000" w:themeColor="text1"/>
        </w:rPr>
      </w:pPr>
      <w:r w:rsidRPr="006F63D5">
        <w:rPr>
          <w:color w:val="000000" w:themeColor="text1"/>
        </w:rPr>
        <w:t>slevy na daních z příjmů,</w:t>
      </w:r>
    </w:p>
    <w:p w14:paraId="3ADD3FC2" w14:textId="77777777" w:rsidR="00393DFB" w:rsidRPr="006F63D5" w:rsidRDefault="00393DFB" w:rsidP="008952C0">
      <w:pPr>
        <w:pStyle w:val="Odstavecseseznamem"/>
        <w:numPr>
          <w:ilvl w:val="0"/>
          <w:numId w:val="37"/>
        </w:numPr>
        <w:tabs>
          <w:tab w:val="left" w:pos="284"/>
        </w:tabs>
        <w:spacing w:line="264" w:lineRule="auto"/>
        <w:ind w:left="284" w:hanging="284"/>
        <w:contextualSpacing w:val="0"/>
        <w:rPr>
          <w:color w:val="000000" w:themeColor="text1"/>
        </w:rPr>
      </w:pPr>
      <w:r w:rsidRPr="006F63D5">
        <w:rPr>
          <w:color w:val="000000" w:themeColor="text1"/>
        </w:rPr>
        <w:t>převodu pozemků včetně související infrastruktury za zvýhodněnou cenu,</w:t>
      </w:r>
    </w:p>
    <w:p w14:paraId="54E3DAA1" w14:textId="77777777" w:rsidR="00393DFB" w:rsidRPr="006F63D5" w:rsidRDefault="00393DFB" w:rsidP="008952C0">
      <w:pPr>
        <w:pStyle w:val="Odstavecseseznamem"/>
        <w:numPr>
          <w:ilvl w:val="0"/>
          <w:numId w:val="37"/>
        </w:numPr>
        <w:tabs>
          <w:tab w:val="left" w:pos="284"/>
        </w:tabs>
        <w:spacing w:line="264" w:lineRule="auto"/>
        <w:ind w:left="284" w:hanging="284"/>
        <w:contextualSpacing w:val="0"/>
        <w:rPr>
          <w:color w:val="000000" w:themeColor="text1"/>
        </w:rPr>
      </w:pPr>
      <w:r w:rsidRPr="006F63D5">
        <w:rPr>
          <w:color w:val="000000" w:themeColor="text1"/>
        </w:rPr>
        <w:t>hmotné podpory vytváření nových pracovních míst,</w:t>
      </w:r>
    </w:p>
    <w:p w14:paraId="44473492" w14:textId="77777777" w:rsidR="00393DFB" w:rsidRPr="006F63D5" w:rsidRDefault="00393DFB" w:rsidP="008952C0">
      <w:pPr>
        <w:pStyle w:val="Odstavecseseznamem"/>
        <w:numPr>
          <w:ilvl w:val="0"/>
          <w:numId w:val="37"/>
        </w:numPr>
        <w:tabs>
          <w:tab w:val="left" w:pos="284"/>
        </w:tabs>
        <w:spacing w:line="264" w:lineRule="auto"/>
        <w:ind w:left="284" w:hanging="284"/>
        <w:contextualSpacing w:val="0"/>
        <w:rPr>
          <w:color w:val="000000" w:themeColor="text1"/>
        </w:rPr>
      </w:pPr>
      <w:r w:rsidRPr="006F63D5">
        <w:rPr>
          <w:color w:val="000000" w:themeColor="text1"/>
        </w:rPr>
        <w:t>hmotné podpory rekvalifikace nebo školení zaměstnanců,</w:t>
      </w:r>
    </w:p>
    <w:p w14:paraId="7AB895F5" w14:textId="2BD605D7" w:rsidR="00393DFB" w:rsidRPr="006F63D5" w:rsidRDefault="00393DFB" w:rsidP="008952C0">
      <w:pPr>
        <w:pStyle w:val="Odstavecseseznamem"/>
        <w:numPr>
          <w:ilvl w:val="0"/>
          <w:numId w:val="37"/>
        </w:numPr>
        <w:tabs>
          <w:tab w:val="left" w:pos="284"/>
        </w:tabs>
        <w:spacing w:line="264" w:lineRule="auto"/>
        <w:ind w:left="284" w:hanging="284"/>
        <w:contextualSpacing w:val="0"/>
        <w:rPr>
          <w:color w:val="000000" w:themeColor="text1"/>
        </w:rPr>
      </w:pPr>
      <w:r w:rsidRPr="006F63D5">
        <w:rPr>
          <w:color w:val="000000" w:themeColor="text1"/>
        </w:rPr>
        <w:t>hmotné podpory pořízení dlouhodobého hmotného a nehmotného majetku pro</w:t>
      </w:r>
      <w:r w:rsidR="00C66541">
        <w:rPr>
          <w:color w:val="000000" w:themeColor="text1"/>
        </w:rPr>
        <w:t xml:space="preserve"> </w:t>
      </w:r>
      <w:r w:rsidRPr="006F63D5">
        <w:rPr>
          <w:color w:val="000000" w:themeColor="text1"/>
        </w:rPr>
        <w:t xml:space="preserve">strategickou investiční akci, </w:t>
      </w:r>
    </w:p>
    <w:p w14:paraId="165DDECE" w14:textId="77777777" w:rsidR="007274E9" w:rsidRPr="006F63D5" w:rsidRDefault="00393DFB" w:rsidP="008952C0">
      <w:pPr>
        <w:pStyle w:val="Odstavecseseznamem"/>
        <w:numPr>
          <w:ilvl w:val="0"/>
          <w:numId w:val="37"/>
        </w:numPr>
        <w:tabs>
          <w:tab w:val="left" w:pos="284"/>
        </w:tabs>
        <w:spacing w:after="120" w:line="264" w:lineRule="auto"/>
        <w:ind w:left="284" w:hanging="284"/>
        <w:contextualSpacing w:val="0"/>
        <w:rPr>
          <w:color w:val="000000" w:themeColor="text1"/>
        </w:rPr>
      </w:pPr>
      <w:r w:rsidRPr="006F63D5">
        <w:rPr>
          <w:color w:val="000000" w:themeColor="text1"/>
        </w:rPr>
        <w:lastRenderedPageBreak/>
        <w:t>osvobození od daně z nemovitých věcí ve zvýhodněných průmyslových zónách</w:t>
      </w:r>
      <w:r w:rsidRPr="006F63D5">
        <w:rPr>
          <w:rStyle w:val="Znakapoznpodarou"/>
          <w:color w:val="000000" w:themeColor="text1"/>
        </w:rPr>
        <w:footnoteReference w:id="10"/>
      </w:r>
      <w:r w:rsidRPr="006F63D5">
        <w:rPr>
          <w:color w:val="000000" w:themeColor="text1"/>
        </w:rPr>
        <w:t>.</w:t>
      </w:r>
    </w:p>
    <w:p w14:paraId="2A392F9F" w14:textId="77777777" w:rsidR="008A5519" w:rsidRPr="006F63D5" w:rsidRDefault="008A5519" w:rsidP="006F63D5">
      <w:pPr>
        <w:autoSpaceDE w:val="0"/>
        <w:autoSpaceDN w:val="0"/>
        <w:adjustRightInd w:val="0"/>
        <w:spacing w:after="120" w:line="264" w:lineRule="auto"/>
        <w:rPr>
          <w:color w:val="000000" w:themeColor="text1"/>
        </w:rPr>
      </w:pPr>
      <w:r w:rsidRPr="006F63D5">
        <w:rPr>
          <w:b/>
          <w:color w:val="000000" w:themeColor="text1"/>
        </w:rPr>
        <w:t>Od roku 2000</w:t>
      </w:r>
      <w:r w:rsidRPr="006F63D5">
        <w:rPr>
          <w:color w:val="000000" w:themeColor="text1"/>
        </w:rPr>
        <w:t xml:space="preserve"> bylo možné investiční pobídku získat </w:t>
      </w:r>
      <w:r w:rsidRPr="006F63D5">
        <w:rPr>
          <w:b/>
          <w:color w:val="000000" w:themeColor="text1"/>
        </w:rPr>
        <w:t>jen v oborech zpracovatelského průmyslu</w:t>
      </w:r>
      <w:r w:rsidRPr="00C05A01">
        <w:rPr>
          <w:b/>
          <w:color w:val="000000" w:themeColor="text1"/>
        </w:rPr>
        <w:t>.</w:t>
      </w:r>
      <w:r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 xml:space="preserve">Od roku 2012 </w:t>
      </w:r>
      <w:r w:rsidRPr="006F63D5">
        <w:rPr>
          <w:color w:val="000000" w:themeColor="text1"/>
        </w:rPr>
        <w:t xml:space="preserve">umožňuje zákon získat investiční pobídku </w:t>
      </w:r>
      <w:r w:rsidR="00AE49F2" w:rsidRPr="006F63D5">
        <w:rPr>
          <w:b/>
          <w:color w:val="000000" w:themeColor="text1"/>
        </w:rPr>
        <w:t>navíc</w:t>
      </w:r>
      <w:r w:rsidR="00AE49F2" w:rsidRPr="006F63D5">
        <w:rPr>
          <w:color w:val="000000" w:themeColor="text1"/>
        </w:rPr>
        <w:t xml:space="preserve"> </w:t>
      </w:r>
      <w:r w:rsidR="00EC581C" w:rsidRPr="006F63D5">
        <w:rPr>
          <w:b/>
          <w:color w:val="000000" w:themeColor="text1"/>
        </w:rPr>
        <w:t>i</w:t>
      </w:r>
      <w:r w:rsidR="00E21168" w:rsidRPr="006F63D5">
        <w:rPr>
          <w:b/>
          <w:color w:val="000000" w:themeColor="text1"/>
        </w:rPr>
        <w:t> </w:t>
      </w:r>
      <w:r w:rsidRPr="006F63D5">
        <w:rPr>
          <w:b/>
          <w:color w:val="000000" w:themeColor="text1"/>
        </w:rPr>
        <w:t>v technologických centrech</w:t>
      </w:r>
      <w:r w:rsidR="007274E9" w:rsidRPr="006F63D5">
        <w:rPr>
          <w:rStyle w:val="Znakapoznpodarou"/>
          <w:b/>
          <w:color w:val="000000" w:themeColor="text1"/>
        </w:rPr>
        <w:footnoteReference w:id="11"/>
      </w:r>
      <w:r w:rsidRPr="006F63D5">
        <w:rPr>
          <w:b/>
          <w:color w:val="000000" w:themeColor="text1"/>
        </w:rPr>
        <w:t xml:space="preserve"> a </w:t>
      </w:r>
      <w:r w:rsidR="00AE49F2" w:rsidRPr="006F63D5">
        <w:rPr>
          <w:b/>
          <w:color w:val="000000" w:themeColor="text1"/>
        </w:rPr>
        <w:t>v centrech strategických služeb</w:t>
      </w:r>
      <w:r w:rsidR="007274E9" w:rsidRPr="006F63D5">
        <w:rPr>
          <w:rStyle w:val="Znakapoznpodarou"/>
          <w:b/>
          <w:color w:val="000000" w:themeColor="text1"/>
        </w:rPr>
        <w:footnoteReference w:id="12"/>
      </w:r>
      <w:r w:rsidR="00AE49F2" w:rsidRPr="006F63D5">
        <w:rPr>
          <w:color w:val="000000" w:themeColor="text1"/>
        </w:rPr>
        <w:t>.</w:t>
      </w:r>
      <w:r w:rsidR="008E07F7" w:rsidRPr="006F63D5">
        <w:rPr>
          <w:color w:val="000000" w:themeColor="text1"/>
        </w:rPr>
        <w:t xml:space="preserve"> </w:t>
      </w:r>
    </w:p>
    <w:p w14:paraId="6EE4B5BC" w14:textId="67434FEE" w:rsidR="00A5646F" w:rsidRPr="006F63D5" w:rsidRDefault="00A5646F" w:rsidP="006F63D5">
      <w:pPr>
        <w:autoSpaceDE w:val="0"/>
        <w:autoSpaceDN w:val="0"/>
        <w:adjustRightInd w:val="0"/>
        <w:spacing w:after="120" w:line="264" w:lineRule="auto"/>
        <w:rPr>
          <w:color w:val="000000" w:themeColor="text1"/>
          <w:lang w:eastAsia="cs-CZ"/>
        </w:rPr>
      </w:pPr>
      <w:r w:rsidRPr="006F63D5">
        <w:rPr>
          <w:color w:val="000000" w:themeColor="text1"/>
          <w:lang w:eastAsia="cs-CZ"/>
        </w:rPr>
        <w:t>V případě, že v </w:t>
      </w:r>
      <w:r w:rsidR="007362C2">
        <w:rPr>
          <w:color w:val="000000" w:themeColor="text1"/>
          <w:lang w:eastAsia="cs-CZ"/>
        </w:rPr>
        <w:t>r</w:t>
      </w:r>
      <w:r w:rsidRPr="006F63D5">
        <w:rPr>
          <w:color w:val="000000" w:themeColor="text1"/>
          <w:lang w:eastAsia="cs-CZ"/>
        </w:rPr>
        <w:t xml:space="preserve">ozhodnutí o příslibu investiční pobídky MPO přislíbí </w:t>
      </w:r>
      <w:r w:rsidR="003877FB" w:rsidRPr="006F63D5">
        <w:rPr>
          <w:color w:val="000000" w:themeColor="text1"/>
          <w:lang w:eastAsia="cs-CZ"/>
        </w:rPr>
        <w:t>hmotnou podporu</w:t>
      </w:r>
      <w:r w:rsidR="002E39AF" w:rsidRPr="006F63D5">
        <w:rPr>
          <w:color w:val="000000" w:themeColor="text1"/>
          <w:lang w:eastAsia="cs-CZ"/>
        </w:rPr>
        <w:t>, uzavírá</w:t>
      </w:r>
      <w:r w:rsidRPr="006F63D5">
        <w:rPr>
          <w:color w:val="000000" w:themeColor="text1"/>
          <w:lang w:eastAsia="cs-CZ"/>
        </w:rPr>
        <w:t xml:space="preserve"> příjemce</w:t>
      </w:r>
      <w:r w:rsidR="006120D0" w:rsidRPr="006F63D5">
        <w:rPr>
          <w:color w:val="000000" w:themeColor="text1"/>
          <w:lang w:eastAsia="cs-CZ"/>
        </w:rPr>
        <w:t xml:space="preserve"> </w:t>
      </w:r>
      <w:r w:rsidRPr="006F63D5">
        <w:rPr>
          <w:b/>
          <w:color w:val="000000" w:themeColor="text1"/>
          <w:lang w:eastAsia="cs-CZ"/>
        </w:rPr>
        <w:t>dohodu o poskytnutí hmotné podpory</w:t>
      </w:r>
      <w:r w:rsidRPr="006F63D5">
        <w:rPr>
          <w:color w:val="000000" w:themeColor="text1"/>
          <w:lang w:eastAsia="cs-CZ"/>
        </w:rPr>
        <w:t xml:space="preserve"> s příslušným </w:t>
      </w:r>
      <w:r w:rsidR="00AE49F2" w:rsidRPr="006F63D5">
        <w:rPr>
          <w:color w:val="000000" w:themeColor="text1"/>
          <w:lang w:eastAsia="cs-CZ"/>
        </w:rPr>
        <w:t>státním orgánem</w:t>
      </w:r>
      <w:r w:rsidR="00436B83" w:rsidRPr="006F63D5">
        <w:rPr>
          <w:color w:val="000000" w:themeColor="text1"/>
          <w:lang w:eastAsia="cs-CZ"/>
        </w:rPr>
        <w:t xml:space="preserve">. </w:t>
      </w:r>
      <w:r w:rsidRPr="006F63D5">
        <w:rPr>
          <w:color w:val="000000" w:themeColor="text1"/>
          <w:lang w:eastAsia="cs-CZ"/>
        </w:rPr>
        <w:t xml:space="preserve">V případě investiční pobídky formou hmotné podpory </w:t>
      </w:r>
      <w:r w:rsidRPr="006F63D5">
        <w:rPr>
          <w:b/>
          <w:color w:val="000000" w:themeColor="text1"/>
          <w:lang w:eastAsia="cs-CZ"/>
        </w:rPr>
        <w:t>pořízení dlouhodobého hmotného a</w:t>
      </w:r>
      <w:r w:rsidR="006D4E62" w:rsidRPr="006F63D5">
        <w:rPr>
          <w:b/>
          <w:color w:val="000000" w:themeColor="text1"/>
          <w:lang w:eastAsia="cs-CZ"/>
        </w:rPr>
        <w:t> </w:t>
      </w:r>
      <w:r w:rsidRPr="006F63D5">
        <w:rPr>
          <w:b/>
          <w:color w:val="000000" w:themeColor="text1"/>
          <w:lang w:eastAsia="cs-CZ"/>
        </w:rPr>
        <w:t>nehmotného majetku</w:t>
      </w:r>
      <w:r w:rsidR="00436B83" w:rsidRPr="006F63D5">
        <w:rPr>
          <w:color w:val="000000" w:themeColor="text1"/>
          <w:lang w:eastAsia="cs-CZ"/>
        </w:rPr>
        <w:t xml:space="preserve"> </w:t>
      </w:r>
      <w:r w:rsidR="002E39AF" w:rsidRPr="006F63D5">
        <w:rPr>
          <w:color w:val="000000" w:themeColor="text1"/>
          <w:lang w:eastAsia="cs-CZ"/>
        </w:rPr>
        <w:t>uzavírá příjemce</w:t>
      </w:r>
      <w:r w:rsidR="00436B83" w:rsidRPr="006F63D5">
        <w:rPr>
          <w:color w:val="000000" w:themeColor="text1"/>
          <w:lang w:eastAsia="cs-CZ"/>
        </w:rPr>
        <w:t xml:space="preserve"> </w:t>
      </w:r>
      <w:r w:rsidR="00436B83" w:rsidRPr="006F63D5">
        <w:rPr>
          <w:b/>
          <w:color w:val="000000" w:themeColor="text1"/>
          <w:lang w:eastAsia="cs-CZ"/>
        </w:rPr>
        <w:t>dohodu s</w:t>
      </w:r>
      <w:r w:rsidR="00AE49F2" w:rsidRPr="006F63D5">
        <w:rPr>
          <w:b/>
          <w:color w:val="000000" w:themeColor="text1"/>
          <w:lang w:eastAsia="cs-CZ"/>
        </w:rPr>
        <w:t> </w:t>
      </w:r>
      <w:r w:rsidR="00436B83" w:rsidRPr="006F63D5">
        <w:rPr>
          <w:b/>
          <w:color w:val="000000" w:themeColor="text1"/>
          <w:lang w:eastAsia="cs-CZ"/>
        </w:rPr>
        <w:t>MPO</w:t>
      </w:r>
      <w:r w:rsidR="00AE49F2" w:rsidRPr="00C05A01">
        <w:rPr>
          <w:b/>
          <w:color w:val="000000" w:themeColor="text1"/>
          <w:lang w:eastAsia="cs-CZ"/>
        </w:rPr>
        <w:t>,</w:t>
      </w:r>
      <w:r w:rsidR="00AE49F2" w:rsidRPr="006F63D5">
        <w:rPr>
          <w:color w:val="000000" w:themeColor="text1"/>
          <w:lang w:eastAsia="cs-CZ"/>
        </w:rPr>
        <w:t xml:space="preserve"> které tuto formu i vyplácí</w:t>
      </w:r>
      <w:r w:rsidR="00436B83" w:rsidRPr="006F63D5">
        <w:rPr>
          <w:color w:val="000000" w:themeColor="text1"/>
          <w:lang w:eastAsia="cs-CZ"/>
        </w:rPr>
        <w:t xml:space="preserve">. </w:t>
      </w:r>
      <w:r w:rsidR="006120D0" w:rsidRPr="006F63D5">
        <w:rPr>
          <w:color w:val="000000" w:themeColor="text1"/>
          <w:lang w:eastAsia="cs-CZ"/>
        </w:rPr>
        <w:t xml:space="preserve">V případě </w:t>
      </w:r>
      <w:r w:rsidR="006120D0" w:rsidRPr="006F63D5">
        <w:rPr>
          <w:b/>
          <w:color w:val="000000" w:themeColor="text1"/>
          <w:lang w:eastAsia="cs-CZ"/>
        </w:rPr>
        <w:t>hmotné podpory vytváření nových pracovních míst</w:t>
      </w:r>
      <w:r w:rsidR="006120D0" w:rsidRPr="006F63D5">
        <w:rPr>
          <w:color w:val="000000" w:themeColor="text1"/>
          <w:lang w:eastAsia="cs-CZ"/>
        </w:rPr>
        <w:t xml:space="preserve"> a hmotné podpory rekvalifikace nebo školení nových zaměstnanců </w:t>
      </w:r>
      <w:r w:rsidR="002E39AF" w:rsidRPr="006F63D5">
        <w:rPr>
          <w:color w:val="000000" w:themeColor="text1"/>
          <w:lang w:eastAsia="cs-CZ"/>
        </w:rPr>
        <w:t>uzavírá příjemce</w:t>
      </w:r>
      <w:r w:rsidR="00436B83" w:rsidRPr="006F63D5">
        <w:rPr>
          <w:color w:val="000000" w:themeColor="text1"/>
          <w:lang w:eastAsia="cs-CZ"/>
        </w:rPr>
        <w:t xml:space="preserve"> </w:t>
      </w:r>
      <w:r w:rsidR="00436B83" w:rsidRPr="006F63D5">
        <w:rPr>
          <w:b/>
          <w:color w:val="000000" w:themeColor="text1"/>
          <w:lang w:eastAsia="cs-CZ"/>
        </w:rPr>
        <w:t xml:space="preserve">dohodu </w:t>
      </w:r>
      <w:r w:rsidR="006120D0" w:rsidRPr="006F63D5">
        <w:rPr>
          <w:b/>
          <w:color w:val="000000" w:themeColor="text1"/>
          <w:lang w:eastAsia="cs-CZ"/>
        </w:rPr>
        <w:t>s Úřadem práce České repu</w:t>
      </w:r>
      <w:r w:rsidR="00436B83" w:rsidRPr="006F63D5">
        <w:rPr>
          <w:b/>
          <w:color w:val="000000" w:themeColor="text1"/>
          <w:lang w:eastAsia="cs-CZ"/>
        </w:rPr>
        <w:t>bliky</w:t>
      </w:r>
      <w:r w:rsidR="00436B83" w:rsidRPr="006F63D5">
        <w:rPr>
          <w:color w:val="000000" w:themeColor="text1"/>
          <w:lang w:eastAsia="cs-CZ"/>
        </w:rPr>
        <w:t xml:space="preserve"> – generálním ředitelstvím a </w:t>
      </w:r>
      <w:r w:rsidR="00121B98" w:rsidRPr="006F63D5">
        <w:rPr>
          <w:color w:val="000000" w:themeColor="text1"/>
          <w:lang w:eastAsia="cs-CZ"/>
        </w:rPr>
        <w:t>i</w:t>
      </w:r>
      <w:r w:rsidR="006120D0" w:rsidRPr="006F63D5">
        <w:rPr>
          <w:color w:val="000000" w:themeColor="text1"/>
          <w:lang w:eastAsia="cs-CZ"/>
        </w:rPr>
        <w:t>nvestiční pobídka je vyplácena z rozpočtu Ministerstva práce a sociálních věcí.</w:t>
      </w:r>
    </w:p>
    <w:p w14:paraId="571CD85E" w14:textId="77777777" w:rsidR="00083E4E" w:rsidRPr="006F63D5" w:rsidRDefault="006120D0" w:rsidP="006F63D5">
      <w:pPr>
        <w:autoSpaceDE w:val="0"/>
        <w:autoSpaceDN w:val="0"/>
        <w:adjustRightInd w:val="0"/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 xml:space="preserve">Investiční pobídky jsou </w:t>
      </w:r>
      <w:r w:rsidRPr="006F63D5">
        <w:rPr>
          <w:b/>
          <w:color w:val="000000" w:themeColor="text1"/>
        </w:rPr>
        <w:t>formou veřejné podpory</w:t>
      </w:r>
      <w:r w:rsidRPr="00C05A01">
        <w:rPr>
          <w:b/>
          <w:color w:val="000000" w:themeColor="text1"/>
        </w:rPr>
        <w:t>.</w:t>
      </w:r>
      <w:r w:rsidRPr="006F63D5">
        <w:rPr>
          <w:color w:val="000000" w:themeColor="text1"/>
        </w:rPr>
        <w:t xml:space="preserve"> </w:t>
      </w:r>
      <w:r w:rsidR="001E630A" w:rsidRPr="006F63D5">
        <w:rPr>
          <w:color w:val="000000" w:themeColor="text1"/>
        </w:rPr>
        <w:t xml:space="preserve">Patří </w:t>
      </w:r>
      <w:r w:rsidRPr="006F63D5">
        <w:rPr>
          <w:color w:val="000000" w:themeColor="text1"/>
        </w:rPr>
        <w:t>do kategorie regionální investiční podpory, kromě inves</w:t>
      </w:r>
      <w:r w:rsidRPr="006F63D5">
        <w:rPr>
          <w:color w:val="000000" w:themeColor="text1"/>
          <w:lang w:eastAsia="cs-CZ"/>
        </w:rPr>
        <w:t>tičních pobídek poskytnutých formou hmotné podpory rekvalifikace nebo školení zaměstnanců</w:t>
      </w:r>
      <w:r w:rsidR="002E39AF" w:rsidRPr="006F63D5">
        <w:rPr>
          <w:color w:val="000000" w:themeColor="text1"/>
          <w:lang w:eastAsia="cs-CZ"/>
        </w:rPr>
        <w:t>, které spadají</w:t>
      </w:r>
      <w:r w:rsidRPr="006F63D5">
        <w:rPr>
          <w:color w:val="000000" w:themeColor="text1"/>
          <w:lang w:eastAsia="cs-CZ"/>
        </w:rPr>
        <w:t xml:space="preserve"> do kategorie podpory vzdělávání. </w:t>
      </w:r>
      <w:r w:rsidRPr="006F63D5">
        <w:rPr>
          <w:b/>
          <w:color w:val="000000" w:themeColor="text1"/>
        </w:rPr>
        <w:t>Evropská komise</w:t>
      </w:r>
      <w:r w:rsidRPr="006F63D5">
        <w:rPr>
          <w:color w:val="000000" w:themeColor="text1"/>
        </w:rPr>
        <w:t xml:space="preserve"> svým rozhodnutím ze dne 4. února 2014 </w:t>
      </w:r>
      <w:r w:rsidRPr="006F63D5">
        <w:rPr>
          <w:b/>
          <w:color w:val="000000" w:themeColor="text1"/>
        </w:rPr>
        <w:t>schválila mapu regionální podpory</w:t>
      </w:r>
      <w:r w:rsidRPr="006F63D5">
        <w:rPr>
          <w:color w:val="000000" w:themeColor="text1"/>
        </w:rPr>
        <w:t xml:space="preserve"> pro Českou republiku. </w:t>
      </w:r>
      <w:r w:rsidR="00EC581C" w:rsidRPr="006F63D5">
        <w:rPr>
          <w:color w:val="000000" w:themeColor="text1"/>
        </w:rPr>
        <w:t xml:space="preserve">Pro období 2014 až </w:t>
      </w:r>
      <w:r w:rsidRPr="006F63D5">
        <w:rPr>
          <w:color w:val="000000" w:themeColor="text1"/>
        </w:rPr>
        <w:t xml:space="preserve">2020 Evropská komise odsouhlasila </w:t>
      </w:r>
      <w:r w:rsidR="00B15594" w:rsidRPr="006F63D5">
        <w:rPr>
          <w:color w:val="000000" w:themeColor="text1"/>
        </w:rPr>
        <w:t xml:space="preserve">od </w:t>
      </w:r>
      <w:r w:rsidRPr="006F63D5">
        <w:rPr>
          <w:color w:val="000000" w:themeColor="text1"/>
        </w:rPr>
        <w:t>1. července 2014 ve všech regionech NUTS 2 (s výjimkou Prahy</w:t>
      </w:r>
      <w:r w:rsidR="00147093" w:rsidRPr="006F63D5">
        <w:rPr>
          <w:color w:val="000000" w:themeColor="text1"/>
        </w:rPr>
        <w:t xml:space="preserve">, </w:t>
      </w:r>
      <w:r w:rsidR="00EC581C" w:rsidRPr="006F63D5">
        <w:rPr>
          <w:color w:val="000000" w:themeColor="text1"/>
          <w:lang w:eastAsia="cs-CZ"/>
        </w:rPr>
        <w:t>která</w:t>
      </w:r>
      <w:r w:rsidR="00147093" w:rsidRPr="006F63D5">
        <w:rPr>
          <w:color w:val="000000" w:themeColor="text1"/>
          <w:lang w:eastAsia="cs-CZ"/>
        </w:rPr>
        <w:t xml:space="preserve"> je z regionální veřejné podpory vyloučen</w:t>
      </w:r>
      <w:r w:rsidR="00EC581C" w:rsidRPr="006F63D5">
        <w:rPr>
          <w:color w:val="000000" w:themeColor="text1"/>
          <w:lang w:eastAsia="cs-CZ"/>
        </w:rPr>
        <w:t>a</w:t>
      </w:r>
      <w:r w:rsidR="00147093" w:rsidRPr="006F63D5">
        <w:rPr>
          <w:color w:val="000000" w:themeColor="text1"/>
          <w:lang w:eastAsia="cs-CZ"/>
        </w:rPr>
        <w:t xml:space="preserve"> kvůli své vysoké rozvinutosti</w:t>
      </w:r>
      <w:r w:rsidRPr="006F63D5">
        <w:rPr>
          <w:color w:val="000000" w:themeColor="text1"/>
        </w:rPr>
        <w:t xml:space="preserve">) </w:t>
      </w:r>
      <w:r w:rsidRPr="006F63D5">
        <w:rPr>
          <w:b/>
          <w:color w:val="000000" w:themeColor="text1"/>
        </w:rPr>
        <w:t xml:space="preserve">maximální </w:t>
      </w:r>
      <w:r w:rsidR="00997408" w:rsidRPr="006F63D5">
        <w:rPr>
          <w:b/>
          <w:color w:val="000000" w:themeColor="text1"/>
        </w:rPr>
        <w:t>míru veřejné podpory ve výši</w:t>
      </w:r>
      <w:r w:rsidRPr="006F63D5">
        <w:rPr>
          <w:b/>
          <w:color w:val="000000" w:themeColor="text1"/>
        </w:rPr>
        <w:t xml:space="preserve"> 25 % způsobilých nákladů</w:t>
      </w:r>
      <w:r w:rsidRPr="00C05A01">
        <w:rPr>
          <w:b/>
          <w:color w:val="000000" w:themeColor="text1"/>
        </w:rPr>
        <w:t>.</w:t>
      </w:r>
    </w:p>
    <w:p w14:paraId="08A57DB8" w14:textId="77777777" w:rsidR="00147093" w:rsidRPr="006F63D5" w:rsidRDefault="00664008" w:rsidP="006F63D5">
      <w:pPr>
        <w:autoSpaceDE w:val="0"/>
        <w:autoSpaceDN w:val="0"/>
        <w:adjustRightInd w:val="0"/>
        <w:spacing w:after="120" w:line="264" w:lineRule="auto"/>
        <w:rPr>
          <w:b/>
          <w:color w:val="000000" w:themeColor="text1"/>
          <w:lang w:eastAsia="cs-CZ"/>
        </w:rPr>
      </w:pPr>
      <w:r w:rsidRPr="006F63D5">
        <w:rPr>
          <w:b/>
          <w:color w:val="000000" w:themeColor="text1"/>
        </w:rPr>
        <w:t>V porovnání s ostatními státy V4</w:t>
      </w:r>
      <w:r w:rsidR="00997408" w:rsidRPr="006F63D5">
        <w:rPr>
          <w:b/>
          <w:color w:val="000000" w:themeColor="text1"/>
        </w:rPr>
        <w:t xml:space="preserve"> je v ČR povolena nejnižší míra </w:t>
      </w:r>
      <w:r w:rsidR="002877D5" w:rsidRPr="006F63D5">
        <w:rPr>
          <w:b/>
          <w:color w:val="000000" w:themeColor="text1"/>
        </w:rPr>
        <w:t>veřejné podpory:</w:t>
      </w:r>
    </w:p>
    <w:tbl>
      <w:tblPr>
        <w:tblW w:w="9072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6F63D5" w:rsidRPr="00B843C9" w14:paraId="089FC659" w14:textId="77777777" w:rsidTr="00B843C9">
        <w:trPr>
          <w:trHeight w:val="283"/>
        </w:trPr>
        <w:tc>
          <w:tcPr>
            <w:tcW w:w="3119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4C114" w14:textId="77777777" w:rsidR="00FF2445" w:rsidRPr="00B843C9" w:rsidRDefault="00FF2445" w:rsidP="00711407">
            <w:pPr>
              <w:spacing w:line="264" w:lineRule="auto"/>
              <w:jc w:val="left"/>
              <w:rPr>
                <w:b/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b/>
                <w:color w:val="000000" w:themeColor="text1"/>
                <w:sz w:val="20"/>
                <w:szCs w:val="20"/>
                <w:lang w:eastAsia="cs-CZ"/>
              </w:rPr>
              <w:t>Země V4</w:t>
            </w:r>
          </w:p>
        </w:tc>
        <w:tc>
          <w:tcPr>
            <w:tcW w:w="5953" w:type="dxa"/>
            <w:shd w:val="clear" w:color="auto" w:fill="E5F1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FEFD0" w14:textId="77777777" w:rsidR="00FF2445" w:rsidRPr="00B843C9" w:rsidRDefault="00FF2445" w:rsidP="00B843C9">
            <w:pPr>
              <w:spacing w:line="264" w:lineRule="auto"/>
              <w:jc w:val="center"/>
              <w:rPr>
                <w:b/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b/>
                <w:color w:val="000000" w:themeColor="text1"/>
                <w:sz w:val="20"/>
                <w:szCs w:val="20"/>
                <w:lang w:eastAsia="cs-CZ"/>
              </w:rPr>
              <w:t>Míra veřejné podpory</w:t>
            </w:r>
          </w:p>
        </w:tc>
      </w:tr>
      <w:tr w:rsidR="006F63D5" w:rsidRPr="00B843C9" w14:paraId="786A6CBE" w14:textId="77777777" w:rsidTr="00B843C9">
        <w:trPr>
          <w:trHeight w:val="283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8F841" w14:textId="77777777" w:rsidR="00FF2445" w:rsidRPr="00B843C9" w:rsidRDefault="00FF2445" w:rsidP="00711407">
            <w:pPr>
              <w:spacing w:line="264" w:lineRule="auto"/>
              <w:jc w:val="left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Česká republika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8D118" w14:textId="46504670" w:rsidR="00FF2445" w:rsidRPr="00B843C9" w:rsidRDefault="00FF2445" w:rsidP="00B843C9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25</w:t>
            </w:r>
            <w:r w:rsidR="007362C2">
              <w:rPr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%</w:t>
            </w:r>
          </w:p>
        </w:tc>
      </w:tr>
      <w:tr w:rsidR="006F63D5" w:rsidRPr="00B843C9" w14:paraId="0642B4D3" w14:textId="77777777" w:rsidTr="00B843C9">
        <w:trPr>
          <w:trHeight w:val="283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AABDD" w14:textId="77777777" w:rsidR="00FF2445" w:rsidRPr="00B843C9" w:rsidRDefault="00FF2445" w:rsidP="00711407">
            <w:pPr>
              <w:spacing w:line="264" w:lineRule="auto"/>
              <w:jc w:val="left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FFF40F" w14:textId="5F42C8CE" w:rsidR="00FF2445" w:rsidRPr="00B843C9" w:rsidRDefault="00FF2445" w:rsidP="007362C2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25</w:t>
            </w:r>
            <w:r w:rsidR="007362C2">
              <w:rPr>
                <w:color w:val="000000" w:themeColor="text1"/>
                <w:sz w:val="20"/>
                <w:szCs w:val="20"/>
                <w:lang w:eastAsia="cs-CZ"/>
              </w:rPr>
              <w:t>–</w:t>
            </w: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35 %</w:t>
            </w:r>
          </w:p>
        </w:tc>
      </w:tr>
      <w:tr w:rsidR="006F63D5" w:rsidRPr="00B843C9" w14:paraId="20AB5723" w14:textId="77777777" w:rsidTr="00B843C9">
        <w:trPr>
          <w:trHeight w:val="283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FC02B" w14:textId="77777777" w:rsidR="00FF2445" w:rsidRPr="00B843C9" w:rsidRDefault="00FF2445" w:rsidP="00711407">
            <w:pPr>
              <w:spacing w:line="264" w:lineRule="auto"/>
              <w:jc w:val="left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Maďarsko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C1056" w14:textId="201E7DC0" w:rsidR="00FF2445" w:rsidRPr="00B843C9" w:rsidRDefault="00FF2445" w:rsidP="007362C2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25</w:t>
            </w:r>
            <w:r w:rsidR="007362C2">
              <w:rPr>
                <w:color w:val="000000" w:themeColor="text1"/>
                <w:sz w:val="20"/>
                <w:szCs w:val="20"/>
                <w:lang w:eastAsia="cs-CZ"/>
              </w:rPr>
              <w:t>–</w:t>
            </w: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50 %</w:t>
            </w:r>
          </w:p>
        </w:tc>
      </w:tr>
      <w:tr w:rsidR="00711407" w:rsidRPr="00B843C9" w14:paraId="7D6CD304" w14:textId="77777777" w:rsidTr="00B843C9">
        <w:trPr>
          <w:trHeight w:val="283"/>
        </w:trPr>
        <w:tc>
          <w:tcPr>
            <w:tcW w:w="31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A8D6A" w14:textId="77777777" w:rsidR="00FF2445" w:rsidRPr="00B843C9" w:rsidRDefault="00FF2445" w:rsidP="00711407">
            <w:pPr>
              <w:spacing w:line="264" w:lineRule="auto"/>
              <w:jc w:val="left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Polsko</w:t>
            </w:r>
          </w:p>
        </w:tc>
        <w:tc>
          <w:tcPr>
            <w:tcW w:w="59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00216" w14:textId="4CCAEC57" w:rsidR="00FF2445" w:rsidRPr="00B843C9" w:rsidRDefault="00FF2445" w:rsidP="007362C2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25</w:t>
            </w:r>
            <w:r w:rsidR="007362C2">
              <w:rPr>
                <w:color w:val="000000" w:themeColor="text1"/>
                <w:sz w:val="20"/>
                <w:szCs w:val="20"/>
                <w:lang w:eastAsia="cs-CZ"/>
              </w:rPr>
              <w:t>–</w:t>
            </w:r>
            <w:r w:rsidRPr="00B843C9">
              <w:rPr>
                <w:color w:val="000000" w:themeColor="text1"/>
                <w:sz w:val="20"/>
                <w:szCs w:val="20"/>
                <w:lang w:eastAsia="cs-CZ"/>
              </w:rPr>
              <w:t>50 %</w:t>
            </w:r>
          </w:p>
        </w:tc>
      </w:tr>
    </w:tbl>
    <w:p w14:paraId="44051E95" w14:textId="77777777" w:rsidR="00E130B9" w:rsidRDefault="00E130B9" w:rsidP="00711407">
      <w:pPr>
        <w:spacing w:before="120" w:after="120" w:line="264" w:lineRule="auto"/>
        <w:rPr>
          <w:color w:val="000000" w:themeColor="text1"/>
        </w:rPr>
      </w:pPr>
    </w:p>
    <w:p w14:paraId="3FBB0F4F" w14:textId="77777777" w:rsidR="00E130B9" w:rsidRDefault="00E130B9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2E8362A" w14:textId="13730CB4" w:rsidR="00B51BBC" w:rsidRPr="006F63D5" w:rsidRDefault="00AB7755" w:rsidP="00711407">
      <w:pPr>
        <w:spacing w:before="120"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lastRenderedPageBreak/>
        <w:t xml:space="preserve">Poskytnutí veřejné podpory formou investiční pobídky je </w:t>
      </w:r>
      <w:r w:rsidR="00997408" w:rsidRPr="006F63D5">
        <w:rPr>
          <w:color w:val="000000" w:themeColor="text1"/>
        </w:rPr>
        <w:t xml:space="preserve">ze strany Evropské komise </w:t>
      </w:r>
      <w:r w:rsidR="00B15594" w:rsidRPr="006F63D5">
        <w:rPr>
          <w:color w:val="000000" w:themeColor="text1"/>
        </w:rPr>
        <w:t xml:space="preserve">umožněno </w:t>
      </w:r>
      <w:r w:rsidRPr="006F63D5">
        <w:rPr>
          <w:color w:val="000000" w:themeColor="text1"/>
        </w:rPr>
        <w:t>na základě</w:t>
      </w:r>
      <w:r w:rsidR="006120D0" w:rsidRPr="006F63D5">
        <w:rPr>
          <w:color w:val="000000" w:themeColor="text1"/>
        </w:rPr>
        <w:t xml:space="preserve"> </w:t>
      </w:r>
      <w:r w:rsidR="006120D0" w:rsidRPr="006F63D5">
        <w:rPr>
          <w:b/>
          <w:color w:val="000000" w:themeColor="text1"/>
        </w:rPr>
        <w:t>tzv. blokové výjimky</w:t>
      </w:r>
      <w:r w:rsidR="007A0287" w:rsidRPr="006F63D5">
        <w:rPr>
          <w:rStyle w:val="Znakapoznpodarou"/>
          <w:b/>
          <w:color w:val="000000" w:themeColor="text1"/>
        </w:rPr>
        <w:footnoteReference w:id="13"/>
      </w:r>
      <w:r w:rsidR="00436B83" w:rsidRPr="006F63D5">
        <w:rPr>
          <w:color w:val="000000" w:themeColor="text1"/>
        </w:rPr>
        <w:t xml:space="preserve">, která je upravena </w:t>
      </w:r>
      <w:r w:rsidR="007362C2">
        <w:rPr>
          <w:color w:val="000000" w:themeColor="text1"/>
        </w:rPr>
        <w:t>n</w:t>
      </w:r>
      <w:r w:rsidR="00B4263A" w:rsidRPr="006F63D5">
        <w:rPr>
          <w:color w:val="000000" w:themeColor="text1"/>
        </w:rPr>
        <w:t xml:space="preserve">ařízením Komise (EU) </w:t>
      </w:r>
      <w:r w:rsidRPr="006F63D5">
        <w:rPr>
          <w:color w:val="000000" w:themeColor="text1"/>
        </w:rPr>
        <w:t>č. </w:t>
      </w:r>
      <w:r w:rsidR="00AE554B" w:rsidRPr="006F63D5">
        <w:rPr>
          <w:color w:val="000000" w:themeColor="text1"/>
        </w:rPr>
        <w:t xml:space="preserve">651/2014. </w:t>
      </w:r>
      <w:r w:rsidR="00436B83" w:rsidRPr="006F63D5">
        <w:rPr>
          <w:color w:val="000000" w:themeColor="text1"/>
        </w:rPr>
        <w:t xml:space="preserve">Na základě tohoto nařízení muselo MPO </w:t>
      </w:r>
      <w:r w:rsidR="006120D0" w:rsidRPr="006F63D5">
        <w:rPr>
          <w:color w:val="000000" w:themeColor="text1"/>
        </w:rPr>
        <w:t xml:space="preserve">vypracovat </w:t>
      </w:r>
      <w:r w:rsidR="006120D0" w:rsidRPr="00C05A01">
        <w:rPr>
          <w:i/>
          <w:color w:val="000000" w:themeColor="text1"/>
        </w:rPr>
        <w:t>Plán hodnocení režimu státní podpory podle obecného nařízení o blokových výjimkách: Investiční pobídky v České republice</w:t>
      </w:r>
      <w:r w:rsidR="006120D0" w:rsidRPr="006F63D5">
        <w:rPr>
          <w:b/>
          <w:color w:val="000000" w:themeColor="text1"/>
        </w:rPr>
        <w:t xml:space="preserve"> </w:t>
      </w:r>
      <w:r w:rsidR="006120D0" w:rsidRPr="006F63D5">
        <w:rPr>
          <w:color w:val="000000" w:themeColor="text1"/>
        </w:rPr>
        <w:t>(dále jen „</w:t>
      </w:r>
      <w:r w:rsidR="006120D0" w:rsidRPr="006F63D5">
        <w:rPr>
          <w:b/>
          <w:color w:val="000000" w:themeColor="text1"/>
        </w:rPr>
        <w:t>Plán hodnocení</w:t>
      </w:r>
      <w:r w:rsidR="006120D0" w:rsidRPr="006F63D5">
        <w:rPr>
          <w:color w:val="000000" w:themeColor="text1"/>
        </w:rPr>
        <w:t xml:space="preserve">“), který Evropská komise schválila svým rozhodnutím </w:t>
      </w:r>
      <w:r w:rsidR="00E21168" w:rsidRPr="006F63D5">
        <w:rPr>
          <w:color w:val="000000" w:themeColor="text1"/>
        </w:rPr>
        <w:t>dne </w:t>
      </w:r>
      <w:r w:rsidR="00B15594" w:rsidRPr="006F63D5">
        <w:rPr>
          <w:color w:val="000000" w:themeColor="text1"/>
        </w:rPr>
        <w:t>10.</w:t>
      </w:r>
      <w:r w:rsidR="00E21168" w:rsidRPr="006F63D5">
        <w:rPr>
          <w:color w:val="000000" w:themeColor="text1"/>
        </w:rPr>
        <w:t> </w:t>
      </w:r>
      <w:r w:rsidR="00B15594" w:rsidRPr="006F63D5">
        <w:rPr>
          <w:color w:val="000000" w:themeColor="text1"/>
        </w:rPr>
        <w:t xml:space="preserve">prosince 2014 na období </w:t>
      </w:r>
      <w:r w:rsidR="006120D0" w:rsidRPr="006F63D5">
        <w:rPr>
          <w:color w:val="000000" w:themeColor="text1"/>
        </w:rPr>
        <w:t xml:space="preserve">do 31. prosince 2020. </w:t>
      </w:r>
      <w:r w:rsidR="00B51BBC" w:rsidRPr="006F63D5">
        <w:rPr>
          <w:b/>
          <w:color w:val="000000" w:themeColor="text1"/>
        </w:rPr>
        <w:t>Plán hodnocení obsahuje</w:t>
      </w:r>
      <w:r w:rsidR="00B51BBC" w:rsidRPr="006F63D5">
        <w:rPr>
          <w:color w:val="000000" w:themeColor="text1"/>
        </w:rPr>
        <w:t xml:space="preserve"> vymezení cílů podpory, hodnot</w:t>
      </w:r>
      <w:r w:rsidR="007362C2">
        <w:rPr>
          <w:color w:val="000000" w:themeColor="text1"/>
        </w:rPr>
        <w:t>i</w:t>
      </w:r>
      <w:r w:rsidR="00B51BBC" w:rsidRPr="006F63D5">
        <w:rPr>
          <w:color w:val="000000" w:themeColor="text1"/>
        </w:rPr>
        <w:t>cí otázky, ukazatele výstupů, výsledků a dopadů, metodiku zpracování hodnocení, způsob sběru dat, harmonogram předložení jednotlivých hodnot</w:t>
      </w:r>
      <w:r w:rsidR="007362C2">
        <w:rPr>
          <w:color w:val="000000" w:themeColor="text1"/>
        </w:rPr>
        <w:t>i</w:t>
      </w:r>
      <w:r w:rsidR="00B51BBC" w:rsidRPr="006F63D5">
        <w:rPr>
          <w:color w:val="000000" w:themeColor="text1"/>
        </w:rPr>
        <w:t>cích zpráv, určení subjektu, který bude provádět hodnocení a způsob zveřejnění hodnocení.</w:t>
      </w:r>
    </w:p>
    <w:p w14:paraId="3172D0E3" w14:textId="41ED421B" w:rsidR="00F94FB6" w:rsidRPr="006F63D5" w:rsidRDefault="006120D0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  <w:lang w:eastAsia="cs-CZ"/>
        </w:rPr>
        <w:t xml:space="preserve">Dle Plánu hodnocení má hodnocení investičních pobídek provádět subjekt nezávislý na MPO. V souladu s tímto požadavkem </w:t>
      </w:r>
      <w:r w:rsidRPr="006F63D5">
        <w:rPr>
          <w:color w:val="000000" w:themeColor="text1"/>
        </w:rPr>
        <w:t xml:space="preserve">MPO uzavřelo dne 11. listopadu 2015 smlouvu se </w:t>
      </w:r>
      <w:r w:rsidR="008E07F7" w:rsidRPr="006F63D5">
        <w:rPr>
          <w:color w:val="000000" w:themeColor="text1"/>
        </w:rPr>
        <w:t xml:space="preserve">soukromou externí </w:t>
      </w:r>
      <w:r w:rsidRPr="006F63D5">
        <w:rPr>
          <w:color w:val="000000" w:themeColor="text1"/>
        </w:rPr>
        <w:t>společností</w:t>
      </w:r>
      <w:r w:rsidR="003B2877" w:rsidRPr="006F63D5">
        <w:rPr>
          <w:color w:val="000000" w:themeColor="text1"/>
        </w:rPr>
        <w:t>,</w:t>
      </w:r>
      <w:r w:rsidRPr="006F63D5">
        <w:rPr>
          <w:color w:val="000000" w:themeColor="text1"/>
        </w:rPr>
        <w:t xml:space="preserve"> </w:t>
      </w:r>
      <w:r w:rsidR="00B15594" w:rsidRPr="006F63D5">
        <w:rPr>
          <w:color w:val="000000" w:themeColor="text1"/>
        </w:rPr>
        <w:t xml:space="preserve">kterou MPO pověřilo </w:t>
      </w:r>
      <w:r w:rsidRPr="006F63D5">
        <w:rPr>
          <w:color w:val="000000" w:themeColor="text1"/>
        </w:rPr>
        <w:t>přípravou a</w:t>
      </w:r>
      <w:r w:rsidR="00E21168" w:rsidRPr="006F63D5">
        <w:rPr>
          <w:color w:val="000000" w:themeColor="text1"/>
        </w:rPr>
        <w:t> </w:t>
      </w:r>
      <w:r w:rsidRPr="006F63D5">
        <w:rPr>
          <w:color w:val="000000" w:themeColor="text1"/>
        </w:rPr>
        <w:t>v</w:t>
      </w:r>
      <w:r w:rsidR="00997408" w:rsidRPr="006F63D5">
        <w:rPr>
          <w:color w:val="000000" w:themeColor="text1"/>
        </w:rPr>
        <w:t>ypracováním hodnot</w:t>
      </w:r>
      <w:r w:rsidR="007362C2">
        <w:rPr>
          <w:color w:val="000000" w:themeColor="text1"/>
        </w:rPr>
        <w:t>i</w:t>
      </w:r>
      <w:r w:rsidR="00997408" w:rsidRPr="006F63D5">
        <w:rPr>
          <w:color w:val="000000" w:themeColor="text1"/>
        </w:rPr>
        <w:t xml:space="preserve">cích zpráv </w:t>
      </w:r>
      <w:r w:rsidRPr="006F63D5">
        <w:rPr>
          <w:color w:val="000000" w:themeColor="text1"/>
        </w:rPr>
        <w:t xml:space="preserve">dle Plánu hodnocení. </w:t>
      </w:r>
    </w:p>
    <w:p w14:paraId="1CC44FF6" w14:textId="77777777" w:rsidR="00161F79" w:rsidRPr="006F63D5" w:rsidRDefault="00161F79" w:rsidP="003D5278">
      <w:pPr>
        <w:spacing w:line="264" w:lineRule="auto"/>
        <w:rPr>
          <w:color w:val="000000" w:themeColor="text1"/>
        </w:rPr>
      </w:pPr>
    </w:p>
    <w:p w14:paraId="323C4C63" w14:textId="77777777" w:rsidR="00F94FB6" w:rsidRPr="006F63D5" w:rsidRDefault="00F94FB6" w:rsidP="003D5278">
      <w:pPr>
        <w:spacing w:line="264" w:lineRule="auto"/>
        <w:rPr>
          <w:color w:val="000000" w:themeColor="text1"/>
        </w:rPr>
      </w:pPr>
    </w:p>
    <w:p w14:paraId="4E4B3866" w14:textId="77777777" w:rsidR="00780EFE" w:rsidRPr="003D5278" w:rsidRDefault="00AB3724" w:rsidP="006F63D5">
      <w:pPr>
        <w:pStyle w:val="Nadpis1"/>
        <w:spacing w:after="120" w:line="264" w:lineRule="auto"/>
        <w:rPr>
          <w:color w:val="000000" w:themeColor="text1"/>
          <w:sz w:val="28"/>
          <w:szCs w:val="24"/>
        </w:rPr>
      </w:pPr>
      <w:r w:rsidRPr="003D5278">
        <w:rPr>
          <w:color w:val="000000" w:themeColor="text1"/>
          <w:sz w:val="28"/>
          <w:szCs w:val="24"/>
        </w:rPr>
        <w:t>III. Rozsah kontroly</w:t>
      </w:r>
    </w:p>
    <w:p w14:paraId="36BF7101" w14:textId="460DE8F0" w:rsidR="00AE554B" w:rsidRPr="006F63D5" w:rsidRDefault="00A32818" w:rsidP="006F63D5">
      <w:pPr>
        <w:spacing w:after="120" w:line="264" w:lineRule="auto"/>
        <w:rPr>
          <w:strike/>
          <w:color w:val="000000" w:themeColor="text1"/>
        </w:rPr>
      </w:pPr>
      <w:r w:rsidRPr="006F63D5">
        <w:rPr>
          <w:b/>
          <w:color w:val="000000" w:themeColor="text1"/>
        </w:rPr>
        <w:t xml:space="preserve">U </w:t>
      </w:r>
      <w:r w:rsidR="00103F25" w:rsidRPr="006F63D5">
        <w:rPr>
          <w:b/>
          <w:color w:val="000000" w:themeColor="text1"/>
        </w:rPr>
        <w:t>MPO</w:t>
      </w:r>
      <w:r w:rsidRPr="006F63D5">
        <w:rPr>
          <w:color w:val="000000" w:themeColor="text1"/>
        </w:rPr>
        <w:t xml:space="preserve"> byl </w:t>
      </w:r>
      <w:r w:rsidR="00755F90" w:rsidRPr="006F63D5">
        <w:rPr>
          <w:color w:val="000000" w:themeColor="text1"/>
        </w:rPr>
        <w:t xml:space="preserve">u </w:t>
      </w:r>
      <w:r w:rsidR="00B4263A" w:rsidRPr="006F63D5">
        <w:rPr>
          <w:color w:val="000000" w:themeColor="text1"/>
        </w:rPr>
        <w:t>kontrolovaného vzorku</w:t>
      </w:r>
      <w:r w:rsidRPr="006F63D5">
        <w:rPr>
          <w:color w:val="000000" w:themeColor="text1"/>
        </w:rPr>
        <w:t xml:space="preserve"> podroben </w:t>
      </w:r>
      <w:r w:rsidR="000534E1" w:rsidRPr="006F63D5">
        <w:rPr>
          <w:color w:val="000000" w:themeColor="text1"/>
        </w:rPr>
        <w:t xml:space="preserve">kontrole </w:t>
      </w:r>
      <w:r w:rsidR="00B30AC8" w:rsidRPr="006F63D5">
        <w:rPr>
          <w:color w:val="000000" w:themeColor="text1"/>
        </w:rPr>
        <w:t xml:space="preserve">postup při vydávání </w:t>
      </w:r>
      <w:r w:rsidR="007362C2">
        <w:rPr>
          <w:color w:val="000000" w:themeColor="text1"/>
        </w:rPr>
        <w:t>r</w:t>
      </w:r>
      <w:r w:rsidR="00B30AC8" w:rsidRPr="006F63D5">
        <w:rPr>
          <w:color w:val="000000" w:themeColor="text1"/>
        </w:rPr>
        <w:t>ozhodnutí</w:t>
      </w:r>
      <w:r w:rsidR="0026607D" w:rsidRPr="006F63D5">
        <w:rPr>
          <w:color w:val="000000" w:themeColor="text1"/>
        </w:rPr>
        <w:t xml:space="preserve"> o </w:t>
      </w:r>
      <w:r w:rsidR="00FE7288" w:rsidRPr="006F63D5">
        <w:rPr>
          <w:color w:val="000000" w:themeColor="text1"/>
        </w:rPr>
        <w:t>příslibu investiční pobídky</w:t>
      </w:r>
      <w:r w:rsidR="00B30AC8" w:rsidRPr="006F63D5">
        <w:rPr>
          <w:color w:val="000000" w:themeColor="text1"/>
        </w:rPr>
        <w:t xml:space="preserve">, </w:t>
      </w:r>
      <w:r w:rsidR="00755F90" w:rsidRPr="006F63D5">
        <w:rPr>
          <w:color w:val="000000" w:themeColor="text1"/>
        </w:rPr>
        <w:t>postup při dodržování pr</w:t>
      </w:r>
      <w:r w:rsidR="00B4263A" w:rsidRPr="006F63D5">
        <w:rPr>
          <w:color w:val="000000" w:themeColor="text1"/>
        </w:rPr>
        <w:t>avidel veřejné podpory, postup při</w:t>
      </w:r>
      <w:r w:rsidR="0026607D" w:rsidRPr="006F63D5">
        <w:rPr>
          <w:color w:val="000000" w:themeColor="text1"/>
        </w:rPr>
        <w:t> </w:t>
      </w:r>
      <w:r w:rsidR="00755F90" w:rsidRPr="006F63D5">
        <w:rPr>
          <w:color w:val="000000" w:themeColor="text1"/>
        </w:rPr>
        <w:t xml:space="preserve">stanovení povinnosti zachování majetku a pracovních míst podpořených investiční pobídkou. </w:t>
      </w:r>
      <w:r w:rsidR="00755F90" w:rsidRPr="006F63D5">
        <w:rPr>
          <w:b/>
          <w:color w:val="000000" w:themeColor="text1"/>
        </w:rPr>
        <w:t>Na úrovni systému</w:t>
      </w:r>
      <w:r w:rsidR="00755F90" w:rsidRPr="006F63D5">
        <w:rPr>
          <w:color w:val="000000" w:themeColor="text1"/>
        </w:rPr>
        <w:t xml:space="preserve"> byl kontrole podroben </w:t>
      </w:r>
      <w:r w:rsidR="00B30AC8" w:rsidRPr="006F63D5">
        <w:rPr>
          <w:color w:val="000000" w:themeColor="text1"/>
        </w:rPr>
        <w:t>postup při kontrole splnění podmínek jednotlivými příjemci, hodnocení investičních pobídek na zák</w:t>
      </w:r>
      <w:r w:rsidR="009C3411" w:rsidRPr="006F63D5">
        <w:rPr>
          <w:color w:val="000000" w:themeColor="text1"/>
        </w:rPr>
        <w:t xml:space="preserve">ladě požadavku Evropské komise a </w:t>
      </w:r>
      <w:r w:rsidR="00BF5A29" w:rsidRPr="006F63D5">
        <w:rPr>
          <w:color w:val="000000" w:themeColor="text1"/>
        </w:rPr>
        <w:t xml:space="preserve">naplňování </w:t>
      </w:r>
      <w:r w:rsidR="003877FB" w:rsidRPr="006F63D5">
        <w:rPr>
          <w:color w:val="000000" w:themeColor="text1"/>
        </w:rPr>
        <w:t xml:space="preserve">jejich </w:t>
      </w:r>
      <w:r w:rsidR="00BF5A29" w:rsidRPr="006F63D5">
        <w:rPr>
          <w:color w:val="000000" w:themeColor="text1"/>
        </w:rPr>
        <w:t xml:space="preserve">cílů a </w:t>
      </w:r>
      <w:r w:rsidR="003877FB" w:rsidRPr="006F63D5">
        <w:rPr>
          <w:color w:val="000000" w:themeColor="text1"/>
        </w:rPr>
        <w:t>jejich dopady</w:t>
      </w:r>
      <w:r w:rsidR="007A31A8" w:rsidRPr="006F63D5">
        <w:rPr>
          <w:color w:val="000000" w:themeColor="text1"/>
        </w:rPr>
        <w:t xml:space="preserve"> na pracovní trh a státní rozpočet. </w:t>
      </w:r>
    </w:p>
    <w:p w14:paraId="695F05EF" w14:textId="6A58FEA5" w:rsidR="00755F90" w:rsidRPr="006F63D5" w:rsidRDefault="00755F90" w:rsidP="006F63D5">
      <w:pPr>
        <w:spacing w:after="120" w:line="264" w:lineRule="auto"/>
        <w:rPr>
          <w:color w:val="000000" w:themeColor="text1"/>
        </w:rPr>
      </w:pPr>
      <w:r w:rsidRPr="006F63D5">
        <w:rPr>
          <w:b/>
          <w:color w:val="000000" w:themeColor="text1"/>
        </w:rPr>
        <w:t xml:space="preserve">U Agentury CzechInvest </w:t>
      </w:r>
      <w:r w:rsidRPr="006F63D5">
        <w:rPr>
          <w:color w:val="000000" w:themeColor="text1"/>
        </w:rPr>
        <w:t xml:space="preserve">byl </w:t>
      </w:r>
      <w:r w:rsidR="00E21168" w:rsidRPr="006F63D5">
        <w:rPr>
          <w:color w:val="000000" w:themeColor="text1"/>
        </w:rPr>
        <w:t>u </w:t>
      </w:r>
      <w:r w:rsidR="00B4263A" w:rsidRPr="006F63D5">
        <w:rPr>
          <w:color w:val="000000" w:themeColor="text1"/>
        </w:rPr>
        <w:t>kontrolovaného vzorku</w:t>
      </w:r>
      <w:r w:rsidRPr="006F63D5">
        <w:rPr>
          <w:color w:val="000000" w:themeColor="text1"/>
        </w:rPr>
        <w:t xml:space="preserve"> podroben</w:t>
      </w:r>
      <w:r w:rsidR="000534E1" w:rsidRPr="006F63D5">
        <w:rPr>
          <w:color w:val="000000" w:themeColor="text1"/>
        </w:rPr>
        <w:t xml:space="preserve"> kontrole</w:t>
      </w:r>
      <w:r w:rsidRPr="006F63D5">
        <w:rPr>
          <w:color w:val="000000" w:themeColor="text1"/>
        </w:rPr>
        <w:t xml:space="preserve"> postup </w:t>
      </w:r>
      <w:r w:rsidRPr="006F63D5">
        <w:rPr>
          <w:rFonts w:eastAsiaTheme="minorHAnsi"/>
          <w:color w:val="000000" w:themeColor="text1"/>
        </w:rPr>
        <w:t>při přijímání zám</w:t>
      </w:r>
      <w:r w:rsidR="00E21168" w:rsidRPr="006F63D5">
        <w:rPr>
          <w:rFonts w:eastAsiaTheme="minorHAnsi"/>
          <w:color w:val="000000" w:themeColor="text1"/>
        </w:rPr>
        <w:t>ěrů získat investiční pobídku a </w:t>
      </w:r>
      <w:r w:rsidRPr="006F63D5">
        <w:rPr>
          <w:rFonts w:eastAsiaTheme="minorHAnsi"/>
          <w:color w:val="000000" w:themeColor="text1"/>
        </w:rPr>
        <w:t>postup při posuzování těchto záměrů.</w:t>
      </w:r>
      <w:r w:rsidR="007A0287" w:rsidRPr="006F63D5">
        <w:rPr>
          <w:color w:val="000000" w:themeColor="text1"/>
        </w:rPr>
        <w:t xml:space="preserve"> </w:t>
      </w:r>
      <w:r w:rsidRPr="006F63D5">
        <w:rPr>
          <w:color w:val="000000" w:themeColor="text1"/>
        </w:rPr>
        <w:t>K</w:t>
      </w:r>
      <w:r w:rsidR="0026607D" w:rsidRPr="006F63D5">
        <w:rPr>
          <w:color w:val="000000" w:themeColor="text1"/>
        </w:rPr>
        <w:t>ontrola u</w:t>
      </w:r>
      <w:r w:rsidR="006D4E62" w:rsidRPr="006F63D5">
        <w:rPr>
          <w:color w:val="000000" w:themeColor="text1"/>
        </w:rPr>
        <w:t> </w:t>
      </w:r>
      <w:r w:rsidR="0026607D" w:rsidRPr="006F63D5">
        <w:rPr>
          <w:color w:val="000000" w:themeColor="text1"/>
        </w:rPr>
        <w:t>vzorku byla jak u </w:t>
      </w:r>
      <w:r w:rsidR="00B51BBC" w:rsidRPr="006F63D5">
        <w:rPr>
          <w:color w:val="000000" w:themeColor="text1"/>
        </w:rPr>
        <w:t xml:space="preserve">MPO, </w:t>
      </w:r>
      <w:r w:rsidRPr="006F63D5">
        <w:rPr>
          <w:color w:val="000000" w:themeColor="text1"/>
        </w:rPr>
        <w:t xml:space="preserve">tak </w:t>
      </w:r>
      <w:r w:rsidR="002E39AF" w:rsidRPr="006F63D5">
        <w:rPr>
          <w:color w:val="000000" w:themeColor="text1"/>
        </w:rPr>
        <w:t xml:space="preserve">u </w:t>
      </w:r>
      <w:r w:rsidRPr="006F63D5">
        <w:rPr>
          <w:color w:val="000000" w:themeColor="text1"/>
        </w:rPr>
        <w:t xml:space="preserve">Agentury CzechInvest provedena u stejného vzorku </w:t>
      </w:r>
      <w:r w:rsidR="00E75A93" w:rsidRPr="006F63D5">
        <w:rPr>
          <w:b/>
          <w:color w:val="000000" w:themeColor="text1"/>
        </w:rPr>
        <w:t>16</w:t>
      </w:r>
      <w:r w:rsidR="006D4E62" w:rsidRPr="006F63D5">
        <w:rPr>
          <w:b/>
          <w:color w:val="000000" w:themeColor="text1"/>
        </w:rPr>
        <w:t> </w:t>
      </w:r>
      <w:r w:rsidR="00E75A93" w:rsidRPr="006F63D5">
        <w:rPr>
          <w:b/>
          <w:color w:val="000000" w:themeColor="text1"/>
        </w:rPr>
        <w:t>přislíbených investičních pobídek</w:t>
      </w:r>
      <w:r w:rsidR="00E75A93" w:rsidRPr="00C05A01">
        <w:rPr>
          <w:b/>
          <w:color w:val="000000" w:themeColor="text1"/>
        </w:rPr>
        <w:t>,</w:t>
      </w:r>
      <w:r w:rsidR="00E75A93" w:rsidRPr="006F63D5">
        <w:rPr>
          <w:color w:val="000000" w:themeColor="text1"/>
        </w:rPr>
        <w:t xml:space="preserve"> </w:t>
      </w:r>
      <w:r w:rsidR="002E39AF" w:rsidRPr="006F63D5">
        <w:rPr>
          <w:color w:val="000000" w:themeColor="text1"/>
        </w:rPr>
        <w:t>k nimž</w:t>
      </w:r>
      <w:r w:rsidR="00E75A93" w:rsidRPr="006F63D5">
        <w:rPr>
          <w:color w:val="000000" w:themeColor="text1"/>
        </w:rPr>
        <w:t xml:space="preserve"> MPO </w:t>
      </w:r>
      <w:r w:rsidR="002E39AF" w:rsidRPr="006F63D5">
        <w:rPr>
          <w:color w:val="000000" w:themeColor="text1"/>
        </w:rPr>
        <w:t xml:space="preserve">vydalo </w:t>
      </w:r>
      <w:r w:rsidR="003E17A7">
        <w:rPr>
          <w:color w:val="000000" w:themeColor="text1"/>
        </w:rPr>
        <w:t>r</w:t>
      </w:r>
      <w:r w:rsidR="002E39AF" w:rsidRPr="006F63D5">
        <w:rPr>
          <w:color w:val="000000" w:themeColor="text1"/>
        </w:rPr>
        <w:t>ozhodnutí o příslibu investiční pobídky v letech</w:t>
      </w:r>
      <w:r w:rsidR="00E75A93" w:rsidRPr="006F63D5">
        <w:rPr>
          <w:color w:val="000000" w:themeColor="text1"/>
        </w:rPr>
        <w:t xml:space="preserve"> </w:t>
      </w:r>
      <w:r w:rsidR="00E21168" w:rsidRPr="006F63D5">
        <w:rPr>
          <w:color w:val="000000" w:themeColor="text1"/>
        </w:rPr>
        <w:t>2016 až 2020</w:t>
      </w:r>
      <w:r w:rsidR="00E75A93" w:rsidRPr="006F63D5">
        <w:rPr>
          <w:color w:val="000000" w:themeColor="text1"/>
        </w:rPr>
        <w:t>.</w:t>
      </w:r>
      <w:r w:rsidR="00EC581C" w:rsidRPr="006F63D5">
        <w:rPr>
          <w:color w:val="000000" w:themeColor="text1"/>
        </w:rPr>
        <w:t xml:space="preserve"> </w:t>
      </w:r>
    </w:p>
    <w:p w14:paraId="394AB9F3" w14:textId="7223FAD6" w:rsidR="003D5278" w:rsidRPr="006F63D5" w:rsidRDefault="00B30AC8" w:rsidP="00E130B9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 xml:space="preserve">Kontrolovaný objem na úrovni </w:t>
      </w:r>
      <w:r w:rsidRPr="006F63D5">
        <w:rPr>
          <w:b/>
          <w:color w:val="000000" w:themeColor="text1"/>
        </w:rPr>
        <w:t>kontroly systému</w:t>
      </w:r>
      <w:r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 xml:space="preserve">u MPO </w:t>
      </w:r>
      <w:r w:rsidRPr="006F63D5">
        <w:rPr>
          <w:color w:val="000000" w:themeColor="text1"/>
        </w:rPr>
        <w:t xml:space="preserve">činil </w:t>
      </w:r>
      <w:r w:rsidRPr="006F63D5">
        <w:rPr>
          <w:b/>
          <w:color w:val="000000" w:themeColor="text1"/>
        </w:rPr>
        <w:t>49 536 mil. Kč</w:t>
      </w:r>
      <w:r w:rsidRPr="00C05A01">
        <w:rPr>
          <w:b/>
          <w:color w:val="000000" w:themeColor="text1"/>
        </w:rPr>
        <w:t>,</w:t>
      </w:r>
      <w:r w:rsidRPr="006F63D5">
        <w:rPr>
          <w:color w:val="000000" w:themeColor="text1"/>
        </w:rPr>
        <w:t xml:space="preserve"> což byl celkový objem přislíbených investičních pobídek, k</w:t>
      </w:r>
      <w:r w:rsidR="002E39AF" w:rsidRPr="006F63D5">
        <w:rPr>
          <w:color w:val="000000" w:themeColor="text1"/>
        </w:rPr>
        <w:t xml:space="preserve"> nimž</w:t>
      </w:r>
      <w:r w:rsidRPr="006F63D5">
        <w:rPr>
          <w:color w:val="000000" w:themeColor="text1"/>
        </w:rPr>
        <w:t xml:space="preserve"> MPO </w:t>
      </w:r>
      <w:r w:rsidR="002E39AF" w:rsidRPr="006F63D5">
        <w:rPr>
          <w:color w:val="000000" w:themeColor="text1"/>
        </w:rPr>
        <w:t xml:space="preserve">vydalo </w:t>
      </w:r>
      <w:r w:rsidR="003E17A7">
        <w:rPr>
          <w:color w:val="000000" w:themeColor="text1"/>
        </w:rPr>
        <w:t>r</w:t>
      </w:r>
      <w:r w:rsidR="002E39AF" w:rsidRPr="006F63D5">
        <w:rPr>
          <w:color w:val="000000" w:themeColor="text1"/>
        </w:rPr>
        <w:t>ozhodnutí o příslibu investiční pobídky</w:t>
      </w:r>
      <w:r w:rsidRPr="006F63D5">
        <w:rPr>
          <w:color w:val="000000" w:themeColor="text1"/>
        </w:rPr>
        <w:t xml:space="preserve"> v období od 1. července 2014 do 30. října 2020. </w:t>
      </w:r>
      <w:r w:rsidRPr="006F63D5">
        <w:rPr>
          <w:b/>
          <w:color w:val="000000" w:themeColor="text1"/>
        </w:rPr>
        <w:t>U</w:t>
      </w:r>
      <w:r w:rsidR="00EC581C" w:rsidRPr="006F63D5">
        <w:rPr>
          <w:b/>
          <w:color w:val="000000" w:themeColor="text1"/>
        </w:rPr>
        <w:t xml:space="preserve"> kontrolovaného</w:t>
      </w:r>
      <w:r w:rsidRPr="006F63D5">
        <w:rPr>
          <w:b/>
          <w:color w:val="000000" w:themeColor="text1"/>
        </w:rPr>
        <w:t xml:space="preserve"> </w:t>
      </w:r>
      <w:r w:rsidR="00536B15" w:rsidRPr="006F63D5">
        <w:rPr>
          <w:b/>
          <w:color w:val="000000" w:themeColor="text1"/>
        </w:rPr>
        <w:t>vzorku</w:t>
      </w:r>
      <w:r w:rsidR="001B16BD" w:rsidRPr="006F63D5">
        <w:rPr>
          <w:color w:val="000000" w:themeColor="text1"/>
        </w:rPr>
        <w:t xml:space="preserve"> </w:t>
      </w:r>
      <w:r w:rsidR="00EC581C" w:rsidRPr="006F63D5">
        <w:rPr>
          <w:color w:val="000000" w:themeColor="text1"/>
        </w:rPr>
        <w:t xml:space="preserve">činil </w:t>
      </w:r>
      <w:r w:rsidRPr="006F63D5">
        <w:rPr>
          <w:color w:val="000000" w:themeColor="text1"/>
        </w:rPr>
        <w:t>kontrolovaný objem</w:t>
      </w:r>
      <w:r w:rsidR="00E75A93" w:rsidRPr="006F63D5">
        <w:rPr>
          <w:color w:val="000000" w:themeColor="text1"/>
        </w:rPr>
        <w:t xml:space="preserve"> jak </w:t>
      </w:r>
      <w:r w:rsidR="00E75A93" w:rsidRPr="006F63D5">
        <w:rPr>
          <w:b/>
          <w:color w:val="000000" w:themeColor="text1"/>
        </w:rPr>
        <w:t>u MPO</w:t>
      </w:r>
      <w:r w:rsidR="00B51BBC" w:rsidRPr="006F63D5">
        <w:rPr>
          <w:b/>
          <w:color w:val="000000" w:themeColor="text1"/>
        </w:rPr>
        <w:t xml:space="preserve">, </w:t>
      </w:r>
      <w:r w:rsidR="00E75A93" w:rsidRPr="006F63D5">
        <w:rPr>
          <w:b/>
          <w:color w:val="000000" w:themeColor="text1"/>
        </w:rPr>
        <w:t xml:space="preserve">tak </w:t>
      </w:r>
      <w:r w:rsidR="002E39AF" w:rsidRPr="006F63D5">
        <w:rPr>
          <w:b/>
          <w:color w:val="000000" w:themeColor="text1"/>
        </w:rPr>
        <w:t xml:space="preserve">u </w:t>
      </w:r>
      <w:r w:rsidR="00E75A93" w:rsidRPr="006F63D5">
        <w:rPr>
          <w:b/>
          <w:color w:val="000000" w:themeColor="text1"/>
        </w:rPr>
        <w:t>Agentury CzechInvest</w:t>
      </w:r>
      <w:r w:rsidRPr="006F63D5">
        <w:rPr>
          <w:b/>
          <w:color w:val="000000" w:themeColor="text1"/>
        </w:rPr>
        <w:t xml:space="preserve"> </w:t>
      </w:r>
      <w:r w:rsidR="003E17A7">
        <w:rPr>
          <w:b/>
          <w:color w:val="000000" w:themeColor="text1"/>
        </w:rPr>
        <w:t xml:space="preserve">celkem </w:t>
      </w:r>
      <w:r w:rsidRPr="006F63D5">
        <w:rPr>
          <w:b/>
          <w:color w:val="000000" w:themeColor="text1"/>
        </w:rPr>
        <w:t>5 435 mil.</w:t>
      </w:r>
      <w:r w:rsidR="001B16BD" w:rsidRPr="006F63D5">
        <w:rPr>
          <w:b/>
          <w:color w:val="000000" w:themeColor="text1"/>
        </w:rPr>
        <w:t xml:space="preserve"> Kč</w:t>
      </w:r>
      <w:r w:rsidR="00EC581C" w:rsidRPr="006F63D5">
        <w:rPr>
          <w:color w:val="000000" w:themeColor="text1"/>
        </w:rPr>
        <w:t>. Kontrolovaný objem by</w:t>
      </w:r>
      <w:r w:rsidR="00E75A93" w:rsidRPr="006F63D5">
        <w:rPr>
          <w:color w:val="000000" w:themeColor="text1"/>
        </w:rPr>
        <w:t>l stanoven jako součet maximální výše veřejné pod</w:t>
      </w:r>
      <w:r w:rsidR="00595EC5" w:rsidRPr="006F63D5">
        <w:rPr>
          <w:color w:val="000000" w:themeColor="text1"/>
        </w:rPr>
        <w:t>pory stanovené v </w:t>
      </w:r>
      <w:r w:rsidR="003E17A7">
        <w:rPr>
          <w:color w:val="000000" w:themeColor="text1"/>
        </w:rPr>
        <w:t>r</w:t>
      </w:r>
      <w:r w:rsidR="00595EC5" w:rsidRPr="006F63D5">
        <w:rPr>
          <w:color w:val="000000" w:themeColor="text1"/>
        </w:rPr>
        <w:t>ozhodnutích o </w:t>
      </w:r>
      <w:r w:rsidR="00E75A93" w:rsidRPr="006F63D5">
        <w:rPr>
          <w:color w:val="000000" w:themeColor="text1"/>
        </w:rPr>
        <w:t>příslibu investiční pobídky.</w:t>
      </w:r>
    </w:p>
    <w:p w14:paraId="02CC675D" w14:textId="77777777" w:rsidR="003D5278" w:rsidRDefault="003D5278">
      <w:pPr>
        <w:spacing w:after="160" w:line="259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76A60438" w14:textId="77777777" w:rsidR="00161F79" w:rsidRPr="003D5278" w:rsidRDefault="00AB3724" w:rsidP="003D5278">
      <w:pPr>
        <w:spacing w:after="120" w:line="264" w:lineRule="auto"/>
        <w:jc w:val="center"/>
        <w:rPr>
          <w:b/>
        </w:rPr>
      </w:pPr>
      <w:r w:rsidRPr="003D5278">
        <w:rPr>
          <w:b/>
          <w:sz w:val="28"/>
        </w:rPr>
        <w:lastRenderedPageBreak/>
        <w:t>IV. Podrobné skutečnosti zjištěné kontrolou</w:t>
      </w:r>
    </w:p>
    <w:p w14:paraId="59FCC358" w14:textId="77777777" w:rsidR="00214767" w:rsidRPr="003D5278" w:rsidRDefault="003D5278" w:rsidP="006867A7">
      <w:pPr>
        <w:keepNext/>
        <w:spacing w:after="120" w:line="264" w:lineRule="auto"/>
        <w:rPr>
          <w:b/>
        </w:rPr>
      </w:pPr>
      <w:r>
        <w:rPr>
          <w:b/>
        </w:rPr>
        <w:t xml:space="preserve">1. </w:t>
      </w:r>
      <w:r w:rsidR="00161F79" w:rsidRPr="003D5278">
        <w:rPr>
          <w:b/>
        </w:rPr>
        <w:t xml:space="preserve">Návrh MPO na zrušení </w:t>
      </w:r>
      <w:r w:rsidR="0066711D" w:rsidRPr="003D5278">
        <w:rPr>
          <w:b/>
        </w:rPr>
        <w:t xml:space="preserve">zákona </w:t>
      </w:r>
      <w:r w:rsidR="00161F79" w:rsidRPr="003D5278">
        <w:rPr>
          <w:b/>
        </w:rPr>
        <w:t>nebyl schválen</w:t>
      </w:r>
    </w:p>
    <w:p w14:paraId="50DEE035" w14:textId="5132F789" w:rsidR="00161F79" w:rsidRPr="006F63D5" w:rsidRDefault="003E336F" w:rsidP="006F63D5">
      <w:pPr>
        <w:pStyle w:val="Odstavecseseznamem"/>
        <w:spacing w:after="120" w:line="264" w:lineRule="auto"/>
        <w:ind w:left="0"/>
        <w:contextualSpacing w:val="0"/>
        <w:rPr>
          <w:color w:val="000000" w:themeColor="text1"/>
        </w:rPr>
      </w:pPr>
      <w:r w:rsidRPr="006F63D5">
        <w:rPr>
          <w:color w:val="000000" w:themeColor="text1"/>
        </w:rPr>
        <w:t>Poskytování investičních pobídek je upraveno zákon</w:t>
      </w:r>
      <w:r w:rsidR="003566A8" w:rsidRPr="006F63D5">
        <w:rPr>
          <w:color w:val="000000" w:themeColor="text1"/>
        </w:rPr>
        <w:t>em</w:t>
      </w:r>
      <w:r w:rsidRPr="006F63D5">
        <w:rPr>
          <w:color w:val="000000" w:themeColor="text1"/>
        </w:rPr>
        <w:t xml:space="preserve"> od 1. května 2000. </w:t>
      </w:r>
      <w:r w:rsidR="00630D4D" w:rsidRPr="006F63D5">
        <w:rPr>
          <w:color w:val="000000" w:themeColor="text1"/>
        </w:rPr>
        <w:t xml:space="preserve">V roce 2007 si nechalo MPO zpracovat analýzu investičních pobídek u </w:t>
      </w:r>
      <w:r w:rsidR="00630D4D" w:rsidRPr="006F63D5">
        <w:rPr>
          <w:b/>
          <w:color w:val="000000" w:themeColor="text1"/>
        </w:rPr>
        <w:t>Vysoké školy ekonomické v Praze</w:t>
      </w:r>
      <w:r w:rsidR="00630D4D" w:rsidRPr="00C05A01">
        <w:rPr>
          <w:b/>
          <w:color w:val="000000" w:themeColor="text1"/>
        </w:rPr>
        <w:t>.</w:t>
      </w:r>
      <w:r w:rsidR="00630D4D" w:rsidRPr="006F63D5">
        <w:rPr>
          <w:color w:val="000000" w:themeColor="text1"/>
        </w:rPr>
        <w:t xml:space="preserve"> </w:t>
      </w:r>
      <w:r w:rsidR="00083E4E" w:rsidRPr="006F63D5">
        <w:rPr>
          <w:color w:val="000000" w:themeColor="text1"/>
        </w:rPr>
        <w:t>Z této analýzy zejména vyplynulo</w:t>
      </w:r>
      <w:r w:rsidR="00455FB5" w:rsidRPr="006F63D5">
        <w:rPr>
          <w:color w:val="000000" w:themeColor="text1"/>
        </w:rPr>
        <w:t xml:space="preserve">, že </w:t>
      </w:r>
      <w:r w:rsidR="00320A71">
        <w:rPr>
          <w:color w:val="000000" w:themeColor="text1"/>
        </w:rPr>
        <w:t xml:space="preserve">pobídky </w:t>
      </w:r>
      <w:r w:rsidR="00455FB5" w:rsidRPr="006F63D5">
        <w:rPr>
          <w:color w:val="000000" w:themeColor="text1"/>
        </w:rPr>
        <w:t>směrovaly nejvíce do regionů s nejvyšším HDP na obyvatele, čím</w:t>
      </w:r>
      <w:r w:rsidR="00656D0C" w:rsidRPr="006F63D5">
        <w:rPr>
          <w:color w:val="000000" w:themeColor="text1"/>
        </w:rPr>
        <w:t>ž</w:t>
      </w:r>
      <w:r w:rsidR="00D115CC" w:rsidRPr="006F63D5">
        <w:rPr>
          <w:color w:val="000000" w:themeColor="text1"/>
        </w:rPr>
        <w:t xml:space="preserve"> se </w:t>
      </w:r>
      <w:r w:rsidR="00D115CC" w:rsidRPr="006F63D5">
        <w:rPr>
          <w:b/>
          <w:color w:val="000000" w:themeColor="text1"/>
        </w:rPr>
        <w:t>r</w:t>
      </w:r>
      <w:r w:rsidR="00AC2933" w:rsidRPr="006F63D5">
        <w:rPr>
          <w:b/>
          <w:color w:val="000000" w:themeColor="text1"/>
        </w:rPr>
        <w:t>ozdíly mezi nejrozvinutějšími a </w:t>
      </w:r>
      <w:r w:rsidR="00D115CC" w:rsidRPr="006F63D5">
        <w:rPr>
          <w:b/>
          <w:color w:val="000000" w:themeColor="text1"/>
        </w:rPr>
        <w:t>nejzaostalejšími regiony nezmenšovaly</w:t>
      </w:r>
      <w:r w:rsidR="00D115CC" w:rsidRPr="006F63D5">
        <w:rPr>
          <w:color w:val="000000" w:themeColor="text1"/>
        </w:rPr>
        <w:t xml:space="preserve">, </w:t>
      </w:r>
      <w:r w:rsidR="0046016A" w:rsidRPr="006F63D5">
        <w:rPr>
          <w:b/>
          <w:color w:val="000000" w:themeColor="text1"/>
        </w:rPr>
        <w:t>ale naopak</w:t>
      </w:r>
      <w:r w:rsidR="00D115CC" w:rsidRPr="006F63D5">
        <w:rPr>
          <w:b/>
          <w:color w:val="000000" w:themeColor="text1"/>
        </w:rPr>
        <w:t xml:space="preserve"> zvětšovaly</w:t>
      </w:r>
      <w:r w:rsidR="0046016A" w:rsidRPr="00C05A01">
        <w:rPr>
          <w:b/>
          <w:color w:val="000000" w:themeColor="text1"/>
        </w:rPr>
        <w:t>.</w:t>
      </w:r>
      <w:r w:rsidR="00D115CC" w:rsidRPr="006F63D5">
        <w:rPr>
          <w:color w:val="000000" w:themeColor="text1"/>
        </w:rPr>
        <w:t xml:space="preserve"> </w:t>
      </w:r>
      <w:r w:rsidR="0046016A" w:rsidRPr="006F63D5">
        <w:rPr>
          <w:color w:val="000000" w:themeColor="text1"/>
        </w:rPr>
        <w:t>Rovněž docházelo k přesunu zaměstnanců</w:t>
      </w:r>
      <w:r w:rsidR="00D115CC" w:rsidRPr="006F63D5">
        <w:rPr>
          <w:color w:val="000000" w:themeColor="text1"/>
        </w:rPr>
        <w:t xml:space="preserve"> z jiných </w:t>
      </w:r>
      <w:r w:rsidR="008527CE" w:rsidRPr="006F63D5">
        <w:rPr>
          <w:color w:val="000000" w:themeColor="text1"/>
        </w:rPr>
        <w:t>společností</w:t>
      </w:r>
      <w:r w:rsidR="0046016A" w:rsidRPr="006F63D5">
        <w:rPr>
          <w:color w:val="000000" w:themeColor="text1"/>
        </w:rPr>
        <w:t xml:space="preserve"> téhož odvětví</w:t>
      </w:r>
      <w:r w:rsidR="00320A71">
        <w:rPr>
          <w:color w:val="000000" w:themeColor="text1"/>
        </w:rPr>
        <w:t>,</w:t>
      </w:r>
      <w:r w:rsidR="0046016A" w:rsidRPr="006F63D5">
        <w:rPr>
          <w:color w:val="000000" w:themeColor="text1"/>
        </w:rPr>
        <w:t xml:space="preserve"> a nedocházelo tak ke snižování</w:t>
      </w:r>
      <w:r w:rsidR="00D115CC" w:rsidRPr="006F63D5">
        <w:rPr>
          <w:color w:val="000000" w:themeColor="text1"/>
        </w:rPr>
        <w:t xml:space="preserve"> </w:t>
      </w:r>
      <w:r w:rsidR="0046016A" w:rsidRPr="006F63D5">
        <w:rPr>
          <w:color w:val="000000" w:themeColor="text1"/>
        </w:rPr>
        <w:t>míry</w:t>
      </w:r>
      <w:r w:rsidR="00D115CC" w:rsidRPr="006F63D5">
        <w:rPr>
          <w:color w:val="000000" w:themeColor="text1"/>
        </w:rPr>
        <w:t xml:space="preserve"> nezaměstnanosti. </w:t>
      </w:r>
      <w:r w:rsidR="00083E4E" w:rsidRPr="006F63D5">
        <w:rPr>
          <w:color w:val="000000" w:themeColor="text1"/>
        </w:rPr>
        <w:t>Dále z analýzy vzešly závěry</w:t>
      </w:r>
      <w:r w:rsidR="00D115CC" w:rsidRPr="006F63D5">
        <w:rPr>
          <w:color w:val="000000" w:themeColor="text1"/>
        </w:rPr>
        <w:t xml:space="preserve">, že </w:t>
      </w:r>
      <w:r w:rsidR="009C3411" w:rsidRPr="006F63D5">
        <w:rPr>
          <w:b/>
          <w:color w:val="000000" w:themeColor="text1"/>
        </w:rPr>
        <w:t>příjmy</w:t>
      </w:r>
      <w:r w:rsidR="00D115CC" w:rsidRPr="006F63D5">
        <w:rPr>
          <w:b/>
          <w:color w:val="000000" w:themeColor="text1"/>
        </w:rPr>
        <w:t xml:space="preserve"> nepřevyšovaly celkové </w:t>
      </w:r>
      <w:r w:rsidR="009C3411" w:rsidRPr="006F63D5">
        <w:rPr>
          <w:b/>
          <w:color w:val="000000" w:themeColor="text1"/>
        </w:rPr>
        <w:t>výdaje</w:t>
      </w:r>
      <w:r w:rsidR="00B328B9" w:rsidRPr="00C05A01">
        <w:rPr>
          <w:b/>
          <w:color w:val="000000" w:themeColor="text1"/>
        </w:rPr>
        <w:t>,</w:t>
      </w:r>
      <w:r w:rsidR="00B328B9" w:rsidRPr="006F63D5">
        <w:rPr>
          <w:color w:val="000000" w:themeColor="text1"/>
        </w:rPr>
        <w:t xml:space="preserve"> že investiční pobídky </w:t>
      </w:r>
      <w:r w:rsidR="00B328B9" w:rsidRPr="006F63D5">
        <w:rPr>
          <w:b/>
          <w:color w:val="000000" w:themeColor="text1"/>
        </w:rPr>
        <w:t>deformovaly trh</w:t>
      </w:r>
      <w:r w:rsidR="005A02E5" w:rsidRPr="006F63D5">
        <w:rPr>
          <w:color w:val="000000" w:themeColor="text1"/>
        </w:rPr>
        <w:t xml:space="preserve"> tím, že </w:t>
      </w:r>
      <w:r w:rsidR="00B328B9" w:rsidRPr="006F63D5">
        <w:rPr>
          <w:color w:val="000000" w:themeColor="text1"/>
        </w:rPr>
        <w:t>podporovaly velké, především za</w:t>
      </w:r>
      <w:r w:rsidR="00656D0C" w:rsidRPr="006F63D5">
        <w:rPr>
          <w:color w:val="000000" w:themeColor="text1"/>
        </w:rPr>
        <w:t xml:space="preserve">hraniční </w:t>
      </w:r>
      <w:r w:rsidR="009C3411" w:rsidRPr="006F63D5">
        <w:rPr>
          <w:color w:val="000000" w:themeColor="text1"/>
        </w:rPr>
        <w:t>společnosti</w:t>
      </w:r>
      <w:r w:rsidR="00656D0C" w:rsidRPr="006F63D5">
        <w:rPr>
          <w:color w:val="000000" w:themeColor="text1"/>
        </w:rPr>
        <w:t>, jimž poskytovaly</w:t>
      </w:r>
      <w:r w:rsidR="00B328B9" w:rsidRPr="006F63D5">
        <w:rPr>
          <w:color w:val="000000" w:themeColor="text1"/>
        </w:rPr>
        <w:t xml:space="preserve"> tržní výhody na úkor malých a středních </w:t>
      </w:r>
      <w:r w:rsidR="009C3411" w:rsidRPr="006F63D5">
        <w:rPr>
          <w:color w:val="000000" w:themeColor="text1"/>
        </w:rPr>
        <w:t>společností</w:t>
      </w:r>
      <w:r w:rsidR="00320A71">
        <w:rPr>
          <w:color w:val="000000" w:themeColor="text1"/>
        </w:rPr>
        <w:t>,</w:t>
      </w:r>
      <w:r w:rsidR="00B328B9" w:rsidRPr="006F63D5">
        <w:rPr>
          <w:color w:val="000000" w:themeColor="text1"/>
        </w:rPr>
        <w:t xml:space="preserve"> a že většina investic pocházel</w:t>
      </w:r>
      <w:r w:rsidR="003566A8" w:rsidRPr="006F63D5">
        <w:rPr>
          <w:color w:val="000000" w:themeColor="text1"/>
        </w:rPr>
        <w:t>a</w:t>
      </w:r>
      <w:r w:rsidR="00B328B9" w:rsidRPr="006F63D5">
        <w:rPr>
          <w:color w:val="000000" w:themeColor="text1"/>
        </w:rPr>
        <w:t xml:space="preserve"> z </w:t>
      </w:r>
      <w:r w:rsidR="00B328B9" w:rsidRPr="006F63D5">
        <w:rPr>
          <w:b/>
          <w:color w:val="000000" w:themeColor="text1"/>
        </w:rPr>
        <w:t>odvětví s nízkou přidanou hodnotou</w:t>
      </w:r>
      <w:r w:rsidR="00B328B9" w:rsidRPr="00C05A01">
        <w:rPr>
          <w:b/>
          <w:color w:val="000000" w:themeColor="text1"/>
        </w:rPr>
        <w:t>,</w:t>
      </w:r>
      <w:r w:rsidR="00B328B9" w:rsidRPr="006F63D5">
        <w:rPr>
          <w:color w:val="000000" w:themeColor="text1"/>
        </w:rPr>
        <w:t xml:space="preserve"> kde nedocházelo k žádným velkým inovacím.</w:t>
      </w:r>
    </w:p>
    <w:p w14:paraId="114C37E9" w14:textId="744C00F9" w:rsidR="00B328B9" w:rsidRPr="006F63D5" w:rsidRDefault="00B328B9" w:rsidP="006F63D5">
      <w:pPr>
        <w:pStyle w:val="Odstavecseseznamem"/>
        <w:spacing w:after="120" w:line="264" w:lineRule="auto"/>
        <w:ind w:left="0"/>
        <w:contextualSpacing w:val="0"/>
        <w:rPr>
          <w:color w:val="000000" w:themeColor="text1"/>
        </w:rPr>
      </w:pPr>
      <w:r w:rsidRPr="006F63D5">
        <w:rPr>
          <w:color w:val="000000" w:themeColor="text1"/>
        </w:rPr>
        <w:t xml:space="preserve">Na základě výše uvedené analýzy </w:t>
      </w:r>
      <w:r w:rsidRPr="006F63D5">
        <w:rPr>
          <w:b/>
          <w:color w:val="000000" w:themeColor="text1"/>
        </w:rPr>
        <w:t>MPO v roce 2008 navrhlo vládě ČR</w:t>
      </w:r>
      <w:r w:rsidRPr="00C05A01">
        <w:rPr>
          <w:b/>
          <w:color w:val="000000" w:themeColor="text1"/>
        </w:rPr>
        <w:t>,</w:t>
      </w:r>
      <w:r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>aby byl zákon o</w:t>
      </w:r>
      <w:r w:rsidR="00E21168" w:rsidRPr="006F63D5">
        <w:rPr>
          <w:b/>
          <w:color w:val="000000" w:themeColor="text1"/>
        </w:rPr>
        <w:t> </w:t>
      </w:r>
      <w:r w:rsidRPr="006F63D5">
        <w:rPr>
          <w:b/>
          <w:color w:val="000000" w:themeColor="text1"/>
        </w:rPr>
        <w:t>investičních pobídkách zrušen</w:t>
      </w:r>
      <w:r w:rsidRPr="006F63D5">
        <w:rPr>
          <w:color w:val="000000" w:themeColor="text1"/>
        </w:rPr>
        <w:t xml:space="preserve"> a podpora byla zacílena na oblast technologických center a</w:t>
      </w:r>
      <w:r w:rsidR="00E21168" w:rsidRPr="006F63D5">
        <w:rPr>
          <w:color w:val="000000" w:themeColor="text1"/>
        </w:rPr>
        <w:t> </w:t>
      </w:r>
      <w:r w:rsidRPr="006F63D5">
        <w:rPr>
          <w:color w:val="000000" w:themeColor="text1"/>
        </w:rPr>
        <w:t xml:space="preserve">center strategických služeb podporovaných prostřednictvím </w:t>
      </w:r>
      <w:r w:rsidR="00AC2933" w:rsidRPr="00C05A01">
        <w:rPr>
          <w:i/>
          <w:color w:val="000000" w:themeColor="text1"/>
        </w:rPr>
        <w:t>Rámcového programu pro </w:t>
      </w:r>
      <w:r w:rsidR="000534E1" w:rsidRPr="00C05A01">
        <w:rPr>
          <w:i/>
          <w:color w:val="000000" w:themeColor="text1"/>
        </w:rPr>
        <w:t>podporu technologických center a center strategických služeb</w:t>
      </w:r>
      <w:r w:rsidRPr="006F63D5">
        <w:rPr>
          <w:color w:val="000000" w:themeColor="text1"/>
        </w:rPr>
        <w:t>. V dubnu roku 2008 vláda</w:t>
      </w:r>
      <w:r w:rsidR="00EC581C" w:rsidRPr="006F63D5">
        <w:rPr>
          <w:color w:val="000000" w:themeColor="text1"/>
        </w:rPr>
        <w:t xml:space="preserve"> ČR </w:t>
      </w:r>
      <w:r w:rsidRPr="006F63D5">
        <w:rPr>
          <w:color w:val="000000" w:themeColor="text1"/>
        </w:rPr>
        <w:t>usnesením</w:t>
      </w:r>
      <w:r w:rsidRPr="006F63D5">
        <w:rPr>
          <w:rStyle w:val="Znakapoznpodarou"/>
          <w:color w:val="000000" w:themeColor="text1"/>
        </w:rPr>
        <w:footnoteReference w:id="14"/>
      </w:r>
      <w:r w:rsidRPr="006F63D5">
        <w:rPr>
          <w:color w:val="000000" w:themeColor="text1"/>
        </w:rPr>
        <w:t xml:space="preserve"> schválila </w:t>
      </w:r>
      <w:r w:rsidR="00083E4E" w:rsidRPr="006F63D5">
        <w:rPr>
          <w:color w:val="000000" w:themeColor="text1"/>
        </w:rPr>
        <w:t>záměr</w:t>
      </w:r>
      <w:r w:rsidRPr="006F63D5">
        <w:rPr>
          <w:color w:val="000000" w:themeColor="text1"/>
        </w:rPr>
        <w:t xml:space="preserve"> MPO na zrušení investičních pobídek</w:t>
      </w:r>
      <w:r w:rsidR="00083E4E" w:rsidRPr="006F63D5">
        <w:rPr>
          <w:color w:val="000000" w:themeColor="text1"/>
        </w:rPr>
        <w:t xml:space="preserve"> poskytovaných podle zákona </w:t>
      </w:r>
      <w:r w:rsidRPr="006F63D5">
        <w:rPr>
          <w:color w:val="000000" w:themeColor="text1"/>
        </w:rPr>
        <w:t>a uložila ministru průmyslu a obchodu zpracovat návrh zákona, kterým se</w:t>
      </w:r>
      <w:r w:rsidR="003877FB" w:rsidRPr="006F63D5">
        <w:rPr>
          <w:color w:val="000000" w:themeColor="text1"/>
        </w:rPr>
        <w:t xml:space="preserve"> </w:t>
      </w:r>
      <w:r w:rsidRPr="006F63D5">
        <w:rPr>
          <w:color w:val="000000" w:themeColor="text1"/>
        </w:rPr>
        <w:t>zruší zákon o investičních pobídkách. V</w:t>
      </w:r>
      <w:r w:rsidR="003E336F" w:rsidRPr="006F63D5">
        <w:rPr>
          <w:color w:val="000000" w:themeColor="text1"/>
        </w:rPr>
        <w:t> lednu 2009</w:t>
      </w:r>
      <w:r w:rsidR="003E336F" w:rsidRPr="006F63D5">
        <w:rPr>
          <w:rStyle w:val="Znakapoznpodarou"/>
          <w:color w:val="000000" w:themeColor="text1"/>
        </w:rPr>
        <w:footnoteReference w:id="15"/>
      </w:r>
      <w:r w:rsidR="003E336F" w:rsidRPr="006F63D5">
        <w:rPr>
          <w:color w:val="000000" w:themeColor="text1"/>
        </w:rPr>
        <w:t xml:space="preserve"> ale vláda </w:t>
      </w:r>
      <w:r w:rsidR="003723CF" w:rsidRPr="006F63D5">
        <w:rPr>
          <w:color w:val="000000" w:themeColor="text1"/>
        </w:rPr>
        <w:t xml:space="preserve">ČR </w:t>
      </w:r>
      <w:r w:rsidR="00083E4E" w:rsidRPr="006F63D5">
        <w:rPr>
          <w:color w:val="000000" w:themeColor="text1"/>
        </w:rPr>
        <w:t>příslušné části tohoto</w:t>
      </w:r>
      <w:r w:rsidR="003E336F" w:rsidRPr="006F63D5">
        <w:rPr>
          <w:color w:val="000000" w:themeColor="text1"/>
        </w:rPr>
        <w:t xml:space="preserve"> usnesení zrušila a</w:t>
      </w:r>
      <w:r w:rsidR="003E336F" w:rsidRPr="006F63D5">
        <w:rPr>
          <w:b/>
          <w:color w:val="000000" w:themeColor="text1"/>
        </w:rPr>
        <w:t xml:space="preserve"> ke zrušení</w:t>
      </w:r>
      <w:r w:rsidR="003566A8" w:rsidRPr="006F63D5">
        <w:rPr>
          <w:b/>
          <w:color w:val="000000" w:themeColor="text1"/>
        </w:rPr>
        <w:t xml:space="preserve"> zákona </w:t>
      </w:r>
      <w:r w:rsidR="00083E4E" w:rsidRPr="006F63D5">
        <w:rPr>
          <w:b/>
          <w:color w:val="000000" w:themeColor="text1"/>
        </w:rPr>
        <w:t xml:space="preserve">nakonec </w:t>
      </w:r>
      <w:r w:rsidR="003E336F" w:rsidRPr="006F63D5">
        <w:rPr>
          <w:b/>
          <w:color w:val="000000" w:themeColor="text1"/>
        </w:rPr>
        <w:t>nedošlo.</w:t>
      </w:r>
    </w:p>
    <w:p w14:paraId="34099347" w14:textId="77777777" w:rsidR="00DD2A21" w:rsidRPr="003D5278" w:rsidRDefault="003D5278" w:rsidP="006867A7">
      <w:pPr>
        <w:keepNext/>
        <w:spacing w:after="120" w:line="264" w:lineRule="auto"/>
        <w:jc w:val="left"/>
        <w:rPr>
          <w:b/>
        </w:rPr>
      </w:pPr>
      <w:r>
        <w:rPr>
          <w:b/>
        </w:rPr>
        <w:t xml:space="preserve">2. </w:t>
      </w:r>
      <w:r w:rsidR="00161F79" w:rsidRPr="003D5278">
        <w:rPr>
          <w:b/>
        </w:rPr>
        <w:t>Převaha investičních pobídek do zpracovatelského průmyslu bez vyšší přidané hodnoty</w:t>
      </w:r>
    </w:p>
    <w:p w14:paraId="6E63D605" w14:textId="31556B89" w:rsidR="00D54B44" w:rsidRPr="006F63D5" w:rsidRDefault="002024F5" w:rsidP="006F63D5">
      <w:pPr>
        <w:pStyle w:val="Odstavecseseznamem"/>
        <w:spacing w:after="120" w:line="264" w:lineRule="auto"/>
        <w:ind w:left="0"/>
        <w:contextualSpacing w:val="0"/>
        <w:rPr>
          <w:color w:val="000000" w:themeColor="text1"/>
        </w:rPr>
      </w:pPr>
      <w:r w:rsidRPr="006F63D5">
        <w:rPr>
          <w:b/>
          <w:color w:val="000000" w:themeColor="text1"/>
        </w:rPr>
        <w:t>Od roku 2000 do konce září 2020</w:t>
      </w:r>
      <w:r w:rsidRPr="006F63D5">
        <w:rPr>
          <w:color w:val="000000" w:themeColor="text1"/>
        </w:rPr>
        <w:t xml:space="preserve"> vydalo MPO celkem </w:t>
      </w:r>
      <w:r w:rsidRPr="006F63D5">
        <w:rPr>
          <w:b/>
          <w:color w:val="000000" w:themeColor="text1"/>
        </w:rPr>
        <w:t>1</w:t>
      </w:r>
      <w:r w:rsidR="00320A71">
        <w:rPr>
          <w:b/>
          <w:color w:val="000000" w:themeColor="text1"/>
        </w:rPr>
        <w:t> </w:t>
      </w:r>
      <w:r w:rsidRPr="006F63D5">
        <w:rPr>
          <w:b/>
          <w:color w:val="000000" w:themeColor="text1"/>
        </w:rPr>
        <w:t>265</w:t>
      </w:r>
      <w:r w:rsidRPr="006F63D5">
        <w:rPr>
          <w:color w:val="000000" w:themeColor="text1"/>
        </w:rPr>
        <w:t xml:space="preserve"> </w:t>
      </w:r>
      <w:r w:rsidR="00320A71">
        <w:rPr>
          <w:color w:val="000000" w:themeColor="text1"/>
        </w:rPr>
        <w:t>r</w:t>
      </w:r>
      <w:r w:rsidRPr="006F63D5">
        <w:rPr>
          <w:color w:val="000000" w:themeColor="text1"/>
        </w:rPr>
        <w:t xml:space="preserve">ozhodnutí o příslibu investiční pobídky. U </w:t>
      </w:r>
      <w:r w:rsidRPr="006F63D5">
        <w:rPr>
          <w:b/>
          <w:color w:val="000000" w:themeColor="text1"/>
        </w:rPr>
        <w:t>310</w:t>
      </w:r>
      <w:r w:rsidRPr="006F63D5">
        <w:rPr>
          <w:color w:val="000000" w:themeColor="text1"/>
        </w:rPr>
        <w:t xml:space="preserve"> vydaných </w:t>
      </w:r>
      <w:r w:rsidR="00320A71">
        <w:rPr>
          <w:color w:val="000000" w:themeColor="text1"/>
        </w:rPr>
        <w:t>r</w:t>
      </w:r>
      <w:r w:rsidRPr="006F63D5">
        <w:rPr>
          <w:color w:val="000000" w:themeColor="text1"/>
        </w:rPr>
        <w:t>ozhodnutí o příslibu investiční pobídky následně došlo ke zrušení nebo pozbytí platnosti</w:t>
      </w:r>
      <w:r w:rsidR="005546D1" w:rsidRPr="006F63D5">
        <w:rPr>
          <w:color w:val="000000" w:themeColor="text1"/>
        </w:rPr>
        <w:t xml:space="preserve"> (např. na žádost společnosti z důvodu změny strategie)</w:t>
      </w:r>
      <w:r w:rsidRPr="006F63D5">
        <w:rPr>
          <w:color w:val="000000" w:themeColor="text1"/>
        </w:rPr>
        <w:t xml:space="preserve">. K 30. září 2020 MPO tedy evidovalo </w:t>
      </w:r>
      <w:r w:rsidRPr="006F63D5">
        <w:rPr>
          <w:b/>
          <w:color w:val="000000" w:themeColor="text1"/>
        </w:rPr>
        <w:t>955</w:t>
      </w:r>
      <w:r w:rsidRPr="006F63D5">
        <w:rPr>
          <w:color w:val="000000" w:themeColor="text1"/>
        </w:rPr>
        <w:t xml:space="preserve"> platných </w:t>
      </w:r>
      <w:r w:rsidR="00320A71">
        <w:rPr>
          <w:color w:val="000000" w:themeColor="text1"/>
        </w:rPr>
        <w:t>r</w:t>
      </w:r>
      <w:r w:rsidRPr="006F63D5">
        <w:rPr>
          <w:color w:val="000000" w:themeColor="text1"/>
        </w:rPr>
        <w:t>ozhodnut</w:t>
      </w:r>
      <w:r w:rsidR="00F326F7" w:rsidRPr="006F63D5">
        <w:rPr>
          <w:color w:val="000000" w:themeColor="text1"/>
        </w:rPr>
        <w:t>í o příslibu investiční pobídky</w:t>
      </w:r>
      <w:r w:rsidR="000B7DA4" w:rsidRPr="006F63D5">
        <w:rPr>
          <w:color w:val="000000" w:themeColor="text1"/>
        </w:rPr>
        <w:t xml:space="preserve"> vydaných od roku 2000</w:t>
      </w:r>
      <w:r w:rsidR="00F326F7" w:rsidRPr="006F63D5">
        <w:rPr>
          <w:color w:val="000000" w:themeColor="text1"/>
        </w:rPr>
        <w:t xml:space="preserve">, z toho </w:t>
      </w:r>
      <w:r w:rsidR="00F326F7" w:rsidRPr="006F63D5">
        <w:rPr>
          <w:b/>
          <w:color w:val="000000" w:themeColor="text1"/>
        </w:rPr>
        <w:t>508</w:t>
      </w:r>
      <w:r w:rsidR="00F326F7" w:rsidRPr="006F63D5">
        <w:rPr>
          <w:color w:val="000000" w:themeColor="text1"/>
        </w:rPr>
        <w:t xml:space="preserve"> vydaných od roku 2012.</w:t>
      </w:r>
    </w:p>
    <w:p w14:paraId="071665BF" w14:textId="0C7B09AF" w:rsidR="00CB419C" w:rsidRPr="006F63D5" w:rsidRDefault="00083E4E" w:rsidP="003D5278">
      <w:pPr>
        <w:pStyle w:val="Odstavecseseznamem"/>
        <w:spacing w:after="120" w:line="264" w:lineRule="auto"/>
        <w:ind w:left="0"/>
        <w:contextualSpacing w:val="0"/>
        <w:rPr>
          <w:b/>
          <w:color w:val="000000" w:themeColor="text1"/>
        </w:rPr>
      </w:pPr>
      <w:r w:rsidRPr="006F63D5">
        <w:rPr>
          <w:b/>
          <w:color w:val="000000" w:themeColor="text1"/>
        </w:rPr>
        <w:t>Od roku</w:t>
      </w:r>
      <w:r w:rsidR="002024F5" w:rsidRPr="006F63D5">
        <w:rPr>
          <w:b/>
          <w:color w:val="000000" w:themeColor="text1"/>
        </w:rPr>
        <w:t xml:space="preserve"> 2012</w:t>
      </w:r>
      <w:r w:rsidR="00EC581C" w:rsidRPr="00C05A01">
        <w:rPr>
          <w:b/>
          <w:color w:val="000000" w:themeColor="text1"/>
        </w:rPr>
        <w:t>,</w:t>
      </w:r>
      <w:r w:rsidR="00EC581C" w:rsidRPr="006F63D5">
        <w:rPr>
          <w:color w:val="000000" w:themeColor="text1"/>
        </w:rPr>
        <w:t xml:space="preserve"> </w:t>
      </w:r>
      <w:r w:rsidRPr="006F63D5">
        <w:rPr>
          <w:color w:val="000000" w:themeColor="text1"/>
        </w:rPr>
        <w:t>kdy</w:t>
      </w:r>
      <w:r w:rsidR="002024F5" w:rsidRPr="006F63D5">
        <w:rPr>
          <w:color w:val="000000" w:themeColor="text1"/>
        </w:rPr>
        <w:t xml:space="preserve"> bylo umožněno získat investiční pobídku nejen ve</w:t>
      </w:r>
      <w:r w:rsidR="00E21168" w:rsidRPr="006F63D5">
        <w:rPr>
          <w:color w:val="000000" w:themeColor="text1"/>
        </w:rPr>
        <w:t> </w:t>
      </w:r>
      <w:r w:rsidR="002024F5" w:rsidRPr="006F63D5">
        <w:rPr>
          <w:color w:val="000000" w:themeColor="text1"/>
        </w:rPr>
        <w:t xml:space="preserve">zpracovatelském průmyslu, ale i </w:t>
      </w:r>
      <w:r w:rsidR="002024F5" w:rsidRPr="006F63D5">
        <w:rPr>
          <w:b/>
          <w:color w:val="000000" w:themeColor="text1"/>
        </w:rPr>
        <w:t xml:space="preserve">v technologických centrech a centrech strategických </w:t>
      </w:r>
      <w:r w:rsidRPr="006F63D5">
        <w:rPr>
          <w:b/>
          <w:color w:val="000000" w:themeColor="text1"/>
        </w:rPr>
        <w:t>služeb</w:t>
      </w:r>
      <w:r w:rsidRPr="00C05A01">
        <w:rPr>
          <w:b/>
          <w:color w:val="000000" w:themeColor="text1"/>
        </w:rPr>
        <w:t>,</w:t>
      </w:r>
      <w:r w:rsidRPr="006F63D5">
        <w:rPr>
          <w:color w:val="000000" w:themeColor="text1"/>
        </w:rPr>
        <w:t xml:space="preserve"> </w:t>
      </w:r>
      <w:r w:rsidR="002024F5" w:rsidRPr="006F63D5">
        <w:rPr>
          <w:color w:val="000000" w:themeColor="text1"/>
        </w:rPr>
        <w:t xml:space="preserve">vydalo MPO celkem 36 </w:t>
      </w:r>
      <w:r w:rsidR="00320A71">
        <w:rPr>
          <w:color w:val="000000" w:themeColor="text1"/>
        </w:rPr>
        <w:t>r</w:t>
      </w:r>
      <w:r w:rsidR="002024F5" w:rsidRPr="006F63D5">
        <w:rPr>
          <w:color w:val="000000" w:themeColor="text1"/>
        </w:rPr>
        <w:t>ozhodnutí o příslibu investiční pobídky pro tato centra. Následně u 16 došlo ke</w:t>
      </w:r>
      <w:r w:rsidR="003877FB" w:rsidRPr="006F63D5">
        <w:rPr>
          <w:color w:val="000000" w:themeColor="text1"/>
        </w:rPr>
        <w:t> </w:t>
      </w:r>
      <w:r w:rsidR="002024F5" w:rsidRPr="006F63D5">
        <w:rPr>
          <w:color w:val="000000" w:themeColor="text1"/>
        </w:rPr>
        <w:t xml:space="preserve">zrušení nebo </w:t>
      </w:r>
      <w:r w:rsidR="000534E1" w:rsidRPr="006F63D5">
        <w:rPr>
          <w:color w:val="000000" w:themeColor="text1"/>
        </w:rPr>
        <w:t>pozbytí</w:t>
      </w:r>
      <w:r w:rsidR="002024F5" w:rsidRPr="006F63D5">
        <w:rPr>
          <w:color w:val="000000" w:themeColor="text1"/>
        </w:rPr>
        <w:t xml:space="preserve"> platnosti. K 30. září 2020 MPO tedy evidovalo</w:t>
      </w:r>
      <w:r w:rsidR="002024F5" w:rsidRPr="006F63D5">
        <w:rPr>
          <w:b/>
          <w:color w:val="000000" w:themeColor="text1"/>
        </w:rPr>
        <w:t xml:space="preserve"> 20 platných </w:t>
      </w:r>
      <w:r w:rsidR="00320A71">
        <w:rPr>
          <w:b/>
          <w:color w:val="000000" w:themeColor="text1"/>
        </w:rPr>
        <w:t>r</w:t>
      </w:r>
      <w:r w:rsidR="002024F5" w:rsidRPr="006F63D5">
        <w:rPr>
          <w:b/>
          <w:color w:val="000000" w:themeColor="text1"/>
        </w:rPr>
        <w:t>ozhodnutí o příslibu investiční pobídky pro</w:t>
      </w:r>
      <w:r w:rsidR="0026607D" w:rsidRPr="006F63D5">
        <w:rPr>
          <w:b/>
          <w:color w:val="000000" w:themeColor="text1"/>
        </w:rPr>
        <w:t xml:space="preserve"> technologická centra a </w:t>
      </w:r>
      <w:r w:rsidR="002024F5" w:rsidRPr="006F63D5">
        <w:rPr>
          <w:b/>
          <w:color w:val="000000" w:themeColor="text1"/>
        </w:rPr>
        <w:t>centra strategických služeb</w:t>
      </w:r>
      <w:r w:rsidR="002024F5" w:rsidRPr="00C05A01">
        <w:rPr>
          <w:b/>
          <w:color w:val="000000" w:themeColor="text1"/>
        </w:rPr>
        <w:t>,</w:t>
      </w:r>
      <w:r w:rsidR="002024F5" w:rsidRPr="006F63D5">
        <w:rPr>
          <w:color w:val="000000" w:themeColor="text1"/>
        </w:rPr>
        <w:t xml:space="preserve"> tj. 4 % z celkového počtu </w:t>
      </w:r>
      <w:r w:rsidR="00F326F7" w:rsidRPr="006F63D5">
        <w:rPr>
          <w:color w:val="000000" w:themeColor="text1"/>
        </w:rPr>
        <w:t xml:space="preserve">508 platných </w:t>
      </w:r>
      <w:r w:rsidR="00C25E27" w:rsidRPr="006F63D5">
        <w:rPr>
          <w:color w:val="000000" w:themeColor="text1"/>
        </w:rPr>
        <w:t>a</w:t>
      </w:r>
      <w:r w:rsidR="00F326F7" w:rsidRPr="006F63D5">
        <w:rPr>
          <w:color w:val="000000" w:themeColor="text1"/>
        </w:rPr>
        <w:t xml:space="preserve"> vydaných od roku 2012. Zbylých 488</w:t>
      </w:r>
      <w:r w:rsidR="00A342E9" w:rsidRPr="006F63D5">
        <w:rPr>
          <w:color w:val="000000" w:themeColor="text1"/>
        </w:rPr>
        <w:t>,</w:t>
      </w:r>
      <w:r w:rsidR="002024F5" w:rsidRPr="006F63D5">
        <w:rPr>
          <w:color w:val="000000" w:themeColor="text1"/>
        </w:rPr>
        <w:t xml:space="preserve"> </w:t>
      </w:r>
      <w:r w:rsidR="00A342E9" w:rsidRPr="006F63D5">
        <w:rPr>
          <w:color w:val="000000" w:themeColor="text1"/>
        </w:rPr>
        <w:t>tj.</w:t>
      </w:r>
      <w:r w:rsidR="00320A71">
        <w:rPr>
          <w:color w:val="000000" w:themeColor="text1"/>
        </w:rPr>
        <w:t> </w:t>
      </w:r>
      <w:r w:rsidR="00A342E9" w:rsidRPr="006F63D5">
        <w:rPr>
          <w:b/>
          <w:color w:val="000000" w:themeColor="text1"/>
        </w:rPr>
        <w:t>96</w:t>
      </w:r>
      <w:r w:rsidR="00320A71">
        <w:rPr>
          <w:b/>
          <w:color w:val="000000" w:themeColor="text1"/>
        </w:rPr>
        <w:t> </w:t>
      </w:r>
      <w:r w:rsidR="00A342E9" w:rsidRPr="006F63D5">
        <w:rPr>
          <w:b/>
          <w:color w:val="000000" w:themeColor="text1"/>
        </w:rPr>
        <w:t>%</w:t>
      </w:r>
      <w:r w:rsidR="00320A71">
        <w:rPr>
          <w:b/>
          <w:color w:val="000000" w:themeColor="text1"/>
        </w:rPr>
        <w:t>,</w:t>
      </w:r>
      <w:r w:rsidR="00A342E9" w:rsidRPr="006F63D5">
        <w:rPr>
          <w:b/>
          <w:color w:val="000000" w:themeColor="text1"/>
        </w:rPr>
        <w:t xml:space="preserve"> </w:t>
      </w:r>
      <w:r w:rsidR="00CE2C23" w:rsidRPr="006F63D5">
        <w:rPr>
          <w:b/>
          <w:color w:val="000000" w:themeColor="text1"/>
        </w:rPr>
        <w:t>MPO vydalo</w:t>
      </w:r>
      <w:r w:rsidR="00A1366A" w:rsidRPr="006F63D5">
        <w:rPr>
          <w:b/>
          <w:color w:val="000000" w:themeColor="text1"/>
        </w:rPr>
        <w:t xml:space="preserve"> pro zpracovatelský průmysl.</w:t>
      </w:r>
    </w:p>
    <w:p w14:paraId="014A0178" w14:textId="672F2A08" w:rsidR="00D54B44" w:rsidRPr="006F63D5" w:rsidRDefault="002024F5" w:rsidP="006867A7">
      <w:pPr>
        <w:pStyle w:val="Odstavecseseznamem"/>
        <w:keepNext/>
        <w:spacing w:after="120" w:line="264" w:lineRule="auto"/>
        <w:ind w:left="993" w:hanging="993"/>
        <w:contextualSpacing w:val="0"/>
        <w:jc w:val="left"/>
        <w:rPr>
          <w:b/>
          <w:color w:val="000000" w:themeColor="text1"/>
        </w:rPr>
      </w:pPr>
      <w:r w:rsidRPr="006F63D5">
        <w:rPr>
          <w:b/>
          <w:color w:val="000000" w:themeColor="text1"/>
        </w:rPr>
        <w:lastRenderedPageBreak/>
        <w:t xml:space="preserve">Graf č. 1: </w:t>
      </w:r>
      <w:r w:rsidR="003D5278">
        <w:rPr>
          <w:b/>
          <w:color w:val="000000" w:themeColor="text1"/>
        </w:rPr>
        <w:tab/>
      </w:r>
      <w:r w:rsidRPr="006F63D5">
        <w:rPr>
          <w:b/>
          <w:color w:val="000000" w:themeColor="text1"/>
        </w:rPr>
        <w:t xml:space="preserve">Počet </w:t>
      </w:r>
      <w:r w:rsidR="00D54B44" w:rsidRPr="006F63D5">
        <w:rPr>
          <w:b/>
          <w:color w:val="000000" w:themeColor="text1"/>
        </w:rPr>
        <w:t>platných</w:t>
      </w:r>
      <w:r w:rsidRPr="006F63D5">
        <w:rPr>
          <w:b/>
          <w:color w:val="000000" w:themeColor="text1"/>
        </w:rPr>
        <w:t xml:space="preserve"> </w:t>
      </w:r>
      <w:r w:rsidR="00320A71">
        <w:rPr>
          <w:b/>
          <w:color w:val="000000" w:themeColor="text1"/>
        </w:rPr>
        <w:t>r</w:t>
      </w:r>
      <w:r w:rsidRPr="006F63D5">
        <w:rPr>
          <w:b/>
          <w:color w:val="000000" w:themeColor="text1"/>
        </w:rPr>
        <w:t>ozhodnutí o příslibu investiční pobídky</w:t>
      </w:r>
      <w:r w:rsidR="00672A67" w:rsidRPr="006F63D5">
        <w:rPr>
          <w:b/>
          <w:color w:val="000000" w:themeColor="text1"/>
        </w:rPr>
        <w:t xml:space="preserve"> </w:t>
      </w:r>
      <w:r w:rsidR="00D54B44" w:rsidRPr="006F63D5">
        <w:rPr>
          <w:b/>
          <w:color w:val="000000" w:themeColor="text1"/>
        </w:rPr>
        <w:t>k 30. září 2020</w:t>
      </w:r>
      <w:r w:rsidR="003D5278">
        <w:rPr>
          <w:b/>
          <w:color w:val="000000" w:themeColor="text1"/>
        </w:rPr>
        <w:t xml:space="preserve"> </w:t>
      </w:r>
      <w:r w:rsidR="00D54B44" w:rsidRPr="006F63D5">
        <w:rPr>
          <w:b/>
          <w:color w:val="000000" w:themeColor="text1"/>
        </w:rPr>
        <w:t>(vydaných od roku 2012 do 30. září 2020)</w:t>
      </w:r>
    </w:p>
    <w:p w14:paraId="0F270B19" w14:textId="75E97869" w:rsidR="002024F5" w:rsidRPr="006F63D5" w:rsidRDefault="00E36E78" w:rsidP="003D5278">
      <w:pPr>
        <w:keepNext/>
        <w:spacing w:after="120" w:line="264" w:lineRule="auto"/>
        <w:jc w:val="center"/>
        <w:rPr>
          <w:color w:val="000000" w:themeColor="text1"/>
        </w:rPr>
      </w:pPr>
      <w:r>
        <w:rPr>
          <w:noProof/>
          <w:lang w:eastAsia="cs-CZ"/>
        </w:rPr>
        <w:drawing>
          <wp:inline distT="0" distB="0" distL="0" distR="0" wp14:anchorId="18BD4ECE" wp14:editId="659890A9">
            <wp:extent cx="5705475" cy="2756452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024F5" w:rsidRPr="006F63D5">
        <w:rPr>
          <w:color w:val="000000" w:themeColor="text1"/>
        </w:rPr>
        <w:t xml:space="preserve">   </w:t>
      </w:r>
    </w:p>
    <w:p w14:paraId="67E181E4" w14:textId="602FD2C2" w:rsidR="00521FAF" w:rsidRPr="00F2084A" w:rsidRDefault="002024F5" w:rsidP="00F2084A">
      <w:pPr>
        <w:spacing w:after="120" w:line="264" w:lineRule="auto"/>
        <w:jc w:val="left"/>
        <w:rPr>
          <w:b/>
          <w:color w:val="000000" w:themeColor="text1"/>
          <w:sz w:val="20"/>
        </w:rPr>
      </w:pPr>
      <w:r w:rsidRPr="00F2084A">
        <w:rPr>
          <w:b/>
          <w:color w:val="000000" w:themeColor="text1"/>
          <w:sz w:val="20"/>
        </w:rPr>
        <w:t xml:space="preserve">Zdroj: </w:t>
      </w:r>
      <w:r w:rsidR="00320A71">
        <w:rPr>
          <w:color w:val="000000" w:themeColor="text1"/>
          <w:sz w:val="20"/>
        </w:rPr>
        <w:t>vypracoval</w:t>
      </w:r>
      <w:r w:rsidRPr="00F2084A">
        <w:rPr>
          <w:color w:val="000000" w:themeColor="text1"/>
          <w:sz w:val="20"/>
        </w:rPr>
        <w:t xml:space="preserve"> NKÚ na základě dat poskytnutých od MPO</w:t>
      </w:r>
      <w:r w:rsidR="00320A71">
        <w:rPr>
          <w:color w:val="000000" w:themeColor="text1"/>
          <w:sz w:val="20"/>
        </w:rPr>
        <w:t>.</w:t>
      </w:r>
    </w:p>
    <w:p w14:paraId="5140FBEE" w14:textId="176C5C3C" w:rsidR="00994A30" w:rsidRPr="006F63D5" w:rsidRDefault="00A1366A" w:rsidP="006F63D5">
      <w:pPr>
        <w:pStyle w:val="Odstavecseseznamem"/>
        <w:spacing w:after="120" w:line="264" w:lineRule="auto"/>
        <w:ind w:left="0"/>
        <w:contextualSpacing w:val="0"/>
        <w:rPr>
          <w:b/>
          <w:color w:val="000000" w:themeColor="text1"/>
        </w:rPr>
      </w:pPr>
      <w:r w:rsidRPr="006F63D5">
        <w:rPr>
          <w:color w:val="000000" w:themeColor="text1"/>
        </w:rPr>
        <w:t>Zákon do září roku 2019 neumožňoval, aby MPO při</w:t>
      </w:r>
      <w:r w:rsidR="00C25E27" w:rsidRPr="006F63D5">
        <w:rPr>
          <w:color w:val="000000" w:themeColor="text1"/>
        </w:rPr>
        <w:t xml:space="preserve"> vydávání</w:t>
      </w:r>
      <w:r w:rsidRPr="006F63D5">
        <w:rPr>
          <w:color w:val="000000" w:themeColor="text1"/>
        </w:rPr>
        <w:t xml:space="preserve"> </w:t>
      </w:r>
      <w:r w:rsidR="00320A71">
        <w:rPr>
          <w:color w:val="000000" w:themeColor="text1"/>
        </w:rPr>
        <w:t>r</w:t>
      </w:r>
      <w:r w:rsidR="0026607D" w:rsidRPr="006F63D5">
        <w:rPr>
          <w:color w:val="000000" w:themeColor="text1"/>
        </w:rPr>
        <w:t>ozhodování o </w:t>
      </w:r>
      <w:r w:rsidRPr="006F63D5">
        <w:rPr>
          <w:color w:val="000000" w:themeColor="text1"/>
        </w:rPr>
        <w:t xml:space="preserve">příslibu investiční pobídky preferovalo činnosti ve zpracovatelském průmyslu, které </w:t>
      </w:r>
      <w:r w:rsidR="000B7DA4" w:rsidRPr="006F63D5">
        <w:rPr>
          <w:color w:val="000000" w:themeColor="text1"/>
        </w:rPr>
        <w:t>např. </w:t>
      </w:r>
      <w:r w:rsidRPr="006F63D5">
        <w:rPr>
          <w:color w:val="000000" w:themeColor="text1"/>
        </w:rPr>
        <w:t xml:space="preserve">využívaly pracovní sílu s vyšší kvalifikací, prováděly výzkum a vývoj nebo spolupracovaly s výzkumnými organizacemi. </w:t>
      </w:r>
    </w:p>
    <w:p w14:paraId="450DB16D" w14:textId="77777777" w:rsidR="00994A30" w:rsidRPr="00F2084A" w:rsidRDefault="00F2084A" w:rsidP="006867A7">
      <w:pPr>
        <w:keepNext/>
        <w:spacing w:after="120" w:line="264" w:lineRule="auto"/>
        <w:rPr>
          <w:b/>
        </w:rPr>
      </w:pPr>
      <w:r>
        <w:rPr>
          <w:b/>
        </w:rPr>
        <w:t xml:space="preserve">3. </w:t>
      </w:r>
      <w:r w:rsidR="007274E9" w:rsidRPr="00F2084A">
        <w:rPr>
          <w:b/>
        </w:rPr>
        <w:t>Zavedení povinnosti vyšší přidané hodnoty</w:t>
      </w:r>
    </w:p>
    <w:p w14:paraId="395C85E1" w14:textId="1EB59AD9" w:rsidR="007274E9" w:rsidRPr="006F63D5" w:rsidRDefault="007274E9" w:rsidP="006F63D5">
      <w:pPr>
        <w:spacing w:after="120" w:line="264" w:lineRule="auto"/>
        <w:rPr>
          <w:b/>
          <w:color w:val="000000" w:themeColor="text1"/>
        </w:rPr>
      </w:pPr>
      <w:r w:rsidRPr="006F63D5">
        <w:rPr>
          <w:b/>
          <w:color w:val="000000" w:themeColor="text1"/>
        </w:rPr>
        <w:t>Až od 6. září 2019</w:t>
      </w:r>
      <w:r w:rsidRPr="006F63D5">
        <w:rPr>
          <w:color w:val="000000" w:themeColor="text1"/>
        </w:rPr>
        <w:t xml:space="preserve"> byla do zákona doplněna nová všeobecná podmínka pro poskytnutí investiční pobídky, a to </w:t>
      </w:r>
      <w:r w:rsidRPr="006F63D5">
        <w:rPr>
          <w:b/>
          <w:color w:val="000000" w:themeColor="text1"/>
        </w:rPr>
        <w:t>podmínka realizace investiční akce v rámci činnosti s vyšší přidanou hodnotou</w:t>
      </w:r>
      <w:r w:rsidRPr="00C05A01">
        <w:rPr>
          <w:b/>
          <w:color w:val="000000" w:themeColor="text1"/>
        </w:rPr>
        <w:t>.</w:t>
      </w:r>
      <w:r w:rsidRPr="006F63D5">
        <w:rPr>
          <w:color w:val="000000" w:themeColor="text1"/>
        </w:rPr>
        <w:t xml:space="preserve"> </w:t>
      </w:r>
      <w:r w:rsidR="00555188" w:rsidRPr="006F63D5">
        <w:rPr>
          <w:color w:val="000000" w:themeColor="text1"/>
        </w:rPr>
        <w:t>Definici vyšší přidané hodnoty</w:t>
      </w:r>
      <w:r w:rsidRPr="006F63D5">
        <w:rPr>
          <w:color w:val="000000" w:themeColor="text1"/>
        </w:rPr>
        <w:t xml:space="preserve"> </w:t>
      </w:r>
      <w:r w:rsidR="00555188" w:rsidRPr="006F63D5">
        <w:rPr>
          <w:color w:val="000000" w:themeColor="text1"/>
        </w:rPr>
        <w:t>upravuje</w:t>
      </w:r>
      <w:r w:rsidR="005A02E5" w:rsidRPr="006F63D5">
        <w:rPr>
          <w:color w:val="000000" w:themeColor="text1"/>
        </w:rPr>
        <w:t xml:space="preserve"> nařízení vlády č. </w:t>
      </w:r>
      <w:r w:rsidRPr="006F63D5">
        <w:rPr>
          <w:color w:val="000000" w:themeColor="text1"/>
        </w:rPr>
        <w:t>221/2019 Sb. Dle tohoto nařízení je v oborech zpracovatelského průmyslu činností s vyšší přidanou hodnotou činnost, kdy má alespoň 80 % zaměstnanců příjemce průměrný hrubý měsíční výdělek nejméně ve výši průměrné</w:t>
      </w:r>
      <w:r w:rsidR="005A02E5" w:rsidRPr="006F63D5">
        <w:rPr>
          <w:color w:val="000000" w:themeColor="text1"/>
        </w:rPr>
        <w:t xml:space="preserve"> měsíční hrubé mzdy v kraji, ve </w:t>
      </w:r>
      <w:r w:rsidRPr="006F63D5">
        <w:rPr>
          <w:color w:val="000000" w:themeColor="text1"/>
        </w:rPr>
        <w:t>kterém se investiční akce realizuje</w:t>
      </w:r>
      <w:r w:rsidR="00763DAA">
        <w:rPr>
          <w:color w:val="000000" w:themeColor="text1"/>
        </w:rPr>
        <w:t>,</w:t>
      </w:r>
      <w:r w:rsidRPr="006F63D5">
        <w:rPr>
          <w:color w:val="000000" w:themeColor="text1"/>
        </w:rPr>
        <w:t xml:space="preserve"> a současně příjemce investiční pobídky splní podmínky týkající se oblasti výzkumu a vývoje (uzavření smlouvy o spolupráci alespoň s jednou výzkumnou organizací, nejméně 2 % výzkumných a vývojových pracovníků ze všech zaměstnanců nebo pořízení strojního zařízení, které bude využíváno převážně v oblasti výzkumu a vývoje). </w:t>
      </w:r>
      <w:r w:rsidR="00555188" w:rsidRPr="006F63D5">
        <w:rPr>
          <w:color w:val="000000" w:themeColor="text1"/>
        </w:rPr>
        <w:t>Do uvedeného data</w:t>
      </w:r>
      <w:r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>naprostá většina investičních pobídek</w:t>
      </w:r>
      <w:r w:rsidR="00C25E27" w:rsidRPr="006F63D5">
        <w:rPr>
          <w:b/>
          <w:color w:val="000000" w:themeColor="text1"/>
        </w:rPr>
        <w:t xml:space="preserve"> plynula</w:t>
      </w:r>
      <w:r w:rsidRPr="006F63D5">
        <w:rPr>
          <w:b/>
          <w:color w:val="000000" w:themeColor="text1"/>
        </w:rPr>
        <w:t xml:space="preserve"> do zpracovatelského průmyslu bez povinnosti realizovat inv</w:t>
      </w:r>
      <w:r w:rsidR="005A02E5" w:rsidRPr="006F63D5">
        <w:rPr>
          <w:b/>
          <w:color w:val="000000" w:themeColor="text1"/>
        </w:rPr>
        <w:t>estiční akce v rámci činnosti s </w:t>
      </w:r>
      <w:r w:rsidRPr="006F63D5">
        <w:rPr>
          <w:b/>
          <w:color w:val="000000" w:themeColor="text1"/>
        </w:rPr>
        <w:t>vyšší přidanou hodnotou.</w:t>
      </w:r>
    </w:p>
    <w:p w14:paraId="2D88D611" w14:textId="331B2FC8" w:rsidR="00521FAF" w:rsidRPr="006F63D5" w:rsidRDefault="00994A30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>Vláda</w:t>
      </w:r>
      <w:r w:rsidR="00411DC2" w:rsidRPr="006F63D5">
        <w:rPr>
          <w:color w:val="000000" w:themeColor="text1"/>
        </w:rPr>
        <w:t xml:space="preserve"> ČR</w:t>
      </w:r>
      <w:r w:rsidR="000534E1" w:rsidRPr="006F63D5">
        <w:rPr>
          <w:color w:val="000000" w:themeColor="text1"/>
        </w:rPr>
        <w:t xml:space="preserve"> v nařízení č. 221/2019 Sb.</w:t>
      </w:r>
      <w:r w:rsidRPr="006F63D5">
        <w:rPr>
          <w:color w:val="000000" w:themeColor="text1"/>
        </w:rPr>
        <w:t xml:space="preserve"> stanovila, že </w:t>
      </w:r>
      <w:r w:rsidR="007C6D11" w:rsidRPr="006F63D5">
        <w:rPr>
          <w:color w:val="000000" w:themeColor="text1"/>
        </w:rPr>
        <w:t xml:space="preserve">příjemce </w:t>
      </w:r>
      <w:r w:rsidR="007C6D11" w:rsidRPr="006F63D5">
        <w:rPr>
          <w:b/>
          <w:color w:val="000000" w:themeColor="text1"/>
        </w:rPr>
        <w:t xml:space="preserve">nemusí </w:t>
      </w:r>
      <w:r w:rsidR="0066711D" w:rsidRPr="006F63D5">
        <w:rPr>
          <w:b/>
          <w:color w:val="000000" w:themeColor="text1"/>
        </w:rPr>
        <w:t>realizovat</w:t>
      </w:r>
      <w:r w:rsidR="007C6D11" w:rsidRPr="006F63D5">
        <w:rPr>
          <w:b/>
          <w:color w:val="000000" w:themeColor="text1"/>
        </w:rPr>
        <w:t xml:space="preserve"> činnost s vyšší přidanou hodnotou</w:t>
      </w:r>
      <w:r w:rsidR="007C6D11" w:rsidRPr="006F63D5">
        <w:rPr>
          <w:color w:val="000000" w:themeColor="text1"/>
        </w:rPr>
        <w:t xml:space="preserve"> v</w:t>
      </w:r>
      <w:r w:rsidR="00CD4509" w:rsidRPr="006F63D5">
        <w:rPr>
          <w:color w:val="000000" w:themeColor="text1"/>
        </w:rPr>
        <w:t xml:space="preserve"> případě, že celá investiční akce bude realizována </w:t>
      </w:r>
      <w:r w:rsidR="005A02E5" w:rsidRPr="006F63D5">
        <w:rPr>
          <w:b/>
          <w:color w:val="000000" w:themeColor="text1"/>
        </w:rPr>
        <w:t>na </w:t>
      </w:r>
      <w:r w:rsidR="00CD4509" w:rsidRPr="006F63D5">
        <w:rPr>
          <w:b/>
          <w:color w:val="000000" w:themeColor="text1"/>
        </w:rPr>
        <w:t>území státem podporovaného regionu</w:t>
      </w:r>
      <w:r w:rsidR="00A5500C" w:rsidRPr="006F63D5">
        <w:rPr>
          <w:rStyle w:val="Znakapoznpodarou"/>
          <w:b/>
          <w:color w:val="000000" w:themeColor="text1"/>
        </w:rPr>
        <w:footnoteReference w:id="16"/>
      </w:r>
      <w:r w:rsidR="00CD4509" w:rsidRPr="006F63D5">
        <w:rPr>
          <w:color w:val="000000" w:themeColor="text1"/>
        </w:rPr>
        <w:t xml:space="preserve"> vymezeného na základě zákona upravujícího podporu </w:t>
      </w:r>
      <w:r w:rsidR="00CD4509" w:rsidRPr="006F63D5">
        <w:rPr>
          <w:color w:val="000000" w:themeColor="text1"/>
        </w:rPr>
        <w:lastRenderedPageBreak/>
        <w:t xml:space="preserve">regionálního rozvoje. Od 6. září 2019 do konce září 2020 </w:t>
      </w:r>
      <w:r w:rsidR="00763DAA" w:rsidRPr="006F63D5">
        <w:rPr>
          <w:color w:val="000000" w:themeColor="text1"/>
        </w:rPr>
        <w:t xml:space="preserve">předložilo </w:t>
      </w:r>
      <w:r w:rsidR="00CD4509" w:rsidRPr="006F63D5">
        <w:rPr>
          <w:color w:val="000000" w:themeColor="text1"/>
        </w:rPr>
        <w:t>MPO vládě</w:t>
      </w:r>
      <w:r w:rsidR="005A02E5" w:rsidRPr="006F63D5">
        <w:rPr>
          <w:color w:val="000000" w:themeColor="text1"/>
        </w:rPr>
        <w:t xml:space="preserve"> ČR a </w:t>
      </w:r>
      <w:r w:rsidR="00411DC2" w:rsidRPr="006F63D5">
        <w:rPr>
          <w:color w:val="000000" w:themeColor="text1"/>
        </w:rPr>
        <w:t>ta</w:t>
      </w:r>
      <w:r w:rsidR="00CD4509" w:rsidRPr="006F63D5">
        <w:rPr>
          <w:color w:val="000000" w:themeColor="text1"/>
        </w:rPr>
        <w:t xml:space="preserve"> schválila</w:t>
      </w:r>
      <w:r w:rsidR="00CD4509" w:rsidRPr="006F63D5">
        <w:rPr>
          <w:rStyle w:val="Znakapoznpodarou"/>
          <w:color w:val="000000" w:themeColor="text1"/>
        </w:rPr>
        <w:footnoteReference w:id="17"/>
      </w:r>
      <w:r w:rsidR="0026607D" w:rsidRPr="006F63D5">
        <w:rPr>
          <w:color w:val="000000" w:themeColor="text1"/>
        </w:rPr>
        <w:t xml:space="preserve"> jeden návrh na </w:t>
      </w:r>
      <w:r w:rsidR="00CD4509" w:rsidRPr="006F63D5">
        <w:rPr>
          <w:color w:val="000000" w:themeColor="text1"/>
        </w:rPr>
        <w:t>schválení investiční pobídky</w:t>
      </w:r>
      <w:r w:rsidR="008B722F" w:rsidRPr="006F63D5">
        <w:rPr>
          <w:color w:val="000000" w:themeColor="text1"/>
        </w:rPr>
        <w:t xml:space="preserve"> ve výrobě</w:t>
      </w:r>
      <w:r w:rsidR="00CD4509" w:rsidRPr="006F63D5">
        <w:rPr>
          <w:color w:val="000000" w:themeColor="text1"/>
        </w:rPr>
        <w:t xml:space="preserve">, u níž žadatel podal </w:t>
      </w:r>
      <w:r w:rsidR="005A02E5" w:rsidRPr="006F63D5">
        <w:rPr>
          <w:color w:val="000000" w:themeColor="text1"/>
        </w:rPr>
        <w:t xml:space="preserve">svou </w:t>
      </w:r>
      <w:r w:rsidR="003877FB" w:rsidRPr="006F63D5">
        <w:rPr>
          <w:color w:val="000000" w:themeColor="text1"/>
        </w:rPr>
        <w:t>žádost po 6. září </w:t>
      </w:r>
      <w:r w:rsidR="00CD4509" w:rsidRPr="006F63D5">
        <w:rPr>
          <w:color w:val="000000" w:themeColor="text1"/>
        </w:rPr>
        <w:t>2019. Tento žadatel</w:t>
      </w:r>
      <w:r w:rsidR="00656D0C" w:rsidRPr="006F63D5">
        <w:rPr>
          <w:color w:val="000000" w:themeColor="text1"/>
        </w:rPr>
        <w:t xml:space="preserve"> se rozhodl svou investiční akci</w:t>
      </w:r>
      <w:r w:rsidR="00CD4509" w:rsidRPr="006F63D5">
        <w:rPr>
          <w:color w:val="000000" w:themeColor="text1"/>
        </w:rPr>
        <w:t xml:space="preserve"> realizovat na území státem podporovaného regionu a nevztahovala se na něj tudíž povinnost </w:t>
      </w:r>
      <w:r w:rsidR="00326A8A" w:rsidRPr="006F63D5">
        <w:rPr>
          <w:color w:val="000000" w:themeColor="text1"/>
        </w:rPr>
        <w:t>realizovat</w:t>
      </w:r>
      <w:r w:rsidR="00CD4509" w:rsidRPr="006F63D5">
        <w:rPr>
          <w:color w:val="000000" w:themeColor="text1"/>
        </w:rPr>
        <w:t xml:space="preserve"> činnost s vyšší </w:t>
      </w:r>
      <w:r w:rsidR="008B722F" w:rsidRPr="006F63D5">
        <w:rPr>
          <w:color w:val="000000" w:themeColor="text1"/>
        </w:rPr>
        <w:t>přidanou hodnot</w:t>
      </w:r>
      <w:r w:rsidR="00E40926" w:rsidRPr="006F63D5">
        <w:rPr>
          <w:color w:val="000000" w:themeColor="text1"/>
        </w:rPr>
        <w:t>o</w:t>
      </w:r>
      <w:r w:rsidR="008B722F" w:rsidRPr="006F63D5">
        <w:rPr>
          <w:color w:val="000000" w:themeColor="text1"/>
        </w:rPr>
        <w:t>u.</w:t>
      </w:r>
      <w:r w:rsidR="008B722F" w:rsidRPr="006F63D5">
        <w:rPr>
          <w:b/>
          <w:color w:val="000000" w:themeColor="text1"/>
        </w:rPr>
        <w:t xml:space="preserve"> Do konce září 2020 tedy MPO nevydalo žádné </w:t>
      </w:r>
      <w:r w:rsidR="00763DAA">
        <w:rPr>
          <w:b/>
          <w:color w:val="000000" w:themeColor="text1"/>
        </w:rPr>
        <w:t>r</w:t>
      </w:r>
      <w:r w:rsidR="008B722F" w:rsidRPr="006F63D5">
        <w:rPr>
          <w:b/>
          <w:color w:val="000000" w:themeColor="text1"/>
        </w:rPr>
        <w:t>ozhodnutí o</w:t>
      </w:r>
      <w:r w:rsidR="008D2AAB" w:rsidRPr="006F63D5">
        <w:rPr>
          <w:b/>
          <w:color w:val="000000" w:themeColor="text1"/>
        </w:rPr>
        <w:t> </w:t>
      </w:r>
      <w:r w:rsidR="008B722F" w:rsidRPr="006F63D5">
        <w:rPr>
          <w:b/>
          <w:color w:val="000000" w:themeColor="text1"/>
        </w:rPr>
        <w:t>příslibu investiční p</w:t>
      </w:r>
      <w:r w:rsidR="00595EC5" w:rsidRPr="006F63D5">
        <w:rPr>
          <w:b/>
          <w:color w:val="000000" w:themeColor="text1"/>
        </w:rPr>
        <w:t>obídky ve </w:t>
      </w:r>
      <w:r w:rsidR="000B7DA4" w:rsidRPr="006F63D5">
        <w:rPr>
          <w:b/>
          <w:color w:val="000000" w:themeColor="text1"/>
        </w:rPr>
        <w:t>zpracovatelském průmyslu s povinností realizovat investiční akci</w:t>
      </w:r>
      <w:r w:rsidR="005A02E5" w:rsidRPr="006F63D5">
        <w:rPr>
          <w:b/>
          <w:color w:val="000000" w:themeColor="text1"/>
        </w:rPr>
        <w:t xml:space="preserve"> v </w:t>
      </w:r>
      <w:r w:rsidR="000B7DA4" w:rsidRPr="006F63D5">
        <w:rPr>
          <w:b/>
          <w:color w:val="000000" w:themeColor="text1"/>
        </w:rPr>
        <w:t>rámci činnosti s vyšší přidanou hodnotou</w:t>
      </w:r>
      <w:r w:rsidR="008B722F" w:rsidRPr="006F63D5">
        <w:rPr>
          <w:b/>
          <w:color w:val="000000" w:themeColor="text1"/>
        </w:rPr>
        <w:t>.</w:t>
      </w:r>
    </w:p>
    <w:p w14:paraId="75890F08" w14:textId="77777777" w:rsidR="00161F79" w:rsidRPr="00F2084A" w:rsidRDefault="00F2084A" w:rsidP="006867A7">
      <w:pPr>
        <w:keepNext/>
        <w:spacing w:after="120" w:line="264" w:lineRule="auto"/>
        <w:rPr>
          <w:b/>
        </w:rPr>
      </w:pPr>
      <w:r>
        <w:rPr>
          <w:b/>
        </w:rPr>
        <w:t xml:space="preserve">4. </w:t>
      </w:r>
      <w:r w:rsidR="00161F79" w:rsidRPr="00F2084A">
        <w:rPr>
          <w:b/>
        </w:rPr>
        <w:t xml:space="preserve">S novou povinností </w:t>
      </w:r>
      <w:r w:rsidR="00326A8A" w:rsidRPr="00F2084A">
        <w:rPr>
          <w:b/>
        </w:rPr>
        <w:t>realizovat</w:t>
      </w:r>
      <w:r w:rsidR="00161F79" w:rsidRPr="00F2084A">
        <w:rPr>
          <w:b/>
        </w:rPr>
        <w:t xml:space="preserve"> vyšší přidanou</w:t>
      </w:r>
      <w:r w:rsidR="008B722F" w:rsidRPr="00F2084A">
        <w:rPr>
          <w:b/>
        </w:rPr>
        <w:t xml:space="preserve"> hodnotu klesl zájem o získání </w:t>
      </w:r>
      <w:r w:rsidR="00161F79" w:rsidRPr="00F2084A">
        <w:rPr>
          <w:b/>
        </w:rPr>
        <w:t>pobídky</w:t>
      </w:r>
    </w:p>
    <w:p w14:paraId="2612A357" w14:textId="77777777" w:rsidR="00161F79" w:rsidRPr="006F63D5" w:rsidRDefault="00161F79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>Během jednoho roku od nabytí účinnosti novely</w:t>
      </w:r>
      <w:r w:rsidR="006E435A" w:rsidRPr="006F63D5">
        <w:rPr>
          <w:color w:val="000000" w:themeColor="text1"/>
        </w:rPr>
        <w:t xml:space="preserve"> zákona, která zavedla povinnost </w:t>
      </w:r>
      <w:r w:rsidR="00326A8A" w:rsidRPr="006F63D5">
        <w:rPr>
          <w:color w:val="000000" w:themeColor="text1"/>
        </w:rPr>
        <w:t>realizovat</w:t>
      </w:r>
      <w:r w:rsidR="006E435A" w:rsidRPr="006F63D5">
        <w:rPr>
          <w:color w:val="000000" w:themeColor="text1"/>
        </w:rPr>
        <w:t xml:space="preserve"> vyšší přidanou hodnotu</w:t>
      </w:r>
      <w:r w:rsidRPr="006F63D5">
        <w:rPr>
          <w:color w:val="000000" w:themeColor="text1"/>
        </w:rPr>
        <w:t xml:space="preserve"> (tj. od 6. září 2019 do 10. září 2020) přijala Agentura CzechInvest </w:t>
      </w:r>
      <w:r w:rsidR="003877FB" w:rsidRPr="006F63D5">
        <w:rPr>
          <w:b/>
          <w:color w:val="000000" w:themeColor="text1"/>
        </w:rPr>
        <w:t>11 </w:t>
      </w:r>
      <w:r w:rsidRPr="006F63D5">
        <w:rPr>
          <w:b/>
          <w:color w:val="000000" w:themeColor="text1"/>
        </w:rPr>
        <w:t>záměrů</w:t>
      </w:r>
      <w:r w:rsidRPr="006F63D5">
        <w:rPr>
          <w:color w:val="000000" w:themeColor="text1"/>
        </w:rPr>
        <w:t xml:space="preserve"> získat investiční pobídku.</w:t>
      </w:r>
      <w:r w:rsidR="0026607D" w:rsidRPr="006F63D5">
        <w:rPr>
          <w:color w:val="000000" w:themeColor="text1"/>
        </w:rPr>
        <w:t xml:space="preserve"> V roce 2019 se jednalo pouze o </w:t>
      </w:r>
      <w:r w:rsidRPr="006F63D5">
        <w:rPr>
          <w:color w:val="000000" w:themeColor="text1"/>
        </w:rPr>
        <w:t>jeden takový záměr z celkového počtu 76 podaných záměrů a v roce 2020 o 10 záměrů.</w:t>
      </w:r>
    </w:p>
    <w:p w14:paraId="3410F6C8" w14:textId="77777777" w:rsidR="00161F79" w:rsidRPr="006F63D5" w:rsidRDefault="00F1312E" w:rsidP="006F63D5">
      <w:pPr>
        <w:spacing w:after="120" w:line="264" w:lineRule="auto"/>
        <w:rPr>
          <w:b/>
          <w:color w:val="000000" w:themeColor="text1"/>
        </w:rPr>
      </w:pPr>
      <w:r w:rsidRPr="006F63D5">
        <w:rPr>
          <w:b/>
          <w:color w:val="000000" w:themeColor="text1"/>
        </w:rPr>
        <w:t>Tabulka č. 1</w:t>
      </w:r>
      <w:r w:rsidR="00161F79" w:rsidRPr="006F63D5">
        <w:rPr>
          <w:b/>
          <w:color w:val="000000" w:themeColor="text1"/>
        </w:rPr>
        <w:t>: Počet záměrů získat investiční pobídku přijatých Agenturou CzechInvest</w:t>
      </w:r>
    </w:p>
    <w:tbl>
      <w:tblPr>
        <w:tblStyle w:val="Mkatabulky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07"/>
        <w:gridCol w:w="907"/>
        <w:gridCol w:w="907"/>
        <w:gridCol w:w="907"/>
        <w:gridCol w:w="907"/>
        <w:gridCol w:w="2268"/>
      </w:tblGrid>
      <w:tr w:rsidR="00F2084A" w:rsidRPr="00F2084A" w14:paraId="4E062E39" w14:textId="77777777" w:rsidTr="0058367B">
        <w:trPr>
          <w:trHeight w:val="433"/>
          <w:jc w:val="center"/>
        </w:trPr>
        <w:tc>
          <w:tcPr>
            <w:tcW w:w="2268" w:type="dxa"/>
            <w:shd w:val="clear" w:color="auto" w:fill="E5F1FF"/>
            <w:vAlign w:val="center"/>
          </w:tcPr>
          <w:p w14:paraId="09D816A6" w14:textId="77777777" w:rsidR="00161F79" w:rsidRPr="00F2084A" w:rsidRDefault="00161F79" w:rsidP="00F2084A">
            <w:pPr>
              <w:spacing w:line="26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2084A">
              <w:rPr>
                <w:b/>
                <w:color w:val="000000" w:themeColor="text1"/>
                <w:sz w:val="20"/>
                <w:szCs w:val="20"/>
              </w:rPr>
              <w:t>Rok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41E9966D" w14:textId="77777777" w:rsidR="00161F79" w:rsidRPr="00F2084A" w:rsidRDefault="00161F79" w:rsidP="00F2084A">
            <w:pPr>
              <w:spacing w:line="26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2084A">
              <w:rPr>
                <w:b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393CAF50" w14:textId="77777777" w:rsidR="00161F79" w:rsidRPr="00F2084A" w:rsidRDefault="00161F79" w:rsidP="00F2084A">
            <w:pPr>
              <w:spacing w:line="26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2084A">
              <w:rPr>
                <w:b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681E5020" w14:textId="77777777" w:rsidR="00161F79" w:rsidRPr="00F2084A" w:rsidRDefault="00161F79" w:rsidP="00F2084A">
            <w:pPr>
              <w:spacing w:line="26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2084A">
              <w:rPr>
                <w:b/>
                <w:color w:val="000000" w:themeColor="text1"/>
                <w:sz w:val="20"/>
                <w:szCs w:val="20"/>
              </w:rPr>
              <w:t>2017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6DF4C113" w14:textId="77777777" w:rsidR="00161F79" w:rsidRPr="00F2084A" w:rsidRDefault="00161F79" w:rsidP="00F2084A">
            <w:pPr>
              <w:spacing w:line="26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2084A">
              <w:rPr>
                <w:b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619FF3DB" w14:textId="77777777" w:rsidR="00161F79" w:rsidRPr="00F2084A" w:rsidRDefault="00161F79" w:rsidP="00F2084A">
            <w:pPr>
              <w:spacing w:line="26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2084A">
              <w:rPr>
                <w:b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E5F1FF"/>
            <w:vAlign w:val="center"/>
          </w:tcPr>
          <w:p w14:paraId="505AFF6F" w14:textId="77777777" w:rsidR="00161F79" w:rsidRPr="00F2084A" w:rsidRDefault="008B722F" w:rsidP="00F2084A">
            <w:pPr>
              <w:spacing w:line="264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2084A">
              <w:rPr>
                <w:b/>
                <w:color w:val="000000" w:themeColor="text1"/>
                <w:sz w:val="20"/>
                <w:szCs w:val="20"/>
              </w:rPr>
              <w:t>1. leden</w:t>
            </w:r>
            <w:r w:rsidR="00161F79" w:rsidRPr="00F2084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F2084A">
              <w:rPr>
                <w:b/>
                <w:color w:val="000000" w:themeColor="text1"/>
                <w:sz w:val="20"/>
                <w:szCs w:val="20"/>
              </w:rPr>
              <w:br/>
            </w:r>
            <w:r w:rsidR="00161F79" w:rsidRPr="00F2084A">
              <w:rPr>
                <w:b/>
                <w:color w:val="000000" w:themeColor="text1"/>
                <w:sz w:val="20"/>
                <w:szCs w:val="20"/>
              </w:rPr>
              <w:t>až 10.</w:t>
            </w:r>
            <w:r w:rsidR="00F2084A" w:rsidRPr="00F2084A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161F79" w:rsidRPr="00F2084A">
              <w:rPr>
                <w:b/>
                <w:color w:val="000000" w:themeColor="text1"/>
                <w:sz w:val="20"/>
                <w:szCs w:val="20"/>
              </w:rPr>
              <w:t>září 2020</w:t>
            </w:r>
          </w:p>
        </w:tc>
      </w:tr>
      <w:tr w:rsidR="00F2084A" w:rsidRPr="00F2084A" w14:paraId="36BA3B34" w14:textId="77777777" w:rsidTr="0058367B">
        <w:trPr>
          <w:trHeight w:val="400"/>
          <w:jc w:val="center"/>
        </w:trPr>
        <w:tc>
          <w:tcPr>
            <w:tcW w:w="2268" w:type="dxa"/>
            <w:vAlign w:val="center"/>
          </w:tcPr>
          <w:p w14:paraId="5E2825EF" w14:textId="77777777" w:rsidR="00161F79" w:rsidRPr="00F2084A" w:rsidRDefault="00161F79" w:rsidP="00F2084A">
            <w:pPr>
              <w:spacing w:line="264" w:lineRule="auto"/>
              <w:rPr>
                <w:b/>
                <w:color w:val="000000" w:themeColor="text1"/>
                <w:sz w:val="20"/>
                <w:szCs w:val="20"/>
              </w:rPr>
            </w:pPr>
            <w:r w:rsidRPr="00F2084A">
              <w:rPr>
                <w:b/>
                <w:color w:val="000000" w:themeColor="text1"/>
                <w:sz w:val="20"/>
                <w:szCs w:val="20"/>
              </w:rPr>
              <w:t>Počet záměrů</w:t>
            </w:r>
          </w:p>
        </w:tc>
        <w:tc>
          <w:tcPr>
            <w:tcW w:w="907" w:type="dxa"/>
            <w:vAlign w:val="center"/>
          </w:tcPr>
          <w:p w14:paraId="45442AE0" w14:textId="77777777" w:rsidR="00161F79" w:rsidRPr="00F2084A" w:rsidRDefault="00161F79" w:rsidP="00F2084A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084A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907" w:type="dxa"/>
            <w:vAlign w:val="center"/>
          </w:tcPr>
          <w:p w14:paraId="632DA02D" w14:textId="77777777" w:rsidR="00161F79" w:rsidRPr="00F2084A" w:rsidRDefault="00161F79" w:rsidP="00F2084A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084A">
              <w:rPr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907" w:type="dxa"/>
            <w:vAlign w:val="center"/>
          </w:tcPr>
          <w:p w14:paraId="6866BF27" w14:textId="77777777" w:rsidR="00161F79" w:rsidRPr="00F2084A" w:rsidRDefault="00161F79" w:rsidP="00F2084A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084A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907" w:type="dxa"/>
            <w:vAlign w:val="center"/>
          </w:tcPr>
          <w:p w14:paraId="48C02F15" w14:textId="77777777" w:rsidR="00161F79" w:rsidRPr="00F2084A" w:rsidRDefault="00161F79" w:rsidP="00F2084A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084A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07" w:type="dxa"/>
            <w:vAlign w:val="center"/>
          </w:tcPr>
          <w:p w14:paraId="0FDB1265" w14:textId="77777777" w:rsidR="00161F79" w:rsidRPr="00F2084A" w:rsidRDefault="00161F79" w:rsidP="00F2084A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  <w:r w:rsidRPr="00F2084A">
              <w:rPr>
                <w:color w:val="000000" w:themeColor="text1"/>
                <w:sz w:val="20"/>
                <w:szCs w:val="20"/>
              </w:rPr>
              <w:t>76</w:t>
            </w:r>
            <w:r w:rsidRPr="00F2084A">
              <w:rPr>
                <w:color w:val="000000" w:themeColor="text1"/>
                <w:sz w:val="20"/>
                <w:szCs w:val="20"/>
                <w:lang w:val="en-GB"/>
              </w:rPr>
              <w:t>*</w:t>
            </w:r>
          </w:p>
        </w:tc>
        <w:tc>
          <w:tcPr>
            <w:tcW w:w="2268" w:type="dxa"/>
            <w:vAlign w:val="center"/>
          </w:tcPr>
          <w:p w14:paraId="625D7765" w14:textId="77777777" w:rsidR="00161F79" w:rsidRPr="00F2084A" w:rsidRDefault="00161F79" w:rsidP="00F2084A">
            <w:pPr>
              <w:spacing w:line="264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084A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217E07BE" w14:textId="424F636C" w:rsidR="00161F79" w:rsidRPr="0058367B" w:rsidRDefault="00161F79" w:rsidP="0058367B">
      <w:pPr>
        <w:spacing w:before="40" w:line="264" w:lineRule="auto"/>
        <w:ind w:left="567" w:hanging="567"/>
        <w:rPr>
          <w:color w:val="000000" w:themeColor="text1"/>
          <w:sz w:val="20"/>
        </w:rPr>
      </w:pPr>
      <w:r w:rsidRPr="0058367B">
        <w:rPr>
          <w:b/>
          <w:color w:val="000000" w:themeColor="text1"/>
          <w:sz w:val="20"/>
        </w:rPr>
        <w:t xml:space="preserve">Zdroj: </w:t>
      </w:r>
      <w:r w:rsidR="0058367B" w:rsidRPr="0058367B">
        <w:rPr>
          <w:b/>
          <w:color w:val="000000" w:themeColor="text1"/>
          <w:sz w:val="20"/>
        </w:rPr>
        <w:tab/>
      </w:r>
      <w:r w:rsidR="00763DAA">
        <w:rPr>
          <w:color w:val="000000" w:themeColor="text1"/>
          <w:sz w:val="20"/>
        </w:rPr>
        <w:t>v</w:t>
      </w:r>
      <w:r w:rsidRPr="0058367B">
        <w:rPr>
          <w:color w:val="000000" w:themeColor="text1"/>
          <w:sz w:val="20"/>
        </w:rPr>
        <w:t>ýroční zprávy Agentury CzechInvest za rok</w:t>
      </w:r>
      <w:r w:rsidR="00763DAA">
        <w:rPr>
          <w:color w:val="000000" w:themeColor="text1"/>
          <w:sz w:val="20"/>
        </w:rPr>
        <w:t>y</w:t>
      </w:r>
      <w:r w:rsidRPr="0058367B">
        <w:rPr>
          <w:color w:val="000000" w:themeColor="text1"/>
          <w:sz w:val="20"/>
        </w:rPr>
        <w:t xml:space="preserve"> 2015 až 2019 a data poskytnutá Agenturou CzechInvest.</w:t>
      </w:r>
    </w:p>
    <w:p w14:paraId="7AFBD34B" w14:textId="4D94481E" w:rsidR="0058367B" w:rsidRPr="0058367B" w:rsidRDefault="0058367B" w:rsidP="0058367B">
      <w:pPr>
        <w:spacing w:after="120" w:line="264" w:lineRule="auto"/>
        <w:rPr>
          <w:color w:val="000000" w:themeColor="text1"/>
          <w:sz w:val="20"/>
        </w:rPr>
      </w:pPr>
      <w:r w:rsidRPr="0058367B">
        <w:rPr>
          <w:color w:val="000000" w:themeColor="text1"/>
          <w:sz w:val="20"/>
        </w:rPr>
        <w:t xml:space="preserve">*Z tohoto 75 záměrů přijatých do 5. září 2019 a </w:t>
      </w:r>
      <w:r w:rsidR="00763DAA">
        <w:rPr>
          <w:color w:val="000000" w:themeColor="text1"/>
          <w:sz w:val="20"/>
        </w:rPr>
        <w:t>jeden</w:t>
      </w:r>
      <w:r w:rsidRPr="0058367B">
        <w:rPr>
          <w:color w:val="000000" w:themeColor="text1"/>
          <w:sz w:val="20"/>
        </w:rPr>
        <w:t xml:space="preserve"> záměr přijatý </w:t>
      </w:r>
      <w:r w:rsidR="00763DAA">
        <w:rPr>
          <w:color w:val="000000" w:themeColor="text1"/>
          <w:sz w:val="20"/>
        </w:rPr>
        <w:t>po</w:t>
      </w:r>
      <w:r w:rsidRPr="0058367B">
        <w:rPr>
          <w:color w:val="000000" w:themeColor="text1"/>
          <w:sz w:val="20"/>
        </w:rPr>
        <w:t xml:space="preserve"> 6. září 2019.</w:t>
      </w:r>
    </w:p>
    <w:p w14:paraId="29E5EB32" w14:textId="4C9F7ECA" w:rsidR="002433BF" w:rsidRPr="006F63D5" w:rsidRDefault="00161F79" w:rsidP="006F63D5">
      <w:pPr>
        <w:spacing w:after="120" w:line="264" w:lineRule="auto"/>
        <w:rPr>
          <w:b/>
          <w:color w:val="000000" w:themeColor="text1"/>
        </w:rPr>
      </w:pPr>
      <w:r w:rsidRPr="006F63D5">
        <w:rPr>
          <w:color w:val="000000" w:themeColor="text1"/>
        </w:rPr>
        <w:t>V letech 2015 až 2019</w:t>
      </w:r>
      <w:r w:rsidR="00F40B21" w:rsidRPr="006F63D5">
        <w:rPr>
          <w:color w:val="000000" w:themeColor="text1"/>
        </w:rPr>
        <w:t xml:space="preserve"> ročně</w:t>
      </w:r>
      <w:r w:rsidRPr="006F63D5">
        <w:rPr>
          <w:color w:val="000000" w:themeColor="text1"/>
        </w:rPr>
        <w:t xml:space="preserve"> přijímala Agentura CzechInvest </w:t>
      </w:r>
      <w:r w:rsidRPr="006F63D5">
        <w:rPr>
          <w:b/>
          <w:color w:val="000000" w:themeColor="text1"/>
        </w:rPr>
        <w:t>v průměru 75 záměrů</w:t>
      </w:r>
      <w:r w:rsidRPr="006F63D5">
        <w:rPr>
          <w:color w:val="000000" w:themeColor="text1"/>
        </w:rPr>
        <w:t xml:space="preserve"> získat investiční pobídku. Při porovnání počtu přijatých záměrů v letech 2015 až 2019 a počtu přijatých záměrů během jednoho roku od nabytí účinnosti novely zákona </w:t>
      </w:r>
      <w:r w:rsidR="00B02DE3" w:rsidRPr="006F63D5">
        <w:rPr>
          <w:color w:val="000000" w:themeColor="text1"/>
        </w:rPr>
        <w:t>dne 6. září 2019</w:t>
      </w:r>
      <w:r w:rsidRPr="006F63D5">
        <w:rPr>
          <w:color w:val="000000" w:themeColor="text1"/>
        </w:rPr>
        <w:t xml:space="preserve"> je zřejmé, že</w:t>
      </w:r>
      <w:r w:rsidR="00326A8A" w:rsidRPr="006F63D5">
        <w:rPr>
          <w:color w:val="000000" w:themeColor="text1"/>
        </w:rPr>
        <w:t xml:space="preserve"> po zavedení podmínky realizovat</w:t>
      </w:r>
      <w:r w:rsidR="000534E1" w:rsidRPr="006F63D5">
        <w:rPr>
          <w:color w:val="000000" w:themeColor="text1"/>
        </w:rPr>
        <w:t xml:space="preserve"> vyšší přidanou hodnotu</w:t>
      </w:r>
      <w:r w:rsidR="006E435A"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>došlo k poklesu zájmu o</w:t>
      </w:r>
      <w:r w:rsidR="00F40B21">
        <w:rPr>
          <w:b/>
          <w:color w:val="000000" w:themeColor="text1"/>
        </w:rPr>
        <w:t> </w:t>
      </w:r>
      <w:r w:rsidRPr="006F63D5">
        <w:rPr>
          <w:b/>
          <w:color w:val="000000" w:themeColor="text1"/>
        </w:rPr>
        <w:t>získ</w:t>
      </w:r>
      <w:r w:rsidR="008B722F" w:rsidRPr="006F63D5">
        <w:rPr>
          <w:b/>
          <w:color w:val="000000" w:themeColor="text1"/>
        </w:rPr>
        <w:t>ání investiční pobídky.</w:t>
      </w:r>
    </w:p>
    <w:p w14:paraId="747C95E2" w14:textId="77777777" w:rsidR="008B722F" w:rsidRPr="003B7B69" w:rsidRDefault="003B7B69" w:rsidP="00B131EB">
      <w:pPr>
        <w:keepNext/>
        <w:spacing w:after="120" w:line="264" w:lineRule="auto"/>
        <w:rPr>
          <w:b/>
        </w:rPr>
      </w:pPr>
      <w:r>
        <w:rPr>
          <w:b/>
        </w:rPr>
        <w:t xml:space="preserve">5. </w:t>
      </w:r>
      <w:r w:rsidR="0085172A" w:rsidRPr="003B7B69">
        <w:rPr>
          <w:b/>
        </w:rPr>
        <w:t>Investiční pobídky byly poskytovány i při nízké nezaměstnanosti</w:t>
      </w:r>
    </w:p>
    <w:p w14:paraId="6A8EEC32" w14:textId="3504D829" w:rsidR="00502687" w:rsidRPr="006F63D5" w:rsidRDefault="005379C8" w:rsidP="006F63D5">
      <w:pPr>
        <w:spacing w:after="120" w:line="264" w:lineRule="auto"/>
        <w:rPr>
          <w:b/>
          <w:color w:val="000000" w:themeColor="text1"/>
        </w:rPr>
      </w:pPr>
      <w:r w:rsidRPr="006F63D5">
        <w:rPr>
          <w:color w:val="000000" w:themeColor="text1"/>
        </w:rPr>
        <w:t xml:space="preserve">Ve smyslu </w:t>
      </w:r>
      <w:r w:rsidR="00656D0C" w:rsidRPr="006F63D5">
        <w:rPr>
          <w:color w:val="000000" w:themeColor="text1"/>
        </w:rPr>
        <w:t xml:space="preserve">ustanovení </w:t>
      </w:r>
      <w:r w:rsidRPr="006F63D5">
        <w:rPr>
          <w:color w:val="000000" w:themeColor="text1"/>
        </w:rPr>
        <w:t>§</w:t>
      </w:r>
      <w:r w:rsidR="00B02DE3" w:rsidRPr="006F63D5">
        <w:rPr>
          <w:color w:val="000000" w:themeColor="text1"/>
        </w:rPr>
        <w:t xml:space="preserve"> </w:t>
      </w:r>
      <w:r w:rsidRPr="006F63D5">
        <w:rPr>
          <w:color w:val="000000" w:themeColor="text1"/>
        </w:rPr>
        <w:t>1 odst. 1 zákona o investičních</w:t>
      </w:r>
      <w:r w:rsidRPr="006F63D5">
        <w:rPr>
          <w:color w:val="000000" w:themeColor="text1"/>
          <w:lang w:eastAsia="cs-CZ"/>
        </w:rPr>
        <w:t xml:space="preserve"> pobídkách je účelem </w:t>
      </w:r>
      <w:r w:rsidR="00121B98" w:rsidRPr="006F63D5">
        <w:rPr>
          <w:color w:val="000000" w:themeColor="text1"/>
          <w:lang w:eastAsia="cs-CZ"/>
        </w:rPr>
        <w:t xml:space="preserve">poskytování </w:t>
      </w:r>
      <w:r w:rsidRPr="006F63D5">
        <w:rPr>
          <w:color w:val="000000" w:themeColor="text1"/>
          <w:lang w:eastAsia="cs-CZ"/>
        </w:rPr>
        <w:t xml:space="preserve">investičních pobídek podpora hospodářského rozvoje a vytváření pracovních míst na území České republiky. </w:t>
      </w:r>
      <w:r w:rsidRPr="006F63D5">
        <w:rPr>
          <w:b/>
          <w:color w:val="000000" w:themeColor="text1"/>
        </w:rPr>
        <w:t>V letech 2015 až 2019 míra nezaměstnanosti v ČR postupně klesala</w:t>
      </w:r>
      <w:r w:rsidRPr="00C05A01">
        <w:rPr>
          <w:b/>
          <w:color w:val="000000" w:themeColor="text1"/>
        </w:rPr>
        <w:t>.</w:t>
      </w:r>
      <w:r w:rsidRPr="006F63D5">
        <w:rPr>
          <w:color w:val="000000" w:themeColor="text1"/>
        </w:rPr>
        <w:t xml:space="preserve"> Zatímco v roce 2015 byla míra nezaměstnanosti 5 %, v roce 2019 </w:t>
      </w:r>
      <w:r w:rsidR="00F40B21">
        <w:rPr>
          <w:color w:val="000000" w:themeColor="text1"/>
        </w:rPr>
        <w:t xml:space="preserve">byla </w:t>
      </w:r>
      <w:r w:rsidRPr="006F63D5">
        <w:rPr>
          <w:color w:val="000000" w:themeColor="text1"/>
        </w:rPr>
        <w:t>pouze 2 %. Klesající trend v míře nezaměstnanosti zaznamenaly všechny regiony ČR. Navíc od roku 2014 výrazně klesal počet uchazečů o zaměstnání v evidenci úřadů práce na jedno pracovní mí</w:t>
      </w:r>
      <w:r w:rsidR="00656D0C" w:rsidRPr="006F63D5">
        <w:rPr>
          <w:color w:val="000000" w:themeColor="text1"/>
        </w:rPr>
        <w:t>sto. Zatímco v roce 2015 to byli</w:t>
      </w:r>
      <w:r w:rsidRPr="006F63D5">
        <w:rPr>
          <w:color w:val="000000" w:themeColor="text1"/>
        </w:rPr>
        <w:t xml:space="preserve"> více než 4 uchazeči na jedno pracovní místo, v roce 2019 to byl méně než jeden uchazeč. </w:t>
      </w:r>
      <w:r w:rsidRPr="006F63D5">
        <w:rPr>
          <w:b/>
          <w:color w:val="000000" w:themeColor="text1"/>
        </w:rPr>
        <w:t xml:space="preserve">Počet vydaných </w:t>
      </w:r>
      <w:r w:rsidR="00F40B21">
        <w:rPr>
          <w:b/>
          <w:color w:val="000000" w:themeColor="text1"/>
        </w:rPr>
        <w:t>r</w:t>
      </w:r>
      <w:r w:rsidRPr="006F63D5">
        <w:rPr>
          <w:b/>
          <w:color w:val="000000" w:themeColor="text1"/>
        </w:rPr>
        <w:t xml:space="preserve">ozhodnutí o příslibu investiční pobídky však </w:t>
      </w:r>
      <w:r w:rsidR="00F94FB6" w:rsidRPr="006F63D5">
        <w:rPr>
          <w:b/>
          <w:color w:val="000000" w:themeColor="text1"/>
        </w:rPr>
        <w:t xml:space="preserve">výrazně </w:t>
      </w:r>
      <w:r w:rsidR="00595EC5" w:rsidRPr="006F63D5">
        <w:rPr>
          <w:b/>
          <w:color w:val="000000" w:themeColor="text1"/>
        </w:rPr>
        <w:t>neklesal, do </w:t>
      </w:r>
      <w:r w:rsidR="007C0FA7" w:rsidRPr="006F63D5">
        <w:rPr>
          <w:b/>
          <w:color w:val="000000" w:themeColor="text1"/>
        </w:rPr>
        <w:t>roku 2018 dokonce rostl.</w:t>
      </w:r>
    </w:p>
    <w:p w14:paraId="080825FD" w14:textId="15E561D5" w:rsidR="001B71ED" w:rsidRPr="003B7B69" w:rsidRDefault="00F1312E" w:rsidP="003B7B69">
      <w:pPr>
        <w:keepNext/>
        <w:spacing w:after="40" w:line="264" w:lineRule="auto"/>
        <w:rPr>
          <w:b/>
          <w:color w:val="000000" w:themeColor="text1"/>
        </w:rPr>
      </w:pPr>
      <w:r w:rsidRPr="003B7B69">
        <w:rPr>
          <w:b/>
          <w:color w:val="000000" w:themeColor="text1"/>
        </w:rPr>
        <w:lastRenderedPageBreak/>
        <w:t>Tabulka č. 2</w:t>
      </w:r>
      <w:r w:rsidR="005379C8" w:rsidRPr="003B7B69">
        <w:rPr>
          <w:b/>
          <w:color w:val="000000" w:themeColor="text1"/>
        </w:rPr>
        <w:t xml:space="preserve">: Nezaměstnanost a počet vydaných </w:t>
      </w:r>
      <w:r w:rsidR="00F40B21">
        <w:rPr>
          <w:b/>
          <w:color w:val="000000" w:themeColor="text1"/>
        </w:rPr>
        <w:t>r</w:t>
      </w:r>
      <w:r w:rsidR="005379C8" w:rsidRPr="003B7B69">
        <w:rPr>
          <w:b/>
          <w:color w:val="000000" w:themeColor="text1"/>
        </w:rPr>
        <w:t>ozhodnutí o příslibu investiční pobídky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51"/>
        <w:gridCol w:w="851"/>
        <w:gridCol w:w="851"/>
        <w:gridCol w:w="851"/>
        <w:gridCol w:w="851"/>
      </w:tblGrid>
      <w:tr w:rsidR="000974DE" w:rsidRPr="003B7B69" w14:paraId="773EA812" w14:textId="77777777" w:rsidTr="00F40B21">
        <w:trPr>
          <w:trHeight w:val="300"/>
          <w:jc w:val="center"/>
        </w:trPr>
        <w:tc>
          <w:tcPr>
            <w:tcW w:w="4762" w:type="dxa"/>
            <w:shd w:val="clear" w:color="auto" w:fill="E5F1FF"/>
            <w:noWrap/>
            <w:vAlign w:val="bottom"/>
            <w:hideMark/>
          </w:tcPr>
          <w:p w14:paraId="3BA61CFF" w14:textId="77777777" w:rsidR="005379C8" w:rsidRPr="003B7B69" w:rsidRDefault="005379C8" w:rsidP="003B7B69">
            <w:pPr>
              <w:keepNext/>
              <w:spacing w:line="264" w:lineRule="auto"/>
              <w:jc w:val="left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6EB3446A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b/>
                <w:color w:val="000000" w:themeColor="text1"/>
                <w:sz w:val="20"/>
                <w:lang w:eastAsia="cs-CZ"/>
              </w:rPr>
            </w:pPr>
            <w:r w:rsidRPr="003B7B69">
              <w:rPr>
                <w:b/>
                <w:color w:val="000000" w:themeColor="text1"/>
                <w:sz w:val="20"/>
                <w:lang w:eastAsia="cs-CZ"/>
              </w:rPr>
              <w:t>2015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6E549848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b/>
                <w:color w:val="000000" w:themeColor="text1"/>
                <w:sz w:val="20"/>
                <w:lang w:eastAsia="cs-CZ"/>
              </w:rPr>
            </w:pPr>
            <w:r w:rsidRPr="003B7B69">
              <w:rPr>
                <w:b/>
                <w:color w:val="000000" w:themeColor="text1"/>
                <w:sz w:val="20"/>
                <w:lang w:eastAsia="cs-CZ"/>
              </w:rPr>
              <w:t>2016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3E62F313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b/>
                <w:color w:val="000000" w:themeColor="text1"/>
                <w:sz w:val="20"/>
                <w:lang w:eastAsia="cs-CZ"/>
              </w:rPr>
            </w:pPr>
            <w:r w:rsidRPr="003B7B69">
              <w:rPr>
                <w:b/>
                <w:color w:val="000000" w:themeColor="text1"/>
                <w:sz w:val="20"/>
                <w:lang w:eastAsia="cs-CZ"/>
              </w:rPr>
              <w:t>2017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7513EF8C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b/>
                <w:color w:val="000000" w:themeColor="text1"/>
                <w:sz w:val="20"/>
                <w:lang w:eastAsia="cs-CZ"/>
              </w:rPr>
            </w:pPr>
            <w:r w:rsidRPr="003B7B69">
              <w:rPr>
                <w:b/>
                <w:color w:val="000000" w:themeColor="text1"/>
                <w:sz w:val="20"/>
                <w:lang w:eastAsia="cs-CZ"/>
              </w:rPr>
              <w:t>2018</w:t>
            </w:r>
          </w:p>
        </w:tc>
        <w:tc>
          <w:tcPr>
            <w:tcW w:w="851" w:type="dxa"/>
            <w:shd w:val="clear" w:color="auto" w:fill="E5F1FF"/>
            <w:vAlign w:val="center"/>
            <w:hideMark/>
          </w:tcPr>
          <w:p w14:paraId="18D9D149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b/>
                <w:color w:val="000000" w:themeColor="text1"/>
                <w:sz w:val="20"/>
                <w:lang w:eastAsia="cs-CZ"/>
              </w:rPr>
            </w:pPr>
            <w:r w:rsidRPr="003B7B69">
              <w:rPr>
                <w:b/>
                <w:color w:val="000000" w:themeColor="text1"/>
                <w:sz w:val="20"/>
                <w:lang w:eastAsia="cs-CZ"/>
              </w:rPr>
              <w:t>2019</w:t>
            </w:r>
          </w:p>
        </w:tc>
      </w:tr>
      <w:tr w:rsidR="000974DE" w:rsidRPr="003B7B69" w14:paraId="1BD85FC0" w14:textId="77777777" w:rsidTr="00F40B21">
        <w:trPr>
          <w:trHeight w:val="300"/>
          <w:jc w:val="center"/>
        </w:trPr>
        <w:tc>
          <w:tcPr>
            <w:tcW w:w="4762" w:type="dxa"/>
            <w:shd w:val="clear" w:color="auto" w:fill="auto"/>
            <w:vAlign w:val="center"/>
            <w:hideMark/>
          </w:tcPr>
          <w:p w14:paraId="39C2B07A" w14:textId="77777777" w:rsidR="005379C8" w:rsidRPr="00F40B21" w:rsidRDefault="005379C8" w:rsidP="003B7B69">
            <w:pPr>
              <w:keepNext/>
              <w:spacing w:line="264" w:lineRule="auto"/>
              <w:jc w:val="left"/>
              <w:rPr>
                <w:bCs/>
                <w:color w:val="000000" w:themeColor="text1"/>
                <w:sz w:val="20"/>
                <w:lang w:eastAsia="cs-CZ"/>
              </w:rPr>
            </w:pPr>
            <w:r w:rsidRPr="00F40B21">
              <w:rPr>
                <w:bCs/>
                <w:color w:val="000000" w:themeColor="text1"/>
                <w:sz w:val="20"/>
                <w:lang w:eastAsia="cs-CZ"/>
              </w:rPr>
              <w:t>Míra nezaměstnanosti v 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F90E8F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086C5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F3978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C547D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01F31D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2,0</w:t>
            </w:r>
          </w:p>
        </w:tc>
      </w:tr>
      <w:tr w:rsidR="000974DE" w:rsidRPr="003B7B69" w14:paraId="3935BE95" w14:textId="77777777" w:rsidTr="00F40B21">
        <w:trPr>
          <w:trHeight w:val="300"/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56DE15C6" w14:textId="5D229467" w:rsidR="005379C8" w:rsidRPr="00F40B21" w:rsidRDefault="005379C8" w:rsidP="00F40B21">
            <w:pPr>
              <w:keepNext/>
              <w:spacing w:line="264" w:lineRule="auto"/>
              <w:jc w:val="left"/>
              <w:rPr>
                <w:color w:val="000000" w:themeColor="text1"/>
                <w:sz w:val="20"/>
                <w:lang w:eastAsia="cs-CZ"/>
              </w:rPr>
            </w:pPr>
            <w:r w:rsidRPr="00F40B21">
              <w:rPr>
                <w:color w:val="000000" w:themeColor="text1"/>
                <w:sz w:val="20"/>
                <w:lang w:eastAsia="cs-CZ"/>
              </w:rPr>
              <w:t>Počet uchazečů o zaměstnání</w:t>
            </w:r>
            <w:r w:rsidR="000974DE" w:rsidRPr="00F40B21">
              <w:rPr>
                <w:color w:val="000000" w:themeColor="text1"/>
                <w:sz w:val="20"/>
                <w:lang w:eastAsia="cs-CZ"/>
              </w:rPr>
              <w:t xml:space="preserve"> </w:t>
            </w:r>
            <w:r w:rsidRPr="00F40B21">
              <w:rPr>
                <w:color w:val="000000" w:themeColor="text1"/>
                <w:sz w:val="20"/>
                <w:lang w:eastAsia="cs-CZ"/>
              </w:rPr>
              <w:t>v</w:t>
            </w:r>
            <w:r w:rsidR="000974DE" w:rsidRPr="00F40B21">
              <w:rPr>
                <w:color w:val="000000" w:themeColor="text1"/>
                <w:sz w:val="20"/>
                <w:lang w:eastAsia="cs-CZ"/>
              </w:rPr>
              <w:t> </w:t>
            </w:r>
            <w:r w:rsidRPr="00F40B21">
              <w:rPr>
                <w:color w:val="000000" w:themeColor="text1"/>
                <w:sz w:val="20"/>
                <w:lang w:eastAsia="cs-CZ"/>
              </w:rPr>
              <w:t>evidenci úřadů práce</w:t>
            </w:r>
            <w:r w:rsidR="000974DE" w:rsidRPr="00F40B21">
              <w:rPr>
                <w:color w:val="000000" w:themeColor="text1"/>
                <w:sz w:val="20"/>
                <w:lang w:eastAsia="cs-CZ"/>
              </w:rPr>
              <w:t xml:space="preserve"> </w:t>
            </w:r>
            <w:r w:rsidRPr="00F40B21">
              <w:rPr>
                <w:color w:val="000000" w:themeColor="text1"/>
                <w:sz w:val="20"/>
                <w:lang w:eastAsia="cs-CZ"/>
              </w:rPr>
              <w:t xml:space="preserve">na </w:t>
            </w:r>
            <w:r w:rsidR="00F40B21">
              <w:rPr>
                <w:color w:val="000000" w:themeColor="text1"/>
                <w:sz w:val="20"/>
                <w:lang w:eastAsia="cs-CZ"/>
              </w:rPr>
              <w:t xml:space="preserve">jedno </w:t>
            </w:r>
            <w:r w:rsidRPr="00F40B21">
              <w:rPr>
                <w:color w:val="000000" w:themeColor="text1"/>
                <w:sz w:val="20"/>
                <w:lang w:eastAsia="cs-CZ"/>
              </w:rPr>
              <w:t>pracovní místo</w:t>
            </w:r>
            <w:r w:rsidR="000974DE" w:rsidRPr="00F40B21">
              <w:rPr>
                <w:color w:val="000000" w:themeColor="text1"/>
                <w:sz w:val="20"/>
                <w:lang w:eastAsia="cs-CZ"/>
              </w:rPr>
              <w:t xml:space="preserve"> </w:t>
            </w:r>
            <w:r w:rsidRPr="00F40B21">
              <w:rPr>
                <w:color w:val="000000" w:themeColor="text1"/>
                <w:sz w:val="20"/>
                <w:lang w:eastAsia="cs-CZ"/>
              </w:rPr>
              <w:t>v evidenci úřadů práce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642A5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4,4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77522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2,9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54DE0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970E0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0,7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C2DCB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0,6</w:t>
            </w:r>
          </w:p>
        </w:tc>
      </w:tr>
      <w:tr w:rsidR="000974DE" w:rsidRPr="003B7B69" w14:paraId="1B6BE7E1" w14:textId="77777777" w:rsidTr="00F40B21">
        <w:trPr>
          <w:trHeight w:val="300"/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5DDD1AF1" w14:textId="1BE6E00E" w:rsidR="005379C8" w:rsidRPr="00F40B21" w:rsidRDefault="005379C8" w:rsidP="00F40B21">
            <w:pPr>
              <w:keepNext/>
              <w:spacing w:line="264" w:lineRule="auto"/>
              <w:jc w:val="left"/>
              <w:rPr>
                <w:color w:val="000000" w:themeColor="text1"/>
                <w:sz w:val="20"/>
              </w:rPr>
            </w:pPr>
            <w:r w:rsidRPr="00F40B21">
              <w:rPr>
                <w:color w:val="000000" w:themeColor="text1"/>
                <w:sz w:val="20"/>
                <w:lang w:eastAsia="cs-CZ"/>
              </w:rPr>
              <w:t xml:space="preserve">Počet vydaných </w:t>
            </w:r>
            <w:r w:rsidR="00F40B21">
              <w:rPr>
                <w:color w:val="000000" w:themeColor="text1"/>
                <w:sz w:val="20"/>
                <w:lang w:eastAsia="cs-CZ"/>
              </w:rPr>
              <w:t>r</w:t>
            </w:r>
            <w:r w:rsidRPr="00F40B21">
              <w:rPr>
                <w:color w:val="000000" w:themeColor="text1"/>
                <w:sz w:val="20"/>
                <w:lang w:eastAsia="cs-CZ"/>
              </w:rPr>
              <w:t>ozhodnutí o příslibu investiční pobídky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F6DF7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A4B1D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05BB9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B86EC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3E6DA" w14:textId="77777777" w:rsidR="005379C8" w:rsidRPr="003B7B69" w:rsidRDefault="005379C8" w:rsidP="003B7B69">
            <w:pPr>
              <w:keepNext/>
              <w:spacing w:line="264" w:lineRule="auto"/>
              <w:jc w:val="center"/>
              <w:rPr>
                <w:color w:val="000000" w:themeColor="text1"/>
                <w:sz w:val="20"/>
                <w:lang w:eastAsia="cs-CZ"/>
              </w:rPr>
            </w:pPr>
            <w:r w:rsidRPr="003B7B69">
              <w:rPr>
                <w:color w:val="000000" w:themeColor="text1"/>
                <w:sz w:val="20"/>
                <w:lang w:eastAsia="cs-CZ"/>
              </w:rPr>
              <w:t>74</w:t>
            </w:r>
          </w:p>
        </w:tc>
      </w:tr>
    </w:tbl>
    <w:p w14:paraId="15AB5C70" w14:textId="12A4246A" w:rsidR="005379C8" w:rsidRPr="00B670B8" w:rsidRDefault="005379C8" w:rsidP="00B670B8">
      <w:pPr>
        <w:spacing w:before="40" w:after="120" w:line="264" w:lineRule="auto"/>
        <w:rPr>
          <w:color w:val="000000" w:themeColor="text1"/>
          <w:sz w:val="20"/>
        </w:rPr>
      </w:pPr>
      <w:r w:rsidRPr="00B670B8">
        <w:rPr>
          <w:b/>
          <w:color w:val="000000" w:themeColor="text1"/>
          <w:sz w:val="20"/>
        </w:rPr>
        <w:t>Zdroj:</w:t>
      </w:r>
      <w:r w:rsidRPr="00B670B8">
        <w:rPr>
          <w:color w:val="000000" w:themeColor="text1"/>
          <w:sz w:val="20"/>
        </w:rPr>
        <w:t xml:space="preserve"> </w:t>
      </w:r>
      <w:r w:rsidR="00F40B21">
        <w:rPr>
          <w:color w:val="000000" w:themeColor="text1"/>
          <w:sz w:val="20"/>
        </w:rPr>
        <w:t>vypracoval</w:t>
      </w:r>
      <w:r w:rsidRPr="00B670B8">
        <w:rPr>
          <w:color w:val="000000" w:themeColor="text1"/>
          <w:sz w:val="20"/>
        </w:rPr>
        <w:t xml:space="preserve"> NKÚ na základě dat zveřejněných ČSÚ a poskytnutých od MPO</w:t>
      </w:r>
      <w:r w:rsidR="00F40B21">
        <w:rPr>
          <w:color w:val="000000" w:themeColor="text1"/>
          <w:sz w:val="20"/>
        </w:rPr>
        <w:t>.</w:t>
      </w:r>
    </w:p>
    <w:p w14:paraId="6A05E2EB" w14:textId="6FA52A3B" w:rsidR="007C0FA7" w:rsidRPr="006F63D5" w:rsidRDefault="005379C8" w:rsidP="006F63D5">
      <w:pPr>
        <w:spacing w:after="120" w:line="264" w:lineRule="auto"/>
        <w:rPr>
          <w:color w:val="000000" w:themeColor="text1"/>
          <w:lang w:eastAsia="ar-SA"/>
        </w:rPr>
      </w:pPr>
      <w:r w:rsidRPr="006F63D5">
        <w:rPr>
          <w:b/>
          <w:color w:val="000000" w:themeColor="text1"/>
        </w:rPr>
        <w:t xml:space="preserve">Základní </w:t>
      </w:r>
      <w:r w:rsidR="00C36A1B" w:rsidRPr="006F63D5">
        <w:rPr>
          <w:b/>
          <w:color w:val="000000" w:themeColor="text1"/>
        </w:rPr>
        <w:t>právní normou</w:t>
      </w:r>
      <w:r w:rsidRPr="006F63D5">
        <w:rPr>
          <w:b/>
          <w:color w:val="000000" w:themeColor="text1"/>
        </w:rPr>
        <w:t xml:space="preserve"> celého systému poskytování investičních pobídek je od roku 2000 zák</w:t>
      </w:r>
      <w:r w:rsidR="008B722F" w:rsidRPr="006F63D5">
        <w:rPr>
          <w:b/>
          <w:color w:val="000000" w:themeColor="text1"/>
        </w:rPr>
        <w:t>on o investičních pobídkách</w:t>
      </w:r>
      <w:r w:rsidR="008B722F" w:rsidRPr="00C05A01">
        <w:rPr>
          <w:b/>
          <w:color w:val="000000" w:themeColor="text1"/>
        </w:rPr>
        <w:t>,</w:t>
      </w:r>
      <w:r w:rsidR="008B722F" w:rsidRPr="006F63D5">
        <w:rPr>
          <w:color w:val="000000" w:themeColor="text1"/>
        </w:rPr>
        <w:t xml:space="preserve"> který </w:t>
      </w:r>
      <w:r w:rsidRPr="006F63D5">
        <w:rPr>
          <w:color w:val="000000" w:themeColor="text1"/>
        </w:rPr>
        <w:t>n</w:t>
      </w:r>
      <w:r w:rsidR="001C2EDF" w:rsidRPr="006F63D5">
        <w:rPr>
          <w:color w:val="000000" w:themeColor="text1"/>
          <w:lang w:eastAsia="ar-SA"/>
        </w:rPr>
        <w:t>eumožňoval</w:t>
      </w:r>
      <w:r w:rsidRPr="006F63D5">
        <w:rPr>
          <w:color w:val="000000" w:themeColor="text1"/>
          <w:lang w:eastAsia="ar-SA"/>
        </w:rPr>
        <w:t xml:space="preserve">, aby MPO vybíralo z přijatých záměrů </w:t>
      </w:r>
      <w:r w:rsidR="00567C29" w:rsidRPr="006F63D5">
        <w:rPr>
          <w:color w:val="000000" w:themeColor="text1"/>
          <w:lang w:eastAsia="ar-SA"/>
        </w:rPr>
        <w:t xml:space="preserve">např. prioritní investiční akce. </w:t>
      </w:r>
      <w:r w:rsidR="002F7FC6" w:rsidRPr="006F63D5">
        <w:rPr>
          <w:color w:val="000000" w:themeColor="text1"/>
          <w:lang w:eastAsia="ar-SA"/>
        </w:rPr>
        <w:t xml:space="preserve">MPO </w:t>
      </w:r>
      <w:r w:rsidR="005A02E5" w:rsidRPr="006F63D5">
        <w:rPr>
          <w:color w:val="000000" w:themeColor="text1"/>
          <w:lang w:eastAsia="ar-SA"/>
        </w:rPr>
        <w:t xml:space="preserve">v souladu se zákonem </w:t>
      </w:r>
      <w:r w:rsidRPr="006F63D5">
        <w:rPr>
          <w:color w:val="000000" w:themeColor="text1"/>
          <w:lang w:eastAsia="ar-SA"/>
        </w:rPr>
        <w:t xml:space="preserve">vydalo </w:t>
      </w:r>
      <w:r w:rsidR="00F40B21">
        <w:rPr>
          <w:color w:val="000000" w:themeColor="text1"/>
          <w:lang w:eastAsia="ar-SA"/>
        </w:rPr>
        <w:t>r</w:t>
      </w:r>
      <w:r w:rsidRPr="006F63D5">
        <w:rPr>
          <w:color w:val="000000" w:themeColor="text1"/>
          <w:lang w:eastAsia="ar-SA"/>
        </w:rPr>
        <w:t>ozhodnut</w:t>
      </w:r>
      <w:r w:rsidR="0026607D" w:rsidRPr="006F63D5">
        <w:rPr>
          <w:color w:val="000000" w:themeColor="text1"/>
          <w:lang w:eastAsia="ar-SA"/>
        </w:rPr>
        <w:t>í o </w:t>
      </w:r>
      <w:r w:rsidR="0020750D" w:rsidRPr="006F63D5">
        <w:rPr>
          <w:color w:val="000000" w:themeColor="text1"/>
          <w:lang w:eastAsia="ar-SA"/>
        </w:rPr>
        <w:t>příslibu investiční pobídky</w:t>
      </w:r>
      <w:r w:rsidRPr="006F63D5">
        <w:rPr>
          <w:color w:val="000000" w:themeColor="text1"/>
          <w:lang w:eastAsia="ar-SA"/>
        </w:rPr>
        <w:t xml:space="preserve"> </w:t>
      </w:r>
      <w:r w:rsidRPr="006F63D5">
        <w:rPr>
          <w:b/>
          <w:color w:val="000000" w:themeColor="text1"/>
          <w:lang w:eastAsia="ar-SA"/>
        </w:rPr>
        <w:t>všem žadatelům</w:t>
      </w:r>
      <w:r w:rsidRPr="00C05A01">
        <w:rPr>
          <w:b/>
          <w:color w:val="000000" w:themeColor="text1"/>
          <w:lang w:eastAsia="ar-SA"/>
        </w:rPr>
        <w:t>,</w:t>
      </w:r>
      <w:r w:rsidRPr="006F63D5">
        <w:rPr>
          <w:color w:val="000000" w:themeColor="text1"/>
          <w:lang w:eastAsia="ar-SA"/>
        </w:rPr>
        <w:t xml:space="preserve"> kteří </w:t>
      </w:r>
      <w:r w:rsidR="00B31921" w:rsidRPr="006F63D5">
        <w:rPr>
          <w:color w:val="000000" w:themeColor="text1"/>
          <w:lang w:eastAsia="ar-SA"/>
        </w:rPr>
        <w:t xml:space="preserve">splnili podmínky dané zákonem </w:t>
      </w:r>
      <w:r w:rsidRPr="006F63D5">
        <w:rPr>
          <w:color w:val="000000" w:themeColor="text1"/>
          <w:lang w:eastAsia="ar-SA"/>
        </w:rPr>
        <w:t>a nařízením Evropské komise.</w:t>
      </w:r>
      <w:r w:rsidR="007C0FA7" w:rsidRPr="006F63D5">
        <w:rPr>
          <w:color w:val="000000" w:themeColor="text1"/>
          <w:lang w:eastAsia="ar-SA"/>
        </w:rPr>
        <w:t xml:space="preserve"> V případě strategických investičních akcí byl ještě před vydáním </w:t>
      </w:r>
      <w:r w:rsidR="00F40B21">
        <w:rPr>
          <w:color w:val="000000" w:themeColor="text1"/>
          <w:lang w:eastAsia="ar-SA"/>
        </w:rPr>
        <w:t>r</w:t>
      </w:r>
      <w:r w:rsidR="007C0FA7" w:rsidRPr="006F63D5">
        <w:rPr>
          <w:color w:val="000000" w:themeColor="text1"/>
          <w:lang w:eastAsia="ar-SA"/>
        </w:rPr>
        <w:t xml:space="preserve">ozhodnutí o příslibu investiční pobídky nutný souhlas vlády ČR. </w:t>
      </w:r>
      <w:r w:rsidR="007C0FA7" w:rsidRPr="006F63D5">
        <w:rPr>
          <w:b/>
          <w:color w:val="000000" w:themeColor="text1"/>
          <w:lang w:eastAsia="ar-SA"/>
        </w:rPr>
        <w:t xml:space="preserve">Od září 2019 musí MPO vládě </w:t>
      </w:r>
      <w:r w:rsidR="00411DC2" w:rsidRPr="006F63D5">
        <w:rPr>
          <w:b/>
          <w:color w:val="000000" w:themeColor="text1"/>
          <w:lang w:eastAsia="ar-SA"/>
        </w:rPr>
        <w:t xml:space="preserve">ČR </w:t>
      </w:r>
      <w:r w:rsidR="007C0FA7" w:rsidRPr="006F63D5">
        <w:rPr>
          <w:b/>
          <w:color w:val="000000" w:themeColor="text1"/>
          <w:lang w:eastAsia="ar-SA"/>
        </w:rPr>
        <w:t>předkládat ke schválení všechny investi</w:t>
      </w:r>
      <w:r w:rsidR="00B02DE3" w:rsidRPr="006F63D5">
        <w:rPr>
          <w:b/>
          <w:color w:val="000000" w:themeColor="text1"/>
          <w:lang w:eastAsia="ar-SA"/>
        </w:rPr>
        <w:t>ční pobídky</w:t>
      </w:r>
      <w:r w:rsidR="0026607D" w:rsidRPr="006F63D5">
        <w:rPr>
          <w:color w:val="000000" w:themeColor="text1"/>
          <w:lang w:eastAsia="ar-SA"/>
        </w:rPr>
        <w:t xml:space="preserve"> a bez </w:t>
      </w:r>
      <w:r w:rsidR="0020750D" w:rsidRPr="006F63D5">
        <w:rPr>
          <w:color w:val="000000" w:themeColor="text1"/>
          <w:lang w:eastAsia="ar-SA"/>
        </w:rPr>
        <w:t>jejího souhlasu</w:t>
      </w:r>
      <w:r w:rsidR="00567C29" w:rsidRPr="006F63D5">
        <w:rPr>
          <w:color w:val="000000" w:themeColor="text1"/>
          <w:lang w:eastAsia="ar-SA"/>
        </w:rPr>
        <w:t xml:space="preserve"> nesmí</w:t>
      </w:r>
      <w:r w:rsidR="0020750D" w:rsidRPr="006F63D5">
        <w:rPr>
          <w:color w:val="000000" w:themeColor="text1"/>
          <w:lang w:eastAsia="ar-SA"/>
        </w:rPr>
        <w:t xml:space="preserve"> </w:t>
      </w:r>
      <w:r w:rsidR="00C36A1B" w:rsidRPr="006F63D5">
        <w:rPr>
          <w:color w:val="000000" w:themeColor="text1"/>
          <w:lang w:eastAsia="ar-SA"/>
        </w:rPr>
        <w:t xml:space="preserve">vydat </w:t>
      </w:r>
      <w:r w:rsidR="00F40B21">
        <w:rPr>
          <w:color w:val="000000" w:themeColor="text1"/>
          <w:lang w:eastAsia="ar-SA"/>
        </w:rPr>
        <w:t>r</w:t>
      </w:r>
      <w:r w:rsidR="00C36A1B" w:rsidRPr="006F63D5">
        <w:rPr>
          <w:color w:val="000000" w:themeColor="text1"/>
          <w:lang w:eastAsia="ar-SA"/>
        </w:rPr>
        <w:t>ozhodnutí o příslibu investiční pobídky.</w:t>
      </w:r>
      <w:r w:rsidR="005A6C26" w:rsidRPr="006F63D5">
        <w:rPr>
          <w:color w:val="000000" w:themeColor="text1"/>
          <w:lang w:eastAsia="ar-SA"/>
        </w:rPr>
        <w:t xml:space="preserve"> </w:t>
      </w:r>
    </w:p>
    <w:p w14:paraId="7EDF2DFB" w14:textId="3E15A6B0" w:rsidR="004E6283" w:rsidRPr="006F63D5" w:rsidRDefault="0049337D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  <w:lang w:eastAsia="ar-SA"/>
        </w:rPr>
        <w:t xml:space="preserve">Zákon </w:t>
      </w:r>
      <w:r w:rsidR="007C0FA7" w:rsidRPr="006F63D5">
        <w:rPr>
          <w:color w:val="000000" w:themeColor="text1"/>
          <w:lang w:eastAsia="ar-SA"/>
        </w:rPr>
        <w:t>umožňoval</w:t>
      </w:r>
      <w:r w:rsidRPr="006F63D5">
        <w:rPr>
          <w:color w:val="000000" w:themeColor="text1"/>
          <w:lang w:eastAsia="ar-SA"/>
        </w:rPr>
        <w:t>, aby MPO</w:t>
      </w:r>
      <w:r w:rsidR="006D4EAE" w:rsidRPr="006F63D5">
        <w:rPr>
          <w:color w:val="000000" w:themeColor="text1"/>
          <w:lang w:eastAsia="ar-SA"/>
        </w:rPr>
        <w:t xml:space="preserve"> žadatelům v regionech s vyšší mírou nezaměstnanosti přislíbilo mírnější podmínky</w:t>
      </w:r>
      <w:r w:rsidR="007F5141" w:rsidRPr="006F63D5">
        <w:rPr>
          <w:rStyle w:val="Znakapoznpodarou"/>
          <w:color w:val="000000" w:themeColor="text1"/>
          <w:lang w:eastAsia="ar-SA"/>
        </w:rPr>
        <w:footnoteReference w:id="18"/>
      </w:r>
      <w:r w:rsidRPr="006F63D5">
        <w:rPr>
          <w:color w:val="000000" w:themeColor="text1"/>
          <w:lang w:eastAsia="ar-SA"/>
        </w:rPr>
        <w:t xml:space="preserve">. </w:t>
      </w:r>
      <w:r w:rsidR="00B02DE3" w:rsidRPr="006F63D5">
        <w:rPr>
          <w:b/>
          <w:color w:val="000000" w:themeColor="text1"/>
          <w:lang w:eastAsia="ar-SA"/>
        </w:rPr>
        <w:t>N</w:t>
      </w:r>
      <w:r w:rsidR="005379C8" w:rsidRPr="006F63D5">
        <w:rPr>
          <w:b/>
          <w:color w:val="000000" w:themeColor="text1"/>
          <w:lang w:eastAsia="ar-SA"/>
        </w:rPr>
        <w:t>eumožňoval</w:t>
      </w:r>
      <w:r w:rsidR="007C0FA7" w:rsidRPr="006F63D5">
        <w:rPr>
          <w:b/>
          <w:color w:val="000000" w:themeColor="text1"/>
          <w:lang w:eastAsia="ar-SA"/>
        </w:rPr>
        <w:t xml:space="preserve"> </w:t>
      </w:r>
      <w:r w:rsidR="00B02DE3" w:rsidRPr="006F63D5">
        <w:rPr>
          <w:b/>
          <w:color w:val="000000" w:themeColor="text1"/>
          <w:lang w:eastAsia="ar-SA"/>
        </w:rPr>
        <w:t>ale</w:t>
      </w:r>
      <w:r w:rsidR="007E21AB" w:rsidRPr="006F63D5">
        <w:rPr>
          <w:b/>
          <w:color w:val="000000" w:themeColor="text1"/>
          <w:lang w:eastAsia="ar-SA"/>
        </w:rPr>
        <w:t>, aby</w:t>
      </w:r>
      <w:r w:rsidR="00B02DE3" w:rsidRPr="006F63D5">
        <w:rPr>
          <w:b/>
          <w:color w:val="000000" w:themeColor="text1"/>
          <w:lang w:eastAsia="ar-SA"/>
        </w:rPr>
        <w:t xml:space="preserve"> </w:t>
      </w:r>
      <w:r w:rsidR="007E21AB" w:rsidRPr="006F63D5">
        <w:rPr>
          <w:b/>
          <w:color w:val="000000" w:themeColor="text1"/>
          <w:lang w:eastAsia="ar-SA"/>
        </w:rPr>
        <w:t>MPO reagovalo</w:t>
      </w:r>
      <w:r w:rsidR="007C0FA7" w:rsidRPr="006F63D5">
        <w:rPr>
          <w:b/>
          <w:color w:val="000000" w:themeColor="text1"/>
          <w:lang w:eastAsia="ar-SA"/>
        </w:rPr>
        <w:t xml:space="preserve"> na nízkou míru nezaměstnanosti</w:t>
      </w:r>
      <w:r w:rsidR="007C0FA7" w:rsidRPr="006F63D5">
        <w:rPr>
          <w:color w:val="000000" w:themeColor="text1"/>
          <w:lang w:eastAsia="ar-SA"/>
        </w:rPr>
        <w:t xml:space="preserve"> a </w:t>
      </w:r>
      <w:r w:rsidR="006D4EAE" w:rsidRPr="006F63D5">
        <w:rPr>
          <w:color w:val="000000" w:themeColor="text1"/>
          <w:lang w:eastAsia="ar-SA"/>
        </w:rPr>
        <w:t>regulovalo nebo omezilo</w:t>
      </w:r>
      <w:r w:rsidR="005379C8" w:rsidRPr="006F63D5">
        <w:rPr>
          <w:color w:val="000000" w:themeColor="text1"/>
          <w:lang w:eastAsia="ar-SA"/>
        </w:rPr>
        <w:t xml:space="preserve"> poskytování investičních pobídek v případě, že míra nezaměstnanosti klesá. </w:t>
      </w:r>
      <w:r w:rsidR="00924439" w:rsidRPr="006F63D5">
        <w:rPr>
          <w:b/>
          <w:color w:val="000000" w:themeColor="text1"/>
        </w:rPr>
        <w:t xml:space="preserve">Teprve od 6. září </w:t>
      </w:r>
      <w:r w:rsidR="00B02DE3" w:rsidRPr="006F63D5">
        <w:rPr>
          <w:b/>
          <w:color w:val="000000" w:themeColor="text1"/>
        </w:rPr>
        <w:t>2019</w:t>
      </w:r>
      <w:r w:rsidR="00B02DE3" w:rsidRPr="006F63D5">
        <w:rPr>
          <w:color w:val="000000" w:themeColor="text1"/>
        </w:rPr>
        <w:t xml:space="preserve"> tento z</w:t>
      </w:r>
      <w:r w:rsidR="00924439" w:rsidRPr="006F63D5">
        <w:rPr>
          <w:color w:val="000000" w:themeColor="text1"/>
        </w:rPr>
        <w:t xml:space="preserve">ákon </w:t>
      </w:r>
      <w:r w:rsidR="008E05F6" w:rsidRPr="006F63D5">
        <w:rPr>
          <w:color w:val="000000" w:themeColor="text1"/>
        </w:rPr>
        <w:t>umožňuje</w:t>
      </w:r>
      <w:r w:rsidR="000945E8" w:rsidRPr="006F63D5">
        <w:rPr>
          <w:color w:val="000000" w:themeColor="text1"/>
        </w:rPr>
        <w:t xml:space="preserve"> </w:t>
      </w:r>
      <w:r w:rsidR="004E17FE" w:rsidRPr="006F63D5">
        <w:rPr>
          <w:color w:val="000000" w:themeColor="text1"/>
        </w:rPr>
        <w:t>reagovat pružně mj. na </w:t>
      </w:r>
      <w:r w:rsidR="00924439" w:rsidRPr="006F63D5">
        <w:rPr>
          <w:color w:val="000000" w:themeColor="text1"/>
        </w:rPr>
        <w:t xml:space="preserve">vývoj míry nezaměstnanosti. Do textu zákona bylo vloženo nové ustanovení, podle </w:t>
      </w:r>
      <w:r w:rsidR="00F40B21">
        <w:rPr>
          <w:color w:val="000000" w:themeColor="text1"/>
        </w:rPr>
        <w:t>něhož</w:t>
      </w:r>
      <w:r w:rsidR="00924439" w:rsidRPr="006F63D5">
        <w:rPr>
          <w:color w:val="000000" w:themeColor="text1"/>
        </w:rPr>
        <w:t xml:space="preserve"> vláda</w:t>
      </w:r>
      <w:r w:rsidR="008E05F6" w:rsidRPr="006F63D5">
        <w:rPr>
          <w:color w:val="000000" w:themeColor="text1"/>
        </w:rPr>
        <w:t xml:space="preserve"> ČR</w:t>
      </w:r>
      <w:r w:rsidR="00924439" w:rsidRPr="006F63D5">
        <w:rPr>
          <w:color w:val="000000" w:themeColor="text1"/>
        </w:rPr>
        <w:t xml:space="preserve"> nařízením stanoví na základě analýzy ekonomického a průmyslového vývoje a </w:t>
      </w:r>
      <w:r w:rsidR="00924439" w:rsidRPr="006F63D5">
        <w:rPr>
          <w:b/>
          <w:color w:val="000000" w:themeColor="text1"/>
        </w:rPr>
        <w:t>vývoje nezaměstnanosti</w:t>
      </w:r>
      <w:r w:rsidR="00924439" w:rsidRPr="00C05A01">
        <w:rPr>
          <w:b/>
          <w:color w:val="000000" w:themeColor="text1"/>
        </w:rPr>
        <w:t>,</w:t>
      </w:r>
      <w:r w:rsidR="00924439" w:rsidRPr="006F63D5">
        <w:rPr>
          <w:color w:val="000000" w:themeColor="text1"/>
        </w:rPr>
        <w:t xml:space="preserve"> na které typy investičních akcí může MPO</w:t>
      </w:r>
      <w:r w:rsidR="002F7FC6" w:rsidRPr="006F63D5">
        <w:rPr>
          <w:color w:val="000000" w:themeColor="text1"/>
        </w:rPr>
        <w:t xml:space="preserve"> investiční pobídku poskytnout.</w:t>
      </w:r>
    </w:p>
    <w:p w14:paraId="52F3E381" w14:textId="77777777" w:rsidR="008757A2" w:rsidRPr="00383794" w:rsidRDefault="00383794" w:rsidP="00B131EB">
      <w:pPr>
        <w:keepNext/>
        <w:spacing w:after="120" w:line="264" w:lineRule="auto"/>
        <w:rPr>
          <w:b/>
        </w:rPr>
      </w:pPr>
      <w:r>
        <w:rPr>
          <w:b/>
        </w:rPr>
        <w:t xml:space="preserve">6. </w:t>
      </w:r>
      <w:r w:rsidR="00CE27D1" w:rsidRPr="00383794">
        <w:rPr>
          <w:b/>
        </w:rPr>
        <w:t>Nejčastější formou čerpání pobídek byla sleva na dani z příjmů</w:t>
      </w:r>
    </w:p>
    <w:p w14:paraId="716BA64D" w14:textId="77777777" w:rsidR="00D5258B" w:rsidRPr="006F63D5" w:rsidRDefault="008757A2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  <w:lang w:eastAsia="cs-CZ"/>
        </w:rPr>
        <w:t xml:space="preserve">MPO sledovalo každoroční čerpání investičních pobídek. </w:t>
      </w:r>
      <w:r w:rsidR="002F7FC6" w:rsidRPr="006F63D5">
        <w:rPr>
          <w:color w:val="000000" w:themeColor="text1"/>
        </w:rPr>
        <w:t xml:space="preserve">Od nabytí účinnosti zákona </w:t>
      </w:r>
      <w:r w:rsidR="004E17FE" w:rsidRPr="006F63D5">
        <w:rPr>
          <w:color w:val="000000" w:themeColor="text1"/>
        </w:rPr>
        <w:t>dne 1. </w:t>
      </w:r>
      <w:r w:rsidRPr="006F63D5">
        <w:rPr>
          <w:color w:val="000000" w:themeColor="text1"/>
        </w:rPr>
        <w:t xml:space="preserve">května 2000 do 31. prosince 2019 </w:t>
      </w:r>
      <w:r w:rsidRPr="006F63D5">
        <w:rPr>
          <w:b/>
          <w:color w:val="000000" w:themeColor="text1"/>
        </w:rPr>
        <w:t>příjemci vyčerpali více než 75 071 mil. Kč</w:t>
      </w:r>
      <w:r w:rsidRPr="00C05A01">
        <w:rPr>
          <w:b/>
          <w:color w:val="000000" w:themeColor="text1"/>
        </w:rPr>
        <w:t>,</w:t>
      </w:r>
      <w:r w:rsidRPr="006F63D5">
        <w:rPr>
          <w:color w:val="000000" w:themeColor="text1"/>
        </w:rPr>
        <w:t xml:space="preserve"> z toho </w:t>
      </w:r>
      <w:r w:rsidR="00455ED4" w:rsidRPr="006F63D5">
        <w:rPr>
          <w:color w:val="000000" w:themeColor="text1"/>
        </w:rPr>
        <w:t xml:space="preserve">více než 64 014 mil. Kč </w:t>
      </w:r>
      <w:r w:rsidR="00CE2C23" w:rsidRPr="006F63D5">
        <w:rPr>
          <w:color w:val="000000" w:themeColor="text1"/>
        </w:rPr>
        <w:t>čerpali</w:t>
      </w:r>
      <w:r w:rsidRPr="006F63D5">
        <w:rPr>
          <w:color w:val="000000" w:themeColor="text1"/>
        </w:rPr>
        <w:t xml:space="preserve"> formou slevy na dani z příjm</w:t>
      </w:r>
      <w:r w:rsidR="004E17FE" w:rsidRPr="006F63D5">
        <w:rPr>
          <w:color w:val="000000" w:themeColor="text1"/>
        </w:rPr>
        <w:t>ů. V tomto případě se nejedná o </w:t>
      </w:r>
      <w:r w:rsidRPr="006F63D5">
        <w:rPr>
          <w:color w:val="000000" w:themeColor="text1"/>
        </w:rPr>
        <w:t xml:space="preserve">výdaj státního rozpočtu, ale </w:t>
      </w:r>
      <w:r w:rsidR="00455ED4" w:rsidRPr="006F63D5">
        <w:rPr>
          <w:color w:val="000000" w:themeColor="text1"/>
        </w:rPr>
        <w:t>jedná</w:t>
      </w:r>
      <w:r w:rsidRPr="006F63D5">
        <w:rPr>
          <w:color w:val="000000" w:themeColor="text1"/>
        </w:rPr>
        <w:t xml:space="preserve"> </w:t>
      </w:r>
      <w:r w:rsidR="00455ED4" w:rsidRPr="006F63D5">
        <w:rPr>
          <w:color w:val="000000" w:themeColor="text1"/>
        </w:rPr>
        <w:t>se</w:t>
      </w:r>
      <w:r w:rsidR="00656D0C" w:rsidRPr="006F63D5">
        <w:rPr>
          <w:color w:val="000000" w:themeColor="text1"/>
        </w:rPr>
        <w:t xml:space="preserve"> o</w:t>
      </w:r>
      <w:r w:rsidR="005A02E5" w:rsidRPr="006F63D5">
        <w:rPr>
          <w:color w:val="000000" w:themeColor="text1"/>
        </w:rPr>
        <w:t> </w:t>
      </w:r>
      <w:r w:rsidR="00455ED4" w:rsidRPr="006F63D5">
        <w:rPr>
          <w:color w:val="000000" w:themeColor="text1"/>
        </w:rPr>
        <w:t xml:space="preserve">nerealizovaný příjem z daní </w:t>
      </w:r>
      <w:r w:rsidRPr="006F63D5">
        <w:rPr>
          <w:color w:val="000000" w:themeColor="text1"/>
        </w:rPr>
        <w:t xml:space="preserve">na straně příjmů státního rozpočtu.  </w:t>
      </w:r>
    </w:p>
    <w:p w14:paraId="49D7BB07" w14:textId="77777777" w:rsidR="008757A2" w:rsidRPr="006F63D5" w:rsidRDefault="008757A2" w:rsidP="00594C73">
      <w:pPr>
        <w:keepNext/>
        <w:spacing w:after="120" w:line="264" w:lineRule="auto"/>
        <w:rPr>
          <w:b/>
          <w:color w:val="000000" w:themeColor="text1"/>
        </w:rPr>
      </w:pPr>
      <w:r w:rsidRPr="006F63D5">
        <w:rPr>
          <w:b/>
          <w:color w:val="000000" w:themeColor="text1"/>
        </w:rPr>
        <w:lastRenderedPageBreak/>
        <w:t>Graf č. 2: Čerpání investičních pobídek v letech 2000 až 2019 (mil. Kč)</w:t>
      </w:r>
    </w:p>
    <w:p w14:paraId="742EDA79" w14:textId="77777777" w:rsidR="008757A2" w:rsidRPr="006F63D5" w:rsidRDefault="008757A2" w:rsidP="00594C73">
      <w:pPr>
        <w:keepNext/>
        <w:spacing w:after="120" w:line="264" w:lineRule="auto"/>
        <w:jc w:val="center"/>
        <w:rPr>
          <w:color w:val="000000" w:themeColor="text1"/>
        </w:rPr>
      </w:pPr>
      <w:r w:rsidRPr="006F63D5">
        <w:rPr>
          <w:noProof/>
          <w:color w:val="000000" w:themeColor="text1"/>
          <w:lang w:eastAsia="cs-CZ"/>
        </w:rPr>
        <w:drawing>
          <wp:inline distT="0" distB="0" distL="0" distR="0" wp14:anchorId="2F5ADFFD" wp14:editId="4C4FCC98">
            <wp:extent cx="5694680" cy="258445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80597B" w14:textId="5FA87FE8" w:rsidR="00594C73" w:rsidRPr="00B843C9" w:rsidRDefault="00594C73" w:rsidP="00594C73">
      <w:pPr>
        <w:keepNext/>
        <w:spacing w:after="120" w:line="264" w:lineRule="auto"/>
        <w:ind w:left="567" w:hanging="567"/>
        <w:rPr>
          <w:bCs/>
          <w:color w:val="000000" w:themeColor="text1"/>
          <w:sz w:val="20"/>
        </w:rPr>
      </w:pPr>
      <w:r w:rsidRPr="00B843C9">
        <w:rPr>
          <w:b/>
          <w:bCs/>
          <w:color w:val="000000" w:themeColor="text1"/>
          <w:sz w:val="20"/>
        </w:rPr>
        <w:t>Zdroj:</w:t>
      </w:r>
      <w:r w:rsidRPr="00B843C9">
        <w:rPr>
          <w:bCs/>
          <w:color w:val="000000" w:themeColor="text1"/>
          <w:sz w:val="20"/>
        </w:rPr>
        <w:t xml:space="preserve"> </w:t>
      </w:r>
      <w:r w:rsidR="00962269">
        <w:rPr>
          <w:bCs/>
          <w:color w:val="000000" w:themeColor="text1"/>
          <w:sz w:val="20"/>
        </w:rPr>
        <w:t>vypracoval</w:t>
      </w:r>
      <w:r w:rsidRPr="00B843C9">
        <w:rPr>
          <w:bCs/>
          <w:color w:val="000000" w:themeColor="text1"/>
          <w:sz w:val="20"/>
        </w:rPr>
        <w:t xml:space="preserve"> NKÚ na základě dat poskytnutých od MPO</w:t>
      </w:r>
      <w:r w:rsidR="00962269">
        <w:rPr>
          <w:bCs/>
          <w:color w:val="000000" w:themeColor="text1"/>
          <w:sz w:val="20"/>
        </w:rPr>
        <w:t>.</w:t>
      </w:r>
    </w:p>
    <w:p w14:paraId="0AF5918A" w14:textId="77777777" w:rsidR="008757A2" w:rsidRPr="00594C73" w:rsidRDefault="008757A2" w:rsidP="00B131EB">
      <w:pPr>
        <w:spacing w:after="120" w:line="264" w:lineRule="auto"/>
        <w:ind w:left="142" w:hanging="142"/>
        <w:rPr>
          <w:bCs/>
          <w:color w:val="000000" w:themeColor="text1"/>
          <w:sz w:val="20"/>
        </w:rPr>
      </w:pPr>
      <w:r w:rsidRPr="00A9107D">
        <w:rPr>
          <w:bCs/>
          <w:color w:val="000000" w:themeColor="text1"/>
          <w:sz w:val="20"/>
        </w:rPr>
        <w:t>*</w:t>
      </w:r>
      <w:r w:rsidRPr="00A9107D">
        <w:rPr>
          <w:bCs/>
          <w:color w:val="000000" w:themeColor="text1"/>
          <w:sz w:val="20"/>
        </w:rPr>
        <w:tab/>
      </w:r>
      <w:r w:rsidRPr="00594C73">
        <w:rPr>
          <w:bCs/>
          <w:color w:val="000000" w:themeColor="text1"/>
          <w:sz w:val="20"/>
        </w:rPr>
        <w:t>Čerpání za rok 2019 není kompletní, neboť v době kontroly NKÚ nemělo MPO k dispozici údaj o čerpání investičních pobídek formou slevy na dani z příjmů v roce 2019.</w:t>
      </w:r>
    </w:p>
    <w:p w14:paraId="09DD040C" w14:textId="77777777" w:rsidR="004E6283" w:rsidRPr="00594C73" w:rsidRDefault="00594C73" w:rsidP="00B131EB">
      <w:pPr>
        <w:keepNext/>
        <w:spacing w:after="120" w:line="264" w:lineRule="auto"/>
        <w:rPr>
          <w:b/>
        </w:rPr>
      </w:pPr>
      <w:r>
        <w:rPr>
          <w:b/>
        </w:rPr>
        <w:t xml:space="preserve">7. </w:t>
      </w:r>
      <w:r w:rsidR="008B5B5A" w:rsidRPr="00594C73">
        <w:rPr>
          <w:b/>
        </w:rPr>
        <w:t>H</w:t>
      </w:r>
      <w:r w:rsidR="004E6283" w:rsidRPr="00594C73">
        <w:rPr>
          <w:b/>
        </w:rPr>
        <w:t>odnocení investičních pobídek</w:t>
      </w:r>
    </w:p>
    <w:p w14:paraId="7EF0FA93" w14:textId="52FCA499" w:rsidR="002A1E7A" w:rsidRPr="006F63D5" w:rsidRDefault="006D47A0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>Dle požadavku Evropské komise mělo MPO v období od 1. července 2014 do 31. prosince 2020 povinnost zpracovávat hodnot</w:t>
      </w:r>
      <w:r w:rsidR="00962269">
        <w:rPr>
          <w:color w:val="000000" w:themeColor="text1"/>
        </w:rPr>
        <w:t>i</w:t>
      </w:r>
      <w:r w:rsidRPr="006F63D5">
        <w:rPr>
          <w:color w:val="000000" w:themeColor="text1"/>
        </w:rPr>
        <w:t>cí zprávy</w:t>
      </w:r>
      <w:r w:rsidR="00595EC5" w:rsidRPr="006F63D5">
        <w:rPr>
          <w:color w:val="000000" w:themeColor="text1"/>
        </w:rPr>
        <w:t>. MPO u termínů zpracování a </w:t>
      </w:r>
      <w:r w:rsidRPr="006F63D5">
        <w:rPr>
          <w:color w:val="000000" w:themeColor="text1"/>
        </w:rPr>
        <w:t>zveřejnění</w:t>
      </w:r>
      <w:r w:rsidR="00F52097" w:rsidRPr="006F63D5">
        <w:rPr>
          <w:rStyle w:val="Znakapoznpodarou"/>
          <w:color w:val="000000" w:themeColor="text1"/>
        </w:rPr>
        <w:footnoteReference w:id="19"/>
      </w:r>
      <w:r w:rsidRPr="006F63D5">
        <w:rPr>
          <w:color w:val="000000" w:themeColor="text1"/>
        </w:rPr>
        <w:t xml:space="preserve"> jednotlivých hodnotících zpráv </w:t>
      </w:r>
      <w:r w:rsidRPr="006F63D5">
        <w:rPr>
          <w:b/>
          <w:color w:val="000000" w:themeColor="text1"/>
        </w:rPr>
        <w:t>postupovalo v souladu</w:t>
      </w:r>
      <w:r w:rsidRPr="006F63D5">
        <w:rPr>
          <w:color w:val="000000" w:themeColor="text1"/>
        </w:rPr>
        <w:t xml:space="preserve"> s požadavky Evropské komise. Sběrem relevantních dat, provedením vyhodnocení </w:t>
      </w:r>
      <w:r w:rsidR="00595EC5" w:rsidRPr="006F63D5">
        <w:rPr>
          <w:color w:val="000000" w:themeColor="text1"/>
        </w:rPr>
        <w:t>a </w:t>
      </w:r>
      <w:r w:rsidRPr="006F63D5">
        <w:rPr>
          <w:color w:val="000000" w:themeColor="text1"/>
        </w:rPr>
        <w:t xml:space="preserve">zpracováním </w:t>
      </w:r>
      <w:r w:rsidR="002A1E7A" w:rsidRPr="006F63D5">
        <w:rPr>
          <w:color w:val="000000" w:themeColor="text1"/>
        </w:rPr>
        <w:t xml:space="preserve">všech </w:t>
      </w:r>
      <w:r w:rsidRPr="006F63D5">
        <w:rPr>
          <w:color w:val="000000" w:themeColor="text1"/>
        </w:rPr>
        <w:t>hodnot</w:t>
      </w:r>
      <w:r w:rsidR="00962269">
        <w:rPr>
          <w:color w:val="000000" w:themeColor="text1"/>
        </w:rPr>
        <w:t>i</w:t>
      </w:r>
      <w:r w:rsidRPr="006F63D5">
        <w:rPr>
          <w:color w:val="000000" w:themeColor="text1"/>
        </w:rPr>
        <w:t xml:space="preserve">cích zpráv MPO pověřilo </w:t>
      </w:r>
      <w:r w:rsidR="00AE5D85" w:rsidRPr="006F63D5">
        <w:rPr>
          <w:color w:val="000000" w:themeColor="text1"/>
        </w:rPr>
        <w:t>externí společnost</w:t>
      </w:r>
      <w:r w:rsidRPr="006F63D5">
        <w:rPr>
          <w:color w:val="000000" w:themeColor="text1"/>
        </w:rPr>
        <w:t xml:space="preserve">. </w:t>
      </w:r>
    </w:p>
    <w:p w14:paraId="7DC9DEC5" w14:textId="2E521D29" w:rsidR="00B960B5" w:rsidRPr="006F63D5" w:rsidRDefault="00455ED4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>V letech 2016 až 2020</w:t>
      </w:r>
      <w:r w:rsidR="00251457" w:rsidRPr="006F63D5">
        <w:rPr>
          <w:color w:val="000000" w:themeColor="text1"/>
        </w:rPr>
        <w:t xml:space="preserve"> </w:t>
      </w:r>
      <w:r w:rsidR="00565AC8" w:rsidRPr="006F63D5">
        <w:rPr>
          <w:color w:val="000000" w:themeColor="text1"/>
        </w:rPr>
        <w:t>externí společnost</w:t>
      </w:r>
      <w:r w:rsidR="00251457" w:rsidRPr="006F63D5">
        <w:rPr>
          <w:color w:val="000000" w:themeColor="text1"/>
        </w:rPr>
        <w:t xml:space="preserve"> </w:t>
      </w:r>
      <w:r w:rsidR="00565AC8" w:rsidRPr="006F63D5">
        <w:rPr>
          <w:color w:val="000000" w:themeColor="text1"/>
        </w:rPr>
        <w:t>vypracovala</w:t>
      </w:r>
      <w:r w:rsidR="00AE49F2" w:rsidRPr="006F63D5">
        <w:rPr>
          <w:color w:val="000000" w:themeColor="text1"/>
        </w:rPr>
        <w:t xml:space="preserve"> </w:t>
      </w:r>
      <w:r w:rsidR="001A3136" w:rsidRPr="006F63D5">
        <w:rPr>
          <w:color w:val="000000" w:themeColor="text1"/>
        </w:rPr>
        <w:t xml:space="preserve">a MPO zveřejnilo </w:t>
      </w:r>
      <w:r w:rsidR="002877D5" w:rsidRPr="006F63D5">
        <w:rPr>
          <w:color w:val="000000" w:themeColor="text1"/>
        </w:rPr>
        <w:t>pět</w:t>
      </w:r>
      <w:r w:rsidR="00B362F4" w:rsidRPr="006F63D5">
        <w:rPr>
          <w:color w:val="000000" w:themeColor="text1"/>
        </w:rPr>
        <w:t xml:space="preserve"> výročních hodnot</w:t>
      </w:r>
      <w:r w:rsidR="00962269">
        <w:rPr>
          <w:color w:val="000000" w:themeColor="text1"/>
        </w:rPr>
        <w:t>i</w:t>
      </w:r>
      <w:r w:rsidR="00B362F4" w:rsidRPr="006F63D5">
        <w:rPr>
          <w:color w:val="000000" w:themeColor="text1"/>
        </w:rPr>
        <w:t>cích zpráv, jednu hodnot</w:t>
      </w:r>
      <w:r w:rsidR="00962269">
        <w:rPr>
          <w:color w:val="000000" w:themeColor="text1"/>
        </w:rPr>
        <w:t>i</w:t>
      </w:r>
      <w:r w:rsidR="00B362F4" w:rsidRPr="006F63D5">
        <w:rPr>
          <w:color w:val="000000" w:themeColor="text1"/>
        </w:rPr>
        <w:t>cí zprávu v polovině období a jednu závěrečnou hodnot</w:t>
      </w:r>
      <w:r w:rsidR="00962269">
        <w:rPr>
          <w:color w:val="000000" w:themeColor="text1"/>
        </w:rPr>
        <w:t>i</w:t>
      </w:r>
      <w:r w:rsidR="00B362F4" w:rsidRPr="006F63D5">
        <w:rPr>
          <w:color w:val="000000" w:themeColor="text1"/>
        </w:rPr>
        <w:t xml:space="preserve">cí </w:t>
      </w:r>
      <w:r w:rsidR="00C53E4C" w:rsidRPr="006F63D5">
        <w:rPr>
          <w:color w:val="000000" w:themeColor="text1"/>
        </w:rPr>
        <w:t>z</w:t>
      </w:r>
      <w:r w:rsidR="00B362F4" w:rsidRPr="006F63D5">
        <w:rPr>
          <w:color w:val="000000" w:themeColor="text1"/>
        </w:rPr>
        <w:t>právu.</w:t>
      </w:r>
      <w:r w:rsidR="0024184E" w:rsidRPr="006F63D5">
        <w:rPr>
          <w:color w:val="000000" w:themeColor="text1"/>
        </w:rPr>
        <w:t xml:space="preserve"> </w:t>
      </w:r>
      <w:r w:rsidR="00251457" w:rsidRPr="006F63D5">
        <w:rPr>
          <w:color w:val="000000" w:themeColor="text1"/>
        </w:rPr>
        <w:t>M</w:t>
      </w:r>
      <w:r w:rsidR="00595EC5" w:rsidRPr="006F63D5">
        <w:rPr>
          <w:color w:val="000000" w:themeColor="text1"/>
        </w:rPr>
        <w:t>PO za </w:t>
      </w:r>
      <w:r w:rsidR="00251457" w:rsidRPr="006F63D5">
        <w:rPr>
          <w:color w:val="000000" w:themeColor="text1"/>
        </w:rPr>
        <w:t>zpracování těchto hodnot</w:t>
      </w:r>
      <w:r w:rsidR="00962269">
        <w:rPr>
          <w:color w:val="000000" w:themeColor="text1"/>
        </w:rPr>
        <w:t>i</w:t>
      </w:r>
      <w:r w:rsidR="00251457" w:rsidRPr="006F63D5">
        <w:rPr>
          <w:color w:val="000000" w:themeColor="text1"/>
        </w:rPr>
        <w:t xml:space="preserve">cích zpráv uhradilo </w:t>
      </w:r>
      <w:r w:rsidR="008B5B5A" w:rsidRPr="006F63D5">
        <w:rPr>
          <w:color w:val="000000" w:themeColor="text1"/>
        </w:rPr>
        <w:t>externí společnosti</w:t>
      </w:r>
      <w:r w:rsidR="00251457" w:rsidRPr="006F63D5">
        <w:rPr>
          <w:color w:val="000000" w:themeColor="text1"/>
        </w:rPr>
        <w:t xml:space="preserve"> celkem 1 427 800 Kč. </w:t>
      </w:r>
      <w:r w:rsidR="00CC773E" w:rsidRPr="006F63D5">
        <w:rPr>
          <w:color w:val="000000" w:themeColor="text1"/>
        </w:rPr>
        <w:t>V</w:t>
      </w:r>
      <w:r w:rsidR="00402948" w:rsidRPr="006F63D5">
        <w:rPr>
          <w:color w:val="000000" w:themeColor="text1"/>
        </w:rPr>
        <w:t xml:space="preserve"> těchto </w:t>
      </w:r>
      <w:r w:rsidR="00CC773E" w:rsidRPr="006F63D5">
        <w:rPr>
          <w:color w:val="000000" w:themeColor="text1"/>
        </w:rPr>
        <w:t xml:space="preserve">zprávách byly vyhodnocovány investiční pobídky, u kterých MPO vydalo </w:t>
      </w:r>
      <w:r w:rsidR="00962269">
        <w:rPr>
          <w:color w:val="000000" w:themeColor="text1"/>
        </w:rPr>
        <w:t>r</w:t>
      </w:r>
      <w:r w:rsidR="00CC773E" w:rsidRPr="006F63D5">
        <w:rPr>
          <w:color w:val="000000" w:themeColor="text1"/>
        </w:rPr>
        <w:t xml:space="preserve">ozhodnutí o příslibu investiční pobídky </w:t>
      </w:r>
      <w:r w:rsidR="0009161F" w:rsidRPr="006F63D5">
        <w:rPr>
          <w:color w:val="000000" w:themeColor="text1"/>
        </w:rPr>
        <w:t>od 1. července</w:t>
      </w:r>
      <w:r w:rsidR="00CC773E" w:rsidRPr="006F63D5">
        <w:rPr>
          <w:color w:val="000000" w:themeColor="text1"/>
        </w:rPr>
        <w:t xml:space="preserve"> 2014. </w:t>
      </w:r>
      <w:r w:rsidR="002A1E7A" w:rsidRPr="006F63D5">
        <w:rPr>
          <w:color w:val="000000" w:themeColor="text1"/>
        </w:rPr>
        <w:t>Závěrečnou hodnot</w:t>
      </w:r>
      <w:r w:rsidR="00962269">
        <w:rPr>
          <w:color w:val="000000" w:themeColor="text1"/>
        </w:rPr>
        <w:t>i</w:t>
      </w:r>
      <w:r w:rsidR="002A1E7A" w:rsidRPr="006F63D5">
        <w:rPr>
          <w:color w:val="000000" w:themeColor="text1"/>
        </w:rPr>
        <w:t xml:space="preserve">cí zprávu zpracovanou v roce 2020 z dat za roky 2014 až 2018 </w:t>
      </w:r>
      <w:r w:rsidR="002A1E7A" w:rsidRPr="006F63D5">
        <w:rPr>
          <w:b/>
          <w:color w:val="000000" w:themeColor="text1"/>
        </w:rPr>
        <w:t>odeslalo MPO Evropské komisi v červnu 2020</w:t>
      </w:r>
      <w:r w:rsidR="002A1E7A" w:rsidRPr="00C05A01">
        <w:rPr>
          <w:b/>
          <w:color w:val="000000" w:themeColor="text1"/>
        </w:rPr>
        <w:t>.</w:t>
      </w:r>
      <w:r w:rsidR="002A1E7A" w:rsidRPr="006F63D5">
        <w:rPr>
          <w:color w:val="000000" w:themeColor="text1"/>
        </w:rPr>
        <w:t xml:space="preserve"> V roce 2021 má MPO povinnost předložit druhou v</w:t>
      </w:r>
      <w:r w:rsidR="006D4EAE" w:rsidRPr="006F63D5">
        <w:rPr>
          <w:color w:val="000000" w:themeColor="text1"/>
        </w:rPr>
        <w:t>erzi závěrečné hodnotící zprávy</w:t>
      </w:r>
      <w:r w:rsidR="002A1E7A" w:rsidRPr="006F63D5">
        <w:rPr>
          <w:color w:val="000000" w:themeColor="text1"/>
        </w:rPr>
        <w:t xml:space="preserve"> doplněnou o data za roky 2019 až 2020.</w:t>
      </w:r>
    </w:p>
    <w:p w14:paraId="4474380F" w14:textId="4832CE95" w:rsidR="003E3A70" w:rsidRPr="006F63D5" w:rsidRDefault="007A31A8" w:rsidP="006F63D5">
      <w:pPr>
        <w:spacing w:after="120" w:line="264" w:lineRule="auto"/>
        <w:rPr>
          <w:color w:val="000000" w:themeColor="text1"/>
        </w:rPr>
      </w:pPr>
      <w:r w:rsidRPr="006F63D5">
        <w:rPr>
          <w:b/>
          <w:color w:val="000000" w:themeColor="text1"/>
        </w:rPr>
        <w:t xml:space="preserve">V Plánu hodnocení MPO uvedlo cíl investičních pobídek, </w:t>
      </w:r>
      <w:r w:rsidRPr="006F63D5">
        <w:rPr>
          <w:color w:val="000000" w:themeColor="text1"/>
        </w:rPr>
        <w:t xml:space="preserve">který je i uveden v zákoně </w:t>
      </w:r>
      <w:r w:rsidR="005A02E5" w:rsidRPr="006F63D5">
        <w:rPr>
          <w:color w:val="000000" w:themeColor="text1"/>
        </w:rPr>
        <w:t>o </w:t>
      </w:r>
      <w:r w:rsidR="003E3A70" w:rsidRPr="006F63D5">
        <w:rPr>
          <w:color w:val="000000" w:themeColor="text1"/>
        </w:rPr>
        <w:t xml:space="preserve">investičních </w:t>
      </w:r>
      <w:r w:rsidR="008D2AAB" w:rsidRPr="006F63D5">
        <w:rPr>
          <w:color w:val="000000" w:themeColor="text1"/>
        </w:rPr>
        <w:t>pobídkách a kterým</w:t>
      </w:r>
      <w:r w:rsidRPr="006F63D5">
        <w:rPr>
          <w:color w:val="000000" w:themeColor="text1"/>
        </w:rPr>
        <w:t xml:space="preserve"> je </w:t>
      </w:r>
      <w:r w:rsidR="003E3A70" w:rsidRPr="006F63D5">
        <w:rPr>
          <w:color w:val="000000" w:themeColor="text1"/>
        </w:rPr>
        <w:t>podpora hospodářského rozvoje a vytváření pracovních míst na území ČR.</w:t>
      </w:r>
      <w:r w:rsidR="003E3A70" w:rsidRPr="00C05A01">
        <w:rPr>
          <w:color w:val="000000" w:themeColor="text1"/>
        </w:rPr>
        <w:t xml:space="preserve"> </w:t>
      </w:r>
      <w:r w:rsidR="003E3A70" w:rsidRPr="006F63D5">
        <w:rPr>
          <w:color w:val="000000" w:themeColor="text1"/>
        </w:rPr>
        <w:t>K tomu MPO dále uvedlo</w:t>
      </w:r>
      <w:r w:rsidR="003E3A70" w:rsidRPr="006F63D5">
        <w:rPr>
          <w:b/>
          <w:color w:val="000000" w:themeColor="text1"/>
        </w:rPr>
        <w:t xml:space="preserve"> konkrétní </w:t>
      </w:r>
      <w:r w:rsidR="008D128E" w:rsidRPr="006F63D5">
        <w:rPr>
          <w:b/>
          <w:color w:val="000000" w:themeColor="text1"/>
        </w:rPr>
        <w:t>cíle</w:t>
      </w:r>
      <w:r w:rsidR="00152C0C" w:rsidRPr="00C05A01">
        <w:rPr>
          <w:b/>
          <w:color w:val="000000" w:themeColor="text1"/>
        </w:rPr>
        <w:t>,</w:t>
      </w:r>
      <w:r w:rsidR="00152C0C" w:rsidRPr="006F63D5">
        <w:rPr>
          <w:color w:val="000000" w:themeColor="text1"/>
        </w:rPr>
        <w:t xml:space="preserve"> a to</w:t>
      </w:r>
      <w:r w:rsidR="008D128E" w:rsidRPr="006F63D5">
        <w:rPr>
          <w:color w:val="000000" w:themeColor="text1"/>
        </w:rPr>
        <w:t>: odstranění rozdílů mezi rozvinutými a méně rozvinutými regiony země, snížení rozdílů v míře nezaměstnanosti mezi regiony díky vytváření nových pracovních míst, podpora vytváření nových pracovních míst vyžadující</w:t>
      </w:r>
      <w:r w:rsidR="00962269">
        <w:rPr>
          <w:color w:val="000000" w:themeColor="text1"/>
        </w:rPr>
        <w:t>ch</w:t>
      </w:r>
      <w:r w:rsidR="008D128E" w:rsidRPr="006F63D5">
        <w:rPr>
          <w:color w:val="000000" w:themeColor="text1"/>
        </w:rPr>
        <w:t xml:space="preserve"> vyšší kvalifikaci, podpora hospodářského rozvoje v České republice prostřednictvím investičních projektů zaměře</w:t>
      </w:r>
      <w:r w:rsidR="005A02E5" w:rsidRPr="006F63D5">
        <w:rPr>
          <w:color w:val="000000" w:themeColor="text1"/>
        </w:rPr>
        <w:t>ných na pokročilé technologie a </w:t>
      </w:r>
      <w:r w:rsidR="008D128E" w:rsidRPr="006F63D5">
        <w:rPr>
          <w:color w:val="000000" w:themeColor="text1"/>
        </w:rPr>
        <w:t xml:space="preserve">činnosti </w:t>
      </w:r>
      <w:r w:rsidR="008D128E" w:rsidRPr="006F63D5">
        <w:rPr>
          <w:color w:val="000000" w:themeColor="text1"/>
        </w:rPr>
        <w:lastRenderedPageBreak/>
        <w:t>s</w:t>
      </w:r>
      <w:r w:rsidR="008D2AAB" w:rsidRPr="006F63D5">
        <w:rPr>
          <w:color w:val="000000" w:themeColor="text1"/>
        </w:rPr>
        <w:t> </w:t>
      </w:r>
      <w:r w:rsidR="008D128E" w:rsidRPr="006F63D5">
        <w:rPr>
          <w:color w:val="000000" w:themeColor="text1"/>
        </w:rPr>
        <w:t>vysokou přidanou hodnotou a s vysokým vývozním potenciálem a větší mezinárodní konkurenceschopnost České republiky v oblasti inovací, informačních technologií a</w:t>
      </w:r>
      <w:r w:rsidR="008D2AAB" w:rsidRPr="006F63D5">
        <w:rPr>
          <w:color w:val="000000" w:themeColor="text1"/>
        </w:rPr>
        <w:t> </w:t>
      </w:r>
      <w:r w:rsidR="008D128E" w:rsidRPr="006F63D5">
        <w:rPr>
          <w:color w:val="000000" w:themeColor="text1"/>
        </w:rPr>
        <w:t xml:space="preserve">strategických služeb. </w:t>
      </w:r>
    </w:p>
    <w:p w14:paraId="3997611B" w14:textId="18ACCFCF" w:rsidR="00C26FB7" w:rsidRPr="006F63D5" w:rsidRDefault="00B85F4D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 xml:space="preserve">Dle NKÚ </w:t>
      </w:r>
      <w:r w:rsidR="00C26FB7" w:rsidRPr="006F63D5">
        <w:rPr>
          <w:color w:val="000000" w:themeColor="text1"/>
        </w:rPr>
        <w:t xml:space="preserve">dosud zpracované </w:t>
      </w:r>
      <w:r w:rsidRPr="006F63D5">
        <w:rPr>
          <w:b/>
          <w:color w:val="000000" w:themeColor="text1"/>
        </w:rPr>
        <w:t>hodnot</w:t>
      </w:r>
      <w:r w:rsidR="00962269">
        <w:rPr>
          <w:b/>
          <w:color w:val="000000" w:themeColor="text1"/>
        </w:rPr>
        <w:t>i</w:t>
      </w:r>
      <w:r w:rsidRPr="006F63D5">
        <w:rPr>
          <w:b/>
          <w:color w:val="000000" w:themeColor="text1"/>
        </w:rPr>
        <w:t>cí zprávy neobsahují vyhodnocení</w:t>
      </w:r>
      <w:r w:rsidR="008D128E" w:rsidRPr="006F63D5">
        <w:rPr>
          <w:b/>
          <w:color w:val="000000" w:themeColor="text1"/>
        </w:rPr>
        <w:t xml:space="preserve">, </w:t>
      </w:r>
      <w:r w:rsidR="008D128E" w:rsidRPr="006F63D5">
        <w:rPr>
          <w:color w:val="000000" w:themeColor="text1"/>
        </w:rPr>
        <w:t xml:space="preserve">do jaké míry poskytnuté investiční pobídky </w:t>
      </w:r>
      <w:r w:rsidR="003E3A70" w:rsidRPr="006F63D5">
        <w:rPr>
          <w:color w:val="000000" w:themeColor="text1"/>
        </w:rPr>
        <w:t xml:space="preserve">konkrétně </w:t>
      </w:r>
      <w:r w:rsidR="008D128E" w:rsidRPr="006F63D5">
        <w:rPr>
          <w:color w:val="000000" w:themeColor="text1"/>
        </w:rPr>
        <w:t>přispěly k</w:t>
      </w:r>
      <w:r w:rsidR="005D040D" w:rsidRPr="006F63D5">
        <w:rPr>
          <w:color w:val="000000" w:themeColor="text1"/>
        </w:rPr>
        <w:t> </w:t>
      </w:r>
      <w:r w:rsidR="008D128E" w:rsidRPr="006F63D5">
        <w:rPr>
          <w:color w:val="000000" w:themeColor="text1"/>
        </w:rPr>
        <w:t>naplnění</w:t>
      </w:r>
      <w:r w:rsidR="005D040D" w:rsidRPr="006F63D5">
        <w:rPr>
          <w:color w:val="000000" w:themeColor="text1"/>
        </w:rPr>
        <w:t xml:space="preserve"> </w:t>
      </w:r>
      <w:r w:rsidR="003E3A70" w:rsidRPr="006F63D5">
        <w:rPr>
          <w:color w:val="000000" w:themeColor="text1"/>
        </w:rPr>
        <w:t>výše uvedených</w:t>
      </w:r>
      <w:r w:rsidR="008D128E" w:rsidRPr="006F63D5">
        <w:rPr>
          <w:color w:val="000000" w:themeColor="text1"/>
        </w:rPr>
        <w:t xml:space="preserve"> </w:t>
      </w:r>
      <w:r w:rsidRPr="006F63D5">
        <w:rPr>
          <w:color w:val="000000" w:themeColor="text1"/>
        </w:rPr>
        <w:t>cílů</w:t>
      </w:r>
      <w:r w:rsidR="008D128E" w:rsidRPr="006F63D5">
        <w:rPr>
          <w:color w:val="000000" w:themeColor="text1"/>
        </w:rPr>
        <w:t xml:space="preserve">. </w:t>
      </w:r>
      <w:r w:rsidR="005D040D" w:rsidRPr="006F63D5">
        <w:rPr>
          <w:b/>
          <w:color w:val="000000" w:themeColor="text1"/>
        </w:rPr>
        <w:t>NKÚ doporučuje</w:t>
      </w:r>
      <w:r w:rsidR="005D040D" w:rsidRPr="006F63D5">
        <w:rPr>
          <w:color w:val="000000" w:themeColor="text1"/>
        </w:rPr>
        <w:t xml:space="preserve">, </w:t>
      </w:r>
      <w:r w:rsidR="005D040D" w:rsidRPr="006F63D5">
        <w:rPr>
          <w:b/>
          <w:color w:val="000000" w:themeColor="text1"/>
        </w:rPr>
        <w:t>aby</w:t>
      </w:r>
      <w:r w:rsidR="003E3A70" w:rsidRPr="006F63D5">
        <w:rPr>
          <w:b/>
          <w:color w:val="000000" w:themeColor="text1"/>
        </w:rPr>
        <w:t xml:space="preserve"> MPO zajistilo</w:t>
      </w:r>
      <w:r w:rsidR="003E3A70" w:rsidRPr="00C05A01">
        <w:rPr>
          <w:b/>
          <w:color w:val="000000" w:themeColor="text1"/>
        </w:rPr>
        <w:t>,</w:t>
      </w:r>
      <w:r w:rsidR="003E3A70" w:rsidRPr="006F63D5">
        <w:rPr>
          <w:color w:val="000000" w:themeColor="text1"/>
        </w:rPr>
        <w:t xml:space="preserve"> aby</w:t>
      </w:r>
      <w:r w:rsidR="005D040D" w:rsidRPr="006F63D5">
        <w:rPr>
          <w:color w:val="000000" w:themeColor="text1"/>
        </w:rPr>
        <w:t xml:space="preserve"> externí společnost do závěrečné zprávy</w:t>
      </w:r>
      <w:r w:rsidR="00C26FB7" w:rsidRPr="006F63D5">
        <w:rPr>
          <w:color w:val="000000" w:themeColor="text1"/>
        </w:rPr>
        <w:t xml:space="preserve"> uvedla</w:t>
      </w:r>
      <w:r w:rsidR="005D040D" w:rsidRPr="006F63D5">
        <w:rPr>
          <w:color w:val="000000" w:themeColor="text1"/>
        </w:rPr>
        <w:t xml:space="preserve"> informace např. o tom, kolik bylo podpořeno investičních akcí ve státem podporovaných regionech, </w:t>
      </w:r>
      <w:r w:rsidR="003E3A70" w:rsidRPr="006F63D5">
        <w:rPr>
          <w:color w:val="000000" w:themeColor="text1"/>
        </w:rPr>
        <w:t xml:space="preserve">kolik podpořené společnosti skutečně v ČR investovaly, </w:t>
      </w:r>
      <w:r w:rsidR="005D040D" w:rsidRPr="006F63D5">
        <w:rPr>
          <w:color w:val="000000" w:themeColor="text1"/>
        </w:rPr>
        <w:t>kolik sku</w:t>
      </w:r>
      <w:r w:rsidR="005A02E5" w:rsidRPr="006F63D5">
        <w:rPr>
          <w:color w:val="000000" w:themeColor="text1"/>
        </w:rPr>
        <w:t>tečně vzniklo pracovních míst a </w:t>
      </w:r>
      <w:r w:rsidR="005D040D" w:rsidRPr="006F63D5">
        <w:rPr>
          <w:color w:val="000000" w:themeColor="text1"/>
        </w:rPr>
        <w:t xml:space="preserve">s jakou kvalifikací, kolik bylo z těchto pracovních míst obsazeno z řad nezaměstnaných nebo jaký vývozní potenciál měly podpořené společnosti. Tyto informace </w:t>
      </w:r>
      <w:r w:rsidR="007F651F" w:rsidRPr="006F63D5">
        <w:rPr>
          <w:color w:val="000000" w:themeColor="text1"/>
        </w:rPr>
        <w:t>lze</w:t>
      </w:r>
      <w:r w:rsidR="005D040D" w:rsidRPr="006F63D5">
        <w:rPr>
          <w:color w:val="000000" w:themeColor="text1"/>
        </w:rPr>
        <w:t xml:space="preserve"> </w:t>
      </w:r>
      <w:r w:rsidR="00C26FB7" w:rsidRPr="006F63D5">
        <w:rPr>
          <w:color w:val="000000" w:themeColor="text1"/>
        </w:rPr>
        <w:t>získat dotazníkovým</w:t>
      </w:r>
      <w:r w:rsidR="005D040D" w:rsidRPr="006F63D5">
        <w:rPr>
          <w:color w:val="000000" w:themeColor="text1"/>
        </w:rPr>
        <w:t xml:space="preserve"> šetření</w:t>
      </w:r>
      <w:r w:rsidR="00C26FB7" w:rsidRPr="006F63D5">
        <w:rPr>
          <w:color w:val="000000" w:themeColor="text1"/>
        </w:rPr>
        <w:t xml:space="preserve">m. </w:t>
      </w:r>
    </w:p>
    <w:p w14:paraId="7F75117C" w14:textId="77777777" w:rsidR="004E6283" w:rsidRPr="00594C73" w:rsidRDefault="00594C73" w:rsidP="00B131EB">
      <w:pPr>
        <w:keepNext/>
        <w:spacing w:after="120" w:line="264" w:lineRule="auto"/>
        <w:rPr>
          <w:b/>
        </w:rPr>
      </w:pPr>
      <w:r>
        <w:rPr>
          <w:b/>
        </w:rPr>
        <w:t xml:space="preserve">8. </w:t>
      </w:r>
      <w:r w:rsidR="00B02DE3" w:rsidRPr="00594C73">
        <w:rPr>
          <w:b/>
        </w:rPr>
        <w:t xml:space="preserve">Pro hodnocení </w:t>
      </w:r>
      <w:r w:rsidR="004E6283" w:rsidRPr="00594C73">
        <w:rPr>
          <w:b/>
        </w:rPr>
        <w:t>MPO nezajistilo data od všech příjemců</w:t>
      </w:r>
    </w:p>
    <w:p w14:paraId="492CC998" w14:textId="5CBD5ED0" w:rsidR="008F593B" w:rsidRPr="006F63D5" w:rsidRDefault="00B22405" w:rsidP="006F63D5">
      <w:pPr>
        <w:pStyle w:val="Odstavecseseznamem"/>
        <w:spacing w:after="120" w:line="264" w:lineRule="auto"/>
        <w:ind w:left="0"/>
        <w:contextualSpacing w:val="0"/>
        <w:rPr>
          <w:color w:val="000000" w:themeColor="text1"/>
        </w:rPr>
      </w:pPr>
      <w:r w:rsidRPr="006F63D5">
        <w:rPr>
          <w:b/>
          <w:color w:val="000000" w:themeColor="text1"/>
        </w:rPr>
        <w:t>MPO nevyužilo možnost uvedenou v</w:t>
      </w:r>
      <w:r w:rsidR="007F651F" w:rsidRPr="006F63D5">
        <w:rPr>
          <w:b/>
          <w:color w:val="000000" w:themeColor="text1"/>
        </w:rPr>
        <w:t xml:space="preserve"> ustanovení</w:t>
      </w:r>
      <w:r w:rsidRPr="006F63D5">
        <w:rPr>
          <w:b/>
          <w:color w:val="000000" w:themeColor="text1"/>
        </w:rPr>
        <w:t xml:space="preserve"> §</w:t>
      </w:r>
      <w:r w:rsidR="007F651F" w:rsidRPr="006F63D5">
        <w:rPr>
          <w:b/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 xml:space="preserve">6a odst. 8 zákona </w:t>
      </w:r>
      <w:r w:rsidRPr="006F63D5">
        <w:rPr>
          <w:color w:val="000000" w:themeColor="text1"/>
        </w:rPr>
        <w:t xml:space="preserve">a </w:t>
      </w:r>
      <w:r w:rsidR="00E6344B" w:rsidRPr="006F63D5">
        <w:rPr>
          <w:color w:val="000000" w:themeColor="text1"/>
        </w:rPr>
        <w:t>nevyzývalo</w:t>
      </w:r>
      <w:r w:rsidRPr="006F63D5">
        <w:rPr>
          <w:color w:val="000000" w:themeColor="text1"/>
        </w:rPr>
        <w:t xml:space="preserve"> příjemce k poskytnutí informací o st</w:t>
      </w:r>
      <w:r w:rsidR="005A02E5" w:rsidRPr="006F63D5">
        <w:rPr>
          <w:color w:val="000000" w:themeColor="text1"/>
        </w:rPr>
        <w:t>avu realizace investiční akce a </w:t>
      </w:r>
      <w:r w:rsidRPr="006F63D5">
        <w:rPr>
          <w:color w:val="000000" w:themeColor="text1"/>
        </w:rPr>
        <w:t xml:space="preserve">skutečné výši čerpání. </w:t>
      </w:r>
      <w:r w:rsidR="002A1E7A" w:rsidRPr="006F63D5">
        <w:rPr>
          <w:color w:val="000000" w:themeColor="text1"/>
        </w:rPr>
        <w:t xml:space="preserve">Data </w:t>
      </w:r>
      <w:r w:rsidR="0028711E" w:rsidRPr="006F63D5">
        <w:rPr>
          <w:color w:val="000000" w:themeColor="text1"/>
        </w:rPr>
        <w:t>od </w:t>
      </w:r>
      <w:r w:rsidR="00AE5D85" w:rsidRPr="006F63D5">
        <w:rPr>
          <w:color w:val="000000" w:themeColor="text1"/>
        </w:rPr>
        <w:t xml:space="preserve">příjemců </w:t>
      </w:r>
      <w:r w:rsidR="002A1E7A" w:rsidRPr="006F63D5">
        <w:rPr>
          <w:color w:val="000000" w:themeColor="text1"/>
        </w:rPr>
        <w:t>pro hodnot</w:t>
      </w:r>
      <w:r w:rsidR="00962269">
        <w:rPr>
          <w:color w:val="000000" w:themeColor="text1"/>
        </w:rPr>
        <w:t>i</w:t>
      </w:r>
      <w:r w:rsidR="002A1E7A" w:rsidRPr="006F63D5">
        <w:rPr>
          <w:color w:val="000000" w:themeColor="text1"/>
        </w:rPr>
        <w:t>cí zprávy</w:t>
      </w:r>
      <w:r w:rsidR="00AE5D85"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>získával</w:t>
      </w:r>
      <w:r w:rsidR="00E6344B" w:rsidRPr="006F63D5">
        <w:rPr>
          <w:b/>
          <w:color w:val="000000" w:themeColor="text1"/>
        </w:rPr>
        <w:t>a</w:t>
      </w:r>
      <w:r w:rsidRPr="006F63D5">
        <w:rPr>
          <w:b/>
          <w:color w:val="000000" w:themeColor="text1"/>
        </w:rPr>
        <w:t xml:space="preserve"> </w:t>
      </w:r>
      <w:r w:rsidR="00E6344B" w:rsidRPr="006F63D5">
        <w:rPr>
          <w:b/>
          <w:color w:val="000000" w:themeColor="text1"/>
        </w:rPr>
        <w:t>sama externí společnost</w:t>
      </w:r>
      <w:r w:rsidR="002A1E7A" w:rsidRPr="006F63D5">
        <w:rPr>
          <w:b/>
          <w:color w:val="000000" w:themeColor="text1"/>
        </w:rPr>
        <w:t xml:space="preserve"> prostřednictvím </w:t>
      </w:r>
      <w:r w:rsidR="00DE46B3" w:rsidRPr="006F63D5">
        <w:rPr>
          <w:b/>
          <w:color w:val="000000" w:themeColor="text1"/>
        </w:rPr>
        <w:t xml:space="preserve">vlastního </w:t>
      </w:r>
      <w:r w:rsidR="002A1E7A" w:rsidRPr="006F63D5">
        <w:rPr>
          <w:b/>
          <w:color w:val="000000" w:themeColor="text1"/>
        </w:rPr>
        <w:t>dotazníkového šetření</w:t>
      </w:r>
      <w:r w:rsidR="002A1E7A" w:rsidRPr="00C05A01">
        <w:rPr>
          <w:b/>
          <w:color w:val="000000" w:themeColor="text1"/>
        </w:rPr>
        <w:t>.</w:t>
      </w:r>
      <w:r w:rsidR="009C53B2" w:rsidRPr="006F63D5">
        <w:rPr>
          <w:color w:val="000000" w:themeColor="text1"/>
        </w:rPr>
        <w:t xml:space="preserve"> </w:t>
      </w:r>
      <w:r w:rsidR="00B960B5" w:rsidRPr="006F63D5">
        <w:rPr>
          <w:color w:val="000000" w:themeColor="text1"/>
        </w:rPr>
        <w:t xml:space="preserve">Na dotazníky </w:t>
      </w:r>
      <w:r w:rsidRPr="006F63D5">
        <w:rPr>
          <w:color w:val="000000" w:themeColor="text1"/>
        </w:rPr>
        <w:t xml:space="preserve">však </w:t>
      </w:r>
      <w:r w:rsidR="00B960B5" w:rsidRPr="006F63D5">
        <w:rPr>
          <w:color w:val="000000" w:themeColor="text1"/>
        </w:rPr>
        <w:t>každoročně</w:t>
      </w:r>
      <w:r w:rsidR="00B960B5" w:rsidRPr="006F63D5">
        <w:rPr>
          <w:b/>
          <w:color w:val="000000" w:themeColor="text1"/>
        </w:rPr>
        <w:t xml:space="preserve"> </w:t>
      </w:r>
      <w:r w:rsidR="00567C29" w:rsidRPr="006F63D5">
        <w:rPr>
          <w:b/>
          <w:color w:val="000000" w:themeColor="text1"/>
        </w:rPr>
        <w:t>neodpovědělo</w:t>
      </w:r>
      <w:r w:rsidR="00B960B5" w:rsidRPr="006F63D5">
        <w:rPr>
          <w:b/>
          <w:color w:val="000000" w:themeColor="text1"/>
        </w:rPr>
        <w:t xml:space="preserve"> průměrně </w:t>
      </w:r>
      <w:r w:rsidR="00AE5D85" w:rsidRPr="006F63D5">
        <w:rPr>
          <w:b/>
          <w:color w:val="000000" w:themeColor="text1"/>
        </w:rPr>
        <w:t>20 </w:t>
      </w:r>
      <w:r w:rsidR="00567C29" w:rsidRPr="006F63D5">
        <w:rPr>
          <w:b/>
          <w:color w:val="000000" w:themeColor="text1"/>
        </w:rPr>
        <w:t>%</w:t>
      </w:r>
      <w:r w:rsidR="00B960B5" w:rsidRPr="006F63D5">
        <w:rPr>
          <w:color w:val="000000" w:themeColor="text1"/>
        </w:rPr>
        <w:t xml:space="preserve"> oslovených společností. </w:t>
      </w:r>
      <w:r w:rsidR="008A3B12" w:rsidRPr="006F63D5">
        <w:rPr>
          <w:color w:val="000000" w:themeColor="text1"/>
        </w:rPr>
        <w:t>V případě závěrečné hodnot</w:t>
      </w:r>
      <w:r w:rsidR="00F215C6">
        <w:rPr>
          <w:color w:val="000000" w:themeColor="text1"/>
        </w:rPr>
        <w:t>i</w:t>
      </w:r>
      <w:r w:rsidR="008A3B12" w:rsidRPr="006F63D5">
        <w:rPr>
          <w:color w:val="000000" w:themeColor="text1"/>
        </w:rPr>
        <w:t xml:space="preserve">cí zprávy zpracované v roce 2020 </w:t>
      </w:r>
      <w:r w:rsidR="008A3B12" w:rsidRPr="006F63D5">
        <w:rPr>
          <w:b/>
          <w:color w:val="000000" w:themeColor="text1"/>
        </w:rPr>
        <w:t>dokonce neposkytlo data témě</w:t>
      </w:r>
      <w:r w:rsidR="002F7FC6" w:rsidRPr="006F63D5">
        <w:rPr>
          <w:b/>
          <w:color w:val="000000" w:themeColor="text1"/>
        </w:rPr>
        <w:t>ř 40 %</w:t>
      </w:r>
      <w:r w:rsidR="005A02E5" w:rsidRPr="006F63D5">
        <w:rPr>
          <w:color w:val="000000" w:themeColor="text1"/>
        </w:rPr>
        <w:t xml:space="preserve"> z oslovených společností. Z </w:t>
      </w:r>
      <w:r w:rsidR="008A3B12" w:rsidRPr="006F63D5">
        <w:rPr>
          <w:color w:val="000000" w:themeColor="text1"/>
        </w:rPr>
        <w:t>celkového počtu 289</w:t>
      </w:r>
      <w:r w:rsidR="00333158" w:rsidRPr="006F63D5">
        <w:rPr>
          <w:color w:val="000000" w:themeColor="text1"/>
        </w:rPr>
        <w:t> </w:t>
      </w:r>
      <w:r w:rsidR="008A3B12" w:rsidRPr="006F63D5">
        <w:rPr>
          <w:color w:val="000000" w:themeColor="text1"/>
        </w:rPr>
        <w:t>oslove</w:t>
      </w:r>
      <w:r w:rsidR="00595EC5" w:rsidRPr="006F63D5">
        <w:rPr>
          <w:color w:val="000000" w:themeColor="text1"/>
        </w:rPr>
        <w:t>ných podpořených společností na </w:t>
      </w:r>
      <w:r w:rsidR="00AE5D85" w:rsidRPr="006F63D5">
        <w:rPr>
          <w:color w:val="000000" w:themeColor="text1"/>
        </w:rPr>
        <w:t>dotazníky odpovědělo pouze 177</w:t>
      </w:r>
      <w:r w:rsidR="008A3B12" w:rsidRPr="006F63D5">
        <w:rPr>
          <w:color w:val="000000" w:themeColor="text1"/>
        </w:rPr>
        <w:t xml:space="preserve"> z nich. </w:t>
      </w:r>
    </w:p>
    <w:p w14:paraId="563E9652" w14:textId="67EB2DCC" w:rsidR="003639C6" w:rsidRPr="006F63D5" w:rsidRDefault="00CE11DE" w:rsidP="006F63D5">
      <w:pPr>
        <w:spacing w:after="120" w:line="264" w:lineRule="auto"/>
        <w:rPr>
          <w:color w:val="000000" w:themeColor="text1"/>
        </w:rPr>
      </w:pPr>
      <w:r w:rsidRPr="006F63D5">
        <w:rPr>
          <w:b/>
          <w:color w:val="000000" w:themeColor="text1"/>
        </w:rPr>
        <w:t>MPO tedy nezajistilo</w:t>
      </w:r>
      <w:r w:rsidRPr="006F63D5">
        <w:rPr>
          <w:color w:val="000000" w:themeColor="text1"/>
        </w:rPr>
        <w:t xml:space="preserve"> ze své pozice poskytovatele podpory </w:t>
      </w:r>
      <w:r w:rsidR="009F21B8" w:rsidRPr="006F63D5">
        <w:rPr>
          <w:b/>
          <w:color w:val="000000" w:themeColor="text1"/>
        </w:rPr>
        <w:t>kompletní</w:t>
      </w:r>
      <w:r w:rsidRPr="006F63D5">
        <w:rPr>
          <w:b/>
          <w:color w:val="000000" w:themeColor="text1"/>
        </w:rPr>
        <w:t xml:space="preserve"> dat</w:t>
      </w:r>
      <w:r w:rsidR="00DE46B3" w:rsidRPr="006F63D5">
        <w:rPr>
          <w:b/>
          <w:color w:val="000000" w:themeColor="text1"/>
        </w:rPr>
        <w:t>a</w:t>
      </w:r>
      <w:r w:rsidR="00AE5D85" w:rsidRPr="006F63D5">
        <w:rPr>
          <w:b/>
          <w:color w:val="000000" w:themeColor="text1"/>
        </w:rPr>
        <w:t xml:space="preserve"> od příjemců</w:t>
      </w:r>
      <w:r w:rsidRPr="006F63D5">
        <w:rPr>
          <w:color w:val="000000" w:themeColor="text1"/>
        </w:rPr>
        <w:t xml:space="preserve"> p</w:t>
      </w:r>
      <w:r w:rsidR="005A02E5" w:rsidRPr="006F63D5">
        <w:rPr>
          <w:color w:val="000000" w:themeColor="text1"/>
        </w:rPr>
        <w:t>ro </w:t>
      </w:r>
      <w:r w:rsidR="00B960B5" w:rsidRPr="006F63D5">
        <w:rPr>
          <w:color w:val="000000" w:themeColor="text1"/>
        </w:rPr>
        <w:t>účely zpracování hodnocení investičních pobídek</w:t>
      </w:r>
      <w:r w:rsidR="0009161F" w:rsidRPr="006F63D5">
        <w:rPr>
          <w:color w:val="000000" w:themeColor="text1"/>
        </w:rPr>
        <w:t xml:space="preserve"> prostř</w:t>
      </w:r>
      <w:r w:rsidR="00B02DE3" w:rsidRPr="006F63D5">
        <w:rPr>
          <w:color w:val="000000" w:themeColor="text1"/>
        </w:rPr>
        <w:t>ednictvím dotazníkového šetření</w:t>
      </w:r>
      <w:r w:rsidRPr="006F63D5">
        <w:rPr>
          <w:color w:val="000000" w:themeColor="text1"/>
        </w:rPr>
        <w:t xml:space="preserve">. </w:t>
      </w:r>
      <w:r w:rsidR="00152C0C" w:rsidRPr="006F63D5">
        <w:rPr>
          <w:b/>
          <w:color w:val="000000" w:themeColor="text1"/>
        </w:rPr>
        <w:t xml:space="preserve">NKÚ </w:t>
      </w:r>
      <w:r w:rsidR="00DE46B3" w:rsidRPr="006F63D5">
        <w:rPr>
          <w:b/>
          <w:color w:val="000000" w:themeColor="text1"/>
        </w:rPr>
        <w:t xml:space="preserve">doporučuje, aby MPO využilo možnosti dané zákonem a vyzvalo </w:t>
      </w:r>
      <w:r w:rsidR="00152C0C" w:rsidRPr="006F63D5">
        <w:rPr>
          <w:b/>
          <w:color w:val="000000" w:themeColor="text1"/>
        </w:rPr>
        <w:t>přímo příjemce k poskytnutí dat</w:t>
      </w:r>
      <w:r w:rsidR="00DE46B3" w:rsidRPr="006F63D5">
        <w:rPr>
          <w:b/>
          <w:color w:val="000000" w:themeColor="text1"/>
        </w:rPr>
        <w:t>.</w:t>
      </w:r>
      <w:r w:rsidR="00DE46B3" w:rsidRPr="006F63D5">
        <w:rPr>
          <w:color w:val="000000" w:themeColor="text1"/>
        </w:rPr>
        <w:t xml:space="preserve"> </w:t>
      </w:r>
    </w:p>
    <w:p w14:paraId="3A19BA48" w14:textId="77777777" w:rsidR="003639C6" w:rsidRPr="00594C73" w:rsidRDefault="00594C73" w:rsidP="00B131EB">
      <w:pPr>
        <w:keepNext/>
        <w:spacing w:after="120" w:line="264" w:lineRule="auto"/>
        <w:rPr>
          <w:b/>
        </w:rPr>
      </w:pPr>
      <w:r>
        <w:rPr>
          <w:b/>
        </w:rPr>
        <w:t xml:space="preserve">9. </w:t>
      </w:r>
      <w:r w:rsidR="00555188" w:rsidRPr="00594C73">
        <w:rPr>
          <w:b/>
        </w:rPr>
        <w:t>Naplňování předpokládaných přínosů investičních akcí MPO nesledovalo</w:t>
      </w:r>
    </w:p>
    <w:p w14:paraId="080C249E" w14:textId="77777777" w:rsidR="00266632" w:rsidRPr="006F63D5" w:rsidRDefault="00266632" w:rsidP="006F63D5">
      <w:pPr>
        <w:spacing w:after="120" w:line="264" w:lineRule="auto"/>
        <w:rPr>
          <w:color w:val="000000" w:themeColor="text1"/>
        </w:rPr>
      </w:pPr>
      <w:r w:rsidRPr="006F63D5">
        <w:rPr>
          <w:color w:val="000000" w:themeColor="text1"/>
        </w:rPr>
        <w:t xml:space="preserve">Žadatelé ve svých </w:t>
      </w:r>
      <w:r w:rsidR="006944B1" w:rsidRPr="006F63D5">
        <w:rPr>
          <w:color w:val="000000" w:themeColor="text1"/>
        </w:rPr>
        <w:t>záměrech</w:t>
      </w:r>
      <w:r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 xml:space="preserve">uváděli </w:t>
      </w:r>
      <w:r w:rsidR="00DB5331" w:rsidRPr="006F63D5">
        <w:rPr>
          <w:b/>
          <w:color w:val="000000" w:themeColor="text1"/>
        </w:rPr>
        <w:t xml:space="preserve">očekávané </w:t>
      </w:r>
      <w:r w:rsidR="009C53B2" w:rsidRPr="006F63D5">
        <w:rPr>
          <w:b/>
          <w:color w:val="000000" w:themeColor="text1"/>
        </w:rPr>
        <w:t>plánované</w:t>
      </w:r>
      <w:r w:rsidR="002F7FC6" w:rsidRPr="006F63D5">
        <w:rPr>
          <w:b/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>přínosy</w:t>
      </w:r>
      <w:r w:rsidRPr="006F63D5">
        <w:rPr>
          <w:color w:val="000000" w:themeColor="text1"/>
        </w:rPr>
        <w:t xml:space="preserve"> svých investičních akcí konkrétně vyjádřené </w:t>
      </w:r>
      <w:r w:rsidR="009C53B2" w:rsidRPr="006F63D5">
        <w:rPr>
          <w:color w:val="000000" w:themeColor="text1"/>
        </w:rPr>
        <w:t>plánovanou</w:t>
      </w:r>
      <w:r w:rsidRPr="006F63D5">
        <w:rPr>
          <w:color w:val="000000" w:themeColor="text1"/>
        </w:rPr>
        <w:t xml:space="preserve"> výší inv</w:t>
      </w:r>
      <w:r w:rsidR="005A02E5" w:rsidRPr="006F63D5">
        <w:rPr>
          <w:color w:val="000000" w:themeColor="text1"/>
        </w:rPr>
        <w:t>estic do dlouhodobého majetku a </w:t>
      </w:r>
      <w:r w:rsidR="009C53B2" w:rsidRPr="006F63D5">
        <w:rPr>
          <w:color w:val="000000" w:themeColor="text1"/>
        </w:rPr>
        <w:t xml:space="preserve">plánovanými </w:t>
      </w:r>
      <w:r w:rsidRPr="006F63D5">
        <w:rPr>
          <w:color w:val="000000" w:themeColor="text1"/>
        </w:rPr>
        <w:t xml:space="preserve">počty nově vytvořených pracovních míst. MPO disponovalo přehledem všech podpořených společností s uvedením těchto </w:t>
      </w:r>
      <w:r w:rsidR="00AE5D85" w:rsidRPr="006F63D5">
        <w:rPr>
          <w:color w:val="000000" w:themeColor="text1"/>
        </w:rPr>
        <w:t>plánovaných</w:t>
      </w:r>
      <w:r w:rsidRPr="006F63D5">
        <w:rPr>
          <w:color w:val="000000" w:themeColor="text1"/>
        </w:rPr>
        <w:t xml:space="preserve"> přínosů. Příjemci však měli </w:t>
      </w:r>
      <w:r w:rsidRPr="006F63D5">
        <w:rPr>
          <w:b/>
          <w:color w:val="000000" w:themeColor="text1"/>
        </w:rPr>
        <w:t xml:space="preserve">povinnost splnit </w:t>
      </w:r>
      <w:r w:rsidR="009F21B8" w:rsidRPr="006F63D5">
        <w:rPr>
          <w:b/>
          <w:color w:val="000000" w:themeColor="text1"/>
        </w:rPr>
        <w:t xml:space="preserve">pouze </w:t>
      </w:r>
      <w:r w:rsidRPr="006F63D5">
        <w:rPr>
          <w:b/>
          <w:color w:val="000000" w:themeColor="text1"/>
        </w:rPr>
        <w:t>minimální hodnoty</w:t>
      </w:r>
      <w:r w:rsidR="00595EC5" w:rsidRPr="006F63D5">
        <w:rPr>
          <w:color w:val="000000" w:themeColor="text1"/>
        </w:rPr>
        <w:t xml:space="preserve"> dané zákonem </w:t>
      </w:r>
      <w:r w:rsidRPr="006F63D5">
        <w:rPr>
          <w:color w:val="000000" w:themeColor="text1"/>
        </w:rPr>
        <w:t xml:space="preserve">nebo popř. nařízením vlády </w:t>
      </w:r>
      <w:r w:rsidR="00B02DE3" w:rsidRPr="006F63D5">
        <w:rPr>
          <w:color w:val="000000" w:themeColor="text1"/>
        </w:rPr>
        <w:t xml:space="preserve">č. </w:t>
      </w:r>
      <w:r w:rsidRPr="006F63D5">
        <w:rPr>
          <w:color w:val="000000" w:themeColor="text1"/>
        </w:rPr>
        <w:t xml:space="preserve">221/2019 Sb., nikoliv naplnit očekávané </w:t>
      </w:r>
      <w:r w:rsidR="007274E9" w:rsidRPr="006F63D5">
        <w:rPr>
          <w:color w:val="000000" w:themeColor="text1"/>
        </w:rPr>
        <w:t>plánované</w:t>
      </w:r>
      <w:r w:rsidRPr="006F63D5">
        <w:rPr>
          <w:color w:val="000000" w:themeColor="text1"/>
        </w:rPr>
        <w:t xml:space="preserve"> hodnoty. </w:t>
      </w:r>
    </w:p>
    <w:p w14:paraId="54E56750" w14:textId="77777777" w:rsidR="00564866" w:rsidRPr="006F63D5" w:rsidRDefault="00266632" w:rsidP="006F63D5">
      <w:pPr>
        <w:spacing w:after="120" w:line="264" w:lineRule="auto"/>
        <w:rPr>
          <w:b/>
          <w:color w:val="000000" w:themeColor="text1"/>
        </w:rPr>
      </w:pPr>
      <w:r w:rsidRPr="006F63D5">
        <w:rPr>
          <w:color w:val="000000" w:themeColor="text1"/>
        </w:rPr>
        <w:t>MPO při kontrolách u příjemců zjišťovalo</w:t>
      </w:r>
      <w:r w:rsidR="006D4EAE" w:rsidRPr="006F63D5">
        <w:rPr>
          <w:color w:val="000000" w:themeColor="text1"/>
        </w:rPr>
        <w:t>, zda skutečně vytvořená výše</w:t>
      </w:r>
      <w:r w:rsidRPr="006F63D5">
        <w:rPr>
          <w:color w:val="000000" w:themeColor="text1"/>
        </w:rPr>
        <w:t xml:space="preserve"> investice a počet nově vyt</w:t>
      </w:r>
      <w:r w:rsidR="006D4EAE" w:rsidRPr="006F63D5">
        <w:rPr>
          <w:color w:val="000000" w:themeColor="text1"/>
        </w:rPr>
        <w:t>vořených pracovních míst splňují</w:t>
      </w:r>
      <w:r w:rsidRPr="006F63D5">
        <w:rPr>
          <w:color w:val="000000" w:themeColor="text1"/>
        </w:rPr>
        <w:t xml:space="preserve"> minimální hodnoty. Do jaké míry skutečné hodnoty naplňovaly </w:t>
      </w:r>
      <w:r w:rsidRPr="006F63D5">
        <w:rPr>
          <w:b/>
          <w:color w:val="000000" w:themeColor="text1"/>
        </w:rPr>
        <w:t>očekávané</w:t>
      </w:r>
      <w:r w:rsidR="00EA77A5" w:rsidRPr="006F63D5">
        <w:rPr>
          <w:b/>
          <w:color w:val="000000" w:themeColor="text1"/>
        </w:rPr>
        <w:t xml:space="preserve"> plánované</w:t>
      </w:r>
      <w:r w:rsidRPr="006F63D5">
        <w:rPr>
          <w:b/>
          <w:color w:val="000000" w:themeColor="text1"/>
        </w:rPr>
        <w:t xml:space="preserve"> hodnoty,</w:t>
      </w:r>
      <w:r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 xml:space="preserve">již </w:t>
      </w:r>
      <w:r w:rsidR="009C53B2" w:rsidRPr="006F63D5">
        <w:rPr>
          <w:b/>
          <w:color w:val="000000" w:themeColor="text1"/>
        </w:rPr>
        <w:t>nemělo povinnost vyhodnocovat</w:t>
      </w:r>
      <w:r w:rsidR="00EA77A5" w:rsidRPr="006F63D5">
        <w:rPr>
          <w:b/>
          <w:color w:val="000000" w:themeColor="text1"/>
        </w:rPr>
        <w:t xml:space="preserve"> a</w:t>
      </w:r>
      <w:r w:rsidR="005A02E5" w:rsidRPr="006F63D5">
        <w:rPr>
          <w:b/>
          <w:color w:val="000000" w:themeColor="text1"/>
        </w:rPr>
        <w:t> </w:t>
      </w:r>
      <w:r w:rsidRPr="006F63D5">
        <w:rPr>
          <w:b/>
          <w:color w:val="000000" w:themeColor="text1"/>
        </w:rPr>
        <w:t>nevyhodnocovalo</w:t>
      </w:r>
      <w:r w:rsidRPr="00C05A01">
        <w:rPr>
          <w:b/>
          <w:color w:val="000000" w:themeColor="text1"/>
        </w:rPr>
        <w:t>.</w:t>
      </w:r>
      <w:r w:rsidRPr="006F63D5">
        <w:rPr>
          <w:color w:val="000000" w:themeColor="text1"/>
        </w:rPr>
        <w:t xml:space="preserve"> MPO </w:t>
      </w:r>
      <w:r w:rsidR="00F52097" w:rsidRPr="006F63D5">
        <w:rPr>
          <w:color w:val="000000" w:themeColor="text1"/>
        </w:rPr>
        <w:t xml:space="preserve">nemělo povinnost </w:t>
      </w:r>
      <w:r w:rsidR="007274E9" w:rsidRPr="006F63D5">
        <w:rPr>
          <w:color w:val="000000" w:themeColor="text1"/>
        </w:rPr>
        <w:t>sledovat</w:t>
      </w:r>
      <w:r w:rsidRPr="006F63D5">
        <w:rPr>
          <w:color w:val="000000" w:themeColor="text1"/>
        </w:rPr>
        <w:t xml:space="preserve">, kolik vytvořených pracovních míst bylo obsazeno z řad nezaměstnaných evidovaných na úřadech práce. </w:t>
      </w:r>
    </w:p>
    <w:p w14:paraId="7FB93E74" w14:textId="77777777" w:rsidR="00564866" w:rsidRPr="00594C73" w:rsidRDefault="00594C73" w:rsidP="00B131EB">
      <w:pPr>
        <w:keepNext/>
        <w:spacing w:after="120" w:line="264" w:lineRule="auto"/>
        <w:rPr>
          <w:b/>
        </w:rPr>
      </w:pPr>
      <w:r>
        <w:rPr>
          <w:b/>
        </w:rPr>
        <w:t xml:space="preserve">10. </w:t>
      </w:r>
      <w:r w:rsidR="00564866" w:rsidRPr="00594C73">
        <w:rPr>
          <w:b/>
        </w:rPr>
        <w:t xml:space="preserve">Příjemci byly zejména velké české </w:t>
      </w:r>
      <w:r w:rsidR="008527CE" w:rsidRPr="00594C73">
        <w:rPr>
          <w:b/>
        </w:rPr>
        <w:t>společnosti</w:t>
      </w:r>
    </w:p>
    <w:p w14:paraId="009DD28B" w14:textId="1F356DF6" w:rsidR="00564866" w:rsidRPr="006F63D5" w:rsidRDefault="00D54B44" w:rsidP="006F63D5">
      <w:pPr>
        <w:spacing w:after="120" w:line="264" w:lineRule="auto"/>
        <w:rPr>
          <w:color w:val="000000" w:themeColor="text1"/>
          <w:lang w:eastAsia="cs-CZ"/>
        </w:rPr>
      </w:pPr>
      <w:r w:rsidRPr="006F63D5">
        <w:rPr>
          <w:color w:val="000000" w:themeColor="text1"/>
        </w:rPr>
        <w:t xml:space="preserve">V roce 2020 MPO evidovalo 305 </w:t>
      </w:r>
      <w:r w:rsidR="00E6337D">
        <w:rPr>
          <w:color w:val="000000" w:themeColor="text1"/>
        </w:rPr>
        <w:t>r</w:t>
      </w:r>
      <w:r w:rsidRPr="006F63D5">
        <w:rPr>
          <w:color w:val="000000" w:themeColor="text1"/>
        </w:rPr>
        <w:t xml:space="preserve">ozhodnutí o příslibu investiční pobídky vydaných v </w:t>
      </w:r>
      <w:r w:rsidR="00D102C7" w:rsidRPr="006F63D5">
        <w:rPr>
          <w:color w:val="000000" w:themeColor="text1"/>
        </w:rPr>
        <w:t xml:space="preserve">období od 1. července 2014 do 31. prosince 2019 </w:t>
      </w:r>
      <w:r w:rsidRPr="006F63D5">
        <w:rPr>
          <w:color w:val="000000" w:themeColor="text1"/>
        </w:rPr>
        <w:t>ve prospěch</w:t>
      </w:r>
      <w:r w:rsidR="00D102C7" w:rsidRPr="006F63D5">
        <w:rPr>
          <w:color w:val="000000" w:themeColor="text1"/>
        </w:rPr>
        <w:t xml:space="preserve"> 289 společností. V hodnot</w:t>
      </w:r>
      <w:r w:rsidR="00E6337D">
        <w:rPr>
          <w:color w:val="000000" w:themeColor="text1"/>
        </w:rPr>
        <w:t>i</w:t>
      </w:r>
      <w:r w:rsidR="00D102C7" w:rsidRPr="006F63D5">
        <w:rPr>
          <w:color w:val="000000" w:themeColor="text1"/>
        </w:rPr>
        <w:t>cí zprávě zpracované v roce 2020 bylo u těchto příjemců například vyhodnoceno</w:t>
      </w:r>
      <w:r w:rsidR="00273193" w:rsidRPr="006F63D5">
        <w:rPr>
          <w:color w:val="000000" w:themeColor="text1"/>
        </w:rPr>
        <w:t xml:space="preserve">, že </w:t>
      </w:r>
      <w:r w:rsidR="00273193" w:rsidRPr="006F63D5">
        <w:rPr>
          <w:color w:val="000000" w:themeColor="text1"/>
          <w:lang w:eastAsia="cs-CZ"/>
        </w:rPr>
        <w:t xml:space="preserve">mezi příjemci značně </w:t>
      </w:r>
      <w:r w:rsidR="00273193" w:rsidRPr="006F63D5">
        <w:rPr>
          <w:b/>
          <w:color w:val="000000" w:themeColor="text1"/>
          <w:lang w:eastAsia="cs-CZ"/>
        </w:rPr>
        <w:t>převažují velké podniky</w:t>
      </w:r>
      <w:r w:rsidR="00273193" w:rsidRPr="006F63D5">
        <w:rPr>
          <w:color w:val="000000" w:themeColor="text1"/>
          <w:lang w:eastAsia="cs-CZ"/>
        </w:rPr>
        <w:t xml:space="preserve"> nad malými a středními podniky (z 289 společností bylo </w:t>
      </w:r>
      <w:r w:rsidR="00273193" w:rsidRPr="006F63D5">
        <w:rPr>
          <w:color w:val="000000" w:themeColor="text1"/>
          <w:lang w:eastAsia="cs-CZ"/>
        </w:rPr>
        <w:lastRenderedPageBreak/>
        <w:t xml:space="preserve">velkých podniků 241), struktura </w:t>
      </w:r>
      <w:r w:rsidR="0028711E" w:rsidRPr="006F63D5">
        <w:rPr>
          <w:color w:val="000000" w:themeColor="text1"/>
          <w:lang w:eastAsia="cs-CZ"/>
        </w:rPr>
        <w:t>příjemců</w:t>
      </w:r>
      <w:r w:rsidR="00273193" w:rsidRPr="006F63D5">
        <w:rPr>
          <w:color w:val="000000" w:themeColor="text1"/>
          <w:lang w:eastAsia="cs-CZ"/>
        </w:rPr>
        <w:t xml:space="preserve"> podl</w:t>
      </w:r>
      <w:r w:rsidR="009F21B8" w:rsidRPr="006F63D5">
        <w:rPr>
          <w:color w:val="000000" w:themeColor="text1"/>
          <w:lang w:eastAsia="cs-CZ"/>
        </w:rPr>
        <w:t xml:space="preserve">e původu země žadatele ukazuje </w:t>
      </w:r>
      <w:r w:rsidR="00273193" w:rsidRPr="006F63D5">
        <w:rPr>
          <w:color w:val="000000" w:themeColor="text1"/>
          <w:lang w:eastAsia="cs-CZ"/>
        </w:rPr>
        <w:t xml:space="preserve">na výraznou </w:t>
      </w:r>
      <w:r w:rsidR="00273193" w:rsidRPr="006F63D5">
        <w:rPr>
          <w:b/>
          <w:color w:val="000000" w:themeColor="text1"/>
          <w:lang w:eastAsia="cs-CZ"/>
        </w:rPr>
        <w:t xml:space="preserve">převahu českých </w:t>
      </w:r>
      <w:r w:rsidR="008527CE" w:rsidRPr="006F63D5">
        <w:rPr>
          <w:b/>
          <w:color w:val="000000" w:themeColor="text1"/>
          <w:lang w:eastAsia="cs-CZ"/>
        </w:rPr>
        <w:t>společností</w:t>
      </w:r>
      <w:r w:rsidR="00273193" w:rsidRPr="006F63D5">
        <w:rPr>
          <w:color w:val="000000" w:themeColor="text1"/>
          <w:lang w:eastAsia="cs-CZ"/>
        </w:rPr>
        <w:t xml:space="preserve"> (z 289 společností bylo 251 společností z ČR), nejvíce investičních akcí bylo</w:t>
      </w:r>
      <w:r w:rsidR="00595EC5" w:rsidRPr="006F63D5">
        <w:rPr>
          <w:color w:val="000000" w:themeColor="text1"/>
          <w:lang w:eastAsia="cs-CZ"/>
        </w:rPr>
        <w:t xml:space="preserve"> situovaných v </w:t>
      </w:r>
      <w:r w:rsidR="00273193" w:rsidRPr="006F63D5">
        <w:rPr>
          <w:b/>
          <w:color w:val="000000" w:themeColor="text1"/>
          <w:lang w:eastAsia="cs-CZ"/>
        </w:rPr>
        <w:t>Moravskoslezském, Ústeckém, Středočeském a Plzeňském kraji</w:t>
      </w:r>
      <w:r w:rsidR="005A02E5" w:rsidRPr="00C05A01">
        <w:rPr>
          <w:b/>
          <w:color w:val="000000" w:themeColor="text1"/>
          <w:lang w:eastAsia="cs-CZ"/>
        </w:rPr>
        <w:t>.</w:t>
      </w:r>
      <w:r w:rsidR="005A02E5" w:rsidRPr="006F63D5">
        <w:rPr>
          <w:color w:val="000000" w:themeColor="text1"/>
          <w:lang w:eastAsia="cs-CZ"/>
        </w:rPr>
        <w:t xml:space="preserve"> A</w:t>
      </w:r>
      <w:r w:rsidR="00273193" w:rsidRPr="006F63D5">
        <w:rPr>
          <w:color w:val="000000" w:themeColor="text1"/>
          <w:lang w:eastAsia="cs-CZ"/>
        </w:rPr>
        <w:t xml:space="preserve">bsolutní většina </w:t>
      </w:r>
      <w:r w:rsidR="0028711E" w:rsidRPr="006F63D5">
        <w:rPr>
          <w:color w:val="000000" w:themeColor="text1"/>
          <w:lang w:eastAsia="cs-CZ"/>
        </w:rPr>
        <w:t>příjemců</w:t>
      </w:r>
      <w:r w:rsidR="00273193" w:rsidRPr="006F63D5">
        <w:rPr>
          <w:color w:val="000000" w:themeColor="text1"/>
          <w:lang w:eastAsia="cs-CZ"/>
        </w:rPr>
        <w:t xml:space="preserve"> žádala o investiční pobídku </w:t>
      </w:r>
      <w:r w:rsidR="005A02E5" w:rsidRPr="006F63D5">
        <w:rPr>
          <w:b/>
          <w:color w:val="000000" w:themeColor="text1"/>
          <w:lang w:eastAsia="cs-CZ"/>
        </w:rPr>
        <w:t>v </w:t>
      </w:r>
      <w:r w:rsidR="00273193" w:rsidRPr="006F63D5">
        <w:rPr>
          <w:b/>
          <w:color w:val="000000" w:themeColor="text1"/>
          <w:lang w:eastAsia="cs-CZ"/>
        </w:rPr>
        <w:t>oblasti výroby</w:t>
      </w:r>
      <w:r w:rsidR="00273193" w:rsidRPr="006F63D5">
        <w:rPr>
          <w:color w:val="000000" w:themeColor="text1"/>
          <w:lang w:eastAsia="cs-CZ"/>
        </w:rPr>
        <w:t xml:space="preserve"> (z</w:t>
      </w:r>
      <w:r w:rsidR="00B131EB">
        <w:rPr>
          <w:color w:val="000000" w:themeColor="text1"/>
          <w:lang w:eastAsia="cs-CZ"/>
        </w:rPr>
        <w:t> </w:t>
      </w:r>
      <w:r w:rsidR="00273193" w:rsidRPr="006F63D5">
        <w:rPr>
          <w:color w:val="000000" w:themeColor="text1"/>
          <w:lang w:eastAsia="cs-CZ"/>
        </w:rPr>
        <w:t>celkového počtu 305 investičních ak</w:t>
      </w:r>
      <w:r w:rsidR="005A02E5" w:rsidRPr="006F63D5">
        <w:rPr>
          <w:color w:val="000000" w:themeColor="text1"/>
          <w:lang w:eastAsia="cs-CZ"/>
        </w:rPr>
        <w:t>cí bylo 290 v oblasti výroby) a </w:t>
      </w:r>
      <w:r w:rsidR="00273193" w:rsidRPr="006F63D5">
        <w:rPr>
          <w:color w:val="000000" w:themeColor="text1"/>
          <w:lang w:eastAsia="cs-CZ"/>
        </w:rPr>
        <w:t xml:space="preserve">v odvětvové struktuře </w:t>
      </w:r>
      <w:r w:rsidR="00273193" w:rsidRPr="006F63D5">
        <w:rPr>
          <w:b/>
          <w:color w:val="000000" w:themeColor="text1"/>
          <w:lang w:eastAsia="cs-CZ"/>
        </w:rPr>
        <w:t>převládaly především tři odvětví</w:t>
      </w:r>
      <w:r w:rsidR="00273193" w:rsidRPr="00C05A01">
        <w:rPr>
          <w:b/>
          <w:color w:val="000000" w:themeColor="text1"/>
          <w:lang w:eastAsia="cs-CZ"/>
        </w:rPr>
        <w:t>,</w:t>
      </w:r>
      <w:r w:rsidR="00273193" w:rsidRPr="006F63D5">
        <w:rPr>
          <w:color w:val="000000" w:themeColor="text1"/>
          <w:lang w:eastAsia="cs-CZ"/>
        </w:rPr>
        <w:t xml:space="preserve"> a to CZ-NACE</w:t>
      </w:r>
      <w:r w:rsidR="006F61F9" w:rsidRPr="006F63D5">
        <w:rPr>
          <w:color w:val="000000" w:themeColor="text1"/>
          <w:lang w:eastAsia="cs-CZ"/>
        </w:rPr>
        <w:t xml:space="preserve"> 29 (</w:t>
      </w:r>
      <w:r w:rsidR="00E6337D">
        <w:rPr>
          <w:color w:val="000000" w:themeColor="text1"/>
          <w:lang w:eastAsia="cs-CZ"/>
        </w:rPr>
        <w:t>v</w:t>
      </w:r>
      <w:r w:rsidR="006F61F9" w:rsidRPr="006F63D5">
        <w:rPr>
          <w:color w:val="000000" w:themeColor="text1"/>
          <w:lang w:eastAsia="cs-CZ"/>
        </w:rPr>
        <w:t xml:space="preserve">ýroba motorových vozidel </w:t>
      </w:r>
      <w:r w:rsidR="00E6337D">
        <w:rPr>
          <w:color w:val="000000" w:themeColor="text1"/>
          <w:lang w:eastAsia="cs-CZ"/>
        </w:rPr>
        <w:t>/</w:t>
      </w:r>
      <w:r w:rsidR="00273193" w:rsidRPr="006F63D5">
        <w:rPr>
          <w:color w:val="000000" w:themeColor="text1"/>
          <w:lang w:eastAsia="cs-CZ"/>
        </w:rPr>
        <w:t>kromě motocyklů</w:t>
      </w:r>
      <w:r w:rsidR="00E6337D">
        <w:rPr>
          <w:color w:val="000000" w:themeColor="text1"/>
          <w:lang w:eastAsia="cs-CZ"/>
        </w:rPr>
        <w:t>/</w:t>
      </w:r>
      <w:r w:rsidR="00273193" w:rsidRPr="006F63D5">
        <w:rPr>
          <w:color w:val="000000" w:themeColor="text1"/>
          <w:lang w:eastAsia="cs-CZ"/>
        </w:rPr>
        <w:t>, přívěsů a návěsů</w:t>
      </w:r>
      <w:r w:rsidR="0020750D" w:rsidRPr="006F63D5">
        <w:rPr>
          <w:color w:val="000000" w:themeColor="text1"/>
          <w:lang w:eastAsia="cs-CZ"/>
        </w:rPr>
        <w:t>)</w:t>
      </w:r>
      <w:r w:rsidR="00273193" w:rsidRPr="006F63D5">
        <w:rPr>
          <w:color w:val="000000" w:themeColor="text1"/>
          <w:lang w:eastAsia="cs-CZ"/>
        </w:rPr>
        <w:t>, CZ-NACE 25 (</w:t>
      </w:r>
      <w:r w:rsidR="00E6337D">
        <w:rPr>
          <w:color w:val="000000" w:themeColor="text1"/>
          <w:lang w:eastAsia="cs-CZ"/>
        </w:rPr>
        <w:t>v</w:t>
      </w:r>
      <w:r w:rsidR="00273193" w:rsidRPr="006F63D5">
        <w:rPr>
          <w:color w:val="000000" w:themeColor="text1"/>
          <w:lang w:eastAsia="cs-CZ"/>
        </w:rPr>
        <w:t>ýroba kovových konstrukcí a kovodělných výrobků, kromě strojů a zař</w:t>
      </w:r>
      <w:r w:rsidR="0028711E" w:rsidRPr="006F63D5">
        <w:rPr>
          <w:color w:val="000000" w:themeColor="text1"/>
          <w:lang w:eastAsia="cs-CZ"/>
        </w:rPr>
        <w:t>ízení) a </w:t>
      </w:r>
      <w:r w:rsidR="00273193" w:rsidRPr="006F63D5">
        <w:rPr>
          <w:color w:val="000000" w:themeColor="text1"/>
          <w:lang w:eastAsia="cs-CZ"/>
        </w:rPr>
        <w:t>CZ-NACE 22 (</w:t>
      </w:r>
      <w:r w:rsidR="00E6337D">
        <w:rPr>
          <w:color w:val="000000" w:themeColor="text1"/>
          <w:lang w:eastAsia="cs-CZ"/>
        </w:rPr>
        <w:t>v</w:t>
      </w:r>
      <w:r w:rsidR="00273193" w:rsidRPr="006F63D5">
        <w:rPr>
          <w:color w:val="000000" w:themeColor="text1"/>
          <w:lang w:eastAsia="cs-CZ"/>
        </w:rPr>
        <w:t>ýroba pryžových a plastových výrobků).</w:t>
      </w:r>
    </w:p>
    <w:p w14:paraId="41A2CF46" w14:textId="77777777" w:rsidR="00747BA2" w:rsidRPr="006F63D5" w:rsidRDefault="008A3B12" w:rsidP="006F63D5">
      <w:pPr>
        <w:spacing w:after="120" w:line="264" w:lineRule="auto"/>
        <w:rPr>
          <w:color w:val="000000" w:themeColor="text1"/>
          <w:lang w:eastAsia="cs-CZ"/>
        </w:rPr>
      </w:pPr>
      <w:r w:rsidRPr="006F63D5">
        <w:rPr>
          <w:color w:val="000000" w:themeColor="text1"/>
          <w:lang w:eastAsia="cs-CZ"/>
        </w:rPr>
        <w:t xml:space="preserve">Z celkového počtu 289 podpořených společností v roce 2020 </w:t>
      </w:r>
      <w:r w:rsidR="00B02DE3" w:rsidRPr="006F63D5">
        <w:rPr>
          <w:color w:val="000000" w:themeColor="text1"/>
          <w:lang w:eastAsia="cs-CZ"/>
        </w:rPr>
        <w:t xml:space="preserve">prostřednictvím dotazníků </w:t>
      </w:r>
      <w:r w:rsidR="0020750D" w:rsidRPr="006F63D5">
        <w:rPr>
          <w:color w:val="000000" w:themeColor="text1"/>
          <w:lang w:eastAsia="cs-CZ"/>
        </w:rPr>
        <w:t>odpovědělo 177 společností</w:t>
      </w:r>
      <w:r w:rsidR="00B400F7" w:rsidRPr="006F63D5">
        <w:rPr>
          <w:color w:val="000000" w:themeColor="text1"/>
          <w:lang w:eastAsia="cs-CZ"/>
        </w:rPr>
        <w:t xml:space="preserve">. Z dotazníků vyplynulo, </w:t>
      </w:r>
      <w:r w:rsidRPr="006F63D5">
        <w:rPr>
          <w:color w:val="000000" w:themeColor="text1"/>
          <w:lang w:eastAsia="cs-CZ"/>
        </w:rPr>
        <w:t xml:space="preserve">že </w:t>
      </w:r>
      <w:r w:rsidRPr="006F63D5">
        <w:rPr>
          <w:b/>
          <w:color w:val="000000" w:themeColor="text1"/>
          <w:lang w:eastAsia="cs-CZ"/>
        </w:rPr>
        <w:t>49 %</w:t>
      </w:r>
      <w:r w:rsidRPr="006F63D5">
        <w:rPr>
          <w:color w:val="000000" w:themeColor="text1"/>
          <w:lang w:eastAsia="cs-CZ"/>
        </w:rPr>
        <w:t xml:space="preserve"> z nich by svů</w:t>
      </w:r>
      <w:r w:rsidR="006F61F9" w:rsidRPr="006F63D5">
        <w:rPr>
          <w:color w:val="000000" w:themeColor="text1"/>
          <w:lang w:eastAsia="cs-CZ"/>
        </w:rPr>
        <w:t>j projekt v ČR realizovaly více</w:t>
      </w:r>
      <w:r w:rsidR="00595EC5" w:rsidRPr="006F63D5">
        <w:rPr>
          <w:color w:val="000000" w:themeColor="text1"/>
          <w:lang w:eastAsia="cs-CZ"/>
        </w:rPr>
        <w:t>méně ve </w:t>
      </w:r>
      <w:r w:rsidRPr="006F63D5">
        <w:rPr>
          <w:color w:val="000000" w:themeColor="text1"/>
          <w:lang w:eastAsia="cs-CZ"/>
        </w:rPr>
        <w:t xml:space="preserve">stejném rozsahu i bez investiční pobídky, že </w:t>
      </w:r>
      <w:r w:rsidRPr="006F63D5">
        <w:rPr>
          <w:b/>
          <w:color w:val="000000" w:themeColor="text1"/>
          <w:lang w:eastAsia="cs-CZ"/>
        </w:rPr>
        <w:t>81 %</w:t>
      </w:r>
      <w:r w:rsidRPr="006F63D5">
        <w:rPr>
          <w:color w:val="000000" w:themeColor="text1"/>
          <w:lang w:eastAsia="cs-CZ"/>
        </w:rPr>
        <w:t xml:space="preserve"> z nich </w:t>
      </w:r>
      <w:r w:rsidR="005A02E5" w:rsidRPr="006F63D5">
        <w:rPr>
          <w:color w:val="000000" w:themeColor="text1"/>
          <w:lang w:eastAsia="cs-CZ"/>
        </w:rPr>
        <w:t>působilo na </w:t>
      </w:r>
      <w:r w:rsidR="00595EC5" w:rsidRPr="006F63D5">
        <w:rPr>
          <w:color w:val="000000" w:themeColor="text1"/>
          <w:lang w:eastAsia="cs-CZ"/>
        </w:rPr>
        <w:t>českém trhu deset a </w:t>
      </w:r>
      <w:r w:rsidRPr="006F63D5">
        <w:rPr>
          <w:color w:val="000000" w:themeColor="text1"/>
          <w:lang w:eastAsia="cs-CZ"/>
        </w:rPr>
        <w:t xml:space="preserve">více let, že u </w:t>
      </w:r>
      <w:r w:rsidRPr="006F63D5">
        <w:rPr>
          <w:b/>
          <w:color w:val="000000" w:themeColor="text1"/>
          <w:lang w:eastAsia="cs-CZ"/>
        </w:rPr>
        <w:t>52 %</w:t>
      </w:r>
      <w:r w:rsidRPr="006F63D5">
        <w:rPr>
          <w:color w:val="000000" w:themeColor="text1"/>
          <w:lang w:eastAsia="cs-CZ"/>
        </w:rPr>
        <w:t xml:space="preserve"> z nich realizace projektu probíhala, ale prozatím nebylo zahájeno čerpání, že </w:t>
      </w:r>
      <w:r w:rsidRPr="006F63D5">
        <w:rPr>
          <w:b/>
          <w:color w:val="000000" w:themeColor="text1"/>
          <w:lang w:eastAsia="cs-CZ"/>
        </w:rPr>
        <w:t>20 %</w:t>
      </w:r>
      <w:r w:rsidRPr="006F63D5">
        <w:rPr>
          <w:color w:val="000000" w:themeColor="text1"/>
          <w:lang w:eastAsia="cs-CZ"/>
        </w:rPr>
        <w:t xml:space="preserve"> z nich intenzivně spolupracovalo s vysokými školami nebo výzkumnými organizacemi a u </w:t>
      </w:r>
      <w:r w:rsidRPr="006F63D5">
        <w:rPr>
          <w:b/>
          <w:color w:val="000000" w:themeColor="text1"/>
          <w:lang w:eastAsia="cs-CZ"/>
        </w:rPr>
        <w:t>80 %</w:t>
      </w:r>
      <w:r w:rsidRPr="006F63D5">
        <w:rPr>
          <w:color w:val="000000" w:themeColor="text1"/>
          <w:lang w:eastAsia="cs-CZ"/>
        </w:rPr>
        <w:t xml:space="preserve"> z nich </w:t>
      </w:r>
      <w:r w:rsidR="00911BC3" w:rsidRPr="006F63D5">
        <w:rPr>
          <w:color w:val="000000" w:themeColor="text1"/>
          <w:lang w:eastAsia="cs-CZ"/>
        </w:rPr>
        <w:t xml:space="preserve">tvořili agenturní pracovníci méně než desetinu všech zaměstnanců. </w:t>
      </w:r>
    </w:p>
    <w:p w14:paraId="1DF693CA" w14:textId="77777777" w:rsidR="00EA1B56" w:rsidRPr="00594C73" w:rsidRDefault="00B80C2E" w:rsidP="00B131EB">
      <w:pPr>
        <w:keepNext/>
        <w:spacing w:after="120" w:line="264" w:lineRule="auto"/>
        <w:rPr>
          <w:b/>
        </w:rPr>
      </w:pPr>
      <w:r>
        <w:rPr>
          <w:b/>
        </w:rPr>
        <w:t xml:space="preserve">11. </w:t>
      </w:r>
      <w:r w:rsidR="007274E9" w:rsidRPr="00594C73">
        <w:rPr>
          <w:b/>
        </w:rPr>
        <w:t>D</w:t>
      </w:r>
      <w:r w:rsidR="00EA1B56" w:rsidRPr="00594C73">
        <w:rPr>
          <w:b/>
        </w:rPr>
        <w:t>opad na ostatní podnikatele</w:t>
      </w:r>
    </w:p>
    <w:p w14:paraId="179065C8" w14:textId="50FE919A" w:rsidR="000B7DA4" w:rsidRPr="006F63D5" w:rsidRDefault="00EA1B56" w:rsidP="006F63D5">
      <w:pPr>
        <w:pStyle w:val="Odstavecseseznamem"/>
        <w:spacing w:after="120" w:line="264" w:lineRule="auto"/>
        <w:ind w:left="0"/>
        <w:contextualSpacing w:val="0"/>
        <w:rPr>
          <w:color w:val="000000" w:themeColor="text1"/>
          <w:lang w:eastAsia="cs-CZ"/>
        </w:rPr>
      </w:pPr>
      <w:r w:rsidRPr="006F63D5">
        <w:rPr>
          <w:color w:val="000000" w:themeColor="text1"/>
          <w:lang w:eastAsia="cs-CZ"/>
        </w:rPr>
        <w:t>V hodnot</w:t>
      </w:r>
      <w:r w:rsidR="00E6337D">
        <w:rPr>
          <w:color w:val="000000" w:themeColor="text1"/>
          <w:lang w:eastAsia="cs-CZ"/>
        </w:rPr>
        <w:t>i</w:t>
      </w:r>
      <w:r w:rsidRPr="006F63D5">
        <w:rPr>
          <w:color w:val="000000" w:themeColor="text1"/>
          <w:lang w:eastAsia="cs-CZ"/>
        </w:rPr>
        <w:t>cích zprávách byla vyhodnocována míra spolupráce podpořených společností s tuzemský</w:t>
      </w:r>
      <w:r w:rsidR="00747BA2" w:rsidRPr="006F63D5">
        <w:rPr>
          <w:color w:val="000000" w:themeColor="text1"/>
          <w:lang w:eastAsia="cs-CZ"/>
        </w:rPr>
        <w:t xml:space="preserve">mi dodavateli. Například </w:t>
      </w:r>
      <w:r w:rsidRPr="006F63D5">
        <w:rPr>
          <w:color w:val="000000" w:themeColor="text1"/>
          <w:lang w:eastAsia="cs-CZ"/>
        </w:rPr>
        <w:t>v závěrečné hodnot</w:t>
      </w:r>
      <w:r w:rsidR="00E6337D">
        <w:rPr>
          <w:color w:val="000000" w:themeColor="text1"/>
          <w:lang w:eastAsia="cs-CZ"/>
        </w:rPr>
        <w:t>i</w:t>
      </w:r>
      <w:r w:rsidRPr="006F63D5">
        <w:rPr>
          <w:color w:val="000000" w:themeColor="text1"/>
          <w:lang w:eastAsia="cs-CZ"/>
        </w:rPr>
        <w:t xml:space="preserve">cí zprávě bylo uvedeno, že v roce 2019 </w:t>
      </w:r>
      <w:r w:rsidR="00747BA2" w:rsidRPr="006F63D5">
        <w:rPr>
          <w:color w:val="000000" w:themeColor="text1"/>
          <w:lang w:eastAsia="cs-CZ"/>
        </w:rPr>
        <w:t>ze </w:t>
      </w:r>
      <w:r w:rsidRPr="006F63D5">
        <w:rPr>
          <w:color w:val="000000" w:themeColor="text1"/>
          <w:lang w:eastAsia="cs-CZ"/>
        </w:rPr>
        <w:t xml:space="preserve">177 podpořených společností </w:t>
      </w:r>
      <w:r w:rsidR="00747BA2" w:rsidRPr="006F63D5">
        <w:rPr>
          <w:b/>
          <w:color w:val="000000" w:themeColor="text1"/>
          <w:lang w:eastAsia="cs-CZ"/>
        </w:rPr>
        <w:t xml:space="preserve">70 % </w:t>
      </w:r>
      <w:r w:rsidR="009D366A" w:rsidRPr="006F63D5">
        <w:rPr>
          <w:b/>
          <w:color w:val="000000" w:themeColor="text1"/>
          <w:lang w:eastAsia="cs-CZ"/>
        </w:rPr>
        <w:t>spolupracovalo</w:t>
      </w:r>
      <w:r w:rsidR="009D366A" w:rsidRPr="006F63D5">
        <w:rPr>
          <w:color w:val="000000" w:themeColor="text1"/>
          <w:lang w:eastAsia="cs-CZ"/>
        </w:rPr>
        <w:t xml:space="preserve"> </w:t>
      </w:r>
      <w:r w:rsidR="00747BA2" w:rsidRPr="006F63D5">
        <w:rPr>
          <w:color w:val="000000" w:themeColor="text1"/>
          <w:lang w:eastAsia="cs-CZ"/>
        </w:rPr>
        <w:t xml:space="preserve">s dodavateli ze stejného regionu ČR, </w:t>
      </w:r>
      <w:r w:rsidR="00747BA2" w:rsidRPr="006F63D5">
        <w:rPr>
          <w:b/>
          <w:color w:val="000000" w:themeColor="text1"/>
          <w:lang w:eastAsia="cs-CZ"/>
        </w:rPr>
        <w:t>13 % spolupracovalo</w:t>
      </w:r>
      <w:r w:rsidR="00747BA2" w:rsidRPr="006F63D5">
        <w:rPr>
          <w:color w:val="000000" w:themeColor="text1"/>
          <w:lang w:eastAsia="cs-CZ"/>
        </w:rPr>
        <w:t xml:space="preserve"> s dodavateli z jiných regionů ČR a </w:t>
      </w:r>
      <w:r w:rsidR="00747BA2" w:rsidRPr="006F63D5">
        <w:rPr>
          <w:b/>
          <w:color w:val="000000" w:themeColor="text1"/>
          <w:lang w:eastAsia="cs-CZ"/>
        </w:rPr>
        <w:t>17 % nespolupracovalo</w:t>
      </w:r>
      <w:r w:rsidR="00747BA2" w:rsidRPr="006F63D5">
        <w:rPr>
          <w:color w:val="000000" w:themeColor="text1"/>
          <w:lang w:eastAsia="cs-CZ"/>
        </w:rPr>
        <w:t xml:space="preserve"> s žádnými dodavateli na území ČR, ale pouze s dodavateli mimo ČR.</w:t>
      </w:r>
    </w:p>
    <w:p w14:paraId="199D6261" w14:textId="5124A712" w:rsidR="00EA1B56" w:rsidRPr="006F63D5" w:rsidRDefault="00EC0D96" w:rsidP="006F63D5">
      <w:pPr>
        <w:pStyle w:val="Odstavecseseznamem"/>
        <w:spacing w:after="120" w:line="264" w:lineRule="auto"/>
        <w:ind w:left="0"/>
        <w:contextualSpacing w:val="0"/>
        <w:rPr>
          <w:color w:val="000000" w:themeColor="text1"/>
          <w:lang w:eastAsia="cs-CZ"/>
        </w:rPr>
      </w:pPr>
      <w:r w:rsidRPr="006F63D5">
        <w:rPr>
          <w:color w:val="000000" w:themeColor="text1"/>
          <w:lang w:eastAsia="cs-CZ"/>
        </w:rPr>
        <w:t>Z hodnot</w:t>
      </w:r>
      <w:r w:rsidR="00E6337D">
        <w:rPr>
          <w:color w:val="000000" w:themeColor="text1"/>
          <w:lang w:eastAsia="cs-CZ"/>
        </w:rPr>
        <w:t>i</w:t>
      </w:r>
      <w:r w:rsidRPr="006F63D5">
        <w:rPr>
          <w:color w:val="000000" w:themeColor="text1"/>
          <w:lang w:eastAsia="cs-CZ"/>
        </w:rPr>
        <w:t xml:space="preserve">cích zpráv </w:t>
      </w:r>
      <w:r w:rsidRPr="006F63D5">
        <w:rPr>
          <w:b/>
          <w:color w:val="000000" w:themeColor="text1"/>
          <w:lang w:eastAsia="cs-CZ"/>
        </w:rPr>
        <w:t>nelze vyvodit</w:t>
      </w:r>
      <w:r w:rsidR="00EA1B56" w:rsidRPr="006F63D5">
        <w:rPr>
          <w:b/>
          <w:color w:val="000000" w:themeColor="text1"/>
          <w:lang w:eastAsia="cs-CZ"/>
        </w:rPr>
        <w:t>, zda nedocházelo k </w:t>
      </w:r>
      <w:r w:rsidR="00E64F0B" w:rsidRPr="006F63D5">
        <w:rPr>
          <w:b/>
          <w:color w:val="000000" w:themeColor="text1"/>
          <w:lang w:eastAsia="cs-CZ"/>
        </w:rPr>
        <w:t>přechodu</w:t>
      </w:r>
      <w:r w:rsidR="00EA1B56" w:rsidRPr="006F63D5">
        <w:rPr>
          <w:b/>
          <w:color w:val="000000" w:themeColor="text1"/>
          <w:lang w:eastAsia="cs-CZ"/>
        </w:rPr>
        <w:t xml:space="preserve"> zaměstnanců</w:t>
      </w:r>
      <w:r w:rsidR="00EA1B56" w:rsidRPr="006F63D5">
        <w:rPr>
          <w:color w:val="000000" w:themeColor="text1"/>
          <w:lang w:eastAsia="cs-CZ"/>
        </w:rPr>
        <w:t xml:space="preserve"> mezi podpořeným</w:t>
      </w:r>
      <w:r w:rsidR="00595EC5" w:rsidRPr="006F63D5">
        <w:rPr>
          <w:color w:val="000000" w:themeColor="text1"/>
          <w:lang w:eastAsia="cs-CZ"/>
        </w:rPr>
        <w:t>i a </w:t>
      </w:r>
      <w:r w:rsidR="00EA1B56" w:rsidRPr="006F63D5">
        <w:rPr>
          <w:color w:val="000000" w:themeColor="text1"/>
          <w:lang w:eastAsia="cs-CZ"/>
        </w:rPr>
        <w:t xml:space="preserve">nepodpořenými společnostmi, </w:t>
      </w:r>
      <w:r w:rsidR="00EA1B56" w:rsidRPr="006F63D5">
        <w:rPr>
          <w:b/>
          <w:color w:val="000000" w:themeColor="text1"/>
          <w:lang w:eastAsia="cs-CZ"/>
        </w:rPr>
        <w:t xml:space="preserve">ani zda nedocházelo v regionu </w:t>
      </w:r>
      <w:r w:rsidR="009D366A" w:rsidRPr="006F63D5">
        <w:rPr>
          <w:b/>
          <w:color w:val="000000" w:themeColor="text1"/>
          <w:lang w:eastAsia="cs-CZ"/>
        </w:rPr>
        <w:t>k zániku stávajících společností</w:t>
      </w:r>
      <w:r w:rsidR="009D366A" w:rsidRPr="006F63D5">
        <w:rPr>
          <w:color w:val="000000" w:themeColor="text1"/>
          <w:lang w:eastAsia="cs-CZ"/>
        </w:rPr>
        <w:t xml:space="preserve"> </w:t>
      </w:r>
      <w:r w:rsidR="00EA1B56" w:rsidRPr="006F63D5">
        <w:rPr>
          <w:color w:val="000000" w:themeColor="text1"/>
          <w:lang w:eastAsia="cs-CZ"/>
        </w:rPr>
        <w:t xml:space="preserve">nepodpořených pobídkami, které podnikaly ve stejném odvětví jako společnosti podpořené. </w:t>
      </w:r>
    </w:p>
    <w:p w14:paraId="45D3E9F8" w14:textId="77777777" w:rsidR="002B4DBD" w:rsidRPr="00B80C2E" w:rsidRDefault="00B80C2E" w:rsidP="00B80C2E">
      <w:pPr>
        <w:keepNext/>
        <w:spacing w:after="120" w:line="264" w:lineRule="auto"/>
        <w:rPr>
          <w:b/>
        </w:rPr>
      </w:pPr>
      <w:r>
        <w:rPr>
          <w:b/>
        </w:rPr>
        <w:t xml:space="preserve">12. </w:t>
      </w:r>
      <w:r w:rsidR="007274E9" w:rsidRPr="00B80C2E">
        <w:rPr>
          <w:b/>
        </w:rPr>
        <w:t>D</w:t>
      </w:r>
      <w:r w:rsidR="002B4DBD" w:rsidRPr="00B80C2E">
        <w:rPr>
          <w:b/>
        </w:rPr>
        <w:t>alší související výdaje státního rozpočtu</w:t>
      </w:r>
      <w:r w:rsidR="008A74C3" w:rsidRPr="00B80C2E">
        <w:rPr>
          <w:b/>
        </w:rPr>
        <w:t xml:space="preserve"> v regionech</w:t>
      </w:r>
    </w:p>
    <w:p w14:paraId="6DC3BAEA" w14:textId="062A4D7C" w:rsidR="008E05F6" w:rsidRPr="006F63D5" w:rsidRDefault="000715F7" w:rsidP="006F63D5">
      <w:pPr>
        <w:pStyle w:val="Odstavecseseznamem"/>
        <w:spacing w:after="120" w:line="264" w:lineRule="auto"/>
        <w:ind w:left="0"/>
        <w:contextualSpacing w:val="0"/>
        <w:rPr>
          <w:color w:val="000000" w:themeColor="text1"/>
          <w:lang w:eastAsia="cs-CZ"/>
        </w:rPr>
      </w:pPr>
      <w:r w:rsidRPr="006F63D5">
        <w:rPr>
          <w:color w:val="000000" w:themeColor="text1"/>
          <w:lang w:eastAsia="cs-CZ"/>
        </w:rPr>
        <w:t>Některé společnosti podpořené investiční pobídkou své investiční akce realizovaly ve státem pod</w:t>
      </w:r>
      <w:r w:rsidR="006944B1" w:rsidRPr="006F63D5">
        <w:rPr>
          <w:color w:val="000000" w:themeColor="text1"/>
          <w:lang w:eastAsia="cs-CZ"/>
        </w:rPr>
        <w:t xml:space="preserve">porovaných průmyslových zónách a tím vznikaly další související výdaje. </w:t>
      </w:r>
      <w:r w:rsidRPr="006F63D5">
        <w:rPr>
          <w:color w:val="000000" w:themeColor="text1"/>
          <w:lang w:eastAsia="cs-CZ"/>
        </w:rPr>
        <w:t xml:space="preserve">Např. </w:t>
      </w:r>
      <w:r w:rsidR="00B25AAC" w:rsidRPr="006F63D5">
        <w:rPr>
          <w:color w:val="000000" w:themeColor="text1"/>
          <w:lang w:eastAsia="cs-CZ"/>
        </w:rPr>
        <w:t>v roce 2015 v souvislosti s rozvojem stávajícího závodu společnosti ŠKODA AUTO a.s. v průmyslové zóně Solnice</w:t>
      </w:r>
      <w:r w:rsidR="00E6337D">
        <w:rPr>
          <w:color w:val="000000" w:themeColor="text1"/>
          <w:lang w:eastAsia="cs-CZ"/>
        </w:rPr>
        <w:t>-</w:t>
      </w:r>
      <w:r w:rsidR="00B25AAC" w:rsidRPr="006F63D5">
        <w:rPr>
          <w:color w:val="000000" w:themeColor="text1"/>
          <w:lang w:eastAsia="cs-CZ"/>
        </w:rPr>
        <w:t xml:space="preserve"> Kvasiny vznikla potřeba </w:t>
      </w:r>
      <w:r w:rsidR="00EA77A5" w:rsidRPr="006F63D5">
        <w:rPr>
          <w:color w:val="000000" w:themeColor="text1"/>
          <w:lang w:eastAsia="cs-CZ"/>
        </w:rPr>
        <w:t xml:space="preserve">nemalých </w:t>
      </w:r>
      <w:r w:rsidR="00B25AAC" w:rsidRPr="006F63D5">
        <w:rPr>
          <w:color w:val="000000" w:themeColor="text1"/>
          <w:lang w:eastAsia="cs-CZ"/>
        </w:rPr>
        <w:t xml:space="preserve">finančních prostředků státního rozpočtu </w:t>
      </w:r>
      <w:r w:rsidR="00B25AAC" w:rsidRPr="006F63D5">
        <w:rPr>
          <w:b/>
          <w:color w:val="000000" w:themeColor="text1"/>
          <w:lang w:eastAsia="cs-CZ"/>
        </w:rPr>
        <w:t>na</w:t>
      </w:r>
      <w:r w:rsidR="005A02E5" w:rsidRPr="006F63D5">
        <w:rPr>
          <w:b/>
          <w:color w:val="000000" w:themeColor="text1"/>
          <w:lang w:eastAsia="cs-CZ"/>
        </w:rPr>
        <w:t> </w:t>
      </w:r>
      <w:r w:rsidR="00B25AAC" w:rsidRPr="006F63D5">
        <w:rPr>
          <w:b/>
          <w:color w:val="000000" w:themeColor="text1"/>
          <w:lang w:eastAsia="cs-CZ"/>
        </w:rPr>
        <w:t>vybudování veřejné a zejména dopravní infrastruktury</w:t>
      </w:r>
      <w:r w:rsidR="00B25AAC" w:rsidRPr="006F63D5">
        <w:rPr>
          <w:rStyle w:val="Znakapoznpodarou"/>
          <w:color w:val="000000" w:themeColor="text1"/>
          <w:lang w:eastAsia="cs-CZ"/>
        </w:rPr>
        <w:footnoteReference w:id="20"/>
      </w:r>
      <w:r w:rsidR="007049B9" w:rsidRPr="006F63D5">
        <w:rPr>
          <w:color w:val="000000" w:themeColor="text1"/>
          <w:lang w:eastAsia="cs-CZ"/>
        </w:rPr>
        <w:t>.</w:t>
      </w:r>
      <w:r w:rsidR="00B25AAC" w:rsidRPr="006F63D5">
        <w:rPr>
          <w:color w:val="000000" w:themeColor="text1"/>
          <w:lang w:eastAsia="cs-CZ"/>
        </w:rPr>
        <w:t xml:space="preserve"> </w:t>
      </w:r>
      <w:r w:rsidR="007049B9" w:rsidRPr="006F63D5">
        <w:rPr>
          <w:color w:val="000000" w:themeColor="text1"/>
          <w:lang w:eastAsia="cs-CZ"/>
        </w:rPr>
        <w:t>V</w:t>
      </w:r>
      <w:r w:rsidR="00B25AAC" w:rsidRPr="006F63D5">
        <w:rPr>
          <w:color w:val="000000" w:themeColor="text1"/>
          <w:lang w:eastAsia="cs-CZ"/>
        </w:rPr>
        <w:t> roce 2017</w:t>
      </w:r>
      <w:r w:rsidR="007049B9" w:rsidRPr="006F63D5">
        <w:rPr>
          <w:color w:val="000000" w:themeColor="text1"/>
          <w:lang w:eastAsia="cs-CZ"/>
        </w:rPr>
        <w:t xml:space="preserve"> ve stejné průmyslové zóně vznikla další potřeba finančních prostředků státního rozpočtu</w:t>
      </w:r>
      <w:r w:rsidR="007E21AB" w:rsidRPr="006F63D5">
        <w:rPr>
          <w:color w:val="000000" w:themeColor="text1"/>
          <w:lang w:eastAsia="cs-CZ"/>
        </w:rPr>
        <w:t>,</w:t>
      </w:r>
      <w:r w:rsidR="007049B9" w:rsidRPr="006F63D5">
        <w:rPr>
          <w:color w:val="000000" w:themeColor="text1"/>
          <w:lang w:eastAsia="cs-CZ"/>
        </w:rPr>
        <w:t xml:space="preserve"> a to konkrétně na </w:t>
      </w:r>
      <w:r w:rsidR="007049B9" w:rsidRPr="006F63D5">
        <w:rPr>
          <w:b/>
          <w:color w:val="000000" w:themeColor="text1"/>
          <w:lang w:eastAsia="cs-CZ"/>
        </w:rPr>
        <w:t>navýšení počtu příslušníků Policie ČR</w:t>
      </w:r>
      <w:r w:rsidR="007049B9" w:rsidRPr="006F63D5">
        <w:rPr>
          <w:color w:val="000000" w:themeColor="text1"/>
          <w:lang w:eastAsia="cs-CZ"/>
        </w:rPr>
        <w:t xml:space="preserve"> v této lokalitě, </w:t>
      </w:r>
      <w:r w:rsidR="00355CEA" w:rsidRPr="006F63D5">
        <w:rPr>
          <w:color w:val="000000" w:themeColor="text1"/>
          <w:lang w:eastAsia="cs-CZ"/>
        </w:rPr>
        <w:t xml:space="preserve">na </w:t>
      </w:r>
      <w:r w:rsidR="007049B9" w:rsidRPr="006F63D5">
        <w:rPr>
          <w:color w:val="000000" w:themeColor="text1"/>
          <w:lang w:eastAsia="cs-CZ"/>
        </w:rPr>
        <w:t>zvýšení jejich nástupních platů a</w:t>
      </w:r>
      <w:r w:rsidR="00355CEA" w:rsidRPr="006F63D5">
        <w:rPr>
          <w:color w:val="000000" w:themeColor="text1"/>
          <w:lang w:eastAsia="cs-CZ"/>
        </w:rPr>
        <w:t xml:space="preserve"> na</w:t>
      </w:r>
      <w:r w:rsidR="007049B9" w:rsidRPr="006F63D5">
        <w:rPr>
          <w:color w:val="000000" w:themeColor="text1"/>
          <w:lang w:eastAsia="cs-CZ"/>
        </w:rPr>
        <w:t xml:space="preserve"> zvýšení kontrolní činnosti v oblast</w:t>
      </w:r>
      <w:r w:rsidR="00355CEA" w:rsidRPr="006F63D5">
        <w:rPr>
          <w:color w:val="000000" w:themeColor="text1"/>
          <w:lang w:eastAsia="cs-CZ"/>
        </w:rPr>
        <w:t>i</w:t>
      </w:r>
      <w:r w:rsidR="007049B9" w:rsidRPr="006F63D5">
        <w:rPr>
          <w:color w:val="000000" w:themeColor="text1"/>
          <w:lang w:eastAsia="cs-CZ"/>
        </w:rPr>
        <w:t xml:space="preserve"> zaměstnávání a ubytování cizinců</w:t>
      </w:r>
      <w:r w:rsidR="007049B9" w:rsidRPr="006F63D5">
        <w:rPr>
          <w:rStyle w:val="Znakapoznpodarou"/>
          <w:color w:val="000000" w:themeColor="text1"/>
          <w:lang w:eastAsia="cs-CZ"/>
        </w:rPr>
        <w:footnoteReference w:id="21"/>
      </w:r>
      <w:r w:rsidR="007049B9" w:rsidRPr="006F63D5">
        <w:rPr>
          <w:color w:val="000000" w:themeColor="text1"/>
          <w:lang w:eastAsia="cs-CZ"/>
        </w:rPr>
        <w:t>.</w:t>
      </w:r>
      <w:r w:rsidR="0084758C" w:rsidRPr="006F63D5">
        <w:rPr>
          <w:color w:val="000000" w:themeColor="text1"/>
          <w:lang w:eastAsia="cs-CZ"/>
        </w:rPr>
        <w:t xml:space="preserve"> </w:t>
      </w:r>
      <w:r w:rsidR="00564866" w:rsidRPr="006F63D5">
        <w:rPr>
          <w:b/>
          <w:color w:val="000000" w:themeColor="text1"/>
          <w:lang w:eastAsia="cs-CZ"/>
        </w:rPr>
        <w:t xml:space="preserve">MPO </w:t>
      </w:r>
      <w:r w:rsidR="009C53B2" w:rsidRPr="006F63D5">
        <w:rPr>
          <w:b/>
          <w:color w:val="000000" w:themeColor="text1"/>
          <w:lang w:eastAsia="cs-CZ"/>
        </w:rPr>
        <w:t>nemělo povinnost sledovat a ani nesledovalo</w:t>
      </w:r>
      <w:r w:rsidR="006D4EAE" w:rsidRPr="006F63D5">
        <w:rPr>
          <w:b/>
          <w:color w:val="000000" w:themeColor="text1"/>
          <w:lang w:eastAsia="cs-CZ"/>
        </w:rPr>
        <w:t>,</w:t>
      </w:r>
      <w:r w:rsidR="00564866" w:rsidRPr="006F63D5">
        <w:rPr>
          <w:b/>
          <w:color w:val="000000" w:themeColor="text1"/>
          <w:lang w:eastAsia="cs-CZ"/>
        </w:rPr>
        <w:t xml:space="preserve"> </w:t>
      </w:r>
      <w:r w:rsidR="00355CEA" w:rsidRPr="006F63D5">
        <w:rPr>
          <w:b/>
          <w:color w:val="000000" w:themeColor="text1"/>
          <w:lang w:eastAsia="cs-CZ"/>
        </w:rPr>
        <w:t>jaká byla</w:t>
      </w:r>
      <w:r w:rsidR="007049B9" w:rsidRPr="006F63D5">
        <w:rPr>
          <w:b/>
          <w:color w:val="000000" w:themeColor="text1"/>
          <w:lang w:eastAsia="cs-CZ"/>
        </w:rPr>
        <w:t xml:space="preserve"> výše výdajů</w:t>
      </w:r>
      <w:r w:rsidR="005A02E5" w:rsidRPr="006F63D5">
        <w:rPr>
          <w:color w:val="000000" w:themeColor="text1"/>
          <w:lang w:eastAsia="cs-CZ"/>
        </w:rPr>
        <w:t xml:space="preserve"> státního rozpočtu </w:t>
      </w:r>
      <w:r w:rsidR="005A02E5" w:rsidRPr="006F63D5">
        <w:rPr>
          <w:color w:val="000000" w:themeColor="text1"/>
          <w:lang w:eastAsia="cs-CZ"/>
        </w:rPr>
        <w:lastRenderedPageBreak/>
        <w:t>na </w:t>
      </w:r>
      <w:r w:rsidR="007049B9" w:rsidRPr="006F63D5">
        <w:rPr>
          <w:color w:val="000000" w:themeColor="text1"/>
          <w:lang w:eastAsia="cs-CZ"/>
        </w:rPr>
        <w:t>řešení uvedených příkladů a případně dalších skutečností, které vznikaly v souvislosti s působením příjemců investičních pobídek v regionech.</w:t>
      </w:r>
      <w:r w:rsidR="00B400F7" w:rsidRPr="006F63D5">
        <w:rPr>
          <w:color w:val="000000" w:themeColor="text1"/>
          <w:lang w:eastAsia="cs-CZ"/>
        </w:rPr>
        <w:t xml:space="preserve"> </w:t>
      </w:r>
    </w:p>
    <w:p w14:paraId="08E68B76" w14:textId="77777777" w:rsidR="003E336F" w:rsidRPr="00B80C2E" w:rsidRDefault="00B80C2E" w:rsidP="00B80C2E">
      <w:pPr>
        <w:keepNext/>
        <w:spacing w:after="120" w:line="264" w:lineRule="auto"/>
        <w:rPr>
          <w:b/>
        </w:rPr>
      </w:pPr>
      <w:r w:rsidRPr="00B80C2E">
        <w:rPr>
          <w:b/>
        </w:rPr>
        <w:t xml:space="preserve">13. </w:t>
      </w:r>
      <w:r w:rsidR="002835F3" w:rsidRPr="00B80C2E">
        <w:rPr>
          <w:b/>
        </w:rPr>
        <w:t xml:space="preserve">U vzorku nebylo </w:t>
      </w:r>
      <w:r w:rsidR="003E336F" w:rsidRPr="00B80C2E">
        <w:rPr>
          <w:b/>
        </w:rPr>
        <w:t xml:space="preserve">zjištěno </w:t>
      </w:r>
      <w:r w:rsidR="00EC0D96" w:rsidRPr="00B80C2E">
        <w:rPr>
          <w:b/>
        </w:rPr>
        <w:t xml:space="preserve">formální </w:t>
      </w:r>
      <w:r w:rsidR="003E336F" w:rsidRPr="00B80C2E">
        <w:rPr>
          <w:b/>
        </w:rPr>
        <w:t>pochybení</w:t>
      </w:r>
      <w:r w:rsidR="00B6583B" w:rsidRPr="00B80C2E">
        <w:rPr>
          <w:b/>
        </w:rPr>
        <w:t xml:space="preserve"> </w:t>
      </w:r>
    </w:p>
    <w:p w14:paraId="0F80E970" w14:textId="05ABFC86" w:rsidR="00E56421" w:rsidRPr="006F63D5" w:rsidRDefault="00C52B71" w:rsidP="006F63D5">
      <w:pPr>
        <w:spacing w:after="120" w:line="264" w:lineRule="auto"/>
        <w:rPr>
          <w:color w:val="000000" w:themeColor="text1"/>
        </w:rPr>
      </w:pPr>
      <w:r w:rsidRPr="006F63D5">
        <w:rPr>
          <w:b/>
          <w:color w:val="000000" w:themeColor="text1"/>
        </w:rPr>
        <w:t xml:space="preserve">U </w:t>
      </w:r>
      <w:r w:rsidR="00E56421" w:rsidRPr="006F63D5">
        <w:rPr>
          <w:b/>
          <w:color w:val="000000" w:themeColor="text1"/>
        </w:rPr>
        <w:t>vzorku</w:t>
      </w:r>
      <w:r w:rsidR="00E56421" w:rsidRPr="006F63D5">
        <w:rPr>
          <w:color w:val="000000" w:themeColor="text1"/>
        </w:rPr>
        <w:t xml:space="preserve"> 16 přislíbených investičních </w:t>
      </w:r>
      <w:r w:rsidR="00E90BC8" w:rsidRPr="006F63D5">
        <w:rPr>
          <w:color w:val="000000" w:themeColor="text1"/>
        </w:rPr>
        <w:t xml:space="preserve">pobídek, u kterých MPO vydalo </w:t>
      </w:r>
      <w:r w:rsidR="00E6337D">
        <w:rPr>
          <w:color w:val="000000" w:themeColor="text1"/>
        </w:rPr>
        <w:t>r</w:t>
      </w:r>
      <w:r w:rsidR="00E90BC8" w:rsidRPr="006F63D5">
        <w:rPr>
          <w:color w:val="000000" w:themeColor="text1"/>
        </w:rPr>
        <w:t>ozhodnut</w:t>
      </w:r>
      <w:r w:rsidR="00595EC5" w:rsidRPr="006F63D5">
        <w:rPr>
          <w:color w:val="000000" w:themeColor="text1"/>
        </w:rPr>
        <w:t>í o </w:t>
      </w:r>
      <w:r w:rsidR="00E90BC8" w:rsidRPr="006F63D5">
        <w:rPr>
          <w:color w:val="000000" w:themeColor="text1"/>
        </w:rPr>
        <w:t>příslibu i</w:t>
      </w:r>
      <w:r w:rsidR="0020750D" w:rsidRPr="006F63D5">
        <w:rPr>
          <w:color w:val="000000" w:themeColor="text1"/>
        </w:rPr>
        <w:t>nvestiční pobídky mezi roky 2016</w:t>
      </w:r>
      <w:r w:rsidR="003E3A70" w:rsidRPr="006F63D5">
        <w:rPr>
          <w:color w:val="000000" w:themeColor="text1"/>
        </w:rPr>
        <w:t xml:space="preserve"> a</w:t>
      </w:r>
      <w:r w:rsidRPr="006F63D5">
        <w:rPr>
          <w:color w:val="000000" w:themeColor="text1"/>
        </w:rPr>
        <w:t xml:space="preserve"> 2020</w:t>
      </w:r>
      <w:r w:rsidR="006944B1" w:rsidRPr="006F63D5">
        <w:rPr>
          <w:color w:val="000000" w:themeColor="text1"/>
        </w:rPr>
        <w:t>,</w:t>
      </w:r>
      <w:r w:rsidRPr="006F63D5">
        <w:rPr>
          <w:color w:val="000000" w:themeColor="text1"/>
        </w:rPr>
        <w:t xml:space="preserve"> </w:t>
      </w:r>
      <w:r w:rsidR="004E6283" w:rsidRPr="006F63D5">
        <w:rPr>
          <w:color w:val="000000" w:themeColor="text1"/>
        </w:rPr>
        <w:t>bylo ověřeno</w:t>
      </w:r>
      <w:r w:rsidR="00595EC5" w:rsidRPr="006F63D5">
        <w:rPr>
          <w:color w:val="000000" w:themeColor="text1"/>
        </w:rPr>
        <w:t>, že </w:t>
      </w:r>
      <w:r w:rsidR="00781729" w:rsidRPr="006F63D5">
        <w:rPr>
          <w:b/>
          <w:color w:val="000000" w:themeColor="text1"/>
        </w:rPr>
        <w:t>Agentura CzechInvest postupovala</w:t>
      </w:r>
      <w:r w:rsidR="00781729" w:rsidRPr="006F63D5">
        <w:rPr>
          <w:color w:val="000000" w:themeColor="text1"/>
        </w:rPr>
        <w:t xml:space="preserve"> při </w:t>
      </w:r>
      <w:r w:rsidR="00B15594" w:rsidRPr="006F63D5">
        <w:rPr>
          <w:color w:val="000000" w:themeColor="text1"/>
        </w:rPr>
        <w:t xml:space="preserve">přijímání a </w:t>
      </w:r>
      <w:r w:rsidR="00781729" w:rsidRPr="006F63D5">
        <w:rPr>
          <w:color w:val="000000" w:themeColor="text1"/>
        </w:rPr>
        <w:t xml:space="preserve">posuzování záměrů </w:t>
      </w:r>
      <w:r w:rsidR="00781729" w:rsidRPr="006F63D5">
        <w:rPr>
          <w:b/>
          <w:color w:val="000000" w:themeColor="text1"/>
        </w:rPr>
        <w:t>v souladu se zákonem</w:t>
      </w:r>
      <w:r w:rsidR="00781729" w:rsidRPr="006F63D5">
        <w:rPr>
          <w:color w:val="000000" w:themeColor="text1"/>
        </w:rPr>
        <w:t xml:space="preserve"> o investičních pobídkách. </w:t>
      </w:r>
      <w:r w:rsidR="004E6283" w:rsidRPr="006F63D5">
        <w:rPr>
          <w:b/>
          <w:color w:val="000000" w:themeColor="text1"/>
        </w:rPr>
        <w:t>U vzorku</w:t>
      </w:r>
      <w:r w:rsidR="004E6283" w:rsidRPr="006F63D5">
        <w:rPr>
          <w:color w:val="000000" w:themeColor="text1"/>
        </w:rPr>
        <w:t xml:space="preserve"> bylo dále ověřeno</w:t>
      </w:r>
      <w:r w:rsidR="00E56421" w:rsidRPr="006F63D5">
        <w:rPr>
          <w:color w:val="000000" w:themeColor="text1"/>
        </w:rPr>
        <w:t>,</w:t>
      </w:r>
      <w:r w:rsidR="00595EC5" w:rsidRPr="006F63D5">
        <w:rPr>
          <w:color w:val="000000" w:themeColor="text1"/>
        </w:rPr>
        <w:t xml:space="preserve"> že</w:t>
      </w:r>
      <w:r w:rsidR="00E6337D">
        <w:rPr>
          <w:color w:val="000000" w:themeColor="text1"/>
        </w:rPr>
        <w:t xml:space="preserve"> </w:t>
      </w:r>
      <w:r w:rsidR="00595EC5" w:rsidRPr="006F63D5">
        <w:rPr>
          <w:color w:val="000000" w:themeColor="text1"/>
        </w:rPr>
        <w:t>při</w:t>
      </w:r>
      <w:r w:rsidR="00E6337D">
        <w:rPr>
          <w:color w:val="000000" w:themeColor="text1"/>
        </w:rPr>
        <w:t xml:space="preserve"> </w:t>
      </w:r>
      <w:r w:rsidR="005A02E5" w:rsidRPr="006F63D5">
        <w:rPr>
          <w:color w:val="000000" w:themeColor="text1"/>
        </w:rPr>
        <w:t xml:space="preserve">vydávání </w:t>
      </w:r>
      <w:r w:rsidR="00E6337D">
        <w:rPr>
          <w:color w:val="000000" w:themeColor="text1"/>
        </w:rPr>
        <w:t>r</w:t>
      </w:r>
      <w:r w:rsidR="005A02E5" w:rsidRPr="006F63D5">
        <w:rPr>
          <w:color w:val="000000" w:themeColor="text1"/>
        </w:rPr>
        <w:t>ozhodnutí o </w:t>
      </w:r>
      <w:r w:rsidR="00E56421" w:rsidRPr="006F63D5">
        <w:rPr>
          <w:color w:val="000000" w:themeColor="text1"/>
        </w:rPr>
        <w:t xml:space="preserve">příslibu investičních pobídky </w:t>
      </w:r>
      <w:r w:rsidR="00781729" w:rsidRPr="006F63D5">
        <w:rPr>
          <w:b/>
          <w:color w:val="000000" w:themeColor="text1"/>
        </w:rPr>
        <w:t xml:space="preserve">postupovalo </w:t>
      </w:r>
      <w:r w:rsidR="00355CEA" w:rsidRPr="006F63D5">
        <w:rPr>
          <w:b/>
          <w:color w:val="000000" w:themeColor="text1"/>
        </w:rPr>
        <w:t xml:space="preserve">MPO </w:t>
      </w:r>
      <w:r w:rsidR="00781729" w:rsidRPr="006F63D5">
        <w:rPr>
          <w:b/>
          <w:color w:val="000000" w:themeColor="text1"/>
        </w:rPr>
        <w:t xml:space="preserve">v souladu </w:t>
      </w:r>
      <w:r w:rsidR="00781729" w:rsidRPr="006F63D5">
        <w:rPr>
          <w:color w:val="000000" w:themeColor="text1"/>
        </w:rPr>
        <w:t>se zá</w:t>
      </w:r>
      <w:r w:rsidR="004E6283" w:rsidRPr="006F63D5">
        <w:rPr>
          <w:color w:val="000000" w:themeColor="text1"/>
        </w:rPr>
        <w:t xml:space="preserve">konem </w:t>
      </w:r>
      <w:r w:rsidR="00DB5331" w:rsidRPr="006F63D5">
        <w:rPr>
          <w:color w:val="000000" w:themeColor="text1"/>
        </w:rPr>
        <w:t>a v souladu s </w:t>
      </w:r>
      <w:r w:rsidR="00E6337D">
        <w:rPr>
          <w:color w:val="000000" w:themeColor="text1"/>
        </w:rPr>
        <w:t>n</w:t>
      </w:r>
      <w:r w:rsidR="00DB5331" w:rsidRPr="006F63D5">
        <w:rPr>
          <w:color w:val="000000" w:themeColor="text1"/>
        </w:rPr>
        <w:t xml:space="preserve">ařízením komise (EU) č. 651/2014, </w:t>
      </w:r>
      <w:r w:rsidR="004E6283" w:rsidRPr="006F63D5">
        <w:rPr>
          <w:color w:val="000000" w:themeColor="text1"/>
        </w:rPr>
        <w:t xml:space="preserve">a </w:t>
      </w:r>
      <w:r w:rsidR="00595EC5" w:rsidRPr="006F63D5">
        <w:rPr>
          <w:color w:val="000000" w:themeColor="text1"/>
        </w:rPr>
        <w:t>že při</w:t>
      </w:r>
      <w:r w:rsidR="00E6337D">
        <w:rPr>
          <w:color w:val="000000" w:themeColor="text1"/>
        </w:rPr>
        <w:t xml:space="preserve"> </w:t>
      </w:r>
      <w:r w:rsidR="00E56421" w:rsidRPr="006F63D5">
        <w:rPr>
          <w:color w:val="000000" w:themeColor="text1"/>
        </w:rPr>
        <w:t>dodrž</w:t>
      </w:r>
      <w:r w:rsidR="00355CEA" w:rsidRPr="006F63D5">
        <w:rPr>
          <w:color w:val="000000" w:themeColor="text1"/>
        </w:rPr>
        <w:t xml:space="preserve">ování pravidel veřejné podpory </w:t>
      </w:r>
      <w:r w:rsidR="00E56421" w:rsidRPr="006F63D5">
        <w:rPr>
          <w:b/>
          <w:color w:val="000000" w:themeColor="text1"/>
        </w:rPr>
        <w:t>MPO postupovalo v souladu</w:t>
      </w:r>
      <w:r w:rsidR="00E56421" w:rsidRPr="006F63D5">
        <w:rPr>
          <w:color w:val="000000" w:themeColor="text1"/>
        </w:rPr>
        <w:t xml:space="preserve"> </w:t>
      </w:r>
      <w:r w:rsidR="00781729" w:rsidRPr="006F63D5">
        <w:rPr>
          <w:color w:val="000000" w:themeColor="text1"/>
        </w:rPr>
        <w:t>s nařízením vlády č.</w:t>
      </w:r>
      <w:r w:rsidR="00595EC5" w:rsidRPr="006F63D5">
        <w:rPr>
          <w:color w:val="000000" w:themeColor="text1"/>
          <w:lang w:eastAsia="cs-CZ"/>
        </w:rPr>
        <w:t> </w:t>
      </w:r>
      <w:r w:rsidR="00781729" w:rsidRPr="006F63D5">
        <w:rPr>
          <w:color w:val="000000" w:themeColor="text1"/>
          <w:lang w:eastAsia="cs-CZ"/>
        </w:rPr>
        <w:t>596/2006 Sb</w:t>
      </w:r>
      <w:r w:rsidR="002C0F54" w:rsidRPr="006F63D5">
        <w:rPr>
          <w:color w:val="000000" w:themeColor="text1"/>
          <w:lang w:eastAsia="cs-CZ"/>
        </w:rPr>
        <w:t>.</w:t>
      </w:r>
      <w:r w:rsidR="002C0F54" w:rsidRPr="006F63D5">
        <w:rPr>
          <w:rStyle w:val="Znakapoznpodarou"/>
          <w:color w:val="000000" w:themeColor="text1"/>
          <w:lang w:eastAsia="cs-CZ"/>
        </w:rPr>
        <w:footnoteReference w:id="22"/>
      </w:r>
    </w:p>
    <w:p w14:paraId="5F8830AC" w14:textId="32035C40" w:rsidR="00E56421" w:rsidRPr="006F63D5" w:rsidRDefault="00E56421" w:rsidP="006F63D5">
      <w:pPr>
        <w:pStyle w:val="Odstavecseseznamem"/>
        <w:spacing w:after="120" w:line="264" w:lineRule="auto"/>
        <w:ind w:left="0"/>
        <w:contextualSpacing w:val="0"/>
        <w:rPr>
          <w:color w:val="000000" w:themeColor="text1"/>
          <w:lang w:eastAsia="cs-CZ"/>
        </w:rPr>
      </w:pPr>
      <w:r w:rsidRPr="006F63D5">
        <w:rPr>
          <w:color w:val="000000" w:themeColor="text1"/>
        </w:rPr>
        <w:t xml:space="preserve">Zákon </w:t>
      </w:r>
      <w:r w:rsidR="006E435A" w:rsidRPr="006F63D5">
        <w:rPr>
          <w:color w:val="000000" w:themeColor="text1"/>
        </w:rPr>
        <w:t>stanovil</w:t>
      </w:r>
      <w:r w:rsidR="0020750D" w:rsidRPr="006F63D5">
        <w:rPr>
          <w:color w:val="000000" w:themeColor="text1"/>
        </w:rPr>
        <w:t xml:space="preserve">, že </w:t>
      </w:r>
      <w:r w:rsidR="0020750D" w:rsidRPr="006F63D5">
        <w:rPr>
          <w:b/>
          <w:color w:val="000000" w:themeColor="text1"/>
        </w:rPr>
        <w:t>příjemce</w:t>
      </w:r>
      <w:r w:rsidR="0020750D" w:rsidRPr="006F63D5">
        <w:rPr>
          <w:color w:val="000000" w:themeColor="text1"/>
        </w:rPr>
        <w:t xml:space="preserve"> </w:t>
      </w:r>
      <w:r w:rsidRPr="006F63D5">
        <w:rPr>
          <w:b/>
          <w:color w:val="000000" w:themeColor="text1"/>
        </w:rPr>
        <w:t xml:space="preserve">má povinnost </w:t>
      </w:r>
      <w:r w:rsidR="006E435A" w:rsidRPr="006F63D5">
        <w:rPr>
          <w:b/>
          <w:color w:val="000000" w:themeColor="text1"/>
        </w:rPr>
        <w:t>v místě realizace investiční akce zachovat</w:t>
      </w:r>
      <w:r w:rsidR="006E435A" w:rsidRPr="006F63D5">
        <w:rPr>
          <w:b/>
          <w:color w:val="000000" w:themeColor="text1"/>
          <w:lang w:eastAsia="cs-CZ"/>
        </w:rPr>
        <w:t xml:space="preserve"> </w:t>
      </w:r>
      <w:r w:rsidRPr="006F63D5">
        <w:rPr>
          <w:b/>
          <w:color w:val="000000" w:themeColor="text1"/>
          <w:lang w:eastAsia="cs-CZ"/>
        </w:rPr>
        <w:t>ma</w:t>
      </w:r>
      <w:r w:rsidR="0020750D" w:rsidRPr="006F63D5">
        <w:rPr>
          <w:b/>
          <w:color w:val="000000" w:themeColor="text1"/>
          <w:lang w:eastAsia="cs-CZ"/>
        </w:rPr>
        <w:t>jetek a pracovní místa</w:t>
      </w:r>
      <w:r w:rsidR="0020750D" w:rsidRPr="00C05A01">
        <w:rPr>
          <w:b/>
          <w:color w:val="000000" w:themeColor="text1"/>
          <w:lang w:eastAsia="cs-CZ"/>
        </w:rPr>
        <w:t>,</w:t>
      </w:r>
      <w:r w:rsidR="0020750D" w:rsidRPr="006F63D5">
        <w:rPr>
          <w:color w:val="000000" w:themeColor="text1"/>
          <w:lang w:eastAsia="cs-CZ"/>
        </w:rPr>
        <w:t xml:space="preserve"> na které</w:t>
      </w:r>
      <w:r w:rsidRPr="006F63D5">
        <w:rPr>
          <w:color w:val="000000" w:themeColor="text1"/>
          <w:lang w:eastAsia="cs-CZ"/>
        </w:rPr>
        <w:t xml:space="preserve"> mu byla poskytnuta investiční pobídka. </w:t>
      </w:r>
      <w:r w:rsidR="009B3F22" w:rsidRPr="006F63D5">
        <w:rPr>
          <w:color w:val="000000" w:themeColor="text1"/>
          <w:lang w:eastAsia="cs-CZ"/>
        </w:rPr>
        <w:t>A to konkrétně majetek po dobu uplatňování investiční pobídky</w:t>
      </w:r>
      <w:r w:rsidR="009B3F22" w:rsidRPr="00C05A01">
        <w:rPr>
          <w:color w:val="000000" w:themeColor="text1"/>
          <w:lang w:eastAsia="cs-CZ"/>
        </w:rPr>
        <w:t xml:space="preserve">, </w:t>
      </w:r>
      <w:r w:rsidR="009B3F22" w:rsidRPr="006F63D5">
        <w:rPr>
          <w:b/>
          <w:color w:val="000000" w:themeColor="text1"/>
          <w:lang w:eastAsia="cs-CZ"/>
        </w:rPr>
        <w:t>nejméně však po dobu pěti let</w:t>
      </w:r>
      <w:r w:rsidR="009B3F22" w:rsidRPr="006F63D5">
        <w:rPr>
          <w:color w:val="000000" w:themeColor="text1"/>
          <w:lang w:eastAsia="cs-CZ"/>
        </w:rPr>
        <w:t xml:space="preserve"> od dokončení investiční akce</w:t>
      </w:r>
      <w:r w:rsidR="00E6337D">
        <w:rPr>
          <w:color w:val="000000" w:themeColor="text1"/>
          <w:lang w:eastAsia="cs-CZ"/>
        </w:rPr>
        <w:t>,</w:t>
      </w:r>
      <w:r w:rsidR="009B3F22" w:rsidRPr="006F63D5">
        <w:rPr>
          <w:color w:val="000000" w:themeColor="text1"/>
          <w:lang w:eastAsia="cs-CZ"/>
        </w:rPr>
        <w:t xml:space="preserve"> a pracovní místa nejméně po dobu pěti let ode dne vzniku prvního pracovního poměru na každém novém pracovním místě. </w:t>
      </w:r>
      <w:r w:rsidR="004E6283" w:rsidRPr="006F63D5">
        <w:rPr>
          <w:color w:val="000000" w:themeColor="text1"/>
          <w:lang w:eastAsia="cs-CZ"/>
        </w:rPr>
        <w:t>U vzorku</w:t>
      </w:r>
      <w:r w:rsidR="00595EC5" w:rsidRPr="006F63D5">
        <w:rPr>
          <w:color w:val="000000" w:themeColor="text1"/>
          <w:lang w:eastAsia="cs-CZ"/>
        </w:rPr>
        <w:t xml:space="preserve"> 16 </w:t>
      </w:r>
      <w:r w:rsidR="00850270">
        <w:rPr>
          <w:color w:val="000000" w:themeColor="text1"/>
          <w:lang w:eastAsia="cs-CZ"/>
        </w:rPr>
        <w:t>r</w:t>
      </w:r>
      <w:r w:rsidR="00781729" w:rsidRPr="006F63D5">
        <w:rPr>
          <w:color w:val="000000" w:themeColor="text1"/>
          <w:lang w:eastAsia="cs-CZ"/>
        </w:rPr>
        <w:t>ozhodnutí o příslibu investiční pobídky</w:t>
      </w:r>
      <w:r w:rsidR="006E435A" w:rsidRPr="006F63D5">
        <w:rPr>
          <w:color w:val="000000" w:themeColor="text1"/>
          <w:lang w:eastAsia="cs-CZ"/>
        </w:rPr>
        <w:t xml:space="preserve"> bylo ověřeno, že</w:t>
      </w:r>
      <w:r w:rsidR="00781729" w:rsidRPr="006F63D5">
        <w:rPr>
          <w:color w:val="000000" w:themeColor="text1"/>
          <w:lang w:eastAsia="cs-CZ"/>
        </w:rPr>
        <w:t xml:space="preserve"> </w:t>
      </w:r>
      <w:r w:rsidR="00781729" w:rsidRPr="006F63D5">
        <w:rPr>
          <w:b/>
          <w:color w:val="000000" w:themeColor="text1"/>
          <w:lang w:eastAsia="cs-CZ"/>
        </w:rPr>
        <w:t xml:space="preserve">MPO </w:t>
      </w:r>
      <w:r w:rsidR="006E435A" w:rsidRPr="006F63D5">
        <w:rPr>
          <w:b/>
          <w:color w:val="000000" w:themeColor="text1"/>
          <w:lang w:eastAsia="cs-CZ"/>
        </w:rPr>
        <w:t xml:space="preserve">tuto </w:t>
      </w:r>
      <w:r w:rsidR="00781729" w:rsidRPr="006F63D5">
        <w:rPr>
          <w:b/>
          <w:color w:val="000000" w:themeColor="text1"/>
          <w:lang w:eastAsia="cs-CZ"/>
        </w:rPr>
        <w:t xml:space="preserve">povinnost </w:t>
      </w:r>
      <w:r w:rsidR="006E435A" w:rsidRPr="006F63D5">
        <w:rPr>
          <w:b/>
          <w:color w:val="000000" w:themeColor="text1"/>
          <w:lang w:eastAsia="cs-CZ"/>
        </w:rPr>
        <w:t>uvedlo</w:t>
      </w:r>
      <w:r w:rsidR="00595EC5" w:rsidRPr="006F63D5">
        <w:rPr>
          <w:b/>
          <w:color w:val="000000" w:themeColor="text1"/>
          <w:lang w:eastAsia="cs-CZ"/>
        </w:rPr>
        <w:t xml:space="preserve"> </w:t>
      </w:r>
      <w:r w:rsidR="00781729" w:rsidRPr="006F63D5">
        <w:rPr>
          <w:b/>
          <w:color w:val="000000" w:themeColor="text1"/>
          <w:lang w:eastAsia="cs-CZ"/>
        </w:rPr>
        <w:t>jako jednu z podmínek</w:t>
      </w:r>
      <w:r w:rsidR="00781729" w:rsidRPr="00C05A01">
        <w:rPr>
          <w:b/>
          <w:color w:val="000000" w:themeColor="text1"/>
          <w:lang w:eastAsia="cs-CZ"/>
        </w:rPr>
        <w:t>,</w:t>
      </w:r>
      <w:r w:rsidR="00781729" w:rsidRPr="006F63D5">
        <w:rPr>
          <w:color w:val="000000" w:themeColor="text1"/>
          <w:lang w:eastAsia="cs-CZ"/>
        </w:rPr>
        <w:t xml:space="preserve"> za kterých může příjemce investiční pobídku čerpat</w:t>
      </w:r>
      <w:r w:rsidR="00BE59FA" w:rsidRPr="006F63D5">
        <w:rPr>
          <w:color w:val="000000" w:themeColor="text1"/>
          <w:lang w:eastAsia="cs-CZ"/>
        </w:rPr>
        <w:t>.</w:t>
      </w:r>
      <w:r w:rsidR="004E6283" w:rsidRPr="006F63D5">
        <w:rPr>
          <w:color w:val="000000" w:themeColor="text1"/>
          <w:lang w:eastAsia="cs-CZ"/>
        </w:rPr>
        <w:t xml:space="preserve"> </w:t>
      </w:r>
    </w:p>
    <w:p w14:paraId="06C01F2A" w14:textId="77777777" w:rsidR="001525E4" w:rsidRPr="006F63D5" w:rsidRDefault="001525E4" w:rsidP="006F63D5">
      <w:pPr>
        <w:spacing w:after="120" w:line="264" w:lineRule="auto"/>
        <w:rPr>
          <w:b/>
          <w:color w:val="000000" w:themeColor="text1"/>
        </w:rPr>
      </w:pPr>
    </w:p>
    <w:sectPr w:rsidR="001525E4" w:rsidRPr="006F63D5" w:rsidSect="007E21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4E42" w14:textId="77777777" w:rsidR="009B2435" w:rsidRDefault="009B2435" w:rsidP="00D0493E">
      <w:r>
        <w:separator/>
      </w:r>
    </w:p>
  </w:endnote>
  <w:endnote w:type="continuationSeparator" w:id="0">
    <w:p w14:paraId="29F5D6B3" w14:textId="77777777" w:rsidR="009B2435" w:rsidRDefault="009B2435" w:rsidP="00D0493E">
      <w:r>
        <w:continuationSeparator/>
      </w:r>
    </w:p>
  </w:endnote>
  <w:endnote w:type="continuationNotice" w:id="1">
    <w:p w14:paraId="6F06B8C9" w14:textId="77777777" w:rsidR="002426BD" w:rsidRDefault="00242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6FEB" w14:textId="77777777" w:rsidR="00E130B9" w:rsidRDefault="00E130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372727"/>
      <w:docPartObj>
        <w:docPartGallery w:val="Page Numbers (Bottom of Page)"/>
        <w:docPartUnique/>
      </w:docPartObj>
    </w:sdtPr>
    <w:sdtEndPr/>
    <w:sdtContent>
      <w:p w14:paraId="74F21189" w14:textId="746C9A9E" w:rsidR="00241F14" w:rsidRDefault="00473F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0B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4BC5" w14:textId="77777777" w:rsidR="00E130B9" w:rsidRDefault="00E13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026A2" w14:textId="77777777" w:rsidR="009B2435" w:rsidRDefault="009B2435" w:rsidP="00D0493E">
      <w:r>
        <w:separator/>
      </w:r>
    </w:p>
  </w:footnote>
  <w:footnote w:type="continuationSeparator" w:id="0">
    <w:p w14:paraId="4EEDF76A" w14:textId="77777777" w:rsidR="009B2435" w:rsidRDefault="009B2435" w:rsidP="00D0493E">
      <w:r>
        <w:continuationSeparator/>
      </w:r>
    </w:p>
  </w:footnote>
  <w:footnote w:type="continuationNotice" w:id="1">
    <w:p w14:paraId="36891B3F" w14:textId="77777777" w:rsidR="002426BD" w:rsidRDefault="002426BD"/>
  </w:footnote>
  <w:footnote w:id="2">
    <w:p w14:paraId="5A7C1A36" w14:textId="1FEB4FC3" w:rsidR="00241F14" w:rsidRPr="00CC4136" w:rsidRDefault="00241F14" w:rsidP="00BC5A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BC5A0B">
        <w:tab/>
      </w:r>
      <w:r w:rsidRPr="00CC4136">
        <w:rPr>
          <w:rFonts w:asciiTheme="minorHAnsi" w:hAnsiTheme="minorHAnsi" w:cstheme="minorHAnsi"/>
        </w:rPr>
        <w:t>Zákon č. 72/2000 Sb., o investičních pobídkách a o změně některých zákonů</w:t>
      </w:r>
      <w:r>
        <w:rPr>
          <w:rFonts w:asciiTheme="minorHAnsi" w:hAnsiTheme="minorHAnsi" w:cstheme="minorHAnsi"/>
        </w:rPr>
        <w:t xml:space="preserve"> (zákon</w:t>
      </w:r>
      <w:r w:rsidR="00D34751">
        <w:rPr>
          <w:rFonts w:asciiTheme="minorHAnsi" w:hAnsiTheme="minorHAnsi" w:cstheme="minorHAnsi"/>
        </w:rPr>
        <w:t xml:space="preserve"> o investičních pobídkách</w:t>
      </w:r>
      <w:r>
        <w:rPr>
          <w:rFonts w:asciiTheme="minorHAnsi" w:hAnsiTheme="minorHAnsi" w:cstheme="minorHAnsi"/>
        </w:rPr>
        <w:t>)</w:t>
      </w:r>
      <w:r w:rsidRPr="00CC4136">
        <w:rPr>
          <w:rFonts w:asciiTheme="minorHAnsi" w:hAnsiTheme="minorHAnsi" w:cstheme="minorHAnsi"/>
        </w:rPr>
        <w:t>.</w:t>
      </w:r>
    </w:p>
  </w:footnote>
  <w:footnote w:id="3">
    <w:p w14:paraId="66066A59" w14:textId="77777777" w:rsidR="00241F14" w:rsidRDefault="00241F14" w:rsidP="00BC5A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BC5A0B">
        <w:tab/>
      </w:r>
      <w:r>
        <w:t>V této částce nejsou započítány</w:t>
      </w:r>
      <w:r w:rsidRPr="00484816">
        <w:t xml:space="preserve"> investiční po</w:t>
      </w:r>
      <w:r>
        <w:t xml:space="preserve">bídky poskytnuté </w:t>
      </w:r>
      <w:r w:rsidRPr="00484816">
        <w:t>za rok 20</w:t>
      </w:r>
      <w:r>
        <w:t>19 formou slevy na dani z příjmů</w:t>
      </w:r>
      <w:r w:rsidRPr="00484816">
        <w:t>, neboť tuto investiční pobídku uplatňují příjemci až následující zdaňovací období a MPO v době kontroly NKÚ ještě nedisponovalo úda</w:t>
      </w:r>
      <w:r>
        <w:t>ji o výši slevy na dani z příjmů</w:t>
      </w:r>
      <w:r w:rsidRPr="00484816">
        <w:t xml:space="preserve"> za rok 2019.</w:t>
      </w:r>
    </w:p>
  </w:footnote>
  <w:footnote w:id="4">
    <w:p w14:paraId="1F2AC548" w14:textId="56237F4F" w:rsidR="00241F14" w:rsidRDefault="00241F14" w:rsidP="00BC5A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BC5A0B">
        <w:tab/>
      </w:r>
      <w:r w:rsidRPr="006D4EAE">
        <w:t xml:space="preserve">Obecná specifikace vyšší přidané hodnoty viz kapitola IV. bod 2 </w:t>
      </w:r>
      <w:r w:rsidR="00D34751">
        <w:t xml:space="preserve">tohoto kontrolního závěru </w:t>
      </w:r>
      <w:r w:rsidRPr="006D4EAE">
        <w:t>a přesná specifikace viz § 3 nařízení vlády č. 221/2019 Sb.</w:t>
      </w:r>
      <w:r>
        <w:t>,</w:t>
      </w:r>
      <w:r w:rsidRPr="00326A8A">
        <w:t xml:space="preserve"> </w:t>
      </w:r>
      <w:r>
        <w:t>o provedení některých ustanovení zákona o investičních pobídkách.</w:t>
      </w:r>
    </w:p>
  </w:footnote>
  <w:footnote w:id="5">
    <w:p w14:paraId="46DF12AE" w14:textId="77777777" w:rsidR="00241F14" w:rsidRDefault="00241F14" w:rsidP="00BC5A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BC5A0B">
        <w:tab/>
      </w:r>
      <w:r>
        <w:t>Zákon č. 210/2019 Sb., kterým se mění zákon č. 72/2000 Sb., o investičních pobídkách a o změně některých zákonů (zákon o investičních pobídkách), ve znění pozdějších předpisů, a zákon č. 435/2004 Sb., o</w:t>
      </w:r>
      <w:r w:rsidR="00BC5A0B">
        <w:t> </w:t>
      </w:r>
      <w:r>
        <w:t>zaměstnanosti, ve znění pozdějších předpisů.</w:t>
      </w:r>
    </w:p>
  </w:footnote>
  <w:footnote w:id="6">
    <w:p w14:paraId="76DC6789" w14:textId="77777777" w:rsidR="00241F14" w:rsidRDefault="00241F14" w:rsidP="00BC5A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BC5A0B">
        <w:tab/>
      </w:r>
      <w:r>
        <w:t>Naříz</w:t>
      </w:r>
      <w:r w:rsidRPr="007C7B5A">
        <w:t>ení Komise (EU) č. 651/2014 ze dne 17. června 2014, kterým se v souladu s články 107 a 108 Smlouvy prohlašují určité kategorie podpory za slučitelné s vnitřním trhem.</w:t>
      </w:r>
    </w:p>
  </w:footnote>
  <w:footnote w:id="7">
    <w:p w14:paraId="007CFA2B" w14:textId="77777777" w:rsidR="00241F14" w:rsidRDefault="00241F14" w:rsidP="00BC5A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BC5A0B">
        <w:tab/>
      </w:r>
      <w:r>
        <w:t>Přesnou definici strategické investiční akce do 5. září 2019 stanovilo ustanovení § 1a odst. 1 písm. d) zákona o investičních pobídkách, od 6. září 2019 pak ustanovení § 5 nařízení vlády č. 221/2019 Sb.</w:t>
      </w:r>
    </w:p>
  </w:footnote>
  <w:footnote w:id="8">
    <w:p w14:paraId="5595FFCA" w14:textId="77777777" w:rsidR="00241F14" w:rsidRDefault="00241F14" w:rsidP="00BC5A0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BC5A0B">
        <w:tab/>
      </w:r>
      <w:r>
        <w:t>Nařízení vlády č. 221/2019 Sb., o provedení některých ustanovení zákona o investičních pobídkách.</w:t>
      </w:r>
    </w:p>
  </w:footnote>
  <w:footnote w:id="9">
    <w:p w14:paraId="7682BCC0" w14:textId="77777777" w:rsidR="00241F14" w:rsidRPr="00A4188B" w:rsidRDefault="00241F14" w:rsidP="006D4E62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="006D4E62">
        <w:tab/>
      </w:r>
      <w:r>
        <w:rPr>
          <w:rFonts w:asciiTheme="minorHAnsi" w:hAnsiTheme="minorHAnsi" w:cstheme="minorHAnsi"/>
        </w:rPr>
        <w:t>U</w:t>
      </w:r>
      <w:r w:rsidRPr="00AD3F08">
        <w:rPr>
          <w:rFonts w:asciiTheme="minorHAnsi" w:hAnsiTheme="minorHAnsi" w:cstheme="minorHAnsi"/>
        </w:rPr>
        <w:t xml:space="preserve">snesení vlády </w:t>
      </w:r>
      <w:r>
        <w:rPr>
          <w:rFonts w:asciiTheme="minorHAnsi" w:hAnsiTheme="minorHAnsi" w:cstheme="minorHAnsi"/>
        </w:rPr>
        <w:t xml:space="preserve">České republiky </w:t>
      </w:r>
      <w:r w:rsidRPr="00AD3F08">
        <w:rPr>
          <w:rFonts w:asciiTheme="minorHAnsi" w:hAnsiTheme="minorHAnsi" w:cstheme="minorHAnsi"/>
        </w:rPr>
        <w:t>ze dne 29. dubna 1998 č. 298</w:t>
      </w:r>
      <w:r>
        <w:rPr>
          <w:rFonts w:asciiTheme="minorHAnsi" w:hAnsiTheme="minorHAnsi" w:cstheme="minorHAnsi"/>
        </w:rPr>
        <w:t>,</w:t>
      </w:r>
      <w:r w:rsidRPr="00AD3F08">
        <w:rPr>
          <w:rFonts w:asciiTheme="minorHAnsi" w:hAnsiTheme="minorHAnsi" w:cstheme="minorHAnsi"/>
        </w:rPr>
        <w:t xml:space="preserve"> </w:t>
      </w:r>
      <w:r w:rsidRPr="00C05A01">
        <w:rPr>
          <w:rFonts w:asciiTheme="minorHAnsi" w:hAnsiTheme="minorHAnsi" w:cstheme="minorHAnsi"/>
          <w:i/>
        </w:rPr>
        <w:t>k návrhu investičních pobídek pro investory v České republice</w:t>
      </w:r>
      <w:r>
        <w:rPr>
          <w:rFonts w:asciiTheme="minorHAnsi" w:hAnsiTheme="minorHAnsi" w:cstheme="minorHAnsi"/>
        </w:rPr>
        <w:t>.</w:t>
      </w:r>
    </w:p>
  </w:footnote>
  <w:footnote w:id="10">
    <w:p w14:paraId="10900B49" w14:textId="6E27844F" w:rsidR="00241F14" w:rsidRDefault="00241F14" w:rsidP="006D4E6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6D4E62">
        <w:tab/>
      </w:r>
      <w:r>
        <w:t>Jedná se o s</w:t>
      </w:r>
      <w:r w:rsidRPr="00796127">
        <w:t>trategickou prům</w:t>
      </w:r>
      <w:r>
        <w:t>yslovou zónu Ostrava</w:t>
      </w:r>
      <w:r w:rsidR="00C66541">
        <w:t>-</w:t>
      </w:r>
      <w:r>
        <w:t>Mošnov, s</w:t>
      </w:r>
      <w:r w:rsidRPr="00796127">
        <w:t>trategic</w:t>
      </w:r>
      <w:r>
        <w:t>kou průmyslovou zónu Holešov a s</w:t>
      </w:r>
      <w:r w:rsidRPr="00796127">
        <w:t>trategickou průmyslovou</w:t>
      </w:r>
      <w:r>
        <w:t xml:space="preserve"> zónu SPZ Joseph</w:t>
      </w:r>
      <w:r w:rsidR="00C66541">
        <w:t xml:space="preserve"> u Mostu</w:t>
      </w:r>
      <w:r>
        <w:t>. Tyto tři strategické průmyslové zóny byly schváleny jako zvýhodněné n</w:t>
      </w:r>
      <w:r w:rsidRPr="00796127">
        <w:t>a z</w:t>
      </w:r>
      <w:r>
        <w:t>ákladě usnesení vlády České republiky ze dne 8. </w:t>
      </w:r>
      <w:r w:rsidRPr="00796127">
        <w:t>července 2015 č. 537</w:t>
      </w:r>
      <w:r>
        <w:t xml:space="preserve">, </w:t>
      </w:r>
      <w:r w:rsidRPr="00C05A01">
        <w:rPr>
          <w:i/>
        </w:rPr>
        <w:t>k</w:t>
      </w:r>
      <w:r w:rsidR="000E67E0" w:rsidRPr="00C05A01">
        <w:rPr>
          <w:i/>
        </w:rPr>
        <w:t> </w:t>
      </w:r>
      <w:r w:rsidRPr="00C05A01">
        <w:rPr>
          <w:i/>
        </w:rPr>
        <w:t>návrhu lokalit „zvýhodněných průmyslových zón“ zřizovaných na základě zákona č. 72/2000 Sb., o</w:t>
      </w:r>
      <w:r w:rsidR="000E67E0" w:rsidRPr="00C05A01">
        <w:rPr>
          <w:i/>
        </w:rPr>
        <w:t> </w:t>
      </w:r>
      <w:r w:rsidRPr="00C05A01">
        <w:rPr>
          <w:i/>
        </w:rPr>
        <w:t>investičních pobídkách a o změně některých zákonů, ve znění pozdějších předpisů</w:t>
      </w:r>
      <w:r>
        <w:t xml:space="preserve">. </w:t>
      </w:r>
    </w:p>
  </w:footnote>
  <w:footnote w:id="11">
    <w:p w14:paraId="010DBAFA" w14:textId="77777777" w:rsidR="00241F14" w:rsidRDefault="00241F14" w:rsidP="007362C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6D4E62">
        <w:tab/>
      </w:r>
      <w:r>
        <w:t>Zaměřením technologického centra je aplikovaný výzkum, vývoj a inovace technicky či jinak vyspělých výrobků, technologií a výrobních procesů.</w:t>
      </w:r>
    </w:p>
  </w:footnote>
  <w:footnote w:id="12">
    <w:p w14:paraId="06CAB8EE" w14:textId="77777777" w:rsidR="00241F14" w:rsidRDefault="00241F14" w:rsidP="0071140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6D4E62">
        <w:tab/>
      </w:r>
      <w:r>
        <w:t>Centrum strategických služeb může být realizováno ve formě centra pro tvorbu softwaru se zaměřením na tvorbu nového nebo inovace stávajícího softwaru, datového centra se zaměřením na ukládání, třídění a</w:t>
      </w:r>
      <w:r w:rsidR="006D4E62">
        <w:t> </w:t>
      </w:r>
      <w:r>
        <w:t>správu dat, opravárenského centra se zaměřením na opravu technicky vyspělých zařízení nebo centra sdílených služeb se zaměřením na převzetí řízení, provozu a administrace vnitřních činností od ovládající nebo ovládané osoby nebo od smluvních partnerů, pro které nejsou tyto činnosti předmětem podnikání.</w:t>
      </w:r>
    </w:p>
  </w:footnote>
  <w:footnote w:id="13">
    <w:p w14:paraId="2A25271B" w14:textId="271FD479" w:rsidR="00241F14" w:rsidRDefault="00241F14" w:rsidP="006D4E6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6D4E62">
        <w:tab/>
      </w:r>
      <w:r>
        <w:t xml:space="preserve">Od roku 2008 byly investiční pobídky povoleny na základě blokové výjimky </w:t>
      </w:r>
      <w:r w:rsidRPr="00197B19">
        <w:t>v souladu s</w:t>
      </w:r>
      <w:r>
        <w:t> </w:t>
      </w:r>
      <w:r w:rsidR="000E67E0">
        <w:t>n</w:t>
      </w:r>
      <w:r>
        <w:t>ařízením Komise (ES) č. 800/2008 ze dne 6. srpna 2008, kterým se v souladu s články 87 a 88 Smlouvy o ES prohlašují určité kategorie podpory za slučitelné se společným trhem (obecné nařízení o blokových výjimkách) a od roku 2014 v souladu s </w:t>
      </w:r>
      <w:r w:rsidR="000E67E0">
        <w:t>n</w:t>
      </w:r>
      <w:r>
        <w:t>ařízením komise (EU) č. 651/2014 ze dne 17. června 2014, kterým se v souladu s články 107 a 108 Smlouvy prohlašují určité kategorie podpory za slučitelné s vnitřním trhem.</w:t>
      </w:r>
    </w:p>
  </w:footnote>
  <w:footnote w:id="14">
    <w:p w14:paraId="6E59EEF7" w14:textId="77777777" w:rsidR="00241F14" w:rsidRDefault="00241F14" w:rsidP="006D4E6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6D4E62">
        <w:tab/>
      </w:r>
      <w:r>
        <w:t xml:space="preserve">Usnesení vlády České republiky ze dne 21. dubna 2008 č. 445, </w:t>
      </w:r>
      <w:r w:rsidRPr="00C05A01">
        <w:rPr>
          <w:i/>
        </w:rPr>
        <w:t>k záměru na změnu systému investičních pobídek</w:t>
      </w:r>
      <w:r>
        <w:t>.</w:t>
      </w:r>
    </w:p>
  </w:footnote>
  <w:footnote w:id="15">
    <w:p w14:paraId="0B316C1D" w14:textId="77777777" w:rsidR="00241F14" w:rsidRDefault="00241F14" w:rsidP="006D4E6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 w:rsidR="006D4E62">
        <w:tab/>
      </w:r>
      <w:r>
        <w:t xml:space="preserve">Usnesení vlády České republiky ze dne 26. ledna 2009 č. 105, </w:t>
      </w:r>
      <w:r w:rsidRPr="00C05A01">
        <w:rPr>
          <w:i/>
        </w:rPr>
        <w:t>k návrhu zákona, kterým se mění zákon č. 72/2000 Sb., o investičních pobídkách a o změně některých zákonů (zákon o investičních pobídkách), ve znění pozdějších předpisů a zákon č. 435/2004 Sb., o zaměstnanosti, ve znění pozdějších předpisů</w:t>
      </w:r>
      <w:r>
        <w:t>.</w:t>
      </w:r>
    </w:p>
  </w:footnote>
  <w:footnote w:id="16">
    <w:p w14:paraId="020D3F79" w14:textId="77777777" w:rsidR="00241F14" w:rsidRDefault="00241F14" w:rsidP="008D2AA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8D2AAB">
        <w:tab/>
      </w:r>
      <w:r w:rsidRPr="000F2499">
        <w:rPr>
          <w:rFonts w:asciiTheme="minorHAnsi" w:hAnsiTheme="minorHAnsi" w:cstheme="minorHAnsi"/>
        </w:rPr>
        <w:t>Pro období 2014</w:t>
      </w:r>
      <w:r w:rsidR="008D2AAB">
        <w:rPr>
          <w:rFonts w:asciiTheme="minorHAnsi" w:hAnsiTheme="minorHAnsi" w:cstheme="minorHAnsi"/>
        </w:rPr>
        <w:t>–</w:t>
      </w:r>
      <w:r w:rsidRPr="000F2499">
        <w:rPr>
          <w:rFonts w:asciiTheme="minorHAnsi" w:hAnsiTheme="minorHAnsi" w:cstheme="minorHAnsi"/>
        </w:rPr>
        <w:t xml:space="preserve">2020 se jedná o hospodářsky problémové regiony, které jsou tvořeny územím </w:t>
      </w:r>
      <w:r>
        <w:rPr>
          <w:rFonts w:asciiTheme="minorHAnsi" w:hAnsiTheme="minorHAnsi" w:cstheme="minorHAnsi"/>
        </w:rPr>
        <w:t>57 obcí s </w:t>
      </w:r>
      <w:r w:rsidRPr="000F2499">
        <w:rPr>
          <w:rFonts w:asciiTheme="minorHAnsi" w:hAnsiTheme="minorHAnsi" w:cstheme="minorHAnsi"/>
        </w:rPr>
        <w:t>rozšířenou působnost</w:t>
      </w:r>
      <w:r w:rsidRPr="00B47C1E">
        <w:rPr>
          <w:rFonts w:asciiTheme="minorHAnsi" w:hAnsiTheme="minorHAnsi" w:cstheme="minorHAnsi"/>
        </w:rPr>
        <w:t xml:space="preserve">í. </w:t>
      </w:r>
      <w:r w:rsidRPr="000F2499">
        <w:rPr>
          <w:rFonts w:asciiTheme="minorHAnsi" w:hAnsiTheme="minorHAnsi" w:cstheme="minorHAnsi"/>
        </w:rPr>
        <w:t>Tyto regiony vymezuje Ministe</w:t>
      </w:r>
      <w:r>
        <w:rPr>
          <w:rFonts w:asciiTheme="minorHAnsi" w:hAnsiTheme="minorHAnsi" w:cstheme="minorHAnsi"/>
        </w:rPr>
        <w:t>r</w:t>
      </w:r>
      <w:r w:rsidRPr="000F2499">
        <w:rPr>
          <w:rFonts w:asciiTheme="minorHAnsi" w:hAnsiTheme="minorHAnsi" w:cstheme="minorHAnsi"/>
        </w:rPr>
        <w:t>stvo pro mís</w:t>
      </w:r>
      <w:r>
        <w:rPr>
          <w:rFonts w:asciiTheme="minorHAnsi" w:hAnsiTheme="minorHAnsi" w:cstheme="minorHAnsi"/>
        </w:rPr>
        <w:t>tní rozvoj na základě zákona č. </w:t>
      </w:r>
      <w:r w:rsidRPr="000F2499">
        <w:rPr>
          <w:rFonts w:asciiTheme="minorHAnsi" w:hAnsiTheme="minorHAnsi" w:cstheme="minorHAnsi"/>
        </w:rPr>
        <w:t xml:space="preserve">248/2000 Sb., o podpoře regionálního rozvoje. </w:t>
      </w:r>
      <w:r>
        <w:rPr>
          <w:rFonts w:asciiTheme="minorHAnsi" w:hAnsiTheme="minorHAnsi" w:cstheme="minorHAnsi"/>
        </w:rPr>
        <w:t xml:space="preserve">Vláda ČR uložila MPO </w:t>
      </w:r>
      <w:r>
        <w:t>z</w:t>
      </w:r>
      <w:r w:rsidRPr="004D000E">
        <w:t>výhodnění těchto regionů v r</w:t>
      </w:r>
      <w:r>
        <w:t>ámci programů veřejné podpory.</w:t>
      </w:r>
    </w:p>
  </w:footnote>
  <w:footnote w:id="17">
    <w:p w14:paraId="5148BB81" w14:textId="77777777" w:rsidR="00241F14" w:rsidRDefault="00241F14" w:rsidP="008D2AA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8D2AAB">
        <w:tab/>
      </w:r>
      <w:r>
        <w:t xml:space="preserve">Usnesení vlády České republiky ze dne 20. července 2020 č. 767, </w:t>
      </w:r>
      <w:r w:rsidRPr="00C05A01">
        <w:rPr>
          <w:i/>
        </w:rPr>
        <w:t>o souhlasu s poskytnutím investiční pobídky pro společnost Shimano Czech Republic, s.r.o</w:t>
      </w:r>
      <w:r>
        <w:t>.</w:t>
      </w:r>
    </w:p>
  </w:footnote>
  <w:footnote w:id="18">
    <w:p w14:paraId="6E4E26B2" w14:textId="79456E19" w:rsidR="00241F14" w:rsidRDefault="00241F14" w:rsidP="008D2AA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8D2AAB">
        <w:tab/>
      </w:r>
      <w:r>
        <w:t>Do 5. září 2019 ustanovení § 2 zákona o investičních pobídkách umožňovalo v případě, že celá investiční akce ve výrobě měla být realizov</w:t>
      </w:r>
      <w:r w:rsidR="00962269">
        <w:t>á</w:t>
      </w:r>
      <w:r>
        <w:t>n</w:t>
      </w:r>
      <w:r w:rsidR="00962269">
        <w:t>a</w:t>
      </w:r>
      <w:r>
        <w:t xml:space="preserve"> v okrese, v němž je míra nezaměstnanosti alespoň o 50 % vyšší než průměrná míra nezaměstnanosti v</w:t>
      </w:r>
      <w:r w:rsidR="00962269">
        <w:t> </w:t>
      </w:r>
      <w:r>
        <w:t>ČR</w:t>
      </w:r>
      <w:r w:rsidR="00962269">
        <w:t>,</w:t>
      </w:r>
      <w:r>
        <w:t xml:space="preserve"> snížit částku požadované minimální investice ze 100 mil. Kč na polovinu.</w:t>
      </w:r>
    </w:p>
  </w:footnote>
  <w:footnote w:id="19">
    <w:p w14:paraId="472F5B8C" w14:textId="6AD9F95D" w:rsidR="00241F14" w:rsidRDefault="00241F14" w:rsidP="008D2AAB">
      <w:pPr>
        <w:pStyle w:val="Textpoznpodarou"/>
        <w:ind w:left="284" w:hanging="284"/>
      </w:pPr>
      <w:r w:rsidRPr="00B85F4D">
        <w:rPr>
          <w:rStyle w:val="Znakapoznpodarou"/>
        </w:rPr>
        <w:footnoteRef/>
      </w:r>
      <w:r w:rsidRPr="00B85F4D">
        <w:t xml:space="preserve"> </w:t>
      </w:r>
      <w:r w:rsidR="008D2AAB">
        <w:tab/>
      </w:r>
      <w:r w:rsidR="00962269">
        <w:t xml:space="preserve">Viz </w:t>
      </w:r>
      <w:r w:rsidRPr="00C05A01">
        <w:rPr>
          <w:color w:val="0070C0"/>
        </w:rPr>
        <w:t>https://www.mpo.cz/cz/podnikani/dotace-a-podpora-podnikani/investicni-pobidky-a-prumyslove-zony/investicni-pobidky/hodnoceni-systemu-investicnich-pobidek--223090/</w:t>
      </w:r>
      <w:r w:rsidR="00962269">
        <w:t>.</w:t>
      </w:r>
    </w:p>
  </w:footnote>
  <w:footnote w:id="20">
    <w:p w14:paraId="7ED7DE73" w14:textId="74F6493B" w:rsidR="00241F14" w:rsidRDefault="00241F14" w:rsidP="0033315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333158">
        <w:tab/>
      </w:r>
      <w:r>
        <w:t xml:space="preserve">Usnesení vlády České republiky ze dne 9. února 2015 č. 97, </w:t>
      </w:r>
      <w:r w:rsidRPr="00C05A01">
        <w:rPr>
          <w:i/>
        </w:rPr>
        <w:t>k návrhu zabezpečení investiční přípravy akce Rozšíření strategické průmyslové zóny Solnice-Kvasiny a zlepšení veřejné infrastruktury v</w:t>
      </w:r>
      <w:r w:rsidR="00333158" w:rsidRPr="00C05A01">
        <w:rPr>
          <w:i/>
        </w:rPr>
        <w:t> </w:t>
      </w:r>
      <w:r w:rsidRPr="00C05A01">
        <w:rPr>
          <w:i/>
        </w:rPr>
        <w:t>Královéhradeckém regionu</w:t>
      </w:r>
      <w:r>
        <w:t>.</w:t>
      </w:r>
    </w:p>
  </w:footnote>
  <w:footnote w:id="21">
    <w:p w14:paraId="3A7DE4C1" w14:textId="77777777" w:rsidR="00241F14" w:rsidRDefault="00241F14" w:rsidP="0033315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333158">
        <w:tab/>
      </w:r>
      <w:r>
        <w:t xml:space="preserve">Usnesení vlády České republiky ze dne 27. února 2017 č. 162, </w:t>
      </w:r>
      <w:r w:rsidRPr="00C05A01">
        <w:rPr>
          <w:i/>
        </w:rPr>
        <w:t>k Opatřením k řešení bezpečnosti a veřejného pořádku v průmyslových zónách a jejich okolí v souvislosti se zvýšeným zaměstnáváním cizinců</w:t>
      </w:r>
      <w:r>
        <w:t>.</w:t>
      </w:r>
    </w:p>
  </w:footnote>
  <w:footnote w:id="22">
    <w:p w14:paraId="0ABD8713" w14:textId="77777777" w:rsidR="00241F14" w:rsidRDefault="00241F14" w:rsidP="00333158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333158">
        <w:tab/>
      </w:r>
      <w:r>
        <w:t xml:space="preserve">Nařízení vlády č. 596/2006 Sb., </w:t>
      </w:r>
      <w:r w:rsidRPr="002C0F54">
        <w:t>kterým se stanoví přípustná míra veřejné podpory v regionech soudržnosti České republiky, ve znění nařízení vlády č. 118/2014 Sb. a nařízení vlády č. 100/2015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B1C22" w14:textId="77777777" w:rsidR="00E130B9" w:rsidRDefault="00E130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70DE" w14:textId="77777777" w:rsidR="002426BD" w:rsidRDefault="002426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7AA8C" w14:textId="77777777" w:rsidR="00241F14" w:rsidRPr="006F63D5" w:rsidRDefault="00241F14" w:rsidP="00972D3C">
    <w:pPr>
      <w:pStyle w:val="Zhlav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904"/>
    <w:multiLevelType w:val="hybridMultilevel"/>
    <w:tmpl w:val="5BB461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6D31"/>
    <w:multiLevelType w:val="hybridMultilevel"/>
    <w:tmpl w:val="7D86D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FB8"/>
    <w:multiLevelType w:val="hybridMultilevel"/>
    <w:tmpl w:val="BE704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59D1"/>
    <w:multiLevelType w:val="hybridMultilevel"/>
    <w:tmpl w:val="EB2E0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562AF"/>
    <w:multiLevelType w:val="hybridMultilevel"/>
    <w:tmpl w:val="F482E3A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333901"/>
    <w:multiLevelType w:val="hybridMultilevel"/>
    <w:tmpl w:val="17E02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1894"/>
    <w:multiLevelType w:val="hybridMultilevel"/>
    <w:tmpl w:val="4E4AF01E"/>
    <w:lvl w:ilvl="0" w:tplc="823EF330">
      <w:start w:val="1"/>
      <w:numFmt w:val="decimal"/>
      <w:pStyle w:val="Nadpis2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6A14B21"/>
    <w:multiLevelType w:val="hybridMultilevel"/>
    <w:tmpl w:val="39666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24AF1"/>
    <w:multiLevelType w:val="hybridMultilevel"/>
    <w:tmpl w:val="73249DFA"/>
    <w:lvl w:ilvl="0" w:tplc="1A2668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5441F"/>
    <w:multiLevelType w:val="hybridMultilevel"/>
    <w:tmpl w:val="D43A2C8A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D86C95"/>
    <w:multiLevelType w:val="hybridMultilevel"/>
    <w:tmpl w:val="CC4C2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5B40"/>
    <w:multiLevelType w:val="hybridMultilevel"/>
    <w:tmpl w:val="F14A5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D59F0"/>
    <w:multiLevelType w:val="hybridMultilevel"/>
    <w:tmpl w:val="8E8406BE"/>
    <w:lvl w:ilvl="0" w:tplc="46E2C65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54E24"/>
    <w:multiLevelType w:val="hybridMultilevel"/>
    <w:tmpl w:val="12C45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C0641"/>
    <w:multiLevelType w:val="hybridMultilevel"/>
    <w:tmpl w:val="45F66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1AD"/>
    <w:multiLevelType w:val="hybridMultilevel"/>
    <w:tmpl w:val="87F67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A1911"/>
    <w:multiLevelType w:val="hybridMultilevel"/>
    <w:tmpl w:val="F68E3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E3CD4"/>
    <w:multiLevelType w:val="hybridMultilevel"/>
    <w:tmpl w:val="AA4492B6"/>
    <w:lvl w:ilvl="0" w:tplc="5822614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C7709"/>
    <w:multiLevelType w:val="hybridMultilevel"/>
    <w:tmpl w:val="EC1EEAD2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13A"/>
    <w:multiLevelType w:val="hybridMultilevel"/>
    <w:tmpl w:val="57408920"/>
    <w:lvl w:ilvl="0" w:tplc="190AD8DE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C2625"/>
    <w:multiLevelType w:val="hybridMultilevel"/>
    <w:tmpl w:val="3EACB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A11DA"/>
    <w:multiLevelType w:val="hybridMultilevel"/>
    <w:tmpl w:val="2884C8BA"/>
    <w:lvl w:ilvl="0" w:tplc="03EE13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A28E41E">
      <w:start w:val="1"/>
      <w:numFmt w:val="lowerLetter"/>
      <w:lvlText w:val="%2."/>
      <w:lvlJc w:val="left"/>
      <w:pPr>
        <w:ind w:left="1440" w:hanging="360"/>
      </w:pPr>
    </w:lvl>
    <w:lvl w:ilvl="2" w:tplc="D0E2FFC0" w:tentative="1">
      <w:start w:val="1"/>
      <w:numFmt w:val="lowerRoman"/>
      <w:lvlText w:val="%3."/>
      <w:lvlJc w:val="right"/>
      <w:pPr>
        <w:ind w:left="2160" w:hanging="180"/>
      </w:pPr>
    </w:lvl>
    <w:lvl w:ilvl="3" w:tplc="382E955E" w:tentative="1">
      <w:start w:val="1"/>
      <w:numFmt w:val="decimal"/>
      <w:lvlText w:val="%4."/>
      <w:lvlJc w:val="left"/>
      <w:pPr>
        <w:ind w:left="2880" w:hanging="360"/>
      </w:pPr>
    </w:lvl>
    <w:lvl w:ilvl="4" w:tplc="E638B3A0" w:tentative="1">
      <w:start w:val="1"/>
      <w:numFmt w:val="lowerLetter"/>
      <w:lvlText w:val="%5."/>
      <w:lvlJc w:val="left"/>
      <w:pPr>
        <w:ind w:left="3600" w:hanging="360"/>
      </w:pPr>
    </w:lvl>
    <w:lvl w:ilvl="5" w:tplc="743E0ECC" w:tentative="1">
      <w:start w:val="1"/>
      <w:numFmt w:val="lowerRoman"/>
      <w:lvlText w:val="%6."/>
      <w:lvlJc w:val="right"/>
      <w:pPr>
        <w:ind w:left="4320" w:hanging="180"/>
      </w:pPr>
    </w:lvl>
    <w:lvl w:ilvl="6" w:tplc="00D082E2" w:tentative="1">
      <w:start w:val="1"/>
      <w:numFmt w:val="decimal"/>
      <w:lvlText w:val="%7."/>
      <w:lvlJc w:val="left"/>
      <w:pPr>
        <w:ind w:left="5040" w:hanging="360"/>
      </w:pPr>
    </w:lvl>
    <w:lvl w:ilvl="7" w:tplc="BC14C158" w:tentative="1">
      <w:start w:val="1"/>
      <w:numFmt w:val="lowerLetter"/>
      <w:lvlText w:val="%8."/>
      <w:lvlJc w:val="left"/>
      <w:pPr>
        <w:ind w:left="5760" w:hanging="360"/>
      </w:pPr>
    </w:lvl>
    <w:lvl w:ilvl="8" w:tplc="FC68A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91997"/>
    <w:multiLevelType w:val="hybridMultilevel"/>
    <w:tmpl w:val="99889F98"/>
    <w:lvl w:ilvl="0" w:tplc="1A56ADF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B0848"/>
    <w:multiLevelType w:val="hybridMultilevel"/>
    <w:tmpl w:val="E46A4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67B62"/>
    <w:multiLevelType w:val="hybridMultilevel"/>
    <w:tmpl w:val="80B08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7E3F"/>
    <w:multiLevelType w:val="hybridMultilevel"/>
    <w:tmpl w:val="208A9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E4AC0"/>
    <w:multiLevelType w:val="hybridMultilevel"/>
    <w:tmpl w:val="CDE2D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85890"/>
    <w:multiLevelType w:val="hybridMultilevel"/>
    <w:tmpl w:val="BAC80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55A1E"/>
    <w:multiLevelType w:val="hybridMultilevel"/>
    <w:tmpl w:val="D8EEDF42"/>
    <w:lvl w:ilvl="0" w:tplc="D8806946">
      <w:numFmt w:val="bullet"/>
      <w:lvlText w:val="-"/>
      <w:lvlJc w:val="left"/>
      <w:pPr>
        <w:ind w:left="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61B52C32"/>
    <w:multiLevelType w:val="hybridMultilevel"/>
    <w:tmpl w:val="84BED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533983"/>
    <w:multiLevelType w:val="hybridMultilevel"/>
    <w:tmpl w:val="8722928E"/>
    <w:lvl w:ilvl="0" w:tplc="45EE0C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92696"/>
    <w:multiLevelType w:val="hybridMultilevel"/>
    <w:tmpl w:val="053A018C"/>
    <w:lvl w:ilvl="0" w:tplc="46E2C6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75949"/>
    <w:multiLevelType w:val="hybridMultilevel"/>
    <w:tmpl w:val="31502E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A5264"/>
    <w:multiLevelType w:val="hybridMultilevel"/>
    <w:tmpl w:val="25323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5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14"/>
  </w:num>
  <w:num w:numId="7">
    <w:abstractNumId w:val="11"/>
  </w:num>
  <w:num w:numId="8">
    <w:abstractNumId w:val="24"/>
  </w:num>
  <w:num w:numId="9">
    <w:abstractNumId w:val="32"/>
  </w:num>
  <w:num w:numId="10">
    <w:abstractNumId w:val="27"/>
  </w:num>
  <w:num w:numId="11">
    <w:abstractNumId w:val="13"/>
  </w:num>
  <w:num w:numId="12">
    <w:abstractNumId w:val="21"/>
  </w:num>
  <w:num w:numId="13">
    <w:abstractNumId w:val="25"/>
  </w:num>
  <w:num w:numId="14">
    <w:abstractNumId w:val="19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26"/>
  </w:num>
  <w:num w:numId="20">
    <w:abstractNumId w:val="23"/>
  </w:num>
  <w:num w:numId="21">
    <w:abstractNumId w:val="5"/>
  </w:num>
  <w:num w:numId="22">
    <w:abstractNumId w:val="4"/>
  </w:num>
  <w:num w:numId="23">
    <w:abstractNumId w:val="30"/>
  </w:num>
  <w:num w:numId="24">
    <w:abstractNumId w:val="20"/>
  </w:num>
  <w:num w:numId="25">
    <w:abstractNumId w:val="8"/>
  </w:num>
  <w:num w:numId="26">
    <w:abstractNumId w:val="7"/>
  </w:num>
  <w:num w:numId="27">
    <w:abstractNumId w:val="28"/>
  </w:num>
  <w:num w:numId="28">
    <w:abstractNumId w:val="29"/>
  </w:num>
  <w:num w:numId="29">
    <w:abstractNumId w:val="6"/>
    <w:lvlOverride w:ilvl="0">
      <w:startOverride w:val="1"/>
    </w:lvlOverride>
  </w:num>
  <w:num w:numId="30">
    <w:abstractNumId w:val="0"/>
  </w:num>
  <w:num w:numId="31">
    <w:abstractNumId w:val="2"/>
  </w:num>
  <w:num w:numId="32">
    <w:abstractNumId w:val="10"/>
  </w:num>
  <w:num w:numId="33">
    <w:abstractNumId w:val="22"/>
  </w:num>
  <w:num w:numId="34">
    <w:abstractNumId w:val="17"/>
  </w:num>
  <w:num w:numId="35">
    <w:abstractNumId w:val="1"/>
  </w:num>
  <w:num w:numId="36">
    <w:abstractNumId w:val="1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B3724"/>
    <w:rsid w:val="00000330"/>
    <w:rsid w:val="00000BCF"/>
    <w:rsid w:val="0000251F"/>
    <w:rsid w:val="00002599"/>
    <w:rsid w:val="00003288"/>
    <w:rsid w:val="000056A2"/>
    <w:rsid w:val="000128B2"/>
    <w:rsid w:val="00015B0A"/>
    <w:rsid w:val="00016254"/>
    <w:rsid w:val="0001658D"/>
    <w:rsid w:val="00016AFF"/>
    <w:rsid w:val="00016CAB"/>
    <w:rsid w:val="00020393"/>
    <w:rsid w:val="00020D87"/>
    <w:rsid w:val="00021654"/>
    <w:rsid w:val="0002404E"/>
    <w:rsid w:val="00024651"/>
    <w:rsid w:val="0002611C"/>
    <w:rsid w:val="00026AE9"/>
    <w:rsid w:val="00027EB2"/>
    <w:rsid w:val="000302B5"/>
    <w:rsid w:val="0003724A"/>
    <w:rsid w:val="000425B6"/>
    <w:rsid w:val="0004637C"/>
    <w:rsid w:val="000534E1"/>
    <w:rsid w:val="0005647F"/>
    <w:rsid w:val="000566DC"/>
    <w:rsid w:val="00056FDA"/>
    <w:rsid w:val="00063B25"/>
    <w:rsid w:val="000715F7"/>
    <w:rsid w:val="00073940"/>
    <w:rsid w:val="00073B70"/>
    <w:rsid w:val="00080C46"/>
    <w:rsid w:val="00082A4F"/>
    <w:rsid w:val="00083E4E"/>
    <w:rsid w:val="000847FB"/>
    <w:rsid w:val="000849EF"/>
    <w:rsid w:val="000856B7"/>
    <w:rsid w:val="00090A4D"/>
    <w:rsid w:val="0009161F"/>
    <w:rsid w:val="00092573"/>
    <w:rsid w:val="00092EF1"/>
    <w:rsid w:val="0009379F"/>
    <w:rsid w:val="00093BFE"/>
    <w:rsid w:val="000945B7"/>
    <w:rsid w:val="000945E8"/>
    <w:rsid w:val="00094621"/>
    <w:rsid w:val="000974DE"/>
    <w:rsid w:val="000A123C"/>
    <w:rsid w:val="000A312F"/>
    <w:rsid w:val="000B0AC1"/>
    <w:rsid w:val="000B3E62"/>
    <w:rsid w:val="000B518E"/>
    <w:rsid w:val="000B674B"/>
    <w:rsid w:val="000B7DA4"/>
    <w:rsid w:val="000C013D"/>
    <w:rsid w:val="000C1B1A"/>
    <w:rsid w:val="000C215A"/>
    <w:rsid w:val="000D00F5"/>
    <w:rsid w:val="000D187D"/>
    <w:rsid w:val="000D19A3"/>
    <w:rsid w:val="000D38B6"/>
    <w:rsid w:val="000D4F90"/>
    <w:rsid w:val="000E0037"/>
    <w:rsid w:val="000E04EB"/>
    <w:rsid w:val="000E31DB"/>
    <w:rsid w:val="000E67E0"/>
    <w:rsid w:val="000E73F7"/>
    <w:rsid w:val="000E7D3B"/>
    <w:rsid w:val="000F4C22"/>
    <w:rsid w:val="000F619C"/>
    <w:rsid w:val="00100BD7"/>
    <w:rsid w:val="00103F25"/>
    <w:rsid w:val="00107907"/>
    <w:rsid w:val="00110F83"/>
    <w:rsid w:val="0011228B"/>
    <w:rsid w:val="001122ED"/>
    <w:rsid w:val="00115B23"/>
    <w:rsid w:val="00116B75"/>
    <w:rsid w:val="00117528"/>
    <w:rsid w:val="00117FD9"/>
    <w:rsid w:val="00121499"/>
    <w:rsid w:val="00121B98"/>
    <w:rsid w:val="0012264D"/>
    <w:rsid w:val="001266AE"/>
    <w:rsid w:val="001269DF"/>
    <w:rsid w:val="00126B2F"/>
    <w:rsid w:val="00126CF8"/>
    <w:rsid w:val="00136E6D"/>
    <w:rsid w:val="0013799D"/>
    <w:rsid w:val="00145DE8"/>
    <w:rsid w:val="00147093"/>
    <w:rsid w:val="001502F0"/>
    <w:rsid w:val="001525E4"/>
    <w:rsid w:val="00152C0C"/>
    <w:rsid w:val="001579EC"/>
    <w:rsid w:val="00161F79"/>
    <w:rsid w:val="001622C4"/>
    <w:rsid w:val="00163C52"/>
    <w:rsid w:val="00164B71"/>
    <w:rsid w:val="001659D3"/>
    <w:rsid w:val="00165ECB"/>
    <w:rsid w:val="00166798"/>
    <w:rsid w:val="00166C24"/>
    <w:rsid w:val="001722C0"/>
    <w:rsid w:val="00173C33"/>
    <w:rsid w:val="00176E0F"/>
    <w:rsid w:val="00180440"/>
    <w:rsid w:val="001814FA"/>
    <w:rsid w:val="00194DC5"/>
    <w:rsid w:val="00196471"/>
    <w:rsid w:val="001A3136"/>
    <w:rsid w:val="001A34F4"/>
    <w:rsid w:val="001A775E"/>
    <w:rsid w:val="001B0B82"/>
    <w:rsid w:val="001B0BAD"/>
    <w:rsid w:val="001B16BD"/>
    <w:rsid w:val="001B18BE"/>
    <w:rsid w:val="001B239B"/>
    <w:rsid w:val="001B3FB7"/>
    <w:rsid w:val="001B5F3D"/>
    <w:rsid w:val="001B71ED"/>
    <w:rsid w:val="001B72B7"/>
    <w:rsid w:val="001C01D2"/>
    <w:rsid w:val="001C2EDF"/>
    <w:rsid w:val="001C35A0"/>
    <w:rsid w:val="001C47C9"/>
    <w:rsid w:val="001C6951"/>
    <w:rsid w:val="001C6F1C"/>
    <w:rsid w:val="001C7EC9"/>
    <w:rsid w:val="001D1C04"/>
    <w:rsid w:val="001D2BC9"/>
    <w:rsid w:val="001D2EE2"/>
    <w:rsid w:val="001D5D98"/>
    <w:rsid w:val="001D6CB6"/>
    <w:rsid w:val="001E05E8"/>
    <w:rsid w:val="001E449A"/>
    <w:rsid w:val="001E5D44"/>
    <w:rsid w:val="001E630A"/>
    <w:rsid w:val="001E6FC4"/>
    <w:rsid w:val="001E7E6C"/>
    <w:rsid w:val="001F1614"/>
    <w:rsid w:val="001F552E"/>
    <w:rsid w:val="001F607A"/>
    <w:rsid w:val="001F6704"/>
    <w:rsid w:val="00201D5A"/>
    <w:rsid w:val="002023AE"/>
    <w:rsid w:val="002024F5"/>
    <w:rsid w:val="00203177"/>
    <w:rsid w:val="00206ED9"/>
    <w:rsid w:val="0020750D"/>
    <w:rsid w:val="002105E0"/>
    <w:rsid w:val="002118FF"/>
    <w:rsid w:val="002132E1"/>
    <w:rsid w:val="00214767"/>
    <w:rsid w:val="002157FF"/>
    <w:rsid w:val="002158A7"/>
    <w:rsid w:val="00217248"/>
    <w:rsid w:val="002173F7"/>
    <w:rsid w:val="00217429"/>
    <w:rsid w:val="0021759B"/>
    <w:rsid w:val="002200F7"/>
    <w:rsid w:val="00223FC7"/>
    <w:rsid w:val="00223FF7"/>
    <w:rsid w:val="0022448C"/>
    <w:rsid w:val="00224676"/>
    <w:rsid w:val="0022689B"/>
    <w:rsid w:val="00227A2F"/>
    <w:rsid w:val="00232C82"/>
    <w:rsid w:val="0023307A"/>
    <w:rsid w:val="00235FBE"/>
    <w:rsid w:val="00237172"/>
    <w:rsid w:val="0024184E"/>
    <w:rsid w:val="00241F14"/>
    <w:rsid w:val="002426BD"/>
    <w:rsid w:val="002429E5"/>
    <w:rsid w:val="002433BF"/>
    <w:rsid w:val="00243E20"/>
    <w:rsid w:val="00244BF1"/>
    <w:rsid w:val="00246E02"/>
    <w:rsid w:val="00246ED7"/>
    <w:rsid w:val="00250958"/>
    <w:rsid w:val="00251457"/>
    <w:rsid w:val="002524CD"/>
    <w:rsid w:val="00254663"/>
    <w:rsid w:val="00255BF4"/>
    <w:rsid w:val="00261133"/>
    <w:rsid w:val="0026124B"/>
    <w:rsid w:val="0026163E"/>
    <w:rsid w:val="00261F2C"/>
    <w:rsid w:val="0026607D"/>
    <w:rsid w:val="00266632"/>
    <w:rsid w:val="00267E99"/>
    <w:rsid w:val="00271055"/>
    <w:rsid w:val="00272348"/>
    <w:rsid w:val="00272463"/>
    <w:rsid w:val="00272D08"/>
    <w:rsid w:val="00273193"/>
    <w:rsid w:val="00274719"/>
    <w:rsid w:val="00274A6C"/>
    <w:rsid w:val="00275D8B"/>
    <w:rsid w:val="00277B4A"/>
    <w:rsid w:val="00277BD8"/>
    <w:rsid w:val="00281496"/>
    <w:rsid w:val="002835F3"/>
    <w:rsid w:val="00285AFC"/>
    <w:rsid w:val="00286791"/>
    <w:rsid w:val="0028711E"/>
    <w:rsid w:val="002877D5"/>
    <w:rsid w:val="002926C0"/>
    <w:rsid w:val="002945A6"/>
    <w:rsid w:val="002A0F98"/>
    <w:rsid w:val="002A1D99"/>
    <w:rsid w:val="002A1E7A"/>
    <w:rsid w:val="002A40C6"/>
    <w:rsid w:val="002A439F"/>
    <w:rsid w:val="002B0E05"/>
    <w:rsid w:val="002B0F62"/>
    <w:rsid w:val="002B31DB"/>
    <w:rsid w:val="002B465B"/>
    <w:rsid w:val="002B4DBD"/>
    <w:rsid w:val="002C0736"/>
    <w:rsid w:val="002C0F54"/>
    <w:rsid w:val="002C5CBB"/>
    <w:rsid w:val="002C65BE"/>
    <w:rsid w:val="002C6951"/>
    <w:rsid w:val="002D61D5"/>
    <w:rsid w:val="002E0C5E"/>
    <w:rsid w:val="002E1BEA"/>
    <w:rsid w:val="002E39AF"/>
    <w:rsid w:val="002E5F2D"/>
    <w:rsid w:val="002E7028"/>
    <w:rsid w:val="002E70D5"/>
    <w:rsid w:val="002E7E81"/>
    <w:rsid w:val="002F238A"/>
    <w:rsid w:val="002F3884"/>
    <w:rsid w:val="002F4B90"/>
    <w:rsid w:val="002F5F79"/>
    <w:rsid w:val="002F632D"/>
    <w:rsid w:val="002F7FC6"/>
    <w:rsid w:val="0030010D"/>
    <w:rsid w:val="00301C60"/>
    <w:rsid w:val="0030214E"/>
    <w:rsid w:val="00303C45"/>
    <w:rsid w:val="003064CE"/>
    <w:rsid w:val="003100F8"/>
    <w:rsid w:val="00312788"/>
    <w:rsid w:val="00313BAD"/>
    <w:rsid w:val="00313CD3"/>
    <w:rsid w:val="00316136"/>
    <w:rsid w:val="00320A71"/>
    <w:rsid w:val="0032569C"/>
    <w:rsid w:val="00326A8A"/>
    <w:rsid w:val="00327F42"/>
    <w:rsid w:val="00332553"/>
    <w:rsid w:val="00333158"/>
    <w:rsid w:val="003410FA"/>
    <w:rsid w:val="00344627"/>
    <w:rsid w:val="00346600"/>
    <w:rsid w:val="00355CEA"/>
    <w:rsid w:val="003566A8"/>
    <w:rsid w:val="003568E9"/>
    <w:rsid w:val="003571BA"/>
    <w:rsid w:val="00360E01"/>
    <w:rsid w:val="003639C6"/>
    <w:rsid w:val="003716A0"/>
    <w:rsid w:val="003723CF"/>
    <w:rsid w:val="00373BB6"/>
    <w:rsid w:val="003745FB"/>
    <w:rsid w:val="00374C56"/>
    <w:rsid w:val="003750ED"/>
    <w:rsid w:val="0037582E"/>
    <w:rsid w:val="00375B58"/>
    <w:rsid w:val="00375C28"/>
    <w:rsid w:val="00376252"/>
    <w:rsid w:val="00377CE5"/>
    <w:rsid w:val="00381F21"/>
    <w:rsid w:val="00383794"/>
    <w:rsid w:val="00384C3C"/>
    <w:rsid w:val="0038594F"/>
    <w:rsid w:val="00385BE9"/>
    <w:rsid w:val="00386D7A"/>
    <w:rsid w:val="003877FB"/>
    <w:rsid w:val="00393DFB"/>
    <w:rsid w:val="00396FDB"/>
    <w:rsid w:val="003A01D5"/>
    <w:rsid w:val="003A0D9F"/>
    <w:rsid w:val="003A566D"/>
    <w:rsid w:val="003B045C"/>
    <w:rsid w:val="003B2877"/>
    <w:rsid w:val="003B64DE"/>
    <w:rsid w:val="003B7857"/>
    <w:rsid w:val="003B7B69"/>
    <w:rsid w:val="003C13E3"/>
    <w:rsid w:val="003C6987"/>
    <w:rsid w:val="003C79DE"/>
    <w:rsid w:val="003D0C6D"/>
    <w:rsid w:val="003D2390"/>
    <w:rsid w:val="003D35A2"/>
    <w:rsid w:val="003D5278"/>
    <w:rsid w:val="003D633D"/>
    <w:rsid w:val="003E17A7"/>
    <w:rsid w:val="003E20E0"/>
    <w:rsid w:val="003E336F"/>
    <w:rsid w:val="003E3A70"/>
    <w:rsid w:val="003E3DE0"/>
    <w:rsid w:val="003F35DE"/>
    <w:rsid w:val="003F4B01"/>
    <w:rsid w:val="003F4BD9"/>
    <w:rsid w:val="003F514B"/>
    <w:rsid w:val="003F6E58"/>
    <w:rsid w:val="00401892"/>
    <w:rsid w:val="00402948"/>
    <w:rsid w:val="0040425A"/>
    <w:rsid w:val="00404AEC"/>
    <w:rsid w:val="00406F7F"/>
    <w:rsid w:val="00407605"/>
    <w:rsid w:val="0040796A"/>
    <w:rsid w:val="00411DC2"/>
    <w:rsid w:val="00412AE3"/>
    <w:rsid w:val="00423CB0"/>
    <w:rsid w:val="00425FEA"/>
    <w:rsid w:val="0042731F"/>
    <w:rsid w:val="00432168"/>
    <w:rsid w:val="0043216F"/>
    <w:rsid w:val="00433642"/>
    <w:rsid w:val="00433785"/>
    <w:rsid w:val="00435AB3"/>
    <w:rsid w:val="00436B83"/>
    <w:rsid w:val="0044094F"/>
    <w:rsid w:val="00445C6C"/>
    <w:rsid w:val="00445F96"/>
    <w:rsid w:val="00446055"/>
    <w:rsid w:val="004460BB"/>
    <w:rsid w:val="0044728A"/>
    <w:rsid w:val="00447769"/>
    <w:rsid w:val="00451E2F"/>
    <w:rsid w:val="004553E4"/>
    <w:rsid w:val="00455ED4"/>
    <w:rsid w:val="00455FB5"/>
    <w:rsid w:val="00456D5E"/>
    <w:rsid w:val="0046016A"/>
    <w:rsid w:val="00461DCF"/>
    <w:rsid w:val="00462D2C"/>
    <w:rsid w:val="00467972"/>
    <w:rsid w:val="00470A0A"/>
    <w:rsid w:val="0047159B"/>
    <w:rsid w:val="00473FAE"/>
    <w:rsid w:val="00474D1E"/>
    <w:rsid w:val="00475D0F"/>
    <w:rsid w:val="00477CAD"/>
    <w:rsid w:val="00481431"/>
    <w:rsid w:val="00484816"/>
    <w:rsid w:val="00487F83"/>
    <w:rsid w:val="004901C2"/>
    <w:rsid w:val="00490B20"/>
    <w:rsid w:val="0049337D"/>
    <w:rsid w:val="0049365C"/>
    <w:rsid w:val="0049583F"/>
    <w:rsid w:val="004A0926"/>
    <w:rsid w:val="004A2C8C"/>
    <w:rsid w:val="004A46D7"/>
    <w:rsid w:val="004A6F6E"/>
    <w:rsid w:val="004B3911"/>
    <w:rsid w:val="004B52CF"/>
    <w:rsid w:val="004B5D78"/>
    <w:rsid w:val="004B6193"/>
    <w:rsid w:val="004B7B94"/>
    <w:rsid w:val="004C13CA"/>
    <w:rsid w:val="004C299C"/>
    <w:rsid w:val="004C66D5"/>
    <w:rsid w:val="004C7442"/>
    <w:rsid w:val="004C7AC3"/>
    <w:rsid w:val="004C7D5B"/>
    <w:rsid w:val="004C7FD2"/>
    <w:rsid w:val="004D0460"/>
    <w:rsid w:val="004D1443"/>
    <w:rsid w:val="004D2C87"/>
    <w:rsid w:val="004D3996"/>
    <w:rsid w:val="004D44FA"/>
    <w:rsid w:val="004D6AA5"/>
    <w:rsid w:val="004D7FFC"/>
    <w:rsid w:val="004E17FE"/>
    <w:rsid w:val="004E3B42"/>
    <w:rsid w:val="004E4466"/>
    <w:rsid w:val="004E6283"/>
    <w:rsid w:val="004F230F"/>
    <w:rsid w:val="004F25AD"/>
    <w:rsid w:val="004F616C"/>
    <w:rsid w:val="00502687"/>
    <w:rsid w:val="00507C8E"/>
    <w:rsid w:val="00511EA7"/>
    <w:rsid w:val="00521FAF"/>
    <w:rsid w:val="00522AB8"/>
    <w:rsid w:val="00523B4D"/>
    <w:rsid w:val="00524CC3"/>
    <w:rsid w:val="00527BC1"/>
    <w:rsid w:val="00527CF8"/>
    <w:rsid w:val="00530866"/>
    <w:rsid w:val="00533E99"/>
    <w:rsid w:val="005357C2"/>
    <w:rsid w:val="00536360"/>
    <w:rsid w:val="00536B15"/>
    <w:rsid w:val="0053745A"/>
    <w:rsid w:val="005379C8"/>
    <w:rsid w:val="00537BA1"/>
    <w:rsid w:val="00540F9E"/>
    <w:rsid w:val="00542005"/>
    <w:rsid w:val="0054621C"/>
    <w:rsid w:val="005470F0"/>
    <w:rsid w:val="005477D2"/>
    <w:rsid w:val="005500D7"/>
    <w:rsid w:val="00552B18"/>
    <w:rsid w:val="00553DC2"/>
    <w:rsid w:val="0055409B"/>
    <w:rsid w:val="005546D1"/>
    <w:rsid w:val="00555188"/>
    <w:rsid w:val="005556AD"/>
    <w:rsid w:val="00555C3C"/>
    <w:rsid w:val="00556425"/>
    <w:rsid w:val="005567CE"/>
    <w:rsid w:val="005616B2"/>
    <w:rsid w:val="0056295A"/>
    <w:rsid w:val="00564866"/>
    <w:rsid w:val="00565AC8"/>
    <w:rsid w:val="005664FC"/>
    <w:rsid w:val="00567C29"/>
    <w:rsid w:val="00567F50"/>
    <w:rsid w:val="00570605"/>
    <w:rsid w:val="00575078"/>
    <w:rsid w:val="005762DD"/>
    <w:rsid w:val="005808FF"/>
    <w:rsid w:val="0058367B"/>
    <w:rsid w:val="00585CE7"/>
    <w:rsid w:val="00590FC2"/>
    <w:rsid w:val="00594C73"/>
    <w:rsid w:val="00594E2F"/>
    <w:rsid w:val="00595646"/>
    <w:rsid w:val="00595B69"/>
    <w:rsid w:val="00595EC5"/>
    <w:rsid w:val="00596197"/>
    <w:rsid w:val="005962DA"/>
    <w:rsid w:val="005A02E5"/>
    <w:rsid w:val="005A3093"/>
    <w:rsid w:val="005A6C26"/>
    <w:rsid w:val="005A7429"/>
    <w:rsid w:val="005A752E"/>
    <w:rsid w:val="005A7950"/>
    <w:rsid w:val="005B0830"/>
    <w:rsid w:val="005B0857"/>
    <w:rsid w:val="005B1EE7"/>
    <w:rsid w:val="005C1191"/>
    <w:rsid w:val="005C464A"/>
    <w:rsid w:val="005C5421"/>
    <w:rsid w:val="005C6B18"/>
    <w:rsid w:val="005D040D"/>
    <w:rsid w:val="005D162F"/>
    <w:rsid w:val="005D2A69"/>
    <w:rsid w:val="005D6774"/>
    <w:rsid w:val="005D6C59"/>
    <w:rsid w:val="005D766A"/>
    <w:rsid w:val="005D78E5"/>
    <w:rsid w:val="005E0CE4"/>
    <w:rsid w:val="005E529E"/>
    <w:rsid w:val="005E5C07"/>
    <w:rsid w:val="005E6B58"/>
    <w:rsid w:val="005E749D"/>
    <w:rsid w:val="005F1608"/>
    <w:rsid w:val="005F3D8A"/>
    <w:rsid w:val="006066D8"/>
    <w:rsid w:val="00607083"/>
    <w:rsid w:val="006120D0"/>
    <w:rsid w:val="006139B0"/>
    <w:rsid w:val="006157F4"/>
    <w:rsid w:val="00622C3E"/>
    <w:rsid w:val="00630C8A"/>
    <w:rsid w:val="00630D4D"/>
    <w:rsid w:val="0063105E"/>
    <w:rsid w:val="006315FC"/>
    <w:rsid w:val="00631AFB"/>
    <w:rsid w:val="00635236"/>
    <w:rsid w:val="00637795"/>
    <w:rsid w:val="00637AFC"/>
    <w:rsid w:val="00640D07"/>
    <w:rsid w:val="00641468"/>
    <w:rsid w:val="00642057"/>
    <w:rsid w:val="00642528"/>
    <w:rsid w:val="00644B17"/>
    <w:rsid w:val="00644DB7"/>
    <w:rsid w:val="0065095C"/>
    <w:rsid w:val="0065341E"/>
    <w:rsid w:val="00656D0C"/>
    <w:rsid w:val="0066073D"/>
    <w:rsid w:val="00662E1F"/>
    <w:rsid w:val="00664008"/>
    <w:rsid w:val="00665266"/>
    <w:rsid w:val="0066711D"/>
    <w:rsid w:val="00670865"/>
    <w:rsid w:val="00672A67"/>
    <w:rsid w:val="006774BE"/>
    <w:rsid w:val="00680633"/>
    <w:rsid w:val="00681F55"/>
    <w:rsid w:val="00683B95"/>
    <w:rsid w:val="00684789"/>
    <w:rsid w:val="006855F5"/>
    <w:rsid w:val="006867A7"/>
    <w:rsid w:val="00691432"/>
    <w:rsid w:val="006938FF"/>
    <w:rsid w:val="006944B1"/>
    <w:rsid w:val="00695231"/>
    <w:rsid w:val="006A4507"/>
    <w:rsid w:val="006A5AF5"/>
    <w:rsid w:val="006B37FE"/>
    <w:rsid w:val="006B38BC"/>
    <w:rsid w:val="006B5078"/>
    <w:rsid w:val="006B5FDB"/>
    <w:rsid w:val="006B67F7"/>
    <w:rsid w:val="006C2FF2"/>
    <w:rsid w:val="006C3BA9"/>
    <w:rsid w:val="006C4DD0"/>
    <w:rsid w:val="006C50A3"/>
    <w:rsid w:val="006C59BC"/>
    <w:rsid w:val="006C680D"/>
    <w:rsid w:val="006C75ED"/>
    <w:rsid w:val="006D0F1B"/>
    <w:rsid w:val="006D2564"/>
    <w:rsid w:val="006D2634"/>
    <w:rsid w:val="006D47A0"/>
    <w:rsid w:val="006D4881"/>
    <w:rsid w:val="006D4E62"/>
    <w:rsid w:val="006D4EAE"/>
    <w:rsid w:val="006E0CFA"/>
    <w:rsid w:val="006E0DB4"/>
    <w:rsid w:val="006E435A"/>
    <w:rsid w:val="006E5709"/>
    <w:rsid w:val="006E6786"/>
    <w:rsid w:val="006E6C8A"/>
    <w:rsid w:val="006F012D"/>
    <w:rsid w:val="006F12EB"/>
    <w:rsid w:val="006F19CF"/>
    <w:rsid w:val="006F322D"/>
    <w:rsid w:val="006F3676"/>
    <w:rsid w:val="006F5D64"/>
    <w:rsid w:val="006F61F9"/>
    <w:rsid w:val="006F63D5"/>
    <w:rsid w:val="006F754E"/>
    <w:rsid w:val="00701E7C"/>
    <w:rsid w:val="00704481"/>
    <w:rsid w:val="007049B9"/>
    <w:rsid w:val="00707DE4"/>
    <w:rsid w:val="00711407"/>
    <w:rsid w:val="00711662"/>
    <w:rsid w:val="00711E96"/>
    <w:rsid w:val="00713526"/>
    <w:rsid w:val="007142DA"/>
    <w:rsid w:val="007145E9"/>
    <w:rsid w:val="0071466C"/>
    <w:rsid w:val="007163A7"/>
    <w:rsid w:val="00720A3E"/>
    <w:rsid w:val="00721695"/>
    <w:rsid w:val="00721774"/>
    <w:rsid w:val="007274E9"/>
    <w:rsid w:val="00731587"/>
    <w:rsid w:val="0073163C"/>
    <w:rsid w:val="00734605"/>
    <w:rsid w:val="0073550F"/>
    <w:rsid w:val="007362C2"/>
    <w:rsid w:val="00736858"/>
    <w:rsid w:val="00740BF8"/>
    <w:rsid w:val="0074104D"/>
    <w:rsid w:val="00741AC2"/>
    <w:rsid w:val="00747BA2"/>
    <w:rsid w:val="007502FE"/>
    <w:rsid w:val="007520C7"/>
    <w:rsid w:val="00752881"/>
    <w:rsid w:val="00755F90"/>
    <w:rsid w:val="00756D4B"/>
    <w:rsid w:val="00761B26"/>
    <w:rsid w:val="00763CD6"/>
    <w:rsid w:val="00763DAA"/>
    <w:rsid w:val="00764C68"/>
    <w:rsid w:val="00764D7A"/>
    <w:rsid w:val="00765885"/>
    <w:rsid w:val="00767275"/>
    <w:rsid w:val="007715AA"/>
    <w:rsid w:val="00772D7D"/>
    <w:rsid w:val="007776F4"/>
    <w:rsid w:val="00780EFE"/>
    <w:rsid w:val="00781729"/>
    <w:rsid w:val="00786D59"/>
    <w:rsid w:val="007938BA"/>
    <w:rsid w:val="007A0287"/>
    <w:rsid w:val="007A1A20"/>
    <w:rsid w:val="007A31A8"/>
    <w:rsid w:val="007A3D1C"/>
    <w:rsid w:val="007A5AB2"/>
    <w:rsid w:val="007A7743"/>
    <w:rsid w:val="007A7911"/>
    <w:rsid w:val="007B0F7F"/>
    <w:rsid w:val="007B14ED"/>
    <w:rsid w:val="007B5EB9"/>
    <w:rsid w:val="007C0FA7"/>
    <w:rsid w:val="007C123B"/>
    <w:rsid w:val="007C22CD"/>
    <w:rsid w:val="007C5AF0"/>
    <w:rsid w:val="007C6D11"/>
    <w:rsid w:val="007C7B5A"/>
    <w:rsid w:val="007D5B21"/>
    <w:rsid w:val="007D5EFD"/>
    <w:rsid w:val="007E0457"/>
    <w:rsid w:val="007E0A1C"/>
    <w:rsid w:val="007E1F73"/>
    <w:rsid w:val="007E21AB"/>
    <w:rsid w:val="007E28E0"/>
    <w:rsid w:val="007E377F"/>
    <w:rsid w:val="007E42F4"/>
    <w:rsid w:val="007E4B0C"/>
    <w:rsid w:val="007F16B4"/>
    <w:rsid w:val="007F5141"/>
    <w:rsid w:val="007F5FA8"/>
    <w:rsid w:val="007F651F"/>
    <w:rsid w:val="008009BC"/>
    <w:rsid w:val="008012C4"/>
    <w:rsid w:val="00801FBA"/>
    <w:rsid w:val="008023FE"/>
    <w:rsid w:val="00802B46"/>
    <w:rsid w:val="008066E6"/>
    <w:rsid w:val="0080704C"/>
    <w:rsid w:val="008079C5"/>
    <w:rsid w:val="00807A1E"/>
    <w:rsid w:val="00810407"/>
    <w:rsid w:val="00812DFF"/>
    <w:rsid w:val="008138E0"/>
    <w:rsid w:val="0081468C"/>
    <w:rsid w:val="008207D4"/>
    <w:rsid w:val="00820DB5"/>
    <w:rsid w:val="00822A89"/>
    <w:rsid w:val="00832056"/>
    <w:rsid w:val="008326F9"/>
    <w:rsid w:val="008336FE"/>
    <w:rsid w:val="008349BF"/>
    <w:rsid w:val="00834D41"/>
    <w:rsid w:val="00840681"/>
    <w:rsid w:val="00840E83"/>
    <w:rsid w:val="00841AFC"/>
    <w:rsid w:val="00842803"/>
    <w:rsid w:val="008454D2"/>
    <w:rsid w:val="0084758C"/>
    <w:rsid w:val="00847DA5"/>
    <w:rsid w:val="00850270"/>
    <w:rsid w:val="0085172A"/>
    <w:rsid w:val="008527CE"/>
    <w:rsid w:val="00854199"/>
    <w:rsid w:val="00854793"/>
    <w:rsid w:val="00864EC0"/>
    <w:rsid w:val="00866F39"/>
    <w:rsid w:val="00871A3A"/>
    <w:rsid w:val="00874FC3"/>
    <w:rsid w:val="008757A2"/>
    <w:rsid w:val="00882845"/>
    <w:rsid w:val="0088303A"/>
    <w:rsid w:val="00887E21"/>
    <w:rsid w:val="00893DBA"/>
    <w:rsid w:val="00894561"/>
    <w:rsid w:val="008952C0"/>
    <w:rsid w:val="008A248F"/>
    <w:rsid w:val="008A329C"/>
    <w:rsid w:val="008A391A"/>
    <w:rsid w:val="008A3B12"/>
    <w:rsid w:val="008A5519"/>
    <w:rsid w:val="008A74C3"/>
    <w:rsid w:val="008B0ECA"/>
    <w:rsid w:val="008B4E00"/>
    <w:rsid w:val="008B50CB"/>
    <w:rsid w:val="008B5B5A"/>
    <w:rsid w:val="008B722F"/>
    <w:rsid w:val="008C6419"/>
    <w:rsid w:val="008C686C"/>
    <w:rsid w:val="008D012F"/>
    <w:rsid w:val="008D128E"/>
    <w:rsid w:val="008D1D83"/>
    <w:rsid w:val="008D2AAB"/>
    <w:rsid w:val="008D5BA6"/>
    <w:rsid w:val="008D605F"/>
    <w:rsid w:val="008D68B9"/>
    <w:rsid w:val="008E0252"/>
    <w:rsid w:val="008E05F6"/>
    <w:rsid w:val="008E07F7"/>
    <w:rsid w:val="008E272E"/>
    <w:rsid w:val="008E7E2B"/>
    <w:rsid w:val="008E7F25"/>
    <w:rsid w:val="008F20BE"/>
    <w:rsid w:val="008F221E"/>
    <w:rsid w:val="008F38E6"/>
    <w:rsid w:val="008F593B"/>
    <w:rsid w:val="00900023"/>
    <w:rsid w:val="00906895"/>
    <w:rsid w:val="00911BC3"/>
    <w:rsid w:val="00917F28"/>
    <w:rsid w:val="00922E32"/>
    <w:rsid w:val="00924439"/>
    <w:rsid w:val="009253F0"/>
    <w:rsid w:val="009262B5"/>
    <w:rsid w:val="009270E7"/>
    <w:rsid w:val="009272D1"/>
    <w:rsid w:val="00927EB6"/>
    <w:rsid w:val="00930F39"/>
    <w:rsid w:val="009324F6"/>
    <w:rsid w:val="00933078"/>
    <w:rsid w:val="009331B9"/>
    <w:rsid w:val="00934B51"/>
    <w:rsid w:val="00935A49"/>
    <w:rsid w:val="0093666A"/>
    <w:rsid w:val="00946E72"/>
    <w:rsid w:val="00955891"/>
    <w:rsid w:val="009567C9"/>
    <w:rsid w:val="0096071C"/>
    <w:rsid w:val="00961010"/>
    <w:rsid w:val="00962269"/>
    <w:rsid w:val="0096632E"/>
    <w:rsid w:val="00972D3C"/>
    <w:rsid w:val="009777CB"/>
    <w:rsid w:val="00980BC7"/>
    <w:rsid w:val="00980BE7"/>
    <w:rsid w:val="00982CEC"/>
    <w:rsid w:val="0098663C"/>
    <w:rsid w:val="009906D2"/>
    <w:rsid w:val="0099102A"/>
    <w:rsid w:val="00991D5F"/>
    <w:rsid w:val="00994A30"/>
    <w:rsid w:val="00997408"/>
    <w:rsid w:val="009A0980"/>
    <w:rsid w:val="009A2A3A"/>
    <w:rsid w:val="009A7EB9"/>
    <w:rsid w:val="009B2435"/>
    <w:rsid w:val="009B2B4C"/>
    <w:rsid w:val="009B3F22"/>
    <w:rsid w:val="009B4F22"/>
    <w:rsid w:val="009B5634"/>
    <w:rsid w:val="009B6C68"/>
    <w:rsid w:val="009B7CFD"/>
    <w:rsid w:val="009C0BBE"/>
    <w:rsid w:val="009C22B3"/>
    <w:rsid w:val="009C2D5D"/>
    <w:rsid w:val="009C3079"/>
    <w:rsid w:val="009C3411"/>
    <w:rsid w:val="009C3503"/>
    <w:rsid w:val="009C4535"/>
    <w:rsid w:val="009C51BF"/>
    <w:rsid w:val="009C53B2"/>
    <w:rsid w:val="009C650F"/>
    <w:rsid w:val="009D366A"/>
    <w:rsid w:val="009D3FBB"/>
    <w:rsid w:val="009D52E0"/>
    <w:rsid w:val="009E0298"/>
    <w:rsid w:val="009E0499"/>
    <w:rsid w:val="009E0A08"/>
    <w:rsid w:val="009E1B6B"/>
    <w:rsid w:val="009E1D66"/>
    <w:rsid w:val="009E458D"/>
    <w:rsid w:val="009F193E"/>
    <w:rsid w:val="009F21B8"/>
    <w:rsid w:val="009F319A"/>
    <w:rsid w:val="009F54C8"/>
    <w:rsid w:val="009F5768"/>
    <w:rsid w:val="009F5A36"/>
    <w:rsid w:val="009F72A0"/>
    <w:rsid w:val="009F7707"/>
    <w:rsid w:val="009F77E9"/>
    <w:rsid w:val="009F7DCE"/>
    <w:rsid w:val="00A0037E"/>
    <w:rsid w:val="00A01AFE"/>
    <w:rsid w:val="00A02C6E"/>
    <w:rsid w:val="00A03514"/>
    <w:rsid w:val="00A04B85"/>
    <w:rsid w:val="00A115A0"/>
    <w:rsid w:val="00A12C51"/>
    <w:rsid w:val="00A1366A"/>
    <w:rsid w:val="00A14B10"/>
    <w:rsid w:val="00A16DC6"/>
    <w:rsid w:val="00A16DEA"/>
    <w:rsid w:val="00A1730A"/>
    <w:rsid w:val="00A25236"/>
    <w:rsid w:val="00A30CDC"/>
    <w:rsid w:val="00A317AD"/>
    <w:rsid w:val="00A32818"/>
    <w:rsid w:val="00A3388A"/>
    <w:rsid w:val="00A3409F"/>
    <w:rsid w:val="00A342E9"/>
    <w:rsid w:val="00A350DF"/>
    <w:rsid w:val="00A44258"/>
    <w:rsid w:val="00A461B8"/>
    <w:rsid w:val="00A46504"/>
    <w:rsid w:val="00A46599"/>
    <w:rsid w:val="00A47AC8"/>
    <w:rsid w:val="00A47D0A"/>
    <w:rsid w:val="00A50168"/>
    <w:rsid w:val="00A50C26"/>
    <w:rsid w:val="00A53DAE"/>
    <w:rsid w:val="00A54876"/>
    <w:rsid w:val="00A5500C"/>
    <w:rsid w:val="00A55731"/>
    <w:rsid w:val="00A5646F"/>
    <w:rsid w:val="00A56A43"/>
    <w:rsid w:val="00A57AE9"/>
    <w:rsid w:val="00A62576"/>
    <w:rsid w:val="00A63650"/>
    <w:rsid w:val="00A63F7C"/>
    <w:rsid w:val="00A65FDA"/>
    <w:rsid w:val="00A66C7B"/>
    <w:rsid w:val="00A67B3C"/>
    <w:rsid w:val="00A77C4F"/>
    <w:rsid w:val="00A77D88"/>
    <w:rsid w:val="00A80D59"/>
    <w:rsid w:val="00A8137A"/>
    <w:rsid w:val="00A841EB"/>
    <w:rsid w:val="00A86A57"/>
    <w:rsid w:val="00A87210"/>
    <w:rsid w:val="00A91015"/>
    <w:rsid w:val="00A9107D"/>
    <w:rsid w:val="00A91549"/>
    <w:rsid w:val="00A9241C"/>
    <w:rsid w:val="00A92862"/>
    <w:rsid w:val="00A93362"/>
    <w:rsid w:val="00A93A92"/>
    <w:rsid w:val="00A97CD9"/>
    <w:rsid w:val="00A97D29"/>
    <w:rsid w:val="00AA48F2"/>
    <w:rsid w:val="00AA5307"/>
    <w:rsid w:val="00AA6907"/>
    <w:rsid w:val="00AB3724"/>
    <w:rsid w:val="00AB4524"/>
    <w:rsid w:val="00AB4D34"/>
    <w:rsid w:val="00AB53E7"/>
    <w:rsid w:val="00AB6891"/>
    <w:rsid w:val="00AB7755"/>
    <w:rsid w:val="00AC2933"/>
    <w:rsid w:val="00AD1855"/>
    <w:rsid w:val="00AD1DD2"/>
    <w:rsid w:val="00AD3063"/>
    <w:rsid w:val="00AE361F"/>
    <w:rsid w:val="00AE49F2"/>
    <w:rsid w:val="00AE4E9E"/>
    <w:rsid w:val="00AE554B"/>
    <w:rsid w:val="00AE5D85"/>
    <w:rsid w:val="00AE5FF0"/>
    <w:rsid w:val="00AE604E"/>
    <w:rsid w:val="00AF65C3"/>
    <w:rsid w:val="00B01DD6"/>
    <w:rsid w:val="00B02DE3"/>
    <w:rsid w:val="00B05E7D"/>
    <w:rsid w:val="00B06227"/>
    <w:rsid w:val="00B1091D"/>
    <w:rsid w:val="00B130D2"/>
    <w:rsid w:val="00B131EB"/>
    <w:rsid w:val="00B1369D"/>
    <w:rsid w:val="00B1427D"/>
    <w:rsid w:val="00B1516A"/>
    <w:rsid w:val="00B15594"/>
    <w:rsid w:val="00B21E32"/>
    <w:rsid w:val="00B22405"/>
    <w:rsid w:val="00B2343F"/>
    <w:rsid w:val="00B23BA3"/>
    <w:rsid w:val="00B25AAC"/>
    <w:rsid w:val="00B2741A"/>
    <w:rsid w:val="00B30AC8"/>
    <w:rsid w:val="00B31921"/>
    <w:rsid w:val="00B31C04"/>
    <w:rsid w:val="00B328B9"/>
    <w:rsid w:val="00B33C5C"/>
    <w:rsid w:val="00B3415F"/>
    <w:rsid w:val="00B3494C"/>
    <w:rsid w:val="00B35ADC"/>
    <w:rsid w:val="00B3626F"/>
    <w:rsid w:val="00B362F4"/>
    <w:rsid w:val="00B37011"/>
    <w:rsid w:val="00B37929"/>
    <w:rsid w:val="00B400F7"/>
    <w:rsid w:val="00B410F4"/>
    <w:rsid w:val="00B4263A"/>
    <w:rsid w:val="00B42BEB"/>
    <w:rsid w:val="00B518B7"/>
    <w:rsid w:val="00B51BBC"/>
    <w:rsid w:val="00B52287"/>
    <w:rsid w:val="00B5311A"/>
    <w:rsid w:val="00B550B1"/>
    <w:rsid w:val="00B55990"/>
    <w:rsid w:val="00B60B47"/>
    <w:rsid w:val="00B6583B"/>
    <w:rsid w:val="00B670B8"/>
    <w:rsid w:val="00B7297E"/>
    <w:rsid w:val="00B73E4C"/>
    <w:rsid w:val="00B77270"/>
    <w:rsid w:val="00B80A38"/>
    <w:rsid w:val="00B80A3A"/>
    <w:rsid w:val="00B80C2E"/>
    <w:rsid w:val="00B81530"/>
    <w:rsid w:val="00B83C9F"/>
    <w:rsid w:val="00B843C9"/>
    <w:rsid w:val="00B85F4D"/>
    <w:rsid w:val="00B91248"/>
    <w:rsid w:val="00B92A7B"/>
    <w:rsid w:val="00B948A6"/>
    <w:rsid w:val="00B94ED9"/>
    <w:rsid w:val="00B960B5"/>
    <w:rsid w:val="00B97578"/>
    <w:rsid w:val="00BA09C7"/>
    <w:rsid w:val="00BA1A2C"/>
    <w:rsid w:val="00BA396D"/>
    <w:rsid w:val="00BB117B"/>
    <w:rsid w:val="00BB2B91"/>
    <w:rsid w:val="00BB2F43"/>
    <w:rsid w:val="00BB37BE"/>
    <w:rsid w:val="00BB3A86"/>
    <w:rsid w:val="00BB430B"/>
    <w:rsid w:val="00BB4F82"/>
    <w:rsid w:val="00BB5A63"/>
    <w:rsid w:val="00BC2CCF"/>
    <w:rsid w:val="00BC3232"/>
    <w:rsid w:val="00BC5A0B"/>
    <w:rsid w:val="00BD0987"/>
    <w:rsid w:val="00BD1260"/>
    <w:rsid w:val="00BE2F61"/>
    <w:rsid w:val="00BE59FA"/>
    <w:rsid w:val="00BE6519"/>
    <w:rsid w:val="00BF245D"/>
    <w:rsid w:val="00BF368E"/>
    <w:rsid w:val="00BF3805"/>
    <w:rsid w:val="00BF4ED3"/>
    <w:rsid w:val="00BF5A29"/>
    <w:rsid w:val="00BF6CEE"/>
    <w:rsid w:val="00C01D13"/>
    <w:rsid w:val="00C020B4"/>
    <w:rsid w:val="00C04F7A"/>
    <w:rsid w:val="00C05102"/>
    <w:rsid w:val="00C05951"/>
    <w:rsid w:val="00C05A01"/>
    <w:rsid w:val="00C067EB"/>
    <w:rsid w:val="00C068B5"/>
    <w:rsid w:val="00C14EE7"/>
    <w:rsid w:val="00C15DD9"/>
    <w:rsid w:val="00C20CA8"/>
    <w:rsid w:val="00C23E19"/>
    <w:rsid w:val="00C25E27"/>
    <w:rsid w:val="00C26877"/>
    <w:rsid w:val="00C26FB7"/>
    <w:rsid w:val="00C27737"/>
    <w:rsid w:val="00C27BD0"/>
    <w:rsid w:val="00C30B8E"/>
    <w:rsid w:val="00C30FBC"/>
    <w:rsid w:val="00C31412"/>
    <w:rsid w:val="00C32916"/>
    <w:rsid w:val="00C32D17"/>
    <w:rsid w:val="00C336EE"/>
    <w:rsid w:val="00C36A1B"/>
    <w:rsid w:val="00C37114"/>
    <w:rsid w:val="00C42F8A"/>
    <w:rsid w:val="00C46260"/>
    <w:rsid w:val="00C47CCC"/>
    <w:rsid w:val="00C52B71"/>
    <w:rsid w:val="00C53B74"/>
    <w:rsid w:val="00C53E4C"/>
    <w:rsid w:val="00C56075"/>
    <w:rsid w:val="00C573CE"/>
    <w:rsid w:val="00C57D97"/>
    <w:rsid w:val="00C61904"/>
    <w:rsid w:val="00C63958"/>
    <w:rsid w:val="00C64030"/>
    <w:rsid w:val="00C649AE"/>
    <w:rsid w:val="00C64CFD"/>
    <w:rsid w:val="00C64F87"/>
    <w:rsid w:val="00C652CA"/>
    <w:rsid w:val="00C66541"/>
    <w:rsid w:val="00C66DC8"/>
    <w:rsid w:val="00C72894"/>
    <w:rsid w:val="00C74AB8"/>
    <w:rsid w:val="00C7762C"/>
    <w:rsid w:val="00C80FE4"/>
    <w:rsid w:val="00C84C57"/>
    <w:rsid w:val="00C862E2"/>
    <w:rsid w:val="00C92515"/>
    <w:rsid w:val="00C946D3"/>
    <w:rsid w:val="00C9599B"/>
    <w:rsid w:val="00CA01AA"/>
    <w:rsid w:val="00CA0778"/>
    <w:rsid w:val="00CA1F1A"/>
    <w:rsid w:val="00CA4016"/>
    <w:rsid w:val="00CA779B"/>
    <w:rsid w:val="00CA7F33"/>
    <w:rsid w:val="00CB2A3A"/>
    <w:rsid w:val="00CB419C"/>
    <w:rsid w:val="00CB53B2"/>
    <w:rsid w:val="00CB7510"/>
    <w:rsid w:val="00CB7FE8"/>
    <w:rsid w:val="00CC00C0"/>
    <w:rsid w:val="00CC4136"/>
    <w:rsid w:val="00CC4E15"/>
    <w:rsid w:val="00CC5450"/>
    <w:rsid w:val="00CC773E"/>
    <w:rsid w:val="00CC7FC7"/>
    <w:rsid w:val="00CD216E"/>
    <w:rsid w:val="00CD34C9"/>
    <w:rsid w:val="00CD4509"/>
    <w:rsid w:val="00CD46CC"/>
    <w:rsid w:val="00CD5F23"/>
    <w:rsid w:val="00CD5FEE"/>
    <w:rsid w:val="00CD7666"/>
    <w:rsid w:val="00CE0607"/>
    <w:rsid w:val="00CE11DE"/>
    <w:rsid w:val="00CE1BCE"/>
    <w:rsid w:val="00CE27D1"/>
    <w:rsid w:val="00CE2C23"/>
    <w:rsid w:val="00CF456D"/>
    <w:rsid w:val="00CF4BDC"/>
    <w:rsid w:val="00CF4F55"/>
    <w:rsid w:val="00CF553B"/>
    <w:rsid w:val="00CF5832"/>
    <w:rsid w:val="00D0493E"/>
    <w:rsid w:val="00D04C66"/>
    <w:rsid w:val="00D07FA0"/>
    <w:rsid w:val="00D102C7"/>
    <w:rsid w:val="00D115CC"/>
    <w:rsid w:val="00D12EEE"/>
    <w:rsid w:val="00D15B08"/>
    <w:rsid w:val="00D20A25"/>
    <w:rsid w:val="00D20EC3"/>
    <w:rsid w:val="00D21D0D"/>
    <w:rsid w:val="00D2329F"/>
    <w:rsid w:val="00D236E2"/>
    <w:rsid w:val="00D3212C"/>
    <w:rsid w:val="00D34751"/>
    <w:rsid w:val="00D348CC"/>
    <w:rsid w:val="00D351A9"/>
    <w:rsid w:val="00D3712D"/>
    <w:rsid w:val="00D40960"/>
    <w:rsid w:val="00D40DF3"/>
    <w:rsid w:val="00D41732"/>
    <w:rsid w:val="00D4243B"/>
    <w:rsid w:val="00D42E55"/>
    <w:rsid w:val="00D43822"/>
    <w:rsid w:val="00D47D98"/>
    <w:rsid w:val="00D5258B"/>
    <w:rsid w:val="00D54364"/>
    <w:rsid w:val="00D54B44"/>
    <w:rsid w:val="00D54CD1"/>
    <w:rsid w:val="00D56411"/>
    <w:rsid w:val="00D56FE1"/>
    <w:rsid w:val="00D57C9F"/>
    <w:rsid w:val="00D60B01"/>
    <w:rsid w:val="00D63667"/>
    <w:rsid w:val="00D63FB5"/>
    <w:rsid w:val="00D644FF"/>
    <w:rsid w:val="00D713CF"/>
    <w:rsid w:val="00D71B65"/>
    <w:rsid w:val="00D73A99"/>
    <w:rsid w:val="00D73B29"/>
    <w:rsid w:val="00D749CC"/>
    <w:rsid w:val="00D75044"/>
    <w:rsid w:val="00D76123"/>
    <w:rsid w:val="00D77988"/>
    <w:rsid w:val="00D86AAE"/>
    <w:rsid w:val="00D86B1D"/>
    <w:rsid w:val="00D87640"/>
    <w:rsid w:val="00D9160A"/>
    <w:rsid w:val="00D93F3C"/>
    <w:rsid w:val="00D96C6C"/>
    <w:rsid w:val="00D974C8"/>
    <w:rsid w:val="00DA482C"/>
    <w:rsid w:val="00DA6D5F"/>
    <w:rsid w:val="00DA7959"/>
    <w:rsid w:val="00DB0E60"/>
    <w:rsid w:val="00DB0EC5"/>
    <w:rsid w:val="00DB1C60"/>
    <w:rsid w:val="00DB2C0C"/>
    <w:rsid w:val="00DB5331"/>
    <w:rsid w:val="00DB6FD8"/>
    <w:rsid w:val="00DB7495"/>
    <w:rsid w:val="00DB786F"/>
    <w:rsid w:val="00DC0089"/>
    <w:rsid w:val="00DC316C"/>
    <w:rsid w:val="00DC6C55"/>
    <w:rsid w:val="00DC7072"/>
    <w:rsid w:val="00DC7722"/>
    <w:rsid w:val="00DD2A21"/>
    <w:rsid w:val="00DD7F92"/>
    <w:rsid w:val="00DE1CDA"/>
    <w:rsid w:val="00DE46B3"/>
    <w:rsid w:val="00DE553A"/>
    <w:rsid w:val="00DE6194"/>
    <w:rsid w:val="00DE6518"/>
    <w:rsid w:val="00DF12E7"/>
    <w:rsid w:val="00DF18C7"/>
    <w:rsid w:val="00DF5812"/>
    <w:rsid w:val="00DF789B"/>
    <w:rsid w:val="00E02153"/>
    <w:rsid w:val="00E05284"/>
    <w:rsid w:val="00E070D8"/>
    <w:rsid w:val="00E130B9"/>
    <w:rsid w:val="00E13246"/>
    <w:rsid w:val="00E13C47"/>
    <w:rsid w:val="00E13CFB"/>
    <w:rsid w:val="00E144C5"/>
    <w:rsid w:val="00E15DB3"/>
    <w:rsid w:val="00E1746F"/>
    <w:rsid w:val="00E207A6"/>
    <w:rsid w:val="00E21168"/>
    <w:rsid w:val="00E254C8"/>
    <w:rsid w:val="00E25D2A"/>
    <w:rsid w:val="00E26D2B"/>
    <w:rsid w:val="00E27A5C"/>
    <w:rsid w:val="00E30D49"/>
    <w:rsid w:val="00E30EA3"/>
    <w:rsid w:val="00E33149"/>
    <w:rsid w:val="00E347E7"/>
    <w:rsid w:val="00E35353"/>
    <w:rsid w:val="00E36E78"/>
    <w:rsid w:val="00E40926"/>
    <w:rsid w:val="00E43868"/>
    <w:rsid w:val="00E50E66"/>
    <w:rsid w:val="00E52145"/>
    <w:rsid w:val="00E55D86"/>
    <w:rsid w:val="00E56421"/>
    <w:rsid w:val="00E61088"/>
    <w:rsid w:val="00E622D7"/>
    <w:rsid w:val="00E630EC"/>
    <w:rsid w:val="00E6337D"/>
    <w:rsid w:val="00E633EF"/>
    <w:rsid w:val="00E6344B"/>
    <w:rsid w:val="00E638DB"/>
    <w:rsid w:val="00E639EC"/>
    <w:rsid w:val="00E64F0B"/>
    <w:rsid w:val="00E671A9"/>
    <w:rsid w:val="00E67F3B"/>
    <w:rsid w:val="00E7256F"/>
    <w:rsid w:val="00E7313F"/>
    <w:rsid w:val="00E75A93"/>
    <w:rsid w:val="00E81F3D"/>
    <w:rsid w:val="00E8254E"/>
    <w:rsid w:val="00E83372"/>
    <w:rsid w:val="00E83CCC"/>
    <w:rsid w:val="00E84A0F"/>
    <w:rsid w:val="00E85B2A"/>
    <w:rsid w:val="00E90BC8"/>
    <w:rsid w:val="00E953AD"/>
    <w:rsid w:val="00EA1B56"/>
    <w:rsid w:val="00EA2CB0"/>
    <w:rsid w:val="00EA77A5"/>
    <w:rsid w:val="00EB256E"/>
    <w:rsid w:val="00EB75D5"/>
    <w:rsid w:val="00EC0C2D"/>
    <w:rsid w:val="00EC0D96"/>
    <w:rsid w:val="00EC50A8"/>
    <w:rsid w:val="00EC54A6"/>
    <w:rsid w:val="00EC581C"/>
    <w:rsid w:val="00ED2233"/>
    <w:rsid w:val="00ED2EEB"/>
    <w:rsid w:val="00ED6130"/>
    <w:rsid w:val="00ED6DC5"/>
    <w:rsid w:val="00ED7721"/>
    <w:rsid w:val="00ED7981"/>
    <w:rsid w:val="00EE589D"/>
    <w:rsid w:val="00EE5F9A"/>
    <w:rsid w:val="00EF3D7E"/>
    <w:rsid w:val="00EF56E0"/>
    <w:rsid w:val="00EF5804"/>
    <w:rsid w:val="00F01C57"/>
    <w:rsid w:val="00F0711E"/>
    <w:rsid w:val="00F07240"/>
    <w:rsid w:val="00F122CC"/>
    <w:rsid w:val="00F1312E"/>
    <w:rsid w:val="00F14EE3"/>
    <w:rsid w:val="00F16EA2"/>
    <w:rsid w:val="00F2084A"/>
    <w:rsid w:val="00F215C6"/>
    <w:rsid w:val="00F31FE0"/>
    <w:rsid w:val="00F326F7"/>
    <w:rsid w:val="00F3766F"/>
    <w:rsid w:val="00F40B21"/>
    <w:rsid w:val="00F44D4E"/>
    <w:rsid w:val="00F4632C"/>
    <w:rsid w:val="00F471D3"/>
    <w:rsid w:val="00F47EAD"/>
    <w:rsid w:val="00F50C4A"/>
    <w:rsid w:val="00F52097"/>
    <w:rsid w:val="00F521BA"/>
    <w:rsid w:val="00F55090"/>
    <w:rsid w:val="00F6097D"/>
    <w:rsid w:val="00F65DA2"/>
    <w:rsid w:val="00F66B9D"/>
    <w:rsid w:val="00F67B60"/>
    <w:rsid w:val="00F706BD"/>
    <w:rsid w:val="00F70C25"/>
    <w:rsid w:val="00F75D36"/>
    <w:rsid w:val="00F817BF"/>
    <w:rsid w:val="00F84BCB"/>
    <w:rsid w:val="00F8604E"/>
    <w:rsid w:val="00F93E61"/>
    <w:rsid w:val="00F94FB6"/>
    <w:rsid w:val="00F9556B"/>
    <w:rsid w:val="00F96137"/>
    <w:rsid w:val="00F96B50"/>
    <w:rsid w:val="00F96EDE"/>
    <w:rsid w:val="00F97096"/>
    <w:rsid w:val="00FA4FBA"/>
    <w:rsid w:val="00FA630C"/>
    <w:rsid w:val="00FA765D"/>
    <w:rsid w:val="00FB3272"/>
    <w:rsid w:val="00FB3992"/>
    <w:rsid w:val="00FC031C"/>
    <w:rsid w:val="00FC4C95"/>
    <w:rsid w:val="00FC66C8"/>
    <w:rsid w:val="00FD12F5"/>
    <w:rsid w:val="00FD4F55"/>
    <w:rsid w:val="00FD79FE"/>
    <w:rsid w:val="00FE1583"/>
    <w:rsid w:val="00FE1B65"/>
    <w:rsid w:val="00FE6758"/>
    <w:rsid w:val="00FE6D0A"/>
    <w:rsid w:val="00FE7288"/>
    <w:rsid w:val="00FE7456"/>
    <w:rsid w:val="00FE7580"/>
    <w:rsid w:val="00FE75BA"/>
    <w:rsid w:val="00FF2445"/>
    <w:rsid w:val="00FF2607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5DB95"/>
  <w15:docId w15:val="{AE1919A5-403E-470C-8D66-38EB6FD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3A7"/>
    <w:pPr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410F4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4B44"/>
    <w:pPr>
      <w:keepNext/>
      <w:keepLines/>
      <w:numPr>
        <w:numId w:val="4"/>
      </w:numPr>
      <w:spacing w:before="360" w:after="120"/>
      <w:ind w:left="113" w:hanging="113"/>
      <w:outlineLvl w:val="1"/>
    </w:pPr>
    <w:rPr>
      <w:rFonts w:eastAsiaTheme="majorEastAsia" w:cstheme="majorBidi"/>
      <w:b/>
      <w:color w:val="auto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3724"/>
    <w:rPr>
      <w:b/>
      <w:bCs/>
    </w:rPr>
  </w:style>
  <w:style w:type="table" w:styleId="Mkatabulky">
    <w:name w:val="Table Grid"/>
    <w:basedOn w:val="Normlntabulka"/>
    <w:uiPriority w:val="39"/>
    <w:rsid w:val="00AB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Nad,Nadpis pro KZ,odrážky,List Paragraph_0,List Paragraph_1,List Paragraph_2,Odstavec se seznamem1,Odstavec se seznamem2,můj Nadpis 2,List Paragraph,Odstavec cíl se seznamem,Odstavec_muj,Odstavec se seznamem5,_Odstavec se seznamem"/>
    <w:basedOn w:val="Normln"/>
    <w:link w:val="OdstavecseseznamemChar"/>
    <w:uiPriority w:val="35"/>
    <w:qFormat/>
    <w:rsid w:val="00AB3724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rážky Char,List Paragraph_0 Char,List Paragraph_1 Char,List Paragraph_2 Char,Odstavec se seznamem1 Char,Odstavec se seznamem2 Char,můj Nadpis 2 Char,List Paragraph Char,Odstavec_muj Char"/>
    <w:link w:val="Odstavecseseznamem"/>
    <w:uiPriority w:val="34"/>
    <w:rsid w:val="00AB3724"/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18">
    <w:name w:val="Pa18"/>
    <w:basedOn w:val="Normln"/>
    <w:next w:val="Normln"/>
    <w:uiPriority w:val="99"/>
    <w:rsid w:val="00AB3724"/>
    <w:pPr>
      <w:autoSpaceDE w:val="0"/>
      <w:autoSpaceDN w:val="0"/>
      <w:adjustRightInd w:val="0"/>
      <w:spacing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AB3724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AB3724"/>
    <w:pPr>
      <w:autoSpaceDE w:val="0"/>
      <w:autoSpaceDN w:val="0"/>
      <w:adjustRightInd w:val="0"/>
      <w:spacing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Nadpis1Char">
    <w:name w:val="Nadpis 1 Char"/>
    <w:basedOn w:val="Standardnpsmoodstavce"/>
    <w:link w:val="Nadpis1"/>
    <w:rsid w:val="00B410F4"/>
    <w:rPr>
      <w:rFonts w:ascii="Calibri" w:eastAsia="Times New Roman" w:hAnsi="Calibri" w:cs="Calibri"/>
      <w:b/>
      <w:bCs/>
      <w:color w:val="00000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54B44"/>
    <w:rPr>
      <w:rFonts w:ascii="Calibri" w:eastAsiaTheme="majorEastAsia" w:hAnsi="Calibri" w:cstheme="majorBidi"/>
      <w:b/>
      <w:sz w:val="24"/>
      <w:szCs w:val="26"/>
      <w:u w:val="single"/>
    </w:rPr>
  </w:style>
  <w:style w:type="paragraph" w:styleId="Textpoznpodarou">
    <w:name w:val="footnote text"/>
    <w:aliases w:val="Boston 10,Font: Geneva 9,Fußnotentextf,Geneva 9,Podrozdzia3,Podrozdział,Schriftart: 10 pt,Schriftart: 8 pt,Schriftart: 9 pt,Text poznámky pod čiarou 007,f,pozn. pod čarou"/>
    <w:basedOn w:val="Normln"/>
    <w:link w:val="TextpoznpodarouChar"/>
    <w:uiPriority w:val="99"/>
    <w:unhideWhenUsed/>
    <w:rsid w:val="00D0493E"/>
    <w:pPr>
      <w:jc w:val="left"/>
    </w:pPr>
    <w:rPr>
      <w:rFonts w:cs="Times New Roman"/>
      <w:color w:val="auto"/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Podrozdzia3 Char,Podrozdział Char,Schriftart: 10 pt Char,Schriftart: 8 pt Char,Schriftart: 9 pt Char,Text poznámky pod čiarou 007 Char,f Char"/>
    <w:basedOn w:val="Standardnpsmoodstavce"/>
    <w:link w:val="Textpoznpodarou"/>
    <w:uiPriority w:val="99"/>
    <w:rsid w:val="00D0493E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aliases w:val="12 b.,Footnote,PGI Fußnote Ziffer,PGI Fußnote Ziffer + Times New Roman,Zúžené o ..."/>
    <w:basedOn w:val="Standardnpsmoodstavce"/>
    <w:uiPriority w:val="99"/>
    <w:unhideWhenUsed/>
    <w:rsid w:val="00D0493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71A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B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B7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06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605"/>
    <w:rPr>
      <w:rFonts w:ascii="Calibri" w:eastAsia="Times New Roman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nhideWhenUsed/>
    <w:rsid w:val="005706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605"/>
    <w:rPr>
      <w:rFonts w:ascii="Calibri" w:eastAsia="Times New Roman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B1C6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D7F92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lang w:eastAsia="cs-CZ"/>
    </w:rPr>
  </w:style>
  <w:style w:type="character" w:customStyle="1" w:styleId="A1">
    <w:name w:val="A1"/>
    <w:uiPriority w:val="99"/>
    <w:rsid w:val="00A50168"/>
    <w:rPr>
      <w:color w:val="000000"/>
      <w:sz w:val="28"/>
      <w:szCs w:val="28"/>
    </w:rPr>
  </w:style>
  <w:style w:type="character" w:customStyle="1" w:styleId="A4">
    <w:name w:val="A4"/>
    <w:uiPriority w:val="99"/>
    <w:rsid w:val="00A50168"/>
    <w:rPr>
      <w:color w:val="000000"/>
      <w:sz w:val="60"/>
      <w:szCs w:val="60"/>
    </w:rPr>
  </w:style>
  <w:style w:type="character" w:customStyle="1" w:styleId="A5">
    <w:name w:val="A5"/>
    <w:uiPriority w:val="99"/>
    <w:rsid w:val="00A50168"/>
    <w:rPr>
      <w:b/>
      <w:bCs/>
      <w:color w:val="000000"/>
      <w:sz w:val="40"/>
      <w:szCs w:val="40"/>
    </w:rPr>
  </w:style>
  <w:style w:type="paragraph" w:customStyle="1" w:styleId="Default">
    <w:name w:val="Default"/>
    <w:rsid w:val="00393DF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Bodytext2">
    <w:name w:val="Body text|2_"/>
    <w:basedOn w:val="Standardnpsmoodstavce"/>
    <w:link w:val="Bodytext20"/>
    <w:rsid w:val="00930F3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930F39"/>
    <w:pPr>
      <w:widowControl w:val="0"/>
      <w:shd w:val="clear" w:color="auto" w:fill="FFFFFF"/>
      <w:spacing w:after="4560" w:line="206" w:lineRule="exact"/>
      <w:ind w:hanging="360"/>
      <w:jc w:val="left"/>
    </w:pPr>
    <w:rPr>
      <w:rFonts w:eastAsia="Calibri"/>
      <w:color w:val="auto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F6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E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E58"/>
    <w:rPr>
      <w:rFonts w:ascii="Calibri" w:eastAsia="Times New Roman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6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6E58"/>
    <w:rPr>
      <w:rFonts w:ascii="Calibri" w:eastAsia="Times New Roman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CHUDOBOVA\KA%2020_13%20(Investi&#269;n&#237;%20pob&#237;dky)\KONTROLN&#205;%20Z&#193;V&#282;R\Pomocn&#233;\pomocn&#23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1\CHUDOBOVA\KA%2020_13%20(Investi&#269;n&#237;%20pob&#237;dky)\KONTROLN&#205;%20Z&#193;V&#282;R\pomocn&#233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1\CHUDOBOVA\KA%2020_13%20(Investi&#269;n&#237;%20pob&#237;dky)\KONTROLN&#205;%20Z&#193;V&#282;R\pomocn&#23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9492563429571"/>
          <c:y val="6.8829961277261861E-2"/>
          <c:w val="0.73169881889763777"/>
          <c:h val="0.642715064204418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'rozhodnutí a nezaměstnanost'!$B$1</c:f>
              <c:strCache>
                <c:ptCount val="1"/>
                <c:pt idx="0">
                  <c:v>Počet vydaných rozhodnutí o příslibu investiční pobídky</c:v>
                </c:pt>
              </c:strCache>
            </c:strRef>
          </c:tx>
          <c:spPr>
            <a:solidFill>
              <a:srgbClr val="004595">
                <a:alpha val="60000"/>
              </a:srgbClr>
            </a:solidFill>
            <a:ln>
              <a:noFill/>
            </a:ln>
            <a:effectLst/>
          </c:spPr>
          <c:invertIfNegative val="0"/>
          <c:cat>
            <c:numRef>
              <c:f>'rozhodnutí a nezaměstnanost'!$A$2:$A$6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'rozhodnutí a nezaměstnanost'!$B$2:$B$6</c:f>
              <c:numCache>
                <c:formatCode>General</c:formatCode>
                <c:ptCount val="5"/>
                <c:pt idx="0">
                  <c:v>57</c:v>
                </c:pt>
                <c:pt idx="1">
                  <c:v>71</c:v>
                </c:pt>
                <c:pt idx="2">
                  <c:v>74</c:v>
                </c:pt>
                <c:pt idx="3">
                  <c:v>77</c:v>
                </c:pt>
                <c:pt idx="4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3A-4056-987D-3B49EBF0D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overlap val="-27"/>
        <c:axId val="2090246911"/>
        <c:axId val="2090243167"/>
      </c:barChart>
      <c:lineChart>
        <c:grouping val="standard"/>
        <c:varyColors val="0"/>
        <c:ser>
          <c:idx val="1"/>
          <c:order val="1"/>
          <c:tx>
            <c:strRef>
              <c:f>'rozhodnutí a nezaměstnanost'!$C$1</c:f>
              <c:strCache>
                <c:ptCount val="1"/>
                <c:pt idx="0">
                  <c:v>Míra nezaměstnanosti </c:v>
                </c:pt>
              </c:strCache>
            </c:strRef>
          </c:tx>
          <c:spPr>
            <a:ln w="31750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cat>
            <c:numRef>
              <c:f>'rozhodnutí a nezaměstnanost'!$A$2:$A$6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'rozhodnutí a nezaměstnanost'!$C$2:$C$6</c:f>
              <c:numCache>
                <c:formatCode>0.0%</c:formatCode>
                <c:ptCount val="5"/>
                <c:pt idx="0">
                  <c:v>0.05</c:v>
                </c:pt>
                <c:pt idx="1">
                  <c:v>0.04</c:v>
                </c:pt>
                <c:pt idx="2">
                  <c:v>2.9000000000000001E-2</c:v>
                </c:pt>
                <c:pt idx="3">
                  <c:v>2.1999999999999999E-2</c:v>
                </c:pt>
                <c:pt idx="4">
                  <c:v>0.02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3A-4056-987D-3B49EBF0D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0248159"/>
        <c:axId val="2090244831"/>
      </c:lineChart>
      <c:catAx>
        <c:axId val="2090246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90243167"/>
        <c:crosses val="autoZero"/>
        <c:auto val="1"/>
        <c:lblAlgn val="ctr"/>
        <c:lblOffset val="100"/>
        <c:noMultiLvlLbl val="0"/>
      </c:catAx>
      <c:valAx>
        <c:axId val="2090243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Počet </a:t>
                </a:r>
                <a:r>
                  <a:rPr lang="cs-CZ" b="1"/>
                  <a:t>rozhodnutí</a:t>
                </a:r>
                <a:endParaRPr lang="en-US" b="1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90246911"/>
        <c:crosses val="autoZero"/>
        <c:crossBetween val="between"/>
      </c:valAx>
      <c:valAx>
        <c:axId val="2090244831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Míra nezaměstnanosti</a:t>
                </a:r>
              </a:p>
            </c:rich>
          </c:tx>
          <c:layout>
            <c:manualLayout>
              <c:xMode val="edge"/>
              <c:yMode val="edge"/>
              <c:x val="0.93098476062585178"/>
              <c:y val="0.1241128491225592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.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90248159"/>
        <c:crosses val="max"/>
        <c:crossBetween val="between"/>
      </c:valAx>
      <c:catAx>
        <c:axId val="209024815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9024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88388264918661819"/>
          <c:w val="0.9"/>
          <c:h val="8.5660498021503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374254553740049E-2"/>
          <c:y val="4.4526807195975501E-2"/>
          <c:w val="0.87795096098890457"/>
          <c:h val="0.5802450109413284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'Rozhodnutí graf'!$E$2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solidFill>
              <a:srgbClr val="004595">
                <a:alpha val="6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'Rozhodnutí graf'!$C$3:$C$12</c:f>
              <c:strCache>
                <c:ptCount val="10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 Do 30. 9. 2020</c:v>
                </c:pt>
              </c:strCache>
            </c:strRef>
          </c:cat>
          <c:val>
            <c:numRef>
              <c:f>'Rozhodnutí graf'!$E$3:$E$12</c:f>
              <c:numCache>
                <c:formatCode>General</c:formatCode>
                <c:ptCount val="10"/>
                <c:pt idx="1">
                  <c:v>22</c:v>
                </c:pt>
                <c:pt idx="2">
                  <c:v>68</c:v>
                </c:pt>
                <c:pt idx="3">
                  <c:v>100</c:v>
                </c:pt>
                <c:pt idx="4">
                  <c:v>36</c:v>
                </c:pt>
                <c:pt idx="5">
                  <c:v>48</c:v>
                </c:pt>
                <c:pt idx="6">
                  <c:v>57</c:v>
                </c:pt>
                <c:pt idx="7">
                  <c:v>67</c:v>
                </c:pt>
                <c:pt idx="8">
                  <c:v>71</c:v>
                </c:pt>
                <c:pt idx="9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29-4807-A77C-116119C38FEF}"/>
            </c:ext>
          </c:extLst>
        </c:ser>
        <c:ser>
          <c:idx val="1"/>
          <c:order val="1"/>
          <c:tx>
            <c:strRef>
              <c:f>'Rozhodnutí graf'!$F$2</c:f>
              <c:strCache>
                <c:ptCount val="1"/>
                <c:pt idx="0">
                  <c:v>Technologická centra a centra strategických služeb</c:v>
                </c:pt>
              </c:strCache>
            </c:strRef>
          </c:tx>
          <c:spPr>
            <a:solidFill>
              <a:srgbClr val="BD2A33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2181635266241729E-17"/>
                  <c:y val="-2.37529691211402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E29-4807-A77C-116119C38FEF}"/>
                </c:ext>
              </c:extLst>
            </c:dLbl>
            <c:dLbl>
              <c:idx val="2"/>
              <c:layout>
                <c:manualLayout>
                  <c:x val="0"/>
                  <c:y val="-2.850356294536817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E29-4807-A77C-116119C38FEF}"/>
                </c:ext>
              </c:extLst>
            </c:dLbl>
            <c:dLbl>
              <c:idx val="3"/>
              <c:layout>
                <c:manualLayout>
                  <c:x val="-2.419842710223791E-3"/>
                  <c:y val="-2.375296912114012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E29-4807-A77C-116119C38FEF}"/>
                </c:ext>
              </c:extLst>
            </c:dLbl>
            <c:dLbl>
              <c:idx val="4"/>
              <c:layout>
                <c:manualLayout>
                  <c:x val="2.4198427102238356E-3"/>
                  <c:y val="-2.850356294536817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E29-4807-A77C-116119C38FEF}"/>
                </c:ext>
              </c:extLst>
            </c:dLbl>
            <c:dLbl>
              <c:idx val="5"/>
              <c:layout>
                <c:manualLayout>
                  <c:x val="-2.4198427102239241E-3"/>
                  <c:y val="-2.375296912114022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E29-4807-A77C-116119C38FEF}"/>
                </c:ext>
              </c:extLst>
            </c:dLbl>
            <c:dLbl>
              <c:idx val="6"/>
              <c:layout>
                <c:manualLayout>
                  <c:x val="-2.4198427102239241E-3"/>
                  <c:y val="-2.37529691211401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E29-4807-A77C-116119C38FEF}"/>
                </c:ext>
              </c:extLst>
            </c:dLbl>
            <c:dLbl>
              <c:idx val="7"/>
              <c:layout>
                <c:manualLayout>
                  <c:x val="0"/>
                  <c:y val="-2.850356294536821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6E29-4807-A77C-116119C38FEF}"/>
                </c:ext>
              </c:extLst>
            </c:dLbl>
            <c:dLbl>
              <c:idx val="8"/>
              <c:layout>
                <c:manualLayout>
                  <c:x val="0"/>
                  <c:y val="-2.850356294536821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E29-4807-A77C-116119C38FEF}"/>
                </c:ext>
              </c:extLst>
            </c:dLbl>
            <c:dLbl>
              <c:idx val="9"/>
              <c:layout>
                <c:manualLayout>
                  <c:x val="0"/>
                  <c:y val="-2.37529691211401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E29-4807-A77C-116119C38F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'Rozhodnutí graf'!$C$3:$C$12</c:f>
              <c:strCache>
                <c:ptCount val="10"/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 Do 30. 9. 2020</c:v>
                </c:pt>
              </c:strCache>
            </c:strRef>
          </c:cat>
          <c:val>
            <c:numRef>
              <c:f>'Rozhodnutí graf'!$F$3:$F$12</c:f>
              <c:numCache>
                <c:formatCode>General</c:formatCode>
                <c:ptCount val="10"/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5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E29-4807-A77C-116119C38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0388431"/>
        <c:axId val="470380943"/>
      </c:barChart>
      <c:catAx>
        <c:axId val="470388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12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0380943"/>
        <c:crosses val="autoZero"/>
        <c:auto val="1"/>
        <c:lblAlgn val="ctr"/>
        <c:lblOffset val="100"/>
        <c:noMultiLvlLbl val="0"/>
      </c:catAx>
      <c:valAx>
        <c:axId val="4703809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703884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26829492724094"/>
          <c:y val="0.83127118875765527"/>
          <c:w val="0.77682664458261586"/>
          <c:h val="7.32427001312336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'čerpání celkem'!$C$2</c:f>
              <c:strCache>
                <c:ptCount val="1"/>
                <c:pt idx="0">
                  <c:v>Čerpání v mil. Kč</c:v>
                </c:pt>
              </c:strCache>
            </c:strRef>
          </c:tx>
          <c:spPr>
            <a:solidFill>
              <a:srgbClr val="004595">
                <a:alpha val="60000"/>
              </a:srgb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'čerpání celkem'!$B$3:$B$22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2019*</c:v>
                </c:pt>
              </c:strCache>
            </c:strRef>
          </c:cat>
          <c:val>
            <c:numRef>
              <c:f>'čerpání celkem'!$C$3:$C$22</c:f>
              <c:numCache>
                <c:formatCode>General</c:formatCode>
                <c:ptCount val="20"/>
                <c:pt idx="0">
                  <c:v>71</c:v>
                </c:pt>
                <c:pt idx="1">
                  <c:v>709</c:v>
                </c:pt>
                <c:pt idx="2" formatCode="#,##0">
                  <c:v>1689</c:v>
                </c:pt>
                <c:pt idx="3" formatCode="#,##0">
                  <c:v>2577</c:v>
                </c:pt>
                <c:pt idx="4" formatCode="#,##0">
                  <c:v>2926</c:v>
                </c:pt>
                <c:pt idx="5" formatCode="#,##0">
                  <c:v>3334</c:v>
                </c:pt>
                <c:pt idx="6" formatCode="#,##0">
                  <c:v>4415</c:v>
                </c:pt>
                <c:pt idx="7" formatCode="#,##0">
                  <c:v>4791</c:v>
                </c:pt>
                <c:pt idx="8" formatCode="#,##0">
                  <c:v>5636</c:v>
                </c:pt>
                <c:pt idx="9" formatCode="#,##0">
                  <c:v>3256</c:v>
                </c:pt>
                <c:pt idx="10" formatCode="#,##0">
                  <c:v>3428</c:v>
                </c:pt>
                <c:pt idx="11" formatCode="#,##0">
                  <c:v>4806</c:v>
                </c:pt>
                <c:pt idx="12" formatCode="#,##0">
                  <c:v>5818</c:v>
                </c:pt>
                <c:pt idx="13" formatCode="#,##0">
                  <c:v>4866</c:v>
                </c:pt>
                <c:pt idx="14" formatCode="#,##0">
                  <c:v>5113</c:v>
                </c:pt>
                <c:pt idx="15" formatCode="#,##0">
                  <c:v>5774</c:v>
                </c:pt>
                <c:pt idx="16" formatCode="#,##0">
                  <c:v>5802</c:v>
                </c:pt>
                <c:pt idx="17" formatCode="#,##0">
                  <c:v>5363</c:v>
                </c:pt>
                <c:pt idx="18" formatCode="#,##0">
                  <c:v>4263</c:v>
                </c:pt>
                <c:pt idx="19">
                  <c:v>434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0B-48DB-9B32-CE5CEAC10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5424128"/>
        <c:axId val="35425664"/>
      </c:barChart>
      <c:catAx>
        <c:axId val="3542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425664"/>
        <c:crosses val="autoZero"/>
        <c:auto val="1"/>
        <c:lblAlgn val="ctr"/>
        <c:lblOffset val="100"/>
        <c:noMultiLvlLbl val="0"/>
      </c:catAx>
      <c:valAx>
        <c:axId val="3542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42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BB3D-B932-4B0F-8977-F0AEF4F5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68CA1E2F.dotm</Template>
  <TotalTime>5</TotalTime>
  <Pages>15</Pages>
  <Words>4498</Words>
  <Characters>26539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20/13 - Investiční pobídky</vt:lpstr>
    </vt:vector>
  </TitlesOfParts>
  <Company>NKU</Company>
  <LinksUpToDate>false</LinksUpToDate>
  <CharactersWithSpaces>30976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20/13 - Investiční pobídky</dc:title>
  <dc:subject/>
  <dc:creator>Nejvyšší kontrolní úřad</dc:creator>
  <cp:keywords>kontrolní závěr; investiční pobídky</cp:keywords>
  <dc:description/>
  <cp:lastModifiedBy>KOKRDA Daniel</cp:lastModifiedBy>
  <cp:revision>4</cp:revision>
  <cp:lastPrinted>2021-02-22T08:35:00Z</cp:lastPrinted>
  <dcterms:created xsi:type="dcterms:W3CDTF">2021-03-03T07:42:00Z</dcterms:created>
  <dcterms:modified xsi:type="dcterms:W3CDTF">2021-03-03T07:47:00Z</dcterms:modified>
</cp:coreProperties>
</file>