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2116E" w14:textId="77777777" w:rsidR="00194849" w:rsidRPr="00611CE1" w:rsidRDefault="00194849" w:rsidP="00194849">
      <w:pPr>
        <w:pStyle w:val="Nadpis9"/>
        <w:spacing w:before="0" w:after="0" w:line="280" w:lineRule="atLeast"/>
        <w:rPr>
          <w:rFonts w:asciiTheme="minorHAnsi" w:hAnsiTheme="minorHAnsi" w:cs="Arial"/>
          <w:b/>
          <w:sz w:val="24"/>
          <w:szCs w:val="24"/>
        </w:rPr>
      </w:pPr>
    </w:p>
    <w:p w14:paraId="33E39E13" w14:textId="77777777" w:rsidR="00194849" w:rsidRPr="00611CE1" w:rsidRDefault="00CF06FA" w:rsidP="00194849">
      <w:pPr>
        <w:pStyle w:val="Nadpis9"/>
        <w:spacing w:before="0" w:after="0" w:line="280" w:lineRule="atLeast"/>
        <w:rPr>
          <w:rFonts w:asciiTheme="minorHAnsi" w:hAnsiTheme="minorHAnsi" w:cs="Arial"/>
          <w:b/>
          <w:sz w:val="24"/>
          <w:szCs w:val="24"/>
        </w:rPr>
      </w:pPr>
      <w:r w:rsidRPr="00611CE1"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FD6D384" wp14:editId="4F7D62B7">
            <wp:simplePos x="0" y="0"/>
            <wp:positionH relativeFrom="column">
              <wp:align>center</wp:align>
            </wp:positionH>
            <wp:positionV relativeFrom="paragraph">
              <wp:posOffset>-162560</wp:posOffset>
            </wp:positionV>
            <wp:extent cx="791210" cy="559435"/>
            <wp:effectExtent l="0" t="0" r="8890" b="0"/>
            <wp:wrapSquare wrapText="bothSides"/>
            <wp:docPr id="2" name="obrázek 2" descr="NKU_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902099" name="obrázek 2" descr="NKU_LOGO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341512" w14:textId="77777777" w:rsidR="00194849" w:rsidRPr="00611CE1" w:rsidRDefault="00194849" w:rsidP="006E57E1"/>
    <w:p w14:paraId="6F192908" w14:textId="77777777" w:rsidR="00194849" w:rsidRPr="00611CE1" w:rsidRDefault="00194849" w:rsidP="006E57E1"/>
    <w:p w14:paraId="3347FB6A" w14:textId="77777777" w:rsidR="00194849" w:rsidRPr="00611CE1" w:rsidRDefault="00194849" w:rsidP="006E57E1"/>
    <w:p w14:paraId="6B84CD60" w14:textId="77777777" w:rsidR="00194849" w:rsidRPr="00412B6B" w:rsidRDefault="00194849" w:rsidP="00194849">
      <w:pPr>
        <w:spacing w:line="280" w:lineRule="atLeast"/>
      </w:pPr>
    </w:p>
    <w:p w14:paraId="60C7BABC" w14:textId="21D5E57C" w:rsidR="00194849" w:rsidRPr="001426F1" w:rsidRDefault="00CF06FA" w:rsidP="00194849">
      <w:pPr>
        <w:pStyle w:val="Nadpis9"/>
        <w:spacing w:before="0" w:after="0" w:line="280" w:lineRule="atLeast"/>
        <w:jc w:val="center"/>
        <w:rPr>
          <w:rFonts w:asciiTheme="minorHAnsi" w:hAnsiTheme="minorHAnsi" w:cs="Arial"/>
          <w:b/>
          <w:sz w:val="28"/>
          <w:szCs w:val="28"/>
        </w:rPr>
      </w:pPr>
      <w:bookmarkStart w:id="0" w:name="_GoBack"/>
      <w:r w:rsidRPr="007D260D">
        <w:rPr>
          <w:rFonts w:asciiTheme="minorHAnsi" w:hAnsiTheme="minorHAnsi" w:cs="Arial"/>
          <w:b/>
          <w:sz w:val="28"/>
          <w:szCs w:val="28"/>
        </w:rPr>
        <w:t>Kontrolní závěr z kontrolní akce</w:t>
      </w:r>
      <w:r w:rsidR="007529C5">
        <w:rPr>
          <w:rFonts w:asciiTheme="minorHAnsi" w:hAnsiTheme="minorHAnsi" w:cs="Arial"/>
          <w:b/>
          <w:sz w:val="28"/>
          <w:szCs w:val="28"/>
        </w:rPr>
        <w:t xml:space="preserve"> </w:t>
      </w:r>
    </w:p>
    <w:p w14:paraId="695396A3" w14:textId="77777777" w:rsidR="00194849" w:rsidRPr="007D260D" w:rsidRDefault="00194849" w:rsidP="00194849">
      <w:pPr>
        <w:spacing w:line="280" w:lineRule="atLeast"/>
        <w:jc w:val="center"/>
        <w:rPr>
          <w:sz w:val="28"/>
          <w:szCs w:val="28"/>
        </w:rPr>
      </w:pPr>
    </w:p>
    <w:p w14:paraId="46C6CAF9" w14:textId="7B19B66A" w:rsidR="00194849" w:rsidRDefault="00102E4C" w:rsidP="00194849">
      <w:pPr>
        <w:spacing w:line="280" w:lineRule="atLeast"/>
        <w:ind w:right="68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2</w:t>
      </w:r>
      <w:r w:rsidR="009E345E">
        <w:rPr>
          <w:rFonts w:cs="Arial"/>
          <w:b/>
          <w:bCs/>
          <w:sz w:val="28"/>
          <w:szCs w:val="28"/>
        </w:rPr>
        <w:t>1</w:t>
      </w:r>
      <w:r w:rsidR="00CF06FA" w:rsidRPr="007D260D">
        <w:rPr>
          <w:rFonts w:cs="Arial"/>
          <w:b/>
          <w:bCs/>
          <w:sz w:val="28"/>
          <w:szCs w:val="28"/>
        </w:rPr>
        <w:t>/</w:t>
      </w:r>
      <w:r w:rsidR="009E345E">
        <w:rPr>
          <w:rFonts w:cs="Arial"/>
          <w:b/>
          <w:bCs/>
          <w:sz w:val="28"/>
          <w:szCs w:val="28"/>
        </w:rPr>
        <w:t>1</w:t>
      </w:r>
      <w:r w:rsidR="004E62A1">
        <w:rPr>
          <w:rFonts w:cs="Arial"/>
          <w:b/>
          <w:bCs/>
          <w:sz w:val="28"/>
          <w:szCs w:val="28"/>
        </w:rPr>
        <w:t>2</w:t>
      </w:r>
    </w:p>
    <w:p w14:paraId="5365918A" w14:textId="77777777" w:rsidR="00194849" w:rsidRPr="004F51CF" w:rsidRDefault="00194849" w:rsidP="00194849">
      <w:pPr>
        <w:spacing w:line="280" w:lineRule="atLeast"/>
        <w:jc w:val="center"/>
        <w:rPr>
          <w:rFonts w:cs="Arial"/>
          <w:bCs/>
          <w:sz w:val="28"/>
          <w:szCs w:val="28"/>
        </w:rPr>
      </w:pPr>
    </w:p>
    <w:p w14:paraId="7A8D483A" w14:textId="73CF06C1" w:rsidR="00194849" w:rsidRPr="007D260D" w:rsidRDefault="004E62A1" w:rsidP="00194849">
      <w:pPr>
        <w:spacing w:line="280" w:lineRule="atLeast"/>
        <w:jc w:val="center"/>
        <w:rPr>
          <w:rFonts w:cs="Arial"/>
        </w:rPr>
      </w:pPr>
      <w:r>
        <w:rPr>
          <w:rFonts w:cs="Arial"/>
          <w:b/>
          <w:sz w:val="28"/>
          <w:szCs w:val="28"/>
        </w:rPr>
        <w:t>Majetek a peněžní prostředky státu</w:t>
      </w:r>
      <w:r w:rsidR="00102E4C">
        <w:rPr>
          <w:rFonts w:cs="Arial"/>
          <w:b/>
          <w:sz w:val="28"/>
          <w:szCs w:val="28"/>
        </w:rPr>
        <w:t xml:space="preserve">, se kterými je příslušné hospodařit </w:t>
      </w:r>
      <w:r w:rsidR="009E345E" w:rsidRPr="009E345E">
        <w:rPr>
          <w:rFonts w:cs="Arial"/>
          <w:b/>
          <w:sz w:val="28"/>
          <w:szCs w:val="28"/>
        </w:rPr>
        <w:t>Ministerstvo financí</w:t>
      </w:r>
    </w:p>
    <w:bookmarkEnd w:id="0"/>
    <w:p w14:paraId="1918C4E5" w14:textId="77777777" w:rsidR="00194849" w:rsidRDefault="00194849" w:rsidP="00194849">
      <w:pPr>
        <w:spacing w:line="280" w:lineRule="atLeast"/>
        <w:contextualSpacing/>
        <w:rPr>
          <w:rFonts w:cs="Arial"/>
        </w:rPr>
      </w:pPr>
    </w:p>
    <w:p w14:paraId="6646475A" w14:textId="77777777" w:rsidR="00194849" w:rsidRDefault="00194849" w:rsidP="00194849">
      <w:pPr>
        <w:pStyle w:val="Zkladn"/>
        <w:spacing w:before="0" w:line="280" w:lineRule="atLeast"/>
        <w:contextualSpacing/>
        <w:rPr>
          <w:rFonts w:cs="Arial"/>
        </w:rPr>
      </w:pPr>
    </w:p>
    <w:p w14:paraId="312C3072" w14:textId="05C6B0D9" w:rsidR="00194849" w:rsidRPr="007D260D" w:rsidRDefault="00CF06FA" w:rsidP="00194849">
      <w:pPr>
        <w:pStyle w:val="Zkladn"/>
        <w:spacing w:before="0" w:line="280" w:lineRule="atLeast"/>
        <w:contextualSpacing/>
        <w:rPr>
          <w:rFonts w:cs="Arial"/>
        </w:rPr>
      </w:pPr>
      <w:r w:rsidRPr="007D260D">
        <w:rPr>
          <w:rFonts w:cs="Arial"/>
        </w:rPr>
        <w:t>Kontrolní akce byla zařazena do plánu kontrolní činnosti Nejvyššího kontrolního úřadu (dále také „NKÚ“) na rok 20</w:t>
      </w:r>
      <w:r w:rsidR="00102E4C">
        <w:rPr>
          <w:rFonts w:cs="Arial"/>
        </w:rPr>
        <w:t>2</w:t>
      </w:r>
      <w:r w:rsidR="009E345E">
        <w:rPr>
          <w:rFonts w:cs="Arial"/>
        </w:rPr>
        <w:t>1</w:t>
      </w:r>
      <w:r w:rsidRPr="007D260D">
        <w:rPr>
          <w:rFonts w:cs="Arial"/>
        </w:rPr>
        <w:t xml:space="preserve"> pod číslem </w:t>
      </w:r>
      <w:r w:rsidR="00102E4C">
        <w:rPr>
          <w:rFonts w:cs="Arial"/>
        </w:rPr>
        <w:t>2</w:t>
      </w:r>
      <w:r w:rsidR="009E345E">
        <w:rPr>
          <w:rFonts w:cs="Arial"/>
        </w:rPr>
        <w:t>1</w:t>
      </w:r>
      <w:r w:rsidRPr="007D260D">
        <w:rPr>
          <w:rFonts w:cs="Arial"/>
        </w:rPr>
        <w:t>/</w:t>
      </w:r>
      <w:r w:rsidR="009E345E">
        <w:rPr>
          <w:rFonts w:cs="Arial"/>
        </w:rPr>
        <w:t>1</w:t>
      </w:r>
      <w:r w:rsidR="004E62A1">
        <w:rPr>
          <w:rFonts w:cs="Arial"/>
        </w:rPr>
        <w:t>2</w:t>
      </w:r>
      <w:r w:rsidRPr="007D260D">
        <w:rPr>
          <w:rFonts w:cs="Arial"/>
        </w:rPr>
        <w:t xml:space="preserve">. Kontrolní akci řídil a kontrolní závěr vypracoval člen NKÚ </w:t>
      </w:r>
      <w:r w:rsidR="009E345E">
        <w:rPr>
          <w:bCs/>
        </w:rPr>
        <w:t>RNDr. Vladimír Koníček.</w:t>
      </w:r>
    </w:p>
    <w:p w14:paraId="074B5CB6" w14:textId="77777777" w:rsidR="00194849" w:rsidRPr="007D260D" w:rsidRDefault="00194849" w:rsidP="00194849">
      <w:pPr>
        <w:pStyle w:val="Zkladn"/>
        <w:spacing w:before="0" w:line="280" w:lineRule="atLeast"/>
        <w:contextualSpacing/>
        <w:rPr>
          <w:rFonts w:cs="Arial"/>
        </w:rPr>
      </w:pPr>
    </w:p>
    <w:p w14:paraId="667A43A0" w14:textId="7227832B" w:rsidR="00194849" w:rsidRDefault="00CF06FA" w:rsidP="00194849">
      <w:pPr>
        <w:pStyle w:val="Zkladntextodsazen"/>
        <w:spacing w:after="0" w:line="280" w:lineRule="atLeast"/>
        <w:ind w:left="0"/>
        <w:contextualSpacing/>
        <w:rPr>
          <w:rFonts w:cstheme="minorHAnsi"/>
        </w:rPr>
      </w:pPr>
      <w:r w:rsidRPr="008C3BC7">
        <w:rPr>
          <w:rFonts w:cs="Arial"/>
        </w:rPr>
        <w:t>Cílem kontroly</w:t>
      </w:r>
      <w:r w:rsidRPr="007D260D">
        <w:rPr>
          <w:rFonts w:cs="Arial"/>
        </w:rPr>
        <w:t xml:space="preserve"> bylo prov</w:t>
      </w:r>
      <w:r w:rsidR="001513D3">
        <w:rPr>
          <w:rFonts w:cs="Arial"/>
        </w:rPr>
        <w:t>ěřit</w:t>
      </w:r>
      <w:r w:rsidR="004E62A1">
        <w:rPr>
          <w:rFonts w:cs="Arial"/>
        </w:rPr>
        <w:t xml:space="preserve">, </w:t>
      </w:r>
      <w:r w:rsidR="009E345E" w:rsidRPr="00AE7D82">
        <w:rPr>
          <w:rFonts w:cstheme="minorHAnsi"/>
        </w:rPr>
        <w:t>zda Ministerstvo financí hospodaří s</w:t>
      </w:r>
      <w:r w:rsidR="00666498">
        <w:rPr>
          <w:rFonts w:cstheme="minorHAnsi"/>
        </w:rPr>
        <w:t xml:space="preserve"> </w:t>
      </w:r>
      <w:r w:rsidR="009E345E" w:rsidRPr="00AE7D82">
        <w:rPr>
          <w:rFonts w:cstheme="minorHAnsi"/>
        </w:rPr>
        <w:t>majetkem a</w:t>
      </w:r>
      <w:r w:rsidR="00D373F6">
        <w:rPr>
          <w:rFonts w:cstheme="minorHAnsi"/>
        </w:rPr>
        <w:t xml:space="preserve"> </w:t>
      </w:r>
      <w:r w:rsidR="009E345E" w:rsidRPr="00AE7D82">
        <w:rPr>
          <w:rFonts w:cstheme="minorHAnsi"/>
        </w:rPr>
        <w:t>peněžními prostředky státu hospodárně a v souladu s právními předpisy</w:t>
      </w:r>
      <w:r w:rsidR="009E345E">
        <w:rPr>
          <w:rFonts w:cstheme="minorHAnsi"/>
        </w:rPr>
        <w:t>.</w:t>
      </w:r>
    </w:p>
    <w:p w14:paraId="464739E1" w14:textId="77777777" w:rsidR="0078279B" w:rsidRDefault="0078279B" w:rsidP="00194849">
      <w:pPr>
        <w:pStyle w:val="Zkladntextodsazen"/>
        <w:spacing w:after="0" w:line="280" w:lineRule="atLeast"/>
        <w:ind w:left="0"/>
        <w:contextualSpacing/>
        <w:rPr>
          <w:rFonts w:cs="Arial"/>
        </w:rPr>
      </w:pPr>
    </w:p>
    <w:p w14:paraId="7B81390C" w14:textId="51A58A0A" w:rsidR="00C51BD5" w:rsidRDefault="0078279B" w:rsidP="00194849">
      <w:pPr>
        <w:spacing w:line="280" w:lineRule="atLeast"/>
        <w:contextualSpacing/>
        <w:rPr>
          <w:rFonts w:cs="Arial"/>
        </w:rPr>
      </w:pPr>
      <w:r>
        <w:rPr>
          <w:rFonts w:cs="Arial"/>
        </w:rPr>
        <w:t>Kontrolovaným obdobím byly roky</w:t>
      </w:r>
      <w:r w:rsidR="004E62A1">
        <w:rPr>
          <w:rFonts w:cs="Arial"/>
        </w:rPr>
        <w:t xml:space="preserve"> 201</w:t>
      </w:r>
      <w:r w:rsidR="009E345E">
        <w:rPr>
          <w:rFonts w:cs="Arial"/>
        </w:rPr>
        <w:t>9</w:t>
      </w:r>
      <w:r w:rsidR="00CF06FA" w:rsidRPr="00B06601">
        <w:rPr>
          <w:rFonts w:cs="Arial"/>
        </w:rPr>
        <w:t xml:space="preserve"> a 20</w:t>
      </w:r>
      <w:r w:rsidR="009E345E">
        <w:rPr>
          <w:rFonts w:cs="Arial"/>
        </w:rPr>
        <w:t>20</w:t>
      </w:r>
      <w:r w:rsidR="00CF06FA" w:rsidRPr="00B06601">
        <w:rPr>
          <w:rFonts w:cs="Arial"/>
        </w:rPr>
        <w:t>, v případě věcných</w:t>
      </w:r>
      <w:r w:rsidR="00CF06FA" w:rsidRPr="007D260D">
        <w:rPr>
          <w:rFonts w:cs="Arial"/>
        </w:rPr>
        <w:t xml:space="preserve"> souvislostí i období předcházející a </w:t>
      </w:r>
      <w:r w:rsidR="00CF06FA">
        <w:rPr>
          <w:rFonts w:cs="Arial"/>
        </w:rPr>
        <w:t>následující.</w:t>
      </w:r>
    </w:p>
    <w:p w14:paraId="27767F17" w14:textId="77777777" w:rsidR="00C51BD5" w:rsidRDefault="00C51BD5" w:rsidP="00194849">
      <w:pPr>
        <w:spacing w:line="280" w:lineRule="atLeast"/>
        <w:contextualSpacing/>
        <w:rPr>
          <w:rFonts w:cs="Arial"/>
        </w:rPr>
      </w:pPr>
    </w:p>
    <w:p w14:paraId="07F66768" w14:textId="72376332" w:rsidR="00194849" w:rsidRPr="007D260D" w:rsidRDefault="00C51BD5" w:rsidP="00194849">
      <w:pPr>
        <w:spacing w:line="280" w:lineRule="atLeast"/>
        <w:contextualSpacing/>
        <w:rPr>
          <w:rFonts w:cs="Arial"/>
        </w:rPr>
      </w:pPr>
      <w:r w:rsidRPr="007D260D">
        <w:rPr>
          <w:rFonts w:cs="Arial"/>
        </w:rPr>
        <w:t xml:space="preserve">Kontrola byla prováděna </w:t>
      </w:r>
      <w:r>
        <w:rPr>
          <w:rFonts w:cs="Arial"/>
        </w:rPr>
        <w:t xml:space="preserve">u kontrolované </w:t>
      </w:r>
      <w:r w:rsidRPr="00C678F5">
        <w:rPr>
          <w:rFonts w:cs="Arial"/>
        </w:rPr>
        <w:t>osob</w:t>
      </w:r>
      <w:r>
        <w:rPr>
          <w:rFonts w:cs="Arial"/>
        </w:rPr>
        <w:t>y</w:t>
      </w:r>
      <w:r w:rsidRPr="00C678F5">
        <w:rPr>
          <w:rFonts w:cs="Arial"/>
        </w:rPr>
        <w:t xml:space="preserve"> </w:t>
      </w:r>
      <w:r>
        <w:rPr>
          <w:rFonts w:cs="Arial"/>
        </w:rPr>
        <w:t xml:space="preserve">v době </w:t>
      </w:r>
      <w:r w:rsidRPr="00C678F5">
        <w:rPr>
          <w:rFonts w:cs="Arial"/>
        </w:rPr>
        <w:t xml:space="preserve">od </w:t>
      </w:r>
      <w:r w:rsidR="009E345E">
        <w:rPr>
          <w:rFonts w:cs="Arial"/>
        </w:rPr>
        <w:t>dubna</w:t>
      </w:r>
      <w:r w:rsidRPr="00C678F5">
        <w:rPr>
          <w:rFonts w:cs="Arial"/>
        </w:rPr>
        <w:t xml:space="preserve"> 20</w:t>
      </w:r>
      <w:r>
        <w:rPr>
          <w:rFonts w:cs="Arial"/>
        </w:rPr>
        <w:t>2</w:t>
      </w:r>
      <w:r w:rsidR="009E345E">
        <w:rPr>
          <w:rFonts w:cs="Arial"/>
        </w:rPr>
        <w:t>1</w:t>
      </w:r>
      <w:r w:rsidRPr="00C678F5">
        <w:rPr>
          <w:rFonts w:cs="Arial"/>
        </w:rPr>
        <w:t xml:space="preserve"> do</w:t>
      </w:r>
      <w:r w:rsidRPr="007D260D">
        <w:rPr>
          <w:rFonts w:cs="Arial"/>
        </w:rPr>
        <w:t xml:space="preserve"> </w:t>
      </w:r>
      <w:r w:rsidR="009E345E">
        <w:rPr>
          <w:rFonts w:cs="Arial"/>
        </w:rPr>
        <w:t>prosince</w:t>
      </w:r>
      <w:r>
        <w:rPr>
          <w:rFonts w:cs="Arial"/>
        </w:rPr>
        <w:t xml:space="preserve"> 2021</w:t>
      </w:r>
      <w:r w:rsidRPr="007D260D">
        <w:rPr>
          <w:rFonts w:cs="Arial"/>
        </w:rPr>
        <w:t>.</w:t>
      </w:r>
    </w:p>
    <w:p w14:paraId="12E9B04A" w14:textId="77777777" w:rsidR="00194849" w:rsidRDefault="00194849" w:rsidP="00194849">
      <w:pPr>
        <w:spacing w:line="280" w:lineRule="atLeast"/>
        <w:contextualSpacing/>
        <w:rPr>
          <w:rFonts w:cs="Arial"/>
        </w:rPr>
      </w:pPr>
    </w:p>
    <w:p w14:paraId="2A1CC081" w14:textId="77777777" w:rsidR="001513D3" w:rsidRPr="007D260D" w:rsidRDefault="001513D3" w:rsidP="00194849">
      <w:pPr>
        <w:spacing w:line="280" w:lineRule="atLeast"/>
        <w:contextualSpacing/>
        <w:rPr>
          <w:rFonts w:cs="Arial"/>
        </w:rPr>
      </w:pPr>
    </w:p>
    <w:p w14:paraId="2C11E27E" w14:textId="77777777" w:rsidR="00194849" w:rsidRPr="00F175A8" w:rsidRDefault="004E62A1" w:rsidP="00194849">
      <w:pPr>
        <w:pStyle w:val="Zkladn"/>
        <w:spacing w:before="0" w:line="280" w:lineRule="atLeast"/>
        <w:contextualSpacing/>
        <w:rPr>
          <w:rFonts w:cs="Arial"/>
          <w:b/>
        </w:rPr>
      </w:pPr>
      <w:r>
        <w:rPr>
          <w:rFonts w:cs="Arial"/>
          <w:b/>
        </w:rPr>
        <w:t>Kontrolovaná</w:t>
      </w:r>
      <w:r w:rsidR="00CF06FA" w:rsidRPr="00F175A8">
        <w:rPr>
          <w:rFonts w:cs="Arial"/>
          <w:b/>
        </w:rPr>
        <w:t xml:space="preserve"> </w:t>
      </w:r>
      <w:r>
        <w:rPr>
          <w:rFonts w:cs="Arial"/>
          <w:b/>
        </w:rPr>
        <w:t>osoba</w:t>
      </w:r>
      <w:r w:rsidR="00CF06FA" w:rsidRPr="00F175A8">
        <w:rPr>
          <w:rFonts w:cs="Arial"/>
          <w:b/>
        </w:rPr>
        <w:t>:</w:t>
      </w:r>
    </w:p>
    <w:p w14:paraId="452AB625" w14:textId="6C74989D" w:rsidR="00980760" w:rsidRPr="00A74F2D" w:rsidRDefault="009E345E" w:rsidP="005D572D">
      <w:pPr>
        <w:autoSpaceDE w:val="0"/>
        <w:autoSpaceDN w:val="0"/>
        <w:adjustRightInd w:val="0"/>
        <w:contextualSpacing/>
      </w:pPr>
      <w:r w:rsidRPr="009E345E">
        <w:t xml:space="preserve">Ministerstvo financí </w:t>
      </w:r>
      <w:r w:rsidR="001513D3">
        <w:t>(dále také „</w:t>
      </w:r>
      <w:r>
        <w:t>MF</w:t>
      </w:r>
      <w:r w:rsidR="001513D3">
        <w:t>“)</w:t>
      </w:r>
      <w:r w:rsidR="00C51BD5">
        <w:t>.</w:t>
      </w:r>
    </w:p>
    <w:p w14:paraId="129A7007" w14:textId="77777777" w:rsidR="00980760" w:rsidRPr="003F6BFD" w:rsidRDefault="00980760" w:rsidP="00194849">
      <w:pPr>
        <w:pStyle w:val="Zkladn"/>
        <w:spacing w:before="0" w:line="280" w:lineRule="atLeast"/>
        <w:contextualSpacing/>
        <w:rPr>
          <w:rFonts w:cs="Arial"/>
        </w:rPr>
      </w:pPr>
    </w:p>
    <w:p w14:paraId="49C87411" w14:textId="77777777" w:rsidR="00194849" w:rsidRDefault="00194849" w:rsidP="00194849">
      <w:pPr>
        <w:spacing w:line="280" w:lineRule="atLeast"/>
        <w:ind w:right="70"/>
        <w:contextualSpacing/>
        <w:rPr>
          <w:rFonts w:cs="Arial"/>
        </w:rPr>
      </w:pPr>
    </w:p>
    <w:p w14:paraId="2A197A82" w14:textId="77777777" w:rsidR="00194849" w:rsidRPr="007D260D" w:rsidRDefault="00194849" w:rsidP="00194849">
      <w:pPr>
        <w:spacing w:line="280" w:lineRule="atLeast"/>
        <w:ind w:right="70"/>
        <w:contextualSpacing/>
        <w:rPr>
          <w:rFonts w:cs="Arial"/>
        </w:rPr>
      </w:pPr>
    </w:p>
    <w:p w14:paraId="2E7D87E6" w14:textId="44F8B23E" w:rsidR="00194849" w:rsidRPr="00C734C1" w:rsidRDefault="00CF06FA" w:rsidP="00194849">
      <w:pPr>
        <w:spacing w:line="280" w:lineRule="atLeast"/>
        <w:ind w:right="70"/>
        <w:contextualSpacing/>
        <w:rPr>
          <w:rFonts w:cs="Arial"/>
        </w:rPr>
      </w:pPr>
      <w:r w:rsidRPr="00FF5B84">
        <w:rPr>
          <w:rFonts w:cs="Arial"/>
          <w:b/>
          <w:bCs/>
          <w:i/>
          <w:iCs/>
          <w:spacing w:val="60"/>
        </w:rPr>
        <w:t>Kolegium</w:t>
      </w:r>
      <w:r w:rsidRPr="00FF5B84">
        <w:rPr>
          <w:rFonts w:cs="Arial"/>
          <w:spacing w:val="60"/>
        </w:rPr>
        <w:t xml:space="preserve"> </w:t>
      </w:r>
      <w:r w:rsidRPr="00FF5B84">
        <w:rPr>
          <w:rFonts w:cs="Arial"/>
          <w:b/>
          <w:bCs/>
          <w:i/>
          <w:iCs/>
          <w:spacing w:val="60"/>
        </w:rPr>
        <w:t>NKÚ</w:t>
      </w:r>
      <w:r w:rsidRPr="00C734C1">
        <w:rPr>
          <w:rFonts w:cs="Arial"/>
          <w:b/>
          <w:bCs/>
          <w:i/>
          <w:iCs/>
        </w:rPr>
        <w:t xml:space="preserve">  </w:t>
      </w:r>
      <w:r w:rsidRPr="00C734C1">
        <w:rPr>
          <w:rFonts w:cs="Arial"/>
          <w:b/>
          <w:bCs/>
          <w:iCs/>
        </w:rPr>
        <w:t xml:space="preserve"> </w:t>
      </w:r>
      <w:r w:rsidRPr="00C734C1">
        <w:rPr>
          <w:rFonts w:cs="Arial"/>
        </w:rPr>
        <w:t xml:space="preserve">na svém </w:t>
      </w:r>
      <w:r w:rsidR="00426AA5">
        <w:rPr>
          <w:rFonts w:cs="Arial"/>
        </w:rPr>
        <w:t>VIII</w:t>
      </w:r>
      <w:r w:rsidR="00252D1D">
        <w:rPr>
          <w:rFonts w:cs="Arial"/>
        </w:rPr>
        <w:t xml:space="preserve">. </w:t>
      </w:r>
      <w:r w:rsidRPr="00C734C1">
        <w:rPr>
          <w:rFonts w:cs="Arial"/>
        </w:rPr>
        <w:t xml:space="preserve">jednání, které se konalo dne </w:t>
      </w:r>
      <w:r w:rsidR="00426AA5">
        <w:rPr>
          <w:rFonts w:cs="Arial"/>
        </w:rPr>
        <w:t>30. května</w:t>
      </w:r>
      <w:r w:rsidR="00252D1D">
        <w:rPr>
          <w:rFonts w:cs="Arial"/>
        </w:rPr>
        <w:t xml:space="preserve"> </w:t>
      </w:r>
      <w:r w:rsidRPr="00C734C1">
        <w:rPr>
          <w:rFonts w:cs="Arial"/>
        </w:rPr>
        <w:t>20</w:t>
      </w:r>
      <w:r w:rsidR="00102E4C">
        <w:rPr>
          <w:rFonts w:cs="Arial"/>
        </w:rPr>
        <w:t>2</w:t>
      </w:r>
      <w:r w:rsidR="009E345E">
        <w:rPr>
          <w:rFonts w:cs="Arial"/>
        </w:rPr>
        <w:t>2</w:t>
      </w:r>
      <w:r w:rsidRPr="00C734C1">
        <w:rPr>
          <w:rFonts w:cs="Arial"/>
        </w:rPr>
        <w:t>,</w:t>
      </w:r>
    </w:p>
    <w:p w14:paraId="20D33EA6" w14:textId="77777777" w:rsidR="001513D3" w:rsidRPr="00C734C1" w:rsidRDefault="001513D3" w:rsidP="00194849">
      <w:pPr>
        <w:spacing w:line="280" w:lineRule="atLeast"/>
        <w:ind w:right="70"/>
        <w:contextualSpacing/>
        <w:rPr>
          <w:rFonts w:cs="Arial"/>
        </w:rPr>
      </w:pPr>
    </w:p>
    <w:p w14:paraId="631733B4" w14:textId="3F293C0E" w:rsidR="00194849" w:rsidRDefault="00CF06FA" w:rsidP="00194849">
      <w:pPr>
        <w:spacing w:line="280" w:lineRule="atLeast"/>
        <w:ind w:right="70"/>
        <w:contextualSpacing/>
        <w:rPr>
          <w:rFonts w:cs="Arial"/>
        </w:rPr>
      </w:pPr>
      <w:r w:rsidRPr="00FF5B84">
        <w:rPr>
          <w:rFonts w:cs="Arial"/>
          <w:b/>
          <w:bCs/>
          <w:i/>
          <w:iCs/>
          <w:spacing w:val="60"/>
        </w:rPr>
        <w:t>schválilo</w:t>
      </w:r>
      <w:r w:rsidRPr="00C734C1">
        <w:rPr>
          <w:rFonts w:cs="Arial"/>
        </w:rPr>
        <w:t xml:space="preserve">   usnesením č. </w:t>
      </w:r>
      <w:r w:rsidR="00150FE0">
        <w:rPr>
          <w:rFonts w:cs="Arial"/>
        </w:rPr>
        <w:t>11</w:t>
      </w:r>
      <w:r w:rsidRPr="00C734C1">
        <w:rPr>
          <w:rFonts w:cs="Arial"/>
        </w:rPr>
        <w:t>/</w:t>
      </w:r>
      <w:r w:rsidR="00426AA5">
        <w:rPr>
          <w:rFonts w:cs="Arial"/>
        </w:rPr>
        <w:t>VIII</w:t>
      </w:r>
      <w:r w:rsidRPr="00C734C1">
        <w:rPr>
          <w:rFonts w:cs="Arial"/>
        </w:rPr>
        <w:t>/20</w:t>
      </w:r>
      <w:r w:rsidR="00102E4C">
        <w:rPr>
          <w:rFonts w:cs="Arial"/>
        </w:rPr>
        <w:t>2</w:t>
      </w:r>
      <w:r w:rsidR="009E345E">
        <w:rPr>
          <w:rFonts w:cs="Arial"/>
        </w:rPr>
        <w:t>2</w:t>
      </w:r>
    </w:p>
    <w:p w14:paraId="0C277296" w14:textId="77777777" w:rsidR="001513D3" w:rsidRPr="004E0115" w:rsidRDefault="001513D3" w:rsidP="00194849">
      <w:pPr>
        <w:spacing w:line="280" w:lineRule="atLeast"/>
        <w:ind w:right="70"/>
        <w:contextualSpacing/>
        <w:rPr>
          <w:rFonts w:cs="Arial"/>
        </w:rPr>
      </w:pPr>
    </w:p>
    <w:p w14:paraId="60639113" w14:textId="77777777" w:rsidR="00194849" w:rsidRDefault="00CF06FA" w:rsidP="00194849">
      <w:pPr>
        <w:spacing w:line="280" w:lineRule="atLeast"/>
        <w:ind w:right="70"/>
        <w:contextualSpacing/>
        <w:rPr>
          <w:rFonts w:cs="Arial"/>
        </w:rPr>
      </w:pPr>
      <w:r w:rsidRPr="004E0115">
        <w:rPr>
          <w:rFonts w:cs="Arial"/>
          <w:b/>
          <w:bCs/>
          <w:i/>
          <w:iCs/>
          <w:spacing w:val="60"/>
        </w:rPr>
        <w:t>kontrolní závěr</w:t>
      </w:r>
      <w:r w:rsidRPr="004E0115">
        <w:rPr>
          <w:rFonts w:cs="Arial"/>
        </w:rPr>
        <w:t xml:space="preserve">   v tomto znění:</w:t>
      </w:r>
    </w:p>
    <w:p w14:paraId="66C162A9" w14:textId="5EAFB242" w:rsidR="009E345E" w:rsidRDefault="009E345E">
      <w:pPr>
        <w:spacing w:after="160" w:line="259" w:lineRule="auto"/>
        <w:jc w:val="left"/>
        <w:rPr>
          <w:rFonts w:cs="Arial"/>
        </w:rPr>
      </w:pPr>
      <w:r>
        <w:rPr>
          <w:rFonts w:cs="Arial"/>
        </w:rPr>
        <w:br w:type="page"/>
      </w:r>
    </w:p>
    <w:p w14:paraId="68A2782D" w14:textId="7E94CE57" w:rsidR="00AB2714" w:rsidRPr="00997B57" w:rsidRDefault="00AB2714" w:rsidP="00AB2714">
      <w:pPr>
        <w:jc w:val="left"/>
        <w:rPr>
          <w:rFonts w:cs="Arial"/>
          <w:b/>
          <w:color w:val="5B9BD5" w:themeColor="accent1"/>
          <w:sz w:val="28"/>
          <w:szCs w:val="28"/>
        </w:rPr>
      </w:pPr>
      <w:r w:rsidRPr="00997B57">
        <w:rPr>
          <w:rFonts w:cs="Arial"/>
          <w:b/>
          <w:color w:val="5B9BD5" w:themeColor="accent1"/>
          <w:sz w:val="28"/>
          <w:szCs w:val="28"/>
        </w:rPr>
        <w:lastRenderedPageBreak/>
        <w:t xml:space="preserve">ČERPÁNÍ VÝDAJŮ NA </w:t>
      </w:r>
      <w:r w:rsidR="005975AA" w:rsidRPr="00997B57">
        <w:rPr>
          <w:rFonts w:cs="Arial"/>
          <w:b/>
          <w:color w:val="5B9BD5" w:themeColor="accent1"/>
          <w:sz w:val="28"/>
          <w:szCs w:val="28"/>
        </w:rPr>
        <w:t xml:space="preserve">VYBRANÉ PROGRAMY </w:t>
      </w:r>
      <w:r w:rsidRPr="00997B57">
        <w:rPr>
          <w:rFonts w:cs="Arial"/>
          <w:b/>
          <w:color w:val="5B9BD5" w:themeColor="accent1"/>
          <w:sz w:val="28"/>
          <w:szCs w:val="28"/>
        </w:rPr>
        <w:t>PROGRAMOVÉ</w:t>
      </w:r>
      <w:r w:rsidR="005975AA" w:rsidRPr="00997B57">
        <w:rPr>
          <w:rFonts w:cs="Arial"/>
          <w:b/>
          <w:color w:val="5B9BD5" w:themeColor="accent1"/>
          <w:sz w:val="28"/>
          <w:szCs w:val="28"/>
        </w:rPr>
        <w:t>HO</w:t>
      </w:r>
      <w:r w:rsidRPr="00997B57">
        <w:rPr>
          <w:rFonts w:cs="Arial"/>
          <w:b/>
          <w:color w:val="5B9BD5" w:themeColor="accent1"/>
          <w:sz w:val="28"/>
          <w:szCs w:val="28"/>
        </w:rPr>
        <w:t xml:space="preserve"> FINANCOVÁNÍ</w:t>
      </w:r>
    </w:p>
    <w:p w14:paraId="3BE93AFA" w14:textId="77777777" w:rsidR="00AB2714" w:rsidRDefault="00AB2714" w:rsidP="00AB2714">
      <w:pPr>
        <w:rPr>
          <w:rFonts w:cs="Arial"/>
          <w:b/>
          <w:sz w:val="28"/>
          <w:szCs w:val="28"/>
        </w:rPr>
      </w:pPr>
    </w:p>
    <w:p w14:paraId="7D88607C" w14:textId="77777777" w:rsidR="00AB2714" w:rsidRDefault="00AB2714" w:rsidP="00AB2714">
      <w:pPr>
        <w:jc w:val="center"/>
        <w:rPr>
          <w:rFonts w:cs="Arial"/>
          <w:b/>
          <w:sz w:val="28"/>
          <w:szCs w:val="28"/>
        </w:rPr>
      </w:pPr>
    </w:p>
    <w:tbl>
      <w:tblPr>
        <w:tblpPr w:leftFromText="141" w:rightFromText="141" w:bottomFromText="160" w:vertAnchor="text" w:horzAnchor="margin" w:tblpY="1088"/>
        <w:tblW w:w="4836" w:type="pct"/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3016"/>
        <w:gridCol w:w="3015"/>
        <w:gridCol w:w="2743"/>
      </w:tblGrid>
      <w:tr w:rsidR="00AB2714" w14:paraId="2D4C71C1" w14:textId="77777777" w:rsidTr="00AB2714">
        <w:trPr>
          <w:trHeight w:val="1354"/>
        </w:trPr>
        <w:tc>
          <w:tcPr>
            <w:tcW w:w="1719" w:type="pct"/>
          </w:tcPr>
          <w:p w14:paraId="73EA62D0" w14:textId="77777777" w:rsidR="00AB2714" w:rsidRPr="009C28F5" w:rsidRDefault="00AB2714" w:rsidP="00AB2714">
            <w:pPr>
              <w:spacing w:line="256" w:lineRule="auto"/>
              <w:jc w:val="center"/>
              <w:rPr>
                <w:b/>
                <w:sz w:val="36"/>
                <w:szCs w:val="48"/>
                <w:lang w:eastAsia="en-US"/>
              </w:rPr>
            </w:pPr>
            <w:r w:rsidRPr="009C28F5">
              <w:rPr>
                <w:b/>
                <w:sz w:val="36"/>
                <w:szCs w:val="48"/>
                <w:lang w:eastAsia="en-US"/>
              </w:rPr>
              <w:t>4 728 mil. Kč</w:t>
            </w:r>
          </w:p>
          <w:p w14:paraId="01DDC9D1" w14:textId="77777777" w:rsidR="00AB2714" w:rsidRPr="00505323" w:rsidRDefault="00AB2714" w:rsidP="00AB271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05323">
              <w:rPr>
                <w:sz w:val="20"/>
                <w:szCs w:val="20"/>
                <w:lang w:eastAsia="en-US"/>
              </w:rPr>
              <w:t>Plánované výdaje</w:t>
            </w:r>
          </w:p>
          <w:p w14:paraId="3493FAF8" w14:textId="77777777" w:rsidR="00AB2714" w:rsidRPr="00505323" w:rsidRDefault="00AB2714" w:rsidP="00AB271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8" w:type="pct"/>
          </w:tcPr>
          <w:p w14:paraId="2C0FBDBC" w14:textId="6F223152" w:rsidR="00AB2714" w:rsidRPr="009C28F5" w:rsidRDefault="00AB2714" w:rsidP="00AB2714">
            <w:pPr>
              <w:spacing w:line="256" w:lineRule="auto"/>
              <w:jc w:val="center"/>
              <w:rPr>
                <w:b/>
                <w:sz w:val="36"/>
                <w:szCs w:val="48"/>
                <w:lang w:eastAsia="en-US"/>
              </w:rPr>
            </w:pPr>
            <w:r w:rsidRPr="009C28F5">
              <w:rPr>
                <w:b/>
                <w:sz w:val="36"/>
                <w:szCs w:val="48"/>
                <w:lang w:eastAsia="en-US"/>
              </w:rPr>
              <w:t>4 13</w:t>
            </w:r>
            <w:r w:rsidR="007C408E">
              <w:rPr>
                <w:b/>
                <w:sz w:val="36"/>
                <w:szCs w:val="48"/>
                <w:lang w:eastAsia="en-US"/>
              </w:rPr>
              <w:t>2</w:t>
            </w:r>
            <w:r w:rsidRPr="009C28F5">
              <w:rPr>
                <w:b/>
                <w:sz w:val="36"/>
                <w:szCs w:val="48"/>
                <w:lang w:eastAsia="en-US"/>
              </w:rPr>
              <w:t xml:space="preserve"> mil. Kč</w:t>
            </w:r>
          </w:p>
          <w:p w14:paraId="72EEA445" w14:textId="77777777" w:rsidR="00AB2714" w:rsidRPr="00230527" w:rsidRDefault="00AB2714" w:rsidP="00AB271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05323">
              <w:rPr>
                <w:sz w:val="20"/>
                <w:szCs w:val="20"/>
                <w:lang w:eastAsia="en-US"/>
              </w:rPr>
              <w:t>Skutečně čerpané výdaje</w:t>
            </w:r>
          </w:p>
        </w:tc>
        <w:tc>
          <w:tcPr>
            <w:tcW w:w="1563" w:type="pct"/>
          </w:tcPr>
          <w:p w14:paraId="4820D624" w14:textId="77777777" w:rsidR="00AB2714" w:rsidRPr="009C28F5" w:rsidRDefault="00AB2714" w:rsidP="00AB2714">
            <w:pPr>
              <w:spacing w:line="256" w:lineRule="auto"/>
              <w:jc w:val="center"/>
              <w:rPr>
                <w:b/>
                <w:sz w:val="36"/>
                <w:szCs w:val="48"/>
                <w:lang w:eastAsia="en-US"/>
              </w:rPr>
            </w:pPr>
            <w:r w:rsidRPr="009C28F5">
              <w:rPr>
                <w:b/>
                <w:sz w:val="36"/>
                <w:szCs w:val="48"/>
                <w:lang w:eastAsia="en-US"/>
              </w:rPr>
              <w:t>596 mil. Kč</w:t>
            </w:r>
          </w:p>
          <w:p w14:paraId="2EC3EC49" w14:textId="77777777" w:rsidR="00AB2714" w:rsidRPr="00505323" w:rsidRDefault="00AB2714" w:rsidP="00AB2714">
            <w:pPr>
              <w:spacing w:line="256" w:lineRule="auto"/>
              <w:jc w:val="center"/>
              <w:rPr>
                <w:b/>
                <w:sz w:val="48"/>
                <w:szCs w:val="48"/>
                <w:lang w:eastAsia="en-US"/>
              </w:rPr>
            </w:pPr>
            <w:r w:rsidRPr="00505323">
              <w:rPr>
                <w:sz w:val="20"/>
                <w:szCs w:val="20"/>
                <w:lang w:eastAsia="en-US"/>
              </w:rPr>
              <w:t>Nevyčerpané výdaje</w:t>
            </w:r>
          </w:p>
        </w:tc>
      </w:tr>
    </w:tbl>
    <w:p w14:paraId="7B1C372C" w14:textId="3A1E2793" w:rsidR="00AB2714" w:rsidRPr="00C250A4" w:rsidRDefault="00AB2714" w:rsidP="00C250A4">
      <w:pPr>
        <w:jc w:val="left"/>
        <w:outlineLvl w:val="0"/>
        <w:rPr>
          <w:b/>
          <w:i/>
          <w:sz w:val="28"/>
          <w:szCs w:val="28"/>
        </w:rPr>
      </w:pPr>
      <w:r>
        <w:rPr>
          <w:b/>
          <w:sz w:val="28"/>
        </w:rPr>
        <w:t>Program 112V01</w:t>
      </w:r>
      <w:r w:rsidR="008340F1">
        <w:rPr>
          <w:b/>
          <w:sz w:val="28"/>
        </w:rPr>
        <w:t xml:space="preserve"> – </w:t>
      </w:r>
      <w:r w:rsidRPr="00C250A4">
        <w:rPr>
          <w:b/>
          <w:i/>
          <w:sz w:val="28"/>
          <w:szCs w:val="28"/>
        </w:rPr>
        <w:t>Rozvoj a obnova mat. tech. základny systému řízení Ministerstva financí – od r. 2007</w:t>
      </w:r>
    </w:p>
    <w:p w14:paraId="047D93A4" w14:textId="77777777" w:rsidR="00AB2714" w:rsidRPr="00505323" w:rsidRDefault="00AB2714" w:rsidP="00AB2714">
      <w:pPr>
        <w:jc w:val="center"/>
        <w:outlineLvl w:val="0"/>
        <w:rPr>
          <w:i/>
        </w:rPr>
      </w:pPr>
    </w:p>
    <w:p w14:paraId="6095A968" w14:textId="77777777" w:rsidR="00AB2714" w:rsidRDefault="00AB2714" w:rsidP="00AB2714">
      <w:pPr>
        <w:rPr>
          <w:rFonts w:cs="Arial"/>
          <w:b/>
          <w:strike/>
          <w:sz w:val="28"/>
          <w:szCs w:val="28"/>
        </w:rPr>
      </w:pPr>
    </w:p>
    <w:p w14:paraId="7A23254D" w14:textId="464A05BA" w:rsidR="00AB2714" w:rsidRPr="00C250A4" w:rsidRDefault="00AB2714" w:rsidP="00C250A4">
      <w:pPr>
        <w:jc w:val="left"/>
        <w:outlineLvl w:val="0"/>
        <w:rPr>
          <w:rFonts w:cs="Arial"/>
          <w:b/>
          <w:strike/>
          <w:sz w:val="28"/>
          <w:szCs w:val="28"/>
        </w:rPr>
      </w:pPr>
      <w:r>
        <w:rPr>
          <w:b/>
          <w:sz w:val="28"/>
        </w:rPr>
        <w:t xml:space="preserve">Program 012V01 </w:t>
      </w:r>
      <w:r w:rsidR="008340F1">
        <w:rPr>
          <w:b/>
          <w:sz w:val="28"/>
        </w:rPr>
        <w:t xml:space="preserve">– </w:t>
      </w:r>
      <w:r w:rsidRPr="00C250A4">
        <w:rPr>
          <w:b/>
          <w:i/>
          <w:sz w:val="28"/>
          <w:szCs w:val="28"/>
        </w:rPr>
        <w:t xml:space="preserve">Rozvoj a obnova materiálně technické základny systému řízení Ministerstva financí </w:t>
      </w:r>
      <w:r w:rsidRPr="00C250A4">
        <w:rPr>
          <w:sz w:val="28"/>
          <w:szCs w:val="28"/>
        </w:rPr>
        <w:t>na léta</w:t>
      </w:r>
      <w:r w:rsidR="008340F1" w:rsidRPr="00C250A4">
        <w:rPr>
          <w:sz w:val="28"/>
          <w:szCs w:val="28"/>
        </w:rPr>
        <w:t xml:space="preserve"> </w:t>
      </w:r>
      <w:r w:rsidRPr="00C250A4">
        <w:rPr>
          <w:sz w:val="28"/>
          <w:szCs w:val="28"/>
        </w:rPr>
        <w:t>2014–2020</w:t>
      </w:r>
    </w:p>
    <w:tbl>
      <w:tblPr>
        <w:tblpPr w:leftFromText="141" w:rightFromText="141" w:bottomFromText="160" w:vertAnchor="text" w:horzAnchor="margin" w:tblpY="482"/>
        <w:tblW w:w="4886" w:type="pct"/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3048"/>
        <w:gridCol w:w="3046"/>
        <w:gridCol w:w="2771"/>
      </w:tblGrid>
      <w:tr w:rsidR="00AB2714" w:rsidRPr="00BA6EC1" w14:paraId="6943F22B" w14:textId="77777777" w:rsidTr="00AB2714">
        <w:trPr>
          <w:trHeight w:val="960"/>
        </w:trPr>
        <w:tc>
          <w:tcPr>
            <w:tcW w:w="1719" w:type="pct"/>
          </w:tcPr>
          <w:p w14:paraId="315AE140" w14:textId="77777777" w:rsidR="00AB2714" w:rsidRPr="009C28F5" w:rsidRDefault="00AB2714" w:rsidP="00AB2714">
            <w:pPr>
              <w:spacing w:line="256" w:lineRule="auto"/>
              <w:jc w:val="center"/>
              <w:rPr>
                <w:b/>
                <w:sz w:val="36"/>
                <w:szCs w:val="48"/>
                <w:lang w:eastAsia="en-US"/>
              </w:rPr>
            </w:pPr>
            <w:r w:rsidRPr="009C28F5">
              <w:rPr>
                <w:b/>
                <w:sz w:val="36"/>
                <w:szCs w:val="48"/>
                <w:lang w:eastAsia="en-US"/>
              </w:rPr>
              <w:t>3 618 mil. Kč</w:t>
            </w:r>
          </w:p>
          <w:p w14:paraId="06802BD8" w14:textId="77777777" w:rsidR="00AB2714" w:rsidRPr="00505323" w:rsidRDefault="00AB2714" w:rsidP="00AB271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05323">
              <w:rPr>
                <w:sz w:val="20"/>
                <w:szCs w:val="20"/>
                <w:lang w:eastAsia="en-US"/>
              </w:rPr>
              <w:t>Plánované výdaje</w:t>
            </w:r>
          </w:p>
          <w:p w14:paraId="7E1EBDE7" w14:textId="77777777" w:rsidR="00AB2714" w:rsidRPr="00505323" w:rsidRDefault="00AB2714" w:rsidP="00AB271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8" w:type="pct"/>
          </w:tcPr>
          <w:p w14:paraId="7C684F36" w14:textId="77777777" w:rsidR="00AB2714" w:rsidRPr="009C28F5" w:rsidRDefault="00AB2714" w:rsidP="00AB2714">
            <w:pPr>
              <w:spacing w:line="256" w:lineRule="auto"/>
              <w:jc w:val="center"/>
              <w:rPr>
                <w:b/>
                <w:sz w:val="36"/>
                <w:szCs w:val="48"/>
                <w:lang w:eastAsia="en-US"/>
              </w:rPr>
            </w:pPr>
            <w:r w:rsidRPr="009C28F5">
              <w:rPr>
                <w:b/>
                <w:sz w:val="36"/>
                <w:szCs w:val="48"/>
                <w:lang w:eastAsia="en-US"/>
              </w:rPr>
              <w:t>2 640 mil. Kč</w:t>
            </w:r>
          </w:p>
          <w:p w14:paraId="48B3B40B" w14:textId="77777777" w:rsidR="00AB2714" w:rsidRPr="00505323" w:rsidRDefault="00AB2714" w:rsidP="00AB271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05323">
              <w:rPr>
                <w:sz w:val="20"/>
                <w:szCs w:val="20"/>
                <w:lang w:eastAsia="en-US"/>
              </w:rPr>
              <w:t>Skutečně čerpané výdaje</w:t>
            </w:r>
          </w:p>
          <w:p w14:paraId="310ED35A" w14:textId="77777777" w:rsidR="00AB2714" w:rsidRPr="00505323" w:rsidRDefault="00AB2714" w:rsidP="00AB2714">
            <w:pPr>
              <w:spacing w:line="256" w:lineRule="auto"/>
              <w:jc w:val="center"/>
              <w:rPr>
                <w:b/>
                <w:sz w:val="48"/>
                <w:szCs w:val="48"/>
                <w:lang w:eastAsia="en-US"/>
              </w:rPr>
            </w:pPr>
          </w:p>
        </w:tc>
        <w:tc>
          <w:tcPr>
            <w:tcW w:w="1563" w:type="pct"/>
          </w:tcPr>
          <w:p w14:paraId="20CEF6DE" w14:textId="77777777" w:rsidR="00AB2714" w:rsidRPr="009C28F5" w:rsidRDefault="00AB2714" w:rsidP="00AB2714">
            <w:pPr>
              <w:spacing w:line="256" w:lineRule="auto"/>
              <w:jc w:val="center"/>
              <w:rPr>
                <w:b/>
                <w:sz w:val="36"/>
                <w:szCs w:val="48"/>
                <w:lang w:eastAsia="en-US"/>
              </w:rPr>
            </w:pPr>
            <w:r w:rsidRPr="009C28F5">
              <w:rPr>
                <w:b/>
                <w:sz w:val="36"/>
                <w:szCs w:val="48"/>
                <w:lang w:eastAsia="en-US"/>
              </w:rPr>
              <w:t>978 mil. Kč</w:t>
            </w:r>
          </w:p>
          <w:p w14:paraId="3EE16DF4" w14:textId="77777777" w:rsidR="00AB2714" w:rsidRPr="009C28F5" w:rsidRDefault="00AB2714" w:rsidP="00AB2714">
            <w:pPr>
              <w:spacing w:line="256" w:lineRule="auto"/>
              <w:jc w:val="center"/>
              <w:rPr>
                <w:b/>
                <w:sz w:val="36"/>
                <w:szCs w:val="48"/>
                <w:lang w:eastAsia="en-US"/>
              </w:rPr>
            </w:pPr>
            <w:r w:rsidRPr="00505323">
              <w:rPr>
                <w:sz w:val="20"/>
                <w:szCs w:val="20"/>
                <w:lang w:eastAsia="en-US"/>
              </w:rPr>
              <w:t>Nevyčerpané výdaje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br/>
              <w:t>(k 7. 4. 2022)</w:t>
            </w:r>
          </w:p>
        </w:tc>
      </w:tr>
    </w:tbl>
    <w:p w14:paraId="6EAE553A" w14:textId="77777777" w:rsidR="00AB2714" w:rsidRDefault="00AB2714" w:rsidP="00AB2714">
      <w:pPr>
        <w:rPr>
          <w:rFonts w:cs="Arial"/>
          <w:b/>
          <w:strike/>
          <w:sz w:val="28"/>
          <w:szCs w:val="28"/>
        </w:rPr>
      </w:pPr>
    </w:p>
    <w:p w14:paraId="31088AB5" w14:textId="77777777" w:rsidR="00AB2714" w:rsidRDefault="00AB2714" w:rsidP="00AB2714">
      <w:pPr>
        <w:rPr>
          <w:rFonts w:cs="Arial"/>
          <w:b/>
          <w:strike/>
          <w:sz w:val="28"/>
          <w:szCs w:val="28"/>
        </w:rPr>
      </w:pPr>
    </w:p>
    <w:p w14:paraId="2FBE0651" w14:textId="77777777" w:rsidR="00AB2714" w:rsidRPr="00997B57" w:rsidRDefault="00AB2714" w:rsidP="00AB2714">
      <w:pPr>
        <w:jc w:val="center"/>
        <w:rPr>
          <w:rFonts w:cs="Arial"/>
          <w:b/>
          <w:caps/>
          <w:color w:val="5B9BD5" w:themeColor="accent1"/>
          <w:sz w:val="28"/>
          <w:szCs w:val="28"/>
        </w:rPr>
      </w:pPr>
      <w:r w:rsidRPr="00997B57">
        <w:rPr>
          <w:rFonts w:cs="Arial"/>
          <w:b/>
          <w:caps/>
          <w:color w:val="5B9BD5" w:themeColor="accent1"/>
          <w:sz w:val="28"/>
          <w:szCs w:val="28"/>
        </w:rPr>
        <w:t>Výdaje na účtenkovou loterii V letech 2017–2021</w:t>
      </w:r>
    </w:p>
    <w:p w14:paraId="28050C9F" w14:textId="15939F25" w:rsidR="00AB2714" w:rsidRDefault="004E58CF" w:rsidP="00AB271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B4CFB79" wp14:editId="3358312B">
            <wp:extent cx="4572000" cy="2743200"/>
            <wp:effectExtent l="0" t="0" r="0" b="0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8C3A6B3E-72AE-4FAD-8518-87A5AD6EF33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4C1F644" w14:textId="0977BB40" w:rsidR="00AB2714" w:rsidRPr="008324E4" w:rsidRDefault="00AB2714" w:rsidP="00AB2714">
      <w:pPr>
        <w:rPr>
          <w:rFonts w:cstheme="minorHAnsi"/>
          <w:sz w:val="20"/>
          <w:szCs w:val="20"/>
        </w:rPr>
      </w:pPr>
      <w:r w:rsidRPr="00D275B7">
        <w:rPr>
          <w:rFonts w:cstheme="minorHAnsi"/>
          <w:b/>
          <w:sz w:val="20"/>
          <w:szCs w:val="20"/>
        </w:rPr>
        <w:t>Zdroj:</w:t>
      </w:r>
      <w:r w:rsidRPr="006F1755">
        <w:rPr>
          <w:rFonts w:cstheme="minorHAnsi"/>
          <w:sz w:val="20"/>
          <w:szCs w:val="20"/>
        </w:rPr>
        <w:t xml:space="preserve"> </w:t>
      </w:r>
      <w:r w:rsidR="001D5BC4">
        <w:rPr>
          <w:rFonts w:cstheme="minorHAnsi"/>
          <w:sz w:val="20"/>
          <w:szCs w:val="20"/>
        </w:rPr>
        <w:t>i</w:t>
      </w:r>
      <w:r w:rsidR="00304AFE">
        <w:rPr>
          <w:rFonts w:cstheme="minorHAnsi"/>
          <w:sz w:val="20"/>
          <w:szCs w:val="20"/>
        </w:rPr>
        <w:t>nformace MF</w:t>
      </w:r>
      <w:r w:rsidR="001D5BC4">
        <w:rPr>
          <w:rFonts w:cstheme="minorHAnsi"/>
          <w:sz w:val="20"/>
          <w:szCs w:val="20"/>
        </w:rPr>
        <w:t>; vlastní zpracování NKÚ.</w:t>
      </w:r>
    </w:p>
    <w:p w14:paraId="0A7EFF23" w14:textId="6F96009D" w:rsidR="00900D9D" w:rsidRPr="008324E4" w:rsidRDefault="00900D9D" w:rsidP="008324E4">
      <w:pPr>
        <w:rPr>
          <w:rFonts w:cstheme="minorHAnsi"/>
          <w:sz w:val="20"/>
          <w:szCs w:val="20"/>
        </w:rPr>
      </w:pPr>
      <w:r w:rsidRPr="009976EE">
        <w:rPr>
          <w:noProof/>
          <w:sz w:val="20"/>
        </w:rPr>
        <w:br w:type="page"/>
      </w:r>
    </w:p>
    <w:p w14:paraId="2D614D09" w14:textId="31836A7D" w:rsidR="00194849" w:rsidRDefault="00CF06FA" w:rsidP="006568C2">
      <w:pPr>
        <w:pStyle w:val="Nadpis1"/>
        <w:spacing w:before="0" w:after="0"/>
        <w:rPr>
          <w:lang w:eastAsia="en-US"/>
        </w:rPr>
      </w:pPr>
      <w:r>
        <w:rPr>
          <w:lang w:eastAsia="en-US"/>
        </w:rPr>
        <w:lastRenderedPageBreak/>
        <w:t xml:space="preserve">I. </w:t>
      </w:r>
      <w:r w:rsidR="002A6C42">
        <w:rPr>
          <w:lang w:eastAsia="en-US"/>
        </w:rPr>
        <w:t>Shrnutí a vyhodnocení</w:t>
      </w:r>
    </w:p>
    <w:p w14:paraId="1999081E" w14:textId="77777777" w:rsidR="006568C2" w:rsidRPr="006568C2" w:rsidRDefault="006568C2" w:rsidP="006568C2">
      <w:pPr>
        <w:rPr>
          <w:lang w:eastAsia="en-US"/>
        </w:rPr>
      </w:pPr>
    </w:p>
    <w:p w14:paraId="55D095C5" w14:textId="63CA6B73" w:rsidR="008051FF" w:rsidRDefault="008051FF" w:rsidP="006568C2">
      <w:pPr>
        <w:spacing w:line="280" w:lineRule="atLeast"/>
        <w:rPr>
          <w:rFonts w:cstheme="minorHAnsi"/>
        </w:rPr>
      </w:pPr>
      <w:r>
        <w:rPr>
          <w:rFonts w:cstheme="minorHAnsi"/>
        </w:rPr>
        <w:t>NKÚ provedl kontrolu hospodaření s majetkem a peněžními prostředky stát</w:t>
      </w:r>
      <w:r w:rsidR="00666CE8">
        <w:rPr>
          <w:rFonts w:cstheme="minorHAnsi"/>
        </w:rPr>
        <w:t>u</w:t>
      </w:r>
      <w:r>
        <w:rPr>
          <w:rFonts w:cstheme="minorHAnsi"/>
        </w:rPr>
        <w:t>, se</w:t>
      </w:r>
      <w:r w:rsidR="00D373F6">
        <w:rPr>
          <w:rFonts w:cstheme="minorHAnsi"/>
        </w:rPr>
        <w:t xml:space="preserve"> </w:t>
      </w:r>
      <w:r>
        <w:rPr>
          <w:rFonts w:cstheme="minorHAnsi"/>
        </w:rPr>
        <w:t>kterými je příslušné hospodařit Ministerstvo financí.</w:t>
      </w:r>
    </w:p>
    <w:p w14:paraId="6171FE4F" w14:textId="77777777" w:rsidR="002A4E41" w:rsidRDefault="002A4E41" w:rsidP="006568C2">
      <w:pPr>
        <w:spacing w:line="280" w:lineRule="atLeast"/>
        <w:rPr>
          <w:rFonts w:cstheme="minorHAnsi"/>
        </w:rPr>
      </w:pPr>
    </w:p>
    <w:p w14:paraId="51B9248D" w14:textId="678906E6" w:rsidR="00784DE1" w:rsidRDefault="00A31E06" w:rsidP="008051FF">
      <w:pPr>
        <w:widowControl w:val="0"/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Kontrola byla zaměřena </w:t>
      </w:r>
      <w:r w:rsidR="00734F8E">
        <w:rPr>
          <w:rFonts w:cstheme="minorHAnsi"/>
        </w:rPr>
        <w:t xml:space="preserve">na </w:t>
      </w:r>
      <w:r w:rsidR="00D54A4E">
        <w:rPr>
          <w:rFonts w:cstheme="minorHAnsi"/>
        </w:rPr>
        <w:t xml:space="preserve">vybrané programy </w:t>
      </w:r>
      <w:r w:rsidR="00734F8E">
        <w:rPr>
          <w:rFonts w:cstheme="minorHAnsi"/>
        </w:rPr>
        <w:t xml:space="preserve">programového financování, zejména na </w:t>
      </w:r>
      <w:r w:rsidR="00734F8E" w:rsidRPr="00DF6D2A">
        <w:rPr>
          <w:rFonts w:cstheme="minorHAnsi"/>
        </w:rPr>
        <w:t>plánování</w:t>
      </w:r>
      <w:r w:rsidR="00734F8E">
        <w:rPr>
          <w:rFonts w:cstheme="minorHAnsi"/>
        </w:rPr>
        <w:t xml:space="preserve"> potřeb v investiční oblasti</w:t>
      </w:r>
      <w:r w:rsidR="003816C5">
        <w:rPr>
          <w:rFonts w:cstheme="minorHAnsi"/>
        </w:rPr>
        <w:t xml:space="preserve">, </w:t>
      </w:r>
      <w:r w:rsidR="0064377E" w:rsidRPr="003C6C75">
        <w:rPr>
          <w:rFonts w:cstheme="minorHAnsi"/>
        </w:rPr>
        <w:t xml:space="preserve">zpracování dokumentace investičních akcí, </w:t>
      </w:r>
      <w:r w:rsidR="005F7EE1">
        <w:rPr>
          <w:rFonts w:cstheme="minorHAnsi"/>
        </w:rPr>
        <w:t xml:space="preserve">výdaje na vybrané investiční akce, </w:t>
      </w:r>
      <w:r w:rsidR="0064377E">
        <w:rPr>
          <w:rFonts w:cstheme="minorHAnsi"/>
        </w:rPr>
        <w:t>postupy</w:t>
      </w:r>
      <w:r w:rsidR="0064377E" w:rsidRPr="003C6C75">
        <w:rPr>
          <w:rFonts w:cstheme="minorHAnsi"/>
        </w:rPr>
        <w:t xml:space="preserve"> při realizaci a</w:t>
      </w:r>
      <w:r w:rsidR="00E45FC1">
        <w:rPr>
          <w:rFonts w:cstheme="minorHAnsi"/>
        </w:rPr>
        <w:t> </w:t>
      </w:r>
      <w:r w:rsidR="0064377E" w:rsidRPr="003C6C75">
        <w:rPr>
          <w:rFonts w:cstheme="minorHAnsi"/>
        </w:rPr>
        <w:t>zpracování zpráv pro závěrečné vyhodnocení akce</w:t>
      </w:r>
      <w:r w:rsidR="0064377E">
        <w:rPr>
          <w:rFonts w:cstheme="minorHAnsi"/>
        </w:rPr>
        <w:t xml:space="preserve"> a rovněž na závěrečné vyhodnocení programu. </w:t>
      </w:r>
      <w:r w:rsidR="00313B59">
        <w:rPr>
          <w:rFonts w:cstheme="minorHAnsi"/>
        </w:rPr>
        <w:t xml:space="preserve">Dále NKÚ </w:t>
      </w:r>
      <w:r w:rsidR="005F7EE1">
        <w:rPr>
          <w:rFonts w:cstheme="minorHAnsi"/>
        </w:rPr>
        <w:t xml:space="preserve">kontroloval přijaté úhrady za pronájem nemovitého majetku a postupy MF při těchto pronájmech, </w:t>
      </w:r>
      <w:r w:rsidR="00877D8D" w:rsidRPr="003C6C75">
        <w:rPr>
          <w:rFonts w:cstheme="minorHAnsi"/>
        </w:rPr>
        <w:t>výdaje na účtenkovou loterii</w:t>
      </w:r>
      <w:r w:rsidR="00877D8D">
        <w:rPr>
          <w:rFonts w:cstheme="minorHAnsi"/>
        </w:rPr>
        <w:t xml:space="preserve"> a</w:t>
      </w:r>
      <w:r w:rsidR="00877D8D" w:rsidRPr="003C6C75">
        <w:rPr>
          <w:rFonts w:cstheme="minorHAnsi"/>
        </w:rPr>
        <w:t xml:space="preserve"> postup MF při ukončení smlouvy o komplexním zajištění provozu účtenkové loterie</w:t>
      </w:r>
      <w:r w:rsidR="00877D8D">
        <w:rPr>
          <w:rFonts w:cstheme="minorHAnsi"/>
        </w:rPr>
        <w:t>.</w:t>
      </w:r>
    </w:p>
    <w:p w14:paraId="1C95CC9F" w14:textId="3C581259" w:rsidR="00A81597" w:rsidRDefault="00A81597" w:rsidP="00A81597">
      <w:pPr>
        <w:rPr>
          <w:sz w:val="22"/>
          <w:szCs w:val="22"/>
        </w:rPr>
      </w:pPr>
    </w:p>
    <w:p w14:paraId="19C4C02B" w14:textId="4DE50F8A" w:rsidR="00DB31D0" w:rsidRDefault="00DB31D0" w:rsidP="00DB31D0">
      <w:pPr>
        <w:widowControl w:val="0"/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NKÚ při kontrole zjistil nedostatky v </w:t>
      </w:r>
      <w:r w:rsidR="00923428">
        <w:rPr>
          <w:rFonts w:cstheme="minorHAnsi"/>
        </w:rPr>
        <w:t>provádění</w:t>
      </w:r>
      <w:r>
        <w:rPr>
          <w:rFonts w:cstheme="minorHAnsi"/>
        </w:rPr>
        <w:t xml:space="preserve"> finanční kontroly a </w:t>
      </w:r>
      <w:r w:rsidR="00666CE8">
        <w:rPr>
          <w:rFonts w:cstheme="minorHAnsi"/>
        </w:rPr>
        <w:t xml:space="preserve">v oblasti </w:t>
      </w:r>
      <w:r>
        <w:rPr>
          <w:rFonts w:cstheme="minorHAnsi"/>
        </w:rPr>
        <w:t>archivnictví</w:t>
      </w:r>
      <w:r w:rsidR="006D419D">
        <w:rPr>
          <w:rFonts w:cstheme="minorHAnsi"/>
        </w:rPr>
        <w:t>:</w:t>
      </w:r>
    </w:p>
    <w:p w14:paraId="2CD40B3E" w14:textId="05A74E90" w:rsidR="00DB31D0" w:rsidRPr="00024549" w:rsidRDefault="006D419D" w:rsidP="00997B57">
      <w:pPr>
        <w:pStyle w:val="Odstavecseseznamem"/>
        <w:widowControl w:val="0"/>
        <w:numPr>
          <w:ilvl w:val="0"/>
          <w:numId w:val="41"/>
        </w:numPr>
        <w:autoSpaceDE w:val="0"/>
        <w:autoSpaceDN w:val="0"/>
        <w:adjustRightInd w:val="0"/>
        <w:ind w:left="426"/>
        <w:rPr>
          <w:rFonts w:cstheme="minorHAnsi"/>
        </w:rPr>
      </w:pPr>
      <w:r w:rsidRPr="006D419D">
        <w:rPr>
          <w:rFonts w:cstheme="minorHAnsi"/>
        </w:rPr>
        <w:t>MF nepostupovalo v souladu se zákonem č. 320/2001 Sb.</w:t>
      </w:r>
      <w:r>
        <w:rPr>
          <w:rStyle w:val="Znakapoznpodarou"/>
        </w:rPr>
        <w:footnoteReference w:id="2"/>
      </w:r>
      <w:r w:rsidR="00180E27">
        <w:rPr>
          <w:rFonts w:cstheme="minorHAnsi"/>
        </w:rPr>
        <w:t xml:space="preserve"> a </w:t>
      </w:r>
      <w:r w:rsidR="00180E27" w:rsidRPr="006D419D">
        <w:rPr>
          <w:rFonts w:cstheme="minorHAnsi"/>
        </w:rPr>
        <w:t>vyhlášk</w:t>
      </w:r>
      <w:r w:rsidR="00923428">
        <w:rPr>
          <w:rFonts w:cstheme="minorHAnsi"/>
        </w:rPr>
        <w:t>ou</w:t>
      </w:r>
      <w:r w:rsidR="00180E27" w:rsidRPr="006D419D">
        <w:rPr>
          <w:rFonts w:cstheme="minorHAnsi"/>
        </w:rPr>
        <w:t xml:space="preserve"> č. 416/2004 Sb.</w:t>
      </w:r>
      <w:r w:rsidR="00180E27">
        <w:rPr>
          <w:rStyle w:val="Znakapoznpodarou"/>
        </w:rPr>
        <w:footnoteReference w:id="3"/>
      </w:r>
      <w:r w:rsidRPr="006D419D">
        <w:rPr>
          <w:rFonts w:cstheme="minorHAnsi"/>
        </w:rPr>
        <w:t>, a to v oblasti provádění předběžné říd</w:t>
      </w:r>
      <w:r w:rsidR="00666CE8">
        <w:rPr>
          <w:rFonts w:cstheme="minorHAnsi"/>
        </w:rPr>
        <w:t>i</w:t>
      </w:r>
      <w:r w:rsidRPr="006D419D">
        <w:rPr>
          <w:rFonts w:cstheme="minorHAnsi"/>
        </w:rPr>
        <w:t>cí kontroly</w:t>
      </w:r>
      <w:r w:rsidR="00666CE8" w:rsidRPr="00666CE8">
        <w:rPr>
          <w:rFonts w:cstheme="minorHAnsi"/>
        </w:rPr>
        <w:t xml:space="preserve"> </w:t>
      </w:r>
      <w:r w:rsidR="00666CE8">
        <w:rPr>
          <w:rFonts w:cstheme="minorHAnsi"/>
        </w:rPr>
        <w:t>před vznikem závazku</w:t>
      </w:r>
      <w:r w:rsidRPr="006D419D">
        <w:rPr>
          <w:rFonts w:cstheme="minorHAnsi"/>
        </w:rPr>
        <w:t xml:space="preserve">. Na kontrolním vzorku 85 případů zjistil </w:t>
      </w:r>
      <w:r w:rsidR="00666CE8" w:rsidRPr="006D419D">
        <w:rPr>
          <w:rFonts w:cstheme="minorHAnsi"/>
        </w:rPr>
        <w:t xml:space="preserve">NKÚ </w:t>
      </w:r>
      <w:r w:rsidRPr="006D419D">
        <w:rPr>
          <w:rFonts w:cstheme="minorHAnsi"/>
        </w:rPr>
        <w:t xml:space="preserve">pochybení u 52 z nich, převážná většina se týkala pozdního provádění </w:t>
      </w:r>
      <w:r w:rsidR="00180E27">
        <w:rPr>
          <w:rFonts w:cstheme="minorHAnsi"/>
        </w:rPr>
        <w:t>předběžné řídící kontroly</w:t>
      </w:r>
      <w:r w:rsidRPr="006D419D">
        <w:rPr>
          <w:rFonts w:cstheme="minorHAnsi"/>
        </w:rPr>
        <w:t>, kdy příkazce operace a</w:t>
      </w:r>
      <w:r w:rsidR="00666CE8">
        <w:rPr>
          <w:rFonts w:cstheme="minorHAnsi"/>
        </w:rPr>
        <w:t xml:space="preserve"> </w:t>
      </w:r>
      <w:r w:rsidRPr="006D419D">
        <w:rPr>
          <w:rFonts w:cstheme="minorHAnsi"/>
        </w:rPr>
        <w:t xml:space="preserve">správce rozpočtu </w:t>
      </w:r>
      <w:r w:rsidR="00180E27">
        <w:rPr>
          <w:rFonts w:cstheme="minorHAnsi"/>
        </w:rPr>
        <w:t xml:space="preserve">ji </w:t>
      </w:r>
      <w:r w:rsidRPr="006D419D">
        <w:rPr>
          <w:rFonts w:cstheme="minorHAnsi"/>
        </w:rPr>
        <w:t xml:space="preserve">prováděli </w:t>
      </w:r>
      <w:r w:rsidR="00180E27">
        <w:rPr>
          <w:rFonts w:cstheme="minorHAnsi"/>
        </w:rPr>
        <w:t xml:space="preserve">po podpisu smluv a jejich dodatků s jednotlivými dodavateli, příp. po odeslání objednávky, tj. </w:t>
      </w:r>
      <w:r w:rsidRPr="006D419D">
        <w:rPr>
          <w:rFonts w:cstheme="minorHAnsi"/>
        </w:rPr>
        <w:t xml:space="preserve">až po vzniku závazku. Skutečnosti zjištěné kontrolou ukázaly, že nastavený </w:t>
      </w:r>
      <w:r w:rsidRPr="00024549">
        <w:rPr>
          <w:rFonts w:cstheme="minorHAnsi"/>
        </w:rPr>
        <w:t>systém předběžné říd</w:t>
      </w:r>
      <w:r w:rsidR="00666CE8">
        <w:rPr>
          <w:rFonts w:cstheme="minorHAnsi"/>
        </w:rPr>
        <w:t>i</w:t>
      </w:r>
      <w:r w:rsidRPr="00024549">
        <w:rPr>
          <w:rFonts w:cstheme="minorHAnsi"/>
        </w:rPr>
        <w:t>cí kontroly nebyl u více než 60</w:t>
      </w:r>
      <w:r w:rsidR="00A4749E">
        <w:rPr>
          <w:rFonts w:cstheme="minorHAnsi"/>
        </w:rPr>
        <w:t> </w:t>
      </w:r>
      <w:r w:rsidRPr="00024549">
        <w:rPr>
          <w:rFonts w:cstheme="minorHAnsi"/>
        </w:rPr>
        <w:t>% kontrolovaných operací dodržen (viz IV.</w:t>
      </w:r>
      <w:r w:rsidR="00EA241B" w:rsidRPr="00024549">
        <w:rPr>
          <w:rFonts w:cstheme="minorHAnsi"/>
        </w:rPr>
        <w:t>1</w:t>
      </w:r>
      <w:r w:rsidRPr="00024549">
        <w:rPr>
          <w:rFonts w:cstheme="minorHAnsi"/>
        </w:rPr>
        <w:t>.).</w:t>
      </w:r>
    </w:p>
    <w:p w14:paraId="68C306C9" w14:textId="77A67A10" w:rsidR="005D27CB" w:rsidRPr="00024549" w:rsidRDefault="005D27CB" w:rsidP="00997B57">
      <w:pPr>
        <w:pStyle w:val="Odstavecseseznamem"/>
        <w:widowControl w:val="0"/>
        <w:numPr>
          <w:ilvl w:val="0"/>
          <w:numId w:val="41"/>
        </w:numPr>
        <w:autoSpaceDE w:val="0"/>
        <w:autoSpaceDN w:val="0"/>
        <w:adjustRightInd w:val="0"/>
        <w:ind w:left="426"/>
        <w:rPr>
          <w:rFonts w:cstheme="minorHAnsi"/>
        </w:rPr>
      </w:pPr>
      <w:bookmarkStart w:id="1" w:name="_Hlk98846584"/>
      <w:r w:rsidRPr="00024549">
        <w:rPr>
          <w:rFonts w:cstheme="minorHAnsi"/>
        </w:rPr>
        <w:t>MF nepostupovalo v souladu se zákonem č. 499/2004 Sb.</w:t>
      </w:r>
      <w:r w:rsidR="00B7337B" w:rsidRPr="00024549">
        <w:rPr>
          <w:rStyle w:val="Znakapoznpodarou"/>
        </w:rPr>
        <w:footnoteReference w:id="4"/>
      </w:r>
      <w:r w:rsidR="00B7337B" w:rsidRPr="00024549">
        <w:rPr>
          <w:rStyle w:val="Znakapoznpodarou"/>
          <w:vertAlign w:val="baseline"/>
        </w:rPr>
        <w:t xml:space="preserve">, když </w:t>
      </w:r>
      <w:r w:rsidR="00B7337B" w:rsidRPr="00024549">
        <w:t xml:space="preserve">do elektronického systému spisové služby </w:t>
      </w:r>
      <w:r w:rsidR="00B7337B" w:rsidRPr="00024549">
        <w:rPr>
          <w:rStyle w:val="Znakapoznpodarou"/>
          <w:vertAlign w:val="baseline"/>
        </w:rPr>
        <w:t xml:space="preserve">nezaevidovalo </w:t>
      </w:r>
      <w:r w:rsidR="00B7337B" w:rsidRPr="00024549">
        <w:t>investiční záměr</w:t>
      </w:r>
      <w:r w:rsidR="00666CE8">
        <w:t>,</w:t>
      </w:r>
      <w:r w:rsidR="00B7337B" w:rsidRPr="00024549">
        <w:t xml:space="preserve"> příp. dokument schvalující investiční záměr</w:t>
      </w:r>
      <w:bookmarkEnd w:id="1"/>
      <w:r w:rsidR="00B505D5">
        <w:t xml:space="preserve"> </w:t>
      </w:r>
      <w:r w:rsidR="00666CE8">
        <w:t>(</w:t>
      </w:r>
      <w:r w:rsidR="00B505D5" w:rsidRPr="00AF2F40">
        <w:rPr>
          <w:rFonts w:cstheme="minorHAnsi"/>
        </w:rPr>
        <w:t>viz IV.1</w:t>
      </w:r>
      <w:r w:rsidR="00666CE8">
        <w:rPr>
          <w:rFonts w:cstheme="minorHAnsi"/>
        </w:rPr>
        <w:t>.</w:t>
      </w:r>
      <w:r w:rsidR="00B505D5" w:rsidRPr="00AF2F40">
        <w:rPr>
          <w:rFonts w:cstheme="minorHAnsi"/>
        </w:rPr>
        <w:t>).</w:t>
      </w:r>
    </w:p>
    <w:p w14:paraId="2F221812" w14:textId="77777777" w:rsidR="00DB31D0" w:rsidRPr="00024549" w:rsidRDefault="00DB31D0" w:rsidP="00DB31D0">
      <w:pPr>
        <w:widowControl w:val="0"/>
        <w:autoSpaceDE w:val="0"/>
        <w:autoSpaceDN w:val="0"/>
        <w:adjustRightInd w:val="0"/>
        <w:rPr>
          <w:rFonts w:cstheme="minorHAnsi"/>
        </w:rPr>
      </w:pPr>
    </w:p>
    <w:p w14:paraId="07924CAD" w14:textId="2C808CFF" w:rsidR="00DB31D0" w:rsidRPr="00024549" w:rsidRDefault="00B7337B" w:rsidP="00DB31D0">
      <w:pPr>
        <w:widowControl w:val="0"/>
        <w:autoSpaceDE w:val="0"/>
        <w:autoSpaceDN w:val="0"/>
        <w:adjustRightInd w:val="0"/>
        <w:rPr>
          <w:rFonts w:cstheme="minorHAnsi"/>
        </w:rPr>
      </w:pPr>
      <w:r w:rsidRPr="00024549">
        <w:rPr>
          <w:rFonts w:cstheme="minorHAnsi"/>
        </w:rPr>
        <w:t xml:space="preserve">NKÚ </w:t>
      </w:r>
      <w:r w:rsidR="00923428" w:rsidRPr="00024549">
        <w:rPr>
          <w:rFonts w:cstheme="minorHAnsi"/>
        </w:rPr>
        <w:t xml:space="preserve">při kontrole </w:t>
      </w:r>
      <w:r w:rsidRPr="00024549">
        <w:rPr>
          <w:rFonts w:cstheme="minorHAnsi"/>
        </w:rPr>
        <w:t xml:space="preserve">dále </w:t>
      </w:r>
      <w:r w:rsidR="005C7C57" w:rsidRPr="00024549">
        <w:rPr>
          <w:rFonts w:cstheme="minorHAnsi"/>
        </w:rPr>
        <w:t xml:space="preserve">zjistil </w:t>
      </w:r>
      <w:r w:rsidR="00180E27" w:rsidRPr="00024549">
        <w:rPr>
          <w:rFonts w:cstheme="minorHAnsi"/>
        </w:rPr>
        <w:t>následující</w:t>
      </w:r>
      <w:r w:rsidRPr="00024549">
        <w:rPr>
          <w:rFonts w:cstheme="minorHAnsi"/>
        </w:rPr>
        <w:t xml:space="preserve"> skutečnosti:</w:t>
      </w:r>
    </w:p>
    <w:p w14:paraId="63BF4C65" w14:textId="48A5B012" w:rsidR="002623D4" w:rsidRPr="00024549" w:rsidRDefault="004178A2" w:rsidP="00997B57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ind w:left="426"/>
        <w:rPr>
          <w:rFonts w:cstheme="minorHAnsi"/>
          <w:bCs/>
        </w:rPr>
      </w:pPr>
      <w:bookmarkStart w:id="2" w:name="_Hlk98846508"/>
      <w:r w:rsidRPr="00024549">
        <w:rPr>
          <w:rFonts w:cstheme="minorHAnsi"/>
          <w:bCs/>
        </w:rPr>
        <w:t>MF při zařazování akcí do kontrolovaného programu nevycházelo primárně z</w:t>
      </w:r>
      <w:r w:rsidR="00D373F6">
        <w:rPr>
          <w:rFonts w:cstheme="minorHAnsi"/>
          <w:bCs/>
        </w:rPr>
        <w:t xml:space="preserve"> </w:t>
      </w:r>
      <w:r w:rsidRPr="00024549">
        <w:rPr>
          <w:rFonts w:cstheme="minorHAnsi"/>
          <w:bCs/>
        </w:rPr>
        <w:t xml:space="preserve">aktuální potřeby vyplývající ze skutečného stavu. </w:t>
      </w:r>
      <w:r w:rsidR="002623D4" w:rsidRPr="00024549">
        <w:rPr>
          <w:rFonts w:cstheme="minorHAnsi"/>
          <w:bCs/>
        </w:rPr>
        <w:t xml:space="preserve">Hlavním kritériem pro výběr akcí </w:t>
      </w:r>
      <w:r w:rsidRPr="00024549">
        <w:rPr>
          <w:rFonts w:cstheme="minorHAnsi"/>
          <w:bCs/>
        </w:rPr>
        <w:t>byla</w:t>
      </w:r>
      <w:r w:rsidR="002623D4" w:rsidRPr="00024549">
        <w:rPr>
          <w:rFonts w:cstheme="minorHAnsi"/>
          <w:bCs/>
        </w:rPr>
        <w:t xml:space="preserve"> </w:t>
      </w:r>
      <w:r w:rsidR="00923428" w:rsidRPr="00024549">
        <w:rPr>
          <w:rFonts w:cstheme="minorHAnsi"/>
          <w:bCs/>
        </w:rPr>
        <w:t xml:space="preserve">ze strany MF </w:t>
      </w:r>
      <w:r w:rsidR="002623D4" w:rsidRPr="00024549">
        <w:rPr>
          <w:rFonts w:cstheme="minorHAnsi"/>
          <w:bCs/>
        </w:rPr>
        <w:t>výše přidělených rozpočtových prostředků (viz IV.</w:t>
      </w:r>
      <w:r w:rsidR="00EC5282" w:rsidRPr="00024549">
        <w:rPr>
          <w:rFonts w:cstheme="minorHAnsi"/>
          <w:bCs/>
        </w:rPr>
        <w:t>2</w:t>
      </w:r>
      <w:r w:rsidR="002623D4" w:rsidRPr="00024549">
        <w:rPr>
          <w:rFonts w:cstheme="minorHAnsi"/>
          <w:bCs/>
        </w:rPr>
        <w:t xml:space="preserve">.). </w:t>
      </w:r>
    </w:p>
    <w:p w14:paraId="3CE2990E" w14:textId="176090E9" w:rsidR="002623D4" w:rsidRPr="00024549" w:rsidRDefault="004178A2" w:rsidP="00997B57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ind w:left="426"/>
        <w:rPr>
          <w:rFonts w:cstheme="minorHAnsi"/>
          <w:bCs/>
        </w:rPr>
      </w:pPr>
      <w:r w:rsidRPr="00024549">
        <w:rPr>
          <w:rFonts w:cstheme="minorHAnsi"/>
          <w:bCs/>
        </w:rPr>
        <w:t>Přestože MF definovalo parametry kontrolovaného podprogramu, z</w:t>
      </w:r>
      <w:r w:rsidR="00D373F6">
        <w:rPr>
          <w:rFonts w:cstheme="minorHAnsi"/>
          <w:bCs/>
        </w:rPr>
        <w:t xml:space="preserve"> </w:t>
      </w:r>
      <w:r w:rsidRPr="00024549">
        <w:rPr>
          <w:rFonts w:cstheme="minorHAnsi"/>
          <w:bCs/>
        </w:rPr>
        <w:t xml:space="preserve">celkem 73 akcí tohoto podprogramu realizovalo 17 akcí (tj. 23 %), které nenaplňovaly žádný z těchto předem stanovených parametrů. </w:t>
      </w:r>
      <w:r w:rsidR="002623D4" w:rsidRPr="00024549">
        <w:rPr>
          <w:rFonts w:ascii="Calibri" w:hAnsi="Calibri" w:cs="Calibri"/>
        </w:rPr>
        <w:t xml:space="preserve">MF </w:t>
      </w:r>
      <w:r w:rsidR="00BC609E" w:rsidRPr="00024549">
        <w:rPr>
          <w:rFonts w:ascii="Calibri" w:hAnsi="Calibri" w:cs="Calibri"/>
        </w:rPr>
        <w:t xml:space="preserve">zařazovalo </w:t>
      </w:r>
      <w:r w:rsidR="002623D4" w:rsidRPr="00024549">
        <w:rPr>
          <w:rFonts w:ascii="Calibri" w:hAnsi="Calibri" w:cs="Calibri"/>
        </w:rPr>
        <w:t>do tohoto podprogramu veškeré výdaje na ICT, tj. i jakékoliv běžné výdaje na služby ICT včetně služeb elektronických telekomunikací, které žádným způsobem nenaplňovaly vyhodnocované parametry (viz</w:t>
      </w:r>
      <w:r w:rsidR="004D42FC" w:rsidRPr="00024549">
        <w:rPr>
          <w:rFonts w:ascii="Calibri" w:hAnsi="Calibri" w:cs="Calibri"/>
        </w:rPr>
        <w:t> </w:t>
      </w:r>
      <w:r w:rsidR="002623D4" w:rsidRPr="00024549">
        <w:rPr>
          <w:rFonts w:ascii="Calibri" w:hAnsi="Calibri" w:cs="Calibri"/>
        </w:rPr>
        <w:t>IV.</w:t>
      </w:r>
      <w:r w:rsidR="002549BF" w:rsidRPr="00024549">
        <w:rPr>
          <w:rFonts w:ascii="Calibri" w:hAnsi="Calibri" w:cs="Calibri"/>
        </w:rPr>
        <w:t>2</w:t>
      </w:r>
      <w:r w:rsidR="002623D4" w:rsidRPr="00024549">
        <w:rPr>
          <w:rFonts w:ascii="Calibri" w:hAnsi="Calibri" w:cs="Calibri"/>
        </w:rPr>
        <w:t xml:space="preserve">.). </w:t>
      </w:r>
    </w:p>
    <w:p w14:paraId="02B5B637" w14:textId="63A89461" w:rsidR="00A26514" w:rsidRPr="00024549" w:rsidRDefault="00A26514" w:rsidP="00997B57">
      <w:pPr>
        <w:pStyle w:val="Odstavecseseznamem"/>
        <w:numPr>
          <w:ilvl w:val="0"/>
          <w:numId w:val="37"/>
        </w:numPr>
        <w:spacing w:line="280" w:lineRule="atLeast"/>
        <w:ind w:left="426"/>
        <w:rPr>
          <w:rFonts w:cstheme="minorHAnsi"/>
        </w:rPr>
      </w:pPr>
      <w:r w:rsidRPr="00024549">
        <w:rPr>
          <w:rFonts w:cstheme="minorHAnsi"/>
        </w:rPr>
        <w:t xml:space="preserve">NKÚ u vybraného vzorku investičních akcí zjistil, že MF v průběhu realizace investičních akcí výrazně upravovalo jejich finanční, časové i věcné parametry. Změny parametrů </w:t>
      </w:r>
      <w:r w:rsidR="00C66667">
        <w:rPr>
          <w:rFonts w:cstheme="minorHAnsi"/>
        </w:rPr>
        <w:t xml:space="preserve">akcí </w:t>
      </w:r>
      <w:r w:rsidRPr="00024549">
        <w:rPr>
          <w:rFonts w:cstheme="minorHAnsi"/>
        </w:rPr>
        <w:t>ukazují na nedostatečnou přípravu investičních akcí (viz IV.</w:t>
      </w:r>
      <w:r w:rsidR="00C0223A" w:rsidRPr="00024549">
        <w:rPr>
          <w:rFonts w:cstheme="minorHAnsi"/>
        </w:rPr>
        <w:t>3</w:t>
      </w:r>
      <w:r w:rsidRPr="00024549">
        <w:rPr>
          <w:rFonts w:cstheme="minorHAnsi"/>
        </w:rPr>
        <w:t xml:space="preserve">.). </w:t>
      </w:r>
    </w:p>
    <w:p w14:paraId="139FC2B7" w14:textId="6EA40379" w:rsidR="00C13321" w:rsidRPr="00024549" w:rsidRDefault="00C13321" w:rsidP="00997B57">
      <w:pPr>
        <w:pStyle w:val="Odstavecseseznamem"/>
        <w:spacing w:line="280" w:lineRule="atLeast"/>
        <w:ind w:left="426"/>
        <w:rPr>
          <w:rFonts w:cstheme="minorHAnsi"/>
        </w:rPr>
      </w:pPr>
      <w:r w:rsidRPr="00024549">
        <w:rPr>
          <w:rFonts w:cstheme="minorHAnsi"/>
        </w:rPr>
        <w:t xml:space="preserve">Nedostatečnou přípravu zjistil NKÚ např. </w:t>
      </w:r>
      <w:r w:rsidR="00666CE8">
        <w:rPr>
          <w:rFonts w:cstheme="minorHAnsi"/>
        </w:rPr>
        <w:t>u</w:t>
      </w:r>
      <w:r w:rsidRPr="00024549">
        <w:rPr>
          <w:rFonts w:cstheme="minorHAnsi"/>
        </w:rPr>
        <w:t xml:space="preserve"> plánování investiční akce na rekonstrukci, obnovu a vybavení závodní kuchyně. MF při přípravě této akce uvedlo, že je stávající </w:t>
      </w:r>
      <w:r w:rsidRPr="00024549">
        <w:rPr>
          <w:rFonts w:cstheme="minorHAnsi"/>
        </w:rPr>
        <w:lastRenderedPageBreak/>
        <w:t xml:space="preserve">technologie nevyhovující, zařízení jsou zastaralá, vykazují častou poruchovost a vyšší spotřebu plynu, vody a elektrické energie. </w:t>
      </w:r>
      <w:r w:rsidR="00B0172F" w:rsidRPr="00024549">
        <w:rPr>
          <w:rFonts w:cstheme="minorHAnsi"/>
        </w:rPr>
        <w:t>MF investiční akci po dvou letech předčasně ukončilo</w:t>
      </w:r>
      <w:r w:rsidR="00A56AC1" w:rsidRPr="00024549">
        <w:rPr>
          <w:rFonts w:cstheme="minorHAnsi"/>
        </w:rPr>
        <w:t xml:space="preserve"> a u čtyř ze šesti </w:t>
      </w:r>
      <w:r w:rsidR="00C66667">
        <w:rPr>
          <w:rFonts w:cstheme="minorHAnsi"/>
        </w:rPr>
        <w:t xml:space="preserve">původních </w:t>
      </w:r>
      <w:r w:rsidR="00A56AC1" w:rsidRPr="00024549">
        <w:rPr>
          <w:rFonts w:cstheme="minorHAnsi"/>
        </w:rPr>
        <w:t>zařízení konstatovalo plnou funkčnost.</w:t>
      </w:r>
      <w:r w:rsidRPr="00024549">
        <w:rPr>
          <w:rFonts w:cstheme="minorHAnsi"/>
        </w:rPr>
        <w:t xml:space="preserve"> V souvislosti s tím měnilo MF věcné, finanční i časové parametry</w:t>
      </w:r>
      <w:r w:rsidR="00C66667">
        <w:rPr>
          <w:rFonts w:cstheme="minorHAnsi"/>
        </w:rPr>
        <w:t xml:space="preserve"> akce</w:t>
      </w:r>
      <w:r w:rsidRPr="00024549">
        <w:rPr>
          <w:rFonts w:cstheme="minorHAnsi"/>
        </w:rPr>
        <w:t xml:space="preserve">. </w:t>
      </w:r>
    </w:p>
    <w:p w14:paraId="4E69F277" w14:textId="25262814" w:rsidR="002520F1" w:rsidRPr="00024549" w:rsidRDefault="002520F1" w:rsidP="00997B57">
      <w:pPr>
        <w:pStyle w:val="Odstavecseseznamem"/>
        <w:numPr>
          <w:ilvl w:val="0"/>
          <w:numId w:val="37"/>
        </w:numPr>
        <w:spacing w:line="280" w:lineRule="atLeast"/>
        <w:ind w:left="426"/>
        <w:rPr>
          <w:rFonts w:cstheme="minorHAnsi"/>
        </w:rPr>
      </w:pPr>
      <w:r w:rsidRPr="00024549">
        <w:rPr>
          <w:rFonts w:cstheme="minorHAnsi"/>
        </w:rPr>
        <w:t xml:space="preserve">MF předčasně ukončilo investiční akci </w:t>
      </w:r>
      <w:r w:rsidR="00666CE8">
        <w:rPr>
          <w:rFonts w:cstheme="minorHAnsi"/>
        </w:rPr>
        <w:t xml:space="preserve">na </w:t>
      </w:r>
      <w:r w:rsidRPr="00024549">
        <w:rPr>
          <w:rFonts w:cstheme="minorHAnsi"/>
        </w:rPr>
        <w:t xml:space="preserve">stavební úpravy pro </w:t>
      </w:r>
      <w:r w:rsidR="00666CE8">
        <w:rPr>
          <w:rFonts w:cstheme="minorHAnsi"/>
        </w:rPr>
        <w:t>rozšíření</w:t>
      </w:r>
      <w:r w:rsidRPr="00024549">
        <w:rPr>
          <w:rFonts w:cstheme="minorHAnsi"/>
        </w:rPr>
        <w:t xml:space="preserve"> plochy archivů, aniž by naplnilo cíl této akce. V době tvorby žádosti o závěrečné vyhodnocení této akce nemělo </w:t>
      </w:r>
      <w:r w:rsidR="00990821" w:rsidRPr="00024549">
        <w:rPr>
          <w:rFonts w:cstheme="minorHAnsi"/>
        </w:rPr>
        <w:t xml:space="preserve">MF </w:t>
      </w:r>
      <w:r w:rsidRPr="00024549">
        <w:rPr>
          <w:rFonts w:cstheme="minorHAnsi"/>
        </w:rPr>
        <w:t>k dispozici žádné oficiální informace k záměru plánované výstavby resortního archivu Státní pokladny Centra sdílených služeb</w:t>
      </w:r>
      <w:r w:rsidR="00666CE8">
        <w:rPr>
          <w:rFonts w:cstheme="minorHAnsi"/>
        </w:rPr>
        <w:t>,</w:t>
      </w:r>
      <w:r w:rsidRPr="00024549">
        <w:rPr>
          <w:rFonts w:cstheme="minorHAnsi"/>
        </w:rPr>
        <w:t xml:space="preserve"> s. p., kterým zdůvodnilo ukončení investiční akce (viz IV.</w:t>
      </w:r>
      <w:r w:rsidR="00594359">
        <w:rPr>
          <w:rFonts w:cstheme="minorHAnsi"/>
        </w:rPr>
        <w:t>4</w:t>
      </w:r>
      <w:r w:rsidRPr="00024549">
        <w:rPr>
          <w:rFonts w:cstheme="minorHAnsi"/>
        </w:rPr>
        <w:t xml:space="preserve">.). </w:t>
      </w:r>
    </w:p>
    <w:p w14:paraId="6E004F5C" w14:textId="7301B593" w:rsidR="00E35E85" w:rsidRPr="00024549" w:rsidRDefault="00E633D5" w:rsidP="00997B57">
      <w:pPr>
        <w:pStyle w:val="Odstavecseseznamem"/>
        <w:numPr>
          <w:ilvl w:val="0"/>
          <w:numId w:val="37"/>
        </w:numPr>
        <w:spacing w:line="280" w:lineRule="atLeast"/>
        <w:ind w:left="426"/>
        <w:rPr>
          <w:rFonts w:cstheme="minorHAnsi"/>
        </w:rPr>
      </w:pPr>
      <w:r w:rsidRPr="00B47449">
        <w:rPr>
          <w:rFonts w:cstheme="minorHAnsi"/>
        </w:rPr>
        <w:t xml:space="preserve">NKÚ kontroloval </w:t>
      </w:r>
      <w:r w:rsidR="00A21471" w:rsidRPr="00B47449">
        <w:rPr>
          <w:rFonts w:cstheme="minorHAnsi"/>
        </w:rPr>
        <w:t>dva investiční</w:t>
      </w:r>
      <w:r w:rsidR="00A21471" w:rsidRPr="00024549">
        <w:rPr>
          <w:rFonts w:cstheme="minorHAnsi"/>
        </w:rPr>
        <w:t xml:space="preserve"> programy </w:t>
      </w:r>
      <w:r w:rsidR="00B47449">
        <w:rPr>
          <w:rFonts w:cstheme="minorHAnsi"/>
        </w:rPr>
        <w:t>a</w:t>
      </w:r>
      <w:r w:rsidR="00A21471" w:rsidRPr="00024549">
        <w:rPr>
          <w:rFonts w:cstheme="minorHAnsi"/>
        </w:rPr>
        <w:t xml:space="preserve"> zjistil </w:t>
      </w:r>
      <w:r w:rsidR="00B47449">
        <w:rPr>
          <w:rFonts w:cstheme="minorHAnsi"/>
        </w:rPr>
        <w:t xml:space="preserve">u nich </w:t>
      </w:r>
      <w:r w:rsidR="00A21471" w:rsidRPr="00024549">
        <w:rPr>
          <w:rFonts w:cstheme="minorHAnsi"/>
        </w:rPr>
        <w:t xml:space="preserve">opakované prodlužování doby realizace ze strany MF. </w:t>
      </w:r>
      <w:bookmarkEnd w:id="2"/>
      <w:r w:rsidR="00C13321" w:rsidRPr="00024549">
        <w:rPr>
          <w:rFonts w:cstheme="minorHAnsi"/>
        </w:rPr>
        <w:t xml:space="preserve">V jednom případě </w:t>
      </w:r>
      <w:r w:rsidR="00290426" w:rsidRPr="00024549">
        <w:rPr>
          <w:rFonts w:cstheme="minorHAnsi"/>
        </w:rPr>
        <w:t xml:space="preserve">MF prodloužilo termín pro realizaci programu </w:t>
      </w:r>
      <w:r w:rsidR="00CB62A9">
        <w:rPr>
          <w:rFonts w:cstheme="minorHAnsi"/>
        </w:rPr>
        <w:br/>
      </w:r>
      <w:r w:rsidR="00290426" w:rsidRPr="00024549">
        <w:rPr>
          <w:rFonts w:cstheme="minorHAnsi"/>
        </w:rPr>
        <w:t>o</w:t>
      </w:r>
      <w:r w:rsidR="00CB62A9">
        <w:rPr>
          <w:rFonts w:cstheme="minorHAnsi"/>
        </w:rPr>
        <w:t xml:space="preserve"> </w:t>
      </w:r>
      <w:r w:rsidR="00C13321" w:rsidRPr="00024549">
        <w:rPr>
          <w:rFonts w:cstheme="minorHAnsi"/>
        </w:rPr>
        <w:t>čtyři</w:t>
      </w:r>
      <w:r w:rsidR="00290426" w:rsidRPr="00024549">
        <w:rPr>
          <w:rFonts w:cstheme="minorHAnsi"/>
        </w:rPr>
        <w:t xml:space="preserve"> </w:t>
      </w:r>
      <w:r w:rsidR="00C13321" w:rsidRPr="00024549">
        <w:rPr>
          <w:rFonts w:cstheme="minorHAnsi"/>
        </w:rPr>
        <w:t xml:space="preserve">roky, v druhém případě o pět let. U obou programů prodloužilo termín </w:t>
      </w:r>
      <w:r w:rsidR="00290426" w:rsidRPr="00024549">
        <w:rPr>
          <w:rFonts w:cstheme="minorHAnsi"/>
        </w:rPr>
        <w:t xml:space="preserve">pro vypracování návrhu závěrečného vyhodnocení programu </w:t>
      </w:r>
      <w:r w:rsidR="00105E72" w:rsidRPr="00024549">
        <w:rPr>
          <w:rFonts w:cstheme="minorHAnsi"/>
        </w:rPr>
        <w:t>o 6 let</w:t>
      </w:r>
      <w:r w:rsidR="00E57A50" w:rsidRPr="00024549">
        <w:rPr>
          <w:rFonts w:cstheme="minorHAnsi"/>
        </w:rPr>
        <w:t xml:space="preserve"> (viz IV.</w:t>
      </w:r>
      <w:r w:rsidR="00594359">
        <w:rPr>
          <w:rFonts w:cstheme="minorHAnsi"/>
        </w:rPr>
        <w:t>5</w:t>
      </w:r>
      <w:r w:rsidR="00E57A50" w:rsidRPr="00024549">
        <w:rPr>
          <w:rFonts w:cstheme="minorHAnsi"/>
        </w:rPr>
        <w:t>.)</w:t>
      </w:r>
      <w:r w:rsidR="00105E72" w:rsidRPr="00024549">
        <w:rPr>
          <w:rFonts w:cstheme="minorHAnsi"/>
        </w:rPr>
        <w:t>.</w:t>
      </w:r>
    </w:p>
    <w:p w14:paraId="43303666" w14:textId="70A6EBCB" w:rsidR="007C4991" w:rsidRPr="00024549" w:rsidRDefault="007C4991" w:rsidP="00997B57">
      <w:pPr>
        <w:pStyle w:val="Odstavecseseznamem"/>
        <w:spacing w:line="280" w:lineRule="atLeast"/>
        <w:ind w:left="426"/>
        <w:rPr>
          <w:rFonts w:cstheme="minorHAnsi"/>
        </w:rPr>
      </w:pPr>
      <w:r w:rsidRPr="00024549">
        <w:t>NKÚ již dříve</w:t>
      </w:r>
      <w:r w:rsidRPr="00024549">
        <w:rPr>
          <w:rStyle w:val="Znakapoznpodarou"/>
        </w:rPr>
        <w:footnoteReference w:id="5"/>
      </w:r>
      <w:r w:rsidRPr="00024549">
        <w:t xml:space="preserve"> upozornil na skutečnost, že prodlužování programů snižuje možnost věrohodného vyhodnoc</w:t>
      </w:r>
      <w:r w:rsidR="00B47449">
        <w:t>ení</w:t>
      </w:r>
      <w:r w:rsidRPr="00024549">
        <w:t xml:space="preserve"> stanoven</w:t>
      </w:r>
      <w:r w:rsidR="00B47449">
        <w:t>ých</w:t>
      </w:r>
      <w:r w:rsidRPr="00024549">
        <w:t xml:space="preserve"> cíl</w:t>
      </w:r>
      <w:r w:rsidR="00B47449">
        <w:t>ů</w:t>
      </w:r>
      <w:r w:rsidRPr="00024549">
        <w:t>.</w:t>
      </w:r>
    </w:p>
    <w:p w14:paraId="4B58CE85" w14:textId="215049E9" w:rsidR="008E471B" w:rsidRPr="00024549" w:rsidRDefault="008E471B" w:rsidP="00997B57">
      <w:pPr>
        <w:pStyle w:val="Odstavecseseznamem"/>
        <w:numPr>
          <w:ilvl w:val="0"/>
          <w:numId w:val="37"/>
        </w:numPr>
        <w:ind w:left="426"/>
        <w:rPr>
          <w:rFonts w:cstheme="minorHAnsi"/>
          <w:szCs w:val="22"/>
        </w:rPr>
      </w:pPr>
      <w:r w:rsidRPr="00024549">
        <w:rPr>
          <w:rFonts w:ascii="Calibri" w:eastAsia="Calibri" w:hAnsi="Calibri" w:cs="Calibri"/>
          <w:szCs w:val="22"/>
        </w:rPr>
        <w:t xml:space="preserve">MF v dokumentaci programu stanovilo, že </w:t>
      </w:r>
      <w:r w:rsidR="008E14CC" w:rsidRPr="00024549">
        <w:rPr>
          <w:rFonts w:ascii="Calibri" w:eastAsia="Calibri" w:hAnsi="Calibri" w:cs="Calibri"/>
          <w:szCs w:val="22"/>
        </w:rPr>
        <w:t xml:space="preserve">v pozici </w:t>
      </w:r>
      <w:r w:rsidRPr="00024549">
        <w:rPr>
          <w:rFonts w:cstheme="minorHAnsi"/>
          <w:szCs w:val="22"/>
        </w:rPr>
        <w:t>správce programu bude sledovat hospodárnost, efektivnost a účelnost vynakládaných prostředků státního rozpočtu v jednotlivých podprogramech, a</w:t>
      </w:r>
      <w:r w:rsidR="00606E1D">
        <w:rPr>
          <w:rFonts w:cstheme="minorHAnsi"/>
          <w:szCs w:val="22"/>
        </w:rPr>
        <w:t xml:space="preserve"> </w:t>
      </w:r>
      <w:r w:rsidRPr="00024549">
        <w:rPr>
          <w:rFonts w:cstheme="minorHAnsi"/>
          <w:szCs w:val="22"/>
        </w:rPr>
        <w:t xml:space="preserve">tím i </w:t>
      </w:r>
      <w:r w:rsidR="00B47449">
        <w:rPr>
          <w:rFonts w:cstheme="minorHAnsi"/>
          <w:szCs w:val="22"/>
        </w:rPr>
        <w:t xml:space="preserve">v </w:t>
      </w:r>
      <w:r w:rsidRPr="00024549">
        <w:rPr>
          <w:rFonts w:cstheme="minorHAnsi"/>
          <w:szCs w:val="22"/>
        </w:rPr>
        <w:t xml:space="preserve">programu jako celku, a </w:t>
      </w:r>
      <w:r w:rsidRPr="00024549">
        <w:rPr>
          <w:rFonts w:cstheme="minorHAnsi"/>
          <w:bCs/>
          <w:szCs w:val="22"/>
        </w:rPr>
        <w:t xml:space="preserve">výsledky bude uvádět v ročních zprávách. </w:t>
      </w:r>
      <w:r w:rsidR="008E14CC" w:rsidRPr="00024549">
        <w:rPr>
          <w:rFonts w:cstheme="minorHAnsi"/>
          <w:bCs/>
          <w:szCs w:val="22"/>
        </w:rPr>
        <w:t xml:space="preserve">Tento úkol MF </w:t>
      </w:r>
      <w:r w:rsidR="00BA7300" w:rsidRPr="00024549">
        <w:rPr>
          <w:rFonts w:cstheme="minorHAnsi"/>
          <w:bCs/>
          <w:szCs w:val="22"/>
        </w:rPr>
        <w:t>neplnilo</w:t>
      </w:r>
      <w:r w:rsidR="00E57A50" w:rsidRPr="00024549">
        <w:rPr>
          <w:rFonts w:cstheme="minorHAnsi"/>
          <w:bCs/>
          <w:szCs w:val="22"/>
        </w:rPr>
        <w:t xml:space="preserve"> (viz IV.</w:t>
      </w:r>
      <w:r w:rsidR="00594359">
        <w:rPr>
          <w:rFonts w:cstheme="minorHAnsi"/>
          <w:bCs/>
          <w:szCs w:val="22"/>
        </w:rPr>
        <w:t>6</w:t>
      </w:r>
      <w:r w:rsidR="00E57A50" w:rsidRPr="00024549">
        <w:rPr>
          <w:rFonts w:cstheme="minorHAnsi"/>
          <w:bCs/>
          <w:szCs w:val="22"/>
        </w:rPr>
        <w:t>.)</w:t>
      </w:r>
      <w:r w:rsidRPr="00024549">
        <w:rPr>
          <w:rFonts w:cstheme="minorHAnsi"/>
          <w:bCs/>
          <w:szCs w:val="22"/>
        </w:rPr>
        <w:t>.</w:t>
      </w:r>
      <w:r w:rsidRPr="00024549">
        <w:rPr>
          <w:rFonts w:cstheme="minorHAnsi"/>
          <w:szCs w:val="22"/>
        </w:rPr>
        <w:t xml:space="preserve"> </w:t>
      </w:r>
    </w:p>
    <w:p w14:paraId="6A6A8EA6" w14:textId="7560A429" w:rsidR="00175E4F" w:rsidRPr="00024549" w:rsidRDefault="001B369C" w:rsidP="00997B57">
      <w:pPr>
        <w:pStyle w:val="Odstavecseseznamem"/>
        <w:numPr>
          <w:ilvl w:val="0"/>
          <w:numId w:val="38"/>
        </w:numPr>
        <w:ind w:left="426"/>
        <w:rPr>
          <w:rFonts w:cstheme="minorHAnsi"/>
        </w:rPr>
      </w:pPr>
      <w:r w:rsidRPr="00024549">
        <w:rPr>
          <w:rFonts w:cstheme="minorHAnsi"/>
        </w:rPr>
        <w:t>MF pronajímá p</w:t>
      </w:r>
      <w:r w:rsidR="00DF2F2B" w:rsidRPr="00024549">
        <w:rPr>
          <w:rFonts w:cstheme="minorHAnsi"/>
        </w:rPr>
        <w:t xml:space="preserve">ozemky v areálu výstaviště v pražských Letňanech </w:t>
      </w:r>
      <w:r w:rsidR="00175E4F" w:rsidRPr="00024549">
        <w:rPr>
          <w:rFonts w:cstheme="minorHAnsi"/>
        </w:rPr>
        <w:t xml:space="preserve">na základě smlouvy, ve které stanovilo fixní valorizaci </w:t>
      </w:r>
      <w:r w:rsidR="00DD1602">
        <w:rPr>
          <w:rFonts w:cstheme="minorHAnsi"/>
        </w:rPr>
        <w:t xml:space="preserve">nájemného </w:t>
      </w:r>
      <w:r w:rsidR="00175E4F" w:rsidRPr="00024549">
        <w:rPr>
          <w:rFonts w:cstheme="minorHAnsi"/>
        </w:rPr>
        <w:t>ve výši 2,6 %</w:t>
      </w:r>
      <w:r w:rsidR="008068CB" w:rsidRPr="00024549">
        <w:rPr>
          <w:rFonts w:cstheme="minorHAnsi"/>
        </w:rPr>
        <w:t xml:space="preserve"> ročně</w:t>
      </w:r>
      <w:r w:rsidR="00175E4F" w:rsidRPr="00024549">
        <w:rPr>
          <w:rFonts w:cstheme="minorHAnsi"/>
        </w:rPr>
        <w:t xml:space="preserve">. </w:t>
      </w:r>
      <w:r w:rsidR="00B47449">
        <w:rPr>
          <w:rFonts w:cstheme="minorHAnsi"/>
        </w:rPr>
        <w:t>Vzhledem k tomu</w:t>
      </w:r>
      <w:r w:rsidR="00175E4F" w:rsidRPr="00024549">
        <w:rPr>
          <w:rFonts w:cstheme="minorHAnsi"/>
        </w:rPr>
        <w:t>, že inflace představuje v</w:t>
      </w:r>
      <w:r w:rsidR="00606E1D">
        <w:rPr>
          <w:rFonts w:cstheme="minorHAnsi"/>
        </w:rPr>
        <w:t xml:space="preserve"> </w:t>
      </w:r>
      <w:r w:rsidR="00175E4F" w:rsidRPr="00024549">
        <w:rPr>
          <w:rFonts w:cstheme="minorHAnsi"/>
        </w:rPr>
        <w:t xml:space="preserve">čase proměnlivý ukazatel, považuje NKÚ nastavení fixní valorizace z hlediska hospodárného nakládání s majetkem za rizikové. MF </w:t>
      </w:r>
      <w:r w:rsidR="00C641AA" w:rsidRPr="00024549">
        <w:rPr>
          <w:rFonts w:cstheme="minorHAnsi"/>
        </w:rPr>
        <w:t xml:space="preserve">v době uzavření smlouvy </w:t>
      </w:r>
      <w:r w:rsidR="00175E4F" w:rsidRPr="00024549">
        <w:rPr>
          <w:rFonts w:cstheme="minorHAnsi"/>
        </w:rPr>
        <w:t>nevyužilo institut inflační doložky, pomocí které by mohlo zvyšovat nájemné dle aktuální výše inflace</w:t>
      </w:r>
      <w:r w:rsidR="00B47449">
        <w:rPr>
          <w:rFonts w:cstheme="minorHAnsi"/>
        </w:rPr>
        <w:t>,</w:t>
      </w:r>
      <w:r w:rsidR="00175E4F" w:rsidRPr="00024549">
        <w:rPr>
          <w:rFonts w:cstheme="minorHAnsi"/>
        </w:rPr>
        <w:t xml:space="preserve"> a</w:t>
      </w:r>
      <w:r w:rsidR="00B47449">
        <w:rPr>
          <w:rFonts w:cstheme="minorHAnsi"/>
        </w:rPr>
        <w:t xml:space="preserve"> </w:t>
      </w:r>
      <w:r w:rsidR="00175E4F" w:rsidRPr="00024549">
        <w:rPr>
          <w:rFonts w:cstheme="minorHAnsi"/>
        </w:rPr>
        <w:t xml:space="preserve">upřednostnilo méně výhodnou variantu. </w:t>
      </w:r>
      <w:r w:rsidR="00DA4C46" w:rsidRPr="00024549">
        <w:rPr>
          <w:rFonts w:cstheme="minorHAnsi"/>
        </w:rPr>
        <w:t>Při urč</w:t>
      </w:r>
      <w:r w:rsidR="00B47449">
        <w:rPr>
          <w:rFonts w:cstheme="minorHAnsi"/>
        </w:rPr>
        <w:t>ování</w:t>
      </w:r>
      <w:r w:rsidR="00DA4C46" w:rsidRPr="00024549">
        <w:rPr>
          <w:rFonts w:cstheme="minorHAnsi"/>
        </w:rPr>
        <w:t xml:space="preserve"> výše fixní valorizace navíc MF zvolilo 2,6 %, přestože </w:t>
      </w:r>
      <w:r w:rsidR="00C641AA" w:rsidRPr="00024549">
        <w:rPr>
          <w:rFonts w:cstheme="minorHAnsi"/>
        </w:rPr>
        <w:t xml:space="preserve">průměrná roční míra inflace podle Českého statistického úřadu </w:t>
      </w:r>
      <w:r w:rsidR="00B47449" w:rsidRPr="00024549">
        <w:rPr>
          <w:rFonts w:cstheme="minorHAnsi"/>
        </w:rPr>
        <w:t xml:space="preserve">dosáhla </w:t>
      </w:r>
      <w:r w:rsidR="00C641AA" w:rsidRPr="00024549">
        <w:rPr>
          <w:rFonts w:cstheme="minorHAnsi"/>
        </w:rPr>
        <w:t xml:space="preserve">v roce 2020 </w:t>
      </w:r>
      <w:r w:rsidR="00B47449">
        <w:rPr>
          <w:rFonts w:cstheme="minorHAnsi"/>
        </w:rPr>
        <w:t xml:space="preserve">hodnoty </w:t>
      </w:r>
      <w:r w:rsidR="00C641AA" w:rsidRPr="00024549">
        <w:rPr>
          <w:rFonts w:cstheme="minorHAnsi"/>
        </w:rPr>
        <w:t>3,2 %</w:t>
      </w:r>
      <w:r w:rsidR="00C66667">
        <w:rPr>
          <w:rFonts w:cstheme="minorHAnsi"/>
        </w:rPr>
        <w:t xml:space="preserve"> a nájemce v nabíd</w:t>
      </w:r>
      <w:r w:rsidR="00D54A4E">
        <w:rPr>
          <w:rFonts w:cstheme="minorHAnsi"/>
        </w:rPr>
        <w:t>ce</w:t>
      </w:r>
      <w:r w:rsidR="00C66667">
        <w:rPr>
          <w:rFonts w:cstheme="minorHAnsi"/>
        </w:rPr>
        <w:t xml:space="preserve"> </w:t>
      </w:r>
      <w:r w:rsidR="00D54A4E">
        <w:rPr>
          <w:rFonts w:cstheme="minorHAnsi"/>
        </w:rPr>
        <w:t>uváděl</w:t>
      </w:r>
      <w:r w:rsidR="00C66667">
        <w:rPr>
          <w:rFonts w:cstheme="minorHAnsi"/>
        </w:rPr>
        <w:t xml:space="preserve"> inflaci ve výši 4,5</w:t>
      </w:r>
      <w:r w:rsidR="00B47449">
        <w:rPr>
          <w:rFonts w:cstheme="minorHAnsi"/>
        </w:rPr>
        <w:t> </w:t>
      </w:r>
      <w:r w:rsidR="00C66667">
        <w:rPr>
          <w:rFonts w:cstheme="minorHAnsi"/>
        </w:rPr>
        <w:t>% pro období</w:t>
      </w:r>
      <w:r w:rsidR="007E6661">
        <w:rPr>
          <w:rFonts w:cstheme="minorHAnsi"/>
        </w:rPr>
        <w:t xml:space="preserve"> </w:t>
      </w:r>
      <w:r w:rsidR="00C66667">
        <w:rPr>
          <w:rFonts w:cstheme="minorHAnsi"/>
        </w:rPr>
        <w:t>let</w:t>
      </w:r>
      <w:r w:rsidR="00B47449">
        <w:rPr>
          <w:rFonts w:cstheme="minorHAnsi"/>
        </w:rPr>
        <w:t xml:space="preserve"> </w:t>
      </w:r>
      <w:r w:rsidR="00C66667">
        <w:rPr>
          <w:rFonts w:cstheme="minorHAnsi"/>
        </w:rPr>
        <w:t>2021</w:t>
      </w:r>
      <w:r w:rsidR="003E1A70">
        <w:rPr>
          <w:rFonts w:cstheme="minorHAnsi"/>
        </w:rPr>
        <w:t>–</w:t>
      </w:r>
      <w:r w:rsidR="00C66667">
        <w:rPr>
          <w:rFonts w:cstheme="minorHAnsi"/>
        </w:rPr>
        <w:t>2025</w:t>
      </w:r>
      <w:r w:rsidR="00C641AA" w:rsidRPr="00024549">
        <w:rPr>
          <w:rFonts w:cstheme="minorHAnsi"/>
        </w:rPr>
        <w:t xml:space="preserve">. </w:t>
      </w:r>
      <w:r w:rsidR="001C6C16" w:rsidRPr="00024549">
        <w:rPr>
          <w:rFonts w:cstheme="minorHAnsi"/>
        </w:rPr>
        <w:t xml:space="preserve">MF svým postupem nezajistilo, aby </w:t>
      </w:r>
      <w:bookmarkStart w:id="3" w:name="_Hlk104875794"/>
      <w:r w:rsidR="007E6661">
        <w:rPr>
          <w:rFonts w:cstheme="minorHAnsi"/>
        </w:rPr>
        <w:t xml:space="preserve">nedocházelo ke snižování výnosu z majetku státu </w:t>
      </w:r>
      <w:bookmarkEnd w:id="3"/>
      <w:r w:rsidR="00E57A50" w:rsidRPr="00024549">
        <w:rPr>
          <w:rFonts w:cstheme="minorHAnsi"/>
        </w:rPr>
        <w:t>(viz IV.</w:t>
      </w:r>
      <w:r w:rsidR="00594359">
        <w:rPr>
          <w:rFonts w:cstheme="minorHAnsi"/>
        </w:rPr>
        <w:t>7</w:t>
      </w:r>
      <w:r w:rsidR="00E57A50" w:rsidRPr="00024549">
        <w:rPr>
          <w:rFonts w:cstheme="minorHAnsi"/>
        </w:rPr>
        <w:t>.)</w:t>
      </w:r>
      <w:r w:rsidR="00DA4C46" w:rsidRPr="00024549">
        <w:rPr>
          <w:rFonts w:cstheme="minorHAnsi"/>
        </w:rPr>
        <w:t>.</w:t>
      </w:r>
    </w:p>
    <w:p w14:paraId="6C8DDE58" w14:textId="079F6491" w:rsidR="005C4498" w:rsidRDefault="001C6C16" w:rsidP="005C4498">
      <w:pPr>
        <w:pStyle w:val="Odstavecseseznamem"/>
        <w:numPr>
          <w:ilvl w:val="0"/>
          <w:numId w:val="38"/>
        </w:numPr>
        <w:spacing w:after="60"/>
        <w:ind w:left="426"/>
        <w:rPr>
          <w:rFonts w:cstheme="minorHAnsi"/>
          <w:szCs w:val="22"/>
        </w:rPr>
      </w:pPr>
      <w:r w:rsidRPr="007E6661">
        <w:rPr>
          <w:rFonts w:cstheme="minorHAnsi"/>
          <w:szCs w:val="22"/>
        </w:rPr>
        <w:t xml:space="preserve">Pro zajištění provozu účtenkové loterie uzavřelo MF dne 20. 3. 2017 s dodavatelem smlouvu o komplexním zajištění provozu účtenkové loterie, a to na dobu neurčitou. </w:t>
      </w:r>
      <w:r w:rsidR="00B47449" w:rsidRPr="007E6661">
        <w:rPr>
          <w:rFonts w:cstheme="minorHAnsi"/>
          <w:szCs w:val="22"/>
        </w:rPr>
        <w:t xml:space="preserve">MF </w:t>
      </w:r>
      <w:r w:rsidR="00B47449">
        <w:rPr>
          <w:rFonts w:cstheme="minorHAnsi"/>
          <w:szCs w:val="22"/>
        </w:rPr>
        <w:t>t</w:t>
      </w:r>
      <w:r w:rsidR="00F348AF" w:rsidRPr="007E6661">
        <w:rPr>
          <w:rFonts w:cstheme="minorHAnsi"/>
          <w:szCs w:val="22"/>
        </w:rPr>
        <w:t>uto smlouvu vypovědělo ke dni 31. 3. 2020 s roční výpovědní dobou</w:t>
      </w:r>
      <w:r w:rsidR="00C641AA" w:rsidRPr="007E6661">
        <w:rPr>
          <w:rFonts w:cstheme="minorHAnsi"/>
          <w:szCs w:val="22"/>
        </w:rPr>
        <w:t xml:space="preserve">, během které uhradilo </w:t>
      </w:r>
      <w:r w:rsidR="00B47449" w:rsidRPr="007E6661">
        <w:rPr>
          <w:rFonts w:cstheme="minorHAnsi"/>
          <w:szCs w:val="22"/>
        </w:rPr>
        <w:t xml:space="preserve">dodavateli </w:t>
      </w:r>
      <w:r w:rsidR="00F348AF" w:rsidRPr="007E6661">
        <w:rPr>
          <w:rFonts w:cstheme="minorHAnsi"/>
          <w:szCs w:val="22"/>
        </w:rPr>
        <w:t>paušál</w:t>
      </w:r>
      <w:r w:rsidR="00C641AA" w:rsidRPr="007E6661">
        <w:rPr>
          <w:rFonts w:cstheme="minorHAnsi"/>
          <w:szCs w:val="22"/>
        </w:rPr>
        <w:t xml:space="preserve">ní </w:t>
      </w:r>
      <w:r w:rsidR="006B3263" w:rsidRPr="007E6661">
        <w:rPr>
          <w:rFonts w:cstheme="minorHAnsi"/>
          <w:szCs w:val="22"/>
        </w:rPr>
        <w:t>platby</w:t>
      </w:r>
      <w:r w:rsidR="00C641AA" w:rsidRPr="007E6661">
        <w:rPr>
          <w:rFonts w:cstheme="minorHAnsi"/>
          <w:szCs w:val="22"/>
        </w:rPr>
        <w:t xml:space="preserve"> </w:t>
      </w:r>
      <w:r w:rsidR="00250B34" w:rsidRPr="007E6661">
        <w:rPr>
          <w:rFonts w:cstheme="minorHAnsi"/>
          <w:szCs w:val="22"/>
        </w:rPr>
        <w:t>v celkové výši</w:t>
      </w:r>
      <w:r w:rsidR="00F348AF" w:rsidRPr="007E6661">
        <w:rPr>
          <w:rFonts w:cstheme="minorHAnsi"/>
          <w:szCs w:val="22"/>
        </w:rPr>
        <w:t xml:space="preserve"> 15 332 479 Kč, </w:t>
      </w:r>
      <w:r w:rsidR="007E6661">
        <w:rPr>
          <w:rFonts w:cstheme="minorHAnsi"/>
          <w:szCs w:val="22"/>
        </w:rPr>
        <w:t xml:space="preserve">a to </w:t>
      </w:r>
      <w:bookmarkStart w:id="4" w:name="_Hlk104876028"/>
      <w:r w:rsidR="007E6661">
        <w:rPr>
          <w:rFonts w:cstheme="minorHAnsi"/>
          <w:szCs w:val="22"/>
        </w:rPr>
        <w:t>i za služby, které nevyužívalo</w:t>
      </w:r>
      <w:r w:rsidR="00B47449">
        <w:rPr>
          <w:rFonts w:cstheme="minorHAnsi"/>
          <w:szCs w:val="22"/>
        </w:rPr>
        <w:t xml:space="preserve"> nebo je užívalo ve značně omezené míře</w:t>
      </w:r>
      <w:r w:rsidR="007E6661">
        <w:rPr>
          <w:rFonts w:cstheme="minorHAnsi"/>
          <w:szCs w:val="22"/>
        </w:rPr>
        <w:t>.</w:t>
      </w:r>
      <w:bookmarkEnd w:id="4"/>
      <w:r w:rsidR="005C4498">
        <w:rPr>
          <w:rFonts w:cstheme="minorHAnsi"/>
          <w:szCs w:val="22"/>
        </w:rPr>
        <w:t xml:space="preserve"> </w:t>
      </w:r>
    </w:p>
    <w:p w14:paraId="749EE0CF" w14:textId="01D45D01" w:rsidR="00AC45B8" w:rsidRPr="005C4498" w:rsidRDefault="00AB3D65" w:rsidP="005C4498">
      <w:pPr>
        <w:ind w:left="426"/>
        <w:rPr>
          <w:rFonts w:cstheme="minorHAnsi"/>
          <w:szCs w:val="22"/>
        </w:rPr>
      </w:pPr>
      <w:r w:rsidRPr="005C4498">
        <w:rPr>
          <w:rFonts w:cstheme="minorHAnsi"/>
          <w:szCs w:val="22"/>
        </w:rPr>
        <w:t xml:space="preserve">Přestože </w:t>
      </w:r>
      <w:r w:rsidR="00E010C2" w:rsidRPr="005C4498">
        <w:rPr>
          <w:rFonts w:cstheme="minorHAnsi"/>
          <w:szCs w:val="22"/>
        </w:rPr>
        <w:t xml:space="preserve">při zavádění účtenkové loterie jako motivačního prvku pro zákazníky mělo být jejím přínosem </w:t>
      </w:r>
      <w:r w:rsidR="00AC45B8" w:rsidRPr="005C4498">
        <w:rPr>
          <w:rFonts w:cstheme="minorHAnsi"/>
          <w:szCs w:val="22"/>
        </w:rPr>
        <w:t>vést občany k přebírání účtenek a tím podpořit řádný výběr daní</w:t>
      </w:r>
      <w:r w:rsidR="00E010C2" w:rsidRPr="005C4498">
        <w:rPr>
          <w:rFonts w:cstheme="minorHAnsi"/>
          <w:szCs w:val="22"/>
        </w:rPr>
        <w:t>, MF tento přínos po</w:t>
      </w:r>
      <w:r w:rsidR="004D699E" w:rsidRPr="005C4498">
        <w:rPr>
          <w:rFonts w:cstheme="minorHAnsi"/>
          <w:szCs w:val="22"/>
        </w:rPr>
        <w:t> </w:t>
      </w:r>
      <w:r w:rsidR="00E010C2" w:rsidRPr="005C4498">
        <w:rPr>
          <w:rFonts w:cstheme="minorHAnsi"/>
          <w:szCs w:val="22"/>
        </w:rPr>
        <w:t xml:space="preserve">ukončení účtenkové loterie </w:t>
      </w:r>
      <w:r w:rsidR="00A6347D" w:rsidRPr="005C4498">
        <w:rPr>
          <w:rFonts w:cstheme="minorHAnsi"/>
          <w:szCs w:val="22"/>
        </w:rPr>
        <w:t xml:space="preserve">nevyhodnotilo </w:t>
      </w:r>
      <w:r w:rsidR="00E57A50" w:rsidRPr="005C4498">
        <w:rPr>
          <w:rFonts w:cstheme="minorHAnsi"/>
          <w:szCs w:val="22"/>
        </w:rPr>
        <w:t>(viz IV.</w:t>
      </w:r>
      <w:r w:rsidR="00594359" w:rsidRPr="005C4498">
        <w:rPr>
          <w:rFonts w:cstheme="minorHAnsi"/>
          <w:szCs w:val="22"/>
        </w:rPr>
        <w:t>8</w:t>
      </w:r>
      <w:r w:rsidR="00E57A50" w:rsidRPr="005C4498">
        <w:rPr>
          <w:rFonts w:cstheme="minorHAnsi"/>
          <w:szCs w:val="22"/>
        </w:rPr>
        <w:t>.)</w:t>
      </w:r>
      <w:r w:rsidR="002933BB" w:rsidRPr="005C4498">
        <w:rPr>
          <w:rFonts w:cstheme="minorHAnsi"/>
          <w:szCs w:val="22"/>
        </w:rPr>
        <w:t>.</w:t>
      </w:r>
    </w:p>
    <w:p w14:paraId="7D27757B" w14:textId="77777777" w:rsidR="003E356A" w:rsidRDefault="003E356A" w:rsidP="008B4C99">
      <w:pPr>
        <w:spacing w:line="280" w:lineRule="atLeast"/>
        <w:rPr>
          <w:rFonts w:cstheme="minorHAnsi"/>
          <w:b/>
          <w:color w:val="BFBFBF" w:themeColor="background1" w:themeShade="BF"/>
        </w:rPr>
      </w:pPr>
    </w:p>
    <w:p w14:paraId="335E5287" w14:textId="2BA262E2" w:rsidR="001205D2" w:rsidRDefault="001205D2" w:rsidP="00C250A4">
      <w:pPr>
        <w:pStyle w:val="Nadpis1"/>
        <w:keepLines w:val="0"/>
        <w:spacing w:before="0" w:after="0"/>
        <w:rPr>
          <w:lang w:eastAsia="en-US"/>
        </w:rPr>
      </w:pPr>
      <w:r w:rsidRPr="00611CE1">
        <w:rPr>
          <w:lang w:eastAsia="en-US"/>
        </w:rPr>
        <w:lastRenderedPageBreak/>
        <w:t xml:space="preserve">II. </w:t>
      </w:r>
      <w:r>
        <w:rPr>
          <w:lang w:eastAsia="en-US"/>
        </w:rPr>
        <w:t>Informace o kontrolované oblasti</w:t>
      </w:r>
    </w:p>
    <w:p w14:paraId="0FB84AE7" w14:textId="77777777" w:rsidR="00E81361" w:rsidRPr="00E81361" w:rsidRDefault="00E81361" w:rsidP="00C250A4">
      <w:pPr>
        <w:keepNext/>
        <w:rPr>
          <w:lang w:eastAsia="en-US"/>
        </w:rPr>
      </w:pPr>
    </w:p>
    <w:p w14:paraId="4F09BA20" w14:textId="674059F2" w:rsidR="00E2277C" w:rsidRDefault="00DF3110" w:rsidP="00E81361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Ministerstvo financí je ústřední orgán státní správy, organizační složka státu a účetní jednotka, působnost MF je stanovena zákonem</w:t>
      </w:r>
      <w:r w:rsidR="00380ABD">
        <w:rPr>
          <w:rFonts w:cstheme="minorHAnsi"/>
        </w:rPr>
        <w:t xml:space="preserve"> České národní rady</w:t>
      </w:r>
      <w:r>
        <w:rPr>
          <w:rFonts w:cstheme="minorHAnsi"/>
        </w:rPr>
        <w:t xml:space="preserve"> č. 2/1969 Sb., o zřízení ministerstev a jiných ústředních orgánů státní správy České republiky. MF je správcem kapitol </w:t>
      </w:r>
      <w:r w:rsidR="00380ABD">
        <w:rPr>
          <w:rFonts w:cstheme="minorHAnsi"/>
        </w:rPr>
        <w:t xml:space="preserve">státního rozpočtu </w:t>
      </w:r>
      <w:r>
        <w:rPr>
          <w:rFonts w:cstheme="minorHAnsi"/>
        </w:rPr>
        <w:t xml:space="preserve">312 – </w:t>
      </w:r>
      <w:r w:rsidRPr="00C250A4">
        <w:rPr>
          <w:rFonts w:cstheme="minorHAnsi"/>
          <w:i/>
        </w:rPr>
        <w:t>Ministerstvo financí</w:t>
      </w:r>
      <w:r>
        <w:rPr>
          <w:rFonts w:cstheme="minorHAnsi"/>
        </w:rPr>
        <w:t>, 396</w:t>
      </w:r>
      <w:r w:rsidR="004D699E">
        <w:rPr>
          <w:rFonts w:cstheme="minorHAnsi"/>
        </w:rPr>
        <w:t> </w:t>
      </w:r>
      <w:r>
        <w:rPr>
          <w:rFonts w:cstheme="minorHAnsi"/>
        </w:rPr>
        <w:t>–</w:t>
      </w:r>
      <w:r w:rsidR="004D699E">
        <w:rPr>
          <w:rFonts w:cstheme="minorHAnsi"/>
        </w:rPr>
        <w:t> </w:t>
      </w:r>
      <w:r w:rsidRPr="00C250A4">
        <w:rPr>
          <w:rFonts w:cstheme="minorHAnsi"/>
          <w:i/>
        </w:rPr>
        <w:t>Státní dluh</w:t>
      </w:r>
      <w:r>
        <w:rPr>
          <w:rFonts w:cstheme="minorHAnsi"/>
        </w:rPr>
        <w:t xml:space="preserve">, 397 – </w:t>
      </w:r>
      <w:r w:rsidRPr="00C250A4">
        <w:rPr>
          <w:rFonts w:cstheme="minorHAnsi"/>
          <w:i/>
        </w:rPr>
        <w:t>Operace státních finančních aktiv</w:t>
      </w:r>
      <w:r>
        <w:rPr>
          <w:rFonts w:cstheme="minorHAnsi"/>
        </w:rPr>
        <w:t xml:space="preserve"> a 398 – </w:t>
      </w:r>
      <w:r w:rsidRPr="00C250A4">
        <w:rPr>
          <w:rFonts w:cstheme="minorHAnsi"/>
          <w:i/>
        </w:rPr>
        <w:t>Všeobecná pokladní správa</w:t>
      </w:r>
      <w:r>
        <w:rPr>
          <w:rFonts w:cstheme="minorHAnsi"/>
        </w:rPr>
        <w:t>.</w:t>
      </w:r>
    </w:p>
    <w:p w14:paraId="4E4D14DB" w14:textId="7E25F384" w:rsidR="008B4C99" w:rsidRDefault="008B4C99" w:rsidP="00E16FB0">
      <w:pPr>
        <w:autoSpaceDE w:val="0"/>
        <w:autoSpaceDN w:val="0"/>
        <w:adjustRightInd w:val="0"/>
        <w:rPr>
          <w:rFonts w:cstheme="minorHAnsi"/>
        </w:rPr>
      </w:pPr>
    </w:p>
    <w:p w14:paraId="10FC069E" w14:textId="65B3ABFE" w:rsidR="008B4C99" w:rsidRPr="008B4C99" w:rsidRDefault="008B4C99" w:rsidP="00E16FB0">
      <w:pPr>
        <w:autoSpaceDE w:val="0"/>
        <w:autoSpaceDN w:val="0"/>
        <w:adjustRightInd w:val="0"/>
        <w:rPr>
          <w:rFonts w:cstheme="minorHAnsi"/>
          <w:b/>
        </w:rPr>
      </w:pPr>
      <w:r w:rsidRPr="00F472F8">
        <w:rPr>
          <w:rFonts w:cstheme="minorHAnsi"/>
          <w:b/>
        </w:rPr>
        <w:t>Programové financování</w:t>
      </w:r>
    </w:p>
    <w:p w14:paraId="7408CAD0" w14:textId="6CF56A7D" w:rsidR="00783C57" w:rsidRDefault="00815297" w:rsidP="00783C57">
      <w:pPr>
        <w:widowControl w:val="0"/>
        <w:autoSpaceDE w:val="0"/>
        <w:autoSpaceDN w:val="0"/>
        <w:adjustRightInd w:val="0"/>
        <w:rPr>
          <w:rFonts w:cstheme="minorHAnsi"/>
          <w:szCs w:val="22"/>
        </w:rPr>
      </w:pPr>
      <w:r>
        <w:rPr>
          <w:rFonts w:cstheme="minorHAnsi"/>
          <w:szCs w:val="22"/>
        </w:rPr>
        <w:t>Programové financování představuje nástroj, který má sloužit pro střednědobé a dlouhodobé finanční plánování a řízení investic spolufinancovaných nebo plně hrazených z prostředků státního rozpočtu</w:t>
      </w:r>
      <w:r w:rsidR="00783C57">
        <w:rPr>
          <w:rFonts w:cstheme="minorHAnsi"/>
          <w:szCs w:val="22"/>
        </w:rPr>
        <w:t>.</w:t>
      </w:r>
      <w:r>
        <w:rPr>
          <w:rFonts w:cstheme="minorHAnsi"/>
          <w:szCs w:val="22"/>
        </w:rPr>
        <w:t xml:space="preserve"> Prostřednictvím programů a v nich realizovaných akcí má být pořizován </w:t>
      </w:r>
      <w:r w:rsidR="00546795">
        <w:rPr>
          <w:rFonts w:cstheme="minorHAnsi"/>
          <w:szCs w:val="22"/>
        </w:rPr>
        <w:br/>
      </w:r>
      <w:r>
        <w:rPr>
          <w:rFonts w:cstheme="minorHAnsi"/>
          <w:szCs w:val="22"/>
        </w:rPr>
        <w:t>a technicky zhodnocován dlouhodobý hmotný a nehmotný majetek. MF je za tuto oblast metodi</w:t>
      </w:r>
      <w:r w:rsidR="00C70615">
        <w:rPr>
          <w:rFonts w:cstheme="minorHAnsi"/>
          <w:szCs w:val="22"/>
        </w:rPr>
        <w:t>c</w:t>
      </w:r>
      <w:r>
        <w:rPr>
          <w:rFonts w:cstheme="minorHAnsi"/>
          <w:szCs w:val="22"/>
        </w:rPr>
        <w:t xml:space="preserve">ky odpovědné a je tvůrcem metodických postupů reprodukce majetku. </w:t>
      </w:r>
      <w:r w:rsidRPr="00A434A3">
        <w:rPr>
          <w:rFonts w:cstheme="minorHAnsi"/>
        </w:rPr>
        <w:t xml:space="preserve">MF je </w:t>
      </w:r>
      <w:r>
        <w:rPr>
          <w:rFonts w:cstheme="minorHAnsi"/>
        </w:rPr>
        <w:t xml:space="preserve">rovněž </w:t>
      </w:r>
      <w:r w:rsidRPr="00A434A3">
        <w:rPr>
          <w:rFonts w:cstheme="minorHAnsi"/>
        </w:rPr>
        <w:t>zodpovědné za tvorbu návrhů právních předpisů v oblasti programového financování.</w:t>
      </w:r>
    </w:p>
    <w:p w14:paraId="10598B5F" w14:textId="65D952CC" w:rsidR="00783C57" w:rsidRDefault="00783C57" w:rsidP="00783C57">
      <w:pPr>
        <w:widowControl w:val="0"/>
        <w:autoSpaceDE w:val="0"/>
        <w:autoSpaceDN w:val="0"/>
        <w:adjustRightInd w:val="0"/>
        <w:rPr>
          <w:rFonts w:cstheme="minorHAnsi"/>
          <w:szCs w:val="22"/>
        </w:rPr>
      </w:pPr>
    </w:p>
    <w:p w14:paraId="5D4A3F17" w14:textId="40FD5EEC" w:rsidR="00546795" w:rsidRPr="00546795" w:rsidRDefault="00546795" w:rsidP="00546795">
      <w:pPr>
        <w:widowControl w:val="0"/>
        <w:tabs>
          <w:tab w:val="right" w:pos="9072"/>
        </w:tabs>
        <w:autoSpaceDE w:val="0"/>
        <w:autoSpaceDN w:val="0"/>
        <w:adjustRightInd w:val="0"/>
        <w:rPr>
          <w:rFonts w:cstheme="minorHAnsi"/>
          <w:szCs w:val="22"/>
        </w:rPr>
      </w:pPr>
      <w:r w:rsidRPr="00546795">
        <w:rPr>
          <w:rFonts w:cstheme="minorHAnsi"/>
          <w:lang w:eastAsia="en-US"/>
        </w:rPr>
        <w:t xml:space="preserve">Tabulka č. 1: Výdaje zařazené v programovém financování v kontrolovaném období </w:t>
      </w:r>
      <w:r w:rsidRPr="00546795">
        <w:rPr>
          <w:rFonts w:cstheme="minorHAnsi"/>
          <w:lang w:eastAsia="en-US"/>
        </w:rPr>
        <w:tab/>
        <w:t>(v tis. Kč)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1947"/>
        <w:gridCol w:w="1948"/>
        <w:gridCol w:w="1948"/>
        <w:gridCol w:w="1948"/>
      </w:tblGrid>
      <w:tr w:rsidR="00546795" w14:paraId="5B247D32" w14:textId="77777777" w:rsidTr="00546795">
        <w:trPr>
          <w:trHeight w:val="340"/>
        </w:trPr>
        <w:tc>
          <w:tcPr>
            <w:tcW w:w="1271" w:type="dxa"/>
            <w:vMerge w:val="restart"/>
            <w:shd w:val="clear" w:color="auto" w:fill="E5F1FF"/>
            <w:vAlign w:val="center"/>
          </w:tcPr>
          <w:p w14:paraId="43544F8B" w14:textId="688EF610" w:rsidR="00546795" w:rsidRPr="00546795" w:rsidRDefault="00546795" w:rsidP="009F6A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6795">
              <w:rPr>
                <w:rFonts w:asciiTheme="minorHAnsi" w:hAnsiTheme="minorHAnsi" w:cstheme="minorHAnsi"/>
                <w:b/>
                <w:sz w:val="20"/>
                <w:szCs w:val="20"/>
              </w:rPr>
              <w:t>Program</w:t>
            </w:r>
            <w:r>
              <w:rPr>
                <w:rStyle w:val="Znakapoznpodarou"/>
                <w:rFonts w:asciiTheme="minorHAnsi" w:hAnsiTheme="minorHAnsi"/>
                <w:b/>
                <w:sz w:val="20"/>
                <w:szCs w:val="20"/>
              </w:rPr>
              <w:footnoteReference w:id="6"/>
            </w:r>
          </w:p>
        </w:tc>
        <w:tc>
          <w:tcPr>
            <w:tcW w:w="3895" w:type="dxa"/>
            <w:gridSpan w:val="2"/>
            <w:shd w:val="clear" w:color="auto" w:fill="E5F1FF"/>
            <w:vAlign w:val="center"/>
          </w:tcPr>
          <w:p w14:paraId="147C66F5" w14:textId="77777777" w:rsidR="00546795" w:rsidRPr="00546795" w:rsidRDefault="00546795" w:rsidP="009F6A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6795">
              <w:rPr>
                <w:rFonts w:asciiTheme="minorHAnsi" w:hAnsiTheme="minorHAnsi" w:cstheme="minorHAnsi"/>
                <w:b/>
                <w:sz w:val="20"/>
                <w:szCs w:val="20"/>
              </w:rPr>
              <w:t>2019</w:t>
            </w:r>
          </w:p>
        </w:tc>
        <w:tc>
          <w:tcPr>
            <w:tcW w:w="3896" w:type="dxa"/>
            <w:gridSpan w:val="2"/>
            <w:shd w:val="clear" w:color="auto" w:fill="E5F1FF"/>
            <w:vAlign w:val="center"/>
          </w:tcPr>
          <w:p w14:paraId="03868838" w14:textId="77777777" w:rsidR="00546795" w:rsidRPr="00546795" w:rsidRDefault="00546795" w:rsidP="009F6A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6795">
              <w:rPr>
                <w:rFonts w:asciiTheme="minorHAnsi" w:hAnsiTheme="minorHAnsi" w:cstheme="minorHAnsi"/>
                <w:b/>
                <w:sz w:val="20"/>
                <w:szCs w:val="20"/>
              </w:rPr>
              <w:t>2020</w:t>
            </w:r>
          </w:p>
        </w:tc>
      </w:tr>
      <w:tr w:rsidR="00546795" w14:paraId="2681DE59" w14:textId="77777777" w:rsidTr="00546795">
        <w:trPr>
          <w:trHeight w:val="340"/>
        </w:trPr>
        <w:tc>
          <w:tcPr>
            <w:tcW w:w="1271" w:type="dxa"/>
            <w:vMerge/>
            <w:shd w:val="clear" w:color="auto" w:fill="E5F1FF"/>
          </w:tcPr>
          <w:p w14:paraId="21E3D17D" w14:textId="77777777" w:rsidR="00546795" w:rsidRPr="00546795" w:rsidRDefault="00546795" w:rsidP="009F6A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E5F1FF"/>
            <w:vAlign w:val="center"/>
          </w:tcPr>
          <w:p w14:paraId="3BE87896" w14:textId="77777777" w:rsidR="00546795" w:rsidRPr="00546795" w:rsidRDefault="00546795" w:rsidP="009F6A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6795">
              <w:rPr>
                <w:rFonts w:asciiTheme="minorHAnsi" w:hAnsiTheme="minorHAnsi" w:cstheme="minorHAnsi"/>
                <w:b/>
                <w:sz w:val="20"/>
                <w:szCs w:val="20"/>
              </w:rPr>
              <w:t>Rozpočet konečný</w:t>
            </w:r>
          </w:p>
        </w:tc>
        <w:tc>
          <w:tcPr>
            <w:tcW w:w="1948" w:type="dxa"/>
            <w:shd w:val="clear" w:color="auto" w:fill="E5F1FF"/>
            <w:vAlign w:val="center"/>
          </w:tcPr>
          <w:p w14:paraId="6066D39A" w14:textId="77777777" w:rsidR="00546795" w:rsidRPr="00546795" w:rsidRDefault="00546795" w:rsidP="009F6A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6795">
              <w:rPr>
                <w:rFonts w:asciiTheme="minorHAnsi" w:hAnsiTheme="minorHAnsi" w:cstheme="minorHAnsi"/>
                <w:b/>
                <w:sz w:val="20"/>
                <w:szCs w:val="20"/>
              </w:rPr>
              <w:t>Skutečnost</w:t>
            </w:r>
          </w:p>
        </w:tc>
        <w:tc>
          <w:tcPr>
            <w:tcW w:w="1948" w:type="dxa"/>
            <w:shd w:val="clear" w:color="auto" w:fill="E5F1FF"/>
            <w:vAlign w:val="center"/>
          </w:tcPr>
          <w:p w14:paraId="63D0B53A" w14:textId="77777777" w:rsidR="00546795" w:rsidRPr="00546795" w:rsidRDefault="00546795" w:rsidP="009F6A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6795">
              <w:rPr>
                <w:rFonts w:asciiTheme="minorHAnsi" w:hAnsiTheme="minorHAnsi" w:cstheme="minorHAnsi"/>
                <w:b/>
                <w:sz w:val="20"/>
                <w:szCs w:val="20"/>
              </w:rPr>
              <w:t>Rozpočet konečný</w:t>
            </w:r>
          </w:p>
        </w:tc>
        <w:tc>
          <w:tcPr>
            <w:tcW w:w="1948" w:type="dxa"/>
            <w:shd w:val="clear" w:color="auto" w:fill="E5F1FF"/>
            <w:vAlign w:val="center"/>
          </w:tcPr>
          <w:p w14:paraId="58C55CB1" w14:textId="77777777" w:rsidR="00546795" w:rsidRPr="00546795" w:rsidRDefault="00546795" w:rsidP="009F6A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6795">
              <w:rPr>
                <w:rFonts w:asciiTheme="minorHAnsi" w:hAnsiTheme="minorHAnsi" w:cstheme="minorHAnsi"/>
                <w:b/>
                <w:sz w:val="20"/>
                <w:szCs w:val="20"/>
              </w:rPr>
              <w:t>Skutečnost</w:t>
            </w:r>
          </w:p>
        </w:tc>
      </w:tr>
      <w:tr w:rsidR="00546795" w14:paraId="77C39D4B" w14:textId="77777777" w:rsidTr="00546795">
        <w:trPr>
          <w:trHeight w:val="340"/>
        </w:trPr>
        <w:tc>
          <w:tcPr>
            <w:tcW w:w="1271" w:type="dxa"/>
            <w:vAlign w:val="center"/>
          </w:tcPr>
          <w:p w14:paraId="5F3BD352" w14:textId="77777777" w:rsidR="00546795" w:rsidRPr="00546795" w:rsidRDefault="00546795" w:rsidP="009F6A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46795">
              <w:rPr>
                <w:rFonts w:asciiTheme="minorHAnsi" w:hAnsiTheme="minorHAnsi" w:cstheme="minorHAnsi"/>
                <w:sz w:val="20"/>
                <w:szCs w:val="20"/>
              </w:rPr>
              <w:t>112V09</w:t>
            </w:r>
          </w:p>
        </w:tc>
        <w:tc>
          <w:tcPr>
            <w:tcW w:w="1947" w:type="dxa"/>
            <w:vAlign w:val="center"/>
          </w:tcPr>
          <w:p w14:paraId="1526EC93" w14:textId="77777777" w:rsidR="00546795" w:rsidRPr="00546795" w:rsidRDefault="00546795" w:rsidP="009F6A5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46795">
              <w:rPr>
                <w:rFonts w:asciiTheme="minorHAnsi" w:hAnsiTheme="minorHAnsi" w:cstheme="minorHAnsi"/>
                <w:sz w:val="20"/>
                <w:szCs w:val="20"/>
              </w:rPr>
              <w:t>124 407</w:t>
            </w:r>
          </w:p>
        </w:tc>
        <w:tc>
          <w:tcPr>
            <w:tcW w:w="1948" w:type="dxa"/>
            <w:vAlign w:val="center"/>
          </w:tcPr>
          <w:p w14:paraId="114E7994" w14:textId="77777777" w:rsidR="00546795" w:rsidRPr="00546795" w:rsidRDefault="00546795" w:rsidP="009F6A5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46795">
              <w:rPr>
                <w:rFonts w:asciiTheme="minorHAnsi" w:hAnsiTheme="minorHAnsi" w:cstheme="minorHAnsi"/>
                <w:sz w:val="20"/>
                <w:szCs w:val="20"/>
              </w:rPr>
              <w:t>56 486</w:t>
            </w:r>
          </w:p>
        </w:tc>
        <w:tc>
          <w:tcPr>
            <w:tcW w:w="1948" w:type="dxa"/>
            <w:vAlign w:val="center"/>
          </w:tcPr>
          <w:p w14:paraId="0A9AE2C2" w14:textId="77777777" w:rsidR="00546795" w:rsidRPr="00546795" w:rsidRDefault="00546795" w:rsidP="009F6A5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46795">
              <w:rPr>
                <w:rFonts w:asciiTheme="minorHAnsi" w:hAnsiTheme="minorHAnsi" w:cstheme="minorHAnsi"/>
                <w:sz w:val="20"/>
                <w:szCs w:val="20"/>
              </w:rPr>
              <w:t>45 104</w:t>
            </w:r>
          </w:p>
        </w:tc>
        <w:tc>
          <w:tcPr>
            <w:tcW w:w="1948" w:type="dxa"/>
            <w:vAlign w:val="center"/>
          </w:tcPr>
          <w:p w14:paraId="72F9E498" w14:textId="77777777" w:rsidR="00546795" w:rsidRPr="00546795" w:rsidRDefault="00546795" w:rsidP="009F6A5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46795">
              <w:rPr>
                <w:rFonts w:asciiTheme="minorHAnsi" w:hAnsiTheme="minorHAnsi" w:cstheme="minorHAnsi"/>
                <w:sz w:val="20"/>
                <w:szCs w:val="20"/>
              </w:rPr>
              <w:t>44 093</w:t>
            </w:r>
          </w:p>
        </w:tc>
      </w:tr>
      <w:tr w:rsidR="00546795" w14:paraId="26FB70F8" w14:textId="77777777" w:rsidTr="00546795">
        <w:trPr>
          <w:trHeight w:val="340"/>
        </w:trPr>
        <w:tc>
          <w:tcPr>
            <w:tcW w:w="1271" w:type="dxa"/>
            <w:vAlign w:val="center"/>
          </w:tcPr>
          <w:p w14:paraId="26762CAD" w14:textId="77777777" w:rsidR="00546795" w:rsidRPr="00546795" w:rsidRDefault="00546795" w:rsidP="009F6A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46795">
              <w:rPr>
                <w:rFonts w:asciiTheme="minorHAnsi" w:hAnsiTheme="minorHAnsi" w:cstheme="minorHAnsi"/>
                <w:sz w:val="20"/>
                <w:szCs w:val="20"/>
              </w:rPr>
              <w:t>012V09</w:t>
            </w:r>
          </w:p>
        </w:tc>
        <w:tc>
          <w:tcPr>
            <w:tcW w:w="1947" w:type="dxa"/>
            <w:vAlign w:val="center"/>
          </w:tcPr>
          <w:p w14:paraId="1E9CA804" w14:textId="77777777" w:rsidR="00546795" w:rsidRPr="00546795" w:rsidRDefault="00546795" w:rsidP="009F6A5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46795">
              <w:rPr>
                <w:rFonts w:asciiTheme="minorHAnsi" w:hAnsiTheme="minorHAnsi" w:cstheme="minorHAnsi"/>
                <w:sz w:val="20"/>
                <w:szCs w:val="20"/>
              </w:rPr>
              <w:t>401 362</w:t>
            </w:r>
          </w:p>
        </w:tc>
        <w:tc>
          <w:tcPr>
            <w:tcW w:w="1948" w:type="dxa"/>
            <w:vAlign w:val="center"/>
          </w:tcPr>
          <w:p w14:paraId="7AE659A5" w14:textId="77777777" w:rsidR="00546795" w:rsidRPr="00546795" w:rsidRDefault="00546795" w:rsidP="009F6A5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46795">
              <w:rPr>
                <w:rFonts w:asciiTheme="minorHAnsi" w:hAnsiTheme="minorHAnsi" w:cstheme="minorHAnsi"/>
                <w:sz w:val="20"/>
                <w:szCs w:val="20"/>
              </w:rPr>
              <w:t>182 329</w:t>
            </w:r>
          </w:p>
        </w:tc>
        <w:tc>
          <w:tcPr>
            <w:tcW w:w="1948" w:type="dxa"/>
            <w:vAlign w:val="center"/>
          </w:tcPr>
          <w:p w14:paraId="720A17FC" w14:textId="77777777" w:rsidR="00546795" w:rsidRPr="00546795" w:rsidRDefault="00546795" w:rsidP="009F6A5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46795">
              <w:rPr>
                <w:rFonts w:asciiTheme="minorHAnsi" w:hAnsiTheme="minorHAnsi" w:cstheme="minorHAnsi"/>
                <w:sz w:val="20"/>
                <w:szCs w:val="20"/>
              </w:rPr>
              <w:t>191 299</w:t>
            </w:r>
          </w:p>
        </w:tc>
        <w:tc>
          <w:tcPr>
            <w:tcW w:w="1948" w:type="dxa"/>
            <w:vAlign w:val="center"/>
          </w:tcPr>
          <w:p w14:paraId="084700EE" w14:textId="77777777" w:rsidR="00546795" w:rsidRPr="00546795" w:rsidRDefault="00546795" w:rsidP="009F6A5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46795">
              <w:rPr>
                <w:rFonts w:asciiTheme="minorHAnsi" w:hAnsiTheme="minorHAnsi" w:cstheme="minorHAnsi"/>
                <w:sz w:val="20"/>
                <w:szCs w:val="20"/>
              </w:rPr>
              <w:t>80 486</w:t>
            </w:r>
          </w:p>
        </w:tc>
      </w:tr>
      <w:tr w:rsidR="00546795" w14:paraId="62FBBBC9" w14:textId="77777777" w:rsidTr="00546795">
        <w:trPr>
          <w:trHeight w:val="340"/>
        </w:trPr>
        <w:tc>
          <w:tcPr>
            <w:tcW w:w="1271" w:type="dxa"/>
            <w:vAlign w:val="center"/>
          </w:tcPr>
          <w:p w14:paraId="1729B103" w14:textId="77777777" w:rsidR="00546795" w:rsidRPr="00546795" w:rsidRDefault="00546795" w:rsidP="009F6A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46795">
              <w:rPr>
                <w:rFonts w:asciiTheme="minorHAnsi" w:hAnsiTheme="minorHAnsi" w:cstheme="minorHAnsi"/>
                <w:sz w:val="20"/>
                <w:szCs w:val="20"/>
              </w:rPr>
              <w:t>012V01</w:t>
            </w:r>
          </w:p>
        </w:tc>
        <w:tc>
          <w:tcPr>
            <w:tcW w:w="1947" w:type="dxa"/>
            <w:vAlign w:val="center"/>
          </w:tcPr>
          <w:p w14:paraId="35788E8A" w14:textId="77777777" w:rsidR="00546795" w:rsidRPr="00546795" w:rsidRDefault="00546795" w:rsidP="009F6A5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46795">
              <w:rPr>
                <w:rFonts w:asciiTheme="minorHAnsi" w:hAnsiTheme="minorHAnsi" w:cstheme="minorHAnsi"/>
                <w:sz w:val="20"/>
                <w:szCs w:val="20"/>
              </w:rPr>
              <w:t>664 107</w:t>
            </w:r>
          </w:p>
        </w:tc>
        <w:tc>
          <w:tcPr>
            <w:tcW w:w="1948" w:type="dxa"/>
            <w:vAlign w:val="center"/>
          </w:tcPr>
          <w:p w14:paraId="6D0124CA" w14:textId="77777777" w:rsidR="00546795" w:rsidRPr="00546795" w:rsidRDefault="00546795" w:rsidP="009F6A5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46795">
              <w:rPr>
                <w:rFonts w:asciiTheme="minorHAnsi" w:hAnsiTheme="minorHAnsi" w:cstheme="minorHAnsi"/>
                <w:sz w:val="20"/>
                <w:szCs w:val="20"/>
              </w:rPr>
              <w:t>90 471</w:t>
            </w:r>
          </w:p>
        </w:tc>
        <w:tc>
          <w:tcPr>
            <w:tcW w:w="1948" w:type="dxa"/>
            <w:vAlign w:val="center"/>
          </w:tcPr>
          <w:p w14:paraId="5FED3F5C" w14:textId="77777777" w:rsidR="00546795" w:rsidRPr="00546795" w:rsidRDefault="00546795" w:rsidP="009F6A5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46795">
              <w:rPr>
                <w:rFonts w:asciiTheme="minorHAnsi" w:hAnsiTheme="minorHAnsi" w:cstheme="minorHAnsi"/>
                <w:sz w:val="20"/>
                <w:szCs w:val="20"/>
              </w:rPr>
              <w:t>750 371</w:t>
            </w:r>
          </w:p>
        </w:tc>
        <w:tc>
          <w:tcPr>
            <w:tcW w:w="1948" w:type="dxa"/>
            <w:vAlign w:val="center"/>
          </w:tcPr>
          <w:p w14:paraId="2BA48E81" w14:textId="77777777" w:rsidR="00546795" w:rsidRPr="00546795" w:rsidRDefault="00546795" w:rsidP="009F6A5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46795">
              <w:rPr>
                <w:rFonts w:asciiTheme="minorHAnsi" w:hAnsiTheme="minorHAnsi" w:cstheme="minorHAnsi"/>
                <w:sz w:val="20"/>
                <w:szCs w:val="20"/>
              </w:rPr>
              <w:t>357 204</w:t>
            </w:r>
          </w:p>
        </w:tc>
      </w:tr>
      <w:tr w:rsidR="00546795" w14:paraId="45FC15AF" w14:textId="77777777" w:rsidTr="00546795">
        <w:trPr>
          <w:trHeight w:val="340"/>
        </w:trPr>
        <w:tc>
          <w:tcPr>
            <w:tcW w:w="1271" w:type="dxa"/>
            <w:vAlign w:val="center"/>
          </w:tcPr>
          <w:p w14:paraId="6E5FEE73" w14:textId="77777777" w:rsidR="00546795" w:rsidRPr="00546795" w:rsidRDefault="00546795" w:rsidP="009F6A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46795">
              <w:rPr>
                <w:rFonts w:asciiTheme="minorHAnsi" w:hAnsiTheme="minorHAnsi" w:cstheme="minorHAnsi"/>
                <w:sz w:val="20"/>
                <w:szCs w:val="20"/>
              </w:rPr>
              <w:t>012V02</w:t>
            </w:r>
          </w:p>
        </w:tc>
        <w:tc>
          <w:tcPr>
            <w:tcW w:w="1947" w:type="dxa"/>
            <w:vAlign w:val="center"/>
          </w:tcPr>
          <w:p w14:paraId="714BA936" w14:textId="77777777" w:rsidR="00546795" w:rsidRPr="00546795" w:rsidRDefault="00546795" w:rsidP="009F6A5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46795">
              <w:rPr>
                <w:rFonts w:asciiTheme="minorHAnsi" w:hAnsiTheme="minorHAnsi" w:cstheme="minorHAnsi"/>
                <w:sz w:val="20"/>
                <w:szCs w:val="20"/>
              </w:rPr>
              <w:t>10 000</w:t>
            </w:r>
          </w:p>
        </w:tc>
        <w:tc>
          <w:tcPr>
            <w:tcW w:w="1948" w:type="dxa"/>
            <w:vAlign w:val="center"/>
          </w:tcPr>
          <w:p w14:paraId="7EA76B22" w14:textId="77777777" w:rsidR="00546795" w:rsidRPr="00546795" w:rsidRDefault="00546795" w:rsidP="009F6A5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4679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948" w:type="dxa"/>
            <w:vAlign w:val="center"/>
          </w:tcPr>
          <w:p w14:paraId="77C5F48E" w14:textId="77777777" w:rsidR="00546795" w:rsidRPr="00546795" w:rsidRDefault="00546795" w:rsidP="009F6A5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46795">
              <w:rPr>
                <w:rFonts w:asciiTheme="minorHAnsi" w:hAnsiTheme="minorHAnsi" w:cstheme="minorHAnsi"/>
                <w:sz w:val="20"/>
                <w:szCs w:val="20"/>
              </w:rPr>
              <w:t>148 160</w:t>
            </w:r>
          </w:p>
        </w:tc>
        <w:tc>
          <w:tcPr>
            <w:tcW w:w="1948" w:type="dxa"/>
            <w:vAlign w:val="center"/>
          </w:tcPr>
          <w:p w14:paraId="0043D983" w14:textId="77777777" w:rsidR="00546795" w:rsidRPr="00546795" w:rsidRDefault="00546795" w:rsidP="009F6A5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46795">
              <w:rPr>
                <w:rFonts w:asciiTheme="minorHAnsi" w:hAnsiTheme="minorHAnsi" w:cstheme="minorHAnsi"/>
                <w:sz w:val="20"/>
                <w:szCs w:val="20"/>
              </w:rPr>
              <w:t>726</w:t>
            </w:r>
          </w:p>
        </w:tc>
      </w:tr>
      <w:tr w:rsidR="00546795" w14:paraId="0210DD22" w14:textId="77777777" w:rsidTr="00546795">
        <w:trPr>
          <w:trHeight w:val="567"/>
        </w:trPr>
        <w:tc>
          <w:tcPr>
            <w:tcW w:w="1271" w:type="dxa"/>
            <w:vAlign w:val="center"/>
          </w:tcPr>
          <w:p w14:paraId="72D8C306" w14:textId="77777777" w:rsidR="00546795" w:rsidRPr="00546795" w:rsidRDefault="00546795" w:rsidP="009F6A5C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6795">
              <w:rPr>
                <w:rFonts w:asciiTheme="minorHAnsi" w:hAnsiTheme="minorHAnsi" w:cstheme="minorHAnsi"/>
                <w:b/>
                <w:sz w:val="20"/>
                <w:szCs w:val="20"/>
              </w:rPr>
              <w:t>Celkem</w:t>
            </w:r>
          </w:p>
        </w:tc>
        <w:tc>
          <w:tcPr>
            <w:tcW w:w="1947" w:type="dxa"/>
            <w:vAlign w:val="center"/>
          </w:tcPr>
          <w:p w14:paraId="00BEAD5A" w14:textId="77777777" w:rsidR="00546795" w:rsidRPr="00546795" w:rsidRDefault="00546795" w:rsidP="009F6A5C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6795">
              <w:rPr>
                <w:rFonts w:asciiTheme="minorHAnsi" w:hAnsiTheme="minorHAnsi" w:cstheme="minorHAnsi"/>
                <w:b/>
                <w:sz w:val="20"/>
                <w:szCs w:val="20"/>
              </w:rPr>
              <w:t>1 199 876</w:t>
            </w:r>
          </w:p>
        </w:tc>
        <w:tc>
          <w:tcPr>
            <w:tcW w:w="1948" w:type="dxa"/>
            <w:vAlign w:val="center"/>
          </w:tcPr>
          <w:p w14:paraId="2E0D0607" w14:textId="77777777" w:rsidR="00546795" w:rsidRPr="00546795" w:rsidRDefault="00546795" w:rsidP="009F6A5C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6795">
              <w:rPr>
                <w:rFonts w:asciiTheme="minorHAnsi" w:hAnsiTheme="minorHAnsi" w:cstheme="minorHAnsi"/>
                <w:b/>
                <w:sz w:val="20"/>
                <w:szCs w:val="20"/>
              </w:rPr>
              <w:t>329 386</w:t>
            </w:r>
          </w:p>
        </w:tc>
        <w:tc>
          <w:tcPr>
            <w:tcW w:w="1948" w:type="dxa"/>
            <w:vAlign w:val="center"/>
          </w:tcPr>
          <w:p w14:paraId="44ACF417" w14:textId="77777777" w:rsidR="00546795" w:rsidRPr="00546795" w:rsidRDefault="00546795" w:rsidP="009F6A5C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6795">
              <w:rPr>
                <w:rFonts w:asciiTheme="minorHAnsi" w:hAnsiTheme="minorHAnsi" w:cstheme="minorHAnsi"/>
                <w:b/>
                <w:sz w:val="20"/>
                <w:szCs w:val="20"/>
              </w:rPr>
              <w:t>1 134 934</w:t>
            </w:r>
          </w:p>
        </w:tc>
        <w:tc>
          <w:tcPr>
            <w:tcW w:w="1948" w:type="dxa"/>
            <w:vAlign w:val="center"/>
          </w:tcPr>
          <w:p w14:paraId="3A1CE884" w14:textId="77777777" w:rsidR="00546795" w:rsidRPr="00546795" w:rsidRDefault="00546795" w:rsidP="009F6A5C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6795">
              <w:rPr>
                <w:rFonts w:asciiTheme="minorHAnsi" w:hAnsiTheme="minorHAnsi" w:cstheme="minorHAnsi"/>
                <w:b/>
                <w:sz w:val="20"/>
                <w:szCs w:val="20"/>
              </w:rPr>
              <w:t>482 509</w:t>
            </w:r>
          </w:p>
        </w:tc>
      </w:tr>
    </w:tbl>
    <w:p w14:paraId="1740F4ED" w14:textId="54A8865D" w:rsidR="005E2A51" w:rsidRDefault="00546795" w:rsidP="00783C57">
      <w:pPr>
        <w:widowControl w:val="0"/>
        <w:autoSpaceDE w:val="0"/>
        <w:autoSpaceDN w:val="0"/>
        <w:adjustRightInd w:val="0"/>
        <w:rPr>
          <w:rFonts w:cstheme="minorHAnsi"/>
          <w:sz w:val="20"/>
        </w:rPr>
      </w:pPr>
      <w:r w:rsidRPr="003C07E1">
        <w:rPr>
          <w:rFonts w:cstheme="minorHAnsi"/>
          <w:b/>
          <w:sz w:val="20"/>
        </w:rPr>
        <w:t>Zdroj:</w:t>
      </w:r>
      <w:r>
        <w:rPr>
          <w:rFonts w:cstheme="minorHAnsi"/>
          <w:b/>
          <w:sz w:val="20"/>
        </w:rPr>
        <w:t xml:space="preserve"> </w:t>
      </w:r>
      <w:r>
        <w:rPr>
          <w:rFonts w:cstheme="minorHAnsi"/>
          <w:sz w:val="20"/>
        </w:rPr>
        <w:t>informační portál MONITOR.</w:t>
      </w:r>
    </w:p>
    <w:p w14:paraId="5571C952" w14:textId="77777777" w:rsidR="00546795" w:rsidRDefault="00546795" w:rsidP="00783C57">
      <w:pPr>
        <w:widowControl w:val="0"/>
        <w:autoSpaceDE w:val="0"/>
        <w:autoSpaceDN w:val="0"/>
        <w:adjustRightInd w:val="0"/>
        <w:rPr>
          <w:rFonts w:cstheme="minorHAnsi"/>
          <w:szCs w:val="22"/>
        </w:rPr>
      </w:pPr>
    </w:p>
    <w:p w14:paraId="2BF683D5" w14:textId="58D5C8C6" w:rsidR="00783C57" w:rsidRDefault="00783C57" w:rsidP="00783C57">
      <w:pPr>
        <w:widowControl w:val="0"/>
        <w:autoSpaceDE w:val="0"/>
        <w:autoSpaceDN w:val="0"/>
        <w:adjustRightInd w:val="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Povinnosti, práva a postupy jednotlivých účastníků programového financování upravuje </w:t>
      </w:r>
      <w:r w:rsidRPr="00CA7B84">
        <w:rPr>
          <w:rFonts w:cstheme="minorHAnsi"/>
          <w:szCs w:val="22"/>
        </w:rPr>
        <w:t xml:space="preserve">zákon </w:t>
      </w:r>
      <w:r w:rsidR="00666498">
        <w:rPr>
          <w:rFonts w:cstheme="minorHAnsi"/>
          <w:szCs w:val="22"/>
        </w:rPr>
        <w:br/>
      </w:r>
      <w:r w:rsidRPr="00CA7B84">
        <w:rPr>
          <w:rFonts w:cstheme="minorHAnsi"/>
          <w:szCs w:val="22"/>
        </w:rPr>
        <w:t>č.</w:t>
      </w:r>
      <w:r w:rsidR="00666498">
        <w:rPr>
          <w:rFonts w:cstheme="minorHAnsi"/>
          <w:szCs w:val="22"/>
        </w:rPr>
        <w:t xml:space="preserve"> </w:t>
      </w:r>
      <w:r w:rsidRPr="00CA7B84">
        <w:rPr>
          <w:rFonts w:cstheme="minorHAnsi"/>
          <w:szCs w:val="22"/>
        </w:rPr>
        <w:t>218/2000 Sb.</w:t>
      </w:r>
      <w:r>
        <w:rPr>
          <w:rFonts w:cstheme="minorHAnsi"/>
          <w:szCs w:val="22"/>
        </w:rPr>
        <w:t>, o rozpočtových pravidlech a o změně některých souvisejících zákonů (rozpočtová pravidla)</w:t>
      </w:r>
      <w:r w:rsidRPr="00CA7B84">
        <w:rPr>
          <w:rFonts w:cstheme="minorHAnsi"/>
          <w:szCs w:val="22"/>
        </w:rPr>
        <w:t>, vyhlášk</w:t>
      </w:r>
      <w:r w:rsidR="00F313B4">
        <w:rPr>
          <w:rFonts w:cstheme="minorHAnsi"/>
          <w:szCs w:val="22"/>
        </w:rPr>
        <w:t>a</w:t>
      </w:r>
      <w:r w:rsidRPr="00CA7B84">
        <w:rPr>
          <w:rFonts w:cstheme="minorHAnsi"/>
          <w:szCs w:val="22"/>
        </w:rPr>
        <w:t xml:space="preserve"> č. 560/2006 Sb., o účasti státního rozpočtu na financování programů reprodukce majetku</w:t>
      </w:r>
      <w:r>
        <w:rPr>
          <w:rFonts w:cstheme="minorHAnsi"/>
          <w:szCs w:val="22"/>
        </w:rPr>
        <w:t>,</w:t>
      </w:r>
      <w:r w:rsidR="00565F3E">
        <w:rPr>
          <w:rFonts w:cstheme="minorHAnsi"/>
          <w:szCs w:val="22"/>
        </w:rPr>
        <w:t xml:space="preserve"> a</w:t>
      </w:r>
      <w:r>
        <w:rPr>
          <w:rFonts w:cstheme="minorHAnsi"/>
          <w:szCs w:val="22"/>
        </w:rPr>
        <w:t xml:space="preserve"> pokyn MF</w:t>
      </w:r>
      <w:r w:rsidRPr="00CA7B84">
        <w:rPr>
          <w:rFonts w:cstheme="minorHAnsi"/>
          <w:szCs w:val="22"/>
        </w:rPr>
        <w:t xml:space="preserve"> č. R 1-2010 k upřesnění postupu MF, správců programů a</w:t>
      </w:r>
      <w:r>
        <w:rPr>
          <w:rFonts w:cstheme="minorHAnsi"/>
          <w:szCs w:val="22"/>
        </w:rPr>
        <w:t xml:space="preserve"> </w:t>
      </w:r>
      <w:r w:rsidRPr="00CA7B84">
        <w:rPr>
          <w:rFonts w:cstheme="minorHAnsi"/>
          <w:szCs w:val="22"/>
        </w:rPr>
        <w:t>účastníků programu při přípravě, realizaci, financování a</w:t>
      </w:r>
      <w:r w:rsidR="00565F3E">
        <w:rPr>
          <w:rFonts w:cstheme="minorHAnsi"/>
          <w:szCs w:val="22"/>
        </w:rPr>
        <w:t xml:space="preserve"> </w:t>
      </w:r>
      <w:r w:rsidRPr="00CA7B84">
        <w:rPr>
          <w:rFonts w:cstheme="minorHAnsi"/>
          <w:szCs w:val="22"/>
        </w:rPr>
        <w:t>vyhodnocování programu nebo akce a</w:t>
      </w:r>
      <w:r>
        <w:rPr>
          <w:rFonts w:cstheme="minorHAnsi"/>
          <w:szCs w:val="22"/>
        </w:rPr>
        <w:t xml:space="preserve"> </w:t>
      </w:r>
      <w:r w:rsidRPr="00CA7B84">
        <w:rPr>
          <w:rFonts w:cstheme="minorHAnsi"/>
          <w:szCs w:val="22"/>
        </w:rPr>
        <w:t xml:space="preserve">k provozování informačního systému programového financování. </w:t>
      </w:r>
    </w:p>
    <w:p w14:paraId="2B2C4C1C" w14:textId="1987A43B" w:rsidR="00783C57" w:rsidRDefault="00783C57" w:rsidP="00783C57">
      <w:pPr>
        <w:widowControl w:val="0"/>
        <w:autoSpaceDE w:val="0"/>
        <w:autoSpaceDN w:val="0"/>
        <w:adjustRightInd w:val="0"/>
        <w:rPr>
          <w:rFonts w:cstheme="minorHAnsi"/>
          <w:strike/>
          <w:szCs w:val="22"/>
        </w:rPr>
      </w:pPr>
    </w:p>
    <w:p w14:paraId="41C15C2A" w14:textId="4DB826FB" w:rsidR="00815297" w:rsidRPr="00815297" w:rsidRDefault="00815297" w:rsidP="00815297">
      <w:pPr>
        <w:widowControl w:val="0"/>
        <w:autoSpaceDE w:val="0"/>
        <w:autoSpaceDN w:val="0"/>
        <w:adjustRightInd w:val="0"/>
        <w:rPr>
          <w:rFonts w:cstheme="minorHAnsi"/>
        </w:rPr>
      </w:pPr>
      <w:r>
        <w:t xml:space="preserve">Právní předpisy upravující oblast programového financování umožňují, aby MF vystupovalo současně ve třech na sobě závislých pozicích. </w:t>
      </w:r>
      <w:r w:rsidRPr="00B82480">
        <w:t xml:space="preserve">MF v pozici správce i účastníka programu </w:t>
      </w:r>
      <w:r w:rsidR="00565F3E">
        <w:br/>
      </w:r>
      <w:r w:rsidRPr="00B82480">
        <w:t>a</w:t>
      </w:r>
      <w:r w:rsidR="00565F3E">
        <w:t xml:space="preserve"> </w:t>
      </w:r>
      <w:r w:rsidRPr="00B82480">
        <w:t xml:space="preserve">posuzovatele dokumentace programu samo sobě předkládá a zároveň schvaluje dokumentaci programu, její změny, objem finančních prostředků státního rozpočtu na financování programu a jeho závěrečné vyhodnocení. MF si schvaluje registrace svých </w:t>
      </w:r>
      <w:r>
        <w:t>investičních</w:t>
      </w:r>
      <w:r w:rsidRPr="00B82480">
        <w:t xml:space="preserve"> akcí, výdaje na </w:t>
      </w:r>
      <w:r>
        <w:t xml:space="preserve">jejich </w:t>
      </w:r>
      <w:r w:rsidRPr="00B82480">
        <w:t xml:space="preserve">financování </w:t>
      </w:r>
      <w:r>
        <w:t xml:space="preserve">i jejich </w:t>
      </w:r>
      <w:r w:rsidRPr="00B82480">
        <w:t xml:space="preserve">závěrečné vyhodnocení. </w:t>
      </w:r>
    </w:p>
    <w:p w14:paraId="03B43DC9" w14:textId="55B3F1B1" w:rsidR="00815297" w:rsidRDefault="00815297" w:rsidP="00783C57">
      <w:pPr>
        <w:widowControl w:val="0"/>
        <w:autoSpaceDE w:val="0"/>
        <w:autoSpaceDN w:val="0"/>
        <w:adjustRightInd w:val="0"/>
        <w:rPr>
          <w:rFonts w:cstheme="minorHAnsi"/>
          <w:strike/>
          <w:szCs w:val="22"/>
        </w:rPr>
      </w:pPr>
    </w:p>
    <w:p w14:paraId="6C0997B5" w14:textId="7897063B" w:rsidR="008B4C99" w:rsidRPr="008B4C99" w:rsidRDefault="00C76154" w:rsidP="00C250A4">
      <w:pPr>
        <w:keepNext/>
        <w:autoSpaceDE w:val="0"/>
        <w:autoSpaceDN w:val="0"/>
        <w:adjustRightInd w:val="0"/>
        <w:rPr>
          <w:rFonts w:cstheme="minorHAnsi"/>
          <w:b/>
        </w:rPr>
      </w:pPr>
      <w:r>
        <w:rPr>
          <w:rFonts w:cstheme="minorHAnsi"/>
          <w:b/>
        </w:rPr>
        <w:lastRenderedPageBreak/>
        <w:t>Pronájem nemovitého majetku</w:t>
      </w:r>
    </w:p>
    <w:p w14:paraId="72C4534E" w14:textId="1DC0D251" w:rsidR="00DC156C" w:rsidRDefault="00DC156C" w:rsidP="00DC156C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Dle </w:t>
      </w:r>
      <w:r w:rsidR="00156F1B">
        <w:rPr>
          <w:rFonts w:cstheme="minorHAnsi"/>
        </w:rPr>
        <w:t xml:space="preserve">ustanovení </w:t>
      </w:r>
      <w:r>
        <w:rPr>
          <w:rFonts w:cstheme="minorHAnsi"/>
        </w:rPr>
        <w:t>§ 27 zákona č. 219/2000 Sb.</w:t>
      </w:r>
      <w:r>
        <w:rPr>
          <w:rStyle w:val="Znakapoznpodarou"/>
        </w:rPr>
        <w:footnoteReference w:id="7"/>
      </w:r>
      <w:r>
        <w:rPr>
          <w:rFonts w:cstheme="minorHAnsi"/>
        </w:rPr>
        <w:t xml:space="preserve"> lze h</w:t>
      </w:r>
      <w:r w:rsidRPr="00DC156C">
        <w:rPr>
          <w:rFonts w:cstheme="minorHAnsi"/>
        </w:rPr>
        <w:t>motnou věc nebo její část, kterou organizační složka dočasně nepotřebuje k plnění funkcí státu nebo jiných úkolů v rámci své působnosti nebo stanoveného předmětu činnosti, přenechat do užívání právnické nebo fyzické osoby. Obdobně lze postupovat v případě, že tak bude dosaženo účelnějšího nebo hospodárnějšího využití věci při zachování hlavního účelu, ke kterému organizační složce slouží, anebo je-li to účelné před konečným naložením s věcí, u které bylo v rámci příslušné organizační složky rozhodnuto o</w:t>
      </w:r>
      <w:r w:rsidR="00D373F6">
        <w:rPr>
          <w:rFonts w:cstheme="minorHAnsi"/>
        </w:rPr>
        <w:t xml:space="preserve"> </w:t>
      </w:r>
      <w:r w:rsidRPr="00DC156C">
        <w:rPr>
          <w:rFonts w:cstheme="minorHAnsi"/>
        </w:rPr>
        <w:t>trvalé nepotřebnosti.</w:t>
      </w:r>
      <w:r>
        <w:rPr>
          <w:rFonts w:cstheme="minorHAnsi"/>
        </w:rPr>
        <w:t xml:space="preserve"> Toto u</w:t>
      </w:r>
      <w:r w:rsidRPr="00DC156C">
        <w:rPr>
          <w:rFonts w:cstheme="minorHAnsi"/>
        </w:rPr>
        <w:t xml:space="preserve">žívání lze sjednat pouze na dobu určitou v trvání nejdéle 8 let pro jednoho uživatele. </w:t>
      </w:r>
    </w:p>
    <w:p w14:paraId="788C4291" w14:textId="77777777" w:rsidR="00DC156C" w:rsidRDefault="00DC156C" w:rsidP="00E16FB0">
      <w:pPr>
        <w:autoSpaceDE w:val="0"/>
        <w:autoSpaceDN w:val="0"/>
        <w:adjustRightInd w:val="0"/>
        <w:rPr>
          <w:rFonts w:cstheme="minorHAnsi"/>
        </w:rPr>
      </w:pPr>
    </w:p>
    <w:p w14:paraId="36494AA4" w14:textId="77777777" w:rsidR="008B4C99" w:rsidRPr="008B4C99" w:rsidRDefault="008B4C99" w:rsidP="008B4C99">
      <w:pPr>
        <w:autoSpaceDE w:val="0"/>
        <w:autoSpaceDN w:val="0"/>
        <w:adjustRightInd w:val="0"/>
        <w:rPr>
          <w:rFonts w:cstheme="minorHAnsi"/>
          <w:b/>
        </w:rPr>
      </w:pPr>
      <w:r w:rsidRPr="008B4C99">
        <w:rPr>
          <w:rFonts w:cstheme="minorHAnsi"/>
          <w:b/>
        </w:rPr>
        <w:t>Účtenková loterie</w:t>
      </w:r>
    </w:p>
    <w:p w14:paraId="0D910CB2" w14:textId="09513AD5" w:rsidR="008B4C99" w:rsidRDefault="008B4C99" w:rsidP="00AB5B1D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  <w:szCs w:val="22"/>
        </w:rPr>
        <w:t xml:space="preserve">Záměr pořádat účtenkovou loterii v návaznosti na zavedení </w:t>
      </w:r>
      <w:r w:rsidR="00BA1232">
        <w:rPr>
          <w:rFonts w:cstheme="minorHAnsi"/>
          <w:szCs w:val="22"/>
        </w:rPr>
        <w:t>elektronické evidence tržeb (</w:t>
      </w:r>
      <w:r>
        <w:rPr>
          <w:rFonts w:cstheme="minorHAnsi"/>
          <w:szCs w:val="22"/>
        </w:rPr>
        <w:t>online hlášení tržeb</w:t>
      </w:r>
      <w:r w:rsidR="00BA1232">
        <w:rPr>
          <w:rFonts w:cstheme="minorHAnsi"/>
          <w:szCs w:val="22"/>
        </w:rPr>
        <w:t>)</w:t>
      </w:r>
      <w:r>
        <w:rPr>
          <w:rFonts w:cstheme="minorHAnsi"/>
          <w:szCs w:val="22"/>
        </w:rPr>
        <w:t xml:space="preserve"> byl součástí </w:t>
      </w:r>
      <w:r w:rsidR="00546795">
        <w:rPr>
          <w:rFonts w:cstheme="minorHAnsi"/>
          <w:szCs w:val="22"/>
        </w:rPr>
        <w:t>p</w:t>
      </w:r>
      <w:r>
        <w:rPr>
          <w:rFonts w:cstheme="minorHAnsi"/>
          <w:szCs w:val="22"/>
        </w:rPr>
        <w:t>rogramového prohlášení vlády</w:t>
      </w:r>
      <w:r w:rsidR="004D2AA9">
        <w:rPr>
          <w:rFonts w:cstheme="minorHAnsi"/>
          <w:szCs w:val="22"/>
        </w:rPr>
        <w:t>, které bylo schváleno</w:t>
      </w:r>
      <w:r>
        <w:rPr>
          <w:rFonts w:cstheme="minorHAnsi"/>
          <w:szCs w:val="22"/>
        </w:rPr>
        <w:t xml:space="preserve"> usnesením </w:t>
      </w:r>
      <w:r w:rsidR="004D2AA9">
        <w:rPr>
          <w:rFonts w:cstheme="minorHAnsi"/>
          <w:szCs w:val="22"/>
        </w:rPr>
        <w:t xml:space="preserve">vlády </w:t>
      </w:r>
      <w:r w:rsidR="00AB5B1D">
        <w:rPr>
          <w:rFonts w:cstheme="minorHAnsi"/>
          <w:szCs w:val="22"/>
        </w:rPr>
        <w:t xml:space="preserve">ČR </w:t>
      </w:r>
      <w:r>
        <w:rPr>
          <w:rFonts w:cstheme="minorHAnsi"/>
          <w:szCs w:val="22"/>
        </w:rPr>
        <w:t>ze dne 12. února 2014 č. 96. Následně byl v roce 2016 přijat zákon č.</w:t>
      </w:r>
      <w:r w:rsidR="00F313B4">
        <w:rPr>
          <w:rFonts w:cstheme="minorHAnsi"/>
          <w:szCs w:val="22"/>
        </w:rPr>
        <w:t> </w:t>
      </w:r>
      <w:r>
        <w:rPr>
          <w:rFonts w:cstheme="minorHAnsi"/>
          <w:szCs w:val="22"/>
        </w:rPr>
        <w:t>112/2016 Sb., o evidenci tržeb, který v</w:t>
      </w:r>
      <w:r w:rsidR="00156F1B">
        <w:rPr>
          <w:rFonts w:cstheme="minorHAnsi"/>
          <w:szCs w:val="22"/>
        </w:rPr>
        <w:t xml:space="preserve"> ustanovení </w:t>
      </w:r>
      <w:r>
        <w:rPr>
          <w:rFonts w:cstheme="minorHAnsi"/>
          <w:szCs w:val="22"/>
        </w:rPr>
        <w:t xml:space="preserve">§ 35 zmocňuje MF k pořádání účtenkové loterie. </w:t>
      </w:r>
    </w:p>
    <w:p w14:paraId="47E0B13C" w14:textId="11FC2205" w:rsidR="00241F13" w:rsidRDefault="00241F13" w:rsidP="00AB5B1D">
      <w:pPr>
        <w:autoSpaceDE w:val="0"/>
        <w:autoSpaceDN w:val="0"/>
        <w:adjustRightInd w:val="0"/>
        <w:rPr>
          <w:rFonts w:cstheme="minorHAnsi"/>
          <w:szCs w:val="22"/>
        </w:rPr>
      </w:pPr>
    </w:p>
    <w:p w14:paraId="7B394EBF" w14:textId="393EF291" w:rsidR="001205D2" w:rsidRDefault="001205D2" w:rsidP="00AB5B1D">
      <w:pPr>
        <w:pStyle w:val="Nadpis1"/>
        <w:spacing w:before="0" w:after="0"/>
        <w:rPr>
          <w:lang w:eastAsia="en-US"/>
        </w:rPr>
      </w:pPr>
      <w:r w:rsidRPr="00594359">
        <w:rPr>
          <w:lang w:eastAsia="en-US"/>
        </w:rPr>
        <w:t>III. Rozsah kontroly</w:t>
      </w:r>
    </w:p>
    <w:p w14:paraId="3EEC7167" w14:textId="77777777" w:rsidR="00AB5B1D" w:rsidRPr="00AB5B1D" w:rsidRDefault="00AB5B1D" w:rsidP="00AB5B1D">
      <w:pPr>
        <w:rPr>
          <w:lang w:eastAsia="en-US"/>
        </w:rPr>
      </w:pPr>
    </w:p>
    <w:p w14:paraId="666DBF3D" w14:textId="7E123030" w:rsidR="001205D2" w:rsidRPr="003C6C75" w:rsidRDefault="001205D2" w:rsidP="00C678B0">
      <w:pPr>
        <w:keepNext/>
        <w:keepLines/>
        <w:rPr>
          <w:lang w:eastAsia="en-US"/>
        </w:rPr>
      </w:pPr>
      <w:r w:rsidRPr="003C6C75">
        <w:rPr>
          <w:lang w:eastAsia="en-US"/>
        </w:rPr>
        <w:t>Kontrolní akcí č. 2</w:t>
      </w:r>
      <w:r w:rsidR="00697D5F" w:rsidRPr="003C6C75">
        <w:rPr>
          <w:lang w:eastAsia="en-US"/>
        </w:rPr>
        <w:t>1</w:t>
      </w:r>
      <w:r w:rsidRPr="003C6C75">
        <w:rPr>
          <w:lang w:eastAsia="en-US"/>
        </w:rPr>
        <w:t>/</w:t>
      </w:r>
      <w:r w:rsidR="00697D5F" w:rsidRPr="003C6C75">
        <w:rPr>
          <w:lang w:eastAsia="en-US"/>
        </w:rPr>
        <w:t>12</w:t>
      </w:r>
      <w:r w:rsidRPr="003C6C75">
        <w:rPr>
          <w:lang w:eastAsia="en-US"/>
        </w:rPr>
        <w:t xml:space="preserve"> bylo prověřeno, zda </w:t>
      </w:r>
      <w:r w:rsidR="00697D5F" w:rsidRPr="003C6C75">
        <w:rPr>
          <w:lang w:eastAsia="en-US"/>
        </w:rPr>
        <w:t>Ministerstvo financí</w:t>
      </w:r>
      <w:r w:rsidRPr="003C6C75">
        <w:rPr>
          <w:lang w:eastAsia="en-US"/>
        </w:rPr>
        <w:t xml:space="preserve"> hospodaří s </w:t>
      </w:r>
      <w:r w:rsidR="00697D5F" w:rsidRPr="003C6C75">
        <w:rPr>
          <w:rFonts w:cstheme="minorHAnsi"/>
        </w:rPr>
        <w:t xml:space="preserve">majetkem </w:t>
      </w:r>
      <w:r w:rsidR="00606E1D">
        <w:rPr>
          <w:rFonts w:cstheme="minorHAnsi"/>
        </w:rPr>
        <w:br/>
      </w:r>
      <w:r w:rsidR="00697D5F" w:rsidRPr="003C6C75">
        <w:rPr>
          <w:rFonts w:cstheme="minorHAnsi"/>
        </w:rPr>
        <w:t>a</w:t>
      </w:r>
      <w:r w:rsidR="00606E1D">
        <w:rPr>
          <w:rFonts w:cstheme="minorHAnsi"/>
        </w:rPr>
        <w:t xml:space="preserve"> </w:t>
      </w:r>
      <w:r w:rsidR="00697D5F" w:rsidRPr="003C6C75">
        <w:rPr>
          <w:rFonts w:cstheme="minorHAnsi"/>
        </w:rPr>
        <w:t>peněžními prostředky státu</w:t>
      </w:r>
      <w:r w:rsidR="00697D5F" w:rsidRPr="003C6C75">
        <w:rPr>
          <w:lang w:eastAsia="en-US"/>
        </w:rPr>
        <w:t xml:space="preserve"> hospodárně a </w:t>
      </w:r>
      <w:r w:rsidRPr="003C6C75">
        <w:rPr>
          <w:lang w:eastAsia="en-US"/>
        </w:rPr>
        <w:t>v</w:t>
      </w:r>
      <w:r w:rsidR="001350C1" w:rsidRPr="003C6C75">
        <w:rPr>
          <w:lang w:eastAsia="en-US"/>
        </w:rPr>
        <w:t xml:space="preserve"> </w:t>
      </w:r>
      <w:r w:rsidRPr="003C6C75">
        <w:rPr>
          <w:lang w:eastAsia="en-US"/>
        </w:rPr>
        <w:t>souladu s</w:t>
      </w:r>
      <w:r w:rsidR="001350C1" w:rsidRPr="003C6C75">
        <w:rPr>
          <w:lang w:eastAsia="en-US"/>
        </w:rPr>
        <w:t xml:space="preserve"> </w:t>
      </w:r>
      <w:r w:rsidRPr="003C6C75">
        <w:rPr>
          <w:lang w:eastAsia="en-US"/>
        </w:rPr>
        <w:t>právními předpisy</w:t>
      </w:r>
      <w:r w:rsidR="00697D5F" w:rsidRPr="003C6C75">
        <w:rPr>
          <w:lang w:eastAsia="en-US"/>
        </w:rPr>
        <w:t xml:space="preserve">. </w:t>
      </w:r>
      <w:r w:rsidRPr="003C6C75">
        <w:rPr>
          <w:lang w:eastAsia="en-US"/>
        </w:rPr>
        <w:t>Kontrola byla zaměřena zejména na:</w:t>
      </w:r>
    </w:p>
    <w:p w14:paraId="4EFB28F8" w14:textId="6FD97C7C" w:rsidR="001205D2" w:rsidRPr="00594359" w:rsidRDefault="001205D2" w:rsidP="00594359">
      <w:pPr>
        <w:pStyle w:val="Odstavecseseznamem"/>
        <w:numPr>
          <w:ilvl w:val="0"/>
          <w:numId w:val="4"/>
        </w:numPr>
        <w:spacing w:after="0"/>
        <w:ind w:left="284" w:hanging="284"/>
        <w:contextualSpacing/>
        <w:rPr>
          <w:rFonts w:cstheme="minorHAnsi"/>
        </w:rPr>
      </w:pPr>
      <w:r w:rsidRPr="003C6C75">
        <w:rPr>
          <w:rFonts w:cstheme="minorHAnsi"/>
        </w:rPr>
        <w:t xml:space="preserve">zpracování dokumentace </w:t>
      </w:r>
      <w:r w:rsidR="00603EDE" w:rsidRPr="003C6C75">
        <w:rPr>
          <w:rFonts w:cstheme="minorHAnsi"/>
        </w:rPr>
        <w:t>investičních akcí,</w:t>
      </w:r>
      <w:r w:rsidRPr="003C6C75">
        <w:rPr>
          <w:rFonts w:cstheme="minorHAnsi"/>
        </w:rPr>
        <w:t xml:space="preserve"> </w:t>
      </w:r>
      <w:r w:rsidR="00024549">
        <w:rPr>
          <w:rFonts w:cstheme="minorHAnsi"/>
        </w:rPr>
        <w:t>obsah investiční</w:t>
      </w:r>
      <w:r w:rsidR="00546795">
        <w:rPr>
          <w:rFonts w:cstheme="minorHAnsi"/>
        </w:rPr>
        <w:t>c</w:t>
      </w:r>
      <w:r w:rsidR="00024549">
        <w:rPr>
          <w:rFonts w:cstheme="minorHAnsi"/>
        </w:rPr>
        <w:t>h záměr</w:t>
      </w:r>
      <w:r w:rsidR="00546795">
        <w:rPr>
          <w:rFonts w:cstheme="minorHAnsi"/>
        </w:rPr>
        <w:t>ů</w:t>
      </w:r>
      <w:r w:rsidR="00024549">
        <w:rPr>
          <w:rFonts w:cstheme="minorHAnsi"/>
        </w:rPr>
        <w:t xml:space="preserve">, dodržení stanovených indikátorů a parametrů investičních akcí, </w:t>
      </w:r>
      <w:r w:rsidR="00594359">
        <w:rPr>
          <w:rFonts w:cstheme="minorHAnsi"/>
        </w:rPr>
        <w:t>obsah uzavřených smluv, provedení předběžn</w:t>
      </w:r>
      <w:r w:rsidR="00546795">
        <w:rPr>
          <w:rFonts w:cstheme="minorHAnsi"/>
        </w:rPr>
        <w:t>é</w:t>
      </w:r>
      <w:r w:rsidR="00594359">
        <w:rPr>
          <w:rFonts w:cstheme="minorHAnsi"/>
        </w:rPr>
        <w:t xml:space="preserve"> říd</w:t>
      </w:r>
      <w:r w:rsidR="00546795">
        <w:rPr>
          <w:rFonts w:cstheme="minorHAnsi"/>
        </w:rPr>
        <w:t>i</w:t>
      </w:r>
      <w:r w:rsidR="00594359">
        <w:rPr>
          <w:rFonts w:cstheme="minorHAnsi"/>
        </w:rPr>
        <w:t xml:space="preserve">cí kontroly, </w:t>
      </w:r>
      <w:r w:rsidR="0016394D">
        <w:rPr>
          <w:rFonts w:cstheme="minorHAnsi"/>
        </w:rPr>
        <w:t>postupy</w:t>
      </w:r>
      <w:r w:rsidR="00C83C5D" w:rsidRPr="003C6C75">
        <w:rPr>
          <w:rFonts w:cstheme="minorHAnsi"/>
        </w:rPr>
        <w:t xml:space="preserve"> </w:t>
      </w:r>
      <w:r w:rsidRPr="003C6C75">
        <w:rPr>
          <w:rFonts w:cstheme="minorHAnsi"/>
        </w:rPr>
        <w:t>při</w:t>
      </w:r>
      <w:r w:rsidR="001350C1" w:rsidRPr="003C6C75">
        <w:rPr>
          <w:rFonts w:cstheme="minorHAnsi"/>
        </w:rPr>
        <w:t xml:space="preserve"> </w:t>
      </w:r>
      <w:r w:rsidRPr="003C6C75">
        <w:rPr>
          <w:rFonts w:cstheme="minorHAnsi"/>
        </w:rPr>
        <w:t>realizaci a</w:t>
      </w:r>
      <w:r w:rsidR="001350C1" w:rsidRPr="003C6C75">
        <w:rPr>
          <w:rFonts w:cstheme="minorHAnsi"/>
        </w:rPr>
        <w:t xml:space="preserve"> </w:t>
      </w:r>
      <w:r w:rsidRPr="003C6C75">
        <w:rPr>
          <w:rFonts w:cstheme="minorHAnsi"/>
        </w:rPr>
        <w:t xml:space="preserve">zpracování </w:t>
      </w:r>
      <w:r w:rsidR="00594359">
        <w:rPr>
          <w:rFonts w:cstheme="minorHAnsi"/>
        </w:rPr>
        <w:t>dokumentace</w:t>
      </w:r>
      <w:r w:rsidR="00D373F6">
        <w:rPr>
          <w:rFonts w:cstheme="minorHAnsi"/>
        </w:rPr>
        <w:t xml:space="preserve"> </w:t>
      </w:r>
      <w:r w:rsidR="00D625D3" w:rsidRPr="003C6C75">
        <w:rPr>
          <w:rFonts w:cstheme="minorHAnsi"/>
        </w:rPr>
        <w:t>závěrečné</w:t>
      </w:r>
      <w:r w:rsidR="00594359">
        <w:rPr>
          <w:rFonts w:cstheme="minorHAnsi"/>
        </w:rPr>
        <w:t>ho</w:t>
      </w:r>
      <w:r w:rsidR="00D625D3" w:rsidRPr="003C6C75">
        <w:rPr>
          <w:rFonts w:cstheme="minorHAnsi"/>
        </w:rPr>
        <w:t xml:space="preserve"> vyhodnocení akce</w:t>
      </w:r>
      <w:r w:rsidR="0016394D">
        <w:rPr>
          <w:rFonts w:cstheme="minorHAnsi"/>
        </w:rPr>
        <w:t xml:space="preserve">, </w:t>
      </w:r>
      <w:r w:rsidR="0016394D" w:rsidRPr="00594359">
        <w:rPr>
          <w:rFonts w:cstheme="minorHAnsi"/>
        </w:rPr>
        <w:t>závěrečné vyhodnocení programu,</w:t>
      </w:r>
    </w:p>
    <w:p w14:paraId="145F8797" w14:textId="0589A440" w:rsidR="001205D2" w:rsidRPr="003C6C75" w:rsidRDefault="00424C95" w:rsidP="00B9085F">
      <w:pPr>
        <w:pStyle w:val="Odstavecseseznamem"/>
        <w:numPr>
          <w:ilvl w:val="0"/>
          <w:numId w:val="4"/>
        </w:numPr>
        <w:spacing w:after="0"/>
        <w:ind w:left="284" w:hanging="284"/>
        <w:contextualSpacing/>
        <w:rPr>
          <w:rFonts w:cstheme="minorHAnsi"/>
        </w:rPr>
      </w:pPr>
      <w:r w:rsidRPr="003C6C75">
        <w:rPr>
          <w:rFonts w:cstheme="minorHAnsi"/>
        </w:rPr>
        <w:t xml:space="preserve">postupy </w:t>
      </w:r>
      <w:r w:rsidR="00B9085F" w:rsidRPr="003C6C75">
        <w:rPr>
          <w:rFonts w:cstheme="minorHAnsi"/>
        </w:rPr>
        <w:t>při pronájmu dočasně nepotřebného nemovitého majetku</w:t>
      </w:r>
      <w:r w:rsidR="00AB5B1D">
        <w:rPr>
          <w:rFonts w:cstheme="minorHAnsi"/>
        </w:rPr>
        <w:t>,</w:t>
      </w:r>
      <w:r w:rsidR="00024549">
        <w:rPr>
          <w:rFonts w:cstheme="minorHAnsi"/>
        </w:rPr>
        <w:t xml:space="preserve"> </w:t>
      </w:r>
      <w:bookmarkStart w:id="5" w:name="_Hlk104876927"/>
      <w:r w:rsidR="00BC1809">
        <w:rPr>
          <w:rFonts w:cstheme="minorHAnsi"/>
        </w:rPr>
        <w:t>uzavírání smluvních vztahů</w:t>
      </w:r>
      <w:bookmarkEnd w:id="5"/>
      <w:r w:rsidR="00BC1809">
        <w:rPr>
          <w:rFonts w:cstheme="minorHAnsi"/>
        </w:rPr>
        <w:t xml:space="preserve">, </w:t>
      </w:r>
      <w:r w:rsidR="00024549">
        <w:rPr>
          <w:rFonts w:cstheme="minorHAnsi"/>
        </w:rPr>
        <w:t xml:space="preserve">uplatňování úroků z prodlení při pozdních úhradách nájemného, </w:t>
      </w:r>
    </w:p>
    <w:p w14:paraId="2C108382" w14:textId="248EA2D8" w:rsidR="00553C96" w:rsidRDefault="00A346BC" w:rsidP="001205D2">
      <w:pPr>
        <w:pStyle w:val="Odstavecseseznamem"/>
        <w:numPr>
          <w:ilvl w:val="0"/>
          <w:numId w:val="4"/>
        </w:numPr>
        <w:spacing w:after="0"/>
        <w:ind w:left="284" w:hanging="284"/>
        <w:contextualSpacing/>
        <w:rPr>
          <w:rFonts w:cstheme="minorHAnsi"/>
        </w:rPr>
      </w:pPr>
      <w:r w:rsidRPr="003C6C75">
        <w:rPr>
          <w:rFonts w:cstheme="minorHAnsi"/>
        </w:rPr>
        <w:t>výdaje na účtenkovou loterii</w:t>
      </w:r>
      <w:r w:rsidR="003C6C75" w:rsidRPr="003C6C75">
        <w:rPr>
          <w:rFonts w:cstheme="minorHAnsi"/>
        </w:rPr>
        <w:t>, postup MF při ukončení smlouvy o komplexním zajištění provozu účtenkové loterie</w:t>
      </w:r>
      <w:r w:rsidR="00024549">
        <w:rPr>
          <w:rFonts w:cstheme="minorHAnsi"/>
        </w:rPr>
        <w:t>,</w:t>
      </w:r>
    </w:p>
    <w:p w14:paraId="0F09F8B0" w14:textId="6E9C0993" w:rsidR="00024549" w:rsidRPr="003C6C75" w:rsidRDefault="00594359" w:rsidP="001205D2">
      <w:pPr>
        <w:pStyle w:val="Odstavecseseznamem"/>
        <w:numPr>
          <w:ilvl w:val="0"/>
          <w:numId w:val="4"/>
        </w:numPr>
        <w:spacing w:after="0"/>
        <w:ind w:left="284" w:hanging="284"/>
        <w:contextualSpacing/>
        <w:rPr>
          <w:rFonts w:cstheme="minorHAnsi"/>
        </w:rPr>
      </w:pPr>
      <w:r>
        <w:rPr>
          <w:rFonts w:cstheme="minorHAnsi"/>
        </w:rPr>
        <w:t xml:space="preserve">postupy MF při realizaci </w:t>
      </w:r>
      <w:r w:rsidR="00D246CF">
        <w:rPr>
          <w:rFonts w:cstheme="minorHAnsi"/>
        </w:rPr>
        <w:t>s</w:t>
      </w:r>
      <w:r>
        <w:rPr>
          <w:rFonts w:cstheme="minorHAnsi"/>
        </w:rPr>
        <w:t xml:space="preserve">polečných nákupů </w:t>
      </w:r>
      <w:r w:rsidR="00D246CF">
        <w:rPr>
          <w:rFonts w:cstheme="minorHAnsi"/>
        </w:rPr>
        <w:t xml:space="preserve">a </w:t>
      </w:r>
      <w:r>
        <w:rPr>
          <w:rFonts w:cstheme="minorHAnsi"/>
        </w:rPr>
        <w:t xml:space="preserve">dodržení </w:t>
      </w:r>
      <w:r w:rsidR="00D246CF">
        <w:rPr>
          <w:rFonts w:cstheme="minorHAnsi"/>
        </w:rPr>
        <w:t>p</w:t>
      </w:r>
      <w:r>
        <w:rPr>
          <w:rFonts w:cstheme="minorHAnsi"/>
        </w:rPr>
        <w:t>ravidel</w:t>
      </w:r>
      <w:r w:rsidR="00D246CF">
        <w:rPr>
          <w:rFonts w:cstheme="minorHAnsi"/>
        </w:rPr>
        <w:t xml:space="preserve"> stanovených pro</w:t>
      </w:r>
      <w:r>
        <w:rPr>
          <w:rFonts w:cstheme="minorHAnsi"/>
        </w:rPr>
        <w:t xml:space="preserve"> </w:t>
      </w:r>
      <w:r w:rsidR="00D246CF">
        <w:rPr>
          <w:rFonts w:cstheme="minorHAnsi"/>
        </w:rPr>
        <w:t>s</w:t>
      </w:r>
      <w:r>
        <w:rPr>
          <w:rFonts w:cstheme="minorHAnsi"/>
        </w:rPr>
        <w:t>polečné nákup</w:t>
      </w:r>
      <w:r w:rsidR="00D246CF">
        <w:rPr>
          <w:rFonts w:cstheme="minorHAnsi"/>
        </w:rPr>
        <w:t>y.</w:t>
      </w:r>
    </w:p>
    <w:p w14:paraId="262EFB71" w14:textId="1753771D" w:rsidR="00573BEA" w:rsidRDefault="00573BEA" w:rsidP="001205D2">
      <w:pPr>
        <w:rPr>
          <w:lang w:eastAsia="en-US"/>
        </w:rPr>
      </w:pPr>
    </w:p>
    <w:p w14:paraId="220CBA37" w14:textId="4A2E8297" w:rsidR="003B1298" w:rsidRDefault="003B1298" w:rsidP="003B1298">
      <w:r>
        <w:rPr>
          <w:rFonts w:cs="Arial"/>
        </w:rPr>
        <w:t xml:space="preserve">V části programového financování byl ke kontrole </w:t>
      </w:r>
      <w:r w:rsidR="00546795">
        <w:rPr>
          <w:rFonts w:cs="Arial"/>
        </w:rPr>
        <w:t xml:space="preserve">vybrán </w:t>
      </w:r>
      <w:r>
        <w:rPr>
          <w:rFonts w:cs="Arial"/>
        </w:rPr>
        <w:t xml:space="preserve">program 012V01 </w:t>
      </w:r>
      <w:r w:rsidR="00156F1B">
        <w:rPr>
          <w:rFonts w:cs="Arial"/>
        </w:rPr>
        <w:t>–</w:t>
      </w:r>
      <w:r>
        <w:t xml:space="preserve"> </w:t>
      </w:r>
      <w:r w:rsidRPr="006A556A">
        <w:rPr>
          <w:i/>
          <w:iCs/>
        </w:rPr>
        <w:t>Rozvoj a obnova materiálně technické základny systému řízení Ministerstva financí</w:t>
      </w:r>
      <w:r>
        <w:rPr>
          <w:iCs/>
        </w:rPr>
        <w:t xml:space="preserve"> s plánovanými výdaji </w:t>
      </w:r>
      <w:r w:rsidR="00666498">
        <w:rPr>
          <w:iCs/>
        </w:rPr>
        <w:br/>
      </w:r>
      <w:r>
        <w:rPr>
          <w:iCs/>
        </w:rPr>
        <w:t>3</w:t>
      </w:r>
      <w:r w:rsidR="00666498">
        <w:rPr>
          <w:iCs/>
        </w:rPr>
        <w:t xml:space="preserve"> </w:t>
      </w:r>
      <w:r>
        <w:rPr>
          <w:iCs/>
        </w:rPr>
        <w:t>618</w:t>
      </w:r>
      <w:r w:rsidR="00666498">
        <w:rPr>
          <w:iCs/>
        </w:rPr>
        <w:t xml:space="preserve"> </w:t>
      </w:r>
      <w:r>
        <w:rPr>
          <w:iCs/>
        </w:rPr>
        <w:t xml:space="preserve">mil. Kč a </w:t>
      </w:r>
      <w:r w:rsidR="00BC1809">
        <w:rPr>
          <w:iCs/>
        </w:rPr>
        <w:t xml:space="preserve">jemu předcházející </w:t>
      </w:r>
      <w:r>
        <w:rPr>
          <w:iCs/>
        </w:rPr>
        <w:t xml:space="preserve">program 112V01 </w:t>
      </w:r>
      <w:r w:rsidR="00156F1B">
        <w:rPr>
          <w:iCs/>
        </w:rPr>
        <w:t>–</w:t>
      </w:r>
      <w:r>
        <w:rPr>
          <w:iCs/>
        </w:rPr>
        <w:t xml:space="preserve"> </w:t>
      </w:r>
      <w:r w:rsidRPr="006A556A">
        <w:rPr>
          <w:i/>
          <w:iCs/>
        </w:rPr>
        <w:t xml:space="preserve">Rozvoj a obnova mat. tech. </w:t>
      </w:r>
      <w:r w:rsidR="00A37DB4">
        <w:rPr>
          <w:i/>
          <w:iCs/>
        </w:rPr>
        <w:t>z</w:t>
      </w:r>
      <w:r w:rsidRPr="006A556A">
        <w:rPr>
          <w:i/>
          <w:iCs/>
        </w:rPr>
        <w:t>ákladny systému řízení Ministerstva financí – od r</w:t>
      </w:r>
      <w:r w:rsidR="00D246CF">
        <w:rPr>
          <w:i/>
          <w:iCs/>
        </w:rPr>
        <w:t>.</w:t>
      </w:r>
      <w:r w:rsidRPr="006A556A">
        <w:rPr>
          <w:i/>
          <w:iCs/>
        </w:rPr>
        <w:t xml:space="preserve"> 2007</w:t>
      </w:r>
      <w:r>
        <w:rPr>
          <w:iCs/>
        </w:rPr>
        <w:t>, kde byly plánovány výdaje 4 728 mil. Kč a</w:t>
      </w:r>
      <w:r w:rsidR="00253701">
        <w:rPr>
          <w:iCs/>
        </w:rPr>
        <w:t> </w:t>
      </w:r>
      <w:r>
        <w:rPr>
          <w:iCs/>
        </w:rPr>
        <w:t>čerpáno bylo 4 131 mil. Kč.</w:t>
      </w:r>
    </w:p>
    <w:p w14:paraId="780D63B5" w14:textId="77777777" w:rsidR="003B1298" w:rsidRDefault="003B1298" w:rsidP="001205D2">
      <w:pPr>
        <w:rPr>
          <w:lang w:eastAsia="en-US"/>
        </w:rPr>
      </w:pPr>
    </w:p>
    <w:p w14:paraId="3A8A0FC3" w14:textId="6A717439" w:rsidR="00235D4C" w:rsidRPr="006F0F3B" w:rsidRDefault="00235D4C" w:rsidP="005F6B34">
      <w:pPr>
        <w:rPr>
          <w:rFonts w:cstheme="minorHAnsi"/>
          <w:sz w:val="18"/>
        </w:rPr>
      </w:pPr>
      <w:r w:rsidRPr="00402169">
        <w:rPr>
          <w:rFonts w:cstheme="minorHAnsi"/>
        </w:rPr>
        <w:t xml:space="preserve">Kontrolovaný objem finančních prostředků </w:t>
      </w:r>
      <w:r w:rsidRPr="009268D4">
        <w:rPr>
          <w:rFonts w:cstheme="minorHAnsi"/>
        </w:rPr>
        <w:t xml:space="preserve">činil </w:t>
      </w:r>
      <w:r w:rsidR="00221FC2" w:rsidRPr="009268D4">
        <w:rPr>
          <w:rFonts w:cstheme="minorHAnsi"/>
        </w:rPr>
        <w:t>5 070</w:t>
      </w:r>
      <w:r w:rsidR="009268D4" w:rsidRPr="009268D4">
        <w:rPr>
          <w:rFonts w:cstheme="minorHAnsi"/>
        </w:rPr>
        <w:t> 053 </w:t>
      </w:r>
      <w:r w:rsidR="006F61D6">
        <w:rPr>
          <w:rFonts w:cstheme="minorHAnsi"/>
        </w:rPr>
        <w:t>3</w:t>
      </w:r>
      <w:r w:rsidR="009268D4" w:rsidRPr="009268D4">
        <w:rPr>
          <w:rFonts w:cstheme="minorHAnsi"/>
        </w:rPr>
        <w:t>5</w:t>
      </w:r>
      <w:r w:rsidR="0047646F">
        <w:rPr>
          <w:rFonts w:cstheme="minorHAnsi"/>
        </w:rPr>
        <w:t>2</w:t>
      </w:r>
      <w:r w:rsidRPr="00402169">
        <w:rPr>
          <w:rFonts w:cstheme="minorHAnsi"/>
        </w:rPr>
        <w:t xml:space="preserve"> Kč</w:t>
      </w:r>
      <w:r w:rsidR="005F6B34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5D8B80CD" w14:textId="77777777" w:rsidR="00235D4C" w:rsidRPr="006F0F3B" w:rsidRDefault="00235D4C" w:rsidP="00235D4C">
      <w:pPr>
        <w:rPr>
          <w:rFonts w:cstheme="minorHAnsi"/>
        </w:rPr>
      </w:pPr>
    </w:p>
    <w:p w14:paraId="16B7CA46" w14:textId="6531F2F5" w:rsidR="0004269D" w:rsidRDefault="0004269D" w:rsidP="0004269D">
      <w:pPr>
        <w:ind w:left="567" w:hanging="567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Pozn.: </w:t>
      </w:r>
      <w:r>
        <w:rPr>
          <w:rFonts w:cstheme="minorHAnsi"/>
          <w:sz w:val="20"/>
          <w:szCs w:val="20"/>
        </w:rPr>
        <w:tab/>
        <w:t>Právní předpisy uvedené v tomto kontrolním závěru jsou aplikovány ve znění účinném pro kontrolované období.</w:t>
      </w:r>
    </w:p>
    <w:p w14:paraId="484298D0" w14:textId="77777777" w:rsidR="0048482C" w:rsidRDefault="0048482C" w:rsidP="0004269D">
      <w:pPr>
        <w:ind w:left="567" w:hanging="567"/>
        <w:rPr>
          <w:rFonts w:cstheme="minorHAnsi"/>
          <w:sz w:val="20"/>
          <w:szCs w:val="20"/>
        </w:rPr>
      </w:pPr>
    </w:p>
    <w:p w14:paraId="53E5ECBB" w14:textId="2767581B" w:rsidR="0048482C" w:rsidRDefault="0048482C">
      <w:pPr>
        <w:spacing w:after="160" w:line="259" w:lineRule="auto"/>
        <w:jc w:val="left"/>
        <w:rPr>
          <w:b/>
          <w:kern w:val="36"/>
          <w:sz w:val="28"/>
          <w:szCs w:val="20"/>
          <w:lang w:eastAsia="en-US"/>
        </w:rPr>
      </w:pPr>
    </w:p>
    <w:p w14:paraId="63499CDF" w14:textId="3DED4E69" w:rsidR="001205D2" w:rsidRDefault="001205D2" w:rsidP="00E81361">
      <w:pPr>
        <w:pStyle w:val="Nadpis1"/>
        <w:spacing w:before="0" w:after="0"/>
        <w:rPr>
          <w:lang w:eastAsia="en-US"/>
        </w:rPr>
      </w:pPr>
      <w:r>
        <w:rPr>
          <w:lang w:eastAsia="en-US"/>
        </w:rPr>
        <w:lastRenderedPageBreak/>
        <w:t>IV. Podrobné skutečnosti zjištěné kontrolou</w:t>
      </w:r>
    </w:p>
    <w:p w14:paraId="0568F1DB" w14:textId="3BFD1A72" w:rsidR="009976EE" w:rsidRDefault="009976EE" w:rsidP="00A26514">
      <w:pPr>
        <w:spacing w:line="280" w:lineRule="atLeast"/>
        <w:rPr>
          <w:rFonts w:cstheme="minorHAnsi"/>
          <w:b/>
        </w:rPr>
      </w:pPr>
    </w:p>
    <w:p w14:paraId="17505068" w14:textId="7F442CCF" w:rsidR="008D5E31" w:rsidRPr="00146CFC" w:rsidRDefault="008D5E31" w:rsidP="00C250A4">
      <w:pPr>
        <w:spacing w:line="280" w:lineRule="atLeast"/>
        <w:ind w:left="567" w:hanging="567"/>
        <w:rPr>
          <w:rFonts w:cstheme="minorHAnsi"/>
          <w:b/>
        </w:rPr>
      </w:pPr>
      <w:r>
        <w:rPr>
          <w:rFonts w:cstheme="minorHAnsi"/>
          <w:b/>
        </w:rPr>
        <w:t>IV.</w:t>
      </w:r>
      <w:r w:rsidR="00C44BCE">
        <w:rPr>
          <w:rFonts w:cstheme="minorHAnsi"/>
          <w:b/>
        </w:rPr>
        <w:t>1</w:t>
      </w:r>
      <w:r>
        <w:rPr>
          <w:rFonts w:cstheme="minorHAnsi"/>
          <w:b/>
        </w:rPr>
        <w:t xml:space="preserve">. </w:t>
      </w:r>
      <w:r w:rsidR="00D246CF">
        <w:rPr>
          <w:rFonts w:cstheme="minorHAnsi"/>
          <w:b/>
        </w:rPr>
        <w:tab/>
      </w:r>
      <w:r w:rsidRPr="00146CFC">
        <w:rPr>
          <w:rFonts w:cstheme="minorHAnsi"/>
          <w:b/>
        </w:rPr>
        <w:t>MF neprovedlo řádně finanční kontrolu a nepostupovalo v souladu se zákonem o</w:t>
      </w:r>
      <w:r w:rsidR="00D52BC0">
        <w:rPr>
          <w:rFonts w:cstheme="minorHAnsi"/>
          <w:b/>
        </w:rPr>
        <w:t> </w:t>
      </w:r>
      <w:r w:rsidRPr="00146CFC">
        <w:rPr>
          <w:rFonts w:cstheme="minorHAnsi"/>
          <w:b/>
        </w:rPr>
        <w:t>archivnictví a spisové službě</w:t>
      </w:r>
    </w:p>
    <w:p w14:paraId="7F296F48" w14:textId="77777777" w:rsidR="008D5E31" w:rsidRDefault="008D5E31" w:rsidP="008D5E31">
      <w:pPr>
        <w:autoSpaceDE w:val="0"/>
        <w:autoSpaceDN w:val="0"/>
        <w:rPr>
          <w:rFonts w:cstheme="minorHAnsi"/>
          <w:b/>
          <w:color w:val="000000"/>
        </w:rPr>
      </w:pPr>
    </w:p>
    <w:p w14:paraId="739F24A0" w14:textId="55434D90" w:rsidR="008D5E31" w:rsidRPr="00AC6824" w:rsidRDefault="008D5E31" w:rsidP="008D5E31">
      <w:pPr>
        <w:rPr>
          <w:rFonts w:cstheme="minorHAnsi"/>
        </w:rPr>
      </w:pPr>
      <w:r w:rsidRPr="009F6A5C">
        <w:rPr>
          <w:rFonts w:cstheme="minorHAnsi"/>
        </w:rPr>
        <w:t>V letech 2017 až 2021 mělo</w:t>
      </w:r>
      <w:r w:rsidRPr="0029038D">
        <w:rPr>
          <w:rFonts w:cstheme="minorHAnsi"/>
        </w:rPr>
        <w:t xml:space="preserve"> MF</w:t>
      </w:r>
      <w:r>
        <w:rPr>
          <w:rFonts w:cstheme="minorHAnsi"/>
        </w:rPr>
        <w:t xml:space="preserve"> postup při</w:t>
      </w:r>
      <w:r w:rsidRPr="0029038D">
        <w:rPr>
          <w:rFonts w:cstheme="minorHAnsi"/>
        </w:rPr>
        <w:t xml:space="preserve"> výkon</w:t>
      </w:r>
      <w:r>
        <w:rPr>
          <w:rFonts w:cstheme="minorHAnsi"/>
        </w:rPr>
        <w:t>u</w:t>
      </w:r>
      <w:r w:rsidRPr="0029038D">
        <w:rPr>
          <w:rFonts w:cstheme="minorHAnsi"/>
        </w:rPr>
        <w:t xml:space="preserve"> předběžné řídicí kontroly při správě veřejných výdajů před vznikem závazku dle zákona č. 320/2001 Sb. a vyhlášky č. 416/2004 Sb. implementován do vnitřních předpisů</w:t>
      </w:r>
      <w:r w:rsidR="00D52BC0">
        <w:rPr>
          <w:rFonts w:cstheme="minorHAnsi"/>
        </w:rPr>
        <w:t>.</w:t>
      </w:r>
      <w:r>
        <w:rPr>
          <w:rFonts w:cstheme="minorHAnsi"/>
          <w:i/>
        </w:rPr>
        <w:t xml:space="preserve"> </w:t>
      </w:r>
      <w:r w:rsidR="009F6A5C">
        <w:rPr>
          <w:rFonts w:cstheme="minorHAnsi"/>
        </w:rPr>
        <w:t>N</w:t>
      </w:r>
      <w:r w:rsidRPr="0029038D">
        <w:rPr>
          <w:rFonts w:cstheme="minorHAnsi"/>
        </w:rPr>
        <w:t xml:space="preserve">a kontrolním vzorku 85 případů </w:t>
      </w:r>
      <w:r w:rsidR="009F6A5C" w:rsidRPr="0029038D">
        <w:rPr>
          <w:rFonts w:cstheme="minorHAnsi"/>
        </w:rPr>
        <w:t>NKÚ zjistil</w:t>
      </w:r>
      <w:r w:rsidR="009F6A5C">
        <w:rPr>
          <w:rFonts w:cstheme="minorHAnsi"/>
        </w:rPr>
        <w:t>, že</w:t>
      </w:r>
      <w:r w:rsidR="009F6A5C" w:rsidRPr="0029038D">
        <w:rPr>
          <w:rFonts w:cstheme="minorHAnsi"/>
        </w:rPr>
        <w:t xml:space="preserve"> </w:t>
      </w:r>
      <w:r w:rsidRPr="0029038D">
        <w:rPr>
          <w:rFonts w:cstheme="minorHAnsi"/>
        </w:rPr>
        <w:t xml:space="preserve">MF </w:t>
      </w:r>
      <w:r w:rsidRPr="00AC6824">
        <w:rPr>
          <w:rFonts w:cstheme="minorHAnsi"/>
        </w:rPr>
        <w:t xml:space="preserve">tyto postupy vyplývající z vyhlášky č. 416/2004 Sb. nedodrželo </w:t>
      </w:r>
      <w:r w:rsidR="009F6A5C">
        <w:rPr>
          <w:rFonts w:cstheme="minorHAnsi"/>
        </w:rPr>
        <w:t xml:space="preserve">zcela </w:t>
      </w:r>
      <w:r w:rsidR="009F6A5C" w:rsidRPr="00AC6824">
        <w:rPr>
          <w:rFonts w:cstheme="minorHAnsi"/>
        </w:rPr>
        <w:t xml:space="preserve">důsledně </w:t>
      </w:r>
      <w:r w:rsidRPr="00AC6824">
        <w:rPr>
          <w:rFonts w:cstheme="minorHAnsi"/>
        </w:rPr>
        <w:t>u 52 z nich.</w:t>
      </w:r>
    </w:p>
    <w:p w14:paraId="3B4CF78D" w14:textId="77777777" w:rsidR="008D5E31" w:rsidRPr="0029038D" w:rsidRDefault="008D5E31" w:rsidP="008D5E31">
      <w:pPr>
        <w:rPr>
          <w:rFonts w:cstheme="minorHAnsi"/>
        </w:rPr>
      </w:pPr>
    </w:p>
    <w:p w14:paraId="12C1A595" w14:textId="7CAE3092" w:rsidR="008D5E31" w:rsidRPr="00024549" w:rsidRDefault="008D5E31" w:rsidP="008D5E31">
      <w:pPr>
        <w:rPr>
          <w:rFonts w:cstheme="minorHAnsi"/>
        </w:rPr>
      </w:pPr>
      <w:r w:rsidRPr="0029038D">
        <w:rPr>
          <w:rFonts w:cstheme="minorHAnsi"/>
        </w:rPr>
        <w:t xml:space="preserve">NKÚ prověřil postupy MF při výkonu předběžné řídicí kontroly při správě veřejných výdajů před vznikem závazku </w:t>
      </w:r>
      <w:r>
        <w:rPr>
          <w:rFonts w:cstheme="minorHAnsi"/>
        </w:rPr>
        <w:t>u</w:t>
      </w:r>
      <w:r w:rsidRPr="0029038D">
        <w:rPr>
          <w:rFonts w:cstheme="minorHAnsi"/>
        </w:rPr>
        <w:t xml:space="preserve"> sedmi vybraných investičních akcí, přičemž nejvíce nedostatků zjistil u dvou nejrozsáhlejších z nich, a to č. 012V012000012 </w:t>
      </w:r>
      <w:r w:rsidRPr="0029038D">
        <w:rPr>
          <w:rFonts w:cstheme="minorHAnsi"/>
          <w:i/>
        </w:rPr>
        <w:t>Sanace proti vlhkosti objektů MF</w:t>
      </w:r>
      <w:r w:rsidRPr="0029038D">
        <w:rPr>
          <w:rFonts w:cstheme="minorHAnsi"/>
        </w:rPr>
        <w:t xml:space="preserve"> a</w:t>
      </w:r>
      <w:r>
        <w:rPr>
          <w:rFonts w:cstheme="minorHAnsi"/>
        </w:rPr>
        <w:t> </w:t>
      </w:r>
      <w:r w:rsidRPr="0029038D">
        <w:rPr>
          <w:rFonts w:cstheme="minorHAnsi"/>
        </w:rPr>
        <w:t>č.</w:t>
      </w:r>
      <w:r>
        <w:rPr>
          <w:rFonts w:cstheme="minorHAnsi"/>
        </w:rPr>
        <w:t> </w:t>
      </w:r>
      <w:r w:rsidRPr="0029038D">
        <w:rPr>
          <w:rFonts w:cstheme="minorHAnsi"/>
        </w:rPr>
        <w:t xml:space="preserve">012V012000020 </w:t>
      </w:r>
      <w:r w:rsidRPr="0029038D">
        <w:rPr>
          <w:rFonts w:cstheme="minorHAnsi"/>
          <w:i/>
        </w:rPr>
        <w:t>Rekonstrukce objektu MF – Cihelná</w:t>
      </w:r>
      <w:r w:rsidRPr="0029038D">
        <w:rPr>
          <w:rFonts w:cstheme="minorHAnsi"/>
        </w:rPr>
        <w:t xml:space="preserve">. </w:t>
      </w:r>
      <w:r>
        <w:rPr>
          <w:rFonts w:cstheme="minorHAnsi"/>
        </w:rPr>
        <w:t>J</w:t>
      </w:r>
      <w:r w:rsidRPr="0029038D">
        <w:rPr>
          <w:rFonts w:cstheme="minorHAnsi"/>
        </w:rPr>
        <w:t>edním z nejčastějších nedostatků bylo zejména pozdní provádění předběžné řídicí kontroly</w:t>
      </w:r>
      <w:r w:rsidR="009F6A5C" w:rsidRPr="009F6A5C">
        <w:rPr>
          <w:rFonts w:cstheme="minorHAnsi"/>
        </w:rPr>
        <w:t xml:space="preserve"> </w:t>
      </w:r>
      <w:r w:rsidR="009F6A5C">
        <w:rPr>
          <w:rFonts w:cstheme="minorHAnsi"/>
        </w:rPr>
        <w:t>před vznikem závazku</w:t>
      </w:r>
      <w:r w:rsidRPr="0029038D">
        <w:rPr>
          <w:rFonts w:cstheme="minorHAnsi"/>
        </w:rPr>
        <w:t>, kdy příkazce operace a</w:t>
      </w:r>
      <w:r w:rsidR="009F6A5C">
        <w:rPr>
          <w:rFonts w:cstheme="minorHAnsi"/>
        </w:rPr>
        <w:t xml:space="preserve"> </w:t>
      </w:r>
      <w:r w:rsidRPr="0029038D">
        <w:rPr>
          <w:rFonts w:cstheme="minorHAnsi"/>
        </w:rPr>
        <w:t xml:space="preserve">správce rozpočtu </w:t>
      </w:r>
      <w:r>
        <w:rPr>
          <w:rFonts w:cstheme="minorHAnsi"/>
        </w:rPr>
        <w:t>provedli</w:t>
      </w:r>
      <w:r w:rsidRPr="0029038D">
        <w:rPr>
          <w:rFonts w:cstheme="minorHAnsi"/>
        </w:rPr>
        <w:t xml:space="preserve"> </w:t>
      </w:r>
      <w:r w:rsidR="009F6A5C">
        <w:rPr>
          <w:rFonts w:cstheme="minorHAnsi"/>
        </w:rPr>
        <w:t>tuto</w:t>
      </w:r>
      <w:r w:rsidRPr="0029038D">
        <w:rPr>
          <w:rFonts w:cstheme="minorHAnsi"/>
        </w:rPr>
        <w:t xml:space="preserve"> kontrolu až po vzniku závazku, tj. po odeslání objednávky </w:t>
      </w:r>
      <w:r w:rsidR="009F6A5C">
        <w:rPr>
          <w:rFonts w:cstheme="minorHAnsi"/>
        </w:rPr>
        <w:t>nebo</w:t>
      </w:r>
      <w:r w:rsidRPr="0029038D">
        <w:rPr>
          <w:rFonts w:cstheme="minorHAnsi"/>
        </w:rPr>
        <w:t xml:space="preserve"> po podpisu smluv a jejich dodatků s jednotlivými dodavateli. NKÚ zjistil, </w:t>
      </w:r>
      <w:r w:rsidR="00606E1D">
        <w:rPr>
          <w:rFonts w:cstheme="minorHAnsi"/>
        </w:rPr>
        <w:br/>
      </w:r>
      <w:r w:rsidRPr="0029038D">
        <w:rPr>
          <w:rFonts w:cstheme="minorHAnsi"/>
        </w:rPr>
        <w:t xml:space="preserve">že MF provedlo </w:t>
      </w:r>
      <w:r w:rsidR="00D373F6" w:rsidRPr="0029038D">
        <w:rPr>
          <w:rFonts w:cstheme="minorHAnsi"/>
        </w:rPr>
        <w:t>předběžn</w:t>
      </w:r>
      <w:r w:rsidR="00D373F6">
        <w:rPr>
          <w:rFonts w:cstheme="minorHAnsi"/>
        </w:rPr>
        <w:t>ou</w:t>
      </w:r>
      <w:r w:rsidR="00D373F6" w:rsidRPr="0029038D">
        <w:rPr>
          <w:rFonts w:cstheme="minorHAnsi"/>
        </w:rPr>
        <w:t xml:space="preserve"> řídicí kontrol</w:t>
      </w:r>
      <w:r w:rsidR="00D373F6">
        <w:rPr>
          <w:rFonts w:cstheme="minorHAnsi"/>
        </w:rPr>
        <w:t>u</w:t>
      </w:r>
      <w:r w:rsidR="00D373F6" w:rsidRPr="0029038D">
        <w:rPr>
          <w:rFonts w:cstheme="minorHAnsi"/>
        </w:rPr>
        <w:t xml:space="preserve"> </w:t>
      </w:r>
      <w:r w:rsidR="009F6A5C">
        <w:rPr>
          <w:rFonts w:cstheme="minorHAnsi"/>
        </w:rPr>
        <w:t>v</w:t>
      </w:r>
      <w:r w:rsidR="00606E1D">
        <w:rPr>
          <w:rFonts w:cstheme="minorHAnsi"/>
        </w:rPr>
        <w:t xml:space="preserve"> </w:t>
      </w:r>
      <w:r w:rsidR="009F6A5C" w:rsidRPr="0029038D">
        <w:rPr>
          <w:rFonts w:cstheme="minorHAnsi"/>
        </w:rPr>
        <w:t xml:space="preserve">jednom případě </w:t>
      </w:r>
      <w:r w:rsidRPr="0029038D">
        <w:rPr>
          <w:rFonts w:cstheme="minorHAnsi"/>
        </w:rPr>
        <w:t xml:space="preserve">až po přijetí plnění dle objednávky a u </w:t>
      </w:r>
      <w:r w:rsidR="00C250A4">
        <w:rPr>
          <w:rFonts w:cstheme="minorHAnsi"/>
        </w:rPr>
        <w:t xml:space="preserve">šesti </w:t>
      </w:r>
      <w:r w:rsidRPr="0029038D">
        <w:rPr>
          <w:rFonts w:cstheme="minorHAnsi"/>
        </w:rPr>
        <w:t xml:space="preserve">případů dokonce v nižší </w:t>
      </w:r>
      <w:r>
        <w:rPr>
          <w:rFonts w:cstheme="minorHAnsi"/>
        </w:rPr>
        <w:t>hodnotě</w:t>
      </w:r>
      <w:r w:rsidRPr="0029038D">
        <w:rPr>
          <w:rFonts w:cstheme="minorHAnsi"/>
        </w:rPr>
        <w:t>, než činila celková hodnota objednávky, příp. smlouvy včetně dodatků.</w:t>
      </w:r>
      <w:r>
        <w:rPr>
          <w:rFonts w:cstheme="minorHAnsi"/>
        </w:rPr>
        <w:t xml:space="preserve"> Takto realizované předběžné říd</w:t>
      </w:r>
      <w:r w:rsidR="009F6A5C">
        <w:rPr>
          <w:rFonts w:cstheme="minorHAnsi"/>
        </w:rPr>
        <w:t>i</w:t>
      </w:r>
      <w:r>
        <w:rPr>
          <w:rFonts w:cstheme="minorHAnsi"/>
        </w:rPr>
        <w:t>cí kontroly nemohou naplňovat smysl zákona č.</w:t>
      </w:r>
      <w:r w:rsidR="001F044A">
        <w:rPr>
          <w:rFonts w:cstheme="minorHAnsi"/>
        </w:rPr>
        <w:t> </w:t>
      </w:r>
      <w:r>
        <w:rPr>
          <w:rFonts w:cstheme="minorHAnsi"/>
        </w:rPr>
        <w:t xml:space="preserve">320/2001 Sb. Bližší </w:t>
      </w:r>
      <w:r w:rsidRPr="00581BFB">
        <w:rPr>
          <w:rFonts w:cstheme="minorHAnsi"/>
        </w:rPr>
        <w:t xml:space="preserve">údaje jsou uvedeny </w:t>
      </w:r>
      <w:r w:rsidRPr="00024549">
        <w:rPr>
          <w:rFonts w:cstheme="minorHAnsi"/>
        </w:rPr>
        <w:t xml:space="preserve">v tabulce č. </w:t>
      </w:r>
      <w:r w:rsidR="006A556A">
        <w:rPr>
          <w:rFonts w:cstheme="minorHAnsi"/>
        </w:rPr>
        <w:t>2</w:t>
      </w:r>
      <w:r w:rsidRPr="00024549">
        <w:rPr>
          <w:rFonts w:cstheme="minorHAnsi"/>
        </w:rPr>
        <w:t>.</w:t>
      </w:r>
    </w:p>
    <w:p w14:paraId="29F9F1F0" w14:textId="77777777" w:rsidR="008D5E31" w:rsidRPr="00024549" w:rsidRDefault="008D5E31" w:rsidP="008D5E31">
      <w:pPr>
        <w:rPr>
          <w:rFonts w:cstheme="minorHAnsi"/>
        </w:rPr>
      </w:pPr>
    </w:p>
    <w:p w14:paraId="74C34F7D" w14:textId="19B9D4D3" w:rsidR="008D5E31" w:rsidRDefault="008D5E31" w:rsidP="008D5E31">
      <w:r w:rsidRPr="00024549">
        <w:t xml:space="preserve">Tabulka č. </w:t>
      </w:r>
      <w:r w:rsidR="006A556A">
        <w:t>2</w:t>
      </w:r>
      <w:r w:rsidRPr="00024549">
        <w:t>: Nedostatky v předběžné</w:t>
      </w:r>
      <w:r w:rsidRPr="008C7C29">
        <w:t xml:space="preserve"> říd</w:t>
      </w:r>
      <w:r w:rsidR="002E73EB">
        <w:t>i</w:t>
      </w:r>
      <w:r w:rsidRPr="008C7C29">
        <w:t>cí kontrole</w:t>
      </w:r>
    </w:p>
    <w:tbl>
      <w:tblPr>
        <w:tblStyle w:val="Mkatabulky"/>
        <w:tblW w:w="9156" w:type="dxa"/>
        <w:tblLook w:val="04A0" w:firstRow="1" w:lastRow="0" w:firstColumn="1" w:lastColumn="0" w:noHBand="0" w:noVBand="1"/>
      </w:tblPr>
      <w:tblGrid>
        <w:gridCol w:w="1547"/>
        <w:gridCol w:w="1341"/>
        <w:gridCol w:w="1270"/>
        <w:gridCol w:w="1272"/>
        <w:gridCol w:w="1225"/>
        <w:gridCol w:w="1219"/>
        <w:gridCol w:w="1282"/>
      </w:tblGrid>
      <w:tr w:rsidR="002E73EB" w:rsidRPr="00FD672B" w14:paraId="5490D492" w14:textId="77777777" w:rsidTr="00C250A4">
        <w:trPr>
          <w:trHeight w:val="397"/>
        </w:trPr>
        <w:tc>
          <w:tcPr>
            <w:tcW w:w="1413" w:type="dxa"/>
            <w:vMerge w:val="restart"/>
            <w:shd w:val="clear" w:color="auto" w:fill="E5F1FF"/>
            <w:vAlign w:val="center"/>
          </w:tcPr>
          <w:p w14:paraId="1A226752" w14:textId="77777777" w:rsidR="002E73EB" w:rsidRPr="00FD672B" w:rsidRDefault="002E73EB" w:rsidP="004D5E3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72B">
              <w:rPr>
                <w:rFonts w:asciiTheme="minorHAnsi" w:hAnsiTheme="minorHAnsi" w:cstheme="minorHAnsi"/>
                <w:b/>
                <w:sz w:val="20"/>
                <w:szCs w:val="20"/>
              </w:rPr>
              <w:t>Investiční akce</w:t>
            </w:r>
          </w:p>
        </w:tc>
        <w:tc>
          <w:tcPr>
            <w:tcW w:w="1293" w:type="dxa"/>
            <w:vMerge w:val="restart"/>
            <w:shd w:val="clear" w:color="auto" w:fill="E5F1FF"/>
            <w:vAlign w:val="center"/>
          </w:tcPr>
          <w:p w14:paraId="34E26F50" w14:textId="77777777" w:rsidR="002E73EB" w:rsidRPr="00FD672B" w:rsidRDefault="002E73EB" w:rsidP="004D5E3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72B">
              <w:rPr>
                <w:rFonts w:asciiTheme="minorHAnsi" w:hAnsiTheme="minorHAnsi" w:cstheme="minorHAnsi"/>
                <w:b/>
                <w:sz w:val="20"/>
                <w:szCs w:val="20"/>
              </w:rPr>
              <w:t>Kontrolovaný vzorek</w:t>
            </w:r>
          </w:p>
        </w:tc>
        <w:tc>
          <w:tcPr>
            <w:tcW w:w="1291" w:type="dxa"/>
            <w:vMerge w:val="restart"/>
            <w:shd w:val="clear" w:color="auto" w:fill="E5F1FF"/>
            <w:vAlign w:val="center"/>
          </w:tcPr>
          <w:p w14:paraId="6DD51538" w14:textId="77777777" w:rsidR="002E73EB" w:rsidRPr="00FD672B" w:rsidRDefault="002E73EB" w:rsidP="004D5E3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72B">
              <w:rPr>
                <w:rFonts w:asciiTheme="minorHAnsi" w:hAnsiTheme="minorHAnsi" w:cstheme="minorHAnsi"/>
                <w:b/>
                <w:sz w:val="20"/>
                <w:szCs w:val="20"/>
              </w:rPr>
              <w:t>Nedostatky zjištěny u:</w:t>
            </w:r>
          </w:p>
        </w:tc>
        <w:tc>
          <w:tcPr>
            <w:tcW w:w="5159" w:type="dxa"/>
            <w:gridSpan w:val="4"/>
            <w:shd w:val="clear" w:color="auto" w:fill="E5F1FF"/>
            <w:vAlign w:val="center"/>
          </w:tcPr>
          <w:p w14:paraId="229BF849" w14:textId="7930D9EE" w:rsidR="002E73EB" w:rsidRPr="00FD672B" w:rsidRDefault="002E73EB" w:rsidP="004D5E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672B">
              <w:rPr>
                <w:rFonts w:asciiTheme="minorHAnsi" w:hAnsiTheme="minorHAnsi" w:cstheme="minorHAnsi"/>
                <w:b/>
                <w:sz w:val="20"/>
                <w:szCs w:val="20"/>
              </w:rPr>
              <w:t>Předběžn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ou</w:t>
            </w:r>
            <w:r w:rsidRPr="00FD67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řídicí kontrol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Pr="00FD67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realizov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alo</w:t>
            </w:r>
            <w:r w:rsidRPr="00FD67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MF:</w:t>
            </w:r>
          </w:p>
        </w:tc>
      </w:tr>
      <w:tr w:rsidR="002E73EB" w:rsidRPr="00FD672B" w14:paraId="10A85D51" w14:textId="77777777" w:rsidTr="00C250A4">
        <w:tc>
          <w:tcPr>
            <w:tcW w:w="1413" w:type="dxa"/>
            <w:vMerge/>
            <w:shd w:val="clear" w:color="auto" w:fill="E5F1FF"/>
            <w:vAlign w:val="center"/>
          </w:tcPr>
          <w:p w14:paraId="5337CCE4" w14:textId="77777777" w:rsidR="002E73EB" w:rsidRPr="00FD672B" w:rsidRDefault="002E73EB" w:rsidP="004D5E3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93" w:type="dxa"/>
            <w:vMerge/>
            <w:shd w:val="clear" w:color="auto" w:fill="E5F1FF"/>
            <w:vAlign w:val="center"/>
          </w:tcPr>
          <w:p w14:paraId="1EBC173B" w14:textId="77777777" w:rsidR="002E73EB" w:rsidRPr="00FD672B" w:rsidRDefault="002E73EB" w:rsidP="004D5E3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91" w:type="dxa"/>
            <w:vMerge/>
            <w:shd w:val="clear" w:color="auto" w:fill="E5F1FF"/>
            <w:vAlign w:val="center"/>
          </w:tcPr>
          <w:p w14:paraId="30D3E217" w14:textId="77777777" w:rsidR="002E73EB" w:rsidRPr="00FD672B" w:rsidRDefault="002E73EB" w:rsidP="004D5E3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E5F1FF"/>
            <w:vAlign w:val="center"/>
          </w:tcPr>
          <w:p w14:paraId="4B9553E9" w14:textId="77777777" w:rsidR="002E73EB" w:rsidRPr="00FD672B" w:rsidRDefault="002E73EB" w:rsidP="004D5E3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7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 </w:t>
            </w:r>
          </w:p>
          <w:p w14:paraId="3AC0FD64" w14:textId="77777777" w:rsidR="002E73EB" w:rsidRPr="00FD672B" w:rsidRDefault="002E73EB" w:rsidP="004D5E3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72B">
              <w:rPr>
                <w:rFonts w:asciiTheme="minorHAnsi" w:hAnsiTheme="minorHAnsi" w:cstheme="minorHAnsi"/>
                <w:b/>
                <w:sz w:val="20"/>
                <w:szCs w:val="20"/>
              </w:rPr>
              <w:t>odeslání objednávky</w:t>
            </w:r>
          </w:p>
        </w:tc>
        <w:tc>
          <w:tcPr>
            <w:tcW w:w="1288" w:type="dxa"/>
            <w:shd w:val="clear" w:color="auto" w:fill="E5F1FF"/>
            <w:vAlign w:val="center"/>
          </w:tcPr>
          <w:p w14:paraId="18C5C6D0" w14:textId="77777777" w:rsidR="002E73EB" w:rsidRPr="00FD672B" w:rsidRDefault="002E73EB" w:rsidP="004D5E3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72B">
              <w:rPr>
                <w:rFonts w:asciiTheme="minorHAnsi" w:hAnsiTheme="minorHAnsi" w:cstheme="minorHAnsi"/>
                <w:b/>
                <w:sz w:val="20"/>
                <w:szCs w:val="20"/>
              </w:rPr>
              <w:t>po uzavření smlouvy nebo dodatku</w:t>
            </w:r>
          </w:p>
        </w:tc>
        <w:tc>
          <w:tcPr>
            <w:tcW w:w="1288" w:type="dxa"/>
            <w:shd w:val="clear" w:color="auto" w:fill="E5F1FF"/>
            <w:vAlign w:val="center"/>
          </w:tcPr>
          <w:p w14:paraId="7668D919" w14:textId="77777777" w:rsidR="002E73EB" w:rsidRPr="00FD672B" w:rsidRDefault="002E73EB" w:rsidP="004D5E3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72B">
              <w:rPr>
                <w:rFonts w:asciiTheme="minorHAnsi" w:hAnsiTheme="minorHAnsi" w:cstheme="minorHAnsi"/>
                <w:b/>
                <w:sz w:val="20"/>
                <w:szCs w:val="20"/>
              </w:rPr>
              <w:t>po převzetí plnění</w:t>
            </w:r>
          </w:p>
        </w:tc>
        <w:tc>
          <w:tcPr>
            <w:tcW w:w="1292" w:type="dxa"/>
            <w:shd w:val="clear" w:color="auto" w:fill="E5F1FF"/>
            <w:vAlign w:val="center"/>
          </w:tcPr>
          <w:p w14:paraId="2F5D957C" w14:textId="77777777" w:rsidR="002E73EB" w:rsidRPr="00FD672B" w:rsidRDefault="002E73EB" w:rsidP="004D5E3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7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 nižší částce, </w:t>
            </w:r>
          </w:p>
          <w:p w14:paraId="343C8433" w14:textId="77777777" w:rsidR="002E73EB" w:rsidRPr="00FD672B" w:rsidRDefault="002E73EB" w:rsidP="004D5E3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72B">
              <w:rPr>
                <w:rFonts w:asciiTheme="minorHAnsi" w:hAnsiTheme="minorHAnsi" w:cstheme="minorHAnsi"/>
                <w:b/>
                <w:sz w:val="20"/>
                <w:szCs w:val="20"/>
              </w:rPr>
              <w:t>než činila celková hodnota objednávky, smlouvy nebo dodatku</w:t>
            </w:r>
          </w:p>
        </w:tc>
      </w:tr>
      <w:tr w:rsidR="002E73EB" w:rsidRPr="00FD672B" w14:paraId="6F2FC459" w14:textId="77777777" w:rsidTr="004D5E3B">
        <w:tc>
          <w:tcPr>
            <w:tcW w:w="1413" w:type="dxa"/>
            <w:vAlign w:val="center"/>
          </w:tcPr>
          <w:p w14:paraId="2610962A" w14:textId="77777777" w:rsidR="002E73EB" w:rsidRPr="00FD672B" w:rsidRDefault="002E73EB" w:rsidP="004D5E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672B">
              <w:rPr>
                <w:rFonts w:asciiTheme="minorHAnsi" w:hAnsiTheme="minorHAnsi" w:cstheme="minorHAnsi"/>
                <w:sz w:val="20"/>
                <w:szCs w:val="20"/>
              </w:rPr>
              <w:t>012V012000004</w:t>
            </w:r>
          </w:p>
        </w:tc>
        <w:tc>
          <w:tcPr>
            <w:tcW w:w="1293" w:type="dxa"/>
            <w:vAlign w:val="center"/>
          </w:tcPr>
          <w:p w14:paraId="655D8366" w14:textId="77777777" w:rsidR="002E73EB" w:rsidRPr="00FD672B" w:rsidRDefault="002E73EB" w:rsidP="004D5E3B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D672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91" w:type="dxa"/>
            <w:vAlign w:val="center"/>
          </w:tcPr>
          <w:p w14:paraId="4F86DE75" w14:textId="77777777" w:rsidR="002E73EB" w:rsidRPr="00FD672B" w:rsidRDefault="002E73EB" w:rsidP="004D5E3B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D672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91" w:type="dxa"/>
            <w:vAlign w:val="center"/>
          </w:tcPr>
          <w:p w14:paraId="041118C2" w14:textId="77777777" w:rsidR="002E73EB" w:rsidRPr="00FD672B" w:rsidRDefault="002E73EB" w:rsidP="004D5E3B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1288" w:type="dxa"/>
            <w:vAlign w:val="center"/>
          </w:tcPr>
          <w:p w14:paraId="1EEF6D52" w14:textId="77777777" w:rsidR="002E73EB" w:rsidRPr="00FD672B" w:rsidRDefault="002E73EB" w:rsidP="004D5E3B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D672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88" w:type="dxa"/>
            <w:vAlign w:val="center"/>
          </w:tcPr>
          <w:p w14:paraId="6241A805" w14:textId="77777777" w:rsidR="002E73EB" w:rsidRPr="00FD672B" w:rsidRDefault="002E73EB" w:rsidP="004D5E3B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D672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92" w:type="dxa"/>
            <w:vAlign w:val="center"/>
          </w:tcPr>
          <w:p w14:paraId="0BD7C1BA" w14:textId="77777777" w:rsidR="002E73EB" w:rsidRPr="00FD672B" w:rsidRDefault="002E73EB" w:rsidP="004D5E3B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</w:tr>
      <w:tr w:rsidR="002E73EB" w:rsidRPr="00FD672B" w14:paraId="0876EF8B" w14:textId="77777777" w:rsidTr="004D5E3B">
        <w:tc>
          <w:tcPr>
            <w:tcW w:w="1413" w:type="dxa"/>
            <w:vAlign w:val="center"/>
          </w:tcPr>
          <w:p w14:paraId="168C8AFD" w14:textId="77777777" w:rsidR="002E73EB" w:rsidRPr="00FD672B" w:rsidRDefault="002E73EB" w:rsidP="004D5E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672B">
              <w:rPr>
                <w:rFonts w:asciiTheme="minorHAnsi" w:hAnsiTheme="minorHAnsi" w:cstheme="minorHAnsi"/>
                <w:sz w:val="20"/>
                <w:szCs w:val="20"/>
              </w:rPr>
              <w:t>012V012000005</w:t>
            </w:r>
          </w:p>
        </w:tc>
        <w:tc>
          <w:tcPr>
            <w:tcW w:w="1293" w:type="dxa"/>
            <w:vAlign w:val="center"/>
          </w:tcPr>
          <w:p w14:paraId="28BCBABE" w14:textId="77777777" w:rsidR="002E73EB" w:rsidRPr="00FD672B" w:rsidRDefault="002E73EB" w:rsidP="004D5E3B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D672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91" w:type="dxa"/>
            <w:vAlign w:val="center"/>
          </w:tcPr>
          <w:p w14:paraId="6B54D2A7" w14:textId="77777777" w:rsidR="002E73EB" w:rsidRPr="00FD672B" w:rsidRDefault="002E73EB" w:rsidP="004D5E3B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D672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14:paraId="30224362" w14:textId="77777777" w:rsidR="002E73EB" w:rsidRPr="00FD672B" w:rsidRDefault="002E73EB" w:rsidP="004D5E3B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1288" w:type="dxa"/>
            <w:vAlign w:val="center"/>
          </w:tcPr>
          <w:p w14:paraId="2D7FE40A" w14:textId="77777777" w:rsidR="002E73EB" w:rsidRPr="00FD672B" w:rsidRDefault="002E73EB" w:rsidP="004D5E3B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1288" w:type="dxa"/>
            <w:vAlign w:val="center"/>
          </w:tcPr>
          <w:p w14:paraId="1E5C1A84" w14:textId="77777777" w:rsidR="002E73EB" w:rsidRPr="00FD672B" w:rsidRDefault="002E73EB" w:rsidP="004D5E3B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1292" w:type="dxa"/>
            <w:vAlign w:val="center"/>
          </w:tcPr>
          <w:p w14:paraId="4E720D59" w14:textId="77777777" w:rsidR="002E73EB" w:rsidRPr="00FD672B" w:rsidRDefault="002E73EB" w:rsidP="004D5E3B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</w:tr>
      <w:tr w:rsidR="002E73EB" w:rsidRPr="00FD672B" w14:paraId="7EFB3FCC" w14:textId="77777777" w:rsidTr="004D5E3B">
        <w:tc>
          <w:tcPr>
            <w:tcW w:w="1413" w:type="dxa"/>
            <w:vAlign w:val="center"/>
          </w:tcPr>
          <w:p w14:paraId="55D063AA" w14:textId="77777777" w:rsidR="002E73EB" w:rsidRPr="00FD672B" w:rsidRDefault="002E73EB" w:rsidP="004D5E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672B">
              <w:rPr>
                <w:rFonts w:asciiTheme="minorHAnsi" w:hAnsiTheme="minorHAnsi" w:cstheme="minorHAnsi"/>
                <w:sz w:val="20"/>
                <w:szCs w:val="20"/>
              </w:rPr>
              <w:t>012V012000012</w:t>
            </w:r>
          </w:p>
        </w:tc>
        <w:tc>
          <w:tcPr>
            <w:tcW w:w="1293" w:type="dxa"/>
            <w:vAlign w:val="center"/>
          </w:tcPr>
          <w:p w14:paraId="368C4521" w14:textId="77777777" w:rsidR="002E73EB" w:rsidRPr="00FD672B" w:rsidRDefault="002E73EB" w:rsidP="004D5E3B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D672B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291" w:type="dxa"/>
            <w:vAlign w:val="center"/>
          </w:tcPr>
          <w:p w14:paraId="3E44CAB2" w14:textId="77777777" w:rsidR="002E73EB" w:rsidRPr="00FD672B" w:rsidRDefault="002E73EB" w:rsidP="004D5E3B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D672B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291" w:type="dxa"/>
            <w:vAlign w:val="center"/>
          </w:tcPr>
          <w:p w14:paraId="7020E1FB" w14:textId="77777777" w:rsidR="002E73EB" w:rsidRPr="00FD672B" w:rsidRDefault="002E73EB" w:rsidP="004D5E3B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D672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88" w:type="dxa"/>
            <w:vAlign w:val="center"/>
          </w:tcPr>
          <w:p w14:paraId="388A59CA" w14:textId="77777777" w:rsidR="002E73EB" w:rsidRPr="00FD672B" w:rsidRDefault="002E73EB" w:rsidP="004D5E3B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D672B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288" w:type="dxa"/>
            <w:vAlign w:val="center"/>
          </w:tcPr>
          <w:p w14:paraId="2EA35ABF" w14:textId="77777777" w:rsidR="002E73EB" w:rsidRPr="00FD672B" w:rsidRDefault="002E73EB" w:rsidP="004D5E3B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1292" w:type="dxa"/>
            <w:vAlign w:val="center"/>
          </w:tcPr>
          <w:p w14:paraId="4BDD2C59" w14:textId="77777777" w:rsidR="002E73EB" w:rsidRPr="00FD672B" w:rsidRDefault="002E73EB" w:rsidP="004D5E3B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D672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2E73EB" w:rsidRPr="00FD672B" w14:paraId="55A5DB20" w14:textId="77777777" w:rsidTr="004D5E3B">
        <w:tc>
          <w:tcPr>
            <w:tcW w:w="1413" w:type="dxa"/>
            <w:vAlign w:val="center"/>
          </w:tcPr>
          <w:p w14:paraId="07CB83C7" w14:textId="77777777" w:rsidR="002E73EB" w:rsidRPr="00FD672B" w:rsidRDefault="002E73EB" w:rsidP="004D5E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672B">
              <w:rPr>
                <w:rFonts w:asciiTheme="minorHAnsi" w:hAnsiTheme="minorHAnsi" w:cstheme="minorHAnsi"/>
                <w:sz w:val="20"/>
                <w:szCs w:val="20"/>
              </w:rPr>
              <w:t>012V012000015</w:t>
            </w:r>
          </w:p>
        </w:tc>
        <w:tc>
          <w:tcPr>
            <w:tcW w:w="1293" w:type="dxa"/>
            <w:vAlign w:val="center"/>
          </w:tcPr>
          <w:p w14:paraId="258B16C7" w14:textId="77777777" w:rsidR="002E73EB" w:rsidRPr="00FD672B" w:rsidRDefault="002E73EB" w:rsidP="004D5E3B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D672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91" w:type="dxa"/>
            <w:vAlign w:val="center"/>
          </w:tcPr>
          <w:p w14:paraId="63F58D95" w14:textId="77777777" w:rsidR="002E73EB" w:rsidRPr="00FD672B" w:rsidRDefault="002E73EB" w:rsidP="004D5E3B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D672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91" w:type="dxa"/>
            <w:vAlign w:val="center"/>
          </w:tcPr>
          <w:p w14:paraId="5E457D4C" w14:textId="77777777" w:rsidR="002E73EB" w:rsidRPr="00FD672B" w:rsidRDefault="002E73EB" w:rsidP="004D5E3B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D672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88" w:type="dxa"/>
            <w:vAlign w:val="center"/>
          </w:tcPr>
          <w:p w14:paraId="2AE4A33A" w14:textId="77777777" w:rsidR="002E73EB" w:rsidRPr="00FD672B" w:rsidRDefault="002E73EB" w:rsidP="004D5E3B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1288" w:type="dxa"/>
            <w:vAlign w:val="center"/>
          </w:tcPr>
          <w:p w14:paraId="2056C103" w14:textId="77777777" w:rsidR="002E73EB" w:rsidRPr="00FD672B" w:rsidRDefault="002E73EB" w:rsidP="004D5E3B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1292" w:type="dxa"/>
            <w:vAlign w:val="center"/>
          </w:tcPr>
          <w:p w14:paraId="3B375ADE" w14:textId="77777777" w:rsidR="002E73EB" w:rsidRPr="00FD672B" w:rsidRDefault="002E73EB" w:rsidP="004D5E3B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</w:tr>
      <w:tr w:rsidR="002E73EB" w:rsidRPr="00FD672B" w14:paraId="5538D27A" w14:textId="77777777" w:rsidTr="004D5E3B">
        <w:tc>
          <w:tcPr>
            <w:tcW w:w="1413" w:type="dxa"/>
            <w:vAlign w:val="center"/>
          </w:tcPr>
          <w:p w14:paraId="56D44AB7" w14:textId="77777777" w:rsidR="002E73EB" w:rsidRPr="00FD672B" w:rsidRDefault="002E73EB" w:rsidP="004D5E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672B">
              <w:rPr>
                <w:rFonts w:asciiTheme="minorHAnsi" w:hAnsiTheme="minorHAnsi" w:cstheme="minorHAnsi"/>
                <w:sz w:val="20"/>
                <w:szCs w:val="20"/>
              </w:rPr>
              <w:t>012V012000020</w:t>
            </w:r>
          </w:p>
        </w:tc>
        <w:tc>
          <w:tcPr>
            <w:tcW w:w="1293" w:type="dxa"/>
            <w:vAlign w:val="center"/>
          </w:tcPr>
          <w:p w14:paraId="2943447F" w14:textId="77777777" w:rsidR="002E73EB" w:rsidRPr="00FD672B" w:rsidRDefault="002E73EB" w:rsidP="004D5E3B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D672B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1291" w:type="dxa"/>
            <w:vAlign w:val="center"/>
          </w:tcPr>
          <w:p w14:paraId="14A772D6" w14:textId="77777777" w:rsidR="002E73EB" w:rsidRPr="00FD672B" w:rsidRDefault="002E73EB" w:rsidP="004D5E3B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D672B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291" w:type="dxa"/>
            <w:vAlign w:val="center"/>
          </w:tcPr>
          <w:p w14:paraId="76ED4625" w14:textId="77777777" w:rsidR="002E73EB" w:rsidRPr="00FD672B" w:rsidRDefault="002E73EB" w:rsidP="004D5E3B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D672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88" w:type="dxa"/>
            <w:vAlign w:val="center"/>
          </w:tcPr>
          <w:p w14:paraId="07A8E172" w14:textId="77777777" w:rsidR="002E73EB" w:rsidRPr="00FD672B" w:rsidRDefault="002E73EB" w:rsidP="004D5E3B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D672B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288" w:type="dxa"/>
            <w:vAlign w:val="center"/>
          </w:tcPr>
          <w:p w14:paraId="74DD8A62" w14:textId="77777777" w:rsidR="002E73EB" w:rsidRPr="00FD672B" w:rsidRDefault="002E73EB" w:rsidP="004D5E3B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1292" w:type="dxa"/>
            <w:vAlign w:val="center"/>
          </w:tcPr>
          <w:p w14:paraId="7212C5BD" w14:textId="77777777" w:rsidR="002E73EB" w:rsidRPr="00FD672B" w:rsidRDefault="002E73EB" w:rsidP="004D5E3B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D672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2E73EB" w:rsidRPr="00FD672B" w14:paraId="49957C21" w14:textId="77777777" w:rsidTr="004D5E3B">
        <w:tc>
          <w:tcPr>
            <w:tcW w:w="1413" w:type="dxa"/>
            <w:vAlign w:val="center"/>
          </w:tcPr>
          <w:p w14:paraId="7FEF8508" w14:textId="77777777" w:rsidR="002E73EB" w:rsidRPr="00FD672B" w:rsidRDefault="002E73EB" w:rsidP="004D5E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672B">
              <w:rPr>
                <w:rFonts w:asciiTheme="minorHAnsi" w:hAnsiTheme="minorHAnsi" w:cstheme="minorHAnsi"/>
                <w:sz w:val="20"/>
                <w:szCs w:val="20"/>
              </w:rPr>
              <w:t>012V012006000</w:t>
            </w:r>
          </w:p>
        </w:tc>
        <w:tc>
          <w:tcPr>
            <w:tcW w:w="1293" w:type="dxa"/>
            <w:vAlign w:val="center"/>
          </w:tcPr>
          <w:p w14:paraId="22CF87A2" w14:textId="77777777" w:rsidR="002E73EB" w:rsidRPr="00FD672B" w:rsidRDefault="002E73EB" w:rsidP="004D5E3B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D672B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91" w:type="dxa"/>
            <w:vAlign w:val="center"/>
          </w:tcPr>
          <w:p w14:paraId="0E9311EB" w14:textId="77777777" w:rsidR="002E73EB" w:rsidRPr="00FD672B" w:rsidRDefault="002E73EB" w:rsidP="004D5E3B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D672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91" w:type="dxa"/>
            <w:vAlign w:val="center"/>
          </w:tcPr>
          <w:p w14:paraId="3B232376" w14:textId="77777777" w:rsidR="002E73EB" w:rsidRPr="00FD672B" w:rsidRDefault="002E73EB" w:rsidP="004D5E3B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1288" w:type="dxa"/>
            <w:vAlign w:val="center"/>
          </w:tcPr>
          <w:p w14:paraId="4E143D75" w14:textId="77777777" w:rsidR="002E73EB" w:rsidRPr="00FD672B" w:rsidRDefault="002E73EB" w:rsidP="004D5E3B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D672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88" w:type="dxa"/>
            <w:vAlign w:val="center"/>
          </w:tcPr>
          <w:p w14:paraId="7986984D" w14:textId="77777777" w:rsidR="002E73EB" w:rsidRPr="00FD672B" w:rsidRDefault="002E73EB" w:rsidP="004D5E3B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1292" w:type="dxa"/>
            <w:vAlign w:val="center"/>
          </w:tcPr>
          <w:p w14:paraId="3B8DCA45" w14:textId="77777777" w:rsidR="002E73EB" w:rsidRPr="00FD672B" w:rsidRDefault="002E73EB" w:rsidP="004D5E3B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D672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2E73EB" w:rsidRPr="00FD672B" w14:paraId="256705CB" w14:textId="77777777" w:rsidTr="004D5E3B">
        <w:tc>
          <w:tcPr>
            <w:tcW w:w="1413" w:type="dxa"/>
            <w:vAlign w:val="center"/>
          </w:tcPr>
          <w:p w14:paraId="06C7C746" w14:textId="77777777" w:rsidR="002E73EB" w:rsidRPr="00FD672B" w:rsidRDefault="002E73EB" w:rsidP="004D5E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672B">
              <w:rPr>
                <w:rFonts w:asciiTheme="minorHAnsi" w:hAnsiTheme="minorHAnsi" w:cstheme="minorHAnsi"/>
                <w:sz w:val="20"/>
                <w:szCs w:val="20"/>
              </w:rPr>
              <w:t>012V012006001</w:t>
            </w:r>
          </w:p>
        </w:tc>
        <w:tc>
          <w:tcPr>
            <w:tcW w:w="1293" w:type="dxa"/>
            <w:vAlign w:val="center"/>
          </w:tcPr>
          <w:p w14:paraId="39346E45" w14:textId="77777777" w:rsidR="002E73EB" w:rsidRPr="00FD672B" w:rsidRDefault="002E73EB" w:rsidP="004D5E3B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D672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91" w:type="dxa"/>
            <w:vAlign w:val="center"/>
          </w:tcPr>
          <w:p w14:paraId="2B771C7E" w14:textId="77777777" w:rsidR="002E73EB" w:rsidRPr="00FD672B" w:rsidRDefault="002E73EB" w:rsidP="004D5E3B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D672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14:paraId="138CD5EF" w14:textId="77777777" w:rsidR="002E73EB" w:rsidRPr="00FD672B" w:rsidRDefault="002E73EB" w:rsidP="004D5E3B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1288" w:type="dxa"/>
            <w:vAlign w:val="center"/>
          </w:tcPr>
          <w:p w14:paraId="1CF7E23B" w14:textId="77777777" w:rsidR="002E73EB" w:rsidRPr="00FD672B" w:rsidRDefault="002E73EB" w:rsidP="004D5E3B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1288" w:type="dxa"/>
            <w:vAlign w:val="center"/>
          </w:tcPr>
          <w:p w14:paraId="6CAEB1F2" w14:textId="77777777" w:rsidR="002E73EB" w:rsidRPr="00FD672B" w:rsidRDefault="002E73EB" w:rsidP="004D5E3B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1292" w:type="dxa"/>
            <w:vAlign w:val="center"/>
          </w:tcPr>
          <w:p w14:paraId="04ED79D1" w14:textId="77777777" w:rsidR="002E73EB" w:rsidRPr="00FD672B" w:rsidRDefault="002E73EB" w:rsidP="004D5E3B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</w:tr>
      <w:tr w:rsidR="002E73EB" w:rsidRPr="00FD672B" w14:paraId="1D72DB61" w14:textId="77777777" w:rsidTr="004D5E3B">
        <w:tc>
          <w:tcPr>
            <w:tcW w:w="1413" w:type="dxa"/>
            <w:vAlign w:val="center"/>
          </w:tcPr>
          <w:p w14:paraId="7C55FF6E" w14:textId="77777777" w:rsidR="002E73EB" w:rsidRPr="00FD672B" w:rsidRDefault="002E73EB" w:rsidP="004D5E3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72B">
              <w:rPr>
                <w:rFonts w:asciiTheme="minorHAnsi" w:hAnsiTheme="minorHAnsi" w:cstheme="minorHAnsi"/>
                <w:b/>
                <w:sz w:val="20"/>
                <w:szCs w:val="20"/>
              </w:rPr>
              <w:t>Celkem</w:t>
            </w:r>
          </w:p>
        </w:tc>
        <w:tc>
          <w:tcPr>
            <w:tcW w:w="1293" w:type="dxa"/>
            <w:vAlign w:val="center"/>
          </w:tcPr>
          <w:p w14:paraId="0A351221" w14:textId="77777777" w:rsidR="002E73EB" w:rsidRPr="00FD672B" w:rsidRDefault="002E73EB" w:rsidP="004D5E3B">
            <w:pPr>
              <w:ind w:right="57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72B">
              <w:rPr>
                <w:rFonts w:asciiTheme="minorHAnsi" w:hAnsiTheme="minorHAnsi" w:cstheme="minorHAnsi"/>
                <w:b/>
                <w:sz w:val="20"/>
                <w:szCs w:val="20"/>
              </w:rPr>
              <w:t>85</w:t>
            </w:r>
          </w:p>
        </w:tc>
        <w:tc>
          <w:tcPr>
            <w:tcW w:w="1291" w:type="dxa"/>
            <w:vAlign w:val="center"/>
          </w:tcPr>
          <w:p w14:paraId="31053682" w14:textId="77777777" w:rsidR="002E73EB" w:rsidRPr="00FD672B" w:rsidRDefault="002E73EB" w:rsidP="004D5E3B">
            <w:pPr>
              <w:ind w:right="57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72B">
              <w:rPr>
                <w:rFonts w:asciiTheme="minorHAnsi" w:hAnsiTheme="minorHAnsi" w:cstheme="minorHAnsi"/>
                <w:b/>
                <w:sz w:val="20"/>
                <w:szCs w:val="20"/>
              </w:rPr>
              <w:t>52</w:t>
            </w:r>
          </w:p>
        </w:tc>
        <w:tc>
          <w:tcPr>
            <w:tcW w:w="1291" w:type="dxa"/>
            <w:vAlign w:val="center"/>
          </w:tcPr>
          <w:p w14:paraId="3008EDBF" w14:textId="77777777" w:rsidR="002E73EB" w:rsidRPr="00FD672B" w:rsidRDefault="002E73EB" w:rsidP="004D5E3B">
            <w:pPr>
              <w:ind w:right="57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72B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288" w:type="dxa"/>
            <w:vAlign w:val="center"/>
          </w:tcPr>
          <w:p w14:paraId="61958E07" w14:textId="77777777" w:rsidR="002E73EB" w:rsidRPr="00FD672B" w:rsidRDefault="002E73EB" w:rsidP="004D5E3B">
            <w:pPr>
              <w:ind w:right="57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72B">
              <w:rPr>
                <w:rFonts w:asciiTheme="minorHAnsi" w:hAnsiTheme="minorHAnsi" w:cstheme="minorHAnsi"/>
                <w:b/>
                <w:sz w:val="20"/>
                <w:szCs w:val="20"/>
              </w:rPr>
              <w:t>36</w:t>
            </w:r>
          </w:p>
        </w:tc>
        <w:tc>
          <w:tcPr>
            <w:tcW w:w="1288" w:type="dxa"/>
            <w:vAlign w:val="center"/>
          </w:tcPr>
          <w:p w14:paraId="417693FC" w14:textId="77777777" w:rsidR="002E73EB" w:rsidRPr="00FD672B" w:rsidRDefault="002E73EB" w:rsidP="004D5E3B">
            <w:pPr>
              <w:ind w:right="57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72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92" w:type="dxa"/>
            <w:vAlign w:val="center"/>
          </w:tcPr>
          <w:p w14:paraId="7D180488" w14:textId="77777777" w:rsidR="002E73EB" w:rsidRPr="00FD672B" w:rsidRDefault="002E73EB" w:rsidP="004D5E3B">
            <w:pPr>
              <w:ind w:right="57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72B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</w:tr>
    </w:tbl>
    <w:p w14:paraId="6608FC7A" w14:textId="659005A0" w:rsidR="008D5E31" w:rsidRPr="000475A3" w:rsidRDefault="008D5E31" w:rsidP="008D5E31">
      <w:pPr>
        <w:rPr>
          <w:rFonts w:cstheme="minorHAnsi"/>
          <w:sz w:val="22"/>
        </w:rPr>
      </w:pPr>
      <w:r w:rsidRPr="00156F1B">
        <w:rPr>
          <w:rFonts w:cstheme="minorHAnsi"/>
          <w:b/>
          <w:sz w:val="22"/>
        </w:rPr>
        <w:t>Zdroj:</w:t>
      </w:r>
      <w:r w:rsidRPr="008C7C29">
        <w:rPr>
          <w:rFonts w:cstheme="minorHAnsi"/>
          <w:sz w:val="22"/>
        </w:rPr>
        <w:t xml:space="preserve"> </w:t>
      </w:r>
      <w:r w:rsidR="002E73EB">
        <w:rPr>
          <w:rFonts w:cstheme="minorHAnsi"/>
          <w:sz w:val="22"/>
        </w:rPr>
        <w:t xml:space="preserve">informace MF; </w:t>
      </w:r>
      <w:r>
        <w:rPr>
          <w:rFonts w:cstheme="minorHAnsi"/>
          <w:sz w:val="22"/>
        </w:rPr>
        <w:t xml:space="preserve">vlastní zpracování </w:t>
      </w:r>
      <w:r w:rsidRPr="008C7C29">
        <w:rPr>
          <w:rFonts w:cstheme="minorHAnsi"/>
          <w:sz w:val="22"/>
        </w:rPr>
        <w:t>NKÚ</w:t>
      </w:r>
      <w:r w:rsidR="00156F1B">
        <w:rPr>
          <w:rFonts w:cstheme="minorHAnsi"/>
          <w:sz w:val="22"/>
        </w:rPr>
        <w:t>.</w:t>
      </w:r>
    </w:p>
    <w:p w14:paraId="038E0404" w14:textId="77777777" w:rsidR="005F6B34" w:rsidRDefault="005F6B34" w:rsidP="008D5E31">
      <w:pPr>
        <w:spacing w:line="280" w:lineRule="atLeast"/>
        <w:rPr>
          <w:rFonts w:cstheme="minorHAnsi"/>
        </w:rPr>
      </w:pPr>
    </w:p>
    <w:p w14:paraId="596B16D7" w14:textId="6D0A8FE3" w:rsidR="008D5E31" w:rsidRPr="00AC6824" w:rsidRDefault="008D5E31" w:rsidP="008D5E31">
      <w:pPr>
        <w:spacing w:line="280" w:lineRule="atLeast"/>
        <w:rPr>
          <w:rFonts w:cstheme="minorHAnsi"/>
        </w:rPr>
      </w:pPr>
      <w:r w:rsidRPr="00AC6824">
        <w:rPr>
          <w:rFonts w:cstheme="minorHAnsi"/>
        </w:rPr>
        <w:t xml:space="preserve">MF rovněž nepostupovalo v souladu se zákonem č. 499/2004 Sb., </w:t>
      </w:r>
      <w:r>
        <w:rPr>
          <w:rFonts w:cstheme="minorHAnsi"/>
        </w:rPr>
        <w:t>a to v případě dvou investičních akcí, ke kterým nepředložilo investiční záměr, příp.</w:t>
      </w:r>
      <w:r w:rsidR="002E73EB">
        <w:rPr>
          <w:rFonts w:cstheme="minorHAnsi"/>
        </w:rPr>
        <w:t xml:space="preserve"> </w:t>
      </w:r>
      <w:r>
        <w:rPr>
          <w:rFonts w:cstheme="minorHAnsi"/>
        </w:rPr>
        <w:t xml:space="preserve">jeho schválení. V obou případech uvedlo, </w:t>
      </w:r>
      <w:r>
        <w:rPr>
          <w:rFonts w:cstheme="minorHAnsi"/>
          <w:szCs w:val="22"/>
        </w:rPr>
        <w:t xml:space="preserve">že dokument </w:t>
      </w:r>
      <w:r w:rsidR="00EC5282">
        <w:rPr>
          <w:rFonts w:cstheme="minorHAnsi"/>
          <w:szCs w:val="22"/>
        </w:rPr>
        <w:t>nedohledalo</w:t>
      </w:r>
      <w:r w:rsidR="00EA241B">
        <w:rPr>
          <w:rFonts w:cstheme="minorHAnsi"/>
          <w:szCs w:val="22"/>
        </w:rPr>
        <w:t xml:space="preserve">, </w:t>
      </w:r>
      <w:r w:rsidR="009F6A5C">
        <w:rPr>
          <w:rFonts w:cstheme="minorHAnsi"/>
          <w:szCs w:val="22"/>
        </w:rPr>
        <w:t>proto</w:t>
      </w:r>
      <w:r w:rsidR="00EA241B">
        <w:rPr>
          <w:rFonts w:cstheme="minorHAnsi"/>
          <w:szCs w:val="22"/>
        </w:rPr>
        <w:t xml:space="preserve">že </w:t>
      </w:r>
      <w:r w:rsidR="00711FAC">
        <w:rPr>
          <w:rFonts w:cstheme="minorHAnsi"/>
          <w:szCs w:val="22"/>
        </w:rPr>
        <w:t xml:space="preserve">nebyl vložen do elektronického systému spisové služby a </w:t>
      </w:r>
      <w:r w:rsidR="00EA241B">
        <w:rPr>
          <w:rFonts w:cstheme="minorHAnsi"/>
          <w:szCs w:val="22"/>
        </w:rPr>
        <w:t>došlo k</w:t>
      </w:r>
      <w:r w:rsidR="00711FAC">
        <w:rPr>
          <w:rFonts w:cstheme="minorHAnsi"/>
          <w:szCs w:val="22"/>
        </w:rPr>
        <w:t xml:space="preserve"> jeho</w:t>
      </w:r>
      <w:r w:rsidR="00EA241B">
        <w:rPr>
          <w:rFonts w:cstheme="minorHAnsi"/>
          <w:szCs w:val="22"/>
        </w:rPr>
        <w:t xml:space="preserve"> ztrátě. </w:t>
      </w:r>
      <w:r w:rsidR="00EC5282" w:rsidRPr="00673176">
        <w:rPr>
          <w:rFonts w:cstheme="minorHAnsi"/>
        </w:rPr>
        <w:t xml:space="preserve">MF </w:t>
      </w:r>
      <w:r w:rsidR="00EC5282">
        <w:rPr>
          <w:rFonts w:cstheme="minorHAnsi"/>
        </w:rPr>
        <w:t xml:space="preserve">dále </w:t>
      </w:r>
      <w:r w:rsidR="00EC5282" w:rsidRPr="00673176">
        <w:rPr>
          <w:rFonts w:cstheme="minorHAnsi"/>
        </w:rPr>
        <w:t xml:space="preserve">nepředložilo </w:t>
      </w:r>
      <w:r w:rsidR="00B10ED6">
        <w:rPr>
          <w:rFonts w:cstheme="minorHAnsi"/>
        </w:rPr>
        <w:t xml:space="preserve">doklady a písemnosti, ze kterých vyplývá schválení a </w:t>
      </w:r>
      <w:r w:rsidR="00EC5282">
        <w:rPr>
          <w:rFonts w:cstheme="minorHAnsi"/>
        </w:rPr>
        <w:t xml:space="preserve">uzavření dodatků k nájemní smlouvě na pronájem pozemků v Letňanech. </w:t>
      </w:r>
      <w:r w:rsidR="00EC5282">
        <w:rPr>
          <w:rFonts w:cstheme="minorHAnsi"/>
        </w:rPr>
        <w:lastRenderedPageBreak/>
        <w:t xml:space="preserve">Ve všech uvedených případech neplnilo </w:t>
      </w:r>
      <w:r w:rsidR="009F6A5C">
        <w:rPr>
          <w:rFonts w:cstheme="minorHAnsi"/>
        </w:rPr>
        <w:t xml:space="preserve">MF </w:t>
      </w:r>
      <w:r w:rsidR="00EC5282">
        <w:rPr>
          <w:rFonts w:cstheme="minorHAnsi"/>
        </w:rPr>
        <w:t>povinnost uchovávat dokumenty</w:t>
      </w:r>
      <w:r w:rsidR="007F5C63">
        <w:rPr>
          <w:rFonts w:cstheme="minorHAnsi"/>
        </w:rPr>
        <w:t>,</w:t>
      </w:r>
      <w:r w:rsidR="00EC5282">
        <w:rPr>
          <w:rFonts w:cstheme="minorHAnsi"/>
        </w:rPr>
        <w:t xml:space="preserve"> nepostupovalo </w:t>
      </w:r>
      <w:r w:rsidR="007F5C63">
        <w:rPr>
          <w:rFonts w:cstheme="minorHAnsi"/>
        </w:rPr>
        <w:t>tudíž</w:t>
      </w:r>
      <w:r w:rsidR="00EC5282">
        <w:rPr>
          <w:rFonts w:cstheme="minorHAnsi"/>
        </w:rPr>
        <w:t xml:space="preserve"> </w:t>
      </w:r>
      <w:r>
        <w:rPr>
          <w:rFonts w:cstheme="minorHAnsi"/>
          <w:szCs w:val="22"/>
        </w:rPr>
        <w:t>v</w:t>
      </w:r>
      <w:r w:rsidR="007F5C63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souladu s</w:t>
      </w:r>
      <w:r w:rsidR="007F5C63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 xml:space="preserve">ustanovením </w:t>
      </w:r>
      <w:r w:rsidRPr="001E4D01">
        <w:rPr>
          <w:rFonts w:cstheme="minorHAnsi"/>
          <w:szCs w:val="22"/>
        </w:rPr>
        <w:t>§ 68 odst.</w:t>
      </w:r>
      <w:r w:rsidR="007F5C63">
        <w:rPr>
          <w:rFonts w:cstheme="minorHAnsi"/>
          <w:szCs w:val="22"/>
        </w:rPr>
        <w:t xml:space="preserve"> </w:t>
      </w:r>
      <w:r w:rsidRPr="001E4D01">
        <w:rPr>
          <w:rFonts w:cstheme="minorHAnsi"/>
          <w:szCs w:val="22"/>
        </w:rPr>
        <w:t>1 zákona č. 499/2004</w:t>
      </w:r>
      <w:r w:rsidR="007F5C63">
        <w:rPr>
          <w:rFonts w:cstheme="minorHAnsi"/>
          <w:szCs w:val="22"/>
        </w:rPr>
        <w:t> </w:t>
      </w:r>
      <w:r w:rsidRPr="001E4D01">
        <w:rPr>
          <w:rFonts w:cstheme="minorHAnsi"/>
          <w:szCs w:val="22"/>
        </w:rPr>
        <w:t>Sb.</w:t>
      </w:r>
    </w:p>
    <w:p w14:paraId="7C580DB2" w14:textId="77777777" w:rsidR="008D5E31" w:rsidRDefault="008D5E31" w:rsidP="008D5E31">
      <w:pPr>
        <w:rPr>
          <w:rFonts w:cstheme="minorHAnsi"/>
        </w:rPr>
      </w:pPr>
    </w:p>
    <w:p w14:paraId="2E436C53" w14:textId="51E39856" w:rsidR="00EE392E" w:rsidRPr="00EB1459" w:rsidRDefault="00A26514" w:rsidP="0064513D">
      <w:pPr>
        <w:spacing w:line="280" w:lineRule="atLeast"/>
        <w:rPr>
          <w:rFonts w:cstheme="minorHAnsi"/>
          <w:b/>
        </w:rPr>
      </w:pPr>
      <w:r w:rsidRPr="00EB1459">
        <w:rPr>
          <w:rFonts w:cstheme="minorHAnsi"/>
          <w:b/>
        </w:rPr>
        <w:t>IV.</w:t>
      </w:r>
      <w:r w:rsidR="00FE00B6" w:rsidRPr="00EB1459">
        <w:rPr>
          <w:rFonts w:cstheme="minorHAnsi"/>
          <w:b/>
        </w:rPr>
        <w:t>2</w:t>
      </w:r>
      <w:r w:rsidRPr="00EB1459">
        <w:rPr>
          <w:rFonts w:cstheme="minorHAnsi"/>
          <w:b/>
        </w:rPr>
        <w:t xml:space="preserve">. </w:t>
      </w:r>
      <w:r w:rsidR="00EB1459" w:rsidRPr="00EB1459">
        <w:rPr>
          <w:rFonts w:cstheme="minorHAnsi"/>
          <w:b/>
        </w:rPr>
        <w:t xml:space="preserve">Závěrečné vyhodnocení </w:t>
      </w:r>
      <w:r w:rsidR="00EE392E" w:rsidRPr="00EB1459">
        <w:rPr>
          <w:rFonts w:cstheme="minorHAnsi"/>
          <w:b/>
        </w:rPr>
        <w:t xml:space="preserve">programu 112V01 </w:t>
      </w:r>
    </w:p>
    <w:p w14:paraId="07B0647E" w14:textId="77777777" w:rsidR="00A26514" w:rsidRDefault="00A26514" w:rsidP="00A26514">
      <w:pPr>
        <w:rPr>
          <w:rFonts w:cstheme="minorHAnsi"/>
        </w:rPr>
      </w:pPr>
    </w:p>
    <w:p w14:paraId="397D205F" w14:textId="70F99313" w:rsidR="00EE392E" w:rsidRDefault="00EA2358" w:rsidP="00A26514">
      <w:r>
        <w:t>V souvislosti s kontrolou postupu MF při závěrečném vyhodnocení programu 112V01 NKÚ zjistil, že d</w:t>
      </w:r>
      <w:r w:rsidR="00EE392E">
        <w:t>le dokumentace programu 112V01 měla být primárním kritériem pro zařazení akcí do tohoto programu potřeba</w:t>
      </w:r>
      <w:r>
        <w:t>. MF uvedlo, že</w:t>
      </w:r>
      <w:r w:rsidR="00EE392E">
        <w:t xml:space="preserve"> hlavním kritériem v rámci celého programu byla ve skutečnosti výše přidělených </w:t>
      </w:r>
      <w:r w:rsidR="001A58FC">
        <w:t>peněžních prostředků státního rozpočtu</w:t>
      </w:r>
      <w:r w:rsidR="00EE392E">
        <w:t xml:space="preserve">, aktuální potřeba vyplývající ze skutečného stavu tak byla až následným kritériem. </w:t>
      </w:r>
    </w:p>
    <w:p w14:paraId="0B5C6633" w14:textId="77777777" w:rsidR="00EE392E" w:rsidRDefault="00EE392E" w:rsidP="00A26514"/>
    <w:p w14:paraId="4C3C8C61" w14:textId="500EBE69" w:rsidR="00F63029" w:rsidRDefault="00EE392E" w:rsidP="00A26514">
      <w:pPr>
        <w:rPr>
          <w:rFonts w:cstheme="minorHAnsi"/>
          <w:bCs/>
        </w:rPr>
      </w:pPr>
      <w:r>
        <w:t>Do podprogramu 112V011 nezařazovalo MF akce dle stanovených parametrů</w:t>
      </w:r>
      <w:r>
        <w:rPr>
          <w:rStyle w:val="Znakapoznpodarou"/>
        </w:rPr>
        <w:footnoteReference w:id="8"/>
      </w:r>
      <w:r>
        <w:t>, ale zařazovalo do ně</w:t>
      </w:r>
      <w:r w:rsidR="00711FAC">
        <w:t>j</w:t>
      </w:r>
      <w:r>
        <w:t xml:space="preserve"> veškeré výdaje související s ICT, aniž by ověřovalo, zda dané akce naplňují stanovené parametry</w:t>
      </w:r>
      <w:r w:rsidR="00C66667">
        <w:t xml:space="preserve"> programu</w:t>
      </w:r>
      <w:r>
        <w:t xml:space="preserve">. </w:t>
      </w:r>
      <w:r w:rsidR="00F63029" w:rsidRPr="00F63029">
        <w:rPr>
          <w:rFonts w:cstheme="minorHAnsi"/>
          <w:bCs/>
        </w:rPr>
        <w:t>Z celkem 73 akcí zařazených do tohoto podprogramu neplnilo žádný ze stanovených čtyř parametrů celkem 17 realizovaných akcí. Přehled akcí, kterým nelze přiřadit žádný parametr</w:t>
      </w:r>
      <w:r w:rsidR="00C66667">
        <w:rPr>
          <w:rFonts w:cstheme="minorHAnsi"/>
          <w:bCs/>
        </w:rPr>
        <w:t xml:space="preserve"> programu</w:t>
      </w:r>
      <w:r w:rsidR="00F63029" w:rsidRPr="00F63029">
        <w:rPr>
          <w:rFonts w:cstheme="minorHAnsi"/>
          <w:bCs/>
        </w:rPr>
        <w:t>, je uveden v příloze č. 1</w:t>
      </w:r>
      <w:r w:rsidR="008835A7">
        <w:rPr>
          <w:rFonts w:cstheme="minorHAnsi"/>
          <w:bCs/>
        </w:rPr>
        <w:t xml:space="preserve"> (tabulka č. 1)</w:t>
      </w:r>
      <w:r w:rsidR="00F63029" w:rsidRPr="00F63029">
        <w:rPr>
          <w:rFonts w:cstheme="minorHAnsi"/>
          <w:bCs/>
        </w:rPr>
        <w:t xml:space="preserve">. Tyto akce </w:t>
      </w:r>
      <w:r w:rsidR="00711FAC">
        <w:rPr>
          <w:rFonts w:cstheme="minorHAnsi"/>
          <w:bCs/>
        </w:rPr>
        <w:t>Ministerstvo financí</w:t>
      </w:r>
      <w:r w:rsidR="00F63029" w:rsidRPr="00F63029">
        <w:rPr>
          <w:rFonts w:cstheme="minorHAnsi"/>
          <w:bCs/>
        </w:rPr>
        <w:t xml:space="preserve"> z pohledu naplnění parametrů podprogramu 112V011 nijak ve</w:t>
      </w:r>
      <w:r w:rsidR="004E0595">
        <w:rPr>
          <w:rFonts w:cstheme="minorHAnsi"/>
          <w:bCs/>
        </w:rPr>
        <w:t xml:space="preserve"> </w:t>
      </w:r>
      <w:r w:rsidR="00F63029" w:rsidRPr="00F63029">
        <w:rPr>
          <w:rFonts w:cstheme="minorHAnsi"/>
          <w:bCs/>
        </w:rPr>
        <w:t>zprávách pro závěrečné vyhodnocení programu a podprogramu nevyhodnocovalo.</w:t>
      </w:r>
      <w:r w:rsidR="00F63029">
        <w:rPr>
          <w:rFonts w:cstheme="minorHAnsi"/>
          <w:bCs/>
        </w:rPr>
        <w:t xml:space="preserve"> </w:t>
      </w:r>
    </w:p>
    <w:p w14:paraId="0960DF82" w14:textId="77777777" w:rsidR="00F63029" w:rsidRDefault="00F63029" w:rsidP="00A26514">
      <w:pPr>
        <w:rPr>
          <w:rFonts w:cstheme="minorHAnsi"/>
          <w:bCs/>
        </w:rPr>
      </w:pPr>
    </w:p>
    <w:p w14:paraId="372442F2" w14:textId="2A6ADC08" w:rsidR="00A26514" w:rsidRPr="00C0223A" w:rsidRDefault="00711FAC" w:rsidP="00C0223A">
      <w:r>
        <w:t>K</w:t>
      </w:r>
      <w:r w:rsidR="00F63029">
        <w:t>ontrol</w:t>
      </w:r>
      <w:r>
        <w:t>ou</w:t>
      </w:r>
      <w:r w:rsidR="00F63029">
        <w:t xml:space="preserve"> postupu MF při závěrečném vyhodnocení programu 112V01 </w:t>
      </w:r>
      <w:r>
        <w:t xml:space="preserve">bylo </w:t>
      </w:r>
      <w:r w:rsidR="00F63029">
        <w:t>zji</w:t>
      </w:r>
      <w:r>
        <w:t>štěno</w:t>
      </w:r>
      <w:r w:rsidR="00F63029">
        <w:t xml:space="preserve">, že </w:t>
      </w:r>
      <w:r w:rsidR="00D457FF">
        <w:rPr>
          <w:rFonts w:cstheme="minorHAnsi"/>
          <w:bCs/>
        </w:rPr>
        <w:t xml:space="preserve">MF </w:t>
      </w:r>
      <w:r w:rsidR="00F63029">
        <w:t>v</w:t>
      </w:r>
      <w:r w:rsidR="00F63029">
        <w:rPr>
          <w:rFonts w:cstheme="minorHAnsi"/>
          <w:bCs/>
        </w:rPr>
        <w:t>e zprávě pro závěrečné vyhodnocení podprogramu 112V011 vyhodno</w:t>
      </w:r>
      <w:r w:rsidR="00D54A4E">
        <w:rPr>
          <w:rFonts w:cstheme="minorHAnsi"/>
          <w:bCs/>
        </w:rPr>
        <w:t>tilo</w:t>
      </w:r>
      <w:r w:rsidR="00F63029">
        <w:rPr>
          <w:rFonts w:cstheme="minorHAnsi"/>
          <w:bCs/>
        </w:rPr>
        <w:t xml:space="preserve"> pouze </w:t>
      </w:r>
      <w:r w:rsidR="00F63029" w:rsidRPr="00C0223A">
        <w:rPr>
          <w:rFonts w:cstheme="minorHAnsi"/>
          <w:bCs/>
        </w:rPr>
        <w:t xml:space="preserve">vybrané </w:t>
      </w:r>
      <w:r w:rsidR="00F63029" w:rsidRPr="00C0223A">
        <w:rPr>
          <w:rFonts w:cstheme="minorHAnsi"/>
          <w:bCs/>
          <w:szCs w:val="22"/>
        </w:rPr>
        <w:t>dílčí cíle</w:t>
      </w:r>
      <w:r w:rsidR="00D457FF">
        <w:rPr>
          <w:rFonts w:cstheme="minorHAnsi"/>
          <w:bCs/>
          <w:szCs w:val="22"/>
        </w:rPr>
        <w:t xml:space="preserve"> u </w:t>
      </w:r>
      <w:r w:rsidR="00F63029" w:rsidRPr="00C0223A">
        <w:rPr>
          <w:rFonts w:cstheme="minorHAnsi"/>
          <w:bCs/>
          <w:szCs w:val="22"/>
        </w:rPr>
        <w:t>22 akcí z celkových 73</w:t>
      </w:r>
      <w:r w:rsidR="00F84081">
        <w:rPr>
          <w:rFonts w:cstheme="minorHAnsi"/>
          <w:bCs/>
          <w:szCs w:val="22"/>
        </w:rPr>
        <w:t>.</w:t>
      </w:r>
      <w:r w:rsidR="00EE56CF">
        <w:rPr>
          <w:rFonts w:cstheme="minorHAnsi"/>
          <w:bCs/>
          <w:szCs w:val="22"/>
        </w:rPr>
        <w:t xml:space="preserve"> </w:t>
      </w:r>
      <w:r w:rsidR="004E0CC7">
        <w:rPr>
          <w:rFonts w:cstheme="minorHAnsi"/>
          <w:bCs/>
          <w:szCs w:val="22"/>
        </w:rPr>
        <w:t>MF žádným způsobem nevyhodno</w:t>
      </w:r>
      <w:r w:rsidR="00D54A4E">
        <w:rPr>
          <w:rFonts w:cstheme="minorHAnsi"/>
          <w:bCs/>
          <w:szCs w:val="22"/>
        </w:rPr>
        <w:t>tilo</w:t>
      </w:r>
      <w:r w:rsidR="004E0CC7">
        <w:rPr>
          <w:rFonts w:cstheme="minorHAnsi"/>
          <w:bCs/>
          <w:szCs w:val="22"/>
        </w:rPr>
        <w:t xml:space="preserve"> 51 akcí podprogramu</w:t>
      </w:r>
      <w:r w:rsidR="00F63029" w:rsidRPr="00C0223A">
        <w:rPr>
          <w:rFonts w:cstheme="minorHAnsi"/>
          <w:bCs/>
          <w:szCs w:val="22"/>
        </w:rPr>
        <w:t xml:space="preserve">. </w:t>
      </w:r>
      <w:r w:rsidR="00A26514" w:rsidRPr="00C0223A">
        <w:rPr>
          <w:rFonts w:cstheme="minorHAnsi"/>
          <w:bCs/>
        </w:rPr>
        <w:t>Přehled akcí, u kterých nebyl</w:t>
      </w:r>
      <w:r w:rsidR="00D457FF">
        <w:rPr>
          <w:rFonts w:cstheme="minorHAnsi"/>
          <w:bCs/>
        </w:rPr>
        <w:t>y</w:t>
      </w:r>
      <w:r w:rsidR="00A26514" w:rsidRPr="00C0223A">
        <w:rPr>
          <w:rFonts w:cstheme="minorHAnsi"/>
          <w:bCs/>
        </w:rPr>
        <w:t xml:space="preserve"> </w:t>
      </w:r>
      <w:r w:rsidR="00A26514" w:rsidRPr="00C0223A">
        <w:rPr>
          <w:rFonts w:cstheme="minorHAnsi"/>
          <w:bCs/>
          <w:szCs w:val="22"/>
        </w:rPr>
        <w:t>ve</w:t>
      </w:r>
      <w:r w:rsidR="00D457FF">
        <w:rPr>
          <w:rFonts w:cstheme="minorHAnsi"/>
          <w:bCs/>
          <w:szCs w:val="22"/>
        </w:rPr>
        <w:t xml:space="preserve"> </w:t>
      </w:r>
      <w:r w:rsidR="00A26514" w:rsidRPr="00C0223A">
        <w:rPr>
          <w:rFonts w:cstheme="minorHAnsi"/>
          <w:bCs/>
          <w:szCs w:val="22"/>
        </w:rPr>
        <w:t>zprávě pro</w:t>
      </w:r>
      <w:r w:rsidR="00D457FF">
        <w:rPr>
          <w:rFonts w:cstheme="minorHAnsi"/>
          <w:bCs/>
          <w:szCs w:val="22"/>
        </w:rPr>
        <w:t xml:space="preserve"> </w:t>
      </w:r>
      <w:r w:rsidR="00A26514" w:rsidRPr="00C0223A">
        <w:rPr>
          <w:rFonts w:cstheme="minorHAnsi"/>
          <w:bCs/>
          <w:szCs w:val="22"/>
        </w:rPr>
        <w:t>závěrečné vyhodnocení podprogramu</w:t>
      </w:r>
      <w:r w:rsidR="00A26514" w:rsidRPr="00C0223A">
        <w:rPr>
          <w:rFonts w:cstheme="minorHAnsi"/>
          <w:bCs/>
        </w:rPr>
        <w:t xml:space="preserve"> vyhodnoc</w:t>
      </w:r>
      <w:r w:rsidR="00D457FF">
        <w:rPr>
          <w:rFonts w:cstheme="minorHAnsi"/>
          <w:bCs/>
        </w:rPr>
        <w:t xml:space="preserve">eny </w:t>
      </w:r>
      <w:r w:rsidR="00A26514" w:rsidRPr="00C0223A">
        <w:rPr>
          <w:rFonts w:cstheme="minorHAnsi"/>
          <w:bCs/>
        </w:rPr>
        <w:t>dílčí cíl</w:t>
      </w:r>
      <w:r w:rsidR="00D457FF">
        <w:rPr>
          <w:rFonts w:cstheme="minorHAnsi"/>
          <w:bCs/>
        </w:rPr>
        <w:t>e</w:t>
      </w:r>
      <w:r w:rsidR="00A26514" w:rsidRPr="00C0223A">
        <w:rPr>
          <w:rFonts w:cstheme="minorHAnsi"/>
          <w:bCs/>
        </w:rPr>
        <w:t>, je uveden v příloze č. 1</w:t>
      </w:r>
      <w:r w:rsidR="008835A7">
        <w:rPr>
          <w:rFonts w:cstheme="minorHAnsi"/>
          <w:bCs/>
        </w:rPr>
        <w:t xml:space="preserve"> (tabulka č. 2)</w:t>
      </w:r>
      <w:r w:rsidR="00A26514" w:rsidRPr="00C0223A">
        <w:rPr>
          <w:rFonts w:cstheme="minorHAnsi"/>
          <w:bCs/>
        </w:rPr>
        <w:t xml:space="preserve">. </w:t>
      </w:r>
    </w:p>
    <w:p w14:paraId="681E9DF3" w14:textId="77777777" w:rsidR="008324E4" w:rsidRDefault="008324E4" w:rsidP="00A26514">
      <w:pPr>
        <w:rPr>
          <w:rFonts w:cstheme="minorHAnsi"/>
        </w:rPr>
      </w:pPr>
    </w:p>
    <w:p w14:paraId="71426136" w14:textId="07A8CAEE" w:rsidR="00A26514" w:rsidRPr="002C595C" w:rsidRDefault="00A26514" w:rsidP="00C250A4">
      <w:pPr>
        <w:spacing w:line="280" w:lineRule="atLeast"/>
        <w:ind w:left="567" w:hanging="567"/>
        <w:rPr>
          <w:rFonts w:cstheme="minorHAnsi"/>
          <w:b/>
        </w:rPr>
      </w:pPr>
      <w:r>
        <w:rPr>
          <w:rFonts w:cstheme="minorHAnsi"/>
          <w:b/>
        </w:rPr>
        <w:t>IV.</w:t>
      </w:r>
      <w:r w:rsidR="00C0223A">
        <w:rPr>
          <w:rFonts w:cstheme="minorHAnsi"/>
          <w:b/>
        </w:rPr>
        <w:t>3</w:t>
      </w:r>
      <w:r>
        <w:rPr>
          <w:rFonts w:cstheme="minorHAnsi"/>
          <w:b/>
        </w:rPr>
        <w:t xml:space="preserve">. </w:t>
      </w:r>
      <w:r w:rsidR="00D457FF">
        <w:rPr>
          <w:rFonts w:cstheme="minorHAnsi"/>
          <w:b/>
        </w:rPr>
        <w:tab/>
      </w:r>
      <w:r w:rsidRPr="002C595C">
        <w:rPr>
          <w:rFonts w:cstheme="minorHAnsi"/>
          <w:b/>
        </w:rPr>
        <w:t>MF v průběhu realizace investičních akcí výrazně upravovalo jejich finanční, časové i</w:t>
      </w:r>
      <w:r w:rsidR="00E21E73">
        <w:rPr>
          <w:rFonts w:cstheme="minorHAnsi"/>
          <w:b/>
        </w:rPr>
        <w:t> </w:t>
      </w:r>
      <w:r w:rsidRPr="002C595C">
        <w:rPr>
          <w:rFonts w:cstheme="minorHAnsi"/>
          <w:b/>
        </w:rPr>
        <w:t>věcné parametry</w:t>
      </w:r>
    </w:p>
    <w:p w14:paraId="1A984529" w14:textId="77777777" w:rsidR="00A26514" w:rsidRDefault="00A26514" w:rsidP="00A26514">
      <w:pPr>
        <w:spacing w:line="280" w:lineRule="atLeast"/>
        <w:rPr>
          <w:rFonts w:cstheme="minorHAnsi"/>
          <w:b/>
        </w:rPr>
      </w:pPr>
    </w:p>
    <w:p w14:paraId="5EA20923" w14:textId="56E0BCCA" w:rsidR="00A26514" w:rsidRPr="00C250A4" w:rsidRDefault="00A26514" w:rsidP="00A26514">
      <w:pPr>
        <w:autoSpaceDE w:val="0"/>
        <w:autoSpaceDN w:val="0"/>
        <w:adjustRightInd w:val="0"/>
        <w:rPr>
          <w:rFonts w:cstheme="minorHAnsi"/>
          <w:b/>
          <w:color w:val="000000"/>
        </w:rPr>
      </w:pPr>
      <w:r w:rsidRPr="00C250A4">
        <w:rPr>
          <w:rFonts w:cstheme="minorHAnsi"/>
          <w:b/>
          <w:color w:val="000000"/>
        </w:rPr>
        <w:t>Investiční akce č. 012V012000004</w:t>
      </w:r>
      <w:r w:rsidRPr="00C250A4">
        <w:rPr>
          <w:rFonts w:cstheme="minorHAnsi"/>
          <w:b/>
          <w:i/>
          <w:color w:val="000000"/>
        </w:rPr>
        <w:t xml:space="preserve"> Rekonstrukce, obnova a vybavení </w:t>
      </w:r>
      <w:r w:rsidR="00B667CF" w:rsidRPr="00C250A4">
        <w:rPr>
          <w:rFonts w:cstheme="minorHAnsi"/>
          <w:b/>
          <w:i/>
          <w:color w:val="000000"/>
        </w:rPr>
        <w:t>závodní kuchyně</w:t>
      </w:r>
      <w:r w:rsidRPr="00C250A4">
        <w:rPr>
          <w:rFonts w:cstheme="minorHAnsi"/>
          <w:b/>
          <w:i/>
          <w:color w:val="000000"/>
        </w:rPr>
        <w:t>, Letenská</w:t>
      </w:r>
    </w:p>
    <w:p w14:paraId="09457C5A" w14:textId="6D8BCC8D" w:rsidR="00A26514" w:rsidRPr="002E3DEF" w:rsidRDefault="00A26514" w:rsidP="00A26514">
      <w:pPr>
        <w:autoSpaceDE w:val="0"/>
        <w:autoSpaceDN w:val="0"/>
        <w:adjustRightInd w:val="0"/>
        <w:rPr>
          <w:rFonts w:cstheme="minorHAnsi"/>
          <w:color w:val="000000"/>
        </w:rPr>
      </w:pPr>
      <w:r w:rsidRPr="002E3DEF">
        <w:rPr>
          <w:rFonts w:cstheme="minorHAnsi"/>
          <w:color w:val="000000"/>
        </w:rPr>
        <w:t>Ve zdůvodnění nutnosti a potřeby realizac</w:t>
      </w:r>
      <w:r w:rsidR="00C0223A">
        <w:rPr>
          <w:rFonts w:cstheme="minorHAnsi"/>
          <w:color w:val="000000"/>
        </w:rPr>
        <w:t>e</w:t>
      </w:r>
      <w:r w:rsidRPr="002E3DEF">
        <w:rPr>
          <w:rFonts w:cstheme="minorHAnsi"/>
          <w:color w:val="000000"/>
        </w:rPr>
        <w:t xml:space="preserve"> této akce uvedlo MF v investičním záměru mj.</w:t>
      </w:r>
      <w:r w:rsidR="00253970">
        <w:rPr>
          <w:rFonts w:cstheme="minorHAnsi"/>
          <w:color w:val="000000"/>
        </w:rPr>
        <w:t xml:space="preserve"> to</w:t>
      </w:r>
      <w:r w:rsidRPr="002E3DEF">
        <w:rPr>
          <w:rFonts w:cstheme="minorHAnsi"/>
          <w:color w:val="000000"/>
        </w:rPr>
        <w:t xml:space="preserve">, že z hlediska funkčnosti a ekonomického provozu je stávající technologie pro zajištění provozu závodní kuchyně pro uskladnění potravin, přípravy a výdeje pokrmů včetně mytí nádobí a skla nevyhovující. Jedná se o zastaralá zařízení, která vykazují podle MF častou poruchovost, vyšší spotřebu plynu, vody a elektrické energie. </w:t>
      </w:r>
      <w:r w:rsidR="00BD6B7D" w:rsidRPr="002E3DEF">
        <w:rPr>
          <w:rFonts w:cstheme="minorHAnsi"/>
          <w:color w:val="000000"/>
        </w:rPr>
        <w:t>MF stanovilo celkem šest parametrů akce</w:t>
      </w:r>
      <w:r w:rsidR="00BD6B7D">
        <w:rPr>
          <w:rFonts w:cstheme="minorHAnsi"/>
          <w:color w:val="000000"/>
        </w:rPr>
        <w:t>, naplnilo však pouze dva</w:t>
      </w:r>
      <w:r w:rsidR="00B937FE">
        <w:rPr>
          <w:rFonts w:cstheme="minorHAnsi"/>
          <w:color w:val="000000"/>
        </w:rPr>
        <w:t xml:space="preserve"> </w:t>
      </w:r>
      <w:r w:rsidR="00D457FF">
        <w:rPr>
          <w:rFonts w:cstheme="minorHAnsi"/>
          <w:color w:val="000000"/>
        </w:rPr>
        <w:t>–</w:t>
      </w:r>
      <w:r w:rsidR="00B937FE">
        <w:rPr>
          <w:rFonts w:cstheme="minorHAnsi"/>
          <w:color w:val="000000"/>
        </w:rPr>
        <w:t xml:space="preserve"> </w:t>
      </w:r>
      <w:r w:rsidR="00BD6B7D">
        <w:rPr>
          <w:rFonts w:cstheme="minorHAnsi"/>
          <w:color w:val="000000"/>
        </w:rPr>
        <w:t xml:space="preserve">pořízení </w:t>
      </w:r>
      <w:r w:rsidR="00BD6B7D" w:rsidRPr="002E3DEF">
        <w:rPr>
          <w:rFonts w:cstheme="minorHAnsi"/>
          <w:color w:val="000000"/>
        </w:rPr>
        <w:t>tunelov</w:t>
      </w:r>
      <w:r w:rsidR="00BD6B7D">
        <w:rPr>
          <w:rFonts w:cstheme="minorHAnsi"/>
          <w:color w:val="000000"/>
        </w:rPr>
        <w:t>é</w:t>
      </w:r>
      <w:r w:rsidR="00BD6B7D" w:rsidRPr="002E3DEF">
        <w:rPr>
          <w:rFonts w:cstheme="minorHAnsi"/>
          <w:color w:val="000000"/>
        </w:rPr>
        <w:t xml:space="preserve"> pásov</w:t>
      </w:r>
      <w:r w:rsidR="00BD6B7D">
        <w:rPr>
          <w:rFonts w:cstheme="minorHAnsi"/>
          <w:color w:val="000000"/>
        </w:rPr>
        <w:t>é</w:t>
      </w:r>
      <w:r w:rsidR="00BD6B7D" w:rsidRPr="002E3DEF">
        <w:rPr>
          <w:rFonts w:cstheme="minorHAnsi"/>
          <w:color w:val="000000"/>
        </w:rPr>
        <w:t xml:space="preserve"> myčk</w:t>
      </w:r>
      <w:r w:rsidR="00BD6B7D">
        <w:rPr>
          <w:rFonts w:cstheme="minorHAnsi"/>
          <w:color w:val="000000"/>
        </w:rPr>
        <w:t xml:space="preserve">y </w:t>
      </w:r>
      <w:r w:rsidR="00BD6B7D" w:rsidRPr="002E3DEF">
        <w:rPr>
          <w:rFonts w:cstheme="minorHAnsi"/>
          <w:color w:val="000000"/>
        </w:rPr>
        <w:t>a elektrick</w:t>
      </w:r>
      <w:r w:rsidR="00BD6B7D">
        <w:rPr>
          <w:rFonts w:cstheme="minorHAnsi"/>
          <w:color w:val="000000"/>
        </w:rPr>
        <w:t>ého</w:t>
      </w:r>
      <w:r w:rsidR="00BD6B7D" w:rsidRPr="002E3DEF">
        <w:rPr>
          <w:rFonts w:cstheme="minorHAnsi"/>
          <w:color w:val="000000"/>
        </w:rPr>
        <w:t xml:space="preserve"> kráječ</w:t>
      </w:r>
      <w:r w:rsidR="00BD6B7D">
        <w:rPr>
          <w:rFonts w:cstheme="minorHAnsi"/>
          <w:color w:val="000000"/>
        </w:rPr>
        <w:t>e</w:t>
      </w:r>
      <w:r w:rsidR="00BD6B7D" w:rsidRPr="002E3DEF">
        <w:rPr>
          <w:rFonts w:cstheme="minorHAnsi"/>
          <w:color w:val="000000"/>
        </w:rPr>
        <w:t xml:space="preserve"> knedlíků</w:t>
      </w:r>
      <w:r w:rsidR="00BD6B7D">
        <w:rPr>
          <w:rFonts w:cstheme="minorHAnsi"/>
          <w:color w:val="000000"/>
        </w:rPr>
        <w:t xml:space="preserve">. Z původně </w:t>
      </w:r>
      <w:r w:rsidR="00BD6B7D">
        <w:rPr>
          <w:rFonts w:cstheme="minorHAnsi"/>
          <w:color w:val="000000"/>
        </w:rPr>
        <w:lastRenderedPageBreak/>
        <w:t>alokované částky 5 400 000 Kč, kterou v</w:t>
      </w:r>
      <w:r w:rsidR="00D457FF">
        <w:rPr>
          <w:rFonts w:cstheme="minorHAnsi"/>
          <w:color w:val="000000"/>
        </w:rPr>
        <w:t xml:space="preserve"> </w:t>
      </w:r>
      <w:r w:rsidR="00BD6B7D">
        <w:rPr>
          <w:rFonts w:cstheme="minorHAnsi"/>
          <w:color w:val="000000"/>
        </w:rPr>
        <w:t xml:space="preserve">průběhu realizace akce navýšilo MF na částku </w:t>
      </w:r>
      <w:r w:rsidR="00666498">
        <w:rPr>
          <w:rFonts w:cstheme="minorHAnsi"/>
          <w:color w:val="000000"/>
        </w:rPr>
        <w:br/>
      </w:r>
      <w:r w:rsidR="00BD6B7D">
        <w:rPr>
          <w:rFonts w:cstheme="minorHAnsi"/>
          <w:color w:val="000000"/>
        </w:rPr>
        <w:t>7</w:t>
      </w:r>
      <w:r w:rsidR="00666498">
        <w:rPr>
          <w:rFonts w:cstheme="minorHAnsi"/>
          <w:color w:val="000000"/>
        </w:rPr>
        <w:t xml:space="preserve"> </w:t>
      </w:r>
      <w:r w:rsidR="00BD6B7D">
        <w:rPr>
          <w:rFonts w:cstheme="minorHAnsi"/>
          <w:color w:val="000000"/>
        </w:rPr>
        <w:t>900</w:t>
      </w:r>
      <w:r w:rsidR="00666498">
        <w:rPr>
          <w:rFonts w:cstheme="minorHAnsi"/>
          <w:color w:val="000000"/>
        </w:rPr>
        <w:t xml:space="preserve"> </w:t>
      </w:r>
      <w:r w:rsidR="00BD6B7D">
        <w:rPr>
          <w:rFonts w:cstheme="minorHAnsi"/>
          <w:color w:val="000000"/>
        </w:rPr>
        <w:t>000 Kč z důvodu dodatečných úprav pro modernizaci zázemí závodní kuchyně, vyčerpalo MF necelé 3 mil. Kč. N</w:t>
      </w:r>
      <w:r w:rsidRPr="002E3DEF">
        <w:rPr>
          <w:rFonts w:cstheme="minorHAnsi"/>
          <w:color w:val="000000"/>
        </w:rPr>
        <w:t xml:space="preserve">evyčerpané prostředky ve výši </w:t>
      </w:r>
      <w:r w:rsidR="00BD6B7D">
        <w:rPr>
          <w:rFonts w:cstheme="minorHAnsi"/>
          <w:color w:val="000000"/>
        </w:rPr>
        <w:t xml:space="preserve">téměř 5 mil. </w:t>
      </w:r>
      <w:r w:rsidRPr="002E3DEF">
        <w:rPr>
          <w:rFonts w:cstheme="minorHAnsi"/>
          <w:color w:val="000000"/>
        </w:rPr>
        <w:t xml:space="preserve">Kč (více než 60 % alokace) převedlo </w:t>
      </w:r>
      <w:r w:rsidR="00BD6B7D">
        <w:rPr>
          <w:rFonts w:cstheme="minorHAnsi"/>
          <w:color w:val="000000"/>
        </w:rPr>
        <w:t xml:space="preserve">MF </w:t>
      </w:r>
      <w:r w:rsidRPr="002E3DEF">
        <w:rPr>
          <w:rFonts w:cstheme="minorHAnsi"/>
          <w:color w:val="000000"/>
        </w:rPr>
        <w:t>na realizaci jiné investiční akce. Jako důvod ukončení akce uvedlo MF</w:t>
      </w:r>
      <w:r w:rsidR="00EC04C2">
        <w:rPr>
          <w:rStyle w:val="Znakapoznpodarou"/>
          <w:color w:val="000000"/>
        </w:rPr>
        <w:footnoteReference w:id="9"/>
      </w:r>
      <w:r w:rsidRPr="002E3DEF">
        <w:rPr>
          <w:rFonts w:cstheme="minorHAnsi"/>
          <w:color w:val="000000"/>
        </w:rPr>
        <w:t xml:space="preserve">, že na základě fyzické prohlídky </w:t>
      </w:r>
      <w:r w:rsidR="00D457FF" w:rsidRPr="002E3DEF">
        <w:rPr>
          <w:rFonts w:cstheme="minorHAnsi"/>
          <w:color w:val="000000"/>
        </w:rPr>
        <w:t xml:space="preserve">provedené </w:t>
      </w:r>
      <w:r w:rsidRPr="002E3DEF">
        <w:rPr>
          <w:rFonts w:cstheme="minorHAnsi"/>
          <w:color w:val="000000"/>
        </w:rPr>
        <w:t xml:space="preserve">zaměstnanci byla konstatována plná funkčnost přístrojů. MF tak uvedlo zcela opačné vyjádření, než které uvádělo na začátku při přípravě investiční akce. </w:t>
      </w:r>
    </w:p>
    <w:p w14:paraId="49C04D1B" w14:textId="77777777" w:rsidR="00A26514" w:rsidRPr="002E3DEF" w:rsidRDefault="00A26514" w:rsidP="00A26514">
      <w:pPr>
        <w:autoSpaceDE w:val="0"/>
        <w:autoSpaceDN w:val="0"/>
        <w:adjustRightInd w:val="0"/>
        <w:rPr>
          <w:rFonts w:cstheme="minorHAnsi"/>
          <w:color w:val="000000"/>
          <w:u w:val="single"/>
        </w:rPr>
      </w:pPr>
    </w:p>
    <w:p w14:paraId="715AD86D" w14:textId="609DB495" w:rsidR="00A26514" w:rsidRPr="00C250A4" w:rsidRDefault="00A26514" w:rsidP="00A26514">
      <w:pPr>
        <w:autoSpaceDE w:val="0"/>
        <w:autoSpaceDN w:val="0"/>
        <w:adjustRightInd w:val="0"/>
        <w:rPr>
          <w:rFonts w:cstheme="minorHAnsi"/>
          <w:b/>
          <w:color w:val="000000"/>
        </w:rPr>
      </w:pPr>
      <w:r w:rsidRPr="00C250A4">
        <w:rPr>
          <w:rFonts w:cstheme="minorHAnsi"/>
          <w:b/>
          <w:color w:val="000000"/>
        </w:rPr>
        <w:t>Investiční akce č. 012V012000005</w:t>
      </w:r>
      <w:r w:rsidRPr="00C250A4">
        <w:rPr>
          <w:rFonts w:cstheme="minorHAnsi"/>
          <w:b/>
          <w:i/>
          <w:color w:val="000000"/>
        </w:rPr>
        <w:t xml:space="preserve"> Bezpečnostní vybavení budov MF</w:t>
      </w:r>
      <w:r w:rsidRPr="00C250A4">
        <w:rPr>
          <w:rFonts w:cstheme="minorHAnsi"/>
          <w:b/>
          <w:color w:val="000000"/>
        </w:rPr>
        <w:t xml:space="preserve"> </w:t>
      </w:r>
    </w:p>
    <w:p w14:paraId="452DC2B6" w14:textId="13C8DA72" w:rsidR="00A26514" w:rsidRPr="002E3DEF" w:rsidRDefault="00C02C96" w:rsidP="00A26514">
      <w:pPr>
        <w:autoSpaceDE w:val="0"/>
        <w:autoSpaceDN w:val="0"/>
        <w:adjustRightInd w:val="0"/>
      </w:pPr>
      <w:r>
        <w:rPr>
          <w:rFonts w:cstheme="minorHAnsi"/>
          <w:color w:val="000000"/>
        </w:rPr>
        <w:t>C</w:t>
      </w:r>
      <w:r w:rsidR="00A26514" w:rsidRPr="002E3DEF">
        <w:rPr>
          <w:rFonts w:cstheme="minorHAnsi"/>
          <w:color w:val="000000"/>
        </w:rPr>
        <w:t>íl</w:t>
      </w:r>
      <w:r>
        <w:rPr>
          <w:rFonts w:cstheme="minorHAnsi"/>
          <w:color w:val="000000"/>
        </w:rPr>
        <w:t>em</w:t>
      </w:r>
      <w:r w:rsidR="00A26514" w:rsidRPr="002E3DEF">
        <w:rPr>
          <w:rFonts w:cstheme="minorHAnsi"/>
          <w:color w:val="000000"/>
        </w:rPr>
        <w:t xml:space="preserve"> akce </w:t>
      </w:r>
      <w:r>
        <w:rPr>
          <w:rFonts w:cstheme="minorHAnsi"/>
          <w:color w:val="000000"/>
        </w:rPr>
        <w:t>bylo</w:t>
      </w:r>
      <w:r w:rsidR="00A26514" w:rsidRPr="002E3DEF">
        <w:rPr>
          <w:rFonts w:cstheme="minorHAnsi"/>
          <w:color w:val="000000"/>
        </w:rPr>
        <w:t xml:space="preserve"> poří</w:t>
      </w:r>
      <w:r w:rsidR="009E52BD">
        <w:rPr>
          <w:rFonts w:cstheme="minorHAnsi"/>
          <w:color w:val="000000"/>
        </w:rPr>
        <w:t>dit</w:t>
      </w:r>
      <w:r w:rsidR="00A26514" w:rsidRPr="002E3DEF">
        <w:rPr>
          <w:rFonts w:cstheme="minorHAnsi"/>
          <w:color w:val="000000"/>
        </w:rPr>
        <w:t xml:space="preserve"> RTG zařízení pro kontrolu zavazadel, rám detekce kovů a ruční detektory kovů. V</w:t>
      </w:r>
      <w:r w:rsidR="009E52BD">
        <w:rPr>
          <w:rFonts w:cstheme="minorHAnsi"/>
          <w:color w:val="000000"/>
        </w:rPr>
        <w:t xml:space="preserve"> </w:t>
      </w:r>
      <w:r w:rsidR="00A26514" w:rsidRPr="002E3DEF">
        <w:rPr>
          <w:rFonts w:cstheme="minorHAnsi"/>
          <w:color w:val="000000"/>
        </w:rPr>
        <w:t xml:space="preserve">roce 2019 </w:t>
      </w:r>
      <w:r w:rsidR="00D457FF" w:rsidRPr="002E3DEF">
        <w:rPr>
          <w:rFonts w:cstheme="minorHAnsi"/>
          <w:color w:val="000000"/>
        </w:rPr>
        <w:t xml:space="preserve">MF </w:t>
      </w:r>
      <w:r w:rsidR="00A26514" w:rsidRPr="002E3DEF">
        <w:rPr>
          <w:rFonts w:cstheme="minorHAnsi"/>
          <w:color w:val="000000"/>
        </w:rPr>
        <w:t xml:space="preserve">aktualizovalo investiční záměr, </w:t>
      </w:r>
      <w:r w:rsidR="00D457FF">
        <w:rPr>
          <w:rFonts w:cstheme="minorHAnsi"/>
          <w:color w:val="000000"/>
        </w:rPr>
        <w:t>tím</w:t>
      </w:r>
      <w:r w:rsidR="00A26514" w:rsidRPr="002E3DEF">
        <w:rPr>
          <w:rFonts w:cstheme="minorHAnsi"/>
          <w:color w:val="000000"/>
        </w:rPr>
        <w:t xml:space="preserve"> došlo k</w:t>
      </w:r>
      <w:r w:rsidR="009E52BD">
        <w:rPr>
          <w:rFonts w:cstheme="minorHAnsi"/>
          <w:color w:val="000000"/>
        </w:rPr>
        <w:t xml:space="preserve"> </w:t>
      </w:r>
      <w:r w:rsidR="00A26514" w:rsidRPr="002E3DEF">
        <w:rPr>
          <w:rFonts w:cstheme="minorHAnsi"/>
          <w:color w:val="000000"/>
        </w:rPr>
        <w:t xml:space="preserve">podstatné obsahové změně celé akce, kdy novým cílem </w:t>
      </w:r>
      <w:r w:rsidR="00A26514">
        <w:rPr>
          <w:rFonts w:cstheme="minorHAnsi"/>
          <w:color w:val="000000"/>
        </w:rPr>
        <w:t>bylo</w:t>
      </w:r>
      <w:r w:rsidR="00A26514" w:rsidRPr="002E3DEF">
        <w:rPr>
          <w:rFonts w:cstheme="minorHAnsi"/>
          <w:color w:val="000000"/>
        </w:rPr>
        <w:t xml:space="preserve">: </w:t>
      </w:r>
      <w:r w:rsidR="00A26514" w:rsidRPr="00C250A4">
        <w:rPr>
          <w:rFonts w:cstheme="minorHAnsi"/>
          <w:color w:val="000000"/>
        </w:rPr>
        <w:t>„</w:t>
      </w:r>
      <w:r w:rsidR="00D457FF">
        <w:rPr>
          <w:rFonts w:cstheme="minorHAnsi"/>
          <w:i/>
          <w:color w:val="000000"/>
        </w:rPr>
        <w:t>r</w:t>
      </w:r>
      <w:r w:rsidR="00A26514" w:rsidRPr="002E3DEF">
        <w:rPr>
          <w:rFonts w:cstheme="minorHAnsi"/>
          <w:i/>
          <w:color w:val="000000"/>
        </w:rPr>
        <w:t>ozšíření a</w:t>
      </w:r>
      <w:r w:rsidR="00D457FF">
        <w:rPr>
          <w:rFonts w:cstheme="minorHAnsi"/>
          <w:i/>
          <w:color w:val="000000"/>
        </w:rPr>
        <w:t xml:space="preserve"> </w:t>
      </w:r>
      <w:r w:rsidR="00A26514" w:rsidRPr="002E3DEF">
        <w:rPr>
          <w:rFonts w:cstheme="minorHAnsi"/>
          <w:i/>
          <w:color w:val="000000"/>
        </w:rPr>
        <w:t>modernizac</w:t>
      </w:r>
      <w:r w:rsidR="00A26514">
        <w:rPr>
          <w:rFonts w:cstheme="minorHAnsi"/>
          <w:i/>
          <w:color w:val="000000"/>
        </w:rPr>
        <w:t>e</w:t>
      </w:r>
      <w:r w:rsidR="00A26514" w:rsidRPr="002E3DEF">
        <w:rPr>
          <w:rFonts w:cstheme="minorHAnsi"/>
          <w:i/>
          <w:color w:val="000000"/>
        </w:rPr>
        <w:t xml:space="preserve"> jednotného bezpečnostního systému MF a provázání dílčích bezpečnostních systémů</w:t>
      </w:r>
      <w:r w:rsidR="00A26514" w:rsidRPr="00C250A4">
        <w:rPr>
          <w:rFonts w:cstheme="minorHAnsi"/>
          <w:color w:val="000000"/>
        </w:rPr>
        <w:t>“</w:t>
      </w:r>
      <w:r w:rsidR="00A26514" w:rsidRPr="002E3DEF">
        <w:rPr>
          <w:rFonts w:cstheme="minorHAnsi"/>
          <w:i/>
          <w:color w:val="000000"/>
        </w:rPr>
        <w:t>.</w:t>
      </w:r>
      <w:r w:rsidR="00A26514" w:rsidRPr="002E3DEF">
        <w:t xml:space="preserve"> MF</w:t>
      </w:r>
      <w:r w:rsidR="00EC04C2">
        <w:rPr>
          <w:rStyle w:val="Znakapoznpodarou"/>
        </w:rPr>
        <w:footnoteReference w:id="10"/>
      </w:r>
      <w:r w:rsidR="00A26514" w:rsidRPr="002E3DEF">
        <w:t xml:space="preserve"> navýšilo účast státního rozpočtu na částku 33 950 000 Kč a zároveň prodloužilo termín realizace akce do 31.</w:t>
      </w:r>
      <w:r w:rsidR="00253701">
        <w:t> </w:t>
      </w:r>
      <w:r w:rsidR="00A26514" w:rsidRPr="002E3DEF">
        <w:t>12. 2022. Po téměř šesti letech od registrace akce realizovalo MF výdaje pouze ve výši 2,1</w:t>
      </w:r>
      <w:r w:rsidR="00253701">
        <w:t> </w:t>
      </w:r>
      <w:r w:rsidR="00A26514" w:rsidRPr="002E3DEF">
        <w:t xml:space="preserve">mil. Kč (tj. cca 6 % upravené alokace výdajů a cca 41 % původní alokace). </w:t>
      </w:r>
    </w:p>
    <w:p w14:paraId="0793965D" w14:textId="77777777" w:rsidR="00A26514" w:rsidRPr="002E3DEF" w:rsidRDefault="00A26514" w:rsidP="00A26514">
      <w:pPr>
        <w:autoSpaceDE w:val="0"/>
        <w:autoSpaceDN w:val="0"/>
        <w:adjustRightInd w:val="0"/>
      </w:pPr>
    </w:p>
    <w:p w14:paraId="43FC23E2" w14:textId="5A135A74" w:rsidR="00A26514" w:rsidRPr="00C250A4" w:rsidRDefault="00A26514" w:rsidP="00A26514">
      <w:pPr>
        <w:autoSpaceDE w:val="0"/>
        <w:autoSpaceDN w:val="0"/>
        <w:adjustRightInd w:val="0"/>
        <w:rPr>
          <w:rFonts w:cstheme="minorHAnsi"/>
          <w:b/>
          <w:color w:val="000000"/>
        </w:rPr>
      </w:pPr>
      <w:r w:rsidRPr="00C250A4">
        <w:rPr>
          <w:rFonts w:cstheme="minorHAnsi"/>
          <w:b/>
          <w:color w:val="000000"/>
        </w:rPr>
        <w:t>Investiční akce č. 012V012000012</w:t>
      </w:r>
      <w:r w:rsidRPr="00C250A4">
        <w:rPr>
          <w:rFonts w:cstheme="minorHAnsi"/>
          <w:b/>
          <w:i/>
          <w:color w:val="000000"/>
        </w:rPr>
        <w:t xml:space="preserve"> Sanace proti vlhkosti objektů MF</w:t>
      </w:r>
      <w:r w:rsidRPr="00C250A4">
        <w:rPr>
          <w:rFonts w:cstheme="minorHAnsi"/>
          <w:b/>
          <w:color w:val="000000"/>
        </w:rPr>
        <w:t xml:space="preserve"> </w:t>
      </w:r>
    </w:p>
    <w:p w14:paraId="3AF9747C" w14:textId="7E162C94" w:rsidR="00A26514" w:rsidRPr="002E3DEF" w:rsidRDefault="00C02C96" w:rsidP="00A26514">
      <w:pPr>
        <w:autoSpaceDE w:val="0"/>
        <w:autoSpaceDN w:val="0"/>
        <w:adjustRightInd w:val="0"/>
      </w:pPr>
      <w:r w:rsidRPr="00590D2B">
        <w:rPr>
          <w:rFonts w:cstheme="minorHAnsi"/>
          <w:color w:val="000000"/>
        </w:rPr>
        <w:t>C</w:t>
      </w:r>
      <w:r w:rsidR="00A26514" w:rsidRPr="00590D2B">
        <w:rPr>
          <w:rFonts w:cstheme="minorHAnsi"/>
          <w:color w:val="000000"/>
        </w:rPr>
        <w:t>íl</w:t>
      </w:r>
      <w:r w:rsidRPr="00590D2B">
        <w:rPr>
          <w:rFonts w:cstheme="minorHAnsi"/>
          <w:color w:val="000000"/>
        </w:rPr>
        <w:t>em</w:t>
      </w:r>
      <w:r w:rsidR="00A26514" w:rsidRPr="00590D2B">
        <w:rPr>
          <w:rFonts w:cstheme="minorHAnsi"/>
          <w:color w:val="000000"/>
        </w:rPr>
        <w:t xml:space="preserve"> akce </w:t>
      </w:r>
      <w:r w:rsidRPr="00590D2B">
        <w:rPr>
          <w:rFonts w:cstheme="minorHAnsi"/>
          <w:color w:val="000000"/>
        </w:rPr>
        <w:t>bylo</w:t>
      </w:r>
      <w:r w:rsidR="00A26514" w:rsidRPr="00590D2B">
        <w:rPr>
          <w:rFonts w:cstheme="minorHAnsi"/>
          <w:color w:val="000000"/>
        </w:rPr>
        <w:t xml:space="preserve"> odstranění</w:t>
      </w:r>
      <w:r w:rsidR="00A26514" w:rsidRPr="002E3DEF">
        <w:rPr>
          <w:rFonts w:cstheme="minorHAnsi"/>
          <w:color w:val="000000"/>
        </w:rPr>
        <w:t xml:space="preserve"> vlhkosti v suterénech budovy MF – Praha, Letenská 9 a 15. </w:t>
      </w:r>
      <w:r>
        <w:rPr>
          <w:rFonts w:cstheme="minorHAnsi"/>
          <w:color w:val="000000"/>
        </w:rPr>
        <w:t>V</w:t>
      </w:r>
      <w:r w:rsidR="00253701">
        <w:rPr>
          <w:rFonts w:ascii="Calibri" w:hAnsi="Calibri" w:cs="Calibri"/>
        </w:rPr>
        <w:t> </w:t>
      </w:r>
      <w:r w:rsidR="00A26514" w:rsidRPr="002E3DEF">
        <w:rPr>
          <w:rFonts w:ascii="Calibri" w:hAnsi="Calibri" w:cs="Calibri"/>
        </w:rPr>
        <w:t>průběhu realizace akce došlo k výraznému navýšení finanční účasti státního rozpočtu ze 14</w:t>
      </w:r>
      <w:r w:rsidR="00253701">
        <w:rPr>
          <w:rFonts w:ascii="Calibri" w:hAnsi="Calibri" w:cs="Calibri"/>
        </w:rPr>
        <w:t> </w:t>
      </w:r>
      <w:r w:rsidR="00A26514" w:rsidRPr="002E3DEF">
        <w:rPr>
          <w:rFonts w:ascii="Calibri" w:hAnsi="Calibri" w:cs="Calibri"/>
        </w:rPr>
        <w:t>mil. Kč na 100 mil. Kč</w:t>
      </w:r>
      <w:r w:rsidR="00590D2B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590D2B">
        <w:rPr>
          <w:rFonts w:ascii="Calibri" w:hAnsi="Calibri" w:cs="Calibri"/>
        </w:rPr>
        <w:t>Toto navýšení</w:t>
      </w:r>
      <w:r>
        <w:rPr>
          <w:rFonts w:ascii="Calibri" w:hAnsi="Calibri" w:cs="Calibri"/>
        </w:rPr>
        <w:t xml:space="preserve"> bylo způsobeno provedením většího rozsahu nutných stavebních prací, se kterým MF dle původní projektové dokumentace nepočítalo, a </w:t>
      </w:r>
      <w:r w:rsidR="00590D2B">
        <w:rPr>
          <w:rFonts w:ascii="Calibri" w:hAnsi="Calibri" w:cs="Calibri"/>
        </w:rPr>
        <w:t>růstem</w:t>
      </w:r>
      <w:r>
        <w:rPr>
          <w:rFonts w:ascii="Calibri" w:hAnsi="Calibri" w:cs="Calibri"/>
        </w:rPr>
        <w:t xml:space="preserve"> cen stavebních prací na trhu. V průběhu realizace akce upravilo MF</w:t>
      </w:r>
      <w:r w:rsidR="00EC04C2" w:rsidRPr="006A556A">
        <w:rPr>
          <w:rFonts w:ascii="Calibri" w:hAnsi="Calibri" w:cs="Calibri"/>
          <w:vertAlign w:val="superscript"/>
        </w:rPr>
        <w:t>9</w:t>
      </w:r>
      <w:r>
        <w:rPr>
          <w:rFonts w:ascii="Calibri" w:hAnsi="Calibri" w:cs="Calibri"/>
        </w:rPr>
        <w:t xml:space="preserve"> počet parametrů z jednoho na tři a rozšířilo cíl </w:t>
      </w:r>
      <w:r w:rsidR="00A26514" w:rsidRPr="002E3DEF">
        <w:rPr>
          <w:rFonts w:ascii="Calibri" w:hAnsi="Calibri" w:cs="Calibri"/>
        </w:rPr>
        <w:t xml:space="preserve">o objekt </w:t>
      </w:r>
      <w:r>
        <w:rPr>
          <w:rFonts w:ascii="Calibri" w:hAnsi="Calibri" w:cs="Calibri"/>
        </w:rPr>
        <w:t xml:space="preserve">v ulici </w:t>
      </w:r>
      <w:r w:rsidR="00A26514" w:rsidRPr="002E3DEF">
        <w:rPr>
          <w:rFonts w:ascii="Calibri" w:hAnsi="Calibri" w:cs="Calibri"/>
        </w:rPr>
        <w:t>Legerova.</w:t>
      </w:r>
    </w:p>
    <w:p w14:paraId="0EF69BA8" w14:textId="77777777" w:rsidR="00A26514" w:rsidRPr="002E3DEF" w:rsidRDefault="00A26514" w:rsidP="00A26514">
      <w:pPr>
        <w:autoSpaceDE w:val="0"/>
        <w:autoSpaceDN w:val="0"/>
        <w:adjustRightInd w:val="0"/>
      </w:pPr>
    </w:p>
    <w:p w14:paraId="25BE3102" w14:textId="601ED130" w:rsidR="00A26514" w:rsidRPr="00C250A4" w:rsidRDefault="00A26514" w:rsidP="00A26514">
      <w:pPr>
        <w:autoSpaceDE w:val="0"/>
        <w:autoSpaceDN w:val="0"/>
        <w:adjustRightInd w:val="0"/>
        <w:rPr>
          <w:rFonts w:cstheme="minorHAnsi"/>
          <w:b/>
          <w:color w:val="000000"/>
        </w:rPr>
      </w:pPr>
      <w:r w:rsidRPr="00C250A4">
        <w:rPr>
          <w:rFonts w:cstheme="minorHAnsi"/>
          <w:b/>
          <w:color w:val="000000"/>
        </w:rPr>
        <w:t>Investiční akce č. 012V012000020</w:t>
      </w:r>
      <w:r w:rsidRPr="00C250A4">
        <w:rPr>
          <w:rFonts w:cstheme="minorHAnsi"/>
          <w:b/>
          <w:i/>
          <w:color w:val="000000"/>
        </w:rPr>
        <w:t xml:space="preserve"> Rekonstrukce objektu MF – Cihelná</w:t>
      </w:r>
      <w:r w:rsidRPr="00C250A4">
        <w:rPr>
          <w:rFonts w:cstheme="minorHAnsi"/>
          <w:b/>
          <w:color w:val="000000"/>
        </w:rPr>
        <w:t xml:space="preserve"> </w:t>
      </w:r>
    </w:p>
    <w:p w14:paraId="0C6ADD51" w14:textId="286F5CB2" w:rsidR="00A26514" w:rsidRPr="002E3DEF" w:rsidRDefault="001B7B63" w:rsidP="00A26514">
      <w:pPr>
        <w:autoSpaceDE w:val="0"/>
        <w:autoSpaceDN w:val="0"/>
        <w:adjustRightInd w:val="0"/>
      </w:pPr>
      <w:r>
        <w:rPr>
          <w:rFonts w:cstheme="minorHAnsi"/>
          <w:color w:val="000000"/>
        </w:rPr>
        <w:t>C</w:t>
      </w:r>
      <w:r w:rsidR="00A26514" w:rsidRPr="002E3DEF">
        <w:rPr>
          <w:rFonts w:cstheme="minorHAnsi"/>
          <w:color w:val="000000"/>
        </w:rPr>
        <w:t>íl</w:t>
      </w:r>
      <w:r>
        <w:rPr>
          <w:rFonts w:cstheme="minorHAnsi"/>
          <w:color w:val="000000"/>
        </w:rPr>
        <w:t>em</w:t>
      </w:r>
      <w:r w:rsidR="00A26514" w:rsidRPr="002E3DEF">
        <w:rPr>
          <w:rFonts w:cstheme="minorHAnsi"/>
          <w:color w:val="000000"/>
        </w:rPr>
        <w:t xml:space="preserve"> akce</w:t>
      </w:r>
      <w:r w:rsidR="00A45037">
        <w:rPr>
          <w:rFonts w:cstheme="minorHAnsi"/>
          <w:color w:val="000000"/>
        </w:rPr>
        <w:t xml:space="preserve"> byla rekonstrukce administrativní budovy v ulici Cihelná</w:t>
      </w:r>
      <w:r w:rsidR="00590D2B">
        <w:rPr>
          <w:rFonts w:cstheme="minorHAnsi"/>
          <w:color w:val="000000"/>
        </w:rPr>
        <w:t xml:space="preserve"> v Praze</w:t>
      </w:r>
      <w:r w:rsidR="00A45037">
        <w:rPr>
          <w:rFonts w:cstheme="minorHAnsi"/>
          <w:color w:val="000000"/>
        </w:rPr>
        <w:t xml:space="preserve">. </w:t>
      </w:r>
      <w:r w:rsidR="00590D2B">
        <w:rPr>
          <w:rFonts w:cstheme="minorHAnsi"/>
          <w:color w:val="000000"/>
        </w:rPr>
        <w:t xml:space="preserve">Při první </w:t>
      </w:r>
      <w:r w:rsidR="00A26514" w:rsidRPr="002E3DEF">
        <w:rPr>
          <w:rFonts w:ascii="Calibri" w:hAnsi="Calibri" w:cs="Calibri"/>
        </w:rPr>
        <w:t>úprav</w:t>
      </w:r>
      <w:r w:rsidR="00590D2B">
        <w:rPr>
          <w:rFonts w:ascii="Calibri" w:hAnsi="Calibri" w:cs="Calibri"/>
        </w:rPr>
        <w:t>ě</w:t>
      </w:r>
      <w:r w:rsidR="00A26514" w:rsidRPr="002E3DEF">
        <w:rPr>
          <w:rFonts w:ascii="Calibri" w:hAnsi="Calibri" w:cs="Calibri"/>
        </w:rPr>
        <w:t xml:space="preserve"> investičního záměru navýšilo </w:t>
      </w:r>
      <w:r w:rsidR="00A45037" w:rsidRPr="002E3DEF">
        <w:rPr>
          <w:rFonts w:ascii="Calibri" w:hAnsi="Calibri" w:cs="Calibri"/>
        </w:rPr>
        <w:t xml:space="preserve">MF </w:t>
      </w:r>
      <w:r w:rsidR="00A45037">
        <w:rPr>
          <w:rFonts w:ascii="Calibri" w:hAnsi="Calibri" w:cs="Calibri"/>
        </w:rPr>
        <w:t xml:space="preserve">počet parametrů z devíti </w:t>
      </w:r>
      <w:r w:rsidR="00A26514" w:rsidRPr="002E3DEF">
        <w:rPr>
          <w:rFonts w:ascii="Calibri" w:hAnsi="Calibri" w:cs="Calibri"/>
        </w:rPr>
        <w:t>na čtrnáct</w:t>
      </w:r>
      <w:r w:rsidR="00A45037">
        <w:rPr>
          <w:rFonts w:ascii="Calibri" w:hAnsi="Calibri" w:cs="Calibri"/>
        </w:rPr>
        <w:t>. V</w:t>
      </w:r>
      <w:r w:rsidR="00A26514" w:rsidRPr="002E3DEF">
        <w:rPr>
          <w:rFonts w:ascii="Calibri" w:hAnsi="Calibri" w:cs="Calibri"/>
        </w:rPr>
        <w:t xml:space="preserve"> průběhu </w:t>
      </w:r>
      <w:r w:rsidR="00A45037">
        <w:rPr>
          <w:rFonts w:ascii="Calibri" w:hAnsi="Calibri" w:cs="Calibri"/>
        </w:rPr>
        <w:t xml:space="preserve">realizace </w:t>
      </w:r>
      <w:r w:rsidR="00A26514" w:rsidRPr="002E3DEF">
        <w:rPr>
          <w:rFonts w:ascii="Calibri" w:hAnsi="Calibri" w:cs="Calibri"/>
        </w:rPr>
        <w:t xml:space="preserve">akce </w:t>
      </w:r>
      <w:r w:rsidR="00590D2B" w:rsidRPr="002E3DEF">
        <w:rPr>
          <w:rFonts w:ascii="Calibri" w:hAnsi="Calibri" w:cs="Calibri"/>
        </w:rPr>
        <w:t xml:space="preserve">navýšilo </w:t>
      </w:r>
      <w:r w:rsidR="00A45037">
        <w:rPr>
          <w:rFonts w:ascii="Calibri" w:hAnsi="Calibri" w:cs="Calibri"/>
        </w:rPr>
        <w:t>MF</w:t>
      </w:r>
      <w:r w:rsidR="00EC04C2" w:rsidRPr="006A556A">
        <w:rPr>
          <w:rFonts w:ascii="Calibri" w:hAnsi="Calibri" w:cs="Calibri"/>
          <w:vertAlign w:val="superscript"/>
        </w:rPr>
        <w:t>9</w:t>
      </w:r>
      <w:r w:rsidR="00A26514" w:rsidRPr="002E3DEF">
        <w:rPr>
          <w:rFonts w:ascii="Calibri" w:hAnsi="Calibri" w:cs="Calibri"/>
        </w:rPr>
        <w:t xml:space="preserve"> výrazně účast státního rozpočtu na financování akce ze</w:t>
      </w:r>
      <w:r w:rsidR="00590D2B">
        <w:rPr>
          <w:rFonts w:ascii="Calibri" w:hAnsi="Calibri" w:cs="Calibri"/>
        </w:rPr>
        <w:t xml:space="preserve"> </w:t>
      </w:r>
      <w:r w:rsidR="00A26514" w:rsidRPr="002E3DEF">
        <w:rPr>
          <w:rFonts w:ascii="Calibri" w:hAnsi="Calibri" w:cs="Calibri"/>
        </w:rPr>
        <w:t xml:space="preserve">75 mil. Kč na </w:t>
      </w:r>
      <w:r w:rsidR="004E0595">
        <w:rPr>
          <w:rFonts w:ascii="Calibri" w:hAnsi="Calibri" w:cs="Calibri"/>
        </w:rPr>
        <w:br/>
      </w:r>
      <w:r w:rsidR="00A26514" w:rsidRPr="002E3DEF">
        <w:rPr>
          <w:rFonts w:ascii="Calibri" w:hAnsi="Calibri" w:cs="Calibri"/>
        </w:rPr>
        <w:t>160,5</w:t>
      </w:r>
      <w:r w:rsidR="004E0595">
        <w:rPr>
          <w:rFonts w:ascii="Calibri" w:hAnsi="Calibri" w:cs="Calibri"/>
        </w:rPr>
        <w:t xml:space="preserve"> </w:t>
      </w:r>
      <w:r w:rsidR="00A26514" w:rsidRPr="002E3DEF">
        <w:rPr>
          <w:rFonts w:ascii="Calibri" w:hAnsi="Calibri" w:cs="Calibri"/>
        </w:rPr>
        <w:t>mil.</w:t>
      </w:r>
      <w:r w:rsidR="004E0595">
        <w:rPr>
          <w:rFonts w:ascii="Calibri" w:hAnsi="Calibri" w:cs="Calibri"/>
        </w:rPr>
        <w:t xml:space="preserve"> </w:t>
      </w:r>
      <w:r w:rsidR="00A26514" w:rsidRPr="002E3DEF">
        <w:rPr>
          <w:rFonts w:ascii="Calibri" w:hAnsi="Calibri" w:cs="Calibri"/>
        </w:rPr>
        <w:t>Kč</w:t>
      </w:r>
      <w:r w:rsidR="00A45037">
        <w:rPr>
          <w:rFonts w:ascii="Calibri" w:hAnsi="Calibri" w:cs="Calibri"/>
        </w:rPr>
        <w:t>. H</w:t>
      </w:r>
      <w:r w:rsidR="00A26514" w:rsidRPr="002E3DEF">
        <w:rPr>
          <w:rFonts w:ascii="Calibri" w:hAnsi="Calibri" w:cs="Calibri"/>
        </w:rPr>
        <w:t>lavním důvodem navýšení byla aktualizace nákladů dle zpracovatele projektové dokumentace (o cca 60 mil. Kč) a</w:t>
      </w:r>
      <w:r w:rsidR="00590D2B">
        <w:rPr>
          <w:rFonts w:ascii="Calibri" w:hAnsi="Calibri" w:cs="Calibri"/>
        </w:rPr>
        <w:t xml:space="preserve"> </w:t>
      </w:r>
      <w:r w:rsidR="00A45037">
        <w:rPr>
          <w:rFonts w:ascii="Calibri" w:hAnsi="Calibri" w:cs="Calibri"/>
        </w:rPr>
        <w:t>náklady</w:t>
      </w:r>
      <w:r w:rsidR="00A26514" w:rsidRPr="002E3DEF">
        <w:rPr>
          <w:rFonts w:ascii="Calibri" w:hAnsi="Calibri" w:cs="Calibri"/>
        </w:rPr>
        <w:t xml:space="preserve"> na vícepráce (o cca 25,5 mil. Kč). Správce programu odsouhlasil prodloužení realizace akce do 30. 6. 2021. Ke dni 1. 12. 2021 realizovalo MF výdaje v celkové výši cca 155 mil. Kč. Do ukončení </w:t>
      </w:r>
      <w:r w:rsidR="00AB2212">
        <w:rPr>
          <w:rFonts w:ascii="Calibri" w:hAnsi="Calibri" w:cs="Calibri"/>
        </w:rPr>
        <w:t>kontroly</w:t>
      </w:r>
      <w:r w:rsidR="00A26514" w:rsidRPr="002E3DEF">
        <w:rPr>
          <w:rFonts w:ascii="Calibri" w:hAnsi="Calibri" w:cs="Calibri"/>
        </w:rPr>
        <w:t xml:space="preserve"> nebyla tato investiční akce závěrečně vyhodnocena.</w:t>
      </w:r>
    </w:p>
    <w:p w14:paraId="7AB919C1" w14:textId="77777777" w:rsidR="00A26514" w:rsidRPr="002E3DEF" w:rsidRDefault="00A26514" w:rsidP="00A26514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2A1DFD32" w14:textId="7A68D1F0" w:rsidR="00A26514" w:rsidRPr="00C250A4" w:rsidRDefault="00A26514" w:rsidP="00A26514">
      <w:pPr>
        <w:autoSpaceDE w:val="0"/>
        <w:autoSpaceDN w:val="0"/>
        <w:adjustRightInd w:val="0"/>
        <w:rPr>
          <w:rFonts w:cstheme="minorHAnsi"/>
          <w:b/>
          <w:color w:val="000000"/>
        </w:rPr>
      </w:pPr>
      <w:r w:rsidRPr="00C250A4">
        <w:rPr>
          <w:rFonts w:cstheme="minorHAnsi"/>
          <w:b/>
          <w:color w:val="000000"/>
        </w:rPr>
        <w:t>Investiční akce č. 012V012006000</w:t>
      </w:r>
      <w:r w:rsidRPr="00C250A4">
        <w:rPr>
          <w:rFonts w:cstheme="minorHAnsi"/>
          <w:b/>
          <w:i/>
          <w:color w:val="000000"/>
        </w:rPr>
        <w:t xml:space="preserve"> Pořízení a obnova osobních a technologických vozidel</w:t>
      </w:r>
      <w:r w:rsidRPr="00C250A4">
        <w:rPr>
          <w:rFonts w:cstheme="minorHAnsi"/>
          <w:b/>
          <w:color w:val="000000"/>
        </w:rPr>
        <w:t xml:space="preserve"> </w:t>
      </w:r>
    </w:p>
    <w:p w14:paraId="5B873936" w14:textId="46D4A255" w:rsidR="00A26514" w:rsidRPr="002E3DEF" w:rsidRDefault="00A45037" w:rsidP="00A26514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cstheme="minorHAnsi"/>
          <w:color w:val="000000"/>
        </w:rPr>
        <w:t>C</w:t>
      </w:r>
      <w:r w:rsidR="00A26514" w:rsidRPr="002E3DEF">
        <w:rPr>
          <w:rFonts w:cstheme="minorHAnsi"/>
          <w:color w:val="000000"/>
        </w:rPr>
        <w:t>íl</w:t>
      </w:r>
      <w:r>
        <w:rPr>
          <w:rFonts w:cstheme="minorHAnsi"/>
          <w:color w:val="000000"/>
        </w:rPr>
        <w:t>em</w:t>
      </w:r>
      <w:r w:rsidR="00A26514" w:rsidRPr="002E3DEF">
        <w:rPr>
          <w:rFonts w:cstheme="minorHAnsi"/>
          <w:color w:val="000000"/>
        </w:rPr>
        <w:t xml:space="preserve"> akce </w:t>
      </w:r>
      <w:r>
        <w:rPr>
          <w:rFonts w:cstheme="minorHAnsi"/>
          <w:color w:val="000000"/>
        </w:rPr>
        <w:t xml:space="preserve">bylo pořízení a obnova služebních vozidel pro potřeby MF. </w:t>
      </w:r>
      <w:r w:rsidR="008956F5">
        <w:rPr>
          <w:rFonts w:cstheme="minorHAnsi"/>
          <w:color w:val="000000"/>
        </w:rPr>
        <w:t>Kontrola</w:t>
      </w:r>
      <w:r w:rsidR="00A26514" w:rsidRPr="002E3DEF">
        <w:rPr>
          <w:rFonts w:cstheme="minorHAnsi"/>
          <w:color w:val="000000"/>
        </w:rPr>
        <w:t xml:space="preserve"> zjistil</w:t>
      </w:r>
      <w:r w:rsidR="008956F5">
        <w:rPr>
          <w:rFonts w:cstheme="minorHAnsi"/>
          <w:color w:val="000000"/>
        </w:rPr>
        <w:t>a</w:t>
      </w:r>
      <w:r w:rsidR="00A26514" w:rsidRPr="002E3DEF">
        <w:rPr>
          <w:rFonts w:cstheme="minorHAnsi"/>
          <w:color w:val="000000"/>
        </w:rPr>
        <w:t xml:space="preserve">, že </w:t>
      </w:r>
      <w:r w:rsidR="00A26514" w:rsidRPr="002E3DEF">
        <w:rPr>
          <w:rFonts w:cstheme="minorHAnsi"/>
          <w:bCs/>
        </w:rPr>
        <w:t>MF</w:t>
      </w:r>
      <w:r w:rsidR="00EC04C2" w:rsidRPr="006A556A">
        <w:rPr>
          <w:rFonts w:cstheme="minorHAnsi"/>
          <w:bCs/>
          <w:vertAlign w:val="superscript"/>
        </w:rPr>
        <w:t>8</w:t>
      </w:r>
      <w:r w:rsidR="00A26514" w:rsidRPr="002E3DEF">
        <w:rPr>
          <w:rFonts w:cstheme="minorHAnsi"/>
          <w:bCs/>
        </w:rPr>
        <w:t xml:space="preserve"> </w:t>
      </w:r>
      <w:r w:rsidR="00590D2B" w:rsidRPr="002E3DEF">
        <w:rPr>
          <w:rFonts w:cstheme="minorHAnsi"/>
          <w:color w:val="000000"/>
        </w:rPr>
        <w:t>v rámci této akce</w:t>
      </w:r>
      <w:r w:rsidR="00590D2B">
        <w:rPr>
          <w:rFonts w:cstheme="minorHAnsi"/>
          <w:color w:val="000000"/>
        </w:rPr>
        <w:t xml:space="preserve"> </w:t>
      </w:r>
      <w:r w:rsidR="00A26514" w:rsidRPr="002E3DEF">
        <w:rPr>
          <w:rFonts w:cstheme="minorHAnsi"/>
          <w:bCs/>
        </w:rPr>
        <w:t xml:space="preserve">nepostupovalo </w:t>
      </w:r>
      <w:r w:rsidR="00590D2B">
        <w:rPr>
          <w:rFonts w:cstheme="minorHAnsi"/>
          <w:bCs/>
        </w:rPr>
        <w:t>při</w:t>
      </w:r>
      <w:r w:rsidR="00A26514" w:rsidRPr="002E3DEF">
        <w:rPr>
          <w:rFonts w:cstheme="minorHAnsi"/>
          <w:bCs/>
        </w:rPr>
        <w:t xml:space="preserve"> poř</w:t>
      </w:r>
      <w:r w:rsidR="00590D2B">
        <w:rPr>
          <w:rFonts w:cstheme="minorHAnsi"/>
          <w:bCs/>
        </w:rPr>
        <w:t>izování</w:t>
      </w:r>
      <w:r w:rsidR="00A26514" w:rsidRPr="002E3DEF">
        <w:rPr>
          <w:rFonts w:cstheme="minorHAnsi"/>
          <w:bCs/>
        </w:rPr>
        <w:t xml:space="preserve"> jednoho vozidla v roce 2015 v souladu s</w:t>
      </w:r>
      <w:r w:rsidR="00590D2B">
        <w:rPr>
          <w:rFonts w:cstheme="minorHAnsi"/>
          <w:bCs/>
        </w:rPr>
        <w:t> </w:t>
      </w:r>
      <w:r w:rsidR="00A26514" w:rsidRPr="002E3DEF">
        <w:rPr>
          <w:rFonts w:cstheme="minorHAnsi"/>
          <w:bCs/>
        </w:rPr>
        <w:t>ustanoveními § 12 odst. 1 a § 47 odst. 5 a 6 zákona č.</w:t>
      </w:r>
      <w:r w:rsidR="00590D2B">
        <w:rPr>
          <w:rFonts w:cstheme="minorHAnsi"/>
          <w:bCs/>
        </w:rPr>
        <w:t xml:space="preserve"> </w:t>
      </w:r>
      <w:r w:rsidR="00A26514" w:rsidRPr="002E3DEF">
        <w:rPr>
          <w:rFonts w:cstheme="minorHAnsi"/>
          <w:bCs/>
        </w:rPr>
        <w:t>218/2000 Sb. a</w:t>
      </w:r>
      <w:r w:rsidR="00590D2B">
        <w:rPr>
          <w:rFonts w:cstheme="minorHAnsi"/>
          <w:bCs/>
        </w:rPr>
        <w:t>ni v souladu</w:t>
      </w:r>
      <w:r w:rsidR="00A26514" w:rsidRPr="002E3DEF">
        <w:rPr>
          <w:rFonts w:cstheme="minorHAnsi"/>
          <w:bCs/>
        </w:rPr>
        <w:t xml:space="preserve"> s</w:t>
      </w:r>
      <w:r w:rsidR="00590D2B">
        <w:rPr>
          <w:rFonts w:cstheme="minorHAnsi"/>
          <w:bCs/>
        </w:rPr>
        <w:t> </w:t>
      </w:r>
      <w:r w:rsidR="00A26514" w:rsidRPr="002E3DEF">
        <w:rPr>
          <w:rFonts w:cstheme="minorHAnsi"/>
          <w:bCs/>
        </w:rPr>
        <w:t>ustanovením §</w:t>
      </w:r>
      <w:r w:rsidR="00590D2B">
        <w:rPr>
          <w:rFonts w:cstheme="minorHAnsi"/>
          <w:bCs/>
        </w:rPr>
        <w:t xml:space="preserve"> </w:t>
      </w:r>
      <w:r w:rsidR="00A26514" w:rsidRPr="002E3DEF">
        <w:rPr>
          <w:rFonts w:cstheme="minorHAnsi"/>
          <w:bCs/>
        </w:rPr>
        <w:t>5 odst. 1 vyhlášky č.</w:t>
      </w:r>
      <w:r w:rsidR="003D256B">
        <w:rPr>
          <w:rFonts w:cstheme="minorHAnsi"/>
          <w:bCs/>
        </w:rPr>
        <w:t xml:space="preserve"> </w:t>
      </w:r>
      <w:r w:rsidR="00A26514" w:rsidRPr="002E3DEF">
        <w:rPr>
          <w:rFonts w:cstheme="minorHAnsi"/>
          <w:bCs/>
        </w:rPr>
        <w:t>560/2006 Sb., když financova</w:t>
      </w:r>
      <w:r w:rsidR="00590D2B">
        <w:rPr>
          <w:rFonts w:cstheme="minorHAnsi"/>
          <w:bCs/>
        </w:rPr>
        <w:t>lo</w:t>
      </w:r>
      <w:r w:rsidR="00A26514" w:rsidRPr="002E3DEF">
        <w:rPr>
          <w:rFonts w:cstheme="minorHAnsi"/>
          <w:bCs/>
        </w:rPr>
        <w:t xml:space="preserve"> pořízení vozidla</w:t>
      </w:r>
      <w:r w:rsidR="00590D2B">
        <w:rPr>
          <w:rFonts w:cstheme="minorHAnsi"/>
          <w:bCs/>
        </w:rPr>
        <w:t>:</w:t>
      </w:r>
      <w:r w:rsidR="00A26514" w:rsidRPr="002E3DEF">
        <w:rPr>
          <w:rFonts w:cstheme="minorHAnsi"/>
          <w:bCs/>
        </w:rPr>
        <w:t xml:space="preserve"> </w:t>
      </w:r>
      <w:r w:rsidR="00590D2B">
        <w:rPr>
          <w:rFonts w:cstheme="minorHAnsi"/>
          <w:bCs/>
        </w:rPr>
        <w:t>1)</w:t>
      </w:r>
      <w:r w:rsidR="008956F5">
        <w:rPr>
          <w:rFonts w:cstheme="minorHAnsi"/>
          <w:bCs/>
        </w:rPr>
        <w:t> </w:t>
      </w:r>
      <w:r w:rsidR="00A26514" w:rsidRPr="002E3DEF">
        <w:rPr>
          <w:rFonts w:cstheme="minorHAnsi"/>
          <w:bCs/>
        </w:rPr>
        <w:t>ze</w:t>
      </w:r>
      <w:r w:rsidR="008956F5">
        <w:rPr>
          <w:rFonts w:cstheme="minorHAnsi"/>
          <w:bCs/>
        </w:rPr>
        <w:t> </w:t>
      </w:r>
      <w:r w:rsidR="00A26514" w:rsidRPr="002E3DEF">
        <w:rPr>
          <w:rFonts w:cstheme="minorHAnsi"/>
          <w:bCs/>
        </w:rPr>
        <w:t>dvou různých programů (012</w:t>
      </w:r>
      <w:r w:rsidR="00A26514">
        <w:rPr>
          <w:rFonts w:cstheme="minorHAnsi"/>
          <w:bCs/>
        </w:rPr>
        <w:t>V</w:t>
      </w:r>
      <w:r w:rsidR="00A26514" w:rsidRPr="002E3DEF">
        <w:rPr>
          <w:rFonts w:cstheme="minorHAnsi"/>
          <w:bCs/>
        </w:rPr>
        <w:t>01 a 112</w:t>
      </w:r>
      <w:r w:rsidR="00A26514">
        <w:rPr>
          <w:rFonts w:cstheme="minorHAnsi"/>
          <w:bCs/>
        </w:rPr>
        <w:t>V</w:t>
      </w:r>
      <w:r w:rsidR="00A26514" w:rsidRPr="002E3DEF">
        <w:rPr>
          <w:rFonts w:cstheme="minorHAnsi"/>
          <w:bCs/>
        </w:rPr>
        <w:t xml:space="preserve">01), </w:t>
      </w:r>
      <w:r w:rsidR="00590D2B">
        <w:rPr>
          <w:rFonts w:cstheme="minorHAnsi"/>
          <w:bCs/>
        </w:rPr>
        <w:t xml:space="preserve">2) </w:t>
      </w:r>
      <w:r w:rsidR="00A26514" w:rsidRPr="002E3DEF">
        <w:rPr>
          <w:rFonts w:cstheme="minorHAnsi"/>
          <w:bCs/>
        </w:rPr>
        <w:t xml:space="preserve">v rámci dvou různých akcí, </w:t>
      </w:r>
      <w:r w:rsidR="00590D2B">
        <w:rPr>
          <w:rFonts w:cstheme="minorHAnsi"/>
          <w:bCs/>
        </w:rPr>
        <w:t xml:space="preserve">3) </w:t>
      </w:r>
      <w:r w:rsidR="00A26514" w:rsidRPr="002E3DEF">
        <w:rPr>
          <w:rFonts w:cstheme="minorHAnsi"/>
          <w:bCs/>
        </w:rPr>
        <w:t>částečně z</w:t>
      </w:r>
      <w:r w:rsidR="008956F5">
        <w:rPr>
          <w:rFonts w:cstheme="minorHAnsi"/>
          <w:bCs/>
        </w:rPr>
        <w:t> </w:t>
      </w:r>
      <w:r w:rsidR="00A26514" w:rsidRPr="002E3DEF">
        <w:rPr>
          <w:rFonts w:cstheme="minorHAnsi"/>
          <w:bCs/>
        </w:rPr>
        <w:t>nároků z</w:t>
      </w:r>
      <w:r w:rsidR="00253701">
        <w:rPr>
          <w:rFonts w:cstheme="minorHAnsi"/>
          <w:bCs/>
        </w:rPr>
        <w:t> </w:t>
      </w:r>
      <w:r w:rsidR="00A26514" w:rsidRPr="002E3DEF">
        <w:rPr>
          <w:rFonts w:cstheme="minorHAnsi"/>
          <w:bCs/>
        </w:rPr>
        <w:t>nespotřebovaných výdajů, které mají být podle ustanovení § 47 odst. 5 zákona č.</w:t>
      </w:r>
      <w:r w:rsidR="008956F5">
        <w:rPr>
          <w:rFonts w:cstheme="minorHAnsi"/>
          <w:bCs/>
        </w:rPr>
        <w:t> </w:t>
      </w:r>
      <w:r w:rsidR="00A26514" w:rsidRPr="002E3DEF">
        <w:rPr>
          <w:rFonts w:cstheme="minorHAnsi"/>
          <w:bCs/>
        </w:rPr>
        <w:t>218/2000</w:t>
      </w:r>
      <w:r w:rsidR="008956F5">
        <w:rPr>
          <w:rFonts w:cstheme="minorHAnsi"/>
          <w:bCs/>
        </w:rPr>
        <w:t> </w:t>
      </w:r>
      <w:r w:rsidR="00A26514" w:rsidRPr="002E3DEF">
        <w:rPr>
          <w:rFonts w:cstheme="minorHAnsi"/>
          <w:bCs/>
        </w:rPr>
        <w:t xml:space="preserve">Sb. zapojovány </w:t>
      </w:r>
      <w:r w:rsidR="008956F5">
        <w:rPr>
          <w:rFonts w:cstheme="minorHAnsi"/>
          <w:bCs/>
        </w:rPr>
        <w:t>do</w:t>
      </w:r>
      <w:r w:rsidR="00A26514" w:rsidRPr="002E3DEF">
        <w:rPr>
          <w:rFonts w:cstheme="minorHAnsi"/>
          <w:bCs/>
        </w:rPr>
        <w:t xml:space="preserve"> </w:t>
      </w:r>
      <w:r w:rsidR="008956F5">
        <w:rPr>
          <w:rFonts w:cstheme="minorHAnsi"/>
          <w:bCs/>
        </w:rPr>
        <w:t>týchž</w:t>
      </w:r>
      <w:r w:rsidR="00A26514" w:rsidRPr="002E3DEF">
        <w:rPr>
          <w:rFonts w:cstheme="minorHAnsi"/>
          <w:bCs/>
        </w:rPr>
        <w:t xml:space="preserve"> program</w:t>
      </w:r>
      <w:r w:rsidR="008956F5">
        <w:rPr>
          <w:rFonts w:cstheme="minorHAnsi"/>
          <w:bCs/>
        </w:rPr>
        <w:t>ů</w:t>
      </w:r>
      <w:r w:rsidR="00A26514" w:rsidRPr="002E3DEF">
        <w:rPr>
          <w:rFonts w:cstheme="minorHAnsi"/>
          <w:bCs/>
        </w:rPr>
        <w:t xml:space="preserve"> a projekt</w:t>
      </w:r>
      <w:r w:rsidR="008956F5">
        <w:rPr>
          <w:rFonts w:cstheme="minorHAnsi"/>
          <w:bCs/>
        </w:rPr>
        <w:t>ů</w:t>
      </w:r>
      <w:r w:rsidR="00A26514" w:rsidRPr="002E3DEF">
        <w:rPr>
          <w:rFonts w:cstheme="minorHAnsi"/>
          <w:bCs/>
        </w:rPr>
        <w:t>, z nichž nároky vznikly. MF pořídilo celkem 12</w:t>
      </w:r>
      <w:r w:rsidR="00253701">
        <w:rPr>
          <w:rFonts w:cstheme="minorHAnsi"/>
          <w:bCs/>
        </w:rPr>
        <w:t> </w:t>
      </w:r>
      <w:r w:rsidR="00A26514" w:rsidRPr="002E3DEF">
        <w:rPr>
          <w:rFonts w:cstheme="minorHAnsi"/>
          <w:bCs/>
        </w:rPr>
        <w:t>vozidel v celkové výši 8 537 84</w:t>
      </w:r>
      <w:r w:rsidR="001571AA">
        <w:rPr>
          <w:rFonts w:cstheme="minorHAnsi"/>
          <w:bCs/>
        </w:rPr>
        <w:t>7</w:t>
      </w:r>
      <w:r w:rsidR="00A26514" w:rsidRPr="002E3DEF">
        <w:rPr>
          <w:rFonts w:cstheme="minorHAnsi"/>
          <w:bCs/>
        </w:rPr>
        <w:t xml:space="preserve"> Kč a akci ukončilo.</w:t>
      </w:r>
    </w:p>
    <w:p w14:paraId="6DAAA27C" w14:textId="7ED0CCAA" w:rsidR="00A26514" w:rsidRDefault="00A26514" w:rsidP="00A26514">
      <w:pPr>
        <w:spacing w:line="280" w:lineRule="atLeast"/>
        <w:rPr>
          <w:rFonts w:cstheme="minorHAnsi"/>
          <w:b/>
          <w:highlight w:val="green"/>
        </w:rPr>
      </w:pPr>
    </w:p>
    <w:p w14:paraId="46284F08" w14:textId="68C797DC" w:rsidR="00A26514" w:rsidRPr="002210C5" w:rsidRDefault="00A26514" w:rsidP="00A26514">
      <w:pPr>
        <w:spacing w:line="280" w:lineRule="atLeast"/>
        <w:rPr>
          <w:rFonts w:cstheme="minorHAnsi"/>
          <w:b/>
        </w:rPr>
      </w:pPr>
      <w:r w:rsidRPr="00AC20D4">
        <w:rPr>
          <w:rFonts w:cstheme="minorHAnsi"/>
          <w:b/>
        </w:rPr>
        <w:lastRenderedPageBreak/>
        <w:t>IV.</w:t>
      </w:r>
      <w:r w:rsidR="00594359">
        <w:rPr>
          <w:rFonts w:cstheme="minorHAnsi"/>
          <w:b/>
        </w:rPr>
        <w:t>4</w:t>
      </w:r>
      <w:r w:rsidRPr="00AC20D4">
        <w:rPr>
          <w:rFonts w:cstheme="minorHAnsi"/>
          <w:b/>
        </w:rPr>
        <w:t xml:space="preserve">. MF </w:t>
      </w:r>
      <w:r w:rsidR="00E93D23" w:rsidRPr="00AC20D4">
        <w:rPr>
          <w:rFonts w:cstheme="minorHAnsi"/>
          <w:b/>
        </w:rPr>
        <w:t xml:space="preserve">předčasně </w:t>
      </w:r>
      <w:r w:rsidRPr="00AC20D4">
        <w:rPr>
          <w:rFonts w:cstheme="minorHAnsi"/>
          <w:b/>
        </w:rPr>
        <w:t xml:space="preserve">ukončilo investiční akci </w:t>
      </w:r>
      <w:r w:rsidR="00AC20D4" w:rsidRPr="00AC20D4">
        <w:rPr>
          <w:rFonts w:cstheme="minorHAnsi"/>
          <w:b/>
        </w:rPr>
        <w:t>bez naplnění jejího cíle</w:t>
      </w:r>
    </w:p>
    <w:p w14:paraId="136CB39C" w14:textId="77777777" w:rsidR="00A26514" w:rsidRDefault="00A26514" w:rsidP="00A26514">
      <w:pPr>
        <w:autoSpaceDE w:val="0"/>
        <w:autoSpaceDN w:val="0"/>
        <w:adjustRightInd w:val="0"/>
        <w:rPr>
          <w:rFonts w:cstheme="minorHAnsi"/>
          <w:color w:val="000000"/>
          <w:u w:val="single"/>
        </w:rPr>
      </w:pPr>
    </w:p>
    <w:p w14:paraId="4C332902" w14:textId="051C0794" w:rsidR="00A26514" w:rsidRPr="00C250A4" w:rsidRDefault="00A26514" w:rsidP="00A26514">
      <w:pPr>
        <w:autoSpaceDE w:val="0"/>
        <w:autoSpaceDN w:val="0"/>
        <w:adjustRightInd w:val="0"/>
        <w:rPr>
          <w:rFonts w:cstheme="minorHAnsi"/>
          <w:b/>
          <w:color w:val="000000"/>
        </w:rPr>
      </w:pPr>
      <w:r w:rsidRPr="00C250A4">
        <w:rPr>
          <w:rFonts w:cstheme="minorHAnsi"/>
          <w:b/>
          <w:color w:val="000000"/>
        </w:rPr>
        <w:t>Investiční akce č. 012V012000015</w:t>
      </w:r>
      <w:r w:rsidRPr="00C250A4">
        <w:rPr>
          <w:rFonts w:cstheme="minorHAnsi"/>
          <w:b/>
          <w:i/>
          <w:color w:val="000000"/>
        </w:rPr>
        <w:t xml:space="preserve"> Stavební úpravy pro zvýšení plochy archivů MF</w:t>
      </w:r>
      <w:r w:rsidRPr="00C250A4">
        <w:rPr>
          <w:rFonts w:cstheme="minorHAnsi"/>
          <w:b/>
          <w:color w:val="000000"/>
        </w:rPr>
        <w:t xml:space="preserve"> </w:t>
      </w:r>
    </w:p>
    <w:p w14:paraId="61B91A8D" w14:textId="7AC2D954" w:rsidR="00A26514" w:rsidRPr="008B3CF6" w:rsidRDefault="00A26514" w:rsidP="00A26514">
      <w:pPr>
        <w:rPr>
          <w:rFonts w:cstheme="minorHAnsi"/>
        </w:rPr>
      </w:pPr>
      <w:r w:rsidRPr="008B3CF6">
        <w:rPr>
          <w:rFonts w:cstheme="minorHAnsi"/>
        </w:rPr>
        <w:t>MF v žádosti o závěrečné vyhodnocení akce ze dne 28. 5. 2020 uvedlo</w:t>
      </w:r>
      <w:r>
        <w:rPr>
          <w:rFonts w:cstheme="minorHAnsi"/>
        </w:rPr>
        <w:t>,</w:t>
      </w:r>
      <w:r w:rsidRPr="008B3CF6">
        <w:rPr>
          <w:rFonts w:cstheme="minorHAnsi"/>
        </w:rPr>
        <w:t xml:space="preserve"> že jedním z důvodů, proč byla </w:t>
      </w:r>
      <w:r>
        <w:rPr>
          <w:rFonts w:cstheme="minorHAnsi"/>
        </w:rPr>
        <w:t xml:space="preserve">tato </w:t>
      </w:r>
      <w:r w:rsidRPr="008B3CF6">
        <w:rPr>
          <w:rFonts w:cstheme="minorHAnsi"/>
        </w:rPr>
        <w:t xml:space="preserve">investiční akce zrušena, byla skutečnost, že v průběhu realizace veřejné zakázky </w:t>
      </w:r>
      <w:r w:rsidR="008956F5">
        <w:rPr>
          <w:rFonts w:cstheme="minorHAnsi"/>
        </w:rPr>
        <w:t>předložil podnik</w:t>
      </w:r>
      <w:r w:rsidRPr="008B3CF6">
        <w:rPr>
          <w:rFonts w:cstheme="minorHAnsi"/>
        </w:rPr>
        <w:t xml:space="preserve"> Státní pokladn</w:t>
      </w:r>
      <w:r w:rsidR="008956F5">
        <w:rPr>
          <w:rFonts w:cstheme="minorHAnsi"/>
        </w:rPr>
        <w:t>a</w:t>
      </w:r>
      <w:r w:rsidRPr="008B3CF6">
        <w:rPr>
          <w:rFonts w:cstheme="minorHAnsi"/>
        </w:rPr>
        <w:t xml:space="preserve"> Centr</w:t>
      </w:r>
      <w:r w:rsidR="008956F5">
        <w:rPr>
          <w:rFonts w:cstheme="minorHAnsi"/>
        </w:rPr>
        <w:t>um</w:t>
      </w:r>
      <w:r w:rsidRPr="008B3CF6">
        <w:rPr>
          <w:rFonts w:cstheme="minorHAnsi"/>
        </w:rPr>
        <w:t xml:space="preserve"> sdílených služeb, s.</w:t>
      </w:r>
      <w:r w:rsidR="008956F5">
        <w:rPr>
          <w:rFonts w:cstheme="minorHAnsi"/>
        </w:rPr>
        <w:t> </w:t>
      </w:r>
      <w:r w:rsidRPr="008B3CF6">
        <w:rPr>
          <w:rFonts w:cstheme="minorHAnsi"/>
        </w:rPr>
        <w:t xml:space="preserve">p., </w:t>
      </w:r>
      <w:r w:rsidR="008956F5">
        <w:rPr>
          <w:rFonts w:cstheme="minorHAnsi"/>
        </w:rPr>
        <w:t xml:space="preserve">návrh </w:t>
      </w:r>
      <w:r w:rsidRPr="008B3CF6">
        <w:rPr>
          <w:rFonts w:cstheme="minorHAnsi"/>
        </w:rPr>
        <w:t>na vybudování resortního archivu s možností využití i</w:t>
      </w:r>
      <w:r w:rsidR="008956F5">
        <w:rPr>
          <w:rFonts w:cstheme="minorHAnsi"/>
        </w:rPr>
        <w:t xml:space="preserve"> </w:t>
      </w:r>
      <w:r w:rsidRPr="008B3CF6">
        <w:rPr>
          <w:rFonts w:cstheme="minorHAnsi"/>
        </w:rPr>
        <w:t>pro</w:t>
      </w:r>
      <w:r w:rsidR="008956F5">
        <w:rPr>
          <w:rFonts w:cstheme="minorHAnsi"/>
        </w:rPr>
        <w:t xml:space="preserve"> </w:t>
      </w:r>
      <w:r w:rsidRPr="008B3CF6">
        <w:rPr>
          <w:rFonts w:cstheme="minorHAnsi"/>
        </w:rPr>
        <w:t>potřeby MF. V době tvorby žádosti o závěrečné vyhodnocení akce ale MF nemělo žádné oficiální informace k záměru plánované výstavby resortního archivu, protože informace k záměru Státní pokladny Centra sdílených služeb, s.</w:t>
      </w:r>
      <w:r w:rsidR="008956F5">
        <w:rPr>
          <w:rFonts w:cstheme="minorHAnsi"/>
        </w:rPr>
        <w:t> </w:t>
      </w:r>
      <w:r w:rsidRPr="008B3CF6">
        <w:rPr>
          <w:rFonts w:cstheme="minorHAnsi"/>
        </w:rPr>
        <w:t xml:space="preserve">p., </w:t>
      </w:r>
      <w:r w:rsidR="008956F5">
        <w:rPr>
          <w:rFonts w:cstheme="minorHAnsi"/>
        </w:rPr>
        <w:t xml:space="preserve">na </w:t>
      </w:r>
      <w:r w:rsidRPr="008B3CF6">
        <w:rPr>
          <w:rFonts w:cstheme="minorHAnsi"/>
        </w:rPr>
        <w:t>výstavbu resortního archivu MF byly Státní pokladnou Centr</w:t>
      </w:r>
      <w:r w:rsidR="008956F5">
        <w:rPr>
          <w:rFonts w:cstheme="minorHAnsi"/>
        </w:rPr>
        <w:t>em</w:t>
      </w:r>
      <w:r w:rsidRPr="008B3CF6">
        <w:rPr>
          <w:rFonts w:cstheme="minorHAnsi"/>
        </w:rPr>
        <w:t xml:space="preserve"> sdílených služeb, s.</w:t>
      </w:r>
      <w:r w:rsidR="008956F5">
        <w:rPr>
          <w:rFonts w:cstheme="minorHAnsi"/>
        </w:rPr>
        <w:t> </w:t>
      </w:r>
      <w:r w:rsidRPr="008B3CF6">
        <w:rPr>
          <w:rFonts w:cstheme="minorHAnsi"/>
        </w:rPr>
        <w:t>p., vyhotoveny až v červenci 2020 a MF předloženy 3. 8. 2020. Odůvodnění ukončení investiční akce z důvodu záměru Státní pokladny Centra sdílených služeb, s.</w:t>
      </w:r>
      <w:r w:rsidR="008956F5">
        <w:rPr>
          <w:rFonts w:cstheme="minorHAnsi"/>
        </w:rPr>
        <w:t> </w:t>
      </w:r>
      <w:r w:rsidRPr="008B3CF6">
        <w:rPr>
          <w:rFonts w:cstheme="minorHAnsi"/>
        </w:rPr>
        <w:t>p., na vybudování resortního archivu s možností využití i</w:t>
      </w:r>
      <w:r w:rsidR="003D256B">
        <w:rPr>
          <w:rFonts w:cstheme="minorHAnsi"/>
        </w:rPr>
        <w:t xml:space="preserve"> </w:t>
      </w:r>
      <w:r w:rsidRPr="008B3CF6">
        <w:rPr>
          <w:rFonts w:cstheme="minorHAnsi"/>
        </w:rPr>
        <w:t>pro</w:t>
      </w:r>
      <w:r w:rsidR="003D256B">
        <w:rPr>
          <w:rFonts w:cstheme="minorHAnsi"/>
        </w:rPr>
        <w:t xml:space="preserve"> </w:t>
      </w:r>
      <w:r w:rsidRPr="008B3CF6">
        <w:rPr>
          <w:rFonts w:cstheme="minorHAnsi"/>
        </w:rPr>
        <w:t>potřeby MF tedy nebylo založeno na reálně existujícím záměru.</w:t>
      </w:r>
    </w:p>
    <w:p w14:paraId="153C717C" w14:textId="77777777" w:rsidR="00A26514" w:rsidRPr="008B3CF6" w:rsidRDefault="00A26514" w:rsidP="00A26514">
      <w:pPr>
        <w:rPr>
          <w:rFonts w:cstheme="minorHAnsi"/>
        </w:rPr>
      </w:pPr>
    </w:p>
    <w:p w14:paraId="4ADA68DB" w14:textId="1E79F4D4" w:rsidR="00A26514" w:rsidRDefault="00A26514" w:rsidP="00A26514">
      <w:pPr>
        <w:rPr>
          <w:rFonts w:cstheme="minorHAnsi"/>
          <w:szCs w:val="22"/>
        </w:rPr>
      </w:pPr>
      <w:r w:rsidRPr="00CA30D2">
        <w:rPr>
          <w:rFonts w:cstheme="minorHAnsi"/>
          <w:szCs w:val="22"/>
        </w:rPr>
        <w:t xml:space="preserve">MF </w:t>
      </w:r>
      <w:r w:rsidR="008956F5">
        <w:rPr>
          <w:rFonts w:cstheme="minorHAnsi"/>
          <w:szCs w:val="22"/>
        </w:rPr>
        <w:t xml:space="preserve">v souvislosti s touto </w:t>
      </w:r>
      <w:r>
        <w:rPr>
          <w:rFonts w:cstheme="minorHAnsi"/>
          <w:szCs w:val="22"/>
        </w:rPr>
        <w:t>investiční akc</w:t>
      </w:r>
      <w:r w:rsidR="008956F5">
        <w:rPr>
          <w:rFonts w:cstheme="minorHAnsi"/>
          <w:szCs w:val="22"/>
        </w:rPr>
        <w:t>í</w:t>
      </w:r>
      <w:r>
        <w:rPr>
          <w:rFonts w:cstheme="minorHAnsi"/>
          <w:szCs w:val="22"/>
        </w:rPr>
        <w:t xml:space="preserve"> </w:t>
      </w:r>
      <w:r w:rsidRPr="00CA30D2">
        <w:rPr>
          <w:rFonts w:cstheme="minorHAnsi"/>
          <w:szCs w:val="22"/>
        </w:rPr>
        <w:t>vynaložilo na studii proveditelnosti</w:t>
      </w:r>
      <w:r w:rsidRPr="00CA30D2">
        <w:rPr>
          <w:rFonts w:eastAsiaTheme="minorHAnsi" w:cstheme="minorBidi"/>
          <w:szCs w:val="22"/>
        </w:rPr>
        <w:t xml:space="preserve"> adaptace bývalé jídelny na archiv a</w:t>
      </w:r>
      <w:r w:rsidRPr="00CA30D2">
        <w:rPr>
          <w:rFonts w:cstheme="minorHAnsi"/>
          <w:szCs w:val="22"/>
        </w:rPr>
        <w:t xml:space="preserve"> na stavební úprav</w:t>
      </w:r>
      <w:r w:rsidR="00EB57F5">
        <w:rPr>
          <w:rFonts w:cstheme="minorHAnsi"/>
          <w:szCs w:val="22"/>
        </w:rPr>
        <w:t>y</w:t>
      </w:r>
      <w:r w:rsidRPr="00CA30D2">
        <w:rPr>
          <w:rFonts w:cstheme="minorHAnsi"/>
          <w:szCs w:val="22"/>
        </w:rPr>
        <w:t xml:space="preserve"> </w:t>
      </w:r>
      <w:r w:rsidR="00EB57F5">
        <w:rPr>
          <w:rFonts w:cstheme="minorHAnsi"/>
          <w:szCs w:val="22"/>
        </w:rPr>
        <w:t>příslušných</w:t>
      </w:r>
      <w:r w:rsidRPr="00CA30D2">
        <w:rPr>
          <w:rFonts w:cstheme="minorHAnsi"/>
          <w:szCs w:val="22"/>
        </w:rPr>
        <w:t xml:space="preserve"> prostor celkově 269 638 Kč</w:t>
      </w:r>
      <w:r w:rsidR="00EB57F5">
        <w:rPr>
          <w:rFonts w:cstheme="minorHAnsi"/>
          <w:szCs w:val="22"/>
        </w:rPr>
        <w:t xml:space="preserve"> z běžných výdajů</w:t>
      </w:r>
      <w:r w:rsidRPr="00CA30D2">
        <w:rPr>
          <w:rFonts w:cstheme="minorHAnsi"/>
          <w:szCs w:val="22"/>
        </w:rPr>
        <w:t>.</w:t>
      </w:r>
      <w:r w:rsidRPr="00CA30D2">
        <w:rPr>
          <w:rFonts w:cstheme="minorHAnsi"/>
          <w:b/>
          <w:szCs w:val="22"/>
        </w:rPr>
        <w:t xml:space="preserve"> </w:t>
      </w:r>
      <w:r w:rsidRPr="00CA30D2">
        <w:rPr>
          <w:rFonts w:cstheme="minorHAnsi"/>
          <w:szCs w:val="22"/>
        </w:rPr>
        <w:t xml:space="preserve">Stanovený cíl </w:t>
      </w:r>
      <w:r w:rsidR="00EB57F5">
        <w:rPr>
          <w:rFonts w:cstheme="minorHAnsi"/>
          <w:szCs w:val="22"/>
        </w:rPr>
        <w:t xml:space="preserve">v podobě </w:t>
      </w:r>
      <w:r w:rsidRPr="00CA30D2">
        <w:rPr>
          <w:rFonts w:cstheme="minorHAnsi"/>
          <w:szCs w:val="22"/>
        </w:rPr>
        <w:t>rozšíření prostor pro</w:t>
      </w:r>
      <w:r w:rsidR="00EB57F5">
        <w:rPr>
          <w:rFonts w:cstheme="minorHAnsi"/>
          <w:szCs w:val="22"/>
        </w:rPr>
        <w:t xml:space="preserve"> </w:t>
      </w:r>
      <w:r w:rsidRPr="00CA30D2">
        <w:rPr>
          <w:rFonts w:cstheme="minorHAnsi"/>
          <w:szCs w:val="22"/>
        </w:rPr>
        <w:t>archivaci dokumentů MF v objekt</w:t>
      </w:r>
      <w:r w:rsidR="009D128F">
        <w:rPr>
          <w:rFonts w:cstheme="minorHAnsi"/>
          <w:szCs w:val="22"/>
        </w:rPr>
        <w:t>ech</w:t>
      </w:r>
      <w:r w:rsidRPr="00CA30D2">
        <w:rPr>
          <w:rFonts w:cstheme="minorHAnsi"/>
          <w:szCs w:val="22"/>
        </w:rPr>
        <w:t xml:space="preserve"> Voctářova 11</w:t>
      </w:r>
      <w:r w:rsidR="00EB57F5">
        <w:rPr>
          <w:rFonts w:cstheme="minorHAnsi"/>
          <w:szCs w:val="22"/>
        </w:rPr>
        <w:t>, Praha 1</w:t>
      </w:r>
      <w:r w:rsidRPr="00CA30D2">
        <w:rPr>
          <w:rFonts w:cstheme="minorHAnsi"/>
          <w:szCs w:val="22"/>
        </w:rPr>
        <w:t xml:space="preserve"> a Letenská 15</w:t>
      </w:r>
      <w:r w:rsidR="00EB57F5">
        <w:rPr>
          <w:rFonts w:cstheme="minorHAnsi"/>
          <w:szCs w:val="22"/>
        </w:rPr>
        <w:t>, Praha 1</w:t>
      </w:r>
      <w:r>
        <w:rPr>
          <w:rFonts w:cstheme="minorHAnsi"/>
          <w:szCs w:val="22"/>
        </w:rPr>
        <w:t xml:space="preserve"> ale</w:t>
      </w:r>
      <w:r w:rsidRPr="00CA30D2">
        <w:rPr>
          <w:rFonts w:cstheme="minorHAnsi"/>
          <w:szCs w:val="22"/>
        </w:rPr>
        <w:t xml:space="preserve"> nebyl naplněn z důvodu zrušení investiční akce</w:t>
      </w:r>
      <w:r>
        <w:rPr>
          <w:rFonts w:cstheme="minorHAnsi"/>
          <w:szCs w:val="22"/>
        </w:rPr>
        <w:t>.</w:t>
      </w:r>
    </w:p>
    <w:p w14:paraId="37F565FC" w14:textId="77777777" w:rsidR="00A26514" w:rsidRDefault="00A26514" w:rsidP="00A26514">
      <w:pPr>
        <w:rPr>
          <w:rFonts w:cstheme="minorHAnsi"/>
        </w:rPr>
      </w:pPr>
    </w:p>
    <w:p w14:paraId="5C5658E0" w14:textId="08E932F6" w:rsidR="00A26514" w:rsidRPr="00CA30D2" w:rsidRDefault="00A26514" w:rsidP="00A26514">
      <w:pPr>
        <w:rPr>
          <w:rFonts w:cstheme="minorHAnsi"/>
        </w:rPr>
      </w:pPr>
      <w:r w:rsidRPr="00D57E18">
        <w:rPr>
          <w:rFonts w:cstheme="minorHAnsi"/>
        </w:rPr>
        <w:t>MF předpokládá, že k zaplnění všech jeho stávajících archivních prostor</w:t>
      </w:r>
      <w:r w:rsidRPr="00D57E18">
        <w:rPr>
          <w:rFonts w:cstheme="minorHAnsi"/>
          <w:i/>
        </w:rPr>
        <w:t xml:space="preserve"> </w:t>
      </w:r>
      <w:r w:rsidRPr="00D57E18">
        <w:rPr>
          <w:rFonts w:cstheme="minorHAnsi"/>
        </w:rPr>
        <w:t xml:space="preserve">dojde za 3 až 5 let. </w:t>
      </w:r>
      <w:r>
        <w:rPr>
          <w:rFonts w:cstheme="minorHAnsi"/>
        </w:rPr>
        <w:t>D</w:t>
      </w:r>
      <w:r w:rsidRPr="00D57E18">
        <w:rPr>
          <w:rFonts w:cstheme="minorHAnsi"/>
        </w:rPr>
        <w:t>le</w:t>
      </w:r>
      <w:r w:rsidR="00C00F2E">
        <w:rPr>
          <w:rFonts w:cstheme="minorHAnsi"/>
        </w:rPr>
        <w:t> </w:t>
      </w:r>
      <w:r w:rsidRPr="00D57E18">
        <w:rPr>
          <w:rFonts w:cstheme="minorHAnsi"/>
        </w:rPr>
        <w:t>informací MF</w:t>
      </w:r>
      <w:r>
        <w:rPr>
          <w:rFonts w:cstheme="minorHAnsi"/>
        </w:rPr>
        <w:t xml:space="preserve"> je </w:t>
      </w:r>
      <w:r w:rsidR="00EB57F5">
        <w:rPr>
          <w:rFonts w:cstheme="minorHAnsi"/>
        </w:rPr>
        <w:t xml:space="preserve">výše uvedený </w:t>
      </w:r>
      <w:r>
        <w:rPr>
          <w:rFonts w:cstheme="minorHAnsi"/>
        </w:rPr>
        <w:t>r</w:t>
      </w:r>
      <w:r w:rsidRPr="00D57E18">
        <w:rPr>
          <w:rFonts w:cstheme="minorHAnsi"/>
        </w:rPr>
        <w:t>esortní archiv</w:t>
      </w:r>
      <w:r>
        <w:rPr>
          <w:rFonts w:cstheme="minorHAnsi"/>
        </w:rPr>
        <w:t>, na jehož výstavbu MF spoléhá,</w:t>
      </w:r>
      <w:r w:rsidRPr="00D57E18">
        <w:rPr>
          <w:rFonts w:cstheme="minorHAnsi"/>
        </w:rPr>
        <w:t xml:space="preserve"> aktuálně již přes rok pouze ve fázi informace k záměru výstavby.</w:t>
      </w:r>
      <w:r w:rsidRPr="008B3CF6">
        <w:rPr>
          <w:rFonts w:ascii="Calibri" w:eastAsia="Calibri" w:hAnsi="Calibri" w:cs="Calibri"/>
          <w:szCs w:val="22"/>
        </w:rPr>
        <w:t xml:space="preserve"> </w:t>
      </w:r>
      <w:r w:rsidR="00752EEC">
        <w:rPr>
          <w:rFonts w:ascii="Calibri" w:eastAsia="Calibri" w:hAnsi="Calibri" w:cs="Calibri"/>
          <w:szCs w:val="22"/>
        </w:rPr>
        <w:t>P</w:t>
      </w:r>
      <w:r w:rsidRPr="008B3CF6">
        <w:rPr>
          <w:rFonts w:ascii="Calibri" w:eastAsia="Calibri" w:hAnsi="Calibri" w:cs="Calibri"/>
          <w:szCs w:val="22"/>
        </w:rPr>
        <w:t xml:space="preserve">řestože je </w:t>
      </w:r>
      <w:r w:rsidR="00752EEC" w:rsidRPr="008B3CF6">
        <w:rPr>
          <w:rFonts w:ascii="Calibri" w:eastAsia="Calibri" w:hAnsi="Calibri" w:cs="Calibri"/>
          <w:szCs w:val="22"/>
        </w:rPr>
        <w:t xml:space="preserve">MF </w:t>
      </w:r>
      <w:r w:rsidRPr="008B3CF6">
        <w:rPr>
          <w:rFonts w:ascii="Calibri" w:eastAsia="Calibri" w:hAnsi="Calibri" w:cs="Calibri"/>
          <w:szCs w:val="22"/>
        </w:rPr>
        <w:t>zakladatel</w:t>
      </w:r>
      <w:r w:rsidR="00752EEC">
        <w:rPr>
          <w:rFonts w:ascii="Calibri" w:eastAsia="Calibri" w:hAnsi="Calibri" w:cs="Calibri"/>
          <w:szCs w:val="22"/>
        </w:rPr>
        <w:t>em</w:t>
      </w:r>
      <w:r w:rsidRPr="008B3CF6">
        <w:rPr>
          <w:rFonts w:ascii="Calibri" w:eastAsia="Calibri" w:hAnsi="Calibri" w:cs="Calibri"/>
          <w:szCs w:val="22"/>
        </w:rPr>
        <w:t xml:space="preserve"> </w:t>
      </w:r>
      <w:r w:rsidRPr="008B3CF6">
        <w:rPr>
          <w:rFonts w:cstheme="minorHAnsi"/>
          <w:szCs w:val="22"/>
        </w:rPr>
        <w:t>Státní pokladny Centra sdílených služeb, s.</w:t>
      </w:r>
      <w:r w:rsidR="00752EEC">
        <w:rPr>
          <w:rFonts w:cstheme="minorHAnsi"/>
          <w:szCs w:val="22"/>
        </w:rPr>
        <w:t> </w:t>
      </w:r>
      <w:r w:rsidRPr="008B3CF6">
        <w:rPr>
          <w:rFonts w:cstheme="minorHAnsi"/>
          <w:szCs w:val="22"/>
        </w:rPr>
        <w:t xml:space="preserve">p., </w:t>
      </w:r>
      <w:r w:rsidR="00752EEC">
        <w:rPr>
          <w:rFonts w:cstheme="minorHAnsi"/>
          <w:szCs w:val="22"/>
        </w:rPr>
        <w:t xml:space="preserve">a má vůči tomuto podniku povinnost provádět </w:t>
      </w:r>
      <w:r w:rsidRPr="008B3CF6">
        <w:rPr>
          <w:rFonts w:cstheme="minorHAnsi"/>
          <w:szCs w:val="22"/>
        </w:rPr>
        <w:t>dozorovou činnost, nedisponuje</w:t>
      </w:r>
      <w:r>
        <w:rPr>
          <w:rFonts w:cstheme="minorHAnsi"/>
          <w:szCs w:val="22"/>
        </w:rPr>
        <w:t xml:space="preserve"> dalšími</w:t>
      </w:r>
      <w:r w:rsidRPr="008B3CF6">
        <w:rPr>
          <w:rFonts w:cstheme="minorHAnsi"/>
          <w:szCs w:val="22"/>
        </w:rPr>
        <w:t xml:space="preserve"> informacemi </w:t>
      </w:r>
      <w:r w:rsidR="00752EEC">
        <w:rPr>
          <w:rFonts w:cstheme="minorHAnsi"/>
          <w:szCs w:val="22"/>
        </w:rPr>
        <w:t xml:space="preserve">ohledně </w:t>
      </w:r>
      <w:r w:rsidRPr="008B3CF6">
        <w:rPr>
          <w:rFonts w:cstheme="minorHAnsi"/>
          <w:szCs w:val="22"/>
        </w:rPr>
        <w:t>výstavb</w:t>
      </w:r>
      <w:r w:rsidR="00752EEC">
        <w:rPr>
          <w:rFonts w:cstheme="minorHAnsi"/>
          <w:szCs w:val="22"/>
        </w:rPr>
        <w:t>y</w:t>
      </w:r>
      <w:r w:rsidRPr="008B3CF6">
        <w:rPr>
          <w:rFonts w:cstheme="minorHAnsi"/>
          <w:szCs w:val="22"/>
        </w:rPr>
        <w:t xml:space="preserve"> resortního archivu, např. střednědobým výhledem </w:t>
      </w:r>
      <w:r w:rsidR="00752EEC">
        <w:rPr>
          <w:rFonts w:cstheme="minorHAnsi"/>
          <w:szCs w:val="22"/>
        </w:rPr>
        <w:t>či</w:t>
      </w:r>
      <w:r w:rsidRPr="008B3CF6">
        <w:rPr>
          <w:rFonts w:cstheme="minorHAnsi"/>
          <w:szCs w:val="22"/>
        </w:rPr>
        <w:t xml:space="preserve"> informacemi o financování stavby resortního archivu.</w:t>
      </w:r>
      <w:r w:rsidRPr="008B3CF6">
        <w:rPr>
          <w:rFonts w:ascii="Calibri" w:eastAsia="Calibri" w:hAnsi="Calibri" w:cs="Calibri"/>
          <w:szCs w:val="22"/>
        </w:rPr>
        <w:t xml:space="preserve"> Materiál do porady vedení MF o</w:t>
      </w:r>
      <w:r w:rsidR="00752EEC">
        <w:rPr>
          <w:rFonts w:ascii="Calibri" w:eastAsia="Calibri" w:hAnsi="Calibri" w:cs="Calibri"/>
          <w:szCs w:val="22"/>
        </w:rPr>
        <w:t xml:space="preserve"> </w:t>
      </w:r>
      <w:r w:rsidRPr="008B3CF6">
        <w:rPr>
          <w:rFonts w:ascii="Calibri" w:eastAsia="Calibri" w:hAnsi="Calibri" w:cs="Calibri"/>
          <w:szCs w:val="22"/>
        </w:rPr>
        <w:t xml:space="preserve">umístění </w:t>
      </w:r>
      <w:r w:rsidRPr="008B3CF6">
        <w:rPr>
          <w:rFonts w:cstheme="minorHAnsi"/>
          <w:szCs w:val="22"/>
        </w:rPr>
        <w:t xml:space="preserve">resortního </w:t>
      </w:r>
      <w:r w:rsidRPr="008B3CF6">
        <w:rPr>
          <w:rFonts w:ascii="Calibri" w:eastAsia="Calibri" w:hAnsi="Calibri" w:cs="Calibri"/>
          <w:szCs w:val="22"/>
        </w:rPr>
        <w:t>archivu do</w:t>
      </w:r>
      <w:r w:rsidR="00752EEC">
        <w:rPr>
          <w:rFonts w:ascii="Calibri" w:eastAsia="Calibri" w:hAnsi="Calibri" w:cs="Calibri"/>
          <w:szCs w:val="22"/>
        </w:rPr>
        <w:t xml:space="preserve"> </w:t>
      </w:r>
      <w:r w:rsidRPr="008B3CF6">
        <w:rPr>
          <w:rFonts w:ascii="Calibri" w:eastAsia="Calibri" w:hAnsi="Calibri" w:cs="Calibri"/>
          <w:szCs w:val="22"/>
        </w:rPr>
        <w:t xml:space="preserve">budovaného areálu </w:t>
      </w:r>
      <w:r w:rsidRPr="008B3CF6">
        <w:rPr>
          <w:rFonts w:cstheme="minorHAnsi"/>
          <w:szCs w:val="22"/>
        </w:rPr>
        <w:t>Státní pokladny Centra sdílených služeb, s.</w:t>
      </w:r>
      <w:r w:rsidR="00752EEC">
        <w:rPr>
          <w:rFonts w:cstheme="minorHAnsi"/>
          <w:szCs w:val="22"/>
        </w:rPr>
        <w:t> </w:t>
      </w:r>
      <w:r w:rsidRPr="008B3CF6">
        <w:rPr>
          <w:rFonts w:cstheme="minorHAnsi"/>
          <w:szCs w:val="22"/>
        </w:rPr>
        <w:t xml:space="preserve">p., </w:t>
      </w:r>
      <w:r w:rsidRPr="008B3CF6">
        <w:rPr>
          <w:rFonts w:ascii="Calibri" w:eastAsia="Calibri" w:hAnsi="Calibri" w:cs="Calibri"/>
          <w:szCs w:val="22"/>
        </w:rPr>
        <w:t>v Zelenči nebyl nikdy MF předložen.</w:t>
      </w:r>
      <w:r>
        <w:rPr>
          <w:rFonts w:ascii="Calibri" w:eastAsia="Calibri" w:hAnsi="Calibri" w:cs="Calibri"/>
          <w:szCs w:val="22"/>
        </w:rPr>
        <w:t xml:space="preserve"> </w:t>
      </w:r>
      <w:r w:rsidRPr="00D57E18">
        <w:rPr>
          <w:rFonts w:cstheme="minorHAnsi"/>
        </w:rPr>
        <w:t>Existuje riziko, že kvůli nerealizaci oprav vlastní</w:t>
      </w:r>
      <w:r w:rsidR="00752EEC">
        <w:rPr>
          <w:rFonts w:cstheme="minorHAnsi"/>
        </w:rPr>
        <w:t>ch</w:t>
      </w:r>
      <w:r w:rsidRPr="00D57E18">
        <w:rPr>
          <w:rFonts w:cstheme="minorHAnsi"/>
        </w:rPr>
        <w:t xml:space="preserve"> budov</w:t>
      </w:r>
      <w:r w:rsidR="00752EEC">
        <w:rPr>
          <w:rFonts w:cstheme="minorHAnsi"/>
        </w:rPr>
        <w:t xml:space="preserve"> v Praze na adresách</w:t>
      </w:r>
      <w:r w:rsidRPr="00D57E18">
        <w:rPr>
          <w:rFonts w:cstheme="minorHAnsi"/>
        </w:rPr>
        <w:t xml:space="preserve"> Voctářova 11 </w:t>
      </w:r>
      <w:r w:rsidRPr="00CA30D2">
        <w:rPr>
          <w:rFonts w:cstheme="minorHAnsi"/>
          <w:szCs w:val="22"/>
        </w:rPr>
        <w:t>a Letenská 15</w:t>
      </w:r>
      <w:r>
        <w:rPr>
          <w:rFonts w:cstheme="minorHAnsi"/>
          <w:szCs w:val="22"/>
        </w:rPr>
        <w:t xml:space="preserve"> </w:t>
      </w:r>
      <w:r w:rsidRPr="00D57E18">
        <w:rPr>
          <w:rFonts w:cstheme="minorHAnsi"/>
        </w:rPr>
        <w:t>nebude mít MF dostatečné kapacity</w:t>
      </w:r>
      <w:r>
        <w:rPr>
          <w:rFonts w:cstheme="minorHAnsi"/>
        </w:rPr>
        <w:t xml:space="preserve"> </w:t>
      </w:r>
      <w:r w:rsidRPr="00D57E18">
        <w:rPr>
          <w:rFonts w:cstheme="minorHAnsi"/>
        </w:rPr>
        <w:t>archivních prostor.</w:t>
      </w:r>
    </w:p>
    <w:p w14:paraId="34AD2249" w14:textId="77777777" w:rsidR="00A26514" w:rsidRDefault="00A26514" w:rsidP="002A0EE8">
      <w:pPr>
        <w:autoSpaceDE w:val="0"/>
        <w:autoSpaceDN w:val="0"/>
        <w:rPr>
          <w:rFonts w:cstheme="minorHAnsi"/>
          <w:b/>
          <w:color w:val="000000"/>
        </w:rPr>
      </w:pPr>
    </w:p>
    <w:p w14:paraId="1840015F" w14:textId="688365C4" w:rsidR="00146CFC" w:rsidRPr="002C595C" w:rsidRDefault="00146CFC" w:rsidP="00146CFC">
      <w:pPr>
        <w:spacing w:line="280" w:lineRule="atLeast"/>
        <w:rPr>
          <w:rFonts w:cstheme="minorHAnsi"/>
          <w:b/>
        </w:rPr>
      </w:pPr>
      <w:r w:rsidRPr="002C595C">
        <w:rPr>
          <w:rFonts w:cstheme="minorHAnsi"/>
          <w:b/>
        </w:rPr>
        <w:t>IV.</w:t>
      </w:r>
      <w:r w:rsidR="00594359">
        <w:rPr>
          <w:rFonts w:cstheme="minorHAnsi"/>
          <w:b/>
        </w:rPr>
        <w:t>5</w:t>
      </w:r>
      <w:r w:rsidRPr="002C595C">
        <w:rPr>
          <w:rFonts w:cstheme="minorHAnsi"/>
          <w:b/>
        </w:rPr>
        <w:t>. MF opakovaně prodlužovalo dobu realizace programů</w:t>
      </w:r>
    </w:p>
    <w:p w14:paraId="23EC07E9" w14:textId="30F83855" w:rsidR="00722958" w:rsidRPr="002C595C" w:rsidRDefault="00722958" w:rsidP="00146CFC">
      <w:pPr>
        <w:spacing w:line="280" w:lineRule="atLeast"/>
        <w:rPr>
          <w:rFonts w:cstheme="minorHAnsi"/>
          <w:b/>
        </w:rPr>
      </w:pPr>
    </w:p>
    <w:p w14:paraId="5E374053" w14:textId="77777777" w:rsidR="00341842" w:rsidRDefault="00341842" w:rsidP="00341842">
      <w:pPr>
        <w:autoSpaceDE w:val="0"/>
        <w:autoSpaceDN w:val="0"/>
        <w:adjustRightInd w:val="0"/>
        <w:rPr>
          <w:rFonts w:cstheme="minorHAnsi"/>
          <w:color w:val="000000"/>
          <w:u w:val="single"/>
        </w:rPr>
      </w:pPr>
      <w:r w:rsidRPr="00003A7A">
        <w:rPr>
          <w:rFonts w:cstheme="minorHAnsi"/>
          <w:color w:val="000000"/>
          <w:u w:val="single"/>
        </w:rPr>
        <w:t>Program 112</w:t>
      </w:r>
      <w:r>
        <w:rPr>
          <w:rFonts w:cstheme="minorHAnsi"/>
          <w:color w:val="000000"/>
          <w:u w:val="single"/>
        </w:rPr>
        <w:t>V</w:t>
      </w:r>
      <w:r w:rsidRPr="00003A7A">
        <w:rPr>
          <w:rFonts w:cstheme="minorHAnsi"/>
          <w:color w:val="000000"/>
          <w:u w:val="single"/>
        </w:rPr>
        <w:t>01</w:t>
      </w:r>
    </w:p>
    <w:p w14:paraId="08ABA545" w14:textId="77777777" w:rsidR="00341842" w:rsidRDefault="00341842" w:rsidP="00341842">
      <w:pPr>
        <w:autoSpaceDE w:val="0"/>
        <w:autoSpaceDN w:val="0"/>
        <w:adjustRightInd w:val="0"/>
        <w:rPr>
          <w:rFonts w:cstheme="minorHAnsi"/>
          <w:color w:val="000000"/>
          <w:u w:val="single"/>
        </w:rPr>
      </w:pPr>
    </w:p>
    <w:p w14:paraId="15153A0A" w14:textId="4F6B3850" w:rsidR="005C190D" w:rsidRDefault="00341842" w:rsidP="00722958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Dokumentaci programu </w:t>
      </w:r>
      <w:r w:rsidRPr="00C250A4">
        <w:rPr>
          <w:rFonts w:cstheme="minorHAnsi"/>
        </w:rPr>
        <w:t>112V01</w:t>
      </w:r>
      <w:r w:rsidRPr="004F4DE3">
        <w:rPr>
          <w:rFonts w:cstheme="minorHAnsi"/>
          <w:i/>
        </w:rPr>
        <w:t xml:space="preserve"> – Rozvoj a obnova mat. tech. základny systému řízení Ministerstva financí</w:t>
      </w:r>
      <w:r w:rsidR="005C190D">
        <w:rPr>
          <w:rFonts w:cstheme="minorHAnsi"/>
          <w:i/>
        </w:rPr>
        <w:t xml:space="preserve"> – </w:t>
      </w:r>
      <w:r w:rsidRPr="004F4DE3">
        <w:rPr>
          <w:rFonts w:cstheme="minorHAnsi"/>
          <w:i/>
        </w:rPr>
        <w:t>od r. 2007</w:t>
      </w:r>
      <w:r>
        <w:rPr>
          <w:rFonts w:cstheme="minorHAnsi"/>
        </w:rPr>
        <w:t xml:space="preserve"> schválilo MF dne 8. 1. 2008. Program tvořily dva podprogramy, a to </w:t>
      </w:r>
      <w:r w:rsidRPr="00C250A4">
        <w:rPr>
          <w:rFonts w:cstheme="minorHAnsi"/>
        </w:rPr>
        <w:t xml:space="preserve">112V011 </w:t>
      </w:r>
      <w:r w:rsidRPr="004F4DE3">
        <w:rPr>
          <w:rFonts w:cstheme="minorHAnsi"/>
          <w:i/>
        </w:rPr>
        <w:t>– Pořízení, obnova a provozování ICT systému v letech 2007–2013</w:t>
      </w:r>
      <w:r>
        <w:rPr>
          <w:rFonts w:cstheme="minorHAnsi"/>
        </w:rPr>
        <w:t xml:space="preserve"> a </w:t>
      </w:r>
      <w:r w:rsidRPr="00C250A4">
        <w:rPr>
          <w:rFonts w:cstheme="minorHAnsi"/>
        </w:rPr>
        <w:t xml:space="preserve">112V012 </w:t>
      </w:r>
      <w:r w:rsidRPr="006A556A">
        <w:rPr>
          <w:rFonts w:cstheme="minorHAnsi"/>
          <w:i/>
        </w:rPr>
        <w:t>– Pořízení a obnova materiálně technické základny Ministerstva financí v letech 2008–2013</w:t>
      </w:r>
      <w:r>
        <w:rPr>
          <w:rFonts w:cstheme="minorHAnsi"/>
        </w:rPr>
        <w:t xml:space="preserve">. Ukončení realizace programu stanovilo MF původně </w:t>
      </w:r>
      <w:r w:rsidR="00CA0291">
        <w:rPr>
          <w:rFonts w:cstheme="minorHAnsi"/>
        </w:rPr>
        <w:t>na</w:t>
      </w:r>
      <w:r>
        <w:rPr>
          <w:rFonts w:cstheme="minorHAnsi"/>
        </w:rPr>
        <w:t xml:space="preserve"> 31. 12. 2013, následně však program několikrát prodloužilo, nejprve do konce roku 2014, poté postupně do konce roku 2015, 2016 a 2017. Vypracování 1. verze návrhu závěrečného vyhodnocení programu stanovilo MF na červen 2014, následně tento termín prodloužilo až do konce roku 2020.</w:t>
      </w:r>
    </w:p>
    <w:p w14:paraId="09DAD9C3" w14:textId="77777777" w:rsidR="005C190D" w:rsidRDefault="005C190D" w:rsidP="00722958">
      <w:pPr>
        <w:autoSpaceDE w:val="0"/>
        <w:autoSpaceDN w:val="0"/>
        <w:adjustRightInd w:val="0"/>
        <w:rPr>
          <w:rFonts w:cstheme="minorHAnsi"/>
          <w:color w:val="000000"/>
          <w:u w:val="single"/>
        </w:rPr>
      </w:pPr>
    </w:p>
    <w:p w14:paraId="2ED5D1A0" w14:textId="77777777" w:rsidR="005C190D" w:rsidRDefault="005C190D">
      <w:pPr>
        <w:spacing w:after="160" w:line="259" w:lineRule="auto"/>
        <w:jc w:val="left"/>
        <w:rPr>
          <w:rFonts w:cstheme="minorHAnsi"/>
          <w:color w:val="000000"/>
          <w:u w:val="single"/>
        </w:rPr>
      </w:pPr>
      <w:r>
        <w:rPr>
          <w:rFonts w:cstheme="minorHAnsi"/>
          <w:color w:val="000000"/>
          <w:u w:val="single"/>
        </w:rPr>
        <w:br w:type="page"/>
      </w:r>
    </w:p>
    <w:p w14:paraId="39FFB105" w14:textId="39D8021C" w:rsidR="00722958" w:rsidRPr="00003A7A" w:rsidRDefault="00722958" w:rsidP="00722958">
      <w:pPr>
        <w:autoSpaceDE w:val="0"/>
        <w:autoSpaceDN w:val="0"/>
        <w:adjustRightInd w:val="0"/>
        <w:rPr>
          <w:rFonts w:cstheme="minorHAnsi"/>
          <w:color w:val="000000"/>
          <w:u w:val="single"/>
        </w:rPr>
      </w:pPr>
      <w:r w:rsidRPr="00003A7A">
        <w:rPr>
          <w:rFonts w:cstheme="minorHAnsi"/>
          <w:color w:val="000000"/>
          <w:u w:val="single"/>
        </w:rPr>
        <w:lastRenderedPageBreak/>
        <w:t>Program 012</w:t>
      </w:r>
      <w:r>
        <w:rPr>
          <w:rFonts w:cstheme="minorHAnsi"/>
          <w:color w:val="000000"/>
          <w:u w:val="single"/>
        </w:rPr>
        <w:t>V</w:t>
      </w:r>
      <w:r w:rsidRPr="00003A7A">
        <w:rPr>
          <w:rFonts w:cstheme="minorHAnsi"/>
          <w:color w:val="000000"/>
          <w:u w:val="single"/>
        </w:rPr>
        <w:t>01</w:t>
      </w:r>
    </w:p>
    <w:p w14:paraId="2136DA5F" w14:textId="77777777" w:rsidR="00722958" w:rsidRPr="00CA7B84" w:rsidRDefault="00722958" w:rsidP="00722958">
      <w:pPr>
        <w:rPr>
          <w:rFonts w:cstheme="minorHAnsi"/>
          <w:szCs w:val="22"/>
        </w:rPr>
      </w:pPr>
    </w:p>
    <w:p w14:paraId="506421E9" w14:textId="4F512F11" w:rsidR="00722958" w:rsidRDefault="00722958" w:rsidP="00722958">
      <w:pPr>
        <w:rPr>
          <w:rFonts w:cstheme="minorHAnsi"/>
          <w:i/>
          <w:szCs w:val="22"/>
        </w:rPr>
      </w:pPr>
      <w:r w:rsidRPr="00CA7B84">
        <w:rPr>
          <w:rFonts w:cstheme="minorHAnsi"/>
          <w:szCs w:val="22"/>
        </w:rPr>
        <w:t xml:space="preserve">Dne 19. 12. 2013 předložilo MF ke schválení návrh dokumentace programu </w:t>
      </w:r>
      <w:r w:rsidRPr="00C250A4">
        <w:rPr>
          <w:rFonts w:cstheme="minorHAnsi"/>
          <w:szCs w:val="22"/>
        </w:rPr>
        <w:t xml:space="preserve">012V01 </w:t>
      </w:r>
      <w:r w:rsidRPr="00CA7B84">
        <w:rPr>
          <w:rFonts w:cstheme="minorHAnsi"/>
          <w:i/>
          <w:szCs w:val="22"/>
        </w:rPr>
        <w:t>– Rozvoj a</w:t>
      </w:r>
      <w:r w:rsidR="00CA0291">
        <w:rPr>
          <w:rFonts w:cstheme="minorHAnsi"/>
          <w:i/>
          <w:szCs w:val="22"/>
        </w:rPr>
        <w:t xml:space="preserve"> </w:t>
      </w:r>
      <w:r w:rsidRPr="00CA7B84">
        <w:rPr>
          <w:rFonts w:cstheme="minorHAnsi"/>
          <w:i/>
          <w:szCs w:val="22"/>
        </w:rPr>
        <w:t xml:space="preserve">obnova materiálně technické základny systému řízení Ministerstva financí </w:t>
      </w:r>
      <w:r w:rsidRPr="00CA7B84">
        <w:rPr>
          <w:rFonts w:cstheme="minorHAnsi"/>
          <w:szCs w:val="22"/>
        </w:rPr>
        <w:t xml:space="preserve">na léta </w:t>
      </w:r>
      <w:r w:rsidR="00CA0291">
        <w:rPr>
          <w:rFonts w:cstheme="minorHAnsi"/>
          <w:szCs w:val="22"/>
        </w:rPr>
        <w:br/>
      </w:r>
      <w:r w:rsidRPr="00CA7B84">
        <w:rPr>
          <w:rFonts w:cstheme="minorHAnsi"/>
          <w:szCs w:val="22"/>
        </w:rPr>
        <w:t>2014</w:t>
      </w:r>
      <w:r w:rsidR="00C00F2E">
        <w:rPr>
          <w:rFonts w:cstheme="minorHAnsi"/>
          <w:szCs w:val="22"/>
        </w:rPr>
        <w:t>–</w:t>
      </w:r>
      <w:r w:rsidRPr="00CA7B84">
        <w:rPr>
          <w:rFonts w:cstheme="minorHAnsi"/>
          <w:szCs w:val="22"/>
        </w:rPr>
        <w:t>2020</w:t>
      </w:r>
      <w:r>
        <w:rPr>
          <w:rFonts w:cstheme="minorHAnsi"/>
          <w:szCs w:val="22"/>
        </w:rPr>
        <w:t xml:space="preserve">, který si MF schválilo </w:t>
      </w:r>
      <w:r w:rsidRPr="00CA7B84">
        <w:rPr>
          <w:rFonts w:cstheme="minorHAnsi"/>
          <w:szCs w:val="22"/>
        </w:rPr>
        <w:t xml:space="preserve">dne 15. 1. 2014. </w:t>
      </w:r>
      <w:r>
        <w:rPr>
          <w:rFonts w:eastAsia="ArialMT" w:cstheme="minorHAnsi"/>
          <w:szCs w:val="22"/>
        </w:rPr>
        <w:t>P</w:t>
      </w:r>
      <w:r w:rsidRPr="00CA7B84">
        <w:rPr>
          <w:rFonts w:cstheme="minorHAnsi"/>
          <w:szCs w:val="22"/>
        </w:rPr>
        <w:t>rogram má</w:t>
      </w:r>
      <w:r>
        <w:rPr>
          <w:rFonts w:cstheme="minorHAnsi"/>
          <w:szCs w:val="22"/>
        </w:rPr>
        <w:t xml:space="preserve"> </w:t>
      </w:r>
      <w:r w:rsidRPr="00CA7B84">
        <w:rPr>
          <w:rFonts w:cstheme="minorHAnsi"/>
          <w:szCs w:val="22"/>
        </w:rPr>
        <w:t xml:space="preserve">dva podprogramy, </w:t>
      </w:r>
      <w:r>
        <w:rPr>
          <w:rFonts w:cstheme="minorHAnsi"/>
          <w:szCs w:val="22"/>
        </w:rPr>
        <w:t>a to</w:t>
      </w:r>
      <w:r w:rsidRPr="00CA7B84">
        <w:rPr>
          <w:rFonts w:cstheme="minorHAnsi"/>
          <w:szCs w:val="22"/>
        </w:rPr>
        <w:t>:</w:t>
      </w:r>
      <w:r>
        <w:rPr>
          <w:rFonts w:cstheme="minorHAnsi"/>
          <w:szCs w:val="22"/>
        </w:rPr>
        <w:t xml:space="preserve"> </w:t>
      </w:r>
      <w:r w:rsidRPr="00C250A4">
        <w:rPr>
          <w:rFonts w:cstheme="minorHAnsi"/>
          <w:szCs w:val="22"/>
        </w:rPr>
        <w:t>012V011</w:t>
      </w:r>
      <w:r w:rsidRPr="00211CB3">
        <w:rPr>
          <w:rFonts w:cstheme="minorHAnsi"/>
          <w:szCs w:val="22"/>
        </w:rPr>
        <w:t xml:space="preserve"> – </w:t>
      </w:r>
      <w:r w:rsidRPr="00211CB3">
        <w:rPr>
          <w:rFonts w:cstheme="minorHAnsi"/>
          <w:i/>
          <w:szCs w:val="22"/>
        </w:rPr>
        <w:t>Pořízení, obnova a provozování ICT MF</w:t>
      </w:r>
      <w:r>
        <w:rPr>
          <w:rFonts w:cstheme="minorHAnsi"/>
          <w:i/>
          <w:szCs w:val="22"/>
        </w:rPr>
        <w:t xml:space="preserve"> </w:t>
      </w:r>
      <w:r w:rsidRPr="00211CB3">
        <w:rPr>
          <w:rFonts w:cstheme="minorHAnsi"/>
          <w:szCs w:val="22"/>
        </w:rPr>
        <w:t>a</w:t>
      </w:r>
      <w:r>
        <w:rPr>
          <w:rFonts w:cstheme="minorHAnsi"/>
          <w:szCs w:val="22"/>
        </w:rPr>
        <w:t xml:space="preserve"> </w:t>
      </w:r>
      <w:r w:rsidRPr="00C250A4">
        <w:rPr>
          <w:rFonts w:cstheme="minorHAnsi"/>
          <w:szCs w:val="22"/>
        </w:rPr>
        <w:t>012V012</w:t>
      </w:r>
      <w:r>
        <w:rPr>
          <w:rFonts w:cstheme="minorHAnsi"/>
          <w:i/>
          <w:szCs w:val="22"/>
        </w:rPr>
        <w:t xml:space="preserve"> </w:t>
      </w:r>
      <w:r w:rsidRPr="00211CB3">
        <w:rPr>
          <w:rFonts w:cstheme="minorHAnsi"/>
          <w:i/>
          <w:szCs w:val="22"/>
        </w:rPr>
        <w:t>– Pořízení a</w:t>
      </w:r>
      <w:r w:rsidR="00666498">
        <w:rPr>
          <w:rFonts w:cstheme="minorHAnsi"/>
          <w:i/>
          <w:szCs w:val="22"/>
        </w:rPr>
        <w:t xml:space="preserve"> </w:t>
      </w:r>
      <w:r w:rsidRPr="00211CB3">
        <w:rPr>
          <w:rFonts w:cstheme="minorHAnsi"/>
          <w:i/>
          <w:szCs w:val="22"/>
        </w:rPr>
        <w:t>obnova materiálně technické základny MF</w:t>
      </w:r>
      <w:r>
        <w:rPr>
          <w:rFonts w:cstheme="minorHAnsi"/>
          <w:i/>
          <w:szCs w:val="22"/>
        </w:rPr>
        <w:t xml:space="preserve">. </w:t>
      </w:r>
    </w:p>
    <w:p w14:paraId="2C75D8B6" w14:textId="77777777" w:rsidR="00722958" w:rsidRDefault="00722958" w:rsidP="00722958">
      <w:pPr>
        <w:rPr>
          <w:rFonts w:eastAsia="ArialMT" w:cstheme="minorHAnsi"/>
          <w:szCs w:val="22"/>
        </w:rPr>
      </w:pPr>
    </w:p>
    <w:p w14:paraId="40079BA1" w14:textId="0023612A" w:rsidR="00722958" w:rsidRDefault="00722958" w:rsidP="00722958">
      <w:pPr>
        <w:rPr>
          <w:rFonts w:eastAsia="ArialMT" w:cstheme="minorHAnsi"/>
          <w:szCs w:val="22"/>
        </w:rPr>
      </w:pPr>
      <w:r w:rsidRPr="00CA7B84">
        <w:rPr>
          <w:rFonts w:eastAsia="ArialMT" w:cstheme="minorHAnsi"/>
          <w:szCs w:val="22"/>
        </w:rPr>
        <w:t>Dne 9. 8. 2018 prodloužilo MF termín realizace programu 012</w:t>
      </w:r>
      <w:r w:rsidR="00CC00DF">
        <w:rPr>
          <w:rFonts w:eastAsia="ArialMT" w:cstheme="minorHAnsi"/>
          <w:szCs w:val="22"/>
        </w:rPr>
        <w:t>V</w:t>
      </w:r>
      <w:r w:rsidRPr="00CA7B84">
        <w:rPr>
          <w:rFonts w:eastAsia="ArialMT" w:cstheme="minorHAnsi"/>
          <w:szCs w:val="22"/>
        </w:rPr>
        <w:t>01 a podprogramu 012</w:t>
      </w:r>
      <w:r w:rsidR="00CC00DF">
        <w:rPr>
          <w:rFonts w:eastAsia="ArialMT" w:cstheme="minorHAnsi"/>
          <w:szCs w:val="22"/>
        </w:rPr>
        <w:t>V</w:t>
      </w:r>
      <w:r w:rsidRPr="00CA7B84">
        <w:rPr>
          <w:rFonts w:eastAsia="ArialMT" w:cstheme="minorHAnsi"/>
          <w:szCs w:val="22"/>
        </w:rPr>
        <w:t>011 shodně do 31. 12. 2025 (původní termín</w:t>
      </w:r>
      <w:r>
        <w:rPr>
          <w:rFonts w:eastAsia="ArialMT" w:cstheme="minorHAnsi"/>
          <w:szCs w:val="22"/>
        </w:rPr>
        <w:t xml:space="preserve">: </w:t>
      </w:r>
      <w:r w:rsidRPr="00CA7B84">
        <w:rPr>
          <w:rFonts w:eastAsia="ArialMT" w:cstheme="minorHAnsi"/>
          <w:szCs w:val="22"/>
        </w:rPr>
        <w:t xml:space="preserve">do 31. 12. 2020) a termín pro vypracování návrhu závěrečného vyhodnocení programu </w:t>
      </w:r>
      <w:r>
        <w:rPr>
          <w:rFonts w:eastAsia="ArialMT" w:cstheme="minorHAnsi"/>
          <w:szCs w:val="22"/>
        </w:rPr>
        <w:t>012</w:t>
      </w:r>
      <w:r w:rsidR="00CC00DF">
        <w:rPr>
          <w:rFonts w:eastAsia="ArialMT" w:cstheme="minorHAnsi"/>
          <w:szCs w:val="22"/>
        </w:rPr>
        <w:t>V</w:t>
      </w:r>
      <w:r>
        <w:rPr>
          <w:rFonts w:eastAsia="ArialMT" w:cstheme="minorHAnsi"/>
          <w:szCs w:val="22"/>
        </w:rPr>
        <w:t xml:space="preserve">01 </w:t>
      </w:r>
      <w:r w:rsidRPr="00CA7B84">
        <w:rPr>
          <w:rFonts w:eastAsia="ArialMT" w:cstheme="minorHAnsi"/>
          <w:szCs w:val="22"/>
        </w:rPr>
        <w:t>a podprogramu 012</w:t>
      </w:r>
      <w:r w:rsidR="00CC00DF">
        <w:rPr>
          <w:rFonts w:eastAsia="ArialMT" w:cstheme="minorHAnsi"/>
          <w:szCs w:val="22"/>
        </w:rPr>
        <w:t>V</w:t>
      </w:r>
      <w:r w:rsidRPr="00CA7B84">
        <w:rPr>
          <w:rFonts w:eastAsia="ArialMT" w:cstheme="minorHAnsi"/>
          <w:szCs w:val="22"/>
        </w:rPr>
        <w:t>011 shodně do 30. 6. 2027 (původní termín</w:t>
      </w:r>
      <w:r>
        <w:rPr>
          <w:rFonts w:eastAsia="ArialMT" w:cstheme="minorHAnsi"/>
          <w:szCs w:val="22"/>
        </w:rPr>
        <w:t xml:space="preserve">: </w:t>
      </w:r>
      <w:r w:rsidRPr="00CA7B84">
        <w:rPr>
          <w:rFonts w:eastAsia="ArialMT" w:cstheme="minorHAnsi"/>
          <w:szCs w:val="22"/>
        </w:rPr>
        <w:t>do 30. 6. 2021). Zároveň MF změnilo osoby pověřené správou programu 012</w:t>
      </w:r>
      <w:r w:rsidR="00CC00DF">
        <w:rPr>
          <w:rFonts w:eastAsia="ArialMT" w:cstheme="minorHAnsi"/>
          <w:szCs w:val="22"/>
        </w:rPr>
        <w:t>V</w:t>
      </w:r>
      <w:r w:rsidRPr="00CA7B84">
        <w:rPr>
          <w:rFonts w:eastAsia="ArialMT" w:cstheme="minorHAnsi"/>
          <w:szCs w:val="22"/>
        </w:rPr>
        <w:t>01 a podprogramu 012</w:t>
      </w:r>
      <w:r w:rsidR="00CC00DF">
        <w:rPr>
          <w:rFonts w:eastAsia="ArialMT" w:cstheme="minorHAnsi"/>
          <w:szCs w:val="22"/>
        </w:rPr>
        <w:t>V</w:t>
      </w:r>
      <w:r w:rsidRPr="00CA7B84">
        <w:rPr>
          <w:rFonts w:eastAsia="ArialMT" w:cstheme="minorHAnsi"/>
          <w:szCs w:val="22"/>
        </w:rPr>
        <w:t>011. MF také prodloužilo termín realizace podprogramu 012</w:t>
      </w:r>
      <w:r w:rsidR="00CC00DF">
        <w:rPr>
          <w:rFonts w:eastAsia="ArialMT" w:cstheme="minorHAnsi"/>
          <w:szCs w:val="22"/>
        </w:rPr>
        <w:t>V</w:t>
      </w:r>
      <w:r w:rsidRPr="00CA7B84">
        <w:rPr>
          <w:rFonts w:eastAsia="ArialMT" w:cstheme="minorHAnsi"/>
          <w:szCs w:val="22"/>
        </w:rPr>
        <w:t>012 do</w:t>
      </w:r>
      <w:r w:rsidR="00666498">
        <w:rPr>
          <w:rFonts w:eastAsia="ArialMT" w:cstheme="minorHAnsi"/>
          <w:szCs w:val="22"/>
        </w:rPr>
        <w:t xml:space="preserve"> </w:t>
      </w:r>
      <w:r w:rsidRPr="00CA7B84">
        <w:rPr>
          <w:rFonts w:eastAsia="ArialMT" w:cstheme="minorHAnsi"/>
          <w:szCs w:val="22"/>
        </w:rPr>
        <w:t>31. 12. 2024 (původní termín</w:t>
      </w:r>
      <w:r>
        <w:rPr>
          <w:rFonts w:eastAsia="ArialMT" w:cstheme="minorHAnsi"/>
          <w:szCs w:val="22"/>
        </w:rPr>
        <w:t xml:space="preserve">: </w:t>
      </w:r>
      <w:r w:rsidRPr="00CA7B84">
        <w:rPr>
          <w:rFonts w:eastAsia="ArialMT" w:cstheme="minorHAnsi"/>
          <w:szCs w:val="22"/>
        </w:rPr>
        <w:t>do 31. 12. 2020) a termín pro vypracování návrhu závěrečného vyhodnocení podprogramu do 30. 6. 2026 (původní termín</w:t>
      </w:r>
      <w:r>
        <w:rPr>
          <w:rFonts w:eastAsia="ArialMT" w:cstheme="minorHAnsi"/>
          <w:szCs w:val="22"/>
        </w:rPr>
        <w:t xml:space="preserve">: </w:t>
      </w:r>
      <w:r w:rsidRPr="00CA7B84">
        <w:rPr>
          <w:rFonts w:eastAsia="ArialMT" w:cstheme="minorHAnsi"/>
          <w:szCs w:val="22"/>
        </w:rPr>
        <w:t>do 30. 6. 2021).</w:t>
      </w:r>
      <w:r w:rsidR="002F3A78">
        <w:rPr>
          <w:rFonts w:eastAsia="ArialMT" w:cstheme="minorHAnsi"/>
          <w:szCs w:val="22"/>
        </w:rPr>
        <w:t xml:space="preserve"> </w:t>
      </w:r>
      <w:r w:rsidR="00CA0291">
        <w:rPr>
          <w:rFonts w:eastAsia="ArialMT" w:cstheme="minorHAnsi"/>
          <w:szCs w:val="22"/>
        </w:rPr>
        <w:t>Vzhledem k tomu</w:t>
      </w:r>
      <w:r w:rsidR="002F3A78">
        <w:rPr>
          <w:rFonts w:eastAsia="ArialMT" w:cstheme="minorHAnsi"/>
          <w:szCs w:val="22"/>
        </w:rPr>
        <w:t xml:space="preserve">, že se nejedná o ukončený program, může nastat situace, že MF tyto termíny v budoucnu </w:t>
      </w:r>
      <w:r w:rsidR="00CA0291">
        <w:rPr>
          <w:rFonts w:eastAsia="ArialMT" w:cstheme="minorHAnsi"/>
          <w:szCs w:val="22"/>
        </w:rPr>
        <w:t xml:space="preserve">ještě </w:t>
      </w:r>
      <w:r w:rsidR="00806020">
        <w:rPr>
          <w:rFonts w:eastAsia="ArialMT" w:cstheme="minorHAnsi"/>
          <w:szCs w:val="22"/>
        </w:rPr>
        <w:t>změní</w:t>
      </w:r>
      <w:r w:rsidR="002F3A78">
        <w:rPr>
          <w:rFonts w:eastAsia="ArialMT" w:cstheme="minorHAnsi"/>
          <w:szCs w:val="22"/>
        </w:rPr>
        <w:t>.</w:t>
      </w:r>
    </w:p>
    <w:p w14:paraId="0B3D1C09" w14:textId="77777777" w:rsidR="0022650D" w:rsidRPr="00CA7B84" w:rsidRDefault="0022650D" w:rsidP="00722958">
      <w:pPr>
        <w:rPr>
          <w:rFonts w:cstheme="minorHAnsi"/>
          <w:szCs w:val="22"/>
        </w:rPr>
      </w:pPr>
    </w:p>
    <w:p w14:paraId="365E7022" w14:textId="4BB08FAE" w:rsidR="00341842" w:rsidRDefault="00341842" w:rsidP="003D256B">
      <w:pPr>
        <w:spacing w:after="40"/>
        <w:rPr>
          <w:rFonts w:cstheme="minorHAnsi"/>
        </w:rPr>
      </w:pPr>
      <w:r>
        <w:rPr>
          <w:rFonts w:cstheme="minorHAnsi"/>
        </w:rPr>
        <w:t xml:space="preserve">Graf č. </w:t>
      </w:r>
      <w:r w:rsidR="00523741">
        <w:rPr>
          <w:rFonts w:cstheme="minorHAnsi"/>
        </w:rPr>
        <w:t>1:</w:t>
      </w:r>
      <w:r w:rsidR="00E15916">
        <w:rPr>
          <w:rFonts w:cstheme="minorHAnsi"/>
        </w:rPr>
        <w:t xml:space="preserve"> Termín</w:t>
      </w:r>
      <w:r w:rsidR="00CA0291">
        <w:rPr>
          <w:rFonts w:cstheme="minorHAnsi"/>
        </w:rPr>
        <w:t>y</w:t>
      </w:r>
      <w:r w:rsidR="00E15916">
        <w:rPr>
          <w:rFonts w:cstheme="minorHAnsi"/>
        </w:rPr>
        <w:t xml:space="preserve"> realizace a hodnocení programů</w:t>
      </w:r>
    </w:p>
    <w:p w14:paraId="6000A569" w14:textId="6C37836E" w:rsidR="00341842" w:rsidRDefault="004E58CF" w:rsidP="00341842">
      <w:pPr>
        <w:rPr>
          <w:rFonts w:cstheme="minorHAnsi"/>
        </w:rPr>
      </w:pPr>
      <w:r>
        <w:rPr>
          <w:noProof/>
        </w:rPr>
        <w:drawing>
          <wp:inline distT="0" distB="0" distL="0" distR="0" wp14:anchorId="28BA14AA" wp14:editId="68212F2D">
            <wp:extent cx="5760720" cy="2237361"/>
            <wp:effectExtent l="0" t="0" r="11430" b="10795"/>
            <wp:docPr id="6" name="Graf 6">
              <a:extLst xmlns:a="http://schemas.openxmlformats.org/drawingml/2006/main">
                <a:ext uri="{FF2B5EF4-FFF2-40B4-BE49-F238E27FC236}">
                  <a16:creationId xmlns:a16="http://schemas.microsoft.com/office/drawing/2014/main" id="{B2219AF9-0848-40DB-9E45-16A2F324360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3D69DEA" w14:textId="250D0D45" w:rsidR="00341842" w:rsidRPr="006F1755" w:rsidRDefault="001B4D88" w:rsidP="00341842">
      <w:pPr>
        <w:rPr>
          <w:rFonts w:cstheme="minorHAnsi"/>
          <w:sz w:val="20"/>
          <w:szCs w:val="20"/>
        </w:rPr>
      </w:pPr>
      <w:r w:rsidRPr="00CD159E">
        <w:rPr>
          <w:rFonts w:cstheme="minorHAnsi"/>
          <w:b/>
          <w:sz w:val="20"/>
          <w:szCs w:val="20"/>
        </w:rPr>
        <w:t>Zdroj:</w:t>
      </w:r>
      <w:r w:rsidRPr="006F1755">
        <w:rPr>
          <w:rFonts w:cstheme="minorHAnsi"/>
          <w:sz w:val="20"/>
          <w:szCs w:val="20"/>
        </w:rPr>
        <w:t xml:space="preserve"> </w:t>
      </w:r>
      <w:r w:rsidR="00CA0291">
        <w:rPr>
          <w:rFonts w:cstheme="minorHAnsi"/>
          <w:sz w:val="20"/>
          <w:szCs w:val="20"/>
        </w:rPr>
        <w:t xml:space="preserve">informace MF; </w:t>
      </w:r>
      <w:r w:rsidRPr="006F1755">
        <w:rPr>
          <w:rFonts w:cstheme="minorHAnsi"/>
          <w:sz w:val="20"/>
          <w:szCs w:val="20"/>
        </w:rPr>
        <w:t xml:space="preserve">vlastní zpracování </w:t>
      </w:r>
      <w:r w:rsidR="00C05F9D">
        <w:rPr>
          <w:rFonts w:cstheme="minorHAnsi"/>
          <w:sz w:val="20"/>
          <w:szCs w:val="20"/>
        </w:rPr>
        <w:t>NKÚ</w:t>
      </w:r>
      <w:r w:rsidR="00CD159E">
        <w:rPr>
          <w:rFonts w:cstheme="minorHAnsi"/>
          <w:sz w:val="20"/>
          <w:szCs w:val="20"/>
        </w:rPr>
        <w:t>.</w:t>
      </w:r>
    </w:p>
    <w:p w14:paraId="021B8B14" w14:textId="466A317A" w:rsidR="00722958" w:rsidRDefault="00722958" w:rsidP="00722958">
      <w:pPr>
        <w:rPr>
          <w:rFonts w:cstheme="minorHAnsi"/>
        </w:rPr>
      </w:pPr>
    </w:p>
    <w:p w14:paraId="4B59A39B" w14:textId="3D61D89F" w:rsidR="00146CFC" w:rsidRPr="00146CFC" w:rsidRDefault="00146CFC" w:rsidP="00C250A4">
      <w:pPr>
        <w:spacing w:line="280" w:lineRule="atLeast"/>
        <w:ind w:left="567" w:hanging="567"/>
        <w:rPr>
          <w:rFonts w:cstheme="minorHAnsi"/>
          <w:b/>
        </w:rPr>
      </w:pPr>
      <w:r w:rsidRPr="00AC20D4">
        <w:rPr>
          <w:rFonts w:cstheme="minorHAnsi"/>
          <w:b/>
        </w:rPr>
        <w:t>IV.</w:t>
      </w:r>
      <w:r w:rsidR="00594359">
        <w:rPr>
          <w:rFonts w:cstheme="minorHAnsi"/>
          <w:b/>
        </w:rPr>
        <w:t>6</w:t>
      </w:r>
      <w:r w:rsidRPr="00AC20D4">
        <w:rPr>
          <w:rFonts w:cstheme="minorHAnsi"/>
          <w:b/>
        </w:rPr>
        <w:t xml:space="preserve">. </w:t>
      </w:r>
      <w:r w:rsidR="00CA0291">
        <w:rPr>
          <w:rFonts w:cstheme="minorHAnsi"/>
          <w:b/>
        </w:rPr>
        <w:tab/>
      </w:r>
      <w:r w:rsidRPr="00AC20D4">
        <w:rPr>
          <w:rFonts w:cstheme="minorHAnsi"/>
          <w:b/>
        </w:rPr>
        <w:t xml:space="preserve">MF </w:t>
      </w:r>
      <w:r w:rsidR="00AC20D4" w:rsidRPr="00AC20D4">
        <w:rPr>
          <w:rFonts w:cstheme="minorHAnsi"/>
          <w:b/>
        </w:rPr>
        <w:t>nesledovalo</w:t>
      </w:r>
      <w:r w:rsidRPr="00AC20D4">
        <w:rPr>
          <w:rFonts w:cstheme="minorHAnsi"/>
          <w:b/>
        </w:rPr>
        <w:t xml:space="preserve"> </w:t>
      </w:r>
      <w:r w:rsidR="00091F8B">
        <w:rPr>
          <w:rFonts w:cstheme="minorHAnsi"/>
          <w:b/>
        </w:rPr>
        <w:t>hospodárnost, efe</w:t>
      </w:r>
      <w:r w:rsidR="00FB0AE8">
        <w:rPr>
          <w:rFonts w:cstheme="minorHAnsi"/>
          <w:b/>
        </w:rPr>
        <w:t>ktivnost a účelnost</w:t>
      </w:r>
      <w:r w:rsidRPr="00AC20D4">
        <w:rPr>
          <w:rFonts w:cstheme="minorHAnsi"/>
          <w:b/>
        </w:rPr>
        <w:t xml:space="preserve"> vynakládaných prostředků státního rozpočtu v rámci programu 112V01</w:t>
      </w:r>
    </w:p>
    <w:p w14:paraId="30976C42" w14:textId="77777777" w:rsidR="00E9203D" w:rsidRDefault="00E9203D" w:rsidP="00E9203D">
      <w:pPr>
        <w:rPr>
          <w:rFonts w:cstheme="minorHAnsi"/>
        </w:rPr>
      </w:pPr>
    </w:p>
    <w:p w14:paraId="3C20FFE3" w14:textId="642880BE" w:rsidR="00E9203D" w:rsidRDefault="00E9203D" w:rsidP="00E9203D">
      <w:pPr>
        <w:autoSpaceDE w:val="0"/>
        <w:autoSpaceDN w:val="0"/>
        <w:adjustRightInd w:val="0"/>
        <w:rPr>
          <w:rFonts w:cstheme="minorHAnsi"/>
          <w:bCs/>
          <w:szCs w:val="22"/>
        </w:rPr>
      </w:pPr>
      <w:r w:rsidRPr="005210CC">
        <w:rPr>
          <w:rFonts w:cstheme="minorHAnsi"/>
          <w:szCs w:val="22"/>
        </w:rPr>
        <w:t xml:space="preserve">V dokumentaci programu </w:t>
      </w:r>
      <w:r>
        <w:rPr>
          <w:rFonts w:cstheme="minorHAnsi"/>
          <w:szCs w:val="22"/>
        </w:rPr>
        <w:t xml:space="preserve">112V01 uvedlo MF </w:t>
      </w:r>
      <w:r w:rsidRPr="005210CC">
        <w:rPr>
          <w:rFonts w:cstheme="minorHAnsi"/>
          <w:szCs w:val="22"/>
        </w:rPr>
        <w:t xml:space="preserve">ve vymezení kontrolní činnosti, že správce programu bude sledovat hospodárnost, efektivnost a účelnost vynakládaných prostředků státního rozpočtu v jednotlivých podprogramech, a tím i </w:t>
      </w:r>
      <w:r w:rsidR="00D41225">
        <w:rPr>
          <w:rFonts w:cstheme="minorHAnsi"/>
          <w:szCs w:val="22"/>
        </w:rPr>
        <w:t xml:space="preserve">v </w:t>
      </w:r>
      <w:r w:rsidRPr="005210CC">
        <w:rPr>
          <w:rFonts w:cstheme="minorHAnsi"/>
          <w:szCs w:val="22"/>
        </w:rPr>
        <w:t>progra</w:t>
      </w:r>
      <w:r w:rsidRPr="00A52274">
        <w:rPr>
          <w:rFonts w:cstheme="minorHAnsi"/>
          <w:szCs w:val="22"/>
        </w:rPr>
        <w:t xml:space="preserve">mu jako celku, a že </w:t>
      </w:r>
      <w:r w:rsidRPr="00A52274">
        <w:rPr>
          <w:rFonts w:cstheme="minorHAnsi"/>
          <w:bCs/>
          <w:szCs w:val="22"/>
        </w:rPr>
        <w:t>výsledky bude uvádět v ročních zprávách</w:t>
      </w:r>
      <w:r w:rsidR="008835A7">
        <w:rPr>
          <w:rFonts w:cstheme="minorHAnsi"/>
          <w:bCs/>
          <w:szCs w:val="22"/>
        </w:rPr>
        <w:t xml:space="preserve">, tj. v </w:t>
      </w:r>
      <w:r w:rsidR="00D41225">
        <w:rPr>
          <w:rFonts w:cstheme="minorHAnsi"/>
          <w:bCs/>
          <w:szCs w:val="22"/>
        </w:rPr>
        <w:t>z</w:t>
      </w:r>
      <w:r w:rsidRPr="00A52274">
        <w:rPr>
          <w:rFonts w:cstheme="minorHAnsi"/>
          <w:bCs/>
          <w:szCs w:val="22"/>
        </w:rPr>
        <w:t>ávěrečn</w:t>
      </w:r>
      <w:r w:rsidR="008835A7">
        <w:rPr>
          <w:rFonts w:cstheme="minorHAnsi"/>
          <w:bCs/>
          <w:szCs w:val="22"/>
        </w:rPr>
        <w:t>ých</w:t>
      </w:r>
      <w:r w:rsidRPr="00A52274">
        <w:rPr>
          <w:rFonts w:cstheme="minorHAnsi"/>
          <w:bCs/>
          <w:szCs w:val="22"/>
        </w:rPr>
        <w:t xml:space="preserve"> účt</w:t>
      </w:r>
      <w:r w:rsidR="008835A7">
        <w:rPr>
          <w:rFonts w:cstheme="minorHAnsi"/>
          <w:bCs/>
          <w:szCs w:val="22"/>
        </w:rPr>
        <w:t>ech</w:t>
      </w:r>
      <w:r w:rsidRPr="00A52274">
        <w:rPr>
          <w:rFonts w:cstheme="minorHAnsi"/>
          <w:bCs/>
          <w:szCs w:val="22"/>
        </w:rPr>
        <w:t xml:space="preserve"> kapitoly 312.</w:t>
      </w:r>
      <w:r w:rsidR="003D256B">
        <w:rPr>
          <w:rFonts w:cstheme="minorHAnsi"/>
          <w:bCs/>
          <w:szCs w:val="22"/>
        </w:rPr>
        <w:t xml:space="preserve"> </w:t>
      </w:r>
      <w:r w:rsidRPr="00A52274">
        <w:rPr>
          <w:rFonts w:cstheme="minorHAnsi"/>
          <w:bCs/>
          <w:szCs w:val="22"/>
        </w:rPr>
        <w:t>Závěrečn</w:t>
      </w:r>
      <w:r w:rsidR="00661752">
        <w:rPr>
          <w:rFonts w:cstheme="minorHAnsi"/>
          <w:bCs/>
          <w:szCs w:val="22"/>
        </w:rPr>
        <w:t>é</w:t>
      </w:r>
      <w:r w:rsidRPr="00A52274">
        <w:rPr>
          <w:rFonts w:cstheme="minorHAnsi"/>
          <w:bCs/>
          <w:szCs w:val="22"/>
        </w:rPr>
        <w:t xml:space="preserve"> účt</w:t>
      </w:r>
      <w:r w:rsidR="004B62B9">
        <w:rPr>
          <w:rFonts w:cstheme="minorHAnsi"/>
          <w:bCs/>
          <w:szCs w:val="22"/>
        </w:rPr>
        <w:t>y</w:t>
      </w:r>
      <w:r w:rsidRPr="00A52274">
        <w:rPr>
          <w:rFonts w:cstheme="minorHAnsi"/>
          <w:bCs/>
          <w:szCs w:val="22"/>
        </w:rPr>
        <w:t xml:space="preserve"> kapitoly 312 </w:t>
      </w:r>
      <w:r w:rsidR="004B62B9">
        <w:rPr>
          <w:rFonts w:cstheme="minorHAnsi"/>
          <w:bCs/>
          <w:szCs w:val="22"/>
        </w:rPr>
        <w:t>za dobu trvání programu</w:t>
      </w:r>
      <w:r w:rsidR="004E0CC7">
        <w:rPr>
          <w:rFonts w:cstheme="minorHAnsi"/>
          <w:bCs/>
          <w:szCs w:val="22"/>
        </w:rPr>
        <w:t xml:space="preserve"> v rozporu se záměrem v dokumentaci programu 112V01</w:t>
      </w:r>
      <w:r w:rsidR="004B62B9">
        <w:rPr>
          <w:rFonts w:cstheme="minorHAnsi"/>
          <w:bCs/>
          <w:szCs w:val="22"/>
        </w:rPr>
        <w:t xml:space="preserve"> neobsahují vyhodnocení </w:t>
      </w:r>
      <w:r w:rsidRPr="00A52274">
        <w:rPr>
          <w:rFonts w:cstheme="minorHAnsi"/>
          <w:bCs/>
          <w:szCs w:val="22"/>
        </w:rPr>
        <w:t>hospodárnost</w:t>
      </w:r>
      <w:r w:rsidR="004B62B9">
        <w:rPr>
          <w:rFonts w:cstheme="minorHAnsi"/>
          <w:bCs/>
          <w:szCs w:val="22"/>
        </w:rPr>
        <w:t>i</w:t>
      </w:r>
      <w:r w:rsidRPr="00A52274">
        <w:rPr>
          <w:rFonts w:cstheme="minorHAnsi"/>
          <w:bCs/>
          <w:szCs w:val="22"/>
        </w:rPr>
        <w:t>, efektivnost</w:t>
      </w:r>
      <w:r w:rsidR="004B62B9">
        <w:rPr>
          <w:rFonts w:cstheme="minorHAnsi"/>
          <w:bCs/>
          <w:szCs w:val="22"/>
        </w:rPr>
        <w:t>i</w:t>
      </w:r>
      <w:r w:rsidRPr="00A52274">
        <w:rPr>
          <w:rFonts w:cstheme="minorHAnsi"/>
          <w:bCs/>
          <w:szCs w:val="22"/>
        </w:rPr>
        <w:t xml:space="preserve"> a účelnost</w:t>
      </w:r>
      <w:r w:rsidR="004B62B9">
        <w:rPr>
          <w:rFonts w:cstheme="minorHAnsi"/>
          <w:bCs/>
          <w:szCs w:val="22"/>
        </w:rPr>
        <w:t>i</w:t>
      </w:r>
      <w:r w:rsidRPr="00A52274">
        <w:rPr>
          <w:rFonts w:cstheme="minorHAnsi"/>
          <w:bCs/>
          <w:szCs w:val="22"/>
        </w:rPr>
        <w:t xml:space="preserve"> prostředků státního rozpočtu </w:t>
      </w:r>
      <w:r w:rsidR="00D41225" w:rsidRPr="00A52274">
        <w:rPr>
          <w:rFonts w:cstheme="minorHAnsi"/>
          <w:bCs/>
          <w:szCs w:val="22"/>
        </w:rPr>
        <w:t>vyna</w:t>
      </w:r>
      <w:r w:rsidR="00D41225">
        <w:rPr>
          <w:rFonts w:cstheme="minorHAnsi"/>
          <w:bCs/>
          <w:szCs w:val="22"/>
        </w:rPr>
        <w:t>ložených</w:t>
      </w:r>
      <w:r w:rsidR="00D41225" w:rsidRPr="00A52274">
        <w:rPr>
          <w:rFonts w:cstheme="minorHAnsi"/>
          <w:bCs/>
          <w:szCs w:val="22"/>
        </w:rPr>
        <w:t xml:space="preserve"> </w:t>
      </w:r>
      <w:r w:rsidRPr="00A52274">
        <w:rPr>
          <w:rFonts w:cstheme="minorHAnsi"/>
          <w:bCs/>
          <w:szCs w:val="22"/>
        </w:rPr>
        <w:t>v tomto programu a jeho dvou podprogramech</w:t>
      </w:r>
      <w:r w:rsidR="00253701">
        <w:rPr>
          <w:rFonts w:cstheme="minorHAnsi"/>
          <w:bCs/>
          <w:szCs w:val="22"/>
        </w:rPr>
        <w:t>.</w:t>
      </w:r>
    </w:p>
    <w:p w14:paraId="5F48C1BA" w14:textId="77777777" w:rsidR="00253701" w:rsidRDefault="00253701" w:rsidP="00E9203D">
      <w:pPr>
        <w:autoSpaceDE w:val="0"/>
        <w:autoSpaceDN w:val="0"/>
        <w:adjustRightInd w:val="0"/>
        <w:rPr>
          <w:rFonts w:cstheme="minorHAnsi"/>
          <w:bCs/>
          <w:szCs w:val="22"/>
        </w:rPr>
      </w:pPr>
    </w:p>
    <w:p w14:paraId="304336EA" w14:textId="77777777" w:rsidR="004E58CF" w:rsidRDefault="004E58CF">
      <w:pPr>
        <w:spacing w:after="160" w:line="259" w:lineRule="auto"/>
        <w:jc w:val="left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2C421034" w14:textId="5C1BC436" w:rsidR="00146CFC" w:rsidRPr="002C595C" w:rsidRDefault="00146CFC" w:rsidP="00C250A4">
      <w:pPr>
        <w:spacing w:line="280" w:lineRule="atLeast"/>
        <w:ind w:left="567" w:hanging="567"/>
        <w:rPr>
          <w:rFonts w:cstheme="minorHAnsi"/>
          <w:b/>
        </w:rPr>
      </w:pPr>
      <w:r w:rsidRPr="002C595C">
        <w:rPr>
          <w:rFonts w:cstheme="minorHAnsi"/>
          <w:b/>
        </w:rPr>
        <w:lastRenderedPageBreak/>
        <w:t>IV.</w:t>
      </w:r>
      <w:r w:rsidR="00594359">
        <w:rPr>
          <w:rFonts w:cstheme="minorHAnsi"/>
          <w:b/>
        </w:rPr>
        <w:t>7</w:t>
      </w:r>
      <w:r w:rsidRPr="002C595C">
        <w:rPr>
          <w:rFonts w:cstheme="minorHAnsi"/>
          <w:b/>
        </w:rPr>
        <w:t xml:space="preserve">. </w:t>
      </w:r>
      <w:r w:rsidR="00D41225">
        <w:rPr>
          <w:rFonts w:cstheme="minorHAnsi"/>
          <w:b/>
        </w:rPr>
        <w:tab/>
      </w:r>
      <w:r w:rsidRPr="002C595C">
        <w:rPr>
          <w:rFonts w:cstheme="minorHAnsi"/>
          <w:b/>
        </w:rPr>
        <w:t>Pronájem nemovitého majetku</w:t>
      </w:r>
    </w:p>
    <w:p w14:paraId="7D745721" w14:textId="77777777" w:rsidR="00146CFC" w:rsidRPr="00146CFC" w:rsidRDefault="00146CFC" w:rsidP="00146CFC">
      <w:pPr>
        <w:rPr>
          <w:highlight w:val="cyan"/>
        </w:rPr>
      </w:pPr>
    </w:p>
    <w:p w14:paraId="411F01DC" w14:textId="4C21815F" w:rsidR="004F4503" w:rsidRPr="00A52274" w:rsidRDefault="004C6E83" w:rsidP="004F4503">
      <w:pPr>
        <w:rPr>
          <w:rFonts w:cstheme="minorHAnsi"/>
        </w:rPr>
      </w:pPr>
      <w:r w:rsidRPr="00A52274">
        <w:rPr>
          <w:rFonts w:ascii="Calibri" w:hAnsi="Calibri" w:cs="Calibri"/>
        </w:rPr>
        <w:t xml:space="preserve">MF </w:t>
      </w:r>
      <w:r w:rsidR="00097757">
        <w:rPr>
          <w:rFonts w:ascii="Calibri" w:hAnsi="Calibri" w:cs="Calibri"/>
        </w:rPr>
        <w:t xml:space="preserve">je od 1. 8. 2008 příslušné hospodařit s </w:t>
      </w:r>
      <w:r w:rsidRPr="00A52274">
        <w:rPr>
          <w:rFonts w:ascii="Calibri" w:hAnsi="Calibri" w:cs="Calibri"/>
        </w:rPr>
        <w:t>pozemky v areálu výstaviště v</w:t>
      </w:r>
      <w:r w:rsidR="0086129B">
        <w:rPr>
          <w:rFonts w:ascii="Calibri" w:hAnsi="Calibri" w:cs="Calibri"/>
        </w:rPr>
        <w:t xml:space="preserve"> pražských </w:t>
      </w:r>
      <w:r w:rsidRPr="00A52274">
        <w:rPr>
          <w:rFonts w:ascii="Calibri" w:hAnsi="Calibri" w:cs="Calibri"/>
        </w:rPr>
        <w:t xml:space="preserve">Letňanech </w:t>
      </w:r>
      <w:r w:rsidR="00115D40" w:rsidRPr="00A52274">
        <w:rPr>
          <w:rFonts w:cstheme="minorHAnsi"/>
        </w:rPr>
        <w:t>o celkové výměře 29 873 m</w:t>
      </w:r>
      <w:r w:rsidR="00115D40" w:rsidRPr="00A52274">
        <w:rPr>
          <w:rFonts w:cstheme="minorHAnsi"/>
          <w:vertAlign w:val="superscript"/>
        </w:rPr>
        <w:t>2</w:t>
      </w:r>
      <w:r w:rsidRPr="00A52274">
        <w:rPr>
          <w:rFonts w:ascii="Calibri" w:hAnsi="Calibri" w:cs="Calibri"/>
        </w:rPr>
        <w:t>. Tyto pozemky přešly na MF po zániku České konsolidační agentury</w:t>
      </w:r>
      <w:r w:rsidR="00E52B25" w:rsidRPr="00A52274">
        <w:rPr>
          <w:rFonts w:ascii="Calibri" w:hAnsi="Calibri" w:cs="Calibri"/>
        </w:rPr>
        <w:t xml:space="preserve">, a to včetně uzavřené smlouvy o nájmu ze dne 6. 3. 1998 a </w:t>
      </w:r>
      <w:r w:rsidR="001E283C">
        <w:rPr>
          <w:rFonts w:ascii="Calibri" w:hAnsi="Calibri" w:cs="Calibri"/>
        </w:rPr>
        <w:t>jejích dodatků</w:t>
      </w:r>
      <w:r w:rsidRPr="00A52274">
        <w:rPr>
          <w:rFonts w:ascii="Calibri" w:hAnsi="Calibri" w:cs="Calibri"/>
        </w:rPr>
        <w:t>. MF jako pronajímatel následně prodlužovalo</w:t>
      </w:r>
      <w:r w:rsidR="00BB5037" w:rsidRPr="00A52274">
        <w:rPr>
          <w:rFonts w:ascii="Calibri" w:hAnsi="Calibri" w:cs="Calibri"/>
        </w:rPr>
        <w:t xml:space="preserve"> s nájemcem</w:t>
      </w:r>
      <w:r w:rsidRPr="00A52274">
        <w:rPr>
          <w:rFonts w:ascii="Calibri" w:hAnsi="Calibri" w:cs="Calibri"/>
        </w:rPr>
        <w:t xml:space="preserve"> smlouvu </w:t>
      </w:r>
      <w:r w:rsidR="00BB5037" w:rsidRPr="00A52274">
        <w:rPr>
          <w:rFonts w:ascii="Calibri" w:hAnsi="Calibri" w:cs="Calibri"/>
        </w:rPr>
        <w:t xml:space="preserve">až do 31. 3. 2021. </w:t>
      </w:r>
      <w:r w:rsidR="004F4503" w:rsidRPr="00A52274">
        <w:rPr>
          <w:rFonts w:cstheme="minorHAnsi"/>
        </w:rPr>
        <w:t>MF s</w:t>
      </w:r>
      <w:r w:rsidR="004F4503">
        <w:rPr>
          <w:rFonts w:cstheme="minorHAnsi"/>
        </w:rPr>
        <w:t>e stejným</w:t>
      </w:r>
      <w:r w:rsidR="004F4503" w:rsidRPr="00A52274">
        <w:rPr>
          <w:rFonts w:cstheme="minorHAnsi"/>
        </w:rPr>
        <w:t xml:space="preserve"> nájemcem uzavřelo novou smlouvu </w:t>
      </w:r>
      <w:r w:rsidR="004F4503">
        <w:rPr>
          <w:rFonts w:cstheme="minorHAnsi"/>
        </w:rPr>
        <w:t xml:space="preserve">dne 2. 7. 2021 (se zpětnou </w:t>
      </w:r>
      <w:r w:rsidR="00FB0AE8">
        <w:rPr>
          <w:rFonts w:cstheme="minorHAnsi"/>
        </w:rPr>
        <w:t>účinností</w:t>
      </w:r>
      <w:r w:rsidR="004F4503">
        <w:rPr>
          <w:rFonts w:cstheme="minorHAnsi"/>
        </w:rPr>
        <w:t xml:space="preserve"> k 1. 4. 2021) </w:t>
      </w:r>
      <w:r w:rsidR="004F4503" w:rsidRPr="00A52274">
        <w:rPr>
          <w:rFonts w:cstheme="minorHAnsi"/>
        </w:rPr>
        <w:t>na dobu určitou do</w:t>
      </w:r>
      <w:r w:rsidR="00D41225">
        <w:rPr>
          <w:rFonts w:cstheme="minorHAnsi"/>
        </w:rPr>
        <w:t xml:space="preserve"> </w:t>
      </w:r>
      <w:r w:rsidR="004F4503" w:rsidRPr="00A52274">
        <w:rPr>
          <w:rFonts w:cstheme="minorHAnsi"/>
        </w:rPr>
        <w:t xml:space="preserve">31. 3. 2026 s tím, že </w:t>
      </w:r>
      <w:r w:rsidR="006B609E">
        <w:rPr>
          <w:rFonts w:cstheme="minorHAnsi"/>
        </w:rPr>
        <w:t>nájemci</w:t>
      </w:r>
      <w:r w:rsidR="004F4503" w:rsidRPr="00A52274">
        <w:rPr>
          <w:rFonts w:cstheme="minorHAnsi"/>
        </w:rPr>
        <w:t xml:space="preserve"> povolilo zatížit pozemky další dočasnou stavbou administrativní budovy.</w:t>
      </w:r>
      <w:r w:rsidR="004F4503">
        <w:rPr>
          <w:rFonts w:cstheme="minorHAnsi"/>
        </w:rPr>
        <w:t xml:space="preserve"> </w:t>
      </w:r>
      <w:r w:rsidR="004F4503" w:rsidRPr="00A52274">
        <w:rPr>
          <w:rFonts w:cstheme="minorHAnsi"/>
        </w:rPr>
        <w:t xml:space="preserve">Až na základě nově uzavřené smlouvy upravilo MF </w:t>
      </w:r>
      <w:r w:rsidR="001E283C">
        <w:rPr>
          <w:rFonts w:cstheme="minorHAnsi"/>
        </w:rPr>
        <w:t xml:space="preserve">i </w:t>
      </w:r>
      <w:r w:rsidR="004F4503" w:rsidRPr="00A52274">
        <w:rPr>
          <w:rFonts w:cstheme="minorHAnsi"/>
        </w:rPr>
        <w:t xml:space="preserve">výši nájemného, do té doby k žádným novým cenovým ujednáním nedošlo, tzn. nájemce hradil za </w:t>
      </w:r>
      <w:r w:rsidR="00D41225">
        <w:rPr>
          <w:rFonts w:cstheme="minorHAnsi"/>
        </w:rPr>
        <w:t xml:space="preserve">předmětné </w:t>
      </w:r>
      <w:r w:rsidR="004F4503" w:rsidRPr="00A52274">
        <w:rPr>
          <w:rFonts w:cstheme="minorHAnsi"/>
        </w:rPr>
        <w:t xml:space="preserve">pozemky </w:t>
      </w:r>
      <w:r w:rsidR="001E0623">
        <w:rPr>
          <w:rFonts w:cstheme="minorHAnsi"/>
        </w:rPr>
        <w:t xml:space="preserve">nájemné v </w:t>
      </w:r>
      <w:r w:rsidR="004F4503" w:rsidRPr="00A52274">
        <w:rPr>
          <w:rFonts w:cstheme="minorHAnsi"/>
        </w:rPr>
        <w:t>původní výši z roku 2008.</w:t>
      </w:r>
      <w:r w:rsidR="002549BF">
        <w:rPr>
          <w:rFonts w:cstheme="minorHAnsi"/>
        </w:rPr>
        <w:t xml:space="preserve"> </w:t>
      </w:r>
    </w:p>
    <w:p w14:paraId="36CB3CF8" w14:textId="670C4EFB" w:rsidR="00BB5037" w:rsidRPr="00A52274" w:rsidRDefault="00BB5037" w:rsidP="000C0FCD">
      <w:pPr>
        <w:rPr>
          <w:rFonts w:cstheme="minorHAnsi"/>
        </w:rPr>
      </w:pPr>
    </w:p>
    <w:p w14:paraId="729F657B" w14:textId="0D83C1E4" w:rsidR="003812F6" w:rsidRPr="00BB5037" w:rsidRDefault="003812F6" w:rsidP="003812F6">
      <w:pPr>
        <w:rPr>
          <w:rFonts w:cstheme="minorHAnsi"/>
        </w:rPr>
      </w:pPr>
      <w:r w:rsidRPr="00A52274">
        <w:rPr>
          <w:rFonts w:cstheme="minorHAnsi"/>
        </w:rPr>
        <w:t xml:space="preserve">Ve </w:t>
      </w:r>
      <w:r w:rsidR="00B16403">
        <w:rPr>
          <w:rFonts w:cstheme="minorHAnsi"/>
        </w:rPr>
        <w:t xml:space="preserve">výše zmíněné </w:t>
      </w:r>
      <w:r w:rsidRPr="00A52274">
        <w:rPr>
          <w:rFonts w:cstheme="minorHAnsi"/>
        </w:rPr>
        <w:t>smlouvě ze dne 2. 7. 2021 je uvedena fixní valorizace ve výši 2,6 %</w:t>
      </w:r>
      <w:r w:rsidR="00D658B6">
        <w:rPr>
          <w:rFonts w:cstheme="minorHAnsi"/>
        </w:rPr>
        <w:t xml:space="preserve"> ročně</w:t>
      </w:r>
      <w:r w:rsidRPr="00A52274">
        <w:rPr>
          <w:rFonts w:cstheme="minorHAnsi"/>
        </w:rPr>
        <w:t>. Z</w:t>
      </w:r>
      <w:r w:rsidR="00E21E73">
        <w:rPr>
          <w:rFonts w:cstheme="minorHAnsi"/>
        </w:rPr>
        <w:t> </w:t>
      </w:r>
      <w:r w:rsidRPr="00A52274">
        <w:rPr>
          <w:rFonts w:cstheme="minorHAnsi"/>
        </w:rPr>
        <w:t xml:space="preserve">dat zveřejněných Českým statistickým úřadem vyplývá, že inflace od října 2019 nebyla nižší nebo rovna hodnotě 2,6 %. </w:t>
      </w:r>
      <w:r w:rsidR="007B0640">
        <w:rPr>
          <w:rFonts w:cstheme="minorHAnsi"/>
        </w:rPr>
        <w:t>Přestože n</w:t>
      </w:r>
      <w:r w:rsidRPr="00A52274">
        <w:rPr>
          <w:rFonts w:cstheme="minorHAnsi"/>
        </w:rPr>
        <w:t>ájemce v nabídkách k uzavření smlouvy předpokládal inflaci ve výši 4,5 % pro období let 2021 až 2025 a 4 % v roce 2026</w:t>
      </w:r>
      <w:r w:rsidR="007B0640">
        <w:rPr>
          <w:rFonts w:cstheme="minorHAnsi"/>
        </w:rPr>
        <w:t>, stanovilo ji MF ve smlouvě ve výši 2,6 %, a to s ohledem na střednědobý výhled inflace MF</w:t>
      </w:r>
      <w:r w:rsidRPr="00A52274">
        <w:rPr>
          <w:rFonts w:cstheme="minorHAnsi"/>
        </w:rPr>
        <w:t xml:space="preserve">. </w:t>
      </w:r>
    </w:p>
    <w:p w14:paraId="68051625" w14:textId="77777777" w:rsidR="003812F6" w:rsidRDefault="003812F6" w:rsidP="003812F6">
      <w:pPr>
        <w:rPr>
          <w:rFonts w:cstheme="minorHAnsi"/>
        </w:rPr>
      </w:pPr>
    </w:p>
    <w:p w14:paraId="7ABB8671" w14:textId="71A0E927" w:rsidR="00E9203D" w:rsidRPr="00146CFC" w:rsidRDefault="00E9203D" w:rsidP="00E9203D">
      <w:pPr>
        <w:spacing w:line="280" w:lineRule="atLeast"/>
        <w:rPr>
          <w:rFonts w:cstheme="minorHAnsi"/>
          <w:b/>
        </w:rPr>
      </w:pPr>
      <w:r w:rsidRPr="002C595C">
        <w:rPr>
          <w:rFonts w:cstheme="minorHAnsi"/>
          <w:b/>
        </w:rPr>
        <w:t>IV.</w:t>
      </w:r>
      <w:r w:rsidR="00594359">
        <w:rPr>
          <w:rFonts w:cstheme="minorHAnsi"/>
          <w:b/>
        </w:rPr>
        <w:t>8</w:t>
      </w:r>
      <w:r w:rsidRPr="002C595C">
        <w:rPr>
          <w:rFonts w:cstheme="minorHAnsi"/>
          <w:b/>
        </w:rPr>
        <w:t>. Účtenková loterie</w:t>
      </w:r>
    </w:p>
    <w:p w14:paraId="07218FC5" w14:textId="77777777" w:rsidR="00E9203D" w:rsidRDefault="00E9203D" w:rsidP="00E9203D">
      <w:pPr>
        <w:spacing w:line="280" w:lineRule="atLeast"/>
        <w:rPr>
          <w:rFonts w:cstheme="minorHAnsi"/>
          <w:b/>
        </w:rPr>
      </w:pPr>
    </w:p>
    <w:p w14:paraId="1EE8D4EA" w14:textId="4220E311" w:rsidR="002C2933" w:rsidRDefault="003A1C04" w:rsidP="003A1C04">
      <w:pPr>
        <w:rPr>
          <w:rFonts w:cstheme="minorHAnsi"/>
          <w:szCs w:val="22"/>
        </w:rPr>
      </w:pPr>
      <w:r w:rsidRPr="008C7C29">
        <w:rPr>
          <w:rFonts w:cstheme="minorHAnsi"/>
          <w:szCs w:val="22"/>
        </w:rPr>
        <w:t xml:space="preserve">Účtenkovou loterii provozovalo MF na základě </w:t>
      </w:r>
      <w:r w:rsidR="00CD159E">
        <w:rPr>
          <w:rFonts w:cstheme="minorHAnsi"/>
          <w:szCs w:val="22"/>
        </w:rPr>
        <w:t xml:space="preserve">ustanovení </w:t>
      </w:r>
      <w:r w:rsidRPr="008C7C29">
        <w:rPr>
          <w:rFonts w:cstheme="minorHAnsi"/>
          <w:szCs w:val="22"/>
        </w:rPr>
        <w:t>§ 35 zákona č. 112/2016 Sb., o</w:t>
      </w:r>
      <w:r w:rsidR="00CD159E">
        <w:rPr>
          <w:rFonts w:cstheme="minorHAnsi"/>
          <w:szCs w:val="22"/>
        </w:rPr>
        <w:t> </w:t>
      </w:r>
      <w:r w:rsidRPr="008C7C29">
        <w:rPr>
          <w:rFonts w:cstheme="minorHAnsi"/>
          <w:szCs w:val="22"/>
        </w:rPr>
        <w:t xml:space="preserve">evidenci tržeb. Dle MF </w:t>
      </w:r>
      <w:r w:rsidR="007529C5" w:rsidRPr="008C7C29">
        <w:rPr>
          <w:rFonts w:cstheme="minorHAnsi"/>
          <w:szCs w:val="22"/>
        </w:rPr>
        <w:t xml:space="preserve">bylo </w:t>
      </w:r>
      <w:bookmarkStart w:id="6" w:name="_Hlk100312734"/>
      <w:r w:rsidR="007529C5" w:rsidRPr="008C7C29">
        <w:rPr>
          <w:rFonts w:cstheme="minorHAnsi"/>
          <w:szCs w:val="22"/>
        </w:rPr>
        <w:t>cílem účtenkové loterie pozitivně motivovat občany k přebírání účtenek a tím podpořit řádný výběr daní</w:t>
      </w:r>
      <w:bookmarkEnd w:id="6"/>
      <w:r w:rsidR="007529C5" w:rsidRPr="008C7C29">
        <w:rPr>
          <w:rFonts w:cstheme="minorHAnsi"/>
          <w:szCs w:val="22"/>
        </w:rPr>
        <w:t xml:space="preserve">. </w:t>
      </w:r>
      <w:r w:rsidR="00FE435B">
        <w:rPr>
          <w:rFonts w:cstheme="minorHAnsi"/>
          <w:szCs w:val="22"/>
        </w:rPr>
        <w:t xml:space="preserve">V důvodové zprávě </w:t>
      </w:r>
      <w:r w:rsidR="002C2933">
        <w:rPr>
          <w:rFonts w:cstheme="minorHAnsi"/>
          <w:szCs w:val="22"/>
        </w:rPr>
        <w:t>k</w:t>
      </w:r>
      <w:r w:rsidR="002B5D25">
        <w:rPr>
          <w:rFonts w:cstheme="minorHAnsi"/>
          <w:szCs w:val="22"/>
        </w:rPr>
        <w:t xml:space="preserve"> tomuto </w:t>
      </w:r>
      <w:r w:rsidR="002C2933">
        <w:rPr>
          <w:rFonts w:cstheme="minorHAnsi"/>
          <w:szCs w:val="22"/>
        </w:rPr>
        <w:t xml:space="preserve">zákonu je mj. uvedeno, že </w:t>
      </w:r>
      <w:r w:rsidR="002C2933" w:rsidRPr="002C2933">
        <w:rPr>
          <w:rFonts w:cstheme="minorHAnsi"/>
          <w:szCs w:val="22"/>
        </w:rPr>
        <w:t>se má za</w:t>
      </w:r>
      <w:r w:rsidR="004721ED">
        <w:rPr>
          <w:rFonts w:cstheme="minorHAnsi"/>
          <w:szCs w:val="22"/>
        </w:rPr>
        <w:t xml:space="preserve"> </w:t>
      </w:r>
      <w:r w:rsidR="002C2933" w:rsidRPr="002C2933">
        <w:rPr>
          <w:rFonts w:cstheme="minorHAnsi"/>
          <w:szCs w:val="22"/>
        </w:rPr>
        <w:t xml:space="preserve">vhodné zřídit zvláštní účtenkovou loterii </w:t>
      </w:r>
      <w:r w:rsidR="002C2933">
        <w:rPr>
          <w:rFonts w:cstheme="minorHAnsi"/>
          <w:szCs w:val="22"/>
        </w:rPr>
        <w:t>s ú</w:t>
      </w:r>
      <w:r w:rsidR="002C2933" w:rsidRPr="002C2933">
        <w:rPr>
          <w:rFonts w:cstheme="minorHAnsi"/>
          <w:szCs w:val="22"/>
        </w:rPr>
        <w:t>čelem umožnit veřejnosti zkontrolovat pravost účtenek vydávaných povinnými subjekty, což zároveň zpětně poskytne co největší množství účtenek od co nejširšího vzorku povinných subjektů správci evidence a správci daně pro další analytickou práci a cílené zaměření kontrol.</w:t>
      </w:r>
    </w:p>
    <w:p w14:paraId="41941C71" w14:textId="77777777" w:rsidR="00FE435B" w:rsidRDefault="00FE435B" w:rsidP="003A1C04">
      <w:pPr>
        <w:rPr>
          <w:rFonts w:cstheme="minorHAnsi"/>
          <w:szCs w:val="22"/>
        </w:rPr>
      </w:pPr>
    </w:p>
    <w:p w14:paraId="17A75428" w14:textId="461F9E1D" w:rsidR="007529C5" w:rsidRPr="008C7C29" w:rsidRDefault="007529C5" w:rsidP="003A1C04">
      <w:pPr>
        <w:rPr>
          <w:rFonts w:cstheme="minorHAnsi"/>
          <w:szCs w:val="22"/>
        </w:rPr>
      </w:pPr>
      <w:r w:rsidRPr="00581BFB">
        <w:rPr>
          <w:rFonts w:cstheme="minorHAnsi"/>
          <w:szCs w:val="22"/>
        </w:rPr>
        <w:t xml:space="preserve">V tabulce č. </w:t>
      </w:r>
      <w:r w:rsidR="006A556A">
        <w:rPr>
          <w:rFonts w:cstheme="minorHAnsi"/>
          <w:szCs w:val="22"/>
        </w:rPr>
        <w:t>3</w:t>
      </w:r>
      <w:r w:rsidRPr="00581BFB">
        <w:rPr>
          <w:rFonts w:cstheme="minorHAnsi"/>
          <w:szCs w:val="22"/>
        </w:rPr>
        <w:t xml:space="preserve"> j</w:t>
      </w:r>
      <w:r w:rsidR="00D41225">
        <w:rPr>
          <w:rFonts w:cstheme="minorHAnsi"/>
          <w:szCs w:val="22"/>
        </w:rPr>
        <w:t>sou</w:t>
      </w:r>
      <w:r w:rsidRPr="00581BFB">
        <w:rPr>
          <w:rFonts w:cstheme="minorHAnsi"/>
          <w:szCs w:val="22"/>
        </w:rPr>
        <w:t xml:space="preserve"> uveden</w:t>
      </w:r>
      <w:r w:rsidR="00D41225">
        <w:rPr>
          <w:rFonts w:cstheme="minorHAnsi"/>
          <w:szCs w:val="22"/>
        </w:rPr>
        <w:t>y</w:t>
      </w:r>
      <w:r w:rsidRPr="00581BFB">
        <w:rPr>
          <w:rFonts w:cstheme="minorHAnsi"/>
          <w:szCs w:val="22"/>
        </w:rPr>
        <w:t xml:space="preserve"> měsíční průměr</w:t>
      </w:r>
      <w:r w:rsidR="00D41225">
        <w:rPr>
          <w:rFonts w:cstheme="minorHAnsi"/>
          <w:szCs w:val="22"/>
        </w:rPr>
        <w:t>y</w:t>
      </w:r>
      <w:r w:rsidRPr="00581BFB">
        <w:rPr>
          <w:rFonts w:cstheme="minorHAnsi"/>
          <w:szCs w:val="22"/>
        </w:rPr>
        <w:t xml:space="preserve"> </w:t>
      </w:r>
      <w:r w:rsidR="00D41225">
        <w:rPr>
          <w:rFonts w:cstheme="minorHAnsi"/>
          <w:szCs w:val="22"/>
        </w:rPr>
        <w:t>vybraných</w:t>
      </w:r>
      <w:r w:rsidRPr="00581BFB">
        <w:rPr>
          <w:rFonts w:cstheme="minorHAnsi"/>
          <w:szCs w:val="22"/>
        </w:rPr>
        <w:t xml:space="preserve"> údajů za</w:t>
      </w:r>
      <w:r w:rsidR="00D41225">
        <w:rPr>
          <w:rFonts w:cstheme="minorHAnsi"/>
          <w:szCs w:val="22"/>
        </w:rPr>
        <w:t xml:space="preserve"> </w:t>
      </w:r>
      <w:r w:rsidRPr="00581BFB">
        <w:rPr>
          <w:rFonts w:cstheme="minorHAnsi"/>
          <w:szCs w:val="22"/>
        </w:rPr>
        <w:t>jednotlivé roky konání účtenkové loterie. Z tabulky je zřejmé, že průměrný počet aktivních hráčů i zaregistrovaných účtenek</w:t>
      </w:r>
      <w:r w:rsidRPr="008C7C29">
        <w:rPr>
          <w:rFonts w:cstheme="minorHAnsi"/>
          <w:szCs w:val="22"/>
        </w:rPr>
        <w:t xml:space="preserve"> meziročně klesal.</w:t>
      </w:r>
      <w:r w:rsidR="00BA4A2D">
        <w:rPr>
          <w:rFonts w:cstheme="minorHAnsi"/>
          <w:szCs w:val="22"/>
        </w:rPr>
        <w:t xml:space="preserve"> Průměrný počet aktivních hráčů znázorňuje také graf č. 2.</w:t>
      </w:r>
    </w:p>
    <w:p w14:paraId="04979DFB" w14:textId="77777777" w:rsidR="0068195D" w:rsidRPr="008C7C29" w:rsidRDefault="0068195D" w:rsidP="007529C5">
      <w:pPr>
        <w:rPr>
          <w:rFonts w:cstheme="minorHAnsi"/>
          <w:szCs w:val="22"/>
        </w:rPr>
      </w:pPr>
    </w:p>
    <w:p w14:paraId="03154973" w14:textId="460185F1" w:rsidR="007529C5" w:rsidRPr="00CA7B84" w:rsidRDefault="007529C5" w:rsidP="007529C5">
      <w:pPr>
        <w:rPr>
          <w:rFonts w:cstheme="minorHAnsi"/>
          <w:szCs w:val="22"/>
        </w:rPr>
      </w:pPr>
      <w:r w:rsidRPr="008C7C29">
        <w:rPr>
          <w:rFonts w:cstheme="minorHAnsi"/>
          <w:szCs w:val="22"/>
        </w:rPr>
        <w:t xml:space="preserve">Tabulka č. </w:t>
      </w:r>
      <w:r w:rsidR="006A556A">
        <w:rPr>
          <w:rFonts w:cstheme="minorHAnsi"/>
          <w:szCs w:val="22"/>
        </w:rPr>
        <w:t>3</w:t>
      </w:r>
      <w:r w:rsidRPr="008C7C29">
        <w:rPr>
          <w:rFonts w:cstheme="minorHAnsi"/>
          <w:szCs w:val="22"/>
        </w:rPr>
        <w:t xml:space="preserve">: </w:t>
      </w:r>
      <w:r w:rsidR="00D41225">
        <w:rPr>
          <w:rFonts w:cstheme="minorHAnsi"/>
          <w:szCs w:val="22"/>
        </w:rPr>
        <w:t>Měsíční p</w:t>
      </w:r>
      <w:r w:rsidRPr="008C7C29">
        <w:rPr>
          <w:rFonts w:cstheme="minorHAnsi"/>
          <w:szCs w:val="22"/>
        </w:rPr>
        <w:t>růměr</w:t>
      </w:r>
      <w:r w:rsidR="00D41225">
        <w:rPr>
          <w:rFonts w:cstheme="minorHAnsi"/>
          <w:szCs w:val="22"/>
        </w:rPr>
        <w:t>y</w:t>
      </w:r>
      <w:r w:rsidRPr="008C7C29">
        <w:rPr>
          <w:rFonts w:cstheme="minorHAnsi"/>
          <w:szCs w:val="22"/>
        </w:rPr>
        <w:t xml:space="preserve"> statistických údajů v letech 2017</w:t>
      </w:r>
      <w:r w:rsidR="00CD159E">
        <w:rPr>
          <w:rFonts w:cstheme="minorHAnsi"/>
          <w:szCs w:val="22"/>
        </w:rPr>
        <w:t>–</w:t>
      </w:r>
      <w:r w:rsidRPr="008C7C29">
        <w:rPr>
          <w:rFonts w:cstheme="minorHAnsi"/>
          <w:szCs w:val="22"/>
        </w:rPr>
        <w:t>2020</w:t>
      </w:r>
    </w:p>
    <w:tbl>
      <w:tblPr>
        <w:tblW w:w="906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237"/>
        <w:gridCol w:w="1237"/>
        <w:gridCol w:w="1237"/>
        <w:gridCol w:w="1238"/>
      </w:tblGrid>
      <w:tr w:rsidR="007529C5" w14:paraId="68278B85" w14:textId="77777777" w:rsidTr="00C250A4">
        <w:trPr>
          <w:trHeight w:val="3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2AF675D" w14:textId="437C4C5C" w:rsidR="007529C5" w:rsidRPr="00CA7B84" w:rsidRDefault="007529C5" w:rsidP="00C250A4">
            <w:pPr>
              <w:ind w:left="134"/>
              <w:jc w:val="left"/>
              <w:rPr>
                <w:rFonts w:cstheme="minorHAnsi"/>
                <w:color w:val="000000"/>
                <w:sz w:val="20"/>
                <w:szCs w:val="2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E1D4987" w14:textId="77777777" w:rsidR="007529C5" w:rsidRPr="00CA7B84" w:rsidRDefault="007529C5" w:rsidP="00B64033">
            <w:pPr>
              <w:jc w:val="center"/>
              <w:rPr>
                <w:rFonts w:cstheme="minorHAnsi"/>
                <w:b/>
                <w:color w:val="000000"/>
                <w:sz w:val="20"/>
                <w:szCs w:val="22"/>
              </w:rPr>
            </w:pPr>
            <w:r w:rsidRPr="00CA7B84">
              <w:rPr>
                <w:rFonts w:cstheme="minorHAnsi"/>
                <w:b/>
                <w:color w:val="000000"/>
                <w:sz w:val="20"/>
                <w:szCs w:val="22"/>
              </w:rPr>
              <w:t>2017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49AC2B8" w14:textId="77777777" w:rsidR="007529C5" w:rsidRPr="00CA7B84" w:rsidRDefault="007529C5" w:rsidP="00B64033">
            <w:pPr>
              <w:jc w:val="center"/>
              <w:rPr>
                <w:rFonts w:cstheme="minorHAnsi"/>
                <w:b/>
                <w:color w:val="000000"/>
                <w:sz w:val="20"/>
                <w:szCs w:val="22"/>
              </w:rPr>
            </w:pPr>
            <w:r w:rsidRPr="00CA7B84">
              <w:rPr>
                <w:rFonts w:cstheme="minorHAnsi"/>
                <w:b/>
                <w:color w:val="000000"/>
                <w:sz w:val="20"/>
                <w:szCs w:val="22"/>
              </w:rPr>
              <w:t>2018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02CDE4C" w14:textId="77777777" w:rsidR="007529C5" w:rsidRPr="00CA7B84" w:rsidRDefault="007529C5" w:rsidP="00B64033">
            <w:pPr>
              <w:jc w:val="center"/>
              <w:rPr>
                <w:rFonts w:cstheme="minorHAnsi"/>
                <w:b/>
                <w:color w:val="000000"/>
                <w:sz w:val="20"/>
                <w:szCs w:val="22"/>
              </w:rPr>
            </w:pPr>
            <w:r w:rsidRPr="00CA7B84">
              <w:rPr>
                <w:rFonts w:cstheme="minorHAnsi"/>
                <w:b/>
                <w:color w:val="000000"/>
                <w:sz w:val="20"/>
                <w:szCs w:val="22"/>
              </w:rPr>
              <w:t>2019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458A7BB" w14:textId="77777777" w:rsidR="007529C5" w:rsidRPr="00CA7B84" w:rsidRDefault="007529C5" w:rsidP="00B64033">
            <w:pPr>
              <w:jc w:val="center"/>
              <w:rPr>
                <w:rFonts w:cstheme="minorHAnsi"/>
                <w:b/>
                <w:color w:val="000000"/>
                <w:sz w:val="20"/>
                <w:szCs w:val="22"/>
              </w:rPr>
            </w:pPr>
            <w:r w:rsidRPr="00CA7B84">
              <w:rPr>
                <w:rFonts w:cstheme="minorHAnsi"/>
                <w:b/>
                <w:color w:val="000000"/>
                <w:sz w:val="20"/>
                <w:szCs w:val="22"/>
              </w:rPr>
              <w:t>2020</w:t>
            </w:r>
          </w:p>
        </w:tc>
      </w:tr>
      <w:tr w:rsidR="007529C5" w14:paraId="74D02529" w14:textId="77777777" w:rsidTr="00C250A4">
        <w:trPr>
          <w:trHeight w:val="3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6CB2" w14:textId="77777777" w:rsidR="007529C5" w:rsidRPr="00CA7B84" w:rsidRDefault="007529C5" w:rsidP="00B64033">
            <w:pPr>
              <w:rPr>
                <w:rFonts w:cstheme="minorHAnsi"/>
                <w:color w:val="000000"/>
                <w:sz w:val="20"/>
                <w:szCs w:val="22"/>
              </w:rPr>
            </w:pPr>
            <w:r w:rsidRPr="00CA7B84">
              <w:rPr>
                <w:rFonts w:cstheme="minorHAnsi"/>
                <w:color w:val="000000"/>
                <w:sz w:val="20"/>
                <w:szCs w:val="22"/>
              </w:rPr>
              <w:t>Průměrný počet aktivních hráčů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BA6A" w14:textId="77777777" w:rsidR="007529C5" w:rsidRPr="00CA7B84" w:rsidRDefault="007529C5" w:rsidP="00B64033">
            <w:pPr>
              <w:jc w:val="right"/>
              <w:rPr>
                <w:rFonts w:cstheme="minorHAnsi"/>
                <w:color w:val="000000"/>
                <w:sz w:val="20"/>
                <w:szCs w:val="22"/>
              </w:rPr>
            </w:pPr>
            <w:r w:rsidRPr="00CA7B84">
              <w:rPr>
                <w:rFonts w:cstheme="minorHAnsi"/>
                <w:color w:val="000000"/>
                <w:sz w:val="20"/>
                <w:szCs w:val="22"/>
              </w:rPr>
              <w:t>459 178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2E81" w14:textId="77777777" w:rsidR="007529C5" w:rsidRPr="00CA7B84" w:rsidRDefault="007529C5" w:rsidP="00B64033">
            <w:pPr>
              <w:jc w:val="right"/>
              <w:rPr>
                <w:rFonts w:cstheme="minorHAnsi"/>
                <w:color w:val="000000"/>
                <w:sz w:val="20"/>
                <w:szCs w:val="22"/>
              </w:rPr>
            </w:pPr>
            <w:r w:rsidRPr="00CA7B84">
              <w:rPr>
                <w:rFonts w:cstheme="minorHAnsi"/>
                <w:color w:val="000000"/>
                <w:sz w:val="20"/>
                <w:szCs w:val="22"/>
              </w:rPr>
              <w:t>380 939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D4F8" w14:textId="77777777" w:rsidR="007529C5" w:rsidRPr="00CA7B84" w:rsidRDefault="007529C5" w:rsidP="00B64033">
            <w:pPr>
              <w:jc w:val="right"/>
              <w:rPr>
                <w:rFonts w:cstheme="minorHAnsi"/>
                <w:color w:val="000000"/>
                <w:sz w:val="20"/>
                <w:szCs w:val="22"/>
              </w:rPr>
            </w:pPr>
            <w:r w:rsidRPr="00CA7B84">
              <w:rPr>
                <w:rFonts w:cstheme="minorHAnsi"/>
                <w:color w:val="000000"/>
                <w:sz w:val="20"/>
                <w:szCs w:val="22"/>
              </w:rPr>
              <w:t>343 837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FA39" w14:textId="77777777" w:rsidR="007529C5" w:rsidRPr="00CA7B84" w:rsidRDefault="007529C5" w:rsidP="00B64033">
            <w:pPr>
              <w:jc w:val="right"/>
              <w:rPr>
                <w:rFonts w:cstheme="minorHAnsi"/>
                <w:color w:val="000000"/>
                <w:sz w:val="20"/>
                <w:szCs w:val="22"/>
              </w:rPr>
            </w:pPr>
            <w:r w:rsidRPr="00CA7B84">
              <w:rPr>
                <w:rFonts w:cstheme="minorHAnsi"/>
                <w:color w:val="000000"/>
                <w:sz w:val="20"/>
                <w:szCs w:val="22"/>
              </w:rPr>
              <w:t>304 618</w:t>
            </w:r>
          </w:p>
        </w:tc>
      </w:tr>
      <w:tr w:rsidR="007529C5" w14:paraId="2CF5F707" w14:textId="77777777" w:rsidTr="00C250A4">
        <w:trPr>
          <w:trHeight w:val="3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8888" w14:textId="77777777" w:rsidR="007529C5" w:rsidRPr="00CA7B84" w:rsidRDefault="007529C5" w:rsidP="00B64033">
            <w:pPr>
              <w:rPr>
                <w:rFonts w:cstheme="minorHAnsi"/>
                <w:color w:val="000000"/>
                <w:sz w:val="20"/>
                <w:szCs w:val="22"/>
              </w:rPr>
            </w:pPr>
            <w:r w:rsidRPr="00CA7B84">
              <w:rPr>
                <w:rFonts w:cstheme="minorHAnsi"/>
                <w:color w:val="000000"/>
                <w:sz w:val="20"/>
                <w:szCs w:val="22"/>
              </w:rPr>
              <w:t>Průměrný počet všech zaregistrovaných účtenek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C650" w14:textId="77777777" w:rsidR="007529C5" w:rsidRPr="00CA7B84" w:rsidRDefault="007529C5" w:rsidP="00B64033">
            <w:pPr>
              <w:jc w:val="right"/>
              <w:rPr>
                <w:rFonts w:cstheme="minorHAnsi"/>
                <w:color w:val="000000"/>
                <w:sz w:val="20"/>
                <w:szCs w:val="22"/>
              </w:rPr>
            </w:pPr>
            <w:r w:rsidRPr="00CA7B84">
              <w:rPr>
                <w:rFonts w:cstheme="minorHAnsi"/>
                <w:color w:val="000000"/>
                <w:sz w:val="20"/>
                <w:szCs w:val="22"/>
              </w:rPr>
              <w:t>16 177 911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BD1C" w14:textId="77777777" w:rsidR="007529C5" w:rsidRPr="00CA7B84" w:rsidRDefault="007529C5" w:rsidP="00B64033">
            <w:pPr>
              <w:jc w:val="right"/>
              <w:rPr>
                <w:rFonts w:cstheme="minorHAnsi"/>
                <w:color w:val="000000"/>
                <w:sz w:val="20"/>
                <w:szCs w:val="22"/>
              </w:rPr>
            </w:pPr>
            <w:r w:rsidRPr="00CA7B84">
              <w:rPr>
                <w:rFonts w:cstheme="minorHAnsi"/>
                <w:color w:val="000000"/>
                <w:sz w:val="20"/>
                <w:szCs w:val="22"/>
              </w:rPr>
              <w:t>16 096 361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B10A" w14:textId="77777777" w:rsidR="007529C5" w:rsidRPr="00CA7B84" w:rsidRDefault="007529C5" w:rsidP="00B64033">
            <w:pPr>
              <w:jc w:val="right"/>
              <w:rPr>
                <w:rFonts w:cstheme="minorHAnsi"/>
                <w:color w:val="000000"/>
                <w:sz w:val="20"/>
                <w:szCs w:val="22"/>
              </w:rPr>
            </w:pPr>
            <w:r w:rsidRPr="00CA7B84">
              <w:rPr>
                <w:rFonts w:cstheme="minorHAnsi"/>
                <w:color w:val="000000"/>
                <w:sz w:val="20"/>
                <w:szCs w:val="22"/>
              </w:rPr>
              <w:t>15 806 686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AC9D" w14:textId="77777777" w:rsidR="007529C5" w:rsidRPr="00CA7B84" w:rsidRDefault="007529C5" w:rsidP="00B64033">
            <w:pPr>
              <w:jc w:val="right"/>
              <w:rPr>
                <w:rFonts w:cstheme="minorHAnsi"/>
                <w:color w:val="000000"/>
                <w:sz w:val="20"/>
                <w:szCs w:val="22"/>
              </w:rPr>
            </w:pPr>
            <w:r w:rsidRPr="00CA7B84">
              <w:rPr>
                <w:rFonts w:cstheme="minorHAnsi"/>
                <w:color w:val="000000"/>
                <w:sz w:val="20"/>
                <w:szCs w:val="22"/>
              </w:rPr>
              <w:t>11 981 160</w:t>
            </w:r>
          </w:p>
        </w:tc>
      </w:tr>
      <w:tr w:rsidR="007529C5" w14:paraId="658E306E" w14:textId="77777777" w:rsidTr="00C250A4"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81E9" w14:textId="77777777" w:rsidR="007529C5" w:rsidRPr="00CA7B84" w:rsidRDefault="007529C5" w:rsidP="00B64033">
            <w:pPr>
              <w:rPr>
                <w:rFonts w:cstheme="minorHAnsi"/>
                <w:color w:val="000000"/>
                <w:sz w:val="20"/>
                <w:szCs w:val="22"/>
              </w:rPr>
            </w:pPr>
            <w:r w:rsidRPr="00CA7B84">
              <w:rPr>
                <w:rFonts w:cstheme="minorHAnsi"/>
                <w:color w:val="000000"/>
                <w:sz w:val="20"/>
                <w:szCs w:val="22"/>
              </w:rPr>
              <w:t>Průměrný počet účtenek ve slosování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B498" w14:textId="77777777" w:rsidR="007529C5" w:rsidRPr="00CA7B84" w:rsidRDefault="007529C5" w:rsidP="00B64033">
            <w:pPr>
              <w:jc w:val="right"/>
              <w:rPr>
                <w:rFonts w:cstheme="minorHAnsi"/>
                <w:color w:val="000000"/>
                <w:sz w:val="20"/>
                <w:szCs w:val="22"/>
              </w:rPr>
            </w:pPr>
            <w:r w:rsidRPr="00CA7B84">
              <w:rPr>
                <w:rFonts w:cstheme="minorHAnsi"/>
                <w:color w:val="000000"/>
                <w:sz w:val="20"/>
                <w:szCs w:val="22"/>
              </w:rPr>
              <w:t>13 521 683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E2E4" w14:textId="77777777" w:rsidR="007529C5" w:rsidRPr="00CA7B84" w:rsidRDefault="007529C5" w:rsidP="00B64033">
            <w:pPr>
              <w:jc w:val="right"/>
              <w:rPr>
                <w:rFonts w:cstheme="minorHAnsi"/>
                <w:color w:val="000000"/>
                <w:sz w:val="20"/>
                <w:szCs w:val="22"/>
              </w:rPr>
            </w:pPr>
            <w:r w:rsidRPr="00CA7B84">
              <w:rPr>
                <w:rFonts w:cstheme="minorHAnsi"/>
                <w:color w:val="000000"/>
                <w:sz w:val="20"/>
                <w:szCs w:val="22"/>
              </w:rPr>
              <w:t>14 087 707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1D18" w14:textId="77777777" w:rsidR="007529C5" w:rsidRPr="00CA7B84" w:rsidRDefault="007529C5" w:rsidP="00B64033">
            <w:pPr>
              <w:jc w:val="right"/>
              <w:rPr>
                <w:rFonts w:cstheme="minorHAnsi"/>
                <w:color w:val="000000"/>
                <w:sz w:val="20"/>
                <w:szCs w:val="22"/>
              </w:rPr>
            </w:pPr>
            <w:r w:rsidRPr="00CA7B84">
              <w:rPr>
                <w:rFonts w:cstheme="minorHAnsi"/>
                <w:color w:val="000000"/>
                <w:sz w:val="20"/>
                <w:szCs w:val="22"/>
              </w:rPr>
              <w:t>13 924 894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FA83" w14:textId="77777777" w:rsidR="007529C5" w:rsidRPr="00CA7B84" w:rsidRDefault="007529C5" w:rsidP="00B64033">
            <w:pPr>
              <w:jc w:val="right"/>
              <w:rPr>
                <w:rFonts w:cstheme="minorHAnsi"/>
                <w:color w:val="000000"/>
                <w:sz w:val="20"/>
                <w:szCs w:val="22"/>
              </w:rPr>
            </w:pPr>
            <w:r w:rsidRPr="00CA7B84">
              <w:rPr>
                <w:rFonts w:cstheme="minorHAnsi"/>
                <w:color w:val="000000"/>
                <w:sz w:val="20"/>
                <w:szCs w:val="22"/>
              </w:rPr>
              <w:t>10 576 311</w:t>
            </w:r>
          </w:p>
        </w:tc>
      </w:tr>
    </w:tbl>
    <w:p w14:paraId="1AE4D8AF" w14:textId="60786664" w:rsidR="007529C5" w:rsidRPr="00CA7B84" w:rsidRDefault="007529C5" w:rsidP="007529C5">
      <w:pPr>
        <w:rPr>
          <w:rFonts w:cstheme="minorHAnsi"/>
          <w:sz w:val="20"/>
          <w:szCs w:val="22"/>
        </w:rPr>
      </w:pPr>
      <w:r w:rsidRPr="00CD159E">
        <w:rPr>
          <w:rFonts w:cstheme="minorHAnsi"/>
          <w:b/>
          <w:sz w:val="20"/>
          <w:szCs w:val="22"/>
        </w:rPr>
        <w:t>Zdroj:</w:t>
      </w:r>
      <w:r w:rsidRPr="00CA7B84">
        <w:rPr>
          <w:rFonts w:cstheme="minorHAnsi"/>
          <w:sz w:val="20"/>
          <w:szCs w:val="22"/>
        </w:rPr>
        <w:t xml:space="preserve"> </w:t>
      </w:r>
      <w:r w:rsidR="00D41225">
        <w:rPr>
          <w:rFonts w:cstheme="minorHAnsi"/>
          <w:sz w:val="20"/>
          <w:szCs w:val="22"/>
        </w:rPr>
        <w:t xml:space="preserve">informace MF; </w:t>
      </w:r>
      <w:r w:rsidR="00C05F9D">
        <w:rPr>
          <w:rFonts w:cstheme="minorHAnsi"/>
          <w:sz w:val="20"/>
          <w:szCs w:val="22"/>
        </w:rPr>
        <w:t>vlastní zpracování</w:t>
      </w:r>
      <w:r>
        <w:rPr>
          <w:rFonts w:cstheme="minorHAnsi"/>
          <w:sz w:val="20"/>
          <w:szCs w:val="22"/>
        </w:rPr>
        <w:t xml:space="preserve"> NKÚ</w:t>
      </w:r>
      <w:r w:rsidR="00CD159E">
        <w:rPr>
          <w:rFonts w:cstheme="minorHAnsi"/>
          <w:sz w:val="20"/>
          <w:szCs w:val="22"/>
        </w:rPr>
        <w:t>.</w:t>
      </w:r>
    </w:p>
    <w:p w14:paraId="24F51732" w14:textId="77777777" w:rsidR="00253701" w:rsidRDefault="00253701" w:rsidP="007529C5">
      <w:pPr>
        <w:rPr>
          <w:rFonts w:cstheme="minorHAnsi"/>
          <w:sz w:val="20"/>
          <w:szCs w:val="22"/>
        </w:rPr>
      </w:pPr>
    </w:p>
    <w:p w14:paraId="4FE113DB" w14:textId="77777777" w:rsidR="00B80E29" w:rsidRDefault="00B80E29">
      <w:pPr>
        <w:spacing w:after="160" w:line="259" w:lineRule="auto"/>
        <w:jc w:val="left"/>
        <w:rPr>
          <w:rFonts w:cstheme="minorHAnsi"/>
          <w:szCs w:val="22"/>
        </w:rPr>
      </w:pPr>
      <w:r>
        <w:rPr>
          <w:rFonts w:cstheme="minorHAnsi"/>
          <w:szCs w:val="22"/>
        </w:rPr>
        <w:br w:type="page"/>
      </w:r>
    </w:p>
    <w:p w14:paraId="4773DDA7" w14:textId="0EE3B6FE" w:rsidR="00BA4A2D" w:rsidRPr="008324E4" w:rsidRDefault="00BA4A2D" w:rsidP="007529C5">
      <w:pPr>
        <w:rPr>
          <w:rFonts w:cstheme="minorHAnsi"/>
          <w:szCs w:val="22"/>
        </w:rPr>
      </w:pPr>
      <w:r w:rsidRPr="008324E4">
        <w:rPr>
          <w:rFonts w:cstheme="minorHAnsi"/>
          <w:szCs w:val="22"/>
        </w:rPr>
        <w:lastRenderedPageBreak/>
        <w:t xml:space="preserve">Graf č. 2: Průměrný </w:t>
      </w:r>
      <w:r w:rsidR="00D41225">
        <w:rPr>
          <w:rFonts w:cstheme="minorHAnsi"/>
          <w:szCs w:val="22"/>
        </w:rPr>
        <w:t xml:space="preserve">měsíční </w:t>
      </w:r>
      <w:r w:rsidRPr="008324E4">
        <w:rPr>
          <w:rFonts w:cstheme="minorHAnsi"/>
          <w:szCs w:val="22"/>
        </w:rPr>
        <w:t>počet aktivních hráčů</w:t>
      </w:r>
      <w:r w:rsidR="00D41225">
        <w:rPr>
          <w:rFonts w:cstheme="minorHAnsi"/>
          <w:szCs w:val="22"/>
        </w:rPr>
        <w:t xml:space="preserve"> v letech 2017–2020</w:t>
      </w:r>
    </w:p>
    <w:p w14:paraId="3E7D5875" w14:textId="562B7523" w:rsidR="00BA4A2D" w:rsidRDefault="00BA4A2D" w:rsidP="008324E4">
      <w:pPr>
        <w:jc w:val="center"/>
        <w:rPr>
          <w:rFonts w:cstheme="minorHAnsi"/>
          <w:sz w:val="20"/>
          <w:szCs w:val="22"/>
        </w:rPr>
      </w:pPr>
      <w:r>
        <w:rPr>
          <w:noProof/>
        </w:rPr>
        <w:drawing>
          <wp:inline distT="0" distB="0" distL="0" distR="0" wp14:anchorId="5C39A970" wp14:editId="2B2612D8">
            <wp:extent cx="4962525" cy="2181225"/>
            <wp:effectExtent l="0" t="0" r="0" b="0"/>
            <wp:docPr id="4" name="Graf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1A394CA" w14:textId="504E4B41" w:rsidR="008324E4" w:rsidRPr="006F1755" w:rsidRDefault="008324E4" w:rsidP="008324E4">
      <w:pPr>
        <w:rPr>
          <w:rFonts w:cstheme="minorHAnsi"/>
          <w:sz w:val="20"/>
          <w:szCs w:val="20"/>
        </w:rPr>
      </w:pPr>
      <w:r w:rsidRPr="000C55F2">
        <w:rPr>
          <w:rFonts w:cstheme="minorHAnsi"/>
          <w:b/>
          <w:sz w:val="20"/>
          <w:szCs w:val="20"/>
        </w:rPr>
        <w:t>Zdroj:</w:t>
      </w:r>
      <w:r w:rsidRPr="006F1755">
        <w:rPr>
          <w:rFonts w:cstheme="minorHAnsi"/>
          <w:sz w:val="20"/>
          <w:szCs w:val="20"/>
        </w:rPr>
        <w:t xml:space="preserve"> </w:t>
      </w:r>
      <w:r w:rsidR="00D41225">
        <w:rPr>
          <w:rFonts w:cstheme="minorHAnsi"/>
          <w:sz w:val="20"/>
          <w:szCs w:val="20"/>
        </w:rPr>
        <w:t xml:space="preserve">informace MF; </w:t>
      </w:r>
      <w:r w:rsidRPr="006F1755">
        <w:rPr>
          <w:rFonts w:cstheme="minorHAnsi"/>
          <w:sz w:val="20"/>
          <w:szCs w:val="20"/>
        </w:rPr>
        <w:t xml:space="preserve">vlastní zpracování </w:t>
      </w:r>
      <w:r w:rsidR="00C05F9D">
        <w:rPr>
          <w:rFonts w:cstheme="minorHAnsi"/>
          <w:sz w:val="20"/>
          <w:szCs w:val="20"/>
        </w:rPr>
        <w:t>NKÚ</w:t>
      </w:r>
      <w:r w:rsidR="000C55F2">
        <w:rPr>
          <w:rFonts w:cstheme="minorHAnsi"/>
          <w:sz w:val="20"/>
          <w:szCs w:val="20"/>
        </w:rPr>
        <w:t>.</w:t>
      </w:r>
    </w:p>
    <w:p w14:paraId="588ACDC4" w14:textId="77777777" w:rsidR="00C05F9D" w:rsidRPr="00CA7B84" w:rsidRDefault="00C05F9D" w:rsidP="007529C5">
      <w:pPr>
        <w:rPr>
          <w:rFonts w:cstheme="minorHAnsi"/>
          <w:sz w:val="20"/>
          <w:szCs w:val="22"/>
        </w:rPr>
      </w:pPr>
    </w:p>
    <w:p w14:paraId="74D1F022" w14:textId="627B59BE" w:rsidR="007529C5" w:rsidRPr="000F70C7" w:rsidRDefault="003A1C04" w:rsidP="0015405A">
      <w:pPr>
        <w:rPr>
          <w:rFonts w:cstheme="minorHAnsi"/>
          <w:sz w:val="20"/>
          <w:szCs w:val="20"/>
        </w:rPr>
      </w:pPr>
      <w:r>
        <w:rPr>
          <w:rFonts w:cstheme="minorHAnsi"/>
        </w:rPr>
        <w:t>Z</w:t>
      </w:r>
      <w:r w:rsidR="007529C5" w:rsidRPr="00CA7B84">
        <w:rPr>
          <w:rFonts w:cstheme="minorHAnsi"/>
        </w:rPr>
        <w:t xml:space="preserve">a období od října 2017 do března 2021 si hráči zřídili 827 007 hráčských účtů (úplná </w:t>
      </w:r>
      <w:r w:rsidR="007529C5" w:rsidRPr="008C7C29">
        <w:rPr>
          <w:rFonts w:cstheme="minorHAnsi"/>
        </w:rPr>
        <w:t xml:space="preserve">registrace), základních registrací (hráč si nezřídil hráčský účet) bylo celkem 304 518. </w:t>
      </w:r>
    </w:p>
    <w:p w14:paraId="494C4254" w14:textId="114878A8" w:rsidR="003A1C04" w:rsidRDefault="003A1C04" w:rsidP="007529C5">
      <w:pPr>
        <w:rPr>
          <w:rFonts w:cstheme="minorHAnsi"/>
          <w:szCs w:val="22"/>
        </w:rPr>
      </w:pPr>
    </w:p>
    <w:p w14:paraId="7178CD93" w14:textId="77777777" w:rsidR="00FE435B" w:rsidRPr="00D0390F" w:rsidRDefault="00FE435B" w:rsidP="00FE435B">
      <w:pPr>
        <w:rPr>
          <w:rFonts w:cstheme="minorHAnsi"/>
        </w:rPr>
      </w:pPr>
      <w:r w:rsidRPr="00D0390F">
        <w:rPr>
          <w:rFonts w:cstheme="minorHAnsi"/>
        </w:rPr>
        <w:t>Celkové výdaje na účtenkovou loterii dosáhly za dobu jejího provozu do ukončení účinnosti smlouvy výše 230 617 001 Kč a zahrnovaly v sobě:</w:t>
      </w:r>
    </w:p>
    <w:p w14:paraId="427382B4" w14:textId="128A4F26" w:rsidR="00FE435B" w:rsidRPr="00D0390F" w:rsidRDefault="00FE435B" w:rsidP="00FE435B">
      <w:pPr>
        <w:pStyle w:val="Odstavecseseznamem"/>
        <w:numPr>
          <w:ilvl w:val="0"/>
          <w:numId w:val="14"/>
        </w:numPr>
        <w:tabs>
          <w:tab w:val="right" w:pos="8647"/>
          <w:tab w:val="right" w:pos="8931"/>
          <w:tab w:val="right" w:pos="9072"/>
        </w:tabs>
        <w:spacing w:after="0"/>
        <w:contextualSpacing/>
        <w:rPr>
          <w:rFonts w:cstheme="minorHAnsi"/>
        </w:rPr>
      </w:pPr>
      <w:r w:rsidRPr="00D0390F">
        <w:rPr>
          <w:rFonts w:cstheme="minorHAnsi"/>
        </w:rPr>
        <w:t xml:space="preserve">paušál </w:t>
      </w:r>
      <w:r w:rsidR="00D41225">
        <w:rPr>
          <w:rFonts w:cstheme="minorHAnsi"/>
        </w:rPr>
        <w:t>z</w:t>
      </w:r>
      <w:r w:rsidRPr="00D0390F">
        <w:rPr>
          <w:rFonts w:cstheme="minorHAnsi"/>
        </w:rPr>
        <w:t>a provoz účtenkové loterie</w:t>
      </w:r>
      <w:r>
        <w:rPr>
          <w:rFonts w:cstheme="minorHAnsi"/>
        </w:rPr>
        <w:tab/>
      </w:r>
      <w:r w:rsidRPr="00D0390F">
        <w:rPr>
          <w:rFonts w:cstheme="minorHAnsi"/>
        </w:rPr>
        <w:t>55 060 520 Kč,</w:t>
      </w:r>
    </w:p>
    <w:p w14:paraId="646A086F" w14:textId="385E52E4" w:rsidR="00FE435B" w:rsidRPr="00D0390F" w:rsidRDefault="00FE435B" w:rsidP="00FE435B">
      <w:pPr>
        <w:pStyle w:val="Odstavecseseznamem"/>
        <w:numPr>
          <w:ilvl w:val="0"/>
          <w:numId w:val="14"/>
        </w:numPr>
        <w:tabs>
          <w:tab w:val="right" w:pos="8647"/>
          <w:tab w:val="right" w:pos="8931"/>
          <w:tab w:val="right" w:pos="9072"/>
        </w:tabs>
        <w:spacing w:after="0"/>
        <w:contextualSpacing/>
        <w:rPr>
          <w:rFonts w:cstheme="minorHAnsi"/>
        </w:rPr>
      </w:pPr>
      <w:r w:rsidRPr="00D0390F">
        <w:rPr>
          <w:rFonts w:cstheme="minorHAnsi"/>
        </w:rPr>
        <w:t>bankovní poplatky a SMS zprávy</w:t>
      </w:r>
      <w:r>
        <w:rPr>
          <w:rFonts w:cstheme="minorHAnsi"/>
        </w:rPr>
        <w:tab/>
      </w:r>
      <w:r w:rsidRPr="00D0390F">
        <w:rPr>
          <w:rFonts w:cstheme="minorHAnsi"/>
        </w:rPr>
        <w:t>1 509 27</w:t>
      </w:r>
      <w:r>
        <w:rPr>
          <w:rFonts w:cstheme="minorHAnsi"/>
        </w:rPr>
        <w:t>4</w:t>
      </w:r>
      <w:r w:rsidRPr="00D0390F">
        <w:rPr>
          <w:rFonts w:cstheme="minorHAnsi"/>
        </w:rPr>
        <w:t xml:space="preserve"> Kč,</w:t>
      </w:r>
    </w:p>
    <w:p w14:paraId="52D26A62" w14:textId="159EC993" w:rsidR="00FE435B" w:rsidRPr="00D0390F" w:rsidRDefault="00FE435B" w:rsidP="00FE435B">
      <w:pPr>
        <w:pStyle w:val="Odstavecseseznamem"/>
        <w:numPr>
          <w:ilvl w:val="0"/>
          <w:numId w:val="14"/>
        </w:numPr>
        <w:tabs>
          <w:tab w:val="right" w:pos="8647"/>
          <w:tab w:val="right" w:pos="8931"/>
          <w:tab w:val="right" w:pos="9072"/>
        </w:tabs>
        <w:spacing w:after="0"/>
        <w:contextualSpacing/>
        <w:rPr>
          <w:rFonts w:cstheme="minorHAnsi"/>
        </w:rPr>
      </w:pPr>
      <w:r w:rsidRPr="00D0390F">
        <w:rPr>
          <w:rFonts w:cstheme="minorHAnsi"/>
        </w:rPr>
        <w:t>peněžité výhry</w:t>
      </w:r>
      <w:r>
        <w:rPr>
          <w:rFonts w:cstheme="minorHAnsi"/>
        </w:rPr>
        <w:tab/>
      </w:r>
      <w:r w:rsidRPr="00D0390F">
        <w:rPr>
          <w:rFonts w:cstheme="minorHAnsi"/>
        </w:rPr>
        <w:t>148 394</w:t>
      </w:r>
      <w:r>
        <w:rPr>
          <w:rFonts w:cstheme="minorHAnsi"/>
        </w:rPr>
        <w:t> </w:t>
      </w:r>
      <w:r w:rsidRPr="00D0390F">
        <w:rPr>
          <w:rFonts w:cstheme="minorHAnsi"/>
        </w:rPr>
        <w:t>700 Kč,</w:t>
      </w:r>
    </w:p>
    <w:p w14:paraId="6D480631" w14:textId="07A7D097" w:rsidR="00FE435B" w:rsidRPr="00D0390F" w:rsidRDefault="00FE435B" w:rsidP="00FE435B">
      <w:pPr>
        <w:pStyle w:val="Odstavecseseznamem"/>
        <w:numPr>
          <w:ilvl w:val="0"/>
          <w:numId w:val="14"/>
        </w:numPr>
        <w:tabs>
          <w:tab w:val="right" w:pos="8647"/>
          <w:tab w:val="right" w:pos="8931"/>
          <w:tab w:val="right" w:pos="9072"/>
        </w:tabs>
        <w:spacing w:after="0"/>
        <w:contextualSpacing/>
        <w:rPr>
          <w:rFonts w:cstheme="minorHAnsi"/>
        </w:rPr>
      </w:pPr>
      <w:r w:rsidRPr="00D0390F">
        <w:rPr>
          <w:rFonts w:cstheme="minorHAnsi"/>
        </w:rPr>
        <w:t>výdaje na pořízení osobních vozidel jako věcné výhry</w:t>
      </w:r>
      <w:r>
        <w:rPr>
          <w:rFonts w:cstheme="minorHAnsi"/>
        </w:rPr>
        <w:tab/>
      </w:r>
      <w:r w:rsidRPr="00D0390F">
        <w:rPr>
          <w:rFonts w:cstheme="minorHAnsi"/>
        </w:rPr>
        <w:t>11 570 021 Kč,</w:t>
      </w:r>
    </w:p>
    <w:p w14:paraId="7F2288C6" w14:textId="4BF9EF92" w:rsidR="00FE435B" w:rsidRPr="00D0390F" w:rsidRDefault="00FE435B" w:rsidP="00FE435B">
      <w:pPr>
        <w:pStyle w:val="Odstavecseseznamem"/>
        <w:numPr>
          <w:ilvl w:val="0"/>
          <w:numId w:val="14"/>
        </w:numPr>
        <w:tabs>
          <w:tab w:val="right" w:pos="8647"/>
          <w:tab w:val="right" w:pos="8931"/>
          <w:tab w:val="right" w:pos="9072"/>
        </w:tabs>
        <w:spacing w:after="0"/>
        <w:contextualSpacing/>
        <w:rPr>
          <w:rFonts w:cstheme="minorHAnsi"/>
        </w:rPr>
      </w:pPr>
      <w:r w:rsidRPr="00D0390F">
        <w:rPr>
          <w:rFonts w:cstheme="minorHAnsi"/>
        </w:rPr>
        <w:t>ostatní výdaje (zejména propagace)</w:t>
      </w:r>
      <w:r>
        <w:rPr>
          <w:rFonts w:cstheme="minorHAnsi"/>
        </w:rPr>
        <w:tab/>
      </w:r>
      <w:r w:rsidRPr="00D0390F">
        <w:rPr>
          <w:rFonts w:cstheme="minorHAnsi"/>
        </w:rPr>
        <w:t>14 082 486 Kč.</w:t>
      </w:r>
    </w:p>
    <w:p w14:paraId="71F57AE6" w14:textId="77777777" w:rsidR="00FE435B" w:rsidRDefault="00FE435B" w:rsidP="007529C5">
      <w:pPr>
        <w:rPr>
          <w:rFonts w:cstheme="minorHAnsi"/>
          <w:szCs w:val="22"/>
        </w:rPr>
      </w:pPr>
    </w:p>
    <w:p w14:paraId="618D89BE" w14:textId="5CDC6F85" w:rsidR="00B93666" w:rsidRDefault="003A1C04" w:rsidP="003A1C04">
      <w:pPr>
        <w:rPr>
          <w:rFonts w:cstheme="minorHAnsi"/>
        </w:rPr>
      </w:pPr>
      <w:bookmarkStart w:id="7" w:name="_Hlk100311670"/>
      <w:r w:rsidRPr="003A1C04">
        <w:rPr>
          <w:rFonts w:cstheme="minorHAnsi"/>
          <w:szCs w:val="22"/>
        </w:rPr>
        <w:t xml:space="preserve">Pro zajištění provozu účtenkové loterie uzavřelo MF dne 20. 3. 2017 s dodavatelem </w:t>
      </w:r>
      <w:r w:rsidR="00D0390F">
        <w:rPr>
          <w:rFonts w:cstheme="minorHAnsi"/>
          <w:szCs w:val="22"/>
        </w:rPr>
        <w:t>s</w:t>
      </w:r>
      <w:r w:rsidRPr="003A1C04">
        <w:rPr>
          <w:rFonts w:cstheme="minorHAnsi"/>
          <w:szCs w:val="22"/>
        </w:rPr>
        <w:t xml:space="preserve">mlouvu </w:t>
      </w:r>
      <w:r w:rsidR="00D13DBD">
        <w:rPr>
          <w:rFonts w:cstheme="minorHAnsi"/>
          <w:szCs w:val="22"/>
        </w:rPr>
        <w:t>o</w:t>
      </w:r>
      <w:r w:rsidRPr="003A1C04">
        <w:rPr>
          <w:rFonts w:cstheme="minorHAnsi"/>
          <w:szCs w:val="22"/>
        </w:rPr>
        <w:t xml:space="preserve"> komplexním zajištění provozu účtenkové loterie</w:t>
      </w:r>
      <w:bookmarkEnd w:id="7"/>
      <w:r w:rsidRPr="003A1C04">
        <w:rPr>
          <w:rFonts w:cstheme="minorHAnsi"/>
          <w:szCs w:val="22"/>
        </w:rPr>
        <w:t>.</w:t>
      </w:r>
      <w:r>
        <w:rPr>
          <w:rFonts w:cstheme="minorHAnsi"/>
          <w:szCs w:val="22"/>
        </w:rPr>
        <w:t xml:space="preserve"> </w:t>
      </w:r>
      <w:r w:rsidR="00B93666">
        <w:rPr>
          <w:rFonts w:cstheme="minorHAnsi"/>
        </w:rPr>
        <w:t>T</w:t>
      </w:r>
      <w:r w:rsidR="00B93666" w:rsidRPr="00B93666">
        <w:rPr>
          <w:rFonts w:cstheme="minorHAnsi"/>
        </w:rPr>
        <w:t>ato smlouva mohla být ukončena na</w:t>
      </w:r>
      <w:r w:rsidR="009332F6">
        <w:rPr>
          <w:rFonts w:cstheme="minorHAnsi"/>
        </w:rPr>
        <w:t xml:space="preserve"> </w:t>
      </w:r>
      <w:r w:rsidR="00B93666" w:rsidRPr="00B93666">
        <w:rPr>
          <w:rFonts w:cstheme="minorHAnsi"/>
        </w:rPr>
        <w:t xml:space="preserve">základě vzájemné dohody, výpovědi </w:t>
      </w:r>
      <w:r w:rsidR="00B93666">
        <w:rPr>
          <w:rFonts w:cstheme="minorHAnsi"/>
        </w:rPr>
        <w:t xml:space="preserve">s roční výpovědní dobou </w:t>
      </w:r>
      <w:r w:rsidR="00B93666" w:rsidRPr="00B93666">
        <w:rPr>
          <w:rFonts w:cstheme="minorHAnsi"/>
        </w:rPr>
        <w:t>či odstoupení od smlouvy</w:t>
      </w:r>
      <w:r w:rsidR="00B93666">
        <w:rPr>
          <w:rFonts w:cstheme="minorHAnsi"/>
        </w:rPr>
        <w:t xml:space="preserve">. MF uvedlo, že se pokusilo domluvit s dodavatelem na ukončení smlouvy vzájemnou dohodou, </w:t>
      </w:r>
      <w:r w:rsidR="009332F6">
        <w:rPr>
          <w:rFonts w:cstheme="minorHAnsi"/>
        </w:rPr>
        <w:t xml:space="preserve">avšak </w:t>
      </w:r>
      <w:r w:rsidR="00B93666">
        <w:rPr>
          <w:rFonts w:cstheme="minorHAnsi"/>
        </w:rPr>
        <w:t xml:space="preserve">dodavatel s touto možností nesouhlasil. Jednání s dodavatelem proběhlo telefonicky, </w:t>
      </w:r>
      <w:r w:rsidR="000316CB">
        <w:rPr>
          <w:rFonts w:cstheme="minorHAnsi"/>
        </w:rPr>
        <w:br/>
      </w:r>
      <w:r w:rsidR="00B93666">
        <w:rPr>
          <w:rFonts w:cstheme="minorHAnsi"/>
        </w:rPr>
        <w:t>o</w:t>
      </w:r>
      <w:r w:rsidR="000316CB">
        <w:rPr>
          <w:rFonts w:cstheme="minorHAnsi"/>
        </w:rPr>
        <w:t xml:space="preserve"> </w:t>
      </w:r>
      <w:r w:rsidR="00B93666">
        <w:rPr>
          <w:rFonts w:cstheme="minorHAnsi"/>
        </w:rPr>
        <w:t>jednání MF nepořídilo zápis ani jiný doklad, který by prokazoval průběh jednání</w:t>
      </w:r>
      <w:r w:rsidR="009332F6">
        <w:rPr>
          <w:rFonts w:cstheme="minorHAnsi"/>
        </w:rPr>
        <w:t>.</w:t>
      </w:r>
      <w:r w:rsidR="00B93666">
        <w:rPr>
          <w:rFonts w:cstheme="minorHAnsi"/>
        </w:rPr>
        <w:t xml:space="preserve"> </w:t>
      </w:r>
      <w:r w:rsidR="009332F6">
        <w:rPr>
          <w:rFonts w:cstheme="minorHAnsi"/>
        </w:rPr>
        <w:t>Z</w:t>
      </w:r>
      <w:r w:rsidR="00B93666">
        <w:rPr>
          <w:rFonts w:cstheme="minorHAnsi"/>
        </w:rPr>
        <w:t xml:space="preserve">ávěry z jednání však byly </w:t>
      </w:r>
      <w:r w:rsidR="00B93666" w:rsidRPr="00B93666">
        <w:rPr>
          <w:rFonts w:cstheme="minorHAnsi"/>
        </w:rPr>
        <w:t xml:space="preserve">následně na základě dotazu NKÚ potvrzeny prohlášením dodavatele. </w:t>
      </w:r>
      <w:r w:rsidR="00B93666">
        <w:rPr>
          <w:rFonts w:cstheme="minorHAnsi"/>
        </w:rPr>
        <w:t xml:space="preserve">MF </w:t>
      </w:r>
      <w:r w:rsidR="009332F6">
        <w:rPr>
          <w:rFonts w:cstheme="minorHAnsi"/>
        </w:rPr>
        <w:t xml:space="preserve">vzhledem k tomuto neúspěšnému jednání </w:t>
      </w:r>
      <w:r w:rsidR="00B93666">
        <w:rPr>
          <w:rFonts w:cstheme="minorHAnsi"/>
        </w:rPr>
        <w:t>přistoupilo k ukončení smlouvy výpovědí s roční výpovědní dobou</w:t>
      </w:r>
      <w:r w:rsidR="00B93666" w:rsidRPr="00B93666">
        <w:rPr>
          <w:rFonts w:cstheme="minorHAnsi"/>
        </w:rPr>
        <w:t>.</w:t>
      </w:r>
    </w:p>
    <w:p w14:paraId="69CBB810" w14:textId="47612BF5" w:rsidR="00BA7102" w:rsidRDefault="00BA7102" w:rsidP="003A1C04">
      <w:pPr>
        <w:rPr>
          <w:rFonts w:cstheme="minorHAnsi"/>
        </w:rPr>
      </w:pPr>
    </w:p>
    <w:p w14:paraId="565A7236" w14:textId="049662B4" w:rsidR="00BA7102" w:rsidRPr="00CA7B84" w:rsidRDefault="00BA7102" w:rsidP="0015405A">
      <w:pPr>
        <w:rPr>
          <w:rFonts w:cstheme="minorHAnsi"/>
          <w:sz w:val="20"/>
          <w:szCs w:val="22"/>
        </w:rPr>
      </w:pPr>
      <w:r w:rsidRPr="005210CC">
        <w:rPr>
          <w:rFonts w:cstheme="minorHAnsi"/>
          <w:szCs w:val="22"/>
        </w:rPr>
        <w:t>Za dobu od vypovězení smlouvy do konce její účinnosti uhradilo MF za paušál dodavateli celkem 15 332 47</w:t>
      </w:r>
      <w:r w:rsidR="0047646F">
        <w:rPr>
          <w:rFonts w:cstheme="minorHAnsi"/>
          <w:szCs w:val="22"/>
        </w:rPr>
        <w:t>9</w:t>
      </w:r>
      <w:r w:rsidRPr="005210CC">
        <w:rPr>
          <w:rFonts w:cstheme="minorHAnsi"/>
          <w:szCs w:val="22"/>
        </w:rPr>
        <w:t xml:space="preserve"> Kč, z toho </w:t>
      </w:r>
      <w:r w:rsidR="00890F36">
        <w:rPr>
          <w:rFonts w:cstheme="minorHAnsi"/>
          <w:szCs w:val="22"/>
        </w:rPr>
        <w:t>13 998 69</w:t>
      </w:r>
      <w:r w:rsidR="0047646F">
        <w:rPr>
          <w:rFonts w:cstheme="minorHAnsi"/>
          <w:szCs w:val="22"/>
        </w:rPr>
        <w:t>9</w:t>
      </w:r>
      <w:r w:rsidR="00890F36">
        <w:rPr>
          <w:rFonts w:cstheme="minorHAnsi"/>
          <w:szCs w:val="22"/>
        </w:rPr>
        <w:t xml:space="preserve"> Kč </w:t>
      </w:r>
      <w:r w:rsidR="002C595C">
        <w:rPr>
          <w:rFonts w:cstheme="minorHAnsi"/>
          <w:szCs w:val="22"/>
        </w:rPr>
        <w:t>za měsíce, kdy již neprobíhalo slosování</w:t>
      </w:r>
      <w:r w:rsidRPr="005210CC">
        <w:rPr>
          <w:rFonts w:cstheme="minorHAnsi"/>
          <w:szCs w:val="22"/>
        </w:rPr>
        <w:t xml:space="preserve">. </w:t>
      </w:r>
      <w:r>
        <w:rPr>
          <w:rFonts w:cstheme="minorHAnsi"/>
          <w:szCs w:val="22"/>
        </w:rPr>
        <w:t>S</w:t>
      </w:r>
      <w:r w:rsidRPr="005210CC">
        <w:rPr>
          <w:rFonts w:cstheme="minorHAnsi"/>
          <w:szCs w:val="22"/>
        </w:rPr>
        <w:t xml:space="preserve">mlouva </w:t>
      </w:r>
      <w:r w:rsidRPr="00B93666">
        <w:rPr>
          <w:rFonts w:cstheme="minorHAnsi"/>
        </w:rPr>
        <w:t>o komplexním zajištění provozu účtenkové loterie</w:t>
      </w:r>
      <w:r w:rsidRPr="005210CC">
        <w:rPr>
          <w:rFonts w:cstheme="minorHAnsi"/>
          <w:szCs w:val="22"/>
        </w:rPr>
        <w:t xml:space="preserve"> ani její dodatky nijak nespecifikovaly postup v případě, </w:t>
      </w:r>
      <w:r w:rsidR="009332F6">
        <w:rPr>
          <w:rFonts w:cstheme="minorHAnsi"/>
          <w:szCs w:val="22"/>
        </w:rPr>
        <w:t>kdy</w:t>
      </w:r>
      <w:r w:rsidRPr="005210CC">
        <w:rPr>
          <w:rFonts w:cstheme="minorHAnsi"/>
          <w:szCs w:val="22"/>
        </w:rPr>
        <w:t xml:space="preserve"> účtenková loterie </w:t>
      </w:r>
      <w:r w:rsidR="009332F6" w:rsidRPr="005210CC">
        <w:rPr>
          <w:rFonts w:cstheme="minorHAnsi"/>
          <w:szCs w:val="22"/>
        </w:rPr>
        <w:t xml:space="preserve">bude </w:t>
      </w:r>
      <w:r w:rsidRPr="005210CC">
        <w:rPr>
          <w:rFonts w:cstheme="minorHAnsi"/>
          <w:szCs w:val="22"/>
        </w:rPr>
        <w:t>ukončena dříve</w:t>
      </w:r>
      <w:r w:rsidR="009332F6">
        <w:rPr>
          <w:rFonts w:cstheme="minorHAnsi"/>
          <w:szCs w:val="22"/>
        </w:rPr>
        <w:t>,</w:t>
      </w:r>
      <w:r w:rsidRPr="005210CC">
        <w:rPr>
          <w:rFonts w:cstheme="minorHAnsi"/>
          <w:szCs w:val="22"/>
        </w:rPr>
        <w:t xml:space="preserve"> než skončí účinnost smlouvy, např.</w:t>
      </w:r>
      <w:r w:rsidR="008F1B6F">
        <w:rPr>
          <w:rFonts w:cstheme="minorHAnsi"/>
          <w:szCs w:val="22"/>
        </w:rPr>
        <w:t> </w:t>
      </w:r>
      <w:r w:rsidRPr="005210CC">
        <w:rPr>
          <w:rFonts w:cstheme="minorHAnsi"/>
          <w:szCs w:val="22"/>
        </w:rPr>
        <w:t xml:space="preserve">nestanovily možnost snížení měsíčního paušálu s ohledem na to, že v případě ukončení účtenkové loterie nedostane </w:t>
      </w:r>
      <w:r w:rsidR="009332F6" w:rsidRPr="005210CC">
        <w:rPr>
          <w:rFonts w:cstheme="minorHAnsi"/>
          <w:szCs w:val="22"/>
        </w:rPr>
        <w:t xml:space="preserve">MF </w:t>
      </w:r>
      <w:r w:rsidR="00AC20D4">
        <w:rPr>
          <w:rFonts w:cstheme="minorHAnsi"/>
          <w:szCs w:val="22"/>
        </w:rPr>
        <w:t>předmět plnění</w:t>
      </w:r>
      <w:r w:rsidR="00AC20D4">
        <w:rPr>
          <w:rStyle w:val="Znakapoznpodarou"/>
          <w:szCs w:val="22"/>
        </w:rPr>
        <w:footnoteReference w:id="11"/>
      </w:r>
      <w:r w:rsidR="00AC20D4">
        <w:rPr>
          <w:rFonts w:cstheme="minorHAnsi"/>
          <w:szCs w:val="22"/>
        </w:rPr>
        <w:t xml:space="preserve"> tak, jak ho upravovala smlouva. </w:t>
      </w:r>
    </w:p>
    <w:p w14:paraId="66DC6352" w14:textId="77777777" w:rsidR="00BA7102" w:rsidRPr="00C250A4" w:rsidRDefault="00BA7102" w:rsidP="00BA7102">
      <w:pPr>
        <w:rPr>
          <w:rFonts w:cstheme="minorHAnsi"/>
        </w:rPr>
      </w:pPr>
    </w:p>
    <w:p w14:paraId="0FD521F2" w14:textId="361EE4AA" w:rsidR="0079498B" w:rsidRDefault="00BA7102" w:rsidP="00BA7102">
      <w:pPr>
        <w:rPr>
          <w:rFonts w:cstheme="minorHAnsi"/>
          <w:szCs w:val="22"/>
        </w:rPr>
      </w:pPr>
      <w:r w:rsidRPr="00BA7102">
        <w:rPr>
          <w:rFonts w:cstheme="minorHAnsi"/>
          <w:szCs w:val="22"/>
        </w:rPr>
        <w:lastRenderedPageBreak/>
        <w:t>Součástí předmětu plnění</w:t>
      </w:r>
      <w:r w:rsidR="008F1B6F">
        <w:rPr>
          <w:rFonts w:cstheme="minorHAnsi"/>
          <w:szCs w:val="22"/>
        </w:rPr>
        <w:t>,</w:t>
      </w:r>
      <w:r w:rsidRPr="00BA7102">
        <w:rPr>
          <w:rFonts w:cstheme="minorHAnsi"/>
          <w:szCs w:val="22"/>
        </w:rPr>
        <w:t xml:space="preserve"> a </w:t>
      </w:r>
      <w:r w:rsidR="009332F6">
        <w:rPr>
          <w:rFonts w:cstheme="minorHAnsi"/>
          <w:szCs w:val="22"/>
        </w:rPr>
        <w:t>tedy</w:t>
      </w:r>
      <w:r w:rsidRPr="00BA7102">
        <w:rPr>
          <w:rFonts w:cstheme="minorHAnsi"/>
          <w:szCs w:val="22"/>
        </w:rPr>
        <w:t xml:space="preserve"> </w:t>
      </w:r>
      <w:r w:rsidR="009332F6">
        <w:rPr>
          <w:rFonts w:cstheme="minorHAnsi"/>
          <w:szCs w:val="22"/>
        </w:rPr>
        <w:t xml:space="preserve">i </w:t>
      </w:r>
      <w:r w:rsidRPr="00BA7102">
        <w:rPr>
          <w:rFonts w:cstheme="minorHAnsi"/>
          <w:szCs w:val="22"/>
        </w:rPr>
        <w:t>součástí měsíčního paušálu byly části plnění, které po</w:t>
      </w:r>
      <w:r w:rsidR="009332F6">
        <w:rPr>
          <w:rFonts w:cstheme="minorHAnsi"/>
          <w:szCs w:val="22"/>
        </w:rPr>
        <w:t xml:space="preserve"> </w:t>
      </w:r>
      <w:r w:rsidRPr="00BA7102">
        <w:rPr>
          <w:rFonts w:cstheme="minorHAnsi"/>
          <w:szCs w:val="22"/>
        </w:rPr>
        <w:t xml:space="preserve">ukončení účtenkové loterie nebyly plněny po celou dobu výpovědní lhůty, příp. byly plněny ve výrazně omezenější míře než v době před ukončením účtenkové loterie. </w:t>
      </w:r>
      <w:r w:rsidRPr="00BA7102">
        <w:rPr>
          <w:rFonts w:cstheme="minorHAnsi"/>
        </w:rPr>
        <w:t xml:space="preserve">Po </w:t>
      </w:r>
      <w:r w:rsidR="009332F6">
        <w:rPr>
          <w:rFonts w:cstheme="minorHAnsi"/>
        </w:rPr>
        <w:t>s</w:t>
      </w:r>
      <w:r w:rsidRPr="00BA7102">
        <w:rPr>
          <w:rFonts w:cstheme="minorHAnsi"/>
        </w:rPr>
        <w:t>končení účtenkové loterie spočívala činnost dodavatele především v tom, že udržoval systém, který z důvodu ukončení účtenkové loterie nemohl být řádně/plně využíván.</w:t>
      </w:r>
      <w:r>
        <w:rPr>
          <w:rFonts w:cstheme="minorHAnsi"/>
          <w:szCs w:val="22"/>
        </w:rPr>
        <w:t xml:space="preserve"> </w:t>
      </w:r>
      <w:r w:rsidRPr="00BA7102">
        <w:rPr>
          <w:rFonts w:cstheme="minorHAnsi"/>
          <w:szCs w:val="22"/>
        </w:rPr>
        <w:t xml:space="preserve">MF hradilo celý rok měsíční paušál v plné výši </w:t>
      </w:r>
      <w:r w:rsidR="0079498B">
        <w:rPr>
          <w:rFonts w:cstheme="minorHAnsi"/>
          <w:szCs w:val="22"/>
        </w:rPr>
        <w:t>– za období duben až červenec 2020 se jednalo o částku 1</w:t>
      </w:r>
      <w:r w:rsidR="00B667CF">
        <w:rPr>
          <w:rFonts w:cstheme="minorHAnsi"/>
          <w:szCs w:val="22"/>
        </w:rPr>
        <w:t>,</w:t>
      </w:r>
      <w:r w:rsidR="0079498B">
        <w:rPr>
          <w:rFonts w:cstheme="minorHAnsi"/>
          <w:szCs w:val="22"/>
        </w:rPr>
        <w:t>33</w:t>
      </w:r>
      <w:r w:rsidR="00B667CF">
        <w:rPr>
          <w:rFonts w:cstheme="minorHAnsi"/>
          <w:szCs w:val="22"/>
        </w:rPr>
        <w:t xml:space="preserve"> mil.</w:t>
      </w:r>
      <w:r w:rsidR="00AD5FA1">
        <w:rPr>
          <w:rFonts w:cstheme="minorHAnsi"/>
          <w:szCs w:val="22"/>
        </w:rPr>
        <w:t> </w:t>
      </w:r>
      <w:r w:rsidR="0079498B">
        <w:rPr>
          <w:rFonts w:cstheme="minorHAnsi"/>
          <w:szCs w:val="22"/>
        </w:rPr>
        <w:t>Kč měsíčně, za období srpen 2020 až březen 2021 se jednalo o částku 1</w:t>
      </w:r>
      <w:r w:rsidR="00B667CF">
        <w:rPr>
          <w:rFonts w:cstheme="minorHAnsi"/>
          <w:szCs w:val="22"/>
        </w:rPr>
        <w:t>,</w:t>
      </w:r>
      <w:r w:rsidR="0079498B">
        <w:rPr>
          <w:rFonts w:cstheme="minorHAnsi"/>
          <w:szCs w:val="22"/>
        </w:rPr>
        <w:t>2</w:t>
      </w:r>
      <w:r w:rsidR="00B667CF">
        <w:rPr>
          <w:rFonts w:cstheme="minorHAnsi"/>
          <w:szCs w:val="22"/>
        </w:rPr>
        <w:t>5 mil.</w:t>
      </w:r>
      <w:r w:rsidR="0079498B">
        <w:rPr>
          <w:rFonts w:cstheme="minorHAnsi"/>
          <w:szCs w:val="22"/>
        </w:rPr>
        <w:t xml:space="preserve"> Kč měsíčně. </w:t>
      </w:r>
    </w:p>
    <w:p w14:paraId="4454B950" w14:textId="77777777" w:rsidR="00007790" w:rsidRDefault="00007790" w:rsidP="006D05E1">
      <w:pPr>
        <w:pStyle w:val="Zkladn"/>
        <w:tabs>
          <w:tab w:val="left" w:pos="2323"/>
        </w:tabs>
        <w:spacing w:before="0" w:after="240"/>
        <w:ind w:left="55"/>
        <w:jc w:val="left"/>
        <w:rPr>
          <w:rFonts w:cstheme="minorHAnsi"/>
          <w:b/>
        </w:rPr>
      </w:pPr>
    </w:p>
    <w:p w14:paraId="5FB9D011" w14:textId="77777777" w:rsidR="00007790" w:rsidRDefault="00007790" w:rsidP="006D05E1">
      <w:pPr>
        <w:pStyle w:val="Zkladn"/>
        <w:tabs>
          <w:tab w:val="left" w:pos="2323"/>
        </w:tabs>
        <w:spacing w:before="0" w:after="240"/>
        <w:ind w:left="55"/>
        <w:jc w:val="left"/>
        <w:rPr>
          <w:rFonts w:cstheme="minorHAnsi"/>
          <w:b/>
        </w:rPr>
      </w:pPr>
    </w:p>
    <w:p w14:paraId="5613DF60" w14:textId="01561D97" w:rsidR="006D05E1" w:rsidRDefault="006D05E1" w:rsidP="006D05E1">
      <w:pPr>
        <w:pStyle w:val="Zkladn"/>
        <w:tabs>
          <w:tab w:val="left" w:pos="2323"/>
        </w:tabs>
        <w:spacing w:before="0" w:after="240"/>
        <w:ind w:left="55"/>
        <w:jc w:val="left"/>
        <w:rPr>
          <w:rFonts w:cstheme="minorHAnsi"/>
        </w:rPr>
      </w:pPr>
      <w:r>
        <w:rPr>
          <w:rFonts w:cstheme="minorHAnsi"/>
          <w:b/>
        </w:rPr>
        <w:t>Seznam zkratek</w:t>
      </w:r>
    </w:p>
    <w:p w14:paraId="536D46C2" w14:textId="45E761DC" w:rsidR="006D05E1" w:rsidRDefault="006D05E1" w:rsidP="006D05E1">
      <w:pPr>
        <w:tabs>
          <w:tab w:val="left" w:pos="1985"/>
        </w:tabs>
        <w:spacing w:before="80"/>
        <w:ind w:left="1985" w:hanging="1930"/>
        <w:rPr>
          <w:rFonts w:cstheme="minorHAnsi"/>
        </w:rPr>
      </w:pPr>
      <w:r>
        <w:rPr>
          <w:rFonts w:cstheme="minorHAnsi"/>
        </w:rPr>
        <w:t>ČTK</w:t>
      </w:r>
      <w:r>
        <w:rPr>
          <w:rFonts w:cstheme="minorHAnsi"/>
        </w:rPr>
        <w:tab/>
        <w:t>Česká tisková kancelář</w:t>
      </w:r>
    </w:p>
    <w:p w14:paraId="58A21CEC" w14:textId="77D9D495" w:rsidR="003328DD" w:rsidRDefault="003328DD" w:rsidP="006D05E1">
      <w:pPr>
        <w:tabs>
          <w:tab w:val="left" w:pos="1985"/>
        </w:tabs>
        <w:spacing w:before="80"/>
        <w:ind w:left="1985" w:hanging="1930"/>
        <w:rPr>
          <w:rFonts w:cstheme="minorHAnsi"/>
        </w:rPr>
      </w:pPr>
      <w:r>
        <w:rPr>
          <w:rFonts w:cstheme="minorHAnsi"/>
        </w:rPr>
        <w:t>DMS</w:t>
      </w:r>
      <w:r>
        <w:rPr>
          <w:rFonts w:cstheme="minorHAnsi"/>
        </w:rPr>
        <w:tab/>
        <w:t>document management system (systém pro správu dokumentů)</w:t>
      </w:r>
    </w:p>
    <w:p w14:paraId="6D45C67A" w14:textId="625768FC" w:rsidR="003328DD" w:rsidRDefault="003328DD" w:rsidP="006D05E1">
      <w:pPr>
        <w:tabs>
          <w:tab w:val="left" w:pos="1985"/>
        </w:tabs>
        <w:spacing w:before="80"/>
        <w:ind w:left="1985" w:hanging="1930"/>
        <w:rPr>
          <w:rFonts w:cstheme="minorHAnsi"/>
        </w:rPr>
      </w:pPr>
      <w:r>
        <w:rPr>
          <w:rFonts w:cstheme="minorHAnsi"/>
        </w:rPr>
        <w:t>DS</w:t>
      </w:r>
      <w:r>
        <w:rPr>
          <w:rFonts w:cstheme="minorHAnsi"/>
        </w:rPr>
        <w:tab/>
        <w:t>daňová správa</w:t>
      </w:r>
    </w:p>
    <w:p w14:paraId="30594456" w14:textId="59C051ED" w:rsidR="003328DD" w:rsidRDefault="003328DD" w:rsidP="006D05E1">
      <w:pPr>
        <w:tabs>
          <w:tab w:val="left" w:pos="1985"/>
        </w:tabs>
        <w:spacing w:before="80"/>
        <w:ind w:left="1985" w:hanging="1930"/>
        <w:rPr>
          <w:rFonts w:cstheme="minorHAnsi"/>
        </w:rPr>
      </w:pPr>
      <w:r>
        <w:rPr>
          <w:rFonts w:cstheme="minorHAnsi"/>
        </w:rPr>
        <w:t>EHP</w:t>
      </w:r>
      <w:r>
        <w:rPr>
          <w:rFonts w:cstheme="minorHAnsi"/>
        </w:rPr>
        <w:tab/>
        <w:t>Evropský hospodářský prostor</w:t>
      </w:r>
    </w:p>
    <w:p w14:paraId="224054FF" w14:textId="7D9276F6" w:rsidR="006D05E1" w:rsidRDefault="006D05E1" w:rsidP="006D05E1">
      <w:pPr>
        <w:tabs>
          <w:tab w:val="left" w:pos="1985"/>
        </w:tabs>
        <w:spacing w:before="80"/>
        <w:ind w:left="1985" w:hanging="1930"/>
        <w:rPr>
          <w:rFonts w:cstheme="minorHAnsi"/>
        </w:rPr>
      </w:pPr>
      <w:r>
        <w:rPr>
          <w:rFonts w:cstheme="minorHAnsi"/>
        </w:rPr>
        <w:t>ICT</w:t>
      </w:r>
      <w:r>
        <w:rPr>
          <w:rFonts w:cstheme="minorHAnsi"/>
          <w:b/>
        </w:rPr>
        <w:tab/>
      </w:r>
      <w:r>
        <w:rPr>
          <w:rFonts w:cstheme="minorHAnsi"/>
        </w:rPr>
        <w:t>informační a komunikační technologie</w:t>
      </w:r>
    </w:p>
    <w:p w14:paraId="76EAC861" w14:textId="44C7F3F9" w:rsidR="003328DD" w:rsidRDefault="003328DD" w:rsidP="006D05E1">
      <w:pPr>
        <w:tabs>
          <w:tab w:val="left" w:pos="1985"/>
        </w:tabs>
        <w:spacing w:before="80"/>
        <w:ind w:left="1985" w:hanging="1930"/>
        <w:rPr>
          <w:rFonts w:cstheme="minorHAnsi"/>
        </w:rPr>
      </w:pPr>
      <w:r>
        <w:rPr>
          <w:rFonts w:cstheme="minorHAnsi"/>
        </w:rPr>
        <w:t>FKVS</w:t>
      </w:r>
      <w:r>
        <w:rPr>
          <w:rFonts w:cstheme="minorHAnsi"/>
        </w:rPr>
        <w:tab/>
        <w:t>finanční kontrola ve veřejné správě</w:t>
      </w:r>
    </w:p>
    <w:p w14:paraId="19099048" w14:textId="71CE729E" w:rsidR="006D05E1" w:rsidRDefault="006D05E1" w:rsidP="006D05E1">
      <w:pPr>
        <w:tabs>
          <w:tab w:val="left" w:pos="1985"/>
        </w:tabs>
        <w:spacing w:before="80"/>
        <w:ind w:left="1985" w:hanging="1930"/>
        <w:rPr>
          <w:rFonts w:cstheme="minorHAnsi"/>
        </w:rPr>
      </w:pPr>
      <w:r>
        <w:rPr>
          <w:rFonts w:cstheme="minorHAnsi"/>
        </w:rPr>
        <w:t>FÚ</w:t>
      </w:r>
      <w:r>
        <w:rPr>
          <w:rFonts w:cstheme="minorHAnsi"/>
        </w:rPr>
        <w:tab/>
        <w:t>finanční úřad</w:t>
      </w:r>
      <w:r w:rsidR="00687FE7">
        <w:rPr>
          <w:rFonts w:cstheme="minorHAnsi"/>
        </w:rPr>
        <w:t>y</w:t>
      </w:r>
    </w:p>
    <w:p w14:paraId="1EF0E53D" w14:textId="77777777" w:rsidR="006D05E1" w:rsidRDefault="006D05E1" w:rsidP="006D05E1">
      <w:pPr>
        <w:tabs>
          <w:tab w:val="left" w:pos="1985"/>
        </w:tabs>
        <w:spacing w:before="80"/>
        <w:ind w:left="1985" w:hanging="1930"/>
        <w:rPr>
          <w:rFonts w:cstheme="minorHAnsi"/>
        </w:rPr>
      </w:pPr>
      <w:r>
        <w:rPr>
          <w:rFonts w:cstheme="minorHAnsi"/>
        </w:rPr>
        <w:t>IS</w:t>
      </w:r>
      <w:r>
        <w:rPr>
          <w:rFonts w:cstheme="minorHAnsi"/>
          <w:b/>
        </w:rPr>
        <w:tab/>
      </w:r>
      <w:r>
        <w:rPr>
          <w:rFonts w:cstheme="minorHAnsi"/>
        </w:rPr>
        <w:t>informační systém</w:t>
      </w:r>
    </w:p>
    <w:p w14:paraId="1A9708CA" w14:textId="77777777" w:rsidR="006D05E1" w:rsidRDefault="006D05E1" w:rsidP="006D05E1">
      <w:pPr>
        <w:tabs>
          <w:tab w:val="left" w:pos="1985"/>
        </w:tabs>
        <w:spacing w:before="80"/>
        <w:ind w:left="1985" w:hanging="1930"/>
        <w:rPr>
          <w:rFonts w:cstheme="minorHAnsi"/>
        </w:rPr>
      </w:pPr>
      <w:r>
        <w:rPr>
          <w:rFonts w:cstheme="minorHAnsi"/>
        </w:rPr>
        <w:t>IT</w:t>
      </w:r>
      <w:r>
        <w:rPr>
          <w:rFonts w:cstheme="minorHAnsi"/>
        </w:rPr>
        <w:tab/>
        <w:t>informační technologie</w:t>
      </w:r>
    </w:p>
    <w:p w14:paraId="2F38E6A1" w14:textId="77777777" w:rsidR="006D05E1" w:rsidRDefault="006D05E1" w:rsidP="006D05E1">
      <w:pPr>
        <w:pStyle w:val="Zkladn"/>
        <w:tabs>
          <w:tab w:val="left" w:pos="1985"/>
        </w:tabs>
        <w:spacing w:before="80"/>
        <w:ind w:left="1985" w:hanging="1930"/>
        <w:jc w:val="left"/>
        <w:rPr>
          <w:rFonts w:cstheme="minorHAnsi"/>
        </w:rPr>
      </w:pPr>
      <w:r>
        <w:rPr>
          <w:rFonts w:cstheme="minorHAnsi"/>
        </w:rPr>
        <w:t>KFA</w:t>
      </w:r>
      <w:r>
        <w:rPr>
          <w:rFonts w:cstheme="minorHAnsi"/>
        </w:rPr>
        <w:tab/>
        <w:t>Kancelář finančního arbitra</w:t>
      </w:r>
    </w:p>
    <w:p w14:paraId="34F47FA3" w14:textId="77777777" w:rsidR="006D05E1" w:rsidRDefault="006D05E1" w:rsidP="006D05E1">
      <w:pPr>
        <w:pStyle w:val="Zkladn"/>
        <w:tabs>
          <w:tab w:val="left" w:pos="1985"/>
        </w:tabs>
        <w:spacing w:before="80"/>
        <w:ind w:left="1985" w:hanging="1930"/>
        <w:jc w:val="left"/>
        <w:rPr>
          <w:rFonts w:cstheme="minorHAnsi"/>
        </w:rPr>
      </w:pPr>
      <w:r>
        <w:rPr>
          <w:rFonts w:cstheme="minorHAnsi"/>
        </w:rPr>
        <w:t>KIVS</w:t>
      </w:r>
      <w:r>
        <w:rPr>
          <w:rFonts w:cstheme="minorHAnsi"/>
        </w:rPr>
        <w:tab/>
        <w:t>komunikační infrastruktura veřejné správy</w:t>
      </w:r>
    </w:p>
    <w:p w14:paraId="22D15F31" w14:textId="77777777" w:rsidR="006D05E1" w:rsidRDefault="006D05E1" w:rsidP="006D05E1">
      <w:pPr>
        <w:pStyle w:val="Zkladn"/>
        <w:tabs>
          <w:tab w:val="left" w:pos="1985"/>
        </w:tabs>
        <w:spacing w:before="80"/>
        <w:ind w:left="1985" w:hanging="1930"/>
        <w:jc w:val="left"/>
        <w:rPr>
          <w:rFonts w:cstheme="minorHAnsi"/>
        </w:rPr>
      </w:pPr>
      <w:r>
        <w:rPr>
          <w:rFonts w:cstheme="minorHAnsi"/>
        </w:rPr>
        <w:t>MF</w:t>
      </w:r>
      <w:r>
        <w:rPr>
          <w:rFonts w:eastAsia="NSimSun" w:cstheme="minorHAnsi"/>
          <w:b/>
          <w:kern w:val="2"/>
          <w:lang w:eastAsia="zh-CN" w:bidi="hi-IN"/>
        </w:rPr>
        <w:tab/>
      </w:r>
      <w:r>
        <w:rPr>
          <w:rFonts w:cstheme="minorHAnsi"/>
        </w:rPr>
        <w:t>Ministerstvo financí</w:t>
      </w:r>
    </w:p>
    <w:p w14:paraId="553D9F82" w14:textId="5A372B6B" w:rsidR="006D05E1" w:rsidRDefault="006D05E1" w:rsidP="006D05E1">
      <w:pPr>
        <w:tabs>
          <w:tab w:val="left" w:pos="1985"/>
          <w:tab w:val="left" w:pos="2410"/>
        </w:tabs>
        <w:spacing w:before="80"/>
        <w:ind w:left="1985" w:hanging="1930"/>
        <w:rPr>
          <w:rFonts w:cstheme="minorHAnsi"/>
        </w:rPr>
      </w:pPr>
      <w:r>
        <w:rPr>
          <w:rFonts w:cstheme="minorHAnsi"/>
        </w:rPr>
        <w:t>MONITOR</w:t>
      </w:r>
      <w:r>
        <w:rPr>
          <w:rFonts w:cstheme="minorHAnsi"/>
        </w:rPr>
        <w:tab/>
      </w:r>
      <w:r w:rsidR="004721ED">
        <w:rPr>
          <w:rFonts w:cstheme="minorHAnsi"/>
        </w:rPr>
        <w:t>s</w:t>
      </w:r>
      <w:r>
        <w:rPr>
          <w:rFonts w:cstheme="minorHAnsi"/>
        </w:rPr>
        <w:t>pecializovaný informační portál Ministerstva financí, který umožňuje veřejnosti volný přístup k rozpočtovým a účetním informacím ze všech úrovní státní správy a samosprávy</w:t>
      </w:r>
    </w:p>
    <w:p w14:paraId="1190C910" w14:textId="750415FE" w:rsidR="005E2A51" w:rsidRDefault="005E2A51" w:rsidP="006D05E1">
      <w:pPr>
        <w:tabs>
          <w:tab w:val="left" w:pos="1985"/>
        </w:tabs>
        <w:spacing w:before="80"/>
        <w:ind w:left="1985" w:hanging="1930"/>
        <w:rPr>
          <w:rFonts w:cstheme="minorHAnsi"/>
        </w:rPr>
      </w:pPr>
      <w:r>
        <w:rPr>
          <w:rFonts w:cstheme="minorHAnsi"/>
        </w:rPr>
        <w:t>MTZ</w:t>
      </w:r>
      <w:r>
        <w:rPr>
          <w:rFonts w:cstheme="minorHAnsi"/>
        </w:rPr>
        <w:tab/>
        <w:t>materiálně technické zabezpečení</w:t>
      </w:r>
    </w:p>
    <w:p w14:paraId="381D2DB8" w14:textId="4213D4E7" w:rsidR="006D05E1" w:rsidRDefault="006D05E1" w:rsidP="006D05E1">
      <w:pPr>
        <w:tabs>
          <w:tab w:val="left" w:pos="1985"/>
        </w:tabs>
        <w:spacing w:before="80"/>
        <w:ind w:left="1985" w:hanging="1930"/>
        <w:rPr>
          <w:rFonts w:cstheme="minorHAnsi"/>
        </w:rPr>
      </w:pPr>
      <w:r>
        <w:rPr>
          <w:rFonts w:cstheme="minorHAnsi"/>
        </w:rPr>
        <w:t>NKÚ</w:t>
      </w:r>
      <w:r>
        <w:rPr>
          <w:rFonts w:cstheme="minorHAnsi"/>
          <w:b/>
        </w:rPr>
        <w:tab/>
      </w:r>
      <w:r>
        <w:rPr>
          <w:rFonts w:cstheme="minorHAnsi"/>
        </w:rPr>
        <w:t>Nejvyšší kontrolní úřad</w:t>
      </w:r>
    </w:p>
    <w:p w14:paraId="0DDB79AA" w14:textId="11838503" w:rsidR="003328DD" w:rsidRDefault="003328DD" w:rsidP="00687FE7">
      <w:pPr>
        <w:widowControl w:val="0"/>
        <w:tabs>
          <w:tab w:val="left" w:pos="1985"/>
        </w:tabs>
        <w:spacing w:before="80"/>
        <w:ind w:left="1985" w:hanging="1930"/>
        <w:rPr>
          <w:rFonts w:cstheme="minorHAnsi"/>
        </w:rPr>
      </w:pPr>
      <w:r>
        <w:rPr>
          <w:rFonts w:cstheme="minorHAnsi"/>
        </w:rPr>
        <w:t>PIS</w:t>
      </w:r>
      <w:r>
        <w:rPr>
          <w:rFonts w:cstheme="minorHAnsi"/>
        </w:rPr>
        <w:tab/>
        <w:t>personální informační systém</w:t>
      </w:r>
    </w:p>
    <w:p w14:paraId="526FD079" w14:textId="277F83EE" w:rsidR="006D05E1" w:rsidRDefault="006D05E1" w:rsidP="00C250A4">
      <w:pPr>
        <w:pStyle w:val="Obsahtabulky"/>
        <w:widowControl w:val="0"/>
        <w:suppressLineNumbers w:val="0"/>
        <w:tabs>
          <w:tab w:val="left" w:pos="1985"/>
        </w:tabs>
        <w:spacing w:before="80"/>
        <w:ind w:left="1985" w:hanging="192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</w:t>
      </w:r>
      <w:r>
        <w:rPr>
          <w:rFonts w:asciiTheme="minorHAnsi" w:hAnsiTheme="minorHAnsi" w:cstheme="minorHAnsi"/>
        </w:rPr>
        <w:tab/>
        <w:t>publi</w:t>
      </w:r>
      <w:r w:rsidR="00045C1C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 xml:space="preserve"> relations </w:t>
      </w:r>
      <w:r w:rsidR="00687FE7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vztahy s</w:t>
      </w:r>
      <w:r w:rsidR="00687FE7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veřejností</w:t>
      </w:r>
      <w:r w:rsidR="00687FE7">
        <w:rPr>
          <w:rFonts w:asciiTheme="minorHAnsi" w:hAnsiTheme="minorHAnsi" w:cstheme="minorHAnsi"/>
        </w:rPr>
        <w:t>)</w:t>
      </w:r>
    </w:p>
    <w:p w14:paraId="269D89A0" w14:textId="61F5196D" w:rsidR="006D05E1" w:rsidRDefault="006D05E1" w:rsidP="00C250A4">
      <w:pPr>
        <w:pStyle w:val="Obsahtabulky"/>
        <w:widowControl w:val="0"/>
        <w:suppressLineNumbers w:val="0"/>
        <w:tabs>
          <w:tab w:val="left" w:pos="1985"/>
        </w:tabs>
        <w:spacing w:before="80"/>
        <w:ind w:left="1985" w:hanging="192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RTG </w:t>
      </w:r>
      <w:r w:rsidR="003328DD">
        <w:rPr>
          <w:rFonts w:asciiTheme="minorHAnsi" w:hAnsiTheme="minorHAnsi" w:cstheme="minorHAnsi"/>
        </w:rPr>
        <w:t>zařízení</w:t>
      </w:r>
      <w:r>
        <w:rPr>
          <w:rFonts w:asciiTheme="minorHAnsi" w:hAnsiTheme="minorHAnsi" w:cstheme="minorHAnsi"/>
        </w:rPr>
        <w:tab/>
        <w:t xml:space="preserve">rentgenové </w:t>
      </w:r>
      <w:r w:rsidR="003328DD">
        <w:rPr>
          <w:rFonts w:asciiTheme="minorHAnsi" w:hAnsiTheme="minorHAnsi" w:cstheme="minorHAnsi"/>
        </w:rPr>
        <w:t>zařízení</w:t>
      </w:r>
    </w:p>
    <w:p w14:paraId="04B58689" w14:textId="77777777" w:rsidR="006D05E1" w:rsidRDefault="006D05E1" w:rsidP="00C250A4">
      <w:pPr>
        <w:pStyle w:val="Obsahtabulky"/>
        <w:widowControl w:val="0"/>
        <w:suppressLineNumbers w:val="0"/>
        <w:tabs>
          <w:tab w:val="left" w:pos="1985"/>
        </w:tabs>
        <w:spacing w:before="80"/>
        <w:ind w:left="1985" w:hanging="192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SLA</w:t>
      </w:r>
      <w:r>
        <w:rPr>
          <w:rFonts w:asciiTheme="minorHAnsi" w:hAnsiTheme="minorHAnsi" w:cstheme="minorHAnsi"/>
          <w:b/>
        </w:rPr>
        <w:tab/>
      </w:r>
      <w:r w:rsidRPr="00C250A4">
        <w:rPr>
          <w:rFonts w:asciiTheme="minorHAnsi" w:hAnsiTheme="minorHAnsi" w:cstheme="minorHAnsi"/>
        </w:rPr>
        <w:t>service level agreement</w:t>
      </w:r>
      <w:r>
        <w:rPr>
          <w:rFonts w:asciiTheme="minorHAnsi" w:hAnsiTheme="minorHAnsi" w:cstheme="minorHAnsi"/>
        </w:rPr>
        <w:t xml:space="preserve"> (smlouva o úrovni poskytovaných služeb)</w:t>
      </w:r>
    </w:p>
    <w:p w14:paraId="42F6ED37" w14:textId="12DD4DE1" w:rsidR="006D05E1" w:rsidRDefault="006D05E1" w:rsidP="00C250A4">
      <w:pPr>
        <w:pStyle w:val="Obsahtabulky"/>
        <w:widowControl w:val="0"/>
        <w:suppressLineNumbers w:val="0"/>
        <w:tabs>
          <w:tab w:val="left" w:pos="1985"/>
        </w:tabs>
        <w:spacing w:before="80"/>
        <w:ind w:left="1985" w:hanging="192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SMVS</w:t>
      </w:r>
      <w:r>
        <w:rPr>
          <w:rFonts w:asciiTheme="minorHAnsi" w:hAnsiTheme="minorHAnsi" w:cstheme="minorHAnsi"/>
        </w:rPr>
        <w:tab/>
      </w:r>
      <w:r w:rsidR="00687FE7">
        <w:rPr>
          <w:rFonts w:asciiTheme="minorHAnsi" w:hAnsiTheme="minorHAnsi" w:cstheme="minorHAnsi"/>
        </w:rPr>
        <w:t xml:space="preserve">informační systém </w:t>
      </w:r>
      <w:r w:rsidR="00687FE7" w:rsidRPr="00C250A4">
        <w:rPr>
          <w:rFonts w:asciiTheme="minorHAnsi" w:hAnsiTheme="minorHAnsi" w:cstheme="minorHAnsi"/>
          <w:i/>
        </w:rPr>
        <w:t>S</w:t>
      </w:r>
      <w:r w:rsidRPr="00C250A4">
        <w:rPr>
          <w:rFonts w:asciiTheme="minorHAnsi" w:hAnsiTheme="minorHAnsi" w:cstheme="minorHAnsi"/>
          <w:i/>
        </w:rPr>
        <w:t>práva majetku ve vlastnictví státu</w:t>
      </w:r>
    </w:p>
    <w:p w14:paraId="15F740B5" w14:textId="77777777" w:rsidR="006D05E1" w:rsidRDefault="006D05E1" w:rsidP="00687FE7">
      <w:pPr>
        <w:widowControl w:val="0"/>
        <w:tabs>
          <w:tab w:val="left" w:pos="1985"/>
        </w:tabs>
        <w:spacing w:before="80"/>
        <w:ind w:left="1985" w:hanging="1930"/>
        <w:rPr>
          <w:rFonts w:cstheme="minorHAnsi"/>
        </w:rPr>
      </w:pPr>
      <w:r>
        <w:rPr>
          <w:rFonts w:cstheme="minorHAnsi"/>
        </w:rPr>
        <w:t>SW</w:t>
      </w:r>
      <w:r>
        <w:rPr>
          <w:rFonts w:cstheme="minorHAnsi"/>
          <w:b/>
        </w:rPr>
        <w:tab/>
      </w:r>
      <w:r>
        <w:rPr>
          <w:rFonts w:cstheme="minorHAnsi"/>
        </w:rPr>
        <w:t>software</w:t>
      </w:r>
    </w:p>
    <w:p w14:paraId="497A1E8B" w14:textId="06CCC105" w:rsidR="006D05E1" w:rsidRDefault="006D05E1" w:rsidP="006D05E1">
      <w:pPr>
        <w:pStyle w:val="Zkladn"/>
        <w:tabs>
          <w:tab w:val="left" w:pos="1985"/>
        </w:tabs>
        <w:spacing w:before="80"/>
        <w:ind w:left="1985" w:hanging="1930"/>
        <w:jc w:val="left"/>
        <w:rPr>
          <w:rFonts w:cstheme="minorHAnsi"/>
        </w:rPr>
      </w:pPr>
      <w:r>
        <w:rPr>
          <w:rFonts w:cstheme="minorHAnsi"/>
        </w:rPr>
        <w:t>VS</w:t>
      </w:r>
      <w:r>
        <w:rPr>
          <w:rFonts w:cstheme="minorHAnsi"/>
          <w:b/>
        </w:rPr>
        <w:tab/>
      </w:r>
      <w:r>
        <w:rPr>
          <w:rFonts w:cstheme="minorHAnsi"/>
        </w:rPr>
        <w:t>výpočetní středisko</w:t>
      </w:r>
    </w:p>
    <w:p w14:paraId="78159BC1" w14:textId="77777777" w:rsidR="00687FE7" w:rsidRDefault="00687FE7" w:rsidP="006D05E1">
      <w:pPr>
        <w:pStyle w:val="Zkladn"/>
        <w:tabs>
          <w:tab w:val="left" w:pos="1985"/>
        </w:tabs>
        <w:spacing w:before="80"/>
        <w:ind w:left="1985" w:hanging="1930"/>
        <w:jc w:val="left"/>
        <w:rPr>
          <w:rFonts w:cstheme="minorHAnsi"/>
        </w:rPr>
      </w:pPr>
    </w:p>
    <w:p w14:paraId="38946738" w14:textId="77777777" w:rsidR="003328DD" w:rsidRDefault="003328DD">
      <w:pPr>
        <w:spacing w:after="160" w:line="259" w:lineRule="auto"/>
        <w:jc w:val="left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br w:type="page"/>
      </w:r>
    </w:p>
    <w:p w14:paraId="213E5919" w14:textId="380F2893" w:rsidR="00581BFB" w:rsidRPr="00D17F3C" w:rsidRDefault="00581BFB" w:rsidP="00581BFB">
      <w:pPr>
        <w:jc w:val="right"/>
        <w:rPr>
          <w:rFonts w:cstheme="minorHAnsi"/>
          <w:b/>
        </w:rPr>
      </w:pPr>
      <w:r w:rsidRPr="00D17F3C">
        <w:rPr>
          <w:rFonts w:cstheme="minorHAnsi"/>
          <w:b/>
        </w:rPr>
        <w:lastRenderedPageBreak/>
        <w:t>Příloha č. 1</w:t>
      </w:r>
    </w:p>
    <w:p w14:paraId="697CCCF2" w14:textId="77777777" w:rsidR="00581BFB" w:rsidRDefault="00581BFB" w:rsidP="00581BFB">
      <w:pPr>
        <w:rPr>
          <w:rFonts w:cstheme="minorHAnsi"/>
          <w:sz w:val="22"/>
          <w:szCs w:val="22"/>
        </w:rPr>
      </w:pPr>
    </w:p>
    <w:p w14:paraId="3C7FE7EC" w14:textId="70052B21" w:rsidR="00581BFB" w:rsidRPr="00C66E41" w:rsidRDefault="00581BFB" w:rsidP="00687FE7">
      <w:pPr>
        <w:ind w:left="1276" w:hanging="1276"/>
        <w:rPr>
          <w:rFonts w:cstheme="minorHAnsi"/>
        </w:rPr>
      </w:pPr>
      <w:r w:rsidRPr="00C66E41">
        <w:rPr>
          <w:rFonts w:cstheme="minorHAnsi"/>
        </w:rPr>
        <w:t xml:space="preserve">Tabulka č. 1: </w:t>
      </w:r>
      <w:r w:rsidR="00687FE7">
        <w:rPr>
          <w:rFonts w:cstheme="minorHAnsi"/>
        </w:rPr>
        <w:tab/>
      </w:r>
      <w:r w:rsidRPr="00C66E41">
        <w:rPr>
          <w:rFonts w:cstheme="minorHAnsi"/>
        </w:rPr>
        <w:t xml:space="preserve">Přehled akcí podprogramu </w:t>
      </w:r>
      <w:r w:rsidRPr="00C66E41">
        <w:rPr>
          <w:rFonts w:cstheme="minorHAnsi"/>
          <w:bCs/>
        </w:rPr>
        <w:t>112V011 bez stanoveného parametru programu, resp.</w:t>
      </w:r>
      <w:r w:rsidR="00C66E41">
        <w:rPr>
          <w:rFonts w:cstheme="minorHAnsi"/>
          <w:bCs/>
        </w:rPr>
        <w:t> </w:t>
      </w:r>
      <w:r w:rsidRPr="00C66E41">
        <w:rPr>
          <w:rFonts w:cstheme="minorHAnsi"/>
          <w:bCs/>
        </w:rPr>
        <w:t>podprogramu</w:t>
      </w:r>
    </w:p>
    <w:tbl>
      <w:tblPr>
        <w:tblStyle w:val="Mkatabulky4"/>
        <w:tblW w:w="5000" w:type="pct"/>
        <w:tblLook w:val="04A0" w:firstRow="1" w:lastRow="0" w:firstColumn="1" w:lastColumn="0" w:noHBand="0" w:noVBand="1"/>
      </w:tblPr>
      <w:tblGrid>
        <w:gridCol w:w="1696"/>
        <w:gridCol w:w="5245"/>
        <w:gridCol w:w="2121"/>
      </w:tblGrid>
      <w:tr w:rsidR="00581BFB" w:rsidRPr="00D754EB" w14:paraId="15293AC7" w14:textId="77777777" w:rsidTr="00C250A4">
        <w:tc>
          <w:tcPr>
            <w:tcW w:w="936" w:type="pct"/>
            <w:shd w:val="clear" w:color="auto" w:fill="E5F1FF"/>
            <w:vAlign w:val="center"/>
          </w:tcPr>
          <w:p w14:paraId="11F11A8F" w14:textId="77777777" w:rsidR="00581BFB" w:rsidRPr="00C250A4" w:rsidRDefault="00581BFB" w:rsidP="00581BFB">
            <w:pPr>
              <w:jc w:val="center"/>
              <w:rPr>
                <w:b/>
                <w:sz w:val="22"/>
                <w:szCs w:val="22"/>
              </w:rPr>
            </w:pPr>
            <w:r w:rsidRPr="00C250A4">
              <w:rPr>
                <w:b/>
                <w:sz w:val="22"/>
                <w:szCs w:val="22"/>
              </w:rPr>
              <w:t>Číslo akce</w:t>
            </w:r>
          </w:p>
        </w:tc>
        <w:tc>
          <w:tcPr>
            <w:tcW w:w="2894" w:type="pct"/>
            <w:shd w:val="clear" w:color="auto" w:fill="E5F1FF"/>
            <w:vAlign w:val="center"/>
          </w:tcPr>
          <w:p w14:paraId="6994A0E9" w14:textId="77777777" w:rsidR="00581BFB" w:rsidRPr="00C250A4" w:rsidRDefault="00581BFB" w:rsidP="00581BFB">
            <w:pPr>
              <w:jc w:val="center"/>
              <w:rPr>
                <w:b/>
                <w:sz w:val="22"/>
                <w:szCs w:val="22"/>
              </w:rPr>
            </w:pPr>
            <w:r w:rsidRPr="00C250A4">
              <w:rPr>
                <w:b/>
                <w:sz w:val="22"/>
                <w:szCs w:val="22"/>
              </w:rPr>
              <w:t>Název akce</w:t>
            </w:r>
          </w:p>
        </w:tc>
        <w:tc>
          <w:tcPr>
            <w:tcW w:w="1170" w:type="pct"/>
            <w:shd w:val="clear" w:color="auto" w:fill="E5F1FF"/>
            <w:vAlign w:val="center"/>
          </w:tcPr>
          <w:p w14:paraId="05EDF6FF" w14:textId="77777777" w:rsidR="00581BFB" w:rsidRPr="00C250A4" w:rsidRDefault="00581BFB" w:rsidP="00581BFB">
            <w:pPr>
              <w:jc w:val="center"/>
              <w:rPr>
                <w:b/>
                <w:sz w:val="22"/>
                <w:szCs w:val="22"/>
              </w:rPr>
            </w:pPr>
            <w:r w:rsidRPr="00C250A4">
              <w:rPr>
                <w:b/>
                <w:sz w:val="22"/>
                <w:szCs w:val="22"/>
              </w:rPr>
              <w:t>Skutečnost projektu (souhrn zdrojů celkem) v Kč</w:t>
            </w:r>
          </w:p>
        </w:tc>
      </w:tr>
      <w:tr w:rsidR="00581BFB" w:rsidRPr="00D754EB" w14:paraId="315619B2" w14:textId="77777777" w:rsidTr="00581BFB">
        <w:tc>
          <w:tcPr>
            <w:tcW w:w="936" w:type="pct"/>
            <w:vAlign w:val="center"/>
          </w:tcPr>
          <w:p w14:paraId="69C0A93A" w14:textId="77777777" w:rsidR="00581BFB" w:rsidRPr="00D754EB" w:rsidRDefault="00581BFB" w:rsidP="00581BFB">
            <w:pPr>
              <w:rPr>
                <w:sz w:val="22"/>
                <w:szCs w:val="22"/>
              </w:rPr>
            </w:pPr>
            <w:r w:rsidRPr="00D754EB">
              <w:rPr>
                <w:sz w:val="22"/>
                <w:szCs w:val="22"/>
              </w:rPr>
              <w:t>112V011001002</w:t>
            </w:r>
          </w:p>
        </w:tc>
        <w:tc>
          <w:tcPr>
            <w:tcW w:w="2894" w:type="pct"/>
          </w:tcPr>
          <w:p w14:paraId="1F28F41C" w14:textId="77777777" w:rsidR="00581BFB" w:rsidRPr="00D754EB" w:rsidRDefault="00581BFB" w:rsidP="00581BFB">
            <w:pPr>
              <w:rPr>
                <w:sz w:val="22"/>
                <w:szCs w:val="22"/>
              </w:rPr>
            </w:pPr>
            <w:r w:rsidRPr="00D754EB">
              <w:rPr>
                <w:sz w:val="22"/>
                <w:szCs w:val="22"/>
              </w:rPr>
              <w:t>Krizové pracoviště MF</w:t>
            </w:r>
          </w:p>
        </w:tc>
        <w:tc>
          <w:tcPr>
            <w:tcW w:w="1170" w:type="pct"/>
            <w:vAlign w:val="center"/>
          </w:tcPr>
          <w:p w14:paraId="01298814" w14:textId="77777777" w:rsidR="00581BFB" w:rsidRPr="00D754EB" w:rsidRDefault="00581BFB" w:rsidP="00581BFB">
            <w:pPr>
              <w:jc w:val="right"/>
              <w:rPr>
                <w:sz w:val="22"/>
                <w:szCs w:val="22"/>
              </w:rPr>
            </w:pPr>
            <w:r w:rsidRPr="00D754EB">
              <w:rPr>
                <w:sz w:val="22"/>
                <w:szCs w:val="22"/>
              </w:rPr>
              <w:t>192 200</w:t>
            </w:r>
          </w:p>
        </w:tc>
      </w:tr>
      <w:tr w:rsidR="00581BFB" w:rsidRPr="00D754EB" w14:paraId="5590BCCD" w14:textId="77777777" w:rsidTr="00581BFB">
        <w:tc>
          <w:tcPr>
            <w:tcW w:w="936" w:type="pct"/>
            <w:vAlign w:val="center"/>
          </w:tcPr>
          <w:p w14:paraId="4F247E82" w14:textId="77777777" w:rsidR="00581BFB" w:rsidRPr="00D754EB" w:rsidRDefault="00581BFB" w:rsidP="00581BFB">
            <w:pPr>
              <w:rPr>
                <w:sz w:val="22"/>
                <w:szCs w:val="22"/>
              </w:rPr>
            </w:pPr>
            <w:r w:rsidRPr="00D754EB">
              <w:rPr>
                <w:sz w:val="22"/>
                <w:szCs w:val="22"/>
              </w:rPr>
              <w:t>112V011002004</w:t>
            </w:r>
          </w:p>
        </w:tc>
        <w:tc>
          <w:tcPr>
            <w:tcW w:w="2894" w:type="pct"/>
          </w:tcPr>
          <w:p w14:paraId="46161316" w14:textId="77777777" w:rsidR="00581BFB" w:rsidRPr="00D754EB" w:rsidRDefault="00581BFB" w:rsidP="00581BFB">
            <w:pPr>
              <w:rPr>
                <w:sz w:val="22"/>
                <w:szCs w:val="22"/>
              </w:rPr>
            </w:pPr>
            <w:r w:rsidRPr="00D754EB">
              <w:rPr>
                <w:sz w:val="22"/>
                <w:szCs w:val="22"/>
              </w:rPr>
              <w:t>ICT – Telekomunikace MF</w:t>
            </w:r>
          </w:p>
        </w:tc>
        <w:tc>
          <w:tcPr>
            <w:tcW w:w="1170" w:type="pct"/>
            <w:vAlign w:val="center"/>
          </w:tcPr>
          <w:p w14:paraId="57E70AA8" w14:textId="73264FC0" w:rsidR="00581BFB" w:rsidRPr="00D754EB" w:rsidRDefault="00581BFB" w:rsidP="00581BFB">
            <w:pPr>
              <w:jc w:val="right"/>
              <w:rPr>
                <w:sz w:val="22"/>
                <w:szCs w:val="22"/>
              </w:rPr>
            </w:pPr>
            <w:r w:rsidRPr="00D754EB">
              <w:rPr>
                <w:sz w:val="22"/>
                <w:szCs w:val="22"/>
              </w:rPr>
              <w:t>63 896 051</w:t>
            </w:r>
          </w:p>
        </w:tc>
      </w:tr>
      <w:tr w:rsidR="00581BFB" w:rsidRPr="00D754EB" w14:paraId="05DFADEA" w14:textId="77777777" w:rsidTr="00581BFB">
        <w:tc>
          <w:tcPr>
            <w:tcW w:w="936" w:type="pct"/>
            <w:vAlign w:val="center"/>
          </w:tcPr>
          <w:p w14:paraId="2CA7E249" w14:textId="77777777" w:rsidR="00581BFB" w:rsidRPr="00D754EB" w:rsidRDefault="00581BFB" w:rsidP="00581BFB">
            <w:pPr>
              <w:rPr>
                <w:sz w:val="22"/>
                <w:szCs w:val="22"/>
              </w:rPr>
            </w:pPr>
            <w:r w:rsidRPr="00D754EB">
              <w:rPr>
                <w:sz w:val="22"/>
                <w:szCs w:val="22"/>
              </w:rPr>
              <w:t>112V011002007</w:t>
            </w:r>
          </w:p>
        </w:tc>
        <w:tc>
          <w:tcPr>
            <w:tcW w:w="2894" w:type="pct"/>
          </w:tcPr>
          <w:p w14:paraId="3FA0CDE1" w14:textId="77777777" w:rsidR="00581BFB" w:rsidRPr="00D754EB" w:rsidRDefault="00581BFB" w:rsidP="00581BFB">
            <w:pPr>
              <w:rPr>
                <w:sz w:val="22"/>
                <w:szCs w:val="22"/>
              </w:rPr>
            </w:pPr>
            <w:r w:rsidRPr="00D754EB">
              <w:rPr>
                <w:sz w:val="22"/>
                <w:szCs w:val="22"/>
              </w:rPr>
              <w:t>ČTK – Zpravodajský servis</w:t>
            </w:r>
          </w:p>
        </w:tc>
        <w:tc>
          <w:tcPr>
            <w:tcW w:w="1170" w:type="pct"/>
            <w:vAlign w:val="center"/>
          </w:tcPr>
          <w:p w14:paraId="170715E5" w14:textId="1FCE791B" w:rsidR="00581BFB" w:rsidRPr="00D754EB" w:rsidRDefault="00581BFB" w:rsidP="00581BFB">
            <w:pPr>
              <w:jc w:val="right"/>
              <w:rPr>
                <w:sz w:val="22"/>
                <w:szCs w:val="22"/>
              </w:rPr>
            </w:pPr>
            <w:r w:rsidRPr="00D754EB">
              <w:rPr>
                <w:sz w:val="22"/>
                <w:szCs w:val="22"/>
              </w:rPr>
              <w:t>5 550 445</w:t>
            </w:r>
          </w:p>
        </w:tc>
      </w:tr>
      <w:tr w:rsidR="00581BFB" w:rsidRPr="00D754EB" w14:paraId="5391C6C3" w14:textId="77777777" w:rsidTr="00581BFB">
        <w:tc>
          <w:tcPr>
            <w:tcW w:w="936" w:type="pct"/>
            <w:vAlign w:val="center"/>
          </w:tcPr>
          <w:p w14:paraId="711F9490" w14:textId="77777777" w:rsidR="00581BFB" w:rsidRPr="00D754EB" w:rsidRDefault="00581BFB" w:rsidP="00581BFB">
            <w:pPr>
              <w:rPr>
                <w:sz w:val="22"/>
                <w:szCs w:val="22"/>
              </w:rPr>
            </w:pPr>
            <w:r w:rsidRPr="00D754EB">
              <w:rPr>
                <w:sz w:val="22"/>
                <w:szCs w:val="22"/>
              </w:rPr>
              <w:t>112V011002023</w:t>
            </w:r>
          </w:p>
        </w:tc>
        <w:tc>
          <w:tcPr>
            <w:tcW w:w="2894" w:type="pct"/>
          </w:tcPr>
          <w:p w14:paraId="63935F1B" w14:textId="77777777" w:rsidR="00581BFB" w:rsidRPr="00D754EB" w:rsidRDefault="00581BFB" w:rsidP="00581BFB">
            <w:pPr>
              <w:rPr>
                <w:sz w:val="22"/>
                <w:szCs w:val="22"/>
              </w:rPr>
            </w:pPr>
            <w:r w:rsidRPr="00D754EB">
              <w:rPr>
                <w:sz w:val="22"/>
                <w:szCs w:val="22"/>
              </w:rPr>
              <w:t>Pořízení a obnova serverů a SAN technologií</w:t>
            </w:r>
          </w:p>
        </w:tc>
        <w:tc>
          <w:tcPr>
            <w:tcW w:w="1170" w:type="pct"/>
            <w:vAlign w:val="center"/>
          </w:tcPr>
          <w:p w14:paraId="27B48652" w14:textId="77777777" w:rsidR="00581BFB" w:rsidRPr="00D754EB" w:rsidRDefault="00581BFB" w:rsidP="00581BFB">
            <w:pPr>
              <w:jc w:val="right"/>
              <w:rPr>
                <w:sz w:val="22"/>
                <w:szCs w:val="22"/>
              </w:rPr>
            </w:pPr>
            <w:r w:rsidRPr="00D754EB">
              <w:rPr>
                <w:sz w:val="22"/>
                <w:szCs w:val="22"/>
              </w:rPr>
              <w:t>20 130 275</w:t>
            </w:r>
          </w:p>
        </w:tc>
      </w:tr>
      <w:tr w:rsidR="00581BFB" w:rsidRPr="00D754EB" w14:paraId="613E3DA2" w14:textId="77777777" w:rsidTr="00581BFB">
        <w:tc>
          <w:tcPr>
            <w:tcW w:w="936" w:type="pct"/>
            <w:vAlign w:val="center"/>
          </w:tcPr>
          <w:p w14:paraId="1A8311EA" w14:textId="77777777" w:rsidR="00581BFB" w:rsidRPr="00D754EB" w:rsidRDefault="00581BFB" w:rsidP="00581BFB">
            <w:pPr>
              <w:rPr>
                <w:sz w:val="22"/>
                <w:szCs w:val="22"/>
              </w:rPr>
            </w:pPr>
            <w:r w:rsidRPr="00D754EB">
              <w:rPr>
                <w:sz w:val="22"/>
                <w:szCs w:val="22"/>
              </w:rPr>
              <w:t>112V011002027</w:t>
            </w:r>
          </w:p>
        </w:tc>
        <w:tc>
          <w:tcPr>
            <w:tcW w:w="2894" w:type="pct"/>
          </w:tcPr>
          <w:p w14:paraId="31530724" w14:textId="77777777" w:rsidR="00581BFB" w:rsidRPr="00D754EB" w:rsidRDefault="00581BFB" w:rsidP="00581BFB">
            <w:pPr>
              <w:rPr>
                <w:sz w:val="22"/>
                <w:szCs w:val="22"/>
              </w:rPr>
            </w:pPr>
            <w:r w:rsidRPr="00D754EB">
              <w:rPr>
                <w:sz w:val="22"/>
                <w:szCs w:val="22"/>
              </w:rPr>
              <w:t>Vybavení zasedacích místností projekční technikou</w:t>
            </w:r>
          </w:p>
        </w:tc>
        <w:tc>
          <w:tcPr>
            <w:tcW w:w="1170" w:type="pct"/>
            <w:vAlign w:val="center"/>
          </w:tcPr>
          <w:p w14:paraId="5945AE58" w14:textId="77777777" w:rsidR="00581BFB" w:rsidRPr="00D754EB" w:rsidRDefault="00581BFB" w:rsidP="00581BFB">
            <w:pPr>
              <w:jc w:val="right"/>
              <w:rPr>
                <w:sz w:val="22"/>
                <w:szCs w:val="22"/>
              </w:rPr>
            </w:pPr>
            <w:r w:rsidRPr="00D754EB">
              <w:rPr>
                <w:sz w:val="22"/>
                <w:szCs w:val="22"/>
              </w:rPr>
              <w:t>1 458 612</w:t>
            </w:r>
          </w:p>
        </w:tc>
      </w:tr>
      <w:tr w:rsidR="00581BFB" w:rsidRPr="00D754EB" w14:paraId="18FA49FF" w14:textId="77777777" w:rsidTr="00581BFB">
        <w:tc>
          <w:tcPr>
            <w:tcW w:w="936" w:type="pct"/>
            <w:vAlign w:val="center"/>
          </w:tcPr>
          <w:p w14:paraId="2BCF5DA0" w14:textId="77777777" w:rsidR="00581BFB" w:rsidRPr="00D754EB" w:rsidRDefault="00581BFB" w:rsidP="00581BFB">
            <w:pPr>
              <w:rPr>
                <w:sz w:val="22"/>
                <w:szCs w:val="22"/>
              </w:rPr>
            </w:pPr>
            <w:r w:rsidRPr="00D754EB">
              <w:rPr>
                <w:sz w:val="22"/>
                <w:szCs w:val="22"/>
              </w:rPr>
              <w:t>112V011002031</w:t>
            </w:r>
          </w:p>
        </w:tc>
        <w:tc>
          <w:tcPr>
            <w:tcW w:w="2894" w:type="pct"/>
          </w:tcPr>
          <w:p w14:paraId="4D477A92" w14:textId="77777777" w:rsidR="00581BFB" w:rsidRPr="00D754EB" w:rsidRDefault="00581BFB" w:rsidP="00581BFB">
            <w:pPr>
              <w:rPr>
                <w:sz w:val="22"/>
                <w:szCs w:val="22"/>
              </w:rPr>
            </w:pPr>
            <w:r w:rsidRPr="00D754EB">
              <w:rPr>
                <w:sz w:val="22"/>
                <w:szCs w:val="22"/>
              </w:rPr>
              <w:t>Komplexní řešení hlasových služeb resortu Ministerstva financí (KŘHS)</w:t>
            </w:r>
          </w:p>
        </w:tc>
        <w:tc>
          <w:tcPr>
            <w:tcW w:w="1170" w:type="pct"/>
            <w:vAlign w:val="center"/>
          </w:tcPr>
          <w:p w14:paraId="4A361CC3" w14:textId="77777777" w:rsidR="00581BFB" w:rsidRPr="00D754EB" w:rsidRDefault="00581BFB" w:rsidP="00581BFB">
            <w:pPr>
              <w:jc w:val="right"/>
              <w:rPr>
                <w:sz w:val="22"/>
                <w:szCs w:val="22"/>
              </w:rPr>
            </w:pPr>
            <w:r w:rsidRPr="00D754EB">
              <w:rPr>
                <w:sz w:val="22"/>
                <w:szCs w:val="22"/>
              </w:rPr>
              <w:t>11 783 000</w:t>
            </w:r>
          </w:p>
        </w:tc>
      </w:tr>
      <w:tr w:rsidR="00581BFB" w:rsidRPr="00D754EB" w14:paraId="19788579" w14:textId="77777777" w:rsidTr="00581BFB">
        <w:tc>
          <w:tcPr>
            <w:tcW w:w="936" w:type="pct"/>
            <w:vAlign w:val="center"/>
          </w:tcPr>
          <w:p w14:paraId="54F5775B" w14:textId="77777777" w:rsidR="00581BFB" w:rsidRPr="00D754EB" w:rsidRDefault="00581BFB" w:rsidP="00581BFB">
            <w:pPr>
              <w:rPr>
                <w:sz w:val="22"/>
                <w:szCs w:val="22"/>
              </w:rPr>
            </w:pPr>
            <w:r w:rsidRPr="00D754EB">
              <w:rPr>
                <w:sz w:val="22"/>
                <w:szCs w:val="22"/>
              </w:rPr>
              <w:t>112V011002034</w:t>
            </w:r>
          </w:p>
        </w:tc>
        <w:tc>
          <w:tcPr>
            <w:tcW w:w="2894" w:type="pct"/>
          </w:tcPr>
          <w:p w14:paraId="67F0AEFB" w14:textId="77777777" w:rsidR="00581BFB" w:rsidRPr="00D754EB" w:rsidRDefault="00581BFB" w:rsidP="00C250A4">
            <w:pPr>
              <w:jc w:val="left"/>
              <w:rPr>
                <w:sz w:val="22"/>
                <w:szCs w:val="22"/>
              </w:rPr>
            </w:pPr>
            <w:r w:rsidRPr="00D754EB">
              <w:rPr>
                <w:sz w:val="22"/>
                <w:szCs w:val="22"/>
              </w:rPr>
              <w:t>Vybavení zasedacích místností audiokonferenční technikou</w:t>
            </w:r>
          </w:p>
        </w:tc>
        <w:tc>
          <w:tcPr>
            <w:tcW w:w="1170" w:type="pct"/>
            <w:vAlign w:val="center"/>
          </w:tcPr>
          <w:p w14:paraId="1775B39E" w14:textId="77777777" w:rsidR="00581BFB" w:rsidRPr="00D754EB" w:rsidRDefault="00581BFB" w:rsidP="00581BFB">
            <w:pPr>
              <w:jc w:val="right"/>
              <w:rPr>
                <w:sz w:val="22"/>
                <w:szCs w:val="22"/>
              </w:rPr>
            </w:pPr>
            <w:r w:rsidRPr="00D754EB">
              <w:rPr>
                <w:sz w:val="22"/>
                <w:szCs w:val="22"/>
              </w:rPr>
              <w:t>0</w:t>
            </w:r>
          </w:p>
        </w:tc>
      </w:tr>
      <w:tr w:rsidR="00581BFB" w:rsidRPr="00D754EB" w14:paraId="03988B55" w14:textId="77777777" w:rsidTr="00581BFB">
        <w:tc>
          <w:tcPr>
            <w:tcW w:w="936" w:type="pct"/>
            <w:vAlign w:val="center"/>
          </w:tcPr>
          <w:p w14:paraId="3FA53AF7" w14:textId="77777777" w:rsidR="00581BFB" w:rsidRPr="00D754EB" w:rsidRDefault="00581BFB" w:rsidP="00581BFB">
            <w:pPr>
              <w:rPr>
                <w:sz w:val="22"/>
                <w:szCs w:val="22"/>
              </w:rPr>
            </w:pPr>
            <w:r w:rsidRPr="00D754EB">
              <w:rPr>
                <w:sz w:val="22"/>
                <w:szCs w:val="22"/>
              </w:rPr>
              <w:t>112V011002041</w:t>
            </w:r>
          </w:p>
        </w:tc>
        <w:tc>
          <w:tcPr>
            <w:tcW w:w="2894" w:type="pct"/>
          </w:tcPr>
          <w:p w14:paraId="40D3DE90" w14:textId="77777777" w:rsidR="00581BFB" w:rsidRPr="00D754EB" w:rsidRDefault="00581BFB" w:rsidP="00581BFB">
            <w:pPr>
              <w:rPr>
                <w:sz w:val="22"/>
                <w:szCs w:val="22"/>
              </w:rPr>
            </w:pPr>
            <w:r w:rsidRPr="00D754EB">
              <w:rPr>
                <w:sz w:val="22"/>
                <w:szCs w:val="22"/>
              </w:rPr>
              <w:t>DMS pro resort MF – analýza a studie proveditelnosti</w:t>
            </w:r>
          </w:p>
        </w:tc>
        <w:tc>
          <w:tcPr>
            <w:tcW w:w="1170" w:type="pct"/>
            <w:vAlign w:val="center"/>
          </w:tcPr>
          <w:p w14:paraId="1B0E0312" w14:textId="680679D9" w:rsidR="00581BFB" w:rsidRPr="00D754EB" w:rsidRDefault="00581BFB" w:rsidP="00581BFB">
            <w:pPr>
              <w:jc w:val="right"/>
              <w:rPr>
                <w:sz w:val="22"/>
                <w:szCs w:val="22"/>
              </w:rPr>
            </w:pPr>
            <w:r w:rsidRPr="00D754EB">
              <w:rPr>
                <w:sz w:val="22"/>
                <w:szCs w:val="22"/>
              </w:rPr>
              <w:t>2 681 5</w:t>
            </w:r>
            <w:r w:rsidR="00007790">
              <w:rPr>
                <w:sz w:val="22"/>
                <w:szCs w:val="22"/>
              </w:rPr>
              <w:t>20</w:t>
            </w:r>
          </w:p>
        </w:tc>
      </w:tr>
      <w:tr w:rsidR="00581BFB" w:rsidRPr="00D754EB" w14:paraId="5E9FAA71" w14:textId="77777777" w:rsidTr="00581BFB">
        <w:tc>
          <w:tcPr>
            <w:tcW w:w="936" w:type="pct"/>
            <w:vAlign w:val="center"/>
          </w:tcPr>
          <w:p w14:paraId="0E25DB6D" w14:textId="77777777" w:rsidR="00581BFB" w:rsidRPr="00D754EB" w:rsidRDefault="00581BFB" w:rsidP="00581BFB">
            <w:pPr>
              <w:rPr>
                <w:sz w:val="22"/>
                <w:szCs w:val="22"/>
              </w:rPr>
            </w:pPr>
            <w:r w:rsidRPr="00D754EB">
              <w:rPr>
                <w:sz w:val="22"/>
                <w:szCs w:val="22"/>
              </w:rPr>
              <w:t>112V011002045</w:t>
            </w:r>
          </w:p>
        </w:tc>
        <w:tc>
          <w:tcPr>
            <w:tcW w:w="2894" w:type="pct"/>
          </w:tcPr>
          <w:p w14:paraId="5D5FAA21" w14:textId="77777777" w:rsidR="00581BFB" w:rsidRPr="00D754EB" w:rsidRDefault="00581BFB" w:rsidP="00581BFB">
            <w:pPr>
              <w:rPr>
                <w:sz w:val="22"/>
                <w:szCs w:val="22"/>
              </w:rPr>
            </w:pPr>
            <w:r w:rsidRPr="00D754EB">
              <w:rPr>
                <w:sz w:val="22"/>
                <w:szCs w:val="22"/>
              </w:rPr>
              <w:t>ICT – budova Janovského (GSA)</w:t>
            </w:r>
          </w:p>
        </w:tc>
        <w:tc>
          <w:tcPr>
            <w:tcW w:w="1170" w:type="pct"/>
            <w:vAlign w:val="center"/>
          </w:tcPr>
          <w:p w14:paraId="3A0EA368" w14:textId="13C046A8" w:rsidR="00581BFB" w:rsidRPr="00D754EB" w:rsidRDefault="00581BFB" w:rsidP="00581BFB">
            <w:pPr>
              <w:jc w:val="right"/>
              <w:rPr>
                <w:sz w:val="22"/>
                <w:szCs w:val="22"/>
              </w:rPr>
            </w:pPr>
            <w:r w:rsidRPr="00D754EB">
              <w:rPr>
                <w:sz w:val="22"/>
                <w:szCs w:val="22"/>
              </w:rPr>
              <w:t>1 557 4</w:t>
            </w:r>
            <w:r w:rsidR="00253701">
              <w:rPr>
                <w:sz w:val="22"/>
                <w:szCs w:val="22"/>
              </w:rPr>
              <w:t>50</w:t>
            </w:r>
          </w:p>
        </w:tc>
      </w:tr>
      <w:tr w:rsidR="00581BFB" w:rsidRPr="00D754EB" w14:paraId="7A203752" w14:textId="77777777" w:rsidTr="00581BFB">
        <w:tc>
          <w:tcPr>
            <w:tcW w:w="936" w:type="pct"/>
            <w:vAlign w:val="center"/>
          </w:tcPr>
          <w:p w14:paraId="2E5A8CD7" w14:textId="77777777" w:rsidR="00581BFB" w:rsidRPr="00D754EB" w:rsidRDefault="00581BFB" w:rsidP="00581BFB">
            <w:pPr>
              <w:rPr>
                <w:sz w:val="22"/>
                <w:szCs w:val="22"/>
              </w:rPr>
            </w:pPr>
            <w:r w:rsidRPr="00D754EB">
              <w:rPr>
                <w:sz w:val="22"/>
                <w:szCs w:val="22"/>
              </w:rPr>
              <w:t>112V011002046</w:t>
            </w:r>
          </w:p>
        </w:tc>
        <w:tc>
          <w:tcPr>
            <w:tcW w:w="2894" w:type="pct"/>
          </w:tcPr>
          <w:p w14:paraId="62D9DB23" w14:textId="77777777" w:rsidR="00581BFB" w:rsidRPr="00D754EB" w:rsidRDefault="00581BFB" w:rsidP="00581BFB">
            <w:pPr>
              <w:rPr>
                <w:sz w:val="22"/>
                <w:szCs w:val="22"/>
              </w:rPr>
            </w:pPr>
            <w:r w:rsidRPr="00D754EB">
              <w:rPr>
                <w:sz w:val="22"/>
                <w:szCs w:val="22"/>
              </w:rPr>
              <w:t>Protikorupční opatření EHP – Norsko</w:t>
            </w:r>
          </w:p>
        </w:tc>
        <w:tc>
          <w:tcPr>
            <w:tcW w:w="1170" w:type="pct"/>
            <w:vAlign w:val="center"/>
          </w:tcPr>
          <w:p w14:paraId="5AB8AF0C" w14:textId="18B663A1" w:rsidR="00581BFB" w:rsidRPr="00D754EB" w:rsidRDefault="00581BFB" w:rsidP="00581BFB">
            <w:pPr>
              <w:jc w:val="right"/>
              <w:rPr>
                <w:sz w:val="22"/>
                <w:szCs w:val="22"/>
              </w:rPr>
            </w:pPr>
            <w:r w:rsidRPr="00D754EB">
              <w:rPr>
                <w:sz w:val="22"/>
                <w:szCs w:val="22"/>
              </w:rPr>
              <w:t>6 275 241</w:t>
            </w:r>
          </w:p>
        </w:tc>
      </w:tr>
      <w:tr w:rsidR="00581BFB" w:rsidRPr="00D754EB" w14:paraId="1C17E801" w14:textId="77777777" w:rsidTr="00581BFB">
        <w:tc>
          <w:tcPr>
            <w:tcW w:w="936" w:type="pct"/>
            <w:vAlign w:val="center"/>
          </w:tcPr>
          <w:p w14:paraId="40F74E6F" w14:textId="77777777" w:rsidR="00581BFB" w:rsidRPr="00D754EB" w:rsidRDefault="00581BFB" w:rsidP="00581BFB">
            <w:pPr>
              <w:rPr>
                <w:sz w:val="22"/>
                <w:szCs w:val="22"/>
              </w:rPr>
            </w:pPr>
            <w:r w:rsidRPr="00D754EB">
              <w:rPr>
                <w:sz w:val="22"/>
                <w:szCs w:val="22"/>
              </w:rPr>
              <w:t>112V011002048</w:t>
            </w:r>
          </w:p>
        </w:tc>
        <w:tc>
          <w:tcPr>
            <w:tcW w:w="2894" w:type="pct"/>
          </w:tcPr>
          <w:p w14:paraId="6A88C5B9" w14:textId="77777777" w:rsidR="00581BFB" w:rsidRPr="00D754EB" w:rsidRDefault="00581BFB" w:rsidP="00581BFB">
            <w:pPr>
              <w:rPr>
                <w:sz w:val="22"/>
                <w:szCs w:val="22"/>
              </w:rPr>
            </w:pPr>
            <w:r w:rsidRPr="00D754EB">
              <w:rPr>
                <w:sz w:val="22"/>
                <w:szCs w:val="22"/>
              </w:rPr>
              <w:t>Centralizace auditů na MF – telekomunikace</w:t>
            </w:r>
          </w:p>
        </w:tc>
        <w:tc>
          <w:tcPr>
            <w:tcW w:w="1170" w:type="pct"/>
            <w:vAlign w:val="center"/>
          </w:tcPr>
          <w:p w14:paraId="1C163C66" w14:textId="3221D9B8" w:rsidR="00581BFB" w:rsidRPr="00D754EB" w:rsidRDefault="00581BFB" w:rsidP="00581BFB">
            <w:pPr>
              <w:jc w:val="right"/>
              <w:rPr>
                <w:sz w:val="22"/>
                <w:szCs w:val="22"/>
              </w:rPr>
            </w:pPr>
            <w:r w:rsidRPr="00D754EB">
              <w:rPr>
                <w:sz w:val="22"/>
                <w:szCs w:val="22"/>
              </w:rPr>
              <w:t>4 085 19</w:t>
            </w:r>
            <w:r w:rsidR="00253701">
              <w:rPr>
                <w:sz w:val="22"/>
                <w:szCs w:val="22"/>
              </w:rPr>
              <w:t>1</w:t>
            </w:r>
          </w:p>
        </w:tc>
      </w:tr>
      <w:tr w:rsidR="00581BFB" w:rsidRPr="00D754EB" w14:paraId="164F14B6" w14:textId="77777777" w:rsidTr="00581BFB">
        <w:tc>
          <w:tcPr>
            <w:tcW w:w="936" w:type="pct"/>
            <w:vAlign w:val="center"/>
          </w:tcPr>
          <w:p w14:paraId="5C2C24C3" w14:textId="77777777" w:rsidR="00581BFB" w:rsidRPr="00D754EB" w:rsidRDefault="00581BFB" w:rsidP="00581BFB">
            <w:pPr>
              <w:rPr>
                <w:sz w:val="22"/>
                <w:szCs w:val="22"/>
              </w:rPr>
            </w:pPr>
            <w:r w:rsidRPr="00D754EB">
              <w:rPr>
                <w:sz w:val="22"/>
                <w:szCs w:val="22"/>
              </w:rPr>
              <w:t>112V011008001</w:t>
            </w:r>
          </w:p>
        </w:tc>
        <w:tc>
          <w:tcPr>
            <w:tcW w:w="2894" w:type="pct"/>
          </w:tcPr>
          <w:p w14:paraId="248B21BC" w14:textId="77777777" w:rsidR="00581BFB" w:rsidRPr="00D754EB" w:rsidRDefault="00581BFB" w:rsidP="00581BFB">
            <w:pPr>
              <w:rPr>
                <w:sz w:val="22"/>
                <w:szCs w:val="22"/>
              </w:rPr>
            </w:pPr>
            <w:r w:rsidRPr="00D754EB">
              <w:rPr>
                <w:sz w:val="22"/>
                <w:szCs w:val="22"/>
              </w:rPr>
              <w:t>KFA – Provozování a vybavenost ICT</w:t>
            </w:r>
          </w:p>
        </w:tc>
        <w:tc>
          <w:tcPr>
            <w:tcW w:w="1170" w:type="pct"/>
            <w:vAlign w:val="center"/>
          </w:tcPr>
          <w:p w14:paraId="0899FB6C" w14:textId="77777777" w:rsidR="00581BFB" w:rsidRPr="00D754EB" w:rsidRDefault="00581BFB" w:rsidP="00581BFB">
            <w:pPr>
              <w:jc w:val="right"/>
              <w:rPr>
                <w:sz w:val="22"/>
                <w:szCs w:val="22"/>
              </w:rPr>
            </w:pPr>
            <w:r w:rsidRPr="00D754EB">
              <w:rPr>
                <w:sz w:val="22"/>
                <w:szCs w:val="22"/>
              </w:rPr>
              <w:t>207 224</w:t>
            </w:r>
          </w:p>
        </w:tc>
      </w:tr>
      <w:tr w:rsidR="00581BFB" w:rsidRPr="00D754EB" w14:paraId="51E684EA" w14:textId="77777777" w:rsidTr="00581BFB">
        <w:tc>
          <w:tcPr>
            <w:tcW w:w="936" w:type="pct"/>
            <w:vAlign w:val="center"/>
          </w:tcPr>
          <w:p w14:paraId="72DA3F9D" w14:textId="77777777" w:rsidR="00581BFB" w:rsidRPr="00D754EB" w:rsidRDefault="00581BFB" w:rsidP="00581BFB">
            <w:pPr>
              <w:rPr>
                <w:sz w:val="22"/>
                <w:szCs w:val="22"/>
              </w:rPr>
            </w:pPr>
            <w:r w:rsidRPr="00D754EB">
              <w:rPr>
                <w:sz w:val="22"/>
                <w:szCs w:val="22"/>
              </w:rPr>
              <w:t>112V011008002</w:t>
            </w:r>
          </w:p>
        </w:tc>
        <w:tc>
          <w:tcPr>
            <w:tcW w:w="2894" w:type="pct"/>
          </w:tcPr>
          <w:p w14:paraId="39C75E66" w14:textId="77777777" w:rsidR="00581BFB" w:rsidRPr="00D754EB" w:rsidRDefault="00581BFB" w:rsidP="00581BFB">
            <w:pPr>
              <w:rPr>
                <w:sz w:val="22"/>
                <w:szCs w:val="22"/>
              </w:rPr>
            </w:pPr>
            <w:r w:rsidRPr="00D754EB">
              <w:rPr>
                <w:sz w:val="22"/>
                <w:szCs w:val="22"/>
              </w:rPr>
              <w:t>KFA – Telekomunikace</w:t>
            </w:r>
          </w:p>
        </w:tc>
        <w:tc>
          <w:tcPr>
            <w:tcW w:w="1170" w:type="pct"/>
            <w:vAlign w:val="center"/>
          </w:tcPr>
          <w:p w14:paraId="307D4C57" w14:textId="6ADA8CA9" w:rsidR="00581BFB" w:rsidRPr="00D754EB" w:rsidRDefault="00581BFB" w:rsidP="00581BFB">
            <w:pPr>
              <w:jc w:val="right"/>
              <w:rPr>
                <w:sz w:val="22"/>
                <w:szCs w:val="22"/>
              </w:rPr>
            </w:pPr>
            <w:r w:rsidRPr="00D754EB">
              <w:rPr>
                <w:sz w:val="22"/>
                <w:szCs w:val="22"/>
              </w:rPr>
              <w:t>99 75</w:t>
            </w:r>
            <w:r w:rsidR="00253701">
              <w:rPr>
                <w:sz w:val="22"/>
                <w:szCs w:val="22"/>
              </w:rPr>
              <w:t>1</w:t>
            </w:r>
          </w:p>
        </w:tc>
      </w:tr>
      <w:tr w:rsidR="00581BFB" w:rsidRPr="00D754EB" w14:paraId="75E6A2B4" w14:textId="77777777" w:rsidTr="00581BFB">
        <w:tc>
          <w:tcPr>
            <w:tcW w:w="936" w:type="pct"/>
            <w:vAlign w:val="center"/>
          </w:tcPr>
          <w:p w14:paraId="1385E0A6" w14:textId="77777777" w:rsidR="00581BFB" w:rsidRPr="00D754EB" w:rsidRDefault="00581BFB" w:rsidP="00581BFB">
            <w:pPr>
              <w:rPr>
                <w:sz w:val="22"/>
                <w:szCs w:val="22"/>
              </w:rPr>
            </w:pPr>
            <w:r w:rsidRPr="00D754EB">
              <w:rPr>
                <w:sz w:val="22"/>
                <w:szCs w:val="22"/>
              </w:rPr>
              <w:t>112V01100P003</w:t>
            </w:r>
          </w:p>
        </w:tc>
        <w:tc>
          <w:tcPr>
            <w:tcW w:w="2894" w:type="pct"/>
          </w:tcPr>
          <w:p w14:paraId="1207F967" w14:textId="77777777" w:rsidR="00581BFB" w:rsidRPr="00D754EB" w:rsidRDefault="00581BFB" w:rsidP="00581BFB">
            <w:pPr>
              <w:rPr>
                <w:sz w:val="22"/>
                <w:szCs w:val="22"/>
              </w:rPr>
            </w:pPr>
            <w:r w:rsidRPr="00D754EB">
              <w:rPr>
                <w:sz w:val="22"/>
                <w:szCs w:val="22"/>
              </w:rPr>
              <w:t>Údržba a provoz počítačových sítí MF v r. 2009 a 2010</w:t>
            </w:r>
          </w:p>
        </w:tc>
        <w:tc>
          <w:tcPr>
            <w:tcW w:w="1170" w:type="pct"/>
            <w:vAlign w:val="center"/>
          </w:tcPr>
          <w:p w14:paraId="56F7A7A1" w14:textId="77777777" w:rsidR="00581BFB" w:rsidRPr="00D754EB" w:rsidRDefault="00581BFB" w:rsidP="00581BFB">
            <w:pPr>
              <w:jc w:val="right"/>
              <w:rPr>
                <w:sz w:val="22"/>
                <w:szCs w:val="22"/>
              </w:rPr>
            </w:pPr>
            <w:r w:rsidRPr="00D754EB">
              <w:rPr>
                <w:sz w:val="22"/>
                <w:szCs w:val="22"/>
              </w:rPr>
              <w:t>76 922 211</w:t>
            </w:r>
          </w:p>
        </w:tc>
      </w:tr>
      <w:tr w:rsidR="00581BFB" w:rsidRPr="00D754EB" w14:paraId="68EF0C40" w14:textId="77777777" w:rsidTr="00581BFB">
        <w:tc>
          <w:tcPr>
            <w:tcW w:w="936" w:type="pct"/>
            <w:vAlign w:val="center"/>
          </w:tcPr>
          <w:p w14:paraId="2BFCBDB7" w14:textId="77777777" w:rsidR="00581BFB" w:rsidRPr="00D754EB" w:rsidRDefault="00581BFB" w:rsidP="00581BFB">
            <w:pPr>
              <w:rPr>
                <w:sz w:val="22"/>
                <w:szCs w:val="22"/>
              </w:rPr>
            </w:pPr>
            <w:r w:rsidRPr="00D754EB">
              <w:rPr>
                <w:sz w:val="22"/>
                <w:szCs w:val="22"/>
              </w:rPr>
              <w:t>112V01100P013</w:t>
            </w:r>
          </w:p>
        </w:tc>
        <w:tc>
          <w:tcPr>
            <w:tcW w:w="2894" w:type="pct"/>
          </w:tcPr>
          <w:p w14:paraId="1A06E5BB" w14:textId="77777777" w:rsidR="00581BFB" w:rsidRPr="00D754EB" w:rsidRDefault="00581BFB" w:rsidP="00581BFB">
            <w:pPr>
              <w:rPr>
                <w:sz w:val="22"/>
                <w:szCs w:val="22"/>
              </w:rPr>
            </w:pPr>
            <w:r w:rsidRPr="00D754EB">
              <w:rPr>
                <w:sz w:val="22"/>
                <w:szCs w:val="22"/>
              </w:rPr>
              <w:t>Provozování ICT – MF v r. 2013</w:t>
            </w:r>
          </w:p>
        </w:tc>
        <w:tc>
          <w:tcPr>
            <w:tcW w:w="1170" w:type="pct"/>
            <w:vAlign w:val="center"/>
          </w:tcPr>
          <w:p w14:paraId="15A7FF04" w14:textId="2D003FDC" w:rsidR="00581BFB" w:rsidRPr="00D754EB" w:rsidRDefault="00581BFB" w:rsidP="00581BFB">
            <w:pPr>
              <w:jc w:val="right"/>
              <w:rPr>
                <w:sz w:val="22"/>
                <w:szCs w:val="22"/>
              </w:rPr>
            </w:pPr>
            <w:r w:rsidRPr="00D754EB">
              <w:rPr>
                <w:sz w:val="22"/>
                <w:szCs w:val="22"/>
              </w:rPr>
              <w:t>59 654 60</w:t>
            </w:r>
            <w:r w:rsidR="00253701">
              <w:rPr>
                <w:sz w:val="22"/>
                <w:szCs w:val="22"/>
              </w:rPr>
              <w:t>1</w:t>
            </w:r>
          </w:p>
        </w:tc>
      </w:tr>
      <w:tr w:rsidR="00581BFB" w:rsidRPr="00D754EB" w14:paraId="7C2CF37B" w14:textId="77777777" w:rsidTr="00581BFB">
        <w:tc>
          <w:tcPr>
            <w:tcW w:w="936" w:type="pct"/>
            <w:vAlign w:val="center"/>
          </w:tcPr>
          <w:p w14:paraId="35B5DE40" w14:textId="77777777" w:rsidR="00581BFB" w:rsidRPr="00D754EB" w:rsidRDefault="00581BFB" w:rsidP="00581BFB">
            <w:pPr>
              <w:rPr>
                <w:sz w:val="22"/>
                <w:szCs w:val="22"/>
              </w:rPr>
            </w:pPr>
            <w:r w:rsidRPr="00D754EB">
              <w:rPr>
                <w:sz w:val="22"/>
                <w:szCs w:val="22"/>
              </w:rPr>
              <w:t>112V01100P018</w:t>
            </w:r>
          </w:p>
        </w:tc>
        <w:tc>
          <w:tcPr>
            <w:tcW w:w="2894" w:type="pct"/>
          </w:tcPr>
          <w:p w14:paraId="1D1BFF6A" w14:textId="649F83D7" w:rsidR="00581BFB" w:rsidRPr="00D754EB" w:rsidRDefault="00581BFB" w:rsidP="00581BFB">
            <w:pPr>
              <w:rPr>
                <w:sz w:val="22"/>
                <w:szCs w:val="22"/>
              </w:rPr>
            </w:pPr>
            <w:r w:rsidRPr="00D754EB">
              <w:rPr>
                <w:sz w:val="22"/>
                <w:szCs w:val="22"/>
              </w:rPr>
              <w:t>Údržba a provoz počítačových sítí MF v r. 2011–2012</w:t>
            </w:r>
          </w:p>
        </w:tc>
        <w:tc>
          <w:tcPr>
            <w:tcW w:w="1170" w:type="pct"/>
            <w:vAlign w:val="center"/>
          </w:tcPr>
          <w:p w14:paraId="562247E5" w14:textId="77777777" w:rsidR="00581BFB" w:rsidRPr="00D754EB" w:rsidRDefault="00581BFB" w:rsidP="00581BFB">
            <w:pPr>
              <w:jc w:val="right"/>
              <w:rPr>
                <w:sz w:val="22"/>
                <w:szCs w:val="22"/>
              </w:rPr>
            </w:pPr>
            <w:r w:rsidRPr="00D754EB">
              <w:rPr>
                <w:sz w:val="22"/>
                <w:szCs w:val="22"/>
              </w:rPr>
              <w:t>50 186 954</w:t>
            </w:r>
          </w:p>
        </w:tc>
      </w:tr>
      <w:tr w:rsidR="00581BFB" w:rsidRPr="00D754EB" w14:paraId="3BA9C8AF" w14:textId="77777777" w:rsidTr="00581BFB">
        <w:tc>
          <w:tcPr>
            <w:tcW w:w="936" w:type="pct"/>
            <w:vAlign w:val="center"/>
          </w:tcPr>
          <w:p w14:paraId="6385A6F9" w14:textId="77777777" w:rsidR="00581BFB" w:rsidRPr="00D754EB" w:rsidRDefault="00581BFB" w:rsidP="00581BFB">
            <w:pPr>
              <w:rPr>
                <w:sz w:val="22"/>
                <w:szCs w:val="22"/>
              </w:rPr>
            </w:pPr>
            <w:r w:rsidRPr="00D754EB">
              <w:rPr>
                <w:sz w:val="22"/>
                <w:szCs w:val="22"/>
              </w:rPr>
              <w:t>112V01100P024</w:t>
            </w:r>
          </w:p>
        </w:tc>
        <w:tc>
          <w:tcPr>
            <w:tcW w:w="2894" w:type="pct"/>
          </w:tcPr>
          <w:p w14:paraId="196390E0" w14:textId="2CF9DE5D" w:rsidR="00581BFB" w:rsidRPr="00D754EB" w:rsidRDefault="00581BFB" w:rsidP="00581BFB">
            <w:pPr>
              <w:rPr>
                <w:sz w:val="22"/>
                <w:szCs w:val="22"/>
              </w:rPr>
            </w:pPr>
            <w:r w:rsidRPr="00D754EB">
              <w:rPr>
                <w:sz w:val="22"/>
                <w:szCs w:val="22"/>
              </w:rPr>
              <w:t>Údržba a provoz počítačových sítí MF v r. 2013–2014</w:t>
            </w:r>
          </w:p>
        </w:tc>
        <w:tc>
          <w:tcPr>
            <w:tcW w:w="1170" w:type="pct"/>
            <w:vAlign w:val="center"/>
          </w:tcPr>
          <w:p w14:paraId="1BB9A2DD" w14:textId="77777777" w:rsidR="00581BFB" w:rsidRPr="00D754EB" w:rsidRDefault="00581BFB" w:rsidP="00581BFB">
            <w:pPr>
              <w:jc w:val="right"/>
              <w:rPr>
                <w:sz w:val="22"/>
                <w:szCs w:val="22"/>
              </w:rPr>
            </w:pPr>
            <w:r w:rsidRPr="00D754EB">
              <w:rPr>
                <w:sz w:val="22"/>
                <w:szCs w:val="22"/>
              </w:rPr>
              <w:t>20 151 812</w:t>
            </w:r>
          </w:p>
        </w:tc>
      </w:tr>
    </w:tbl>
    <w:p w14:paraId="7B84B797" w14:textId="4970FAFD" w:rsidR="00581BFB" w:rsidRPr="00D754EB" w:rsidRDefault="00581BFB" w:rsidP="00581BFB">
      <w:pPr>
        <w:rPr>
          <w:rFonts w:ascii="Calibri" w:eastAsia="Calibri" w:hAnsi="Calibri"/>
          <w:sz w:val="20"/>
        </w:rPr>
      </w:pPr>
      <w:r w:rsidRPr="00AB3CA5">
        <w:rPr>
          <w:rFonts w:ascii="Calibri" w:eastAsia="Calibri" w:hAnsi="Calibri"/>
          <w:b/>
          <w:sz w:val="20"/>
        </w:rPr>
        <w:t>Zdroj:</w:t>
      </w:r>
      <w:r w:rsidRPr="00D754EB">
        <w:rPr>
          <w:rFonts w:ascii="Calibri" w:eastAsia="Calibri" w:hAnsi="Calibri"/>
          <w:sz w:val="20"/>
        </w:rPr>
        <w:t xml:space="preserve"> vlastní zpracování </w:t>
      </w:r>
      <w:r w:rsidR="00C05F9D">
        <w:rPr>
          <w:rFonts w:ascii="Calibri" w:eastAsia="Calibri" w:hAnsi="Calibri"/>
          <w:sz w:val="20"/>
        </w:rPr>
        <w:t xml:space="preserve">NKÚ </w:t>
      </w:r>
      <w:r>
        <w:rPr>
          <w:rFonts w:ascii="Calibri" w:eastAsia="Calibri" w:hAnsi="Calibri"/>
          <w:sz w:val="20"/>
        </w:rPr>
        <w:t>na základě</w:t>
      </w:r>
      <w:r w:rsidRPr="00D754EB">
        <w:rPr>
          <w:rFonts w:ascii="Calibri" w:eastAsia="Calibri" w:hAnsi="Calibri"/>
          <w:sz w:val="20"/>
        </w:rPr>
        <w:t> dat SMVS</w:t>
      </w:r>
      <w:r w:rsidR="00AB3CA5">
        <w:rPr>
          <w:rFonts w:ascii="Calibri" w:eastAsia="Calibri" w:hAnsi="Calibri"/>
          <w:sz w:val="20"/>
        </w:rPr>
        <w:t>.</w:t>
      </w:r>
    </w:p>
    <w:p w14:paraId="2D8409C7" w14:textId="77777777" w:rsidR="00581BFB" w:rsidRDefault="00581BFB" w:rsidP="00581BFB">
      <w:pPr>
        <w:spacing w:line="280" w:lineRule="atLeast"/>
        <w:rPr>
          <w:rFonts w:cstheme="minorHAnsi"/>
          <w:b/>
          <w:highlight w:val="cyan"/>
        </w:rPr>
      </w:pPr>
    </w:p>
    <w:p w14:paraId="3D77DCC1" w14:textId="4F017E10" w:rsidR="00581BFB" w:rsidRPr="00CA7B84" w:rsidRDefault="00581BFB" w:rsidP="00C250A4">
      <w:pPr>
        <w:ind w:left="1276" w:hanging="1276"/>
        <w:rPr>
          <w:rFonts w:ascii="Calibri" w:eastAsia="Calibri" w:hAnsi="Calibri" w:cs="Calibri"/>
          <w:szCs w:val="22"/>
        </w:rPr>
      </w:pPr>
      <w:r w:rsidRPr="00CA7B84">
        <w:rPr>
          <w:rFonts w:ascii="Calibri" w:eastAsia="Calibri" w:hAnsi="Calibri" w:cs="Calibri"/>
          <w:szCs w:val="22"/>
        </w:rPr>
        <w:t xml:space="preserve">Tabulka č. </w:t>
      </w:r>
      <w:r>
        <w:rPr>
          <w:rFonts w:ascii="Calibri" w:eastAsia="Calibri" w:hAnsi="Calibri" w:cs="Calibri"/>
          <w:szCs w:val="22"/>
        </w:rPr>
        <w:t>2:</w:t>
      </w:r>
      <w:r w:rsidRPr="00CA7B84">
        <w:rPr>
          <w:rFonts w:ascii="Calibri" w:eastAsia="Calibri" w:hAnsi="Calibri" w:cs="Calibri"/>
          <w:szCs w:val="22"/>
        </w:rPr>
        <w:t xml:space="preserve"> </w:t>
      </w:r>
      <w:r w:rsidR="00687FE7">
        <w:rPr>
          <w:rFonts w:ascii="Calibri" w:eastAsia="Calibri" w:hAnsi="Calibri" w:cs="Calibri"/>
          <w:szCs w:val="22"/>
        </w:rPr>
        <w:tab/>
      </w:r>
      <w:r w:rsidRPr="00CA7B84">
        <w:rPr>
          <w:rFonts w:ascii="Calibri" w:eastAsia="Calibri" w:hAnsi="Calibri" w:cs="Calibri"/>
          <w:szCs w:val="22"/>
        </w:rPr>
        <w:t>Akce podprogramu 112V011, u nichž MF ve zprávě pro</w:t>
      </w:r>
      <w:r w:rsidR="00687FE7">
        <w:rPr>
          <w:rFonts w:ascii="Calibri" w:eastAsia="Calibri" w:hAnsi="Calibri" w:cs="Calibri"/>
          <w:szCs w:val="22"/>
        </w:rPr>
        <w:t xml:space="preserve"> </w:t>
      </w:r>
      <w:r w:rsidRPr="00CA7B84">
        <w:rPr>
          <w:rFonts w:ascii="Calibri" w:eastAsia="Calibri" w:hAnsi="Calibri" w:cs="Calibri"/>
          <w:szCs w:val="22"/>
        </w:rPr>
        <w:t>závěrečné vyhodnocení programu, resp. podprogramu, nehodnotilo plnění dílčích cílů podprogramu 112V011</w:t>
      </w:r>
    </w:p>
    <w:tbl>
      <w:tblPr>
        <w:tblStyle w:val="Mkatabulky3"/>
        <w:tblW w:w="5000" w:type="pct"/>
        <w:jc w:val="center"/>
        <w:tblLook w:val="04A0" w:firstRow="1" w:lastRow="0" w:firstColumn="1" w:lastColumn="0" w:noHBand="0" w:noVBand="1"/>
      </w:tblPr>
      <w:tblGrid>
        <w:gridCol w:w="1696"/>
        <w:gridCol w:w="5245"/>
        <w:gridCol w:w="2121"/>
      </w:tblGrid>
      <w:tr w:rsidR="00581BFB" w14:paraId="6BA00516" w14:textId="77777777" w:rsidTr="00C250A4">
        <w:trPr>
          <w:jc w:val="center"/>
        </w:trPr>
        <w:tc>
          <w:tcPr>
            <w:tcW w:w="936" w:type="pct"/>
            <w:shd w:val="clear" w:color="auto" w:fill="E5F1FF"/>
            <w:vAlign w:val="center"/>
          </w:tcPr>
          <w:p w14:paraId="3A5C9A33" w14:textId="77777777" w:rsidR="00581BFB" w:rsidRPr="00C250A4" w:rsidRDefault="00581BFB" w:rsidP="00581BFB">
            <w:pPr>
              <w:jc w:val="center"/>
              <w:rPr>
                <w:b/>
                <w:sz w:val="22"/>
                <w:szCs w:val="22"/>
              </w:rPr>
            </w:pPr>
            <w:r w:rsidRPr="00C250A4">
              <w:rPr>
                <w:b/>
                <w:sz w:val="22"/>
                <w:szCs w:val="22"/>
              </w:rPr>
              <w:t>Číslo akce</w:t>
            </w:r>
          </w:p>
        </w:tc>
        <w:tc>
          <w:tcPr>
            <w:tcW w:w="2894" w:type="pct"/>
            <w:shd w:val="clear" w:color="auto" w:fill="E5F1FF"/>
            <w:vAlign w:val="center"/>
          </w:tcPr>
          <w:p w14:paraId="0D947850" w14:textId="77777777" w:rsidR="00581BFB" w:rsidRPr="00C250A4" w:rsidRDefault="00581BFB" w:rsidP="00581BFB">
            <w:pPr>
              <w:jc w:val="center"/>
              <w:rPr>
                <w:b/>
                <w:sz w:val="22"/>
                <w:szCs w:val="22"/>
              </w:rPr>
            </w:pPr>
            <w:r w:rsidRPr="00C250A4">
              <w:rPr>
                <w:b/>
                <w:sz w:val="22"/>
                <w:szCs w:val="22"/>
              </w:rPr>
              <w:t>Název akce</w:t>
            </w:r>
          </w:p>
        </w:tc>
        <w:tc>
          <w:tcPr>
            <w:tcW w:w="1170" w:type="pct"/>
            <w:shd w:val="clear" w:color="auto" w:fill="E5F1FF"/>
            <w:vAlign w:val="center"/>
          </w:tcPr>
          <w:p w14:paraId="13D84A1D" w14:textId="4B307E08" w:rsidR="00581BFB" w:rsidRPr="00C250A4" w:rsidRDefault="00581BFB" w:rsidP="00581BFB">
            <w:pPr>
              <w:jc w:val="center"/>
              <w:rPr>
                <w:b/>
                <w:sz w:val="22"/>
                <w:szCs w:val="22"/>
              </w:rPr>
            </w:pPr>
            <w:r w:rsidRPr="00C250A4">
              <w:rPr>
                <w:b/>
                <w:sz w:val="22"/>
                <w:szCs w:val="22"/>
              </w:rPr>
              <w:t>Skutečnost projektu (souhrn zdrojů celkem) v</w:t>
            </w:r>
            <w:r w:rsidR="00253701" w:rsidRPr="00C250A4">
              <w:rPr>
                <w:b/>
                <w:sz w:val="22"/>
                <w:szCs w:val="22"/>
              </w:rPr>
              <w:t> </w:t>
            </w:r>
            <w:r w:rsidRPr="00C250A4">
              <w:rPr>
                <w:b/>
                <w:sz w:val="22"/>
                <w:szCs w:val="22"/>
              </w:rPr>
              <w:t>Kč</w:t>
            </w:r>
          </w:p>
        </w:tc>
      </w:tr>
      <w:tr w:rsidR="00581BFB" w14:paraId="369BA573" w14:textId="77777777" w:rsidTr="00581BFB">
        <w:trPr>
          <w:jc w:val="center"/>
        </w:trPr>
        <w:tc>
          <w:tcPr>
            <w:tcW w:w="936" w:type="pct"/>
            <w:vAlign w:val="center"/>
          </w:tcPr>
          <w:p w14:paraId="74F012ED" w14:textId="77777777" w:rsidR="00581BFB" w:rsidRPr="00CA7B84" w:rsidRDefault="00581BFB" w:rsidP="00581BFB">
            <w:pPr>
              <w:rPr>
                <w:rFonts w:cs="Calibri"/>
                <w:sz w:val="22"/>
                <w:szCs w:val="22"/>
              </w:rPr>
            </w:pPr>
            <w:r w:rsidRPr="00CA7B84">
              <w:rPr>
                <w:rFonts w:cs="Calibri"/>
                <w:sz w:val="22"/>
                <w:szCs w:val="22"/>
              </w:rPr>
              <w:t>112V011001001</w:t>
            </w:r>
          </w:p>
        </w:tc>
        <w:tc>
          <w:tcPr>
            <w:tcW w:w="2894" w:type="pct"/>
          </w:tcPr>
          <w:p w14:paraId="39130AB4" w14:textId="77777777" w:rsidR="00581BFB" w:rsidRPr="00155B46" w:rsidRDefault="00581BFB" w:rsidP="00155B4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5B46">
              <w:rPr>
                <w:rFonts w:asciiTheme="minorHAnsi" w:hAnsiTheme="minorHAnsi" w:cstheme="minorHAnsi"/>
                <w:sz w:val="22"/>
                <w:szCs w:val="22"/>
              </w:rPr>
              <w:t>Režimové pracoviště</w:t>
            </w:r>
          </w:p>
        </w:tc>
        <w:tc>
          <w:tcPr>
            <w:tcW w:w="1170" w:type="pct"/>
            <w:vAlign w:val="center"/>
          </w:tcPr>
          <w:p w14:paraId="2A8E77EE" w14:textId="0CA83667" w:rsidR="00581BFB" w:rsidRPr="00CA7B84" w:rsidRDefault="00581BFB" w:rsidP="00581BFB">
            <w:pPr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20 379 675</w:t>
            </w:r>
          </w:p>
        </w:tc>
      </w:tr>
      <w:tr w:rsidR="00581BFB" w14:paraId="38D13942" w14:textId="77777777" w:rsidTr="00581BFB">
        <w:trPr>
          <w:jc w:val="center"/>
        </w:trPr>
        <w:tc>
          <w:tcPr>
            <w:tcW w:w="936" w:type="pct"/>
            <w:vAlign w:val="center"/>
          </w:tcPr>
          <w:p w14:paraId="0C270B44" w14:textId="77777777" w:rsidR="00581BFB" w:rsidRPr="00CA7B84" w:rsidRDefault="00581BFB" w:rsidP="00581BFB">
            <w:pPr>
              <w:rPr>
                <w:rFonts w:cs="Calibri"/>
                <w:sz w:val="22"/>
                <w:szCs w:val="22"/>
              </w:rPr>
            </w:pPr>
            <w:r w:rsidRPr="00CA7B84">
              <w:rPr>
                <w:rFonts w:cs="Calibri"/>
                <w:sz w:val="22"/>
                <w:szCs w:val="22"/>
              </w:rPr>
              <w:t>112V011001002</w:t>
            </w:r>
          </w:p>
        </w:tc>
        <w:tc>
          <w:tcPr>
            <w:tcW w:w="2894" w:type="pct"/>
          </w:tcPr>
          <w:p w14:paraId="50E7E50D" w14:textId="77777777" w:rsidR="00581BFB" w:rsidRPr="00155B46" w:rsidRDefault="00581BFB" w:rsidP="00155B4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5B46">
              <w:rPr>
                <w:rFonts w:asciiTheme="minorHAnsi" w:hAnsiTheme="minorHAnsi" w:cstheme="minorHAnsi"/>
                <w:sz w:val="22"/>
                <w:szCs w:val="22"/>
              </w:rPr>
              <w:t>Krizové pracoviště MF</w:t>
            </w:r>
          </w:p>
        </w:tc>
        <w:tc>
          <w:tcPr>
            <w:tcW w:w="1170" w:type="pct"/>
            <w:vAlign w:val="center"/>
          </w:tcPr>
          <w:p w14:paraId="6B4B0A26" w14:textId="77777777" w:rsidR="00581BFB" w:rsidRPr="00CA7B84" w:rsidRDefault="00581BFB" w:rsidP="00581BFB">
            <w:pPr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192 300</w:t>
            </w:r>
          </w:p>
        </w:tc>
      </w:tr>
      <w:tr w:rsidR="00581BFB" w14:paraId="3592FC15" w14:textId="77777777" w:rsidTr="00581BFB">
        <w:trPr>
          <w:jc w:val="center"/>
        </w:trPr>
        <w:tc>
          <w:tcPr>
            <w:tcW w:w="936" w:type="pct"/>
            <w:vAlign w:val="center"/>
          </w:tcPr>
          <w:p w14:paraId="4D8E70B8" w14:textId="77777777" w:rsidR="00581BFB" w:rsidRPr="00CA7B84" w:rsidRDefault="00581BFB" w:rsidP="00581BFB">
            <w:pPr>
              <w:rPr>
                <w:rFonts w:cs="Calibri"/>
                <w:sz w:val="22"/>
                <w:szCs w:val="22"/>
              </w:rPr>
            </w:pPr>
            <w:r w:rsidRPr="00CA7B84">
              <w:rPr>
                <w:rFonts w:cs="Calibri"/>
                <w:sz w:val="22"/>
                <w:szCs w:val="22"/>
              </w:rPr>
              <w:t>112V011002005</w:t>
            </w:r>
          </w:p>
        </w:tc>
        <w:tc>
          <w:tcPr>
            <w:tcW w:w="2894" w:type="pct"/>
          </w:tcPr>
          <w:p w14:paraId="6C871137" w14:textId="493E371A" w:rsidR="00581BFB" w:rsidRPr="00155B46" w:rsidRDefault="00581BFB" w:rsidP="00155B4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5B46">
              <w:rPr>
                <w:rFonts w:asciiTheme="minorHAnsi" w:hAnsiTheme="minorHAnsi" w:cstheme="minorHAnsi"/>
                <w:sz w:val="22"/>
                <w:szCs w:val="22"/>
              </w:rPr>
              <w:t>Financování datových služeb KIVS, rok 2008–2009</w:t>
            </w:r>
          </w:p>
        </w:tc>
        <w:tc>
          <w:tcPr>
            <w:tcW w:w="1170" w:type="pct"/>
            <w:vAlign w:val="center"/>
          </w:tcPr>
          <w:p w14:paraId="14AC6B09" w14:textId="48A8E0B0" w:rsidR="00581BFB" w:rsidRPr="00CA7B84" w:rsidRDefault="00581BFB" w:rsidP="00581BFB">
            <w:pPr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47 924 25</w:t>
            </w:r>
            <w:r w:rsidR="00253701">
              <w:rPr>
                <w:rFonts w:cs="Calibri"/>
                <w:sz w:val="22"/>
                <w:szCs w:val="22"/>
              </w:rPr>
              <w:t>9</w:t>
            </w:r>
          </w:p>
        </w:tc>
      </w:tr>
      <w:tr w:rsidR="00581BFB" w14:paraId="5E780512" w14:textId="77777777" w:rsidTr="00581BFB">
        <w:trPr>
          <w:jc w:val="center"/>
        </w:trPr>
        <w:tc>
          <w:tcPr>
            <w:tcW w:w="936" w:type="pct"/>
            <w:vAlign w:val="center"/>
          </w:tcPr>
          <w:p w14:paraId="62DD73DD" w14:textId="77777777" w:rsidR="00581BFB" w:rsidRPr="00CA7B84" w:rsidRDefault="00581BFB" w:rsidP="00581BFB">
            <w:pPr>
              <w:rPr>
                <w:rFonts w:cs="Calibri"/>
                <w:sz w:val="22"/>
                <w:szCs w:val="22"/>
              </w:rPr>
            </w:pPr>
            <w:r w:rsidRPr="00CA7B84">
              <w:rPr>
                <w:rFonts w:cs="Calibri"/>
                <w:sz w:val="22"/>
                <w:szCs w:val="22"/>
              </w:rPr>
              <w:t>112V011002006</w:t>
            </w:r>
          </w:p>
        </w:tc>
        <w:tc>
          <w:tcPr>
            <w:tcW w:w="2894" w:type="pct"/>
          </w:tcPr>
          <w:p w14:paraId="64B2D500" w14:textId="77777777" w:rsidR="00581BFB" w:rsidRPr="00155B46" w:rsidRDefault="00581BFB" w:rsidP="00155B4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5B46">
              <w:rPr>
                <w:rFonts w:asciiTheme="minorHAnsi" w:hAnsiTheme="minorHAnsi" w:cstheme="minorHAnsi"/>
                <w:sz w:val="22"/>
                <w:szCs w:val="22"/>
              </w:rPr>
              <w:t>Komplexní antivirová ochrana MF a DS</w:t>
            </w:r>
          </w:p>
        </w:tc>
        <w:tc>
          <w:tcPr>
            <w:tcW w:w="1170" w:type="pct"/>
            <w:vAlign w:val="center"/>
          </w:tcPr>
          <w:p w14:paraId="3BA25A89" w14:textId="77777777" w:rsidR="00581BFB" w:rsidRPr="00CA7B84" w:rsidRDefault="00581BFB" w:rsidP="00581BFB">
            <w:pPr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70 871 659</w:t>
            </w:r>
          </w:p>
        </w:tc>
      </w:tr>
      <w:tr w:rsidR="00581BFB" w14:paraId="6BDCDF78" w14:textId="77777777" w:rsidTr="00581BFB">
        <w:trPr>
          <w:jc w:val="center"/>
        </w:trPr>
        <w:tc>
          <w:tcPr>
            <w:tcW w:w="936" w:type="pct"/>
            <w:vAlign w:val="center"/>
          </w:tcPr>
          <w:p w14:paraId="3D67726F" w14:textId="77777777" w:rsidR="00581BFB" w:rsidRPr="00CA7B84" w:rsidRDefault="00581BFB" w:rsidP="00581BFB">
            <w:pPr>
              <w:rPr>
                <w:rFonts w:cs="Calibri"/>
                <w:sz w:val="22"/>
                <w:szCs w:val="22"/>
              </w:rPr>
            </w:pPr>
            <w:r w:rsidRPr="00CA7B84">
              <w:rPr>
                <w:rFonts w:cs="Calibri"/>
                <w:sz w:val="22"/>
                <w:szCs w:val="22"/>
              </w:rPr>
              <w:t>112V011002007</w:t>
            </w:r>
          </w:p>
        </w:tc>
        <w:tc>
          <w:tcPr>
            <w:tcW w:w="2894" w:type="pct"/>
          </w:tcPr>
          <w:p w14:paraId="449DDF92" w14:textId="77777777" w:rsidR="00581BFB" w:rsidRPr="00155B46" w:rsidRDefault="00581BFB" w:rsidP="00155B4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5B46">
              <w:rPr>
                <w:rFonts w:asciiTheme="minorHAnsi" w:hAnsiTheme="minorHAnsi" w:cstheme="minorHAnsi"/>
                <w:sz w:val="22"/>
                <w:szCs w:val="22"/>
              </w:rPr>
              <w:t>ČTK – Zpravodajský servis</w:t>
            </w:r>
          </w:p>
        </w:tc>
        <w:tc>
          <w:tcPr>
            <w:tcW w:w="1170" w:type="pct"/>
            <w:vAlign w:val="center"/>
          </w:tcPr>
          <w:p w14:paraId="7796B64F" w14:textId="415B2BCF" w:rsidR="00581BFB" w:rsidRPr="00CA7B84" w:rsidRDefault="00581BFB" w:rsidP="00581BFB">
            <w:pPr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5 550 445</w:t>
            </w:r>
          </w:p>
        </w:tc>
      </w:tr>
      <w:tr w:rsidR="00581BFB" w14:paraId="58834ED9" w14:textId="77777777" w:rsidTr="00581BFB">
        <w:trPr>
          <w:jc w:val="center"/>
        </w:trPr>
        <w:tc>
          <w:tcPr>
            <w:tcW w:w="936" w:type="pct"/>
            <w:vAlign w:val="center"/>
          </w:tcPr>
          <w:p w14:paraId="1375F8A8" w14:textId="77777777" w:rsidR="00581BFB" w:rsidRPr="00CA7B84" w:rsidRDefault="00581BFB" w:rsidP="00581BFB">
            <w:pPr>
              <w:rPr>
                <w:rFonts w:cs="Calibri"/>
                <w:sz w:val="22"/>
                <w:szCs w:val="22"/>
              </w:rPr>
            </w:pPr>
            <w:r w:rsidRPr="00CA7B84">
              <w:rPr>
                <w:rFonts w:cs="Calibri"/>
                <w:sz w:val="22"/>
                <w:szCs w:val="22"/>
              </w:rPr>
              <w:t>112V011002012</w:t>
            </w:r>
          </w:p>
        </w:tc>
        <w:tc>
          <w:tcPr>
            <w:tcW w:w="2894" w:type="pct"/>
          </w:tcPr>
          <w:p w14:paraId="2FD0F476" w14:textId="77777777" w:rsidR="00581BFB" w:rsidRPr="00155B46" w:rsidRDefault="00581BFB" w:rsidP="00155B4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5B46">
              <w:rPr>
                <w:rFonts w:asciiTheme="minorHAnsi" w:hAnsiTheme="minorHAnsi" w:cstheme="minorHAnsi"/>
                <w:sz w:val="22"/>
                <w:szCs w:val="22"/>
              </w:rPr>
              <w:t>PIS VEMA</w:t>
            </w:r>
          </w:p>
        </w:tc>
        <w:tc>
          <w:tcPr>
            <w:tcW w:w="1170" w:type="pct"/>
            <w:vAlign w:val="center"/>
          </w:tcPr>
          <w:p w14:paraId="7E3F2BE1" w14:textId="2EA5991D" w:rsidR="00581BFB" w:rsidRPr="00CA7B84" w:rsidRDefault="00581BFB" w:rsidP="00581BFB">
            <w:pPr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6 428 237</w:t>
            </w:r>
          </w:p>
        </w:tc>
      </w:tr>
      <w:tr w:rsidR="00581BFB" w14:paraId="619AB4CD" w14:textId="77777777" w:rsidTr="00581BFB">
        <w:trPr>
          <w:jc w:val="center"/>
        </w:trPr>
        <w:tc>
          <w:tcPr>
            <w:tcW w:w="936" w:type="pct"/>
            <w:vAlign w:val="center"/>
          </w:tcPr>
          <w:p w14:paraId="4074BB44" w14:textId="77777777" w:rsidR="00581BFB" w:rsidRPr="00CA7B84" w:rsidRDefault="00581BFB" w:rsidP="00581BFB">
            <w:pPr>
              <w:rPr>
                <w:rFonts w:cs="Calibri"/>
                <w:sz w:val="22"/>
                <w:szCs w:val="22"/>
              </w:rPr>
            </w:pPr>
            <w:r w:rsidRPr="00CA7B84">
              <w:rPr>
                <w:rFonts w:cs="Calibri"/>
                <w:sz w:val="22"/>
                <w:szCs w:val="22"/>
              </w:rPr>
              <w:t>112V011002013</w:t>
            </w:r>
          </w:p>
        </w:tc>
        <w:tc>
          <w:tcPr>
            <w:tcW w:w="2894" w:type="pct"/>
          </w:tcPr>
          <w:p w14:paraId="5940F0C6" w14:textId="77777777" w:rsidR="00581BFB" w:rsidRPr="00155B46" w:rsidRDefault="00581BFB" w:rsidP="00155B4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5B46">
              <w:rPr>
                <w:rFonts w:asciiTheme="minorHAnsi" w:hAnsiTheme="minorHAnsi" w:cstheme="minorHAnsi"/>
                <w:sz w:val="22"/>
                <w:szCs w:val="22"/>
              </w:rPr>
              <w:t>IS Audio Video k záznamům konferencí na MF</w:t>
            </w:r>
          </w:p>
        </w:tc>
        <w:tc>
          <w:tcPr>
            <w:tcW w:w="1170" w:type="pct"/>
            <w:vAlign w:val="center"/>
          </w:tcPr>
          <w:p w14:paraId="2B61CA4D" w14:textId="77777777" w:rsidR="00581BFB" w:rsidRPr="00CA7B84" w:rsidRDefault="00581BFB" w:rsidP="00581BFB">
            <w:pPr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178 500</w:t>
            </w:r>
          </w:p>
        </w:tc>
      </w:tr>
      <w:tr w:rsidR="00581BFB" w14:paraId="56A784BF" w14:textId="77777777" w:rsidTr="00581BFB">
        <w:trPr>
          <w:jc w:val="center"/>
        </w:trPr>
        <w:tc>
          <w:tcPr>
            <w:tcW w:w="936" w:type="pct"/>
            <w:vAlign w:val="center"/>
          </w:tcPr>
          <w:p w14:paraId="07170B98" w14:textId="77777777" w:rsidR="00581BFB" w:rsidRPr="00CA7B84" w:rsidRDefault="00581BFB" w:rsidP="00581BFB">
            <w:pPr>
              <w:rPr>
                <w:rFonts w:cs="Calibri"/>
                <w:sz w:val="22"/>
                <w:szCs w:val="22"/>
              </w:rPr>
            </w:pPr>
            <w:r w:rsidRPr="00CA7B84">
              <w:rPr>
                <w:rFonts w:cs="Calibri"/>
                <w:sz w:val="22"/>
                <w:szCs w:val="22"/>
              </w:rPr>
              <w:t>112V011002016</w:t>
            </w:r>
          </w:p>
        </w:tc>
        <w:tc>
          <w:tcPr>
            <w:tcW w:w="2894" w:type="pct"/>
          </w:tcPr>
          <w:p w14:paraId="1A248802" w14:textId="77777777" w:rsidR="00581BFB" w:rsidRPr="00155B46" w:rsidRDefault="00581BFB" w:rsidP="00155B4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5B46">
              <w:rPr>
                <w:rFonts w:asciiTheme="minorHAnsi" w:hAnsiTheme="minorHAnsi" w:cstheme="minorHAnsi"/>
                <w:sz w:val="22"/>
                <w:szCs w:val="22"/>
              </w:rPr>
              <w:t>Redakční systém – RedDot</w:t>
            </w:r>
          </w:p>
        </w:tc>
        <w:tc>
          <w:tcPr>
            <w:tcW w:w="1170" w:type="pct"/>
            <w:vAlign w:val="center"/>
          </w:tcPr>
          <w:p w14:paraId="06827AA3" w14:textId="4D752826" w:rsidR="00581BFB" w:rsidRPr="00CA7B84" w:rsidRDefault="00581BFB" w:rsidP="00581BFB">
            <w:pPr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18 844 093</w:t>
            </w:r>
          </w:p>
        </w:tc>
      </w:tr>
      <w:tr w:rsidR="00581BFB" w14:paraId="423EA7DF" w14:textId="77777777" w:rsidTr="00581BFB">
        <w:trPr>
          <w:jc w:val="center"/>
        </w:trPr>
        <w:tc>
          <w:tcPr>
            <w:tcW w:w="936" w:type="pct"/>
            <w:vAlign w:val="center"/>
          </w:tcPr>
          <w:p w14:paraId="739C82CD" w14:textId="77777777" w:rsidR="00581BFB" w:rsidRPr="00CA7B84" w:rsidRDefault="00581BFB" w:rsidP="00581BFB">
            <w:pPr>
              <w:rPr>
                <w:rFonts w:cs="Calibri"/>
                <w:sz w:val="22"/>
                <w:szCs w:val="22"/>
              </w:rPr>
            </w:pPr>
            <w:r w:rsidRPr="00CA7B84">
              <w:rPr>
                <w:rFonts w:cs="Calibri"/>
                <w:sz w:val="22"/>
                <w:szCs w:val="22"/>
              </w:rPr>
              <w:t>112V011002018</w:t>
            </w:r>
          </w:p>
        </w:tc>
        <w:tc>
          <w:tcPr>
            <w:tcW w:w="2894" w:type="pct"/>
          </w:tcPr>
          <w:p w14:paraId="5652F67F" w14:textId="77777777" w:rsidR="00581BFB" w:rsidRPr="00155B46" w:rsidRDefault="00581BFB" w:rsidP="00155B4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5B46">
              <w:rPr>
                <w:rFonts w:asciiTheme="minorHAnsi" w:hAnsiTheme="minorHAnsi" w:cstheme="minorHAnsi"/>
                <w:sz w:val="22"/>
                <w:szCs w:val="22"/>
              </w:rPr>
              <w:t>IS ZBAPA – Zabezpečovací přístup k aplikacím</w:t>
            </w:r>
          </w:p>
        </w:tc>
        <w:tc>
          <w:tcPr>
            <w:tcW w:w="1170" w:type="pct"/>
            <w:vAlign w:val="center"/>
          </w:tcPr>
          <w:p w14:paraId="47C74213" w14:textId="17E8735B" w:rsidR="00581BFB" w:rsidRPr="00CA7B84" w:rsidRDefault="00581BFB" w:rsidP="00581BFB">
            <w:pPr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3 481 07</w:t>
            </w:r>
            <w:r w:rsidR="00253701">
              <w:rPr>
                <w:rFonts w:cs="Calibri"/>
                <w:sz w:val="22"/>
                <w:szCs w:val="22"/>
              </w:rPr>
              <w:t>1</w:t>
            </w:r>
          </w:p>
        </w:tc>
      </w:tr>
      <w:tr w:rsidR="00581BFB" w14:paraId="04E918D6" w14:textId="77777777" w:rsidTr="00581BFB">
        <w:trPr>
          <w:jc w:val="center"/>
        </w:trPr>
        <w:tc>
          <w:tcPr>
            <w:tcW w:w="936" w:type="pct"/>
            <w:vAlign w:val="center"/>
          </w:tcPr>
          <w:p w14:paraId="78BAEF19" w14:textId="77777777" w:rsidR="00581BFB" w:rsidRPr="00CA7B84" w:rsidRDefault="00581BFB" w:rsidP="00581BFB">
            <w:pPr>
              <w:rPr>
                <w:rFonts w:cs="Calibri"/>
                <w:sz w:val="22"/>
                <w:szCs w:val="22"/>
              </w:rPr>
            </w:pPr>
            <w:r w:rsidRPr="00CA7B84">
              <w:rPr>
                <w:rFonts w:cs="Calibri"/>
                <w:sz w:val="22"/>
                <w:szCs w:val="22"/>
              </w:rPr>
              <w:t>112V011002019</w:t>
            </w:r>
          </w:p>
        </w:tc>
        <w:tc>
          <w:tcPr>
            <w:tcW w:w="2894" w:type="pct"/>
          </w:tcPr>
          <w:p w14:paraId="36739129" w14:textId="77777777" w:rsidR="00581BFB" w:rsidRPr="00155B46" w:rsidRDefault="00581BFB" w:rsidP="00155B4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5B46">
              <w:rPr>
                <w:rFonts w:asciiTheme="minorHAnsi" w:hAnsiTheme="minorHAnsi" w:cstheme="minorHAnsi"/>
                <w:sz w:val="22"/>
                <w:szCs w:val="22"/>
              </w:rPr>
              <w:t>GIS – Grafický informační systém</w:t>
            </w:r>
          </w:p>
        </w:tc>
        <w:tc>
          <w:tcPr>
            <w:tcW w:w="1170" w:type="pct"/>
            <w:vAlign w:val="center"/>
          </w:tcPr>
          <w:p w14:paraId="0A94AE23" w14:textId="77777777" w:rsidR="00581BFB" w:rsidRPr="00CA7B84" w:rsidRDefault="00581BFB" w:rsidP="00581BFB">
            <w:pPr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4 421 735</w:t>
            </w:r>
          </w:p>
        </w:tc>
      </w:tr>
      <w:tr w:rsidR="00581BFB" w14:paraId="59AD5F22" w14:textId="77777777" w:rsidTr="00581BFB">
        <w:trPr>
          <w:jc w:val="center"/>
        </w:trPr>
        <w:tc>
          <w:tcPr>
            <w:tcW w:w="936" w:type="pct"/>
            <w:vAlign w:val="center"/>
          </w:tcPr>
          <w:p w14:paraId="7D6A6BFB" w14:textId="77777777" w:rsidR="00581BFB" w:rsidRPr="00CA7B84" w:rsidRDefault="00581BFB" w:rsidP="00581BFB">
            <w:pPr>
              <w:rPr>
                <w:rFonts w:cs="Calibri"/>
                <w:sz w:val="22"/>
                <w:szCs w:val="22"/>
              </w:rPr>
            </w:pPr>
            <w:r w:rsidRPr="00CA7B84">
              <w:rPr>
                <w:rFonts w:cs="Calibri"/>
                <w:sz w:val="22"/>
                <w:szCs w:val="22"/>
              </w:rPr>
              <w:t>112V011002020</w:t>
            </w:r>
          </w:p>
        </w:tc>
        <w:tc>
          <w:tcPr>
            <w:tcW w:w="2894" w:type="pct"/>
          </w:tcPr>
          <w:p w14:paraId="76BD7CC2" w14:textId="77777777" w:rsidR="00581BFB" w:rsidRPr="00155B46" w:rsidRDefault="00581BFB" w:rsidP="00155B4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5B46">
              <w:rPr>
                <w:rFonts w:asciiTheme="minorHAnsi" w:hAnsiTheme="minorHAnsi" w:cstheme="minorHAnsi"/>
                <w:sz w:val="22"/>
                <w:szCs w:val="22"/>
              </w:rPr>
              <w:t>Informační systém plánování a přezkoumávání hospodaření územně samosprávných celků – IS MPP</w:t>
            </w:r>
          </w:p>
        </w:tc>
        <w:tc>
          <w:tcPr>
            <w:tcW w:w="1170" w:type="pct"/>
            <w:vAlign w:val="center"/>
          </w:tcPr>
          <w:p w14:paraId="5E6812FD" w14:textId="77777777" w:rsidR="00581BFB" w:rsidRPr="00CA7B84" w:rsidRDefault="00581BFB" w:rsidP="00581BFB">
            <w:pPr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11 393 750</w:t>
            </w:r>
          </w:p>
        </w:tc>
      </w:tr>
      <w:tr w:rsidR="00581BFB" w14:paraId="2ADF15ED" w14:textId="77777777" w:rsidTr="00581BFB">
        <w:trPr>
          <w:jc w:val="center"/>
        </w:trPr>
        <w:tc>
          <w:tcPr>
            <w:tcW w:w="936" w:type="pct"/>
            <w:vAlign w:val="center"/>
          </w:tcPr>
          <w:p w14:paraId="6B27726A" w14:textId="77777777" w:rsidR="00581BFB" w:rsidRPr="00CA7B84" w:rsidRDefault="00581BFB" w:rsidP="00581BFB">
            <w:pPr>
              <w:rPr>
                <w:rFonts w:cs="Calibri"/>
                <w:sz w:val="22"/>
                <w:szCs w:val="22"/>
              </w:rPr>
            </w:pPr>
            <w:r w:rsidRPr="00CA7B84">
              <w:rPr>
                <w:rFonts w:cs="Calibri"/>
                <w:sz w:val="22"/>
                <w:szCs w:val="22"/>
              </w:rPr>
              <w:t>112V011002021</w:t>
            </w:r>
          </w:p>
        </w:tc>
        <w:tc>
          <w:tcPr>
            <w:tcW w:w="2894" w:type="pct"/>
          </w:tcPr>
          <w:p w14:paraId="635D4F41" w14:textId="77777777" w:rsidR="00581BFB" w:rsidRPr="00155B46" w:rsidRDefault="00581BFB" w:rsidP="00155B4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5B46">
              <w:rPr>
                <w:rFonts w:asciiTheme="minorHAnsi" w:hAnsiTheme="minorHAnsi" w:cstheme="minorHAnsi"/>
                <w:sz w:val="22"/>
                <w:szCs w:val="22"/>
              </w:rPr>
              <w:t>OnLine zálohování uživatelských dat</w:t>
            </w:r>
          </w:p>
        </w:tc>
        <w:tc>
          <w:tcPr>
            <w:tcW w:w="1170" w:type="pct"/>
            <w:vAlign w:val="center"/>
          </w:tcPr>
          <w:p w14:paraId="0DB66F78" w14:textId="77777777" w:rsidR="00581BFB" w:rsidRPr="00CA7B84" w:rsidRDefault="00581BFB" w:rsidP="00581BFB">
            <w:pPr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3 553 578</w:t>
            </w:r>
          </w:p>
        </w:tc>
      </w:tr>
      <w:tr w:rsidR="00581BFB" w14:paraId="31F92E2E" w14:textId="77777777" w:rsidTr="00581BFB">
        <w:trPr>
          <w:jc w:val="center"/>
        </w:trPr>
        <w:tc>
          <w:tcPr>
            <w:tcW w:w="936" w:type="pct"/>
            <w:vAlign w:val="center"/>
          </w:tcPr>
          <w:p w14:paraId="4B58FBF0" w14:textId="77777777" w:rsidR="00581BFB" w:rsidRPr="00CA7B84" w:rsidRDefault="00581BFB" w:rsidP="00581BFB">
            <w:pPr>
              <w:rPr>
                <w:rFonts w:cs="Calibri"/>
                <w:sz w:val="22"/>
                <w:szCs w:val="22"/>
              </w:rPr>
            </w:pPr>
            <w:r w:rsidRPr="00CA7B84">
              <w:rPr>
                <w:rFonts w:cs="Calibri"/>
                <w:sz w:val="22"/>
                <w:szCs w:val="22"/>
              </w:rPr>
              <w:t>112V011002022</w:t>
            </w:r>
          </w:p>
        </w:tc>
        <w:tc>
          <w:tcPr>
            <w:tcW w:w="2894" w:type="pct"/>
          </w:tcPr>
          <w:p w14:paraId="2FC61409" w14:textId="77777777" w:rsidR="00581BFB" w:rsidRPr="00155B46" w:rsidRDefault="00581BFB" w:rsidP="00155B4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5B46">
              <w:rPr>
                <w:rFonts w:asciiTheme="minorHAnsi" w:hAnsiTheme="minorHAnsi" w:cstheme="minorHAnsi"/>
                <w:sz w:val="22"/>
                <w:szCs w:val="22"/>
              </w:rPr>
              <w:t>Pořízení počítačových programů</w:t>
            </w:r>
          </w:p>
        </w:tc>
        <w:tc>
          <w:tcPr>
            <w:tcW w:w="1170" w:type="pct"/>
            <w:vAlign w:val="center"/>
          </w:tcPr>
          <w:p w14:paraId="5CFB5BAF" w14:textId="307EBCE2" w:rsidR="00581BFB" w:rsidRPr="00CA7B84" w:rsidRDefault="00581BFB" w:rsidP="00581BFB">
            <w:pPr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64 051 28</w:t>
            </w:r>
            <w:r w:rsidR="00253701">
              <w:rPr>
                <w:rFonts w:cs="Calibri"/>
                <w:sz w:val="22"/>
                <w:szCs w:val="22"/>
              </w:rPr>
              <w:t>7</w:t>
            </w:r>
          </w:p>
        </w:tc>
      </w:tr>
      <w:tr w:rsidR="00581BFB" w14:paraId="2C76222C" w14:textId="77777777" w:rsidTr="00581BFB">
        <w:trPr>
          <w:jc w:val="center"/>
        </w:trPr>
        <w:tc>
          <w:tcPr>
            <w:tcW w:w="936" w:type="pct"/>
            <w:vAlign w:val="center"/>
          </w:tcPr>
          <w:p w14:paraId="3F6D59E0" w14:textId="77777777" w:rsidR="00581BFB" w:rsidRPr="00CA7B84" w:rsidRDefault="00581BFB" w:rsidP="00581BFB">
            <w:pPr>
              <w:rPr>
                <w:rFonts w:cs="Calibri"/>
                <w:sz w:val="22"/>
                <w:szCs w:val="22"/>
              </w:rPr>
            </w:pPr>
            <w:r w:rsidRPr="00CA7B84">
              <w:rPr>
                <w:rFonts w:cs="Calibri"/>
                <w:sz w:val="22"/>
                <w:szCs w:val="22"/>
              </w:rPr>
              <w:t>112V011002023</w:t>
            </w:r>
          </w:p>
        </w:tc>
        <w:tc>
          <w:tcPr>
            <w:tcW w:w="2894" w:type="pct"/>
          </w:tcPr>
          <w:p w14:paraId="611DC4EF" w14:textId="77777777" w:rsidR="00581BFB" w:rsidRPr="00155B46" w:rsidRDefault="00581BFB" w:rsidP="00155B4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5B46">
              <w:rPr>
                <w:rFonts w:asciiTheme="minorHAnsi" w:hAnsiTheme="minorHAnsi" w:cstheme="minorHAnsi"/>
                <w:sz w:val="22"/>
                <w:szCs w:val="22"/>
              </w:rPr>
              <w:t>Pořízení a obnova serverů a SAN technologií</w:t>
            </w:r>
          </w:p>
        </w:tc>
        <w:tc>
          <w:tcPr>
            <w:tcW w:w="1170" w:type="pct"/>
            <w:vAlign w:val="center"/>
          </w:tcPr>
          <w:p w14:paraId="4E18E781" w14:textId="77777777" w:rsidR="00581BFB" w:rsidRPr="00CA7B84" w:rsidRDefault="00581BFB" w:rsidP="00581BFB">
            <w:pPr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20 130 275</w:t>
            </w:r>
          </w:p>
        </w:tc>
      </w:tr>
      <w:tr w:rsidR="00581BFB" w14:paraId="4E95C759" w14:textId="77777777" w:rsidTr="00581BFB">
        <w:trPr>
          <w:jc w:val="center"/>
        </w:trPr>
        <w:tc>
          <w:tcPr>
            <w:tcW w:w="936" w:type="pct"/>
            <w:vAlign w:val="center"/>
          </w:tcPr>
          <w:p w14:paraId="4B09B173" w14:textId="77777777" w:rsidR="00581BFB" w:rsidRPr="00CA7B84" w:rsidRDefault="00581BFB" w:rsidP="00581BFB">
            <w:pPr>
              <w:rPr>
                <w:rFonts w:cs="Calibri"/>
                <w:sz w:val="22"/>
                <w:szCs w:val="22"/>
              </w:rPr>
            </w:pPr>
            <w:r w:rsidRPr="00CA7B84">
              <w:rPr>
                <w:rFonts w:cs="Calibri"/>
                <w:sz w:val="22"/>
                <w:szCs w:val="22"/>
              </w:rPr>
              <w:t>112V011002025</w:t>
            </w:r>
          </w:p>
        </w:tc>
        <w:tc>
          <w:tcPr>
            <w:tcW w:w="2894" w:type="pct"/>
          </w:tcPr>
          <w:p w14:paraId="4DE95CD9" w14:textId="77777777" w:rsidR="00581BFB" w:rsidRPr="00155B46" w:rsidRDefault="00581BFB" w:rsidP="00155B4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5B46">
              <w:rPr>
                <w:rFonts w:asciiTheme="minorHAnsi" w:hAnsiTheme="minorHAnsi" w:cstheme="minorHAnsi"/>
                <w:sz w:val="22"/>
                <w:szCs w:val="22"/>
              </w:rPr>
              <w:t>Hlavní soubory ICT MF</w:t>
            </w:r>
          </w:p>
        </w:tc>
        <w:tc>
          <w:tcPr>
            <w:tcW w:w="1170" w:type="pct"/>
            <w:vAlign w:val="center"/>
          </w:tcPr>
          <w:p w14:paraId="0C9BC308" w14:textId="6D236BBB" w:rsidR="00581BFB" w:rsidRPr="00CA7B84" w:rsidRDefault="00581BFB" w:rsidP="00581BFB">
            <w:pPr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66 753 456</w:t>
            </w:r>
          </w:p>
        </w:tc>
      </w:tr>
      <w:tr w:rsidR="00581BFB" w14:paraId="06963DC9" w14:textId="77777777" w:rsidTr="00581BFB">
        <w:trPr>
          <w:jc w:val="center"/>
        </w:trPr>
        <w:tc>
          <w:tcPr>
            <w:tcW w:w="936" w:type="pct"/>
            <w:vAlign w:val="center"/>
          </w:tcPr>
          <w:p w14:paraId="630D7912" w14:textId="77777777" w:rsidR="00581BFB" w:rsidRPr="00CA7B84" w:rsidRDefault="00581BFB" w:rsidP="00581BFB">
            <w:pPr>
              <w:rPr>
                <w:rFonts w:cs="Calibri"/>
                <w:sz w:val="22"/>
                <w:szCs w:val="22"/>
              </w:rPr>
            </w:pPr>
            <w:r w:rsidRPr="00CA7B84">
              <w:rPr>
                <w:rFonts w:cs="Calibri"/>
                <w:sz w:val="22"/>
                <w:szCs w:val="22"/>
              </w:rPr>
              <w:lastRenderedPageBreak/>
              <w:t>112V011002026</w:t>
            </w:r>
          </w:p>
        </w:tc>
        <w:tc>
          <w:tcPr>
            <w:tcW w:w="2894" w:type="pct"/>
          </w:tcPr>
          <w:p w14:paraId="16EA9C48" w14:textId="6FD1C62E" w:rsidR="00581BFB" w:rsidRPr="00155B46" w:rsidRDefault="00581BFB" w:rsidP="00C250A4">
            <w:pPr>
              <w:ind w:right="-10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5B46">
              <w:rPr>
                <w:rFonts w:asciiTheme="minorHAnsi" w:hAnsiTheme="minorHAnsi" w:cstheme="minorHAnsi"/>
                <w:sz w:val="22"/>
                <w:szCs w:val="22"/>
              </w:rPr>
              <w:t>Pomocné ICT soubory v objektech MF na rok 2008–2009</w:t>
            </w:r>
          </w:p>
        </w:tc>
        <w:tc>
          <w:tcPr>
            <w:tcW w:w="1170" w:type="pct"/>
            <w:vAlign w:val="center"/>
          </w:tcPr>
          <w:p w14:paraId="417A297B" w14:textId="7D83175E" w:rsidR="00581BFB" w:rsidRPr="00CA7B84" w:rsidRDefault="00581BFB" w:rsidP="00581BFB">
            <w:pPr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46 415 237</w:t>
            </w:r>
          </w:p>
        </w:tc>
      </w:tr>
      <w:tr w:rsidR="00581BFB" w14:paraId="0F56F23F" w14:textId="77777777" w:rsidTr="00581BFB">
        <w:trPr>
          <w:jc w:val="center"/>
        </w:trPr>
        <w:tc>
          <w:tcPr>
            <w:tcW w:w="936" w:type="pct"/>
            <w:vAlign w:val="center"/>
          </w:tcPr>
          <w:p w14:paraId="4CCD034A" w14:textId="77777777" w:rsidR="00581BFB" w:rsidRPr="00CA7B84" w:rsidRDefault="00581BFB" w:rsidP="00581BFB">
            <w:pPr>
              <w:rPr>
                <w:rFonts w:cs="Calibri"/>
                <w:sz w:val="22"/>
                <w:szCs w:val="22"/>
              </w:rPr>
            </w:pPr>
            <w:r w:rsidRPr="00CA7B84">
              <w:rPr>
                <w:rFonts w:cs="Calibri"/>
                <w:sz w:val="22"/>
                <w:szCs w:val="22"/>
              </w:rPr>
              <w:t>112V011002027</w:t>
            </w:r>
          </w:p>
        </w:tc>
        <w:tc>
          <w:tcPr>
            <w:tcW w:w="2894" w:type="pct"/>
          </w:tcPr>
          <w:p w14:paraId="7003FB5B" w14:textId="77777777" w:rsidR="00581BFB" w:rsidRPr="00155B46" w:rsidRDefault="00581BFB" w:rsidP="00155B4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5B46">
              <w:rPr>
                <w:rFonts w:asciiTheme="minorHAnsi" w:hAnsiTheme="minorHAnsi" w:cstheme="minorHAnsi"/>
                <w:sz w:val="22"/>
                <w:szCs w:val="22"/>
              </w:rPr>
              <w:t>Vybavení zasedacích místností projekční technikou</w:t>
            </w:r>
          </w:p>
        </w:tc>
        <w:tc>
          <w:tcPr>
            <w:tcW w:w="1170" w:type="pct"/>
            <w:vAlign w:val="center"/>
          </w:tcPr>
          <w:p w14:paraId="63CECB37" w14:textId="77777777" w:rsidR="00581BFB" w:rsidRPr="00CA7B84" w:rsidRDefault="00581BFB" w:rsidP="00581BFB">
            <w:pPr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1 458 612</w:t>
            </w:r>
          </w:p>
        </w:tc>
      </w:tr>
      <w:tr w:rsidR="00581BFB" w14:paraId="03DC1733" w14:textId="77777777" w:rsidTr="00581BFB">
        <w:trPr>
          <w:jc w:val="center"/>
        </w:trPr>
        <w:tc>
          <w:tcPr>
            <w:tcW w:w="936" w:type="pct"/>
            <w:vAlign w:val="center"/>
          </w:tcPr>
          <w:p w14:paraId="159818A1" w14:textId="77777777" w:rsidR="00581BFB" w:rsidRPr="00CA7B84" w:rsidRDefault="00581BFB" w:rsidP="00581BFB">
            <w:pPr>
              <w:rPr>
                <w:rFonts w:cs="Calibri"/>
                <w:sz w:val="22"/>
                <w:szCs w:val="22"/>
              </w:rPr>
            </w:pPr>
            <w:r w:rsidRPr="00CA7B84">
              <w:rPr>
                <w:rFonts w:cs="Calibri"/>
                <w:sz w:val="22"/>
                <w:szCs w:val="22"/>
              </w:rPr>
              <w:t>112V011002028</w:t>
            </w:r>
          </w:p>
        </w:tc>
        <w:tc>
          <w:tcPr>
            <w:tcW w:w="2894" w:type="pct"/>
          </w:tcPr>
          <w:p w14:paraId="06F5A5BE" w14:textId="77777777" w:rsidR="00581BFB" w:rsidRPr="00155B46" w:rsidRDefault="00581BFB" w:rsidP="00155B4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5B46">
              <w:rPr>
                <w:rFonts w:asciiTheme="minorHAnsi" w:hAnsiTheme="minorHAnsi" w:cstheme="minorHAnsi"/>
                <w:sz w:val="22"/>
                <w:szCs w:val="22"/>
              </w:rPr>
              <w:t>IS Automat – stravovací systém</w:t>
            </w:r>
          </w:p>
        </w:tc>
        <w:tc>
          <w:tcPr>
            <w:tcW w:w="1170" w:type="pct"/>
            <w:vAlign w:val="center"/>
          </w:tcPr>
          <w:p w14:paraId="18E427EB" w14:textId="77777777" w:rsidR="00581BFB" w:rsidRPr="00CA7B84" w:rsidRDefault="00581BFB" w:rsidP="00581BFB">
            <w:pPr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231 000</w:t>
            </w:r>
          </w:p>
        </w:tc>
      </w:tr>
      <w:tr w:rsidR="00581BFB" w14:paraId="4ABB9880" w14:textId="77777777" w:rsidTr="00581BFB">
        <w:trPr>
          <w:jc w:val="center"/>
        </w:trPr>
        <w:tc>
          <w:tcPr>
            <w:tcW w:w="936" w:type="pct"/>
            <w:vAlign w:val="center"/>
          </w:tcPr>
          <w:p w14:paraId="2D72B52D" w14:textId="77777777" w:rsidR="00581BFB" w:rsidRPr="00CA7B84" w:rsidRDefault="00581BFB" w:rsidP="00581BFB">
            <w:pPr>
              <w:rPr>
                <w:rFonts w:cs="Calibri"/>
                <w:sz w:val="22"/>
                <w:szCs w:val="22"/>
              </w:rPr>
            </w:pPr>
            <w:r w:rsidRPr="00CA7B84">
              <w:rPr>
                <w:rFonts w:cs="Calibri"/>
                <w:sz w:val="22"/>
                <w:szCs w:val="22"/>
              </w:rPr>
              <w:t>112V011002029</w:t>
            </w:r>
          </w:p>
        </w:tc>
        <w:tc>
          <w:tcPr>
            <w:tcW w:w="2894" w:type="pct"/>
          </w:tcPr>
          <w:p w14:paraId="249D5B49" w14:textId="47E4FEDF" w:rsidR="00581BFB" w:rsidRPr="00155B46" w:rsidRDefault="00581BFB" w:rsidP="00155B4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5B46">
              <w:rPr>
                <w:rFonts w:asciiTheme="minorHAnsi" w:hAnsiTheme="minorHAnsi" w:cstheme="minorHAnsi"/>
                <w:sz w:val="22"/>
                <w:szCs w:val="22"/>
              </w:rPr>
              <w:t>IS SEODA – Systém pro elektronický oběh dokumentů a</w:t>
            </w:r>
            <w:r w:rsidR="00C165FB" w:rsidRPr="00155B4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55B46">
              <w:rPr>
                <w:rFonts w:asciiTheme="minorHAnsi" w:hAnsiTheme="minorHAnsi" w:cstheme="minorHAnsi"/>
                <w:sz w:val="22"/>
                <w:szCs w:val="22"/>
              </w:rPr>
              <w:t>archivaci</w:t>
            </w:r>
          </w:p>
        </w:tc>
        <w:tc>
          <w:tcPr>
            <w:tcW w:w="1170" w:type="pct"/>
            <w:vAlign w:val="center"/>
          </w:tcPr>
          <w:p w14:paraId="43C3D47D" w14:textId="77777777" w:rsidR="00581BFB" w:rsidRPr="00CA7B84" w:rsidRDefault="00581BFB" w:rsidP="00581BFB">
            <w:pPr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19 641 960</w:t>
            </w:r>
          </w:p>
        </w:tc>
      </w:tr>
      <w:tr w:rsidR="00581BFB" w14:paraId="23DCC243" w14:textId="77777777" w:rsidTr="00581BFB">
        <w:trPr>
          <w:jc w:val="center"/>
        </w:trPr>
        <w:tc>
          <w:tcPr>
            <w:tcW w:w="936" w:type="pct"/>
            <w:vAlign w:val="center"/>
          </w:tcPr>
          <w:p w14:paraId="19D63F38" w14:textId="77777777" w:rsidR="00581BFB" w:rsidRPr="00CA7B84" w:rsidRDefault="00581BFB" w:rsidP="00581BFB">
            <w:pPr>
              <w:rPr>
                <w:rFonts w:cs="Calibri"/>
                <w:sz w:val="22"/>
                <w:szCs w:val="22"/>
              </w:rPr>
            </w:pPr>
            <w:r w:rsidRPr="00CA7B84">
              <w:rPr>
                <w:rFonts w:cs="Calibri"/>
                <w:sz w:val="22"/>
                <w:szCs w:val="22"/>
              </w:rPr>
              <w:t>112V011002030</w:t>
            </w:r>
          </w:p>
        </w:tc>
        <w:tc>
          <w:tcPr>
            <w:tcW w:w="2894" w:type="pct"/>
          </w:tcPr>
          <w:p w14:paraId="4B43FD38" w14:textId="77777777" w:rsidR="00581BFB" w:rsidRPr="00155B46" w:rsidRDefault="00581BFB" w:rsidP="00155B4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5B46">
              <w:rPr>
                <w:rFonts w:asciiTheme="minorHAnsi" w:hAnsiTheme="minorHAnsi" w:cstheme="minorHAnsi"/>
                <w:sz w:val="22"/>
                <w:szCs w:val="22"/>
              </w:rPr>
              <w:t>IDSIMA 4-Pro (přístupový a docházkový systém)</w:t>
            </w:r>
          </w:p>
        </w:tc>
        <w:tc>
          <w:tcPr>
            <w:tcW w:w="1170" w:type="pct"/>
            <w:vAlign w:val="center"/>
          </w:tcPr>
          <w:p w14:paraId="0A5617D3" w14:textId="77777777" w:rsidR="00581BFB" w:rsidRPr="00CA7B84" w:rsidRDefault="00581BFB" w:rsidP="00581BFB">
            <w:pPr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1 000 000</w:t>
            </w:r>
          </w:p>
        </w:tc>
      </w:tr>
      <w:tr w:rsidR="00581BFB" w14:paraId="4AF32BB2" w14:textId="77777777" w:rsidTr="00581BFB">
        <w:trPr>
          <w:jc w:val="center"/>
        </w:trPr>
        <w:tc>
          <w:tcPr>
            <w:tcW w:w="936" w:type="pct"/>
            <w:vAlign w:val="center"/>
          </w:tcPr>
          <w:p w14:paraId="67153830" w14:textId="77777777" w:rsidR="00581BFB" w:rsidRPr="00CA7B84" w:rsidRDefault="00581BFB" w:rsidP="00581BFB">
            <w:pPr>
              <w:rPr>
                <w:rFonts w:cs="Calibri"/>
                <w:sz w:val="22"/>
                <w:szCs w:val="22"/>
              </w:rPr>
            </w:pPr>
            <w:r w:rsidRPr="00CA7B84">
              <w:rPr>
                <w:rFonts w:cs="Calibri"/>
                <w:sz w:val="22"/>
                <w:szCs w:val="22"/>
              </w:rPr>
              <w:t>112V011002031</w:t>
            </w:r>
          </w:p>
        </w:tc>
        <w:tc>
          <w:tcPr>
            <w:tcW w:w="2894" w:type="pct"/>
          </w:tcPr>
          <w:p w14:paraId="34197DF4" w14:textId="77777777" w:rsidR="00581BFB" w:rsidRPr="00155B46" w:rsidRDefault="00581BFB" w:rsidP="00155B4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5B46">
              <w:rPr>
                <w:rFonts w:asciiTheme="minorHAnsi" w:hAnsiTheme="minorHAnsi" w:cstheme="minorHAnsi"/>
                <w:sz w:val="22"/>
                <w:szCs w:val="22"/>
              </w:rPr>
              <w:t>Komplexní řešení hlasových služeb resortu Ministerstva financí (KŘHS)</w:t>
            </w:r>
          </w:p>
        </w:tc>
        <w:tc>
          <w:tcPr>
            <w:tcW w:w="1170" w:type="pct"/>
            <w:vAlign w:val="center"/>
          </w:tcPr>
          <w:p w14:paraId="5101BE6D" w14:textId="77777777" w:rsidR="00581BFB" w:rsidRPr="00CA7B84" w:rsidRDefault="00581BFB" w:rsidP="00581BFB">
            <w:pPr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11 783 000</w:t>
            </w:r>
          </w:p>
        </w:tc>
      </w:tr>
      <w:tr w:rsidR="00581BFB" w14:paraId="33B8810A" w14:textId="77777777" w:rsidTr="00581BFB">
        <w:trPr>
          <w:jc w:val="center"/>
        </w:trPr>
        <w:tc>
          <w:tcPr>
            <w:tcW w:w="936" w:type="pct"/>
            <w:vAlign w:val="center"/>
          </w:tcPr>
          <w:p w14:paraId="6DE02C2B" w14:textId="77777777" w:rsidR="00581BFB" w:rsidRPr="00CA7B84" w:rsidRDefault="00581BFB" w:rsidP="00581BFB">
            <w:pPr>
              <w:rPr>
                <w:rFonts w:cs="Calibri"/>
                <w:sz w:val="22"/>
                <w:szCs w:val="22"/>
              </w:rPr>
            </w:pPr>
            <w:r w:rsidRPr="00CA7B84">
              <w:rPr>
                <w:rFonts w:cs="Calibri"/>
                <w:sz w:val="22"/>
                <w:szCs w:val="22"/>
              </w:rPr>
              <w:t>112V011002032</w:t>
            </w:r>
          </w:p>
        </w:tc>
        <w:tc>
          <w:tcPr>
            <w:tcW w:w="2894" w:type="pct"/>
          </w:tcPr>
          <w:p w14:paraId="4C0B6C06" w14:textId="77777777" w:rsidR="00581BFB" w:rsidRPr="00155B46" w:rsidRDefault="00581BFB" w:rsidP="00155B4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5B46">
              <w:rPr>
                <w:rFonts w:asciiTheme="minorHAnsi" w:hAnsiTheme="minorHAnsi" w:cstheme="minorHAnsi"/>
                <w:sz w:val="22"/>
                <w:szCs w:val="22"/>
              </w:rPr>
              <w:t>Aplikační vybavení odborných útvarů MF</w:t>
            </w:r>
          </w:p>
        </w:tc>
        <w:tc>
          <w:tcPr>
            <w:tcW w:w="1170" w:type="pct"/>
            <w:vAlign w:val="center"/>
          </w:tcPr>
          <w:p w14:paraId="6D3C0C80" w14:textId="3E1DCD72" w:rsidR="00581BFB" w:rsidRPr="00CA7B84" w:rsidRDefault="00581BFB" w:rsidP="00581BFB">
            <w:pPr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11 663 508</w:t>
            </w:r>
          </w:p>
        </w:tc>
      </w:tr>
      <w:tr w:rsidR="00581BFB" w14:paraId="59D81174" w14:textId="77777777" w:rsidTr="00581BFB">
        <w:trPr>
          <w:jc w:val="center"/>
        </w:trPr>
        <w:tc>
          <w:tcPr>
            <w:tcW w:w="936" w:type="pct"/>
            <w:vAlign w:val="center"/>
          </w:tcPr>
          <w:p w14:paraId="483B1DE5" w14:textId="77777777" w:rsidR="00581BFB" w:rsidRPr="00CA7B84" w:rsidRDefault="00581BFB" w:rsidP="00581BFB">
            <w:pPr>
              <w:rPr>
                <w:rFonts w:cs="Calibri"/>
                <w:sz w:val="22"/>
                <w:szCs w:val="22"/>
              </w:rPr>
            </w:pPr>
            <w:r w:rsidRPr="00CA7B84">
              <w:rPr>
                <w:rFonts w:cs="Calibri"/>
                <w:sz w:val="22"/>
                <w:szCs w:val="22"/>
              </w:rPr>
              <w:t>112V011002033</w:t>
            </w:r>
          </w:p>
        </w:tc>
        <w:tc>
          <w:tcPr>
            <w:tcW w:w="2894" w:type="pct"/>
          </w:tcPr>
          <w:p w14:paraId="1EF6BC0D" w14:textId="77777777" w:rsidR="00581BFB" w:rsidRPr="00155B46" w:rsidRDefault="00581BFB" w:rsidP="00155B4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5B46">
              <w:rPr>
                <w:rFonts w:asciiTheme="minorHAnsi" w:hAnsiTheme="minorHAnsi" w:cstheme="minorHAnsi"/>
                <w:sz w:val="22"/>
                <w:szCs w:val="22"/>
              </w:rPr>
              <w:t>Výpočetní střediska MF</w:t>
            </w:r>
          </w:p>
        </w:tc>
        <w:tc>
          <w:tcPr>
            <w:tcW w:w="1170" w:type="pct"/>
            <w:vAlign w:val="center"/>
          </w:tcPr>
          <w:p w14:paraId="7A98FABD" w14:textId="1F9A7789" w:rsidR="00581BFB" w:rsidRPr="00CA7B84" w:rsidRDefault="00581BFB" w:rsidP="00581BFB">
            <w:pPr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22 171 017</w:t>
            </w:r>
          </w:p>
        </w:tc>
      </w:tr>
      <w:tr w:rsidR="00581BFB" w14:paraId="7E056D8D" w14:textId="77777777" w:rsidTr="00581BFB">
        <w:trPr>
          <w:jc w:val="center"/>
        </w:trPr>
        <w:tc>
          <w:tcPr>
            <w:tcW w:w="936" w:type="pct"/>
            <w:vAlign w:val="center"/>
          </w:tcPr>
          <w:p w14:paraId="51228574" w14:textId="77777777" w:rsidR="00581BFB" w:rsidRPr="00CA7B84" w:rsidRDefault="00581BFB" w:rsidP="00581BFB">
            <w:pPr>
              <w:rPr>
                <w:rFonts w:cs="Calibri"/>
                <w:sz w:val="22"/>
                <w:szCs w:val="22"/>
              </w:rPr>
            </w:pPr>
            <w:r w:rsidRPr="00CA7B84">
              <w:rPr>
                <w:rFonts w:cs="Calibri"/>
                <w:sz w:val="22"/>
                <w:szCs w:val="22"/>
              </w:rPr>
              <w:t>112V011002034</w:t>
            </w:r>
          </w:p>
        </w:tc>
        <w:tc>
          <w:tcPr>
            <w:tcW w:w="2894" w:type="pct"/>
          </w:tcPr>
          <w:p w14:paraId="346685B6" w14:textId="77777777" w:rsidR="00581BFB" w:rsidRPr="00155B46" w:rsidRDefault="00581BFB" w:rsidP="00C250A4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5B46">
              <w:rPr>
                <w:rFonts w:asciiTheme="minorHAnsi" w:hAnsiTheme="minorHAnsi" w:cstheme="minorHAnsi"/>
                <w:sz w:val="22"/>
                <w:szCs w:val="22"/>
              </w:rPr>
              <w:t>Vybavení zasedacích místností audiokonferenční technikou</w:t>
            </w:r>
          </w:p>
        </w:tc>
        <w:tc>
          <w:tcPr>
            <w:tcW w:w="1170" w:type="pct"/>
            <w:vAlign w:val="center"/>
          </w:tcPr>
          <w:p w14:paraId="5C247766" w14:textId="77777777" w:rsidR="00581BFB" w:rsidRPr="00CA7B84" w:rsidRDefault="00581BFB" w:rsidP="00581BFB">
            <w:pPr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</w:t>
            </w:r>
          </w:p>
        </w:tc>
      </w:tr>
      <w:tr w:rsidR="00581BFB" w14:paraId="2A3357AB" w14:textId="77777777" w:rsidTr="00581BFB">
        <w:trPr>
          <w:jc w:val="center"/>
        </w:trPr>
        <w:tc>
          <w:tcPr>
            <w:tcW w:w="936" w:type="pct"/>
            <w:vAlign w:val="center"/>
          </w:tcPr>
          <w:p w14:paraId="3148B0D6" w14:textId="77777777" w:rsidR="00581BFB" w:rsidRPr="00CA7B84" w:rsidRDefault="00581BFB" w:rsidP="00581BFB">
            <w:pPr>
              <w:rPr>
                <w:rFonts w:cs="Calibri"/>
                <w:sz w:val="22"/>
                <w:szCs w:val="22"/>
              </w:rPr>
            </w:pPr>
            <w:r w:rsidRPr="00CA7B84">
              <w:rPr>
                <w:rFonts w:cs="Calibri"/>
                <w:sz w:val="22"/>
                <w:szCs w:val="22"/>
              </w:rPr>
              <w:t>112V011002035</w:t>
            </w:r>
          </w:p>
        </w:tc>
        <w:tc>
          <w:tcPr>
            <w:tcW w:w="2894" w:type="pct"/>
          </w:tcPr>
          <w:p w14:paraId="4CB4C9E6" w14:textId="77777777" w:rsidR="00581BFB" w:rsidRPr="00155B46" w:rsidRDefault="00581BFB" w:rsidP="00155B4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5B46">
              <w:rPr>
                <w:rFonts w:asciiTheme="minorHAnsi" w:hAnsiTheme="minorHAnsi" w:cstheme="minorHAnsi"/>
                <w:sz w:val="22"/>
                <w:szCs w:val="22"/>
              </w:rPr>
              <w:t>IS Audit</w:t>
            </w:r>
          </w:p>
        </w:tc>
        <w:tc>
          <w:tcPr>
            <w:tcW w:w="1170" w:type="pct"/>
            <w:vAlign w:val="center"/>
          </w:tcPr>
          <w:p w14:paraId="4EB25352" w14:textId="77777777" w:rsidR="00581BFB" w:rsidRPr="00CA7B84" w:rsidRDefault="00581BFB" w:rsidP="00581BFB">
            <w:pPr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5 784 000</w:t>
            </w:r>
          </w:p>
        </w:tc>
      </w:tr>
      <w:tr w:rsidR="00581BFB" w14:paraId="752D6557" w14:textId="77777777" w:rsidTr="00581BFB">
        <w:trPr>
          <w:jc w:val="center"/>
        </w:trPr>
        <w:tc>
          <w:tcPr>
            <w:tcW w:w="936" w:type="pct"/>
            <w:vAlign w:val="center"/>
          </w:tcPr>
          <w:p w14:paraId="0EB6FDA9" w14:textId="77777777" w:rsidR="00581BFB" w:rsidRPr="00CA7B84" w:rsidRDefault="00581BFB" w:rsidP="00581BFB">
            <w:pPr>
              <w:rPr>
                <w:rFonts w:cs="Calibri"/>
                <w:sz w:val="22"/>
                <w:szCs w:val="22"/>
              </w:rPr>
            </w:pPr>
            <w:r w:rsidRPr="00CA7B84">
              <w:rPr>
                <w:rFonts w:cs="Calibri"/>
                <w:sz w:val="22"/>
                <w:szCs w:val="22"/>
              </w:rPr>
              <w:t>112V011002039</w:t>
            </w:r>
          </w:p>
        </w:tc>
        <w:tc>
          <w:tcPr>
            <w:tcW w:w="2894" w:type="pct"/>
          </w:tcPr>
          <w:p w14:paraId="1D2DFB43" w14:textId="77777777" w:rsidR="00581BFB" w:rsidRPr="00155B46" w:rsidRDefault="00581BFB" w:rsidP="00155B4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5B46">
              <w:rPr>
                <w:rFonts w:asciiTheme="minorHAnsi" w:hAnsiTheme="minorHAnsi" w:cstheme="minorHAnsi"/>
                <w:sz w:val="22"/>
                <w:szCs w:val="22"/>
              </w:rPr>
              <w:t>IS AVIS MF</w:t>
            </w:r>
          </w:p>
        </w:tc>
        <w:tc>
          <w:tcPr>
            <w:tcW w:w="1170" w:type="pct"/>
            <w:vAlign w:val="center"/>
          </w:tcPr>
          <w:p w14:paraId="080CFC08" w14:textId="77777777" w:rsidR="00581BFB" w:rsidRPr="00CA7B84" w:rsidRDefault="00581BFB" w:rsidP="00581BFB">
            <w:pPr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3 819 600</w:t>
            </w:r>
          </w:p>
        </w:tc>
      </w:tr>
      <w:tr w:rsidR="00581BFB" w14:paraId="3F61BC80" w14:textId="77777777" w:rsidTr="00581BFB">
        <w:trPr>
          <w:jc w:val="center"/>
        </w:trPr>
        <w:tc>
          <w:tcPr>
            <w:tcW w:w="936" w:type="pct"/>
            <w:vAlign w:val="center"/>
          </w:tcPr>
          <w:p w14:paraId="6995C1C6" w14:textId="77777777" w:rsidR="00581BFB" w:rsidRPr="00CA7B84" w:rsidRDefault="00581BFB" w:rsidP="00581BFB">
            <w:pPr>
              <w:rPr>
                <w:rFonts w:cs="Calibri"/>
                <w:sz w:val="22"/>
                <w:szCs w:val="22"/>
              </w:rPr>
            </w:pPr>
            <w:r w:rsidRPr="00CA7B84">
              <w:rPr>
                <w:rFonts w:cs="Calibri"/>
                <w:sz w:val="22"/>
                <w:szCs w:val="22"/>
              </w:rPr>
              <w:t>112V011002040</w:t>
            </w:r>
          </w:p>
        </w:tc>
        <w:tc>
          <w:tcPr>
            <w:tcW w:w="2894" w:type="pct"/>
          </w:tcPr>
          <w:p w14:paraId="3137BCD8" w14:textId="77777777" w:rsidR="00581BFB" w:rsidRPr="00155B46" w:rsidRDefault="00581BFB" w:rsidP="00155B4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5B46">
              <w:rPr>
                <w:rFonts w:asciiTheme="minorHAnsi" w:hAnsiTheme="minorHAnsi" w:cstheme="minorHAnsi"/>
                <w:sz w:val="22"/>
                <w:szCs w:val="22"/>
              </w:rPr>
              <w:t>Editor zákonu – softwarová aplikace pro volitelné zobrazení právních předpisů</w:t>
            </w:r>
          </w:p>
        </w:tc>
        <w:tc>
          <w:tcPr>
            <w:tcW w:w="1170" w:type="pct"/>
            <w:vAlign w:val="center"/>
          </w:tcPr>
          <w:p w14:paraId="4254843C" w14:textId="77777777" w:rsidR="00581BFB" w:rsidRPr="00CA7B84" w:rsidRDefault="00581BFB" w:rsidP="00581BFB">
            <w:pPr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2 352 000</w:t>
            </w:r>
          </w:p>
        </w:tc>
      </w:tr>
      <w:tr w:rsidR="00581BFB" w14:paraId="0B10333D" w14:textId="77777777" w:rsidTr="00581BFB">
        <w:trPr>
          <w:jc w:val="center"/>
        </w:trPr>
        <w:tc>
          <w:tcPr>
            <w:tcW w:w="936" w:type="pct"/>
            <w:vAlign w:val="center"/>
          </w:tcPr>
          <w:p w14:paraId="23895803" w14:textId="77777777" w:rsidR="00581BFB" w:rsidRPr="00CA7B84" w:rsidRDefault="00581BFB" w:rsidP="00581BFB">
            <w:pPr>
              <w:rPr>
                <w:rFonts w:cs="Calibri"/>
                <w:sz w:val="22"/>
                <w:szCs w:val="22"/>
              </w:rPr>
            </w:pPr>
            <w:r w:rsidRPr="00CA7B84">
              <w:rPr>
                <w:rFonts w:cs="Calibri"/>
                <w:sz w:val="22"/>
                <w:szCs w:val="22"/>
              </w:rPr>
              <w:t>112V011002042</w:t>
            </w:r>
          </w:p>
        </w:tc>
        <w:tc>
          <w:tcPr>
            <w:tcW w:w="2894" w:type="pct"/>
          </w:tcPr>
          <w:p w14:paraId="670238F0" w14:textId="77777777" w:rsidR="00581BFB" w:rsidRPr="00155B46" w:rsidRDefault="00581BFB" w:rsidP="00155B4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5B46">
              <w:rPr>
                <w:rFonts w:asciiTheme="minorHAnsi" w:hAnsiTheme="minorHAnsi" w:cstheme="minorHAnsi"/>
                <w:sz w:val="22"/>
                <w:szCs w:val="22"/>
              </w:rPr>
              <w:t>IS Šachmatky</w:t>
            </w:r>
          </w:p>
        </w:tc>
        <w:tc>
          <w:tcPr>
            <w:tcW w:w="1170" w:type="pct"/>
            <w:vAlign w:val="center"/>
          </w:tcPr>
          <w:p w14:paraId="5B4F44D3" w14:textId="77777777" w:rsidR="00581BFB" w:rsidRPr="00CA7B84" w:rsidRDefault="00581BFB" w:rsidP="00581BFB">
            <w:pPr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</w:t>
            </w:r>
          </w:p>
        </w:tc>
      </w:tr>
      <w:tr w:rsidR="00581BFB" w14:paraId="1DBB0AC7" w14:textId="77777777" w:rsidTr="00581BFB">
        <w:trPr>
          <w:jc w:val="center"/>
        </w:trPr>
        <w:tc>
          <w:tcPr>
            <w:tcW w:w="936" w:type="pct"/>
            <w:vAlign w:val="center"/>
          </w:tcPr>
          <w:p w14:paraId="078A63CF" w14:textId="77777777" w:rsidR="00581BFB" w:rsidRPr="00CA7B84" w:rsidRDefault="00581BFB" w:rsidP="00581BFB">
            <w:pPr>
              <w:rPr>
                <w:rFonts w:cs="Calibri"/>
                <w:sz w:val="22"/>
                <w:szCs w:val="22"/>
              </w:rPr>
            </w:pPr>
            <w:r w:rsidRPr="00CA7B84">
              <w:rPr>
                <w:rFonts w:cs="Calibri"/>
                <w:sz w:val="22"/>
                <w:szCs w:val="22"/>
              </w:rPr>
              <w:t>112V011002043</w:t>
            </w:r>
          </w:p>
        </w:tc>
        <w:tc>
          <w:tcPr>
            <w:tcW w:w="2894" w:type="pct"/>
          </w:tcPr>
          <w:p w14:paraId="6323BBF6" w14:textId="5C4D87DE" w:rsidR="00581BFB" w:rsidRPr="00155B46" w:rsidRDefault="00581BFB" w:rsidP="00155B4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5B46">
              <w:rPr>
                <w:rFonts w:asciiTheme="minorHAnsi" w:hAnsiTheme="minorHAnsi" w:cstheme="minorHAnsi"/>
                <w:sz w:val="22"/>
                <w:szCs w:val="22"/>
              </w:rPr>
              <w:t>IS AUDIT (2011</w:t>
            </w:r>
            <w:r w:rsidR="00C66E41" w:rsidRPr="00155B46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155B46">
              <w:rPr>
                <w:rFonts w:asciiTheme="minorHAnsi" w:hAnsiTheme="minorHAnsi" w:cstheme="minorHAnsi"/>
                <w:sz w:val="22"/>
                <w:szCs w:val="22"/>
              </w:rPr>
              <w:t>2013)</w:t>
            </w:r>
          </w:p>
        </w:tc>
        <w:tc>
          <w:tcPr>
            <w:tcW w:w="1170" w:type="pct"/>
            <w:vAlign w:val="center"/>
          </w:tcPr>
          <w:p w14:paraId="6CEEBC4F" w14:textId="77777777" w:rsidR="00581BFB" w:rsidRPr="00CA7B84" w:rsidRDefault="00581BFB" w:rsidP="00581BFB">
            <w:pPr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1 700 400</w:t>
            </w:r>
          </w:p>
        </w:tc>
      </w:tr>
      <w:tr w:rsidR="00581BFB" w14:paraId="568429AC" w14:textId="77777777" w:rsidTr="00581BFB">
        <w:trPr>
          <w:jc w:val="center"/>
        </w:trPr>
        <w:tc>
          <w:tcPr>
            <w:tcW w:w="936" w:type="pct"/>
            <w:vAlign w:val="center"/>
          </w:tcPr>
          <w:p w14:paraId="2B99334F" w14:textId="77777777" w:rsidR="00581BFB" w:rsidRPr="00CA7B84" w:rsidRDefault="00581BFB" w:rsidP="00581BFB">
            <w:pPr>
              <w:rPr>
                <w:rFonts w:cs="Calibri"/>
                <w:sz w:val="22"/>
                <w:szCs w:val="22"/>
              </w:rPr>
            </w:pPr>
            <w:r w:rsidRPr="00CA7B84">
              <w:rPr>
                <w:rFonts w:cs="Calibri"/>
                <w:sz w:val="22"/>
                <w:szCs w:val="22"/>
              </w:rPr>
              <w:t>112V011002044</w:t>
            </w:r>
          </w:p>
        </w:tc>
        <w:tc>
          <w:tcPr>
            <w:tcW w:w="2894" w:type="pct"/>
          </w:tcPr>
          <w:p w14:paraId="2F522E53" w14:textId="45A446A1" w:rsidR="00581BFB" w:rsidRPr="00155B46" w:rsidRDefault="00581BFB" w:rsidP="00155B4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5B46">
              <w:rPr>
                <w:rFonts w:asciiTheme="minorHAnsi" w:hAnsiTheme="minorHAnsi" w:cstheme="minorHAnsi"/>
                <w:sz w:val="22"/>
                <w:szCs w:val="22"/>
              </w:rPr>
              <w:t>Výpočetní střediska MF (2011</w:t>
            </w:r>
            <w:r w:rsidR="00C66E41" w:rsidRPr="00155B46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155B46">
              <w:rPr>
                <w:rFonts w:asciiTheme="minorHAnsi" w:hAnsiTheme="minorHAnsi" w:cstheme="minorHAnsi"/>
                <w:sz w:val="22"/>
                <w:szCs w:val="22"/>
              </w:rPr>
              <w:t>2013)</w:t>
            </w:r>
          </w:p>
        </w:tc>
        <w:tc>
          <w:tcPr>
            <w:tcW w:w="1170" w:type="pct"/>
            <w:vAlign w:val="center"/>
          </w:tcPr>
          <w:p w14:paraId="7EC7EAB5" w14:textId="11D6EF6E" w:rsidR="00581BFB" w:rsidRPr="00CA7B84" w:rsidRDefault="00581BFB" w:rsidP="00581BFB">
            <w:pPr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26 632 080</w:t>
            </w:r>
          </w:p>
        </w:tc>
      </w:tr>
      <w:tr w:rsidR="00581BFB" w14:paraId="4E4CE221" w14:textId="77777777" w:rsidTr="00581BFB">
        <w:trPr>
          <w:jc w:val="center"/>
        </w:trPr>
        <w:tc>
          <w:tcPr>
            <w:tcW w:w="936" w:type="pct"/>
            <w:vAlign w:val="center"/>
          </w:tcPr>
          <w:p w14:paraId="273F9882" w14:textId="77777777" w:rsidR="00581BFB" w:rsidRPr="00CA7B84" w:rsidRDefault="00581BFB" w:rsidP="00581BFB">
            <w:pPr>
              <w:rPr>
                <w:rFonts w:cs="Calibri"/>
                <w:sz w:val="22"/>
                <w:szCs w:val="22"/>
              </w:rPr>
            </w:pPr>
            <w:r w:rsidRPr="00CA7B84">
              <w:rPr>
                <w:rFonts w:cs="Calibri"/>
                <w:sz w:val="22"/>
                <w:szCs w:val="22"/>
              </w:rPr>
              <w:t>112V011002045</w:t>
            </w:r>
          </w:p>
        </w:tc>
        <w:tc>
          <w:tcPr>
            <w:tcW w:w="2894" w:type="pct"/>
          </w:tcPr>
          <w:p w14:paraId="4DCA71B7" w14:textId="77777777" w:rsidR="00581BFB" w:rsidRPr="00155B46" w:rsidRDefault="00581BFB" w:rsidP="00155B4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5B46">
              <w:rPr>
                <w:rFonts w:asciiTheme="minorHAnsi" w:hAnsiTheme="minorHAnsi" w:cstheme="minorHAnsi"/>
                <w:sz w:val="22"/>
                <w:szCs w:val="22"/>
              </w:rPr>
              <w:t>ICT – budova Janovského (GSA)</w:t>
            </w:r>
          </w:p>
        </w:tc>
        <w:tc>
          <w:tcPr>
            <w:tcW w:w="1170" w:type="pct"/>
            <w:vAlign w:val="center"/>
          </w:tcPr>
          <w:p w14:paraId="6A79660D" w14:textId="1A46DD1E" w:rsidR="00581BFB" w:rsidRPr="00CA7B84" w:rsidRDefault="00581BFB" w:rsidP="00581BFB">
            <w:pPr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1 557 4</w:t>
            </w:r>
            <w:r w:rsidR="00253701">
              <w:rPr>
                <w:rFonts w:cs="Calibri"/>
                <w:sz w:val="22"/>
                <w:szCs w:val="22"/>
              </w:rPr>
              <w:t>50</w:t>
            </w:r>
          </w:p>
        </w:tc>
      </w:tr>
      <w:tr w:rsidR="00581BFB" w14:paraId="307D6659" w14:textId="77777777" w:rsidTr="00581BFB">
        <w:trPr>
          <w:jc w:val="center"/>
        </w:trPr>
        <w:tc>
          <w:tcPr>
            <w:tcW w:w="936" w:type="pct"/>
            <w:vAlign w:val="center"/>
          </w:tcPr>
          <w:p w14:paraId="768BEAEB" w14:textId="77777777" w:rsidR="00581BFB" w:rsidRPr="00CA7B84" w:rsidRDefault="00581BFB" w:rsidP="00581BFB">
            <w:pPr>
              <w:rPr>
                <w:rFonts w:cs="Calibri"/>
                <w:sz w:val="22"/>
                <w:szCs w:val="22"/>
              </w:rPr>
            </w:pPr>
            <w:r w:rsidRPr="00CA7B84">
              <w:rPr>
                <w:rFonts w:cs="Calibri"/>
                <w:sz w:val="22"/>
                <w:szCs w:val="22"/>
              </w:rPr>
              <w:t>112V011002050</w:t>
            </w:r>
          </w:p>
        </w:tc>
        <w:tc>
          <w:tcPr>
            <w:tcW w:w="2894" w:type="pct"/>
          </w:tcPr>
          <w:p w14:paraId="70C03EE4" w14:textId="77777777" w:rsidR="00581BFB" w:rsidRPr="00155B46" w:rsidRDefault="00581BFB" w:rsidP="00155B4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5B46">
              <w:rPr>
                <w:rFonts w:asciiTheme="minorHAnsi" w:hAnsiTheme="minorHAnsi" w:cstheme="minorHAnsi"/>
                <w:sz w:val="22"/>
                <w:szCs w:val="22"/>
              </w:rPr>
              <w:t>IS FKVS</w:t>
            </w:r>
          </w:p>
        </w:tc>
        <w:tc>
          <w:tcPr>
            <w:tcW w:w="1170" w:type="pct"/>
            <w:vAlign w:val="center"/>
          </w:tcPr>
          <w:p w14:paraId="1A39A50B" w14:textId="77777777" w:rsidR="00581BFB" w:rsidRPr="00CA7B84" w:rsidRDefault="00581BFB" w:rsidP="00581BFB">
            <w:pPr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3 932 500</w:t>
            </w:r>
          </w:p>
        </w:tc>
      </w:tr>
      <w:tr w:rsidR="00581BFB" w14:paraId="24EDBFC0" w14:textId="77777777" w:rsidTr="00581BFB">
        <w:trPr>
          <w:jc w:val="center"/>
        </w:trPr>
        <w:tc>
          <w:tcPr>
            <w:tcW w:w="936" w:type="pct"/>
            <w:vAlign w:val="center"/>
          </w:tcPr>
          <w:p w14:paraId="55CC2585" w14:textId="77777777" w:rsidR="00581BFB" w:rsidRPr="00CA7B84" w:rsidRDefault="00581BFB" w:rsidP="00581BFB">
            <w:pPr>
              <w:rPr>
                <w:rFonts w:cs="Calibri"/>
                <w:sz w:val="22"/>
                <w:szCs w:val="22"/>
              </w:rPr>
            </w:pPr>
            <w:r w:rsidRPr="00CA7B84">
              <w:rPr>
                <w:rFonts w:cs="Calibri"/>
                <w:sz w:val="22"/>
                <w:szCs w:val="22"/>
              </w:rPr>
              <w:t>112V011008001</w:t>
            </w:r>
          </w:p>
        </w:tc>
        <w:tc>
          <w:tcPr>
            <w:tcW w:w="2894" w:type="pct"/>
          </w:tcPr>
          <w:p w14:paraId="13C83A35" w14:textId="77777777" w:rsidR="00581BFB" w:rsidRPr="00155B46" w:rsidRDefault="00581BFB" w:rsidP="00155B4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5B46">
              <w:rPr>
                <w:rFonts w:asciiTheme="minorHAnsi" w:hAnsiTheme="minorHAnsi" w:cstheme="minorHAnsi"/>
                <w:sz w:val="22"/>
                <w:szCs w:val="22"/>
              </w:rPr>
              <w:t>KFA – Provozování a vybavenost ICT</w:t>
            </w:r>
          </w:p>
        </w:tc>
        <w:tc>
          <w:tcPr>
            <w:tcW w:w="1170" w:type="pct"/>
            <w:vAlign w:val="center"/>
          </w:tcPr>
          <w:p w14:paraId="036DC366" w14:textId="77777777" w:rsidR="00581BFB" w:rsidRPr="00CA7B84" w:rsidRDefault="00581BFB" w:rsidP="00581BFB">
            <w:pPr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207 224</w:t>
            </w:r>
          </w:p>
        </w:tc>
      </w:tr>
      <w:tr w:rsidR="00581BFB" w14:paraId="15BB9F51" w14:textId="77777777" w:rsidTr="00581BFB">
        <w:trPr>
          <w:jc w:val="center"/>
        </w:trPr>
        <w:tc>
          <w:tcPr>
            <w:tcW w:w="936" w:type="pct"/>
            <w:vAlign w:val="center"/>
          </w:tcPr>
          <w:p w14:paraId="4FE1FC38" w14:textId="77777777" w:rsidR="00581BFB" w:rsidRPr="00CA7B84" w:rsidRDefault="00581BFB" w:rsidP="00581BFB">
            <w:pPr>
              <w:rPr>
                <w:rFonts w:cs="Calibri"/>
                <w:sz w:val="22"/>
                <w:szCs w:val="22"/>
              </w:rPr>
            </w:pPr>
            <w:r w:rsidRPr="00CA7B84">
              <w:rPr>
                <w:rFonts w:cs="Calibri"/>
                <w:sz w:val="22"/>
                <w:szCs w:val="22"/>
              </w:rPr>
              <w:t>112V011008002</w:t>
            </w:r>
          </w:p>
        </w:tc>
        <w:tc>
          <w:tcPr>
            <w:tcW w:w="2894" w:type="pct"/>
          </w:tcPr>
          <w:p w14:paraId="2B95D786" w14:textId="77777777" w:rsidR="00581BFB" w:rsidRPr="00155B46" w:rsidRDefault="00581BFB" w:rsidP="00155B4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5B46">
              <w:rPr>
                <w:rFonts w:asciiTheme="minorHAnsi" w:hAnsiTheme="minorHAnsi" w:cstheme="minorHAnsi"/>
                <w:sz w:val="22"/>
                <w:szCs w:val="22"/>
              </w:rPr>
              <w:t>KFA – Telekomunikace</w:t>
            </w:r>
          </w:p>
        </w:tc>
        <w:tc>
          <w:tcPr>
            <w:tcW w:w="1170" w:type="pct"/>
            <w:vAlign w:val="center"/>
          </w:tcPr>
          <w:p w14:paraId="2E79E7BA" w14:textId="7F1221B7" w:rsidR="00581BFB" w:rsidRPr="00CA7B84" w:rsidRDefault="00581BFB" w:rsidP="00581BFB">
            <w:pPr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99 75</w:t>
            </w:r>
            <w:r w:rsidR="00253701">
              <w:rPr>
                <w:rFonts w:cs="Calibri"/>
                <w:sz w:val="22"/>
                <w:szCs w:val="22"/>
              </w:rPr>
              <w:t>1</w:t>
            </w:r>
          </w:p>
        </w:tc>
      </w:tr>
      <w:tr w:rsidR="00581BFB" w14:paraId="34929254" w14:textId="77777777" w:rsidTr="00581BFB">
        <w:trPr>
          <w:jc w:val="center"/>
        </w:trPr>
        <w:tc>
          <w:tcPr>
            <w:tcW w:w="936" w:type="pct"/>
            <w:vAlign w:val="center"/>
          </w:tcPr>
          <w:p w14:paraId="59DBAA9C" w14:textId="77777777" w:rsidR="00581BFB" w:rsidRPr="00CA7B84" w:rsidRDefault="00581BFB" w:rsidP="00581BFB">
            <w:pPr>
              <w:rPr>
                <w:rFonts w:cs="Calibri"/>
                <w:sz w:val="22"/>
                <w:szCs w:val="22"/>
              </w:rPr>
            </w:pPr>
            <w:r w:rsidRPr="00CA7B84">
              <w:rPr>
                <w:rFonts w:cs="Calibri"/>
                <w:sz w:val="22"/>
                <w:szCs w:val="22"/>
              </w:rPr>
              <w:t>112V01100P002</w:t>
            </w:r>
          </w:p>
        </w:tc>
        <w:tc>
          <w:tcPr>
            <w:tcW w:w="2894" w:type="pct"/>
          </w:tcPr>
          <w:p w14:paraId="5B2D07C0" w14:textId="77777777" w:rsidR="00581BFB" w:rsidRPr="00155B46" w:rsidRDefault="00581BFB" w:rsidP="00155B4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5B46">
              <w:rPr>
                <w:rFonts w:asciiTheme="minorHAnsi" w:hAnsiTheme="minorHAnsi" w:cstheme="minorHAnsi"/>
                <w:sz w:val="22"/>
                <w:szCs w:val="22"/>
              </w:rPr>
              <w:t>Provozování a podpora provozu IS a aplikací</w:t>
            </w:r>
          </w:p>
        </w:tc>
        <w:tc>
          <w:tcPr>
            <w:tcW w:w="1170" w:type="pct"/>
            <w:vAlign w:val="center"/>
          </w:tcPr>
          <w:p w14:paraId="698F2BDC" w14:textId="60004510" w:rsidR="00581BFB" w:rsidRPr="00CA7B84" w:rsidRDefault="00581BFB" w:rsidP="00581BFB">
            <w:pPr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50 271 54</w:t>
            </w:r>
            <w:r w:rsidR="00253701">
              <w:rPr>
                <w:rFonts w:cs="Calibri"/>
                <w:sz w:val="22"/>
                <w:szCs w:val="22"/>
              </w:rPr>
              <w:t>9</w:t>
            </w:r>
          </w:p>
        </w:tc>
      </w:tr>
      <w:tr w:rsidR="00581BFB" w14:paraId="529C9814" w14:textId="77777777" w:rsidTr="00581BFB">
        <w:trPr>
          <w:jc w:val="center"/>
        </w:trPr>
        <w:tc>
          <w:tcPr>
            <w:tcW w:w="936" w:type="pct"/>
            <w:vAlign w:val="center"/>
          </w:tcPr>
          <w:p w14:paraId="76048092" w14:textId="77777777" w:rsidR="00581BFB" w:rsidRPr="00CA7B84" w:rsidRDefault="00581BFB" w:rsidP="00581BFB">
            <w:pPr>
              <w:rPr>
                <w:rFonts w:cs="Calibri"/>
                <w:sz w:val="22"/>
                <w:szCs w:val="22"/>
              </w:rPr>
            </w:pPr>
            <w:r w:rsidRPr="00CA7B84">
              <w:rPr>
                <w:rFonts w:cs="Calibri"/>
                <w:sz w:val="22"/>
                <w:szCs w:val="22"/>
              </w:rPr>
              <w:t>112V01100P004</w:t>
            </w:r>
          </w:p>
        </w:tc>
        <w:tc>
          <w:tcPr>
            <w:tcW w:w="2894" w:type="pct"/>
          </w:tcPr>
          <w:p w14:paraId="25C55C00" w14:textId="77777777" w:rsidR="00581BFB" w:rsidRPr="00155B46" w:rsidRDefault="00581BFB" w:rsidP="00155B4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5B46">
              <w:rPr>
                <w:rFonts w:asciiTheme="minorHAnsi" w:hAnsiTheme="minorHAnsi" w:cstheme="minorHAnsi"/>
                <w:sz w:val="22"/>
                <w:szCs w:val="22"/>
              </w:rPr>
              <w:t>Provozování ICT – MF v r. 2009</w:t>
            </w:r>
          </w:p>
        </w:tc>
        <w:tc>
          <w:tcPr>
            <w:tcW w:w="1170" w:type="pct"/>
            <w:vAlign w:val="center"/>
          </w:tcPr>
          <w:p w14:paraId="1F672253" w14:textId="03F7EC1A" w:rsidR="00581BFB" w:rsidRPr="00CA7B84" w:rsidRDefault="00581BFB" w:rsidP="00581BFB">
            <w:pPr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89 167 852</w:t>
            </w:r>
          </w:p>
        </w:tc>
      </w:tr>
      <w:tr w:rsidR="00581BFB" w14:paraId="490B9F65" w14:textId="77777777" w:rsidTr="00581BFB">
        <w:trPr>
          <w:jc w:val="center"/>
        </w:trPr>
        <w:tc>
          <w:tcPr>
            <w:tcW w:w="936" w:type="pct"/>
            <w:vAlign w:val="center"/>
          </w:tcPr>
          <w:p w14:paraId="5C830D82" w14:textId="77777777" w:rsidR="00581BFB" w:rsidRPr="00CA7B84" w:rsidRDefault="00581BFB" w:rsidP="00581BFB">
            <w:pPr>
              <w:rPr>
                <w:rFonts w:cs="Calibri"/>
                <w:sz w:val="22"/>
                <w:szCs w:val="22"/>
              </w:rPr>
            </w:pPr>
            <w:r w:rsidRPr="00CA7B84">
              <w:rPr>
                <w:rFonts w:cs="Calibri"/>
                <w:sz w:val="22"/>
                <w:szCs w:val="22"/>
              </w:rPr>
              <w:t>112V01100P005</w:t>
            </w:r>
          </w:p>
        </w:tc>
        <w:tc>
          <w:tcPr>
            <w:tcW w:w="2894" w:type="pct"/>
          </w:tcPr>
          <w:p w14:paraId="2AAA10B1" w14:textId="77777777" w:rsidR="00581BFB" w:rsidRPr="00155B46" w:rsidRDefault="00581BFB" w:rsidP="00155B4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5B46">
              <w:rPr>
                <w:rFonts w:asciiTheme="minorHAnsi" w:hAnsiTheme="minorHAnsi" w:cstheme="minorHAnsi"/>
                <w:sz w:val="22"/>
                <w:szCs w:val="22"/>
              </w:rPr>
              <w:t>Provozování a podpora provozu IS a aplikací v roce 2009</w:t>
            </w:r>
          </w:p>
        </w:tc>
        <w:tc>
          <w:tcPr>
            <w:tcW w:w="1170" w:type="pct"/>
            <w:vAlign w:val="center"/>
          </w:tcPr>
          <w:p w14:paraId="594F0F52" w14:textId="4B158E98" w:rsidR="00581BFB" w:rsidRPr="00CA7B84" w:rsidRDefault="00581BFB" w:rsidP="00581BFB">
            <w:pPr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55 274 243</w:t>
            </w:r>
          </w:p>
        </w:tc>
      </w:tr>
      <w:tr w:rsidR="00581BFB" w14:paraId="30877D50" w14:textId="77777777" w:rsidTr="00581BFB">
        <w:trPr>
          <w:jc w:val="center"/>
        </w:trPr>
        <w:tc>
          <w:tcPr>
            <w:tcW w:w="936" w:type="pct"/>
            <w:vAlign w:val="center"/>
          </w:tcPr>
          <w:p w14:paraId="5DEEC107" w14:textId="77777777" w:rsidR="00581BFB" w:rsidRPr="00CA7B84" w:rsidRDefault="00581BFB" w:rsidP="00581BFB">
            <w:pPr>
              <w:rPr>
                <w:rFonts w:cs="Calibri"/>
                <w:sz w:val="22"/>
                <w:szCs w:val="22"/>
              </w:rPr>
            </w:pPr>
            <w:r w:rsidRPr="00CA7B84">
              <w:rPr>
                <w:rFonts w:cs="Calibri"/>
                <w:sz w:val="22"/>
                <w:szCs w:val="22"/>
              </w:rPr>
              <w:t>112V01100P006</w:t>
            </w:r>
          </w:p>
        </w:tc>
        <w:tc>
          <w:tcPr>
            <w:tcW w:w="2894" w:type="pct"/>
          </w:tcPr>
          <w:p w14:paraId="2B70137E" w14:textId="77777777" w:rsidR="00581BFB" w:rsidRPr="00155B46" w:rsidRDefault="00581BFB" w:rsidP="00155B4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5B46">
              <w:rPr>
                <w:rFonts w:asciiTheme="minorHAnsi" w:hAnsiTheme="minorHAnsi" w:cstheme="minorHAnsi"/>
                <w:sz w:val="22"/>
                <w:szCs w:val="22"/>
              </w:rPr>
              <w:t>Financování datových služeb KIVS v r. 2009</w:t>
            </w:r>
          </w:p>
        </w:tc>
        <w:tc>
          <w:tcPr>
            <w:tcW w:w="1170" w:type="pct"/>
            <w:vAlign w:val="center"/>
          </w:tcPr>
          <w:p w14:paraId="05A89C79" w14:textId="53C437B7" w:rsidR="00581BFB" w:rsidRPr="00CA7B84" w:rsidRDefault="00581BFB" w:rsidP="00581BFB">
            <w:pPr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78 565 059</w:t>
            </w:r>
          </w:p>
        </w:tc>
      </w:tr>
      <w:tr w:rsidR="00581BFB" w14:paraId="24DA5E07" w14:textId="77777777" w:rsidTr="00581BFB">
        <w:trPr>
          <w:jc w:val="center"/>
        </w:trPr>
        <w:tc>
          <w:tcPr>
            <w:tcW w:w="936" w:type="pct"/>
            <w:vAlign w:val="center"/>
          </w:tcPr>
          <w:p w14:paraId="58DF381C" w14:textId="77777777" w:rsidR="00581BFB" w:rsidRPr="00CA7B84" w:rsidRDefault="00581BFB" w:rsidP="00581BFB">
            <w:pPr>
              <w:rPr>
                <w:rFonts w:cs="Calibri"/>
                <w:sz w:val="22"/>
                <w:szCs w:val="22"/>
              </w:rPr>
            </w:pPr>
            <w:r w:rsidRPr="00CA7B84">
              <w:rPr>
                <w:rFonts w:cs="Calibri"/>
                <w:sz w:val="22"/>
                <w:szCs w:val="22"/>
              </w:rPr>
              <w:t>112V01100P007</w:t>
            </w:r>
          </w:p>
        </w:tc>
        <w:tc>
          <w:tcPr>
            <w:tcW w:w="2894" w:type="pct"/>
          </w:tcPr>
          <w:p w14:paraId="0678600B" w14:textId="77777777" w:rsidR="00581BFB" w:rsidRPr="00155B46" w:rsidRDefault="00581BFB" w:rsidP="00155B4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5B46">
              <w:rPr>
                <w:rFonts w:asciiTheme="minorHAnsi" w:hAnsiTheme="minorHAnsi" w:cstheme="minorHAnsi"/>
                <w:sz w:val="22"/>
                <w:szCs w:val="22"/>
              </w:rPr>
              <w:t>Financování datových služeb KIVS v r. 2010</w:t>
            </w:r>
          </w:p>
        </w:tc>
        <w:tc>
          <w:tcPr>
            <w:tcW w:w="1170" w:type="pct"/>
            <w:vAlign w:val="center"/>
          </w:tcPr>
          <w:p w14:paraId="53093F9D" w14:textId="553E1489" w:rsidR="00581BFB" w:rsidRPr="00CA7B84" w:rsidRDefault="00581BFB" w:rsidP="00581BFB">
            <w:pPr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66 408 825</w:t>
            </w:r>
          </w:p>
        </w:tc>
      </w:tr>
      <w:tr w:rsidR="00581BFB" w14:paraId="7D1A7459" w14:textId="77777777" w:rsidTr="00581BFB">
        <w:trPr>
          <w:jc w:val="center"/>
        </w:trPr>
        <w:tc>
          <w:tcPr>
            <w:tcW w:w="936" w:type="pct"/>
            <w:vAlign w:val="center"/>
          </w:tcPr>
          <w:p w14:paraId="6855ECE9" w14:textId="77777777" w:rsidR="00581BFB" w:rsidRPr="00CA7B84" w:rsidRDefault="00581BFB" w:rsidP="00581BFB">
            <w:pPr>
              <w:rPr>
                <w:rFonts w:cs="Calibri"/>
                <w:sz w:val="22"/>
                <w:szCs w:val="22"/>
              </w:rPr>
            </w:pPr>
            <w:r w:rsidRPr="00CA7B84">
              <w:rPr>
                <w:rFonts w:cs="Calibri"/>
                <w:sz w:val="22"/>
                <w:szCs w:val="22"/>
              </w:rPr>
              <w:t>112V01100P008</w:t>
            </w:r>
          </w:p>
        </w:tc>
        <w:tc>
          <w:tcPr>
            <w:tcW w:w="2894" w:type="pct"/>
          </w:tcPr>
          <w:p w14:paraId="436E9397" w14:textId="77777777" w:rsidR="00581BFB" w:rsidRPr="00155B46" w:rsidRDefault="00581BFB" w:rsidP="00155B4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5B46">
              <w:rPr>
                <w:rFonts w:asciiTheme="minorHAnsi" w:hAnsiTheme="minorHAnsi" w:cstheme="minorHAnsi"/>
                <w:sz w:val="22"/>
                <w:szCs w:val="22"/>
              </w:rPr>
              <w:t>Financování datových služeb KIVS v r. 2011</w:t>
            </w:r>
          </w:p>
        </w:tc>
        <w:tc>
          <w:tcPr>
            <w:tcW w:w="1170" w:type="pct"/>
            <w:vAlign w:val="center"/>
          </w:tcPr>
          <w:p w14:paraId="0420E5BF" w14:textId="77777777" w:rsidR="00581BFB" w:rsidRPr="00CA7B84" w:rsidRDefault="00581BFB" w:rsidP="00581BFB">
            <w:pPr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73 021 000</w:t>
            </w:r>
          </w:p>
        </w:tc>
      </w:tr>
      <w:tr w:rsidR="00581BFB" w14:paraId="22630581" w14:textId="77777777" w:rsidTr="00581BFB">
        <w:trPr>
          <w:jc w:val="center"/>
        </w:trPr>
        <w:tc>
          <w:tcPr>
            <w:tcW w:w="936" w:type="pct"/>
            <w:vAlign w:val="center"/>
          </w:tcPr>
          <w:p w14:paraId="7AEE81B9" w14:textId="77777777" w:rsidR="00581BFB" w:rsidRPr="00CA7B84" w:rsidRDefault="00581BFB" w:rsidP="00581BFB">
            <w:pPr>
              <w:rPr>
                <w:rFonts w:cs="Calibri"/>
                <w:sz w:val="22"/>
                <w:szCs w:val="22"/>
              </w:rPr>
            </w:pPr>
            <w:r w:rsidRPr="00CA7B84">
              <w:rPr>
                <w:rFonts w:cs="Calibri"/>
                <w:sz w:val="22"/>
                <w:szCs w:val="22"/>
              </w:rPr>
              <w:t>112V01100P009</w:t>
            </w:r>
          </w:p>
        </w:tc>
        <w:tc>
          <w:tcPr>
            <w:tcW w:w="2894" w:type="pct"/>
          </w:tcPr>
          <w:p w14:paraId="2AF39F1A" w14:textId="77777777" w:rsidR="00581BFB" w:rsidRPr="00155B46" w:rsidRDefault="00581BFB" w:rsidP="00155B4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5B46">
              <w:rPr>
                <w:rFonts w:asciiTheme="minorHAnsi" w:hAnsiTheme="minorHAnsi" w:cstheme="minorHAnsi"/>
                <w:sz w:val="22"/>
                <w:szCs w:val="22"/>
              </w:rPr>
              <w:t>Financování datových služeb KIVS v r. 2012</w:t>
            </w:r>
          </w:p>
        </w:tc>
        <w:tc>
          <w:tcPr>
            <w:tcW w:w="1170" w:type="pct"/>
            <w:vAlign w:val="center"/>
          </w:tcPr>
          <w:p w14:paraId="5F2B7CE3" w14:textId="77777777" w:rsidR="00581BFB" w:rsidRPr="00CA7B84" w:rsidRDefault="00581BFB" w:rsidP="00581BFB">
            <w:pPr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65 447 000</w:t>
            </w:r>
          </w:p>
        </w:tc>
      </w:tr>
      <w:tr w:rsidR="00581BFB" w14:paraId="262C5D53" w14:textId="77777777" w:rsidTr="00581BFB">
        <w:trPr>
          <w:jc w:val="center"/>
        </w:trPr>
        <w:tc>
          <w:tcPr>
            <w:tcW w:w="936" w:type="pct"/>
            <w:vAlign w:val="center"/>
          </w:tcPr>
          <w:p w14:paraId="4BD6F510" w14:textId="77777777" w:rsidR="00581BFB" w:rsidRPr="00CA7B84" w:rsidRDefault="00581BFB" w:rsidP="00581BFB">
            <w:pPr>
              <w:rPr>
                <w:rFonts w:cs="Calibri"/>
                <w:sz w:val="22"/>
                <w:szCs w:val="22"/>
              </w:rPr>
            </w:pPr>
            <w:r w:rsidRPr="00CA7B84">
              <w:rPr>
                <w:rFonts w:cs="Calibri"/>
                <w:sz w:val="22"/>
                <w:szCs w:val="22"/>
              </w:rPr>
              <w:t>112V01100P010</w:t>
            </w:r>
          </w:p>
        </w:tc>
        <w:tc>
          <w:tcPr>
            <w:tcW w:w="2894" w:type="pct"/>
          </w:tcPr>
          <w:p w14:paraId="1084406E" w14:textId="77777777" w:rsidR="00581BFB" w:rsidRPr="00155B46" w:rsidRDefault="00581BFB" w:rsidP="00155B4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5B46">
              <w:rPr>
                <w:rFonts w:asciiTheme="minorHAnsi" w:hAnsiTheme="minorHAnsi" w:cstheme="minorHAnsi"/>
                <w:sz w:val="22"/>
                <w:szCs w:val="22"/>
              </w:rPr>
              <w:t>Provozování ICT – MF v r. 2010</w:t>
            </w:r>
          </w:p>
        </w:tc>
        <w:tc>
          <w:tcPr>
            <w:tcW w:w="1170" w:type="pct"/>
            <w:vAlign w:val="center"/>
          </w:tcPr>
          <w:p w14:paraId="3CA878BA" w14:textId="72AED0A3" w:rsidR="00581BFB" w:rsidRPr="00CA7B84" w:rsidRDefault="00581BFB" w:rsidP="00581BFB">
            <w:pPr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82 706 660</w:t>
            </w:r>
          </w:p>
        </w:tc>
      </w:tr>
      <w:tr w:rsidR="00581BFB" w14:paraId="76C9C816" w14:textId="77777777" w:rsidTr="00581BFB">
        <w:trPr>
          <w:jc w:val="center"/>
        </w:trPr>
        <w:tc>
          <w:tcPr>
            <w:tcW w:w="936" w:type="pct"/>
            <w:vAlign w:val="center"/>
          </w:tcPr>
          <w:p w14:paraId="0F050642" w14:textId="77777777" w:rsidR="00581BFB" w:rsidRPr="00CA7B84" w:rsidRDefault="00581BFB" w:rsidP="00581BFB">
            <w:pPr>
              <w:rPr>
                <w:rFonts w:cs="Calibri"/>
                <w:sz w:val="22"/>
                <w:szCs w:val="22"/>
              </w:rPr>
            </w:pPr>
            <w:r w:rsidRPr="00CA7B84">
              <w:rPr>
                <w:rFonts w:cs="Calibri"/>
                <w:sz w:val="22"/>
                <w:szCs w:val="22"/>
              </w:rPr>
              <w:t>112V01100P011</w:t>
            </w:r>
          </w:p>
        </w:tc>
        <w:tc>
          <w:tcPr>
            <w:tcW w:w="2894" w:type="pct"/>
          </w:tcPr>
          <w:p w14:paraId="4ECDC1EE" w14:textId="77777777" w:rsidR="00581BFB" w:rsidRPr="00155B46" w:rsidRDefault="00581BFB" w:rsidP="00155B4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5B46">
              <w:rPr>
                <w:rFonts w:asciiTheme="minorHAnsi" w:hAnsiTheme="minorHAnsi" w:cstheme="minorHAnsi"/>
                <w:sz w:val="22"/>
                <w:szCs w:val="22"/>
              </w:rPr>
              <w:t>Provozování ICT – MF v r. 2011</w:t>
            </w:r>
          </w:p>
        </w:tc>
        <w:tc>
          <w:tcPr>
            <w:tcW w:w="1170" w:type="pct"/>
            <w:vAlign w:val="center"/>
          </w:tcPr>
          <w:p w14:paraId="4695AAE4" w14:textId="1A647EFF" w:rsidR="00581BFB" w:rsidRPr="00CA7B84" w:rsidRDefault="00581BFB" w:rsidP="00581BFB">
            <w:pPr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67 854 50</w:t>
            </w:r>
            <w:r w:rsidR="00253701">
              <w:rPr>
                <w:rFonts w:cs="Calibri"/>
                <w:sz w:val="22"/>
                <w:szCs w:val="22"/>
              </w:rPr>
              <w:t>2</w:t>
            </w:r>
          </w:p>
        </w:tc>
      </w:tr>
      <w:tr w:rsidR="00581BFB" w14:paraId="6914B334" w14:textId="77777777" w:rsidTr="00581BFB">
        <w:trPr>
          <w:jc w:val="center"/>
        </w:trPr>
        <w:tc>
          <w:tcPr>
            <w:tcW w:w="936" w:type="pct"/>
            <w:vAlign w:val="center"/>
          </w:tcPr>
          <w:p w14:paraId="360DFD56" w14:textId="77777777" w:rsidR="00581BFB" w:rsidRPr="00CA7B84" w:rsidRDefault="00581BFB" w:rsidP="00581BFB">
            <w:pPr>
              <w:rPr>
                <w:rFonts w:cs="Calibri"/>
                <w:sz w:val="22"/>
                <w:szCs w:val="22"/>
              </w:rPr>
            </w:pPr>
            <w:r w:rsidRPr="00CA7B84">
              <w:rPr>
                <w:rFonts w:cs="Calibri"/>
                <w:sz w:val="22"/>
                <w:szCs w:val="22"/>
              </w:rPr>
              <w:t>112V01100P012</w:t>
            </w:r>
          </w:p>
        </w:tc>
        <w:tc>
          <w:tcPr>
            <w:tcW w:w="2894" w:type="pct"/>
          </w:tcPr>
          <w:p w14:paraId="51BCA422" w14:textId="77777777" w:rsidR="00581BFB" w:rsidRPr="00155B46" w:rsidRDefault="00581BFB" w:rsidP="00155B4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5B46">
              <w:rPr>
                <w:rFonts w:asciiTheme="minorHAnsi" w:hAnsiTheme="minorHAnsi" w:cstheme="minorHAnsi"/>
                <w:sz w:val="22"/>
                <w:szCs w:val="22"/>
              </w:rPr>
              <w:t>Provozování ICT – MF v r. 2012</w:t>
            </w:r>
          </w:p>
        </w:tc>
        <w:tc>
          <w:tcPr>
            <w:tcW w:w="1170" w:type="pct"/>
            <w:vAlign w:val="center"/>
          </w:tcPr>
          <w:p w14:paraId="4CF188AA" w14:textId="02F64086" w:rsidR="00581BFB" w:rsidRPr="00CA7B84" w:rsidRDefault="00581BFB" w:rsidP="00581BFB">
            <w:pPr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89 041 97</w:t>
            </w:r>
            <w:r w:rsidR="00253701">
              <w:rPr>
                <w:rFonts w:cs="Calibri"/>
                <w:sz w:val="22"/>
                <w:szCs w:val="22"/>
              </w:rPr>
              <w:t>7</w:t>
            </w:r>
          </w:p>
        </w:tc>
      </w:tr>
      <w:tr w:rsidR="00581BFB" w14:paraId="72FDCC47" w14:textId="77777777" w:rsidTr="00581BFB">
        <w:trPr>
          <w:jc w:val="center"/>
        </w:trPr>
        <w:tc>
          <w:tcPr>
            <w:tcW w:w="936" w:type="pct"/>
            <w:vAlign w:val="center"/>
          </w:tcPr>
          <w:p w14:paraId="5A2BBCBD" w14:textId="77777777" w:rsidR="00581BFB" w:rsidRPr="00CA7B84" w:rsidRDefault="00581BFB" w:rsidP="00581BFB">
            <w:pPr>
              <w:rPr>
                <w:rFonts w:cs="Calibri"/>
                <w:sz w:val="22"/>
                <w:szCs w:val="22"/>
              </w:rPr>
            </w:pPr>
            <w:r w:rsidRPr="00CA7B84">
              <w:rPr>
                <w:rFonts w:cs="Calibri"/>
                <w:sz w:val="22"/>
                <w:szCs w:val="22"/>
              </w:rPr>
              <w:t>112V01100P013</w:t>
            </w:r>
          </w:p>
        </w:tc>
        <w:tc>
          <w:tcPr>
            <w:tcW w:w="2894" w:type="pct"/>
          </w:tcPr>
          <w:p w14:paraId="5AF4793F" w14:textId="77777777" w:rsidR="00581BFB" w:rsidRPr="00155B46" w:rsidRDefault="00581BFB" w:rsidP="00155B4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5B46">
              <w:rPr>
                <w:rFonts w:asciiTheme="minorHAnsi" w:hAnsiTheme="minorHAnsi" w:cstheme="minorHAnsi"/>
                <w:sz w:val="22"/>
                <w:szCs w:val="22"/>
              </w:rPr>
              <w:t>Provozování ICT – MF v r. 2013</w:t>
            </w:r>
          </w:p>
        </w:tc>
        <w:tc>
          <w:tcPr>
            <w:tcW w:w="1170" w:type="pct"/>
            <w:vAlign w:val="center"/>
          </w:tcPr>
          <w:p w14:paraId="6FDC56E0" w14:textId="1E793869" w:rsidR="00581BFB" w:rsidRPr="00CA7B84" w:rsidRDefault="00581BFB" w:rsidP="00581BFB">
            <w:pPr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59 654 60</w:t>
            </w:r>
            <w:r w:rsidR="00253701">
              <w:rPr>
                <w:rFonts w:cs="Calibri"/>
                <w:sz w:val="22"/>
                <w:szCs w:val="22"/>
              </w:rPr>
              <w:t>1</w:t>
            </w:r>
          </w:p>
        </w:tc>
      </w:tr>
      <w:tr w:rsidR="00581BFB" w14:paraId="0A7D0863" w14:textId="77777777" w:rsidTr="00581BFB">
        <w:trPr>
          <w:jc w:val="center"/>
        </w:trPr>
        <w:tc>
          <w:tcPr>
            <w:tcW w:w="936" w:type="pct"/>
            <w:vAlign w:val="center"/>
          </w:tcPr>
          <w:p w14:paraId="0D92B835" w14:textId="77777777" w:rsidR="00581BFB" w:rsidRPr="00CA7B84" w:rsidRDefault="00581BFB" w:rsidP="00581BFB">
            <w:pPr>
              <w:rPr>
                <w:rFonts w:cs="Calibri"/>
                <w:sz w:val="22"/>
                <w:szCs w:val="22"/>
              </w:rPr>
            </w:pPr>
            <w:r w:rsidRPr="00CA7B84">
              <w:rPr>
                <w:rFonts w:cs="Calibri"/>
                <w:sz w:val="22"/>
                <w:szCs w:val="22"/>
              </w:rPr>
              <w:t>112V01100P014</w:t>
            </w:r>
          </w:p>
        </w:tc>
        <w:tc>
          <w:tcPr>
            <w:tcW w:w="2894" w:type="pct"/>
          </w:tcPr>
          <w:p w14:paraId="50B178D5" w14:textId="77777777" w:rsidR="00581BFB" w:rsidRPr="00155B46" w:rsidRDefault="00581BFB" w:rsidP="00155B4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5B46">
              <w:rPr>
                <w:rFonts w:asciiTheme="minorHAnsi" w:hAnsiTheme="minorHAnsi" w:cstheme="minorHAnsi"/>
                <w:sz w:val="22"/>
                <w:szCs w:val="22"/>
              </w:rPr>
              <w:t>Provozování a podpora provozu IS a aplikací v r. 2010</w:t>
            </w:r>
          </w:p>
        </w:tc>
        <w:tc>
          <w:tcPr>
            <w:tcW w:w="1170" w:type="pct"/>
            <w:vAlign w:val="center"/>
          </w:tcPr>
          <w:p w14:paraId="43756A55" w14:textId="05ABEA82" w:rsidR="00581BFB" w:rsidRPr="00CA7B84" w:rsidRDefault="00581BFB" w:rsidP="00581BFB">
            <w:pPr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66 761 797</w:t>
            </w:r>
          </w:p>
        </w:tc>
      </w:tr>
      <w:tr w:rsidR="00581BFB" w14:paraId="1372FE59" w14:textId="77777777" w:rsidTr="00581BFB">
        <w:trPr>
          <w:jc w:val="center"/>
        </w:trPr>
        <w:tc>
          <w:tcPr>
            <w:tcW w:w="936" w:type="pct"/>
            <w:vAlign w:val="center"/>
          </w:tcPr>
          <w:p w14:paraId="79B778B5" w14:textId="77777777" w:rsidR="00581BFB" w:rsidRPr="00CA7B84" w:rsidRDefault="00581BFB" w:rsidP="00581BFB">
            <w:pPr>
              <w:rPr>
                <w:rFonts w:cs="Calibri"/>
                <w:sz w:val="22"/>
                <w:szCs w:val="22"/>
              </w:rPr>
            </w:pPr>
            <w:r w:rsidRPr="00CA7B84">
              <w:rPr>
                <w:rFonts w:cs="Calibri"/>
                <w:sz w:val="22"/>
                <w:szCs w:val="22"/>
              </w:rPr>
              <w:t>112V01100P015</w:t>
            </w:r>
          </w:p>
        </w:tc>
        <w:tc>
          <w:tcPr>
            <w:tcW w:w="2894" w:type="pct"/>
          </w:tcPr>
          <w:p w14:paraId="0E9EA12E" w14:textId="77777777" w:rsidR="00581BFB" w:rsidRPr="00155B46" w:rsidRDefault="00581BFB" w:rsidP="00155B4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5B46">
              <w:rPr>
                <w:rFonts w:asciiTheme="minorHAnsi" w:hAnsiTheme="minorHAnsi" w:cstheme="minorHAnsi"/>
                <w:sz w:val="22"/>
                <w:szCs w:val="22"/>
              </w:rPr>
              <w:t>Provozování a podpora provozu IS a aplikací v r. 2011</w:t>
            </w:r>
          </w:p>
        </w:tc>
        <w:tc>
          <w:tcPr>
            <w:tcW w:w="1170" w:type="pct"/>
            <w:vAlign w:val="center"/>
          </w:tcPr>
          <w:p w14:paraId="769A2B10" w14:textId="373FA1D7" w:rsidR="00581BFB" w:rsidRPr="00CA7B84" w:rsidRDefault="00581BFB" w:rsidP="00581BFB">
            <w:pPr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40 027 9</w:t>
            </w:r>
            <w:r w:rsidR="00253701">
              <w:rPr>
                <w:rFonts w:cs="Calibri"/>
                <w:sz w:val="22"/>
                <w:szCs w:val="22"/>
              </w:rPr>
              <w:t>30</w:t>
            </w:r>
          </w:p>
        </w:tc>
      </w:tr>
      <w:tr w:rsidR="00581BFB" w14:paraId="036DC389" w14:textId="77777777" w:rsidTr="00581BFB">
        <w:trPr>
          <w:jc w:val="center"/>
        </w:trPr>
        <w:tc>
          <w:tcPr>
            <w:tcW w:w="936" w:type="pct"/>
            <w:vAlign w:val="center"/>
          </w:tcPr>
          <w:p w14:paraId="3D9467C9" w14:textId="77777777" w:rsidR="00581BFB" w:rsidRPr="00CA7B84" w:rsidRDefault="00581BFB" w:rsidP="00581BFB">
            <w:pPr>
              <w:rPr>
                <w:rFonts w:cs="Calibri"/>
                <w:sz w:val="22"/>
                <w:szCs w:val="22"/>
              </w:rPr>
            </w:pPr>
            <w:r w:rsidRPr="00CA7B84">
              <w:rPr>
                <w:rFonts w:cs="Calibri"/>
                <w:sz w:val="22"/>
                <w:szCs w:val="22"/>
              </w:rPr>
              <w:t>112V01100P016</w:t>
            </w:r>
          </w:p>
        </w:tc>
        <w:tc>
          <w:tcPr>
            <w:tcW w:w="2894" w:type="pct"/>
          </w:tcPr>
          <w:p w14:paraId="015E607E" w14:textId="77777777" w:rsidR="00581BFB" w:rsidRPr="00155B46" w:rsidRDefault="00581BFB" w:rsidP="00155B4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5B46">
              <w:rPr>
                <w:rFonts w:asciiTheme="minorHAnsi" w:hAnsiTheme="minorHAnsi" w:cstheme="minorHAnsi"/>
                <w:sz w:val="22"/>
                <w:szCs w:val="22"/>
              </w:rPr>
              <w:t>Provozování a podpora provozu IS a aplikací v r. 2012</w:t>
            </w:r>
          </w:p>
        </w:tc>
        <w:tc>
          <w:tcPr>
            <w:tcW w:w="1170" w:type="pct"/>
            <w:vAlign w:val="center"/>
          </w:tcPr>
          <w:p w14:paraId="1CA8666A" w14:textId="445D537D" w:rsidR="00581BFB" w:rsidRPr="00CA7B84" w:rsidRDefault="00581BFB" w:rsidP="00581BFB">
            <w:pPr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86 651 706</w:t>
            </w:r>
          </w:p>
        </w:tc>
      </w:tr>
      <w:tr w:rsidR="00581BFB" w14:paraId="4815D8E7" w14:textId="77777777" w:rsidTr="00581BFB">
        <w:trPr>
          <w:jc w:val="center"/>
        </w:trPr>
        <w:tc>
          <w:tcPr>
            <w:tcW w:w="936" w:type="pct"/>
            <w:vAlign w:val="center"/>
          </w:tcPr>
          <w:p w14:paraId="24F30147" w14:textId="77777777" w:rsidR="00581BFB" w:rsidRPr="00CA7B84" w:rsidRDefault="00581BFB" w:rsidP="00581BFB">
            <w:pPr>
              <w:rPr>
                <w:rFonts w:cs="Calibri"/>
                <w:sz w:val="22"/>
                <w:szCs w:val="22"/>
              </w:rPr>
            </w:pPr>
            <w:r w:rsidRPr="00CA7B84">
              <w:rPr>
                <w:rFonts w:cs="Calibri"/>
                <w:sz w:val="22"/>
                <w:szCs w:val="22"/>
              </w:rPr>
              <w:t>112V01100P017</w:t>
            </w:r>
          </w:p>
        </w:tc>
        <w:tc>
          <w:tcPr>
            <w:tcW w:w="2894" w:type="pct"/>
          </w:tcPr>
          <w:p w14:paraId="1984B9DB" w14:textId="77777777" w:rsidR="00581BFB" w:rsidRPr="00155B46" w:rsidRDefault="00581BFB" w:rsidP="00155B4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5B46">
              <w:rPr>
                <w:rFonts w:asciiTheme="minorHAnsi" w:hAnsiTheme="minorHAnsi" w:cstheme="minorHAnsi"/>
                <w:sz w:val="22"/>
                <w:szCs w:val="22"/>
              </w:rPr>
              <w:t>Provozování a podpora provozu IS a aplikací v r. 2013</w:t>
            </w:r>
          </w:p>
        </w:tc>
        <w:tc>
          <w:tcPr>
            <w:tcW w:w="1170" w:type="pct"/>
            <w:vAlign w:val="center"/>
          </w:tcPr>
          <w:p w14:paraId="13DAB31B" w14:textId="77777777" w:rsidR="00581BFB" w:rsidRPr="00CA7B84" w:rsidRDefault="00581BFB" w:rsidP="00581BFB">
            <w:pPr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51 267 300</w:t>
            </w:r>
          </w:p>
        </w:tc>
      </w:tr>
      <w:tr w:rsidR="00581BFB" w14:paraId="28C6D383" w14:textId="77777777" w:rsidTr="00581BFB">
        <w:trPr>
          <w:jc w:val="center"/>
        </w:trPr>
        <w:tc>
          <w:tcPr>
            <w:tcW w:w="936" w:type="pct"/>
            <w:vAlign w:val="center"/>
          </w:tcPr>
          <w:p w14:paraId="092F000F" w14:textId="77777777" w:rsidR="00581BFB" w:rsidRPr="00CA7B84" w:rsidRDefault="00581BFB" w:rsidP="00581BFB">
            <w:pPr>
              <w:rPr>
                <w:rFonts w:cs="Calibri"/>
                <w:sz w:val="22"/>
                <w:szCs w:val="22"/>
              </w:rPr>
            </w:pPr>
            <w:r w:rsidRPr="00CA7B84">
              <w:rPr>
                <w:rFonts w:cs="Calibri"/>
                <w:sz w:val="22"/>
                <w:szCs w:val="22"/>
              </w:rPr>
              <w:t>112V01100P021</w:t>
            </w:r>
          </w:p>
        </w:tc>
        <w:tc>
          <w:tcPr>
            <w:tcW w:w="2894" w:type="pct"/>
          </w:tcPr>
          <w:p w14:paraId="6B21EB0E" w14:textId="77777777" w:rsidR="00581BFB" w:rsidRPr="00155B46" w:rsidRDefault="00581BFB" w:rsidP="00155B4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5B46">
              <w:rPr>
                <w:rFonts w:asciiTheme="minorHAnsi" w:hAnsiTheme="minorHAnsi" w:cstheme="minorHAnsi"/>
                <w:sz w:val="22"/>
                <w:szCs w:val="22"/>
              </w:rPr>
              <w:t>Provozování a podpora provozu IS a aplikací v r. 2014</w:t>
            </w:r>
          </w:p>
        </w:tc>
        <w:tc>
          <w:tcPr>
            <w:tcW w:w="1170" w:type="pct"/>
            <w:vAlign w:val="center"/>
          </w:tcPr>
          <w:p w14:paraId="0F436D5A" w14:textId="1206A91F" w:rsidR="00581BFB" w:rsidRPr="00CA7B84" w:rsidRDefault="00581BFB" w:rsidP="00581BFB">
            <w:pPr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18 988 448</w:t>
            </w:r>
          </w:p>
        </w:tc>
      </w:tr>
      <w:tr w:rsidR="00581BFB" w14:paraId="53C6386A" w14:textId="77777777" w:rsidTr="00581BFB">
        <w:trPr>
          <w:jc w:val="center"/>
        </w:trPr>
        <w:tc>
          <w:tcPr>
            <w:tcW w:w="936" w:type="pct"/>
            <w:vAlign w:val="center"/>
          </w:tcPr>
          <w:p w14:paraId="6EAD1CCF" w14:textId="77777777" w:rsidR="00581BFB" w:rsidRPr="00CA7B84" w:rsidRDefault="00581BFB" w:rsidP="00581BFB">
            <w:pPr>
              <w:rPr>
                <w:rFonts w:cs="Calibri"/>
                <w:sz w:val="22"/>
                <w:szCs w:val="22"/>
              </w:rPr>
            </w:pPr>
            <w:r w:rsidRPr="00CA7B84">
              <w:rPr>
                <w:rFonts w:cs="Calibri"/>
                <w:sz w:val="22"/>
                <w:szCs w:val="22"/>
              </w:rPr>
              <w:t>112V01100P023</w:t>
            </w:r>
          </w:p>
        </w:tc>
        <w:tc>
          <w:tcPr>
            <w:tcW w:w="2894" w:type="pct"/>
          </w:tcPr>
          <w:p w14:paraId="02371156" w14:textId="00BE6808" w:rsidR="00581BFB" w:rsidRPr="00155B46" w:rsidRDefault="00581BFB" w:rsidP="00155B4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5B46">
              <w:rPr>
                <w:rFonts w:asciiTheme="minorHAnsi" w:hAnsiTheme="minorHAnsi" w:cstheme="minorHAnsi"/>
                <w:sz w:val="22"/>
                <w:szCs w:val="22"/>
              </w:rPr>
              <w:t>Financování datových služeb KIVS v r. 2013–2015</w:t>
            </w:r>
          </w:p>
        </w:tc>
        <w:tc>
          <w:tcPr>
            <w:tcW w:w="1170" w:type="pct"/>
            <w:vAlign w:val="center"/>
          </w:tcPr>
          <w:p w14:paraId="15A0C585" w14:textId="4278E880" w:rsidR="00581BFB" w:rsidRPr="00CA7B84" w:rsidRDefault="00581BFB" w:rsidP="00581BFB">
            <w:pPr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62 140 06</w:t>
            </w:r>
            <w:r w:rsidR="00253701">
              <w:rPr>
                <w:rFonts w:cs="Calibri"/>
                <w:sz w:val="22"/>
                <w:szCs w:val="22"/>
              </w:rPr>
              <w:t>9</w:t>
            </w:r>
          </w:p>
        </w:tc>
      </w:tr>
    </w:tbl>
    <w:p w14:paraId="766F14B8" w14:textId="0E59971A" w:rsidR="00581BFB" w:rsidRPr="00D754EB" w:rsidRDefault="00581BFB" w:rsidP="00581BFB">
      <w:pPr>
        <w:rPr>
          <w:rFonts w:ascii="Calibri" w:eastAsia="Calibri" w:hAnsi="Calibri"/>
          <w:sz w:val="20"/>
        </w:rPr>
      </w:pPr>
      <w:r w:rsidRPr="00AB3CA5">
        <w:rPr>
          <w:rFonts w:ascii="Calibri" w:eastAsia="Calibri" w:hAnsi="Calibri"/>
          <w:b/>
          <w:sz w:val="20"/>
        </w:rPr>
        <w:t>Zdroj:</w:t>
      </w:r>
      <w:r w:rsidRPr="00D754EB">
        <w:rPr>
          <w:rFonts w:ascii="Calibri" w:eastAsia="Calibri" w:hAnsi="Calibri"/>
          <w:sz w:val="20"/>
        </w:rPr>
        <w:t xml:space="preserve"> vlastní zpracování </w:t>
      </w:r>
      <w:r w:rsidR="00C05F9D">
        <w:rPr>
          <w:rFonts w:ascii="Calibri" w:eastAsia="Calibri" w:hAnsi="Calibri"/>
          <w:sz w:val="20"/>
        </w:rPr>
        <w:t xml:space="preserve">NKÚ </w:t>
      </w:r>
      <w:r>
        <w:rPr>
          <w:rFonts w:ascii="Calibri" w:eastAsia="Calibri" w:hAnsi="Calibri"/>
          <w:sz w:val="20"/>
        </w:rPr>
        <w:t>na základě</w:t>
      </w:r>
      <w:r w:rsidRPr="00D754EB">
        <w:rPr>
          <w:rFonts w:ascii="Calibri" w:eastAsia="Calibri" w:hAnsi="Calibri"/>
          <w:sz w:val="20"/>
        </w:rPr>
        <w:t> dat SMVS</w:t>
      </w:r>
      <w:r w:rsidR="00AB3CA5">
        <w:rPr>
          <w:rFonts w:ascii="Calibri" w:eastAsia="Calibri" w:hAnsi="Calibri"/>
          <w:sz w:val="20"/>
        </w:rPr>
        <w:t>.</w:t>
      </w:r>
    </w:p>
    <w:p w14:paraId="3BE9FC1C" w14:textId="77777777" w:rsidR="00581BFB" w:rsidRDefault="00581BFB" w:rsidP="001350C1">
      <w:pPr>
        <w:spacing w:after="60" w:line="280" w:lineRule="atLeast"/>
        <w:ind w:left="1843" w:hanging="1843"/>
        <w:jc w:val="left"/>
        <w:rPr>
          <w:rFonts w:cs="Calibri"/>
          <w:color w:val="000000"/>
          <w:lang w:eastAsia="en-US"/>
        </w:rPr>
      </w:pPr>
    </w:p>
    <w:sectPr w:rsidR="00581BFB" w:rsidSect="00194849">
      <w:footerReference w:type="default" r:id="rId15"/>
      <w:headerReference w:type="first" r:id="rId16"/>
      <w:pgSz w:w="11906" w:h="16838"/>
      <w:pgMar w:top="1417" w:right="1417" w:bottom="1417" w:left="1417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38719" w14:textId="77777777" w:rsidR="001D5BC4" w:rsidRDefault="001D5BC4">
      <w:r>
        <w:separator/>
      </w:r>
    </w:p>
  </w:endnote>
  <w:endnote w:type="continuationSeparator" w:id="0">
    <w:p w14:paraId="7D429504" w14:textId="77777777" w:rsidR="001D5BC4" w:rsidRDefault="001D5BC4">
      <w:r>
        <w:continuationSeparator/>
      </w:r>
    </w:p>
  </w:endnote>
  <w:endnote w:type="continuationNotice" w:id="1">
    <w:p w14:paraId="20CF684D" w14:textId="77777777" w:rsidR="001D5BC4" w:rsidRDefault="001D5B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F6F5B" w14:textId="2D443F40" w:rsidR="001D5BC4" w:rsidRPr="00846383" w:rsidRDefault="001D5BC4" w:rsidP="00194849">
    <w:pPr>
      <w:pStyle w:val="Zpat"/>
      <w:jc w:val="center"/>
    </w:pPr>
    <w:r w:rsidRPr="00846383">
      <w:rPr>
        <w:rFonts w:cs="Arial"/>
      </w:rPr>
      <w:fldChar w:fldCharType="begin"/>
    </w:r>
    <w:r w:rsidRPr="00846383">
      <w:rPr>
        <w:rFonts w:cs="Arial"/>
      </w:rPr>
      <w:instrText xml:space="preserve"> PAGE   \* MERGEFORMAT </w:instrText>
    </w:r>
    <w:r w:rsidRPr="00846383">
      <w:rPr>
        <w:rFonts w:cs="Arial"/>
      </w:rPr>
      <w:fldChar w:fldCharType="separate"/>
    </w:r>
    <w:r>
      <w:rPr>
        <w:rFonts w:cs="Arial"/>
        <w:noProof/>
      </w:rPr>
      <w:t>13</w:t>
    </w:r>
    <w:r w:rsidRPr="00846383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8496B" w14:textId="77777777" w:rsidR="001D5BC4" w:rsidRDefault="001D5BC4" w:rsidP="00194849">
      <w:r>
        <w:separator/>
      </w:r>
    </w:p>
  </w:footnote>
  <w:footnote w:type="continuationSeparator" w:id="0">
    <w:p w14:paraId="0A8888F2" w14:textId="77777777" w:rsidR="001D5BC4" w:rsidRDefault="001D5BC4" w:rsidP="00194849">
      <w:r>
        <w:continuationSeparator/>
      </w:r>
    </w:p>
  </w:footnote>
  <w:footnote w:type="continuationNotice" w:id="1">
    <w:p w14:paraId="48500657" w14:textId="77777777" w:rsidR="001D5BC4" w:rsidRDefault="001D5BC4"/>
  </w:footnote>
  <w:footnote w:id="2">
    <w:p w14:paraId="4E615899" w14:textId="2B7B0DD7" w:rsidR="001D5BC4" w:rsidRDefault="001D5BC4" w:rsidP="00045C1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Zákon č. 320/2001 Sb., </w:t>
      </w:r>
      <w:r w:rsidRPr="00E90731">
        <w:t>o finanční kontrole ve veřejné správě a o změně některých zákonů</w:t>
      </w:r>
      <w:r>
        <w:t xml:space="preserve"> </w:t>
      </w:r>
      <w:r w:rsidRPr="00484344">
        <w:t>(zákon o finanční kontrole)</w:t>
      </w:r>
      <w:r>
        <w:t>.</w:t>
      </w:r>
    </w:p>
  </w:footnote>
  <w:footnote w:id="3">
    <w:p w14:paraId="3C65875F" w14:textId="3648519B" w:rsidR="001D5BC4" w:rsidRDefault="001D5BC4" w:rsidP="00C250A4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Vyhláška č. 416/2004 Sb., </w:t>
      </w:r>
      <w:r w:rsidRPr="00484344">
        <w:t xml:space="preserve">kterou se provádí zákon č. 320/2001 Sb., o finanční kontrole ve veřejné správě </w:t>
      </w:r>
      <w:r w:rsidR="00666498">
        <w:br/>
      </w:r>
      <w:r w:rsidRPr="00484344">
        <w:t>a</w:t>
      </w:r>
      <w:r w:rsidR="00666498">
        <w:t xml:space="preserve"> </w:t>
      </w:r>
      <w:r w:rsidRPr="00484344">
        <w:t>o</w:t>
      </w:r>
      <w:r w:rsidR="00666498">
        <w:t xml:space="preserve"> </w:t>
      </w:r>
      <w:r w:rsidRPr="00484344">
        <w:t xml:space="preserve">změně některých zákonů (zákon o finanční kontrole), ve znění zákona č. 309/2002 Sb., zákona </w:t>
      </w:r>
      <w:r>
        <w:br/>
      </w:r>
      <w:r w:rsidRPr="00484344">
        <w:t>č. 320/2002 Sb. a zákona č. 123/2003 Sb.</w:t>
      </w:r>
    </w:p>
  </w:footnote>
  <w:footnote w:id="4">
    <w:p w14:paraId="6AA25876" w14:textId="0B1757E9" w:rsidR="001D5BC4" w:rsidRDefault="001D5BC4" w:rsidP="00C250A4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Zákon č. 499/2004 Sb., o archivnictví a spisové službě.</w:t>
      </w:r>
    </w:p>
  </w:footnote>
  <w:footnote w:id="5">
    <w:p w14:paraId="4331CE1D" w14:textId="74DB081A" w:rsidR="001D5BC4" w:rsidRDefault="001D5BC4" w:rsidP="00045C1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Kontrolní akce č. 15/31 – </w:t>
      </w:r>
      <w:r w:rsidRPr="00C250A4">
        <w:rPr>
          <w:i/>
        </w:rPr>
        <w:t>Peněžní prostředky určené na zajištění informační podpory systému financování programů a dotací a vybrané dotace a programy reprodukce majetku</w:t>
      </w:r>
      <w:r>
        <w:t xml:space="preserve">, kontrolní závěr z této kontrolní akce byl zveřejněn v částce 4/2016 </w:t>
      </w:r>
      <w:r w:rsidRPr="00C250A4">
        <w:rPr>
          <w:i/>
        </w:rPr>
        <w:t>Věstníku NKÚ</w:t>
      </w:r>
      <w:r>
        <w:t>.</w:t>
      </w:r>
    </w:p>
  </w:footnote>
  <w:footnote w:id="6">
    <w:p w14:paraId="16A218DE" w14:textId="2CBC5A9A" w:rsidR="001D5BC4" w:rsidRPr="00565F3E" w:rsidRDefault="001D5BC4" w:rsidP="00C250A4">
      <w:pPr>
        <w:ind w:left="284" w:hanging="284"/>
        <w:rPr>
          <w:sz w:val="20"/>
          <w:szCs w:val="20"/>
        </w:rPr>
      </w:pPr>
      <w:r w:rsidRPr="00C250A4">
        <w:rPr>
          <w:rStyle w:val="Znakapoznpodarou"/>
          <w:sz w:val="20"/>
          <w:szCs w:val="20"/>
        </w:rPr>
        <w:footnoteRef/>
      </w:r>
      <w:r w:rsidRPr="00C250A4">
        <w:rPr>
          <w:sz w:val="20"/>
          <w:szCs w:val="20"/>
        </w:rPr>
        <w:t xml:space="preserve"> </w:t>
      </w:r>
      <w:r>
        <w:tab/>
      </w:r>
      <w:r w:rsidRPr="00565F3E">
        <w:rPr>
          <w:sz w:val="20"/>
          <w:szCs w:val="20"/>
        </w:rPr>
        <w:t xml:space="preserve">112V09 – </w:t>
      </w:r>
      <w:r w:rsidRPr="00C250A4">
        <w:rPr>
          <w:i/>
          <w:sz w:val="20"/>
          <w:szCs w:val="20"/>
        </w:rPr>
        <w:t>Výstavba, obnova a provozování Státní pokladny</w:t>
      </w:r>
      <w:r w:rsidRPr="00565F3E">
        <w:rPr>
          <w:sz w:val="20"/>
          <w:szCs w:val="20"/>
        </w:rPr>
        <w:t xml:space="preserve">. </w:t>
      </w:r>
    </w:p>
    <w:p w14:paraId="63A0B285" w14:textId="50ECA39B" w:rsidR="001D5BC4" w:rsidRPr="00565F3E" w:rsidRDefault="001D5BC4" w:rsidP="00C250A4">
      <w:pPr>
        <w:ind w:left="284"/>
        <w:rPr>
          <w:sz w:val="20"/>
          <w:szCs w:val="20"/>
        </w:rPr>
      </w:pPr>
      <w:r w:rsidRPr="00565F3E">
        <w:rPr>
          <w:sz w:val="20"/>
          <w:szCs w:val="20"/>
        </w:rPr>
        <w:t xml:space="preserve">012V09 – </w:t>
      </w:r>
      <w:r w:rsidRPr="00C250A4">
        <w:rPr>
          <w:rFonts w:cs="Arial"/>
          <w:i/>
          <w:sz w:val="20"/>
          <w:szCs w:val="20"/>
        </w:rPr>
        <w:t>Rozvoj, obnova a provozování Státní pokladny</w:t>
      </w:r>
      <w:r w:rsidRPr="00565F3E">
        <w:rPr>
          <w:rFonts w:cs="Arial"/>
          <w:sz w:val="20"/>
          <w:szCs w:val="20"/>
        </w:rPr>
        <w:t>.</w:t>
      </w:r>
    </w:p>
    <w:p w14:paraId="26ED8929" w14:textId="214D4D19" w:rsidR="001D5BC4" w:rsidRPr="00565F3E" w:rsidRDefault="001D5BC4" w:rsidP="00C250A4">
      <w:pPr>
        <w:ind w:left="284"/>
        <w:rPr>
          <w:sz w:val="20"/>
          <w:szCs w:val="20"/>
        </w:rPr>
      </w:pPr>
      <w:r w:rsidRPr="00565F3E">
        <w:rPr>
          <w:sz w:val="20"/>
          <w:szCs w:val="20"/>
        </w:rPr>
        <w:t xml:space="preserve">012V01 – </w:t>
      </w:r>
      <w:r w:rsidRPr="00C250A4">
        <w:rPr>
          <w:i/>
          <w:iCs/>
          <w:sz w:val="20"/>
          <w:szCs w:val="20"/>
        </w:rPr>
        <w:t>Rozvoj a obnova materiálně technické základny systému řízení Ministerstva financí</w:t>
      </w:r>
      <w:r w:rsidRPr="00565F3E">
        <w:rPr>
          <w:iCs/>
          <w:sz w:val="20"/>
          <w:szCs w:val="20"/>
        </w:rPr>
        <w:t>.</w:t>
      </w:r>
    </w:p>
    <w:p w14:paraId="6E79CC47" w14:textId="6D77889D" w:rsidR="001D5BC4" w:rsidRDefault="001D5BC4" w:rsidP="00546795">
      <w:pPr>
        <w:pStyle w:val="Textpoznpodarou"/>
        <w:ind w:left="284"/>
      </w:pPr>
      <w:r w:rsidRPr="00565F3E">
        <w:rPr>
          <w:rFonts w:cs="Arial"/>
        </w:rPr>
        <w:t xml:space="preserve">012V02 </w:t>
      </w:r>
      <w:r w:rsidRPr="00565F3E">
        <w:t>–</w:t>
      </w:r>
      <w:r w:rsidRPr="00565F3E">
        <w:rPr>
          <w:rFonts w:cs="Arial"/>
        </w:rPr>
        <w:t xml:space="preserve"> </w:t>
      </w:r>
      <w:r w:rsidRPr="00C250A4">
        <w:rPr>
          <w:rFonts w:cs="Arial"/>
          <w:i/>
        </w:rPr>
        <w:t>Rozvoj a obnova MTZ systému řízení MF</w:t>
      </w:r>
      <w:r w:rsidRPr="00565F3E">
        <w:rPr>
          <w:rFonts w:cs="Arial"/>
        </w:rPr>
        <w:t>.</w:t>
      </w:r>
    </w:p>
  </w:footnote>
  <w:footnote w:id="7">
    <w:p w14:paraId="797FA824" w14:textId="35B61629" w:rsidR="001D5BC4" w:rsidRPr="00045C1C" w:rsidRDefault="001D5BC4" w:rsidP="00C250A4">
      <w:pPr>
        <w:pStyle w:val="Textpoznpodarou"/>
        <w:ind w:left="284" w:hanging="284"/>
      </w:pPr>
      <w:r w:rsidRPr="00137708">
        <w:rPr>
          <w:rStyle w:val="Znakapoznpodarou"/>
        </w:rPr>
        <w:footnoteRef/>
      </w:r>
      <w:r w:rsidRPr="00137708">
        <w:t xml:space="preserve"> </w:t>
      </w:r>
      <w:r>
        <w:tab/>
      </w:r>
      <w:r w:rsidRPr="00137708">
        <w:t xml:space="preserve">Zákon č. </w:t>
      </w:r>
      <w:r w:rsidRPr="00045C1C">
        <w:t>219/2000 Sb., o majetku České republiky a jejím vystupování v právních vztazích.</w:t>
      </w:r>
    </w:p>
  </w:footnote>
  <w:footnote w:id="8">
    <w:p w14:paraId="2D98F6D2" w14:textId="4559FE39" w:rsidR="001D5BC4" w:rsidRPr="00C74F13" w:rsidRDefault="001D5BC4" w:rsidP="00C250A4">
      <w:pPr>
        <w:pStyle w:val="Textpoznpodarou"/>
        <w:ind w:left="284" w:hanging="284"/>
      </w:pPr>
      <w:r w:rsidRPr="00C74F13">
        <w:rPr>
          <w:rStyle w:val="Znakapoznpodarou"/>
        </w:rPr>
        <w:footnoteRef/>
      </w:r>
      <w:r w:rsidRPr="00C74F13">
        <w:t xml:space="preserve"> </w:t>
      </w:r>
      <w:r>
        <w:tab/>
      </w:r>
      <w:r w:rsidRPr="00C74F13">
        <w:t xml:space="preserve">MF ve zprávách pro závěrečné vyhodnocení programu 112V01 a </w:t>
      </w:r>
      <w:r>
        <w:t xml:space="preserve">jeho </w:t>
      </w:r>
      <w:r w:rsidRPr="00C74F13">
        <w:t>dvou podprogramů vyhodnocovalo celkem 5 parametrů programu:</w:t>
      </w:r>
    </w:p>
    <w:p w14:paraId="4398DA18" w14:textId="287AB809" w:rsidR="001D5BC4" w:rsidRPr="00C74F13" w:rsidRDefault="001D5BC4" w:rsidP="00C250A4">
      <w:pPr>
        <w:pStyle w:val="Textpoznpodarou"/>
        <w:numPr>
          <w:ilvl w:val="0"/>
          <w:numId w:val="42"/>
        </w:numPr>
        <w:ind w:left="567" w:hanging="283"/>
      </w:pPr>
      <w:r>
        <w:t>s</w:t>
      </w:r>
      <w:r w:rsidRPr="00C74F13">
        <w:t>ledované proaktivně rozhodující služby ICT (Service Desk)</w:t>
      </w:r>
      <w:r>
        <w:t>,</w:t>
      </w:r>
    </w:p>
    <w:p w14:paraId="24C4D848" w14:textId="06F2F742" w:rsidR="001D5BC4" w:rsidRDefault="001D5BC4" w:rsidP="00C250A4">
      <w:pPr>
        <w:pStyle w:val="Textpoznpodarou"/>
        <w:numPr>
          <w:ilvl w:val="0"/>
          <w:numId w:val="42"/>
        </w:numPr>
        <w:ind w:left="567" w:hanging="283"/>
      </w:pPr>
      <w:r>
        <w:t>kvalita služeb datových přípojek pro MF a na FÚ,</w:t>
      </w:r>
    </w:p>
    <w:p w14:paraId="1197354F" w14:textId="3204451E" w:rsidR="001D5BC4" w:rsidRDefault="001D5BC4" w:rsidP="00C250A4">
      <w:pPr>
        <w:pStyle w:val="Textpoznpodarou"/>
        <w:numPr>
          <w:ilvl w:val="0"/>
          <w:numId w:val="42"/>
        </w:numPr>
        <w:ind w:left="567" w:hanging="283"/>
      </w:pPr>
      <w:r>
        <w:t>funkční a provozní spolehlivost v průběhu roku u SW (IS),</w:t>
      </w:r>
    </w:p>
    <w:p w14:paraId="77C31F6C" w14:textId="68DC54D5" w:rsidR="001D5BC4" w:rsidRDefault="001D5BC4" w:rsidP="00C250A4">
      <w:pPr>
        <w:pStyle w:val="Textpoznpodarou"/>
        <w:numPr>
          <w:ilvl w:val="0"/>
          <w:numId w:val="42"/>
        </w:numPr>
        <w:ind w:left="567" w:hanging="283"/>
      </w:pPr>
      <w:r>
        <w:t>zabezpečení SLA VS Vápenka v letech 2010–2014,</w:t>
      </w:r>
    </w:p>
    <w:p w14:paraId="76F32BBB" w14:textId="67AF4D69" w:rsidR="001D5BC4" w:rsidRDefault="001D5BC4" w:rsidP="00C250A4">
      <w:pPr>
        <w:pStyle w:val="Textpoznpodarou"/>
        <w:numPr>
          <w:ilvl w:val="0"/>
          <w:numId w:val="42"/>
        </w:numPr>
        <w:ind w:left="567" w:hanging="283"/>
      </w:pPr>
      <w:r>
        <w:t>zajištění odpovídajících pracovních podmínek a vybavení materiálně technické základny pro výkon funkcí zaměstnanců MF. Dále zabezpečení toho, aby nedocházelo ke znehodnocení majetku, se kterým je příslušné hospodařit MF.</w:t>
      </w:r>
    </w:p>
    <w:p w14:paraId="55246C6B" w14:textId="7FB28BB7" w:rsidR="001D5BC4" w:rsidRDefault="001D5BC4" w:rsidP="00C250A4">
      <w:pPr>
        <w:pStyle w:val="Textpoznpodarou"/>
        <w:ind w:left="284"/>
      </w:pPr>
      <w:r>
        <w:t>Z těchto zpráv vyplývá, že první čtyři parametry byly určeny pro podprogram 112V011, pátý parametr byl určen pro podprogram 112V012.</w:t>
      </w:r>
    </w:p>
  </w:footnote>
  <w:footnote w:id="9">
    <w:p w14:paraId="7F9C0CD2" w14:textId="4E92C179" w:rsidR="001D5BC4" w:rsidRDefault="001D5BC4" w:rsidP="00C250A4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Jako účastník programu.</w:t>
      </w:r>
    </w:p>
  </w:footnote>
  <w:footnote w:id="10">
    <w:p w14:paraId="4B3BD898" w14:textId="6F151F63" w:rsidR="001D5BC4" w:rsidRDefault="001D5BC4" w:rsidP="00C250A4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Jako správce programu.</w:t>
      </w:r>
    </w:p>
  </w:footnote>
  <w:footnote w:id="11">
    <w:p w14:paraId="5A20E9B6" w14:textId="1BEB9784" w:rsidR="001D5BC4" w:rsidRDefault="001D5BC4" w:rsidP="00C250A4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Předmětem plnění bylo dle smlouvy o komplexním zajištění provozu účtenkové loterie poskytování služby spočívající v komplexním zajištění provozu účtenkové loterie, který v sobě zahrnuje registraci hráče, příjem a registraci účtenek, losování výherců, distribuci a výplatu výher, zajištění komunikačních kanálů, zákaznickou podporu, poskytování statistik a statistických dat, spolupráci a součinnost při přípravě herního plánu a PR aktivit.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C19E0" w14:textId="0D10FC97" w:rsidR="001D5BC4" w:rsidRDefault="001D5BC4" w:rsidP="00235EE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85F0C59A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37B2587"/>
    <w:multiLevelType w:val="hybridMultilevel"/>
    <w:tmpl w:val="8A124926"/>
    <w:lvl w:ilvl="0" w:tplc="0ADC0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E3EC0"/>
    <w:multiLevelType w:val="hybridMultilevel"/>
    <w:tmpl w:val="99B43D90"/>
    <w:lvl w:ilvl="0" w:tplc="0ADC0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44ADD"/>
    <w:multiLevelType w:val="hybridMultilevel"/>
    <w:tmpl w:val="CD142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51B9D"/>
    <w:multiLevelType w:val="hybridMultilevel"/>
    <w:tmpl w:val="BD8415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3359C"/>
    <w:multiLevelType w:val="hybridMultilevel"/>
    <w:tmpl w:val="B9766A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B5AD9"/>
    <w:multiLevelType w:val="multilevel"/>
    <w:tmpl w:val="04050021"/>
    <w:styleLink w:val="Styl1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7" w15:restartNumberingAfterBreak="0">
    <w:nsid w:val="13113454"/>
    <w:multiLevelType w:val="hybridMultilevel"/>
    <w:tmpl w:val="8A124926"/>
    <w:lvl w:ilvl="0" w:tplc="0ADC0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53714"/>
    <w:multiLevelType w:val="hybridMultilevel"/>
    <w:tmpl w:val="1DC69142"/>
    <w:lvl w:ilvl="0" w:tplc="080E82F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320C2"/>
    <w:multiLevelType w:val="hybridMultilevel"/>
    <w:tmpl w:val="B1CEB00C"/>
    <w:lvl w:ilvl="0" w:tplc="B8B81E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C523C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0627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F2D5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867D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FC65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C001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5ABC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0C0C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60DCB"/>
    <w:multiLevelType w:val="hybridMultilevel"/>
    <w:tmpl w:val="57BC3C3C"/>
    <w:lvl w:ilvl="0" w:tplc="4D681B8C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10422F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2685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24DB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9CE0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3C41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887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F600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74DB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82B63"/>
    <w:multiLevelType w:val="hybridMultilevel"/>
    <w:tmpl w:val="2E0496BC"/>
    <w:lvl w:ilvl="0" w:tplc="84DEC312">
      <w:start w:val="1"/>
      <w:numFmt w:val="lowerLetter"/>
      <w:lvlText w:val="%1)"/>
      <w:lvlJc w:val="left"/>
      <w:pPr>
        <w:ind w:left="1440" w:hanging="360"/>
      </w:pPr>
    </w:lvl>
    <w:lvl w:ilvl="1" w:tplc="2D741F48" w:tentative="1">
      <w:start w:val="1"/>
      <w:numFmt w:val="lowerLetter"/>
      <w:lvlText w:val="%2."/>
      <w:lvlJc w:val="left"/>
      <w:pPr>
        <w:ind w:left="2160" w:hanging="360"/>
      </w:pPr>
    </w:lvl>
    <w:lvl w:ilvl="2" w:tplc="55701C46" w:tentative="1">
      <w:start w:val="1"/>
      <w:numFmt w:val="lowerRoman"/>
      <w:lvlText w:val="%3."/>
      <w:lvlJc w:val="right"/>
      <w:pPr>
        <w:ind w:left="2880" w:hanging="180"/>
      </w:pPr>
    </w:lvl>
    <w:lvl w:ilvl="3" w:tplc="219601B0" w:tentative="1">
      <w:start w:val="1"/>
      <w:numFmt w:val="decimal"/>
      <w:lvlText w:val="%4."/>
      <w:lvlJc w:val="left"/>
      <w:pPr>
        <w:ind w:left="3600" w:hanging="360"/>
      </w:pPr>
    </w:lvl>
    <w:lvl w:ilvl="4" w:tplc="00E8FF28" w:tentative="1">
      <w:start w:val="1"/>
      <w:numFmt w:val="lowerLetter"/>
      <w:lvlText w:val="%5."/>
      <w:lvlJc w:val="left"/>
      <w:pPr>
        <w:ind w:left="4320" w:hanging="360"/>
      </w:pPr>
    </w:lvl>
    <w:lvl w:ilvl="5" w:tplc="40404E44" w:tentative="1">
      <w:start w:val="1"/>
      <w:numFmt w:val="lowerRoman"/>
      <w:lvlText w:val="%6."/>
      <w:lvlJc w:val="right"/>
      <w:pPr>
        <w:ind w:left="5040" w:hanging="180"/>
      </w:pPr>
    </w:lvl>
    <w:lvl w:ilvl="6" w:tplc="FBDCDB8A" w:tentative="1">
      <w:start w:val="1"/>
      <w:numFmt w:val="decimal"/>
      <w:lvlText w:val="%7."/>
      <w:lvlJc w:val="left"/>
      <w:pPr>
        <w:ind w:left="5760" w:hanging="360"/>
      </w:pPr>
    </w:lvl>
    <w:lvl w:ilvl="7" w:tplc="F08CD606" w:tentative="1">
      <w:start w:val="1"/>
      <w:numFmt w:val="lowerLetter"/>
      <w:lvlText w:val="%8."/>
      <w:lvlJc w:val="left"/>
      <w:pPr>
        <w:ind w:left="6480" w:hanging="360"/>
      </w:pPr>
    </w:lvl>
    <w:lvl w:ilvl="8" w:tplc="282226D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F018E1"/>
    <w:multiLevelType w:val="hybridMultilevel"/>
    <w:tmpl w:val="9108696A"/>
    <w:lvl w:ilvl="0" w:tplc="0ADC0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41D30"/>
    <w:multiLevelType w:val="hybridMultilevel"/>
    <w:tmpl w:val="9E4EB762"/>
    <w:lvl w:ilvl="0" w:tplc="056C8102">
      <w:numFmt w:val="bullet"/>
      <w:lvlText w:val="-"/>
      <w:lvlJc w:val="left"/>
      <w:pPr>
        <w:ind w:left="92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208F47AA"/>
    <w:multiLevelType w:val="hybridMultilevel"/>
    <w:tmpl w:val="A89033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16E61"/>
    <w:multiLevelType w:val="hybridMultilevel"/>
    <w:tmpl w:val="064C12F4"/>
    <w:lvl w:ilvl="0" w:tplc="2C3099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8E48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D045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E811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52FC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C663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2847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DE43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2E0E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102232"/>
    <w:multiLevelType w:val="hybridMultilevel"/>
    <w:tmpl w:val="40AC90FE"/>
    <w:lvl w:ilvl="0" w:tplc="DF569754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904E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3C01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6AAD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BA46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82BA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34A3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968A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8228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7274A1"/>
    <w:multiLevelType w:val="hybridMultilevel"/>
    <w:tmpl w:val="8EE45750"/>
    <w:lvl w:ilvl="0" w:tplc="19CAE27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20118B"/>
    <w:multiLevelType w:val="hybridMultilevel"/>
    <w:tmpl w:val="70AE2590"/>
    <w:lvl w:ilvl="0" w:tplc="0E82F70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F226E9"/>
    <w:multiLevelType w:val="hybridMultilevel"/>
    <w:tmpl w:val="E9FAD9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9D66DD"/>
    <w:multiLevelType w:val="hybridMultilevel"/>
    <w:tmpl w:val="EE549788"/>
    <w:lvl w:ilvl="0" w:tplc="0ADC0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085687"/>
    <w:multiLevelType w:val="hybridMultilevel"/>
    <w:tmpl w:val="07DE54BC"/>
    <w:lvl w:ilvl="0" w:tplc="0ADC0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897FB9"/>
    <w:multiLevelType w:val="hybridMultilevel"/>
    <w:tmpl w:val="8BF81E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353A6E"/>
    <w:multiLevelType w:val="hybridMultilevel"/>
    <w:tmpl w:val="F0F4618C"/>
    <w:lvl w:ilvl="0" w:tplc="0ADC0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0777AD"/>
    <w:multiLevelType w:val="multilevel"/>
    <w:tmpl w:val="0B5AB9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021051D"/>
    <w:multiLevelType w:val="hybridMultilevel"/>
    <w:tmpl w:val="69848760"/>
    <w:lvl w:ilvl="0" w:tplc="0ADC0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8E2378"/>
    <w:multiLevelType w:val="hybridMultilevel"/>
    <w:tmpl w:val="7F021140"/>
    <w:lvl w:ilvl="0" w:tplc="0510B390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510B390">
      <w:start w:val="29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3B4576"/>
    <w:multiLevelType w:val="hybridMultilevel"/>
    <w:tmpl w:val="BDCCAF7A"/>
    <w:lvl w:ilvl="0" w:tplc="FCA6F87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739BD"/>
    <w:multiLevelType w:val="multilevel"/>
    <w:tmpl w:val="BFA24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CF522A8"/>
    <w:multiLevelType w:val="hybridMultilevel"/>
    <w:tmpl w:val="8A124926"/>
    <w:lvl w:ilvl="0" w:tplc="0ADC0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00824"/>
    <w:multiLevelType w:val="hybridMultilevel"/>
    <w:tmpl w:val="7D6864A8"/>
    <w:lvl w:ilvl="0" w:tplc="0ADC0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F60AC4"/>
    <w:multiLevelType w:val="hybridMultilevel"/>
    <w:tmpl w:val="9B86CBF2"/>
    <w:lvl w:ilvl="0" w:tplc="D27C77F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DD674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F67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E851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6C98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01D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07C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28AA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64E1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C84B80"/>
    <w:multiLevelType w:val="hybridMultilevel"/>
    <w:tmpl w:val="F46C9CFE"/>
    <w:lvl w:ilvl="0" w:tplc="0ADC0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0D459C"/>
    <w:multiLevelType w:val="hybridMultilevel"/>
    <w:tmpl w:val="DBBA2D74"/>
    <w:lvl w:ilvl="0" w:tplc="3600F3C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512809"/>
    <w:multiLevelType w:val="hybridMultilevel"/>
    <w:tmpl w:val="F0F4618C"/>
    <w:lvl w:ilvl="0" w:tplc="0ADC0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7F2C69"/>
    <w:multiLevelType w:val="hybridMultilevel"/>
    <w:tmpl w:val="E9BA3190"/>
    <w:lvl w:ilvl="0" w:tplc="BD063F1C">
      <w:start w:val="1"/>
      <w:numFmt w:val="ordinal"/>
      <w:pStyle w:val="Nadpis2"/>
      <w:lvlText w:val="%1"/>
      <w:lvlJc w:val="left"/>
      <w:pPr>
        <w:ind w:left="720" w:hanging="360"/>
      </w:pPr>
      <w:rPr>
        <w:rFonts w:hint="default"/>
      </w:rPr>
    </w:lvl>
    <w:lvl w:ilvl="1" w:tplc="9822D050" w:tentative="1">
      <w:start w:val="1"/>
      <w:numFmt w:val="lowerLetter"/>
      <w:lvlText w:val="%2."/>
      <w:lvlJc w:val="left"/>
      <w:pPr>
        <w:ind w:left="1440" w:hanging="360"/>
      </w:pPr>
    </w:lvl>
    <w:lvl w:ilvl="2" w:tplc="350A1C70" w:tentative="1">
      <w:start w:val="1"/>
      <w:numFmt w:val="lowerRoman"/>
      <w:lvlText w:val="%3."/>
      <w:lvlJc w:val="right"/>
      <w:pPr>
        <w:ind w:left="2160" w:hanging="180"/>
      </w:pPr>
    </w:lvl>
    <w:lvl w:ilvl="3" w:tplc="406AB66C" w:tentative="1">
      <w:start w:val="1"/>
      <w:numFmt w:val="decimal"/>
      <w:lvlText w:val="%4."/>
      <w:lvlJc w:val="left"/>
      <w:pPr>
        <w:ind w:left="2880" w:hanging="360"/>
      </w:pPr>
    </w:lvl>
    <w:lvl w:ilvl="4" w:tplc="E8C8C988" w:tentative="1">
      <w:start w:val="1"/>
      <w:numFmt w:val="lowerLetter"/>
      <w:lvlText w:val="%5."/>
      <w:lvlJc w:val="left"/>
      <w:pPr>
        <w:ind w:left="3600" w:hanging="360"/>
      </w:pPr>
    </w:lvl>
    <w:lvl w:ilvl="5" w:tplc="DBEA4A70" w:tentative="1">
      <w:start w:val="1"/>
      <w:numFmt w:val="lowerRoman"/>
      <w:lvlText w:val="%6."/>
      <w:lvlJc w:val="right"/>
      <w:pPr>
        <w:ind w:left="4320" w:hanging="180"/>
      </w:pPr>
    </w:lvl>
    <w:lvl w:ilvl="6" w:tplc="0C5CA36E" w:tentative="1">
      <w:start w:val="1"/>
      <w:numFmt w:val="decimal"/>
      <w:lvlText w:val="%7."/>
      <w:lvlJc w:val="left"/>
      <w:pPr>
        <w:ind w:left="5040" w:hanging="360"/>
      </w:pPr>
    </w:lvl>
    <w:lvl w:ilvl="7" w:tplc="654A41AE" w:tentative="1">
      <w:start w:val="1"/>
      <w:numFmt w:val="lowerLetter"/>
      <w:lvlText w:val="%8."/>
      <w:lvlJc w:val="left"/>
      <w:pPr>
        <w:ind w:left="5760" w:hanging="360"/>
      </w:pPr>
    </w:lvl>
    <w:lvl w:ilvl="8" w:tplc="FC70E9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A0A51"/>
    <w:multiLevelType w:val="hybridMultilevel"/>
    <w:tmpl w:val="F092B82C"/>
    <w:lvl w:ilvl="0" w:tplc="06AA159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AF5C66"/>
    <w:multiLevelType w:val="hybridMultilevel"/>
    <w:tmpl w:val="EAD0C7E8"/>
    <w:lvl w:ilvl="0" w:tplc="0ADC0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F6871"/>
    <w:multiLevelType w:val="hybridMultilevel"/>
    <w:tmpl w:val="D17871C4"/>
    <w:lvl w:ilvl="0" w:tplc="19CAE27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FF276B"/>
    <w:multiLevelType w:val="multilevel"/>
    <w:tmpl w:val="C07872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52" w:hanging="1800"/>
      </w:pPr>
      <w:rPr>
        <w:rFonts w:hint="default"/>
      </w:rPr>
    </w:lvl>
  </w:abstractNum>
  <w:abstractNum w:abstractNumId="40" w15:restartNumberingAfterBreak="0">
    <w:nsid w:val="7CBA45A8"/>
    <w:multiLevelType w:val="multilevel"/>
    <w:tmpl w:val="C07872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52" w:hanging="1800"/>
      </w:pPr>
      <w:rPr>
        <w:rFonts w:hint="default"/>
      </w:rPr>
    </w:lvl>
  </w:abstractNum>
  <w:abstractNum w:abstractNumId="41" w15:restartNumberingAfterBreak="0">
    <w:nsid w:val="7EE6186A"/>
    <w:multiLevelType w:val="hybridMultilevel"/>
    <w:tmpl w:val="E1365EAE"/>
    <w:lvl w:ilvl="0" w:tplc="AAA2AE0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5"/>
  </w:num>
  <w:num w:numId="4">
    <w:abstractNumId w:val="26"/>
  </w:num>
  <w:num w:numId="5">
    <w:abstractNumId w:val="24"/>
  </w:num>
  <w:num w:numId="6">
    <w:abstractNumId w:val="5"/>
  </w:num>
  <w:num w:numId="7">
    <w:abstractNumId w:val="10"/>
  </w:num>
  <w:num w:numId="8">
    <w:abstractNumId w:val="23"/>
  </w:num>
  <w:num w:numId="9">
    <w:abstractNumId w:val="9"/>
  </w:num>
  <w:num w:numId="10">
    <w:abstractNumId w:val="11"/>
  </w:num>
  <w:num w:numId="11">
    <w:abstractNumId w:val="39"/>
  </w:num>
  <w:num w:numId="12">
    <w:abstractNumId w:val="40"/>
  </w:num>
  <w:num w:numId="1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31"/>
  </w:num>
  <w:num w:numId="16">
    <w:abstractNumId w:val="15"/>
  </w:num>
  <w:num w:numId="17">
    <w:abstractNumId w:val="28"/>
  </w:num>
  <w:num w:numId="18">
    <w:abstractNumId w:val="20"/>
  </w:num>
  <w:num w:numId="19">
    <w:abstractNumId w:val="37"/>
  </w:num>
  <w:num w:numId="20">
    <w:abstractNumId w:val="32"/>
  </w:num>
  <w:num w:numId="21">
    <w:abstractNumId w:val="29"/>
  </w:num>
  <w:num w:numId="22">
    <w:abstractNumId w:val="7"/>
  </w:num>
  <w:num w:numId="23">
    <w:abstractNumId w:val="1"/>
  </w:num>
  <w:num w:numId="24">
    <w:abstractNumId w:val="4"/>
  </w:num>
  <w:num w:numId="25">
    <w:abstractNumId w:val="12"/>
  </w:num>
  <w:num w:numId="26">
    <w:abstractNumId w:val="25"/>
  </w:num>
  <w:num w:numId="27">
    <w:abstractNumId w:val="2"/>
  </w:num>
  <w:num w:numId="28">
    <w:abstractNumId w:val="21"/>
  </w:num>
  <w:num w:numId="29">
    <w:abstractNumId w:val="30"/>
  </w:num>
  <w:num w:numId="30">
    <w:abstractNumId w:val="34"/>
  </w:num>
  <w:num w:numId="31">
    <w:abstractNumId w:val="8"/>
  </w:num>
  <w:num w:numId="32">
    <w:abstractNumId w:val="14"/>
  </w:num>
  <w:num w:numId="33">
    <w:abstractNumId w:val="27"/>
  </w:num>
  <w:num w:numId="34">
    <w:abstractNumId w:val="22"/>
  </w:num>
  <w:num w:numId="35">
    <w:abstractNumId w:val="41"/>
  </w:num>
  <w:num w:numId="36">
    <w:abstractNumId w:val="19"/>
  </w:num>
  <w:num w:numId="37">
    <w:abstractNumId w:val="38"/>
  </w:num>
  <w:num w:numId="38">
    <w:abstractNumId w:val="13"/>
  </w:num>
  <w:num w:numId="39">
    <w:abstractNumId w:val="3"/>
  </w:num>
  <w:num w:numId="40">
    <w:abstractNumId w:val="33"/>
  </w:num>
  <w:num w:numId="41">
    <w:abstractNumId w:val="17"/>
  </w:num>
  <w:num w:numId="42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NotTrackMoves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C16"/>
    <w:rsid w:val="00000DD3"/>
    <w:rsid w:val="00000FB7"/>
    <w:rsid w:val="00001AE3"/>
    <w:rsid w:val="00002228"/>
    <w:rsid w:val="00002BDE"/>
    <w:rsid w:val="00003A7A"/>
    <w:rsid w:val="00004064"/>
    <w:rsid w:val="00004CC3"/>
    <w:rsid w:val="0000512A"/>
    <w:rsid w:val="000057DB"/>
    <w:rsid w:val="000062B1"/>
    <w:rsid w:val="000068C0"/>
    <w:rsid w:val="00007790"/>
    <w:rsid w:val="0000779C"/>
    <w:rsid w:val="00010638"/>
    <w:rsid w:val="000115DF"/>
    <w:rsid w:val="00011842"/>
    <w:rsid w:val="00011918"/>
    <w:rsid w:val="00011ACA"/>
    <w:rsid w:val="00011C6E"/>
    <w:rsid w:val="00011D76"/>
    <w:rsid w:val="00012DF5"/>
    <w:rsid w:val="000133A9"/>
    <w:rsid w:val="000143B8"/>
    <w:rsid w:val="0001496B"/>
    <w:rsid w:val="0001565A"/>
    <w:rsid w:val="0001670D"/>
    <w:rsid w:val="000167AD"/>
    <w:rsid w:val="0001693A"/>
    <w:rsid w:val="00017D44"/>
    <w:rsid w:val="00017F31"/>
    <w:rsid w:val="000226BD"/>
    <w:rsid w:val="00022B5C"/>
    <w:rsid w:val="0002342C"/>
    <w:rsid w:val="00024549"/>
    <w:rsid w:val="00024FC3"/>
    <w:rsid w:val="00025349"/>
    <w:rsid w:val="000258FB"/>
    <w:rsid w:val="00025C47"/>
    <w:rsid w:val="0002651E"/>
    <w:rsid w:val="000273A3"/>
    <w:rsid w:val="000277CB"/>
    <w:rsid w:val="00027A5F"/>
    <w:rsid w:val="00030350"/>
    <w:rsid w:val="000316CB"/>
    <w:rsid w:val="00031972"/>
    <w:rsid w:val="00031D5F"/>
    <w:rsid w:val="00031E83"/>
    <w:rsid w:val="00031EDA"/>
    <w:rsid w:val="00033BE5"/>
    <w:rsid w:val="00033C11"/>
    <w:rsid w:val="000343DC"/>
    <w:rsid w:val="00034556"/>
    <w:rsid w:val="0003465C"/>
    <w:rsid w:val="00034806"/>
    <w:rsid w:val="00034E6E"/>
    <w:rsid w:val="00034F6A"/>
    <w:rsid w:val="000356C5"/>
    <w:rsid w:val="000357C7"/>
    <w:rsid w:val="00036321"/>
    <w:rsid w:val="00036971"/>
    <w:rsid w:val="00037521"/>
    <w:rsid w:val="00037D7E"/>
    <w:rsid w:val="0004009B"/>
    <w:rsid w:val="00040471"/>
    <w:rsid w:val="000413FE"/>
    <w:rsid w:val="0004149A"/>
    <w:rsid w:val="0004269D"/>
    <w:rsid w:val="00042D85"/>
    <w:rsid w:val="00043578"/>
    <w:rsid w:val="00043AD9"/>
    <w:rsid w:val="00043C1E"/>
    <w:rsid w:val="00043C5E"/>
    <w:rsid w:val="00043CBE"/>
    <w:rsid w:val="00044957"/>
    <w:rsid w:val="00044C25"/>
    <w:rsid w:val="00045C1C"/>
    <w:rsid w:val="00046287"/>
    <w:rsid w:val="0004646F"/>
    <w:rsid w:val="000475A3"/>
    <w:rsid w:val="000500AC"/>
    <w:rsid w:val="00050D22"/>
    <w:rsid w:val="00050D2A"/>
    <w:rsid w:val="00051130"/>
    <w:rsid w:val="0005162B"/>
    <w:rsid w:val="00052A75"/>
    <w:rsid w:val="00055CDF"/>
    <w:rsid w:val="00056957"/>
    <w:rsid w:val="00057E45"/>
    <w:rsid w:val="0006029F"/>
    <w:rsid w:val="00060564"/>
    <w:rsid w:val="00060B97"/>
    <w:rsid w:val="00060C5A"/>
    <w:rsid w:val="00060FB2"/>
    <w:rsid w:val="0006134E"/>
    <w:rsid w:val="00061F0A"/>
    <w:rsid w:val="00062117"/>
    <w:rsid w:val="000625B3"/>
    <w:rsid w:val="0006298D"/>
    <w:rsid w:val="0006316C"/>
    <w:rsid w:val="00063A01"/>
    <w:rsid w:val="0006423F"/>
    <w:rsid w:val="000643BD"/>
    <w:rsid w:val="00064A7D"/>
    <w:rsid w:val="00064B4D"/>
    <w:rsid w:val="00065049"/>
    <w:rsid w:val="0006525E"/>
    <w:rsid w:val="00065745"/>
    <w:rsid w:val="00066380"/>
    <w:rsid w:val="00066A48"/>
    <w:rsid w:val="0006750D"/>
    <w:rsid w:val="00067BBA"/>
    <w:rsid w:val="000700A5"/>
    <w:rsid w:val="000716B5"/>
    <w:rsid w:val="00071B52"/>
    <w:rsid w:val="00071E2E"/>
    <w:rsid w:val="00071F34"/>
    <w:rsid w:val="000729F2"/>
    <w:rsid w:val="00072A29"/>
    <w:rsid w:val="00072CBD"/>
    <w:rsid w:val="00072EBF"/>
    <w:rsid w:val="00073094"/>
    <w:rsid w:val="000739C0"/>
    <w:rsid w:val="000745C5"/>
    <w:rsid w:val="00075962"/>
    <w:rsid w:val="00075E33"/>
    <w:rsid w:val="00075F67"/>
    <w:rsid w:val="00076674"/>
    <w:rsid w:val="00076CF0"/>
    <w:rsid w:val="000773F4"/>
    <w:rsid w:val="00077942"/>
    <w:rsid w:val="00077F61"/>
    <w:rsid w:val="00080460"/>
    <w:rsid w:val="000809FF"/>
    <w:rsid w:val="00080EB0"/>
    <w:rsid w:val="00081ECF"/>
    <w:rsid w:val="00082756"/>
    <w:rsid w:val="00083EDE"/>
    <w:rsid w:val="00083FF7"/>
    <w:rsid w:val="000841FA"/>
    <w:rsid w:val="00085878"/>
    <w:rsid w:val="00086248"/>
    <w:rsid w:val="0008679F"/>
    <w:rsid w:val="00086836"/>
    <w:rsid w:val="00086F91"/>
    <w:rsid w:val="0008769E"/>
    <w:rsid w:val="00087790"/>
    <w:rsid w:val="00087C6C"/>
    <w:rsid w:val="00090616"/>
    <w:rsid w:val="0009080B"/>
    <w:rsid w:val="00091597"/>
    <w:rsid w:val="0009190F"/>
    <w:rsid w:val="00091F8B"/>
    <w:rsid w:val="000926E1"/>
    <w:rsid w:val="00093173"/>
    <w:rsid w:val="00093F48"/>
    <w:rsid w:val="00095513"/>
    <w:rsid w:val="00095CCC"/>
    <w:rsid w:val="000964EB"/>
    <w:rsid w:val="00097524"/>
    <w:rsid w:val="00097574"/>
    <w:rsid w:val="00097757"/>
    <w:rsid w:val="000A00DA"/>
    <w:rsid w:val="000A073F"/>
    <w:rsid w:val="000A10B9"/>
    <w:rsid w:val="000A147C"/>
    <w:rsid w:val="000A1A1A"/>
    <w:rsid w:val="000A1D46"/>
    <w:rsid w:val="000A2478"/>
    <w:rsid w:val="000A25A2"/>
    <w:rsid w:val="000A2B2C"/>
    <w:rsid w:val="000A2D60"/>
    <w:rsid w:val="000A34C2"/>
    <w:rsid w:val="000A39D9"/>
    <w:rsid w:val="000A3BAA"/>
    <w:rsid w:val="000A465B"/>
    <w:rsid w:val="000A5D1C"/>
    <w:rsid w:val="000A6BD7"/>
    <w:rsid w:val="000A6E76"/>
    <w:rsid w:val="000A7D1E"/>
    <w:rsid w:val="000A7F1D"/>
    <w:rsid w:val="000B0E1F"/>
    <w:rsid w:val="000B0FE7"/>
    <w:rsid w:val="000B123B"/>
    <w:rsid w:val="000B1CC8"/>
    <w:rsid w:val="000B2C9A"/>
    <w:rsid w:val="000B3608"/>
    <w:rsid w:val="000B3898"/>
    <w:rsid w:val="000B3B19"/>
    <w:rsid w:val="000B3D77"/>
    <w:rsid w:val="000B47BE"/>
    <w:rsid w:val="000B4B81"/>
    <w:rsid w:val="000B4BC3"/>
    <w:rsid w:val="000B5659"/>
    <w:rsid w:val="000B5969"/>
    <w:rsid w:val="000B59CC"/>
    <w:rsid w:val="000B63DD"/>
    <w:rsid w:val="000B69B7"/>
    <w:rsid w:val="000B6B58"/>
    <w:rsid w:val="000B6D29"/>
    <w:rsid w:val="000B7740"/>
    <w:rsid w:val="000B79E7"/>
    <w:rsid w:val="000C0058"/>
    <w:rsid w:val="000C0432"/>
    <w:rsid w:val="000C0FCD"/>
    <w:rsid w:val="000C198A"/>
    <w:rsid w:val="000C1A1E"/>
    <w:rsid w:val="000C1F36"/>
    <w:rsid w:val="000C22C5"/>
    <w:rsid w:val="000C272E"/>
    <w:rsid w:val="000C2E77"/>
    <w:rsid w:val="000C3303"/>
    <w:rsid w:val="000C3A61"/>
    <w:rsid w:val="000C4618"/>
    <w:rsid w:val="000C55F2"/>
    <w:rsid w:val="000C5D07"/>
    <w:rsid w:val="000C6237"/>
    <w:rsid w:val="000C63E9"/>
    <w:rsid w:val="000C651A"/>
    <w:rsid w:val="000C6844"/>
    <w:rsid w:val="000C69AA"/>
    <w:rsid w:val="000C6B91"/>
    <w:rsid w:val="000C7058"/>
    <w:rsid w:val="000C7932"/>
    <w:rsid w:val="000C7FFD"/>
    <w:rsid w:val="000D13A1"/>
    <w:rsid w:val="000D13E5"/>
    <w:rsid w:val="000D19A0"/>
    <w:rsid w:val="000D250E"/>
    <w:rsid w:val="000D2E03"/>
    <w:rsid w:val="000D3197"/>
    <w:rsid w:val="000D31EE"/>
    <w:rsid w:val="000D3321"/>
    <w:rsid w:val="000D4976"/>
    <w:rsid w:val="000D4C0B"/>
    <w:rsid w:val="000D55CE"/>
    <w:rsid w:val="000D57AB"/>
    <w:rsid w:val="000D5C2E"/>
    <w:rsid w:val="000D67D2"/>
    <w:rsid w:val="000D7633"/>
    <w:rsid w:val="000D7D52"/>
    <w:rsid w:val="000E0A59"/>
    <w:rsid w:val="000E1436"/>
    <w:rsid w:val="000E1CC1"/>
    <w:rsid w:val="000E1F6C"/>
    <w:rsid w:val="000E2645"/>
    <w:rsid w:val="000E2860"/>
    <w:rsid w:val="000E317F"/>
    <w:rsid w:val="000E3268"/>
    <w:rsid w:val="000E35EF"/>
    <w:rsid w:val="000E36FB"/>
    <w:rsid w:val="000E388E"/>
    <w:rsid w:val="000E4DFF"/>
    <w:rsid w:val="000E4E59"/>
    <w:rsid w:val="000E5176"/>
    <w:rsid w:val="000E5A6B"/>
    <w:rsid w:val="000E61A1"/>
    <w:rsid w:val="000E6420"/>
    <w:rsid w:val="000E6487"/>
    <w:rsid w:val="000E64ED"/>
    <w:rsid w:val="000E6587"/>
    <w:rsid w:val="000E65F2"/>
    <w:rsid w:val="000E6838"/>
    <w:rsid w:val="000E6897"/>
    <w:rsid w:val="000E6E8A"/>
    <w:rsid w:val="000E7B27"/>
    <w:rsid w:val="000F0799"/>
    <w:rsid w:val="000F13DB"/>
    <w:rsid w:val="000F1510"/>
    <w:rsid w:val="000F1999"/>
    <w:rsid w:val="000F19F6"/>
    <w:rsid w:val="000F27A0"/>
    <w:rsid w:val="000F2808"/>
    <w:rsid w:val="000F2C3A"/>
    <w:rsid w:val="000F35A3"/>
    <w:rsid w:val="000F3B40"/>
    <w:rsid w:val="000F4DA3"/>
    <w:rsid w:val="000F4FC8"/>
    <w:rsid w:val="000F5750"/>
    <w:rsid w:val="000F6EB0"/>
    <w:rsid w:val="000F729A"/>
    <w:rsid w:val="000F7448"/>
    <w:rsid w:val="00100561"/>
    <w:rsid w:val="00100B52"/>
    <w:rsid w:val="00100D85"/>
    <w:rsid w:val="00102130"/>
    <w:rsid w:val="001022B8"/>
    <w:rsid w:val="00102561"/>
    <w:rsid w:val="00102A34"/>
    <w:rsid w:val="00102E4C"/>
    <w:rsid w:val="0010397D"/>
    <w:rsid w:val="00103D58"/>
    <w:rsid w:val="00103E9B"/>
    <w:rsid w:val="00104041"/>
    <w:rsid w:val="00104CAB"/>
    <w:rsid w:val="001050B1"/>
    <w:rsid w:val="001057C3"/>
    <w:rsid w:val="00105C88"/>
    <w:rsid w:val="00105E72"/>
    <w:rsid w:val="001061A1"/>
    <w:rsid w:val="00106781"/>
    <w:rsid w:val="00107265"/>
    <w:rsid w:val="00110909"/>
    <w:rsid w:val="00110D81"/>
    <w:rsid w:val="00111874"/>
    <w:rsid w:val="001121CE"/>
    <w:rsid w:val="00112A8A"/>
    <w:rsid w:val="00112AF6"/>
    <w:rsid w:val="00113694"/>
    <w:rsid w:val="00113E8A"/>
    <w:rsid w:val="001144ED"/>
    <w:rsid w:val="001146C1"/>
    <w:rsid w:val="00114A3E"/>
    <w:rsid w:val="00115D40"/>
    <w:rsid w:val="00116ACE"/>
    <w:rsid w:val="00116B40"/>
    <w:rsid w:val="00116E5A"/>
    <w:rsid w:val="001179ED"/>
    <w:rsid w:val="00117D5B"/>
    <w:rsid w:val="001205D2"/>
    <w:rsid w:val="0012064D"/>
    <w:rsid w:val="00120C02"/>
    <w:rsid w:val="001211D9"/>
    <w:rsid w:val="0012160C"/>
    <w:rsid w:val="001218C6"/>
    <w:rsid w:val="001219BA"/>
    <w:rsid w:val="00121DCC"/>
    <w:rsid w:val="00121FFF"/>
    <w:rsid w:val="00123475"/>
    <w:rsid w:val="00123C6F"/>
    <w:rsid w:val="00123DC0"/>
    <w:rsid w:val="0012427A"/>
    <w:rsid w:val="00124F8C"/>
    <w:rsid w:val="0012552D"/>
    <w:rsid w:val="00125D4C"/>
    <w:rsid w:val="00126B7F"/>
    <w:rsid w:val="00126C3C"/>
    <w:rsid w:val="001271C8"/>
    <w:rsid w:val="00130DFA"/>
    <w:rsid w:val="0013104A"/>
    <w:rsid w:val="00132191"/>
    <w:rsid w:val="00132CE6"/>
    <w:rsid w:val="00133BB5"/>
    <w:rsid w:val="0013494A"/>
    <w:rsid w:val="001350C1"/>
    <w:rsid w:val="00135DE0"/>
    <w:rsid w:val="001363D5"/>
    <w:rsid w:val="00136E36"/>
    <w:rsid w:val="001375E8"/>
    <w:rsid w:val="00137708"/>
    <w:rsid w:val="00137711"/>
    <w:rsid w:val="0013778F"/>
    <w:rsid w:val="00137993"/>
    <w:rsid w:val="0014079D"/>
    <w:rsid w:val="00140A7D"/>
    <w:rsid w:val="001415C9"/>
    <w:rsid w:val="00141622"/>
    <w:rsid w:val="00141C02"/>
    <w:rsid w:val="00141CC2"/>
    <w:rsid w:val="0014249D"/>
    <w:rsid w:val="001426F1"/>
    <w:rsid w:val="00142881"/>
    <w:rsid w:val="00142FC9"/>
    <w:rsid w:val="00143DB1"/>
    <w:rsid w:val="00143F7D"/>
    <w:rsid w:val="001441AE"/>
    <w:rsid w:val="00146851"/>
    <w:rsid w:val="00146CFC"/>
    <w:rsid w:val="00146DDF"/>
    <w:rsid w:val="00147540"/>
    <w:rsid w:val="0014775C"/>
    <w:rsid w:val="0015008D"/>
    <w:rsid w:val="0015018D"/>
    <w:rsid w:val="00150612"/>
    <w:rsid w:val="001508F6"/>
    <w:rsid w:val="00150AAB"/>
    <w:rsid w:val="00150BB5"/>
    <w:rsid w:val="00150FE0"/>
    <w:rsid w:val="001512B6"/>
    <w:rsid w:val="001513D3"/>
    <w:rsid w:val="001517B0"/>
    <w:rsid w:val="00151974"/>
    <w:rsid w:val="001531BE"/>
    <w:rsid w:val="001533C3"/>
    <w:rsid w:val="0015405A"/>
    <w:rsid w:val="00154269"/>
    <w:rsid w:val="00154552"/>
    <w:rsid w:val="00154BB1"/>
    <w:rsid w:val="00155B46"/>
    <w:rsid w:val="001562E2"/>
    <w:rsid w:val="00156F1B"/>
    <w:rsid w:val="001571AA"/>
    <w:rsid w:val="00157288"/>
    <w:rsid w:val="001573D1"/>
    <w:rsid w:val="0015784C"/>
    <w:rsid w:val="0016029F"/>
    <w:rsid w:val="00160B32"/>
    <w:rsid w:val="00161118"/>
    <w:rsid w:val="001618AA"/>
    <w:rsid w:val="00161CAE"/>
    <w:rsid w:val="00161FBC"/>
    <w:rsid w:val="00162492"/>
    <w:rsid w:val="00162A00"/>
    <w:rsid w:val="00163008"/>
    <w:rsid w:val="00163808"/>
    <w:rsid w:val="0016394D"/>
    <w:rsid w:val="0016443B"/>
    <w:rsid w:val="0016479B"/>
    <w:rsid w:val="00165FF5"/>
    <w:rsid w:val="0016603E"/>
    <w:rsid w:val="00166A0A"/>
    <w:rsid w:val="00170CDC"/>
    <w:rsid w:val="00170F04"/>
    <w:rsid w:val="00171BE2"/>
    <w:rsid w:val="00171D47"/>
    <w:rsid w:val="00172FBB"/>
    <w:rsid w:val="001736EB"/>
    <w:rsid w:val="0017485E"/>
    <w:rsid w:val="00175212"/>
    <w:rsid w:val="001754F2"/>
    <w:rsid w:val="00175E4F"/>
    <w:rsid w:val="00175F34"/>
    <w:rsid w:val="00177641"/>
    <w:rsid w:val="001802EC"/>
    <w:rsid w:val="00180588"/>
    <w:rsid w:val="001809D8"/>
    <w:rsid w:val="00180A31"/>
    <w:rsid w:val="00180E27"/>
    <w:rsid w:val="0018142B"/>
    <w:rsid w:val="00181962"/>
    <w:rsid w:val="00181FE4"/>
    <w:rsid w:val="00182412"/>
    <w:rsid w:val="0018353F"/>
    <w:rsid w:val="001835AE"/>
    <w:rsid w:val="00183750"/>
    <w:rsid w:val="00183815"/>
    <w:rsid w:val="00183B86"/>
    <w:rsid w:val="00183EF6"/>
    <w:rsid w:val="001844D6"/>
    <w:rsid w:val="0018461C"/>
    <w:rsid w:val="00184752"/>
    <w:rsid w:val="00184DC2"/>
    <w:rsid w:val="001852CA"/>
    <w:rsid w:val="00185B09"/>
    <w:rsid w:val="00185E4C"/>
    <w:rsid w:val="00186594"/>
    <w:rsid w:val="00186943"/>
    <w:rsid w:val="00187707"/>
    <w:rsid w:val="00190138"/>
    <w:rsid w:val="0019018D"/>
    <w:rsid w:val="00190A93"/>
    <w:rsid w:val="0019170A"/>
    <w:rsid w:val="00191AD6"/>
    <w:rsid w:val="0019202D"/>
    <w:rsid w:val="00192F22"/>
    <w:rsid w:val="001930C6"/>
    <w:rsid w:val="0019337A"/>
    <w:rsid w:val="001939D9"/>
    <w:rsid w:val="0019473A"/>
    <w:rsid w:val="00194849"/>
    <w:rsid w:val="00194FD3"/>
    <w:rsid w:val="00195719"/>
    <w:rsid w:val="00195CD5"/>
    <w:rsid w:val="00196A66"/>
    <w:rsid w:val="00196DF2"/>
    <w:rsid w:val="001970B2"/>
    <w:rsid w:val="001A03FE"/>
    <w:rsid w:val="001A0637"/>
    <w:rsid w:val="001A093D"/>
    <w:rsid w:val="001A0E0D"/>
    <w:rsid w:val="001A13C1"/>
    <w:rsid w:val="001A1A51"/>
    <w:rsid w:val="001A2007"/>
    <w:rsid w:val="001A2485"/>
    <w:rsid w:val="001A2D3C"/>
    <w:rsid w:val="001A2EB5"/>
    <w:rsid w:val="001A3128"/>
    <w:rsid w:val="001A3661"/>
    <w:rsid w:val="001A3677"/>
    <w:rsid w:val="001A4CD6"/>
    <w:rsid w:val="001A58FC"/>
    <w:rsid w:val="001A5C29"/>
    <w:rsid w:val="001A5F78"/>
    <w:rsid w:val="001A63F0"/>
    <w:rsid w:val="001B1C1D"/>
    <w:rsid w:val="001B1D9D"/>
    <w:rsid w:val="001B23D8"/>
    <w:rsid w:val="001B2C26"/>
    <w:rsid w:val="001B369C"/>
    <w:rsid w:val="001B3FBC"/>
    <w:rsid w:val="001B4359"/>
    <w:rsid w:val="001B4B63"/>
    <w:rsid w:val="001B4C80"/>
    <w:rsid w:val="001B4D88"/>
    <w:rsid w:val="001B52DE"/>
    <w:rsid w:val="001B5594"/>
    <w:rsid w:val="001B5982"/>
    <w:rsid w:val="001B68AE"/>
    <w:rsid w:val="001B6CC4"/>
    <w:rsid w:val="001B71B7"/>
    <w:rsid w:val="001B7B63"/>
    <w:rsid w:val="001C151D"/>
    <w:rsid w:val="001C156C"/>
    <w:rsid w:val="001C1DE0"/>
    <w:rsid w:val="001C21A3"/>
    <w:rsid w:val="001C23C9"/>
    <w:rsid w:val="001C28C2"/>
    <w:rsid w:val="001C319D"/>
    <w:rsid w:val="001C4614"/>
    <w:rsid w:val="001C4BD8"/>
    <w:rsid w:val="001C519B"/>
    <w:rsid w:val="001C5DE3"/>
    <w:rsid w:val="001C6C16"/>
    <w:rsid w:val="001C6D0C"/>
    <w:rsid w:val="001C6FFF"/>
    <w:rsid w:val="001C74A3"/>
    <w:rsid w:val="001D0915"/>
    <w:rsid w:val="001D0992"/>
    <w:rsid w:val="001D0DC0"/>
    <w:rsid w:val="001D0EEB"/>
    <w:rsid w:val="001D1330"/>
    <w:rsid w:val="001D1CA9"/>
    <w:rsid w:val="001D271E"/>
    <w:rsid w:val="001D29CC"/>
    <w:rsid w:val="001D31A8"/>
    <w:rsid w:val="001D4EB8"/>
    <w:rsid w:val="001D54EF"/>
    <w:rsid w:val="001D5BC4"/>
    <w:rsid w:val="001D675C"/>
    <w:rsid w:val="001D6C50"/>
    <w:rsid w:val="001D76D2"/>
    <w:rsid w:val="001D7FA5"/>
    <w:rsid w:val="001E0623"/>
    <w:rsid w:val="001E0C08"/>
    <w:rsid w:val="001E1D9C"/>
    <w:rsid w:val="001E283C"/>
    <w:rsid w:val="001E30B8"/>
    <w:rsid w:val="001E3A32"/>
    <w:rsid w:val="001E3C45"/>
    <w:rsid w:val="001E3F28"/>
    <w:rsid w:val="001E4674"/>
    <w:rsid w:val="001E4A4B"/>
    <w:rsid w:val="001E4D01"/>
    <w:rsid w:val="001E5A24"/>
    <w:rsid w:val="001E674E"/>
    <w:rsid w:val="001E6B5A"/>
    <w:rsid w:val="001E6C47"/>
    <w:rsid w:val="001E715E"/>
    <w:rsid w:val="001E78DE"/>
    <w:rsid w:val="001F0057"/>
    <w:rsid w:val="001F0350"/>
    <w:rsid w:val="001F044A"/>
    <w:rsid w:val="001F085C"/>
    <w:rsid w:val="001F25FD"/>
    <w:rsid w:val="001F2833"/>
    <w:rsid w:val="001F3514"/>
    <w:rsid w:val="001F3A6B"/>
    <w:rsid w:val="001F3DAB"/>
    <w:rsid w:val="001F3FC8"/>
    <w:rsid w:val="001F4F48"/>
    <w:rsid w:val="001F57F5"/>
    <w:rsid w:val="001F5BFC"/>
    <w:rsid w:val="001F5F78"/>
    <w:rsid w:val="001F7147"/>
    <w:rsid w:val="001F7AC6"/>
    <w:rsid w:val="00200F4D"/>
    <w:rsid w:val="00200F5E"/>
    <w:rsid w:val="002018CA"/>
    <w:rsid w:val="00201C7E"/>
    <w:rsid w:val="00201F23"/>
    <w:rsid w:val="002028F4"/>
    <w:rsid w:val="00202DB7"/>
    <w:rsid w:val="00203493"/>
    <w:rsid w:val="00203C5E"/>
    <w:rsid w:val="00204547"/>
    <w:rsid w:val="00205180"/>
    <w:rsid w:val="002059F5"/>
    <w:rsid w:val="0020626D"/>
    <w:rsid w:val="0020641E"/>
    <w:rsid w:val="00207008"/>
    <w:rsid w:val="0020746C"/>
    <w:rsid w:val="00207F1C"/>
    <w:rsid w:val="00210BCA"/>
    <w:rsid w:val="00210E43"/>
    <w:rsid w:val="00210F05"/>
    <w:rsid w:val="00211795"/>
    <w:rsid w:val="002117A3"/>
    <w:rsid w:val="00211FCC"/>
    <w:rsid w:val="00211FEB"/>
    <w:rsid w:val="002125EA"/>
    <w:rsid w:val="0021287E"/>
    <w:rsid w:val="002130DA"/>
    <w:rsid w:val="002134D6"/>
    <w:rsid w:val="0021376D"/>
    <w:rsid w:val="002139D1"/>
    <w:rsid w:val="002153B9"/>
    <w:rsid w:val="00215F39"/>
    <w:rsid w:val="00216E5F"/>
    <w:rsid w:val="00216F22"/>
    <w:rsid w:val="00217101"/>
    <w:rsid w:val="00217491"/>
    <w:rsid w:val="00220464"/>
    <w:rsid w:val="002210C5"/>
    <w:rsid w:val="002216D4"/>
    <w:rsid w:val="00221FC2"/>
    <w:rsid w:val="0022224E"/>
    <w:rsid w:val="00222F6B"/>
    <w:rsid w:val="00224BE9"/>
    <w:rsid w:val="00224DCE"/>
    <w:rsid w:val="00225449"/>
    <w:rsid w:val="00225698"/>
    <w:rsid w:val="002258C4"/>
    <w:rsid w:val="002259D4"/>
    <w:rsid w:val="00225EE7"/>
    <w:rsid w:val="00225F85"/>
    <w:rsid w:val="0022650D"/>
    <w:rsid w:val="00226B7A"/>
    <w:rsid w:val="00226EF9"/>
    <w:rsid w:val="002275F6"/>
    <w:rsid w:val="00227A8F"/>
    <w:rsid w:val="00230527"/>
    <w:rsid w:val="0023094A"/>
    <w:rsid w:val="002312BE"/>
    <w:rsid w:val="00231B9F"/>
    <w:rsid w:val="00231BA5"/>
    <w:rsid w:val="00232263"/>
    <w:rsid w:val="00233983"/>
    <w:rsid w:val="002351FF"/>
    <w:rsid w:val="00235D4C"/>
    <w:rsid w:val="00235EEC"/>
    <w:rsid w:val="00236701"/>
    <w:rsid w:val="00236857"/>
    <w:rsid w:val="0024010E"/>
    <w:rsid w:val="002406D9"/>
    <w:rsid w:val="00240C95"/>
    <w:rsid w:val="00241F13"/>
    <w:rsid w:val="00242729"/>
    <w:rsid w:val="00242B69"/>
    <w:rsid w:val="00242D7B"/>
    <w:rsid w:val="00242DFE"/>
    <w:rsid w:val="00243171"/>
    <w:rsid w:val="00243594"/>
    <w:rsid w:val="00243BCE"/>
    <w:rsid w:val="0024486A"/>
    <w:rsid w:val="00245485"/>
    <w:rsid w:val="002455E5"/>
    <w:rsid w:val="0024670C"/>
    <w:rsid w:val="00250330"/>
    <w:rsid w:val="00250B34"/>
    <w:rsid w:val="00251125"/>
    <w:rsid w:val="00251183"/>
    <w:rsid w:val="002514C4"/>
    <w:rsid w:val="00251AD5"/>
    <w:rsid w:val="002520F1"/>
    <w:rsid w:val="00252D1D"/>
    <w:rsid w:val="002535A4"/>
    <w:rsid w:val="00253701"/>
    <w:rsid w:val="00253970"/>
    <w:rsid w:val="002549BF"/>
    <w:rsid w:val="00255FC3"/>
    <w:rsid w:val="00256680"/>
    <w:rsid w:val="00257A35"/>
    <w:rsid w:val="00257F52"/>
    <w:rsid w:val="0026024D"/>
    <w:rsid w:val="002608F3"/>
    <w:rsid w:val="002615E1"/>
    <w:rsid w:val="002623D4"/>
    <w:rsid w:val="00262939"/>
    <w:rsid w:val="00263A59"/>
    <w:rsid w:val="002643A5"/>
    <w:rsid w:val="00264486"/>
    <w:rsid w:val="00264E37"/>
    <w:rsid w:val="00264F84"/>
    <w:rsid w:val="00265144"/>
    <w:rsid w:val="00265778"/>
    <w:rsid w:val="00266E55"/>
    <w:rsid w:val="00267D63"/>
    <w:rsid w:val="00270050"/>
    <w:rsid w:val="00270680"/>
    <w:rsid w:val="00270BB2"/>
    <w:rsid w:val="002711CD"/>
    <w:rsid w:val="00271F4A"/>
    <w:rsid w:val="002726CC"/>
    <w:rsid w:val="002726CD"/>
    <w:rsid w:val="002730C0"/>
    <w:rsid w:val="002731A4"/>
    <w:rsid w:val="00274400"/>
    <w:rsid w:val="002744D8"/>
    <w:rsid w:val="002749E3"/>
    <w:rsid w:val="00274FB8"/>
    <w:rsid w:val="002753C5"/>
    <w:rsid w:val="0027629E"/>
    <w:rsid w:val="00276580"/>
    <w:rsid w:val="00277CEB"/>
    <w:rsid w:val="00280155"/>
    <w:rsid w:val="00280689"/>
    <w:rsid w:val="00281C27"/>
    <w:rsid w:val="002824A1"/>
    <w:rsid w:val="002827A1"/>
    <w:rsid w:val="00282DC6"/>
    <w:rsid w:val="00283141"/>
    <w:rsid w:val="00283B3A"/>
    <w:rsid w:val="00284256"/>
    <w:rsid w:val="0028432C"/>
    <w:rsid w:val="00284893"/>
    <w:rsid w:val="00284AD2"/>
    <w:rsid w:val="002850C7"/>
    <w:rsid w:val="00285D11"/>
    <w:rsid w:val="0028604C"/>
    <w:rsid w:val="00286451"/>
    <w:rsid w:val="002867FF"/>
    <w:rsid w:val="00286CE6"/>
    <w:rsid w:val="002875A7"/>
    <w:rsid w:val="002876B6"/>
    <w:rsid w:val="002877E8"/>
    <w:rsid w:val="00290426"/>
    <w:rsid w:val="00290808"/>
    <w:rsid w:val="00290D31"/>
    <w:rsid w:val="00290DCA"/>
    <w:rsid w:val="002913B6"/>
    <w:rsid w:val="00291D52"/>
    <w:rsid w:val="00292621"/>
    <w:rsid w:val="00292A1E"/>
    <w:rsid w:val="002933BB"/>
    <w:rsid w:val="00293893"/>
    <w:rsid w:val="00293FAD"/>
    <w:rsid w:val="00294E45"/>
    <w:rsid w:val="00295771"/>
    <w:rsid w:val="00295B3E"/>
    <w:rsid w:val="00295C9B"/>
    <w:rsid w:val="00295F63"/>
    <w:rsid w:val="00295FE4"/>
    <w:rsid w:val="00296D08"/>
    <w:rsid w:val="00296DE5"/>
    <w:rsid w:val="002974DC"/>
    <w:rsid w:val="00297635"/>
    <w:rsid w:val="002A073B"/>
    <w:rsid w:val="002A0850"/>
    <w:rsid w:val="002A0EE8"/>
    <w:rsid w:val="002A11D7"/>
    <w:rsid w:val="002A1EB3"/>
    <w:rsid w:val="002A2021"/>
    <w:rsid w:val="002A3138"/>
    <w:rsid w:val="002A3690"/>
    <w:rsid w:val="002A36F8"/>
    <w:rsid w:val="002A3BE4"/>
    <w:rsid w:val="002A4C80"/>
    <w:rsid w:val="002A4E41"/>
    <w:rsid w:val="002A5276"/>
    <w:rsid w:val="002A63D4"/>
    <w:rsid w:val="002A671E"/>
    <w:rsid w:val="002A67AC"/>
    <w:rsid w:val="002A6914"/>
    <w:rsid w:val="002A6A63"/>
    <w:rsid w:val="002A6C42"/>
    <w:rsid w:val="002A7532"/>
    <w:rsid w:val="002B0056"/>
    <w:rsid w:val="002B07E1"/>
    <w:rsid w:val="002B0984"/>
    <w:rsid w:val="002B0F03"/>
    <w:rsid w:val="002B14B9"/>
    <w:rsid w:val="002B27BA"/>
    <w:rsid w:val="002B30E9"/>
    <w:rsid w:val="002B3208"/>
    <w:rsid w:val="002B3921"/>
    <w:rsid w:val="002B3D4B"/>
    <w:rsid w:val="002B3E92"/>
    <w:rsid w:val="002B3FB7"/>
    <w:rsid w:val="002B4483"/>
    <w:rsid w:val="002B50B1"/>
    <w:rsid w:val="002B5D25"/>
    <w:rsid w:val="002B6405"/>
    <w:rsid w:val="002B681C"/>
    <w:rsid w:val="002B6C19"/>
    <w:rsid w:val="002C0400"/>
    <w:rsid w:val="002C0481"/>
    <w:rsid w:val="002C08A7"/>
    <w:rsid w:val="002C0910"/>
    <w:rsid w:val="002C0C12"/>
    <w:rsid w:val="002C0DD7"/>
    <w:rsid w:val="002C0E73"/>
    <w:rsid w:val="002C157C"/>
    <w:rsid w:val="002C2933"/>
    <w:rsid w:val="002C2A20"/>
    <w:rsid w:val="002C3104"/>
    <w:rsid w:val="002C3645"/>
    <w:rsid w:val="002C3749"/>
    <w:rsid w:val="002C4035"/>
    <w:rsid w:val="002C41F9"/>
    <w:rsid w:val="002C595C"/>
    <w:rsid w:val="002C5987"/>
    <w:rsid w:val="002C5DAC"/>
    <w:rsid w:val="002C5E6A"/>
    <w:rsid w:val="002C6616"/>
    <w:rsid w:val="002C66E9"/>
    <w:rsid w:val="002C6C16"/>
    <w:rsid w:val="002C7D72"/>
    <w:rsid w:val="002D13F1"/>
    <w:rsid w:val="002D19FF"/>
    <w:rsid w:val="002D1D62"/>
    <w:rsid w:val="002D24E7"/>
    <w:rsid w:val="002D2BAB"/>
    <w:rsid w:val="002D316E"/>
    <w:rsid w:val="002D355B"/>
    <w:rsid w:val="002D43B9"/>
    <w:rsid w:val="002D478B"/>
    <w:rsid w:val="002D4D1C"/>
    <w:rsid w:val="002D56C8"/>
    <w:rsid w:val="002D5DDD"/>
    <w:rsid w:val="002D689E"/>
    <w:rsid w:val="002D695E"/>
    <w:rsid w:val="002D6A12"/>
    <w:rsid w:val="002D7C9D"/>
    <w:rsid w:val="002D7D2A"/>
    <w:rsid w:val="002D7E26"/>
    <w:rsid w:val="002D7F00"/>
    <w:rsid w:val="002E1128"/>
    <w:rsid w:val="002E2057"/>
    <w:rsid w:val="002E218C"/>
    <w:rsid w:val="002E2249"/>
    <w:rsid w:val="002E2482"/>
    <w:rsid w:val="002E254D"/>
    <w:rsid w:val="002E25EA"/>
    <w:rsid w:val="002E25F2"/>
    <w:rsid w:val="002E2DB6"/>
    <w:rsid w:val="002E2E9D"/>
    <w:rsid w:val="002E37DE"/>
    <w:rsid w:val="002E38B6"/>
    <w:rsid w:val="002E3DEF"/>
    <w:rsid w:val="002E4216"/>
    <w:rsid w:val="002E4953"/>
    <w:rsid w:val="002E59D7"/>
    <w:rsid w:val="002E6526"/>
    <w:rsid w:val="002E659E"/>
    <w:rsid w:val="002E6B07"/>
    <w:rsid w:val="002E6C77"/>
    <w:rsid w:val="002E703A"/>
    <w:rsid w:val="002E73EB"/>
    <w:rsid w:val="002E7448"/>
    <w:rsid w:val="002E7785"/>
    <w:rsid w:val="002F06C4"/>
    <w:rsid w:val="002F0AFD"/>
    <w:rsid w:val="002F0B22"/>
    <w:rsid w:val="002F12C9"/>
    <w:rsid w:val="002F2436"/>
    <w:rsid w:val="002F2FEA"/>
    <w:rsid w:val="002F30D6"/>
    <w:rsid w:val="002F3222"/>
    <w:rsid w:val="002F3A5B"/>
    <w:rsid w:val="002F3A78"/>
    <w:rsid w:val="002F3DB7"/>
    <w:rsid w:val="002F3F6B"/>
    <w:rsid w:val="002F4404"/>
    <w:rsid w:val="002F483C"/>
    <w:rsid w:val="002F4909"/>
    <w:rsid w:val="002F49AE"/>
    <w:rsid w:val="002F4B7F"/>
    <w:rsid w:val="002F59E6"/>
    <w:rsid w:val="002F5A55"/>
    <w:rsid w:val="002F6265"/>
    <w:rsid w:val="002F635F"/>
    <w:rsid w:val="002F6388"/>
    <w:rsid w:val="002F6489"/>
    <w:rsid w:val="002F6C1F"/>
    <w:rsid w:val="002F703B"/>
    <w:rsid w:val="002F7228"/>
    <w:rsid w:val="002F72B9"/>
    <w:rsid w:val="002F7405"/>
    <w:rsid w:val="002F75DD"/>
    <w:rsid w:val="002F7BAC"/>
    <w:rsid w:val="002F7CA5"/>
    <w:rsid w:val="003000AF"/>
    <w:rsid w:val="00300563"/>
    <w:rsid w:val="00300D5E"/>
    <w:rsid w:val="00301389"/>
    <w:rsid w:val="00301555"/>
    <w:rsid w:val="00303192"/>
    <w:rsid w:val="003036F0"/>
    <w:rsid w:val="00303896"/>
    <w:rsid w:val="00303FE0"/>
    <w:rsid w:val="00304817"/>
    <w:rsid w:val="00304AFE"/>
    <w:rsid w:val="003058A3"/>
    <w:rsid w:val="00305CB0"/>
    <w:rsid w:val="003102A8"/>
    <w:rsid w:val="0031056B"/>
    <w:rsid w:val="00310D7E"/>
    <w:rsid w:val="00311016"/>
    <w:rsid w:val="0031259A"/>
    <w:rsid w:val="00313B59"/>
    <w:rsid w:val="00314830"/>
    <w:rsid w:val="00314AAD"/>
    <w:rsid w:val="003150B5"/>
    <w:rsid w:val="003153A5"/>
    <w:rsid w:val="0031571A"/>
    <w:rsid w:val="00315D23"/>
    <w:rsid w:val="00316715"/>
    <w:rsid w:val="00316849"/>
    <w:rsid w:val="00316C73"/>
    <w:rsid w:val="00316CC1"/>
    <w:rsid w:val="0031787C"/>
    <w:rsid w:val="00320FC8"/>
    <w:rsid w:val="00321339"/>
    <w:rsid w:val="00321E49"/>
    <w:rsid w:val="00322698"/>
    <w:rsid w:val="00322B31"/>
    <w:rsid w:val="00322E4D"/>
    <w:rsid w:val="00322EB6"/>
    <w:rsid w:val="0032359D"/>
    <w:rsid w:val="00323AAF"/>
    <w:rsid w:val="00323B8A"/>
    <w:rsid w:val="003245B1"/>
    <w:rsid w:val="00325011"/>
    <w:rsid w:val="00325072"/>
    <w:rsid w:val="003250C0"/>
    <w:rsid w:val="0032520D"/>
    <w:rsid w:val="00325A4C"/>
    <w:rsid w:val="00325CE4"/>
    <w:rsid w:val="003260BA"/>
    <w:rsid w:val="00326364"/>
    <w:rsid w:val="00327C02"/>
    <w:rsid w:val="00330A0A"/>
    <w:rsid w:val="00331E31"/>
    <w:rsid w:val="00331F3A"/>
    <w:rsid w:val="003328DD"/>
    <w:rsid w:val="00333685"/>
    <w:rsid w:val="00334319"/>
    <w:rsid w:val="003359BA"/>
    <w:rsid w:val="00335A4C"/>
    <w:rsid w:val="00336CAA"/>
    <w:rsid w:val="00337104"/>
    <w:rsid w:val="0033755E"/>
    <w:rsid w:val="00340203"/>
    <w:rsid w:val="003407E6"/>
    <w:rsid w:val="003408B6"/>
    <w:rsid w:val="00340D83"/>
    <w:rsid w:val="0034120A"/>
    <w:rsid w:val="00341771"/>
    <w:rsid w:val="00341842"/>
    <w:rsid w:val="00341F9D"/>
    <w:rsid w:val="00342A0B"/>
    <w:rsid w:val="003435AF"/>
    <w:rsid w:val="00343657"/>
    <w:rsid w:val="00343C2A"/>
    <w:rsid w:val="00343EC7"/>
    <w:rsid w:val="003444C5"/>
    <w:rsid w:val="003446EB"/>
    <w:rsid w:val="003447F8"/>
    <w:rsid w:val="00344C32"/>
    <w:rsid w:val="00345482"/>
    <w:rsid w:val="003467E7"/>
    <w:rsid w:val="00350C2A"/>
    <w:rsid w:val="0035133D"/>
    <w:rsid w:val="003513D9"/>
    <w:rsid w:val="003515B9"/>
    <w:rsid w:val="0035179C"/>
    <w:rsid w:val="00351B02"/>
    <w:rsid w:val="00352E4E"/>
    <w:rsid w:val="00353AD1"/>
    <w:rsid w:val="00356D3F"/>
    <w:rsid w:val="00356F79"/>
    <w:rsid w:val="00357A52"/>
    <w:rsid w:val="00357B92"/>
    <w:rsid w:val="003601E1"/>
    <w:rsid w:val="00360476"/>
    <w:rsid w:val="003607E6"/>
    <w:rsid w:val="003608D9"/>
    <w:rsid w:val="00362142"/>
    <w:rsid w:val="0036257C"/>
    <w:rsid w:val="00362658"/>
    <w:rsid w:val="00362725"/>
    <w:rsid w:val="00362C76"/>
    <w:rsid w:val="0036350B"/>
    <w:rsid w:val="0036438F"/>
    <w:rsid w:val="00364EF9"/>
    <w:rsid w:val="00364F11"/>
    <w:rsid w:val="0036534E"/>
    <w:rsid w:val="0036552E"/>
    <w:rsid w:val="0036561D"/>
    <w:rsid w:val="00365630"/>
    <w:rsid w:val="00365D23"/>
    <w:rsid w:val="00367C00"/>
    <w:rsid w:val="00370186"/>
    <w:rsid w:val="0037035F"/>
    <w:rsid w:val="003704CD"/>
    <w:rsid w:val="00371010"/>
    <w:rsid w:val="0037112E"/>
    <w:rsid w:val="00373379"/>
    <w:rsid w:val="00373D21"/>
    <w:rsid w:val="003746BF"/>
    <w:rsid w:val="0037494C"/>
    <w:rsid w:val="00375F7B"/>
    <w:rsid w:val="0037668A"/>
    <w:rsid w:val="00377B8F"/>
    <w:rsid w:val="00380549"/>
    <w:rsid w:val="00380ABD"/>
    <w:rsid w:val="00380E14"/>
    <w:rsid w:val="003812F6"/>
    <w:rsid w:val="003816C5"/>
    <w:rsid w:val="00381741"/>
    <w:rsid w:val="00381ACC"/>
    <w:rsid w:val="00381FCA"/>
    <w:rsid w:val="00382E56"/>
    <w:rsid w:val="00383674"/>
    <w:rsid w:val="003839DF"/>
    <w:rsid w:val="00383E66"/>
    <w:rsid w:val="00384193"/>
    <w:rsid w:val="0038427F"/>
    <w:rsid w:val="00384CE5"/>
    <w:rsid w:val="00384E87"/>
    <w:rsid w:val="003858A7"/>
    <w:rsid w:val="00385FFF"/>
    <w:rsid w:val="003862C3"/>
    <w:rsid w:val="00390755"/>
    <w:rsid w:val="00391768"/>
    <w:rsid w:val="00393DE2"/>
    <w:rsid w:val="00394699"/>
    <w:rsid w:val="00395571"/>
    <w:rsid w:val="00395D25"/>
    <w:rsid w:val="003961D0"/>
    <w:rsid w:val="00396B9A"/>
    <w:rsid w:val="003978A3"/>
    <w:rsid w:val="003A0240"/>
    <w:rsid w:val="003A02A0"/>
    <w:rsid w:val="003A0542"/>
    <w:rsid w:val="003A14DD"/>
    <w:rsid w:val="003A1652"/>
    <w:rsid w:val="003A167B"/>
    <w:rsid w:val="003A1C04"/>
    <w:rsid w:val="003A2DC4"/>
    <w:rsid w:val="003A321B"/>
    <w:rsid w:val="003A3DC3"/>
    <w:rsid w:val="003A4C57"/>
    <w:rsid w:val="003A532B"/>
    <w:rsid w:val="003A6048"/>
    <w:rsid w:val="003A6EF7"/>
    <w:rsid w:val="003A7BF2"/>
    <w:rsid w:val="003B0885"/>
    <w:rsid w:val="003B0B16"/>
    <w:rsid w:val="003B0B32"/>
    <w:rsid w:val="003B1298"/>
    <w:rsid w:val="003B1B41"/>
    <w:rsid w:val="003B2198"/>
    <w:rsid w:val="003B2396"/>
    <w:rsid w:val="003B2923"/>
    <w:rsid w:val="003B2E43"/>
    <w:rsid w:val="003B4005"/>
    <w:rsid w:val="003B45CA"/>
    <w:rsid w:val="003B4968"/>
    <w:rsid w:val="003B4C8B"/>
    <w:rsid w:val="003B4E7D"/>
    <w:rsid w:val="003B5064"/>
    <w:rsid w:val="003B5368"/>
    <w:rsid w:val="003B599C"/>
    <w:rsid w:val="003B6D30"/>
    <w:rsid w:val="003B7499"/>
    <w:rsid w:val="003B75ED"/>
    <w:rsid w:val="003B7E84"/>
    <w:rsid w:val="003C02EA"/>
    <w:rsid w:val="003C079F"/>
    <w:rsid w:val="003C07E1"/>
    <w:rsid w:val="003C07F5"/>
    <w:rsid w:val="003C1550"/>
    <w:rsid w:val="003C2396"/>
    <w:rsid w:val="003C27FB"/>
    <w:rsid w:val="003C437D"/>
    <w:rsid w:val="003C4968"/>
    <w:rsid w:val="003C4B0A"/>
    <w:rsid w:val="003C5BF1"/>
    <w:rsid w:val="003C6413"/>
    <w:rsid w:val="003C6C75"/>
    <w:rsid w:val="003C7C64"/>
    <w:rsid w:val="003D017B"/>
    <w:rsid w:val="003D08B2"/>
    <w:rsid w:val="003D11D4"/>
    <w:rsid w:val="003D1CC7"/>
    <w:rsid w:val="003D22EE"/>
    <w:rsid w:val="003D256B"/>
    <w:rsid w:val="003D2754"/>
    <w:rsid w:val="003D2F8D"/>
    <w:rsid w:val="003D35EF"/>
    <w:rsid w:val="003D4763"/>
    <w:rsid w:val="003D4F32"/>
    <w:rsid w:val="003D60D7"/>
    <w:rsid w:val="003D61B1"/>
    <w:rsid w:val="003D6B46"/>
    <w:rsid w:val="003D6BEF"/>
    <w:rsid w:val="003D71D5"/>
    <w:rsid w:val="003D758E"/>
    <w:rsid w:val="003D7D38"/>
    <w:rsid w:val="003E0B03"/>
    <w:rsid w:val="003E0FC3"/>
    <w:rsid w:val="003E1408"/>
    <w:rsid w:val="003E1A70"/>
    <w:rsid w:val="003E22E6"/>
    <w:rsid w:val="003E2769"/>
    <w:rsid w:val="003E29C0"/>
    <w:rsid w:val="003E356A"/>
    <w:rsid w:val="003E45E9"/>
    <w:rsid w:val="003E50ED"/>
    <w:rsid w:val="003E5E9C"/>
    <w:rsid w:val="003F05BD"/>
    <w:rsid w:val="003F0607"/>
    <w:rsid w:val="003F0760"/>
    <w:rsid w:val="003F181D"/>
    <w:rsid w:val="003F2630"/>
    <w:rsid w:val="003F30AD"/>
    <w:rsid w:val="003F32E7"/>
    <w:rsid w:val="003F4DB6"/>
    <w:rsid w:val="003F607A"/>
    <w:rsid w:val="003F621A"/>
    <w:rsid w:val="003F6BFD"/>
    <w:rsid w:val="003F7D19"/>
    <w:rsid w:val="00400141"/>
    <w:rsid w:val="00400CF2"/>
    <w:rsid w:val="004018B5"/>
    <w:rsid w:val="00401E93"/>
    <w:rsid w:val="00401EF5"/>
    <w:rsid w:val="004022F6"/>
    <w:rsid w:val="004025D9"/>
    <w:rsid w:val="0040334F"/>
    <w:rsid w:val="004037C8"/>
    <w:rsid w:val="00403973"/>
    <w:rsid w:val="00404D6B"/>
    <w:rsid w:val="00405232"/>
    <w:rsid w:val="0040716F"/>
    <w:rsid w:val="00407E2C"/>
    <w:rsid w:val="004102DF"/>
    <w:rsid w:val="00410934"/>
    <w:rsid w:val="00411073"/>
    <w:rsid w:val="00411B42"/>
    <w:rsid w:val="00412E84"/>
    <w:rsid w:val="0041306D"/>
    <w:rsid w:val="004132BF"/>
    <w:rsid w:val="00413664"/>
    <w:rsid w:val="00413CE0"/>
    <w:rsid w:val="00413F48"/>
    <w:rsid w:val="00415090"/>
    <w:rsid w:val="004156B3"/>
    <w:rsid w:val="00415EE7"/>
    <w:rsid w:val="00415F2C"/>
    <w:rsid w:val="00416FF5"/>
    <w:rsid w:val="0041716C"/>
    <w:rsid w:val="00417633"/>
    <w:rsid w:val="004178A2"/>
    <w:rsid w:val="00420133"/>
    <w:rsid w:val="00420689"/>
    <w:rsid w:val="004206A7"/>
    <w:rsid w:val="004218BD"/>
    <w:rsid w:val="00422107"/>
    <w:rsid w:val="004227A0"/>
    <w:rsid w:val="004236FF"/>
    <w:rsid w:val="00423AEE"/>
    <w:rsid w:val="00423FB7"/>
    <w:rsid w:val="00424971"/>
    <w:rsid w:val="00424C95"/>
    <w:rsid w:val="0042533E"/>
    <w:rsid w:val="0042661A"/>
    <w:rsid w:val="0042664A"/>
    <w:rsid w:val="004266D7"/>
    <w:rsid w:val="00426AA5"/>
    <w:rsid w:val="00426D95"/>
    <w:rsid w:val="0042750D"/>
    <w:rsid w:val="00430B9C"/>
    <w:rsid w:val="00431510"/>
    <w:rsid w:val="00431F3E"/>
    <w:rsid w:val="00432019"/>
    <w:rsid w:val="004323D5"/>
    <w:rsid w:val="004327CE"/>
    <w:rsid w:val="004327EC"/>
    <w:rsid w:val="0043340A"/>
    <w:rsid w:val="00433647"/>
    <w:rsid w:val="00433E24"/>
    <w:rsid w:val="00434348"/>
    <w:rsid w:val="00435005"/>
    <w:rsid w:val="00435A1F"/>
    <w:rsid w:val="00436117"/>
    <w:rsid w:val="004365FC"/>
    <w:rsid w:val="004369BE"/>
    <w:rsid w:val="00437460"/>
    <w:rsid w:val="00437C29"/>
    <w:rsid w:val="00440335"/>
    <w:rsid w:val="004405AE"/>
    <w:rsid w:val="004406A3"/>
    <w:rsid w:val="00442059"/>
    <w:rsid w:val="004425C5"/>
    <w:rsid w:val="00442BA5"/>
    <w:rsid w:val="00442FB7"/>
    <w:rsid w:val="004430EE"/>
    <w:rsid w:val="00443257"/>
    <w:rsid w:val="00443531"/>
    <w:rsid w:val="004443BC"/>
    <w:rsid w:val="00444429"/>
    <w:rsid w:val="00444BAA"/>
    <w:rsid w:val="004451B8"/>
    <w:rsid w:val="004451F6"/>
    <w:rsid w:val="0044571F"/>
    <w:rsid w:val="00446ADA"/>
    <w:rsid w:val="00446CFD"/>
    <w:rsid w:val="00446D94"/>
    <w:rsid w:val="00446F04"/>
    <w:rsid w:val="00447449"/>
    <w:rsid w:val="0044781F"/>
    <w:rsid w:val="00450BC5"/>
    <w:rsid w:val="00450F99"/>
    <w:rsid w:val="004514F0"/>
    <w:rsid w:val="00451C9A"/>
    <w:rsid w:val="004524D1"/>
    <w:rsid w:val="004537CB"/>
    <w:rsid w:val="00454347"/>
    <w:rsid w:val="0045463E"/>
    <w:rsid w:val="0045470A"/>
    <w:rsid w:val="00454751"/>
    <w:rsid w:val="00455519"/>
    <w:rsid w:val="004558C8"/>
    <w:rsid w:val="00455F55"/>
    <w:rsid w:val="00455F9D"/>
    <w:rsid w:val="004562C0"/>
    <w:rsid w:val="004570D7"/>
    <w:rsid w:val="004573FC"/>
    <w:rsid w:val="004602F5"/>
    <w:rsid w:val="00460566"/>
    <w:rsid w:val="00460699"/>
    <w:rsid w:val="004615D8"/>
    <w:rsid w:val="00461959"/>
    <w:rsid w:val="00461F8B"/>
    <w:rsid w:val="00461FB7"/>
    <w:rsid w:val="00463196"/>
    <w:rsid w:val="0046480E"/>
    <w:rsid w:val="004650B1"/>
    <w:rsid w:val="00465848"/>
    <w:rsid w:val="0046596B"/>
    <w:rsid w:val="004663DE"/>
    <w:rsid w:val="004664BC"/>
    <w:rsid w:val="0046668B"/>
    <w:rsid w:val="0046758A"/>
    <w:rsid w:val="00467825"/>
    <w:rsid w:val="00467996"/>
    <w:rsid w:val="00470805"/>
    <w:rsid w:val="00471484"/>
    <w:rsid w:val="0047154B"/>
    <w:rsid w:val="004718B3"/>
    <w:rsid w:val="00471989"/>
    <w:rsid w:val="00471CCF"/>
    <w:rsid w:val="0047203F"/>
    <w:rsid w:val="004721ED"/>
    <w:rsid w:val="00472243"/>
    <w:rsid w:val="0047261D"/>
    <w:rsid w:val="00472DD4"/>
    <w:rsid w:val="0047368F"/>
    <w:rsid w:val="0047369F"/>
    <w:rsid w:val="0047483E"/>
    <w:rsid w:val="00474E95"/>
    <w:rsid w:val="004750FD"/>
    <w:rsid w:val="0047519F"/>
    <w:rsid w:val="00475244"/>
    <w:rsid w:val="0047646F"/>
    <w:rsid w:val="004772AA"/>
    <w:rsid w:val="00477CCF"/>
    <w:rsid w:val="00477EC0"/>
    <w:rsid w:val="00481CA1"/>
    <w:rsid w:val="0048208A"/>
    <w:rsid w:val="00482BBB"/>
    <w:rsid w:val="0048366E"/>
    <w:rsid w:val="004836F6"/>
    <w:rsid w:val="00483913"/>
    <w:rsid w:val="00483CFF"/>
    <w:rsid w:val="00483E74"/>
    <w:rsid w:val="00484344"/>
    <w:rsid w:val="0048479A"/>
    <w:rsid w:val="0048482C"/>
    <w:rsid w:val="00484CFB"/>
    <w:rsid w:val="004862AF"/>
    <w:rsid w:val="004871EA"/>
    <w:rsid w:val="004875CD"/>
    <w:rsid w:val="00491BA7"/>
    <w:rsid w:val="00492770"/>
    <w:rsid w:val="00493393"/>
    <w:rsid w:val="0049391F"/>
    <w:rsid w:val="004947CF"/>
    <w:rsid w:val="00494BE4"/>
    <w:rsid w:val="00494BF9"/>
    <w:rsid w:val="00494E1F"/>
    <w:rsid w:val="004951BB"/>
    <w:rsid w:val="00495785"/>
    <w:rsid w:val="004967D6"/>
    <w:rsid w:val="00496E3D"/>
    <w:rsid w:val="0049714F"/>
    <w:rsid w:val="004974CA"/>
    <w:rsid w:val="00497649"/>
    <w:rsid w:val="004A0302"/>
    <w:rsid w:val="004A0769"/>
    <w:rsid w:val="004A1300"/>
    <w:rsid w:val="004A2ECD"/>
    <w:rsid w:val="004A379E"/>
    <w:rsid w:val="004A3880"/>
    <w:rsid w:val="004A3DCE"/>
    <w:rsid w:val="004A4300"/>
    <w:rsid w:val="004A4877"/>
    <w:rsid w:val="004A4A72"/>
    <w:rsid w:val="004A592A"/>
    <w:rsid w:val="004A61D5"/>
    <w:rsid w:val="004A6A51"/>
    <w:rsid w:val="004A74E0"/>
    <w:rsid w:val="004A74E7"/>
    <w:rsid w:val="004A772B"/>
    <w:rsid w:val="004A7865"/>
    <w:rsid w:val="004A7AC5"/>
    <w:rsid w:val="004A7EF0"/>
    <w:rsid w:val="004B10C9"/>
    <w:rsid w:val="004B1BDE"/>
    <w:rsid w:val="004B2B08"/>
    <w:rsid w:val="004B3265"/>
    <w:rsid w:val="004B3730"/>
    <w:rsid w:val="004B37AB"/>
    <w:rsid w:val="004B5395"/>
    <w:rsid w:val="004B53C7"/>
    <w:rsid w:val="004B5596"/>
    <w:rsid w:val="004B5D4B"/>
    <w:rsid w:val="004B62B9"/>
    <w:rsid w:val="004B636C"/>
    <w:rsid w:val="004B6A6F"/>
    <w:rsid w:val="004B6B43"/>
    <w:rsid w:val="004C1255"/>
    <w:rsid w:val="004C1476"/>
    <w:rsid w:val="004C14F9"/>
    <w:rsid w:val="004C2C6A"/>
    <w:rsid w:val="004C3D28"/>
    <w:rsid w:val="004C4F53"/>
    <w:rsid w:val="004C55FA"/>
    <w:rsid w:val="004C5C0B"/>
    <w:rsid w:val="004C62B2"/>
    <w:rsid w:val="004C65A3"/>
    <w:rsid w:val="004C6E83"/>
    <w:rsid w:val="004C7460"/>
    <w:rsid w:val="004C7621"/>
    <w:rsid w:val="004C7932"/>
    <w:rsid w:val="004D04A5"/>
    <w:rsid w:val="004D0B69"/>
    <w:rsid w:val="004D184D"/>
    <w:rsid w:val="004D1AE5"/>
    <w:rsid w:val="004D1E60"/>
    <w:rsid w:val="004D2162"/>
    <w:rsid w:val="004D26F7"/>
    <w:rsid w:val="004D28E7"/>
    <w:rsid w:val="004D2AA9"/>
    <w:rsid w:val="004D333E"/>
    <w:rsid w:val="004D3451"/>
    <w:rsid w:val="004D3893"/>
    <w:rsid w:val="004D38A4"/>
    <w:rsid w:val="004D3D95"/>
    <w:rsid w:val="004D42FC"/>
    <w:rsid w:val="004D5A55"/>
    <w:rsid w:val="004D5E3B"/>
    <w:rsid w:val="004D691A"/>
    <w:rsid w:val="004D699E"/>
    <w:rsid w:val="004D6CE9"/>
    <w:rsid w:val="004D7451"/>
    <w:rsid w:val="004E0595"/>
    <w:rsid w:val="004E08ED"/>
    <w:rsid w:val="004E0CC7"/>
    <w:rsid w:val="004E294E"/>
    <w:rsid w:val="004E3260"/>
    <w:rsid w:val="004E36BF"/>
    <w:rsid w:val="004E3F18"/>
    <w:rsid w:val="004E4B06"/>
    <w:rsid w:val="004E4EEC"/>
    <w:rsid w:val="004E52FA"/>
    <w:rsid w:val="004E531E"/>
    <w:rsid w:val="004E58CF"/>
    <w:rsid w:val="004E5B8F"/>
    <w:rsid w:val="004E5B9B"/>
    <w:rsid w:val="004E62A1"/>
    <w:rsid w:val="004E6FE5"/>
    <w:rsid w:val="004E7B52"/>
    <w:rsid w:val="004F2338"/>
    <w:rsid w:val="004F26CB"/>
    <w:rsid w:val="004F2887"/>
    <w:rsid w:val="004F2CBE"/>
    <w:rsid w:val="004F2D70"/>
    <w:rsid w:val="004F3386"/>
    <w:rsid w:val="004F3919"/>
    <w:rsid w:val="004F4503"/>
    <w:rsid w:val="004F45CC"/>
    <w:rsid w:val="004F4ABE"/>
    <w:rsid w:val="004F4DE3"/>
    <w:rsid w:val="004F502F"/>
    <w:rsid w:val="004F55C4"/>
    <w:rsid w:val="004F5845"/>
    <w:rsid w:val="004F6AA3"/>
    <w:rsid w:val="004F6D8D"/>
    <w:rsid w:val="004F74CC"/>
    <w:rsid w:val="004F75D5"/>
    <w:rsid w:val="004F786A"/>
    <w:rsid w:val="004F7CC3"/>
    <w:rsid w:val="00500642"/>
    <w:rsid w:val="00500905"/>
    <w:rsid w:val="00500D43"/>
    <w:rsid w:val="00501AB5"/>
    <w:rsid w:val="00503723"/>
    <w:rsid w:val="0050482E"/>
    <w:rsid w:val="00505323"/>
    <w:rsid w:val="00505F2F"/>
    <w:rsid w:val="00506FEA"/>
    <w:rsid w:val="00507F67"/>
    <w:rsid w:val="00510B72"/>
    <w:rsid w:val="005112A5"/>
    <w:rsid w:val="00512208"/>
    <w:rsid w:val="00512264"/>
    <w:rsid w:val="005133CD"/>
    <w:rsid w:val="00513AA6"/>
    <w:rsid w:val="00513D60"/>
    <w:rsid w:val="005142A4"/>
    <w:rsid w:val="0051443C"/>
    <w:rsid w:val="005165E4"/>
    <w:rsid w:val="005170E2"/>
    <w:rsid w:val="005173FB"/>
    <w:rsid w:val="00517673"/>
    <w:rsid w:val="00520236"/>
    <w:rsid w:val="005203BA"/>
    <w:rsid w:val="00520958"/>
    <w:rsid w:val="0052108F"/>
    <w:rsid w:val="005217D8"/>
    <w:rsid w:val="00521CAC"/>
    <w:rsid w:val="005225FB"/>
    <w:rsid w:val="00523592"/>
    <w:rsid w:val="00523741"/>
    <w:rsid w:val="00523A41"/>
    <w:rsid w:val="00524925"/>
    <w:rsid w:val="0052494B"/>
    <w:rsid w:val="00524B29"/>
    <w:rsid w:val="00524F01"/>
    <w:rsid w:val="00525F91"/>
    <w:rsid w:val="00526620"/>
    <w:rsid w:val="0053052D"/>
    <w:rsid w:val="00530A6A"/>
    <w:rsid w:val="00530FF8"/>
    <w:rsid w:val="00531315"/>
    <w:rsid w:val="0053220F"/>
    <w:rsid w:val="005328CA"/>
    <w:rsid w:val="00532BA2"/>
    <w:rsid w:val="005334AC"/>
    <w:rsid w:val="00534105"/>
    <w:rsid w:val="00534408"/>
    <w:rsid w:val="00534AF8"/>
    <w:rsid w:val="00534D67"/>
    <w:rsid w:val="00535091"/>
    <w:rsid w:val="00535172"/>
    <w:rsid w:val="005353DF"/>
    <w:rsid w:val="0053551D"/>
    <w:rsid w:val="00535F4E"/>
    <w:rsid w:val="0053619E"/>
    <w:rsid w:val="005367A0"/>
    <w:rsid w:val="00537C17"/>
    <w:rsid w:val="00537F31"/>
    <w:rsid w:val="005408A0"/>
    <w:rsid w:val="0054112A"/>
    <w:rsid w:val="005411EF"/>
    <w:rsid w:val="005412FF"/>
    <w:rsid w:val="00541D6D"/>
    <w:rsid w:val="0054211A"/>
    <w:rsid w:val="00542D16"/>
    <w:rsid w:val="00542D2E"/>
    <w:rsid w:val="00542D41"/>
    <w:rsid w:val="00542F9A"/>
    <w:rsid w:val="00543082"/>
    <w:rsid w:val="00544735"/>
    <w:rsid w:val="0054493F"/>
    <w:rsid w:val="005460B8"/>
    <w:rsid w:val="00546795"/>
    <w:rsid w:val="005478F2"/>
    <w:rsid w:val="00547CB2"/>
    <w:rsid w:val="005501A6"/>
    <w:rsid w:val="005502A1"/>
    <w:rsid w:val="00550BD8"/>
    <w:rsid w:val="00550EB7"/>
    <w:rsid w:val="0055172A"/>
    <w:rsid w:val="00551770"/>
    <w:rsid w:val="0055192C"/>
    <w:rsid w:val="00551D32"/>
    <w:rsid w:val="00551EB1"/>
    <w:rsid w:val="00552A74"/>
    <w:rsid w:val="00552B14"/>
    <w:rsid w:val="00552E95"/>
    <w:rsid w:val="00553C96"/>
    <w:rsid w:val="00553E14"/>
    <w:rsid w:val="005540FE"/>
    <w:rsid w:val="0055565A"/>
    <w:rsid w:val="0055566A"/>
    <w:rsid w:val="00556459"/>
    <w:rsid w:val="00556536"/>
    <w:rsid w:val="00557614"/>
    <w:rsid w:val="005578AC"/>
    <w:rsid w:val="005607A2"/>
    <w:rsid w:val="0056096D"/>
    <w:rsid w:val="00562001"/>
    <w:rsid w:val="00562774"/>
    <w:rsid w:val="00562C8A"/>
    <w:rsid w:val="005631A4"/>
    <w:rsid w:val="00563B9E"/>
    <w:rsid w:val="00563D59"/>
    <w:rsid w:val="00563DC4"/>
    <w:rsid w:val="00563E3E"/>
    <w:rsid w:val="00565F3E"/>
    <w:rsid w:val="00566846"/>
    <w:rsid w:val="00566BF4"/>
    <w:rsid w:val="00566D57"/>
    <w:rsid w:val="00567409"/>
    <w:rsid w:val="005678B9"/>
    <w:rsid w:val="005679F9"/>
    <w:rsid w:val="00567D5B"/>
    <w:rsid w:val="00567DC4"/>
    <w:rsid w:val="00567FB1"/>
    <w:rsid w:val="00570AA5"/>
    <w:rsid w:val="00570F3B"/>
    <w:rsid w:val="0057142C"/>
    <w:rsid w:val="0057155F"/>
    <w:rsid w:val="00571AFB"/>
    <w:rsid w:val="00571EC5"/>
    <w:rsid w:val="00572387"/>
    <w:rsid w:val="00572427"/>
    <w:rsid w:val="00572B37"/>
    <w:rsid w:val="00572DB2"/>
    <w:rsid w:val="00572FBE"/>
    <w:rsid w:val="00573365"/>
    <w:rsid w:val="00573609"/>
    <w:rsid w:val="005736E9"/>
    <w:rsid w:val="00573A39"/>
    <w:rsid w:val="00573BEA"/>
    <w:rsid w:val="00573C0A"/>
    <w:rsid w:val="00574AA3"/>
    <w:rsid w:val="00574AF6"/>
    <w:rsid w:val="00575139"/>
    <w:rsid w:val="00575769"/>
    <w:rsid w:val="00575835"/>
    <w:rsid w:val="005759BE"/>
    <w:rsid w:val="00575C9A"/>
    <w:rsid w:val="00576749"/>
    <w:rsid w:val="00576CB8"/>
    <w:rsid w:val="00580049"/>
    <w:rsid w:val="00580A13"/>
    <w:rsid w:val="00581AA9"/>
    <w:rsid w:val="00581BFB"/>
    <w:rsid w:val="00583F41"/>
    <w:rsid w:val="0058413D"/>
    <w:rsid w:val="00584E81"/>
    <w:rsid w:val="005858BE"/>
    <w:rsid w:val="005863B9"/>
    <w:rsid w:val="00586653"/>
    <w:rsid w:val="005872C0"/>
    <w:rsid w:val="00587980"/>
    <w:rsid w:val="00587AFB"/>
    <w:rsid w:val="00590619"/>
    <w:rsid w:val="00590D2B"/>
    <w:rsid w:val="00591BE4"/>
    <w:rsid w:val="00591CCB"/>
    <w:rsid w:val="0059267F"/>
    <w:rsid w:val="00593B1A"/>
    <w:rsid w:val="00594129"/>
    <w:rsid w:val="0059424B"/>
    <w:rsid w:val="00594359"/>
    <w:rsid w:val="005944E4"/>
    <w:rsid w:val="00594AF2"/>
    <w:rsid w:val="00594BD7"/>
    <w:rsid w:val="0059564E"/>
    <w:rsid w:val="00595A75"/>
    <w:rsid w:val="00596278"/>
    <w:rsid w:val="005967AA"/>
    <w:rsid w:val="00596A6A"/>
    <w:rsid w:val="005975AA"/>
    <w:rsid w:val="005A0022"/>
    <w:rsid w:val="005A0233"/>
    <w:rsid w:val="005A0BDC"/>
    <w:rsid w:val="005A2F7A"/>
    <w:rsid w:val="005A3433"/>
    <w:rsid w:val="005A3F67"/>
    <w:rsid w:val="005A4361"/>
    <w:rsid w:val="005A5D47"/>
    <w:rsid w:val="005A61A5"/>
    <w:rsid w:val="005A7554"/>
    <w:rsid w:val="005A76A2"/>
    <w:rsid w:val="005A7CE5"/>
    <w:rsid w:val="005A7F08"/>
    <w:rsid w:val="005A7F97"/>
    <w:rsid w:val="005B0060"/>
    <w:rsid w:val="005B0396"/>
    <w:rsid w:val="005B03B8"/>
    <w:rsid w:val="005B0792"/>
    <w:rsid w:val="005B124A"/>
    <w:rsid w:val="005B1502"/>
    <w:rsid w:val="005B1AE5"/>
    <w:rsid w:val="005B1B2F"/>
    <w:rsid w:val="005B1FEF"/>
    <w:rsid w:val="005B2601"/>
    <w:rsid w:val="005B2899"/>
    <w:rsid w:val="005B2A0C"/>
    <w:rsid w:val="005B2B59"/>
    <w:rsid w:val="005B30CE"/>
    <w:rsid w:val="005B36ED"/>
    <w:rsid w:val="005B48F7"/>
    <w:rsid w:val="005B4D14"/>
    <w:rsid w:val="005B5055"/>
    <w:rsid w:val="005B5935"/>
    <w:rsid w:val="005B604E"/>
    <w:rsid w:val="005B668D"/>
    <w:rsid w:val="005B6F27"/>
    <w:rsid w:val="005B7628"/>
    <w:rsid w:val="005C00BD"/>
    <w:rsid w:val="005C190D"/>
    <w:rsid w:val="005C1923"/>
    <w:rsid w:val="005C21E1"/>
    <w:rsid w:val="005C2413"/>
    <w:rsid w:val="005C3009"/>
    <w:rsid w:val="005C33CB"/>
    <w:rsid w:val="005C36A7"/>
    <w:rsid w:val="005C3B19"/>
    <w:rsid w:val="005C4498"/>
    <w:rsid w:val="005C54FE"/>
    <w:rsid w:val="005C56F7"/>
    <w:rsid w:val="005C5C67"/>
    <w:rsid w:val="005C6718"/>
    <w:rsid w:val="005C6853"/>
    <w:rsid w:val="005C689B"/>
    <w:rsid w:val="005C7094"/>
    <w:rsid w:val="005C7C57"/>
    <w:rsid w:val="005D0963"/>
    <w:rsid w:val="005D0DB3"/>
    <w:rsid w:val="005D0EE6"/>
    <w:rsid w:val="005D19E3"/>
    <w:rsid w:val="005D1A8B"/>
    <w:rsid w:val="005D1EB1"/>
    <w:rsid w:val="005D22E0"/>
    <w:rsid w:val="005D27CB"/>
    <w:rsid w:val="005D2879"/>
    <w:rsid w:val="005D3022"/>
    <w:rsid w:val="005D3FA9"/>
    <w:rsid w:val="005D4AFD"/>
    <w:rsid w:val="005D4BE4"/>
    <w:rsid w:val="005D572D"/>
    <w:rsid w:val="005D6FF2"/>
    <w:rsid w:val="005D7708"/>
    <w:rsid w:val="005E0549"/>
    <w:rsid w:val="005E07F3"/>
    <w:rsid w:val="005E0C4D"/>
    <w:rsid w:val="005E2610"/>
    <w:rsid w:val="005E2840"/>
    <w:rsid w:val="005E2A51"/>
    <w:rsid w:val="005E2DEB"/>
    <w:rsid w:val="005E355A"/>
    <w:rsid w:val="005E3B62"/>
    <w:rsid w:val="005E3DE4"/>
    <w:rsid w:val="005E4F4F"/>
    <w:rsid w:val="005E5151"/>
    <w:rsid w:val="005E56DF"/>
    <w:rsid w:val="005E5AFB"/>
    <w:rsid w:val="005E5F4B"/>
    <w:rsid w:val="005E60C4"/>
    <w:rsid w:val="005E610B"/>
    <w:rsid w:val="005E61DC"/>
    <w:rsid w:val="005E69F0"/>
    <w:rsid w:val="005E6A0E"/>
    <w:rsid w:val="005E6CA1"/>
    <w:rsid w:val="005E6FBF"/>
    <w:rsid w:val="005E7AF5"/>
    <w:rsid w:val="005F09D1"/>
    <w:rsid w:val="005F0CE7"/>
    <w:rsid w:val="005F12B2"/>
    <w:rsid w:val="005F2D55"/>
    <w:rsid w:val="005F35EA"/>
    <w:rsid w:val="005F3AB1"/>
    <w:rsid w:val="005F4D1F"/>
    <w:rsid w:val="005F57F2"/>
    <w:rsid w:val="005F62F0"/>
    <w:rsid w:val="005F6B34"/>
    <w:rsid w:val="005F7BBA"/>
    <w:rsid w:val="005F7E13"/>
    <w:rsid w:val="005F7EE1"/>
    <w:rsid w:val="005F7F74"/>
    <w:rsid w:val="00600224"/>
    <w:rsid w:val="006003F8"/>
    <w:rsid w:val="0060040A"/>
    <w:rsid w:val="0060082D"/>
    <w:rsid w:val="00601D9A"/>
    <w:rsid w:val="00602BE3"/>
    <w:rsid w:val="0060312B"/>
    <w:rsid w:val="006035A2"/>
    <w:rsid w:val="00603B5F"/>
    <w:rsid w:val="00603DFB"/>
    <w:rsid w:val="00603EDE"/>
    <w:rsid w:val="0060431C"/>
    <w:rsid w:val="00604A93"/>
    <w:rsid w:val="00605400"/>
    <w:rsid w:val="00605AF8"/>
    <w:rsid w:val="00605EAD"/>
    <w:rsid w:val="0060627A"/>
    <w:rsid w:val="0060655D"/>
    <w:rsid w:val="0060693C"/>
    <w:rsid w:val="00606CDA"/>
    <w:rsid w:val="00606E1D"/>
    <w:rsid w:val="00610333"/>
    <w:rsid w:val="006112E5"/>
    <w:rsid w:val="00611797"/>
    <w:rsid w:val="00611EF8"/>
    <w:rsid w:val="00613EFC"/>
    <w:rsid w:val="00614062"/>
    <w:rsid w:val="006165C0"/>
    <w:rsid w:val="00616D61"/>
    <w:rsid w:val="00617617"/>
    <w:rsid w:val="00620730"/>
    <w:rsid w:val="00620B04"/>
    <w:rsid w:val="00620C39"/>
    <w:rsid w:val="00620E34"/>
    <w:rsid w:val="0062145D"/>
    <w:rsid w:val="00621D70"/>
    <w:rsid w:val="006242DD"/>
    <w:rsid w:val="006242E4"/>
    <w:rsid w:val="0062457B"/>
    <w:rsid w:val="0062470D"/>
    <w:rsid w:val="00625501"/>
    <w:rsid w:val="006260F0"/>
    <w:rsid w:val="00626803"/>
    <w:rsid w:val="00626808"/>
    <w:rsid w:val="00626B57"/>
    <w:rsid w:val="00626D4B"/>
    <w:rsid w:val="0062701D"/>
    <w:rsid w:val="00627112"/>
    <w:rsid w:val="0062769E"/>
    <w:rsid w:val="00627C04"/>
    <w:rsid w:val="00627FE9"/>
    <w:rsid w:val="00631B66"/>
    <w:rsid w:val="00631F03"/>
    <w:rsid w:val="006321C3"/>
    <w:rsid w:val="006327C5"/>
    <w:rsid w:val="00634E0B"/>
    <w:rsid w:val="006352C9"/>
    <w:rsid w:val="0063650D"/>
    <w:rsid w:val="00636D47"/>
    <w:rsid w:val="00637031"/>
    <w:rsid w:val="006372D5"/>
    <w:rsid w:val="00637855"/>
    <w:rsid w:val="00637E02"/>
    <w:rsid w:val="00640197"/>
    <w:rsid w:val="006408CF"/>
    <w:rsid w:val="00640FF1"/>
    <w:rsid w:val="00641999"/>
    <w:rsid w:val="00641F72"/>
    <w:rsid w:val="006423B5"/>
    <w:rsid w:val="00642A03"/>
    <w:rsid w:val="0064336A"/>
    <w:rsid w:val="006436C6"/>
    <w:rsid w:val="0064377E"/>
    <w:rsid w:val="00643D72"/>
    <w:rsid w:val="0064452D"/>
    <w:rsid w:val="00644E3C"/>
    <w:rsid w:val="00645073"/>
    <w:rsid w:val="0064513D"/>
    <w:rsid w:val="00645DD1"/>
    <w:rsid w:val="006466EA"/>
    <w:rsid w:val="00646B73"/>
    <w:rsid w:val="00647426"/>
    <w:rsid w:val="00647EC2"/>
    <w:rsid w:val="0065034F"/>
    <w:rsid w:val="00650488"/>
    <w:rsid w:val="006516EB"/>
    <w:rsid w:val="00651A70"/>
    <w:rsid w:val="00651AD0"/>
    <w:rsid w:val="00651F14"/>
    <w:rsid w:val="00652030"/>
    <w:rsid w:val="006525D4"/>
    <w:rsid w:val="006529F7"/>
    <w:rsid w:val="00652A44"/>
    <w:rsid w:val="00652E19"/>
    <w:rsid w:val="00653038"/>
    <w:rsid w:val="00653EA3"/>
    <w:rsid w:val="00654E70"/>
    <w:rsid w:val="00654E89"/>
    <w:rsid w:val="00654F98"/>
    <w:rsid w:val="00655026"/>
    <w:rsid w:val="00655165"/>
    <w:rsid w:val="0065573D"/>
    <w:rsid w:val="00655A16"/>
    <w:rsid w:val="00655A29"/>
    <w:rsid w:val="00655B32"/>
    <w:rsid w:val="006566AC"/>
    <w:rsid w:val="0065686D"/>
    <w:rsid w:val="006568C2"/>
    <w:rsid w:val="006572A5"/>
    <w:rsid w:val="0065735C"/>
    <w:rsid w:val="00657E87"/>
    <w:rsid w:val="00660407"/>
    <w:rsid w:val="00661752"/>
    <w:rsid w:val="0066241B"/>
    <w:rsid w:val="00662B3E"/>
    <w:rsid w:val="00662E51"/>
    <w:rsid w:val="00662F54"/>
    <w:rsid w:val="00663644"/>
    <w:rsid w:val="00663B23"/>
    <w:rsid w:val="00663DF6"/>
    <w:rsid w:val="006640B6"/>
    <w:rsid w:val="006651C5"/>
    <w:rsid w:val="0066587F"/>
    <w:rsid w:val="00666498"/>
    <w:rsid w:val="00666AD8"/>
    <w:rsid w:val="00666CE8"/>
    <w:rsid w:val="0066748D"/>
    <w:rsid w:val="006675F0"/>
    <w:rsid w:val="00670187"/>
    <w:rsid w:val="00671458"/>
    <w:rsid w:val="0067169E"/>
    <w:rsid w:val="00671EA7"/>
    <w:rsid w:val="00672144"/>
    <w:rsid w:val="00672C5E"/>
    <w:rsid w:val="00673176"/>
    <w:rsid w:val="0067394E"/>
    <w:rsid w:val="00674393"/>
    <w:rsid w:val="00675AE8"/>
    <w:rsid w:val="00676A8F"/>
    <w:rsid w:val="006771A8"/>
    <w:rsid w:val="00677CCD"/>
    <w:rsid w:val="006805EE"/>
    <w:rsid w:val="00680616"/>
    <w:rsid w:val="0068195D"/>
    <w:rsid w:val="00681C4F"/>
    <w:rsid w:val="00682D47"/>
    <w:rsid w:val="006830B2"/>
    <w:rsid w:val="00683A3A"/>
    <w:rsid w:val="0068508F"/>
    <w:rsid w:val="006852B1"/>
    <w:rsid w:val="0068634E"/>
    <w:rsid w:val="006863D3"/>
    <w:rsid w:val="00686E11"/>
    <w:rsid w:val="00687CDA"/>
    <w:rsid w:val="00687FE7"/>
    <w:rsid w:val="00692153"/>
    <w:rsid w:val="00693321"/>
    <w:rsid w:val="00693836"/>
    <w:rsid w:val="00693A95"/>
    <w:rsid w:val="0069450A"/>
    <w:rsid w:val="0069491A"/>
    <w:rsid w:val="00695025"/>
    <w:rsid w:val="006950E4"/>
    <w:rsid w:val="00695996"/>
    <w:rsid w:val="0069646C"/>
    <w:rsid w:val="006964D6"/>
    <w:rsid w:val="00696AB9"/>
    <w:rsid w:val="00696D9C"/>
    <w:rsid w:val="006975DA"/>
    <w:rsid w:val="00697A42"/>
    <w:rsid w:val="00697C26"/>
    <w:rsid w:val="00697D5F"/>
    <w:rsid w:val="006A06F0"/>
    <w:rsid w:val="006A1414"/>
    <w:rsid w:val="006A2175"/>
    <w:rsid w:val="006A2814"/>
    <w:rsid w:val="006A2AED"/>
    <w:rsid w:val="006A2E02"/>
    <w:rsid w:val="006A322B"/>
    <w:rsid w:val="006A39B0"/>
    <w:rsid w:val="006A3B7F"/>
    <w:rsid w:val="006A403D"/>
    <w:rsid w:val="006A40EA"/>
    <w:rsid w:val="006A556A"/>
    <w:rsid w:val="006A61E2"/>
    <w:rsid w:val="006A6D63"/>
    <w:rsid w:val="006A72D4"/>
    <w:rsid w:val="006B02E9"/>
    <w:rsid w:val="006B0584"/>
    <w:rsid w:val="006B0A37"/>
    <w:rsid w:val="006B208F"/>
    <w:rsid w:val="006B20B1"/>
    <w:rsid w:val="006B2A1C"/>
    <w:rsid w:val="006B3263"/>
    <w:rsid w:val="006B402F"/>
    <w:rsid w:val="006B414F"/>
    <w:rsid w:val="006B4C4D"/>
    <w:rsid w:val="006B4FC1"/>
    <w:rsid w:val="006B5588"/>
    <w:rsid w:val="006B609E"/>
    <w:rsid w:val="006B688E"/>
    <w:rsid w:val="006B7279"/>
    <w:rsid w:val="006B7355"/>
    <w:rsid w:val="006C0228"/>
    <w:rsid w:val="006C1296"/>
    <w:rsid w:val="006C19B4"/>
    <w:rsid w:val="006C2AA8"/>
    <w:rsid w:val="006C2D3E"/>
    <w:rsid w:val="006C2F53"/>
    <w:rsid w:val="006C30FA"/>
    <w:rsid w:val="006C326B"/>
    <w:rsid w:val="006C4A5F"/>
    <w:rsid w:val="006C64AA"/>
    <w:rsid w:val="006C6708"/>
    <w:rsid w:val="006C6790"/>
    <w:rsid w:val="006C67B8"/>
    <w:rsid w:val="006C693B"/>
    <w:rsid w:val="006C6D57"/>
    <w:rsid w:val="006C6EFD"/>
    <w:rsid w:val="006C7ED3"/>
    <w:rsid w:val="006D000D"/>
    <w:rsid w:val="006D0446"/>
    <w:rsid w:val="006D05E1"/>
    <w:rsid w:val="006D081C"/>
    <w:rsid w:val="006D0AF3"/>
    <w:rsid w:val="006D17EF"/>
    <w:rsid w:val="006D1B05"/>
    <w:rsid w:val="006D3247"/>
    <w:rsid w:val="006D32AC"/>
    <w:rsid w:val="006D3AD4"/>
    <w:rsid w:val="006D40BA"/>
    <w:rsid w:val="006D40C6"/>
    <w:rsid w:val="006D419D"/>
    <w:rsid w:val="006D4D77"/>
    <w:rsid w:val="006D4E90"/>
    <w:rsid w:val="006D4FBB"/>
    <w:rsid w:val="006D60B5"/>
    <w:rsid w:val="006D664F"/>
    <w:rsid w:val="006D7075"/>
    <w:rsid w:val="006E005B"/>
    <w:rsid w:val="006E08DA"/>
    <w:rsid w:val="006E0A10"/>
    <w:rsid w:val="006E1693"/>
    <w:rsid w:val="006E1899"/>
    <w:rsid w:val="006E18C1"/>
    <w:rsid w:val="006E1BA6"/>
    <w:rsid w:val="006E1E8A"/>
    <w:rsid w:val="006E3C37"/>
    <w:rsid w:val="006E434C"/>
    <w:rsid w:val="006E57E1"/>
    <w:rsid w:val="006E5EC1"/>
    <w:rsid w:val="006E6440"/>
    <w:rsid w:val="006E67D8"/>
    <w:rsid w:val="006E6FF2"/>
    <w:rsid w:val="006E710A"/>
    <w:rsid w:val="006F0C6A"/>
    <w:rsid w:val="006F0ED7"/>
    <w:rsid w:val="006F0F3B"/>
    <w:rsid w:val="006F1755"/>
    <w:rsid w:val="006F201F"/>
    <w:rsid w:val="006F2ECC"/>
    <w:rsid w:val="006F403F"/>
    <w:rsid w:val="006F479C"/>
    <w:rsid w:val="006F49A6"/>
    <w:rsid w:val="006F5825"/>
    <w:rsid w:val="006F61D6"/>
    <w:rsid w:val="006F6C1F"/>
    <w:rsid w:val="006F6D04"/>
    <w:rsid w:val="006F72D8"/>
    <w:rsid w:val="006F7808"/>
    <w:rsid w:val="006F7F16"/>
    <w:rsid w:val="00700752"/>
    <w:rsid w:val="00700C13"/>
    <w:rsid w:val="00700D69"/>
    <w:rsid w:val="00700F34"/>
    <w:rsid w:val="0070131E"/>
    <w:rsid w:val="0070151E"/>
    <w:rsid w:val="00701777"/>
    <w:rsid w:val="0070178B"/>
    <w:rsid w:val="00701C8C"/>
    <w:rsid w:val="0070233E"/>
    <w:rsid w:val="00703727"/>
    <w:rsid w:val="007040B0"/>
    <w:rsid w:val="007044FA"/>
    <w:rsid w:val="00704DAC"/>
    <w:rsid w:val="00704FC4"/>
    <w:rsid w:val="0070546C"/>
    <w:rsid w:val="007058E1"/>
    <w:rsid w:val="007059BD"/>
    <w:rsid w:val="00705B34"/>
    <w:rsid w:val="007061B7"/>
    <w:rsid w:val="00707D3B"/>
    <w:rsid w:val="0071025B"/>
    <w:rsid w:val="0071081A"/>
    <w:rsid w:val="007117AE"/>
    <w:rsid w:val="00711FAC"/>
    <w:rsid w:val="00712CCE"/>
    <w:rsid w:val="00714294"/>
    <w:rsid w:val="0071509D"/>
    <w:rsid w:val="007168FE"/>
    <w:rsid w:val="007171F2"/>
    <w:rsid w:val="00717324"/>
    <w:rsid w:val="00717429"/>
    <w:rsid w:val="00717F12"/>
    <w:rsid w:val="0072010E"/>
    <w:rsid w:val="007206EC"/>
    <w:rsid w:val="00721088"/>
    <w:rsid w:val="007219A8"/>
    <w:rsid w:val="00721A85"/>
    <w:rsid w:val="00721EBA"/>
    <w:rsid w:val="00722958"/>
    <w:rsid w:val="00723FD7"/>
    <w:rsid w:val="007241B4"/>
    <w:rsid w:val="0072473E"/>
    <w:rsid w:val="00725259"/>
    <w:rsid w:val="0072559C"/>
    <w:rsid w:val="00725ADD"/>
    <w:rsid w:val="00726284"/>
    <w:rsid w:val="007263B5"/>
    <w:rsid w:val="0072678F"/>
    <w:rsid w:val="007267FF"/>
    <w:rsid w:val="00726A35"/>
    <w:rsid w:val="00726CC2"/>
    <w:rsid w:val="0073075B"/>
    <w:rsid w:val="00730B8C"/>
    <w:rsid w:val="00730BF0"/>
    <w:rsid w:val="00730E92"/>
    <w:rsid w:val="0073295D"/>
    <w:rsid w:val="00732A5C"/>
    <w:rsid w:val="0073310D"/>
    <w:rsid w:val="0073343F"/>
    <w:rsid w:val="00733E5B"/>
    <w:rsid w:val="007345BF"/>
    <w:rsid w:val="00734CD4"/>
    <w:rsid w:val="00734F8E"/>
    <w:rsid w:val="00734FEB"/>
    <w:rsid w:val="00735258"/>
    <w:rsid w:val="007354D2"/>
    <w:rsid w:val="00735A71"/>
    <w:rsid w:val="00735BC2"/>
    <w:rsid w:val="007364FD"/>
    <w:rsid w:val="00736C66"/>
    <w:rsid w:val="00737AC9"/>
    <w:rsid w:val="00737FA0"/>
    <w:rsid w:val="007402CF"/>
    <w:rsid w:val="00740E1D"/>
    <w:rsid w:val="0074102A"/>
    <w:rsid w:val="0074114A"/>
    <w:rsid w:val="007415AF"/>
    <w:rsid w:val="00741A2B"/>
    <w:rsid w:val="00742003"/>
    <w:rsid w:val="00743EB1"/>
    <w:rsid w:val="00743FE5"/>
    <w:rsid w:val="00744082"/>
    <w:rsid w:val="00744174"/>
    <w:rsid w:val="007445B2"/>
    <w:rsid w:val="00744668"/>
    <w:rsid w:val="00745C1E"/>
    <w:rsid w:val="00746272"/>
    <w:rsid w:val="00746371"/>
    <w:rsid w:val="00746390"/>
    <w:rsid w:val="0074646A"/>
    <w:rsid w:val="0074656B"/>
    <w:rsid w:val="007469B1"/>
    <w:rsid w:val="00746D30"/>
    <w:rsid w:val="007470B9"/>
    <w:rsid w:val="007477B6"/>
    <w:rsid w:val="007503E8"/>
    <w:rsid w:val="007513D1"/>
    <w:rsid w:val="00751411"/>
    <w:rsid w:val="00751770"/>
    <w:rsid w:val="00751AD2"/>
    <w:rsid w:val="00752269"/>
    <w:rsid w:val="0075238B"/>
    <w:rsid w:val="00752627"/>
    <w:rsid w:val="007529C5"/>
    <w:rsid w:val="00752EEC"/>
    <w:rsid w:val="00753855"/>
    <w:rsid w:val="00755250"/>
    <w:rsid w:val="00755596"/>
    <w:rsid w:val="00755B67"/>
    <w:rsid w:val="00755B90"/>
    <w:rsid w:val="00756BB7"/>
    <w:rsid w:val="00757D5B"/>
    <w:rsid w:val="007605D8"/>
    <w:rsid w:val="0076067B"/>
    <w:rsid w:val="007607CB"/>
    <w:rsid w:val="0076189E"/>
    <w:rsid w:val="00761CAE"/>
    <w:rsid w:val="00761EB6"/>
    <w:rsid w:val="00762BE6"/>
    <w:rsid w:val="00762D58"/>
    <w:rsid w:val="00764078"/>
    <w:rsid w:val="00764BE5"/>
    <w:rsid w:val="00764C81"/>
    <w:rsid w:val="00764D4C"/>
    <w:rsid w:val="007662EA"/>
    <w:rsid w:val="007664C5"/>
    <w:rsid w:val="007668A9"/>
    <w:rsid w:val="00766D73"/>
    <w:rsid w:val="00767305"/>
    <w:rsid w:val="00767FE9"/>
    <w:rsid w:val="00770AD1"/>
    <w:rsid w:val="00770DD5"/>
    <w:rsid w:val="007717E9"/>
    <w:rsid w:val="007717FA"/>
    <w:rsid w:val="00771BF8"/>
    <w:rsid w:val="00771D53"/>
    <w:rsid w:val="00771E78"/>
    <w:rsid w:val="0077204B"/>
    <w:rsid w:val="0077255F"/>
    <w:rsid w:val="00772578"/>
    <w:rsid w:val="00772598"/>
    <w:rsid w:val="00772D8F"/>
    <w:rsid w:val="00773C32"/>
    <w:rsid w:val="00773E8F"/>
    <w:rsid w:val="007744BE"/>
    <w:rsid w:val="00774F2A"/>
    <w:rsid w:val="00775608"/>
    <w:rsid w:val="007758BF"/>
    <w:rsid w:val="00775DA4"/>
    <w:rsid w:val="007763E6"/>
    <w:rsid w:val="00777910"/>
    <w:rsid w:val="00777D19"/>
    <w:rsid w:val="00780833"/>
    <w:rsid w:val="00780B24"/>
    <w:rsid w:val="00780DC0"/>
    <w:rsid w:val="00780E03"/>
    <w:rsid w:val="007811B6"/>
    <w:rsid w:val="007812EE"/>
    <w:rsid w:val="007813DF"/>
    <w:rsid w:val="007822AD"/>
    <w:rsid w:val="00782342"/>
    <w:rsid w:val="0078279B"/>
    <w:rsid w:val="00782F8E"/>
    <w:rsid w:val="007830BF"/>
    <w:rsid w:val="0078398A"/>
    <w:rsid w:val="00783C57"/>
    <w:rsid w:val="00784DE1"/>
    <w:rsid w:val="00785B58"/>
    <w:rsid w:val="00785DB2"/>
    <w:rsid w:val="0078691A"/>
    <w:rsid w:val="00786B4B"/>
    <w:rsid w:val="00786E15"/>
    <w:rsid w:val="00787035"/>
    <w:rsid w:val="007871AC"/>
    <w:rsid w:val="00790002"/>
    <w:rsid w:val="00790B6D"/>
    <w:rsid w:val="0079131F"/>
    <w:rsid w:val="007922C4"/>
    <w:rsid w:val="00793E88"/>
    <w:rsid w:val="00793E8F"/>
    <w:rsid w:val="00793F6C"/>
    <w:rsid w:val="007942BD"/>
    <w:rsid w:val="0079498B"/>
    <w:rsid w:val="00794ADC"/>
    <w:rsid w:val="00795021"/>
    <w:rsid w:val="00795456"/>
    <w:rsid w:val="00795CB8"/>
    <w:rsid w:val="007961F4"/>
    <w:rsid w:val="00796275"/>
    <w:rsid w:val="007962E6"/>
    <w:rsid w:val="00796835"/>
    <w:rsid w:val="00797DDE"/>
    <w:rsid w:val="007A0B2C"/>
    <w:rsid w:val="007A122B"/>
    <w:rsid w:val="007A1CAE"/>
    <w:rsid w:val="007A22AC"/>
    <w:rsid w:val="007A2C10"/>
    <w:rsid w:val="007A2D7A"/>
    <w:rsid w:val="007A2EDB"/>
    <w:rsid w:val="007A45E9"/>
    <w:rsid w:val="007A4B19"/>
    <w:rsid w:val="007A5363"/>
    <w:rsid w:val="007A5A22"/>
    <w:rsid w:val="007A5C44"/>
    <w:rsid w:val="007A726A"/>
    <w:rsid w:val="007B0640"/>
    <w:rsid w:val="007B11E3"/>
    <w:rsid w:val="007B16A8"/>
    <w:rsid w:val="007B25A2"/>
    <w:rsid w:val="007B2957"/>
    <w:rsid w:val="007B2B5E"/>
    <w:rsid w:val="007B3F28"/>
    <w:rsid w:val="007B4387"/>
    <w:rsid w:val="007B49A7"/>
    <w:rsid w:val="007B50BC"/>
    <w:rsid w:val="007B5ABE"/>
    <w:rsid w:val="007B6A68"/>
    <w:rsid w:val="007B6CE8"/>
    <w:rsid w:val="007B71FC"/>
    <w:rsid w:val="007B7509"/>
    <w:rsid w:val="007C08C5"/>
    <w:rsid w:val="007C0E1E"/>
    <w:rsid w:val="007C23F9"/>
    <w:rsid w:val="007C2901"/>
    <w:rsid w:val="007C38FF"/>
    <w:rsid w:val="007C3DBF"/>
    <w:rsid w:val="007C3F96"/>
    <w:rsid w:val="007C3FBA"/>
    <w:rsid w:val="007C408E"/>
    <w:rsid w:val="007C436E"/>
    <w:rsid w:val="007C44D0"/>
    <w:rsid w:val="007C4991"/>
    <w:rsid w:val="007C4D4E"/>
    <w:rsid w:val="007C526A"/>
    <w:rsid w:val="007C528B"/>
    <w:rsid w:val="007C56CE"/>
    <w:rsid w:val="007C58E1"/>
    <w:rsid w:val="007C65F2"/>
    <w:rsid w:val="007C68A0"/>
    <w:rsid w:val="007C70A7"/>
    <w:rsid w:val="007C7FFD"/>
    <w:rsid w:val="007D0A89"/>
    <w:rsid w:val="007D0CD2"/>
    <w:rsid w:val="007D0F37"/>
    <w:rsid w:val="007D2082"/>
    <w:rsid w:val="007D3C90"/>
    <w:rsid w:val="007D5C55"/>
    <w:rsid w:val="007D5D10"/>
    <w:rsid w:val="007D6152"/>
    <w:rsid w:val="007D65F3"/>
    <w:rsid w:val="007D66AF"/>
    <w:rsid w:val="007D718D"/>
    <w:rsid w:val="007D77EB"/>
    <w:rsid w:val="007D78A4"/>
    <w:rsid w:val="007D7FDC"/>
    <w:rsid w:val="007E03B6"/>
    <w:rsid w:val="007E0497"/>
    <w:rsid w:val="007E0A12"/>
    <w:rsid w:val="007E3B48"/>
    <w:rsid w:val="007E4BD0"/>
    <w:rsid w:val="007E4C97"/>
    <w:rsid w:val="007E4E37"/>
    <w:rsid w:val="007E6628"/>
    <w:rsid w:val="007E665B"/>
    <w:rsid w:val="007E6661"/>
    <w:rsid w:val="007E6ADE"/>
    <w:rsid w:val="007E6F27"/>
    <w:rsid w:val="007F0A94"/>
    <w:rsid w:val="007F3F24"/>
    <w:rsid w:val="007F557C"/>
    <w:rsid w:val="007F5C63"/>
    <w:rsid w:val="007F6E71"/>
    <w:rsid w:val="007F76CB"/>
    <w:rsid w:val="008002FD"/>
    <w:rsid w:val="00800524"/>
    <w:rsid w:val="008007D1"/>
    <w:rsid w:val="0080094A"/>
    <w:rsid w:val="00800AC9"/>
    <w:rsid w:val="00800DD8"/>
    <w:rsid w:val="008018B2"/>
    <w:rsid w:val="00801A71"/>
    <w:rsid w:val="00802C37"/>
    <w:rsid w:val="008037FD"/>
    <w:rsid w:val="00803BF7"/>
    <w:rsid w:val="00804849"/>
    <w:rsid w:val="008051FF"/>
    <w:rsid w:val="00805392"/>
    <w:rsid w:val="00805BC2"/>
    <w:rsid w:val="00805EE8"/>
    <w:rsid w:val="00806020"/>
    <w:rsid w:val="008063B2"/>
    <w:rsid w:val="008067F1"/>
    <w:rsid w:val="008068CB"/>
    <w:rsid w:val="00806B63"/>
    <w:rsid w:val="0080797A"/>
    <w:rsid w:val="00807EC2"/>
    <w:rsid w:val="00810738"/>
    <w:rsid w:val="008109D5"/>
    <w:rsid w:val="00810EC6"/>
    <w:rsid w:val="0081122B"/>
    <w:rsid w:val="00811656"/>
    <w:rsid w:val="00811B41"/>
    <w:rsid w:val="00811CB8"/>
    <w:rsid w:val="008120B1"/>
    <w:rsid w:val="00812619"/>
    <w:rsid w:val="00812BAC"/>
    <w:rsid w:val="00812BAE"/>
    <w:rsid w:val="00814044"/>
    <w:rsid w:val="00814BD7"/>
    <w:rsid w:val="008150F8"/>
    <w:rsid w:val="00815297"/>
    <w:rsid w:val="00815DC0"/>
    <w:rsid w:val="00816446"/>
    <w:rsid w:val="00816BD2"/>
    <w:rsid w:val="008174EA"/>
    <w:rsid w:val="008176EC"/>
    <w:rsid w:val="008178BE"/>
    <w:rsid w:val="00817A5D"/>
    <w:rsid w:val="008202C2"/>
    <w:rsid w:val="00820FEB"/>
    <w:rsid w:val="00820FF8"/>
    <w:rsid w:val="00821829"/>
    <w:rsid w:val="008219C8"/>
    <w:rsid w:val="0082206A"/>
    <w:rsid w:val="00822153"/>
    <w:rsid w:val="00822E7E"/>
    <w:rsid w:val="00823096"/>
    <w:rsid w:val="00823C6A"/>
    <w:rsid w:val="00824222"/>
    <w:rsid w:val="008243DA"/>
    <w:rsid w:val="0082461F"/>
    <w:rsid w:val="00824F7A"/>
    <w:rsid w:val="00825429"/>
    <w:rsid w:val="00825615"/>
    <w:rsid w:val="00825AF6"/>
    <w:rsid w:val="00825E77"/>
    <w:rsid w:val="00825EFA"/>
    <w:rsid w:val="008270F1"/>
    <w:rsid w:val="00827502"/>
    <w:rsid w:val="0082774F"/>
    <w:rsid w:val="00827BC4"/>
    <w:rsid w:val="00827CD5"/>
    <w:rsid w:val="0083083E"/>
    <w:rsid w:val="008309F4"/>
    <w:rsid w:val="008321D7"/>
    <w:rsid w:val="008324E4"/>
    <w:rsid w:val="00832B63"/>
    <w:rsid w:val="00833A24"/>
    <w:rsid w:val="00833C65"/>
    <w:rsid w:val="008340F1"/>
    <w:rsid w:val="00834B87"/>
    <w:rsid w:val="0083703F"/>
    <w:rsid w:val="00837CDC"/>
    <w:rsid w:val="00837FDA"/>
    <w:rsid w:val="00840029"/>
    <w:rsid w:val="0084020E"/>
    <w:rsid w:val="0084064A"/>
    <w:rsid w:val="00841A74"/>
    <w:rsid w:val="00841FC8"/>
    <w:rsid w:val="00842251"/>
    <w:rsid w:val="0084297A"/>
    <w:rsid w:val="00842E3A"/>
    <w:rsid w:val="0084330D"/>
    <w:rsid w:val="00843789"/>
    <w:rsid w:val="008437F2"/>
    <w:rsid w:val="00843C10"/>
    <w:rsid w:val="0084400A"/>
    <w:rsid w:val="00844761"/>
    <w:rsid w:val="00844D98"/>
    <w:rsid w:val="0084526E"/>
    <w:rsid w:val="00845EA0"/>
    <w:rsid w:val="00845F97"/>
    <w:rsid w:val="0084600A"/>
    <w:rsid w:val="00846383"/>
    <w:rsid w:val="008466A3"/>
    <w:rsid w:val="00846C01"/>
    <w:rsid w:val="00847DB9"/>
    <w:rsid w:val="0085003F"/>
    <w:rsid w:val="008502B4"/>
    <w:rsid w:val="0085039B"/>
    <w:rsid w:val="008510B3"/>
    <w:rsid w:val="0085263B"/>
    <w:rsid w:val="00852926"/>
    <w:rsid w:val="00852A39"/>
    <w:rsid w:val="008532DE"/>
    <w:rsid w:val="00853322"/>
    <w:rsid w:val="00853736"/>
    <w:rsid w:val="00853908"/>
    <w:rsid w:val="0085438C"/>
    <w:rsid w:val="00854F70"/>
    <w:rsid w:val="00855E05"/>
    <w:rsid w:val="00856616"/>
    <w:rsid w:val="00856F57"/>
    <w:rsid w:val="008571A5"/>
    <w:rsid w:val="0085785A"/>
    <w:rsid w:val="00860325"/>
    <w:rsid w:val="00860A01"/>
    <w:rsid w:val="00860D4A"/>
    <w:rsid w:val="0086129B"/>
    <w:rsid w:val="008620A0"/>
    <w:rsid w:val="008623A2"/>
    <w:rsid w:val="008624C4"/>
    <w:rsid w:val="0086296B"/>
    <w:rsid w:val="00862AC5"/>
    <w:rsid w:val="00862CFD"/>
    <w:rsid w:val="00863367"/>
    <w:rsid w:val="00864049"/>
    <w:rsid w:val="00865249"/>
    <w:rsid w:val="00865A43"/>
    <w:rsid w:val="0086631A"/>
    <w:rsid w:val="00866FBF"/>
    <w:rsid w:val="00867D7F"/>
    <w:rsid w:val="008701E8"/>
    <w:rsid w:val="008707DF"/>
    <w:rsid w:val="0087157E"/>
    <w:rsid w:val="00873128"/>
    <w:rsid w:val="008735B7"/>
    <w:rsid w:val="00873E8C"/>
    <w:rsid w:val="00874BE2"/>
    <w:rsid w:val="00874C90"/>
    <w:rsid w:val="00875B74"/>
    <w:rsid w:val="0087692D"/>
    <w:rsid w:val="00877149"/>
    <w:rsid w:val="008771A1"/>
    <w:rsid w:val="00877940"/>
    <w:rsid w:val="00877C29"/>
    <w:rsid w:val="00877D8D"/>
    <w:rsid w:val="0088006B"/>
    <w:rsid w:val="00881596"/>
    <w:rsid w:val="00881DEB"/>
    <w:rsid w:val="008823F4"/>
    <w:rsid w:val="0088250C"/>
    <w:rsid w:val="00882643"/>
    <w:rsid w:val="0088280C"/>
    <w:rsid w:val="00882BF4"/>
    <w:rsid w:val="00882C17"/>
    <w:rsid w:val="00882CAD"/>
    <w:rsid w:val="00882CDE"/>
    <w:rsid w:val="00882D28"/>
    <w:rsid w:val="00882E6B"/>
    <w:rsid w:val="00882F01"/>
    <w:rsid w:val="008835A7"/>
    <w:rsid w:val="0088428B"/>
    <w:rsid w:val="00886478"/>
    <w:rsid w:val="0088655B"/>
    <w:rsid w:val="00886C76"/>
    <w:rsid w:val="00886DBD"/>
    <w:rsid w:val="0088707D"/>
    <w:rsid w:val="00887D78"/>
    <w:rsid w:val="00890141"/>
    <w:rsid w:val="008901F5"/>
    <w:rsid w:val="00890F36"/>
    <w:rsid w:val="00891432"/>
    <w:rsid w:val="0089196A"/>
    <w:rsid w:val="008920BF"/>
    <w:rsid w:val="0089242E"/>
    <w:rsid w:val="0089351A"/>
    <w:rsid w:val="00893C2C"/>
    <w:rsid w:val="008956F5"/>
    <w:rsid w:val="00895748"/>
    <w:rsid w:val="00895A6C"/>
    <w:rsid w:val="008960FE"/>
    <w:rsid w:val="0089615E"/>
    <w:rsid w:val="008964FD"/>
    <w:rsid w:val="00896D4C"/>
    <w:rsid w:val="00897552"/>
    <w:rsid w:val="008A0F09"/>
    <w:rsid w:val="008A10C8"/>
    <w:rsid w:val="008A117E"/>
    <w:rsid w:val="008A145E"/>
    <w:rsid w:val="008A167A"/>
    <w:rsid w:val="008A1A61"/>
    <w:rsid w:val="008A1CCD"/>
    <w:rsid w:val="008A26C5"/>
    <w:rsid w:val="008A3009"/>
    <w:rsid w:val="008A3075"/>
    <w:rsid w:val="008A33A4"/>
    <w:rsid w:val="008A393C"/>
    <w:rsid w:val="008A3E10"/>
    <w:rsid w:val="008A455A"/>
    <w:rsid w:val="008A4838"/>
    <w:rsid w:val="008A5717"/>
    <w:rsid w:val="008A573F"/>
    <w:rsid w:val="008A6AC0"/>
    <w:rsid w:val="008A76E2"/>
    <w:rsid w:val="008A77BA"/>
    <w:rsid w:val="008A7EA0"/>
    <w:rsid w:val="008B0505"/>
    <w:rsid w:val="008B096F"/>
    <w:rsid w:val="008B0FC9"/>
    <w:rsid w:val="008B1160"/>
    <w:rsid w:val="008B1254"/>
    <w:rsid w:val="008B12B7"/>
    <w:rsid w:val="008B15CC"/>
    <w:rsid w:val="008B1D8D"/>
    <w:rsid w:val="008B27B1"/>
    <w:rsid w:val="008B3174"/>
    <w:rsid w:val="008B31B0"/>
    <w:rsid w:val="008B4836"/>
    <w:rsid w:val="008B4C99"/>
    <w:rsid w:val="008B5204"/>
    <w:rsid w:val="008B529D"/>
    <w:rsid w:val="008B57FB"/>
    <w:rsid w:val="008B5E27"/>
    <w:rsid w:val="008B6215"/>
    <w:rsid w:val="008B66BC"/>
    <w:rsid w:val="008B7C41"/>
    <w:rsid w:val="008B7EDC"/>
    <w:rsid w:val="008C0089"/>
    <w:rsid w:val="008C0561"/>
    <w:rsid w:val="008C05F3"/>
    <w:rsid w:val="008C2135"/>
    <w:rsid w:val="008C23A3"/>
    <w:rsid w:val="008C2D70"/>
    <w:rsid w:val="008C384C"/>
    <w:rsid w:val="008C3BC7"/>
    <w:rsid w:val="008C5372"/>
    <w:rsid w:val="008C551E"/>
    <w:rsid w:val="008C5765"/>
    <w:rsid w:val="008C5D14"/>
    <w:rsid w:val="008C5D35"/>
    <w:rsid w:val="008C616C"/>
    <w:rsid w:val="008C76A2"/>
    <w:rsid w:val="008C7C29"/>
    <w:rsid w:val="008C7E3B"/>
    <w:rsid w:val="008D050D"/>
    <w:rsid w:val="008D12EC"/>
    <w:rsid w:val="008D163E"/>
    <w:rsid w:val="008D1D55"/>
    <w:rsid w:val="008D2F66"/>
    <w:rsid w:val="008D325A"/>
    <w:rsid w:val="008D37F3"/>
    <w:rsid w:val="008D38AF"/>
    <w:rsid w:val="008D49B6"/>
    <w:rsid w:val="008D4B54"/>
    <w:rsid w:val="008D4BC0"/>
    <w:rsid w:val="008D5E31"/>
    <w:rsid w:val="008D6940"/>
    <w:rsid w:val="008D697E"/>
    <w:rsid w:val="008E0514"/>
    <w:rsid w:val="008E14CC"/>
    <w:rsid w:val="008E1A41"/>
    <w:rsid w:val="008E1ABF"/>
    <w:rsid w:val="008E20FD"/>
    <w:rsid w:val="008E2268"/>
    <w:rsid w:val="008E2EA8"/>
    <w:rsid w:val="008E3522"/>
    <w:rsid w:val="008E3A96"/>
    <w:rsid w:val="008E471B"/>
    <w:rsid w:val="008E4EAD"/>
    <w:rsid w:val="008E50BC"/>
    <w:rsid w:val="008E50D4"/>
    <w:rsid w:val="008E522E"/>
    <w:rsid w:val="008E58F6"/>
    <w:rsid w:val="008E5B54"/>
    <w:rsid w:val="008E63BC"/>
    <w:rsid w:val="008E64E1"/>
    <w:rsid w:val="008E658D"/>
    <w:rsid w:val="008E66B1"/>
    <w:rsid w:val="008E6AF0"/>
    <w:rsid w:val="008E6EE5"/>
    <w:rsid w:val="008E7231"/>
    <w:rsid w:val="008F09AA"/>
    <w:rsid w:val="008F0A81"/>
    <w:rsid w:val="008F0E24"/>
    <w:rsid w:val="008F104A"/>
    <w:rsid w:val="008F16F1"/>
    <w:rsid w:val="008F1B6F"/>
    <w:rsid w:val="008F245C"/>
    <w:rsid w:val="008F2976"/>
    <w:rsid w:val="008F2CE3"/>
    <w:rsid w:val="008F2ECF"/>
    <w:rsid w:val="008F3752"/>
    <w:rsid w:val="008F4A5B"/>
    <w:rsid w:val="008F4C5E"/>
    <w:rsid w:val="008F5040"/>
    <w:rsid w:val="008F70ED"/>
    <w:rsid w:val="008F7502"/>
    <w:rsid w:val="008F7912"/>
    <w:rsid w:val="008F7ACC"/>
    <w:rsid w:val="0090007D"/>
    <w:rsid w:val="00900287"/>
    <w:rsid w:val="00900718"/>
    <w:rsid w:val="00900AF9"/>
    <w:rsid w:val="00900B6B"/>
    <w:rsid w:val="00900D9D"/>
    <w:rsid w:val="00900DC0"/>
    <w:rsid w:val="00901BEE"/>
    <w:rsid w:val="00901EE5"/>
    <w:rsid w:val="00902010"/>
    <w:rsid w:val="0090302A"/>
    <w:rsid w:val="00903CBE"/>
    <w:rsid w:val="00903D2A"/>
    <w:rsid w:val="00904401"/>
    <w:rsid w:val="00904998"/>
    <w:rsid w:val="00904E89"/>
    <w:rsid w:val="009050A5"/>
    <w:rsid w:val="009051BD"/>
    <w:rsid w:val="009052AE"/>
    <w:rsid w:val="009053E7"/>
    <w:rsid w:val="00905A65"/>
    <w:rsid w:val="00905B22"/>
    <w:rsid w:val="00905C57"/>
    <w:rsid w:val="009068C6"/>
    <w:rsid w:val="00907EA8"/>
    <w:rsid w:val="00910024"/>
    <w:rsid w:val="00910BAD"/>
    <w:rsid w:val="00910C4D"/>
    <w:rsid w:val="009110D3"/>
    <w:rsid w:val="009111FB"/>
    <w:rsid w:val="0091125B"/>
    <w:rsid w:val="00911474"/>
    <w:rsid w:val="009114B1"/>
    <w:rsid w:val="00911FA6"/>
    <w:rsid w:val="009120FE"/>
    <w:rsid w:val="00913518"/>
    <w:rsid w:val="009168DA"/>
    <w:rsid w:val="0091694C"/>
    <w:rsid w:val="009169A3"/>
    <w:rsid w:val="00917783"/>
    <w:rsid w:val="00917A48"/>
    <w:rsid w:val="00917E70"/>
    <w:rsid w:val="00917FBB"/>
    <w:rsid w:val="0092082B"/>
    <w:rsid w:val="0092090D"/>
    <w:rsid w:val="00920E3C"/>
    <w:rsid w:val="009211CC"/>
    <w:rsid w:val="0092191C"/>
    <w:rsid w:val="00921AF8"/>
    <w:rsid w:val="00922D8A"/>
    <w:rsid w:val="00923428"/>
    <w:rsid w:val="00923907"/>
    <w:rsid w:val="009239EA"/>
    <w:rsid w:val="00924083"/>
    <w:rsid w:val="009241CD"/>
    <w:rsid w:val="00924EB6"/>
    <w:rsid w:val="0092559B"/>
    <w:rsid w:val="00925ADA"/>
    <w:rsid w:val="00925AE3"/>
    <w:rsid w:val="00925E18"/>
    <w:rsid w:val="00926118"/>
    <w:rsid w:val="009268D4"/>
    <w:rsid w:val="00926DC5"/>
    <w:rsid w:val="00926EB7"/>
    <w:rsid w:val="009270E8"/>
    <w:rsid w:val="00927AEC"/>
    <w:rsid w:val="00927B2C"/>
    <w:rsid w:val="00930899"/>
    <w:rsid w:val="00931C61"/>
    <w:rsid w:val="00932B67"/>
    <w:rsid w:val="00932CAF"/>
    <w:rsid w:val="00932F3C"/>
    <w:rsid w:val="009332F6"/>
    <w:rsid w:val="009349E7"/>
    <w:rsid w:val="00934D81"/>
    <w:rsid w:val="00934F4E"/>
    <w:rsid w:val="00935DBD"/>
    <w:rsid w:val="009368B2"/>
    <w:rsid w:val="00936924"/>
    <w:rsid w:val="00941277"/>
    <w:rsid w:val="00941F2A"/>
    <w:rsid w:val="00942354"/>
    <w:rsid w:val="00942909"/>
    <w:rsid w:val="00942CBF"/>
    <w:rsid w:val="00943273"/>
    <w:rsid w:val="00943432"/>
    <w:rsid w:val="00943A55"/>
    <w:rsid w:val="00943E95"/>
    <w:rsid w:val="009446A2"/>
    <w:rsid w:val="00944BA7"/>
    <w:rsid w:val="009456AF"/>
    <w:rsid w:val="009457BD"/>
    <w:rsid w:val="00945894"/>
    <w:rsid w:val="009459DE"/>
    <w:rsid w:val="00946065"/>
    <w:rsid w:val="00946405"/>
    <w:rsid w:val="00946D28"/>
    <w:rsid w:val="00946EA4"/>
    <w:rsid w:val="00947112"/>
    <w:rsid w:val="00947D4F"/>
    <w:rsid w:val="00950837"/>
    <w:rsid w:val="00951610"/>
    <w:rsid w:val="00951E56"/>
    <w:rsid w:val="00952400"/>
    <w:rsid w:val="009528C6"/>
    <w:rsid w:val="00952951"/>
    <w:rsid w:val="00952C77"/>
    <w:rsid w:val="009546E6"/>
    <w:rsid w:val="00955669"/>
    <w:rsid w:val="00955D29"/>
    <w:rsid w:val="00955F49"/>
    <w:rsid w:val="0095663A"/>
    <w:rsid w:val="00956B9F"/>
    <w:rsid w:val="00956C44"/>
    <w:rsid w:val="00956E59"/>
    <w:rsid w:val="00957B5D"/>
    <w:rsid w:val="00957E39"/>
    <w:rsid w:val="009602F9"/>
    <w:rsid w:val="0096199E"/>
    <w:rsid w:val="00961ED7"/>
    <w:rsid w:val="0096257F"/>
    <w:rsid w:val="00962C1F"/>
    <w:rsid w:val="009638AA"/>
    <w:rsid w:val="00963A80"/>
    <w:rsid w:val="00965504"/>
    <w:rsid w:val="00965909"/>
    <w:rsid w:val="0096613C"/>
    <w:rsid w:val="00966683"/>
    <w:rsid w:val="00966A7A"/>
    <w:rsid w:val="00967668"/>
    <w:rsid w:val="00971143"/>
    <w:rsid w:val="0097121F"/>
    <w:rsid w:val="00971249"/>
    <w:rsid w:val="009716ED"/>
    <w:rsid w:val="009718F2"/>
    <w:rsid w:val="00972467"/>
    <w:rsid w:val="00972698"/>
    <w:rsid w:val="009732C7"/>
    <w:rsid w:val="00973721"/>
    <w:rsid w:val="00974A50"/>
    <w:rsid w:val="00974D5F"/>
    <w:rsid w:val="00975335"/>
    <w:rsid w:val="00975C56"/>
    <w:rsid w:val="009772CC"/>
    <w:rsid w:val="00977B07"/>
    <w:rsid w:val="00980760"/>
    <w:rsid w:val="00981B24"/>
    <w:rsid w:val="00981DEA"/>
    <w:rsid w:val="00981DF4"/>
    <w:rsid w:val="00982865"/>
    <w:rsid w:val="0098288E"/>
    <w:rsid w:val="00982B91"/>
    <w:rsid w:val="00985D07"/>
    <w:rsid w:val="00985F72"/>
    <w:rsid w:val="00986181"/>
    <w:rsid w:val="0098756B"/>
    <w:rsid w:val="00987691"/>
    <w:rsid w:val="0098778D"/>
    <w:rsid w:val="00990821"/>
    <w:rsid w:val="00990C88"/>
    <w:rsid w:val="00990F77"/>
    <w:rsid w:val="00991409"/>
    <w:rsid w:val="0099205F"/>
    <w:rsid w:val="0099209C"/>
    <w:rsid w:val="00992423"/>
    <w:rsid w:val="00992898"/>
    <w:rsid w:val="00993128"/>
    <w:rsid w:val="0099353A"/>
    <w:rsid w:val="0099427E"/>
    <w:rsid w:val="00994622"/>
    <w:rsid w:val="00994651"/>
    <w:rsid w:val="009946A6"/>
    <w:rsid w:val="00995264"/>
    <w:rsid w:val="009953DF"/>
    <w:rsid w:val="00995A8D"/>
    <w:rsid w:val="00995E68"/>
    <w:rsid w:val="0099649D"/>
    <w:rsid w:val="00996814"/>
    <w:rsid w:val="009976EE"/>
    <w:rsid w:val="00997B57"/>
    <w:rsid w:val="009A0518"/>
    <w:rsid w:val="009A09FE"/>
    <w:rsid w:val="009A12F8"/>
    <w:rsid w:val="009A1300"/>
    <w:rsid w:val="009A1724"/>
    <w:rsid w:val="009A1A20"/>
    <w:rsid w:val="009A1F86"/>
    <w:rsid w:val="009A1F8E"/>
    <w:rsid w:val="009A258C"/>
    <w:rsid w:val="009A25CF"/>
    <w:rsid w:val="009A4050"/>
    <w:rsid w:val="009A4A4A"/>
    <w:rsid w:val="009A4DF7"/>
    <w:rsid w:val="009A5D5F"/>
    <w:rsid w:val="009A6323"/>
    <w:rsid w:val="009A6EAE"/>
    <w:rsid w:val="009A79B3"/>
    <w:rsid w:val="009A79B8"/>
    <w:rsid w:val="009B030D"/>
    <w:rsid w:val="009B08F8"/>
    <w:rsid w:val="009B141A"/>
    <w:rsid w:val="009B1757"/>
    <w:rsid w:val="009B1C64"/>
    <w:rsid w:val="009B3A9E"/>
    <w:rsid w:val="009B6373"/>
    <w:rsid w:val="009B6380"/>
    <w:rsid w:val="009B6D79"/>
    <w:rsid w:val="009B725F"/>
    <w:rsid w:val="009B72C2"/>
    <w:rsid w:val="009B7684"/>
    <w:rsid w:val="009B7A17"/>
    <w:rsid w:val="009C0119"/>
    <w:rsid w:val="009C033E"/>
    <w:rsid w:val="009C08D7"/>
    <w:rsid w:val="009C1C08"/>
    <w:rsid w:val="009C1C91"/>
    <w:rsid w:val="009C1C9A"/>
    <w:rsid w:val="009C1E51"/>
    <w:rsid w:val="009C2843"/>
    <w:rsid w:val="009C28F5"/>
    <w:rsid w:val="009C3075"/>
    <w:rsid w:val="009C30B9"/>
    <w:rsid w:val="009C35AE"/>
    <w:rsid w:val="009C3603"/>
    <w:rsid w:val="009C4676"/>
    <w:rsid w:val="009C5397"/>
    <w:rsid w:val="009C5752"/>
    <w:rsid w:val="009C63D4"/>
    <w:rsid w:val="009C6DDC"/>
    <w:rsid w:val="009C7525"/>
    <w:rsid w:val="009C7E5B"/>
    <w:rsid w:val="009D001E"/>
    <w:rsid w:val="009D02A7"/>
    <w:rsid w:val="009D0861"/>
    <w:rsid w:val="009D128F"/>
    <w:rsid w:val="009D13BF"/>
    <w:rsid w:val="009D15BA"/>
    <w:rsid w:val="009D31CF"/>
    <w:rsid w:val="009D334A"/>
    <w:rsid w:val="009D458A"/>
    <w:rsid w:val="009D4A2D"/>
    <w:rsid w:val="009D4E20"/>
    <w:rsid w:val="009D4F11"/>
    <w:rsid w:val="009D5249"/>
    <w:rsid w:val="009D52A7"/>
    <w:rsid w:val="009D6016"/>
    <w:rsid w:val="009D64A0"/>
    <w:rsid w:val="009D66A4"/>
    <w:rsid w:val="009D67A7"/>
    <w:rsid w:val="009D6DCA"/>
    <w:rsid w:val="009D6E07"/>
    <w:rsid w:val="009D7C83"/>
    <w:rsid w:val="009E0036"/>
    <w:rsid w:val="009E0239"/>
    <w:rsid w:val="009E03B8"/>
    <w:rsid w:val="009E0F92"/>
    <w:rsid w:val="009E1735"/>
    <w:rsid w:val="009E2025"/>
    <w:rsid w:val="009E20C6"/>
    <w:rsid w:val="009E2120"/>
    <w:rsid w:val="009E2357"/>
    <w:rsid w:val="009E345E"/>
    <w:rsid w:val="009E48F3"/>
    <w:rsid w:val="009E515C"/>
    <w:rsid w:val="009E5255"/>
    <w:rsid w:val="009E52BD"/>
    <w:rsid w:val="009E566D"/>
    <w:rsid w:val="009E5CC6"/>
    <w:rsid w:val="009E6D05"/>
    <w:rsid w:val="009E70CD"/>
    <w:rsid w:val="009E7148"/>
    <w:rsid w:val="009E72D1"/>
    <w:rsid w:val="009F0B97"/>
    <w:rsid w:val="009F1ADF"/>
    <w:rsid w:val="009F2848"/>
    <w:rsid w:val="009F35FD"/>
    <w:rsid w:val="009F38D7"/>
    <w:rsid w:val="009F5255"/>
    <w:rsid w:val="009F5696"/>
    <w:rsid w:val="009F5CBA"/>
    <w:rsid w:val="009F5CC8"/>
    <w:rsid w:val="009F68A9"/>
    <w:rsid w:val="009F693F"/>
    <w:rsid w:val="009F69F0"/>
    <w:rsid w:val="009F6A47"/>
    <w:rsid w:val="009F6A5C"/>
    <w:rsid w:val="009F7C54"/>
    <w:rsid w:val="00A00391"/>
    <w:rsid w:val="00A00531"/>
    <w:rsid w:val="00A01814"/>
    <w:rsid w:val="00A01B2E"/>
    <w:rsid w:val="00A01D9E"/>
    <w:rsid w:val="00A02145"/>
    <w:rsid w:val="00A02BA0"/>
    <w:rsid w:val="00A03662"/>
    <w:rsid w:val="00A07007"/>
    <w:rsid w:val="00A07F78"/>
    <w:rsid w:val="00A108E0"/>
    <w:rsid w:val="00A10D95"/>
    <w:rsid w:val="00A116D8"/>
    <w:rsid w:val="00A116FC"/>
    <w:rsid w:val="00A120A0"/>
    <w:rsid w:val="00A121AE"/>
    <w:rsid w:val="00A12375"/>
    <w:rsid w:val="00A1284E"/>
    <w:rsid w:val="00A12860"/>
    <w:rsid w:val="00A12B13"/>
    <w:rsid w:val="00A12D34"/>
    <w:rsid w:val="00A131AD"/>
    <w:rsid w:val="00A132E1"/>
    <w:rsid w:val="00A1362F"/>
    <w:rsid w:val="00A13A97"/>
    <w:rsid w:val="00A14886"/>
    <w:rsid w:val="00A14C02"/>
    <w:rsid w:val="00A15322"/>
    <w:rsid w:val="00A15FDB"/>
    <w:rsid w:val="00A160D7"/>
    <w:rsid w:val="00A16233"/>
    <w:rsid w:val="00A164F5"/>
    <w:rsid w:val="00A16D11"/>
    <w:rsid w:val="00A16FCA"/>
    <w:rsid w:val="00A17E7E"/>
    <w:rsid w:val="00A2040B"/>
    <w:rsid w:val="00A20877"/>
    <w:rsid w:val="00A20997"/>
    <w:rsid w:val="00A21268"/>
    <w:rsid w:val="00A21471"/>
    <w:rsid w:val="00A216CA"/>
    <w:rsid w:val="00A22516"/>
    <w:rsid w:val="00A2257F"/>
    <w:rsid w:val="00A2292B"/>
    <w:rsid w:val="00A22F18"/>
    <w:rsid w:val="00A235D7"/>
    <w:rsid w:val="00A23FEA"/>
    <w:rsid w:val="00A2436A"/>
    <w:rsid w:val="00A244D0"/>
    <w:rsid w:val="00A24BBB"/>
    <w:rsid w:val="00A24ECE"/>
    <w:rsid w:val="00A251B5"/>
    <w:rsid w:val="00A25F8F"/>
    <w:rsid w:val="00A26514"/>
    <w:rsid w:val="00A265A1"/>
    <w:rsid w:val="00A267FA"/>
    <w:rsid w:val="00A2690E"/>
    <w:rsid w:val="00A303C2"/>
    <w:rsid w:val="00A3068E"/>
    <w:rsid w:val="00A308F3"/>
    <w:rsid w:val="00A309BF"/>
    <w:rsid w:val="00A31E06"/>
    <w:rsid w:val="00A31F29"/>
    <w:rsid w:val="00A3259C"/>
    <w:rsid w:val="00A32B8C"/>
    <w:rsid w:val="00A3423D"/>
    <w:rsid w:val="00A346BC"/>
    <w:rsid w:val="00A34A09"/>
    <w:rsid w:val="00A34B2E"/>
    <w:rsid w:val="00A3591E"/>
    <w:rsid w:val="00A35C35"/>
    <w:rsid w:val="00A3608E"/>
    <w:rsid w:val="00A361A6"/>
    <w:rsid w:val="00A365A6"/>
    <w:rsid w:val="00A36838"/>
    <w:rsid w:val="00A37977"/>
    <w:rsid w:val="00A37DB4"/>
    <w:rsid w:val="00A4077D"/>
    <w:rsid w:val="00A40B96"/>
    <w:rsid w:val="00A41298"/>
    <w:rsid w:val="00A4265A"/>
    <w:rsid w:val="00A42C61"/>
    <w:rsid w:val="00A42D4E"/>
    <w:rsid w:val="00A437CF"/>
    <w:rsid w:val="00A43ECC"/>
    <w:rsid w:val="00A44A04"/>
    <w:rsid w:val="00A44DF8"/>
    <w:rsid w:val="00A44F77"/>
    <w:rsid w:val="00A45037"/>
    <w:rsid w:val="00A4539A"/>
    <w:rsid w:val="00A46594"/>
    <w:rsid w:val="00A473DA"/>
    <w:rsid w:val="00A4749E"/>
    <w:rsid w:val="00A4759D"/>
    <w:rsid w:val="00A47CE3"/>
    <w:rsid w:val="00A50698"/>
    <w:rsid w:val="00A50D5B"/>
    <w:rsid w:val="00A513E8"/>
    <w:rsid w:val="00A52274"/>
    <w:rsid w:val="00A526FB"/>
    <w:rsid w:val="00A535F8"/>
    <w:rsid w:val="00A53C96"/>
    <w:rsid w:val="00A53E22"/>
    <w:rsid w:val="00A53FAF"/>
    <w:rsid w:val="00A54777"/>
    <w:rsid w:val="00A5557D"/>
    <w:rsid w:val="00A55E4F"/>
    <w:rsid w:val="00A5601B"/>
    <w:rsid w:val="00A56AC1"/>
    <w:rsid w:val="00A56B98"/>
    <w:rsid w:val="00A571A4"/>
    <w:rsid w:val="00A57B76"/>
    <w:rsid w:val="00A60042"/>
    <w:rsid w:val="00A61294"/>
    <w:rsid w:val="00A61829"/>
    <w:rsid w:val="00A62018"/>
    <w:rsid w:val="00A628DD"/>
    <w:rsid w:val="00A62E98"/>
    <w:rsid w:val="00A6347D"/>
    <w:rsid w:val="00A6353D"/>
    <w:rsid w:val="00A63DBD"/>
    <w:rsid w:val="00A640EC"/>
    <w:rsid w:val="00A64121"/>
    <w:rsid w:val="00A64E7B"/>
    <w:rsid w:val="00A65A44"/>
    <w:rsid w:val="00A66DB9"/>
    <w:rsid w:val="00A673AE"/>
    <w:rsid w:val="00A67806"/>
    <w:rsid w:val="00A67A31"/>
    <w:rsid w:val="00A67AFF"/>
    <w:rsid w:val="00A67E76"/>
    <w:rsid w:val="00A71DB2"/>
    <w:rsid w:val="00A71FCC"/>
    <w:rsid w:val="00A722B8"/>
    <w:rsid w:val="00A727E3"/>
    <w:rsid w:val="00A72BD5"/>
    <w:rsid w:val="00A731E0"/>
    <w:rsid w:val="00A73EA6"/>
    <w:rsid w:val="00A741EA"/>
    <w:rsid w:val="00A75634"/>
    <w:rsid w:val="00A75AAD"/>
    <w:rsid w:val="00A75E32"/>
    <w:rsid w:val="00A76596"/>
    <w:rsid w:val="00A76791"/>
    <w:rsid w:val="00A767F4"/>
    <w:rsid w:val="00A77519"/>
    <w:rsid w:val="00A777DF"/>
    <w:rsid w:val="00A77C91"/>
    <w:rsid w:val="00A80518"/>
    <w:rsid w:val="00A80EAD"/>
    <w:rsid w:val="00A81222"/>
    <w:rsid w:val="00A81597"/>
    <w:rsid w:val="00A81B20"/>
    <w:rsid w:val="00A8275D"/>
    <w:rsid w:val="00A82C93"/>
    <w:rsid w:val="00A82D4D"/>
    <w:rsid w:val="00A82E23"/>
    <w:rsid w:val="00A83525"/>
    <w:rsid w:val="00A8380B"/>
    <w:rsid w:val="00A83C69"/>
    <w:rsid w:val="00A8473D"/>
    <w:rsid w:val="00A84B00"/>
    <w:rsid w:val="00A84B6E"/>
    <w:rsid w:val="00A853F6"/>
    <w:rsid w:val="00A85620"/>
    <w:rsid w:val="00A85C6E"/>
    <w:rsid w:val="00A85C81"/>
    <w:rsid w:val="00A85CF9"/>
    <w:rsid w:val="00A8687B"/>
    <w:rsid w:val="00A86C64"/>
    <w:rsid w:val="00A874F7"/>
    <w:rsid w:val="00A90586"/>
    <w:rsid w:val="00A912C7"/>
    <w:rsid w:val="00A92094"/>
    <w:rsid w:val="00A92698"/>
    <w:rsid w:val="00A933BC"/>
    <w:rsid w:val="00A93B55"/>
    <w:rsid w:val="00A942D2"/>
    <w:rsid w:val="00A96CE8"/>
    <w:rsid w:val="00A970F4"/>
    <w:rsid w:val="00A97121"/>
    <w:rsid w:val="00AA0E73"/>
    <w:rsid w:val="00AA123F"/>
    <w:rsid w:val="00AA12F2"/>
    <w:rsid w:val="00AA20B5"/>
    <w:rsid w:val="00AA213B"/>
    <w:rsid w:val="00AA2BC8"/>
    <w:rsid w:val="00AA2EF3"/>
    <w:rsid w:val="00AA3026"/>
    <w:rsid w:val="00AA349E"/>
    <w:rsid w:val="00AA3B11"/>
    <w:rsid w:val="00AA3D2B"/>
    <w:rsid w:val="00AA3E8F"/>
    <w:rsid w:val="00AA4524"/>
    <w:rsid w:val="00AA45AA"/>
    <w:rsid w:val="00AA4FA9"/>
    <w:rsid w:val="00AA5C66"/>
    <w:rsid w:val="00AA5E13"/>
    <w:rsid w:val="00AA7213"/>
    <w:rsid w:val="00AA76E2"/>
    <w:rsid w:val="00AA77FC"/>
    <w:rsid w:val="00AA796E"/>
    <w:rsid w:val="00AA79C2"/>
    <w:rsid w:val="00AA7E49"/>
    <w:rsid w:val="00AB0705"/>
    <w:rsid w:val="00AB11B5"/>
    <w:rsid w:val="00AB1F6D"/>
    <w:rsid w:val="00AB2179"/>
    <w:rsid w:val="00AB2212"/>
    <w:rsid w:val="00AB2714"/>
    <w:rsid w:val="00AB36D5"/>
    <w:rsid w:val="00AB3CA5"/>
    <w:rsid w:val="00AB3D65"/>
    <w:rsid w:val="00AB40AF"/>
    <w:rsid w:val="00AB411F"/>
    <w:rsid w:val="00AB5B1D"/>
    <w:rsid w:val="00AB5F2D"/>
    <w:rsid w:val="00AB7036"/>
    <w:rsid w:val="00AC053E"/>
    <w:rsid w:val="00AC0887"/>
    <w:rsid w:val="00AC0E94"/>
    <w:rsid w:val="00AC0EE2"/>
    <w:rsid w:val="00AC13C1"/>
    <w:rsid w:val="00AC1CFF"/>
    <w:rsid w:val="00AC20D4"/>
    <w:rsid w:val="00AC2ADD"/>
    <w:rsid w:val="00AC331C"/>
    <w:rsid w:val="00AC3322"/>
    <w:rsid w:val="00AC39D8"/>
    <w:rsid w:val="00AC3AEF"/>
    <w:rsid w:val="00AC3FE3"/>
    <w:rsid w:val="00AC437C"/>
    <w:rsid w:val="00AC45B8"/>
    <w:rsid w:val="00AC4989"/>
    <w:rsid w:val="00AC56A4"/>
    <w:rsid w:val="00AC59DD"/>
    <w:rsid w:val="00AC5BD3"/>
    <w:rsid w:val="00AC5CE4"/>
    <w:rsid w:val="00AC6824"/>
    <w:rsid w:val="00AC6CE0"/>
    <w:rsid w:val="00AC713F"/>
    <w:rsid w:val="00AC736D"/>
    <w:rsid w:val="00AD0180"/>
    <w:rsid w:val="00AD1149"/>
    <w:rsid w:val="00AD1617"/>
    <w:rsid w:val="00AD18BB"/>
    <w:rsid w:val="00AD2531"/>
    <w:rsid w:val="00AD2589"/>
    <w:rsid w:val="00AD3552"/>
    <w:rsid w:val="00AD55E4"/>
    <w:rsid w:val="00AD5D97"/>
    <w:rsid w:val="00AD5FA1"/>
    <w:rsid w:val="00AD6892"/>
    <w:rsid w:val="00AD6A84"/>
    <w:rsid w:val="00AD6BE4"/>
    <w:rsid w:val="00AD6E66"/>
    <w:rsid w:val="00AD6F13"/>
    <w:rsid w:val="00AD76E0"/>
    <w:rsid w:val="00AE087C"/>
    <w:rsid w:val="00AE0C58"/>
    <w:rsid w:val="00AE0D15"/>
    <w:rsid w:val="00AE129F"/>
    <w:rsid w:val="00AE14B5"/>
    <w:rsid w:val="00AE1530"/>
    <w:rsid w:val="00AE1570"/>
    <w:rsid w:val="00AE198F"/>
    <w:rsid w:val="00AE1B06"/>
    <w:rsid w:val="00AE256D"/>
    <w:rsid w:val="00AE2649"/>
    <w:rsid w:val="00AE34C2"/>
    <w:rsid w:val="00AE3E74"/>
    <w:rsid w:val="00AE45D7"/>
    <w:rsid w:val="00AE4D77"/>
    <w:rsid w:val="00AE5538"/>
    <w:rsid w:val="00AE563F"/>
    <w:rsid w:val="00AE5EDF"/>
    <w:rsid w:val="00AE6ADB"/>
    <w:rsid w:val="00AE7390"/>
    <w:rsid w:val="00AF05AB"/>
    <w:rsid w:val="00AF0A4A"/>
    <w:rsid w:val="00AF1946"/>
    <w:rsid w:val="00AF23E1"/>
    <w:rsid w:val="00AF24B1"/>
    <w:rsid w:val="00AF339C"/>
    <w:rsid w:val="00AF360E"/>
    <w:rsid w:val="00AF3D37"/>
    <w:rsid w:val="00AF4F73"/>
    <w:rsid w:val="00AF4FA9"/>
    <w:rsid w:val="00AF55A5"/>
    <w:rsid w:val="00AF62F4"/>
    <w:rsid w:val="00AF6929"/>
    <w:rsid w:val="00AF6C50"/>
    <w:rsid w:val="00AF6DEB"/>
    <w:rsid w:val="00AF74B2"/>
    <w:rsid w:val="00AF783C"/>
    <w:rsid w:val="00AF7B21"/>
    <w:rsid w:val="00B0172F"/>
    <w:rsid w:val="00B0222E"/>
    <w:rsid w:val="00B024EB"/>
    <w:rsid w:val="00B02EFC"/>
    <w:rsid w:val="00B030E8"/>
    <w:rsid w:val="00B034DF"/>
    <w:rsid w:val="00B05176"/>
    <w:rsid w:val="00B054BC"/>
    <w:rsid w:val="00B05776"/>
    <w:rsid w:val="00B05AB9"/>
    <w:rsid w:val="00B064E2"/>
    <w:rsid w:val="00B066CA"/>
    <w:rsid w:val="00B077DF"/>
    <w:rsid w:val="00B078D1"/>
    <w:rsid w:val="00B100BB"/>
    <w:rsid w:val="00B101AC"/>
    <w:rsid w:val="00B10D0B"/>
    <w:rsid w:val="00B10ED6"/>
    <w:rsid w:val="00B120F5"/>
    <w:rsid w:val="00B12E38"/>
    <w:rsid w:val="00B138D3"/>
    <w:rsid w:val="00B14070"/>
    <w:rsid w:val="00B14F57"/>
    <w:rsid w:val="00B1500D"/>
    <w:rsid w:val="00B1523E"/>
    <w:rsid w:val="00B16036"/>
    <w:rsid w:val="00B16403"/>
    <w:rsid w:val="00B1707B"/>
    <w:rsid w:val="00B2002C"/>
    <w:rsid w:val="00B207E5"/>
    <w:rsid w:val="00B20CF1"/>
    <w:rsid w:val="00B21ED4"/>
    <w:rsid w:val="00B2205B"/>
    <w:rsid w:val="00B222A6"/>
    <w:rsid w:val="00B227C4"/>
    <w:rsid w:val="00B23018"/>
    <w:rsid w:val="00B23897"/>
    <w:rsid w:val="00B24A33"/>
    <w:rsid w:val="00B256B9"/>
    <w:rsid w:val="00B25A50"/>
    <w:rsid w:val="00B25F33"/>
    <w:rsid w:val="00B2680D"/>
    <w:rsid w:val="00B26D5E"/>
    <w:rsid w:val="00B26DB5"/>
    <w:rsid w:val="00B3132B"/>
    <w:rsid w:val="00B31C44"/>
    <w:rsid w:val="00B31CE1"/>
    <w:rsid w:val="00B326D5"/>
    <w:rsid w:val="00B32754"/>
    <w:rsid w:val="00B3358D"/>
    <w:rsid w:val="00B348E3"/>
    <w:rsid w:val="00B35216"/>
    <w:rsid w:val="00B3574A"/>
    <w:rsid w:val="00B35FA9"/>
    <w:rsid w:val="00B3647E"/>
    <w:rsid w:val="00B36D4B"/>
    <w:rsid w:val="00B372E7"/>
    <w:rsid w:val="00B3744C"/>
    <w:rsid w:val="00B37B62"/>
    <w:rsid w:val="00B40ED5"/>
    <w:rsid w:val="00B411EB"/>
    <w:rsid w:val="00B413F8"/>
    <w:rsid w:val="00B418D4"/>
    <w:rsid w:val="00B42A12"/>
    <w:rsid w:val="00B42E5B"/>
    <w:rsid w:val="00B4312E"/>
    <w:rsid w:val="00B456C4"/>
    <w:rsid w:val="00B459BF"/>
    <w:rsid w:val="00B469D9"/>
    <w:rsid w:val="00B469EC"/>
    <w:rsid w:val="00B470C0"/>
    <w:rsid w:val="00B47449"/>
    <w:rsid w:val="00B47BA1"/>
    <w:rsid w:val="00B47F53"/>
    <w:rsid w:val="00B505D5"/>
    <w:rsid w:val="00B50EAA"/>
    <w:rsid w:val="00B51889"/>
    <w:rsid w:val="00B51936"/>
    <w:rsid w:val="00B51A8F"/>
    <w:rsid w:val="00B52312"/>
    <w:rsid w:val="00B52C9D"/>
    <w:rsid w:val="00B531F5"/>
    <w:rsid w:val="00B53575"/>
    <w:rsid w:val="00B537B8"/>
    <w:rsid w:val="00B5382B"/>
    <w:rsid w:val="00B53C43"/>
    <w:rsid w:val="00B53EC5"/>
    <w:rsid w:val="00B540C8"/>
    <w:rsid w:val="00B54131"/>
    <w:rsid w:val="00B54411"/>
    <w:rsid w:val="00B5455C"/>
    <w:rsid w:val="00B55444"/>
    <w:rsid w:val="00B55569"/>
    <w:rsid w:val="00B559D0"/>
    <w:rsid w:val="00B55C3B"/>
    <w:rsid w:val="00B562E6"/>
    <w:rsid w:val="00B567FB"/>
    <w:rsid w:val="00B56BEC"/>
    <w:rsid w:val="00B56E27"/>
    <w:rsid w:val="00B571C7"/>
    <w:rsid w:val="00B57728"/>
    <w:rsid w:val="00B57B1E"/>
    <w:rsid w:val="00B6055D"/>
    <w:rsid w:val="00B60954"/>
    <w:rsid w:val="00B6100D"/>
    <w:rsid w:val="00B610F8"/>
    <w:rsid w:val="00B61A4B"/>
    <w:rsid w:val="00B6338C"/>
    <w:rsid w:val="00B63A29"/>
    <w:rsid w:val="00B64033"/>
    <w:rsid w:val="00B64203"/>
    <w:rsid w:val="00B65443"/>
    <w:rsid w:val="00B65D2A"/>
    <w:rsid w:val="00B667CF"/>
    <w:rsid w:val="00B66F84"/>
    <w:rsid w:val="00B6720B"/>
    <w:rsid w:val="00B7019A"/>
    <w:rsid w:val="00B703B7"/>
    <w:rsid w:val="00B70A0A"/>
    <w:rsid w:val="00B70DDA"/>
    <w:rsid w:val="00B71EC0"/>
    <w:rsid w:val="00B7337B"/>
    <w:rsid w:val="00B733AE"/>
    <w:rsid w:val="00B73C1C"/>
    <w:rsid w:val="00B73D18"/>
    <w:rsid w:val="00B74273"/>
    <w:rsid w:val="00B7440B"/>
    <w:rsid w:val="00B747AB"/>
    <w:rsid w:val="00B752E1"/>
    <w:rsid w:val="00B75408"/>
    <w:rsid w:val="00B7593B"/>
    <w:rsid w:val="00B75FE3"/>
    <w:rsid w:val="00B76163"/>
    <w:rsid w:val="00B7644F"/>
    <w:rsid w:val="00B76601"/>
    <w:rsid w:val="00B772AF"/>
    <w:rsid w:val="00B77DBA"/>
    <w:rsid w:val="00B77DD0"/>
    <w:rsid w:val="00B80537"/>
    <w:rsid w:val="00B80886"/>
    <w:rsid w:val="00B80E29"/>
    <w:rsid w:val="00B81544"/>
    <w:rsid w:val="00B81C8C"/>
    <w:rsid w:val="00B81CC2"/>
    <w:rsid w:val="00B81F3E"/>
    <w:rsid w:val="00B820D6"/>
    <w:rsid w:val="00B82480"/>
    <w:rsid w:val="00B83C03"/>
    <w:rsid w:val="00B8444D"/>
    <w:rsid w:val="00B84F2A"/>
    <w:rsid w:val="00B85463"/>
    <w:rsid w:val="00B854FE"/>
    <w:rsid w:val="00B870AC"/>
    <w:rsid w:val="00B900A3"/>
    <w:rsid w:val="00B90636"/>
    <w:rsid w:val="00B9085F"/>
    <w:rsid w:val="00B90F3A"/>
    <w:rsid w:val="00B914D7"/>
    <w:rsid w:val="00B916A9"/>
    <w:rsid w:val="00B919BF"/>
    <w:rsid w:val="00B93666"/>
    <w:rsid w:val="00B937FE"/>
    <w:rsid w:val="00B93876"/>
    <w:rsid w:val="00B93F8E"/>
    <w:rsid w:val="00B94896"/>
    <w:rsid w:val="00B9546B"/>
    <w:rsid w:val="00B95C2F"/>
    <w:rsid w:val="00B96AE9"/>
    <w:rsid w:val="00B9703C"/>
    <w:rsid w:val="00B9730E"/>
    <w:rsid w:val="00B97832"/>
    <w:rsid w:val="00B97BC2"/>
    <w:rsid w:val="00B97DD2"/>
    <w:rsid w:val="00BA0E25"/>
    <w:rsid w:val="00BA1232"/>
    <w:rsid w:val="00BA1BA5"/>
    <w:rsid w:val="00BA2BAA"/>
    <w:rsid w:val="00BA310C"/>
    <w:rsid w:val="00BA3F9C"/>
    <w:rsid w:val="00BA4520"/>
    <w:rsid w:val="00BA4A2D"/>
    <w:rsid w:val="00BA54F6"/>
    <w:rsid w:val="00BA5D4B"/>
    <w:rsid w:val="00BA60D0"/>
    <w:rsid w:val="00BA6336"/>
    <w:rsid w:val="00BA6AE2"/>
    <w:rsid w:val="00BA6BE7"/>
    <w:rsid w:val="00BA6C07"/>
    <w:rsid w:val="00BA6EC1"/>
    <w:rsid w:val="00BA7102"/>
    <w:rsid w:val="00BA7300"/>
    <w:rsid w:val="00BA7A21"/>
    <w:rsid w:val="00BA7AFC"/>
    <w:rsid w:val="00BA7C2E"/>
    <w:rsid w:val="00BB0C11"/>
    <w:rsid w:val="00BB113F"/>
    <w:rsid w:val="00BB1820"/>
    <w:rsid w:val="00BB1D11"/>
    <w:rsid w:val="00BB294C"/>
    <w:rsid w:val="00BB2E6C"/>
    <w:rsid w:val="00BB48DE"/>
    <w:rsid w:val="00BB5037"/>
    <w:rsid w:val="00BB5BE4"/>
    <w:rsid w:val="00BB6311"/>
    <w:rsid w:val="00BB6847"/>
    <w:rsid w:val="00BB72CA"/>
    <w:rsid w:val="00BB789B"/>
    <w:rsid w:val="00BC12C6"/>
    <w:rsid w:val="00BC16FC"/>
    <w:rsid w:val="00BC1809"/>
    <w:rsid w:val="00BC32C7"/>
    <w:rsid w:val="00BC3B5A"/>
    <w:rsid w:val="00BC3C55"/>
    <w:rsid w:val="00BC4289"/>
    <w:rsid w:val="00BC430D"/>
    <w:rsid w:val="00BC4684"/>
    <w:rsid w:val="00BC46CF"/>
    <w:rsid w:val="00BC4A52"/>
    <w:rsid w:val="00BC609E"/>
    <w:rsid w:val="00BC6893"/>
    <w:rsid w:val="00BC69FB"/>
    <w:rsid w:val="00BC7179"/>
    <w:rsid w:val="00BD03F7"/>
    <w:rsid w:val="00BD14FA"/>
    <w:rsid w:val="00BD184E"/>
    <w:rsid w:val="00BD20CF"/>
    <w:rsid w:val="00BD2223"/>
    <w:rsid w:val="00BD2D8E"/>
    <w:rsid w:val="00BD31CA"/>
    <w:rsid w:val="00BD32CE"/>
    <w:rsid w:val="00BD3603"/>
    <w:rsid w:val="00BD3E0B"/>
    <w:rsid w:val="00BD4C54"/>
    <w:rsid w:val="00BD57B3"/>
    <w:rsid w:val="00BD62C2"/>
    <w:rsid w:val="00BD6B7D"/>
    <w:rsid w:val="00BD6CDF"/>
    <w:rsid w:val="00BD6E0A"/>
    <w:rsid w:val="00BD6E1E"/>
    <w:rsid w:val="00BD7A72"/>
    <w:rsid w:val="00BE00FA"/>
    <w:rsid w:val="00BE0B99"/>
    <w:rsid w:val="00BE11D6"/>
    <w:rsid w:val="00BE21BE"/>
    <w:rsid w:val="00BE28CD"/>
    <w:rsid w:val="00BE29BC"/>
    <w:rsid w:val="00BE2A64"/>
    <w:rsid w:val="00BE2BCD"/>
    <w:rsid w:val="00BE3CAB"/>
    <w:rsid w:val="00BE3DF6"/>
    <w:rsid w:val="00BE3F46"/>
    <w:rsid w:val="00BE46BD"/>
    <w:rsid w:val="00BE4DBF"/>
    <w:rsid w:val="00BE4F93"/>
    <w:rsid w:val="00BE5534"/>
    <w:rsid w:val="00BE6217"/>
    <w:rsid w:val="00BE6916"/>
    <w:rsid w:val="00BE695C"/>
    <w:rsid w:val="00BE70BD"/>
    <w:rsid w:val="00BF00EC"/>
    <w:rsid w:val="00BF0765"/>
    <w:rsid w:val="00BF084C"/>
    <w:rsid w:val="00BF09AC"/>
    <w:rsid w:val="00BF0B3A"/>
    <w:rsid w:val="00BF0C96"/>
    <w:rsid w:val="00BF1592"/>
    <w:rsid w:val="00BF20FB"/>
    <w:rsid w:val="00BF2E93"/>
    <w:rsid w:val="00BF416C"/>
    <w:rsid w:val="00BF47CE"/>
    <w:rsid w:val="00BF4CF0"/>
    <w:rsid w:val="00BF504C"/>
    <w:rsid w:val="00BF5393"/>
    <w:rsid w:val="00BF6324"/>
    <w:rsid w:val="00BF642F"/>
    <w:rsid w:val="00BF6EC8"/>
    <w:rsid w:val="00BF6F0E"/>
    <w:rsid w:val="00BF727F"/>
    <w:rsid w:val="00BF77B4"/>
    <w:rsid w:val="00C00F2E"/>
    <w:rsid w:val="00C0103B"/>
    <w:rsid w:val="00C018AE"/>
    <w:rsid w:val="00C0223A"/>
    <w:rsid w:val="00C02C96"/>
    <w:rsid w:val="00C02FE1"/>
    <w:rsid w:val="00C0317D"/>
    <w:rsid w:val="00C0393D"/>
    <w:rsid w:val="00C04656"/>
    <w:rsid w:val="00C05D8F"/>
    <w:rsid w:val="00C05F9D"/>
    <w:rsid w:val="00C06BF6"/>
    <w:rsid w:val="00C06EF7"/>
    <w:rsid w:val="00C072FC"/>
    <w:rsid w:val="00C073B3"/>
    <w:rsid w:val="00C074D3"/>
    <w:rsid w:val="00C07841"/>
    <w:rsid w:val="00C07C0B"/>
    <w:rsid w:val="00C07C31"/>
    <w:rsid w:val="00C103A6"/>
    <w:rsid w:val="00C10CD9"/>
    <w:rsid w:val="00C1329D"/>
    <w:rsid w:val="00C13321"/>
    <w:rsid w:val="00C14A42"/>
    <w:rsid w:val="00C14AE2"/>
    <w:rsid w:val="00C153A7"/>
    <w:rsid w:val="00C155F2"/>
    <w:rsid w:val="00C15A02"/>
    <w:rsid w:val="00C165FB"/>
    <w:rsid w:val="00C16655"/>
    <w:rsid w:val="00C1791F"/>
    <w:rsid w:val="00C17A2D"/>
    <w:rsid w:val="00C17AE0"/>
    <w:rsid w:val="00C17BD8"/>
    <w:rsid w:val="00C17F9B"/>
    <w:rsid w:val="00C2069A"/>
    <w:rsid w:val="00C20954"/>
    <w:rsid w:val="00C209D2"/>
    <w:rsid w:val="00C2131D"/>
    <w:rsid w:val="00C22FBE"/>
    <w:rsid w:val="00C23508"/>
    <w:rsid w:val="00C235C2"/>
    <w:rsid w:val="00C23956"/>
    <w:rsid w:val="00C23F26"/>
    <w:rsid w:val="00C244EE"/>
    <w:rsid w:val="00C24C93"/>
    <w:rsid w:val="00C250A4"/>
    <w:rsid w:val="00C250E6"/>
    <w:rsid w:val="00C251FF"/>
    <w:rsid w:val="00C259EC"/>
    <w:rsid w:val="00C2692F"/>
    <w:rsid w:val="00C27799"/>
    <w:rsid w:val="00C277F3"/>
    <w:rsid w:val="00C30851"/>
    <w:rsid w:val="00C309D4"/>
    <w:rsid w:val="00C30B66"/>
    <w:rsid w:val="00C3132F"/>
    <w:rsid w:val="00C3135C"/>
    <w:rsid w:val="00C31B24"/>
    <w:rsid w:val="00C32064"/>
    <w:rsid w:val="00C32621"/>
    <w:rsid w:val="00C326F8"/>
    <w:rsid w:val="00C329A6"/>
    <w:rsid w:val="00C32ECA"/>
    <w:rsid w:val="00C32EFC"/>
    <w:rsid w:val="00C3315B"/>
    <w:rsid w:val="00C341BB"/>
    <w:rsid w:val="00C342D1"/>
    <w:rsid w:val="00C347F8"/>
    <w:rsid w:val="00C34897"/>
    <w:rsid w:val="00C349C9"/>
    <w:rsid w:val="00C34B20"/>
    <w:rsid w:val="00C34D16"/>
    <w:rsid w:val="00C35B29"/>
    <w:rsid w:val="00C35D5A"/>
    <w:rsid w:val="00C35EA2"/>
    <w:rsid w:val="00C3650A"/>
    <w:rsid w:val="00C373FF"/>
    <w:rsid w:val="00C3795A"/>
    <w:rsid w:val="00C37BAA"/>
    <w:rsid w:val="00C37C7C"/>
    <w:rsid w:val="00C37D05"/>
    <w:rsid w:val="00C37DAC"/>
    <w:rsid w:val="00C40227"/>
    <w:rsid w:val="00C40C17"/>
    <w:rsid w:val="00C40EBD"/>
    <w:rsid w:val="00C41408"/>
    <w:rsid w:val="00C41484"/>
    <w:rsid w:val="00C415AB"/>
    <w:rsid w:val="00C41CDB"/>
    <w:rsid w:val="00C41D4E"/>
    <w:rsid w:val="00C42040"/>
    <w:rsid w:val="00C425D9"/>
    <w:rsid w:val="00C42AF7"/>
    <w:rsid w:val="00C43AD9"/>
    <w:rsid w:val="00C443F0"/>
    <w:rsid w:val="00C447BD"/>
    <w:rsid w:val="00C44BCE"/>
    <w:rsid w:val="00C450B1"/>
    <w:rsid w:val="00C46154"/>
    <w:rsid w:val="00C47C9C"/>
    <w:rsid w:val="00C5009F"/>
    <w:rsid w:val="00C501ED"/>
    <w:rsid w:val="00C50230"/>
    <w:rsid w:val="00C513F0"/>
    <w:rsid w:val="00C51BD5"/>
    <w:rsid w:val="00C520DB"/>
    <w:rsid w:val="00C5232E"/>
    <w:rsid w:val="00C52492"/>
    <w:rsid w:val="00C52909"/>
    <w:rsid w:val="00C52A44"/>
    <w:rsid w:val="00C53DBD"/>
    <w:rsid w:val="00C53F18"/>
    <w:rsid w:val="00C54ED1"/>
    <w:rsid w:val="00C54FAE"/>
    <w:rsid w:val="00C55C6D"/>
    <w:rsid w:val="00C56946"/>
    <w:rsid w:val="00C56E42"/>
    <w:rsid w:val="00C57061"/>
    <w:rsid w:val="00C57405"/>
    <w:rsid w:val="00C606C4"/>
    <w:rsid w:val="00C61312"/>
    <w:rsid w:val="00C614BC"/>
    <w:rsid w:val="00C61DCF"/>
    <w:rsid w:val="00C62106"/>
    <w:rsid w:val="00C62913"/>
    <w:rsid w:val="00C636A4"/>
    <w:rsid w:val="00C641AA"/>
    <w:rsid w:val="00C647A7"/>
    <w:rsid w:val="00C64B52"/>
    <w:rsid w:val="00C650FD"/>
    <w:rsid w:val="00C6555B"/>
    <w:rsid w:val="00C662AC"/>
    <w:rsid w:val="00C66667"/>
    <w:rsid w:val="00C668D2"/>
    <w:rsid w:val="00C66E41"/>
    <w:rsid w:val="00C66FD8"/>
    <w:rsid w:val="00C6755A"/>
    <w:rsid w:val="00C678B0"/>
    <w:rsid w:val="00C7027B"/>
    <w:rsid w:val="00C70615"/>
    <w:rsid w:val="00C70EE7"/>
    <w:rsid w:val="00C70F27"/>
    <w:rsid w:val="00C711B8"/>
    <w:rsid w:val="00C713ED"/>
    <w:rsid w:val="00C71538"/>
    <w:rsid w:val="00C722C1"/>
    <w:rsid w:val="00C72CB2"/>
    <w:rsid w:val="00C72CEF"/>
    <w:rsid w:val="00C734C1"/>
    <w:rsid w:val="00C74222"/>
    <w:rsid w:val="00C74AF1"/>
    <w:rsid w:val="00C74F13"/>
    <w:rsid w:val="00C75306"/>
    <w:rsid w:val="00C760BC"/>
    <w:rsid w:val="00C760E2"/>
    <w:rsid w:val="00C76154"/>
    <w:rsid w:val="00C762FE"/>
    <w:rsid w:val="00C7631C"/>
    <w:rsid w:val="00C76A58"/>
    <w:rsid w:val="00C76C32"/>
    <w:rsid w:val="00C772C1"/>
    <w:rsid w:val="00C77347"/>
    <w:rsid w:val="00C77830"/>
    <w:rsid w:val="00C77AE3"/>
    <w:rsid w:val="00C80013"/>
    <w:rsid w:val="00C80264"/>
    <w:rsid w:val="00C81851"/>
    <w:rsid w:val="00C82048"/>
    <w:rsid w:val="00C82408"/>
    <w:rsid w:val="00C82F7F"/>
    <w:rsid w:val="00C83C25"/>
    <w:rsid w:val="00C83C5D"/>
    <w:rsid w:val="00C841DD"/>
    <w:rsid w:val="00C84216"/>
    <w:rsid w:val="00C84380"/>
    <w:rsid w:val="00C84FFB"/>
    <w:rsid w:val="00C85442"/>
    <w:rsid w:val="00C865CA"/>
    <w:rsid w:val="00C87252"/>
    <w:rsid w:val="00C9128E"/>
    <w:rsid w:val="00C917C5"/>
    <w:rsid w:val="00C947BF"/>
    <w:rsid w:val="00C94937"/>
    <w:rsid w:val="00C94FE4"/>
    <w:rsid w:val="00C95587"/>
    <w:rsid w:val="00C95597"/>
    <w:rsid w:val="00C956C3"/>
    <w:rsid w:val="00C95768"/>
    <w:rsid w:val="00C958DD"/>
    <w:rsid w:val="00C95D3E"/>
    <w:rsid w:val="00C96025"/>
    <w:rsid w:val="00C96F66"/>
    <w:rsid w:val="00C9745B"/>
    <w:rsid w:val="00C97E8F"/>
    <w:rsid w:val="00C97EFE"/>
    <w:rsid w:val="00CA0291"/>
    <w:rsid w:val="00CA0F5D"/>
    <w:rsid w:val="00CA11F6"/>
    <w:rsid w:val="00CA1C13"/>
    <w:rsid w:val="00CA1E9C"/>
    <w:rsid w:val="00CA20F7"/>
    <w:rsid w:val="00CA28A0"/>
    <w:rsid w:val="00CA2E8B"/>
    <w:rsid w:val="00CA5E86"/>
    <w:rsid w:val="00CA6B04"/>
    <w:rsid w:val="00CA75D0"/>
    <w:rsid w:val="00CB091D"/>
    <w:rsid w:val="00CB276B"/>
    <w:rsid w:val="00CB3FB3"/>
    <w:rsid w:val="00CB4134"/>
    <w:rsid w:val="00CB4A48"/>
    <w:rsid w:val="00CB62A9"/>
    <w:rsid w:val="00CB7E48"/>
    <w:rsid w:val="00CB7EED"/>
    <w:rsid w:val="00CC00DF"/>
    <w:rsid w:val="00CC04C9"/>
    <w:rsid w:val="00CC10AD"/>
    <w:rsid w:val="00CC27E7"/>
    <w:rsid w:val="00CC29CF"/>
    <w:rsid w:val="00CC32D4"/>
    <w:rsid w:val="00CC3359"/>
    <w:rsid w:val="00CC373B"/>
    <w:rsid w:val="00CC39C8"/>
    <w:rsid w:val="00CC41C4"/>
    <w:rsid w:val="00CC4A2C"/>
    <w:rsid w:val="00CC5F17"/>
    <w:rsid w:val="00CC716E"/>
    <w:rsid w:val="00CC78A5"/>
    <w:rsid w:val="00CD0BD9"/>
    <w:rsid w:val="00CD0FF7"/>
    <w:rsid w:val="00CD159E"/>
    <w:rsid w:val="00CD1AE6"/>
    <w:rsid w:val="00CD1C2E"/>
    <w:rsid w:val="00CD33F4"/>
    <w:rsid w:val="00CD34A8"/>
    <w:rsid w:val="00CD34EE"/>
    <w:rsid w:val="00CD38E2"/>
    <w:rsid w:val="00CD3D2A"/>
    <w:rsid w:val="00CD4B8B"/>
    <w:rsid w:val="00CD5F60"/>
    <w:rsid w:val="00CD697B"/>
    <w:rsid w:val="00CD6B86"/>
    <w:rsid w:val="00CD74F5"/>
    <w:rsid w:val="00CE02B5"/>
    <w:rsid w:val="00CE0C1E"/>
    <w:rsid w:val="00CE2971"/>
    <w:rsid w:val="00CE2E49"/>
    <w:rsid w:val="00CE2ECE"/>
    <w:rsid w:val="00CE2FD8"/>
    <w:rsid w:val="00CE320B"/>
    <w:rsid w:val="00CE456B"/>
    <w:rsid w:val="00CE463E"/>
    <w:rsid w:val="00CE4E46"/>
    <w:rsid w:val="00CE50E5"/>
    <w:rsid w:val="00CE510F"/>
    <w:rsid w:val="00CE6082"/>
    <w:rsid w:val="00CE7A6B"/>
    <w:rsid w:val="00CE7F4F"/>
    <w:rsid w:val="00CE7FED"/>
    <w:rsid w:val="00CF0021"/>
    <w:rsid w:val="00CF003E"/>
    <w:rsid w:val="00CF01DF"/>
    <w:rsid w:val="00CF026D"/>
    <w:rsid w:val="00CF06FA"/>
    <w:rsid w:val="00CF0DF9"/>
    <w:rsid w:val="00CF197A"/>
    <w:rsid w:val="00CF1C0F"/>
    <w:rsid w:val="00CF25EF"/>
    <w:rsid w:val="00CF2F9C"/>
    <w:rsid w:val="00CF3D93"/>
    <w:rsid w:val="00CF3EEC"/>
    <w:rsid w:val="00CF46DA"/>
    <w:rsid w:val="00CF4955"/>
    <w:rsid w:val="00CF5472"/>
    <w:rsid w:val="00CF57D9"/>
    <w:rsid w:val="00CF5D70"/>
    <w:rsid w:val="00CF6D57"/>
    <w:rsid w:val="00CF7B03"/>
    <w:rsid w:val="00D00C54"/>
    <w:rsid w:val="00D01451"/>
    <w:rsid w:val="00D01BF3"/>
    <w:rsid w:val="00D028AC"/>
    <w:rsid w:val="00D02B26"/>
    <w:rsid w:val="00D03046"/>
    <w:rsid w:val="00D03628"/>
    <w:rsid w:val="00D036FB"/>
    <w:rsid w:val="00D0390F"/>
    <w:rsid w:val="00D03B3C"/>
    <w:rsid w:val="00D04561"/>
    <w:rsid w:val="00D04B2F"/>
    <w:rsid w:val="00D06239"/>
    <w:rsid w:val="00D06454"/>
    <w:rsid w:val="00D06E67"/>
    <w:rsid w:val="00D102BD"/>
    <w:rsid w:val="00D1052E"/>
    <w:rsid w:val="00D10F26"/>
    <w:rsid w:val="00D11A3C"/>
    <w:rsid w:val="00D12B6A"/>
    <w:rsid w:val="00D13823"/>
    <w:rsid w:val="00D13AE2"/>
    <w:rsid w:val="00D13DBD"/>
    <w:rsid w:val="00D14EE3"/>
    <w:rsid w:val="00D15993"/>
    <w:rsid w:val="00D15B91"/>
    <w:rsid w:val="00D15E9B"/>
    <w:rsid w:val="00D160C6"/>
    <w:rsid w:val="00D168F5"/>
    <w:rsid w:val="00D1701A"/>
    <w:rsid w:val="00D17939"/>
    <w:rsid w:val="00D17F3C"/>
    <w:rsid w:val="00D20022"/>
    <w:rsid w:val="00D20393"/>
    <w:rsid w:val="00D20DD1"/>
    <w:rsid w:val="00D2112A"/>
    <w:rsid w:val="00D21BFF"/>
    <w:rsid w:val="00D226CE"/>
    <w:rsid w:val="00D22BEE"/>
    <w:rsid w:val="00D239CE"/>
    <w:rsid w:val="00D23D8A"/>
    <w:rsid w:val="00D23F34"/>
    <w:rsid w:val="00D24158"/>
    <w:rsid w:val="00D24392"/>
    <w:rsid w:val="00D24504"/>
    <w:rsid w:val="00D24699"/>
    <w:rsid w:val="00D246B1"/>
    <w:rsid w:val="00D246CF"/>
    <w:rsid w:val="00D247E9"/>
    <w:rsid w:val="00D24D58"/>
    <w:rsid w:val="00D275B7"/>
    <w:rsid w:val="00D27656"/>
    <w:rsid w:val="00D30258"/>
    <w:rsid w:val="00D3087D"/>
    <w:rsid w:val="00D30BD2"/>
    <w:rsid w:val="00D31582"/>
    <w:rsid w:val="00D32A4C"/>
    <w:rsid w:val="00D331F3"/>
    <w:rsid w:val="00D33D12"/>
    <w:rsid w:val="00D349FA"/>
    <w:rsid w:val="00D34BBF"/>
    <w:rsid w:val="00D353A8"/>
    <w:rsid w:val="00D355C7"/>
    <w:rsid w:val="00D357B6"/>
    <w:rsid w:val="00D363EE"/>
    <w:rsid w:val="00D369AA"/>
    <w:rsid w:val="00D370F1"/>
    <w:rsid w:val="00D3724E"/>
    <w:rsid w:val="00D373F6"/>
    <w:rsid w:val="00D37769"/>
    <w:rsid w:val="00D378FA"/>
    <w:rsid w:val="00D400D5"/>
    <w:rsid w:val="00D40E33"/>
    <w:rsid w:val="00D40EC9"/>
    <w:rsid w:val="00D41225"/>
    <w:rsid w:val="00D417ED"/>
    <w:rsid w:val="00D41D76"/>
    <w:rsid w:val="00D41F9D"/>
    <w:rsid w:val="00D4232A"/>
    <w:rsid w:val="00D43C1C"/>
    <w:rsid w:val="00D43C81"/>
    <w:rsid w:val="00D44433"/>
    <w:rsid w:val="00D44E15"/>
    <w:rsid w:val="00D451FD"/>
    <w:rsid w:val="00D4574E"/>
    <w:rsid w:val="00D457FF"/>
    <w:rsid w:val="00D4598D"/>
    <w:rsid w:val="00D45D5F"/>
    <w:rsid w:val="00D46832"/>
    <w:rsid w:val="00D4738C"/>
    <w:rsid w:val="00D51853"/>
    <w:rsid w:val="00D51FC5"/>
    <w:rsid w:val="00D52348"/>
    <w:rsid w:val="00D5250A"/>
    <w:rsid w:val="00D52BC0"/>
    <w:rsid w:val="00D54A4E"/>
    <w:rsid w:val="00D54B44"/>
    <w:rsid w:val="00D54D1D"/>
    <w:rsid w:val="00D56DEB"/>
    <w:rsid w:val="00D5730E"/>
    <w:rsid w:val="00D577A0"/>
    <w:rsid w:val="00D57B47"/>
    <w:rsid w:val="00D57CD0"/>
    <w:rsid w:val="00D57EDE"/>
    <w:rsid w:val="00D57F7C"/>
    <w:rsid w:val="00D60978"/>
    <w:rsid w:val="00D616CA"/>
    <w:rsid w:val="00D61FCA"/>
    <w:rsid w:val="00D62172"/>
    <w:rsid w:val="00D6239A"/>
    <w:rsid w:val="00D625D3"/>
    <w:rsid w:val="00D632BF"/>
    <w:rsid w:val="00D638C1"/>
    <w:rsid w:val="00D63C1C"/>
    <w:rsid w:val="00D646FC"/>
    <w:rsid w:val="00D64EDD"/>
    <w:rsid w:val="00D64FD5"/>
    <w:rsid w:val="00D653C9"/>
    <w:rsid w:val="00D653DD"/>
    <w:rsid w:val="00D65638"/>
    <w:rsid w:val="00D65753"/>
    <w:rsid w:val="00D658B6"/>
    <w:rsid w:val="00D65A20"/>
    <w:rsid w:val="00D65A41"/>
    <w:rsid w:val="00D65CA3"/>
    <w:rsid w:val="00D66849"/>
    <w:rsid w:val="00D66DEB"/>
    <w:rsid w:val="00D672D2"/>
    <w:rsid w:val="00D67303"/>
    <w:rsid w:val="00D67754"/>
    <w:rsid w:val="00D67BE9"/>
    <w:rsid w:val="00D67E7D"/>
    <w:rsid w:val="00D71A7B"/>
    <w:rsid w:val="00D71CE4"/>
    <w:rsid w:val="00D72B22"/>
    <w:rsid w:val="00D72CC4"/>
    <w:rsid w:val="00D72D68"/>
    <w:rsid w:val="00D73204"/>
    <w:rsid w:val="00D7397F"/>
    <w:rsid w:val="00D73CB1"/>
    <w:rsid w:val="00D74F1C"/>
    <w:rsid w:val="00D7533F"/>
    <w:rsid w:val="00D7557B"/>
    <w:rsid w:val="00D75F77"/>
    <w:rsid w:val="00D75FFE"/>
    <w:rsid w:val="00D763B5"/>
    <w:rsid w:val="00D7690C"/>
    <w:rsid w:val="00D76A84"/>
    <w:rsid w:val="00D76CE6"/>
    <w:rsid w:val="00D77092"/>
    <w:rsid w:val="00D80FF1"/>
    <w:rsid w:val="00D81318"/>
    <w:rsid w:val="00D813EB"/>
    <w:rsid w:val="00D81542"/>
    <w:rsid w:val="00D816F6"/>
    <w:rsid w:val="00D82B82"/>
    <w:rsid w:val="00D830A5"/>
    <w:rsid w:val="00D838AA"/>
    <w:rsid w:val="00D83AEA"/>
    <w:rsid w:val="00D83C4A"/>
    <w:rsid w:val="00D8400D"/>
    <w:rsid w:val="00D84309"/>
    <w:rsid w:val="00D843A3"/>
    <w:rsid w:val="00D84791"/>
    <w:rsid w:val="00D8587A"/>
    <w:rsid w:val="00D85A3F"/>
    <w:rsid w:val="00D85A88"/>
    <w:rsid w:val="00D85EDB"/>
    <w:rsid w:val="00D86029"/>
    <w:rsid w:val="00D86A9F"/>
    <w:rsid w:val="00D86CCE"/>
    <w:rsid w:val="00D86F5B"/>
    <w:rsid w:val="00D8724D"/>
    <w:rsid w:val="00D90BC5"/>
    <w:rsid w:val="00D916D4"/>
    <w:rsid w:val="00D92943"/>
    <w:rsid w:val="00D92D20"/>
    <w:rsid w:val="00D92E82"/>
    <w:rsid w:val="00D92FA7"/>
    <w:rsid w:val="00D9399A"/>
    <w:rsid w:val="00D93F9F"/>
    <w:rsid w:val="00D94223"/>
    <w:rsid w:val="00D94399"/>
    <w:rsid w:val="00D94B5E"/>
    <w:rsid w:val="00D94E09"/>
    <w:rsid w:val="00D9506E"/>
    <w:rsid w:val="00D95BDC"/>
    <w:rsid w:val="00D9635D"/>
    <w:rsid w:val="00D96EB6"/>
    <w:rsid w:val="00D97377"/>
    <w:rsid w:val="00D97DA5"/>
    <w:rsid w:val="00DA08CA"/>
    <w:rsid w:val="00DA1186"/>
    <w:rsid w:val="00DA14F7"/>
    <w:rsid w:val="00DA19AB"/>
    <w:rsid w:val="00DA1DC1"/>
    <w:rsid w:val="00DA223F"/>
    <w:rsid w:val="00DA255D"/>
    <w:rsid w:val="00DA29B2"/>
    <w:rsid w:val="00DA2E00"/>
    <w:rsid w:val="00DA2E94"/>
    <w:rsid w:val="00DA3410"/>
    <w:rsid w:val="00DA3A8B"/>
    <w:rsid w:val="00DA3AD0"/>
    <w:rsid w:val="00DA48A1"/>
    <w:rsid w:val="00DA48B1"/>
    <w:rsid w:val="00DA4C46"/>
    <w:rsid w:val="00DA4EF2"/>
    <w:rsid w:val="00DA69D3"/>
    <w:rsid w:val="00DA6A6D"/>
    <w:rsid w:val="00DA6B46"/>
    <w:rsid w:val="00DA6DC0"/>
    <w:rsid w:val="00DA6DD5"/>
    <w:rsid w:val="00DA6E9D"/>
    <w:rsid w:val="00DB054A"/>
    <w:rsid w:val="00DB0633"/>
    <w:rsid w:val="00DB0CB5"/>
    <w:rsid w:val="00DB1761"/>
    <w:rsid w:val="00DB19F4"/>
    <w:rsid w:val="00DB2957"/>
    <w:rsid w:val="00DB2E6C"/>
    <w:rsid w:val="00DB31D0"/>
    <w:rsid w:val="00DB3D04"/>
    <w:rsid w:val="00DB4370"/>
    <w:rsid w:val="00DB4913"/>
    <w:rsid w:val="00DB5C2C"/>
    <w:rsid w:val="00DB5F39"/>
    <w:rsid w:val="00DB6EC6"/>
    <w:rsid w:val="00DC07AB"/>
    <w:rsid w:val="00DC0AD0"/>
    <w:rsid w:val="00DC0DF2"/>
    <w:rsid w:val="00DC100D"/>
    <w:rsid w:val="00DC156C"/>
    <w:rsid w:val="00DC1C31"/>
    <w:rsid w:val="00DC25EB"/>
    <w:rsid w:val="00DC46AC"/>
    <w:rsid w:val="00DC5252"/>
    <w:rsid w:val="00DC547A"/>
    <w:rsid w:val="00DC54C4"/>
    <w:rsid w:val="00DC5E83"/>
    <w:rsid w:val="00DC5F97"/>
    <w:rsid w:val="00DC6728"/>
    <w:rsid w:val="00DC6914"/>
    <w:rsid w:val="00DC6B3B"/>
    <w:rsid w:val="00DC715C"/>
    <w:rsid w:val="00DD0011"/>
    <w:rsid w:val="00DD004D"/>
    <w:rsid w:val="00DD0112"/>
    <w:rsid w:val="00DD0608"/>
    <w:rsid w:val="00DD099D"/>
    <w:rsid w:val="00DD1065"/>
    <w:rsid w:val="00DD151F"/>
    <w:rsid w:val="00DD1602"/>
    <w:rsid w:val="00DD1937"/>
    <w:rsid w:val="00DD23E6"/>
    <w:rsid w:val="00DD2BEB"/>
    <w:rsid w:val="00DD33A4"/>
    <w:rsid w:val="00DD34F2"/>
    <w:rsid w:val="00DD4510"/>
    <w:rsid w:val="00DD48BE"/>
    <w:rsid w:val="00DD5231"/>
    <w:rsid w:val="00DD54F5"/>
    <w:rsid w:val="00DD55AF"/>
    <w:rsid w:val="00DD585A"/>
    <w:rsid w:val="00DD5DD4"/>
    <w:rsid w:val="00DD650D"/>
    <w:rsid w:val="00DD657D"/>
    <w:rsid w:val="00DD7A9D"/>
    <w:rsid w:val="00DD7EA0"/>
    <w:rsid w:val="00DE0C2A"/>
    <w:rsid w:val="00DE2489"/>
    <w:rsid w:val="00DE24FA"/>
    <w:rsid w:val="00DE2DB6"/>
    <w:rsid w:val="00DE2ECD"/>
    <w:rsid w:val="00DE330E"/>
    <w:rsid w:val="00DE33B9"/>
    <w:rsid w:val="00DE35FA"/>
    <w:rsid w:val="00DE3669"/>
    <w:rsid w:val="00DE3CB3"/>
    <w:rsid w:val="00DE40AB"/>
    <w:rsid w:val="00DE4718"/>
    <w:rsid w:val="00DE49A3"/>
    <w:rsid w:val="00DE4A9D"/>
    <w:rsid w:val="00DE4DD2"/>
    <w:rsid w:val="00DE5622"/>
    <w:rsid w:val="00DE57B3"/>
    <w:rsid w:val="00DE5B75"/>
    <w:rsid w:val="00DE5F74"/>
    <w:rsid w:val="00DE62E5"/>
    <w:rsid w:val="00DE68A4"/>
    <w:rsid w:val="00DE6920"/>
    <w:rsid w:val="00DE6C9E"/>
    <w:rsid w:val="00DF0019"/>
    <w:rsid w:val="00DF00DB"/>
    <w:rsid w:val="00DF09F8"/>
    <w:rsid w:val="00DF0C19"/>
    <w:rsid w:val="00DF0FE7"/>
    <w:rsid w:val="00DF1045"/>
    <w:rsid w:val="00DF11E3"/>
    <w:rsid w:val="00DF1CBD"/>
    <w:rsid w:val="00DF1E7B"/>
    <w:rsid w:val="00DF2022"/>
    <w:rsid w:val="00DF20E5"/>
    <w:rsid w:val="00DF288B"/>
    <w:rsid w:val="00DF28BD"/>
    <w:rsid w:val="00DF2F2B"/>
    <w:rsid w:val="00DF3110"/>
    <w:rsid w:val="00DF328E"/>
    <w:rsid w:val="00DF34AF"/>
    <w:rsid w:val="00DF3D35"/>
    <w:rsid w:val="00DF53AD"/>
    <w:rsid w:val="00DF5810"/>
    <w:rsid w:val="00DF69E7"/>
    <w:rsid w:val="00DF6CB0"/>
    <w:rsid w:val="00DF6D2A"/>
    <w:rsid w:val="00DF6E5F"/>
    <w:rsid w:val="00DF73A7"/>
    <w:rsid w:val="00DF75B9"/>
    <w:rsid w:val="00DF7E0E"/>
    <w:rsid w:val="00DF7EE0"/>
    <w:rsid w:val="00E003A1"/>
    <w:rsid w:val="00E00603"/>
    <w:rsid w:val="00E010C2"/>
    <w:rsid w:val="00E011AD"/>
    <w:rsid w:val="00E011D8"/>
    <w:rsid w:val="00E015E0"/>
    <w:rsid w:val="00E01817"/>
    <w:rsid w:val="00E01A18"/>
    <w:rsid w:val="00E02470"/>
    <w:rsid w:val="00E02F2A"/>
    <w:rsid w:val="00E03109"/>
    <w:rsid w:val="00E03281"/>
    <w:rsid w:val="00E0348A"/>
    <w:rsid w:val="00E03A5A"/>
    <w:rsid w:val="00E0575F"/>
    <w:rsid w:val="00E07EAA"/>
    <w:rsid w:val="00E07F42"/>
    <w:rsid w:val="00E1068E"/>
    <w:rsid w:val="00E10AA7"/>
    <w:rsid w:val="00E120EF"/>
    <w:rsid w:val="00E12250"/>
    <w:rsid w:val="00E124AB"/>
    <w:rsid w:val="00E12C36"/>
    <w:rsid w:val="00E130FE"/>
    <w:rsid w:val="00E139BF"/>
    <w:rsid w:val="00E1466A"/>
    <w:rsid w:val="00E15916"/>
    <w:rsid w:val="00E15B2E"/>
    <w:rsid w:val="00E161F9"/>
    <w:rsid w:val="00E16FB0"/>
    <w:rsid w:val="00E17049"/>
    <w:rsid w:val="00E17953"/>
    <w:rsid w:val="00E17C72"/>
    <w:rsid w:val="00E17EDA"/>
    <w:rsid w:val="00E21430"/>
    <w:rsid w:val="00E219F1"/>
    <w:rsid w:val="00E21E73"/>
    <w:rsid w:val="00E2277C"/>
    <w:rsid w:val="00E2294F"/>
    <w:rsid w:val="00E2349B"/>
    <w:rsid w:val="00E235C3"/>
    <w:rsid w:val="00E24725"/>
    <w:rsid w:val="00E2476F"/>
    <w:rsid w:val="00E254C8"/>
    <w:rsid w:val="00E258A5"/>
    <w:rsid w:val="00E25A9D"/>
    <w:rsid w:val="00E265B4"/>
    <w:rsid w:val="00E269C0"/>
    <w:rsid w:val="00E27154"/>
    <w:rsid w:val="00E272C7"/>
    <w:rsid w:val="00E27EFA"/>
    <w:rsid w:val="00E318F2"/>
    <w:rsid w:val="00E31BE2"/>
    <w:rsid w:val="00E3219F"/>
    <w:rsid w:val="00E32669"/>
    <w:rsid w:val="00E3273D"/>
    <w:rsid w:val="00E329AE"/>
    <w:rsid w:val="00E32DDA"/>
    <w:rsid w:val="00E33B68"/>
    <w:rsid w:val="00E3402A"/>
    <w:rsid w:val="00E342A6"/>
    <w:rsid w:val="00E34507"/>
    <w:rsid w:val="00E3461E"/>
    <w:rsid w:val="00E34CDA"/>
    <w:rsid w:val="00E34EA0"/>
    <w:rsid w:val="00E35CCE"/>
    <w:rsid w:val="00E35E85"/>
    <w:rsid w:val="00E361BD"/>
    <w:rsid w:val="00E36286"/>
    <w:rsid w:val="00E36742"/>
    <w:rsid w:val="00E36AA7"/>
    <w:rsid w:val="00E37CBF"/>
    <w:rsid w:val="00E4000A"/>
    <w:rsid w:val="00E4215C"/>
    <w:rsid w:val="00E423F5"/>
    <w:rsid w:val="00E42484"/>
    <w:rsid w:val="00E42F2E"/>
    <w:rsid w:val="00E43027"/>
    <w:rsid w:val="00E43486"/>
    <w:rsid w:val="00E4389D"/>
    <w:rsid w:val="00E444EC"/>
    <w:rsid w:val="00E449D4"/>
    <w:rsid w:val="00E44F4D"/>
    <w:rsid w:val="00E45A47"/>
    <w:rsid w:val="00E45FC1"/>
    <w:rsid w:val="00E47752"/>
    <w:rsid w:val="00E51DBF"/>
    <w:rsid w:val="00E52605"/>
    <w:rsid w:val="00E52B25"/>
    <w:rsid w:val="00E533F0"/>
    <w:rsid w:val="00E53A99"/>
    <w:rsid w:val="00E53CC9"/>
    <w:rsid w:val="00E5541A"/>
    <w:rsid w:val="00E55F64"/>
    <w:rsid w:val="00E56111"/>
    <w:rsid w:val="00E5611F"/>
    <w:rsid w:val="00E5630D"/>
    <w:rsid w:val="00E56407"/>
    <w:rsid w:val="00E567F2"/>
    <w:rsid w:val="00E57A50"/>
    <w:rsid w:val="00E57DCC"/>
    <w:rsid w:val="00E57F34"/>
    <w:rsid w:val="00E6088F"/>
    <w:rsid w:val="00E60BE5"/>
    <w:rsid w:val="00E60C8A"/>
    <w:rsid w:val="00E61CAA"/>
    <w:rsid w:val="00E61ECD"/>
    <w:rsid w:val="00E6223C"/>
    <w:rsid w:val="00E624FD"/>
    <w:rsid w:val="00E62F82"/>
    <w:rsid w:val="00E62FE5"/>
    <w:rsid w:val="00E633D5"/>
    <w:rsid w:val="00E6493E"/>
    <w:rsid w:val="00E64FC4"/>
    <w:rsid w:val="00E65C2B"/>
    <w:rsid w:val="00E65D5F"/>
    <w:rsid w:val="00E65F09"/>
    <w:rsid w:val="00E664C9"/>
    <w:rsid w:val="00E66BEA"/>
    <w:rsid w:val="00E66CF3"/>
    <w:rsid w:val="00E6719A"/>
    <w:rsid w:val="00E67258"/>
    <w:rsid w:val="00E676A7"/>
    <w:rsid w:val="00E67850"/>
    <w:rsid w:val="00E678BD"/>
    <w:rsid w:val="00E67F11"/>
    <w:rsid w:val="00E67F84"/>
    <w:rsid w:val="00E70922"/>
    <w:rsid w:val="00E7191A"/>
    <w:rsid w:val="00E72232"/>
    <w:rsid w:val="00E72331"/>
    <w:rsid w:val="00E72A93"/>
    <w:rsid w:val="00E7387B"/>
    <w:rsid w:val="00E74184"/>
    <w:rsid w:val="00E752D4"/>
    <w:rsid w:val="00E7535E"/>
    <w:rsid w:val="00E7652C"/>
    <w:rsid w:val="00E76F93"/>
    <w:rsid w:val="00E76FEB"/>
    <w:rsid w:val="00E8068A"/>
    <w:rsid w:val="00E81361"/>
    <w:rsid w:val="00E81553"/>
    <w:rsid w:val="00E81E08"/>
    <w:rsid w:val="00E81E0E"/>
    <w:rsid w:val="00E81E9B"/>
    <w:rsid w:val="00E81FF1"/>
    <w:rsid w:val="00E82239"/>
    <w:rsid w:val="00E82543"/>
    <w:rsid w:val="00E82C0C"/>
    <w:rsid w:val="00E82CF6"/>
    <w:rsid w:val="00E82DC1"/>
    <w:rsid w:val="00E83274"/>
    <w:rsid w:val="00E834DF"/>
    <w:rsid w:val="00E839A2"/>
    <w:rsid w:val="00E83B96"/>
    <w:rsid w:val="00E83D55"/>
    <w:rsid w:val="00E84D37"/>
    <w:rsid w:val="00E84FA2"/>
    <w:rsid w:val="00E84FD0"/>
    <w:rsid w:val="00E857C9"/>
    <w:rsid w:val="00E85C9E"/>
    <w:rsid w:val="00E865E6"/>
    <w:rsid w:val="00E86941"/>
    <w:rsid w:val="00E87409"/>
    <w:rsid w:val="00E905A3"/>
    <w:rsid w:val="00E90731"/>
    <w:rsid w:val="00E90BC9"/>
    <w:rsid w:val="00E90C15"/>
    <w:rsid w:val="00E9123F"/>
    <w:rsid w:val="00E91CA4"/>
    <w:rsid w:val="00E9203D"/>
    <w:rsid w:val="00E92C0C"/>
    <w:rsid w:val="00E93B83"/>
    <w:rsid w:val="00E93D23"/>
    <w:rsid w:val="00E93D53"/>
    <w:rsid w:val="00E94411"/>
    <w:rsid w:val="00E944A8"/>
    <w:rsid w:val="00E9463E"/>
    <w:rsid w:val="00E94771"/>
    <w:rsid w:val="00E95CB2"/>
    <w:rsid w:val="00E95FDA"/>
    <w:rsid w:val="00E9649A"/>
    <w:rsid w:val="00E965DB"/>
    <w:rsid w:val="00E965E6"/>
    <w:rsid w:val="00E973A2"/>
    <w:rsid w:val="00E974D0"/>
    <w:rsid w:val="00EA0430"/>
    <w:rsid w:val="00EA1BEA"/>
    <w:rsid w:val="00EA223B"/>
    <w:rsid w:val="00EA2358"/>
    <w:rsid w:val="00EA241B"/>
    <w:rsid w:val="00EA29F6"/>
    <w:rsid w:val="00EA2DAA"/>
    <w:rsid w:val="00EA342F"/>
    <w:rsid w:val="00EA3812"/>
    <w:rsid w:val="00EA3A43"/>
    <w:rsid w:val="00EA3C3F"/>
    <w:rsid w:val="00EA3C4B"/>
    <w:rsid w:val="00EA4084"/>
    <w:rsid w:val="00EA42E9"/>
    <w:rsid w:val="00EA5933"/>
    <w:rsid w:val="00EA6350"/>
    <w:rsid w:val="00EA64AE"/>
    <w:rsid w:val="00EA725E"/>
    <w:rsid w:val="00EA7537"/>
    <w:rsid w:val="00EA77DA"/>
    <w:rsid w:val="00EA7CC9"/>
    <w:rsid w:val="00EA7CE3"/>
    <w:rsid w:val="00EB0793"/>
    <w:rsid w:val="00EB1459"/>
    <w:rsid w:val="00EB154E"/>
    <w:rsid w:val="00EB16DF"/>
    <w:rsid w:val="00EB1AD3"/>
    <w:rsid w:val="00EB2261"/>
    <w:rsid w:val="00EB23FF"/>
    <w:rsid w:val="00EB2A25"/>
    <w:rsid w:val="00EB33B9"/>
    <w:rsid w:val="00EB4A09"/>
    <w:rsid w:val="00EB57F5"/>
    <w:rsid w:val="00EB59EE"/>
    <w:rsid w:val="00EB5DB5"/>
    <w:rsid w:val="00EB6DC3"/>
    <w:rsid w:val="00EB6DDD"/>
    <w:rsid w:val="00EB747E"/>
    <w:rsid w:val="00EB7E5F"/>
    <w:rsid w:val="00EC01E1"/>
    <w:rsid w:val="00EC04C2"/>
    <w:rsid w:val="00EC0B8B"/>
    <w:rsid w:val="00EC0BF3"/>
    <w:rsid w:val="00EC0CD7"/>
    <w:rsid w:val="00EC0E92"/>
    <w:rsid w:val="00EC117A"/>
    <w:rsid w:val="00EC1891"/>
    <w:rsid w:val="00EC21DD"/>
    <w:rsid w:val="00EC2EC2"/>
    <w:rsid w:val="00EC4011"/>
    <w:rsid w:val="00EC4E18"/>
    <w:rsid w:val="00EC5218"/>
    <w:rsid w:val="00EC5282"/>
    <w:rsid w:val="00EC5DE7"/>
    <w:rsid w:val="00EC6188"/>
    <w:rsid w:val="00EC6287"/>
    <w:rsid w:val="00EC6458"/>
    <w:rsid w:val="00EC6680"/>
    <w:rsid w:val="00EC707C"/>
    <w:rsid w:val="00EC7856"/>
    <w:rsid w:val="00EC7C16"/>
    <w:rsid w:val="00ED085D"/>
    <w:rsid w:val="00ED2463"/>
    <w:rsid w:val="00ED27B8"/>
    <w:rsid w:val="00ED28AF"/>
    <w:rsid w:val="00ED4813"/>
    <w:rsid w:val="00ED4E97"/>
    <w:rsid w:val="00ED6D82"/>
    <w:rsid w:val="00ED791A"/>
    <w:rsid w:val="00ED7BF8"/>
    <w:rsid w:val="00EE1BE7"/>
    <w:rsid w:val="00EE1D93"/>
    <w:rsid w:val="00EE1E96"/>
    <w:rsid w:val="00EE2830"/>
    <w:rsid w:val="00EE290E"/>
    <w:rsid w:val="00EE3060"/>
    <w:rsid w:val="00EE392E"/>
    <w:rsid w:val="00EE3DCA"/>
    <w:rsid w:val="00EE3EDE"/>
    <w:rsid w:val="00EE413E"/>
    <w:rsid w:val="00EE4356"/>
    <w:rsid w:val="00EE4409"/>
    <w:rsid w:val="00EE556C"/>
    <w:rsid w:val="00EE56CF"/>
    <w:rsid w:val="00EE5BEA"/>
    <w:rsid w:val="00EE6115"/>
    <w:rsid w:val="00EE61B0"/>
    <w:rsid w:val="00EE63F8"/>
    <w:rsid w:val="00EE6ACA"/>
    <w:rsid w:val="00EF00AC"/>
    <w:rsid w:val="00EF0B94"/>
    <w:rsid w:val="00EF0BBD"/>
    <w:rsid w:val="00EF0DC6"/>
    <w:rsid w:val="00EF143D"/>
    <w:rsid w:val="00EF2BF8"/>
    <w:rsid w:val="00EF3382"/>
    <w:rsid w:val="00EF3D29"/>
    <w:rsid w:val="00EF4A36"/>
    <w:rsid w:val="00EF51C7"/>
    <w:rsid w:val="00F005E0"/>
    <w:rsid w:val="00F0086E"/>
    <w:rsid w:val="00F00C0E"/>
    <w:rsid w:val="00F016A8"/>
    <w:rsid w:val="00F01F39"/>
    <w:rsid w:val="00F02568"/>
    <w:rsid w:val="00F03966"/>
    <w:rsid w:val="00F04C19"/>
    <w:rsid w:val="00F04DBC"/>
    <w:rsid w:val="00F04E47"/>
    <w:rsid w:val="00F055C2"/>
    <w:rsid w:val="00F05E16"/>
    <w:rsid w:val="00F05F21"/>
    <w:rsid w:val="00F06547"/>
    <w:rsid w:val="00F070EA"/>
    <w:rsid w:val="00F07113"/>
    <w:rsid w:val="00F075A8"/>
    <w:rsid w:val="00F07EED"/>
    <w:rsid w:val="00F07FF6"/>
    <w:rsid w:val="00F10564"/>
    <w:rsid w:val="00F1160D"/>
    <w:rsid w:val="00F1189E"/>
    <w:rsid w:val="00F13CEC"/>
    <w:rsid w:val="00F141C8"/>
    <w:rsid w:val="00F143B8"/>
    <w:rsid w:val="00F14656"/>
    <w:rsid w:val="00F149F2"/>
    <w:rsid w:val="00F14F93"/>
    <w:rsid w:val="00F1519A"/>
    <w:rsid w:val="00F15A8B"/>
    <w:rsid w:val="00F15EE7"/>
    <w:rsid w:val="00F16C3F"/>
    <w:rsid w:val="00F16C60"/>
    <w:rsid w:val="00F16F20"/>
    <w:rsid w:val="00F17305"/>
    <w:rsid w:val="00F17EB7"/>
    <w:rsid w:val="00F20650"/>
    <w:rsid w:val="00F20877"/>
    <w:rsid w:val="00F20EEE"/>
    <w:rsid w:val="00F21125"/>
    <w:rsid w:val="00F21B98"/>
    <w:rsid w:val="00F23BEA"/>
    <w:rsid w:val="00F249B4"/>
    <w:rsid w:val="00F25348"/>
    <w:rsid w:val="00F25970"/>
    <w:rsid w:val="00F25A7D"/>
    <w:rsid w:val="00F26912"/>
    <w:rsid w:val="00F26A3B"/>
    <w:rsid w:val="00F26B4B"/>
    <w:rsid w:val="00F273F7"/>
    <w:rsid w:val="00F276BF"/>
    <w:rsid w:val="00F27753"/>
    <w:rsid w:val="00F30168"/>
    <w:rsid w:val="00F307B1"/>
    <w:rsid w:val="00F30822"/>
    <w:rsid w:val="00F30B4C"/>
    <w:rsid w:val="00F3120B"/>
    <w:rsid w:val="00F31271"/>
    <w:rsid w:val="00F313B4"/>
    <w:rsid w:val="00F3172B"/>
    <w:rsid w:val="00F31861"/>
    <w:rsid w:val="00F319A4"/>
    <w:rsid w:val="00F31C16"/>
    <w:rsid w:val="00F3248D"/>
    <w:rsid w:val="00F337E1"/>
    <w:rsid w:val="00F339D2"/>
    <w:rsid w:val="00F34639"/>
    <w:rsid w:val="00F348AF"/>
    <w:rsid w:val="00F34D7C"/>
    <w:rsid w:val="00F356B4"/>
    <w:rsid w:val="00F356DA"/>
    <w:rsid w:val="00F362B8"/>
    <w:rsid w:val="00F36948"/>
    <w:rsid w:val="00F3781B"/>
    <w:rsid w:val="00F37839"/>
    <w:rsid w:val="00F37E35"/>
    <w:rsid w:val="00F40D15"/>
    <w:rsid w:val="00F424D7"/>
    <w:rsid w:val="00F42782"/>
    <w:rsid w:val="00F43EF3"/>
    <w:rsid w:val="00F446E4"/>
    <w:rsid w:val="00F44BBF"/>
    <w:rsid w:val="00F45418"/>
    <w:rsid w:val="00F472F8"/>
    <w:rsid w:val="00F47B8B"/>
    <w:rsid w:val="00F47D02"/>
    <w:rsid w:val="00F5170C"/>
    <w:rsid w:val="00F517A5"/>
    <w:rsid w:val="00F52D84"/>
    <w:rsid w:val="00F52EBE"/>
    <w:rsid w:val="00F53037"/>
    <w:rsid w:val="00F5354C"/>
    <w:rsid w:val="00F53D60"/>
    <w:rsid w:val="00F53E4D"/>
    <w:rsid w:val="00F53FCD"/>
    <w:rsid w:val="00F54A28"/>
    <w:rsid w:val="00F54BA8"/>
    <w:rsid w:val="00F554B1"/>
    <w:rsid w:val="00F55BC0"/>
    <w:rsid w:val="00F56061"/>
    <w:rsid w:val="00F56472"/>
    <w:rsid w:val="00F5704C"/>
    <w:rsid w:val="00F5718A"/>
    <w:rsid w:val="00F60296"/>
    <w:rsid w:val="00F60CAA"/>
    <w:rsid w:val="00F6178C"/>
    <w:rsid w:val="00F61AE6"/>
    <w:rsid w:val="00F62024"/>
    <w:rsid w:val="00F6255B"/>
    <w:rsid w:val="00F62CBB"/>
    <w:rsid w:val="00F63029"/>
    <w:rsid w:val="00F63521"/>
    <w:rsid w:val="00F65291"/>
    <w:rsid w:val="00F6550F"/>
    <w:rsid w:val="00F65709"/>
    <w:rsid w:val="00F65E67"/>
    <w:rsid w:val="00F66121"/>
    <w:rsid w:val="00F6650F"/>
    <w:rsid w:val="00F66DA3"/>
    <w:rsid w:val="00F675FF"/>
    <w:rsid w:val="00F677B6"/>
    <w:rsid w:val="00F70BA4"/>
    <w:rsid w:val="00F71960"/>
    <w:rsid w:val="00F72452"/>
    <w:rsid w:val="00F7439D"/>
    <w:rsid w:val="00F74672"/>
    <w:rsid w:val="00F74B64"/>
    <w:rsid w:val="00F74E8B"/>
    <w:rsid w:val="00F74F2B"/>
    <w:rsid w:val="00F754DC"/>
    <w:rsid w:val="00F7557E"/>
    <w:rsid w:val="00F779AC"/>
    <w:rsid w:val="00F804A4"/>
    <w:rsid w:val="00F806C2"/>
    <w:rsid w:val="00F81C27"/>
    <w:rsid w:val="00F839A4"/>
    <w:rsid w:val="00F84081"/>
    <w:rsid w:val="00F850F5"/>
    <w:rsid w:val="00F850FF"/>
    <w:rsid w:val="00F85ECC"/>
    <w:rsid w:val="00F864B3"/>
    <w:rsid w:val="00F86ABC"/>
    <w:rsid w:val="00F86F80"/>
    <w:rsid w:val="00F873D2"/>
    <w:rsid w:val="00F87E97"/>
    <w:rsid w:val="00F90B82"/>
    <w:rsid w:val="00F924D2"/>
    <w:rsid w:val="00F925FC"/>
    <w:rsid w:val="00F92ADA"/>
    <w:rsid w:val="00F934CD"/>
    <w:rsid w:val="00F938DE"/>
    <w:rsid w:val="00F944AD"/>
    <w:rsid w:val="00F94A06"/>
    <w:rsid w:val="00F968C2"/>
    <w:rsid w:val="00F969F9"/>
    <w:rsid w:val="00F970D8"/>
    <w:rsid w:val="00F970E0"/>
    <w:rsid w:val="00F97A18"/>
    <w:rsid w:val="00F97BA3"/>
    <w:rsid w:val="00F97DCC"/>
    <w:rsid w:val="00FA1771"/>
    <w:rsid w:val="00FA2351"/>
    <w:rsid w:val="00FA25DC"/>
    <w:rsid w:val="00FA3387"/>
    <w:rsid w:val="00FA39E5"/>
    <w:rsid w:val="00FA3A61"/>
    <w:rsid w:val="00FA3C09"/>
    <w:rsid w:val="00FA4D79"/>
    <w:rsid w:val="00FA4F25"/>
    <w:rsid w:val="00FA622A"/>
    <w:rsid w:val="00FA671C"/>
    <w:rsid w:val="00FA6BC6"/>
    <w:rsid w:val="00FA7373"/>
    <w:rsid w:val="00FA7F29"/>
    <w:rsid w:val="00FB008F"/>
    <w:rsid w:val="00FB0AE8"/>
    <w:rsid w:val="00FB0E09"/>
    <w:rsid w:val="00FB1AC3"/>
    <w:rsid w:val="00FB21C1"/>
    <w:rsid w:val="00FB229A"/>
    <w:rsid w:val="00FB2405"/>
    <w:rsid w:val="00FB37DE"/>
    <w:rsid w:val="00FB4D06"/>
    <w:rsid w:val="00FB55C8"/>
    <w:rsid w:val="00FB5D8E"/>
    <w:rsid w:val="00FB6AFC"/>
    <w:rsid w:val="00FB6D72"/>
    <w:rsid w:val="00FB775B"/>
    <w:rsid w:val="00FB7EEE"/>
    <w:rsid w:val="00FC0622"/>
    <w:rsid w:val="00FC13CF"/>
    <w:rsid w:val="00FC25D9"/>
    <w:rsid w:val="00FC26CA"/>
    <w:rsid w:val="00FC2737"/>
    <w:rsid w:val="00FC2BF6"/>
    <w:rsid w:val="00FC322C"/>
    <w:rsid w:val="00FC32D2"/>
    <w:rsid w:val="00FC34AC"/>
    <w:rsid w:val="00FC354C"/>
    <w:rsid w:val="00FC38FB"/>
    <w:rsid w:val="00FC4AEB"/>
    <w:rsid w:val="00FC4F45"/>
    <w:rsid w:val="00FC521B"/>
    <w:rsid w:val="00FC5378"/>
    <w:rsid w:val="00FC56F9"/>
    <w:rsid w:val="00FC601B"/>
    <w:rsid w:val="00FC6557"/>
    <w:rsid w:val="00FC6B4B"/>
    <w:rsid w:val="00FC6E03"/>
    <w:rsid w:val="00FC7068"/>
    <w:rsid w:val="00FC798A"/>
    <w:rsid w:val="00FD01DB"/>
    <w:rsid w:val="00FD047C"/>
    <w:rsid w:val="00FD1A44"/>
    <w:rsid w:val="00FD1BB2"/>
    <w:rsid w:val="00FD309B"/>
    <w:rsid w:val="00FD3745"/>
    <w:rsid w:val="00FD3805"/>
    <w:rsid w:val="00FD4217"/>
    <w:rsid w:val="00FD4B2B"/>
    <w:rsid w:val="00FD4BE6"/>
    <w:rsid w:val="00FD515A"/>
    <w:rsid w:val="00FD5585"/>
    <w:rsid w:val="00FD5979"/>
    <w:rsid w:val="00FD60B0"/>
    <w:rsid w:val="00FD7B37"/>
    <w:rsid w:val="00FE00B6"/>
    <w:rsid w:val="00FE036D"/>
    <w:rsid w:val="00FE0F0B"/>
    <w:rsid w:val="00FE101F"/>
    <w:rsid w:val="00FE13AF"/>
    <w:rsid w:val="00FE188E"/>
    <w:rsid w:val="00FE1B6A"/>
    <w:rsid w:val="00FE1EBD"/>
    <w:rsid w:val="00FE2D42"/>
    <w:rsid w:val="00FE3191"/>
    <w:rsid w:val="00FE31E1"/>
    <w:rsid w:val="00FE3353"/>
    <w:rsid w:val="00FE435B"/>
    <w:rsid w:val="00FE4479"/>
    <w:rsid w:val="00FE4E55"/>
    <w:rsid w:val="00FE5064"/>
    <w:rsid w:val="00FE506F"/>
    <w:rsid w:val="00FE5FFA"/>
    <w:rsid w:val="00FE6C42"/>
    <w:rsid w:val="00FE6C7A"/>
    <w:rsid w:val="00FE7029"/>
    <w:rsid w:val="00FE7107"/>
    <w:rsid w:val="00FE73C6"/>
    <w:rsid w:val="00FE7B12"/>
    <w:rsid w:val="00FF00A7"/>
    <w:rsid w:val="00FF141F"/>
    <w:rsid w:val="00FF14D1"/>
    <w:rsid w:val="00FF16AB"/>
    <w:rsid w:val="00FF1B3F"/>
    <w:rsid w:val="00FF1EEE"/>
    <w:rsid w:val="00FF2217"/>
    <w:rsid w:val="00FF2FC3"/>
    <w:rsid w:val="00FF3646"/>
    <w:rsid w:val="00FF38FC"/>
    <w:rsid w:val="00FF4A1B"/>
    <w:rsid w:val="00FF4A42"/>
    <w:rsid w:val="00FF4A71"/>
    <w:rsid w:val="00FF4B71"/>
    <w:rsid w:val="00FF5B84"/>
    <w:rsid w:val="00FF5BBC"/>
    <w:rsid w:val="00FF6713"/>
    <w:rsid w:val="00FF6DB7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7C4FA71"/>
  <w15:docId w15:val="{E04FE1E6-3EE2-4184-9992-7B565AFB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5EFC"/>
    <w:pPr>
      <w:spacing w:after="0" w:line="240" w:lineRule="auto"/>
      <w:jc w:val="both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1"/>
    <w:uiPriority w:val="99"/>
    <w:qFormat/>
    <w:rsid w:val="00E37D39"/>
    <w:pPr>
      <w:keepNext/>
      <w:keepLines/>
      <w:suppressAutoHyphens/>
      <w:overflowPunct w:val="0"/>
      <w:autoSpaceDE w:val="0"/>
      <w:autoSpaceDN w:val="0"/>
      <w:adjustRightInd w:val="0"/>
      <w:spacing w:before="120" w:after="120"/>
      <w:jc w:val="center"/>
      <w:textAlignment w:val="baseline"/>
      <w:outlineLvl w:val="0"/>
    </w:pPr>
    <w:rPr>
      <w:b/>
      <w:kern w:val="36"/>
      <w:sz w:val="28"/>
      <w:szCs w:val="20"/>
    </w:rPr>
  </w:style>
  <w:style w:type="paragraph" w:styleId="Nadpis2">
    <w:name w:val="heading 2"/>
    <w:basedOn w:val="Normln"/>
    <w:next w:val="Normln"/>
    <w:link w:val="Nadpis2Char1"/>
    <w:uiPriority w:val="99"/>
    <w:qFormat/>
    <w:rsid w:val="002178AA"/>
    <w:pPr>
      <w:keepNext/>
      <w:numPr>
        <w:numId w:val="3"/>
      </w:numPr>
      <w:spacing w:before="120" w:after="120"/>
      <w:ind w:left="0" w:firstLine="0"/>
      <w:outlineLvl w:val="1"/>
    </w:pPr>
    <w:rPr>
      <w:b/>
      <w:bCs/>
      <w:iCs/>
      <w:szCs w:val="28"/>
    </w:rPr>
  </w:style>
  <w:style w:type="paragraph" w:styleId="Nadpis3">
    <w:name w:val="heading 3"/>
    <w:basedOn w:val="Normln"/>
    <w:next w:val="Normln"/>
    <w:link w:val="Nadpis3Char1"/>
    <w:uiPriority w:val="99"/>
    <w:qFormat/>
    <w:rsid w:val="00B6338C"/>
    <w:pPr>
      <w:keepNext/>
      <w:keepLines/>
      <w:outlineLvl w:val="2"/>
    </w:pPr>
    <w:rPr>
      <w:b/>
      <w:bCs/>
      <w:color w:val="000000" w:themeColor="text1"/>
    </w:rPr>
  </w:style>
  <w:style w:type="paragraph" w:styleId="Nadpis4">
    <w:name w:val="heading 4"/>
    <w:basedOn w:val="Normln"/>
    <w:next w:val="Normln"/>
    <w:link w:val="Nadpis4Char1"/>
    <w:uiPriority w:val="99"/>
    <w:qFormat/>
    <w:rsid w:val="00B6338C"/>
    <w:pPr>
      <w:keepNext/>
      <w:outlineLvl w:val="3"/>
    </w:pPr>
    <w:rPr>
      <w:rFonts w:ascii="Calibri" w:hAnsi="Calibri"/>
      <w:b/>
      <w:bCs/>
      <w:szCs w:val="28"/>
    </w:rPr>
  </w:style>
  <w:style w:type="paragraph" w:styleId="Nadpis5">
    <w:name w:val="heading 5"/>
    <w:basedOn w:val="Normln"/>
    <w:next w:val="Normln"/>
    <w:link w:val="Nadpis5Char1"/>
    <w:uiPriority w:val="99"/>
    <w:qFormat/>
    <w:rsid w:val="00B6338C"/>
    <w:pPr>
      <w:outlineLvl w:val="4"/>
    </w:pPr>
    <w:rPr>
      <w:rFonts w:ascii="Calibri" w:hAnsi="Calibri"/>
      <w:bCs/>
      <w:iCs/>
      <w:szCs w:val="26"/>
      <w:u w:val="singl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67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1"/>
    <w:uiPriority w:val="99"/>
    <w:qFormat/>
    <w:rsid w:val="002374D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uiPriority w:val="99"/>
    <w:rsid w:val="002374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uiPriority w:val="99"/>
    <w:rsid w:val="002374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uiPriority w:val="99"/>
    <w:rsid w:val="002374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uiPriority w:val="99"/>
    <w:rsid w:val="002374D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uiPriority w:val="99"/>
    <w:semiHidden/>
    <w:rsid w:val="002374D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uiPriority w:val="99"/>
    <w:semiHidden/>
    <w:rsid w:val="002374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customStyle="1" w:styleId="Nadpis1Char1">
    <w:name w:val="Nadpis 1 Char1"/>
    <w:basedOn w:val="Standardnpsmoodstavce"/>
    <w:link w:val="Nadpis1"/>
    <w:uiPriority w:val="99"/>
    <w:locked/>
    <w:rsid w:val="00E37D39"/>
    <w:rPr>
      <w:rFonts w:eastAsia="Times New Roman" w:cs="Times New Roman"/>
      <w:b/>
      <w:kern w:val="36"/>
      <w:sz w:val="28"/>
      <w:szCs w:val="20"/>
      <w:lang w:eastAsia="cs-CZ"/>
    </w:rPr>
  </w:style>
  <w:style w:type="character" w:customStyle="1" w:styleId="Nadpis2Char1">
    <w:name w:val="Nadpis 2 Char1"/>
    <w:basedOn w:val="Standardnpsmoodstavce"/>
    <w:link w:val="Nadpis2"/>
    <w:uiPriority w:val="99"/>
    <w:locked/>
    <w:rsid w:val="002178AA"/>
    <w:rPr>
      <w:rFonts w:eastAsia="Times New Roman" w:cs="Times New Roman"/>
      <w:b/>
      <w:bCs/>
      <w:iCs/>
      <w:sz w:val="24"/>
      <w:szCs w:val="28"/>
      <w:lang w:eastAsia="cs-CZ"/>
    </w:rPr>
  </w:style>
  <w:style w:type="character" w:customStyle="1" w:styleId="Nadpis3Char1">
    <w:name w:val="Nadpis 3 Char1"/>
    <w:basedOn w:val="Standardnpsmoodstavce"/>
    <w:link w:val="Nadpis3"/>
    <w:uiPriority w:val="99"/>
    <w:locked/>
    <w:rsid w:val="00B6338C"/>
    <w:rPr>
      <w:rFonts w:eastAsia="Times New Roman" w:cs="Times New Roman"/>
      <w:b/>
      <w:bCs/>
      <w:color w:val="000000" w:themeColor="text1"/>
      <w:sz w:val="24"/>
      <w:szCs w:val="24"/>
      <w:lang w:eastAsia="cs-CZ"/>
    </w:rPr>
  </w:style>
  <w:style w:type="character" w:customStyle="1" w:styleId="Nadpis4Char1">
    <w:name w:val="Nadpis 4 Char1"/>
    <w:basedOn w:val="Standardnpsmoodstavce"/>
    <w:link w:val="Nadpis4"/>
    <w:uiPriority w:val="99"/>
    <w:locked/>
    <w:rsid w:val="00B6338C"/>
    <w:rPr>
      <w:rFonts w:ascii="Calibri" w:eastAsia="Times New Roman" w:hAnsi="Calibri" w:cs="Times New Roman"/>
      <w:b/>
      <w:bCs/>
      <w:sz w:val="24"/>
      <w:szCs w:val="28"/>
      <w:lang w:eastAsia="cs-CZ"/>
    </w:rPr>
  </w:style>
  <w:style w:type="character" w:customStyle="1" w:styleId="Nadpis5Char1">
    <w:name w:val="Nadpis 5 Char1"/>
    <w:basedOn w:val="Standardnpsmoodstavce"/>
    <w:link w:val="Nadpis5"/>
    <w:uiPriority w:val="99"/>
    <w:locked/>
    <w:rsid w:val="00B6338C"/>
    <w:rPr>
      <w:rFonts w:ascii="Calibri" w:eastAsia="Times New Roman" w:hAnsi="Calibri" w:cs="Times New Roman"/>
      <w:bCs/>
      <w:iCs/>
      <w:sz w:val="24"/>
      <w:szCs w:val="26"/>
      <w:u w:val="single"/>
      <w:lang w:eastAsia="cs-CZ"/>
    </w:rPr>
  </w:style>
  <w:style w:type="character" w:customStyle="1" w:styleId="Nadpis9Char1">
    <w:name w:val="Nadpis 9 Char1"/>
    <w:basedOn w:val="Standardnpsmoodstavce"/>
    <w:link w:val="Nadpis9"/>
    <w:uiPriority w:val="99"/>
    <w:locked/>
    <w:rsid w:val="002374D8"/>
    <w:rPr>
      <w:rFonts w:ascii="Cambria" w:eastAsia="Times New Roman" w:hAnsi="Cambria" w:cs="Times New Roman"/>
      <w:lang w:eastAsia="cs-CZ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2374D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basedOn w:val="Standardnpsmoodstavce"/>
    <w:link w:val="Vrazncitt"/>
    <w:uiPriority w:val="99"/>
    <w:rsid w:val="002374D8"/>
    <w:rPr>
      <w:rFonts w:ascii="Arial" w:eastAsia="Times New Roman" w:hAnsi="Arial" w:cs="Times New Roman"/>
      <w:b/>
      <w:bCs/>
      <w:i/>
      <w:iCs/>
      <w:color w:val="4F81BD"/>
      <w:sz w:val="24"/>
      <w:szCs w:val="24"/>
      <w:lang w:eastAsia="cs-CZ"/>
    </w:rPr>
  </w:style>
  <w:style w:type="character" w:customStyle="1" w:styleId="CitaceintenzivnChar">
    <w:name w:val="Citace – intenzivní Char"/>
    <w:basedOn w:val="Standardnpsmoodstavce"/>
    <w:uiPriority w:val="99"/>
    <w:rsid w:val="002374D8"/>
    <w:rPr>
      <w:rFonts w:cs="Times New Roman"/>
      <w:b/>
      <w:bCs/>
      <w:i/>
      <w:iCs/>
      <w:color w:val="4F81BD"/>
      <w:sz w:val="24"/>
      <w:szCs w:val="24"/>
    </w:rPr>
  </w:style>
  <w:style w:type="character" w:styleId="Zdraznnintenzivn">
    <w:name w:val="Intense Emphasis"/>
    <w:basedOn w:val="Standardnpsmoodstavce"/>
    <w:uiPriority w:val="99"/>
    <w:qFormat/>
    <w:rsid w:val="002374D8"/>
    <w:rPr>
      <w:rFonts w:cs="Times New Roman"/>
      <w:b/>
      <w:bCs/>
      <w:i/>
      <w:iCs/>
      <w:color w:val="4F81BD"/>
    </w:rPr>
  </w:style>
  <w:style w:type="paragraph" w:customStyle="1" w:styleId="Bn">
    <w:name w:val="Běžný"/>
    <w:basedOn w:val="Normln"/>
    <w:uiPriority w:val="99"/>
    <w:rsid w:val="002374D8"/>
    <w:pPr>
      <w:spacing w:before="40" w:line="276" w:lineRule="auto"/>
      <w:ind w:firstLine="284"/>
    </w:pPr>
    <w:rPr>
      <w:rFonts w:ascii="Palatino Linotype" w:hAnsi="Palatino Linotype"/>
      <w:sz w:val="22"/>
      <w:szCs w:val="22"/>
    </w:rPr>
  </w:style>
  <w:style w:type="paragraph" w:styleId="Zkladntext3">
    <w:name w:val="Body Text 3"/>
    <w:basedOn w:val="Normln"/>
    <w:link w:val="Zkladntext3Char1"/>
    <w:uiPriority w:val="99"/>
    <w:rsid w:val="002374D8"/>
    <w:pPr>
      <w:spacing w:after="120"/>
    </w:pPr>
    <w:rPr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uiPriority w:val="99"/>
    <w:rsid w:val="002374D8"/>
    <w:rPr>
      <w:rFonts w:ascii="Arial" w:eastAsia="Times New Roman" w:hAnsi="Arial" w:cs="Times New Roman"/>
      <w:sz w:val="16"/>
      <w:szCs w:val="16"/>
      <w:lang w:eastAsia="cs-CZ"/>
    </w:rPr>
  </w:style>
  <w:style w:type="character" w:customStyle="1" w:styleId="Zkladntext3Char1">
    <w:name w:val="Základní text 3 Char1"/>
    <w:basedOn w:val="Standardnpsmoodstavce"/>
    <w:link w:val="Zkladntext3"/>
    <w:uiPriority w:val="99"/>
    <w:locked/>
    <w:rsid w:val="002374D8"/>
    <w:rPr>
      <w:rFonts w:ascii="Arial" w:eastAsia="Times New Roman" w:hAnsi="Arial" w:cs="Times New Roman"/>
      <w:sz w:val="16"/>
      <w:szCs w:val="16"/>
    </w:rPr>
  </w:style>
  <w:style w:type="paragraph" w:styleId="Zkladntextodsazen">
    <w:name w:val="Body Text Indent"/>
    <w:basedOn w:val="Normln"/>
    <w:link w:val="ZkladntextodsazenChar1"/>
    <w:uiPriority w:val="99"/>
    <w:rsid w:val="002374D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uiPriority w:val="99"/>
    <w:semiHidden/>
    <w:rsid w:val="002374D8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kladntextodsazenChar1">
    <w:name w:val="Základní text odsazený Char1"/>
    <w:basedOn w:val="Standardnpsmoodstavce"/>
    <w:link w:val="Zkladntextodsazen"/>
    <w:uiPriority w:val="99"/>
    <w:locked/>
    <w:rsid w:val="002374D8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Zkladn">
    <w:name w:val="Základní"/>
    <w:basedOn w:val="Normln"/>
    <w:uiPriority w:val="99"/>
    <w:qFormat/>
    <w:rsid w:val="002374D8"/>
    <w:pPr>
      <w:spacing w:before="120"/>
    </w:pPr>
    <w:rPr>
      <w:lang w:eastAsia="en-US"/>
    </w:rPr>
  </w:style>
  <w:style w:type="paragraph" w:styleId="Textpoznpodarou">
    <w:name w:val="footnote text"/>
    <w:aliases w:val="Podrozdzia3,Podrozdział,Schriftart: 10 pt,Schriftart: 8 pt,Schriftart: 9 pt,fn,pozn. pod čarou,Text pozn. pod čarou times,Text poznámky pod čiarou 007,Fußnotentextf,Geneva 9,Font: Geneva 9,Boston 10,f"/>
    <w:basedOn w:val="Normln"/>
    <w:link w:val="TextpoznpodarouChar1"/>
    <w:uiPriority w:val="99"/>
    <w:qFormat/>
    <w:rsid w:val="002374D8"/>
    <w:rPr>
      <w:sz w:val="20"/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fn Char1,pozn. pod čarou Char,Text pozn. pod čarou times Char,Text poznámky pod čiarou 007 Char"/>
    <w:basedOn w:val="Standardnpsmoodstavce"/>
    <w:uiPriority w:val="99"/>
    <w:rsid w:val="002374D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1">
    <w:name w:val="Text pozn. pod čarou Char1"/>
    <w:aliases w:val="Podrozdzia3 Char1,Podrozdział Char1,Schriftart: 10 pt Char1,Schriftart: 8 pt Char1,Schriftart: 9 pt Char1,fn Char,pozn. pod čarou Char1,Text pozn. pod čarou times Char1,Text poznámky pod čiarou 007 Char1,Fußnotentextf Char"/>
    <w:basedOn w:val="Standardnpsmoodstavce"/>
    <w:link w:val="Textpoznpodarou"/>
    <w:uiPriority w:val="99"/>
    <w:locked/>
    <w:rsid w:val="002374D8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aliases w:val="12 b.,Footnote,PGI Fußnote Ziffer,PGI Fußnote Ziffer + Times New Roman,Zúžené o ...,number"/>
    <w:basedOn w:val="Standardnpsmoodstavce"/>
    <w:uiPriority w:val="99"/>
    <w:rsid w:val="002374D8"/>
    <w:rPr>
      <w:rFonts w:cs="Times New Roman"/>
      <w:vertAlign w:val="superscript"/>
    </w:rPr>
  </w:style>
  <w:style w:type="paragraph" w:styleId="Zhlav">
    <w:name w:val="header"/>
    <w:basedOn w:val="Normln"/>
    <w:link w:val="ZhlavChar1"/>
    <w:uiPriority w:val="99"/>
    <w:rsid w:val="002374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rsid w:val="002374D8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hlavChar1">
    <w:name w:val="Záhlaví Char1"/>
    <w:basedOn w:val="Standardnpsmoodstavce"/>
    <w:link w:val="Zhlav"/>
    <w:locked/>
    <w:rsid w:val="002374D8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1"/>
    <w:uiPriority w:val="99"/>
    <w:rsid w:val="002374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2374D8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link w:val="Zpat"/>
    <w:uiPriority w:val="99"/>
    <w:locked/>
    <w:rsid w:val="002374D8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aliases w:val="Nadpis pro KZ,odrážky,List Paragraph1,List Paragraph2,Nad,Nad1,Nad2,Odstavec_muj,Odstavec_muj1,Odstavec_muj10,Odstavec_muj2,Odstavec_muj3,Odstavec_muj4,Odstavec_muj5,Odstavec_muj6,Odstavec_muj7,Odstavec_muj8,Odstavec_muj9"/>
    <w:basedOn w:val="Normln"/>
    <w:link w:val="OdstavecseseznamemChar"/>
    <w:uiPriority w:val="34"/>
    <w:qFormat/>
    <w:rsid w:val="00E7535E"/>
    <w:pPr>
      <w:spacing w:after="120"/>
      <w:ind w:left="709"/>
    </w:pPr>
  </w:style>
  <w:style w:type="character" w:styleId="Odkaznakoment">
    <w:name w:val="annotation reference"/>
    <w:basedOn w:val="Standardnpsmoodstavce"/>
    <w:uiPriority w:val="99"/>
    <w:semiHidden/>
    <w:rsid w:val="002374D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374D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74D8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374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74D8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37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374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74D8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39"/>
    <w:rsid w:val="002374D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uiPriority w:val="99"/>
    <w:rsid w:val="002374D8"/>
    <w:rPr>
      <w:rFonts w:cs="Arial"/>
      <w:i/>
      <w:sz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374D8"/>
    <w:rPr>
      <w:rFonts w:ascii="Arial" w:eastAsia="Times New Roman" w:hAnsi="Arial" w:cs="Arial"/>
      <w:i/>
      <w:szCs w:val="24"/>
    </w:rPr>
  </w:style>
  <w:style w:type="paragraph" w:styleId="Prosttext">
    <w:name w:val="Plain Text"/>
    <w:basedOn w:val="Normln"/>
    <w:link w:val="ProsttextChar"/>
    <w:uiPriority w:val="99"/>
    <w:semiHidden/>
    <w:rsid w:val="002374D8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374D8"/>
    <w:rPr>
      <w:rFonts w:ascii="Consolas" w:eastAsia="Times New Roman" w:hAnsi="Consolas" w:cs="Times New Roman"/>
      <w:sz w:val="21"/>
      <w:szCs w:val="21"/>
    </w:rPr>
  </w:style>
  <w:style w:type="paragraph" w:styleId="Zkladntextodsazen3">
    <w:name w:val="Body Text Indent 3"/>
    <w:basedOn w:val="Normln"/>
    <w:link w:val="Zkladntextodsazen3Char"/>
    <w:uiPriority w:val="99"/>
    <w:rsid w:val="002374D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2374D8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adpisKZ">
    <w:name w:val="Nadpis KZ"/>
    <w:basedOn w:val="Zkladntext2"/>
    <w:uiPriority w:val="99"/>
    <w:rsid w:val="002374D8"/>
  </w:style>
  <w:style w:type="paragraph" w:styleId="Zkladntext2">
    <w:name w:val="Body Text 2"/>
    <w:basedOn w:val="Normln"/>
    <w:link w:val="Zkladntext2Char"/>
    <w:uiPriority w:val="99"/>
    <w:semiHidden/>
    <w:rsid w:val="002374D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374D8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Char4CharCharCharCharCharCharCharCharChar">
    <w:name w:val="Char4 Char Char Char Char Char Char Char Char Char"/>
    <w:basedOn w:val="Normln"/>
    <w:uiPriority w:val="99"/>
    <w:rsid w:val="002374D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Seznamsodrkami3">
    <w:name w:val="List Bullet 3"/>
    <w:basedOn w:val="Normln"/>
    <w:uiPriority w:val="99"/>
    <w:semiHidden/>
    <w:rsid w:val="002374D8"/>
    <w:pPr>
      <w:numPr>
        <w:numId w:val="1"/>
      </w:numPr>
      <w:spacing w:before="120" w:after="120"/>
    </w:pPr>
    <w:rPr>
      <w:rFonts w:ascii="Times New Roman" w:hAnsi="Times New Roman"/>
    </w:rPr>
  </w:style>
  <w:style w:type="character" w:styleId="Siln">
    <w:name w:val="Strong"/>
    <w:basedOn w:val="Standardnpsmoodstavce"/>
    <w:uiPriority w:val="99"/>
    <w:qFormat/>
    <w:rsid w:val="002374D8"/>
    <w:rPr>
      <w:rFonts w:cs="Times New Roman"/>
      <w:b/>
      <w:bCs/>
    </w:rPr>
  </w:style>
  <w:style w:type="paragraph" w:customStyle="1" w:styleId="xl71">
    <w:name w:val="xl71"/>
    <w:basedOn w:val="Normln"/>
    <w:uiPriority w:val="99"/>
    <w:rsid w:val="00237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6"/>
      <w:szCs w:val="16"/>
    </w:rPr>
  </w:style>
  <w:style w:type="character" w:customStyle="1" w:styleId="A1">
    <w:name w:val="A1"/>
    <w:uiPriority w:val="99"/>
    <w:rsid w:val="002374D8"/>
    <w:rPr>
      <w:color w:val="000000"/>
      <w:sz w:val="20"/>
    </w:rPr>
  </w:style>
  <w:style w:type="character" w:styleId="Hypertextovodkaz">
    <w:name w:val="Hyperlink"/>
    <w:basedOn w:val="Standardnpsmoodstavce"/>
    <w:uiPriority w:val="99"/>
    <w:rsid w:val="002374D8"/>
    <w:rPr>
      <w:rFonts w:cs="Times New Roman"/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2374D8"/>
    <w:rPr>
      <w:rFonts w:cs="Times New Roman"/>
      <w:i/>
      <w:iCs/>
    </w:rPr>
  </w:style>
  <w:style w:type="paragraph" w:customStyle="1" w:styleId="xl94">
    <w:name w:val="xl94"/>
    <w:basedOn w:val="Normln"/>
    <w:uiPriority w:val="99"/>
    <w:rsid w:val="00237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Default">
    <w:name w:val="Default"/>
    <w:rsid w:val="002374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cizojazycne">
    <w:name w:val="cizojazycne"/>
    <w:basedOn w:val="Standardnpsmoodstavce"/>
    <w:uiPriority w:val="99"/>
    <w:rsid w:val="002374D8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374D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374D8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uiPriority w:val="99"/>
    <w:rsid w:val="002374D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oznmkapodarou">
    <w:name w:val="poznámka pod čarou"/>
    <w:basedOn w:val="Normln"/>
    <w:uiPriority w:val="99"/>
    <w:rsid w:val="002374D8"/>
    <w:pPr>
      <w:ind w:left="284" w:hanging="284"/>
      <w:contextualSpacing/>
    </w:pPr>
    <w:rPr>
      <w:rFonts w:cs="Arial"/>
      <w:sz w:val="20"/>
      <w:szCs w:val="20"/>
      <w:lang w:eastAsia="en-US"/>
    </w:rPr>
  </w:style>
  <w:style w:type="numbering" w:customStyle="1" w:styleId="Styl1">
    <w:name w:val="Styl1"/>
    <w:rsid w:val="002374D8"/>
    <w:pPr>
      <w:numPr>
        <w:numId w:val="2"/>
      </w:numPr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374D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374D8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374D8"/>
    <w:rPr>
      <w:vertAlign w:val="superscript"/>
    </w:rPr>
  </w:style>
  <w:style w:type="paragraph" w:customStyle="1" w:styleId="NormlnKZ">
    <w:name w:val="Normální KZ"/>
    <w:basedOn w:val="Normln"/>
    <w:rsid w:val="002374D8"/>
    <w:pPr>
      <w:spacing w:after="120"/>
      <w:ind w:firstLine="425"/>
    </w:pPr>
    <w:rPr>
      <w:rFonts w:ascii="Times New Roman" w:hAnsi="Times New Roman"/>
      <w:sz w:val="22"/>
      <w:szCs w:val="22"/>
    </w:rPr>
  </w:style>
  <w:style w:type="character" w:customStyle="1" w:styleId="OdstavecseseznamemChar">
    <w:name w:val="Odstavec se seznamem Char"/>
    <w:aliases w:val="Nadpis pro KZ Char,odrážky Char,List Paragraph1 Char,List Paragraph2 Char,Nad Char,Nad1 Char,Nad2 Char,Odstavec_muj Char,Odstavec_muj1 Char,Odstavec_muj10 Char,Odstavec_muj2 Char,Odstavec_muj3 Char,Odstavec_muj4 Char"/>
    <w:basedOn w:val="Standardnpsmoodstavce"/>
    <w:link w:val="Odstavecseseznamem"/>
    <w:uiPriority w:val="34"/>
    <w:locked/>
    <w:rsid w:val="00E7535E"/>
    <w:rPr>
      <w:rFonts w:eastAsia="Times New Roman" w:cs="Times New Roman"/>
      <w:sz w:val="24"/>
      <w:szCs w:val="24"/>
      <w:lang w:eastAsia="cs-CZ"/>
    </w:rPr>
  </w:style>
  <w:style w:type="character" w:customStyle="1" w:styleId="tsubjname">
    <w:name w:val="tsubjname"/>
    <w:basedOn w:val="Standardnpsmoodstavce"/>
    <w:rsid w:val="002374D8"/>
  </w:style>
  <w:style w:type="character" w:customStyle="1" w:styleId="shorttext">
    <w:name w:val="short_text"/>
    <w:basedOn w:val="Standardnpsmoodstavce"/>
    <w:rsid w:val="002374D8"/>
  </w:style>
  <w:style w:type="table" w:customStyle="1" w:styleId="Mkatabulky6">
    <w:name w:val="Mřížka tabulky6"/>
    <w:basedOn w:val="Normlntabulka"/>
    <w:next w:val="Mkatabulky"/>
    <w:uiPriority w:val="59"/>
    <w:rsid w:val="00EE0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mezer">
    <w:name w:val="No Spacing"/>
    <w:uiPriority w:val="1"/>
    <w:qFormat/>
    <w:rsid w:val="00EE0431"/>
    <w:pPr>
      <w:spacing w:after="0" w:line="240" w:lineRule="auto"/>
    </w:pPr>
  </w:style>
  <w:style w:type="character" w:customStyle="1" w:styleId="Nadpis8Char">
    <w:name w:val="Nadpis 8 Char"/>
    <w:basedOn w:val="Standardnpsmoodstavce"/>
    <w:link w:val="Nadpis8"/>
    <w:uiPriority w:val="9"/>
    <w:semiHidden/>
    <w:rsid w:val="002867F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customStyle="1" w:styleId="KP-normlntext">
    <w:name w:val="KP-normální text"/>
    <w:basedOn w:val="Normln"/>
    <w:link w:val="KP-normlntextChar"/>
    <w:qFormat/>
    <w:rsid w:val="002867FF"/>
    <w:pPr>
      <w:spacing w:before="120" w:after="120"/>
      <w:ind w:firstLine="720"/>
    </w:pPr>
    <w:rPr>
      <w:rFonts w:ascii="Arial" w:hAnsi="Arial" w:cs="Arial"/>
      <w:color w:val="000000"/>
      <w:sz w:val="22"/>
      <w:szCs w:val="22"/>
      <w:lang w:eastAsia="en-US"/>
    </w:rPr>
  </w:style>
  <w:style w:type="character" w:customStyle="1" w:styleId="KP-normlntextChar">
    <w:name w:val="KP-normální text Char"/>
    <w:link w:val="KP-normlntext"/>
    <w:rsid w:val="002867FF"/>
    <w:rPr>
      <w:rFonts w:ascii="Arial" w:eastAsia="Times New Roman" w:hAnsi="Arial" w:cs="Arial"/>
      <w:color w:val="000000"/>
    </w:rPr>
  </w:style>
  <w:style w:type="paragraph" w:styleId="Normlnweb">
    <w:name w:val="Normal (Web)"/>
    <w:basedOn w:val="Normln"/>
    <w:uiPriority w:val="99"/>
    <w:unhideWhenUsed/>
    <w:rsid w:val="008A4838"/>
    <w:pPr>
      <w:spacing w:before="100" w:beforeAutospacing="1" w:after="100" w:afterAutospacing="1"/>
      <w:jc w:val="left"/>
    </w:pPr>
    <w:rPr>
      <w:rFonts w:ascii="Times New Roman" w:hAnsi="Times New Roman"/>
    </w:rPr>
  </w:style>
  <w:style w:type="table" w:styleId="Prosttabulka1">
    <w:name w:val="Plain Table 1"/>
    <w:basedOn w:val="Normlntabulka"/>
    <w:uiPriority w:val="99"/>
    <w:rsid w:val="001205D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Mkatabulky1">
    <w:name w:val="Mřížka tabulky1"/>
    <w:basedOn w:val="Normlntabulka"/>
    <w:next w:val="Mkatabulky"/>
    <w:uiPriority w:val="39"/>
    <w:rsid w:val="00CA11F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380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77940"/>
    <w:rPr>
      <w:color w:val="954F72" w:themeColor="followedHyperlink"/>
      <w:u w:val="single"/>
    </w:rPr>
  </w:style>
  <w:style w:type="paragraph" w:customStyle="1" w:styleId="BodyText21">
    <w:name w:val="Body Text 21"/>
    <w:basedOn w:val="Normln"/>
    <w:uiPriority w:val="99"/>
    <w:rsid w:val="00A346BC"/>
    <w:pPr>
      <w:overflowPunct w:val="0"/>
      <w:autoSpaceDE w:val="0"/>
      <w:autoSpaceDN w:val="0"/>
      <w:adjustRightInd w:val="0"/>
      <w:spacing w:before="120" w:after="120" w:line="360" w:lineRule="auto"/>
      <w:textAlignment w:val="baseline"/>
    </w:pPr>
    <w:rPr>
      <w:rFonts w:ascii="Times New Roman" w:hAnsi="Times New Roman"/>
      <w:b/>
      <w:szCs w:val="20"/>
      <w:u w:val="single"/>
    </w:rPr>
  </w:style>
  <w:style w:type="table" w:customStyle="1" w:styleId="Mkatabulky4">
    <w:name w:val="Mřížka tabulky4"/>
    <w:basedOn w:val="Normlntabulka"/>
    <w:next w:val="Mkatabulky"/>
    <w:uiPriority w:val="39"/>
    <w:rsid w:val="00071F34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-nadpis2">
    <w:name w:val="F9 - nadpis 2"/>
    <w:basedOn w:val="Normln"/>
    <w:next w:val="Normln"/>
    <w:rsid w:val="00956E59"/>
    <w:pPr>
      <w:keepNext/>
      <w:keepLines/>
      <w:suppressAutoHyphens/>
      <w:spacing w:before="480" w:line="300" w:lineRule="exact"/>
      <w:outlineLvl w:val="1"/>
    </w:pPr>
    <w:rPr>
      <w:rFonts w:ascii="Arial" w:hAnsi="Arial"/>
      <w:b/>
      <w:bCs/>
      <w:sz w:val="20"/>
      <w:szCs w:val="20"/>
    </w:rPr>
  </w:style>
  <w:style w:type="character" w:customStyle="1" w:styleId="A14">
    <w:name w:val="A14"/>
    <w:uiPriority w:val="99"/>
    <w:qFormat/>
    <w:rsid w:val="003C6C75"/>
    <w:rPr>
      <w:b/>
      <w:color w:val="000000"/>
      <w:sz w:val="54"/>
    </w:rPr>
  </w:style>
  <w:style w:type="paragraph" w:customStyle="1" w:styleId="Pa18">
    <w:name w:val="Pa18"/>
    <w:basedOn w:val="Normln"/>
    <w:next w:val="Normln"/>
    <w:uiPriority w:val="99"/>
    <w:qFormat/>
    <w:rsid w:val="003C6C75"/>
    <w:pPr>
      <w:spacing w:line="211" w:lineRule="atLeast"/>
      <w:jc w:val="left"/>
    </w:pPr>
    <w:rPr>
      <w:rFonts w:ascii="Calibri" w:hAnsi="Calibri"/>
    </w:rPr>
  </w:style>
  <w:style w:type="paragraph" w:customStyle="1" w:styleId="Pa19">
    <w:name w:val="Pa19"/>
    <w:basedOn w:val="Normln"/>
    <w:next w:val="Normln"/>
    <w:uiPriority w:val="99"/>
    <w:qFormat/>
    <w:rsid w:val="003C6C75"/>
    <w:pPr>
      <w:spacing w:line="211" w:lineRule="atLeast"/>
      <w:jc w:val="left"/>
    </w:pPr>
    <w:rPr>
      <w:rFonts w:ascii="Calibri" w:hAnsi="Calibri"/>
    </w:rPr>
  </w:style>
  <w:style w:type="table" w:customStyle="1" w:styleId="Mkatabulky3">
    <w:name w:val="Mřížka tabulky3"/>
    <w:basedOn w:val="Normlntabulka"/>
    <w:next w:val="Mkatabulky"/>
    <w:uiPriority w:val="39"/>
    <w:rsid w:val="00B64033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qFormat/>
    <w:rsid w:val="006D05E1"/>
    <w:pPr>
      <w:suppressLineNumbers/>
      <w:jc w:val="left"/>
    </w:pPr>
    <w:rPr>
      <w:rFonts w:ascii="Liberation Serif" w:eastAsia="NSimSun" w:hAnsi="Liberation Serif" w:cs="Lucida Sans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4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3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7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50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5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61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8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5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5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9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3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1\SYKORAP\KZ%20ke%20korektur&#225;m\2022\2022,%20II\graf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1\SYKORAP\KZ%20ke%20korektur&#225;m\2022\2022,%20II\graf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200"/>
              <a:t>Celkové výdaje</a:t>
            </a:r>
          </a:p>
          <a:p>
            <a:pPr>
              <a:defRPr/>
            </a:pPr>
            <a:r>
              <a:rPr lang="cs-CZ" sz="1200"/>
              <a:t>231 mil. Kč</a:t>
            </a:r>
          </a:p>
        </c:rich>
      </c:tx>
      <c:layout>
        <c:manualLayout>
          <c:xMode val="edge"/>
          <c:yMode val="edge"/>
          <c:x val="0.34059011373578302"/>
          <c:y val="0.38888888888888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2278543307086614"/>
          <c:y val="9.3425925925925926E-2"/>
          <c:w val="0.44984689413823276"/>
          <c:h val="0.7497448235637213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rgbClr val="2047C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498-4429-8261-B5FBE816D5DD}"/>
              </c:ext>
            </c:extLst>
          </c:dPt>
          <c:dPt>
            <c:idx val="1"/>
            <c:bubble3D val="0"/>
            <c:spPr>
              <a:solidFill>
                <a:srgbClr val="C0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498-4429-8261-B5FBE816D5D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498-4429-8261-B5FBE816D5DD}"/>
              </c:ext>
            </c:extLst>
          </c:dPt>
          <c:dLbls>
            <c:dLbl>
              <c:idx val="0"/>
              <c:layout>
                <c:manualLayout>
                  <c:x val="0.15555555555555556"/>
                  <c:y val="0.1574074074074075"/>
                </c:manualLayout>
              </c:layout>
              <c:tx>
                <c:rich>
                  <a:bodyPr/>
                  <a:lstStyle/>
                  <a:p>
                    <a:fld id="{B8214239-CE22-4B87-8F99-61F0FC30FB03}" type="CELLRANGE">
                      <a:rPr lang="en-US"/>
                      <a:pPr/>
                      <a:t>[OBLAST BUNĚK]</a:t>
                    </a:fld>
                    <a:endParaRPr lang="cs-CZ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1-3498-4429-8261-B5FBE816D5DD}"/>
                </c:ext>
              </c:extLst>
            </c:dLbl>
            <c:dLbl>
              <c:idx val="1"/>
              <c:layout>
                <c:manualLayout>
                  <c:x val="-0.19444444444444445"/>
                  <c:y val="0.14814814814814814"/>
                </c:manualLayout>
              </c:layout>
              <c:tx>
                <c:rich>
                  <a:bodyPr/>
                  <a:lstStyle/>
                  <a:p>
                    <a:fld id="{6ABF9532-DC17-4C55-8019-6AEA5752A457}" type="CELLRANGE">
                      <a:rPr lang="en-US"/>
                      <a:pPr/>
                      <a:t>[OBLAST BUNĚK]</a:t>
                    </a:fld>
                    <a:endParaRPr lang="cs-CZ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3-3498-4429-8261-B5FBE816D5DD}"/>
                </c:ext>
              </c:extLst>
            </c:dLbl>
            <c:dLbl>
              <c:idx val="2"/>
              <c:layout>
                <c:manualLayout>
                  <c:x val="-0.19444444444444445"/>
                  <c:y val="-0.1064814814814815"/>
                </c:manualLayout>
              </c:layout>
              <c:tx>
                <c:rich>
                  <a:bodyPr/>
                  <a:lstStyle/>
                  <a:p>
                    <a:fld id="{49EAC00D-FC85-4FC0-BE7C-1E91A9254953}" type="CELLRANGE">
                      <a:rPr lang="en-US"/>
                      <a:pPr/>
                      <a:t>[OBLAST BUNĚK]</a:t>
                    </a:fld>
                    <a:endParaRPr lang="cs-CZ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5-3498-4429-8261-B5FBE816D5DD}"/>
                </c:ext>
              </c:extLst>
            </c:dLbl>
            <c:numFmt formatCode="#,##0\ &quot;Kč&quot;" sourceLinked="0"/>
            <c:spPr>
              <a:solidFill>
                <a:schemeClr val="bg1"/>
              </a:solidFill>
              <a:ln>
                <a:noFill/>
              </a:ln>
              <a:effectLst>
                <a:outerShdw blurRad="50800" dist="38100" dir="2700000" algn="tl" rotWithShape="0">
                  <a:schemeClr val="bg1">
                    <a:alpha val="40000"/>
                  </a:scheme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howDataLabelsRange val="1"/>
              </c:ext>
            </c:extLst>
          </c:dLbls>
          <c:cat>
            <c:strRef>
              <c:f>List1!$A$8:$A$10</c:f>
              <c:strCache>
                <c:ptCount val="3"/>
                <c:pt idx="0">
                  <c:v>Peněžité výhry</c:v>
                </c:pt>
                <c:pt idx="1">
                  <c:v>Věcné výhry (os. vozidla)</c:v>
                </c:pt>
                <c:pt idx="2">
                  <c:v>Provoz, propagace</c:v>
                </c:pt>
              </c:strCache>
            </c:strRef>
          </c:cat>
          <c:val>
            <c:numRef>
              <c:f>List1!$B$8:$B$10</c:f>
              <c:numCache>
                <c:formatCode>General</c:formatCode>
                <c:ptCount val="3"/>
                <c:pt idx="0">
                  <c:v>148000000</c:v>
                </c:pt>
                <c:pt idx="1">
                  <c:v>12000000</c:v>
                </c:pt>
                <c:pt idx="2">
                  <c:v>71000000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List1!$C$8:$C$10</c15:f>
                <c15:dlblRangeCache>
                  <c:ptCount val="3"/>
                  <c:pt idx="0">
                    <c:v>148 mil. Kč</c:v>
                  </c:pt>
                  <c:pt idx="1">
                    <c:v>12 mil. Kč</c:v>
                  </c:pt>
                  <c:pt idx="2">
                    <c:v>71 mil. Kč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6-3498-4429-8261-B5FBE816D5D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9120253718285218"/>
          <c:y val="0.11649205307669873"/>
          <c:w val="0.29213079615048121"/>
          <c:h val="0.23437664041994752"/>
        </c:manualLayout>
      </c:layout>
      <c:overlay val="0"/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List1!$T$1</c:f>
              <c:strCache>
                <c:ptCount val="1"/>
                <c:pt idx="0">
                  <c:v>112V01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List1!$S$2:$S$11</c:f>
              <c:numCache>
                <c:formatCode>m/d/yyyy</c:formatCode>
                <c:ptCount val="10"/>
                <c:pt idx="0">
                  <c:v>39455</c:v>
                </c:pt>
                <c:pt idx="1">
                  <c:v>41639</c:v>
                </c:pt>
                <c:pt idx="2">
                  <c:v>43100</c:v>
                </c:pt>
                <c:pt idx="3">
                  <c:v>41820</c:v>
                </c:pt>
                <c:pt idx="4">
                  <c:v>44196</c:v>
                </c:pt>
                <c:pt idx="5">
                  <c:v>41654</c:v>
                </c:pt>
                <c:pt idx="6">
                  <c:v>44196</c:v>
                </c:pt>
                <c:pt idx="7">
                  <c:v>46022</c:v>
                </c:pt>
                <c:pt idx="8">
                  <c:v>44377</c:v>
                </c:pt>
                <c:pt idx="9">
                  <c:v>46568</c:v>
                </c:pt>
              </c:numCache>
            </c:numRef>
          </c:xVal>
          <c:yVal>
            <c:numRef>
              <c:f>List1!$T$2:$T$11</c:f>
              <c:numCache>
                <c:formatCode>General</c:formatCode>
                <c:ptCount val="10"/>
                <c:pt idx="0">
                  <c:v>1</c:v>
                </c:pt>
                <c:pt idx="1">
                  <c:v>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6F41-4774-8EA9-311C2DD4783A}"/>
            </c:ext>
          </c:extLst>
        </c:ser>
        <c:ser>
          <c:idx val="1"/>
          <c:order val="1"/>
          <c:tx>
            <c:strRef>
              <c:f>List1!$U$1</c:f>
              <c:strCache>
                <c:ptCount val="1"/>
                <c:pt idx="0">
                  <c:v>Posun realizace</c:v>
                </c:pt>
              </c:strCache>
            </c:strRef>
          </c:tx>
          <c:spPr>
            <a:ln w="19050" cap="rnd">
              <a:solidFill>
                <a:schemeClr val="accent1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solidFill>
                <a:srgbClr val="0070C0"/>
              </a:solidFill>
              <a:ln w="9525">
                <a:solidFill>
                  <a:schemeClr val="accent1"/>
                </a:solidFill>
                <a:prstDash val="sysDash"/>
              </a:ln>
              <a:effectLst/>
            </c:spPr>
          </c:marker>
          <c:xVal>
            <c:numRef>
              <c:f>List1!$S$2:$S$11</c:f>
              <c:numCache>
                <c:formatCode>m/d/yyyy</c:formatCode>
                <c:ptCount val="10"/>
                <c:pt idx="0">
                  <c:v>39455</c:v>
                </c:pt>
                <c:pt idx="1">
                  <c:v>41639</c:v>
                </c:pt>
                <c:pt idx="2">
                  <c:v>43100</c:v>
                </c:pt>
                <c:pt idx="3">
                  <c:v>41820</c:v>
                </c:pt>
                <c:pt idx="4">
                  <c:v>44196</c:v>
                </c:pt>
                <c:pt idx="5">
                  <c:v>41654</c:v>
                </c:pt>
                <c:pt idx="6">
                  <c:v>44196</c:v>
                </c:pt>
                <c:pt idx="7">
                  <c:v>46022</c:v>
                </c:pt>
                <c:pt idx="8">
                  <c:v>44377</c:v>
                </c:pt>
                <c:pt idx="9">
                  <c:v>46568</c:v>
                </c:pt>
              </c:numCache>
            </c:numRef>
          </c:xVal>
          <c:yVal>
            <c:numRef>
              <c:f>List1!$U$2:$U$11</c:f>
              <c:numCache>
                <c:formatCode>General</c:formatCode>
                <c:ptCount val="10"/>
                <c:pt idx="1">
                  <c:v>1</c:v>
                </c:pt>
                <c:pt idx="2">
                  <c:v>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6F41-4774-8EA9-311C2DD4783A}"/>
            </c:ext>
          </c:extLst>
        </c:ser>
        <c:ser>
          <c:idx val="2"/>
          <c:order val="2"/>
          <c:tx>
            <c:strRef>
              <c:f>List1!$V$1</c:f>
              <c:strCache>
                <c:ptCount val="1"/>
                <c:pt idx="0">
                  <c:v>Posun hodnocení</c:v>
                </c:pt>
              </c:strCache>
            </c:strRef>
          </c:tx>
          <c:spPr>
            <a:ln w="19050" cap="rnd">
              <a:solidFill>
                <a:schemeClr val="accent1"/>
              </a:solidFill>
              <a:prstDash val="sysDot"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prstDash val="sysDot"/>
              </a:ln>
              <a:effectLst/>
            </c:spPr>
          </c:marker>
          <c:xVal>
            <c:numRef>
              <c:f>List1!$S$2:$S$11</c:f>
              <c:numCache>
                <c:formatCode>m/d/yyyy</c:formatCode>
                <c:ptCount val="10"/>
                <c:pt idx="0">
                  <c:v>39455</c:v>
                </c:pt>
                <c:pt idx="1">
                  <c:v>41639</c:v>
                </c:pt>
                <c:pt idx="2">
                  <c:v>43100</c:v>
                </c:pt>
                <c:pt idx="3">
                  <c:v>41820</c:v>
                </c:pt>
                <c:pt idx="4">
                  <c:v>44196</c:v>
                </c:pt>
                <c:pt idx="5">
                  <c:v>41654</c:v>
                </c:pt>
                <c:pt idx="6">
                  <c:v>44196</c:v>
                </c:pt>
                <c:pt idx="7">
                  <c:v>46022</c:v>
                </c:pt>
                <c:pt idx="8">
                  <c:v>44377</c:v>
                </c:pt>
                <c:pt idx="9">
                  <c:v>46568</c:v>
                </c:pt>
              </c:numCache>
            </c:numRef>
          </c:xVal>
          <c:yVal>
            <c:numRef>
              <c:f>List1!$V$2:$V$11</c:f>
              <c:numCache>
                <c:formatCode>General</c:formatCode>
                <c:ptCount val="10"/>
                <c:pt idx="3">
                  <c:v>1.5</c:v>
                </c:pt>
                <c:pt idx="4">
                  <c:v>1.5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6F41-4774-8EA9-311C2DD4783A}"/>
            </c:ext>
          </c:extLst>
        </c:ser>
        <c:ser>
          <c:idx val="3"/>
          <c:order val="3"/>
          <c:tx>
            <c:strRef>
              <c:f>List1!$W$1</c:f>
              <c:strCache>
                <c:ptCount val="1"/>
                <c:pt idx="0">
                  <c:v>012V01</c:v>
                </c:pt>
              </c:strCache>
            </c:strRef>
          </c:tx>
          <c:spPr>
            <a:ln w="19050" cap="rnd">
              <a:solidFill>
                <a:srgbClr val="C0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C00000"/>
              </a:solidFill>
              <a:ln w="9525">
                <a:solidFill>
                  <a:srgbClr val="C00000"/>
                </a:solidFill>
              </a:ln>
              <a:effectLst/>
            </c:spPr>
          </c:marker>
          <c:xVal>
            <c:numRef>
              <c:f>List1!$S$2:$S$11</c:f>
              <c:numCache>
                <c:formatCode>m/d/yyyy</c:formatCode>
                <c:ptCount val="10"/>
                <c:pt idx="0">
                  <c:v>39455</c:v>
                </c:pt>
                <c:pt idx="1">
                  <c:v>41639</c:v>
                </c:pt>
                <c:pt idx="2">
                  <c:v>43100</c:v>
                </c:pt>
                <c:pt idx="3">
                  <c:v>41820</c:v>
                </c:pt>
                <c:pt idx="4">
                  <c:v>44196</c:v>
                </c:pt>
                <c:pt idx="5">
                  <c:v>41654</c:v>
                </c:pt>
                <c:pt idx="6">
                  <c:v>44196</c:v>
                </c:pt>
                <c:pt idx="7">
                  <c:v>46022</c:v>
                </c:pt>
                <c:pt idx="8">
                  <c:v>44377</c:v>
                </c:pt>
                <c:pt idx="9">
                  <c:v>46568</c:v>
                </c:pt>
              </c:numCache>
            </c:numRef>
          </c:xVal>
          <c:yVal>
            <c:numRef>
              <c:f>List1!$W$2:$W$11</c:f>
              <c:numCache>
                <c:formatCode>General</c:formatCode>
                <c:ptCount val="10"/>
                <c:pt idx="5">
                  <c:v>3</c:v>
                </c:pt>
                <c:pt idx="6">
                  <c:v>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6F41-4774-8EA9-311C2DD4783A}"/>
            </c:ext>
          </c:extLst>
        </c:ser>
        <c:ser>
          <c:idx val="4"/>
          <c:order val="4"/>
          <c:tx>
            <c:strRef>
              <c:f>List1!$X$1</c:f>
              <c:strCache>
                <c:ptCount val="1"/>
                <c:pt idx="0">
                  <c:v>Posun realizace</c:v>
                </c:pt>
              </c:strCache>
            </c:strRef>
          </c:tx>
          <c:spPr>
            <a:ln w="19050" cap="rnd">
              <a:solidFill>
                <a:srgbClr val="C00000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solidFill>
                <a:srgbClr val="C00000"/>
              </a:solidFill>
              <a:ln w="9525">
                <a:solidFill>
                  <a:srgbClr val="C00000"/>
                </a:solidFill>
                <a:prstDash val="sysDash"/>
              </a:ln>
              <a:effectLst/>
            </c:spPr>
          </c:marker>
          <c:xVal>
            <c:numRef>
              <c:f>List1!$S$2:$S$11</c:f>
              <c:numCache>
                <c:formatCode>m/d/yyyy</c:formatCode>
                <c:ptCount val="10"/>
                <c:pt idx="0">
                  <c:v>39455</c:v>
                </c:pt>
                <c:pt idx="1">
                  <c:v>41639</c:v>
                </c:pt>
                <c:pt idx="2">
                  <c:v>43100</c:v>
                </c:pt>
                <c:pt idx="3">
                  <c:v>41820</c:v>
                </c:pt>
                <c:pt idx="4">
                  <c:v>44196</c:v>
                </c:pt>
                <c:pt idx="5">
                  <c:v>41654</c:v>
                </c:pt>
                <c:pt idx="6">
                  <c:v>44196</c:v>
                </c:pt>
                <c:pt idx="7">
                  <c:v>46022</c:v>
                </c:pt>
                <c:pt idx="8">
                  <c:v>44377</c:v>
                </c:pt>
                <c:pt idx="9">
                  <c:v>46568</c:v>
                </c:pt>
              </c:numCache>
            </c:numRef>
          </c:xVal>
          <c:yVal>
            <c:numRef>
              <c:f>List1!$X$2:$X$11</c:f>
              <c:numCache>
                <c:formatCode>General</c:formatCode>
                <c:ptCount val="10"/>
                <c:pt idx="6">
                  <c:v>3</c:v>
                </c:pt>
                <c:pt idx="7">
                  <c:v>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6F41-4774-8EA9-311C2DD4783A}"/>
            </c:ext>
          </c:extLst>
        </c:ser>
        <c:ser>
          <c:idx val="5"/>
          <c:order val="5"/>
          <c:tx>
            <c:strRef>
              <c:f>List1!$Y$1</c:f>
              <c:strCache>
                <c:ptCount val="1"/>
                <c:pt idx="0">
                  <c:v>Posun hodnocení</c:v>
                </c:pt>
              </c:strCache>
            </c:strRef>
          </c:tx>
          <c:spPr>
            <a:ln w="19050" cap="rnd">
              <a:solidFill>
                <a:srgbClr val="C00000"/>
              </a:solidFill>
              <a:prstDash val="sysDot"/>
              <a:round/>
            </a:ln>
            <a:effectLst/>
          </c:spPr>
          <c:marker>
            <c:symbol val="circle"/>
            <c:size val="5"/>
            <c:spPr>
              <a:solidFill>
                <a:srgbClr val="C00000"/>
              </a:solidFill>
              <a:ln w="9525">
                <a:solidFill>
                  <a:srgbClr val="C00000"/>
                </a:solidFill>
                <a:prstDash val="sysDot"/>
              </a:ln>
              <a:effectLst/>
            </c:spPr>
          </c:marker>
          <c:xVal>
            <c:numRef>
              <c:f>List1!$S$2:$S$11</c:f>
              <c:numCache>
                <c:formatCode>m/d/yyyy</c:formatCode>
                <c:ptCount val="10"/>
                <c:pt idx="0">
                  <c:v>39455</c:v>
                </c:pt>
                <c:pt idx="1">
                  <c:v>41639</c:v>
                </c:pt>
                <c:pt idx="2">
                  <c:v>43100</c:v>
                </c:pt>
                <c:pt idx="3">
                  <c:v>41820</c:v>
                </c:pt>
                <c:pt idx="4">
                  <c:v>44196</c:v>
                </c:pt>
                <c:pt idx="5">
                  <c:v>41654</c:v>
                </c:pt>
                <c:pt idx="6">
                  <c:v>44196</c:v>
                </c:pt>
                <c:pt idx="7">
                  <c:v>46022</c:v>
                </c:pt>
                <c:pt idx="8">
                  <c:v>44377</c:v>
                </c:pt>
                <c:pt idx="9">
                  <c:v>46568</c:v>
                </c:pt>
              </c:numCache>
            </c:numRef>
          </c:xVal>
          <c:yVal>
            <c:numRef>
              <c:f>List1!$Y$2:$Y$11</c:f>
              <c:numCache>
                <c:formatCode>General</c:formatCode>
                <c:ptCount val="10"/>
                <c:pt idx="8">
                  <c:v>3.5</c:v>
                </c:pt>
                <c:pt idx="9">
                  <c:v>3.5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6F41-4774-8EA9-311C2DD478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46655696"/>
        <c:axId val="1555746832"/>
      </c:scatterChart>
      <c:valAx>
        <c:axId val="1646655696"/>
        <c:scaling>
          <c:orientation val="minMax"/>
          <c:max val="46752"/>
          <c:min val="39447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yyyy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555746832"/>
        <c:crosses val="autoZero"/>
        <c:crossBetween val="midCat"/>
        <c:majorUnit val="365.2"/>
      </c:valAx>
      <c:valAx>
        <c:axId val="1555746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64665569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[Grafy.xlsx]List1!$C$6</c:f>
              <c:strCache>
                <c:ptCount val="1"/>
                <c:pt idx="0">
                  <c:v>Průměrný počet aktivních hráčů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729444368233391E-17"/>
                  <c:y val="0.1914621371018578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A27-4A45-98B1-99B1630F18C5}"/>
                </c:ext>
              </c:extLst>
            </c:dLbl>
            <c:dLbl>
              <c:idx val="1"/>
              <c:layout>
                <c:manualLayout>
                  <c:x val="0"/>
                  <c:y val="0.1994127153319808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A27-4A45-98B1-99B1630F18C5}"/>
                </c:ext>
              </c:extLst>
            </c:dLbl>
            <c:dLbl>
              <c:idx val="2"/>
              <c:layout>
                <c:manualLayout>
                  <c:x val="0"/>
                  <c:y val="0.1888315052321517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A27-4A45-98B1-99B1630F18C5}"/>
                </c:ext>
              </c:extLst>
            </c:dLbl>
            <c:dLbl>
              <c:idx val="3"/>
              <c:layout>
                <c:manualLayout>
                  <c:x val="-2.5591810620602348E-3"/>
                  <c:y val="0.1935902990292152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A27-4A45-98B1-99B1630F18C5}"/>
                </c:ext>
              </c:extLst>
            </c:dLbl>
            <c:spPr>
              <a:gradFill rotWithShape="1">
                <a:gsLst>
                  <a:gs pos="0">
                    <a:schemeClr val="accent5">
                      <a:tint val="50000"/>
                      <a:satMod val="300000"/>
                    </a:schemeClr>
                  </a:gs>
                  <a:gs pos="35000">
                    <a:schemeClr val="accent5">
                      <a:tint val="37000"/>
                      <a:satMod val="300000"/>
                    </a:schemeClr>
                  </a:gs>
                  <a:gs pos="100000">
                    <a:schemeClr val="accent5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5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50800" dist="38100" algn="l" rotWithShape="0">
                  <a:prstClr val="black">
                    <a:alpha val="40000"/>
                  </a:prstClr>
                </a:outerShdw>
              </a:effectLst>
            </c:spPr>
            <c:txPr>
              <a:bodyPr/>
              <a:lstStyle/>
              <a:p>
                <a:pPr>
                  <a:defRPr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[Grafy.xlsx]List1!$D$5:$G$5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[Grafy.xlsx]List1!$D$6:$G$6</c:f>
              <c:numCache>
                <c:formatCode>#,##0</c:formatCode>
                <c:ptCount val="4"/>
                <c:pt idx="0">
                  <c:v>459178</c:v>
                </c:pt>
                <c:pt idx="1">
                  <c:v>380939</c:v>
                </c:pt>
                <c:pt idx="2">
                  <c:v>343837</c:v>
                </c:pt>
                <c:pt idx="3">
                  <c:v>304618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A27-4A45-98B1-99B1630F18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3433984"/>
        <c:axId val="167853376"/>
      </c:barChart>
      <c:catAx>
        <c:axId val="163433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7853376"/>
        <c:crosses val="autoZero"/>
        <c:auto val="1"/>
        <c:lblAlgn val="ctr"/>
        <c:lblOffset val="100"/>
        <c:noMultiLvlLbl val="0"/>
      </c:catAx>
      <c:valAx>
        <c:axId val="167853376"/>
        <c:scaling>
          <c:orientation val="minMax"/>
        </c:scaling>
        <c:delete val="1"/>
        <c:axPos val="l"/>
        <c:numFmt formatCode="#,##0" sourceLinked="1"/>
        <c:majorTickMark val="out"/>
        <c:minorTickMark val="none"/>
        <c:tickLblPos val="nextTo"/>
        <c:crossAx val="16343398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5B1ACAFAC28B42BA021BEB116EC5BD" ma:contentTypeVersion="1" ma:contentTypeDescription="Vytvoří nový dokument" ma:contentTypeScope="" ma:versionID="624861605884ab06a0e0d192c640e8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835b98b50f7b97a7aacca622fbbc4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B0ECC-0111-43B5-B9C0-1A8743ADE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EEE0B0-7111-4D27-9889-8013751D4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81A3C8-1AA7-448C-870D-5323A714C7A3}">
  <ds:schemaRefs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A341C6A-A679-4671-8236-68366C422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5223</Words>
  <Characters>30818</Characters>
  <Application>Microsoft Office Word</Application>
  <DocSecurity>0</DocSecurity>
  <Lines>256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21/12 - Majetek a peněžní prostředky státu, se kterými je příslušné hospodařit Ministerstvo financí</vt:lpstr>
    </vt:vector>
  </TitlesOfParts>
  <Company>NKU</Company>
  <LinksUpToDate>false</LinksUpToDate>
  <CharactersWithSpaces>35970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21/12 - Majetek a peněžní prostředky státu, se kterými je příslušné hospodařit Ministerstvo financí</dc:title>
  <dc:subject>Kontrolní závěr z kontrolní akce NKÚ č. 21/12 - Majetek a peněžní prostředky státu, se kterými je příslušné hospodařit Ministerstvo financí</dc:subject>
  <dc:creator>Nejvyšší kontrolní úřad</dc:creator>
  <cp:keywords/>
  <dc:description/>
  <cp:lastModifiedBy>KOKRDA Daniel</cp:lastModifiedBy>
  <cp:revision>3</cp:revision>
  <cp:lastPrinted>2022-06-27T12:14:00Z</cp:lastPrinted>
  <dcterms:created xsi:type="dcterms:W3CDTF">2022-06-27T12:14:00Z</dcterms:created>
  <dcterms:modified xsi:type="dcterms:W3CDTF">2022-06-27T12:15:00Z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J">
    <vt:lpwstr>184/16-NKU200/836/16</vt:lpwstr>
  </property>
  <property fmtid="{D5CDD505-2E9C-101B-9397-08002B2CF9AE}" pid="4" name="CJ_Spis_Pisemnost">
    <vt:lpwstr>CJ/SPIS/ROK</vt:lpwstr>
  </property>
  <property fmtid="{D5CDD505-2E9C-101B-9397-08002B2CF9AE}" pid="5" name="Contact_PostaOdes_All">
    <vt:lpwstr>ROZDĚLOVNÍK...</vt:lpwstr>
  </property>
  <property fmtid="{D5CDD505-2E9C-101B-9397-08002B2CF9AE}" pid="6" name="DatumPlatnosti_PisemnostTypZpristupneniInformaciZOSZ_Pisemnost">
    <vt:lpwstr>ZOSZ_DatumPlatnosti</vt:lpwstr>
  </property>
  <property fmtid="{D5CDD505-2E9C-101B-9397-08002B2CF9AE}" pid="7" name="DatumPoriz_Pisemnost">
    <vt:lpwstr>6.12.2016</vt:lpwstr>
  </property>
  <property fmtid="{D5CDD505-2E9C-101B-9397-08002B2CF9AE}" pid="8" name="DisplayName_SpisovyUzel_PoziceZodpo_Pisemnost">
    <vt:lpwstr>200</vt:lpwstr>
  </property>
  <property fmtid="{D5CDD505-2E9C-101B-9397-08002B2CF9AE}" pid="9" name="DisplayName_UserPoriz_Pisemnost">
    <vt:lpwstr>Jana Másílková</vt:lpwstr>
  </property>
  <property fmtid="{D5CDD505-2E9C-101B-9397-08002B2CF9AE}" pid="10" name="EC_Pisemnost">
    <vt:lpwstr>16-17167/NKU</vt:lpwstr>
  </property>
  <property fmtid="{D5CDD505-2E9C-101B-9397-08002B2CF9AE}" pid="11" name="Key_BarCode_Pisemnost">
    <vt:lpwstr>*B000279243*</vt:lpwstr>
  </property>
  <property fmtid="{D5CDD505-2E9C-101B-9397-08002B2CF9AE}" pid="12" name="KRukam">
    <vt:lpwstr>{KRukam}</vt:lpwstr>
  </property>
  <property fmtid="{D5CDD505-2E9C-101B-9397-08002B2CF9AE}" pid="13" name="Odkaz">
    <vt:lpwstr>ODKAZ</vt:lpwstr>
  </property>
  <property fmtid="{D5CDD505-2E9C-101B-9397-08002B2CF9AE}" pid="14" name="Password_PisemnostTypZpristupneniInformaciZOSZ_Pisemnost">
    <vt:lpwstr>ZOSZ_Password</vt:lpwstr>
  </property>
  <property fmtid="{D5CDD505-2E9C-101B-9397-08002B2CF9AE}" pid="15" name="PocetListuDokumentu_Pisemnost">
    <vt:lpwstr>1</vt:lpwstr>
  </property>
  <property fmtid="{D5CDD505-2E9C-101B-9397-08002B2CF9AE}" pid="16" name="PocetListu_Pisemnost">
    <vt:lpwstr>1</vt:lpwstr>
  </property>
  <property fmtid="{D5CDD505-2E9C-101B-9397-08002B2CF9AE}" pid="17" name="PocetPriloh_Pisemnost">
    <vt:lpwstr>0</vt:lpwstr>
  </property>
  <property fmtid="{D5CDD505-2E9C-101B-9397-08002B2CF9AE}" pid="18" name="Podpis">
    <vt:lpwstr/>
  </property>
  <property fmtid="{D5CDD505-2E9C-101B-9397-08002B2CF9AE}" pid="19" name="SkartacniZnakLhuta_PisemnostZnak">
    <vt:lpwstr>?/?</vt:lpwstr>
  </property>
  <property fmtid="{D5CDD505-2E9C-101B-9397-08002B2CF9AE}" pid="20" name="SmlouvaCislo">
    <vt:lpwstr>ČÍSLO SMLOUVY</vt:lpwstr>
  </property>
  <property fmtid="{D5CDD505-2E9C-101B-9397-08002B2CF9AE}" pid="21" name="SZ_Spis_Pisemnost">
    <vt:lpwstr>184/16</vt:lpwstr>
  </property>
  <property fmtid="{D5CDD505-2E9C-101B-9397-08002B2CF9AE}" pid="22" name="TEST">
    <vt:lpwstr>testovací pole</vt:lpwstr>
  </property>
  <property fmtid="{D5CDD505-2E9C-101B-9397-08002B2CF9AE}" pid="23" name="TypPrilohy_Pisemnost">
    <vt:lpwstr>TYP PŘÍLOHY</vt:lpwstr>
  </property>
  <property fmtid="{D5CDD505-2E9C-101B-9397-08002B2CF9AE}" pid="24" name="UserName_PisemnostTypZpristupneniInformaciZOSZ_Pisemnost">
    <vt:lpwstr>ZOSZ_UserName</vt:lpwstr>
  </property>
  <property fmtid="{D5CDD505-2E9C-101B-9397-08002B2CF9AE}" pid="25" name="Vec_Pisemnost">
    <vt:lpwstr>KZ 16/09 - připomínkové řízení </vt:lpwstr>
  </property>
  <property fmtid="{D5CDD505-2E9C-101B-9397-08002B2CF9AE}" pid="26" name="Zkratka_SpisovyUzel_PoziceZodpo_Pisemnost">
    <vt:lpwstr>200</vt:lpwstr>
  </property>
  <property fmtid="{D5CDD505-2E9C-101B-9397-08002B2CF9AE}" pid="27" name="ContentTypeId">
    <vt:lpwstr>0x010100E95B1ACAFAC28B42BA021BEB116EC5BD</vt:lpwstr>
  </property>
</Properties>
</file>