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66F00" w14:textId="77777777" w:rsidR="00635769" w:rsidRPr="0069391C" w:rsidRDefault="00635769" w:rsidP="0069391C">
      <w:pPr>
        <w:spacing w:after="0" w:line="240" w:lineRule="auto"/>
        <w:jc w:val="center"/>
        <w:rPr>
          <w:rFonts w:cstheme="minorHAnsi"/>
          <w:sz w:val="24"/>
          <w:szCs w:val="24"/>
        </w:rPr>
      </w:pPr>
      <w:r w:rsidRPr="0069391C">
        <w:rPr>
          <w:noProof/>
          <w:sz w:val="24"/>
          <w:szCs w:val="24"/>
          <w:lang w:eastAsia="cs-CZ"/>
        </w:rPr>
        <w:drawing>
          <wp:anchor distT="0" distB="0" distL="114300" distR="114300" simplePos="0" relativeHeight="251658240" behindDoc="0" locked="0" layoutInCell="1" allowOverlap="1" wp14:anchorId="54D38F23" wp14:editId="532703B0">
            <wp:simplePos x="0" y="0"/>
            <wp:positionH relativeFrom="margin">
              <wp:posOffset>2479040</wp:posOffset>
            </wp:positionH>
            <wp:positionV relativeFrom="paragraph">
              <wp:posOffset>0</wp:posOffset>
            </wp:positionV>
            <wp:extent cx="792480" cy="559435"/>
            <wp:effectExtent l="0" t="0" r="762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2480" cy="559435"/>
                    </a:xfrm>
                    <a:prstGeom prst="rect">
                      <a:avLst/>
                    </a:prstGeom>
                    <a:noFill/>
                  </pic:spPr>
                </pic:pic>
              </a:graphicData>
            </a:graphic>
            <wp14:sizeRelV relativeFrom="margin">
              <wp14:pctHeight>0</wp14:pctHeight>
            </wp14:sizeRelV>
          </wp:anchor>
        </w:drawing>
      </w:r>
    </w:p>
    <w:p w14:paraId="160D463E" w14:textId="77777777" w:rsidR="00635769" w:rsidRPr="0069391C" w:rsidRDefault="00635769" w:rsidP="0069391C">
      <w:pPr>
        <w:spacing w:after="0" w:line="240" w:lineRule="auto"/>
        <w:jc w:val="center"/>
        <w:rPr>
          <w:rFonts w:cstheme="minorHAnsi"/>
          <w:sz w:val="24"/>
          <w:szCs w:val="24"/>
        </w:rPr>
      </w:pPr>
    </w:p>
    <w:p w14:paraId="164C7A17" w14:textId="77777777" w:rsidR="0069391C" w:rsidRPr="0069391C" w:rsidRDefault="0069391C" w:rsidP="0069391C">
      <w:pPr>
        <w:spacing w:after="0" w:line="240" w:lineRule="auto"/>
        <w:jc w:val="center"/>
        <w:rPr>
          <w:rFonts w:cstheme="minorHAnsi"/>
          <w:sz w:val="24"/>
          <w:szCs w:val="24"/>
        </w:rPr>
      </w:pPr>
    </w:p>
    <w:p w14:paraId="0EF4755D" w14:textId="77777777" w:rsidR="00036DCF" w:rsidRPr="00635769" w:rsidRDefault="00036DCF" w:rsidP="00A20F64">
      <w:pPr>
        <w:spacing w:after="0" w:line="240" w:lineRule="auto"/>
        <w:jc w:val="center"/>
        <w:rPr>
          <w:b/>
          <w:sz w:val="32"/>
          <w:szCs w:val="32"/>
        </w:rPr>
      </w:pPr>
      <w:r w:rsidRPr="00EC3A0D">
        <w:rPr>
          <w:rFonts w:cstheme="minorHAnsi"/>
          <w:b/>
          <w:sz w:val="28"/>
          <w:szCs w:val="28"/>
        </w:rPr>
        <w:t>Kontrolní závěr z kontrolní akce</w:t>
      </w:r>
    </w:p>
    <w:p w14:paraId="53471C51" w14:textId="77777777" w:rsidR="004F2B40" w:rsidRDefault="004F2B40" w:rsidP="00A20F64">
      <w:pPr>
        <w:spacing w:after="0" w:line="240" w:lineRule="auto"/>
        <w:jc w:val="center"/>
      </w:pPr>
    </w:p>
    <w:p w14:paraId="6A163DB8" w14:textId="77777777" w:rsidR="00036DCF" w:rsidRPr="00EC3A0D" w:rsidRDefault="00284276" w:rsidP="00A20F64">
      <w:pPr>
        <w:spacing w:after="0" w:line="240" w:lineRule="auto"/>
        <w:jc w:val="center"/>
        <w:rPr>
          <w:rFonts w:cstheme="minorHAnsi"/>
          <w:b/>
          <w:sz w:val="28"/>
          <w:szCs w:val="28"/>
        </w:rPr>
      </w:pPr>
      <w:r>
        <w:rPr>
          <w:rFonts w:cstheme="minorHAnsi"/>
          <w:b/>
          <w:sz w:val="28"/>
          <w:szCs w:val="28"/>
        </w:rPr>
        <w:t>2</w:t>
      </w:r>
      <w:r w:rsidR="0045046D">
        <w:rPr>
          <w:rFonts w:cstheme="minorHAnsi"/>
          <w:b/>
          <w:sz w:val="28"/>
          <w:szCs w:val="28"/>
        </w:rPr>
        <w:t>1</w:t>
      </w:r>
      <w:r w:rsidR="00036DCF" w:rsidRPr="00EC3A0D">
        <w:rPr>
          <w:rFonts w:cstheme="minorHAnsi"/>
          <w:b/>
          <w:sz w:val="28"/>
          <w:szCs w:val="28"/>
        </w:rPr>
        <w:t>/</w:t>
      </w:r>
      <w:r w:rsidR="0045046D">
        <w:rPr>
          <w:rFonts w:cstheme="minorHAnsi"/>
          <w:b/>
          <w:sz w:val="28"/>
          <w:szCs w:val="28"/>
        </w:rPr>
        <w:t>22</w:t>
      </w:r>
    </w:p>
    <w:p w14:paraId="724AA411" w14:textId="77777777" w:rsidR="00036DCF" w:rsidRDefault="00036DCF" w:rsidP="00A20F64">
      <w:pPr>
        <w:spacing w:after="0" w:line="240" w:lineRule="auto"/>
        <w:jc w:val="center"/>
      </w:pPr>
    </w:p>
    <w:p w14:paraId="3485136B" w14:textId="77777777" w:rsidR="00284276" w:rsidRPr="00EC3A0D" w:rsidRDefault="0045046D" w:rsidP="0069391C">
      <w:pPr>
        <w:spacing w:after="0" w:line="240" w:lineRule="auto"/>
        <w:jc w:val="center"/>
        <w:rPr>
          <w:rFonts w:cstheme="minorHAnsi"/>
          <w:b/>
          <w:sz w:val="28"/>
          <w:szCs w:val="28"/>
        </w:rPr>
      </w:pPr>
      <w:r w:rsidRPr="0045046D">
        <w:rPr>
          <w:rFonts w:cstheme="minorHAnsi"/>
          <w:b/>
          <w:sz w:val="28"/>
          <w:szCs w:val="28"/>
        </w:rPr>
        <w:t>Peněžní prostředky státního rozpočtu a Evropské unie poskytované na podporu sociálních podniků</w:t>
      </w:r>
    </w:p>
    <w:p w14:paraId="7046B16E" w14:textId="77777777" w:rsidR="00F11C48" w:rsidRDefault="00F11C48" w:rsidP="0069391C">
      <w:pPr>
        <w:pStyle w:val="KPnormalni"/>
        <w:spacing w:before="0" w:after="0"/>
      </w:pPr>
    </w:p>
    <w:p w14:paraId="6311C6B0" w14:textId="77777777" w:rsidR="0069391C" w:rsidRPr="004F2B40" w:rsidRDefault="0069391C" w:rsidP="0069391C">
      <w:pPr>
        <w:pStyle w:val="KPnormalni"/>
        <w:spacing w:before="0" w:after="0"/>
      </w:pPr>
    </w:p>
    <w:p w14:paraId="3C004659" w14:textId="77777777" w:rsidR="00036DCF" w:rsidRPr="004F2B40" w:rsidRDefault="00036DCF" w:rsidP="0069391C">
      <w:pPr>
        <w:pStyle w:val="KPnormalni"/>
        <w:spacing w:before="0" w:after="0"/>
      </w:pPr>
      <w:r w:rsidRPr="004F2B40">
        <w:t>Kontrolní akce byla zařazena do plánu kontrolní činnosti Nejvyššího kontrolního úřadu (dále také „NKÚ“) na rok 20</w:t>
      </w:r>
      <w:r w:rsidR="00284276">
        <w:t>2</w:t>
      </w:r>
      <w:r w:rsidR="0045046D">
        <w:t>1</w:t>
      </w:r>
      <w:r w:rsidRPr="004F2B40">
        <w:t xml:space="preserve"> pod číslem </w:t>
      </w:r>
      <w:r w:rsidR="00284276">
        <w:t>2</w:t>
      </w:r>
      <w:r w:rsidR="0045046D">
        <w:t>1</w:t>
      </w:r>
      <w:r w:rsidRPr="004F2B40">
        <w:t>/</w:t>
      </w:r>
      <w:r w:rsidR="0045046D">
        <w:t>22</w:t>
      </w:r>
      <w:r w:rsidRPr="004F2B40">
        <w:t>. Kontrolní akci řídil a kontrolní závěr vypracoval člen</w:t>
      </w:r>
      <w:r w:rsidR="00F755F0">
        <w:t> </w:t>
      </w:r>
      <w:r w:rsidRPr="004F2B40">
        <w:t>NKÚ Ing. Jan Kinšt.</w:t>
      </w:r>
    </w:p>
    <w:p w14:paraId="71979A32" w14:textId="77777777" w:rsidR="00036DCF" w:rsidRPr="004F2B40" w:rsidRDefault="00036DCF" w:rsidP="0069391C">
      <w:pPr>
        <w:pStyle w:val="KPnormalni"/>
        <w:spacing w:before="0" w:after="0"/>
      </w:pPr>
    </w:p>
    <w:p w14:paraId="60037682" w14:textId="77777777" w:rsidR="00284276" w:rsidRPr="00284276" w:rsidRDefault="00036DCF" w:rsidP="0069391C">
      <w:pPr>
        <w:pStyle w:val="KPnormalni"/>
        <w:spacing w:before="0" w:after="0"/>
        <w:rPr>
          <w:bCs/>
        </w:rPr>
      </w:pPr>
      <w:r w:rsidRPr="00284276">
        <w:rPr>
          <w:bCs/>
        </w:rPr>
        <w:t xml:space="preserve">Cílem </w:t>
      </w:r>
      <w:r w:rsidRPr="00DA574B">
        <w:t>kontroly</w:t>
      </w:r>
      <w:r w:rsidRPr="00284276">
        <w:rPr>
          <w:bCs/>
        </w:rPr>
        <w:t xml:space="preserve"> bylo </w:t>
      </w:r>
      <w:bookmarkStart w:id="0" w:name="_Hlk87435700"/>
      <w:r w:rsidR="0045046D">
        <w:t>p</w:t>
      </w:r>
      <w:r w:rsidR="0045046D" w:rsidRPr="00543EBF">
        <w:t xml:space="preserve">rověřit, </w:t>
      </w:r>
      <w:bookmarkStart w:id="1" w:name="_Hlk97728612"/>
      <w:r w:rsidR="0045046D" w:rsidRPr="00543EBF">
        <w:t>zda peněžní prostředky státního rozpočtu a Evropské unie určené na podporu sociálních podniků byly poskytovány a čerpány účelně, efektivně a v souladu s právními předpisy</w:t>
      </w:r>
      <w:bookmarkEnd w:id="0"/>
      <w:r w:rsidR="0045046D">
        <w:t>.</w:t>
      </w:r>
      <w:bookmarkEnd w:id="1"/>
    </w:p>
    <w:p w14:paraId="7FE64D49" w14:textId="77777777" w:rsidR="00284276" w:rsidRDefault="00284276" w:rsidP="0069391C">
      <w:pPr>
        <w:spacing w:after="0" w:line="240" w:lineRule="auto"/>
        <w:jc w:val="both"/>
        <w:rPr>
          <w:rFonts w:ascii="Calibri" w:hAnsi="Calibri" w:cs="Calibri"/>
          <w:bCs/>
          <w:sz w:val="24"/>
          <w:szCs w:val="24"/>
        </w:rPr>
      </w:pPr>
    </w:p>
    <w:p w14:paraId="412FF795" w14:textId="77777777" w:rsidR="00F11C48" w:rsidRPr="004F2B40" w:rsidRDefault="00022CA4" w:rsidP="0069391C">
      <w:pPr>
        <w:spacing w:after="0" w:line="240" w:lineRule="auto"/>
        <w:jc w:val="both"/>
        <w:rPr>
          <w:rFonts w:ascii="Calibri" w:hAnsi="Calibri" w:cs="Calibri"/>
          <w:b/>
          <w:sz w:val="24"/>
          <w:szCs w:val="24"/>
        </w:rPr>
      </w:pPr>
      <w:r w:rsidRPr="004F2B40">
        <w:rPr>
          <w:rFonts w:ascii="Calibri" w:hAnsi="Calibri" w:cs="Calibri"/>
          <w:b/>
          <w:sz w:val="24"/>
          <w:szCs w:val="24"/>
        </w:rPr>
        <w:t>Kontrolované osoby</w:t>
      </w:r>
      <w:r w:rsidR="00036DCF" w:rsidRPr="004F2B40">
        <w:rPr>
          <w:rFonts w:ascii="Calibri" w:hAnsi="Calibri" w:cs="Calibri"/>
          <w:b/>
          <w:sz w:val="24"/>
          <w:szCs w:val="24"/>
        </w:rPr>
        <w:t>:</w:t>
      </w:r>
    </w:p>
    <w:p w14:paraId="6839F7F4" w14:textId="77777777" w:rsidR="0045046D" w:rsidRDefault="0045046D" w:rsidP="0069391C">
      <w:pPr>
        <w:pStyle w:val="KPodrazka1"/>
        <w:numPr>
          <w:ilvl w:val="0"/>
          <w:numId w:val="0"/>
        </w:numPr>
        <w:spacing w:before="0"/>
      </w:pPr>
      <w:r>
        <w:t>Ministerstvo práce a sociálních věcí (dále také „MPSV“);</w:t>
      </w:r>
    </w:p>
    <w:p w14:paraId="12EA29E7" w14:textId="77777777" w:rsidR="00284276" w:rsidRPr="00284276" w:rsidRDefault="00284276" w:rsidP="0069391C">
      <w:pPr>
        <w:pStyle w:val="KPodrazka1"/>
        <w:numPr>
          <w:ilvl w:val="0"/>
          <w:numId w:val="0"/>
        </w:numPr>
        <w:spacing w:before="0"/>
      </w:pPr>
      <w:r w:rsidRPr="00284276">
        <w:t xml:space="preserve">Ministerstvo pro místní rozvoj </w:t>
      </w:r>
      <w:r w:rsidR="0007424F">
        <w:t>(dále také „</w:t>
      </w:r>
      <w:r w:rsidRPr="00284276">
        <w:t>MMR</w:t>
      </w:r>
      <w:r w:rsidR="0007424F">
        <w:t>“);</w:t>
      </w:r>
    </w:p>
    <w:p w14:paraId="3C5649BA" w14:textId="77777777" w:rsidR="00284276" w:rsidRDefault="0045046D" w:rsidP="0069391C">
      <w:pPr>
        <w:pStyle w:val="KPodrazka1"/>
        <w:numPr>
          <w:ilvl w:val="0"/>
          <w:numId w:val="0"/>
        </w:numPr>
        <w:spacing w:before="0" w:after="120"/>
      </w:pPr>
      <w:r>
        <w:t>Centrum pro regionální rozvoj</w:t>
      </w:r>
      <w:r w:rsidR="00284276" w:rsidRPr="00284276">
        <w:t xml:space="preserve"> </w:t>
      </w:r>
      <w:r>
        <w:t>České republiky</w:t>
      </w:r>
      <w:r w:rsidR="00B32BC4">
        <w:t>, Praha</w:t>
      </w:r>
      <w:r>
        <w:t xml:space="preserve"> </w:t>
      </w:r>
      <w:r w:rsidR="0007424F">
        <w:t>(dále také „</w:t>
      </w:r>
      <w:r>
        <w:t>CRR</w:t>
      </w:r>
      <w:r w:rsidR="00313B39">
        <w:t>“)</w:t>
      </w:r>
      <w:r>
        <w:t>;</w:t>
      </w:r>
    </w:p>
    <w:p w14:paraId="555730FF" w14:textId="77777777" w:rsidR="0045046D" w:rsidRPr="00284276" w:rsidRDefault="0045046D" w:rsidP="0069391C">
      <w:pPr>
        <w:pStyle w:val="KPodrazka1"/>
        <w:numPr>
          <w:ilvl w:val="0"/>
          <w:numId w:val="0"/>
        </w:numPr>
        <w:spacing w:before="0"/>
      </w:pPr>
      <w:r>
        <w:t xml:space="preserve">vybraní příjemci podpory: </w:t>
      </w:r>
      <w:r w:rsidRPr="00CE14DE">
        <w:rPr>
          <w:rFonts w:cstheme="minorHAnsi"/>
        </w:rPr>
        <w:t>Pivovar Chříč s.r.o.</w:t>
      </w:r>
      <w:r w:rsidR="00B32BC4">
        <w:rPr>
          <w:rFonts w:cstheme="minorHAnsi"/>
        </w:rPr>
        <w:t>, okr. Plzeň</w:t>
      </w:r>
      <w:r w:rsidR="0082704B">
        <w:rPr>
          <w:rFonts w:cstheme="minorHAnsi"/>
        </w:rPr>
        <w:t>-</w:t>
      </w:r>
      <w:r w:rsidR="00B32BC4">
        <w:rPr>
          <w:rFonts w:cstheme="minorHAnsi"/>
        </w:rPr>
        <w:t>sever</w:t>
      </w:r>
      <w:r>
        <w:rPr>
          <w:rFonts w:cstheme="minorHAnsi"/>
        </w:rPr>
        <w:t xml:space="preserve">; </w:t>
      </w:r>
      <w:r w:rsidRPr="00CE14DE">
        <w:rPr>
          <w:rFonts w:cstheme="minorHAnsi"/>
        </w:rPr>
        <w:t>Veronika Vachulková</w:t>
      </w:r>
      <w:r w:rsidR="00B32BC4">
        <w:rPr>
          <w:rFonts w:cstheme="minorHAnsi"/>
        </w:rPr>
        <w:t>, B.</w:t>
      </w:r>
      <w:r w:rsidR="0069391C">
        <w:rPr>
          <w:rFonts w:cstheme="minorHAnsi"/>
        </w:rPr>
        <w:t> </w:t>
      </w:r>
      <w:r w:rsidR="00B32BC4">
        <w:rPr>
          <w:rFonts w:cstheme="minorHAnsi"/>
        </w:rPr>
        <w:t>Němcové 244, Blatná</w:t>
      </w:r>
      <w:r>
        <w:rPr>
          <w:rFonts w:cstheme="minorHAnsi"/>
        </w:rPr>
        <w:t xml:space="preserve">; </w:t>
      </w:r>
      <w:proofErr w:type="spellStart"/>
      <w:r w:rsidRPr="00CE14DE">
        <w:rPr>
          <w:rFonts w:cstheme="minorHAnsi"/>
        </w:rPr>
        <w:t>Ciderie</w:t>
      </w:r>
      <w:proofErr w:type="spellEnd"/>
      <w:r w:rsidRPr="00CE14DE">
        <w:rPr>
          <w:rFonts w:cstheme="minorHAnsi"/>
        </w:rPr>
        <w:t xml:space="preserve"> Chříč s.r.o.</w:t>
      </w:r>
      <w:r w:rsidR="00B32BC4">
        <w:rPr>
          <w:rFonts w:cstheme="minorHAnsi"/>
        </w:rPr>
        <w:t>, Praha</w:t>
      </w:r>
      <w:r w:rsidR="00AD10D4">
        <w:rPr>
          <w:rStyle w:val="Znakapoznpodarou"/>
          <w:rFonts w:cstheme="minorHAnsi"/>
        </w:rPr>
        <w:footnoteReference w:id="2"/>
      </w:r>
      <w:r>
        <w:rPr>
          <w:rFonts w:cstheme="minorHAnsi"/>
        </w:rPr>
        <w:t xml:space="preserve">; </w:t>
      </w:r>
      <w:r w:rsidRPr="00CE14DE">
        <w:rPr>
          <w:rFonts w:cstheme="minorHAnsi"/>
        </w:rPr>
        <w:t>Spirála Turnov s.r.o.</w:t>
      </w:r>
      <w:r w:rsidR="00B32BC4">
        <w:rPr>
          <w:rFonts w:cstheme="minorHAnsi"/>
        </w:rPr>
        <w:t xml:space="preserve">, Mírová pod </w:t>
      </w:r>
      <w:proofErr w:type="spellStart"/>
      <w:r w:rsidR="00B32BC4">
        <w:rPr>
          <w:rFonts w:cstheme="minorHAnsi"/>
        </w:rPr>
        <w:t>Kozákovem</w:t>
      </w:r>
      <w:proofErr w:type="spellEnd"/>
      <w:r>
        <w:rPr>
          <w:rFonts w:cstheme="minorHAnsi"/>
        </w:rPr>
        <w:t xml:space="preserve">; </w:t>
      </w:r>
      <w:r w:rsidRPr="00CE14DE">
        <w:rPr>
          <w:rFonts w:cstheme="minorHAnsi"/>
        </w:rPr>
        <w:t>FT &amp;</w:t>
      </w:r>
      <w:r>
        <w:rPr>
          <w:rFonts w:cstheme="minorHAnsi"/>
        </w:rPr>
        <w:t> </w:t>
      </w:r>
      <w:r w:rsidRPr="00CE14DE">
        <w:rPr>
          <w:rFonts w:cstheme="minorHAnsi"/>
        </w:rPr>
        <w:t>Catering s.r.o.</w:t>
      </w:r>
      <w:r w:rsidR="00B32BC4">
        <w:rPr>
          <w:rFonts w:cstheme="minorHAnsi"/>
        </w:rPr>
        <w:t>, Brniště</w:t>
      </w:r>
      <w:r>
        <w:rPr>
          <w:rFonts w:cstheme="minorHAnsi"/>
        </w:rPr>
        <w:t>; PLT Liberec s.r.o.</w:t>
      </w:r>
      <w:r w:rsidR="00B32BC4">
        <w:rPr>
          <w:rFonts w:cstheme="minorHAnsi"/>
        </w:rPr>
        <w:t>, Liberec</w:t>
      </w:r>
      <w:r>
        <w:rPr>
          <w:rFonts w:cstheme="minorHAnsi"/>
        </w:rPr>
        <w:t xml:space="preserve">; </w:t>
      </w:r>
      <w:r w:rsidRPr="00CE14DE">
        <w:rPr>
          <w:rFonts w:cstheme="minorHAnsi"/>
        </w:rPr>
        <w:t>Sociální družstvo Stabilita Olomouc</w:t>
      </w:r>
      <w:r w:rsidR="00B32BC4">
        <w:rPr>
          <w:rFonts w:cstheme="minorHAnsi"/>
        </w:rPr>
        <w:t>, Olomouc</w:t>
      </w:r>
      <w:r>
        <w:rPr>
          <w:rFonts w:cstheme="minorHAnsi"/>
        </w:rPr>
        <w:t xml:space="preserve">; </w:t>
      </w:r>
      <w:r w:rsidRPr="00CE14DE">
        <w:rPr>
          <w:rFonts w:cstheme="minorHAnsi"/>
        </w:rPr>
        <w:t>Tradiční Hanácká, s.r.o.</w:t>
      </w:r>
      <w:r w:rsidR="00B32BC4">
        <w:rPr>
          <w:rFonts w:cstheme="minorHAnsi"/>
        </w:rPr>
        <w:t>, Vrchoslavice</w:t>
      </w:r>
      <w:r>
        <w:rPr>
          <w:rFonts w:cstheme="minorHAnsi"/>
        </w:rPr>
        <w:t xml:space="preserve">; </w:t>
      </w:r>
      <w:r w:rsidRPr="00CE14DE">
        <w:rPr>
          <w:rFonts w:cstheme="minorHAnsi"/>
        </w:rPr>
        <w:t xml:space="preserve">Ústav pohoda, z. </w:t>
      </w:r>
      <w:proofErr w:type="spellStart"/>
      <w:r w:rsidRPr="00CE14DE">
        <w:rPr>
          <w:rFonts w:cstheme="minorHAnsi"/>
        </w:rPr>
        <w:t>ú.</w:t>
      </w:r>
      <w:proofErr w:type="spellEnd"/>
      <w:r w:rsidR="00B32BC4">
        <w:rPr>
          <w:rFonts w:cstheme="minorHAnsi"/>
        </w:rPr>
        <w:t>, Český Těšín</w:t>
      </w:r>
      <w:r>
        <w:rPr>
          <w:rFonts w:cstheme="minorHAnsi"/>
        </w:rPr>
        <w:t xml:space="preserve">; </w:t>
      </w:r>
      <w:r>
        <w:t xml:space="preserve">Unika </w:t>
      </w:r>
      <w:proofErr w:type="spellStart"/>
      <w:r>
        <w:t>Relax</w:t>
      </w:r>
      <w:proofErr w:type="spellEnd"/>
      <w:r>
        <w:t xml:space="preserve"> Ostrava, s.r.o.</w:t>
      </w:r>
      <w:r w:rsidR="00B32BC4">
        <w:t>, Ostrava</w:t>
      </w:r>
      <w:r>
        <w:t xml:space="preserve">; </w:t>
      </w:r>
      <w:r w:rsidRPr="00CE14DE">
        <w:rPr>
          <w:rFonts w:cstheme="minorHAnsi"/>
        </w:rPr>
        <w:t xml:space="preserve">HROCH </w:t>
      </w:r>
      <w:proofErr w:type="spellStart"/>
      <w:r w:rsidRPr="00CE14DE">
        <w:rPr>
          <w:rFonts w:cstheme="minorHAnsi"/>
        </w:rPr>
        <w:t>group</w:t>
      </w:r>
      <w:proofErr w:type="spellEnd"/>
      <w:r w:rsidRPr="00CE14DE">
        <w:rPr>
          <w:rFonts w:cstheme="minorHAnsi"/>
        </w:rPr>
        <w:t xml:space="preserve"> s.r.o.</w:t>
      </w:r>
      <w:r w:rsidR="00B32BC4">
        <w:rPr>
          <w:rFonts w:cstheme="minorHAnsi"/>
        </w:rPr>
        <w:t>, Vratimov</w:t>
      </w:r>
      <w:r>
        <w:rPr>
          <w:rFonts w:cstheme="minorHAnsi"/>
        </w:rPr>
        <w:t>; Prádelna PRAPOS s.r.o.</w:t>
      </w:r>
      <w:r w:rsidR="00B32BC4">
        <w:rPr>
          <w:rFonts w:cstheme="minorHAnsi"/>
        </w:rPr>
        <w:t>, Ostrava</w:t>
      </w:r>
      <w:r w:rsidR="00326CBC">
        <w:rPr>
          <w:rFonts w:cstheme="minorHAnsi"/>
        </w:rPr>
        <w:t>.</w:t>
      </w:r>
    </w:p>
    <w:p w14:paraId="0CFF8AF8" w14:textId="77777777" w:rsidR="00284276" w:rsidRDefault="00284276" w:rsidP="0069391C">
      <w:pPr>
        <w:pStyle w:val="KPnormalni"/>
        <w:spacing w:before="0" w:after="0"/>
      </w:pPr>
    </w:p>
    <w:p w14:paraId="428307E3" w14:textId="77777777" w:rsidR="00036DCF" w:rsidRPr="004F2B40" w:rsidRDefault="003165DA" w:rsidP="0069391C">
      <w:pPr>
        <w:pStyle w:val="KPnormalni"/>
        <w:spacing w:before="0" w:after="0"/>
      </w:pPr>
      <w:r w:rsidRPr="004F2B40">
        <w:t xml:space="preserve">Kontrolováno bylo období </w:t>
      </w:r>
      <w:r w:rsidR="001660DA">
        <w:t xml:space="preserve">od roku </w:t>
      </w:r>
      <w:r w:rsidRPr="004F2B40">
        <w:t>201</w:t>
      </w:r>
      <w:r w:rsidR="0045046D">
        <w:t>5</w:t>
      </w:r>
      <w:r w:rsidR="001660DA">
        <w:t xml:space="preserve"> do roku </w:t>
      </w:r>
      <w:r w:rsidR="00036DCF" w:rsidRPr="004F2B40">
        <w:t>20</w:t>
      </w:r>
      <w:r w:rsidR="00284276">
        <w:t>2</w:t>
      </w:r>
      <w:r w:rsidR="0045046D">
        <w:t>1</w:t>
      </w:r>
      <w:r w:rsidRPr="004F2B40">
        <w:t>, v případě věcných souvislostí i období předcházející a</w:t>
      </w:r>
      <w:r w:rsidR="00713844">
        <w:t> </w:t>
      </w:r>
      <w:r w:rsidRPr="004F2B40">
        <w:t>následující</w:t>
      </w:r>
      <w:r w:rsidR="00036DCF" w:rsidRPr="004F2B40">
        <w:t>.</w:t>
      </w:r>
    </w:p>
    <w:p w14:paraId="37D2675B" w14:textId="77777777" w:rsidR="00036DCF" w:rsidRPr="004F2B40" w:rsidRDefault="00036DCF" w:rsidP="0069391C">
      <w:pPr>
        <w:pStyle w:val="KPnormalni"/>
        <w:spacing w:before="0" w:after="0"/>
      </w:pPr>
    </w:p>
    <w:p w14:paraId="1DD3EA5F" w14:textId="77777777" w:rsidR="00036DCF" w:rsidRPr="004F2B40" w:rsidRDefault="00036DCF" w:rsidP="0069391C">
      <w:pPr>
        <w:pStyle w:val="KPnormalni"/>
        <w:spacing w:before="0" w:after="0"/>
      </w:pPr>
      <w:r w:rsidRPr="004F2B40">
        <w:t xml:space="preserve">Kontrola byla prováděna </w:t>
      </w:r>
      <w:r w:rsidR="003165DA" w:rsidRPr="004F2B40">
        <w:t>u kontrolovaných osob</w:t>
      </w:r>
      <w:r w:rsidRPr="004F2B40">
        <w:t xml:space="preserve"> v době </w:t>
      </w:r>
      <w:r w:rsidRPr="00656227">
        <w:t xml:space="preserve">od </w:t>
      </w:r>
      <w:r w:rsidR="0045046D">
        <w:t>listopadu 2021</w:t>
      </w:r>
      <w:r w:rsidR="00284276" w:rsidRPr="00656227">
        <w:t xml:space="preserve"> </w:t>
      </w:r>
      <w:r w:rsidRPr="00656227">
        <w:t xml:space="preserve">do </w:t>
      </w:r>
      <w:r w:rsidR="0045046D">
        <w:t>března</w:t>
      </w:r>
      <w:r w:rsidR="003165DA" w:rsidRPr="00656227">
        <w:t xml:space="preserve"> </w:t>
      </w:r>
      <w:r w:rsidRPr="00656227">
        <w:t>20</w:t>
      </w:r>
      <w:r w:rsidR="00284276" w:rsidRPr="00656227">
        <w:t>2</w:t>
      </w:r>
      <w:r w:rsidR="0045046D">
        <w:t>2</w:t>
      </w:r>
      <w:r w:rsidRPr="004F2B40">
        <w:t>.</w:t>
      </w:r>
    </w:p>
    <w:p w14:paraId="65D30FF5" w14:textId="77777777" w:rsidR="00F11C48" w:rsidRPr="004F2B40" w:rsidRDefault="00F11C48" w:rsidP="0069391C">
      <w:pPr>
        <w:pStyle w:val="KPnormalni"/>
        <w:spacing w:before="0" w:after="0"/>
      </w:pPr>
    </w:p>
    <w:p w14:paraId="6D1814D9" w14:textId="77777777" w:rsidR="00036DCF" w:rsidRPr="004F2B40" w:rsidRDefault="00036DCF" w:rsidP="00A20F64">
      <w:pPr>
        <w:spacing w:line="240" w:lineRule="auto"/>
        <w:jc w:val="both"/>
        <w:rPr>
          <w:rFonts w:ascii="Calibri" w:hAnsi="Calibri" w:cs="Calibri"/>
          <w:sz w:val="24"/>
          <w:szCs w:val="24"/>
        </w:rPr>
      </w:pPr>
      <w:r w:rsidRPr="004F2B40">
        <w:rPr>
          <w:rFonts w:ascii="Calibri" w:hAnsi="Calibri" w:cs="Calibri"/>
          <w:b/>
          <w:bCs/>
          <w:i/>
          <w:iCs/>
          <w:spacing w:val="60"/>
          <w:sz w:val="24"/>
          <w:szCs w:val="24"/>
        </w:rPr>
        <w:t>Kolegium</w:t>
      </w:r>
      <w:r w:rsidRPr="004F2B40">
        <w:rPr>
          <w:rFonts w:ascii="Calibri" w:hAnsi="Calibri" w:cs="Calibri"/>
          <w:b/>
          <w:bCs/>
          <w:i/>
          <w:iCs/>
          <w:sz w:val="24"/>
          <w:szCs w:val="24"/>
        </w:rPr>
        <w:t xml:space="preserve">   </w:t>
      </w:r>
      <w:r w:rsidRPr="004F2B40">
        <w:rPr>
          <w:rFonts w:ascii="Calibri" w:hAnsi="Calibri" w:cs="Calibri"/>
          <w:b/>
          <w:bCs/>
          <w:i/>
          <w:iCs/>
          <w:spacing w:val="60"/>
          <w:sz w:val="24"/>
          <w:szCs w:val="24"/>
        </w:rPr>
        <w:t>NKÚ</w:t>
      </w:r>
      <w:r w:rsidRPr="004F2B40">
        <w:rPr>
          <w:rFonts w:ascii="Calibri" w:hAnsi="Calibri" w:cs="Calibri"/>
          <w:sz w:val="24"/>
          <w:szCs w:val="24"/>
        </w:rPr>
        <w:t xml:space="preserve">   </w:t>
      </w:r>
      <w:r w:rsidRPr="00646562">
        <w:rPr>
          <w:rFonts w:ascii="Calibri" w:hAnsi="Calibri" w:cs="Calibri"/>
          <w:sz w:val="24"/>
          <w:szCs w:val="24"/>
        </w:rPr>
        <w:t>na svém</w:t>
      </w:r>
      <w:r w:rsidR="001C5850" w:rsidRPr="00646562">
        <w:rPr>
          <w:rFonts w:ascii="Calibri" w:hAnsi="Calibri" w:cs="Calibri"/>
          <w:sz w:val="24"/>
          <w:szCs w:val="24"/>
        </w:rPr>
        <w:t xml:space="preserve"> </w:t>
      </w:r>
      <w:r w:rsidR="00646562" w:rsidRPr="00646562">
        <w:rPr>
          <w:rFonts w:ascii="Calibri" w:hAnsi="Calibri" w:cs="Calibri"/>
          <w:sz w:val="24"/>
          <w:szCs w:val="24"/>
        </w:rPr>
        <w:t>VIII</w:t>
      </w:r>
      <w:r w:rsidRPr="00646562">
        <w:rPr>
          <w:rFonts w:ascii="Calibri" w:hAnsi="Calibri" w:cs="Calibri"/>
          <w:sz w:val="24"/>
          <w:szCs w:val="24"/>
        </w:rPr>
        <w:t>. jednání</w:t>
      </w:r>
      <w:r w:rsidRPr="004F2B40">
        <w:rPr>
          <w:rFonts w:ascii="Calibri" w:hAnsi="Calibri" w:cs="Calibri"/>
          <w:sz w:val="24"/>
          <w:szCs w:val="24"/>
        </w:rPr>
        <w:t>, které se konalo dne</w:t>
      </w:r>
      <w:r w:rsidR="001A0B55">
        <w:rPr>
          <w:rFonts w:ascii="Calibri" w:hAnsi="Calibri" w:cs="Calibri"/>
          <w:sz w:val="24"/>
          <w:szCs w:val="24"/>
        </w:rPr>
        <w:t xml:space="preserve"> </w:t>
      </w:r>
      <w:r w:rsidR="00646562">
        <w:rPr>
          <w:rFonts w:ascii="Calibri" w:hAnsi="Calibri" w:cs="Calibri"/>
          <w:sz w:val="24"/>
          <w:szCs w:val="24"/>
        </w:rPr>
        <w:t>30</w:t>
      </w:r>
      <w:r w:rsidR="001A0B55">
        <w:rPr>
          <w:rFonts w:ascii="Calibri" w:hAnsi="Calibri" w:cs="Calibri"/>
          <w:sz w:val="24"/>
          <w:szCs w:val="24"/>
        </w:rPr>
        <w:t xml:space="preserve">. </w:t>
      </w:r>
      <w:r w:rsidR="003C36F2">
        <w:rPr>
          <w:rFonts w:ascii="Calibri" w:hAnsi="Calibri" w:cs="Calibri"/>
          <w:sz w:val="24"/>
          <w:szCs w:val="24"/>
        </w:rPr>
        <w:t>května</w:t>
      </w:r>
      <w:r w:rsidR="001A0B55">
        <w:rPr>
          <w:rFonts w:ascii="Calibri" w:hAnsi="Calibri" w:cs="Calibri"/>
          <w:sz w:val="24"/>
          <w:szCs w:val="24"/>
        </w:rPr>
        <w:t xml:space="preserve"> 202</w:t>
      </w:r>
      <w:r w:rsidR="003C36F2">
        <w:rPr>
          <w:rFonts w:ascii="Calibri" w:hAnsi="Calibri" w:cs="Calibri"/>
          <w:sz w:val="24"/>
          <w:szCs w:val="24"/>
        </w:rPr>
        <w:t>2</w:t>
      </w:r>
      <w:r w:rsidR="001A0B55">
        <w:rPr>
          <w:rFonts w:ascii="Calibri" w:hAnsi="Calibri" w:cs="Calibri"/>
          <w:sz w:val="24"/>
          <w:szCs w:val="24"/>
        </w:rPr>
        <w:t>,</w:t>
      </w:r>
    </w:p>
    <w:p w14:paraId="4FE4C9C8" w14:textId="77777777" w:rsidR="00036DCF" w:rsidRPr="004F2B40" w:rsidRDefault="00036DCF" w:rsidP="00A20F64">
      <w:pPr>
        <w:spacing w:line="240" w:lineRule="auto"/>
        <w:jc w:val="both"/>
        <w:rPr>
          <w:rFonts w:ascii="Calibri" w:hAnsi="Calibri" w:cs="Calibri"/>
          <w:sz w:val="24"/>
          <w:szCs w:val="24"/>
        </w:rPr>
      </w:pPr>
      <w:r w:rsidRPr="004F2B40">
        <w:rPr>
          <w:rFonts w:ascii="Calibri" w:hAnsi="Calibri" w:cs="Calibri"/>
          <w:b/>
          <w:bCs/>
          <w:i/>
          <w:iCs/>
          <w:spacing w:val="60"/>
          <w:sz w:val="24"/>
          <w:szCs w:val="24"/>
        </w:rPr>
        <w:t>schválilo</w:t>
      </w:r>
      <w:r w:rsidRPr="004F2B40">
        <w:rPr>
          <w:rFonts w:ascii="Calibri" w:hAnsi="Calibri" w:cs="Calibri"/>
          <w:sz w:val="24"/>
          <w:szCs w:val="24"/>
        </w:rPr>
        <w:t xml:space="preserve">   usnesením č.</w:t>
      </w:r>
      <w:r w:rsidR="001A0B55">
        <w:rPr>
          <w:rFonts w:ascii="Calibri" w:hAnsi="Calibri" w:cs="Calibri"/>
          <w:sz w:val="24"/>
          <w:szCs w:val="24"/>
        </w:rPr>
        <w:t xml:space="preserve"> </w:t>
      </w:r>
      <w:r w:rsidR="001E756E">
        <w:rPr>
          <w:rFonts w:ascii="Calibri" w:hAnsi="Calibri" w:cs="Calibri"/>
          <w:sz w:val="24"/>
          <w:szCs w:val="24"/>
        </w:rPr>
        <w:t>13</w:t>
      </w:r>
      <w:r w:rsidR="001A0B55">
        <w:rPr>
          <w:rFonts w:ascii="Calibri" w:hAnsi="Calibri" w:cs="Calibri"/>
          <w:sz w:val="24"/>
          <w:szCs w:val="24"/>
        </w:rPr>
        <w:t>/</w:t>
      </w:r>
      <w:r w:rsidR="00646562">
        <w:rPr>
          <w:rFonts w:ascii="Calibri" w:hAnsi="Calibri" w:cs="Calibri"/>
          <w:sz w:val="24"/>
          <w:szCs w:val="24"/>
        </w:rPr>
        <w:t>VIII</w:t>
      </w:r>
      <w:r w:rsidR="00B121DC">
        <w:rPr>
          <w:rFonts w:cstheme="minorHAnsi"/>
          <w:sz w:val="24"/>
        </w:rPr>
        <w:t>/202</w:t>
      </w:r>
      <w:r w:rsidR="003C36F2">
        <w:rPr>
          <w:rFonts w:cstheme="minorHAnsi"/>
          <w:sz w:val="24"/>
        </w:rPr>
        <w:t>2</w:t>
      </w:r>
    </w:p>
    <w:p w14:paraId="171DEEBA" w14:textId="77777777" w:rsidR="004F2B40" w:rsidRDefault="00036DCF" w:rsidP="00124B87">
      <w:pPr>
        <w:spacing w:line="240" w:lineRule="auto"/>
        <w:jc w:val="both"/>
        <w:rPr>
          <w:rFonts w:ascii="Calibri" w:hAnsi="Calibri" w:cs="Calibri"/>
          <w:sz w:val="24"/>
          <w:szCs w:val="24"/>
        </w:rPr>
      </w:pPr>
      <w:r w:rsidRPr="004F2B40">
        <w:rPr>
          <w:rFonts w:ascii="Calibri" w:hAnsi="Calibri" w:cs="Calibri"/>
          <w:b/>
          <w:bCs/>
          <w:i/>
          <w:iCs/>
          <w:spacing w:val="60"/>
          <w:sz w:val="24"/>
          <w:szCs w:val="24"/>
        </w:rPr>
        <w:t>kontrolní</w:t>
      </w:r>
      <w:r w:rsidRPr="004F2B40">
        <w:rPr>
          <w:rFonts w:ascii="Calibri" w:hAnsi="Calibri" w:cs="Calibri"/>
          <w:b/>
          <w:bCs/>
          <w:i/>
          <w:iCs/>
          <w:sz w:val="24"/>
          <w:szCs w:val="24"/>
        </w:rPr>
        <w:t xml:space="preserve">   </w:t>
      </w:r>
      <w:r w:rsidRPr="004F2B40">
        <w:rPr>
          <w:rFonts w:ascii="Calibri" w:hAnsi="Calibri" w:cs="Calibri"/>
          <w:b/>
          <w:bCs/>
          <w:i/>
          <w:iCs/>
          <w:spacing w:val="60"/>
          <w:sz w:val="24"/>
          <w:szCs w:val="24"/>
        </w:rPr>
        <w:t>závěr</w:t>
      </w:r>
      <w:r w:rsidRPr="004F2B40">
        <w:rPr>
          <w:rFonts w:ascii="Calibri" w:hAnsi="Calibri" w:cs="Calibri"/>
          <w:sz w:val="24"/>
          <w:szCs w:val="24"/>
        </w:rPr>
        <w:t xml:space="preserve">   v tomto znění:</w:t>
      </w:r>
    </w:p>
    <w:p w14:paraId="725C0CB7" w14:textId="77777777" w:rsidR="0069391C" w:rsidRDefault="0069391C">
      <w:pPr>
        <w:rPr>
          <w:rFonts w:ascii="Calibri" w:hAnsi="Calibri" w:cs="Calibri"/>
          <w:sz w:val="24"/>
          <w:szCs w:val="24"/>
        </w:rPr>
      </w:pPr>
      <w:r>
        <w:rPr>
          <w:rFonts w:ascii="Calibri" w:hAnsi="Calibri" w:cs="Calibri"/>
          <w:sz w:val="24"/>
          <w:szCs w:val="24"/>
        </w:rPr>
        <w:br w:type="page"/>
      </w:r>
    </w:p>
    <w:p w14:paraId="5060BCB2" w14:textId="77777777" w:rsidR="000E1B3B" w:rsidRPr="000E1B3B" w:rsidRDefault="000E1B3B" w:rsidP="00C80602">
      <w:pPr>
        <w:spacing w:after="0" w:line="240" w:lineRule="auto"/>
        <w:jc w:val="center"/>
        <w:rPr>
          <w:rStyle w:val="A4"/>
          <w:rFonts w:ascii="Calibri" w:hAnsi="Calibri" w:cs="Calibri"/>
          <w:b/>
          <w:color w:val="9CC2E5" w:themeColor="accent1" w:themeTint="99"/>
          <w:sz w:val="40"/>
          <w:szCs w:val="40"/>
        </w:rPr>
      </w:pPr>
      <w:r w:rsidRPr="000E1B3B">
        <w:rPr>
          <w:rStyle w:val="A4"/>
          <w:rFonts w:ascii="Calibri" w:hAnsi="Calibri" w:cs="Calibri"/>
          <w:b/>
          <w:color w:val="9CC2E5" w:themeColor="accent1" w:themeTint="99"/>
          <w:sz w:val="40"/>
          <w:szCs w:val="40"/>
        </w:rPr>
        <w:lastRenderedPageBreak/>
        <w:t>Prostředky státního rozpočtu a Evropské unie poskytované na podporu sociálních podniků</w:t>
      </w:r>
    </w:p>
    <w:p w14:paraId="2A33C804" w14:textId="77777777" w:rsidR="00A84199" w:rsidRDefault="00A84199" w:rsidP="00A84199">
      <w:pPr>
        <w:jc w:val="center"/>
        <w:rPr>
          <w:rStyle w:val="A4"/>
          <w:rFonts w:ascii="Calibri" w:hAnsi="Calibri" w:cs="Calibri"/>
          <w:b/>
          <w:color w:val="9CC2E5" w:themeColor="accent1" w:themeTint="99"/>
          <w:sz w:val="32"/>
          <w:szCs w:val="32"/>
        </w:rPr>
      </w:pPr>
    </w:p>
    <w:p w14:paraId="1F8D02A5" w14:textId="77777777" w:rsidR="003B1BC3" w:rsidRDefault="000E1B3B" w:rsidP="00AE6E9D">
      <w:pPr>
        <w:spacing w:after="0" w:line="240" w:lineRule="auto"/>
        <w:ind w:firstLine="142"/>
        <w:rPr>
          <w:rStyle w:val="A4"/>
          <w:rFonts w:ascii="Calibri" w:hAnsi="Calibri" w:cs="Calibri"/>
          <w:b/>
          <w:color w:val="9CC2E5" w:themeColor="accent1" w:themeTint="99"/>
          <w:sz w:val="32"/>
          <w:szCs w:val="32"/>
        </w:rPr>
      </w:pPr>
      <w:r w:rsidRPr="000E1B3B">
        <w:rPr>
          <w:rStyle w:val="A4"/>
          <w:rFonts w:ascii="Calibri" w:hAnsi="Calibri" w:cs="Calibri"/>
          <w:b/>
          <w:color w:val="9CC2E5" w:themeColor="accent1" w:themeTint="99"/>
          <w:sz w:val="32"/>
          <w:szCs w:val="32"/>
        </w:rPr>
        <w:t>Základní fakta</w:t>
      </w:r>
    </w:p>
    <w:p w14:paraId="7FAB2876" w14:textId="77777777" w:rsidR="00A84199" w:rsidRDefault="00A84199" w:rsidP="00AE6E9D">
      <w:pPr>
        <w:spacing w:after="0" w:line="240" w:lineRule="auto"/>
        <w:ind w:firstLine="142"/>
        <w:rPr>
          <w:rStyle w:val="A4"/>
          <w:rFonts w:ascii="Calibri" w:hAnsi="Calibri" w:cs="Calibri"/>
          <w:b/>
          <w:color w:val="9CC2E5" w:themeColor="accent1" w:themeTint="99"/>
          <w:sz w:val="32"/>
          <w:szCs w:val="32"/>
        </w:rPr>
      </w:pPr>
    </w:p>
    <w:tbl>
      <w:tblPr>
        <w:tblW w:w="8790" w:type="dxa"/>
        <w:jc w:val="center"/>
        <w:tblLayout w:type="fixed"/>
        <w:tblCellMar>
          <w:bottom w:w="57" w:type="dxa"/>
        </w:tblCellMar>
        <w:tblLook w:val="04A0" w:firstRow="1" w:lastRow="0" w:firstColumn="1" w:lastColumn="0" w:noHBand="0" w:noVBand="1"/>
      </w:tblPr>
      <w:tblGrid>
        <w:gridCol w:w="2553"/>
        <w:gridCol w:w="1843"/>
        <w:gridCol w:w="2551"/>
        <w:gridCol w:w="1843"/>
      </w:tblGrid>
      <w:tr w:rsidR="003B1BC3" w14:paraId="2B196F7F" w14:textId="77777777" w:rsidTr="001C4632">
        <w:trPr>
          <w:trHeight w:val="601"/>
          <w:jc w:val="center"/>
        </w:trPr>
        <w:tc>
          <w:tcPr>
            <w:tcW w:w="2553" w:type="dxa"/>
            <w:tcBorders>
              <w:top w:val="nil"/>
              <w:left w:val="nil"/>
              <w:bottom w:val="single" w:sz="4" w:space="0" w:color="4F81BD"/>
              <w:right w:val="single" w:sz="4" w:space="0" w:color="4F81BD"/>
            </w:tcBorders>
            <w:shd w:val="clear" w:color="auto" w:fill="E5F1FF"/>
            <w:vAlign w:val="center"/>
            <w:hideMark/>
          </w:tcPr>
          <w:p w14:paraId="643C43BB" w14:textId="77777777" w:rsidR="003B1BC3" w:rsidRPr="002010C5" w:rsidRDefault="00A71362" w:rsidP="001C4632">
            <w:pPr>
              <w:pStyle w:val="Pa18"/>
              <w:spacing w:line="240" w:lineRule="auto"/>
              <w:jc w:val="center"/>
              <w:rPr>
                <w:rFonts w:cs="Calibri"/>
                <w:color w:val="000000"/>
                <w:sz w:val="28"/>
                <w:szCs w:val="28"/>
              </w:rPr>
            </w:pPr>
            <w:r>
              <w:rPr>
                <w:b/>
                <w:bCs/>
                <w:sz w:val="52"/>
                <w:szCs w:val="28"/>
              </w:rPr>
              <w:t>397,9</w:t>
            </w:r>
            <w:r w:rsidR="003B1BC3" w:rsidRPr="002010C5">
              <w:rPr>
                <w:b/>
                <w:bCs/>
                <w:sz w:val="28"/>
                <w:szCs w:val="28"/>
              </w:rPr>
              <w:t xml:space="preserve"> mil. Kč</w:t>
            </w:r>
          </w:p>
        </w:tc>
        <w:tc>
          <w:tcPr>
            <w:tcW w:w="1843" w:type="dxa"/>
            <w:tcBorders>
              <w:top w:val="nil"/>
              <w:left w:val="single" w:sz="4" w:space="0" w:color="4F81BD"/>
              <w:bottom w:val="single" w:sz="4" w:space="0" w:color="4F81BD"/>
              <w:right w:val="single" w:sz="4" w:space="0" w:color="4F81BD"/>
            </w:tcBorders>
            <w:shd w:val="clear" w:color="auto" w:fill="E5F1FF"/>
            <w:vAlign w:val="center"/>
            <w:hideMark/>
          </w:tcPr>
          <w:p w14:paraId="76FF495A" w14:textId="77777777" w:rsidR="003B1BC3" w:rsidRPr="002010C5" w:rsidRDefault="003B1BC3" w:rsidP="001C4632">
            <w:pPr>
              <w:pStyle w:val="Pa18"/>
              <w:spacing w:line="240" w:lineRule="auto"/>
              <w:jc w:val="center"/>
              <w:rPr>
                <w:rFonts w:cs="Calibri"/>
                <w:b/>
                <w:color w:val="000000"/>
                <w:sz w:val="52"/>
                <w:szCs w:val="52"/>
              </w:rPr>
            </w:pPr>
            <w:r w:rsidRPr="002010C5">
              <w:rPr>
                <w:rFonts w:cs="Calibri"/>
                <w:b/>
                <w:color w:val="000000"/>
                <w:sz w:val="52"/>
                <w:szCs w:val="52"/>
              </w:rPr>
              <w:t>1</w:t>
            </w:r>
            <w:r w:rsidR="001C4632">
              <w:rPr>
                <w:rFonts w:cs="Calibri"/>
                <w:b/>
                <w:color w:val="000000"/>
                <w:sz w:val="52"/>
                <w:szCs w:val="52"/>
              </w:rPr>
              <w:t>70</w:t>
            </w:r>
          </w:p>
        </w:tc>
        <w:tc>
          <w:tcPr>
            <w:tcW w:w="2551" w:type="dxa"/>
            <w:tcBorders>
              <w:top w:val="nil"/>
              <w:left w:val="single" w:sz="4" w:space="0" w:color="4F81BD"/>
              <w:bottom w:val="single" w:sz="4" w:space="0" w:color="4F81BD"/>
              <w:right w:val="single" w:sz="4" w:space="0" w:color="4F81BD"/>
            </w:tcBorders>
            <w:shd w:val="clear" w:color="auto" w:fill="E5F1FF"/>
            <w:vAlign w:val="center"/>
            <w:hideMark/>
          </w:tcPr>
          <w:p w14:paraId="3AADFB88" w14:textId="77777777" w:rsidR="003B1BC3" w:rsidRPr="002010C5" w:rsidRDefault="008877F7" w:rsidP="001C4632">
            <w:pPr>
              <w:pStyle w:val="Pa18"/>
              <w:spacing w:line="240" w:lineRule="auto"/>
              <w:jc w:val="center"/>
              <w:rPr>
                <w:rStyle w:val="A14"/>
                <w:bCs/>
                <w:sz w:val="28"/>
                <w:szCs w:val="28"/>
              </w:rPr>
            </w:pPr>
            <w:r>
              <w:rPr>
                <w:rStyle w:val="A14"/>
                <w:rFonts w:cs="Calibri"/>
                <w:bCs/>
                <w:sz w:val="52"/>
                <w:szCs w:val="52"/>
              </w:rPr>
              <w:t>587,6</w:t>
            </w:r>
            <w:r w:rsidR="003B1BC3" w:rsidRPr="002010C5">
              <w:rPr>
                <w:rStyle w:val="A14"/>
                <w:rFonts w:cs="Calibri"/>
                <w:bCs/>
                <w:sz w:val="28"/>
                <w:szCs w:val="28"/>
              </w:rPr>
              <w:t xml:space="preserve"> mil. Kč</w:t>
            </w:r>
          </w:p>
        </w:tc>
        <w:tc>
          <w:tcPr>
            <w:tcW w:w="1843" w:type="dxa"/>
            <w:tcBorders>
              <w:top w:val="nil"/>
              <w:left w:val="single" w:sz="4" w:space="0" w:color="4F81BD"/>
              <w:bottom w:val="single" w:sz="4" w:space="0" w:color="4F81BD"/>
              <w:right w:val="nil"/>
            </w:tcBorders>
            <w:shd w:val="clear" w:color="auto" w:fill="E5F1FF"/>
            <w:vAlign w:val="center"/>
            <w:hideMark/>
          </w:tcPr>
          <w:p w14:paraId="3F97515F" w14:textId="77777777" w:rsidR="003B1BC3" w:rsidRPr="002010C5" w:rsidRDefault="003B1BC3" w:rsidP="001C4632">
            <w:pPr>
              <w:pStyle w:val="Pa18"/>
              <w:spacing w:line="240" w:lineRule="auto"/>
              <w:jc w:val="center"/>
              <w:rPr>
                <w:sz w:val="52"/>
                <w:szCs w:val="52"/>
              </w:rPr>
            </w:pPr>
            <w:r w:rsidRPr="002010C5">
              <w:rPr>
                <w:rFonts w:cs="Calibri"/>
                <w:b/>
                <w:color w:val="000000"/>
                <w:sz w:val="52"/>
                <w:szCs w:val="52"/>
              </w:rPr>
              <w:t>235</w:t>
            </w:r>
          </w:p>
        </w:tc>
      </w:tr>
      <w:tr w:rsidR="003B1BC3" w14:paraId="2FC1651F" w14:textId="77777777" w:rsidTr="001C4632">
        <w:trPr>
          <w:trHeight w:val="1245"/>
          <w:jc w:val="center"/>
        </w:trPr>
        <w:tc>
          <w:tcPr>
            <w:tcW w:w="2553" w:type="dxa"/>
            <w:tcBorders>
              <w:top w:val="single" w:sz="4" w:space="0" w:color="4F81BD"/>
              <w:left w:val="nil"/>
              <w:bottom w:val="nil"/>
              <w:right w:val="single" w:sz="4" w:space="0" w:color="4F81BD"/>
            </w:tcBorders>
            <w:shd w:val="clear" w:color="auto" w:fill="E5F1FF"/>
            <w:vAlign w:val="center"/>
            <w:hideMark/>
          </w:tcPr>
          <w:p w14:paraId="09D727A4" w14:textId="77777777" w:rsidR="003B1BC3" w:rsidRDefault="003B1BC3" w:rsidP="001C4632">
            <w:pPr>
              <w:pStyle w:val="Pa19"/>
              <w:spacing w:before="20" w:after="20" w:line="240" w:lineRule="auto"/>
              <w:jc w:val="center"/>
              <w:rPr>
                <w:rFonts w:cs="Calibri"/>
                <w:color w:val="000000"/>
                <w:sz w:val="21"/>
                <w:szCs w:val="21"/>
              </w:rPr>
            </w:pPr>
            <w:r>
              <w:t>Prostředky OPZ</w:t>
            </w:r>
            <w:r w:rsidR="00FF1157">
              <w:rPr>
                <w:rStyle w:val="Znakapoznpodarou"/>
              </w:rPr>
              <w:footnoteReference w:id="3"/>
            </w:r>
            <w:r>
              <w:t xml:space="preserve"> vydané na podporu sociální</w:t>
            </w:r>
            <w:r w:rsidR="00E03727">
              <w:t>ho</w:t>
            </w:r>
            <w:r>
              <w:t xml:space="preserve"> podnikání</w:t>
            </w:r>
          </w:p>
        </w:tc>
        <w:tc>
          <w:tcPr>
            <w:tcW w:w="1843" w:type="dxa"/>
            <w:tcBorders>
              <w:top w:val="single" w:sz="4" w:space="0" w:color="4F81BD"/>
              <w:left w:val="single" w:sz="4" w:space="0" w:color="4F81BD"/>
              <w:bottom w:val="nil"/>
              <w:right w:val="single" w:sz="4" w:space="0" w:color="4F81BD"/>
            </w:tcBorders>
            <w:shd w:val="clear" w:color="auto" w:fill="E5F1FF"/>
            <w:vAlign w:val="center"/>
            <w:hideMark/>
          </w:tcPr>
          <w:p w14:paraId="1E188384" w14:textId="77777777" w:rsidR="003B1BC3" w:rsidRDefault="003B1BC3" w:rsidP="001C4632">
            <w:pPr>
              <w:pStyle w:val="Pa19"/>
              <w:spacing w:before="20" w:after="20" w:line="240" w:lineRule="auto"/>
              <w:jc w:val="center"/>
              <w:rPr>
                <w:rFonts w:cs="Calibri"/>
                <w:color w:val="000000"/>
              </w:rPr>
            </w:pPr>
            <w:r>
              <w:rPr>
                <w:rFonts w:cs="Calibri"/>
                <w:color w:val="000000"/>
              </w:rPr>
              <w:t>Počet podpořených projektů OPZ</w:t>
            </w:r>
          </w:p>
        </w:tc>
        <w:tc>
          <w:tcPr>
            <w:tcW w:w="2551" w:type="dxa"/>
            <w:tcBorders>
              <w:top w:val="single" w:sz="4" w:space="0" w:color="4F81BD"/>
              <w:left w:val="single" w:sz="4" w:space="0" w:color="4F81BD"/>
              <w:bottom w:val="nil"/>
              <w:right w:val="single" w:sz="4" w:space="0" w:color="4F81BD"/>
            </w:tcBorders>
            <w:shd w:val="clear" w:color="auto" w:fill="E5F1FF"/>
            <w:vAlign w:val="center"/>
            <w:hideMark/>
          </w:tcPr>
          <w:p w14:paraId="2D7A16A0" w14:textId="77777777" w:rsidR="003B1BC3" w:rsidRDefault="003B1BC3" w:rsidP="001C4632">
            <w:pPr>
              <w:pStyle w:val="Pa19"/>
              <w:spacing w:before="20" w:after="20" w:line="240" w:lineRule="auto"/>
              <w:jc w:val="center"/>
              <w:rPr>
                <w:rFonts w:cs="Calibri"/>
                <w:color w:val="000000"/>
                <w:sz w:val="21"/>
                <w:szCs w:val="21"/>
              </w:rPr>
            </w:pPr>
            <w:r>
              <w:t>Prostředky IROP</w:t>
            </w:r>
            <w:r w:rsidR="00FF1157">
              <w:rPr>
                <w:rStyle w:val="Znakapoznpodarou"/>
              </w:rPr>
              <w:footnoteReference w:id="4"/>
            </w:r>
            <w:r>
              <w:t xml:space="preserve"> vydané na podporu sociální</w:t>
            </w:r>
            <w:r w:rsidR="00E03727">
              <w:t>ho</w:t>
            </w:r>
            <w:r>
              <w:t xml:space="preserve"> podnikání</w:t>
            </w:r>
          </w:p>
        </w:tc>
        <w:tc>
          <w:tcPr>
            <w:tcW w:w="1843" w:type="dxa"/>
            <w:tcBorders>
              <w:top w:val="single" w:sz="4" w:space="0" w:color="4F81BD"/>
              <w:left w:val="single" w:sz="4" w:space="0" w:color="4F81BD"/>
              <w:bottom w:val="nil"/>
              <w:right w:val="nil"/>
            </w:tcBorders>
            <w:shd w:val="clear" w:color="auto" w:fill="E5F1FF"/>
            <w:vAlign w:val="center"/>
            <w:hideMark/>
          </w:tcPr>
          <w:p w14:paraId="3FC2D064" w14:textId="77777777" w:rsidR="003B1BC3" w:rsidRDefault="003B1BC3" w:rsidP="001C4632">
            <w:pPr>
              <w:pStyle w:val="Pa19"/>
              <w:spacing w:before="20" w:after="20" w:line="240" w:lineRule="auto"/>
              <w:jc w:val="center"/>
              <w:rPr>
                <w:rFonts w:cs="Calibri"/>
                <w:color w:val="000000"/>
              </w:rPr>
            </w:pPr>
            <w:r>
              <w:rPr>
                <w:rFonts w:cs="Calibri"/>
                <w:color w:val="000000"/>
              </w:rPr>
              <w:t>Počet podpořených projektů IROP</w:t>
            </w: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111"/>
        <w:gridCol w:w="4628"/>
      </w:tblGrid>
      <w:tr w:rsidR="00D8471A" w14:paraId="73683DA2" w14:textId="77777777" w:rsidTr="00A84199">
        <w:trPr>
          <w:trHeight w:val="397"/>
        </w:trPr>
        <w:tc>
          <w:tcPr>
            <w:tcW w:w="4111" w:type="dxa"/>
          </w:tcPr>
          <w:p w14:paraId="2951131B" w14:textId="77777777" w:rsidR="00A84199" w:rsidRDefault="00A84199" w:rsidP="001C4632">
            <w:pPr>
              <w:rPr>
                <w:rStyle w:val="A4"/>
                <w:rFonts w:ascii="Calibri" w:hAnsi="Calibri" w:cs="Calibri"/>
                <w:b/>
                <w:color w:val="9CC2E5" w:themeColor="accent1" w:themeTint="99"/>
                <w:sz w:val="32"/>
                <w:szCs w:val="32"/>
              </w:rPr>
            </w:pPr>
          </w:p>
          <w:p w14:paraId="2656B92B" w14:textId="77777777" w:rsidR="00D8471A" w:rsidRPr="000E1B3B" w:rsidRDefault="00D8471A" w:rsidP="001C4632">
            <w:pPr>
              <w:rPr>
                <w:rStyle w:val="A4"/>
                <w:rFonts w:ascii="Calibri" w:hAnsi="Calibri" w:cs="Calibri"/>
                <w:b/>
                <w:color w:val="9CC2E5" w:themeColor="accent1" w:themeTint="99"/>
                <w:sz w:val="32"/>
                <w:szCs w:val="32"/>
              </w:rPr>
            </w:pPr>
            <w:r w:rsidRPr="000E1B3B">
              <w:rPr>
                <w:rStyle w:val="A4"/>
                <w:rFonts w:ascii="Calibri" w:hAnsi="Calibri" w:cs="Calibri"/>
                <w:b/>
                <w:color w:val="9CC2E5" w:themeColor="accent1" w:themeTint="99"/>
                <w:sz w:val="32"/>
                <w:szCs w:val="32"/>
              </w:rPr>
              <w:t>Z</w:t>
            </w:r>
            <w:r w:rsidR="00A84199">
              <w:rPr>
                <w:rStyle w:val="A4"/>
                <w:rFonts w:ascii="Calibri" w:hAnsi="Calibri" w:cs="Calibri"/>
                <w:b/>
                <w:color w:val="9CC2E5" w:themeColor="accent1" w:themeTint="99"/>
                <w:sz w:val="32"/>
                <w:szCs w:val="32"/>
              </w:rPr>
              <w:t>jištění z kontroly</w:t>
            </w:r>
            <w:r>
              <w:rPr>
                <w:noProof/>
              </w:rPr>
              <mc:AlternateContent>
                <mc:Choice Requires="wps">
                  <w:drawing>
                    <wp:anchor distT="0" distB="0" distL="114300" distR="114300" simplePos="0" relativeHeight="251658243" behindDoc="0" locked="0" layoutInCell="1" allowOverlap="1" wp14:anchorId="1AC545D7" wp14:editId="1D1506D9">
                      <wp:simplePos x="0" y="0"/>
                      <wp:positionH relativeFrom="column">
                        <wp:posOffset>22225</wp:posOffset>
                      </wp:positionH>
                      <wp:positionV relativeFrom="paragraph">
                        <wp:posOffset>462915</wp:posOffset>
                      </wp:positionV>
                      <wp:extent cx="1963420" cy="612000"/>
                      <wp:effectExtent l="0" t="0" r="17780" b="17145"/>
                      <wp:wrapNone/>
                      <wp:docPr id="17" name="Obdélník 17"/>
                      <wp:cNvGraphicFramePr/>
                      <a:graphic xmlns:a="http://schemas.openxmlformats.org/drawingml/2006/main">
                        <a:graphicData uri="http://schemas.microsoft.com/office/word/2010/wordprocessingShape">
                          <wps:wsp>
                            <wps:cNvSpPr/>
                            <wps:spPr>
                              <a:xfrm>
                                <a:off x="0" y="0"/>
                                <a:ext cx="1963420" cy="6120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5C9402" w14:textId="77777777" w:rsidR="00F95814" w:rsidRDefault="00F95814" w:rsidP="0086577A">
                                  <w:pPr>
                                    <w:spacing w:after="0" w:line="240" w:lineRule="auto"/>
                                    <w:jc w:val="center"/>
                                    <w:rPr>
                                      <w:color w:val="FFFFFF" w:themeColor="background1"/>
                                    </w:rPr>
                                  </w:pPr>
                                  <w:r>
                                    <w:rPr>
                                      <w:b/>
                                      <w:color w:val="FFFFFF" w:themeColor="background1"/>
                                    </w:rPr>
                                    <w:t>50 %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545D7" id="Obdélník 17" o:spid="_x0000_s1026" style="position:absolute;margin-left:1.75pt;margin-top:36.45pt;width:154.6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" fillcolor="#c00000" strokecolor="#c00000" strokeweight="1pt">
                      <v:textbox inset="1mm,1mm,1mm,1mm">
                        <w:txbxContent>
                          <w:p w14:paraId="2A5C9402" w14:textId="77777777" w:rsidR="00F95814" w:rsidRDefault="00F95814" w:rsidP="0086577A">
                            <w:pPr>
                              <w:spacing w:after="0" w:line="240" w:lineRule="auto"/>
                              <w:jc w:val="center"/>
                              <w:rPr>
                                <w:color w:val="FFFFFF" w:themeColor="background1"/>
                              </w:rPr>
                            </w:pPr>
                            <w:r>
                              <w:rPr>
                                <w:b/>
                                <w:color w:val="FFFFFF" w:themeColor="background1"/>
                              </w:rPr>
                              <w:t>50 %</w:t>
                            </w:r>
                          </w:p>
                        </w:txbxContent>
                      </v:textbox>
                    </v:rect>
                  </w:pict>
                </mc:Fallback>
              </mc:AlternateContent>
            </w:r>
          </w:p>
        </w:tc>
        <w:tc>
          <w:tcPr>
            <w:tcW w:w="4628" w:type="dxa"/>
          </w:tcPr>
          <w:p w14:paraId="680A6F99" w14:textId="77777777" w:rsidR="00D8471A" w:rsidRDefault="00D8471A" w:rsidP="00D8471A">
            <w:pPr>
              <w:jc w:val="both"/>
            </w:pPr>
          </w:p>
        </w:tc>
      </w:tr>
      <w:tr w:rsidR="003B1BC3" w14:paraId="50F95F03" w14:textId="77777777" w:rsidTr="00DC5159">
        <w:trPr>
          <w:trHeight w:val="901"/>
        </w:trPr>
        <w:tc>
          <w:tcPr>
            <w:tcW w:w="4111" w:type="dxa"/>
            <w:hideMark/>
          </w:tcPr>
          <w:p w14:paraId="01117621" w14:textId="77777777" w:rsidR="003B1BC3" w:rsidRDefault="003B1BC3" w:rsidP="001C4632">
            <w:pPr>
              <w:rPr>
                <w:b/>
              </w:rPr>
            </w:pPr>
          </w:p>
        </w:tc>
        <w:tc>
          <w:tcPr>
            <w:tcW w:w="4628" w:type="dxa"/>
          </w:tcPr>
          <w:p w14:paraId="15ED7049" w14:textId="77777777" w:rsidR="003B1BC3" w:rsidRDefault="003B1BC3" w:rsidP="00D8471A">
            <w:pPr>
              <w:jc w:val="both"/>
            </w:pPr>
            <w:r>
              <w:t>Podíl projektů posouzených NKÚ jako neúčelné nebo omezeně účelné</w:t>
            </w:r>
            <w:r w:rsidR="00256FEC">
              <w:t>, či neefektivní nebo omezeně efektivní</w:t>
            </w:r>
            <w:r>
              <w:t xml:space="preserve"> z celkového počtu </w:t>
            </w:r>
            <w:r w:rsidR="00B27EC2">
              <w:t>16</w:t>
            </w:r>
            <w:r w:rsidR="000E1B3B">
              <w:t> </w:t>
            </w:r>
            <w:r>
              <w:t>hodnocených projektů.</w:t>
            </w:r>
          </w:p>
        </w:tc>
      </w:tr>
      <w:tr w:rsidR="003B1BC3" w14:paraId="3014355C" w14:textId="77777777" w:rsidTr="00DC5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276"/>
        </w:trPr>
        <w:tc>
          <w:tcPr>
            <w:tcW w:w="4111" w:type="dxa"/>
            <w:tcBorders>
              <w:top w:val="nil"/>
              <w:left w:val="nil"/>
              <w:bottom w:val="nil"/>
              <w:right w:val="nil"/>
            </w:tcBorders>
            <w:hideMark/>
          </w:tcPr>
          <w:p w14:paraId="09BEC7CE" w14:textId="77777777" w:rsidR="003B1BC3" w:rsidRPr="006B6B4D" w:rsidRDefault="00D8471A" w:rsidP="001C4632">
            <w:r>
              <w:rPr>
                <w:noProof/>
              </w:rPr>
              <mc:AlternateContent>
                <mc:Choice Requires="wps">
                  <w:drawing>
                    <wp:anchor distT="0" distB="0" distL="114300" distR="114300" simplePos="0" relativeHeight="251658244" behindDoc="0" locked="0" layoutInCell="1" allowOverlap="1" wp14:anchorId="4AB48015" wp14:editId="09A289E3">
                      <wp:simplePos x="0" y="0"/>
                      <wp:positionH relativeFrom="column">
                        <wp:posOffset>25400</wp:posOffset>
                      </wp:positionH>
                      <wp:positionV relativeFrom="paragraph">
                        <wp:posOffset>139065</wp:posOffset>
                      </wp:positionV>
                      <wp:extent cx="1963420" cy="576000"/>
                      <wp:effectExtent l="0" t="0" r="17780" b="14605"/>
                      <wp:wrapNone/>
                      <wp:docPr id="1" name="Obdélník 1"/>
                      <wp:cNvGraphicFramePr/>
                      <a:graphic xmlns:a="http://schemas.openxmlformats.org/drawingml/2006/main">
                        <a:graphicData uri="http://schemas.microsoft.com/office/word/2010/wordprocessingShape">
                          <wps:wsp>
                            <wps:cNvSpPr/>
                            <wps:spPr>
                              <a:xfrm>
                                <a:off x="0" y="0"/>
                                <a:ext cx="1963420" cy="5760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CC31C" w14:textId="77777777" w:rsidR="00F95814" w:rsidRDefault="00F95814" w:rsidP="0086577A">
                                  <w:pPr>
                                    <w:spacing w:after="0" w:line="240" w:lineRule="auto"/>
                                    <w:jc w:val="center"/>
                                    <w:rPr>
                                      <w:color w:val="FFFFFF" w:themeColor="background1"/>
                                    </w:rPr>
                                  </w:pPr>
                                  <w:r w:rsidRPr="00B87AFE">
                                    <w:rPr>
                                      <w:b/>
                                      <w:color w:val="FFFFFF" w:themeColor="background1"/>
                                    </w:rPr>
                                    <w:t xml:space="preserve">Nejasné </w:t>
                                  </w:r>
                                  <w:r>
                                    <w:rPr>
                                      <w:b/>
                                      <w:color w:val="FFFFFF" w:themeColor="background1"/>
                                    </w:rPr>
                                    <w:t xml:space="preserve">vymezení principů </w:t>
                                  </w:r>
                                  <w:r w:rsidRPr="00B87AFE">
                                    <w:rPr>
                                      <w:b/>
                                      <w:color w:val="FFFFFF" w:themeColor="background1"/>
                                    </w:rPr>
                                    <w:t>sociální</w:t>
                                  </w:r>
                                  <w:r>
                                    <w:rPr>
                                      <w:b/>
                                      <w:color w:val="FFFFFF" w:themeColor="background1"/>
                                    </w:rPr>
                                    <w:t>ho</w:t>
                                  </w:r>
                                  <w:r w:rsidRPr="00B87AFE">
                                    <w:rPr>
                                      <w:b/>
                                      <w:color w:val="FFFFFF" w:themeColor="background1"/>
                                    </w:rPr>
                                    <w:t xml:space="preserve"> podnik</w:t>
                                  </w:r>
                                  <w:r>
                                    <w:rPr>
                                      <w:b/>
                                      <w:color w:val="FFFFFF" w:themeColor="background1"/>
                                    </w:rPr>
                                    <w:t>ání</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48015" id="Obdélník 1" o:spid="_x0000_s1027" style="position:absolute;margin-left:2pt;margin-top:10.95pt;width:154.6pt;height:45.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" fillcolor="#c00000" strokecolor="#c00000" strokeweight="1pt">
                      <v:textbox inset="1mm,1mm,1mm,1mm">
                        <w:txbxContent>
                          <w:p w14:paraId="65ECC31C" w14:textId="77777777" w:rsidR="00F95814" w:rsidRDefault="00F95814" w:rsidP="0086577A">
                            <w:pPr>
                              <w:spacing w:after="0" w:line="240" w:lineRule="auto"/>
                              <w:jc w:val="center"/>
                              <w:rPr>
                                <w:color w:val="FFFFFF" w:themeColor="background1"/>
                              </w:rPr>
                            </w:pPr>
                            <w:r w:rsidRPr="00B87AFE">
                              <w:rPr>
                                <w:b/>
                                <w:color w:val="FFFFFF" w:themeColor="background1"/>
                              </w:rPr>
                              <w:t xml:space="preserve">Nejasné </w:t>
                            </w:r>
                            <w:r>
                              <w:rPr>
                                <w:b/>
                                <w:color w:val="FFFFFF" w:themeColor="background1"/>
                              </w:rPr>
                              <w:t xml:space="preserve">vymezení principů </w:t>
                            </w:r>
                            <w:r w:rsidRPr="00B87AFE">
                              <w:rPr>
                                <w:b/>
                                <w:color w:val="FFFFFF" w:themeColor="background1"/>
                              </w:rPr>
                              <w:t>sociální</w:t>
                            </w:r>
                            <w:r>
                              <w:rPr>
                                <w:b/>
                                <w:color w:val="FFFFFF" w:themeColor="background1"/>
                              </w:rPr>
                              <w:t>ho</w:t>
                            </w:r>
                            <w:r w:rsidRPr="00B87AFE">
                              <w:rPr>
                                <w:b/>
                                <w:color w:val="FFFFFF" w:themeColor="background1"/>
                              </w:rPr>
                              <w:t xml:space="preserve"> podnik</w:t>
                            </w:r>
                            <w:r>
                              <w:rPr>
                                <w:b/>
                                <w:color w:val="FFFFFF" w:themeColor="background1"/>
                              </w:rPr>
                              <w:t>ání</w:t>
                            </w: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3B907E4A" wp14:editId="3149B8E5">
                      <wp:simplePos x="0" y="0"/>
                      <wp:positionH relativeFrom="column">
                        <wp:posOffset>24130</wp:posOffset>
                      </wp:positionH>
                      <wp:positionV relativeFrom="paragraph">
                        <wp:posOffset>1739265</wp:posOffset>
                      </wp:positionV>
                      <wp:extent cx="1963420" cy="612000"/>
                      <wp:effectExtent l="0" t="0" r="17780" b="17145"/>
                      <wp:wrapNone/>
                      <wp:docPr id="10" name="Obdélník 10"/>
                      <wp:cNvGraphicFramePr/>
                      <a:graphic xmlns:a="http://schemas.openxmlformats.org/drawingml/2006/main">
                        <a:graphicData uri="http://schemas.microsoft.com/office/word/2010/wordprocessingShape">
                          <wps:wsp>
                            <wps:cNvSpPr/>
                            <wps:spPr>
                              <a:xfrm>
                                <a:off x="0" y="0"/>
                                <a:ext cx="1963420" cy="6120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445B4" w14:textId="77777777" w:rsidR="00F95814" w:rsidRPr="00786145" w:rsidRDefault="00F95814" w:rsidP="00EF39F0">
                                  <w:pPr>
                                    <w:spacing w:after="0" w:line="240" w:lineRule="auto"/>
                                    <w:jc w:val="center"/>
                                    <w:rPr>
                                      <w:b/>
                                      <w:color w:val="FFFFFF" w:themeColor="background1"/>
                                    </w:rPr>
                                  </w:pPr>
                                  <w:r>
                                    <w:rPr>
                                      <w:b/>
                                      <w:color w:val="FFFFFF" w:themeColor="background1"/>
                                    </w:rPr>
                                    <w:t xml:space="preserve">4,7–6,2násobek průměrné </w:t>
                                  </w:r>
                                  <w:r>
                                    <w:rPr>
                                      <w:b/>
                                      <w:color w:val="FFFFFF" w:themeColor="background1"/>
                                    </w:rPr>
                                    <w:br/>
                                    <w:t>výše podpory na osobu</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7E4A" id="Obdélník 10" o:spid="_x0000_s1028" style="position:absolute;margin-left:1.9pt;margin-top:136.95pt;width:154.6pt;height:48.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" fillcolor="#c00000" strokecolor="#c00000" strokeweight="1pt">
                      <v:textbox inset="1mm,1mm,1mm,1mm">
                        <w:txbxContent>
                          <w:p w14:paraId="4C9445B4" w14:textId="77777777" w:rsidR="00F95814" w:rsidRPr="00786145" w:rsidRDefault="00F95814" w:rsidP="00EF39F0">
                            <w:pPr>
                              <w:spacing w:after="0" w:line="240" w:lineRule="auto"/>
                              <w:jc w:val="center"/>
                              <w:rPr>
                                <w:b/>
                                <w:color w:val="FFFFFF" w:themeColor="background1"/>
                              </w:rPr>
                            </w:pPr>
                            <w:r>
                              <w:rPr>
                                <w:b/>
                                <w:color w:val="FFFFFF" w:themeColor="background1"/>
                              </w:rPr>
                              <w:t xml:space="preserve">4,7–6,2násobek průměrné </w:t>
                            </w:r>
                            <w:r>
                              <w:rPr>
                                <w:b/>
                                <w:color w:val="FFFFFF" w:themeColor="background1"/>
                              </w:rPr>
                              <w:br/>
                              <w:t>výše podpory na osobu</w:t>
                            </w:r>
                          </w:p>
                        </w:txbxContent>
                      </v:textbox>
                    </v:rect>
                  </w:pict>
                </mc:Fallback>
              </mc:AlternateContent>
            </w:r>
            <w:r w:rsidR="00370CAE">
              <w:rPr>
                <w:noProof/>
              </w:rPr>
              <mc:AlternateContent>
                <mc:Choice Requires="wps">
                  <w:drawing>
                    <wp:anchor distT="0" distB="0" distL="114300" distR="114300" simplePos="0" relativeHeight="251658246" behindDoc="0" locked="0" layoutInCell="1" allowOverlap="1" wp14:anchorId="74470520" wp14:editId="639C97F5">
                      <wp:simplePos x="0" y="0"/>
                      <wp:positionH relativeFrom="column">
                        <wp:posOffset>20320</wp:posOffset>
                      </wp:positionH>
                      <wp:positionV relativeFrom="paragraph">
                        <wp:posOffset>2532380</wp:posOffset>
                      </wp:positionV>
                      <wp:extent cx="1963420" cy="576000"/>
                      <wp:effectExtent l="0" t="0" r="17780" b="14605"/>
                      <wp:wrapNone/>
                      <wp:docPr id="8" name="Obdélník 8"/>
                      <wp:cNvGraphicFramePr/>
                      <a:graphic xmlns:a="http://schemas.openxmlformats.org/drawingml/2006/main">
                        <a:graphicData uri="http://schemas.microsoft.com/office/word/2010/wordprocessingShape">
                          <wps:wsp>
                            <wps:cNvSpPr/>
                            <wps:spPr>
                              <a:xfrm>
                                <a:off x="0" y="0"/>
                                <a:ext cx="1963420" cy="5760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8F76A" w14:textId="77777777" w:rsidR="00F95814" w:rsidRPr="00786145" w:rsidRDefault="00F95814" w:rsidP="00E9128F">
                                  <w:pPr>
                                    <w:spacing w:after="0"/>
                                    <w:jc w:val="center"/>
                                    <w:rPr>
                                      <w:b/>
                                      <w:color w:val="FFFFFF" w:themeColor="background1"/>
                                    </w:rPr>
                                  </w:pPr>
                                  <w:r>
                                    <w:rPr>
                                      <w:b/>
                                      <w:color w:val="FFFFFF" w:themeColor="background1"/>
                                    </w:rPr>
                                    <w:t xml:space="preserve">Nákup nemovitosti </w:t>
                                  </w:r>
                                  <w:r>
                                    <w:rPr>
                                      <w:b/>
                                      <w:color w:val="FFFFFF" w:themeColor="background1"/>
                                    </w:rPr>
                                    <w:br/>
                                    <w:t>od osoby blízké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70520" id="Obdélník 8" o:spid="_x0000_s1029" style="position:absolute;margin-left:1.6pt;margin-top:199.4pt;width:154.6pt;height:45.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" fillcolor="#c00000" strokecolor="#c00000" strokeweight="1pt">
                      <v:textbox inset="1mm,1mm,1mm,1mm">
                        <w:txbxContent>
                          <w:p w14:paraId="74B8F76A" w14:textId="77777777" w:rsidR="00F95814" w:rsidRPr="00786145" w:rsidRDefault="00F95814" w:rsidP="00E9128F">
                            <w:pPr>
                              <w:spacing w:after="0"/>
                              <w:jc w:val="center"/>
                              <w:rPr>
                                <w:b/>
                                <w:color w:val="FFFFFF" w:themeColor="background1"/>
                              </w:rPr>
                            </w:pPr>
                            <w:r>
                              <w:rPr>
                                <w:b/>
                                <w:color w:val="FFFFFF" w:themeColor="background1"/>
                              </w:rPr>
                              <w:t xml:space="preserve">Nákup nemovitosti </w:t>
                            </w:r>
                            <w:r>
                              <w:rPr>
                                <w:b/>
                                <w:color w:val="FFFFFF" w:themeColor="background1"/>
                              </w:rPr>
                              <w:br/>
                              <w:t>od osoby blízké</w:t>
                            </w:r>
                          </w:p>
                        </w:txbxContent>
                      </v:textbox>
                    </v:rect>
                  </w:pict>
                </mc:Fallback>
              </mc:AlternateContent>
            </w:r>
            <w:r w:rsidR="00370CAE">
              <w:rPr>
                <w:noProof/>
              </w:rPr>
              <mc:AlternateContent>
                <mc:Choice Requires="wps">
                  <w:drawing>
                    <wp:anchor distT="0" distB="0" distL="114300" distR="114300" simplePos="0" relativeHeight="251658245" behindDoc="0" locked="0" layoutInCell="1" allowOverlap="1" wp14:anchorId="097E6B3F" wp14:editId="51E5102D">
                      <wp:simplePos x="0" y="0"/>
                      <wp:positionH relativeFrom="column">
                        <wp:posOffset>17145</wp:posOffset>
                      </wp:positionH>
                      <wp:positionV relativeFrom="paragraph">
                        <wp:posOffset>931545</wp:posOffset>
                      </wp:positionV>
                      <wp:extent cx="1963420" cy="576000"/>
                      <wp:effectExtent l="0" t="0" r="17780" b="14605"/>
                      <wp:wrapNone/>
                      <wp:docPr id="5" name="Obdélník 5"/>
                      <wp:cNvGraphicFramePr/>
                      <a:graphic xmlns:a="http://schemas.openxmlformats.org/drawingml/2006/main">
                        <a:graphicData uri="http://schemas.microsoft.com/office/word/2010/wordprocessingShape">
                          <wps:wsp>
                            <wps:cNvSpPr/>
                            <wps:spPr>
                              <a:xfrm>
                                <a:off x="0" y="0"/>
                                <a:ext cx="1963420" cy="5760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8E517E" w14:textId="77777777" w:rsidR="00F95814" w:rsidRPr="00786145" w:rsidRDefault="00F95814" w:rsidP="0086577A">
                                  <w:pPr>
                                    <w:spacing w:after="0" w:line="240" w:lineRule="auto"/>
                                    <w:jc w:val="center"/>
                                    <w:rPr>
                                      <w:b/>
                                      <w:color w:val="FFFFFF" w:themeColor="background1"/>
                                    </w:rPr>
                                  </w:pPr>
                                  <w:r>
                                    <w:rPr>
                                      <w:b/>
                                      <w:color w:val="FFFFFF" w:themeColor="background1"/>
                                    </w:rPr>
                                    <w:t>1 mil. Kč</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E6B3F" id="Obdélník 5" o:spid="_x0000_s1030" style="position:absolute;margin-left:1.35pt;margin-top:73.35pt;width:154.6pt;height:45.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" fillcolor="#c00000" strokecolor="#c00000" strokeweight="1pt">
                      <v:textbox inset="1mm,1mm,1mm,1mm">
                        <w:txbxContent>
                          <w:p w14:paraId="368E517E" w14:textId="77777777" w:rsidR="00F95814" w:rsidRPr="00786145" w:rsidRDefault="00F95814" w:rsidP="0086577A">
                            <w:pPr>
                              <w:spacing w:after="0" w:line="240" w:lineRule="auto"/>
                              <w:jc w:val="center"/>
                              <w:rPr>
                                <w:b/>
                                <w:color w:val="FFFFFF" w:themeColor="background1"/>
                              </w:rPr>
                            </w:pPr>
                            <w:r>
                              <w:rPr>
                                <w:b/>
                                <w:color w:val="FFFFFF" w:themeColor="background1"/>
                              </w:rPr>
                              <w:t>1 mil. Kč</w:t>
                            </w:r>
                          </w:p>
                        </w:txbxContent>
                      </v:textbox>
                    </v:rect>
                  </w:pict>
                </mc:Fallback>
              </mc:AlternateContent>
            </w:r>
          </w:p>
        </w:tc>
        <w:tc>
          <w:tcPr>
            <w:tcW w:w="4628" w:type="dxa"/>
            <w:tcBorders>
              <w:top w:val="nil"/>
              <w:left w:val="nil"/>
              <w:bottom w:val="nil"/>
              <w:right w:val="nil"/>
            </w:tcBorders>
          </w:tcPr>
          <w:p w14:paraId="7703CD33" w14:textId="77777777" w:rsidR="00370CAE" w:rsidRDefault="00370CAE" w:rsidP="00D8471A">
            <w:pPr>
              <w:jc w:val="both"/>
            </w:pPr>
          </w:p>
          <w:p w14:paraId="67E4138A" w14:textId="77777777" w:rsidR="003B1BC3" w:rsidRDefault="002C7699" w:rsidP="00D8471A">
            <w:pPr>
              <w:jc w:val="both"/>
            </w:pPr>
            <w:r>
              <w:t xml:space="preserve">Principy </w:t>
            </w:r>
            <w:r w:rsidR="003B1BC3">
              <w:t>sociálního podnikání byly stanoveny způsobem, který ztěžoval kontrolu jejich naplňování.</w:t>
            </w:r>
          </w:p>
          <w:p w14:paraId="33CE7245" w14:textId="77777777" w:rsidR="003B1BC3" w:rsidRDefault="003B1BC3" w:rsidP="00D8471A">
            <w:pPr>
              <w:jc w:val="both"/>
            </w:pPr>
          </w:p>
          <w:p w14:paraId="12029271" w14:textId="77777777" w:rsidR="003B1BC3" w:rsidRDefault="003B1BC3" w:rsidP="00D8471A">
            <w:pPr>
              <w:jc w:val="both"/>
            </w:pPr>
            <w:r>
              <w:t>Vysoká míra podpory</w:t>
            </w:r>
            <w:r w:rsidR="00E15809">
              <w:t xml:space="preserve"> </w:t>
            </w:r>
            <w:r w:rsidR="001E500B">
              <w:t>–</w:t>
            </w:r>
            <w:r>
              <w:t xml:space="preserve"> </w:t>
            </w:r>
            <w:r w:rsidR="00E15809">
              <w:t>u</w:t>
            </w:r>
            <w:r>
              <w:t xml:space="preserve"> jednoho projektu IROP zjištěn</w:t>
            </w:r>
            <w:r w:rsidR="00B27EC2">
              <w:t>a podpora</w:t>
            </w:r>
            <w:r>
              <w:t xml:space="preserve"> na jeden přepočtený úvazek (FTE) osoby ze znevýhodněných skupin na jeden rok ve výši téměř jeden milion korun.</w:t>
            </w:r>
          </w:p>
          <w:p w14:paraId="07B8B692" w14:textId="77777777" w:rsidR="003B1BC3" w:rsidRDefault="003B1BC3" w:rsidP="00D8471A">
            <w:pPr>
              <w:jc w:val="both"/>
            </w:pPr>
          </w:p>
          <w:p w14:paraId="5440B762" w14:textId="77777777" w:rsidR="003B1BC3" w:rsidRDefault="006A190C" w:rsidP="00D8471A">
            <w:pPr>
              <w:jc w:val="both"/>
            </w:pPr>
            <w:r>
              <w:t xml:space="preserve">Riziko neefektivnosti </w:t>
            </w:r>
            <w:r w:rsidR="00E9128F">
              <w:t>–</w:t>
            </w:r>
            <w:r>
              <w:t xml:space="preserve"> v</w:t>
            </w:r>
            <w:r w:rsidR="00F46497">
              <w:t xml:space="preserve">ysoká </w:t>
            </w:r>
            <w:r w:rsidR="003B1BC3">
              <w:t>intenzit</w:t>
            </w:r>
            <w:r>
              <w:t>a</w:t>
            </w:r>
            <w:r w:rsidR="003B1BC3">
              <w:t xml:space="preserve"> </w:t>
            </w:r>
            <w:r w:rsidR="00DB6323">
              <w:t>finanční podpory</w:t>
            </w:r>
            <w:r w:rsidR="002C7699">
              <w:t xml:space="preserve"> </w:t>
            </w:r>
            <w:r w:rsidR="00C36267">
              <w:t>u</w:t>
            </w:r>
            <w:r w:rsidR="001C5850">
              <w:t> </w:t>
            </w:r>
            <w:r w:rsidR="00DB6323">
              <w:t>některých</w:t>
            </w:r>
            <w:r w:rsidR="00F46497">
              <w:t xml:space="preserve"> projektů</w:t>
            </w:r>
            <w:r w:rsidR="0016544D">
              <w:t xml:space="preserve"> </w:t>
            </w:r>
            <w:r w:rsidR="00F46497">
              <w:t>OPZ</w:t>
            </w:r>
            <w:r>
              <w:t xml:space="preserve"> </w:t>
            </w:r>
            <w:r w:rsidR="00E9128F">
              <w:t>–</w:t>
            </w:r>
            <w:r>
              <w:t xml:space="preserve"> a</w:t>
            </w:r>
            <w:r w:rsidR="00FF1157">
              <w:t xml:space="preserve">ž </w:t>
            </w:r>
            <w:r>
              <w:t>šesti</w:t>
            </w:r>
            <w:r w:rsidR="00FF1157">
              <w:t xml:space="preserve">násobek </w:t>
            </w:r>
            <w:r w:rsidR="0016544D">
              <w:t xml:space="preserve">oproti </w:t>
            </w:r>
            <w:r w:rsidR="00FF1157">
              <w:t>průměrné výš</w:t>
            </w:r>
            <w:r w:rsidR="0016544D">
              <w:t>i</w:t>
            </w:r>
            <w:r w:rsidR="00FF1157">
              <w:t xml:space="preserve"> podpory na osobu u OPZ.</w:t>
            </w:r>
          </w:p>
          <w:p w14:paraId="51C81B38" w14:textId="77777777" w:rsidR="003260E5" w:rsidRDefault="003260E5" w:rsidP="00D8471A">
            <w:pPr>
              <w:jc w:val="both"/>
            </w:pPr>
          </w:p>
          <w:p w14:paraId="04C90D69" w14:textId="77777777" w:rsidR="003B1BC3" w:rsidRPr="001E756E" w:rsidRDefault="001E756E" w:rsidP="00D8471A">
            <w:pPr>
              <w:jc w:val="both"/>
            </w:pPr>
            <w:r w:rsidRPr="001E756E">
              <w:t>Podpora sociálního podnikání (69 % z dotace projektu) byla použita na nákup nemovitosti od osoby blízké (IROP).</w:t>
            </w:r>
          </w:p>
        </w:tc>
      </w:tr>
    </w:tbl>
    <w:p w14:paraId="124FD774" w14:textId="77777777" w:rsidR="00A84199" w:rsidRDefault="00A84199" w:rsidP="00BD6EAD">
      <w:pPr>
        <w:spacing w:after="0" w:line="240" w:lineRule="auto"/>
      </w:pPr>
    </w:p>
    <w:p w14:paraId="1C092621" w14:textId="77777777" w:rsidR="0069391C" w:rsidRPr="0069391C" w:rsidRDefault="0069391C" w:rsidP="00BD6EAD">
      <w:pPr>
        <w:spacing w:after="0" w:line="240" w:lineRule="auto"/>
        <w:rPr>
          <w:rFonts w:eastAsiaTheme="majorEastAsia" w:cstheme="majorBidi"/>
          <w:sz w:val="24"/>
          <w:szCs w:val="32"/>
        </w:rPr>
      </w:pPr>
      <w:r>
        <w:br w:type="page"/>
      </w:r>
    </w:p>
    <w:p w14:paraId="2608812E" w14:textId="77777777" w:rsidR="000309B6" w:rsidRPr="00232EB7" w:rsidRDefault="00232EB7" w:rsidP="00232EB7">
      <w:pPr>
        <w:spacing w:after="240" w:line="240" w:lineRule="auto"/>
        <w:jc w:val="center"/>
        <w:rPr>
          <w:rFonts w:ascii="Calibri" w:hAnsi="Calibri" w:cs="Calibri"/>
          <w:b/>
          <w:sz w:val="28"/>
        </w:rPr>
      </w:pPr>
      <w:r>
        <w:rPr>
          <w:rFonts w:ascii="Calibri" w:hAnsi="Calibri" w:cs="Calibri"/>
          <w:b/>
          <w:sz w:val="28"/>
        </w:rPr>
        <w:t xml:space="preserve">I. </w:t>
      </w:r>
      <w:r w:rsidR="000309B6" w:rsidRPr="00232EB7">
        <w:rPr>
          <w:rFonts w:ascii="Calibri" w:hAnsi="Calibri" w:cs="Calibri"/>
          <w:b/>
          <w:sz w:val="28"/>
        </w:rPr>
        <w:t>Shrnutí a vyhodnocení</w:t>
      </w:r>
    </w:p>
    <w:p w14:paraId="2F50763D" w14:textId="77777777" w:rsidR="00FB6957" w:rsidRDefault="00E6047F" w:rsidP="00DA5431">
      <w:pPr>
        <w:pStyle w:val="JK1"/>
        <w:tabs>
          <w:tab w:val="clear" w:pos="567"/>
        </w:tabs>
        <w:ind w:left="426" w:hanging="426"/>
      </w:pPr>
      <w:r w:rsidRPr="00C6554A">
        <w:t xml:space="preserve">NKÚ provedl kontrolu </w:t>
      </w:r>
      <w:r>
        <w:t xml:space="preserve">peněžních </w:t>
      </w:r>
      <w:r w:rsidRPr="00C6554A">
        <w:t xml:space="preserve">prostředků vynakládaných </w:t>
      </w:r>
      <w:r w:rsidR="00D451DA" w:rsidRPr="00C6554A">
        <w:t>v rámci programového období 2014–2020</w:t>
      </w:r>
      <w:r w:rsidR="00D451DA">
        <w:t xml:space="preserve"> </w:t>
      </w:r>
      <w:r w:rsidRPr="00C6554A">
        <w:t>z </w:t>
      </w:r>
      <w:r w:rsidR="002C7699" w:rsidRPr="00731936">
        <w:t>o</w:t>
      </w:r>
      <w:r w:rsidRPr="00731936">
        <w:t>peračního programu</w:t>
      </w:r>
      <w:r w:rsidRPr="00C6554A">
        <w:t xml:space="preserve"> </w:t>
      </w:r>
      <w:r w:rsidRPr="00C6554A">
        <w:rPr>
          <w:i/>
        </w:rPr>
        <w:t>Zaměstnanost</w:t>
      </w:r>
      <w:r w:rsidR="00497BB0">
        <w:rPr>
          <w:i/>
        </w:rPr>
        <w:t xml:space="preserve"> </w:t>
      </w:r>
      <w:r w:rsidR="00497BB0" w:rsidRPr="00B813A1">
        <w:rPr>
          <w:i/>
        </w:rPr>
        <w:t>2014–2020</w:t>
      </w:r>
      <w:r w:rsidRPr="00C6554A">
        <w:rPr>
          <w:i/>
        </w:rPr>
        <w:t xml:space="preserve"> </w:t>
      </w:r>
      <w:r w:rsidRPr="00C6554A">
        <w:t>(dále také „OPZ“) a</w:t>
      </w:r>
      <w:r w:rsidR="00D451DA">
        <w:t> </w:t>
      </w:r>
      <w:r w:rsidRPr="00C6554A">
        <w:rPr>
          <w:i/>
        </w:rPr>
        <w:t>Integrovaného regionálního operačního programu</w:t>
      </w:r>
      <w:r w:rsidRPr="00C6554A">
        <w:t xml:space="preserve"> (dále také „IROP“) na podporu sociálních podniků.</w:t>
      </w:r>
      <w:r w:rsidR="00EC41D2">
        <w:t xml:space="preserve"> V rámci OPZ byla vydána </w:t>
      </w:r>
      <w:r w:rsidR="00167B68">
        <w:t>r</w:t>
      </w:r>
      <w:r w:rsidR="00EC41D2">
        <w:t xml:space="preserve">ozhodnutí o poskytnutí dotace na podporu sociálních podniků ve výši </w:t>
      </w:r>
      <w:r w:rsidR="00847AF9">
        <w:t xml:space="preserve">cca </w:t>
      </w:r>
      <w:r w:rsidR="00893796" w:rsidRPr="00F2524B">
        <w:t>585</w:t>
      </w:r>
      <w:r w:rsidR="00847AF9">
        <w:t>,8</w:t>
      </w:r>
      <w:r w:rsidR="00893796" w:rsidRPr="00F2524B">
        <w:t xml:space="preserve"> </w:t>
      </w:r>
      <w:r w:rsidR="00D65A8D">
        <w:t xml:space="preserve">mil. </w:t>
      </w:r>
      <w:r w:rsidR="00893796">
        <w:t xml:space="preserve">Kč, v IROP ve výši </w:t>
      </w:r>
      <w:r w:rsidR="00847AF9">
        <w:t xml:space="preserve">cca </w:t>
      </w:r>
      <w:r w:rsidR="00893796" w:rsidRPr="00893796">
        <w:t>809</w:t>
      </w:r>
      <w:r w:rsidR="00847AF9">
        <w:t>,8</w:t>
      </w:r>
      <w:r w:rsidR="00D65A8D">
        <w:t xml:space="preserve"> mil.</w:t>
      </w:r>
      <w:r w:rsidR="00893796" w:rsidRPr="00893796">
        <w:t xml:space="preserve"> </w:t>
      </w:r>
      <w:r w:rsidR="00893796">
        <w:t>Kč.</w:t>
      </w:r>
    </w:p>
    <w:p w14:paraId="3CD4C24D" w14:textId="77777777" w:rsidR="00EC74A2" w:rsidRDefault="00EC74A2" w:rsidP="00DA5431">
      <w:pPr>
        <w:pStyle w:val="JK1"/>
        <w:tabs>
          <w:tab w:val="clear" w:pos="567"/>
        </w:tabs>
        <w:ind w:left="426" w:hanging="426"/>
      </w:pPr>
      <w:r w:rsidRPr="00F2524B">
        <w:t>Cílem kontroly bylo prověřit, zda peněžní prostředky státního rozpočtu a Evropské unie určené na podporu sociálních podniků byly poskytovány a čerpány účelně, efektivně a v souladu s právními předpisy</w:t>
      </w:r>
      <w:r w:rsidRPr="008A4590">
        <w:t>. Kontrola byla provedena u MPSV</w:t>
      </w:r>
      <w:r w:rsidR="00D451DA">
        <w:t xml:space="preserve"> a</w:t>
      </w:r>
      <w:r w:rsidRPr="008A4590">
        <w:t xml:space="preserve"> MMR, kde</w:t>
      </w:r>
      <w:r w:rsidR="00261858">
        <w:t xml:space="preserve"> </w:t>
      </w:r>
      <w:r w:rsidRPr="008A4590">
        <w:t>se zaměřila na jejich činnost jakožto řídicích orgánů programů, dále u CRR jako zprostředkujícího subjektu</w:t>
      </w:r>
      <w:r w:rsidR="00D451DA">
        <w:t xml:space="preserve"> IROP</w:t>
      </w:r>
      <w:r w:rsidRPr="008A4590">
        <w:t xml:space="preserve"> a rovněž u 12 vybraných příjemců dotací, u nichž byla prověřena realizace</w:t>
      </w:r>
      <w:r w:rsidR="00261858">
        <w:t> </w:t>
      </w:r>
      <w:r w:rsidRPr="008A4590">
        <w:t>16 projektů schválených k podpoře.</w:t>
      </w:r>
      <w:r w:rsidR="006F7F25" w:rsidRPr="006F7F25">
        <w:t xml:space="preserve"> </w:t>
      </w:r>
      <w:r w:rsidR="006F7F25" w:rsidRPr="00A90634">
        <w:t>Finanční objem kontrolovaných projektů činil 62,8</w:t>
      </w:r>
      <w:r w:rsidR="00261858">
        <w:t> </w:t>
      </w:r>
      <w:r w:rsidR="006F7F25" w:rsidRPr="00A90634">
        <w:t>mil.</w:t>
      </w:r>
      <w:r w:rsidR="00261858">
        <w:t> </w:t>
      </w:r>
      <w:r w:rsidR="006F7F25" w:rsidRPr="00A90634">
        <w:t>Kč</w:t>
      </w:r>
      <w:r w:rsidR="006F7F25">
        <w:t>.</w:t>
      </w:r>
    </w:p>
    <w:p w14:paraId="492ECA08" w14:textId="77777777" w:rsidR="00EC74A2" w:rsidRPr="00BD2390" w:rsidRDefault="003003FE" w:rsidP="00DA5431">
      <w:pPr>
        <w:pStyle w:val="JK1"/>
        <w:tabs>
          <w:tab w:val="clear" w:pos="567"/>
        </w:tabs>
        <w:ind w:left="426" w:hanging="426"/>
      </w:pPr>
      <w:r w:rsidRPr="00E36488">
        <w:rPr>
          <w:b/>
        </w:rPr>
        <w:t>Kontrolou byly zjištěny nedostatky v nastavení, řízení a realizaci OPZ a</w:t>
      </w:r>
      <w:r w:rsidR="00261858">
        <w:rPr>
          <w:b/>
        </w:rPr>
        <w:t xml:space="preserve"> </w:t>
      </w:r>
      <w:r w:rsidRPr="00E36488">
        <w:rPr>
          <w:b/>
        </w:rPr>
        <w:t>IROP</w:t>
      </w:r>
      <w:r w:rsidR="00B27EC2">
        <w:rPr>
          <w:b/>
        </w:rPr>
        <w:t xml:space="preserve"> na straně poskytovatelů i příjemců podpory</w:t>
      </w:r>
      <w:r w:rsidRPr="00E36488">
        <w:rPr>
          <w:b/>
        </w:rPr>
        <w:t xml:space="preserve">, které </w:t>
      </w:r>
      <w:r w:rsidR="0030504B">
        <w:rPr>
          <w:b/>
        </w:rPr>
        <w:t xml:space="preserve">významně </w:t>
      </w:r>
      <w:r w:rsidRPr="00E36488">
        <w:rPr>
          <w:b/>
        </w:rPr>
        <w:t>snižují účelnost a efektivnost poskytovaných a čerpaných peněžních prostředků.</w:t>
      </w:r>
    </w:p>
    <w:p w14:paraId="23096861" w14:textId="77777777" w:rsidR="0016544D" w:rsidRDefault="00485F74" w:rsidP="00DA5431">
      <w:pPr>
        <w:pStyle w:val="JK1"/>
        <w:numPr>
          <w:ilvl w:val="0"/>
          <w:numId w:val="0"/>
        </w:numPr>
        <w:tabs>
          <w:tab w:val="clear" w:pos="567"/>
        </w:tabs>
        <w:ind w:left="426"/>
        <w:rPr>
          <w:b/>
        </w:rPr>
      </w:pPr>
      <w:r>
        <w:rPr>
          <w:b/>
        </w:rPr>
        <w:t>P</w:t>
      </w:r>
      <w:r w:rsidR="00EF4208">
        <w:rPr>
          <w:b/>
        </w:rPr>
        <w:t>rincip</w:t>
      </w:r>
      <w:r>
        <w:rPr>
          <w:b/>
        </w:rPr>
        <w:t>y</w:t>
      </w:r>
      <w:r w:rsidR="00EF4208">
        <w:rPr>
          <w:b/>
        </w:rPr>
        <w:t xml:space="preserve"> sociálního podnikání</w:t>
      </w:r>
      <w:r>
        <w:rPr>
          <w:b/>
        </w:rPr>
        <w:t xml:space="preserve"> </w:t>
      </w:r>
      <w:r w:rsidR="00B27EC2">
        <w:rPr>
          <w:b/>
        </w:rPr>
        <w:t>stanovil</w:t>
      </w:r>
      <w:r w:rsidR="00E13641">
        <w:rPr>
          <w:b/>
        </w:rPr>
        <w:t>y</w:t>
      </w:r>
      <w:r w:rsidR="00B27EC2">
        <w:rPr>
          <w:b/>
        </w:rPr>
        <w:t xml:space="preserve"> MPSV a MMR</w:t>
      </w:r>
      <w:r>
        <w:rPr>
          <w:b/>
        </w:rPr>
        <w:t xml:space="preserve"> neurčitě</w:t>
      </w:r>
      <w:r w:rsidR="00FA2917">
        <w:rPr>
          <w:b/>
        </w:rPr>
        <w:t xml:space="preserve"> a bez určení jednoznačné minimální úrovně nutné pro jejich splnění</w:t>
      </w:r>
      <w:r>
        <w:rPr>
          <w:b/>
        </w:rPr>
        <w:t>. N</w:t>
      </w:r>
      <w:r w:rsidR="00EF4208">
        <w:rPr>
          <w:b/>
        </w:rPr>
        <w:t xml:space="preserve">elze proto </w:t>
      </w:r>
      <w:r w:rsidR="00942627">
        <w:rPr>
          <w:b/>
        </w:rPr>
        <w:t xml:space="preserve">věrohodně </w:t>
      </w:r>
      <w:r w:rsidR="00EF4208">
        <w:rPr>
          <w:b/>
        </w:rPr>
        <w:t>ověřit jejich naplňování.</w:t>
      </w:r>
    </w:p>
    <w:p w14:paraId="3AF6120D" w14:textId="77777777" w:rsidR="00BD2390" w:rsidRDefault="00BD2390" w:rsidP="00DA5431">
      <w:pPr>
        <w:pStyle w:val="JK1"/>
        <w:numPr>
          <w:ilvl w:val="0"/>
          <w:numId w:val="0"/>
        </w:numPr>
        <w:tabs>
          <w:tab w:val="clear" w:pos="567"/>
        </w:tabs>
        <w:ind w:left="426"/>
        <w:rPr>
          <w:b/>
        </w:rPr>
      </w:pPr>
      <w:r w:rsidRPr="00BD2390">
        <w:rPr>
          <w:b/>
        </w:rPr>
        <w:t>Ačkoliv MPSV</w:t>
      </w:r>
      <w:r>
        <w:rPr>
          <w:b/>
        </w:rPr>
        <w:t xml:space="preserve"> i MMR (resp. CRR) při výběru projektů </w:t>
      </w:r>
      <w:r w:rsidR="00E66625">
        <w:rPr>
          <w:b/>
        </w:rPr>
        <w:t xml:space="preserve">zamítly </w:t>
      </w:r>
      <w:r>
        <w:rPr>
          <w:b/>
        </w:rPr>
        <w:t xml:space="preserve">velké množství žádostí nesplňujících stanovená kritéria pro podporu, zjistil NKÚ v systému nedostatky, které umožnily </w:t>
      </w:r>
      <w:r w:rsidR="00942627">
        <w:rPr>
          <w:b/>
        </w:rPr>
        <w:t xml:space="preserve">výběr a </w:t>
      </w:r>
      <w:r>
        <w:rPr>
          <w:b/>
        </w:rPr>
        <w:t>podporu projektů, u kterých nebyly peněžní prostředky vynaloženy účelně a efektivně. Na vzorku projektů</w:t>
      </w:r>
      <w:r w:rsidR="00EF4208">
        <w:rPr>
          <w:b/>
        </w:rPr>
        <w:t xml:space="preserve"> vybraných ke kontrole</w:t>
      </w:r>
      <w:r>
        <w:rPr>
          <w:b/>
        </w:rPr>
        <w:t xml:space="preserve"> vyhodnotil NKÚ jako omezeně účelné </w:t>
      </w:r>
      <w:r w:rsidR="00EF4208">
        <w:rPr>
          <w:b/>
        </w:rPr>
        <w:t>či</w:t>
      </w:r>
      <w:r>
        <w:rPr>
          <w:b/>
        </w:rPr>
        <w:t xml:space="preserve"> </w:t>
      </w:r>
      <w:r w:rsidR="00B27EC2">
        <w:rPr>
          <w:b/>
        </w:rPr>
        <w:t xml:space="preserve">omezeně </w:t>
      </w:r>
      <w:r>
        <w:rPr>
          <w:b/>
        </w:rPr>
        <w:t xml:space="preserve">efektivní </w:t>
      </w:r>
      <w:r w:rsidR="00EF4208">
        <w:rPr>
          <w:b/>
        </w:rPr>
        <w:t xml:space="preserve">nebo zcela neúčelné a neefektivní </w:t>
      </w:r>
      <w:r>
        <w:rPr>
          <w:b/>
        </w:rPr>
        <w:t>polovinu</w:t>
      </w:r>
      <w:r w:rsidR="00EF4208">
        <w:rPr>
          <w:b/>
        </w:rPr>
        <w:t xml:space="preserve"> z nich. </w:t>
      </w:r>
      <w:r w:rsidR="00B27EC2" w:rsidRPr="007E382C">
        <w:rPr>
          <w:b/>
        </w:rPr>
        <w:t>Nové sociální podniky často vznikaly s významnou personální vazbou na jejich předpokládané odběratele a</w:t>
      </w:r>
      <w:r w:rsidR="00261858">
        <w:rPr>
          <w:b/>
        </w:rPr>
        <w:t xml:space="preserve"> </w:t>
      </w:r>
      <w:r w:rsidR="00B27EC2" w:rsidRPr="007E382C">
        <w:rPr>
          <w:b/>
        </w:rPr>
        <w:t>dodavatele.</w:t>
      </w:r>
      <w:r w:rsidR="00B27EC2">
        <w:t xml:space="preserve"> </w:t>
      </w:r>
      <w:r w:rsidR="00EF4208">
        <w:rPr>
          <w:b/>
        </w:rPr>
        <w:t xml:space="preserve">Naprostá většina kontrolou prověřených podniků </w:t>
      </w:r>
      <w:r w:rsidR="00B27EC2">
        <w:rPr>
          <w:b/>
        </w:rPr>
        <w:t xml:space="preserve">ani tak </w:t>
      </w:r>
      <w:r w:rsidR="00EF4208">
        <w:rPr>
          <w:b/>
        </w:rPr>
        <w:t>nedosahuje ekonomických předpokladů obsažených v podnikatelských plánech, které předkládal</w:t>
      </w:r>
      <w:r w:rsidR="00485F74">
        <w:rPr>
          <w:b/>
        </w:rPr>
        <w:t>i</w:t>
      </w:r>
      <w:r w:rsidR="00EF4208">
        <w:rPr>
          <w:b/>
        </w:rPr>
        <w:t xml:space="preserve"> žadatelé o podporu</w:t>
      </w:r>
      <w:r w:rsidR="00485F74">
        <w:rPr>
          <w:b/>
        </w:rPr>
        <w:t xml:space="preserve"> z OPZ a</w:t>
      </w:r>
      <w:r w:rsidR="001C5850">
        <w:rPr>
          <w:b/>
        </w:rPr>
        <w:t> </w:t>
      </w:r>
      <w:r w:rsidR="00485F74">
        <w:rPr>
          <w:b/>
        </w:rPr>
        <w:t>IROP</w:t>
      </w:r>
      <w:r w:rsidR="00EF4208">
        <w:rPr>
          <w:b/>
        </w:rPr>
        <w:t>.</w:t>
      </w:r>
      <w:r w:rsidR="00942627">
        <w:rPr>
          <w:b/>
        </w:rPr>
        <w:t xml:space="preserve"> Monitorovací systém sledování </w:t>
      </w:r>
      <w:r w:rsidR="00485F74">
        <w:rPr>
          <w:b/>
        </w:rPr>
        <w:t xml:space="preserve">plnění cílů a </w:t>
      </w:r>
      <w:r w:rsidR="00942627">
        <w:rPr>
          <w:b/>
        </w:rPr>
        <w:t>přínosů podpory</w:t>
      </w:r>
      <w:r w:rsidR="00485F74">
        <w:rPr>
          <w:b/>
        </w:rPr>
        <w:t xml:space="preserve"> je nedostatečný</w:t>
      </w:r>
      <w:r w:rsidR="00942627">
        <w:rPr>
          <w:b/>
        </w:rPr>
        <w:t>.</w:t>
      </w:r>
    </w:p>
    <w:p w14:paraId="0D1F5B23" w14:textId="77777777" w:rsidR="00EF4208" w:rsidRPr="00BD2390" w:rsidRDefault="00B27EC2" w:rsidP="00DA5431">
      <w:pPr>
        <w:pStyle w:val="JK1"/>
        <w:numPr>
          <w:ilvl w:val="0"/>
          <w:numId w:val="0"/>
        </w:numPr>
        <w:tabs>
          <w:tab w:val="clear" w:pos="567"/>
        </w:tabs>
        <w:ind w:left="426"/>
        <w:rPr>
          <w:b/>
        </w:rPr>
      </w:pPr>
      <w:r>
        <w:rPr>
          <w:b/>
        </w:rPr>
        <w:t>NKÚ zjistil porušení právních předpisů u tří příjemců podpory. V případě</w:t>
      </w:r>
      <w:r w:rsidR="00EF4208">
        <w:rPr>
          <w:b/>
        </w:rPr>
        <w:t xml:space="preserve"> IROP </w:t>
      </w:r>
      <w:r>
        <w:rPr>
          <w:b/>
        </w:rPr>
        <w:t xml:space="preserve">zjistil NKÚ </w:t>
      </w:r>
      <w:r w:rsidR="00EF4208">
        <w:rPr>
          <w:b/>
        </w:rPr>
        <w:t>významný systémový nedostatek spočívající v</w:t>
      </w:r>
      <w:r w:rsidR="00E15809">
        <w:rPr>
          <w:b/>
        </w:rPr>
        <w:t xml:space="preserve"> </w:t>
      </w:r>
      <w:r w:rsidR="00EF4208">
        <w:rPr>
          <w:b/>
        </w:rPr>
        <w:t>propl</w:t>
      </w:r>
      <w:r w:rsidR="00A436B9">
        <w:rPr>
          <w:b/>
        </w:rPr>
        <w:t>á</w:t>
      </w:r>
      <w:r w:rsidR="00EF4208">
        <w:rPr>
          <w:b/>
        </w:rPr>
        <w:t xml:space="preserve">cení </w:t>
      </w:r>
      <w:r w:rsidR="00E15809">
        <w:rPr>
          <w:b/>
        </w:rPr>
        <w:t xml:space="preserve">nezpůsobilých </w:t>
      </w:r>
      <w:r w:rsidR="00EF4208">
        <w:rPr>
          <w:b/>
        </w:rPr>
        <w:t>výdajů příjemců na nákup nemovitostí od osob blízkých.</w:t>
      </w:r>
    </w:p>
    <w:p w14:paraId="06F7FC19" w14:textId="77777777" w:rsidR="003003FE" w:rsidRPr="00E745C9" w:rsidRDefault="003003FE" w:rsidP="00DA5431">
      <w:pPr>
        <w:pStyle w:val="JK1"/>
        <w:tabs>
          <w:tab w:val="clear" w:pos="567"/>
        </w:tabs>
        <w:ind w:left="426" w:hanging="426"/>
      </w:pPr>
      <w:r w:rsidRPr="00E745C9">
        <w:t>Toto celkové zhodnocení se opírá o následující hlavní zjištění z kontroly:</w:t>
      </w:r>
    </w:p>
    <w:p w14:paraId="728F0F44" w14:textId="77777777" w:rsidR="00B64FA1" w:rsidRPr="00E745C9" w:rsidRDefault="00FA4BDB" w:rsidP="00357C61">
      <w:pPr>
        <w:pStyle w:val="JK1"/>
        <w:numPr>
          <w:ilvl w:val="0"/>
          <w:numId w:val="13"/>
        </w:numPr>
        <w:tabs>
          <w:tab w:val="clear" w:pos="567"/>
        </w:tabs>
        <w:ind w:left="709" w:hanging="283"/>
      </w:pPr>
      <w:r>
        <w:t xml:space="preserve">Indikátory nastavené </w:t>
      </w:r>
      <w:r w:rsidR="00822DD6">
        <w:t xml:space="preserve">MPSV a MMR </w:t>
      </w:r>
      <w:r>
        <w:t xml:space="preserve">pro </w:t>
      </w:r>
      <w:r w:rsidR="00293C94">
        <w:t>monitorování</w:t>
      </w:r>
      <w:r>
        <w:t xml:space="preserve"> plnění cílů podpory nesledují dostatečně přínosy, které </w:t>
      </w:r>
      <w:r w:rsidR="00247995">
        <w:t xml:space="preserve">má </w:t>
      </w:r>
      <w:r>
        <w:t>zaměstnání v sociálních podnicích pro osoby z cílových skupin. Je</w:t>
      </w:r>
      <w:r w:rsidR="003B677B">
        <w:t> </w:t>
      </w:r>
      <w:r>
        <w:t xml:space="preserve">to nedostatek zejména v případě OPZ, kde </w:t>
      </w:r>
      <w:r w:rsidR="007B7C1E">
        <w:t xml:space="preserve">ze strany MPSV nebyly stanoveny odpovídající indikátory pro sledování </w:t>
      </w:r>
      <w:r>
        <w:t>cíle sociální integrace cílové skupiny či</w:t>
      </w:r>
      <w:r w:rsidR="003B677B">
        <w:t> </w:t>
      </w:r>
      <w:r>
        <w:t xml:space="preserve">zamezení jejího vyloučení ze společnosti a usnadnění jejího vstupu na volný trh práce a udržení se na něm. </w:t>
      </w:r>
      <w:r w:rsidR="00B5562A">
        <w:t>Dále nebyly stanoveny c</w:t>
      </w:r>
      <w:r w:rsidR="007B7C1E">
        <w:t xml:space="preserve">ílové hodnoty indikátorů určených pro sledování plnění cílů podpory sociálního podnikání v případě všech definovaných indikátorů. </w:t>
      </w:r>
      <w:r w:rsidR="00562E03">
        <w:t>U</w:t>
      </w:r>
      <w:r w:rsidR="0059747F">
        <w:t> </w:t>
      </w:r>
      <w:r w:rsidR="002C7699">
        <w:t>žádného</w:t>
      </w:r>
      <w:r w:rsidR="00562E03">
        <w:t xml:space="preserve"> </w:t>
      </w:r>
      <w:r w:rsidR="00DE19F1">
        <w:t xml:space="preserve">z </w:t>
      </w:r>
      <w:r w:rsidR="00562E03">
        <w:t>indikátorů v OPZ, u kterých byly cílové hodnoty stano</w:t>
      </w:r>
      <w:bookmarkStart w:id="2" w:name="_GoBack"/>
      <w:bookmarkEnd w:id="2"/>
      <w:r w:rsidR="00562E03">
        <w:t>veny, ne</w:t>
      </w:r>
      <w:r w:rsidR="002C7699">
        <w:t>lze těchto hodnot</w:t>
      </w:r>
      <w:r w:rsidR="00562E03">
        <w:t xml:space="preserve"> dos</w:t>
      </w:r>
      <w:r w:rsidR="002C7699">
        <w:t>áhnout</w:t>
      </w:r>
      <w:r w:rsidR="00562E03">
        <w:t>. Dosažení většiny cílových hodnot indikátorů IROP se podaří pouze díky jejich snížení provedenému MMR.</w:t>
      </w:r>
      <w:r w:rsidR="00361B7A">
        <w:t xml:space="preserve"> </w:t>
      </w:r>
      <w:r w:rsidR="006868D6">
        <w:t>I</w:t>
      </w:r>
      <w:r w:rsidR="00DE19F1">
        <w:t> </w:t>
      </w:r>
      <w:r w:rsidR="006868D6">
        <w:t>v</w:t>
      </w:r>
      <w:r w:rsidR="00361B7A">
        <w:t> důsledku tohoto kroku je ale efektivita podpory v IROP vyjádřená prostřednictvím průměrné výše podpory na jeden přepočtený úvazek asi 4,5</w:t>
      </w:r>
      <w:r w:rsidR="00247995">
        <w:rPr>
          <w:rFonts w:cs="Calibri"/>
        </w:rPr>
        <w:t>×</w:t>
      </w:r>
      <w:r w:rsidR="00361B7A">
        <w:t xml:space="preserve"> nižší</w:t>
      </w:r>
      <w:r w:rsidR="006868D6">
        <w:t xml:space="preserve"> oproti </w:t>
      </w:r>
      <w:r w:rsidR="003E1CCB">
        <w:t>pů</w:t>
      </w:r>
      <w:r w:rsidR="00955221">
        <w:t xml:space="preserve">vodním </w:t>
      </w:r>
      <w:r w:rsidR="006868D6" w:rsidRPr="00C35EBA">
        <w:rPr>
          <w:color w:val="auto"/>
        </w:rPr>
        <w:t>předpokladům</w:t>
      </w:r>
      <w:r w:rsidR="00DB607F" w:rsidRPr="00C35EBA">
        <w:rPr>
          <w:color w:val="auto"/>
        </w:rPr>
        <w:t>.</w:t>
      </w:r>
      <w:r w:rsidR="00770760" w:rsidRPr="00C35EBA">
        <w:rPr>
          <w:color w:val="auto"/>
        </w:rPr>
        <w:t xml:space="preserve"> </w:t>
      </w:r>
      <w:r w:rsidR="00C35EBA" w:rsidRPr="00C35EBA">
        <w:rPr>
          <w:color w:val="auto"/>
        </w:rPr>
        <w:t xml:space="preserve">MMR </w:t>
      </w:r>
      <w:r w:rsidR="00586974">
        <w:rPr>
          <w:color w:val="auto"/>
        </w:rPr>
        <w:t>nepřistoupilo ke</w:t>
      </w:r>
      <w:r w:rsidR="00586974" w:rsidRPr="00C35EBA">
        <w:rPr>
          <w:color w:val="auto"/>
        </w:rPr>
        <w:t xml:space="preserve"> </w:t>
      </w:r>
      <w:r w:rsidR="00955221">
        <w:rPr>
          <w:color w:val="auto"/>
        </w:rPr>
        <w:t>snížení dotace</w:t>
      </w:r>
      <w:r w:rsidR="00C35EBA" w:rsidRPr="00C35EBA">
        <w:rPr>
          <w:color w:val="auto"/>
        </w:rPr>
        <w:t xml:space="preserve"> vůči příjemcům podpory, když nesplnili cílové hodnoty indikátorů při ukončení realizace projektu </w:t>
      </w:r>
      <w:r w:rsidR="00770760">
        <w:t xml:space="preserve">(viz odst. </w:t>
      </w:r>
      <w:r w:rsidR="00BC06AF">
        <w:t>4.2 až 4.</w:t>
      </w:r>
      <w:r w:rsidR="00DB607F">
        <w:t>10</w:t>
      </w:r>
      <w:r w:rsidR="00BC06AF">
        <w:t>)</w:t>
      </w:r>
      <w:r w:rsidR="00361B7A">
        <w:t>.</w:t>
      </w:r>
    </w:p>
    <w:p w14:paraId="754988C7" w14:textId="77777777" w:rsidR="00D855BE" w:rsidRDefault="00BD08E6" w:rsidP="00357C61">
      <w:pPr>
        <w:pStyle w:val="JK1"/>
        <w:numPr>
          <w:ilvl w:val="0"/>
          <w:numId w:val="13"/>
        </w:numPr>
        <w:tabs>
          <w:tab w:val="clear" w:pos="567"/>
        </w:tabs>
        <w:ind w:left="709" w:hanging="283"/>
      </w:pPr>
      <w:r>
        <w:t xml:space="preserve">MPSV a MMR nestanovily </w:t>
      </w:r>
      <w:r w:rsidR="00B5562A">
        <w:t xml:space="preserve">v rámci OPZ a IROP </w:t>
      </w:r>
      <w:r w:rsidR="00C35EBA">
        <w:t>princip</w:t>
      </w:r>
      <w:r>
        <w:t>y</w:t>
      </w:r>
      <w:r w:rsidR="00C35EBA">
        <w:t xml:space="preserve"> </w:t>
      </w:r>
      <w:r w:rsidR="00F65A0B">
        <w:t xml:space="preserve">sociálního podnikání </w:t>
      </w:r>
      <w:r w:rsidR="00B27EC2">
        <w:t>(viz odst.</w:t>
      </w:r>
      <w:r w:rsidR="00B5562A">
        <w:t> </w:t>
      </w:r>
      <w:r w:rsidR="00B27EC2">
        <w:t xml:space="preserve">2.12) </w:t>
      </w:r>
      <w:r w:rsidR="00F65A0B">
        <w:t>jednoznačným způsobem</w:t>
      </w:r>
      <w:r w:rsidR="00BE5A50">
        <w:t>.</w:t>
      </w:r>
      <w:r w:rsidR="00A301F9">
        <w:t xml:space="preserve"> Některé principy sociálního podnikání </w:t>
      </w:r>
      <w:r w:rsidR="00FA2917">
        <w:t>nastavily</w:t>
      </w:r>
      <w:r w:rsidR="00A301F9">
        <w:t xml:space="preserve"> </w:t>
      </w:r>
      <w:r w:rsidR="002C7699">
        <w:t>nejednoznač</w:t>
      </w:r>
      <w:r w:rsidR="00A301F9">
        <w:t xml:space="preserve">ně, s neurčitým či deklaratorním vymezením, bez stanovení minimální </w:t>
      </w:r>
      <w:r w:rsidR="00B27EC2">
        <w:t xml:space="preserve">úrovně </w:t>
      </w:r>
      <w:r w:rsidR="00A301F9">
        <w:t>nutné k jejich splnění</w:t>
      </w:r>
      <w:r w:rsidR="00FA2917">
        <w:t xml:space="preserve">. Důsledkem tohoto stavu je </w:t>
      </w:r>
      <w:r w:rsidR="00B27EC2">
        <w:t>ne</w:t>
      </w:r>
      <w:r w:rsidR="00FA2917">
        <w:t>možnost</w:t>
      </w:r>
      <w:r w:rsidR="00B27EC2">
        <w:t xml:space="preserve"> </w:t>
      </w:r>
      <w:r w:rsidR="00053660">
        <w:t>prokazatelně ověřit</w:t>
      </w:r>
      <w:r w:rsidR="00B27EC2">
        <w:t xml:space="preserve"> plnění</w:t>
      </w:r>
      <w:r w:rsidR="00FA2917">
        <w:t xml:space="preserve"> principů sociálního podnikání</w:t>
      </w:r>
      <w:r w:rsidR="00A301F9">
        <w:t>.</w:t>
      </w:r>
      <w:r w:rsidR="00BE5A50">
        <w:t xml:space="preserve"> </w:t>
      </w:r>
      <w:r w:rsidR="00FA2917">
        <w:t>Kontrolou u</w:t>
      </w:r>
      <w:r w:rsidR="00966FF9">
        <w:t> </w:t>
      </w:r>
      <w:r w:rsidR="00B42240">
        <w:t xml:space="preserve">vybraného </w:t>
      </w:r>
      <w:r w:rsidR="00FA2917">
        <w:t>vzorku projektů NKÚ zjistil, že p</w:t>
      </w:r>
      <w:r w:rsidR="00BE5A50" w:rsidRPr="00B61D6F">
        <w:t xml:space="preserve">říjemci podpory </w:t>
      </w:r>
      <w:r w:rsidR="00A301F9">
        <w:t>z</w:t>
      </w:r>
      <w:r w:rsidR="00B5562A">
        <w:t> </w:t>
      </w:r>
      <w:r w:rsidR="00A301F9">
        <w:t xml:space="preserve">OPZ i </w:t>
      </w:r>
      <w:r w:rsidR="00876E44">
        <w:t>I</w:t>
      </w:r>
      <w:r w:rsidR="00A301F9">
        <w:t xml:space="preserve">ROP </w:t>
      </w:r>
      <w:r w:rsidR="00BE5A50" w:rsidRPr="00B61D6F">
        <w:t>prokaz</w:t>
      </w:r>
      <w:r w:rsidR="00A301F9">
        <w:t>ovali plnění</w:t>
      </w:r>
      <w:r w:rsidR="00BE5A50" w:rsidRPr="00B61D6F">
        <w:t xml:space="preserve"> </w:t>
      </w:r>
      <w:r w:rsidR="00C35EBA">
        <w:t xml:space="preserve">těchto </w:t>
      </w:r>
      <w:r w:rsidR="00BE5A50" w:rsidRPr="00B61D6F">
        <w:t>princip</w:t>
      </w:r>
      <w:r w:rsidR="00A301F9">
        <w:t>ů</w:t>
      </w:r>
      <w:r w:rsidR="00BE5A50" w:rsidRPr="00B61D6F">
        <w:t xml:space="preserve"> </w:t>
      </w:r>
      <w:r w:rsidR="00DB607F">
        <w:t xml:space="preserve">velmi </w:t>
      </w:r>
      <w:r w:rsidR="00BE5A50" w:rsidRPr="00B61D6F">
        <w:t>rozdílným způsobem</w:t>
      </w:r>
      <w:r w:rsidR="00F568D8" w:rsidRPr="00E745C9">
        <w:t xml:space="preserve"> </w:t>
      </w:r>
      <w:r w:rsidR="00D855BE" w:rsidRPr="00E745C9">
        <w:t>(viz</w:t>
      </w:r>
      <w:r w:rsidR="00053660">
        <w:t xml:space="preserve"> </w:t>
      </w:r>
      <w:r w:rsidR="00D855BE" w:rsidRPr="00E745C9">
        <w:t>odst.</w:t>
      </w:r>
      <w:r w:rsidR="00053660">
        <w:t> </w:t>
      </w:r>
      <w:r w:rsidR="00D855BE" w:rsidRPr="00E745C9">
        <w:t>4.</w:t>
      </w:r>
      <w:r w:rsidR="00D855BE">
        <w:t>1</w:t>
      </w:r>
      <w:r w:rsidR="007A36FF">
        <w:t>2</w:t>
      </w:r>
      <w:r w:rsidR="00D855BE" w:rsidRPr="00E745C9">
        <w:t xml:space="preserve"> až 4.</w:t>
      </w:r>
      <w:r w:rsidR="00D855BE">
        <w:t>2</w:t>
      </w:r>
      <w:r w:rsidR="007A36FF">
        <w:t>0</w:t>
      </w:r>
      <w:r w:rsidR="00D855BE" w:rsidRPr="00E745C9">
        <w:t>).</w:t>
      </w:r>
    </w:p>
    <w:p w14:paraId="21113BD9" w14:textId="77777777" w:rsidR="00452CB6" w:rsidRDefault="00B27EC2" w:rsidP="00357C61">
      <w:pPr>
        <w:pStyle w:val="JK1"/>
        <w:numPr>
          <w:ilvl w:val="0"/>
          <w:numId w:val="13"/>
        </w:numPr>
        <w:tabs>
          <w:tab w:val="clear" w:pos="567"/>
        </w:tabs>
        <w:ind w:left="709" w:hanging="283"/>
      </w:pPr>
      <w:r>
        <w:t>V případě vybraného vzorku projektů NKÚ zjistil, že n</w:t>
      </w:r>
      <w:r w:rsidR="00452CB6" w:rsidRPr="00BD05F7">
        <w:t xml:space="preserve">ové sociální podniky často vznikaly s významnou personální vazbou na jejich předpokládané odběratele a dodavatele. </w:t>
      </w:r>
      <w:r w:rsidR="00894DA2">
        <w:t xml:space="preserve">V důsledku toho a dalších faktorů (viz odst. </w:t>
      </w:r>
      <w:r w:rsidR="00AC61A7">
        <w:t xml:space="preserve">4.34) </w:t>
      </w:r>
      <w:r>
        <w:t xml:space="preserve">nebyly v řadě případů </w:t>
      </w:r>
      <w:r w:rsidR="00AC61A7">
        <w:t xml:space="preserve">motivací ke vzniku nových sociálních podniků </w:t>
      </w:r>
      <w:r>
        <w:t>primárně cíle sociálního podnikání jako takové (tedy především podpora osob z cílových skupin), ale spíše ekonomické výhody plynoucí pro příjemce podpory.</w:t>
      </w:r>
      <w:r w:rsidR="00452CB6">
        <w:t xml:space="preserve"> Ekonomické fungování sociálních podniků se přitom </w:t>
      </w:r>
      <w:r w:rsidR="002709D7">
        <w:t xml:space="preserve">téměř </w:t>
      </w:r>
      <w:r w:rsidR="0069622D">
        <w:t>u </w:t>
      </w:r>
      <w:r w:rsidR="002709D7">
        <w:t xml:space="preserve">všech kontrolovaných projektů </w:t>
      </w:r>
      <w:r w:rsidR="00452CB6">
        <w:t xml:space="preserve">negativně odchyluje od předpokladů, na </w:t>
      </w:r>
      <w:r w:rsidR="00053660">
        <w:t xml:space="preserve">jejichž </w:t>
      </w:r>
      <w:r w:rsidR="00452CB6">
        <w:t>základě byly vybrány k</w:t>
      </w:r>
      <w:r w:rsidR="00077620">
        <w:t> </w:t>
      </w:r>
      <w:r w:rsidR="00452CB6">
        <w:t>podpoře</w:t>
      </w:r>
      <w:r w:rsidR="00077620">
        <w:t xml:space="preserve"> (viz odst. </w:t>
      </w:r>
      <w:r w:rsidR="00DB607F">
        <w:t>4.3</w:t>
      </w:r>
      <w:r w:rsidR="00804896">
        <w:t>3</w:t>
      </w:r>
      <w:r w:rsidR="00DB607F">
        <w:t xml:space="preserve"> až </w:t>
      </w:r>
      <w:r w:rsidR="00077620">
        <w:t>4.3</w:t>
      </w:r>
      <w:r w:rsidR="00804896">
        <w:t>5</w:t>
      </w:r>
      <w:r w:rsidR="00077620">
        <w:t>)</w:t>
      </w:r>
      <w:r w:rsidR="00C910F1">
        <w:t xml:space="preserve">. </w:t>
      </w:r>
      <w:r>
        <w:t>Tato skutečnost je zároveň rizikem udržitelného a nezávislého fungování podpořených podniků.</w:t>
      </w:r>
    </w:p>
    <w:p w14:paraId="2D31A98F" w14:textId="77777777" w:rsidR="00470EBC" w:rsidRDefault="00470EBC" w:rsidP="00357C61">
      <w:pPr>
        <w:pStyle w:val="JK1"/>
        <w:numPr>
          <w:ilvl w:val="0"/>
          <w:numId w:val="13"/>
        </w:numPr>
        <w:tabs>
          <w:tab w:val="clear" w:pos="567"/>
        </w:tabs>
        <w:ind w:left="709" w:hanging="283"/>
      </w:pPr>
      <w:r>
        <w:t xml:space="preserve">Pro výběr projektů k podpoře </w:t>
      </w:r>
      <w:r w:rsidR="00127CB9">
        <w:t>MPSV a MMR ne</w:t>
      </w:r>
      <w:r>
        <w:t>stanov</w:t>
      </w:r>
      <w:r w:rsidR="00127CB9">
        <w:t>ily</w:t>
      </w:r>
      <w:r>
        <w:t xml:space="preserve"> žádné hranice maximální výše podpory na jednoho účastníka projektu (OPZ), resp. na jedno vytvořené FTE</w:t>
      </w:r>
      <w:r w:rsidR="00B337F2">
        <w:rPr>
          <w:rStyle w:val="Znakapoznpodarou"/>
        </w:rPr>
        <w:footnoteReference w:id="5"/>
      </w:r>
      <w:r>
        <w:t xml:space="preserve"> (IROP). </w:t>
      </w:r>
      <w:r w:rsidR="00B631E8">
        <w:t xml:space="preserve">Hodnocení efektivnosti projektů </w:t>
      </w:r>
      <w:r w:rsidR="005C3489">
        <w:t xml:space="preserve">nevěnovaly implementační orgány </w:t>
      </w:r>
      <w:r w:rsidR="00B631E8">
        <w:t>dostatečn</w:t>
      </w:r>
      <w:r w:rsidR="00955221">
        <w:t>ou pozornost</w:t>
      </w:r>
      <w:r w:rsidR="00056F3B" w:rsidRPr="00E745C9">
        <w:t>.</w:t>
      </w:r>
      <w:r w:rsidR="0013604F">
        <w:t xml:space="preserve"> V důsledku toho byly zjištěny případy vysoké</w:t>
      </w:r>
      <w:r w:rsidR="00B27EC2">
        <w:t xml:space="preserve"> finanční</w:t>
      </w:r>
      <w:r w:rsidR="0013604F">
        <w:t xml:space="preserve"> intenzity podpory </w:t>
      </w:r>
      <w:r w:rsidR="00852853">
        <w:t xml:space="preserve">jak v případě </w:t>
      </w:r>
      <w:r w:rsidR="008D3486">
        <w:t>OPZ,</w:t>
      </w:r>
      <w:r w:rsidR="00852853">
        <w:t xml:space="preserve"> tak IROP</w:t>
      </w:r>
      <w:r w:rsidR="00DB607F">
        <w:t>. V případě IROP umožnila nastavená kritéria věcného hodnocení podporu všech žádostí, které prošly do této fáze hodnocení</w:t>
      </w:r>
      <w:r w:rsidR="00852853">
        <w:t xml:space="preserve"> </w:t>
      </w:r>
      <w:r w:rsidR="00852853" w:rsidRPr="00E745C9">
        <w:t>(viz</w:t>
      </w:r>
      <w:r w:rsidR="0069622D">
        <w:t xml:space="preserve"> </w:t>
      </w:r>
      <w:r w:rsidR="00852853" w:rsidRPr="00E745C9">
        <w:t>odst.</w:t>
      </w:r>
      <w:r w:rsidR="0069622D">
        <w:t> </w:t>
      </w:r>
      <w:r w:rsidR="00852853" w:rsidRPr="00E745C9">
        <w:t>4.</w:t>
      </w:r>
      <w:r w:rsidR="0005481B">
        <w:t>2</w:t>
      </w:r>
      <w:r w:rsidR="00DB607F">
        <w:t>4</w:t>
      </w:r>
      <w:r w:rsidR="00852853" w:rsidRPr="00E745C9">
        <w:t xml:space="preserve"> až 4.</w:t>
      </w:r>
      <w:r w:rsidR="00DB607F">
        <w:t>29</w:t>
      </w:r>
      <w:r w:rsidR="00852853" w:rsidRPr="00E745C9">
        <w:t>)</w:t>
      </w:r>
      <w:r w:rsidR="00852853">
        <w:t>.</w:t>
      </w:r>
    </w:p>
    <w:p w14:paraId="65428F7D" w14:textId="77777777" w:rsidR="00C20401" w:rsidRDefault="00852853" w:rsidP="00357C61">
      <w:pPr>
        <w:pStyle w:val="JK1"/>
        <w:numPr>
          <w:ilvl w:val="0"/>
          <w:numId w:val="13"/>
        </w:numPr>
        <w:tabs>
          <w:tab w:val="clear" w:pos="567"/>
        </w:tabs>
        <w:ind w:left="709" w:hanging="283"/>
      </w:pPr>
      <w:r>
        <w:t>V procesu výběru projektů k podpoře MPSV i MMR</w:t>
      </w:r>
      <w:r w:rsidR="00965F81">
        <w:t xml:space="preserve"> (resp. CRR)</w:t>
      </w:r>
      <w:r>
        <w:t xml:space="preserve"> </w:t>
      </w:r>
      <w:r w:rsidR="005C3489">
        <w:t xml:space="preserve">zamítly </w:t>
      </w:r>
      <w:r>
        <w:t>velké množství žádostí pro nesplnění stanovených kritérií</w:t>
      </w:r>
      <w:r w:rsidR="00965F81">
        <w:t xml:space="preserve">, což hodnotí NKÚ </w:t>
      </w:r>
      <w:r w:rsidR="00994AC3">
        <w:t>pozitivně</w:t>
      </w:r>
      <w:r>
        <w:t xml:space="preserve">. Přesto </w:t>
      </w:r>
      <w:r w:rsidR="005C3489">
        <w:t xml:space="preserve">MPSV </w:t>
      </w:r>
      <w:r>
        <w:t xml:space="preserve">v OPZ </w:t>
      </w:r>
      <w:r w:rsidR="005C3489">
        <w:t xml:space="preserve">podpořilo </w:t>
      </w:r>
      <w:r>
        <w:t>projekty</w:t>
      </w:r>
      <w:r w:rsidR="00C20401">
        <w:t xml:space="preserve">, </w:t>
      </w:r>
      <w:r w:rsidR="005036AA">
        <w:t>u kterých došlo</w:t>
      </w:r>
      <w:r w:rsidR="00C20401">
        <w:t xml:space="preserve"> k velmi rozdílnému hodnocení nebo které obdržely méně než 50</w:t>
      </w:r>
      <w:r w:rsidR="000F3F8D">
        <w:t> </w:t>
      </w:r>
      <w:r w:rsidR="00C20401">
        <w:t>% z</w:t>
      </w:r>
      <w:r w:rsidR="00C35EBA">
        <w:t> </w:t>
      </w:r>
      <w:r w:rsidR="0069622D">
        <w:t>dosažitelného</w:t>
      </w:r>
      <w:r w:rsidR="00C35EBA">
        <w:t xml:space="preserve"> množství</w:t>
      </w:r>
      <w:r w:rsidR="00C20401">
        <w:t xml:space="preserve"> bodů </w:t>
      </w:r>
      <w:r w:rsidR="00ED0E6C">
        <w:t>(viz odst. 4.3</w:t>
      </w:r>
      <w:r w:rsidR="00DB607F">
        <w:t>0</w:t>
      </w:r>
      <w:r w:rsidR="00ED0E6C">
        <w:t xml:space="preserve"> až 4.3</w:t>
      </w:r>
      <w:r w:rsidR="00DB607F">
        <w:t>2</w:t>
      </w:r>
      <w:r w:rsidR="00ED0E6C">
        <w:t>).</w:t>
      </w:r>
      <w:r w:rsidR="0069622D">
        <w:t xml:space="preserve"> </w:t>
      </w:r>
      <w:r w:rsidR="00ED0E6C">
        <w:t>Rizika vyplývající z těchto skutečností</w:t>
      </w:r>
      <w:r w:rsidR="00C55A0D">
        <w:t xml:space="preserve"> </w:t>
      </w:r>
      <w:r w:rsidR="00C20401">
        <w:t>se</w:t>
      </w:r>
      <w:r w:rsidR="00261858">
        <w:t xml:space="preserve"> </w:t>
      </w:r>
      <w:r w:rsidR="00C20401">
        <w:t>potvrdil</w:t>
      </w:r>
      <w:r w:rsidR="00ED0E6C">
        <w:t>a</w:t>
      </w:r>
      <w:r w:rsidR="00C20401">
        <w:t xml:space="preserve"> </w:t>
      </w:r>
      <w:r w:rsidR="00ED0E6C">
        <w:t>při hodnocení</w:t>
      </w:r>
      <w:r w:rsidR="00C20401">
        <w:t xml:space="preserve"> </w:t>
      </w:r>
      <w:r w:rsidR="00C55A0D">
        <w:t>účelnosti</w:t>
      </w:r>
      <w:r w:rsidR="00C20401">
        <w:t xml:space="preserve"> a</w:t>
      </w:r>
      <w:r w:rsidR="0069622D">
        <w:t> </w:t>
      </w:r>
      <w:r w:rsidR="00C55A0D">
        <w:t>efektivnosti</w:t>
      </w:r>
      <w:r w:rsidR="00C20401">
        <w:t xml:space="preserve"> na vzorku projektů</w:t>
      </w:r>
      <w:r w:rsidR="002C7699">
        <w:t xml:space="preserve"> posuzovaných NKÚ</w:t>
      </w:r>
      <w:r w:rsidR="00EF4BE4">
        <w:t xml:space="preserve"> u</w:t>
      </w:r>
      <w:r w:rsidR="00966FF9">
        <w:t> </w:t>
      </w:r>
      <w:r w:rsidR="00EF4BE4">
        <w:t>příjemců podpory</w:t>
      </w:r>
      <w:r w:rsidR="00C55A0D">
        <w:t>.</w:t>
      </w:r>
    </w:p>
    <w:p w14:paraId="4587A59F" w14:textId="77777777" w:rsidR="00462B07" w:rsidRDefault="00462B07" w:rsidP="00357C61">
      <w:pPr>
        <w:pStyle w:val="JK1"/>
        <w:numPr>
          <w:ilvl w:val="0"/>
          <w:numId w:val="13"/>
        </w:numPr>
        <w:tabs>
          <w:tab w:val="clear" w:pos="567"/>
        </w:tabs>
        <w:ind w:left="709" w:hanging="283"/>
      </w:pPr>
      <w:r>
        <w:t xml:space="preserve">NKÚ vyhodnotil </w:t>
      </w:r>
      <w:r w:rsidR="00FB4F81">
        <w:t xml:space="preserve">z pohledu vynaložených peněžních prostředků </w:t>
      </w:r>
      <w:r w:rsidR="00994AC3">
        <w:t>polovinu</w:t>
      </w:r>
      <w:r>
        <w:t xml:space="preserve"> (</w:t>
      </w:r>
      <w:r w:rsidR="00115D58">
        <w:t>osm</w:t>
      </w:r>
      <w:r>
        <w:t xml:space="preserve"> z 16) posuzovaných projektů </w:t>
      </w:r>
      <w:r w:rsidR="00B305FB">
        <w:t>jako účeln</w:t>
      </w:r>
      <w:r w:rsidR="008577EE">
        <w:t>é</w:t>
      </w:r>
      <w:r w:rsidR="006C4C1B">
        <w:t xml:space="preserve">, příp. </w:t>
      </w:r>
      <w:r w:rsidR="008577EE">
        <w:t xml:space="preserve">účelné </w:t>
      </w:r>
      <w:r w:rsidR="006C4C1B">
        <w:t xml:space="preserve">s mírnými nedostatky. Zbylých </w:t>
      </w:r>
      <w:r w:rsidR="00F7526A">
        <w:t>osm</w:t>
      </w:r>
      <w:r w:rsidR="006C4C1B">
        <w:t xml:space="preserve"> projektů bylo vyhodnoceno jako omezeně účelné nebo neúčelné. </w:t>
      </w:r>
      <w:r w:rsidR="00560DBD">
        <w:t>V t</w:t>
      </w:r>
      <w:r w:rsidR="008577EE">
        <w:t>ěch</w:t>
      </w:r>
      <w:r w:rsidR="00560DBD">
        <w:t>to kategori</w:t>
      </w:r>
      <w:r w:rsidR="008577EE">
        <w:t>ích</w:t>
      </w:r>
      <w:r w:rsidR="00560DBD">
        <w:t xml:space="preserve"> byly </w:t>
      </w:r>
      <w:r w:rsidR="008577EE">
        <w:t>tři</w:t>
      </w:r>
      <w:r w:rsidR="00560DBD">
        <w:t xml:space="preserve"> projekty </w:t>
      </w:r>
      <w:r w:rsidR="00C35EBA">
        <w:t>podpoře</w:t>
      </w:r>
      <w:r w:rsidR="005A45F9">
        <w:t xml:space="preserve">né </w:t>
      </w:r>
      <w:r w:rsidR="00560DBD">
        <w:t xml:space="preserve">z OPZ a </w:t>
      </w:r>
      <w:r w:rsidR="008577EE">
        <w:t>pět</w:t>
      </w:r>
      <w:r w:rsidR="00560DBD">
        <w:t xml:space="preserve"> z IROP </w:t>
      </w:r>
      <w:r w:rsidRPr="00E745C9">
        <w:t>(viz odst. 4.</w:t>
      </w:r>
      <w:r w:rsidR="00537481">
        <w:t>3</w:t>
      </w:r>
      <w:r w:rsidR="00F7526A">
        <w:t>6</w:t>
      </w:r>
      <w:r w:rsidRPr="00E745C9">
        <w:t xml:space="preserve"> až 4.</w:t>
      </w:r>
      <w:r w:rsidR="00537481">
        <w:t>38</w:t>
      </w:r>
      <w:r w:rsidRPr="00E745C9">
        <w:t>).</w:t>
      </w:r>
    </w:p>
    <w:p w14:paraId="7FE99E39" w14:textId="77777777" w:rsidR="00462B07" w:rsidRDefault="00994AC3" w:rsidP="00357C61">
      <w:pPr>
        <w:pStyle w:val="JK1"/>
        <w:numPr>
          <w:ilvl w:val="0"/>
          <w:numId w:val="13"/>
        </w:numPr>
        <w:tabs>
          <w:tab w:val="clear" w:pos="567"/>
        </w:tabs>
        <w:ind w:left="709" w:hanging="283"/>
      </w:pPr>
      <w:r>
        <w:t xml:space="preserve">NKÚ vyhodnotil </w:t>
      </w:r>
      <w:r w:rsidR="00FB4F81">
        <w:t>z</w:t>
      </w:r>
      <w:r w:rsidR="00261858">
        <w:t xml:space="preserve"> </w:t>
      </w:r>
      <w:r w:rsidR="00FB4F81">
        <w:t xml:space="preserve">pohledu vynaložených peněžních prostředků </w:t>
      </w:r>
      <w:r>
        <w:t>p</w:t>
      </w:r>
      <w:r w:rsidR="000E1429">
        <w:t>olovin</w:t>
      </w:r>
      <w:r>
        <w:t>u</w:t>
      </w:r>
      <w:r w:rsidR="000E1429">
        <w:t xml:space="preserve"> (</w:t>
      </w:r>
      <w:r w:rsidR="00115D58">
        <w:t>osm</w:t>
      </w:r>
      <w:r w:rsidR="00FB4F81">
        <w:t> </w:t>
      </w:r>
      <w:r w:rsidR="000E1429">
        <w:t>z 16) z kontrolovaných projektů jako efektivní</w:t>
      </w:r>
      <w:r w:rsidR="009B5D1D">
        <w:t xml:space="preserve">, případně </w:t>
      </w:r>
      <w:r w:rsidR="008577EE">
        <w:t xml:space="preserve">efektivní </w:t>
      </w:r>
      <w:r w:rsidR="009B5D1D">
        <w:t>jen s</w:t>
      </w:r>
      <w:r w:rsidR="00261858">
        <w:t xml:space="preserve"> </w:t>
      </w:r>
      <w:r w:rsidR="009B5D1D">
        <w:t xml:space="preserve">mírnými nedostatky. </w:t>
      </w:r>
      <w:r w:rsidR="00834C04">
        <w:t xml:space="preserve">Zbylých </w:t>
      </w:r>
      <w:r w:rsidR="008577EE">
        <w:t>osm</w:t>
      </w:r>
      <w:r w:rsidR="00834C04">
        <w:t xml:space="preserve"> projektů NKÚ hodnotil jako omezeně efektivní nebo neefektivní. V</w:t>
      </w:r>
      <w:r w:rsidR="00A124EC">
        <w:t xml:space="preserve"> </w:t>
      </w:r>
      <w:r w:rsidR="00834C04">
        <w:t xml:space="preserve">této kategorii byly </w:t>
      </w:r>
      <w:r w:rsidR="008577EE">
        <w:t>tři</w:t>
      </w:r>
      <w:r w:rsidR="00834C04">
        <w:t xml:space="preserve"> projekty </w:t>
      </w:r>
      <w:r w:rsidR="005A45F9">
        <w:t>podpořené z</w:t>
      </w:r>
      <w:r w:rsidR="00A124EC">
        <w:t xml:space="preserve"> </w:t>
      </w:r>
      <w:r w:rsidR="00834C04">
        <w:t>OPZ a</w:t>
      </w:r>
      <w:r w:rsidR="00A124EC">
        <w:t xml:space="preserve"> </w:t>
      </w:r>
      <w:r w:rsidR="008577EE">
        <w:t>pět</w:t>
      </w:r>
      <w:r w:rsidR="00A124EC">
        <w:t xml:space="preserve"> </w:t>
      </w:r>
      <w:r w:rsidR="00834C04">
        <w:t xml:space="preserve">projektů z IROP, přičemž nejkritičtěji </w:t>
      </w:r>
      <w:r w:rsidR="00F80647">
        <w:t xml:space="preserve">(jako </w:t>
      </w:r>
      <w:r w:rsidR="005A45F9">
        <w:t xml:space="preserve">zcela </w:t>
      </w:r>
      <w:r w:rsidR="00F80647">
        <w:t xml:space="preserve">neefektivní) </w:t>
      </w:r>
      <w:r w:rsidR="00834C04">
        <w:t xml:space="preserve">byl </w:t>
      </w:r>
      <w:r w:rsidR="002F0749">
        <w:t xml:space="preserve">hodnocen jeden </w:t>
      </w:r>
      <w:r w:rsidR="00834C04">
        <w:t xml:space="preserve">projekt </w:t>
      </w:r>
      <w:r w:rsidR="002F0749">
        <w:t xml:space="preserve">podpořený z OPZ a jeden projekt podpořený </w:t>
      </w:r>
      <w:r w:rsidR="00834C04">
        <w:t xml:space="preserve">z IROP </w:t>
      </w:r>
      <w:r w:rsidR="009B5D1D" w:rsidRPr="00E745C9">
        <w:t>(viz odst. 4.</w:t>
      </w:r>
      <w:r w:rsidR="00D21741">
        <w:t>40</w:t>
      </w:r>
      <w:r w:rsidR="009B5D1D" w:rsidRPr="00E745C9">
        <w:t xml:space="preserve"> až 4.</w:t>
      </w:r>
      <w:r w:rsidR="0036178E">
        <w:t>4</w:t>
      </w:r>
      <w:r w:rsidR="00F7526A">
        <w:t>2</w:t>
      </w:r>
      <w:r w:rsidR="009B5D1D" w:rsidRPr="00E745C9">
        <w:t>).</w:t>
      </w:r>
    </w:p>
    <w:p w14:paraId="4067EC44" w14:textId="77777777" w:rsidR="00EE5AF0" w:rsidRDefault="00B60222" w:rsidP="00357C61">
      <w:pPr>
        <w:pStyle w:val="JK1"/>
        <w:numPr>
          <w:ilvl w:val="0"/>
          <w:numId w:val="13"/>
        </w:numPr>
        <w:tabs>
          <w:tab w:val="clear" w:pos="567"/>
        </w:tabs>
        <w:ind w:left="709" w:hanging="283"/>
      </w:pPr>
      <w:r>
        <w:t xml:space="preserve">NKÚ zjistil </w:t>
      </w:r>
      <w:r w:rsidR="00533169">
        <w:t xml:space="preserve">u jednoho projektu </w:t>
      </w:r>
      <w:r w:rsidR="00C35EBA">
        <w:t xml:space="preserve">podpořeného z IROP skutečnosti nasvědčující </w:t>
      </w:r>
      <w:r w:rsidR="00471A0E">
        <w:t xml:space="preserve">porušení rozpočtové kázně a </w:t>
      </w:r>
      <w:r w:rsidR="00C35EBA">
        <w:t xml:space="preserve">vzniku </w:t>
      </w:r>
      <w:r w:rsidR="00471A0E">
        <w:t>nesrovnalost</w:t>
      </w:r>
      <w:r w:rsidR="00C35EBA">
        <w:t>i</w:t>
      </w:r>
      <w:r w:rsidR="00471A0E">
        <w:t xml:space="preserve"> </w:t>
      </w:r>
      <w:r w:rsidR="00033ACC">
        <w:t>v důsledku porušení</w:t>
      </w:r>
      <w:r w:rsidR="00AC3C2F">
        <w:t xml:space="preserve"> zákazu </w:t>
      </w:r>
      <w:r>
        <w:t>nákup</w:t>
      </w:r>
      <w:r w:rsidR="00AC3C2F">
        <w:t>u</w:t>
      </w:r>
      <w:r>
        <w:t xml:space="preserve"> nemovitosti pro účely sociálního podnikání od osoby blízké</w:t>
      </w:r>
      <w:r w:rsidR="00313ED6">
        <w:t xml:space="preserve">. </w:t>
      </w:r>
      <w:r w:rsidR="00533169">
        <w:t>V případě tohoto projektu se navíc jednalo o</w:t>
      </w:r>
      <w:r w:rsidR="000F3F8D">
        <w:t xml:space="preserve"> částku 2 864 925 Kč, což činí</w:t>
      </w:r>
      <w:r w:rsidR="00533169">
        <w:t xml:space="preserve"> 69 % </w:t>
      </w:r>
      <w:r w:rsidR="00A436B9">
        <w:t xml:space="preserve">prostředků </w:t>
      </w:r>
      <w:r w:rsidR="00533169">
        <w:t>z celkového objemu podpory</w:t>
      </w:r>
      <w:r w:rsidR="002375AF">
        <w:t xml:space="preserve"> (viz odst. 4.37)</w:t>
      </w:r>
      <w:r w:rsidR="00C35EBA">
        <w:t>.</w:t>
      </w:r>
      <w:r w:rsidR="00533169">
        <w:t xml:space="preserve"> </w:t>
      </w:r>
      <w:r w:rsidR="00AC3C2F">
        <w:t>Stejné pochybení NKÚ zjistil</w:t>
      </w:r>
      <w:r w:rsidR="00313ED6">
        <w:t xml:space="preserve"> </w:t>
      </w:r>
      <w:r w:rsidR="00033ACC">
        <w:t xml:space="preserve">při kontrole u poskytovatele podpory </w:t>
      </w:r>
      <w:r w:rsidR="00313ED6">
        <w:t xml:space="preserve">také u dvou dalších projektů IROP. </w:t>
      </w:r>
      <w:r w:rsidR="008B12E5">
        <w:t xml:space="preserve">Orgány implementační struktury IROP (MMR, CRR) v současné době </w:t>
      </w:r>
      <w:r w:rsidR="00C35EBA">
        <w:t xml:space="preserve">podrobně </w:t>
      </w:r>
      <w:r w:rsidR="008B12E5">
        <w:t>prověřují</w:t>
      </w:r>
      <w:r w:rsidR="00AC3C2F">
        <w:t>, kolika podpořených projektů</w:t>
      </w:r>
      <w:r w:rsidR="00C35EBA">
        <w:t xml:space="preserve"> sociálního podnikání</w:t>
      </w:r>
      <w:r w:rsidR="00AC3C2F">
        <w:t xml:space="preserve"> se toto pochybení skutečně týká</w:t>
      </w:r>
      <w:r w:rsidR="008B12E5">
        <w:t xml:space="preserve">. </w:t>
      </w:r>
      <w:r w:rsidR="00B27EC2">
        <w:t xml:space="preserve">Další porušení právních předpisů nasvědčující porušení </w:t>
      </w:r>
      <w:r w:rsidR="00AC3C2F">
        <w:t>rozpočtové kázně a</w:t>
      </w:r>
      <w:r w:rsidR="00966FF9">
        <w:t> </w:t>
      </w:r>
      <w:r w:rsidR="00AC3C2F">
        <w:t>vznik</w:t>
      </w:r>
      <w:r w:rsidR="00A436B9">
        <w:t>u</w:t>
      </w:r>
      <w:r w:rsidR="00AC3C2F">
        <w:t xml:space="preserve"> nesrovnalost</w:t>
      </w:r>
      <w:r w:rsidR="00C35EBA">
        <w:t>i</w:t>
      </w:r>
      <w:r w:rsidR="00AC3C2F">
        <w:t xml:space="preserve"> zjistil NKÚ ještě u dalších dvou projektů z kontrolovaného vzorku </w:t>
      </w:r>
      <w:r w:rsidR="008577EE">
        <w:t xml:space="preserve">(viz odst. </w:t>
      </w:r>
      <w:r w:rsidR="008165B7">
        <w:t>4.</w:t>
      </w:r>
      <w:r w:rsidR="0036178E">
        <w:t>3</w:t>
      </w:r>
      <w:r w:rsidR="00F7526A">
        <w:t>9</w:t>
      </w:r>
      <w:r w:rsidR="008165B7">
        <w:t xml:space="preserve"> a </w:t>
      </w:r>
      <w:r w:rsidR="005F54FC">
        <w:t>4.</w:t>
      </w:r>
      <w:r w:rsidR="0021036B">
        <w:t>4</w:t>
      </w:r>
      <w:r w:rsidR="00F7526A">
        <w:t>3</w:t>
      </w:r>
      <w:r w:rsidR="005F54FC">
        <w:t>)</w:t>
      </w:r>
      <w:r w:rsidR="00EE5AF0">
        <w:t>.</w:t>
      </w:r>
    </w:p>
    <w:p w14:paraId="6DDFB468" w14:textId="77777777" w:rsidR="006A6BA0" w:rsidRPr="00232EB7" w:rsidRDefault="00232EB7" w:rsidP="00232EB7">
      <w:pPr>
        <w:spacing w:before="600" w:after="240" w:line="240" w:lineRule="auto"/>
        <w:jc w:val="center"/>
        <w:rPr>
          <w:b/>
          <w:sz w:val="28"/>
          <w:szCs w:val="28"/>
        </w:rPr>
      </w:pPr>
      <w:r>
        <w:rPr>
          <w:b/>
          <w:sz w:val="28"/>
          <w:szCs w:val="28"/>
        </w:rPr>
        <w:t xml:space="preserve">II. </w:t>
      </w:r>
      <w:r w:rsidR="006A6BA0" w:rsidRPr="00232EB7">
        <w:rPr>
          <w:b/>
          <w:sz w:val="28"/>
          <w:szCs w:val="28"/>
        </w:rPr>
        <w:t>Informace o kontrolované oblasti</w:t>
      </w:r>
    </w:p>
    <w:p w14:paraId="3A18F377" w14:textId="77777777" w:rsidR="00A90634" w:rsidRPr="001F0D11" w:rsidRDefault="00105744" w:rsidP="0064714D">
      <w:pPr>
        <w:pStyle w:val="JK2"/>
        <w:tabs>
          <w:tab w:val="clear" w:pos="567"/>
          <w:tab w:val="left" w:pos="426"/>
        </w:tabs>
      </w:pPr>
      <w:r w:rsidRPr="00A24AD0">
        <w:rPr>
          <w:rFonts w:asciiTheme="minorHAnsi" w:hAnsiTheme="minorHAnsi" w:cstheme="minorHAnsi"/>
          <w:color w:val="auto"/>
          <w:shd w:val="clear" w:color="auto" w:fill="FFFFFF"/>
        </w:rPr>
        <w:t xml:space="preserve">Sociální podnikání řeší potřebné společenské, nejčastěji sociální či environmentální </w:t>
      </w:r>
      <w:r w:rsidR="00033ACC">
        <w:rPr>
          <w:rFonts w:asciiTheme="minorHAnsi" w:hAnsiTheme="minorHAnsi" w:cstheme="minorHAnsi"/>
          <w:color w:val="auto"/>
          <w:shd w:val="clear" w:color="auto" w:fill="FFFFFF"/>
        </w:rPr>
        <w:t>otázky</w:t>
      </w:r>
      <w:r>
        <w:rPr>
          <w:rFonts w:asciiTheme="minorHAnsi" w:hAnsiTheme="minorHAnsi" w:cstheme="minorHAnsi"/>
          <w:color w:val="auto"/>
          <w:shd w:val="clear" w:color="auto" w:fill="FFFFFF"/>
        </w:rPr>
        <w:t>,</w:t>
      </w:r>
      <w:r w:rsidRPr="00A24AD0">
        <w:rPr>
          <w:rFonts w:asciiTheme="minorHAnsi" w:hAnsiTheme="minorHAnsi" w:cstheme="minorHAnsi"/>
          <w:color w:val="auto"/>
          <w:shd w:val="clear" w:color="auto" w:fill="FFFFFF"/>
        </w:rPr>
        <w:t xml:space="preserve"> ekonomicky a společensky udržitelným způsobem</w:t>
      </w:r>
      <w:r w:rsidR="00956DF4">
        <w:rPr>
          <w:rFonts w:asciiTheme="minorHAnsi" w:hAnsiTheme="minorHAnsi" w:cstheme="minorHAnsi"/>
          <w:color w:val="auto"/>
          <w:shd w:val="clear" w:color="auto" w:fill="FFFFFF"/>
        </w:rPr>
        <w:t>,</w:t>
      </w:r>
      <w:r w:rsidRPr="00A24AD0">
        <w:rPr>
          <w:color w:val="auto"/>
        </w:rPr>
        <w:t xml:space="preserve"> </w:t>
      </w:r>
      <w:r w:rsidRPr="001F0D11">
        <w:t>spíše než by se jednalo o</w:t>
      </w:r>
      <w:r w:rsidR="00A124EC">
        <w:t xml:space="preserve"> </w:t>
      </w:r>
      <w:r w:rsidRPr="001F0D11">
        <w:t>podnikání s</w:t>
      </w:r>
      <w:r w:rsidR="00115D58">
        <w:t> </w:t>
      </w:r>
      <w:r>
        <w:t>cílem</w:t>
      </w:r>
      <w:r w:rsidRPr="001F0D11">
        <w:t xml:space="preserve"> maximalizovat zisk pr</w:t>
      </w:r>
      <w:r>
        <w:t xml:space="preserve">o </w:t>
      </w:r>
      <w:r w:rsidRPr="001F0D11">
        <w:t>zainteresované osoby</w:t>
      </w:r>
      <w:r>
        <w:t>, zejména pak vlastníky podniků</w:t>
      </w:r>
      <w:r w:rsidRPr="001F0D11">
        <w:t xml:space="preserve">. </w:t>
      </w:r>
      <w:r w:rsidR="00E37BC5">
        <w:t>Jde tak o</w:t>
      </w:r>
      <w:r w:rsidR="00115D58">
        <w:t> </w:t>
      </w:r>
      <w:r w:rsidR="00A90634" w:rsidRPr="001F0D11">
        <w:t xml:space="preserve">podnikání s primárně sociálními cíli, </w:t>
      </w:r>
      <w:r w:rsidR="00E37BC5">
        <w:t xml:space="preserve">kdy </w:t>
      </w:r>
      <w:r w:rsidR="00A90634" w:rsidRPr="001F0D11">
        <w:t>zisk</w:t>
      </w:r>
      <w:r w:rsidR="00E37BC5">
        <w:t xml:space="preserve"> z hospodaření</w:t>
      </w:r>
      <w:r w:rsidR="00A90634" w:rsidRPr="001F0D11">
        <w:t xml:space="preserve"> je v</w:t>
      </w:r>
      <w:r w:rsidR="00A90634">
        <w:t> </w:t>
      </w:r>
      <w:r w:rsidR="00A90634" w:rsidRPr="001F0D11">
        <w:t>prvé řadě znovu investován do podni</w:t>
      </w:r>
      <w:r w:rsidR="00E37BC5">
        <w:t>ku</w:t>
      </w:r>
      <w:r w:rsidR="00955221">
        <w:t xml:space="preserve"> opět</w:t>
      </w:r>
      <w:r w:rsidR="00A90634" w:rsidRPr="001F0D11">
        <w:t xml:space="preserve"> za </w:t>
      </w:r>
      <w:r w:rsidR="00E37BC5">
        <w:t xml:space="preserve">sociálním </w:t>
      </w:r>
      <w:r w:rsidR="00A90634" w:rsidRPr="001F0D11">
        <w:t>účelem</w:t>
      </w:r>
      <w:r w:rsidR="00994AC3">
        <w:t>,</w:t>
      </w:r>
      <w:r w:rsidR="00A90634" w:rsidRPr="001F0D11">
        <w:t xml:space="preserve"> </w:t>
      </w:r>
      <w:r w:rsidR="00E37BC5">
        <w:t>příp.</w:t>
      </w:r>
      <w:r w:rsidR="00A90634" w:rsidRPr="001F0D11">
        <w:t xml:space="preserve"> do rozvoje místní komunity</w:t>
      </w:r>
      <w:r w:rsidR="009357CB">
        <w:t>.</w:t>
      </w:r>
    </w:p>
    <w:p w14:paraId="6A40F578" w14:textId="77777777" w:rsidR="00F56CA5" w:rsidRDefault="00A90634" w:rsidP="0064714D">
      <w:pPr>
        <w:pStyle w:val="JK2"/>
        <w:tabs>
          <w:tab w:val="clear" w:pos="567"/>
          <w:tab w:val="left" w:pos="426"/>
        </w:tabs>
        <w:spacing w:after="0"/>
      </w:pPr>
      <w:r>
        <w:t>V</w:t>
      </w:r>
      <w:r w:rsidR="00A124EC">
        <w:t xml:space="preserve"> </w:t>
      </w:r>
      <w:r>
        <w:t xml:space="preserve">programovém období </w:t>
      </w:r>
      <w:r w:rsidR="00F56CA5">
        <w:t>2014–2020</w:t>
      </w:r>
      <w:r>
        <w:t xml:space="preserve"> byla podpora sociálního podnikání v</w:t>
      </w:r>
      <w:r w:rsidR="00A124EC">
        <w:t xml:space="preserve"> </w:t>
      </w:r>
      <w:r>
        <w:t>rámci operačních programů spolufinancovaných v</w:t>
      </w:r>
      <w:r w:rsidR="00A124EC">
        <w:t xml:space="preserve"> </w:t>
      </w:r>
      <w:r>
        <w:t>ČR z</w:t>
      </w:r>
      <w:r w:rsidR="00A124EC">
        <w:t xml:space="preserve"> </w:t>
      </w:r>
      <w:r>
        <w:t xml:space="preserve">prostředků Evropské unie realizována </w:t>
      </w:r>
      <w:r w:rsidR="00E37BC5">
        <w:t>prostřednictvím</w:t>
      </w:r>
      <w:r w:rsidR="00F56CA5">
        <w:t>:</w:t>
      </w:r>
    </w:p>
    <w:p w14:paraId="5915E33F" w14:textId="77777777" w:rsidR="00F56CA5" w:rsidRPr="005A6A3D" w:rsidRDefault="00B11277" w:rsidP="00357C61">
      <w:pPr>
        <w:pStyle w:val="JK2"/>
        <w:numPr>
          <w:ilvl w:val="0"/>
          <w:numId w:val="9"/>
        </w:numPr>
        <w:spacing w:before="0" w:after="0"/>
        <w:ind w:left="851" w:hanging="284"/>
      </w:pPr>
      <w:r w:rsidRPr="00731936">
        <w:t>o</w:t>
      </w:r>
      <w:r w:rsidR="00A24AD0" w:rsidRPr="00731936">
        <w:t>peračního programu</w:t>
      </w:r>
      <w:r w:rsidR="00A24AD0" w:rsidRPr="00901820">
        <w:rPr>
          <w:i/>
        </w:rPr>
        <w:t xml:space="preserve"> Zaměstnanost </w:t>
      </w:r>
      <w:r w:rsidR="00F56CA5" w:rsidRPr="00901820">
        <w:rPr>
          <w:i/>
        </w:rPr>
        <w:t>2014–2020</w:t>
      </w:r>
      <w:r w:rsidR="00A24AD0">
        <w:t xml:space="preserve"> řízen</w:t>
      </w:r>
      <w:r w:rsidR="002375AF">
        <w:t>ého</w:t>
      </w:r>
      <w:r w:rsidR="00A24AD0">
        <w:t xml:space="preserve"> MPSV,</w:t>
      </w:r>
      <w:r w:rsidR="00A24AD0" w:rsidRPr="001F0D11">
        <w:t xml:space="preserve"> </w:t>
      </w:r>
    </w:p>
    <w:p w14:paraId="37BBBBE2" w14:textId="77777777" w:rsidR="00F56CA5" w:rsidRDefault="00A90634" w:rsidP="00357C61">
      <w:pPr>
        <w:pStyle w:val="JK2"/>
        <w:numPr>
          <w:ilvl w:val="0"/>
          <w:numId w:val="9"/>
        </w:numPr>
        <w:spacing w:before="0" w:after="0"/>
        <w:ind w:left="851" w:hanging="284"/>
      </w:pPr>
      <w:r w:rsidRPr="00901820">
        <w:rPr>
          <w:i/>
        </w:rPr>
        <w:t>Integrované</w:t>
      </w:r>
      <w:r w:rsidR="00E37BC5" w:rsidRPr="00901820">
        <w:rPr>
          <w:i/>
        </w:rPr>
        <w:t>ho</w:t>
      </w:r>
      <w:r w:rsidRPr="00901820">
        <w:rPr>
          <w:i/>
        </w:rPr>
        <w:t xml:space="preserve"> regionální</w:t>
      </w:r>
      <w:r w:rsidR="00E37BC5" w:rsidRPr="00901820">
        <w:rPr>
          <w:i/>
        </w:rPr>
        <w:t>ho</w:t>
      </w:r>
      <w:r w:rsidRPr="00901820">
        <w:rPr>
          <w:i/>
        </w:rPr>
        <w:t xml:space="preserve"> operační</w:t>
      </w:r>
      <w:r w:rsidR="00E37BC5" w:rsidRPr="00901820">
        <w:rPr>
          <w:i/>
        </w:rPr>
        <w:t>ho</w:t>
      </w:r>
      <w:r w:rsidRPr="00901820">
        <w:rPr>
          <w:i/>
        </w:rPr>
        <w:t xml:space="preserve"> programu</w:t>
      </w:r>
      <w:r>
        <w:t xml:space="preserve"> řízené</w:t>
      </w:r>
      <w:r w:rsidR="002375AF">
        <w:t>ho</w:t>
      </w:r>
      <w:r>
        <w:t xml:space="preserve"> MMR</w:t>
      </w:r>
      <w:r w:rsidR="00F56CA5">
        <w:t>,</w:t>
      </w:r>
    </w:p>
    <w:p w14:paraId="38239855" w14:textId="77777777" w:rsidR="00A90634" w:rsidRDefault="00B11277" w:rsidP="00357C61">
      <w:pPr>
        <w:pStyle w:val="JK2"/>
        <w:numPr>
          <w:ilvl w:val="0"/>
          <w:numId w:val="9"/>
        </w:numPr>
        <w:spacing w:before="0"/>
        <w:ind w:left="851" w:hanging="284"/>
      </w:pPr>
      <w:r w:rsidRPr="00731936">
        <w:t>o</w:t>
      </w:r>
      <w:r w:rsidR="00A90634" w:rsidRPr="00731936">
        <w:t>perační</w:t>
      </w:r>
      <w:r w:rsidR="00E37BC5" w:rsidRPr="00731936">
        <w:t>ho</w:t>
      </w:r>
      <w:r w:rsidR="00A90634" w:rsidRPr="00731936">
        <w:t xml:space="preserve"> programu</w:t>
      </w:r>
      <w:r w:rsidR="00A90634" w:rsidRPr="001F0D11">
        <w:rPr>
          <w:i/>
        </w:rPr>
        <w:t xml:space="preserve"> Praha – pól růstu</w:t>
      </w:r>
      <w:r>
        <w:rPr>
          <w:i/>
        </w:rPr>
        <w:t xml:space="preserve"> ČR</w:t>
      </w:r>
      <w:r w:rsidR="00A90634">
        <w:t xml:space="preserve"> (dále také „OP PPR“) řízené</w:t>
      </w:r>
      <w:r w:rsidR="002375AF">
        <w:t>ho</w:t>
      </w:r>
      <w:r w:rsidR="00A90634">
        <w:t xml:space="preserve"> hlavním městem Praha</w:t>
      </w:r>
      <w:r w:rsidR="005A6A3D">
        <w:rPr>
          <w:rStyle w:val="Znakapoznpodarou"/>
        </w:rPr>
        <w:footnoteReference w:id="6"/>
      </w:r>
      <w:r w:rsidR="00A90634">
        <w:t xml:space="preserve">. </w:t>
      </w:r>
    </w:p>
    <w:p w14:paraId="4897B671" w14:textId="77777777" w:rsidR="00A90634" w:rsidRDefault="00A90634" w:rsidP="0064714D">
      <w:pPr>
        <w:pStyle w:val="JK2"/>
        <w:tabs>
          <w:tab w:val="clear" w:pos="567"/>
          <w:tab w:val="left" w:pos="426"/>
        </w:tabs>
      </w:pPr>
      <w:r>
        <w:t xml:space="preserve">Společenským </w:t>
      </w:r>
      <w:r w:rsidR="00994AC3">
        <w:t>cílem</w:t>
      </w:r>
      <w:r>
        <w:t xml:space="preserve">, </w:t>
      </w:r>
      <w:r w:rsidR="00994AC3">
        <w:t>k</w:t>
      </w:r>
      <w:r w:rsidR="00A124EC">
        <w:t xml:space="preserve"> </w:t>
      </w:r>
      <w:r w:rsidR="00BB5757">
        <w:t xml:space="preserve">jehož naplnění </w:t>
      </w:r>
      <w:r w:rsidR="00994AC3">
        <w:t>má vést podpora</w:t>
      </w:r>
      <w:r>
        <w:t xml:space="preserve"> sociální</w:t>
      </w:r>
      <w:r w:rsidR="00994AC3">
        <w:t>ho</w:t>
      </w:r>
      <w:r>
        <w:t xml:space="preserve"> podnikání uskutečňovan</w:t>
      </w:r>
      <w:r w:rsidR="00994AC3">
        <w:t>á</w:t>
      </w:r>
      <w:r>
        <w:t xml:space="preserve"> </w:t>
      </w:r>
      <w:r w:rsidR="00994AC3">
        <w:t>z</w:t>
      </w:r>
      <w:r>
        <w:t xml:space="preserve"> operačních programů spolufinancovaných v</w:t>
      </w:r>
      <w:r w:rsidR="00A124EC">
        <w:t xml:space="preserve"> </w:t>
      </w:r>
      <w:r>
        <w:t>ČR z</w:t>
      </w:r>
      <w:r w:rsidR="00A124EC">
        <w:t xml:space="preserve"> </w:t>
      </w:r>
      <w:r>
        <w:t>prostředků EU, je zaměstnávání a sociální začleňování osob znevýhodněných na trhu práce</w:t>
      </w:r>
      <w:r w:rsidR="009357CB">
        <w:t xml:space="preserve"> ze zdravotních, sociálních či jiných důvodů</w:t>
      </w:r>
      <w:r>
        <w:t>.</w:t>
      </w:r>
    </w:p>
    <w:p w14:paraId="7F3EE46A" w14:textId="77777777" w:rsidR="00757057" w:rsidRPr="00CD7215" w:rsidRDefault="00757057" w:rsidP="00D96C84">
      <w:pPr>
        <w:pStyle w:val="kurzva"/>
        <w:keepNext/>
        <w:spacing w:after="120" w:line="240" w:lineRule="auto"/>
        <w:rPr>
          <w:sz w:val="24"/>
          <w:szCs w:val="24"/>
        </w:rPr>
      </w:pPr>
      <w:r w:rsidRPr="00CD7215">
        <w:rPr>
          <w:sz w:val="24"/>
          <w:szCs w:val="24"/>
        </w:rPr>
        <w:t>Podpora sociálního podnikání z OPZ</w:t>
      </w:r>
    </w:p>
    <w:p w14:paraId="2ACDAEC5" w14:textId="77777777" w:rsidR="00757057" w:rsidRDefault="00757057" w:rsidP="0064714D">
      <w:pPr>
        <w:pStyle w:val="JK2"/>
        <w:tabs>
          <w:tab w:val="clear" w:pos="567"/>
          <w:tab w:val="left" w:pos="426"/>
        </w:tabs>
      </w:pPr>
      <w:r>
        <w:t>Podpora sociálního podnikání je z prostředků OPZ poskytována v rámci jeho prioritní osy</w:t>
      </w:r>
      <w:r w:rsidR="00626FBD">
        <w:t> </w:t>
      </w:r>
      <w:r>
        <w:t xml:space="preserve">2 (dále také „PO 2“) </w:t>
      </w:r>
      <w:r w:rsidRPr="00626FBD">
        <w:rPr>
          <w:i/>
        </w:rPr>
        <w:t>Sociální začleňování a boj s chudobou</w:t>
      </w:r>
      <w:r>
        <w:t xml:space="preserve">, investiční priority 1, specifického cíle 2.1.2 </w:t>
      </w:r>
      <w:r w:rsidRPr="00626FBD">
        <w:rPr>
          <w:i/>
        </w:rPr>
        <w:t>Rozvoj sektoru sociální ekonomiky</w:t>
      </w:r>
      <w:r>
        <w:t xml:space="preserve"> (dále </w:t>
      </w:r>
      <w:r w:rsidR="003F79E6">
        <w:t xml:space="preserve">také </w:t>
      </w:r>
      <w:r>
        <w:t>„SC 2.1.2</w:t>
      </w:r>
      <w:r w:rsidR="00EB0B2C">
        <w:t xml:space="preserve"> OPZ</w:t>
      </w:r>
      <w:r>
        <w:t xml:space="preserve">“). OPZ poskytuje podporu sociálního podnikání také v rámci </w:t>
      </w:r>
      <w:r w:rsidR="001841BF">
        <w:t>s</w:t>
      </w:r>
      <w:r>
        <w:t>trategií komunitně vedeného místního rozvoje v</w:t>
      </w:r>
      <w:r w:rsidR="00626FBD">
        <w:t> </w:t>
      </w:r>
      <w:r>
        <w:t>rámci PO</w:t>
      </w:r>
      <w:r w:rsidR="0064714D">
        <w:t> </w:t>
      </w:r>
      <w:r>
        <w:t xml:space="preserve">2, investiční priority 3, SC 2.3.1 </w:t>
      </w:r>
      <w:r w:rsidRPr="00626FBD">
        <w:rPr>
          <w:i/>
        </w:rPr>
        <w:t>Zvýšit zapojení lokálních aktérů do řešení problémů nezaměstnanosti a sociálního začleňování ve venkovských oblastech</w:t>
      </w:r>
      <w:r w:rsidR="007F05BB">
        <w:t xml:space="preserve"> (dále </w:t>
      </w:r>
      <w:r w:rsidR="00EA6D43">
        <w:t xml:space="preserve">také </w:t>
      </w:r>
      <w:r w:rsidR="007F05BB">
        <w:t>„SC 2.3.1</w:t>
      </w:r>
      <w:r w:rsidR="00EB0B2C">
        <w:t xml:space="preserve"> OPZ</w:t>
      </w:r>
      <w:r w:rsidR="007F05BB">
        <w:t>“)</w:t>
      </w:r>
      <w:r>
        <w:t>. Podpora sociálního podnikání poskytovaná v rámci SC 2.3.1 musí být v souladu se zaměřením prioritní osy 2 OPZ.</w:t>
      </w:r>
    </w:p>
    <w:p w14:paraId="2FB68393" w14:textId="77777777" w:rsidR="00757057" w:rsidRDefault="00757057" w:rsidP="0064714D">
      <w:pPr>
        <w:pStyle w:val="JK2"/>
        <w:tabs>
          <w:tab w:val="clear" w:pos="567"/>
          <w:tab w:val="left" w:pos="426"/>
        </w:tabs>
      </w:pPr>
      <w:r>
        <w:t xml:space="preserve">Podpora z OPZ je primárně určena na zajištění provozu </w:t>
      </w:r>
      <w:r w:rsidR="00EC2147">
        <w:t xml:space="preserve">sociálních podniků (dále </w:t>
      </w:r>
      <w:r w:rsidR="00EA6D43">
        <w:t xml:space="preserve">také </w:t>
      </w:r>
      <w:r w:rsidR="00EC2147">
        <w:t xml:space="preserve">„SP“) </w:t>
      </w:r>
      <w:r>
        <w:t xml:space="preserve">formou úhrady vzniklých mezd, nákladů na školení a vzdělávání a nezbytný marketing. Pořizování technologií, zařízení a vybavení je z prostředků </w:t>
      </w:r>
      <w:r w:rsidRPr="00626FBD">
        <w:rPr>
          <w:i/>
        </w:rPr>
        <w:t>Evropského sociálního fondu</w:t>
      </w:r>
      <w:r>
        <w:t xml:space="preserve"> možné do 50 % rozpočtu za podmínek stanovených v příslušných výzvách a na nich navazující dokumentace. Je poskytována formou ex-ante plateb s využitím nepřímých nákladů ve výši 25</w:t>
      </w:r>
      <w:r w:rsidR="00232EB7">
        <w:t> </w:t>
      </w:r>
      <w:r>
        <w:t xml:space="preserve">% rozpočtu, přičemž míra spolufinancování příjemců podpory u většiny výzev činí 15 %. Doba udržitelnosti nebyla pro projekty OPZ stanovena. Přehled celkové finanční alokace, výše prostředků odpovídající vydaným </w:t>
      </w:r>
      <w:r w:rsidR="002D1F88">
        <w:t>r</w:t>
      </w:r>
      <w:r w:rsidR="00033ACC">
        <w:t>ozhodnutím o poskytnutí dotace (dále také „</w:t>
      </w:r>
      <w:proofErr w:type="spellStart"/>
      <w:r w:rsidR="00033ACC">
        <w:t>RoPD</w:t>
      </w:r>
      <w:proofErr w:type="spellEnd"/>
      <w:r w:rsidR="00033ACC">
        <w:t>“)</w:t>
      </w:r>
      <w:r>
        <w:t xml:space="preserve"> i</w:t>
      </w:r>
      <w:r w:rsidR="00CD7215">
        <w:t> </w:t>
      </w:r>
      <w:r>
        <w:t xml:space="preserve">skutečně </w:t>
      </w:r>
      <w:r w:rsidR="00682D93">
        <w:t xml:space="preserve">vzniklých způsobilých </w:t>
      </w:r>
      <w:r>
        <w:t xml:space="preserve">výdajů představuje tabulka č. </w:t>
      </w:r>
      <w:r w:rsidR="00626FBD">
        <w:t>1</w:t>
      </w:r>
      <w:r>
        <w:t>. Podrobný přehled podle výzev, v</w:t>
      </w:r>
      <w:r w:rsidR="00FE1197">
        <w:t> jejichž</w:t>
      </w:r>
      <w:r>
        <w:t xml:space="preserve"> rámci došlo v</w:t>
      </w:r>
      <w:r w:rsidR="00626FBD">
        <w:t> </w:t>
      </w:r>
      <w:r>
        <w:t>OPZ k podpoře projektů sociálního podnikání, je uveden v</w:t>
      </w:r>
      <w:r w:rsidR="00CD7215">
        <w:t> </w:t>
      </w:r>
      <w:r w:rsidRPr="00063F2D">
        <w:rPr>
          <w:b/>
        </w:rPr>
        <w:t>příloze č. 4</w:t>
      </w:r>
      <w:r w:rsidR="004F7190" w:rsidRPr="00063F2D">
        <w:t xml:space="preserve"> </w:t>
      </w:r>
      <w:r w:rsidR="004F7190">
        <w:t>tohoto kontrolního závěru</w:t>
      </w:r>
      <w:r w:rsidRPr="00063F2D">
        <w:t>.</w:t>
      </w:r>
    </w:p>
    <w:p w14:paraId="07E2673D" w14:textId="77777777" w:rsidR="00237A67" w:rsidRDefault="00237A67" w:rsidP="0064714D">
      <w:pPr>
        <w:keepNext/>
        <w:tabs>
          <w:tab w:val="right" w:pos="9072"/>
        </w:tabs>
        <w:spacing w:after="40" w:line="240" w:lineRule="auto"/>
        <w:jc w:val="both"/>
        <w:rPr>
          <w:rFonts w:ascii="Calibri" w:hAnsi="Calibri" w:cs="Calibri"/>
          <w:b/>
          <w:color w:val="000000" w:themeColor="text1"/>
          <w:sz w:val="24"/>
          <w:szCs w:val="24"/>
        </w:rPr>
      </w:pPr>
      <w:r w:rsidRPr="00237A67">
        <w:rPr>
          <w:rFonts w:ascii="Calibri" w:hAnsi="Calibri" w:cs="Calibri"/>
          <w:b/>
          <w:color w:val="000000" w:themeColor="text1"/>
          <w:sz w:val="24"/>
          <w:szCs w:val="24"/>
        </w:rPr>
        <w:t xml:space="preserve">Tabulka č. </w:t>
      </w:r>
      <w:r w:rsidR="00973B07">
        <w:rPr>
          <w:rFonts w:ascii="Calibri" w:hAnsi="Calibri" w:cs="Calibri"/>
          <w:b/>
          <w:color w:val="000000" w:themeColor="text1"/>
          <w:sz w:val="24"/>
          <w:szCs w:val="24"/>
        </w:rPr>
        <w:t>1</w:t>
      </w:r>
      <w:r w:rsidRPr="00237A67">
        <w:rPr>
          <w:rFonts w:ascii="Calibri" w:hAnsi="Calibri" w:cs="Calibri"/>
          <w:b/>
          <w:color w:val="000000" w:themeColor="text1"/>
          <w:sz w:val="24"/>
          <w:szCs w:val="24"/>
        </w:rPr>
        <w:t xml:space="preserve">: Finanční alokace OPZ na podporu sociálního podnikání a její čerpání </w:t>
      </w:r>
      <w:r w:rsidRPr="00237A67">
        <w:rPr>
          <w:rFonts w:ascii="Calibri" w:hAnsi="Calibri" w:cs="Calibri"/>
          <w:b/>
          <w:color w:val="000000" w:themeColor="text1"/>
          <w:sz w:val="24"/>
          <w:szCs w:val="24"/>
        </w:rPr>
        <w:tab/>
        <w:t>(v Kč)</w:t>
      </w:r>
    </w:p>
    <w:tbl>
      <w:tblPr>
        <w:tblStyle w:val="Mkatabulky"/>
        <w:tblpPr w:leftFromText="141" w:rightFromText="141" w:vertAnchor="text" w:horzAnchor="margin" w:tblpXSpec="center" w:tblpY="7"/>
        <w:tblW w:w="9070" w:type="dxa"/>
        <w:tblLayout w:type="fixed"/>
        <w:tblLook w:val="04A0" w:firstRow="1" w:lastRow="0" w:firstColumn="1" w:lastColumn="0" w:noHBand="0" w:noVBand="1"/>
      </w:tblPr>
      <w:tblGrid>
        <w:gridCol w:w="2154"/>
        <w:gridCol w:w="2381"/>
        <w:gridCol w:w="1984"/>
        <w:gridCol w:w="2551"/>
      </w:tblGrid>
      <w:tr w:rsidR="00237A67" w:rsidRPr="0064714D" w14:paraId="3FC97AA5" w14:textId="77777777" w:rsidTr="0064714D">
        <w:trPr>
          <w:trHeight w:val="255"/>
        </w:trPr>
        <w:tc>
          <w:tcPr>
            <w:tcW w:w="2154" w:type="dxa"/>
            <w:shd w:val="clear" w:color="auto" w:fill="E5F1FF"/>
            <w:vAlign w:val="center"/>
          </w:tcPr>
          <w:p w14:paraId="139F318E" w14:textId="77777777" w:rsidR="00237A67" w:rsidRPr="0064714D" w:rsidRDefault="00250E8F" w:rsidP="0064714D">
            <w:pPr>
              <w:keepNext/>
              <w:jc w:val="center"/>
              <w:rPr>
                <w:rFonts w:ascii="Calibri" w:hAnsi="Calibri" w:cs="Calibri"/>
                <w:sz w:val="20"/>
                <w:szCs w:val="20"/>
              </w:rPr>
            </w:pPr>
            <w:r w:rsidRPr="0064714D">
              <w:rPr>
                <w:rFonts w:ascii="Calibri" w:hAnsi="Calibri" w:cs="Calibri"/>
                <w:b/>
                <w:sz w:val="20"/>
                <w:szCs w:val="20"/>
              </w:rPr>
              <w:t xml:space="preserve">Celková finanční </w:t>
            </w:r>
            <w:r w:rsidR="00237A67" w:rsidRPr="0064714D">
              <w:rPr>
                <w:rFonts w:ascii="Calibri" w:hAnsi="Calibri" w:cs="Calibri"/>
                <w:b/>
                <w:sz w:val="20"/>
                <w:szCs w:val="20"/>
              </w:rPr>
              <w:t>alokace**</w:t>
            </w:r>
          </w:p>
        </w:tc>
        <w:tc>
          <w:tcPr>
            <w:tcW w:w="2381" w:type="dxa"/>
            <w:shd w:val="clear" w:color="auto" w:fill="E5F1FF"/>
            <w:vAlign w:val="center"/>
          </w:tcPr>
          <w:p w14:paraId="5D3CD65F" w14:textId="77777777" w:rsidR="00237A67" w:rsidRPr="0064714D" w:rsidRDefault="00237A67" w:rsidP="0064714D">
            <w:pPr>
              <w:keepNext/>
              <w:jc w:val="center"/>
              <w:rPr>
                <w:rFonts w:ascii="Calibri" w:hAnsi="Calibri" w:cs="Calibri"/>
                <w:sz w:val="20"/>
                <w:szCs w:val="20"/>
              </w:rPr>
            </w:pPr>
            <w:r w:rsidRPr="0064714D">
              <w:rPr>
                <w:rFonts w:ascii="Calibri" w:hAnsi="Calibri" w:cs="Calibri"/>
                <w:b/>
                <w:sz w:val="20"/>
                <w:szCs w:val="20"/>
              </w:rPr>
              <w:t xml:space="preserve">Vydaná </w:t>
            </w:r>
            <w:r w:rsidR="004F7190">
              <w:rPr>
                <w:rFonts w:ascii="Calibri" w:hAnsi="Calibri" w:cs="Calibri"/>
                <w:b/>
                <w:sz w:val="20"/>
                <w:szCs w:val="20"/>
              </w:rPr>
              <w:t>r</w:t>
            </w:r>
            <w:r w:rsidRPr="0064714D">
              <w:rPr>
                <w:rFonts w:ascii="Calibri" w:hAnsi="Calibri" w:cs="Calibri"/>
                <w:b/>
                <w:sz w:val="20"/>
                <w:szCs w:val="20"/>
              </w:rPr>
              <w:t xml:space="preserve">ozhodnutí </w:t>
            </w:r>
            <w:r w:rsidR="00105744" w:rsidRPr="0064714D">
              <w:rPr>
                <w:rFonts w:ascii="Calibri" w:hAnsi="Calibri" w:cs="Calibri"/>
                <w:b/>
                <w:sz w:val="20"/>
                <w:szCs w:val="20"/>
              </w:rPr>
              <w:t>o</w:t>
            </w:r>
            <w:r w:rsidR="00FA3546" w:rsidRPr="0064714D">
              <w:rPr>
                <w:rFonts w:ascii="Calibri" w:hAnsi="Calibri" w:cs="Calibri"/>
                <w:b/>
                <w:sz w:val="20"/>
                <w:szCs w:val="20"/>
              </w:rPr>
              <w:t> </w:t>
            </w:r>
            <w:r w:rsidR="00105744" w:rsidRPr="0064714D">
              <w:rPr>
                <w:rFonts w:ascii="Calibri" w:hAnsi="Calibri" w:cs="Calibri"/>
                <w:b/>
                <w:sz w:val="20"/>
                <w:szCs w:val="20"/>
              </w:rPr>
              <w:t>poskytnutí dotace</w:t>
            </w:r>
            <w:r w:rsidRPr="0064714D">
              <w:rPr>
                <w:rFonts w:ascii="Calibri" w:hAnsi="Calibri" w:cs="Calibri"/>
                <w:b/>
                <w:sz w:val="20"/>
                <w:szCs w:val="20"/>
              </w:rPr>
              <w:t>*</w:t>
            </w:r>
          </w:p>
        </w:tc>
        <w:tc>
          <w:tcPr>
            <w:tcW w:w="1984" w:type="dxa"/>
            <w:shd w:val="clear" w:color="auto" w:fill="E5F1FF"/>
            <w:vAlign w:val="center"/>
          </w:tcPr>
          <w:p w14:paraId="01F8E6CA" w14:textId="77777777" w:rsidR="00237A67" w:rsidRPr="0064714D" w:rsidRDefault="00237A67" w:rsidP="0064714D">
            <w:pPr>
              <w:keepNext/>
              <w:jc w:val="center"/>
              <w:rPr>
                <w:rFonts w:ascii="Calibri" w:hAnsi="Calibri" w:cs="Calibri"/>
                <w:sz w:val="20"/>
                <w:szCs w:val="20"/>
              </w:rPr>
            </w:pPr>
            <w:r w:rsidRPr="0064714D">
              <w:rPr>
                <w:rFonts w:ascii="Calibri" w:hAnsi="Calibri" w:cs="Calibri"/>
                <w:b/>
                <w:sz w:val="20"/>
                <w:szCs w:val="20"/>
              </w:rPr>
              <w:t xml:space="preserve">Celkové způsobilé výdaje </w:t>
            </w:r>
          </w:p>
        </w:tc>
        <w:tc>
          <w:tcPr>
            <w:tcW w:w="2551" w:type="dxa"/>
            <w:shd w:val="clear" w:color="auto" w:fill="E5F1FF"/>
          </w:tcPr>
          <w:p w14:paraId="44BA728E" w14:textId="77777777" w:rsidR="00895B36" w:rsidRPr="0064714D" w:rsidRDefault="00CC1A19" w:rsidP="0064714D">
            <w:pPr>
              <w:keepNext/>
              <w:jc w:val="center"/>
              <w:rPr>
                <w:rFonts w:ascii="Calibri" w:hAnsi="Calibri" w:cs="Calibri"/>
                <w:b/>
                <w:sz w:val="20"/>
                <w:szCs w:val="20"/>
              </w:rPr>
            </w:pPr>
            <w:r w:rsidRPr="0064714D">
              <w:rPr>
                <w:rFonts w:ascii="Calibri" w:hAnsi="Calibri" w:cs="Calibri"/>
                <w:b/>
                <w:sz w:val="20"/>
                <w:szCs w:val="20"/>
              </w:rPr>
              <w:t>Z toho celkové způsobilé výdaje</w:t>
            </w:r>
            <w:r w:rsidR="00895B36" w:rsidRPr="0064714D">
              <w:rPr>
                <w:rFonts w:ascii="Calibri" w:hAnsi="Calibri" w:cs="Calibri"/>
                <w:b/>
                <w:sz w:val="20"/>
                <w:szCs w:val="20"/>
              </w:rPr>
              <w:t xml:space="preserve"> </w:t>
            </w:r>
            <w:r w:rsidR="00251792" w:rsidRPr="0064714D">
              <w:rPr>
                <w:rFonts w:ascii="Calibri" w:hAnsi="Calibri" w:cs="Calibri"/>
                <w:b/>
                <w:sz w:val="20"/>
                <w:szCs w:val="20"/>
              </w:rPr>
              <w:t xml:space="preserve">hrazené </w:t>
            </w:r>
            <w:r w:rsidR="00895B36" w:rsidRPr="0064714D">
              <w:rPr>
                <w:rFonts w:ascii="Calibri" w:hAnsi="Calibri" w:cs="Calibri"/>
                <w:b/>
                <w:sz w:val="20"/>
                <w:szCs w:val="20"/>
              </w:rPr>
              <w:t>z</w:t>
            </w:r>
            <w:r w:rsidR="00E629D2" w:rsidRPr="0064714D">
              <w:rPr>
                <w:rFonts w:ascii="Calibri" w:hAnsi="Calibri" w:cs="Calibri"/>
                <w:b/>
                <w:sz w:val="20"/>
                <w:szCs w:val="20"/>
              </w:rPr>
              <w:t> </w:t>
            </w:r>
            <w:r w:rsidR="00895B36" w:rsidRPr="0064714D">
              <w:rPr>
                <w:rFonts w:ascii="Calibri" w:hAnsi="Calibri" w:cs="Calibri"/>
                <w:b/>
                <w:sz w:val="20"/>
                <w:szCs w:val="20"/>
              </w:rPr>
              <w:t>OPZ</w:t>
            </w:r>
          </w:p>
        </w:tc>
      </w:tr>
      <w:tr w:rsidR="00237A67" w:rsidRPr="0064714D" w14:paraId="77D3D04D" w14:textId="77777777" w:rsidTr="0064714D">
        <w:trPr>
          <w:trHeight w:val="255"/>
        </w:trPr>
        <w:tc>
          <w:tcPr>
            <w:tcW w:w="2154" w:type="dxa"/>
            <w:vAlign w:val="center"/>
          </w:tcPr>
          <w:p w14:paraId="2F72DA3E" w14:textId="77777777" w:rsidR="00237A67" w:rsidRPr="0064714D" w:rsidRDefault="00237A67" w:rsidP="0064714D">
            <w:pPr>
              <w:keepNext/>
              <w:ind w:right="209"/>
              <w:jc w:val="right"/>
              <w:rPr>
                <w:rFonts w:ascii="Calibri" w:hAnsi="Calibri" w:cs="Calibri"/>
                <w:sz w:val="20"/>
                <w:szCs w:val="20"/>
              </w:rPr>
            </w:pPr>
            <w:r w:rsidRPr="0064714D">
              <w:rPr>
                <w:rFonts w:ascii="Calibri" w:hAnsi="Calibri" w:cs="Calibri"/>
                <w:b/>
                <w:bCs/>
                <w:color w:val="000000"/>
                <w:sz w:val="20"/>
                <w:szCs w:val="20"/>
                <w:lang w:eastAsia="cs-CZ"/>
              </w:rPr>
              <w:t>3 229 972</w:t>
            </w:r>
            <w:r w:rsidR="005F6EEF" w:rsidRPr="0064714D">
              <w:rPr>
                <w:rFonts w:ascii="Calibri" w:hAnsi="Calibri" w:cs="Calibri"/>
                <w:b/>
                <w:bCs/>
                <w:color w:val="000000"/>
                <w:sz w:val="20"/>
                <w:szCs w:val="20"/>
                <w:lang w:eastAsia="cs-CZ"/>
              </w:rPr>
              <w:t> </w:t>
            </w:r>
            <w:r w:rsidRPr="0064714D">
              <w:rPr>
                <w:rFonts w:ascii="Calibri" w:hAnsi="Calibri" w:cs="Calibri"/>
                <w:b/>
                <w:bCs/>
                <w:color w:val="000000"/>
                <w:sz w:val="20"/>
                <w:szCs w:val="20"/>
                <w:lang w:eastAsia="cs-CZ"/>
              </w:rPr>
              <w:t>000</w:t>
            </w:r>
            <w:r w:rsidR="005F6EEF" w:rsidRPr="0064714D">
              <w:rPr>
                <w:rFonts w:ascii="Calibri" w:hAnsi="Calibri" w:cs="Calibri"/>
                <w:b/>
                <w:bCs/>
                <w:color w:val="000000"/>
                <w:sz w:val="20"/>
                <w:szCs w:val="20"/>
                <w:lang w:eastAsia="cs-CZ"/>
              </w:rPr>
              <w:t>,00</w:t>
            </w:r>
          </w:p>
        </w:tc>
        <w:tc>
          <w:tcPr>
            <w:tcW w:w="2381" w:type="dxa"/>
            <w:vAlign w:val="center"/>
          </w:tcPr>
          <w:p w14:paraId="642B4F3E" w14:textId="77777777" w:rsidR="00237A67" w:rsidRPr="0064714D" w:rsidRDefault="00237A67" w:rsidP="0064714D">
            <w:pPr>
              <w:keepNext/>
              <w:ind w:right="209"/>
              <w:jc w:val="right"/>
              <w:rPr>
                <w:rFonts w:ascii="Calibri" w:hAnsi="Calibri" w:cs="Calibri"/>
                <w:b/>
                <w:sz w:val="20"/>
                <w:szCs w:val="20"/>
              </w:rPr>
            </w:pPr>
            <w:r w:rsidRPr="0064714D">
              <w:rPr>
                <w:rFonts w:ascii="Calibri" w:hAnsi="Calibri" w:cs="Calibri"/>
                <w:b/>
                <w:bCs/>
                <w:color w:val="000000"/>
                <w:sz w:val="20"/>
                <w:szCs w:val="20"/>
                <w:lang w:eastAsia="cs-CZ"/>
              </w:rPr>
              <w:t>585 780 248,81</w:t>
            </w:r>
          </w:p>
        </w:tc>
        <w:tc>
          <w:tcPr>
            <w:tcW w:w="1984" w:type="dxa"/>
            <w:vAlign w:val="center"/>
          </w:tcPr>
          <w:p w14:paraId="6C8BEBBE" w14:textId="77777777" w:rsidR="00237A67" w:rsidRPr="0064714D" w:rsidRDefault="00237A67" w:rsidP="0064714D">
            <w:pPr>
              <w:keepNext/>
              <w:ind w:right="209"/>
              <w:jc w:val="right"/>
              <w:rPr>
                <w:rFonts w:ascii="Calibri" w:hAnsi="Calibri" w:cs="Calibri"/>
                <w:b/>
                <w:sz w:val="20"/>
                <w:szCs w:val="20"/>
              </w:rPr>
            </w:pPr>
            <w:r w:rsidRPr="0064714D">
              <w:rPr>
                <w:rFonts w:ascii="Calibri" w:hAnsi="Calibri" w:cs="Calibri"/>
                <w:b/>
                <w:bCs/>
                <w:color w:val="000000"/>
                <w:sz w:val="20"/>
                <w:szCs w:val="20"/>
                <w:lang w:eastAsia="cs-CZ"/>
              </w:rPr>
              <w:t>471 178 223,37</w:t>
            </w:r>
          </w:p>
        </w:tc>
        <w:tc>
          <w:tcPr>
            <w:tcW w:w="2551" w:type="dxa"/>
            <w:vAlign w:val="center"/>
          </w:tcPr>
          <w:p w14:paraId="4EDFB948" w14:textId="77777777" w:rsidR="00895B36" w:rsidRPr="0064714D" w:rsidRDefault="00CD3D51" w:rsidP="0064714D">
            <w:pPr>
              <w:keepNext/>
              <w:ind w:right="209"/>
              <w:jc w:val="right"/>
              <w:rPr>
                <w:rFonts w:ascii="Calibri" w:hAnsi="Calibri" w:cs="Calibri"/>
                <w:b/>
                <w:bCs/>
                <w:color w:val="000000"/>
                <w:sz w:val="20"/>
                <w:szCs w:val="20"/>
                <w:lang w:eastAsia="cs-CZ"/>
              </w:rPr>
            </w:pPr>
            <w:r w:rsidRPr="0064714D">
              <w:rPr>
                <w:rFonts w:ascii="Calibri" w:hAnsi="Calibri" w:cs="Calibri"/>
                <w:b/>
                <w:bCs/>
                <w:color w:val="000000"/>
                <w:sz w:val="20"/>
                <w:szCs w:val="20"/>
                <w:lang w:eastAsia="cs-CZ"/>
              </w:rPr>
              <w:t>397</w:t>
            </w:r>
            <w:r w:rsidR="00C90723" w:rsidRPr="0064714D">
              <w:rPr>
                <w:rFonts w:ascii="Calibri" w:hAnsi="Calibri" w:cs="Calibri"/>
                <w:b/>
                <w:bCs/>
                <w:color w:val="000000"/>
                <w:sz w:val="20"/>
                <w:szCs w:val="20"/>
                <w:lang w:eastAsia="cs-CZ"/>
              </w:rPr>
              <w:t> 940 816,49</w:t>
            </w:r>
          </w:p>
        </w:tc>
      </w:tr>
    </w:tbl>
    <w:p w14:paraId="13EB0F50" w14:textId="77777777" w:rsidR="00237A67" w:rsidRDefault="00237A67" w:rsidP="0064714D">
      <w:pPr>
        <w:pStyle w:val="KP-normlntext"/>
        <w:keepNext/>
        <w:spacing w:after="0"/>
        <w:rPr>
          <w:sz w:val="20"/>
          <w:szCs w:val="20"/>
        </w:rPr>
      </w:pPr>
      <w:r w:rsidRPr="000B5D2A">
        <w:rPr>
          <w:b/>
          <w:sz w:val="20"/>
          <w:szCs w:val="20"/>
        </w:rPr>
        <w:t>Zdroj</w:t>
      </w:r>
      <w:r w:rsidRPr="005F6EEF">
        <w:rPr>
          <w:b/>
          <w:sz w:val="20"/>
          <w:szCs w:val="20"/>
        </w:rPr>
        <w:t>:</w:t>
      </w:r>
      <w:r w:rsidRPr="007C6200">
        <w:rPr>
          <w:sz w:val="20"/>
          <w:szCs w:val="20"/>
        </w:rPr>
        <w:t xml:space="preserve"> MPSV, MS2014+</w:t>
      </w:r>
      <w:r>
        <w:rPr>
          <w:sz w:val="20"/>
          <w:szCs w:val="20"/>
        </w:rPr>
        <w:t>, stav k 02/2022.</w:t>
      </w:r>
    </w:p>
    <w:p w14:paraId="3BB734EC" w14:textId="77777777" w:rsidR="004F7190" w:rsidRDefault="004F7190" w:rsidP="0064714D">
      <w:pPr>
        <w:pStyle w:val="KP-normlntext"/>
        <w:keepNext/>
        <w:tabs>
          <w:tab w:val="left" w:pos="567"/>
        </w:tabs>
        <w:spacing w:after="0"/>
        <w:ind w:left="567" w:hanging="567"/>
        <w:rPr>
          <w:sz w:val="20"/>
          <w:szCs w:val="20"/>
        </w:rPr>
      </w:pPr>
      <w:r>
        <w:rPr>
          <w:b/>
          <w:sz w:val="20"/>
          <w:szCs w:val="20"/>
        </w:rPr>
        <w:t>Vysvětlivky</w:t>
      </w:r>
      <w:r w:rsidR="00237A67" w:rsidRPr="003C61C3">
        <w:rPr>
          <w:b/>
          <w:sz w:val="20"/>
          <w:szCs w:val="20"/>
        </w:rPr>
        <w:t>:</w:t>
      </w:r>
    </w:p>
    <w:p w14:paraId="7E7618CC" w14:textId="77777777" w:rsidR="00237A67" w:rsidRDefault="00237A67" w:rsidP="004F7190">
      <w:pPr>
        <w:pStyle w:val="KP-normlntext"/>
        <w:keepNext/>
        <w:spacing w:after="0"/>
        <w:ind w:left="284" w:hanging="284"/>
        <w:rPr>
          <w:sz w:val="20"/>
          <w:szCs w:val="20"/>
        </w:rPr>
      </w:pPr>
      <w:r w:rsidRPr="007C6200">
        <w:rPr>
          <w:sz w:val="20"/>
          <w:szCs w:val="20"/>
        </w:rPr>
        <w:t>*</w:t>
      </w:r>
      <w:r w:rsidR="00232EB7">
        <w:rPr>
          <w:sz w:val="20"/>
          <w:szCs w:val="20"/>
        </w:rPr>
        <w:tab/>
      </w:r>
      <w:r w:rsidRPr="007C6200">
        <w:rPr>
          <w:sz w:val="20"/>
          <w:szCs w:val="20"/>
        </w:rPr>
        <w:t>Bez projektů nedokončených – ukončených příjemcem.</w:t>
      </w:r>
    </w:p>
    <w:p w14:paraId="13A24CDD" w14:textId="77777777" w:rsidR="00237A67" w:rsidRPr="00237A67" w:rsidRDefault="00237A67" w:rsidP="00232EB7">
      <w:pPr>
        <w:pStyle w:val="KP-normlntext"/>
        <w:spacing w:after="0"/>
        <w:ind w:left="284" w:hanging="284"/>
        <w:rPr>
          <w:sz w:val="20"/>
          <w:szCs w:val="20"/>
        </w:rPr>
      </w:pPr>
      <w:r w:rsidRPr="00281755">
        <w:rPr>
          <w:sz w:val="20"/>
          <w:szCs w:val="20"/>
        </w:rPr>
        <w:t>**</w:t>
      </w:r>
      <w:r w:rsidR="00232EB7">
        <w:rPr>
          <w:sz w:val="20"/>
          <w:szCs w:val="20"/>
        </w:rPr>
        <w:tab/>
      </w:r>
      <w:r>
        <w:rPr>
          <w:sz w:val="20"/>
          <w:szCs w:val="20"/>
        </w:rPr>
        <w:t>V rámci některých výzev bylo možné podporovat i jiné aktivity než jen sociální podnikání, přičemž alokace pro jednotlivé aktivity nebyla specifikována.</w:t>
      </w:r>
    </w:p>
    <w:p w14:paraId="546B6C69" w14:textId="77777777" w:rsidR="00237A67" w:rsidRDefault="00237A67" w:rsidP="00613C80">
      <w:pPr>
        <w:pStyle w:val="JK2"/>
        <w:tabs>
          <w:tab w:val="clear" w:pos="567"/>
          <w:tab w:val="left" w:pos="426"/>
        </w:tabs>
      </w:pPr>
      <w:bookmarkStart w:id="3" w:name="_Hlk101424577"/>
      <w:r w:rsidRPr="00473EC3">
        <w:t xml:space="preserve">V rámci výzev </w:t>
      </w:r>
      <w:r>
        <w:t>OPZ</w:t>
      </w:r>
      <w:r w:rsidRPr="00473EC3">
        <w:t xml:space="preserve"> vyhlášených na podporu sociálního podnikání bylo podáno </w:t>
      </w:r>
      <w:r>
        <w:t>1</w:t>
      </w:r>
      <w:r w:rsidR="00232EB7">
        <w:t> </w:t>
      </w:r>
      <w:r>
        <w:t>007</w:t>
      </w:r>
      <w:r w:rsidR="00232EB7">
        <w:t> </w:t>
      </w:r>
      <w:r w:rsidRPr="00473EC3">
        <w:t xml:space="preserve">žádostí o podporu, </w:t>
      </w:r>
      <w:r>
        <w:t>MPSV</w:t>
      </w:r>
      <w:r w:rsidRPr="00473EC3">
        <w:t xml:space="preserve"> vydalo </w:t>
      </w:r>
      <w:proofErr w:type="spellStart"/>
      <w:r w:rsidR="00033ACC">
        <w:t>RoPD</w:t>
      </w:r>
      <w:proofErr w:type="spellEnd"/>
      <w:r w:rsidR="00B11277">
        <w:t xml:space="preserve"> </w:t>
      </w:r>
      <w:r w:rsidRPr="00473EC3">
        <w:t>pro</w:t>
      </w:r>
      <w:r>
        <w:t xml:space="preserve"> 170</w:t>
      </w:r>
      <w:r w:rsidRPr="00473EC3">
        <w:t xml:space="preserve"> žádostí o podporu.</w:t>
      </w:r>
      <w:r w:rsidR="006907BC" w:rsidRPr="00473EC3">
        <w:rPr>
          <w:vertAlign w:val="superscript"/>
        </w:rPr>
        <w:footnoteReference w:id="7"/>
      </w:r>
      <w:r w:rsidRPr="00473EC3">
        <w:t xml:space="preserve"> </w:t>
      </w:r>
    </w:p>
    <w:bookmarkEnd w:id="3"/>
    <w:p w14:paraId="382AE5D7" w14:textId="77777777" w:rsidR="00FA2321" w:rsidRPr="00CD7215" w:rsidRDefault="00FA2321" w:rsidP="00D96C84">
      <w:pPr>
        <w:pStyle w:val="kurzva"/>
        <w:keepNext/>
        <w:spacing w:after="120" w:line="240" w:lineRule="auto"/>
        <w:rPr>
          <w:sz w:val="24"/>
          <w:szCs w:val="24"/>
        </w:rPr>
      </w:pPr>
      <w:r w:rsidRPr="00CD7215">
        <w:rPr>
          <w:sz w:val="24"/>
          <w:szCs w:val="24"/>
        </w:rPr>
        <w:t>Podpora sociálního podnikání z IROP</w:t>
      </w:r>
    </w:p>
    <w:p w14:paraId="60C03FF2" w14:textId="77777777" w:rsidR="00A90634" w:rsidRPr="00B76551" w:rsidRDefault="00A90634" w:rsidP="00613C80">
      <w:pPr>
        <w:pStyle w:val="JK2"/>
        <w:tabs>
          <w:tab w:val="clear" w:pos="567"/>
          <w:tab w:val="left" w:pos="426"/>
        </w:tabs>
      </w:pPr>
      <w:r w:rsidRPr="00F67BA9">
        <w:t xml:space="preserve">Sociální podnikání je </w:t>
      </w:r>
      <w:r w:rsidR="00DC312D">
        <w:t>z</w:t>
      </w:r>
      <w:r w:rsidRPr="00F67BA9">
        <w:t xml:space="preserve"> IROP podporováno v rámci specifického cíle </w:t>
      </w:r>
      <w:r w:rsidR="00342878">
        <w:t xml:space="preserve">(dále </w:t>
      </w:r>
      <w:r w:rsidR="00FC137C">
        <w:t xml:space="preserve">také </w:t>
      </w:r>
      <w:r w:rsidR="00342878">
        <w:t xml:space="preserve">„SC“) </w:t>
      </w:r>
      <w:r w:rsidRPr="00F67BA9">
        <w:t>2.2</w:t>
      </w:r>
      <w:r w:rsidR="00232EB7">
        <w:t> </w:t>
      </w:r>
      <w:r w:rsidRPr="00901820">
        <w:rPr>
          <w:i/>
        </w:rPr>
        <w:t>Vznik nových a rozvoj existujících podnikatelských aktivit v oblasti sociálního podnikání</w:t>
      </w:r>
      <w:r w:rsidRPr="00F67BA9">
        <w:t xml:space="preserve"> </w:t>
      </w:r>
      <w:r w:rsidR="00342878" w:rsidRPr="00F67BA9">
        <w:t xml:space="preserve">(dále </w:t>
      </w:r>
      <w:r w:rsidR="00FC137C">
        <w:t>také</w:t>
      </w:r>
      <w:r w:rsidR="00FC137C" w:rsidRPr="00F67BA9">
        <w:t xml:space="preserve"> </w:t>
      </w:r>
      <w:r w:rsidR="00342878" w:rsidRPr="00F67BA9">
        <w:t>„SC 2.2</w:t>
      </w:r>
      <w:r w:rsidR="00342878">
        <w:t xml:space="preserve"> IROP“</w:t>
      </w:r>
      <w:r w:rsidR="00342878" w:rsidRPr="00F67BA9">
        <w:t>)</w:t>
      </w:r>
      <w:r w:rsidR="00342878">
        <w:t xml:space="preserve"> </w:t>
      </w:r>
      <w:r w:rsidRPr="00F67BA9">
        <w:t>a</w:t>
      </w:r>
      <w:r>
        <w:t> </w:t>
      </w:r>
      <w:r w:rsidRPr="00F67BA9">
        <w:t>v</w:t>
      </w:r>
      <w:r>
        <w:t> </w:t>
      </w:r>
      <w:r w:rsidRPr="00F67BA9">
        <w:t xml:space="preserve">rámci SC 4.1 </w:t>
      </w:r>
      <w:r w:rsidRPr="00901820">
        <w:rPr>
          <w:i/>
        </w:rPr>
        <w:t>Posílení komunitně vedeného místního rozvoje za účelem zvýšení kvality života ve venkovských oblastech a aktivizace místního potenciálu</w:t>
      </w:r>
      <w:r w:rsidR="000B4AAE">
        <w:t xml:space="preserve"> (dále t</w:t>
      </w:r>
      <w:r w:rsidR="00FC137C">
        <w:t>aké</w:t>
      </w:r>
      <w:r w:rsidR="000B4AAE">
        <w:t xml:space="preserve"> „SC 4.1</w:t>
      </w:r>
      <w:r w:rsidR="00EB0B2C">
        <w:t xml:space="preserve"> IROP</w:t>
      </w:r>
      <w:r w:rsidR="000B4AAE">
        <w:t>“)</w:t>
      </w:r>
      <w:r w:rsidRPr="00F67BA9">
        <w:t>. Cílem podpory v rámci SC 2.2 IROP je vznik a rozvoj sociálních podniků. Jedná se o</w:t>
      </w:r>
      <w:r w:rsidR="00EB0B2C">
        <w:t> </w:t>
      </w:r>
      <w:r w:rsidRPr="00F67BA9">
        <w:t>aktivity, které by měly umožnit sociálně vyloučeným osobám a osobám ohroženým sociálním vyloučením vstup na trh práce a do podnikatelského prostředí. Podpora z IROP, konkrétně z</w:t>
      </w:r>
      <w:r w:rsidR="000B4AAE">
        <w:t> </w:t>
      </w:r>
      <w:r w:rsidRPr="00901820">
        <w:rPr>
          <w:i/>
        </w:rPr>
        <w:t>Evropského fondu pro regionální rozvoj</w:t>
      </w:r>
      <w:r w:rsidRPr="00F67BA9">
        <w:t xml:space="preserve"> (dále </w:t>
      </w:r>
      <w:r w:rsidR="00FC137C" w:rsidRPr="00F67BA9">
        <w:t>t</w:t>
      </w:r>
      <w:r w:rsidR="00FC137C">
        <w:t>aké</w:t>
      </w:r>
      <w:r w:rsidR="00FC137C" w:rsidRPr="00F67BA9">
        <w:t xml:space="preserve"> </w:t>
      </w:r>
      <w:r w:rsidRPr="00F67BA9">
        <w:t>„EFRR“), je určena na vytváření pracovních míst pro osoby znevýhodněné na trhu práce, na budování nových SP, nebo na rozšíření stávajících aktivit</w:t>
      </w:r>
      <w:r>
        <w:t>.</w:t>
      </w:r>
      <w:r w:rsidRPr="00F67BA9">
        <w:t xml:space="preserve"> </w:t>
      </w:r>
    </w:p>
    <w:p w14:paraId="4A6214C2" w14:textId="77777777" w:rsidR="00A90634" w:rsidRDefault="00A90634" w:rsidP="00613C80">
      <w:pPr>
        <w:pStyle w:val="JK2"/>
        <w:tabs>
          <w:tab w:val="clear" w:pos="567"/>
          <w:tab w:val="left" w:pos="426"/>
        </w:tabs>
        <w:rPr>
          <w:rFonts w:cs="Calibri"/>
          <w:color w:val="000000" w:themeColor="text1"/>
        </w:rPr>
      </w:pPr>
      <w:r>
        <w:rPr>
          <w:noProof/>
        </w:rPr>
        <w:t xml:space="preserve">Podpora z IROP je primárně určena na vybavení SP nezbytným majetkem a zařízením a výstavbu a rekonstrukci budov. Je poskytována formou ex-post plateb, bez využití nepřímých nákladů, přičemž míra spolufinancování </w:t>
      </w:r>
      <w:r w:rsidR="002375AF">
        <w:rPr>
          <w:noProof/>
        </w:rPr>
        <w:t xml:space="preserve">ze strany </w:t>
      </w:r>
      <w:r>
        <w:rPr>
          <w:noProof/>
        </w:rPr>
        <w:t xml:space="preserve">příjemců podpory činí 15 %. Příjemci podpory jsou povinni po skončení projektů dodržovat pětiletou lhůtu udržitelnosti výstupů podpořených projektů. </w:t>
      </w:r>
      <w:r w:rsidR="00D23E13">
        <w:rPr>
          <w:noProof/>
        </w:rPr>
        <w:t>Přehled celkové finanční alokace, výše prostředků odpovídaj</w:t>
      </w:r>
      <w:r w:rsidR="008424DE">
        <w:rPr>
          <w:noProof/>
        </w:rPr>
        <w:t>í</w:t>
      </w:r>
      <w:r w:rsidR="00D23E13">
        <w:rPr>
          <w:noProof/>
        </w:rPr>
        <w:t xml:space="preserve">cí vydaným právním aktům i skutečně </w:t>
      </w:r>
      <w:r w:rsidR="000B7A47">
        <w:rPr>
          <w:noProof/>
        </w:rPr>
        <w:t xml:space="preserve">vzniklých způsobilých </w:t>
      </w:r>
      <w:r w:rsidR="00D23E13">
        <w:rPr>
          <w:noProof/>
        </w:rPr>
        <w:t xml:space="preserve">výdajů představuje </w:t>
      </w:r>
      <w:r w:rsidR="00005AD0">
        <w:rPr>
          <w:noProof/>
        </w:rPr>
        <w:t>tabulka č. </w:t>
      </w:r>
      <w:r w:rsidR="00973B07">
        <w:rPr>
          <w:noProof/>
        </w:rPr>
        <w:t>2</w:t>
      </w:r>
      <w:r w:rsidR="00005AD0">
        <w:rPr>
          <w:noProof/>
        </w:rPr>
        <w:t xml:space="preserve">. Podrobný </w:t>
      </w:r>
      <w:r w:rsidR="00005AD0">
        <w:rPr>
          <w:rFonts w:cs="Calibri"/>
          <w:color w:val="000000" w:themeColor="text1"/>
        </w:rPr>
        <w:t>p</w:t>
      </w:r>
      <w:r>
        <w:rPr>
          <w:rFonts w:cs="Calibri"/>
          <w:color w:val="000000" w:themeColor="text1"/>
        </w:rPr>
        <w:t xml:space="preserve">řehled </w:t>
      </w:r>
      <w:r w:rsidR="00005AD0">
        <w:rPr>
          <w:rFonts w:cs="Calibri"/>
          <w:color w:val="000000" w:themeColor="text1"/>
        </w:rPr>
        <w:t xml:space="preserve">podle </w:t>
      </w:r>
      <w:r>
        <w:rPr>
          <w:rFonts w:cs="Calibri"/>
          <w:color w:val="000000" w:themeColor="text1"/>
        </w:rPr>
        <w:t>výzev, v rámci kterých došlo v IROP k podpoře projektů sociálního podnikání,</w:t>
      </w:r>
      <w:r w:rsidRPr="007772CE">
        <w:rPr>
          <w:rFonts w:cs="Calibri"/>
          <w:color w:val="000000" w:themeColor="text1"/>
        </w:rPr>
        <w:t xml:space="preserve"> </w:t>
      </w:r>
      <w:r w:rsidR="00005AD0">
        <w:rPr>
          <w:rFonts w:cs="Calibri"/>
          <w:color w:val="000000" w:themeColor="text1"/>
        </w:rPr>
        <w:t>je uveden v </w:t>
      </w:r>
      <w:r w:rsidR="00005AD0" w:rsidRPr="00832761">
        <w:rPr>
          <w:rFonts w:cs="Calibri"/>
          <w:b/>
          <w:color w:val="000000" w:themeColor="text1"/>
        </w:rPr>
        <w:t xml:space="preserve">příloze č. </w:t>
      </w:r>
      <w:r w:rsidR="00ED34BE" w:rsidRPr="00832761">
        <w:rPr>
          <w:rFonts w:cs="Calibri"/>
          <w:b/>
          <w:color w:val="000000" w:themeColor="text1"/>
        </w:rPr>
        <w:t>4</w:t>
      </w:r>
      <w:r w:rsidR="00FE1197">
        <w:rPr>
          <w:rFonts w:cs="Calibri"/>
          <w:color w:val="000000" w:themeColor="text1"/>
        </w:rPr>
        <w:t xml:space="preserve"> tohoto kontrolního závěru</w:t>
      </w:r>
      <w:r w:rsidR="00005AD0" w:rsidRPr="00832761">
        <w:rPr>
          <w:rFonts w:cs="Calibri"/>
          <w:color w:val="000000" w:themeColor="text1"/>
        </w:rPr>
        <w:t>.</w:t>
      </w:r>
    </w:p>
    <w:p w14:paraId="2FC33B42" w14:textId="77777777" w:rsidR="00A90634" w:rsidRPr="00CD4DB9" w:rsidRDefault="00A90634" w:rsidP="00901820">
      <w:pPr>
        <w:keepNext/>
        <w:keepLines/>
        <w:tabs>
          <w:tab w:val="right" w:pos="9072"/>
        </w:tabs>
        <w:spacing w:after="40" w:line="240" w:lineRule="auto"/>
        <w:jc w:val="both"/>
        <w:rPr>
          <w:rFonts w:ascii="Calibri" w:hAnsi="Calibri" w:cs="Calibri"/>
          <w:b/>
          <w:color w:val="000000" w:themeColor="text1"/>
          <w:sz w:val="24"/>
          <w:szCs w:val="24"/>
        </w:rPr>
      </w:pPr>
      <w:r w:rsidRPr="00CD4DB9">
        <w:rPr>
          <w:rFonts w:ascii="Calibri" w:hAnsi="Calibri" w:cs="Calibri"/>
          <w:b/>
          <w:color w:val="000000" w:themeColor="text1"/>
          <w:sz w:val="24"/>
          <w:szCs w:val="24"/>
        </w:rPr>
        <w:t xml:space="preserve">Tabulka č. </w:t>
      </w:r>
      <w:r w:rsidR="00973B07">
        <w:rPr>
          <w:rFonts w:ascii="Calibri" w:hAnsi="Calibri" w:cs="Calibri"/>
          <w:b/>
          <w:color w:val="000000" w:themeColor="text1"/>
          <w:sz w:val="24"/>
          <w:szCs w:val="24"/>
        </w:rPr>
        <w:t>2</w:t>
      </w:r>
      <w:r w:rsidRPr="00CD4DB9">
        <w:rPr>
          <w:rFonts w:ascii="Calibri" w:hAnsi="Calibri" w:cs="Calibri"/>
          <w:b/>
          <w:color w:val="000000" w:themeColor="text1"/>
          <w:sz w:val="24"/>
          <w:szCs w:val="24"/>
        </w:rPr>
        <w:t>:</w:t>
      </w:r>
      <w:r>
        <w:rPr>
          <w:rFonts w:ascii="Calibri" w:hAnsi="Calibri" w:cs="Calibri"/>
          <w:b/>
          <w:color w:val="000000" w:themeColor="text1"/>
          <w:sz w:val="24"/>
          <w:szCs w:val="24"/>
        </w:rPr>
        <w:t xml:space="preserve"> </w:t>
      </w:r>
      <w:r w:rsidR="00E1505F">
        <w:rPr>
          <w:rFonts w:ascii="Calibri" w:hAnsi="Calibri" w:cs="Calibri"/>
          <w:b/>
          <w:color w:val="000000" w:themeColor="text1"/>
          <w:sz w:val="24"/>
          <w:szCs w:val="24"/>
        </w:rPr>
        <w:t>Finanční alokace I</w:t>
      </w:r>
      <w:r w:rsidRPr="00CD4DB9">
        <w:rPr>
          <w:rFonts w:ascii="Calibri" w:hAnsi="Calibri" w:cs="Calibri"/>
          <w:b/>
          <w:color w:val="000000" w:themeColor="text1"/>
          <w:sz w:val="24"/>
          <w:szCs w:val="24"/>
        </w:rPr>
        <w:t xml:space="preserve">ROP na podporu sociálního podnikání </w:t>
      </w:r>
      <w:r w:rsidR="00E1505F">
        <w:rPr>
          <w:rFonts w:ascii="Calibri" w:hAnsi="Calibri" w:cs="Calibri"/>
          <w:b/>
          <w:color w:val="000000" w:themeColor="text1"/>
          <w:sz w:val="24"/>
          <w:szCs w:val="24"/>
        </w:rPr>
        <w:t>a její čerpání</w:t>
      </w:r>
      <w:r>
        <w:rPr>
          <w:rFonts w:ascii="Calibri" w:hAnsi="Calibri" w:cs="Calibri"/>
          <w:b/>
          <w:color w:val="000000" w:themeColor="text1"/>
          <w:sz w:val="24"/>
          <w:szCs w:val="24"/>
        </w:rPr>
        <w:tab/>
        <w:t>(v Kč)</w:t>
      </w:r>
    </w:p>
    <w:tbl>
      <w:tblPr>
        <w:tblStyle w:val="Mkatabulky"/>
        <w:tblW w:w="9078" w:type="dxa"/>
        <w:tblInd w:w="-5" w:type="dxa"/>
        <w:tblLayout w:type="fixed"/>
        <w:tblLook w:val="04A0" w:firstRow="1" w:lastRow="0" w:firstColumn="1" w:lastColumn="0" w:noHBand="0" w:noVBand="1"/>
      </w:tblPr>
      <w:tblGrid>
        <w:gridCol w:w="2269"/>
        <w:gridCol w:w="2270"/>
        <w:gridCol w:w="2269"/>
        <w:gridCol w:w="2270"/>
      </w:tblGrid>
      <w:tr w:rsidR="00D0242A" w:rsidRPr="005F3E9C" w14:paraId="0D349E19" w14:textId="77777777" w:rsidTr="005F6EEF">
        <w:trPr>
          <w:trHeight w:val="402"/>
        </w:trPr>
        <w:tc>
          <w:tcPr>
            <w:tcW w:w="2269" w:type="dxa"/>
            <w:shd w:val="clear" w:color="auto" w:fill="E5F1FF"/>
            <w:vAlign w:val="center"/>
          </w:tcPr>
          <w:p w14:paraId="6FC51237" w14:textId="77777777" w:rsidR="00D0242A" w:rsidRPr="0082065F" w:rsidRDefault="00250E8F" w:rsidP="00901820">
            <w:pPr>
              <w:keepNext/>
              <w:keepLines/>
              <w:jc w:val="center"/>
            </w:pPr>
            <w:bookmarkStart w:id="4" w:name="_Hlk84481684"/>
            <w:r>
              <w:rPr>
                <w:b/>
              </w:rPr>
              <w:t>Celková f</w:t>
            </w:r>
            <w:r w:rsidRPr="0082065F">
              <w:rPr>
                <w:b/>
              </w:rPr>
              <w:t xml:space="preserve">inanční </w:t>
            </w:r>
            <w:r w:rsidR="00D0242A" w:rsidRPr="0082065F">
              <w:rPr>
                <w:b/>
              </w:rPr>
              <w:t xml:space="preserve">alokace </w:t>
            </w:r>
            <w:r w:rsidR="00D0242A">
              <w:rPr>
                <w:b/>
              </w:rPr>
              <w:t xml:space="preserve"> </w:t>
            </w:r>
          </w:p>
        </w:tc>
        <w:tc>
          <w:tcPr>
            <w:tcW w:w="2270" w:type="dxa"/>
            <w:shd w:val="clear" w:color="auto" w:fill="E5F1FF"/>
            <w:vAlign w:val="center"/>
          </w:tcPr>
          <w:p w14:paraId="7658AD81" w14:textId="77777777" w:rsidR="00D0242A" w:rsidRPr="0082065F" w:rsidRDefault="00D0242A" w:rsidP="00901820">
            <w:pPr>
              <w:keepNext/>
              <w:keepLines/>
              <w:jc w:val="center"/>
            </w:pPr>
            <w:r w:rsidRPr="0082065F">
              <w:rPr>
                <w:b/>
              </w:rPr>
              <w:t xml:space="preserve">Vydaná </w:t>
            </w:r>
            <w:r w:rsidR="00FE1197">
              <w:rPr>
                <w:b/>
              </w:rPr>
              <w:t>r</w:t>
            </w:r>
            <w:r w:rsidRPr="0082065F">
              <w:rPr>
                <w:b/>
              </w:rPr>
              <w:t xml:space="preserve">ozhodnutí </w:t>
            </w:r>
            <w:r w:rsidR="00105744">
              <w:rPr>
                <w:b/>
              </w:rPr>
              <w:t>o</w:t>
            </w:r>
            <w:r w:rsidR="00D25D41">
              <w:rPr>
                <w:b/>
              </w:rPr>
              <w:t> </w:t>
            </w:r>
            <w:r w:rsidR="00105744">
              <w:rPr>
                <w:b/>
              </w:rPr>
              <w:t>poskytnutí dotace</w:t>
            </w:r>
            <w:r w:rsidR="00901820">
              <w:rPr>
                <w:b/>
              </w:rPr>
              <w:t>*</w:t>
            </w:r>
            <w:r w:rsidRPr="0082065F">
              <w:rPr>
                <w:b/>
              </w:rPr>
              <w:t xml:space="preserve"> </w:t>
            </w:r>
          </w:p>
        </w:tc>
        <w:tc>
          <w:tcPr>
            <w:tcW w:w="2269" w:type="dxa"/>
            <w:shd w:val="clear" w:color="auto" w:fill="E5F1FF"/>
            <w:vAlign w:val="center"/>
          </w:tcPr>
          <w:p w14:paraId="430532DC" w14:textId="77777777" w:rsidR="00D0242A" w:rsidRPr="0082065F" w:rsidRDefault="00F248BE" w:rsidP="00F03925">
            <w:pPr>
              <w:keepNext/>
              <w:keepLines/>
              <w:jc w:val="center"/>
            </w:pPr>
            <w:r>
              <w:rPr>
                <w:b/>
              </w:rPr>
              <w:t xml:space="preserve">Celkové způsobilé výdaje </w:t>
            </w:r>
          </w:p>
        </w:tc>
        <w:tc>
          <w:tcPr>
            <w:tcW w:w="2270" w:type="dxa"/>
            <w:shd w:val="clear" w:color="auto" w:fill="E5F1FF"/>
          </w:tcPr>
          <w:p w14:paraId="397D0BA5" w14:textId="77777777" w:rsidR="000C519B" w:rsidRDefault="00251792" w:rsidP="00F03925">
            <w:pPr>
              <w:keepNext/>
              <w:keepLines/>
              <w:jc w:val="center"/>
              <w:rPr>
                <w:b/>
              </w:rPr>
            </w:pPr>
            <w:r>
              <w:rPr>
                <w:b/>
              </w:rPr>
              <w:t xml:space="preserve">Z toho celkové způsobilé výdaje hrazené z IROP </w:t>
            </w:r>
          </w:p>
        </w:tc>
      </w:tr>
      <w:tr w:rsidR="00D0242A" w:rsidRPr="00A17AAC" w14:paraId="73170EFA" w14:textId="77777777" w:rsidTr="005F6EEF">
        <w:trPr>
          <w:trHeight w:val="86"/>
        </w:trPr>
        <w:tc>
          <w:tcPr>
            <w:tcW w:w="2269" w:type="dxa"/>
            <w:vAlign w:val="center"/>
          </w:tcPr>
          <w:p w14:paraId="36A1E0CD" w14:textId="77777777" w:rsidR="00D0242A" w:rsidRPr="00A17AAC" w:rsidRDefault="00D0242A" w:rsidP="00901820">
            <w:pPr>
              <w:keepNext/>
              <w:keepLines/>
              <w:jc w:val="center"/>
            </w:pPr>
            <w:r w:rsidRPr="00A17AAC">
              <w:rPr>
                <w:b/>
              </w:rPr>
              <w:t>1 311 524</w:t>
            </w:r>
            <w:r w:rsidR="005F6EEF">
              <w:rPr>
                <w:b/>
              </w:rPr>
              <w:t> </w:t>
            </w:r>
            <w:r w:rsidRPr="00A17AAC">
              <w:rPr>
                <w:b/>
              </w:rPr>
              <w:t>947</w:t>
            </w:r>
            <w:r w:rsidR="005F6EEF">
              <w:rPr>
                <w:b/>
              </w:rPr>
              <w:t>,00</w:t>
            </w:r>
          </w:p>
        </w:tc>
        <w:tc>
          <w:tcPr>
            <w:tcW w:w="2270" w:type="dxa"/>
            <w:vAlign w:val="center"/>
          </w:tcPr>
          <w:p w14:paraId="7B39E964" w14:textId="77777777" w:rsidR="00D0242A" w:rsidRPr="00B905D8" w:rsidRDefault="00F248BE" w:rsidP="00901820">
            <w:pPr>
              <w:keepNext/>
              <w:keepLines/>
              <w:jc w:val="center"/>
              <w:rPr>
                <w:b/>
              </w:rPr>
            </w:pPr>
            <w:r>
              <w:rPr>
                <w:b/>
              </w:rPr>
              <w:t>809 767 141,51</w:t>
            </w:r>
          </w:p>
        </w:tc>
        <w:tc>
          <w:tcPr>
            <w:tcW w:w="2269" w:type="dxa"/>
            <w:vAlign w:val="center"/>
          </w:tcPr>
          <w:p w14:paraId="77BBA81F" w14:textId="77777777" w:rsidR="00D0242A" w:rsidRPr="00A17AAC" w:rsidRDefault="00F248BE" w:rsidP="00901820">
            <w:pPr>
              <w:keepNext/>
              <w:keepLines/>
              <w:jc w:val="center"/>
              <w:rPr>
                <w:b/>
              </w:rPr>
            </w:pPr>
            <w:r>
              <w:rPr>
                <w:b/>
              </w:rPr>
              <w:t>691 271 849,82</w:t>
            </w:r>
          </w:p>
        </w:tc>
        <w:tc>
          <w:tcPr>
            <w:tcW w:w="2270" w:type="dxa"/>
          </w:tcPr>
          <w:p w14:paraId="752DA4C5" w14:textId="77777777" w:rsidR="000C519B" w:rsidRDefault="000C519B" w:rsidP="00901820">
            <w:pPr>
              <w:keepNext/>
              <w:keepLines/>
              <w:jc w:val="center"/>
              <w:rPr>
                <w:b/>
              </w:rPr>
            </w:pPr>
            <w:r>
              <w:rPr>
                <w:b/>
              </w:rPr>
              <w:t>587 581 072,35</w:t>
            </w:r>
          </w:p>
        </w:tc>
      </w:tr>
    </w:tbl>
    <w:bookmarkEnd w:id="4"/>
    <w:p w14:paraId="56A67EEF" w14:textId="77777777" w:rsidR="00A90634" w:rsidRDefault="00A90634" w:rsidP="00901820">
      <w:pPr>
        <w:keepNext/>
        <w:keepLines/>
        <w:spacing w:before="40" w:after="0" w:line="240" w:lineRule="auto"/>
        <w:jc w:val="both"/>
        <w:rPr>
          <w:sz w:val="20"/>
          <w:szCs w:val="20"/>
        </w:rPr>
      </w:pPr>
      <w:r w:rsidRPr="00CD4DB9">
        <w:rPr>
          <w:b/>
          <w:sz w:val="20"/>
          <w:szCs w:val="20"/>
        </w:rPr>
        <w:t>Zdroj</w:t>
      </w:r>
      <w:r w:rsidRPr="005F6EEF">
        <w:rPr>
          <w:b/>
          <w:sz w:val="20"/>
          <w:szCs w:val="20"/>
        </w:rPr>
        <w:t>:</w:t>
      </w:r>
      <w:r w:rsidRPr="00CD4DB9">
        <w:rPr>
          <w:sz w:val="20"/>
          <w:szCs w:val="20"/>
        </w:rPr>
        <w:t xml:space="preserve"> </w:t>
      </w:r>
      <w:r w:rsidR="004B25CE">
        <w:rPr>
          <w:sz w:val="20"/>
          <w:szCs w:val="20"/>
        </w:rPr>
        <w:t xml:space="preserve">MMR, </w:t>
      </w:r>
      <w:r w:rsidRPr="00CD4DB9">
        <w:rPr>
          <w:sz w:val="20"/>
          <w:szCs w:val="20"/>
        </w:rPr>
        <w:t>MS2014+</w:t>
      </w:r>
      <w:r>
        <w:rPr>
          <w:sz w:val="20"/>
          <w:szCs w:val="20"/>
        </w:rPr>
        <w:t>,</w:t>
      </w:r>
      <w:r w:rsidRPr="00CD4DB9">
        <w:rPr>
          <w:sz w:val="20"/>
          <w:szCs w:val="20"/>
        </w:rPr>
        <w:t xml:space="preserve"> </w:t>
      </w:r>
      <w:r>
        <w:rPr>
          <w:sz w:val="20"/>
          <w:szCs w:val="20"/>
        </w:rPr>
        <w:t>stav k</w:t>
      </w:r>
      <w:r w:rsidR="004B25CE">
        <w:rPr>
          <w:sz w:val="20"/>
          <w:szCs w:val="20"/>
        </w:rPr>
        <w:t> 02/</w:t>
      </w:r>
      <w:r>
        <w:rPr>
          <w:sz w:val="20"/>
          <w:szCs w:val="20"/>
        </w:rPr>
        <w:t>2022</w:t>
      </w:r>
      <w:r w:rsidRPr="00CD4DB9">
        <w:rPr>
          <w:sz w:val="20"/>
          <w:szCs w:val="20"/>
        </w:rPr>
        <w:t>.</w:t>
      </w:r>
    </w:p>
    <w:p w14:paraId="4C60893D" w14:textId="77777777" w:rsidR="00FE1197" w:rsidRDefault="00FE1197" w:rsidP="00FE1197">
      <w:pPr>
        <w:spacing w:after="0" w:line="240" w:lineRule="auto"/>
        <w:jc w:val="both"/>
        <w:rPr>
          <w:sz w:val="20"/>
          <w:szCs w:val="20"/>
        </w:rPr>
      </w:pPr>
      <w:r>
        <w:rPr>
          <w:b/>
          <w:sz w:val="20"/>
          <w:szCs w:val="20"/>
        </w:rPr>
        <w:t>Vysvětlivka</w:t>
      </w:r>
      <w:r w:rsidR="00901820" w:rsidRPr="005F6EEF">
        <w:rPr>
          <w:b/>
          <w:sz w:val="20"/>
          <w:szCs w:val="20"/>
        </w:rPr>
        <w:t>:</w:t>
      </w:r>
      <w:r w:rsidR="00901820" w:rsidRPr="007C6200">
        <w:rPr>
          <w:sz w:val="20"/>
          <w:szCs w:val="20"/>
        </w:rPr>
        <w:t xml:space="preserve"> </w:t>
      </w:r>
    </w:p>
    <w:p w14:paraId="2E7DD103" w14:textId="77777777" w:rsidR="00901820" w:rsidRPr="00CD4DB9" w:rsidRDefault="00901820" w:rsidP="00237A67">
      <w:pPr>
        <w:spacing w:after="120" w:line="240" w:lineRule="auto"/>
        <w:jc w:val="both"/>
        <w:rPr>
          <w:sz w:val="20"/>
          <w:szCs w:val="20"/>
        </w:rPr>
      </w:pPr>
      <w:r w:rsidRPr="007C6200">
        <w:rPr>
          <w:sz w:val="20"/>
          <w:szCs w:val="20"/>
        </w:rPr>
        <w:t>* Bez projektů nedokončených – ukončených příjemcem.</w:t>
      </w:r>
    </w:p>
    <w:p w14:paraId="2BC8307D" w14:textId="77777777" w:rsidR="00A90634" w:rsidRDefault="00A90634" w:rsidP="00613C80">
      <w:pPr>
        <w:pStyle w:val="JK2"/>
        <w:tabs>
          <w:tab w:val="clear" w:pos="567"/>
          <w:tab w:val="left" w:pos="426"/>
        </w:tabs>
      </w:pPr>
      <w:bookmarkStart w:id="5" w:name="_Hlk97801517"/>
      <w:r>
        <w:t xml:space="preserve">V rámci výzev IROP vyhlášených na podporu sociálního podnikání bylo podáno 669 žádostí o podporu, MMR vydalo </w:t>
      </w:r>
      <w:proofErr w:type="spellStart"/>
      <w:r>
        <w:t>RoPD</w:t>
      </w:r>
      <w:proofErr w:type="spellEnd"/>
      <w:r>
        <w:t xml:space="preserve"> pro 235 žádostí o podporu.</w:t>
      </w:r>
      <w:r w:rsidR="006907BC">
        <w:rPr>
          <w:rStyle w:val="Znakapoznpodarou"/>
        </w:rPr>
        <w:footnoteReference w:id="8"/>
      </w:r>
      <w:r>
        <w:t xml:space="preserve"> </w:t>
      </w:r>
      <w:bookmarkEnd w:id="5"/>
    </w:p>
    <w:p w14:paraId="39F9016E" w14:textId="77777777" w:rsidR="00D032EA" w:rsidRPr="00550728" w:rsidRDefault="00281755" w:rsidP="00550728">
      <w:pPr>
        <w:keepNext/>
        <w:spacing w:before="240" w:after="120" w:line="240" w:lineRule="auto"/>
        <w:rPr>
          <w:b/>
          <w:i/>
          <w:sz w:val="24"/>
        </w:rPr>
      </w:pPr>
      <w:r w:rsidRPr="00550728">
        <w:rPr>
          <w:b/>
          <w:i/>
          <w:sz w:val="24"/>
        </w:rPr>
        <w:t xml:space="preserve">Cílové skupiny a </w:t>
      </w:r>
      <w:r w:rsidR="00413D8B" w:rsidRPr="00550728">
        <w:rPr>
          <w:b/>
          <w:i/>
          <w:sz w:val="24"/>
        </w:rPr>
        <w:t>principy sociálního podnikání</w:t>
      </w:r>
    </w:p>
    <w:p w14:paraId="20B8A085" w14:textId="77777777" w:rsidR="00132133" w:rsidRPr="00456521" w:rsidRDefault="00132133" w:rsidP="00DE19F1">
      <w:pPr>
        <w:pStyle w:val="JK2"/>
        <w:rPr>
          <w:i/>
        </w:rPr>
      </w:pPr>
      <w:r>
        <w:t>Sociální podnikání není v České republice upraveno právním předpisem. Koordinace mezi poskytovateli podpor je zajištěna pouze omezeně. Ke spolupráci mezi zapojenými subjekty dosud docházelo především prostřednictvím vzájemné účasti v programových partnerstvích, pracovních týmech či plánovacích komisí</w:t>
      </w:r>
      <w:r w:rsidR="001B4E4A">
        <w:t>ch</w:t>
      </w:r>
      <w:r>
        <w:t>. NKÚ v</w:t>
      </w:r>
      <w:r w:rsidR="001B4E4A">
        <w:t> této souvislosti</w:t>
      </w:r>
      <w:r>
        <w:t xml:space="preserve"> upozorňuje na skutečnost, kterou popsal ve svém kontrolním závěru z kontrolní akce č. 18/33, kdy </w:t>
      </w:r>
      <w:r w:rsidR="00105744">
        <w:t>z</w:t>
      </w:r>
      <w:r>
        <w:t> </w:t>
      </w:r>
      <w:r w:rsidR="00B11277" w:rsidRPr="00BB44A1">
        <w:t>o</w:t>
      </w:r>
      <w:r w:rsidRPr="00BB44A1">
        <w:t>perační</w:t>
      </w:r>
      <w:r w:rsidR="00105744" w:rsidRPr="00BB44A1">
        <w:t>ho</w:t>
      </w:r>
      <w:r w:rsidRPr="00BB44A1">
        <w:t xml:space="preserve"> programu</w:t>
      </w:r>
      <w:r w:rsidRPr="00877DAA">
        <w:rPr>
          <w:i/>
        </w:rPr>
        <w:t xml:space="preserve"> Praha – pól růstu</w:t>
      </w:r>
      <w:r w:rsidR="00B11277">
        <w:rPr>
          <w:i/>
        </w:rPr>
        <w:t xml:space="preserve"> ČR</w:t>
      </w:r>
      <w:r>
        <w:t xml:space="preserve"> byla v hlavním městě Praze podpora </w:t>
      </w:r>
      <w:r w:rsidR="001B4E4A">
        <w:t xml:space="preserve">překvapivě </w:t>
      </w:r>
      <w:r w:rsidRPr="000A6DF3">
        <w:t>zacílena na výrazně širší skupinu osob a za výhodnějších podmínek financování</w:t>
      </w:r>
      <w:r>
        <w:t>,</w:t>
      </w:r>
      <w:r w:rsidRPr="000A6DF3">
        <w:t xml:space="preserve"> než </w:t>
      </w:r>
      <w:r>
        <w:t>jak tomu bylo u</w:t>
      </w:r>
      <w:r w:rsidR="00032FC2">
        <w:t> </w:t>
      </w:r>
      <w:r w:rsidRPr="000A6DF3">
        <w:t>podpor</w:t>
      </w:r>
      <w:r>
        <w:t>y</w:t>
      </w:r>
      <w:r w:rsidRPr="000A6DF3">
        <w:t xml:space="preserve"> projektů sociálního podnikání v rámci ostatních operačních programů</w:t>
      </w:r>
      <w:r>
        <w:t xml:space="preserve"> určených</w:t>
      </w:r>
      <w:r w:rsidRPr="000A6DF3">
        <w:t xml:space="preserve"> pro regiony s horší socioekonomickou situací.</w:t>
      </w:r>
      <w:r>
        <w:rPr>
          <w:rStyle w:val="Znakapoznpodarou"/>
        </w:rPr>
        <w:footnoteReference w:id="9"/>
      </w:r>
      <w:r>
        <w:t xml:space="preserve"> Hlavní město Praha jako řídicí orgán tohoto operačního programu neakceptoval</w:t>
      </w:r>
      <w:r w:rsidR="00D73B91">
        <w:t xml:space="preserve"> </w:t>
      </w:r>
      <w:bookmarkStart w:id="6" w:name="_Hlk102644993"/>
      <w:r>
        <w:t>doporučení</w:t>
      </w:r>
      <w:r w:rsidR="00665B6E">
        <w:t xml:space="preserve"> </w:t>
      </w:r>
      <w:r w:rsidR="00610745">
        <w:t xml:space="preserve">Ministerstva práce a sociálních věcí </w:t>
      </w:r>
      <w:r>
        <w:t>k</w:t>
      </w:r>
      <w:r w:rsidR="00DA7929">
        <w:t> </w:t>
      </w:r>
      <w:r>
        <w:t xml:space="preserve">úpravě </w:t>
      </w:r>
      <w:bookmarkEnd w:id="6"/>
      <w:r>
        <w:t>vymezení cílové skupiny a</w:t>
      </w:r>
      <w:r w:rsidDel="00250E8F">
        <w:t xml:space="preserve"> </w:t>
      </w:r>
      <w:r>
        <w:t>podmínek financování projektů.</w:t>
      </w:r>
    </w:p>
    <w:p w14:paraId="65F2D3B3" w14:textId="77777777" w:rsidR="0086659D" w:rsidRDefault="00A90634" w:rsidP="00D96C84">
      <w:pPr>
        <w:pStyle w:val="JK2"/>
        <w:keepNext/>
        <w:keepLines/>
        <w:spacing w:after="0"/>
      </w:pPr>
      <w:r w:rsidRPr="00D67836">
        <w:t>V OPZ</w:t>
      </w:r>
      <w:r>
        <w:t xml:space="preserve"> </w:t>
      </w:r>
      <w:r w:rsidR="00FE18A3">
        <w:t xml:space="preserve">a IROP </w:t>
      </w:r>
      <w:r>
        <w:t>jsou jako znevýhodněné osoby, jejichž zaměstnávání je v projektech sociálního podnikání podporováno, definovány následující cílové skupiny</w:t>
      </w:r>
      <w:r>
        <w:rPr>
          <w:rStyle w:val="Znakapoznpodarou"/>
        </w:rPr>
        <w:footnoteReference w:id="10"/>
      </w:r>
      <w:r>
        <w:t xml:space="preserve"> (dále také „CS“): </w:t>
      </w:r>
    </w:p>
    <w:p w14:paraId="2FB05B83" w14:textId="77777777" w:rsidR="0086659D" w:rsidRDefault="00A90634" w:rsidP="00357C61">
      <w:pPr>
        <w:pStyle w:val="JK2"/>
        <w:numPr>
          <w:ilvl w:val="0"/>
          <w:numId w:val="7"/>
        </w:numPr>
        <w:spacing w:before="0" w:after="0"/>
        <w:ind w:left="714" w:hanging="357"/>
      </w:pPr>
      <w:r>
        <w:t xml:space="preserve">osoby dlouhodobě či opakovaně nezaměstnané, </w:t>
      </w:r>
    </w:p>
    <w:p w14:paraId="1BB37022" w14:textId="77777777" w:rsidR="0086659D" w:rsidRDefault="00A90634" w:rsidP="00357C61">
      <w:pPr>
        <w:pStyle w:val="JK2"/>
        <w:numPr>
          <w:ilvl w:val="0"/>
          <w:numId w:val="7"/>
        </w:numPr>
        <w:spacing w:before="0" w:after="0"/>
        <w:ind w:left="714" w:hanging="357"/>
      </w:pPr>
      <w:r>
        <w:t>osoby se zdravotním postižením,</w:t>
      </w:r>
    </w:p>
    <w:p w14:paraId="4DE17D07" w14:textId="77777777" w:rsidR="0086659D" w:rsidRDefault="00A90634" w:rsidP="00357C61">
      <w:pPr>
        <w:pStyle w:val="JK2"/>
        <w:numPr>
          <w:ilvl w:val="0"/>
          <w:numId w:val="7"/>
        </w:numPr>
        <w:spacing w:before="0" w:after="0"/>
        <w:ind w:left="714" w:hanging="357"/>
      </w:pPr>
      <w:r>
        <w:t xml:space="preserve">osoby v nebo po výkonu trestu, </w:t>
      </w:r>
    </w:p>
    <w:p w14:paraId="5E86439E" w14:textId="77777777" w:rsidR="0086659D" w:rsidRDefault="00A90634" w:rsidP="00357C61">
      <w:pPr>
        <w:pStyle w:val="JK2"/>
        <w:numPr>
          <w:ilvl w:val="0"/>
          <w:numId w:val="7"/>
        </w:numPr>
        <w:spacing w:before="0" w:after="0"/>
        <w:ind w:left="714" w:hanging="357"/>
      </w:pPr>
      <w:r>
        <w:t xml:space="preserve">osoby opouštějící institucionální zařízení, </w:t>
      </w:r>
    </w:p>
    <w:p w14:paraId="5FDCE893" w14:textId="77777777" w:rsidR="0086659D" w:rsidRDefault="00A90634" w:rsidP="00357C61">
      <w:pPr>
        <w:pStyle w:val="JK2"/>
        <w:numPr>
          <w:ilvl w:val="0"/>
          <w:numId w:val="7"/>
        </w:numPr>
        <w:spacing w:before="0" w:after="0"/>
        <w:ind w:left="714" w:hanging="357"/>
      </w:pPr>
      <w:r>
        <w:t xml:space="preserve">azylanti do 12 měsíců od získání azylu, </w:t>
      </w:r>
    </w:p>
    <w:p w14:paraId="38D349FC" w14:textId="77777777" w:rsidR="0086659D" w:rsidRDefault="00A90634" w:rsidP="00357C61">
      <w:pPr>
        <w:pStyle w:val="JK2"/>
        <w:numPr>
          <w:ilvl w:val="0"/>
          <w:numId w:val="7"/>
        </w:numPr>
        <w:spacing w:before="0" w:after="0"/>
        <w:ind w:left="714" w:hanging="357"/>
      </w:pPr>
      <w:r>
        <w:t xml:space="preserve">osoby pečující o jiné závislé osoby, </w:t>
      </w:r>
    </w:p>
    <w:p w14:paraId="1CCA28AF" w14:textId="77777777" w:rsidR="0086659D" w:rsidRDefault="00A90634" w:rsidP="00357C61">
      <w:pPr>
        <w:pStyle w:val="JK2"/>
        <w:numPr>
          <w:ilvl w:val="0"/>
          <w:numId w:val="7"/>
        </w:numPr>
        <w:spacing w:before="0" w:after="0"/>
        <w:ind w:left="714" w:hanging="357"/>
      </w:pPr>
      <w:r>
        <w:t xml:space="preserve">osoby ohrožené vícenásobnými riziky, </w:t>
      </w:r>
    </w:p>
    <w:p w14:paraId="128776C7" w14:textId="77777777" w:rsidR="0086659D" w:rsidRDefault="00A90634" w:rsidP="00357C61">
      <w:pPr>
        <w:pStyle w:val="JK2"/>
        <w:numPr>
          <w:ilvl w:val="0"/>
          <w:numId w:val="7"/>
        </w:numPr>
        <w:spacing w:before="0" w:after="0"/>
        <w:ind w:left="714" w:hanging="357"/>
      </w:pPr>
      <w:r>
        <w:t xml:space="preserve">osoby pečující o malé děti, </w:t>
      </w:r>
    </w:p>
    <w:p w14:paraId="71E4626B" w14:textId="77777777" w:rsidR="0086659D" w:rsidRDefault="00A90634" w:rsidP="00357C61">
      <w:pPr>
        <w:pStyle w:val="JK2"/>
        <w:numPr>
          <w:ilvl w:val="0"/>
          <w:numId w:val="7"/>
        </w:numPr>
        <w:spacing w:before="0" w:after="0"/>
        <w:ind w:left="714" w:hanging="357"/>
      </w:pPr>
      <w:r>
        <w:t>uchazeči o zaměstnání a zájemci o zaměstnání a neaktivní osoby ve věku 55</w:t>
      </w:r>
      <w:r w:rsidR="00665B6E">
        <w:t>–</w:t>
      </w:r>
      <w:r>
        <w:t>64 let,</w:t>
      </w:r>
    </w:p>
    <w:p w14:paraId="61A09090" w14:textId="77777777" w:rsidR="00A90634" w:rsidRPr="00D67836" w:rsidRDefault="00A90634" w:rsidP="00357C61">
      <w:pPr>
        <w:pStyle w:val="JK2"/>
        <w:numPr>
          <w:ilvl w:val="0"/>
          <w:numId w:val="7"/>
        </w:numPr>
        <w:spacing w:before="0"/>
        <w:ind w:left="714" w:hanging="357"/>
      </w:pPr>
      <w:r>
        <w:t>mladé osoby.</w:t>
      </w:r>
    </w:p>
    <w:p w14:paraId="67D6E184" w14:textId="77777777" w:rsidR="00A90634" w:rsidRDefault="00A90634" w:rsidP="004B4EA2">
      <w:pPr>
        <w:pStyle w:val="JK2"/>
      </w:pPr>
      <w:r w:rsidRPr="00D67836">
        <w:t xml:space="preserve">V OPZ </w:t>
      </w:r>
      <w:r w:rsidR="00FE18A3">
        <w:t xml:space="preserve">a IROP </w:t>
      </w:r>
      <w:r w:rsidRPr="00D67836">
        <w:t>jsou pro vymezení toho, jaké charakteristiky musí podpořený subjekt splňovat</w:t>
      </w:r>
      <w:r>
        <w:t xml:space="preserve">, aby jej bylo možné považovat za sociální podnik, používány principy </w:t>
      </w:r>
      <w:r w:rsidR="00D82B50">
        <w:t>sociálního podnikání</w:t>
      </w:r>
      <w:r>
        <w:t>.</w:t>
      </w:r>
      <w:r w:rsidR="0086659D">
        <w:rPr>
          <w:rStyle w:val="Znakapoznpodarou"/>
        </w:rPr>
        <w:footnoteReference w:id="11"/>
      </w:r>
      <w:r>
        <w:t xml:space="preserve"> Příjemci podpory jsou povinni tyto principy dodržovat nejen během realizace svých projektů, ale v případě projektů IROP i po jejich skončení v době udržitelnosti. Rozhodným okamžikem, ke kterému musí dojít k naplnění stanovených principů ve vztahu k realizovaným projektům, je přitom datum ukončení </w:t>
      </w:r>
      <w:r w:rsidR="002375AF">
        <w:t xml:space="preserve">realizace </w:t>
      </w:r>
      <w:r>
        <w:t>projektu.</w:t>
      </w:r>
      <w:r w:rsidR="00786610">
        <w:t xml:space="preserve"> </w:t>
      </w:r>
      <w:r>
        <w:t>Principy sociálního podnikání jsou v IROP a OPZ definovány obdobným způsobem</w:t>
      </w:r>
      <w:r>
        <w:rPr>
          <w:rStyle w:val="Znakapoznpodarou"/>
        </w:rPr>
        <w:footnoteReference w:id="12"/>
      </w:r>
      <w:r>
        <w:t xml:space="preserve"> a mají zajistit dodržování stanovených podmínek v oblastech sociální, ekonomické, environmentální a místního prospěchu.</w:t>
      </w:r>
      <w:r w:rsidR="00687A90">
        <w:t xml:space="preserve"> Podrobné informace k principům sociálního podnikání</w:t>
      </w:r>
      <w:r w:rsidR="00B07781">
        <w:t xml:space="preserve"> používaným v obou operačních programech</w:t>
      </w:r>
      <w:r w:rsidR="00687A90">
        <w:t xml:space="preserve"> jsou uvedeny v </w:t>
      </w:r>
      <w:r w:rsidR="00B07781" w:rsidRPr="00832761">
        <w:rPr>
          <w:b/>
        </w:rPr>
        <w:t>p</w:t>
      </w:r>
      <w:r w:rsidR="00687A90" w:rsidRPr="00832761">
        <w:rPr>
          <w:b/>
        </w:rPr>
        <w:t>říloze č. 3</w:t>
      </w:r>
      <w:r w:rsidR="00665B6E">
        <w:rPr>
          <w:b/>
        </w:rPr>
        <w:t xml:space="preserve"> </w:t>
      </w:r>
      <w:r w:rsidR="00665B6E">
        <w:t>tohoto kontrolního závěru</w:t>
      </w:r>
      <w:r w:rsidR="00687A90" w:rsidRPr="00832761">
        <w:t>.</w:t>
      </w:r>
    </w:p>
    <w:p w14:paraId="399672CC" w14:textId="77777777" w:rsidR="00EA05A6" w:rsidRDefault="00A90634" w:rsidP="00EA05A6">
      <w:pPr>
        <w:pStyle w:val="JK2"/>
      </w:pPr>
      <w:r w:rsidRPr="00CB7FF9">
        <w:t xml:space="preserve">Oprávněnými žadateli o dotaci jsou </w:t>
      </w:r>
      <w:r>
        <w:t>osoby samostatně výdělečně činné, obchodní korporace a nestátní neziskové organizace.</w:t>
      </w:r>
      <w:r w:rsidRPr="00CB7FF9">
        <w:t xml:space="preserve"> </w:t>
      </w:r>
      <w:r w:rsidRPr="00376829">
        <w:t>Mezi nejčastější činnosti, kterými se sociální podniky zabývají, patří výroba potravin, stavebnictví, textilní služby, kovovýroba a</w:t>
      </w:r>
      <w:r>
        <w:t> </w:t>
      </w:r>
      <w:r w:rsidRPr="00376829">
        <w:t>dřevovýroba, kavárny</w:t>
      </w:r>
      <w:r w:rsidR="00FE18A3">
        <w:t xml:space="preserve">, </w:t>
      </w:r>
      <w:r w:rsidRPr="00376829">
        <w:t>pražírny</w:t>
      </w:r>
      <w:r w:rsidR="00FE18A3">
        <w:t xml:space="preserve">, </w:t>
      </w:r>
      <w:r w:rsidRPr="00376829">
        <w:t>lihovary</w:t>
      </w:r>
      <w:r w:rsidR="00FE18A3">
        <w:t xml:space="preserve">, </w:t>
      </w:r>
      <w:r w:rsidRPr="00376829">
        <w:t>pivovary</w:t>
      </w:r>
      <w:r w:rsidR="00FE18A3">
        <w:t xml:space="preserve">, </w:t>
      </w:r>
      <w:r w:rsidRPr="00376829">
        <w:t>palírny</w:t>
      </w:r>
      <w:r w:rsidR="00FE18A3">
        <w:t>,</w:t>
      </w:r>
      <w:r w:rsidRPr="00376829">
        <w:t xml:space="preserve"> </w:t>
      </w:r>
      <w:r>
        <w:t>úklidové služby, prádelny a podobné služby.</w:t>
      </w:r>
      <w:r w:rsidR="00ED77E9" w:rsidRPr="00A604F3">
        <w:t xml:space="preserve"> </w:t>
      </w:r>
    </w:p>
    <w:p w14:paraId="5BBEE0E3" w14:textId="77777777" w:rsidR="006D791D" w:rsidRPr="00D96C84" w:rsidRDefault="00D96C84" w:rsidP="00D96C84">
      <w:pPr>
        <w:keepNext/>
        <w:spacing w:before="600" w:after="240" w:line="240" w:lineRule="auto"/>
        <w:jc w:val="center"/>
        <w:rPr>
          <w:b/>
          <w:sz w:val="28"/>
        </w:rPr>
      </w:pPr>
      <w:bookmarkStart w:id="7" w:name="_Hlk97728594"/>
      <w:r>
        <w:rPr>
          <w:b/>
          <w:sz w:val="28"/>
        </w:rPr>
        <w:t xml:space="preserve">III. </w:t>
      </w:r>
      <w:r w:rsidR="000624C9" w:rsidRPr="00D96C84">
        <w:rPr>
          <w:b/>
          <w:sz w:val="28"/>
        </w:rPr>
        <w:t>Rozsah kontroly</w:t>
      </w:r>
    </w:p>
    <w:p w14:paraId="44C64A11" w14:textId="77777777" w:rsidR="00E37BC5" w:rsidRPr="00E6602B" w:rsidRDefault="003C2849" w:rsidP="003C2849">
      <w:pPr>
        <w:tabs>
          <w:tab w:val="left" w:pos="567"/>
        </w:tabs>
        <w:spacing w:before="120" w:after="120" w:line="240" w:lineRule="auto"/>
        <w:jc w:val="both"/>
        <w:rPr>
          <w:sz w:val="24"/>
        </w:rPr>
      </w:pPr>
      <w:bookmarkStart w:id="8" w:name="_Hlk97729707"/>
      <w:bookmarkEnd w:id="7"/>
      <w:r>
        <w:rPr>
          <w:sz w:val="24"/>
        </w:rPr>
        <w:t>3.1</w:t>
      </w:r>
      <w:r>
        <w:rPr>
          <w:sz w:val="24"/>
        </w:rPr>
        <w:tab/>
      </w:r>
      <w:r w:rsidR="00DB71A8" w:rsidRPr="00E6602B">
        <w:rPr>
          <w:sz w:val="24"/>
        </w:rPr>
        <w:t>Cílem kontrolní akce bylo prověřit, zda peněžní prostředky státního rozpočtu a Evropské unie určené na podporu sociálních podniků byly poskytovány a čerpány účelně, efektivně a v souladu s právními předpisy.</w:t>
      </w:r>
      <w:r w:rsidR="000820E1" w:rsidRPr="00E6602B">
        <w:rPr>
          <w:sz w:val="24"/>
        </w:rPr>
        <w:t xml:space="preserve"> </w:t>
      </w:r>
    </w:p>
    <w:p w14:paraId="061453B5" w14:textId="77777777" w:rsidR="00E37BC5" w:rsidRPr="00E6602B" w:rsidRDefault="003C2849" w:rsidP="003C2849">
      <w:pPr>
        <w:tabs>
          <w:tab w:val="left" w:pos="567"/>
        </w:tabs>
        <w:spacing w:before="120" w:after="120" w:line="240" w:lineRule="auto"/>
        <w:jc w:val="both"/>
        <w:rPr>
          <w:sz w:val="24"/>
        </w:rPr>
      </w:pPr>
      <w:r>
        <w:rPr>
          <w:sz w:val="24"/>
        </w:rPr>
        <w:t>3.2</w:t>
      </w:r>
      <w:r>
        <w:rPr>
          <w:sz w:val="24"/>
        </w:rPr>
        <w:tab/>
      </w:r>
      <w:r w:rsidR="00DB71A8" w:rsidRPr="00E6602B">
        <w:rPr>
          <w:sz w:val="24"/>
        </w:rPr>
        <w:t>Za účelné se považuje takové použití veřejných prostředků, které zajistí optimální míru dosažení cílů při plnění stanovených úkolů</w:t>
      </w:r>
      <w:r w:rsidR="00DB71A8" w:rsidRPr="00E6602B">
        <w:rPr>
          <w:sz w:val="24"/>
          <w:vertAlign w:val="superscript"/>
        </w:rPr>
        <w:footnoteReference w:id="13"/>
      </w:r>
      <w:r w:rsidR="00DB71A8" w:rsidRPr="00E6602B">
        <w:rPr>
          <w:sz w:val="24"/>
        </w:rPr>
        <w:t>. Poskytování a čerpání peněžních prostředků bylo tedy účelné, když došlo k naplnění stanovených cílů především ve smyslu toho, že došlo ke vzniku nového sociálního podniku nebo k rozšíření činnosti stávajícího sociálního podniku, přičemž podpořené subjekty dodržovaly povinnost naplňovat po stanovené období principy sociálního podnikání</w:t>
      </w:r>
      <w:r w:rsidR="00B07781" w:rsidRPr="00E6602B">
        <w:rPr>
          <w:sz w:val="24"/>
        </w:rPr>
        <w:t>.</w:t>
      </w:r>
      <w:r w:rsidR="00135876" w:rsidRPr="00E6602B">
        <w:rPr>
          <w:sz w:val="24"/>
        </w:rPr>
        <w:t xml:space="preserve"> </w:t>
      </w:r>
      <w:r w:rsidR="00B07781" w:rsidRPr="00E6602B">
        <w:rPr>
          <w:sz w:val="24"/>
        </w:rPr>
        <w:t>V</w:t>
      </w:r>
      <w:r w:rsidR="00135876" w:rsidRPr="00E6602B">
        <w:rPr>
          <w:sz w:val="24"/>
        </w:rPr>
        <w:t> konečném důsledku</w:t>
      </w:r>
      <w:r w:rsidR="00B07781" w:rsidRPr="00E6602B">
        <w:rPr>
          <w:sz w:val="24"/>
        </w:rPr>
        <w:t xml:space="preserve"> (přínosu)</w:t>
      </w:r>
      <w:r w:rsidR="00135876" w:rsidRPr="00E6602B">
        <w:rPr>
          <w:sz w:val="24"/>
        </w:rPr>
        <w:t xml:space="preserve"> </w:t>
      </w:r>
      <w:r w:rsidR="00B07781" w:rsidRPr="00E6602B">
        <w:rPr>
          <w:sz w:val="24"/>
        </w:rPr>
        <w:t xml:space="preserve">měla </w:t>
      </w:r>
      <w:r w:rsidR="00135876" w:rsidRPr="00E6602B">
        <w:rPr>
          <w:sz w:val="24"/>
        </w:rPr>
        <w:t>podpora v</w:t>
      </w:r>
      <w:r w:rsidR="00B07781" w:rsidRPr="00E6602B">
        <w:rPr>
          <w:sz w:val="24"/>
        </w:rPr>
        <w:t>ést</w:t>
      </w:r>
      <w:r w:rsidR="00135876" w:rsidRPr="00E6602B">
        <w:rPr>
          <w:sz w:val="24"/>
        </w:rPr>
        <w:t xml:space="preserve"> k posílení postavení osob </w:t>
      </w:r>
      <w:r w:rsidR="00150DB4" w:rsidRPr="00E6602B">
        <w:rPr>
          <w:sz w:val="24"/>
        </w:rPr>
        <w:t>z </w:t>
      </w:r>
      <w:r w:rsidR="00150DB4" w:rsidRPr="00E6602B" w:rsidDel="00250E8F">
        <w:rPr>
          <w:sz w:val="24"/>
        </w:rPr>
        <w:t>cílových</w:t>
      </w:r>
      <w:r w:rsidR="00135876" w:rsidRPr="00E6602B">
        <w:rPr>
          <w:sz w:val="24"/>
        </w:rPr>
        <w:t xml:space="preserve"> skupin na trhu práce</w:t>
      </w:r>
      <w:r w:rsidR="00DB71A8" w:rsidRPr="00E6602B">
        <w:rPr>
          <w:sz w:val="24"/>
        </w:rPr>
        <w:t>.</w:t>
      </w:r>
    </w:p>
    <w:p w14:paraId="54DBFEF3" w14:textId="77777777" w:rsidR="00E37BC5" w:rsidRPr="00E6602B" w:rsidRDefault="003C2849" w:rsidP="003C2849">
      <w:pPr>
        <w:tabs>
          <w:tab w:val="left" w:pos="567"/>
        </w:tabs>
        <w:spacing w:before="120" w:after="120" w:line="240" w:lineRule="auto"/>
        <w:jc w:val="both"/>
        <w:rPr>
          <w:sz w:val="24"/>
        </w:rPr>
      </w:pPr>
      <w:r>
        <w:rPr>
          <w:sz w:val="24"/>
        </w:rPr>
        <w:t>3.3</w:t>
      </w:r>
      <w:r>
        <w:rPr>
          <w:sz w:val="24"/>
        </w:rPr>
        <w:tab/>
      </w:r>
      <w:r w:rsidR="00A90634" w:rsidRPr="00E6602B">
        <w:rPr>
          <w:sz w:val="24"/>
        </w:rPr>
        <w:t>Za efektivní se považuje takové použití veřejných prostředků, kterým se dosáhne nejvýše možného rozsahu, kvality a přínosu plněných úkolů ve srovnání s objemem prostředků vynaložených na jejich plnění</w:t>
      </w:r>
      <w:r w:rsidR="00A90634" w:rsidRPr="00E6602B">
        <w:rPr>
          <w:sz w:val="24"/>
          <w:vertAlign w:val="superscript"/>
        </w:rPr>
        <w:footnoteReference w:id="14"/>
      </w:r>
      <w:r w:rsidR="00A90634" w:rsidRPr="00E6602B">
        <w:rPr>
          <w:sz w:val="24"/>
        </w:rPr>
        <w:t xml:space="preserve">. Poskytování a čerpání peněžních prostředků bylo tedy efektivní, </w:t>
      </w:r>
      <w:r w:rsidR="00A54694" w:rsidRPr="00E6602B">
        <w:rPr>
          <w:sz w:val="24"/>
        </w:rPr>
        <w:t>pokud</w:t>
      </w:r>
      <w:r w:rsidR="00A90634" w:rsidRPr="00E6602B">
        <w:rPr>
          <w:sz w:val="24"/>
        </w:rPr>
        <w:t xml:space="preserve"> </w:t>
      </w:r>
      <w:r w:rsidR="00B90816" w:rsidRPr="00E6602B">
        <w:rPr>
          <w:sz w:val="24"/>
        </w:rPr>
        <w:t xml:space="preserve">bylo </w:t>
      </w:r>
      <w:r w:rsidR="005D7DD4" w:rsidRPr="00E6602B">
        <w:rPr>
          <w:sz w:val="24"/>
        </w:rPr>
        <w:t>zajištěno optimální</w:t>
      </w:r>
      <w:r w:rsidR="00A90634" w:rsidRPr="00E6602B">
        <w:rPr>
          <w:sz w:val="24"/>
        </w:rPr>
        <w:t xml:space="preserve"> </w:t>
      </w:r>
      <w:r w:rsidR="005D7DD4" w:rsidRPr="00E6602B">
        <w:rPr>
          <w:sz w:val="24"/>
        </w:rPr>
        <w:t xml:space="preserve">vynaložení </w:t>
      </w:r>
      <w:r w:rsidR="00A54694" w:rsidRPr="00E6602B">
        <w:rPr>
          <w:sz w:val="24"/>
        </w:rPr>
        <w:t>prostředků vzhledem k </w:t>
      </w:r>
      <w:r w:rsidR="00A90634" w:rsidRPr="00E6602B">
        <w:rPr>
          <w:sz w:val="24"/>
        </w:rPr>
        <w:t>výstupů</w:t>
      </w:r>
      <w:r w:rsidR="00A54694" w:rsidRPr="00E6602B">
        <w:rPr>
          <w:sz w:val="24"/>
        </w:rPr>
        <w:t>m projektu</w:t>
      </w:r>
      <w:r w:rsidR="00A90634" w:rsidRPr="00E6602B">
        <w:rPr>
          <w:sz w:val="24"/>
        </w:rPr>
        <w:t xml:space="preserve"> </w:t>
      </w:r>
      <w:r w:rsidR="00BC01BC" w:rsidRPr="00E6602B">
        <w:rPr>
          <w:sz w:val="24"/>
        </w:rPr>
        <w:t xml:space="preserve">sociálního podnikání </w:t>
      </w:r>
      <w:r w:rsidR="00A54694" w:rsidRPr="00E6602B">
        <w:rPr>
          <w:sz w:val="24"/>
        </w:rPr>
        <w:t xml:space="preserve">a </w:t>
      </w:r>
      <w:r w:rsidR="00665B6E">
        <w:rPr>
          <w:sz w:val="24"/>
        </w:rPr>
        <w:t>pokud</w:t>
      </w:r>
      <w:r w:rsidR="00A54694" w:rsidRPr="00E6602B">
        <w:rPr>
          <w:sz w:val="24"/>
        </w:rPr>
        <w:t xml:space="preserve"> byly financovány jen výdaje související s</w:t>
      </w:r>
      <w:r w:rsidR="00BC01BC" w:rsidRPr="00E6602B">
        <w:rPr>
          <w:sz w:val="24"/>
        </w:rPr>
        <w:t xml:space="preserve"> jeho </w:t>
      </w:r>
      <w:r w:rsidR="00A54694" w:rsidRPr="00E6602B">
        <w:rPr>
          <w:sz w:val="24"/>
        </w:rPr>
        <w:t>realizací a</w:t>
      </w:r>
      <w:r w:rsidR="00601E8F" w:rsidRPr="00E6602B">
        <w:rPr>
          <w:sz w:val="24"/>
        </w:rPr>
        <w:t> </w:t>
      </w:r>
      <w:r w:rsidR="00A54694" w:rsidRPr="00E6602B">
        <w:rPr>
          <w:sz w:val="24"/>
        </w:rPr>
        <w:t>nezbytné pro naplnění jeho cílů</w:t>
      </w:r>
      <w:r w:rsidR="00A90634" w:rsidRPr="00E6602B">
        <w:rPr>
          <w:sz w:val="24"/>
        </w:rPr>
        <w:t>. Hospodárností se rozumí takové použití veřejných prostředků, které zajistí plnění stanovených úkolů s co nejnižším vynaložením těchto prostředků při zajištění odpovídající kvality plnění úkolů</w:t>
      </w:r>
      <w:r w:rsidR="00A90634" w:rsidRPr="00E6602B">
        <w:rPr>
          <w:sz w:val="24"/>
          <w:vertAlign w:val="superscript"/>
        </w:rPr>
        <w:footnoteReference w:id="15"/>
      </w:r>
      <w:r w:rsidR="000820E1" w:rsidRPr="00E6602B">
        <w:rPr>
          <w:sz w:val="24"/>
        </w:rPr>
        <w:t xml:space="preserve">, kdy zejména nebyly při plnění těchto úkolů překročeny náklady v místě a čase </w:t>
      </w:r>
      <w:r w:rsidR="00A54694" w:rsidRPr="00E6602B">
        <w:rPr>
          <w:sz w:val="24"/>
        </w:rPr>
        <w:t>obvyklé</w:t>
      </w:r>
      <w:r w:rsidR="00A90634" w:rsidRPr="00E6602B">
        <w:rPr>
          <w:sz w:val="24"/>
        </w:rPr>
        <w:t xml:space="preserve">. </w:t>
      </w:r>
      <w:r w:rsidR="000820E1" w:rsidRPr="00E6602B">
        <w:rPr>
          <w:sz w:val="24"/>
        </w:rPr>
        <w:t>Posouzení h</w:t>
      </w:r>
      <w:r w:rsidR="00A90634" w:rsidRPr="00E6602B">
        <w:rPr>
          <w:sz w:val="24"/>
        </w:rPr>
        <w:t>ospodárnost</w:t>
      </w:r>
      <w:r w:rsidR="000820E1" w:rsidRPr="00E6602B">
        <w:rPr>
          <w:sz w:val="24"/>
        </w:rPr>
        <w:t>i</w:t>
      </w:r>
      <w:r w:rsidR="00A90634" w:rsidRPr="00E6602B">
        <w:rPr>
          <w:sz w:val="24"/>
        </w:rPr>
        <w:t xml:space="preserve"> byl</w:t>
      </w:r>
      <w:r w:rsidR="000820E1" w:rsidRPr="00E6602B">
        <w:rPr>
          <w:sz w:val="24"/>
        </w:rPr>
        <w:t>o</w:t>
      </w:r>
      <w:r w:rsidR="00A90634" w:rsidRPr="00E6602B">
        <w:rPr>
          <w:sz w:val="24"/>
        </w:rPr>
        <w:t xml:space="preserve"> </w:t>
      </w:r>
      <w:r w:rsidR="000820E1" w:rsidRPr="00E6602B">
        <w:rPr>
          <w:sz w:val="24"/>
        </w:rPr>
        <w:t xml:space="preserve">v této kontrole </w:t>
      </w:r>
      <w:r w:rsidR="00A90634" w:rsidRPr="00E6602B">
        <w:rPr>
          <w:sz w:val="24"/>
        </w:rPr>
        <w:t>součástí celkového posouzení efektivnosti.</w:t>
      </w:r>
    </w:p>
    <w:p w14:paraId="16D092F6" w14:textId="77777777" w:rsidR="00B813A1" w:rsidRPr="00E6602B" w:rsidRDefault="003C2849" w:rsidP="003C2849">
      <w:pPr>
        <w:tabs>
          <w:tab w:val="left" w:pos="567"/>
        </w:tabs>
        <w:spacing w:before="120" w:after="120" w:line="240" w:lineRule="auto"/>
        <w:jc w:val="both"/>
        <w:rPr>
          <w:sz w:val="24"/>
        </w:rPr>
      </w:pPr>
      <w:r>
        <w:rPr>
          <w:sz w:val="24"/>
        </w:rPr>
        <w:t>3.4</w:t>
      </w:r>
      <w:r>
        <w:rPr>
          <w:sz w:val="24"/>
        </w:rPr>
        <w:tab/>
      </w:r>
      <w:r w:rsidR="00B813A1" w:rsidRPr="00E6602B">
        <w:rPr>
          <w:sz w:val="24"/>
        </w:rPr>
        <w:t>Za účelem naplnění cíle kontrolní akce NKÚ posuzoval zjištěné skutečnosti k zodpovězení těchto otázek:</w:t>
      </w:r>
    </w:p>
    <w:p w14:paraId="5AA2A34F" w14:textId="77777777" w:rsidR="00B813A1" w:rsidRPr="00B07781" w:rsidRDefault="00B813A1" w:rsidP="00357C61">
      <w:pPr>
        <w:numPr>
          <w:ilvl w:val="0"/>
          <w:numId w:val="10"/>
        </w:numPr>
        <w:spacing w:after="0" w:line="240" w:lineRule="auto"/>
        <w:ind w:hanging="294"/>
        <w:jc w:val="both"/>
        <w:rPr>
          <w:rFonts w:ascii="Calibri" w:eastAsia="Times New Roman" w:hAnsi="Calibri" w:cs="Times New Roman"/>
          <w:i/>
          <w:color w:val="000000"/>
          <w:sz w:val="24"/>
          <w:szCs w:val="24"/>
          <w:lang w:eastAsia="cs-CZ"/>
        </w:rPr>
      </w:pPr>
      <w:r w:rsidRPr="00B07781">
        <w:rPr>
          <w:rFonts w:ascii="Calibri" w:eastAsia="Times New Roman" w:hAnsi="Calibri" w:cs="Times New Roman"/>
          <w:i/>
          <w:color w:val="000000"/>
          <w:sz w:val="24"/>
          <w:szCs w:val="24"/>
          <w:lang w:eastAsia="cs-CZ"/>
        </w:rPr>
        <w:t>Nastavily řídicí orgány OPZ a IROP cíle a indikátory tak, aby poskytovaly informace o účelnosti a efektivnosti poskytované podpory?</w:t>
      </w:r>
    </w:p>
    <w:p w14:paraId="2C5FF387" w14:textId="77777777" w:rsidR="00B813A1" w:rsidRPr="00B07781" w:rsidRDefault="00B813A1" w:rsidP="00357C61">
      <w:pPr>
        <w:numPr>
          <w:ilvl w:val="0"/>
          <w:numId w:val="10"/>
        </w:numPr>
        <w:spacing w:after="0" w:line="240" w:lineRule="auto"/>
        <w:ind w:hanging="294"/>
        <w:jc w:val="both"/>
        <w:rPr>
          <w:rFonts w:ascii="Calibri" w:eastAsia="Times New Roman" w:hAnsi="Calibri" w:cs="Times New Roman"/>
          <w:i/>
          <w:color w:val="000000"/>
          <w:sz w:val="24"/>
          <w:szCs w:val="24"/>
          <w:lang w:eastAsia="cs-CZ"/>
        </w:rPr>
      </w:pPr>
      <w:r w:rsidRPr="00B07781">
        <w:rPr>
          <w:rFonts w:ascii="Calibri" w:eastAsia="Times New Roman" w:hAnsi="Calibri" w:cs="Times New Roman"/>
          <w:i/>
          <w:color w:val="000000"/>
          <w:sz w:val="24"/>
          <w:szCs w:val="24"/>
          <w:lang w:eastAsia="cs-CZ"/>
        </w:rPr>
        <w:t xml:space="preserve">Nastavily řídicí orgány </w:t>
      </w:r>
      <w:r w:rsidR="00E15809">
        <w:rPr>
          <w:rFonts w:ascii="Calibri" w:eastAsia="Times New Roman" w:hAnsi="Calibri" w:cs="Times New Roman"/>
          <w:i/>
          <w:color w:val="000000"/>
          <w:sz w:val="24"/>
          <w:szCs w:val="24"/>
          <w:lang w:eastAsia="cs-CZ"/>
        </w:rPr>
        <w:t xml:space="preserve">principy sociálního podnikání </w:t>
      </w:r>
      <w:r w:rsidRPr="00B07781">
        <w:rPr>
          <w:rFonts w:ascii="Calibri" w:eastAsia="Times New Roman" w:hAnsi="Calibri" w:cs="Times New Roman"/>
          <w:i/>
          <w:color w:val="000000"/>
          <w:sz w:val="24"/>
          <w:szCs w:val="24"/>
          <w:lang w:eastAsia="cs-CZ"/>
        </w:rPr>
        <w:t xml:space="preserve">tak, aby </w:t>
      </w:r>
      <w:r w:rsidR="00601E8F" w:rsidRPr="00B07781">
        <w:rPr>
          <w:rFonts w:ascii="Calibri" w:eastAsia="Times New Roman" w:hAnsi="Calibri" w:cs="Times New Roman"/>
          <w:i/>
          <w:color w:val="000000"/>
          <w:sz w:val="24"/>
          <w:szCs w:val="24"/>
          <w:lang w:eastAsia="cs-CZ"/>
        </w:rPr>
        <w:t>zajistil</w:t>
      </w:r>
      <w:r w:rsidR="00601E8F">
        <w:rPr>
          <w:rFonts w:ascii="Calibri" w:eastAsia="Times New Roman" w:hAnsi="Calibri" w:cs="Times New Roman"/>
          <w:i/>
          <w:color w:val="000000"/>
          <w:sz w:val="24"/>
          <w:szCs w:val="24"/>
          <w:lang w:eastAsia="cs-CZ"/>
        </w:rPr>
        <w:t>y</w:t>
      </w:r>
      <w:r w:rsidR="00601E8F" w:rsidRPr="00B07781">
        <w:rPr>
          <w:rFonts w:ascii="Calibri" w:eastAsia="Times New Roman" w:hAnsi="Calibri" w:cs="Times New Roman"/>
          <w:i/>
          <w:color w:val="000000"/>
          <w:sz w:val="24"/>
          <w:szCs w:val="24"/>
          <w:lang w:eastAsia="cs-CZ"/>
        </w:rPr>
        <w:t xml:space="preserve"> </w:t>
      </w:r>
      <w:r w:rsidRPr="00B07781">
        <w:rPr>
          <w:rFonts w:ascii="Calibri" w:eastAsia="Times New Roman" w:hAnsi="Calibri" w:cs="Times New Roman"/>
          <w:i/>
          <w:color w:val="000000"/>
          <w:sz w:val="24"/>
          <w:szCs w:val="24"/>
          <w:lang w:eastAsia="cs-CZ"/>
        </w:rPr>
        <w:t>poskytnutí účelné podpory?</w:t>
      </w:r>
    </w:p>
    <w:p w14:paraId="780E561C" w14:textId="77777777" w:rsidR="00731936" w:rsidRDefault="00B813A1" w:rsidP="00357C61">
      <w:pPr>
        <w:numPr>
          <w:ilvl w:val="0"/>
          <w:numId w:val="10"/>
        </w:numPr>
        <w:spacing w:after="0" w:line="240" w:lineRule="auto"/>
        <w:ind w:hanging="294"/>
        <w:jc w:val="both"/>
        <w:rPr>
          <w:rFonts w:ascii="Calibri" w:eastAsia="Times New Roman" w:hAnsi="Calibri" w:cs="Times New Roman"/>
          <w:i/>
          <w:color w:val="000000"/>
          <w:sz w:val="24"/>
          <w:szCs w:val="24"/>
          <w:lang w:eastAsia="cs-CZ"/>
        </w:rPr>
      </w:pPr>
      <w:r w:rsidRPr="00731936">
        <w:rPr>
          <w:rFonts w:ascii="Calibri" w:eastAsia="Times New Roman" w:hAnsi="Calibri" w:cs="Times New Roman"/>
          <w:i/>
          <w:color w:val="000000"/>
          <w:sz w:val="24"/>
          <w:szCs w:val="24"/>
          <w:lang w:eastAsia="cs-CZ"/>
        </w:rPr>
        <w:t>Provedly orgány implementační struktury výběr projektů k podpoře tak, aby bylo zajištěno poskytnutí podpory účelným a efektivním projektům?</w:t>
      </w:r>
    </w:p>
    <w:p w14:paraId="590A68BB" w14:textId="77777777" w:rsidR="00B813A1" w:rsidRPr="00731936" w:rsidRDefault="00B813A1" w:rsidP="00357C61">
      <w:pPr>
        <w:numPr>
          <w:ilvl w:val="0"/>
          <w:numId w:val="10"/>
        </w:numPr>
        <w:spacing w:after="0" w:line="240" w:lineRule="auto"/>
        <w:ind w:hanging="294"/>
        <w:jc w:val="both"/>
        <w:rPr>
          <w:rFonts w:ascii="Calibri" w:eastAsia="Times New Roman" w:hAnsi="Calibri" w:cs="Times New Roman"/>
          <w:i/>
          <w:color w:val="000000"/>
          <w:sz w:val="24"/>
          <w:szCs w:val="24"/>
          <w:lang w:eastAsia="cs-CZ"/>
        </w:rPr>
      </w:pPr>
      <w:r w:rsidRPr="00731936">
        <w:rPr>
          <w:rFonts w:ascii="Calibri" w:eastAsia="Times New Roman" w:hAnsi="Calibri" w:cs="Times New Roman"/>
          <w:i/>
          <w:color w:val="000000"/>
          <w:sz w:val="24"/>
          <w:szCs w:val="24"/>
          <w:lang w:eastAsia="cs-CZ"/>
        </w:rPr>
        <w:t xml:space="preserve">Byly peněžní prostředky na podporu </w:t>
      </w:r>
      <w:r w:rsidR="00562E03" w:rsidRPr="00731936">
        <w:rPr>
          <w:rFonts w:ascii="Calibri" w:eastAsia="Times New Roman" w:hAnsi="Calibri" w:cs="Times New Roman"/>
          <w:i/>
          <w:color w:val="000000"/>
          <w:sz w:val="24"/>
          <w:szCs w:val="24"/>
          <w:lang w:eastAsia="cs-CZ"/>
        </w:rPr>
        <w:t xml:space="preserve">vybraných </w:t>
      </w:r>
      <w:r w:rsidRPr="00731936">
        <w:rPr>
          <w:rFonts w:ascii="Calibri" w:eastAsia="Times New Roman" w:hAnsi="Calibri" w:cs="Times New Roman"/>
          <w:i/>
          <w:color w:val="000000"/>
          <w:sz w:val="24"/>
          <w:szCs w:val="24"/>
          <w:lang w:eastAsia="cs-CZ"/>
        </w:rPr>
        <w:t>sociálních podniků poskytovány a</w:t>
      </w:r>
      <w:r w:rsidR="00EA05A6" w:rsidRPr="00731936">
        <w:rPr>
          <w:rFonts w:ascii="Calibri" w:eastAsia="Times New Roman" w:hAnsi="Calibri" w:cs="Times New Roman"/>
          <w:i/>
          <w:color w:val="000000"/>
          <w:sz w:val="24"/>
          <w:szCs w:val="24"/>
          <w:lang w:eastAsia="cs-CZ"/>
        </w:rPr>
        <w:t> </w:t>
      </w:r>
      <w:r w:rsidRPr="00731936">
        <w:rPr>
          <w:rFonts w:ascii="Calibri" w:eastAsia="Times New Roman" w:hAnsi="Calibri" w:cs="Times New Roman"/>
          <w:i/>
          <w:color w:val="000000"/>
          <w:sz w:val="24"/>
          <w:szCs w:val="24"/>
          <w:lang w:eastAsia="cs-CZ"/>
        </w:rPr>
        <w:t>čerpány účelně?</w:t>
      </w:r>
    </w:p>
    <w:p w14:paraId="7F60B1CF" w14:textId="77777777" w:rsidR="00B813A1" w:rsidRPr="00B07781" w:rsidRDefault="00B813A1" w:rsidP="00357C61">
      <w:pPr>
        <w:numPr>
          <w:ilvl w:val="0"/>
          <w:numId w:val="10"/>
        </w:numPr>
        <w:spacing w:after="0" w:line="240" w:lineRule="auto"/>
        <w:ind w:hanging="294"/>
        <w:jc w:val="both"/>
        <w:rPr>
          <w:i/>
        </w:rPr>
      </w:pPr>
      <w:r w:rsidRPr="00B07781">
        <w:rPr>
          <w:rFonts w:ascii="Calibri" w:eastAsia="Times New Roman" w:hAnsi="Calibri" w:cs="Times New Roman"/>
          <w:i/>
          <w:color w:val="000000"/>
          <w:sz w:val="24"/>
          <w:szCs w:val="24"/>
          <w:lang w:eastAsia="cs-CZ"/>
        </w:rPr>
        <w:t xml:space="preserve">Byly peněžní prostředky na podporu </w:t>
      </w:r>
      <w:r w:rsidR="00562E03" w:rsidRPr="00B07781">
        <w:rPr>
          <w:rFonts w:ascii="Calibri" w:eastAsia="Times New Roman" w:hAnsi="Calibri" w:cs="Times New Roman"/>
          <w:i/>
          <w:color w:val="000000"/>
          <w:sz w:val="24"/>
          <w:szCs w:val="24"/>
          <w:lang w:eastAsia="cs-CZ"/>
        </w:rPr>
        <w:t xml:space="preserve">vybraných </w:t>
      </w:r>
      <w:r w:rsidRPr="00B07781">
        <w:rPr>
          <w:rFonts w:ascii="Calibri" w:eastAsia="Times New Roman" w:hAnsi="Calibri" w:cs="Times New Roman"/>
          <w:i/>
          <w:color w:val="000000"/>
          <w:sz w:val="24"/>
          <w:szCs w:val="24"/>
          <w:lang w:eastAsia="cs-CZ"/>
        </w:rPr>
        <w:t>sociálních podniků poskytovány a</w:t>
      </w:r>
      <w:r w:rsidR="00EA05A6" w:rsidRPr="00B07781">
        <w:rPr>
          <w:rFonts w:ascii="Calibri" w:eastAsia="Times New Roman" w:hAnsi="Calibri" w:cs="Times New Roman"/>
          <w:i/>
          <w:color w:val="000000"/>
          <w:sz w:val="24"/>
          <w:szCs w:val="24"/>
          <w:lang w:eastAsia="cs-CZ"/>
        </w:rPr>
        <w:t> </w:t>
      </w:r>
      <w:r w:rsidRPr="00B07781">
        <w:rPr>
          <w:rFonts w:ascii="Calibri" w:eastAsia="Times New Roman" w:hAnsi="Calibri" w:cs="Times New Roman"/>
          <w:i/>
          <w:color w:val="000000"/>
          <w:sz w:val="24"/>
          <w:szCs w:val="24"/>
          <w:lang w:eastAsia="cs-CZ"/>
        </w:rPr>
        <w:t>čerpány efektivně</w:t>
      </w:r>
      <w:r w:rsidR="00D16B42">
        <w:rPr>
          <w:rFonts w:ascii="Calibri" w:eastAsia="Times New Roman" w:hAnsi="Calibri" w:cs="Times New Roman"/>
          <w:i/>
          <w:color w:val="000000"/>
          <w:sz w:val="24"/>
          <w:szCs w:val="24"/>
          <w:lang w:eastAsia="cs-CZ"/>
        </w:rPr>
        <w:t xml:space="preserve"> a v souladu s právními předpisy</w:t>
      </w:r>
      <w:r w:rsidRPr="00B07781">
        <w:rPr>
          <w:rFonts w:ascii="Calibri" w:eastAsia="Times New Roman" w:hAnsi="Calibri" w:cs="Times New Roman"/>
          <w:i/>
          <w:color w:val="000000"/>
          <w:sz w:val="24"/>
          <w:szCs w:val="24"/>
          <w:lang w:eastAsia="cs-CZ"/>
        </w:rPr>
        <w:t>?</w:t>
      </w:r>
    </w:p>
    <w:p w14:paraId="3B925746" w14:textId="77777777" w:rsidR="00FC057C" w:rsidRPr="00DA5431" w:rsidRDefault="003C2849" w:rsidP="003C2849">
      <w:pPr>
        <w:tabs>
          <w:tab w:val="left" w:pos="567"/>
        </w:tabs>
        <w:spacing w:before="120" w:after="120" w:line="240" w:lineRule="auto"/>
        <w:jc w:val="both"/>
        <w:rPr>
          <w:sz w:val="24"/>
        </w:rPr>
      </w:pPr>
      <w:r>
        <w:rPr>
          <w:sz w:val="24"/>
        </w:rPr>
        <w:t>3.5</w:t>
      </w:r>
      <w:r>
        <w:rPr>
          <w:sz w:val="24"/>
        </w:rPr>
        <w:tab/>
      </w:r>
      <w:r w:rsidR="00FC057C" w:rsidRPr="00DA5431">
        <w:rPr>
          <w:sz w:val="24"/>
        </w:rPr>
        <w:t>NKÚ provedl kontrolu u M</w:t>
      </w:r>
      <w:r w:rsidR="00731936" w:rsidRPr="00DA5431">
        <w:rPr>
          <w:sz w:val="24"/>
        </w:rPr>
        <w:t>PSV</w:t>
      </w:r>
      <w:r w:rsidR="00FC057C" w:rsidRPr="00DA5431">
        <w:rPr>
          <w:sz w:val="24"/>
        </w:rPr>
        <w:t xml:space="preserve"> jako řídicího orgánu </w:t>
      </w:r>
      <w:r w:rsidR="00731936" w:rsidRPr="00DA5431">
        <w:rPr>
          <w:sz w:val="24"/>
        </w:rPr>
        <w:t>o</w:t>
      </w:r>
      <w:r w:rsidR="00FC057C" w:rsidRPr="00DA5431">
        <w:rPr>
          <w:sz w:val="24"/>
        </w:rPr>
        <w:t>peračního programu</w:t>
      </w:r>
      <w:r w:rsidR="00FC057C" w:rsidRPr="00DA5431">
        <w:rPr>
          <w:i/>
          <w:sz w:val="24"/>
        </w:rPr>
        <w:t xml:space="preserve"> Zaměstnanost </w:t>
      </w:r>
      <w:r w:rsidR="00DA5431">
        <w:rPr>
          <w:i/>
          <w:sz w:val="24"/>
        </w:rPr>
        <w:br/>
      </w:r>
      <w:r w:rsidR="00B813A1" w:rsidRPr="00DA5431">
        <w:rPr>
          <w:i/>
          <w:sz w:val="24"/>
        </w:rPr>
        <w:t>2014–2020</w:t>
      </w:r>
      <w:r w:rsidR="00FC057C" w:rsidRPr="00DA5431">
        <w:rPr>
          <w:i/>
          <w:sz w:val="24"/>
        </w:rPr>
        <w:t>,</w:t>
      </w:r>
      <w:r w:rsidR="00FC057C" w:rsidRPr="00DA5431">
        <w:rPr>
          <w:sz w:val="24"/>
        </w:rPr>
        <w:t xml:space="preserve"> u</w:t>
      </w:r>
      <w:r w:rsidR="003107E1" w:rsidRPr="00DA5431">
        <w:rPr>
          <w:sz w:val="24"/>
        </w:rPr>
        <w:t> </w:t>
      </w:r>
      <w:r w:rsidR="00FC057C" w:rsidRPr="00DA5431">
        <w:rPr>
          <w:sz w:val="24"/>
        </w:rPr>
        <w:t>M</w:t>
      </w:r>
      <w:r w:rsidR="00731936" w:rsidRPr="00DA5431">
        <w:rPr>
          <w:sz w:val="24"/>
        </w:rPr>
        <w:t>MR</w:t>
      </w:r>
      <w:r w:rsidR="00FC057C" w:rsidRPr="00DA5431">
        <w:rPr>
          <w:sz w:val="24"/>
        </w:rPr>
        <w:t xml:space="preserve"> jako řídicího orgánu </w:t>
      </w:r>
      <w:r w:rsidR="00FC057C" w:rsidRPr="00DA5431">
        <w:rPr>
          <w:i/>
          <w:sz w:val="24"/>
        </w:rPr>
        <w:t>Integrovaného regionálního operačního programu</w:t>
      </w:r>
      <w:r w:rsidR="00FC057C" w:rsidRPr="00DA5431">
        <w:rPr>
          <w:sz w:val="24"/>
        </w:rPr>
        <w:t xml:space="preserve">, </w:t>
      </w:r>
      <w:r w:rsidR="009367B4" w:rsidRPr="00DA5431">
        <w:rPr>
          <w:sz w:val="24"/>
        </w:rPr>
        <w:t>u</w:t>
      </w:r>
      <w:r w:rsidR="00DA7929" w:rsidRPr="00DA5431">
        <w:rPr>
          <w:sz w:val="24"/>
        </w:rPr>
        <w:t> </w:t>
      </w:r>
      <w:r w:rsidR="00FC057C" w:rsidRPr="00DA5431">
        <w:rPr>
          <w:sz w:val="24"/>
        </w:rPr>
        <w:t>CRR jako zprostředkujícího subjektu tohoto operačního programu a</w:t>
      </w:r>
      <w:r w:rsidR="003107E1" w:rsidRPr="00DA5431">
        <w:rPr>
          <w:sz w:val="24"/>
        </w:rPr>
        <w:t> </w:t>
      </w:r>
      <w:r w:rsidR="00FC057C" w:rsidRPr="00DA5431">
        <w:rPr>
          <w:sz w:val="24"/>
        </w:rPr>
        <w:t>u</w:t>
      </w:r>
      <w:r w:rsidR="003107E1" w:rsidRPr="00DA5431">
        <w:rPr>
          <w:sz w:val="24"/>
        </w:rPr>
        <w:t> </w:t>
      </w:r>
      <w:r w:rsidR="00FC057C" w:rsidRPr="00DA5431">
        <w:rPr>
          <w:sz w:val="24"/>
        </w:rPr>
        <w:t>vybraných příjemců podpory z těchto operačních programů.</w:t>
      </w:r>
    </w:p>
    <w:p w14:paraId="782AE2AE" w14:textId="77777777" w:rsidR="00055C56" w:rsidRPr="00DA5431" w:rsidRDefault="003C2849" w:rsidP="003C2849">
      <w:pPr>
        <w:tabs>
          <w:tab w:val="left" w:pos="567"/>
        </w:tabs>
        <w:spacing w:before="120" w:after="120" w:line="240" w:lineRule="auto"/>
        <w:jc w:val="both"/>
        <w:rPr>
          <w:sz w:val="24"/>
        </w:rPr>
      </w:pPr>
      <w:r>
        <w:rPr>
          <w:sz w:val="24"/>
        </w:rPr>
        <w:t>3.6</w:t>
      </w:r>
      <w:r>
        <w:rPr>
          <w:sz w:val="24"/>
        </w:rPr>
        <w:tab/>
      </w:r>
      <w:r w:rsidR="00055C56" w:rsidRPr="00DA5431">
        <w:rPr>
          <w:sz w:val="24"/>
        </w:rPr>
        <w:t xml:space="preserve">NKÚ </w:t>
      </w:r>
      <w:r w:rsidR="00923EF1" w:rsidRPr="00DA5431">
        <w:rPr>
          <w:sz w:val="24"/>
        </w:rPr>
        <w:t>kontroloval</w:t>
      </w:r>
      <w:r w:rsidR="00055C56" w:rsidRPr="00DA5431">
        <w:rPr>
          <w:sz w:val="24"/>
        </w:rPr>
        <w:t xml:space="preserve"> zejména skutečnosti </w:t>
      </w:r>
      <w:r w:rsidR="004443C0" w:rsidRPr="00DA5431">
        <w:rPr>
          <w:sz w:val="24"/>
        </w:rPr>
        <w:t>týkající se</w:t>
      </w:r>
      <w:r w:rsidR="005846CC">
        <w:rPr>
          <w:sz w:val="24"/>
        </w:rPr>
        <w:t xml:space="preserve"> </w:t>
      </w:r>
      <w:r w:rsidR="00055C56" w:rsidRPr="00DA5431">
        <w:rPr>
          <w:sz w:val="24"/>
        </w:rPr>
        <w:t>podpor</w:t>
      </w:r>
      <w:r w:rsidR="004443C0" w:rsidRPr="00DA5431">
        <w:rPr>
          <w:sz w:val="24"/>
        </w:rPr>
        <w:t>y</w:t>
      </w:r>
      <w:r w:rsidR="00055C56" w:rsidRPr="00DA5431">
        <w:rPr>
          <w:sz w:val="24"/>
        </w:rPr>
        <w:t xml:space="preserve"> sociálního podnikání poskytovan</w:t>
      </w:r>
      <w:r w:rsidR="004443C0" w:rsidRPr="00DA5431">
        <w:rPr>
          <w:sz w:val="24"/>
        </w:rPr>
        <w:t>é</w:t>
      </w:r>
      <w:r w:rsidR="00055C56" w:rsidRPr="00DA5431">
        <w:rPr>
          <w:sz w:val="24"/>
        </w:rPr>
        <w:t xml:space="preserve"> v rámci </w:t>
      </w:r>
      <w:r w:rsidR="007E7A20" w:rsidRPr="00DA5431">
        <w:rPr>
          <w:sz w:val="24"/>
        </w:rPr>
        <w:t xml:space="preserve">SC 2.1.2 OPZ a </w:t>
      </w:r>
      <w:r w:rsidR="00055C56" w:rsidRPr="00DA5431">
        <w:rPr>
          <w:sz w:val="24"/>
        </w:rPr>
        <w:t xml:space="preserve">SC 2.2 IROP, neboť tyto specifické cíle byly zaměřeny výlučně na podporu sociálního podnikání. </w:t>
      </w:r>
      <w:r w:rsidR="004443C0" w:rsidRPr="00DA5431">
        <w:rPr>
          <w:sz w:val="24"/>
        </w:rPr>
        <w:t xml:space="preserve">Podpora sociálního podnikání poskytovaná v rámci </w:t>
      </w:r>
      <w:r w:rsidR="00C3485E" w:rsidRPr="00DA5431">
        <w:rPr>
          <w:sz w:val="24"/>
        </w:rPr>
        <w:t xml:space="preserve">SC 2.3.1 OPZ a </w:t>
      </w:r>
      <w:r w:rsidR="004443C0" w:rsidRPr="00DA5431">
        <w:rPr>
          <w:sz w:val="24"/>
        </w:rPr>
        <w:t xml:space="preserve">SC 4.1 IROP zaměřených na podporu místního rozvoje a umožňujících podporu i jiných opatření než pouze sociálního podnikání byla kontrolována pouze z pohledu nastavení základních pravidel podpory </w:t>
      </w:r>
      <w:r w:rsidR="00240861" w:rsidRPr="00DA5431">
        <w:rPr>
          <w:sz w:val="24"/>
        </w:rPr>
        <w:t xml:space="preserve">a jejího obecného rámce </w:t>
      </w:r>
      <w:r w:rsidR="004443C0" w:rsidRPr="00DA5431">
        <w:rPr>
          <w:sz w:val="24"/>
        </w:rPr>
        <w:t xml:space="preserve">(především vymezení </w:t>
      </w:r>
      <w:r w:rsidR="00240861" w:rsidRPr="00DA5431">
        <w:rPr>
          <w:sz w:val="24"/>
        </w:rPr>
        <w:t>sociálního podnikání, jeho cílů a indikátorů, finanční alokace).</w:t>
      </w:r>
    </w:p>
    <w:p w14:paraId="20472DA4" w14:textId="77777777" w:rsidR="00E37BC5" w:rsidRPr="00DA5431" w:rsidRDefault="003C2849" w:rsidP="003C2849">
      <w:pPr>
        <w:tabs>
          <w:tab w:val="left" w:pos="567"/>
        </w:tabs>
        <w:spacing w:before="120" w:after="120" w:line="240" w:lineRule="auto"/>
        <w:jc w:val="both"/>
        <w:rPr>
          <w:sz w:val="24"/>
        </w:rPr>
      </w:pPr>
      <w:r>
        <w:rPr>
          <w:sz w:val="24"/>
        </w:rPr>
        <w:t>3.7</w:t>
      </w:r>
      <w:r>
        <w:rPr>
          <w:sz w:val="24"/>
        </w:rPr>
        <w:tab/>
      </w:r>
      <w:r w:rsidR="00DB71A8" w:rsidRPr="00DA5431">
        <w:rPr>
          <w:sz w:val="24"/>
        </w:rPr>
        <w:t xml:space="preserve">Ke kontrole byl vybrán vzorek 16 projektů realizovaných u </w:t>
      </w:r>
      <w:r w:rsidR="00A90634" w:rsidRPr="00DA5431">
        <w:rPr>
          <w:sz w:val="24"/>
        </w:rPr>
        <w:t>12</w:t>
      </w:r>
      <w:r w:rsidR="00DB71A8" w:rsidRPr="00DA5431">
        <w:rPr>
          <w:sz w:val="24"/>
        </w:rPr>
        <w:t xml:space="preserve"> příjemců podpory (dále </w:t>
      </w:r>
      <w:r w:rsidR="00FC1206" w:rsidRPr="00DA5431">
        <w:rPr>
          <w:sz w:val="24"/>
        </w:rPr>
        <w:t xml:space="preserve">také </w:t>
      </w:r>
      <w:r w:rsidR="00DB71A8" w:rsidRPr="00DA5431">
        <w:rPr>
          <w:sz w:val="24"/>
        </w:rPr>
        <w:t>„vybrané projekty“). Vzorek se skládal z osmi projektů realizovaných v rámci OPZ a z osmi projektů realizovaných v rámci IROP.</w:t>
      </w:r>
      <w:r w:rsidR="00630208" w:rsidRPr="00DA5431">
        <w:rPr>
          <w:sz w:val="24"/>
        </w:rPr>
        <w:t xml:space="preserve"> NKÚ </w:t>
      </w:r>
      <w:r w:rsidR="0086396D" w:rsidRPr="00DA5431">
        <w:rPr>
          <w:sz w:val="24"/>
        </w:rPr>
        <w:t>vyhodnotil</w:t>
      </w:r>
      <w:r w:rsidR="00630208" w:rsidRPr="00DA5431">
        <w:rPr>
          <w:sz w:val="24"/>
        </w:rPr>
        <w:t xml:space="preserve"> u každého z nich </w:t>
      </w:r>
      <w:r w:rsidR="00174EED" w:rsidRPr="00DA5431">
        <w:rPr>
          <w:sz w:val="24"/>
        </w:rPr>
        <w:t xml:space="preserve">na základě zjištěných skutečností podle čtyřstupňové škály </w:t>
      </w:r>
      <w:r w:rsidR="00630208" w:rsidRPr="00DA5431">
        <w:rPr>
          <w:sz w:val="24"/>
        </w:rPr>
        <w:t>účelnost a</w:t>
      </w:r>
      <w:r w:rsidR="0063709A" w:rsidRPr="00DA5431">
        <w:rPr>
          <w:sz w:val="24"/>
        </w:rPr>
        <w:t> </w:t>
      </w:r>
      <w:r w:rsidR="00630208" w:rsidRPr="00DA5431">
        <w:rPr>
          <w:sz w:val="24"/>
        </w:rPr>
        <w:t xml:space="preserve">efektivnost vynaložených peněžních prostředků ve smyslu jejich vymezení uvedeném v odst. 3.2 a 3.3; podrobnosti ke kritériím </w:t>
      </w:r>
      <w:r w:rsidR="0086396D" w:rsidRPr="00DA5431">
        <w:rPr>
          <w:sz w:val="24"/>
        </w:rPr>
        <w:t>vy</w:t>
      </w:r>
      <w:r w:rsidR="00630208" w:rsidRPr="00DA5431">
        <w:rPr>
          <w:sz w:val="24"/>
        </w:rPr>
        <w:t>hodnocení jsou uvedeny v </w:t>
      </w:r>
      <w:r w:rsidR="00630208" w:rsidRPr="00832761">
        <w:rPr>
          <w:b/>
          <w:sz w:val="24"/>
        </w:rPr>
        <w:t>příloze č.</w:t>
      </w:r>
      <w:r w:rsidR="0063709A" w:rsidRPr="00832761">
        <w:rPr>
          <w:b/>
          <w:sz w:val="24"/>
        </w:rPr>
        <w:t xml:space="preserve"> </w:t>
      </w:r>
      <w:r w:rsidR="00046F3E" w:rsidRPr="00832761">
        <w:rPr>
          <w:b/>
          <w:sz w:val="24"/>
        </w:rPr>
        <w:t>2</w:t>
      </w:r>
      <w:r w:rsidR="0063709A" w:rsidRPr="00DA5431">
        <w:rPr>
          <w:sz w:val="24"/>
        </w:rPr>
        <w:t xml:space="preserve"> </w:t>
      </w:r>
      <w:r w:rsidR="005846CC">
        <w:rPr>
          <w:sz w:val="24"/>
        </w:rPr>
        <w:t xml:space="preserve">tohoto </w:t>
      </w:r>
      <w:r w:rsidR="0063709A" w:rsidRPr="00DA5431">
        <w:rPr>
          <w:sz w:val="24"/>
        </w:rPr>
        <w:t>kontrolního závěru.</w:t>
      </w:r>
    </w:p>
    <w:p w14:paraId="65AEACF1" w14:textId="77777777" w:rsidR="00FC057C" w:rsidRPr="00DA5431" w:rsidRDefault="003C2849" w:rsidP="003C2849">
      <w:pPr>
        <w:tabs>
          <w:tab w:val="left" w:pos="567"/>
        </w:tabs>
        <w:spacing w:before="120" w:after="120" w:line="240" w:lineRule="auto"/>
        <w:jc w:val="both"/>
        <w:rPr>
          <w:sz w:val="24"/>
        </w:rPr>
      </w:pPr>
      <w:r>
        <w:rPr>
          <w:sz w:val="24"/>
        </w:rPr>
        <w:t>3.8</w:t>
      </w:r>
      <w:r>
        <w:rPr>
          <w:sz w:val="24"/>
        </w:rPr>
        <w:tab/>
      </w:r>
      <w:r w:rsidR="00DB71A8" w:rsidRPr="00DA5431">
        <w:rPr>
          <w:sz w:val="24"/>
        </w:rPr>
        <w:t xml:space="preserve">Při výběru projektů určených ke kontrole </w:t>
      </w:r>
      <w:r w:rsidR="007A47B9" w:rsidRPr="00DA5431">
        <w:rPr>
          <w:sz w:val="24"/>
        </w:rPr>
        <w:t xml:space="preserve">postupoval </w:t>
      </w:r>
      <w:r w:rsidR="00DB71A8" w:rsidRPr="00DA5431">
        <w:rPr>
          <w:sz w:val="24"/>
        </w:rPr>
        <w:t>NKÚ především podle věcného kritéria, aby bylo zajištěno zastoupení různých typů</w:t>
      </w:r>
      <w:r w:rsidR="00FC057C" w:rsidRPr="00DA5431">
        <w:rPr>
          <w:sz w:val="24"/>
        </w:rPr>
        <w:t xml:space="preserve"> podporovaných aktivit a poměrné zastoupení nově vznikajících i stávajících sociálních podniků. </w:t>
      </w:r>
      <w:r w:rsidR="00DB71A8" w:rsidRPr="00DA5431">
        <w:rPr>
          <w:sz w:val="24"/>
        </w:rPr>
        <w:t>Dále NKÚ využil hledisko kvantitativní, kdy při výběru preferoval finančně významnější projekty</w:t>
      </w:r>
      <w:r w:rsidR="00FC057C" w:rsidRPr="00DA5431">
        <w:rPr>
          <w:sz w:val="24"/>
        </w:rPr>
        <w:t xml:space="preserve">, jejichž </w:t>
      </w:r>
      <w:r w:rsidR="00731936" w:rsidRPr="00DA5431">
        <w:rPr>
          <w:sz w:val="24"/>
        </w:rPr>
        <w:t>realizace</w:t>
      </w:r>
      <w:r w:rsidR="00FC057C" w:rsidRPr="00DA5431">
        <w:rPr>
          <w:sz w:val="24"/>
        </w:rPr>
        <w:t xml:space="preserve"> již byla ukončena</w:t>
      </w:r>
      <w:r w:rsidR="00DB71A8" w:rsidRPr="00DA5431">
        <w:rPr>
          <w:sz w:val="24"/>
        </w:rPr>
        <w:t xml:space="preserve">. </w:t>
      </w:r>
      <w:r w:rsidR="00FC057C" w:rsidRPr="00DA5431">
        <w:rPr>
          <w:sz w:val="24"/>
        </w:rPr>
        <w:t>Do výběru zahrnul NKÚ také příjemce, kteří ve sledovaném období realizovali buď dva následné projekty, nebo dva souběžné</w:t>
      </w:r>
      <w:r w:rsidR="00731936" w:rsidRPr="00DA5431">
        <w:rPr>
          <w:sz w:val="24"/>
        </w:rPr>
        <w:t>,</w:t>
      </w:r>
      <w:r w:rsidR="00FC057C" w:rsidRPr="00DA5431">
        <w:rPr>
          <w:sz w:val="24"/>
        </w:rPr>
        <w:t xml:space="preserve"> </w:t>
      </w:r>
      <w:r w:rsidR="00731936" w:rsidRPr="00DA5431">
        <w:rPr>
          <w:sz w:val="24"/>
        </w:rPr>
        <w:t xml:space="preserve">navazující, vzájemně se podporující </w:t>
      </w:r>
      <w:r w:rsidR="00FC057C" w:rsidRPr="00DA5431">
        <w:rPr>
          <w:sz w:val="24"/>
        </w:rPr>
        <w:t>projekty podpořené z obou operačních programů.</w:t>
      </w:r>
    </w:p>
    <w:p w14:paraId="792D7483" w14:textId="77777777" w:rsidR="00E37BC5" w:rsidRPr="00DA5431" w:rsidRDefault="003C2849" w:rsidP="003C2849">
      <w:pPr>
        <w:tabs>
          <w:tab w:val="left" w:pos="567"/>
        </w:tabs>
        <w:spacing w:before="120" w:after="120" w:line="240" w:lineRule="auto"/>
        <w:jc w:val="both"/>
        <w:rPr>
          <w:sz w:val="24"/>
        </w:rPr>
      </w:pPr>
      <w:r>
        <w:rPr>
          <w:sz w:val="24"/>
        </w:rPr>
        <w:t>3.9</w:t>
      </w:r>
      <w:r>
        <w:rPr>
          <w:sz w:val="24"/>
        </w:rPr>
        <w:tab/>
      </w:r>
      <w:r w:rsidR="00A90634" w:rsidRPr="00DA5431">
        <w:rPr>
          <w:sz w:val="24"/>
        </w:rPr>
        <w:t>Finanční objem kontrolovaných projektů činil 62,8 mil. Kč, což reprezentuje cca 5,4 % z částky způsobilých výdajů vynaložených na podporu sociálního podnikání v době ukončení kontroly. V</w:t>
      </w:r>
      <w:r w:rsidR="00630208" w:rsidRPr="00DA5431">
        <w:rPr>
          <w:sz w:val="24"/>
        </w:rPr>
        <w:t> </w:t>
      </w:r>
      <w:r w:rsidR="00A90634" w:rsidRPr="00DA5431">
        <w:rPr>
          <w:sz w:val="24"/>
        </w:rPr>
        <w:t xml:space="preserve">případě OPZ </w:t>
      </w:r>
      <w:r w:rsidR="00937A09" w:rsidRPr="00DA5431">
        <w:rPr>
          <w:sz w:val="24"/>
        </w:rPr>
        <w:t xml:space="preserve">se </w:t>
      </w:r>
      <w:r w:rsidR="00A90634" w:rsidRPr="00DA5431">
        <w:rPr>
          <w:sz w:val="24"/>
        </w:rPr>
        <w:t xml:space="preserve">jedná o cca 9,66 % z celkové částky způsobilých výdajů schválených v rámci výzev, ze kterých byly vybrány projekty ke kontrole, v případě prostředků IROP </w:t>
      </w:r>
      <w:r w:rsidR="00630208" w:rsidRPr="00DA5431">
        <w:rPr>
          <w:sz w:val="24"/>
        </w:rPr>
        <w:t xml:space="preserve">pak </w:t>
      </w:r>
      <w:r w:rsidR="00A90634" w:rsidRPr="00DA5431">
        <w:rPr>
          <w:sz w:val="24"/>
        </w:rPr>
        <w:t>o</w:t>
      </w:r>
      <w:r w:rsidR="00DA7929" w:rsidRPr="00DA5431">
        <w:rPr>
          <w:sz w:val="24"/>
        </w:rPr>
        <w:t> </w:t>
      </w:r>
      <w:r w:rsidR="00A90634" w:rsidRPr="00DA5431">
        <w:rPr>
          <w:sz w:val="24"/>
        </w:rPr>
        <w:t xml:space="preserve">cca </w:t>
      </w:r>
      <w:r w:rsidR="00A675B6" w:rsidRPr="00DA5431">
        <w:rPr>
          <w:sz w:val="24"/>
        </w:rPr>
        <w:t>5,9</w:t>
      </w:r>
      <w:r w:rsidR="00DA5431">
        <w:rPr>
          <w:sz w:val="24"/>
        </w:rPr>
        <w:t> </w:t>
      </w:r>
      <w:r w:rsidR="00A90634" w:rsidRPr="00DA5431">
        <w:rPr>
          <w:sz w:val="24"/>
        </w:rPr>
        <w:t>% z této částky.</w:t>
      </w:r>
    </w:p>
    <w:p w14:paraId="5FDBB30F" w14:textId="77777777" w:rsidR="005846CC" w:rsidRDefault="003C2849" w:rsidP="003C2849">
      <w:pPr>
        <w:tabs>
          <w:tab w:val="left" w:pos="567"/>
        </w:tabs>
        <w:spacing w:before="120" w:after="120" w:line="240" w:lineRule="auto"/>
        <w:jc w:val="both"/>
        <w:rPr>
          <w:sz w:val="24"/>
        </w:rPr>
      </w:pPr>
      <w:r>
        <w:rPr>
          <w:sz w:val="24"/>
        </w:rPr>
        <w:t>3.10</w:t>
      </w:r>
      <w:r>
        <w:rPr>
          <w:sz w:val="24"/>
        </w:rPr>
        <w:tab/>
      </w:r>
      <w:r w:rsidR="00DB71A8" w:rsidRPr="00DA5431">
        <w:rPr>
          <w:sz w:val="24"/>
        </w:rPr>
        <w:t>Kontrolovaným obdobím byly roky 201</w:t>
      </w:r>
      <w:r w:rsidR="00FC057C" w:rsidRPr="00DA5431">
        <w:rPr>
          <w:sz w:val="24"/>
        </w:rPr>
        <w:t>5</w:t>
      </w:r>
      <w:r w:rsidR="00DB71A8" w:rsidRPr="00DA5431">
        <w:rPr>
          <w:sz w:val="24"/>
        </w:rPr>
        <w:t xml:space="preserve"> až 202</w:t>
      </w:r>
      <w:r w:rsidR="00FC057C" w:rsidRPr="00DA5431">
        <w:rPr>
          <w:sz w:val="24"/>
        </w:rPr>
        <w:t>1</w:t>
      </w:r>
      <w:r w:rsidR="00DB71A8" w:rsidRPr="00DA5431">
        <w:rPr>
          <w:sz w:val="24"/>
        </w:rPr>
        <w:t>, v případě věcných souvislostí i období předcházející a následující.</w:t>
      </w:r>
      <w:r w:rsidR="00CF6D33" w:rsidRPr="00DA5431">
        <w:rPr>
          <w:sz w:val="24"/>
        </w:rPr>
        <w:t xml:space="preserve"> </w:t>
      </w:r>
    </w:p>
    <w:p w14:paraId="0A712ED4" w14:textId="77777777" w:rsidR="00305742" w:rsidRPr="005846CC" w:rsidRDefault="005846CC" w:rsidP="005846CC">
      <w:pPr>
        <w:spacing w:before="120" w:after="120" w:line="240" w:lineRule="auto"/>
        <w:ind w:left="567" w:hanging="567"/>
        <w:jc w:val="both"/>
        <w:rPr>
          <w:sz w:val="20"/>
        </w:rPr>
      </w:pPr>
      <w:r w:rsidRPr="00BF1670">
        <w:rPr>
          <w:b/>
          <w:sz w:val="20"/>
        </w:rPr>
        <w:t>Pozn.:</w:t>
      </w:r>
      <w:r>
        <w:rPr>
          <w:sz w:val="20"/>
        </w:rPr>
        <w:tab/>
      </w:r>
      <w:r w:rsidR="00CF6D33" w:rsidRPr="005846CC">
        <w:rPr>
          <w:sz w:val="20"/>
        </w:rPr>
        <w:t>Právní předpisy uvedené v tomto kontrolním závěru jsou aplikovány ve znění účinném pro kontrolované období.</w:t>
      </w:r>
    </w:p>
    <w:bookmarkEnd w:id="8"/>
    <w:p w14:paraId="331E2F77" w14:textId="77777777" w:rsidR="00EA05A6" w:rsidRPr="00513AE2" w:rsidRDefault="00513AE2" w:rsidP="00513AE2">
      <w:pPr>
        <w:keepNext/>
        <w:spacing w:before="600" w:after="240" w:line="240" w:lineRule="auto"/>
        <w:jc w:val="center"/>
        <w:rPr>
          <w:b/>
          <w:sz w:val="28"/>
        </w:rPr>
      </w:pPr>
      <w:r>
        <w:rPr>
          <w:b/>
          <w:sz w:val="28"/>
        </w:rPr>
        <w:t xml:space="preserve">IV. </w:t>
      </w:r>
      <w:r w:rsidR="000E366F" w:rsidRPr="00513AE2">
        <w:rPr>
          <w:b/>
          <w:sz w:val="28"/>
        </w:rPr>
        <w:t>Podrobné skutečnosti zjištěné kontrolou</w:t>
      </w:r>
    </w:p>
    <w:p w14:paraId="280FC7C4" w14:textId="77777777" w:rsidR="00A139DA" w:rsidRPr="00513AE2" w:rsidRDefault="00554C84" w:rsidP="00357C61">
      <w:pPr>
        <w:pStyle w:val="Odstavecseseznamem"/>
        <w:keepNext/>
        <w:numPr>
          <w:ilvl w:val="0"/>
          <w:numId w:val="14"/>
        </w:numPr>
        <w:spacing w:before="360" w:after="240" w:line="240" w:lineRule="auto"/>
        <w:ind w:left="284" w:hanging="284"/>
        <w:contextualSpacing w:val="0"/>
        <w:rPr>
          <w:rFonts w:cstheme="minorHAnsi"/>
          <w:b/>
          <w:i/>
          <w:color w:val="1F4E79" w:themeColor="accent1" w:themeShade="80"/>
          <w:sz w:val="24"/>
          <w:szCs w:val="28"/>
        </w:rPr>
      </w:pPr>
      <w:r w:rsidRPr="00513AE2">
        <w:rPr>
          <w:rFonts w:cstheme="minorHAnsi"/>
          <w:b/>
          <w:i/>
          <w:color w:val="1F4E79" w:themeColor="accent1" w:themeShade="80"/>
          <w:sz w:val="24"/>
          <w:szCs w:val="28"/>
        </w:rPr>
        <w:t>Nastavily řídicí orgány OPZ a IROP cíle a indikátory tak, aby poskytovaly informace o</w:t>
      </w:r>
      <w:r w:rsidR="00513AE2">
        <w:rPr>
          <w:rFonts w:cstheme="minorHAnsi"/>
          <w:b/>
          <w:i/>
          <w:color w:val="1F4E79" w:themeColor="accent1" w:themeShade="80"/>
          <w:sz w:val="24"/>
          <w:szCs w:val="28"/>
        </w:rPr>
        <w:t> </w:t>
      </w:r>
      <w:r w:rsidRPr="00513AE2">
        <w:rPr>
          <w:rFonts w:cstheme="minorHAnsi"/>
          <w:b/>
          <w:i/>
          <w:color w:val="1F4E79" w:themeColor="accent1" w:themeShade="80"/>
          <w:sz w:val="24"/>
          <w:szCs w:val="28"/>
        </w:rPr>
        <w:t>účelnosti a efektivnosti poskytované podpory?</w:t>
      </w:r>
    </w:p>
    <w:p w14:paraId="006F7463" w14:textId="77777777" w:rsidR="00EA05A6" w:rsidRDefault="00110BDC" w:rsidP="00613C80">
      <w:pPr>
        <w:pStyle w:val="JK4"/>
        <w:keepNext w:val="0"/>
        <w:tabs>
          <w:tab w:val="left" w:pos="426"/>
        </w:tabs>
        <w:spacing w:after="120"/>
      </w:pPr>
      <w:r>
        <w:t xml:space="preserve">Jedním ze základních předpokladů zajištění </w:t>
      </w:r>
      <w:r w:rsidR="006A6D67">
        <w:t>účelnosti</w:t>
      </w:r>
      <w:r w:rsidR="0080580C">
        <w:t xml:space="preserve"> </w:t>
      </w:r>
      <w:r w:rsidR="008D4AB9">
        <w:t>a</w:t>
      </w:r>
      <w:r w:rsidR="0080580C">
        <w:t xml:space="preserve"> efektivnosti</w:t>
      </w:r>
      <w:r w:rsidR="006A6D67">
        <w:t xml:space="preserve"> poskytování podpory je správné nastavení cílů podpory a indikátorů stanovených pro jejich sledování. Správně nastavené cíle a indikátory </w:t>
      </w:r>
      <w:r w:rsidR="002375AF">
        <w:t xml:space="preserve">mají </w:t>
      </w:r>
      <w:r w:rsidR="006A6D67">
        <w:t xml:space="preserve">přinášet významné </w:t>
      </w:r>
      <w:r w:rsidR="0080580C">
        <w:t xml:space="preserve">průběžné </w:t>
      </w:r>
      <w:r w:rsidR="006A6D67">
        <w:t>informace o</w:t>
      </w:r>
      <w:r w:rsidR="00FF47C7">
        <w:t> </w:t>
      </w:r>
      <w:r w:rsidR="0080580C">
        <w:t xml:space="preserve">dosahované účelnosti a </w:t>
      </w:r>
      <w:r w:rsidR="006A6D67">
        <w:t>efektivnosti poskytované podpory</w:t>
      </w:r>
      <w:r w:rsidR="0080580C">
        <w:t xml:space="preserve"> a vést tak případně k</w:t>
      </w:r>
      <w:r w:rsidR="00562E03">
        <w:t xml:space="preserve"> jejímu </w:t>
      </w:r>
      <w:r w:rsidR="0080580C">
        <w:t>lepšímu zacílení</w:t>
      </w:r>
      <w:r w:rsidR="00923212">
        <w:t xml:space="preserve"> ještě v probíhajícím či příštím programovém období</w:t>
      </w:r>
      <w:r w:rsidR="006A6D67">
        <w:t>.</w:t>
      </w:r>
    </w:p>
    <w:p w14:paraId="4ED0A6B2" w14:textId="77777777" w:rsidR="003B620A" w:rsidRPr="00B62482" w:rsidRDefault="00E6602B" w:rsidP="00B9765B">
      <w:pPr>
        <w:pStyle w:val="JK4"/>
        <w:keepNext w:val="0"/>
        <w:numPr>
          <w:ilvl w:val="0"/>
          <w:numId w:val="0"/>
        </w:numPr>
        <w:spacing w:after="120"/>
        <w:ind w:left="284" w:hanging="284"/>
      </w:pPr>
      <w:r w:rsidRPr="00E57019">
        <w:rPr>
          <w:b/>
          <w:bCs/>
          <w:i/>
          <w:color w:val="FF0000"/>
        </w:rPr>
        <w:t xml:space="preserve">→ </w:t>
      </w:r>
      <w:r>
        <w:rPr>
          <w:b/>
          <w:bCs/>
          <w:i/>
          <w:color w:val="FF0000"/>
        </w:rPr>
        <w:tab/>
      </w:r>
      <w:r w:rsidR="00B9765B" w:rsidRPr="00B9765B">
        <w:rPr>
          <w:b/>
          <w:bCs/>
          <w:i/>
          <w:color w:val="FF0000"/>
        </w:rPr>
        <w:t>MPSV nestanovilo cíle a indikátory tak, aby přinášely dostatečné informace o tom, jakých přínosů je dosahováno pro zaměstnané osoby z cílových skupin.</w:t>
      </w:r>
    </w:p>
    <w:p w14:paraId="3597E55D" w14:textId="77777777" w:rsidR="006A6D67" w:rsidRDefault="004D50D4" w:rsidP="00613C80">
      <w:pPr>
        <w:pStyle w:val="JK4"/>
        <w:keepNext w:val="0"/>
        <w:tabs>
          <w:tab w:val="left" w:pos="426"/>
        </w:tabs>
        <w:spacing w:after="120"/>
      </w:pPr>
      <w:r>
        <w:t>Za c</w:t>
      </w:r>
      <w:r w:rsidR="006A6D67">
        <w:t xml:space="preserve">íl podpory sociálního podnikání v OPZ </w:t>
      </w:r>
      <w:r>
        <w:t xml:space="preserve">považuje MPSV </w:t>
      </w:r>
      <w:r w:rsidRPr="006D10F5">
        <w:t>vznik nových podniků a</w:t>
      </w:r>
      <w:r w:rsidR="00FF47C7">
        <w:t> </w:t>
      </w:r>
      <w:r w:rsidRPr="006D10F5">
        <w:t>rozvoj již existujících sociálních podniků v souladu s principy sociálního podnikání uvedenými v sadě rozpoznávacích znaků.</w:t>
      </w:r>
      <w:r>
        <w:t xml:space="preserve"> Plnění tohoto cíle je </w:t>
      </w:r>
      <w:r w:rsidR="001D7048">
        <w:t>v případě SC 2.1.2 OPZ</w:t>
      </w:r>
      <w:r w:rsidR="001D7048">
        <w:rPr>
          <w:rStyle w:val="Znakapoznpodarou"/>
          <w:rFonts w:cs="Calibri"/>
          <w:b/>
          <w:color w:val="000000" w:themeColor="text1"/>
        </w:rPr>
        <w:footnoteReference w:id="16"/>
      </w:r>
      <w:r w:rsidR="001D7048">
        <w:t xml:space="preserve"> </w:t>
      </w:r>
      <w:r>
        <w:t xml:space="preserve">vyjádřeno prostřednictvím indikátorů uvedených v následující tabulce č. </w:t>
      </w:r>
      <w:r w:rsidR="006C567F">
        <w:t>3</w:t>
      </w:r>
      <w:r>
        <w:t>:</w:t>
      </w:r>
    </w:p>
    <w:p w14:paraId="1F46F8E7" w14:textId="77777777" w:rsidR="004D50D4" w:rsidRPr="008379A5" w:rsidRDefault="004D50D4" w:rsidP="00513AE2">
      <w:pPr>
        <w:keepNext/>
        <w:tabs>
          <w:tab w:val="right" w:pos="9072"/>
        </w:tabs>
        <w:spacing w:before="120" w:after="40" w:line="240" w:lineRule="auto"/>
        <w:jc w:val="both"/>
        <w:rPr>
          <w:rFonts w:ascii="Calibri" w:hAnsi="Calibri" w:cs="Calibri"/>
          <w:b/>
          <w:color w:val="000000" w:themeColor="text1"/>
          <w:sz w:val="24"/>
          <w:szCs w:val="24"/>
        </w:rPr>
      </w:pPr>
      <w:r w:rsidRPr="008379A5">
        <w:rPr>
          <w:rFonts w:ascii="Calibri" w:hAnsi="Calibri" w:cs="Calibri"/>
          <w:b/>
          <w:color w:val="000000" w:themeColor="text1"/>
          <w:sz w:val="24"/>
          <w:szCs w:val="24"/>
        </w:rPr>
        <w:t>Tab</w:t>
      </w:r>
      <w:r>
        <w:rPr>
          <w:rFonts w:ascii="Calibri" w:hAnsi="Calibri" w:cs="Calibri"/>
          <w:b/>
          <w:color w:val="000000" w:themeColor="text1"/>
          <w:sz w:val="24"/>
          <w:szCs w:val="24"/>
        </w:rPr>
        <w:t>ulka</w:t>
      </w:r>
      <w:r w:rsidRPr="008379A5">
        <w:rPr>
          <w:rFonts w:ascii="Calibri" w:hAnsi="Calibri" w:cs="Calibri"/>
          <w:b/>
          <w:color w:val="000000" w:themeColor="text1"/>
          <w:sz w:val="24"/>
          <w:szCs w:val="24"/>
        </w:rPr>
        <w:t xml:space="preserve"> č. </w:t>
      </w:r>
      <w:r w:rsidR="006C567F">
        <w:rPr>
          <w:rFonts w:ascii="Calibri" w:hAnsi="Calibri" w:cs="Calibri"/>
          <w:b/>
          <w:color w:val="000000" w:themeColor="text1"/>
          <w:sz w:val="24"/>
          <w:szCs w:val="24"/>
        </w:rPr>
        <w:t>3</w:t>
      </w:r>
      <w:r w:rsidRPr="008379A5">
        <w:rPr>
          <w:rFonts w:ascii="Calibri" w:hAnsi="Calibri" w:cs="Calibri"/>
          <w:b/>
          <w:color w:val="000000" w:themeColor="text1"/>
          <w:sz w:val="24"/>
          <w:szCs w:val="24"/>
        </w:rPr>
        <w:t xml:space="preserve">: Stanovené a dosažené hodnoty </w:t>
      </w:r>
      <w:r>
        <w:rPr>
          <w:rFonts w:ascii="Calibri" w:hAnsi="Calibri" w:cs="Calibri"/>
          <w:b/>
          <w:color w:val="000000" w:themeColor="text1"/>
          <w:sz w:val="24"/>
          <w:szCs w:val="24"/>
        </w:rPr>
        <w:t xml:space="preserve">vybraných </w:t>
      </w:r>
      <w:r w:rsidRPr="008379A5">
        <w:rPr>
          <w:rFonts w:ascii="Calibri" w:hAnsi="Calibri" w:cs="Calibri"/>
          <w:b/>
          <w:color w:val="000000" w:themeColor="text1"/>
          <w:sz w:val="24"/>
          <w:szCs w:val="24"/>
        </w:rPr>
        <w:t xml:space="preserve">indikátorů </w:t>
      </w:r>
      <w:r>
        <w:rPr>
          <w:rFonts w:ascii="Calibri" w:hAnsi="Calibri" w:cs="Calibri"/>
          <w:b/>
          <w:color w:val="000000" w:themeColor="text1"/>
          <w:sz w:val="24"/>
          <w:szCs w:val="24"/>
        </w:rPr>
        <w:t>SC</w:t>
      </w:r>
      <w:r w:rsidRPr="008379A5">
        <w:rPr>
          <w:rFonts w:ascii="Calibri" w:hAnsi="Calibri" w:cs="Calibri"/>
          <w:b/>
          <w:color w:val="000000" w:themeColor="text1"/>
          <w:sz w:val="24"/>
          <w:szCs w:val="24"/>
        </w:rPr>
        <w:t xml:space="preserve"> 2.1</w:t>
      </w:r>
      <w:r>
        <w:rPr>
          <w:rFonts w:ascii="Calibri" w:hAnsi="Calibri" w:cs="Calibri"/>
          <w:b/>
          <w:color w:val="000000" w:themeColor="text1"/>
          <w:sz w:val="24"/>
          <w:szCs w:val="24"/>
        </w:rPr>
        <w:t>.2</w:t>
      </w:r>
      <w:r w:rsidRPr="008379A5">
        <w:rPr>
          <w:rFonts w:ascii="Calibri" w:hAnsi="Calibri" w:cs="Calibri"/>
          <w:b/>
          <w:color w:val="000000" w:themeColor="text1"/>
          <w:sz w:val="24"/>
          <w:szCs w:val="24"/>
        </w:rPr>
        <w:t xml:space="preserve"> </w:t>
      </w:r>
      <w:r>
        <w:rPr>
          <w:rFonts w:ascii="Calibri" w:hAnsi="Calibri" w:cs="Calibri"/>
          <w:b/>
          <w:color w:val="000000" w:themeColor="text1"/>
          <w:sz w:val="24"/>
          <w:szCs w:val="24"/>
        </w:rPr>
        <w:t>OPZ</w:t>
      </w:r>
    </w:p>
    <w:tbl>
      <w:tblPr>
        <w:tblW w:w="9089"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851"/>
        <w:gridCol w:w="3969"/>
        <w:gridCol w:w="1559"/>
        <w:gridCol w:w="1701"/>
        <w:gridCol w:w="1009"/>
      </w:tblGrid>
      <w:tr w:rsidR="004D50D4" w:rsidRPr="00513AE2" w14:paraId="6B689D6D" w14:textId="77777777" w:rsidTr="00B162DC">
        <w:trPr>
          <w:trHeight w:val="255"/>
        </w:trPr>
        <w:tc>
          <w:tcPr>
            <w:tcW w:w="4820" w:type="dxa"/>
            <w:gridSpan w:val="2"/>
            <w:shd w:val="clear" w:color="000000" w:fill="E5F1FF"/>
            <w:tcMar>
              <w:left w:w="28" w:type="dxa"/>
              <w:right w:w="28" w:type="dxa"/>
            </w:tcMar>
            <w:vAlign w:val="center"/>
            <w:hideMark/>
          </w:tcPr>
          <w:p w14:paraId="00C780C7" w14:textId="77777777" w:rsidR="004D50D4" w:rsidRPr="00513AE2" w:rsidRDefault="008F4262" w:rsidP="00513AE2">
            <w:pPr>
              <w:spacing w:after="0" w:line="240" w:lineRule="auto"/>
              <w:jc w:val="center"/>
              <w:rPr>
                <w:rFonts w:ascii="Calibri" w:hAnsi="Calibri" w:cs="Calibri"/>
                <w:b/>
                <w:bCs/>
                <w:color w:val="000000"/>
                <w:sz w:val="20"/>
                <w:szCs w:val="20"/>
                <w:lang w:eastAsia="cs-CZ"/>
              </w:rPr>
            </w:pPr>
            <w:r w:rsidRPr="00513AE2">
              <w:rPr>
                <w:rFonts w:ascii="Calibri" w:hAnsi="Calibri" w:cs="Calibri"/>
                <w:b/>
                <w:bCs/>
                <w:color w:val="000000"/>
                <w:sz w:val="20"/>
                <w:szCs w:val="20"/>
                <w:lang w:eastAsia="cs-CZ"/>
              </w:rPr>
              <w:t>Indikátor</w:t>
            </w:r>
          </w:p>
        </w:tc>
        <w:tc>
          <w:tcPr>
            <w:tcW w:w="1559" w:type="dxa"/>
            <w:vMerge w:val="restart"/>
            <w:shd w:val="clear" w:color="000000" w:fill="E5F1FF"/>
            <w:tcMar>
              <w:left w:w="28" w:type="dxa"/>
              <w:right w:w="28" w:type="dxa"/>
            </w:tcMar>
            <w:vAlign w:val="center"/>
            <w:hideMark/>
          </w:tcPr>
          <w:p w14:paraId="00A3F105" w14:textId="77777777" w:rsidR="004D50D4" w:rsidRPr="00513AE2" w:rsidRDefault="004D50D4" w:rsidP="00B162DC">
            <w:pPr>
              <w:spacing w:after="0" w:line="240" w:lineRule="auto"/>
              <w:jc w:val="center"/>
              <w:rPr>
                <w:rFonts w:ascii="Calibri" w:hAnsi="Calibri" w:cs="Calibri"/>
                <w:b/>
                <w:bCs/>
                <w:color w:val="000000"/>
                <w:sz w:val="20"/>
                <w:szCs w:val="20"/>
                <w:lang w:eastAsia="cs-CZ"/>
              </w:rPr>
            </w:pPr>
            <w:r w:rsidRPr="00513AE2">
              <w:rPr>
                <w:rFonts w:ascii="Calibri" w:hAnsi="Calibri" w:cs="Calibri"/>
                <w:b/>
                <w:bCs/>
                <w:color w:val="000000"/>
                <w:sz w:val="20"/>
                <w:szCs w:val="20"/>
                <w:lang w:eastAsia="cs-CZ"/>
              </w:rPr>
              <w:t>Kategorie regionu</w:t>
            </w:r>
          </w:p>
        </w:tc>
        <w:tc>
          <w:tcPr>
            <w:tcW w:w="1701" w:type="dxa"/>
            <w:vMerge w:val="restart"/>
            <w:shd w:val="clear" w:color="000000" w:fill="E5F1FF"/>
            <w:vAlign w:val="center"/>
            <w:hideMark/>
          </w:tcPr>
          <w:p w14:paraId="2C61EC10" w14:textId="77777777" w:rsidR="004D50D4" w:rsidRPr="00513AE2" w:rsidRDefault="004D50D4" w:rsidP="00513AE2">
            <w:pPr>
              <w:spacing w:after="0" w:line="240" w:lineRule="auto"/>
              <w:jc w:val="center"/>
              <w:rPr>
                <w:rFonts w:ascii="Calibri" w:hAnsi="Calibri" w:cs="Calibri"/>
                <w:b/>
                <w:bCs/>
                <w:color w:val="000000"/>
                <w:sz w:val="20"/>
                <w:szCs w:val="20"/>
                <w:lang w:eastAsia="cs-CZ"/>
              </w:rPr>
            </w:pPr>
            <w:r w:rsidRPr="00513AE2">
              <w:rPr>
                <w:rFonts w:ascii="Calibri" w:hAnsi="Calibri" w:cs="Calibri"/>
                <w:b/>
                <w:bCs/>
                <w:color w:val="000000"/>
                <w:sz w:val="20"/>
                <w:szCs w:val="20"/>
                <w:lang w:eastAsia="cs-CZ"/>
              </w:rPr>
              <w:t>Cílová</w:t>
            </w:r>
            <w:r w:rsidR="00B162DC">
              <w:rPr>
                <w:rFonts w:ascii="Calibri" w:hAnsi="Calibri" w:cs="Calibri"/>
                <w:b/>
                <w:bCs/>
                <w:color w:val="000000"/>
                <w:sz w:val="20"/>
                <w:szCs w:val="20"/>
                <w:lang w:eastAsia="cs-CZ"/>
              </w:rPr>
              <w:t xml:space="preserve"> </w:t>
            </w:r>
            <w:r w:rsidR="00B162DC">
              <w:rPr>
                <w:rFonts w:ascii="Calibri" w:hAnsi="Calibri" w:cs="Calibri"/>
                <w:b/>
                <w:bCs/>
                <w:color w:val="000000"/>
                <w:sz w:val="20"/>
                <w:szCs w:val="20"/>
                <w:lang w:eastAsia="cs-CZ"/>
              </w:rPr>
              <w:br/>
            </w:r>
            <w:r w:rsidRPr="00513AE2">
              <w:rPr>
                <w:rFonts w:ascii="Calibri" w:hAnsi="Calibri" w:cs="Calibri"/>
                <w:b/>
                <w:bCs/>
                <w:color w:val="000000"/>
                <w:sz w:val="20"/>
                <w:szCs w:val="20"/>
                <w:lang w:eastAsia="cs-CZ"/>
              </w:rPr>
              <w:t>hodnota</w:t>
            </w:r>
          </w:p>
        </w:tc>
        <w:tc>
          <w:tcPr>
            <w:tcW w:w="1009" w:type="dxa"/>
            <w:vMerge w:val="restart"/>
            <w:shd w:val="clear" w:color="000000" w:fill="E5F1FF"/>
            <w:vAlign w:val="center"/>
            <w:hideMark/>
          </w:tcPr>
          <w:p w14:paraId="43A9FD56" w14:textId="77777777" w:rsidR="004D50D4" w:rsidRPr="00513AE2" w:rsidRDefault="004D50D4" w:rsidP="00513AE2">
            <w:pPr>
              <w:spacing w:after="0" w:line="240" w:lineRule="auto"/>
              <w:jc w:val="center"/>
              <w:rPr>
                <w:rFonts w:ascii="Calibri" w:hAnsi="Calibri" w:cs="Calibri"/>
                <w:b/>
                <w:bCs/>
                <w:color w:val="000000"/>
                <w:sz w:val="20"/>
                <w:szCs w:val="20"/>
                <w:lang w:eastAsia="cs-CZ"/>
              </w:rPr>
            </w:pPr>
            <w:r w:rsidRPr="00513AE2">
              <w:rPr>
                <w:rFonts w:ascii="Calibri" w:hAnsi="Calibri" w:cs="Calibri"/>
                <w:b/>
                <w:bCs/>
                <w:color w:val="000000"/>
                <w:sz w:val="20"/>
                <w:szCs w:val="20"/>
                <w:lang w:eastAsia="cs-CZ"/>
              </w:rPr>
              <w:t>Dosažená hodnota</w:t>
            </w:r>
          </w:p>
        </w:tc>
      </w:tr>
      <w:tr w:rsidR="008F4262" w:rsidRPr="00513AE2" w14:paraId="656250EF" w14:textId="77777777" w:rsidTr="00B162DC">
        <w:trPr>
          <w:trHeight w:val="255"/>
        </w:trPr>
        <w:tc>
          <w:tcPr>
            <w:tcW w:w="851" w:type="dxa"/>
            <w:shd w:val="clear" w:color="000000" w:fill="E5F1FF"/>
            <w:noWrap/>
            <w:tcMar>
              <w:left w:w="28" w:type="dxa"/>
              <w:right w:w="28" w:type="dxa"/>
            </w:tcMar>
            <w:vAlign w:val="center"/>
          </w:tcPr>
          <w:p w14:paraId="276C4434" w14:textId="77777777" w:rsidR="008F4262" w:rsidRPr="00513AE2" w:rsidRDefault="008F4262" w:rsidP="00513AE2">
            <w:pPr>
              <w:spacing w:after="0" w:line="240" w:lineRule="auto"/>
              <w:jc w:val="center"/>
              <w:rPr>
                <w:rFonts w:ascii="Calibri" w:hAnsi="Calibri" w:cs="Calibri"/>
                <w:b/>
                <w:bCs/>
                <w:color w:val="000000"/>
                <w:sz w:val="20"/>
                <w:szCs w:val="20"/>
                <w:lang w:eastAsia="cs-CZ"/>
              </w:rPr>
            </w:pPr>
            <w:r w:rsidRPr="00513AE2">
              <w:rPr>
                <w:rFonts w:ascii="Calibri" w:hAnsi="Calibri" w:cs="Calibri"/>
                <w:b/>
                <w:bCs/>
                <w:color w:val="000000"/>
                <w:sz w:val="20"/>
                <w:szCs w:val="20"/>
                <w:lang w:eastAsia="cs-CZ"/>
              </w:rPr>
              <w:t>Kód</w:t>
            </w:r>
          </w:p>
        </w:tc>
        <w:tc>
          <w:tcPr>
            <w:tcW w:w="3969" w:type="dxa"/>
            <w:shd w:val="clear" w:color="000000" w:fill="E5F1FF"/>
            <w:vAlign w:val="center"/>
          </w:tcPr>
          <w:p w14:paraId="7F813E0D" w14:textId="77777777" w:rsidR="008F4262" w:rsidRPr="00513AE2" w:rsidRDefault="008F4262" w:rsidP="00513AE2">
            <w:pPr>
              <w:spacing w:after="0" w:line="240" w:lineRule="auto"/>
              <w:jc w:val="center"/>
              <w:rPr>
                <w:rFonts w:ascii="Calibri" w:hAnsi="Calibri" w:cs="Calibri"/>
                <w:b/>
                <w:bCs/>
                <w:color w:val="000000"/>
                <w:sz w:val="20"/>
                <w:szCs w:val="20"/>
                <w:lang w:eastAsia="cs-CZ"/>
              </w:rPr>
            </w:pPr>
            <w:r w:rsidRPr="00513AE2">
              <w:rPr>
                <w:rFonts w:ascii="Calibri" w:hAnsi="Calibri" w:cs="Calibri"/>
                <w:b/>
                <w:bCs/>
                <w:color w:val="000000"/>
                <w:sz w:val="20"/>
                <w:szCs w:val="20"/>
                <w:lang w:eastAsia="cs-CZ"/>
              </w:rPr>
              <w:t>Název</w:t>
            </w:r>
          </w:p>
        </w:tc>
        <w:tc>
          <w:tcPr>
            <w:tcW w:w="1559" w:type="dxa"/>
            <w:vMerge/>
            <w:shd w:val="clear" w:color="000000" w:fill="E5F1FF"/>
            <w:tcMar>
              <w:left w:w="28" w:type="dxa"/>
              <w:right w:w="28" w:type="dxa"/>
            </w:tcMar>
            <w:vAlign w:val="center"/>
          </w:tcPr>
          <w:p w14:paraId="1C367DA6" w14:textId="77777777" w:rsidR="008F4262" w:rsidRPr="00513AE2" w:rsidRDefault="008F4262" w:rsidP="00B162DC">
            <w:pPr>
              <w:spacing w:after="0" w:line="240" w:lineRule="auto"/>
              <w:jc w:val="center"/>
              <w:rPr>
                <w:rFonts w:ascii="Calibri" w:hAnsi="Calibri" w:cs="Calibri"/>
                <w:b/>
                <w:bCs/>
                <w:color w:val="000000"/>
                <w:sz w:val="20"/>
                <w:szCs w:val="20"/>
                <w:lang w:eastAsia="cs-CZ"/>
              </w:rPr>
            </w:pPr>
          </w:p>
        </w:tc>
        <w:tc>
          <w:tcPr>
            <w:tcW w:w="1701" w:type="dxa"/>
            <w:vMerge/>
            <w:shd w:val="clear" w:color="000000" w:fill="E5F1FF"/>
            <w:vAlign w:val="center"/>
          </w:tcPr>
          <w:p w14:paraId="717F05C5" w14:textId="77777777" w:rsidR="008F4262" w:rsidRPr="00513AE2" w:rsidRDefault="008F4262" w:rsidP="00513AE2">
            <w:pPr>
              <w:spacing w:after="0" w:line="240" w:lineRule="auto"/>
              <w:jc w:val="center"/>
              <w:rPr>
                <w:rFonts w:ascii="Calibri" w:hAnsi="Calibri" w:cs="Calibri"/>
                <w:b/>
                <w:bCs/>
                <w:color w:val="000000"/>
                <w:sz w:val="20"/>
                <w:szCs w:val="20"/>
                <w:lang w:eastAsia="cs-CZ"/>
              </w:rPr>
            </w:pPr>
          </w:p>
        </w:tc>
        <w:tc>
          <w:tcPr>
            <w:tcW w:w="1009" w:type="dxa"/>
            <w:vMerge/>
            <w:shd w:val="clear" w:color="000000" w:fill="E5F1FF"/>
            <w:vAlign w:val="center"/>
          </w:tcPr>
          <w:p w14:paraId="310D46CF" w14:textId="77777777" w:rsidR="008F4262" w:rsidRPr="00513AE2" w:rsidRDefault="008F4262" w:rsidP="00513AE2">
            <w:pPr>
              <w:spacing w:after="0" w:line="240" w:lineRule="auto"/>
              <w:jc w:val="center"/>
              <w:rPr>
                <w:rFonts w:ascii="Calibri" w:hAnsi="Calibri" w:cs="Calibri"/>
                <w:b/>
                <w:bCs/>
                <w:color w:val="000000"/>
                <w:sz w:val="20"/>
                <w:szCs w:val="20"/>
                <w:lang w:eastAsia="cs-CZ"/>
              </w:rPr>
            </w:pPr>
          </w:p>
        </w:tc>
      </w:tr>
      <w:tr w:rsidR="004D50D4" w:rsidRPr="00513AE2" w14:paraId="6F6DB640" w14:textId="77777777" w:rsidTr="00B162DC">
        <w:trPr>
          <w:trHeight w:val="255"/>
        </w:trPr>
        <w:tc>
          <w:tcPr>
            <w:tcW w:w="851" w:type="dxa"/>
            <w:vMerge w:val="restart"/>
            <w:shd w:val="clear" w:color="auto" w:fill="auto"/>
            <w:noWrap/>
            <w:vAlign w:val="center"/>
            <w:hideMark/>
          </w:tcPr>
          <w:p w14:paraId="07C7C395" w14:textId="77777777" w:rsidR="004D50D4" w:rsidRPr="00513AE2" w:rsidRDefault="004D50D4" w:rsidP="00513AE2">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1</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02</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11</w:t>
            </w:r>
          </w:p>
        </w:tc>
        <w:tc>
          <w:tcPr>
            <w:tcW w:w="3969" w:type="dxa"/>
            <w:vMerge w:val="restart"/>
            <w:shd w:val="clear" w:color="auto" w:fill="auto"/>
            <w:vAlign w:val="center"/>
            <w:hideMark/>
          </w:tcPr>
          <w:p w14:paraId="15A6EE0B" w14:textId="77777777" w:rsidR="004D50D4" w:rsidRPr="00513AE2" w:rsidRDefault="004D50D4" w:rsidP="00513AE2">
            <w:pPr>
              <w:spacing w:after="0" w:line="240" w:lineRule="auto"/>
              <w:rPr>
                <w:rFonts w:ascii="Calibri" w:hAnsi="Calibri" w:cs="Calibri"/>
                <w:color w:val="000000"/>
                <w:sz w:val="20"/>
                <w:szCs w:val="20"/>
                <w:lang w:eastAsia="cs-CZ"/>
              </w:rPr>
            </w:pPr>
            <w:r w:rsidRPr="00513AE2">
              <w:rPr>
                <w:rFonts w:ascii="Calibri" w:hAnsi="Calibri" w:cs="Calibri"/>
                <w:color w:val="000000"/>
                <w:sz w:val="20"/>
                <w:szCs w:val="20"/>
                <w:lang w:eastAsia="cs-CZ"/>
              </w:rPr>
              <w:t>Počet sociálních podniků vzniklých díky podpoře, které fungují i po ukončení podpory</w:t>
            </w:r>
          </w:p>
        </w:tc>
        <w:tc>
          <w:tcPr>
            <w:tcW w:w="1559" w:type="dxa"/>
            <w:shd w:val="clear" w:color="auto" w:fill="auto"/>
            <w:noWrap/>
            <w:tcMar>
              <w:left w:w="28" w:type="dxa"/>
              <w:right w:w="28" w:type="dxa"/>
            </w:tcMar>
            <w:vAlign w:val="center"/>
            <w:hideMark/>
          </w:tcPr>
          <w:p w14:paraId="4006D757"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Méně rozvinuté</w:t>
            </w:r>
          </w:p>
        </w:tc>
        <w:tc>
          <w:tcPr>
            <w:tcW w:w="1701" w:type="dxa"/>
            <w:shd w:val="clear" w:color="auto" w:fill="auto"/>
            <w:noWrap/>
            <w:vAlign w:val="center"/>
            <w:hideMark/>
          </w:tcPr>
          <w:p w14:paraId="617FF90C" w14:textId="77777777" w:rsidR="004D50D4" w:rsidRPr="00513AE2" w:rsidRDefault="004D50D4" w:rsidP="005846CC">
            <w:pPr>
              <w:spacing w:after="0" w:line="240" w:lineRule="auto"/>
              <w:ind w:right="642"/>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83</w:t>
            </w:r>
          </w:p>
        </w:tc>
        <w:tc>
          <w:tcPr>
            <w:tcW w:w="1009" w:type="dxa"/>
            <w:shd w:val="clear" w:color="auto" w:fill="auto"/>
            <w:noWrap/>
            <w:vAlign w:val="center"/>
            <w:hideMark/>
          </w:tcPr>
          <w:p w14:paraId="05823667"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27</w:t>
            </w:r>
          </w:p>
        </w:tc>
      </w:tr>
      <w:tr w:rsidR="004D50D4" w:rsidRPr="00513AE2" w14:paraId="27BB58AE" w14:textId="77777777" w:rsidTr="00B162DC">
        <w:trPr>
          <w:trHeight w:val="255"/>
        </w:trPr>
        <w:tc>
          <w:tcPr>
            <w:tcW w:w="851" w:type="dxa"/>
            <w:vMerge/>
            <w:noWrap/>
            <w:vAlign w:val="center"/>
            <w:hideMark/>
          </w:tcPr>
          <w:p w14:paraId="5EF5B53A"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3969" w:type="dxa"/>
            <w:vMerge/>
            <w:vAlign w:val="center"/>
            <w:hideMark/>
          </w:tcPr>
          <w:p w14:paraId="13365534"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1559" w:type="dxa"/>
            <w:shd w:val="clear" w:color="auto" w:fill="auto"/>
            <w:noWrap/>
            <w:tcMar>
              <w:left w:w="28" w:type="dxa"/>
              <w:right w:w="28" w:type="dxa"/>
            </w:tcMar>
            <w:vAlign w:val="center"/>
            <w:hideMark/>
          </w:tcPr>
          <w:p w14:paraId="266F6B48"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Více rozvinuté</w:t>
            </w:r>
          </w:p>
        </w:tc>
        <w:tc>
          <w:tcPr>
            <w:tcW w:w="1701" w:type="dxa"/>
            <w:shd w:val="clear" w:color="auto" w:fill="auto"/>
            <w:noWrap/>
            <w:vAlign w:val="center"/>
            <w:hideMark/>
          </w:tcPr>
          <w:p w14:paraId="1B737643" w14:textId="77777777" w:rsidR="004D50D4" w:rsidRPr="00513AE2" w:rsidRDefault="004D50D4" w:rsidP="005846CC">
            <w:pPr>
              <w:spacing w:after="0" w:line="240" w:lineRule="auto"/>
              <w:ind w:right="642"/>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9</w:t>
            </w:r>
          </w:p>
        </w:tc>
        <w:tc>
          <w:tcPr>
            <w:tcW w:w="1009" w:type="dxa"/>
            <w:shd w:val="clear" w:color="auto" w:fill="auto"/>
            <w:noWrap/>
            <w:vAlign w:val="center"/>
            <w:hideMark/>
          </w:tcPr>
          <w:p w14:paraId="378C984B"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0</w:t>
            </w:r>
          </w:p>
        </w:tc>
      </w:tr>
      <w:tr w:rsidR="004D50D4" w:rsidRPr="00513AE2" w14:paraId="662DB52A" w14:textId="77777777" w:rsidTr="00B162DC">
        <w:trPr>
          <w:trHeight w:val="255"/>
        </w:trPr>
        <w:tc>
          <w:tcPr>
            <w:tcW w:w="851" w:type="dxa"/>
            <w:vMerge w:val="restart"/>
            <w:shd w:val="clear" w:color="auto" w:fill="auto"/>
            <w:noWrap/>
            <w:vAlign w:val="center"/>
            <w:hideMark/>
          </w:tcPr>
          <w:p w14:paraId="5945C01C" w14:textId="77777777" w:rsidR="004D50D4" w:rsidRPr="00513AE2" w:rsidRDefault="004D50D4" w:rsidP="00513AE2">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1</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02</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12</w:t>
            </w:r>
          </w:p>
        </w:tc>
        <w:tc>
          <w:tcPr>
            <w:tcW w:w="3969" w:type="dxa"/>
            <w:vMerge w:val="restart"/>
            <w:shd w:val="clear" w:color="auto" w:fill="auto"/>
            <w:vAlign w:val="center"/>
            <w:hideMark/>
          </w:tcPr>
          <w:p w14:paraId="63E7D526" w14:textId="77777777" w:rsidR="004D50D4" w:rsidRPr="00513AE2" w:rsidRDefault="004D50D4" w:rsidP="00513AE2">
            <w:pPr>
              <w:spacing w:after="0" w:line="240" w:lineRule="auto"/>
              <w:rPr>
                <w:rFonts w:ascii="Calibri" w:hAnsi="Calibri" w:cs="Calibri"/>
                <w:color w:val="000000"/>
                <w:sz w:val="20"/>
                <w:szCs w:val="20"/>
                <w:lang w:eastAsia="cs-CZ"/>
              </w:rPr>
            </w:pPr>
            <w:r w:rsidRPr="00513AE2">
              <w:rPr>
                <w:rFonts w:ascii="Calibri" w:hAnsi="Calibri" w:cs="Calibri"/>
                <w:color w:val="000000"/>
                <w:sz w:val="20"/>
                <w:szCs w:val="20"/>
                <w:lang w:eastAsia="cs-CZ"/>
              </w:rPr>
              <w:t>Počet podpořených již existujících sociálních podniků</w:t>
            </w:r>
          </w:p>
        </w:tc>
        <w:tc>
          <w:tcPr>
            <w:tcW w:w="1559" w:type="dxa"/>
            <w:shd w:val="clear" w:color="auto" w:fill="auto"/>
            <w:noWrap/>
            <w:tcMar>
              <w:left w:w="28" w:type="dxa"/>
              <w:right w:w="28" w:type="dxa"/>
            </w:tcMar>
            <w:vAlign w:val="center"/>
            <w:hideMark/>
          </w:tcPr>
          <w:p w14:paraId="4FE910FC"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Méně rozvinuté</w:t>
            </w:r>
          </w:p>
        </w:tc>
        <w:tc>
          <w:tcPr>
            <w:tcW w:w="1701" w:type="dxa"/>
            <w:shd w:val="clear" w:color="auto" w:fill="auto"/>
            <w:noWrap/>
            <w:tcMar>
              <w:left w:w="28" w:type="dxa"/>
              <w:right w:w="28" w:type="dxa"/>
            </w:tcMar>
            <w:vAlign w:val="center"/>
            <w:hideMark/>
          </w:tcPr>
          <w:p w14:paraId="3B3D68E4"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Nebylo stanoveno</w:t>
            </w:r>
          </w:p>
        </w:tc>
        <w:tc>
          <w:tcPr>
            <w:tcW w:w="1009" w:type="dxa"/>
            <w:shd w:val="clear" w:color="auto" w:fill="auto"/>
            <w:noWrap/>
            <w:vAlign w:val="center"/>
            <w:hideMark/>
          </w:tcPr>
          <w:p w14:paraId="3DEDC866"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34</w:t>
            </w:r>
          </w:p>
        </w:tc>
      </w:tr>
      <w:tr w:rsidR="004D50D4" w:rsidRPr="00513AE2" w14:paraId="110E3841" w14:textId="77777777" w:rsidTr="00B162DC">
        <w:trPr>
          <w:trHeight w:val="255"/>
        </w:trPr>
        <w:tc>
          <w:tcPr>
            <w:tcW w:w="851" w:type="dxa"/>
            <w:vMerge/>
            <w:noWrap/>
            <w:vAlign w:val="center"/>
            <w:hideMark/>
          </w:tcPr>
          <w:p w14:paraId="028BEA5F"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3969" w:type="dxa"/>
            <w:vMerge/>
            <w:vAlign w:val="center"/>
            <w:hideMark/>
          </w:tcPr>
          <w:p w14:paraId="4CAAF762"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1559" w:type="dxa"/>
            <w:shd w:val="clear" w:color="auto" w:fill="auto"/>
            <w:noWrap/>
            <w:tcMar>
              <w:left w:w="28" w:type="dxa"/>
              <w:right w:w="28" w:type="dxa"/>
            </w:tcMar>
            <w:vAlign w:val="center"/>
            <w:hideMark/>
          </w:tcPr>
          <w:p w14:paraId="55E13F46"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Více rozvinuté</w:t>
            </w:r>
          </w:p>
        </w:tc>
        <w:tc>
          <w:tcPr>
            <w:tcW w:w="1701" w:type="dxa"/>
            <w:shd w:val="clear" w:color="auto" w:fill="auto"/>
            <w:noWrap/>
            <w:tcMar>
              <w:left w:w="28" w:type="dxa"/>
              <w:right w:w="28" w:type="dxa"/>
            </w:tcMar>
            <w:vAlign w:val="center"/>
            <w:hideMark/>
          </w:tcPr>
          <w:p w14:paraId="3D4534A6"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Nebylo stanoveno</w:t>
            </w:r>
          </w:p>
        </w:tc>
        <w:tc>
          <w:tcPr>
            <w:tcW w:w="1009" w:type="dxa"/>
            <w:shd w:val="clear" w:color="auto" w:fill="auto"/>
            <w:noWrap/>
            <w:vAlign w:val="center"/>
            <w:hideMark/>
          </w:tcPr>
          <w:p w14:paraId="2301A471"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1</w:t>
            </w:r>
          </w:p>
        </w:tc>
      </w:tr>
      <w:tr w:rsidR="004D50D4" w:rsidRPr="00513AE2" w14:paraId="47CAB8DF" w14:textId="77777777" w:rsidTr="00B162DC">
        <w:trPr>
          <w:trHeight w:val="255"/>
        </w:trPr>
        <w:tc>
          <w:tcPr>
            <w:tcW w:w="851" w:type="dxa"/>
            <w:vMerge w:val="restart"/>
            <w:shd w:val="clear" w:color="auto" w:fill="auto"/>
            <w:noWrap/>
            <w:vAlign w:val="center"/>
            <w:hideMark/>
          </w:tcPr>
          <w:p w14:paraId="6990C7BD" w14:textId="77777777" w:rsidR="004D50D4" w:rsidRPr="00513AE2" w:rsidRDefault="004D50D4" w:rsidP="00513AE2">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1</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02</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13</w:t>
            </w:r>
          </w:p>
        </w:tc>
        <w:tc>
          <w:tcPr>
            <w:tcW w:w="3969" w:type="dxa"/>
            <w:vMerge w:val="restart"/>
            <w:shd w:val="clear" w:color="auto" w:fill="auto"/>
            <w:vAlign w:val="center"/>
            <w:hideMark/>
          </w:tcPr>
          <w:p w14:paraId="724B8B5A" w14:textId="77777777" w:rsidR="004D50D4" w:rsidRPr="00513AE2" w:rsidRDefault="004D50D4" w:rsidP="00513AE2">
            <w:pPr>
              <w:spacing w:after="0" w:line="240" w:lineRule="auto"/>
              <w:rPr>
                <w:rFonts w:ascii="Calibri" w:hAnsi="Calibri" w:cs="Calibri"/>
                <w:color w:val="000000"/>
                <w:sz w:val="20"/>
                <w:szCs w:val="20"/>
                <w:lang w:eastAsia="cs-CZ"/>
              </w:rPr>
            </w:pPr>
            <w:r w:rsidRPr="00513AE2">
              <w:rPr>
                <w:rFonts w:ascii="Calibri" w:hAnsi="Calibri" w:cs="Calibri"/>
                <w:color w:val="000000"/>
                <w:sz w:val="20"/>
                <w:szCs w:val="20"/>
                <w:lang w:eastAsia="cs-CZ"/>
              </w:rPr>
              <w:t>Počet sociálních podniků vzniklých díky podpoře</w:t>
            </w:r>
          </w:p>
        </w:tc>
        <w:tc>
          <w:tcPr>
            <w:tcW w:w="1559" w:type="dxa"/>
            <w:shd w:val="clear" w:color="auto" w:fill="auto"/>
            <w:noWrap/>
            <w:tcMar>
              <w:left w:w="28" w:type="dxa"/>
              <w:right w:w="28" w:type="dxa"/>
            </w:tcMar>
            <w:vAlign w:val="center"/>
            <w:hideMark/>
          </w:tcPr>
          <w:p w14:paraId="572DF8E6"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Méně rozvinuté</w:t>
            </w:r>
          </w:p>
        </w:tc>
        <w:tc>
          <w:tcPr>
            <w:tcW w:w="1701" w:type="dxa"/>
            <w:shd w:val="clear" w:color="auto" w:fill="auto"/>
            <w:noWrap/>
            <w:vAlign w:val="center"/>
            <w:hideMark/>
          </w:tcPr>
          <w:p w14:paraId="19B27D7A" w14:textId="77777777" w:rsidR="004D50D4" w:rsidRPr="00513AE2" w:rsidRDefault="004D50D4" w:rsidP="005846CC">
            <w:pPr>
              <w:spacing w:after="0" w:line="240" w:lineRule="auto"/>
              <w:ind w:right="642"/>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124</w:t>
            </w:r>
          </w:p>
        </w:tc>
        <w:tc>
          <w:tcPr>
            <w:tcW w:w="1009" w:type="dxa"/>
            <w:shd w:val="clear" w:color="auto" w:fill="auto"/>
            <w:noWrap/>
            <w:vAlign w:val="center"/>
            <w:hideMark/>
          </w:tcPr>
          <w:p w14:paraId="6F8476B4"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59</w:t>
            </w:r>
          </w:p>
        </w:tc>
      </w:tr>
      <w:tr w:rsidR="004D50D4" w:rsidRPr="00513AE2" w14:paraId="48F019AB" w14:textId="77777777" w:rsidTr="00B162DC">
        <w:trPr>
          <w:trHeight w:val="255"/>
        </w:trPr>
        <w:tc>
          <w:tcPr>
            <w:tcW w:w="851" w:type="dxa"/>
            <w:vMerge/>
            <w:noWrap/>
            <w:vAlign w:val="center"/>
            <w:hideMark/>
          </w:tcPr>
          <w:p w14:paraId="472328FD"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3969" w:type="dxa"/>
            <w:vMerge/>
            <w:vAlign w:val="center"/>
            <w:hideMark/>
          </w:tcPr>
          <w:p w14:paraId="2AE853EB"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1559" w:type="dxa"/>
            <w:shd w:val="clear" w:color="auto" w:fill="auto"/>
            <w:noWrap/>
            <w:tcMar>
              <w:left w:w="28" w:type="dxa"/>
              <w:right w:w="28" w:type="dxa"/>
            </w:tcMar>
            <w:vAlign w:val="center"/>
            <w:hideMark/>
          </w:tcPr>
          <w:p w14:paraId="2DE82854"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Více rozvinuté</w:t>
            </w:r>
          </w:p>
        </w:tc>
        <w:tc>
          <w:tcPr>
            <w:tcW w:w="1701" w:type="dxa"/>
            <w:shd w:val="clear" w:color="auto" w:fill="auto"/>
            <w:noWrap/>
            <w:vAlign w:val="center"/>
            <w:hideMark/>
          </w:tcPr>
          <w:p w14:paraId="3E5FDCB5" w14:textId="77777777" w:rsidR="004D50D4" w:rsidRPr="00513AE2" w:rsidRDefault="004D50D4" w:rsidP="005846CC">
            <w:pPr>
              <w:spacing w:after="0" w:line="240" w:lineRule="auto"/>
              <w:ind w:right="642"/>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14</w:t>
            </w:r>
          </w:p>
        </w:tc>
        <w:tc>
          <w:tcPr>
            <w:tcW w:w="1009" w:type="dxa"/>
            <w:shd w:val="clear" w:color="auto" w:fill="auto"/>
            <w:noWrap/>
            <w:vAlign w:val="center"/>
            <w:hideMark/>
          </w:tcPr>
          <w:p w14:paraId="7EA2DC73"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0</w:t>
            </w:r>
          </w:p>
        </w:tc>
      </w:tr>
      <w:tr w:rsidR="004D50D4" w:rsidRPr="00513AE2" w14:paraId="60AE8241" w14:textId="77777777" w:rsidTr="00B162DC">
        <w:trPr>
          <w:trHeight w:val="255"/>
        </w:trPr>
        <w:tc>
          <w:tcPr>
            <w:tcW w:w="851" w:type="dxa"/>
            <w:vMerge w:val="restart"/>
            <w:shd w:val="clear" w:color="auto" w:fill="auto"/>
            <w:noWrap/>
            <w:vAlign w:val="center"/>
          </w:tcPr>
          <w:p w14:paraId="3E15928F" w14:textId="77777777" w:rsidR="004D50D4" w:rsidRPr="00513AE2" w:rsidRDefault="004D50D4" w:rsidP="00513AE2">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6</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00</w:t>
            </w:r>
            <w:r w:rsidR="00392B4B" w:rsidRPr="00513AE2">
              <w:rPr>
                <w:rFonts w:ascii="Calibri" w:hAnsi="Calibri" w:cs="Calibri"/>
                <w:color w:val="000000"/>
                <w:sz w:val="20"/>
                <w:szCs w:val="20"/>
                <w:lang w:eastAsia="cs-CZ"/>
              </w:rPr>
              <w:t> </w:t>
            </w:r>
            <w:r w:rsidRPr="00513AE2">
              <w:rPr>
                <w:rFonts w:ascii="Calibri" w:hAnsi="Calibri" w:cs="Calibri"/>
                <w:color w:val="000000"/>
                <w:sz w:val="20"/>
                <w:szCs w:val="20"/>
                <w:lang w:eastAsia="cs-CZ"/>
              </w:rPr>
              <w:t>00</w:t>
            </w:r>
          </w:p>
        </w:tc>
        <w:tc>
          <w:tcPr>
            <w:tcW w:w="3969" w:type="dxa"/>
            <w:vMerge w:val="restart"/>
            <w:shd w:val="clear" w:color="auto" w:fill="auto"/>
            <w:vAlign w:val="center"/>
          </w:tcPr>
          <w:p w14:paraId="5CA43ED4" w14:textId="77777777" w:rsidR="004D50D4" w:rsidRPr="00513AE2" w:rsidRDefault="004D50D4" w:rsidP="00513AE2">
            <w:pPr>
              <w:spacing w:after="0" w:line="240" w:lineRule="auto"/>
              <w:rPr>
                <w:rFonts w:ascii="Calibri" w:hAnsi="Calibri" w:cs="Calibri"/>
                <w:color w:val="000000"/>
                <w:sz w:val="20"/>
                <w:szCs w:val="20"/>
                <w:lang w:eastAsia="cs-CZ"/>
              </w:rPr>
            </w:pPr>
            <w:r w:rsidRPr="00513AE2">
              <w:rPr>
                <w:rFonts w:ascii="Calibri" w:hAnsi="Calibri" w:cs="Calibri"/>
                <w:color w:val="000000"/>
                <w:sz w:val="20"/>
                <w:szCs w:val="20"/>
                <w:lang w:eastAsia="cs-CZ"/>
              </w:rPr>
              <w:t>Celkový počet účastníků</w:t>
            </w:r>
          </w:p>
        </w:tc>
        <w:tc>
          <w:tcPr>
            <w:tcW w:w="1559" w:type="dxa"/>
            <w:shd w:val="clear" w:color="auto" w:fill="auto"/>
            <w:noWrap/>
            <w:tcMar>
              <w:left w:w="28" w:type="dxa"/>
              <w:right w:w="28" w:type="dxa"/>
            </w:tcMar>
            <w:vAlign w:val="center"/>
          </w:tcPr>
          <w:p w14:paraId="240B44C7"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Méně rozvinuté</w:t>
            </w:r>
          </w:p>
        </w:tc>
        <w:tc>
          <w:tcPr>
            <w:tcW w:w="1701" w:type="dxa"/>
            <w:shd w:val="clear" w:color="auto" w:fill="auto"/>
            <w:noWrap/>
            <w:tcMar>
              <w:left w:w="28" w:type="dxa"/>
              <w:right w:w="28" w:type="dxa"/>
            </w:tcMar>
            <w:vAlign w:val="center"/>
          </w:tcPr>
          <w:p w14:paraId="5F5A4023"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Nebylo stanoveno</w:t>
            </w:r>
          </w:p>
        </w:tc>
        <w:tc>
          <w:tcPr>
            <w:tcW w:w="1009" w:type="dxa"/>
            <w:shd w:val="clear" w:color="auto" w:fill="auto"/>
            <w:noWrap/>
            <w:vAlign w:val="center"/>
          </w:tcPr>
          <w:p w14:paraId="245B613F"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732</w:t>
            </w:r>
          </w:p>
        </w:tc>
      </w:tr>
      <w:tr w:rsidR="004D50D4" w:rsidRPr="00513AE2" w14:paraId="0DDC9E23" w14:textId="77777777" w:rsidTr="00B162DC">
        <w:trPr>
          <w:trHeight w:val="255"/>
        </w:trPr>
        <w:tc>
          <w:tcPr>
            <w:tcW w:w="851" w:type="dxa"/>
            <w:vMerge/>
            <w:vAlign w:val="center"/>
          </w:tcPr>
          <w:p w14:paraId="21C7E5AF"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3969" w:type="dxa"/>
            <w:vMerge/>
            <w:vAlign w:val="center"/>
          </w:tcPr>
          <w:p w14:paraId="0CC33DE6" w14:textId="77777777" w:rsidR="004D50D4" w:rsidRPr="00513AE2" w:rsidRDefault="004D50D4" w:rsidP="00513AE2">
            <w:pPr>
              <w:spacing w:after="0" w:line="240" w:lineRule="auto"/>
              <w:rPr>
                <w:rFonts w:ascii="Calibri" w:hAnsi="Calibri" w:cs="Calibri"/>
                <w:color w:val="000000"/>
                <w:sz w:val="20"/>
                <w:szCs w:val="20"/>
                <w:lang w:eastAsia="cs-CZ"/>
              </w:rPr>
            </w:pPr>
          </w:p>
        </w:tc>
        <w:tc>
          <w:tcPr>
            <w:tcW w:w="1559" w:type="dxa"/>
            <w:shd w:val="clear" w:color="auto" w:fill="auto"/>
            <w:noWrap/>
            <w:tcMar>
              <w:left w:w="28" w:type="dxa"/>
              <w:right w:w="28" w:type="dxa"/>
            </w:tcMar>
            <w:vAlign w:val="center"/>
          </w:tcPr>
          <w:p w14:paraId="392A536F"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Více rozvinuté</w:t>
            </w:r>
          </w:p>
        </w:tc>
        <w:tc>
          <w:tcPr>
            <w:tcW w:w="1701" w:type="dxa"/>
            <w:shd w:val="clear" w:color="auto" w:fill="auto"/>
            <w:noWrap/>
            <w:tcMar>
              <w:left w:w="28" w:type="dxa"/>
              <w:right w:w="28" w:type="dxa"/>
            </w:tcMar>
            <w:vAlign w:val="center"/>
          </w:tcPr>
          <w:p w14:paraId="27CF899D" w14:textId="77777777" w:rsidR="004D50D4" w:rsidRPr="00513AE2" w:rsidRDefault="004D50D4" w:rsidP="00B162DC">
            <w:pPr>
              <w:spacing w:after="0" w:line="240" w:lineRule="auto"/>
              <w:jc w:val="center"/>
              <w:rPr>
                <w:rFonts w:ascii="Calibri" w:hAnsi="Calibri" w:cs="Calibri"/>
                <w:color w:val="000000"/>
                <w:sz w:val="20"/>
                <w:szCs w:val="20"/>
                <w:lang w:eastAsia="cs-CZ"/>
              </w:rPr>
            </w:pPr>
            <w:r w:rsidRPr="00513AE2">
              <w:rPr>
                <w:rFonts w:ascii="Calibri" w:hAnsi="Calibri" w:cs="Calibri"/>
                <w:color w:val="000000"/>
                <w:sz w:val="20"/>
                <w:szCs w:val="20"/>
                <w:lang w:eastAsia="cs-CZ"/>
              </w:rPr>
              <w:t>Nebylo stanoveno</w:t>
            </w:r>
          </w:p>
        </w:tc>
        <w:tc>
          <w:tcPr>
            <w:tcW w:w="1009" w:type="dxa"/>
            <w:shd w:val="clear" w:color="auto" w:fill="auto"/>
            <w:noWrap/>
            <w:vAlign w:val="center"/>
          </w:tcPr>
          <w:p w14:paraId="5FDF2007" w14:textId="77777777" w:rsidR="004D50D4" w:rsidRPr="00513AE2" w:rsidRDefault="004D50D4" w:rsidP="00B162DC">
            <w:pPr>
              <w:spacing w:after="0" w:line="240" w:lineRule="auto"/>
              <w:ind w:right="53"/>
              <w:jc w:val="right"/>
              <w:rPr>
                <w:rFonts w:ascii="Calibri" w:hAnsi="Calibri" w:cs="Calibri"/>
                <w:color w:val="000000"/>
                <w:sz w:val="20"/>
                <w:szCs w:val="20"/>
                <w:lang w:eastAsia="cs-CZ"/>
              </w:rPr>
            </w:pPr>
            <w:r w:rsidRPr="00513AE2">
              <w:rPr>
                <w:rFonts w:ascii="Calibri" w:hAnsi="Calibri" w:cs="Calibri"/>
                <w:color w:val="000000"/>
                <w:sz w:val="20"/>
                <w:szCs w:val="20"/>
                <w:lang w:eastAsia="cs-CZ"/>
              </w:rPr>
              <w:t>7</w:t>
            </w:r>
          </w:p>
        </w:tc>
      </w:tr>
    </w:tbl>
    <w:p w14:paraId="63AB6646" w14:textId="77777777" w:rsidR="004D50D4" w:rsidRPr="007C6200" w:rsidRDefault="004D50D4" w:rsidP="00513AE2">
      <w:pPr>
        <w:pStyle w:val="KP-normlntext"/>
        <w:spacing w:before="40"/>
        <w:rPr>
          <w:sz w:val="20"/>
          <w:szCs w:val="20"/>
        </w:rPr>
      </w:pPr>
      <w:r w:rsidRPr="008379A5">
        <w:rPr>
          <w:b/>
          <w:sz w:val="20"/>
          <w:szCs w:val="20"/>
        </w:rPr>
        <w:t>Zdroj</w:t>
      </w:r>
      <w:r w:rsidRPr="00524C41">
        <w:rPr>
          <w:b/>
          <w:sz w:val="20"/>
          <w:szCs w:val="20"/>
        </w:rPr>
        <w:t>:</w:t>
      </w:r>
      <w:r w:rsidRPr="007C6200">
        <w:rPr>
          <w:sz w:val="20"/>
          <w:szCs w:val="20"/>
        </w:rPr>
        <w:t xml:space="preserve"> PD OPZ, MPSV</w:t>
      </w:r>
      <w:r w:rsidR="005F7083">
        <w:rPr>
          <w:sz w:val="20"/>
          <w:szCs w:val="20"/>
        </w:rPr>
        <w:t>, MS2014+, stav k</w:t>
      </w:r>
      <w:r w:rsidR="001A54A9">
        <w:rPr>
          <w:sz w:val="20"/>
          <w:szCs w:val="20"/>
        </w:rPr>
        <w:t> 02/</w:t>
      </w:r>
      <w:r w:rsidR="005F7083">
        <w:rPr>
          <w:sz w:val="20"/>
          <w:szCs w:val="20"/>
        </w:rPr>
        <w:t>2022</w:t>
      </w:r>
      <w:r w:rsidRPr="007C6200">
        <w:rPr>
          <w:sz w:val="20"/>
          <w:szCs w:val="20"/>
        </w:rPr>
        <w:t>.</w:t>
      </w:r>
    </w:p>
    <w:p w14:paraId="417F8929" w14:textId="77777777" w:rsidR="004D50D4" w:rsidRDefault="003B620A" w:rsidP="00613C80">
      <w:pPr>
        <w:pStyle w:val="JK4"/>
        <w:keepNext w:val="0"/>
        <w:tabs>
          <w:tab w:val="left" w:pos="426"/>
        </w:tabs>
      </w:pPr>
      <w:r>
        <w:t>Cílové hodnoty, kterých mělo být poskytováním podpory dosaženo, stanovilo MPSV pouze pro nově vznikající sociální podniky v rámci SC 2.1.2</w:t>
      </w:r>
      <w:r w:rsidR="00ED680B">
        <w:t xml:space="preserve"> </w:t>
      </w:r>
      <w:r w:rsidR="00CA3AF1">
        <w:t>OPZ.</w:t>
      </w:r>
      <w:r w:rsidR="002366EB">
        <w:t xml:space="preserve"> Cíl podporovat nově vznikající sociální podniky byl v rámci tohoto SC definován v souladu s principy SMART</w:t>
      </w:r>
      <w:r w:rsidR="0051275F">
        <w:rPr>
          <w:rStyle w:val="Znakapoznpodarou"/>
        </w:rPr>
        <w:footnoteReference w:id="17"/>
      </w:r>
      <w:r w:rsidR="002366EB">
        <w:t xml:space="preserve">. </w:t>
      </w:r>
      <w:r>
        <w:t xml:space="preserve">Žádné cílové hodnoty </w:t>
      </w:r>
      <w:r w:rsidR="0080580C">
        <w:t xml:space="preserve">však </w:t>
      </w:r>
      <w:r>
        <w:t>nebyly stanoveny v případě podpory již existujících sociálních podniků, ani</w:t>
      </w:r>
      <w:r w:rsidR="00492857">
        <w:t xml:space="preserve"> </w:t>
      </w:r>
      <w:r>
        <w:t>u</w:t>
      </w:r>
      <w:r w:rsidR="002366EB">
        <w:t> </w:t>
      </w:r>
      <w:r>
        <w:t>indikátorů sledujících podpořené osoby</w:t>
      </w:r>
      <w:r w:rsidR="00A948FF">
        <w:rPr>
          <w:rStyle w:val="Znakapoznpodarou"/>
        </w:rPr>
        <w:footnoteReference w:id="18"/>
      </w:r>
      <w:r>
        <w:t xml:space="preserve"> a jejich charakteristiky</w:t>
      </w:r>
      <w:r w:rsidR="00A948FF">
        <w:rPr>
          <w:rStyle w:val="Znakapoznpodarou"/>
        </w:rPr>
        <w:footnoteReference w:id="19"/>
      </w:r>
      <w:r>
        <w:t xml:space="preserve">. </w:t>
      </w:r>
      <w:r w:rsidR="00AD1E21">
        <w:t>P</w:t>
      </w:r>
      <w:r w:rsidR="00C3485E">
        <w:t>eněžní p</w:t>
      </w:r>
      <w:r w:rsidR="00AD1E21">
        <w:t xml:space="preserve">rostředky vynaložené MPSV </w:t>
      </w:r>
      <w:r w:rsidR="002E1A8A">
        <w:t xml:space="preserve">navíc v případě </w:t>
      </w:r>
      <w:r w:rsidR="00A948FF">
        <w:t>nových sociálních podniků vzniklých díky podpoře OPZ</w:t>
      </w:r>
      <w:r w:rsidR="002E1A8A">
        <w:t xml:space="preserve"> </w:t>
      </w:r>
      <w:r w:rsidR="00C3485E">
        <w:t xml:space="preserve">nezajistily </w:t>
      </w:r>
      <w:r w:rsidR="00AD1E21">
        <w:t>dosažení stanovených cílových hodnot</w:t>
      </w:r>
      <w:r w:rsidR="002366EB">
        <w:t>.</w:t>
      </w:r>
    </w:p>
    <w:p w14:paraId="54BDBBCA" w14:textId="77777777" w:rsidR="004D50D4" w:rsidRPr="007128C5" w:rsidRDefault="001529F1" w:rsidP="00613C80">
      <w:pPr>
        <w:pStyle w:val="JK4"/>
        <w:keepNext w:val="0"/>
        <w:tabs>
          <w:tab w:val="left" w:pos="426"/>
        </w:tabs>
        <w:rPr>
          <w:color w:val="auto"/>
        </w:rPr>
      </w:pPr>
      <w:r>
        <w:t>MPSV v programovém dokumentu OPZ stanovilo, že v</w:t>
      </w:r>
      <w:r w:rsidRPr="001529F1">
        <w:t xml:space="preserve"> rámci sociálních podniků budou podporovány aktivity směřující k posílení postavení osob sociálně vyloučených či ohrožených sociálním vyloučením na trhu práce. Cílem těchto aktivit je sociální integrace cílové skupiny (či</w:t>
      </w:r>
      <w:r w:rsidR="00492857">
        <w:t xml:space="preserve"> </w:t>
      </w:r>
      <w:r w:rsidRPr="001529F1">
        <w:t>zamezení jejího vyloučení ze společnosti) a usnadnění vstupu a udržení cílové skupiny na</w:t>
      </w:r>
      <w:r w:rsidR="00492857">
        <w:t xml:space="preserve"> </w:t>
      </w:r>
      <w:r w:rsidRPr="001529F1">
        <w:t>volném trhu práce.</w:t>
      </w:r>
      <w:r>
        <w:t xml:space="preserve"> Pro </w:t>
      </w:r>
      <w:r w:rsidR="00823B58">
        <w:t>takto definovaný</w:t>
      </w:r>
      <w:r>
        <w:t xml:space="preserve"> cíl</w:t>
      </w:r>
      <w:r w:rsidR="00135876">
        <w:t xml:space="preserve"> však</w:t>
      </w:r>
      <w:r>
        <w:t xml:space="preserve"> MPSV nenastavilo žádné vhodné indikátory, které by umožňovaly jeho </w:t>
      </w:r>
      <w:r w:rsidR="00A83340">
        <w:t>měření,</w:t>
      </w:r>
      <w:r w:rsidR="00D00BF8">
        <w:t xml:space="preserve"> a tudíž ani cílovou hodnotu, jejíž dosažení by</w:t>
      </w:r>
      <w:r w:rsidR="00492857">
        <w:t xml:space="preserve"> </w:t>
      </w:r>
      <w:r w:rsidR="00D00BF8">
        <w:t>považovalo za účelné vynaložení prostředků programu</w:t>
      </w:r>
      <w:r>
        <w:t>.</w:t>
      </w:r>
      <w:r w:rsidR="00823B58">
        <w:t xml:space="preserve"> Zaměstnání osob z cílových skupin v podpořených sociálních podnicích je MPSV </w:t>
      </w:r>
      <w:r w:rsidR="00D00BF8">
        <w:t xml:space="preserve">navíc </w:t>
      </w:r>
      <w:r w:rsidR="00823B58">
        <w:t>požadováno pouze v průběhu realizace projektů, přičemž pro zahrnutí podpořené osoby do hodnoty základního indikátoru 6</w:t>
      </w:r>
      <w:r w:rsidR="000558A0">
        <w:t xml:space="preserve"> </w:t>
      </w:r>
      <w:r w:rsidR="00823B58">
        <w:t>00</w:t>
      </w:r>
      <w:r w:rsidR="000558A0">
        <w:t xml:space="preserve"> </w:t>
      </w:r>
      <w:r w:rsidR="00823B58">
        <w:t>00 postačuje dosažení stanoveného počtu hodin podpory</w:t>
      </w:r>
      <w:r w:rsidR="00BC01BC">
        <w:t xml:space="preserve"> poskytnuté této osobě</w:t>
      </w:r>
      <w:r w:rsidR="00823B58">
        <w:rPr>
          <w:rStyle w:val="Znakapoznpodarou"/>
        </w:rPr>
        <w:footnoteReference w:id="20"/>
      </w:r>
      <w:r w:rsidR="00823B58">
        <w:t>.</w:t>
      </w:r>
    </w:p>
    <w:p w14:paraId="0DDA22AE" w14:textId="77777777" w:rsidR="006D10F5" w:rsidRPr="00B162DC" w:rsidRDefault="00E6602B" w:rsidP="00FF47C7">
      <w:pPr>
        <w:pStyle w:val="JK4"/>
        <w:keepNext w:val="0"/>
        <w:numPr>
          <w:ilvl w:val="0"/>
          <w:numId w:val="0"/>
        </w:numPr>
        <w:ind w:left="284" w:hanging="284"/>
      </w:pPr>
      <w:r w:rsidRPr="00E57019">
        <w:rPr>
          <w:b/>
          <w:bCs/>
          <w:i/>
          <w:color w:val="FF0000"/>
        </w:rPr>
        <w:t xml:space="preserve">→ </w:t>
      </w:r>
      <w:r>
        <w:rPr>
          <w:b/>
          <w:bCs/>
          <w:i/>
          <w:color w:val="FF0000"/>
        </w:rPr>
        <w:tab/>
      </w:r>
      <w:r w:rsidR="007B35FA" w:rsidRPr="007B35FA">
        <w:rPr>
          <w:b/>
          <w:bCs/>
          <w:i/>
          <w:color w:val="FF0000"/>
        </w:rPr>
        <w:t>Efektivnost podpory IROP vyjádřená prostřednictvím průměrné výše podpory na jeden přepočtený úvazek je oproti předpokladům asi 4,5</w:t>
      </w:r>
      <w:r w:rsidR="00492857">
        <w:rPr>
          <w:rFonts w:cs="Calibri"/>
          <w:b/>
          <w:bCs/>
          <w:i/>
          <w:color w:val="FF0000"/>
        </w:rPr>
        <w:t>×</w:t>
      </w:r>
      <w:r w:rsidR="007B35FA" w:rsidRPr="007B35FA">
        <w:rPr>
          <w:b/>
          <w:bCs/>
          <w:i/>
          <w:color w:val="FF0000"/>
        </w:rPr>
        <w:t xml:space="preserve"> nižší.</w:t>
      </w:r>
    </w:p>
    <w:p w14:paraId="04712F14" w14:textId="77777777" w:rsidR="00DD6608" w:rsidRDefault="00E361B9" w:rsidP="00613C80">
      <w:pPr>
        <w:pStyle w:val="JK4"/>
        <w:keepNext w:val="0"/>
        <w:tabs>
          <w:tab w:val="left" w:pos="426"/>
        </w:tabs>
      </w:pPr>
      <w:r>
        <w:t>Cíl podpory sociálního podnikání v </w:t>
      </w:r>
      <w:r w:rsidR="00B07637">
        <w:t>IROP</w:t>
      </w:r>
      <w:r>
        <w:t xml:space="preserve"> je </w:t>
      </w:r>
      <w:r w:rsidR="00AD7BFF">
        <w:t xml:space="preserve">definován jako </w:t>
      </w:r>
      <w:r w:rsidRPr="006D10F5">
        <w:rPr>
          <w:i/>
        </w:rPr>
        <w:t>vznik nových a rozvoj existujících podnikatelských aktivit v oblasti sociálního podnikání</w:t>
      </w:r>
      <w:r w:rsidRPr="00E361B9">
        <w:t>.</w:t>
      </w:r>
      <w:r w:rsidR="006C567F">
        <w:t xml:space="preserve"> Plnění tohoto cíle je</w:t>
      </w:r>
      <w:r w:rsidR="007128C5">
        <w:t xml:space="preserve"> </w:t>
      </w:r>
      <w:r w:rsidR="001D7048">
        <w:t>v případě SC 2.2 IROP</w:t>
      </w:r>
      <w:r w:rsidR="00FE18A3" w:rsidRPr="00DF2359">
        <w:rPr>
          <w:rStyle w:val="Znakapoznpodarou"/>
          <w:rFonts w:cs="Calibri"/>
          <w:b/>
          <w:color w:val="000000" w:themeColor="text1"/>
        </w:rPr>
        <w:footnoteReference w:id="21"/>
      </w:r>
      <w:r w:rsidR="001D7048">
        <w:t xml:space="preserve"> </w:t>
      </w:r>
      <w:r w:rsidR="006C567F">
        <w:t xml:space="preserve">vyjádřeno prostřednictvím </w:t>
      </w:r>
      <w:r w:rsidR="00AD7BFF">
        <w:t xml:space="preserve">výstupových </w:t>
      </w:r>
      <w:r w:rsidR="006C567F">
        <w:t>indikátorů uvedených v následující tabulce č. 4</w:t>
      </w:r>
      <w:r w:rsidR="00AD7BFF">
        <w:t xml:space="preserve"> a</w:t>
      </w:r>
      <w:r w:rsidR="009722A8">
        <w:t> </w:t>
      </w:r>
      <w:r w:rsidR="00AD7BFF">
        <w:t xml:space="preserve">výsledkového indikátoru 1 04 11 </w:t>
      </w:r>
      <w:r w:rsidR="00AD7BFF" w:rsidRPr="00B07637">
        <w:rPr>
          <w:i/>
        </w:rPr>
        <w:t>Míra nezaměstnanosti osob s nejnižším vzděláním</w:t>
      </w:r>
      <w:r w:rsidR="00AD7BFF">
        <w:rPr>
          <w:i/>
        </w:rPr>
        <w:t>.</w:t>
      </w:r>
      <w:r w:rsidR="00AD7BFF">
        <w:t xml:space="preserve"> MMR přitom nastavilo cíl podpory a </w:t>
      </w:r>
      <w:r w:rsidR="00885C3C">
        <w:t xml:space="preserve">výstupové </w:t>
      </w:r>
      <w:r w:rsidR="00AD7BFF">
        <w:t xml:space="preserve">indikátory pro jeho sledování </w:t>
      </w:r>
      <w:r w:rsidR="00885C3C">
        <w:t xml:space="preserve">zejména na úrovni příjemce </w:t>
      </w:r>
      <w:r w:rsidR="00AD7BFF">
        <w:t>v případě SC 2.2 tak, že odpovídají principům SMART.</w:t>
      </w:r>
      <w:r w:rsidR="00DD6608">
        <w:t xml:space="preserve"> Výsledkový indikátor však nemá vazbu na výstupové indikátory sledované na úrovni příjemce a skutečný přínos projektů IROP k naplnění tohoto indikátoru tak nelze</w:t>
      </w:r>
      <w:r w:rsidR="007128C5">
        <w:t xml:space="preserve"> </w:t>
      </w:r>
      <w:r w:rsidR="00DD6608">
        <w:t xml:space="preserve">prokázat. </w:t>
      </w:r>
    </w:p>
    <w:p w14:paraId="0527B8C8" w14:textId="77777777" w:rsidR="006C567F" w:rsidRPr="00DF2812" w:rsidRDefault="006C567F" w:rsidP="00DF2812">
      <w:pPr>
        <w:keepNext/>
        <w:spacing w:before="120" w:after="40" w:line="240" w:lineRule="auto"/>
        <w:jc w:val="both"/>
        <w:rPr>
          <w:b/>
          <w:sz w:val="24"/>
        </w:rPr>
      </w:pPr>
      <w:r w:rsidRPr="00DF2812">
        <w:rPr>
          <w:b/>
          <w:sz w:val="24"/>
        </w:rPr>
        <w:t xml:space="preserve">Tabulka č. </w:t>
      </w:r>
      <w:r w:rsidR="000C2D09" w:rsidRPr="00DF2812">
        <w:rPr>
          <w:b/>
          <w:sz w:val="24"/>
        </w:rPr>
        <w:t>4</w:t>
      </w:r>
      <w:r w:rsidRPr="00DF2812">
        <w:rPr>
          <w:b/>
          <w:sz w:val="24"/>
        </w:rPr>
        <w:t xml:space="preserve">: Přehled dosahování cílových hodnot u </w:t>
      </w:r>
      <w:r w:rsidR="00593F87" w:rsidRPr="00DF2812">
        <w:rPr>
          <w:b/>
          <w:sz w:val="24"/>
        </w:rPr>
        <w:t xml:space="preserve">výstupových </w:t>
      </w:r>
      <w:r w:rsidRPr="00DF2812">
        <w:rPr>
          <w:b/>
          <w:sz w:val="24"/>
        </w:rPr>
        <w:t xml:space="preserve">indikátorů SC 2.2 </w:t>
      </w:r>
      <w:r w:rsidR="00673F13" w:rsidRPr="00DF2812">
        <w:rPr>
          <w:b/>
          <w:sz w:val="24"/>
        </w:rPr>
        <w:t>IROP</w:t>
      </w: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851"/>
        <w:gridCol w:w="4394"/>
        <w:gridCol w:w="992"/>
        <w:gridCol w:w="1418"/>
        <w:gridCol w:w="1417"/>
      </w:tblGrid>
      <w:tr w:rsidR="006C567F" w:rsidRPr="00072976" w14:paraId="107136F6" w14:textId="77777777" w:rsidTr="00147DEA">
        <w:trPr>
          <w:trHeight w:val="255"/>
        </w:trPr>
        <w:tc>
          <w:tcPr>
            <w:tcW w:w="5245" w:type="dxa"/>
            <w:gridSpan w:val="2"/>
            <w:shd w:val="clear" w:color="000000" w:fill="E5F1FF"/>
            <w:vAlign w:val="center"/>
            <w:hideMark/>
          </w:tcPr>
          <w:p w14:paraId="5FE89211" w14:textId="77777777" w:rsidR="006C567F" w:rsidRPr="00072976" w:rsidRDefault="007128C5" w:rsidP="00226DAA">
            <w:pPr>
              <w:keepNext/>
              <w:spacing w:after="0" w:line="240" w:lineRule="auto"/>
              <w:jc w:val="center"/>
              <w:rPr>
                <w:rFonts w:ascii="Calibri" w:eastAsia="Times New Roman" w:hAnsi="Calibri" w:cs="Calibri"/>
                <w:b/>
                <w:bCs/>
                <w:color w:val="000000"/>
                <w:sz w:val="20"/>
                <w:szCs w:val="20"/>
                <w:lang w:eastAsia="cs-CZ"/>
              </w:rPr>
            </w:pPr>
            <w:r>
              <w:rPr>
                <w:rFonts w:cstheme="minorHAnsi"/>
                <w:b/>
                <w:bCs/>
                <w:color w:val="000000"/>
                <w:sz w:val="20"/>
                <w:szCs w:val="20"/>
                <w:lang w:eastAsia="cs-CZ"/>
              </w:rPr>
              <w:t>Indikátor</w:t>
            </w:r>
          </w:p>
        </w:tc>
        <w:tc>
          <w:tcPr>
            <w:tcW w:w="992" w:type="dxa"/>
            <w:vMerge w:val="restart"/>
            <w:shd w:val="clear" w:color="000000" w:fill="E5F1FF"/>
            <w:vAlign w:val="center"/>
            <w:hideMark/>
          </w:tcPr>
          <w:p w14:paraId="783885F7" w14:textId="77777777" w:rsidR="006C567F" w:rsidRPr="00072976" w:rsidRDefault="006C567F" w:rsidP="00147DEA">
            <w:pPr>
              <w:keepNext/>
              <w:spacing w:after="0" w:line="240" w:lineRule="auto"/>
              <w:jc w:val="center"/>
              <w:rPr>
                <w:rFonts w:ascii="Calibri" w:eastAsia="Times New Roman" w:hAnsi="Calibri" w:cs="Calibri"/>
                <w:b/>
                <w:bCs/>
                <w:color w:val="000000"/>
                <w:sz w:val="20"/>
                <w:szCs w:val="20"/>
                <w:lang w:eastAsia="cs-CZ"/>
              </w:rPr>
            </w:pPr>
            <w:r w:rsidRPr="00072976">
              <w:rPr>
                <w:rFonts w:ascii="Calibri" w:eastAsia="Times New Roman" w:hAnsi="Calibri" w:cs="Calibri"/>
                <w:b/>
                <w:bCs/>
                <w:color w:val="000000"/>
                <w:sz w:val="20"/>
                <w:szCs w:val="20"/>
                <w:lang w:eastAsia="cs-CZ"/>
              </w:rPr>
              <w:t>Měrná jednotka</w:t>
            </w:r>
          </w:p>
        </w:tc>
        <w:tc>
          <w:tcPr>
            <w:tcW w:w="1418" w:type="dxa"/>
            <w:vMerge w:val="restart"/>
            <w:shd w:val="clear" w:color="000000" w:fill="E5F1FF"/>
            <w:vAlign w:val="center"/>
            <w:hideMark/>
          </w:tcPr>
          <w:p w14:paraId="2B78553C" w14:textId="77777777" w:rsidR="006C567F" w:rsidRPr="00072976" w:rsidRDefault="006C567F" w:rsidP="00226DAA">
            <w:pPr>
              <w:keepNext/>
              <w:spacing w:after="0" w:line="240" w:lineRule="auto"/>
              <w:jc w:val="center"/>
              <w:rPr>
                <w:rFonts w:ascii="Calibri" w:eastAsia="Times New Roman" w:hAnsi="Calibri" w:cs="Calibri"/>
                <w:b/>
                <w:bCs/>
                <w:color w:val="000000"/>
                <w:sz w:val="20"/>
                <w:szCs w:val="20"/>
                <w:lang w:eastAsia="cs-CZ"/>
              </w:rPr>
            </w:pPr>
            <w:r w:rsidRPr="00072976">
              <w:rPr>
                <w:rFonts w:ascii="Calibri" w:eastAsia="Times New Roman" w:hAnsi="Calibri" w:cs="Calibri"/>
                <w:b/>
                <w:bCs/>
                <w:color w:val="000000"/>
                <w:sz w:val="20"/>
                <w:szCs w:val="20"/>
                <w:lang w:eastAsia="cs-CZ"/>
              </w:rPr>
              <w:t>Cílová</w:t>
            </w:r>
            <w:r w:rsidR="007128C5">
              <w:rPr>
                <w:rFonts w:ascii="Calibri" w:eastAsia="Times New Roman" w:hAnsi="Calibri" w:cs="Calibri"/>
                <w:b/>
                <w:bCs/>
                <w:color w:val="000000"/>
                <w:sz w:val="20"/>
                <w:szCs w:val="20"/>
                <w:lang w:eastAsia="cs-CZ"/>
              </w:rPr>
              <w:br/>
            </w:r>
            <w:r w:rsidRPr="00072976">
              <w:rPr>
                <w:rFonts w:ascii="Calibri" w:eastAsia="Times New Roman" w:hAnsi="Calibri" w:cs="Calibri"/>
                <w:b/>
                <w:bCs/>
                <w:color w:val="000000"/>
                <w:sz w:val="20"/>
                <w:szCs w:val="20"/>
                <w:lang w:eastAsia="cs-CZ"/>
              </w:rPr>
              <w:t>hodnota</w:t>
            </w:r>
          </w:p>
        </w:tc>
        <w:tc>
          <w:tcPr>
            <w:tcW w:w="1417" w:type="dxa"/>
            <w:vMerge w:val="restart"/>
            <w:shd w:val="clear" w:color="000000" w:fill="E5F1FF"/>
            <w:vAlign w:val="center"/>
            <w:hideMark/>
          </w:tcPr>
          <w:p w14:paraId="426AA60E" w14:textId="77777777" w:rsidR="006C567F" w:rsidRPr="00072976" w:rsidRDefault="006C567F" w:rsidP="00226DAA">
            <w:pPr>
              <w:keepNext/>
              <w:spacing w:after="0" w:line="240" w:lineRule="auto"/>
              <w:jc w:val="center"/>
              <w:rPr>
                <w:rFonts w:ascii="Calibri" w:eastAsia="Times New Roman" w:hAnsi="Calibri" w:cs="Calibri"/>
                <w:b/>
                <w:bCs/>
                <w:color w:val="000000"/>
                <w:sz w:val="20"/>
                <w:szCs w:val="20"/>
                <w:lang w:eastAsia="cs-CZ"/>
              </w:rPr>
            </w:pPr>
            <w:r w:rsidRPr="00072976">
              <w:rPr>
                <w:rFonts w:ascii="Calibri" w:eastAsia="Times New Roman" w:hAnsi="Calibri" w:cs="Calibri"/>
                <w:b/>
                <w:bCs/>
                <w:color w:val="000000"/>
                <w:sz w:val="20"/>
                <w:szCs w:val="20"/>
                <w:lang w:eastAsia="cs-CZ"/>
              </w:rPr>
              <w:t>Dosažená</w:t>
            </w:r>
            <w:r w:rsidR="007128C5">
              <w:rPr>
                <w:rFonts w:ascii="Calibri" w:eastAsia="Times New Roman" w:hAnsi="Calibri" w:cs="Calibri"/>
                <w:b/>
                <w:bCs/>
                <w:color w:val="000000"/>
                <w:sz w:val="20"/>
                <w:szCs w:val="20"/>
                <w:lang w:eastAsia="cs-CZ"/>
              </w:rPr>
              <w:br/>
            </w:r>
            <w:r w:rsidRPr="00072976">
              <w:rPr>
                <w:rFonts w:ascii="Calibri" w:eastAsia="Times New Roman" w:hAnsi="Calibri" w:cs="Calibri"/>
                <w:b/>
                <w:bCs/>
                <w:color w:val="000000"/>
                <w:sz w:val="20"/>
                <w:szCs w:val="20"/>
                <w:lang w:eastAsia="cs-CZ"/>
              </w:rPr>
              <w:t xml:space="preserve">hodnota </w:t>
            </w:r>
          </w:p>
        </w:tc>
      </w:tr>
      <w:tr w:rsidR="007128C5" w:rsidRPr="00072976" w14:paraId="70FC1AEB" w14:textId="77777777" w:rsidTr="00147DEA">
        <w:trPr>
          <w:trHeight w:val="255"/>
        </w:trPr>
        <w:tc>
          <w:tcPr>
            <w:tcW w:w="851" w:type="dxa"/>
            <w:shd w:val="clear" w:color="000000" w:fill="E5F1FF"/>
            <w:vAlign w:val="center"/>
          </w:tcPr>
          <w:p w14:paraId="625646F8" w14:textId="77777777" w:rsidR="007128C5" w:rsidRDefault="007128C5" w:rsidP="00226DAA">
            <w:pPr>
              <w:keepNext/>
              <w:spacing w:after="0" w:line="240" w:lineRule="auto"/>
              <w:jc w:val="center"/>
              <w:rPr>
                <w:rFonts w:cstheme="minorHAnsi"/>
                <w:b/>
                <w:bCs/>
                <w:color w:val="000000"/>
                <w:sz w:val="20"/>
                <w:szCs w:val="20"/>
                <w:lang w:eastAsia="cs-CZ"/>
              </w:rPr>
            </w:pPr>
            <w:r>
              <w:rPr>
                <w:rFonts w:cstheme="minorHAnsi"/>
                <w:b/>
                <w:bCs/>
                <w:color w:val="000000"/>
                <w:sz w:val="20"/>
                <w:szCs w:val="20"/>
                <w:lang w:eastAsia="cs-CZ"/>
              </w:rPr>
              <w:t>Kód</w:t>
            </w:r>
          </w:p>
        </w:tc>
        <w:tc>
          <w:tcPr>
            <w:tcW w:w="4394" w:type="dxa"/>
            <w:shd w:val="clear" w:color="000000" w:fill="E5F1FF"/>
            <w:vAlign w:val="center"/>
          </w:tcPr>
          <w:p w14:paraId="22ED7C80" w14:textId="77777777" w:rsidR="007128C5" w:rsidRDefault="007128C5" w:rsidP="00226DAA">
            <w:pPr>
              <w:keepNext/>
              <w:spacing w:after="0" w:line="240" w:lineRule="auto"/>
              <w:jc w:val="center"/>
              <w:rPr>
                <w:rFonts w:cstheme="minorHAnsi"/>
                <w:b/>
                <w:bCs/>
                <w:color w:val="000000"/>
                <w:sz w:val="20"/>
                <w:szCs w:val="20"/>
                <w:lang w:eastAsia="cs-CZ"/>
              </w:rPr>
            </w:pPr>
            <w:r w:rsidRPr="00085E27">
              <w:rPr>
                <w:rFonts w:cstheme="minorHAnsi"/>
                <w:b/>
                <w:bCs/>
                <w:color w:val="000000"/>
                <w:sz w:val="20"/>
                <w:szCs w:val="20"/>
                <w:lang w:eastAsia="cs-CZ"/>
              </w:rPr>
              <w:t>Název</w:t>
            </w:r>
          </w:p>
        </w:tc>
        <w:tc>
          <w:tcPr>
            <w:tcW w:w="992" w:type="dxa"/>
            <w:vMerge/>
            <w:shd w:val="clear" w:color="000000" w:fill="E5F1FF"/>
            <w:vAlign w:val="center"/>
          </w:tcPr>
          <w:p w14:paraId="0BCDFD44" w14:textId="77777777" w:rsidR="007128C5" w:rsidRPr="00072976" w:rsidRDefault="007128C5" w:rsidP="00147DEA">
            <w:pPr>
              <w:keepNext/>
              <w:spacing w:after="0" w:line="240" w:lineRule="auto"/>
              <w:jc w:val="center"/>
              <w:rPr>
                <w:rFonts w:ascii="Calibri" w:eastAsia="Times New Roman" w:hAnsi="Calibri" w:cs="Calibri"/>
                <w:b/>
                <w:bCs/>
                <w:color w:val="000000"/>
                <w:sz w:val="20"/>
                <w:szCs w:val="20"/>
                <w:lang w:eastAsia="cs-CZ"/>
              </w:rPr>
            </w:pPr>
          </w:p>
        </w:tc>
        <w:tc>
          <w:tcPr>
            <w:tcW w:w="1418" w:type="dxa"/>
            <w:vMerge/>
            <w:shd w:val="clear" w:color="000000" w:fill="E5F1FF"/>
            <w:vAlign w:val="center"/>
          </w:tcPr>
          <w:p w14:paraId="7879C71B" w14:textId="77777777" w:rsidR="007128C5" w:rsidRPr="00072976" w:rsidRDefault="007128C5" w:rsidP="00226DAA">
            <w:pPr>
              <w:keepNext/>
              <w:spacing w:after="0" w:line="240" w:lineRule="auto"/>
              <w:jc w:val="center"/>
              <w:rPr>
                <w:rFonts w:ascii="Calibri" w:eastAsia="Times New Roman" w:hAnsi="Calibri" w:cs="Calibri"/>
                <w:b/>
                <w:bCs/>
                <w:color w:val="000000"/>
                <w:sz w:val="20"/>
                <w:szCs w:val="20"/>
                <w:lang w:eastAsia="cs-CZ"/>
              </w:rPr>
            </w:pPr>
          </w:p>
        </w:tc>
        <w:tc>
          <w:tcPr>
            <w:tcW w:w="1417" w:type="dxa"/>
            <w:vMerge/>
            <w:shd w:val="clear" w:color="000000" w:fill="E5F1FF"/>
            <w:vAlign w:val="center"/>
          </w:tcPr>
          <w:p w14:paraId="72D859DB" w14:textId="77777777" w:rsidR="007128C5" w:rsidRPr="00072976" w:rsidRDefault="007128C5" w:rsidP="00226DAA">
            <w:pPr>
              <w:keepNext/>
              <w:spacing w:after="0" w:line="240" w:lineRule="auto"/>
              <w:jc w:val="center"/>
              <w:rPr>
                <w:rFonts w:ascii="Calibri" w:eastAsia="Times New Roman" w:hAnsi="Calibri" w:cs="Calibri"/>
                <w:b/>
                <w:bCs/>
                <w:color w:val="000000"/>
                <w:sz w:val="20"/>
                <w:szCs w:val="20"/>
                <w:lang w:eastAsia="cs-CZ"/>
              </w:rPr>
            </w:pPr>
          </w:p>
        </w:tc>
      </w:tr>
      <w:tr w:rsidR="006C567F" w:rsidRPr="00072976" w14:paraId="7378C328" w14:textId="77777777" w:rsidTr="00147DEA">
        <w:trPr>
          <w:trHeight w:val="255"/>
        </w:trPr>
        <w:tc>
          <w:tcPr>
            <w:tcW w:w="851" w:type="dxa"/>
            <w:shd w:val="clear" w:color="auto" w:fill="auto"/>
            <w:noWrap/>
            <w:vAlign w:val="center"/>
            <w:hideMark/>
          </w:tcPr>
          <w:p w14:paraId="12A1AD06" w14:textId="77777777" w:rsidR="006C567F" w:rsidRPr="00072976" w:rsidRDefault="006C567F" w:rsidP="00226DAA">
            <w:pPr>
              <w:keepNext/>
              <w:spacing w:after="0" w:line="240" w:lineRule="auto"/>
              <w:jc w:val="center"/>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1 00 00</w:t>
            </w:r>
          </w:p>
        </w:tc>
        <w:tc>
          <w:tcPr>
            <w:tcW w:w="4394" w:type="dxa"/>
            <w:shd w:val="clear" w:color="auto" w:fill="auto"/>
            <w:vAlign w:val="center"/>
            <w:hideMark/>
          </w:tcPr>
          <w:p w14:paraId="5F777833" w14:textId="77777777" w:rsidR="006C567F" w:rsidRPr="007128C5" w:rsidRDefault="006C567F" w:rsidP="00226DAA">
            <w:pPr>
              <w:keepNext/>
              <w:spacing w:after="0" w:line="240" w:lineRule="auto"/>
              <w:rPr>
                <w:rFonts w:ascii="Calibri" w:eastAsia="Times New Roman" w:hAnsi="Calibri" w:cs="Calibri"/>
                <w:color w:val="000000"/>
                <w:sz w:val="20"/>
                <w:szCs w:val="18"/>
                <w:lang w:eastAsia="cs-CZ"/>
              </w:rPr>
            </w:pPr>
            <w:r w:rsidRPr="007128C5">
              <w:rPr>
                <w:rFonts w:ascii="Calibri" w:eastAsia="Times New Roman" w:hAnsi="Calibri" w:cs="Calibri"/>
                <w:color w:val="000000"/>
                <w:sz w:val="20"/>
                <w:szCs w:val="18"/>
                <w:lang w:eastAsia="cs-CZ"/>
              </w:rPr>
              <w:t>Počet podniků pobírajících podporu</w:t>
            </w:r>
          </w:p>
        </w:tc>
        <w:tc>
          <w:tcPr>
            <w:tcW w:w="992" w:type="dxa"/>
            <w:shd w:val="clear" w:color="auto" w:fill="auto"/>
            <w:noWrap/>
            <w:vAlign w:val="center"/>
            <w:hideMark/>
          </w:tcPr>
          <w:p w14:paraId="054B1F23" w14:textId="77777777" w:rsidR="006C567F" w:rsidRPr="007128C5" w:rsidRDefault="006C567F" w:rsidP="00147DEA">
            <w:pPr>
              <w:keepNext/>
              <w:spacing w:after="0" w:line="240" w:lineRule="auto"/>
              <w:jc w:val="center"/>
              <w:rPr>
                <w:rFonts w:ascii="Calibri" w:eastAsia="Times New Roman" w:hAnsi="Calibri" w:cs="Calibri"/>
                <w:sz w:val="20"/>
                <w:szCs w:val="18"/>
                <w:lang w:eastAsia="cs-CZ"/>
              </w:rPr>
            </w:pPr>
            <w:r w:rsidRPr="007128C5">
              <w:rPr>
                <w:rFonts w:ascii="Calibri" w:eastAsia="Times New Roman" w:hAnsi="Calibri" w:cs="Calibri"/>
                <w:sz w:val="20"/>
                <w:szCs w:val="18"/>
                <w:lang w:eastAsia="cs-CZ"/>
              </w:rPr>
              <w:t>Podnik</w:t>
            </w:r>
          </w:p>
        </w:tc>
        <w:tc>
          <w:tcPr>
            <w:tcW w:w="1418" w:type="dxa"/>
            <w:shd w:val="clear" w:color="auto" w:fill="auto"/>
            <w:noWrap/>
            <w:vAlign w:val="center"/>
            <w:hideMark/>
          </w:tcPr>
          <w:p w14:paraId="2DF636B1" w14:textId="77777777" w:rsidR="006C567F" w:rsidRPr="00072976" w:rsidRDefault="006C567F" w:rsidP="00B70290">
            <w:pPr>
              <w:keepNext/>
              <w:spacing w:after="0" w:line="240" w:lineRule="auto"/>
              <w:ind w:right="357"/>
              <w:jc w:val="right"/>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160</w:t>
            </w:r>
          </w:p>
        </w:tc>
        <w:tc>
          <w:tcPr>
            <w:tcW w:w="1417" w:type="dxa"/>
            <w:shd w:val="clear" w:color="auto" w:fill="auto"/>
            <w:noWrap/>
            <w:vAlign w:val="center"/>
            <w:hideMark/>
          </w:tcPr>
          <w:p w14:paraId="599CE7E3" w14:textId="77777777" w:rsidR="006C567F" w:rsidRPr="00072976" w:rsidRDefault="006C567F" w:rsidP="00B70290">
            <w:pPr>
              <w:keepNext/>
              <w:spacing w:after="0" w:line="240" w:lineRule="auto"/>
              <w:ind w:right="357"/>
              <w:jc w:val="right"/>
              <w:rPr>
                <w:rFonts w:ascii="Calibri" w:eastAsia="Times New Roman" w:hAnsi="Calibri" w:cs="Calibri"/>
                <w:b/>
                <w:bCs/>
                <w:sz w:val="20"/>
                <w:szCs w:val="20"/>
                <w:lang w:eastAsia="cs-CZ"/>
              </w:rPr>
            </w:pPr>
            <w:r w:rsidRPr="00072976">
              <w:rPr>
                <w:rFonts w:ascii="Calibri" w:eastAsia="Times New Roman" w:hAnsi="Calibri" w:cs="Calibri"/>
                <w:b/>
                <w:bCs/>
                <w:sz w:val="20"/>
                <w:szCs w:val="20"/>
                <w:lang w:eastAsia="cs-CZ"/>
              </w:rPr>
              <w:t>141</w:t>
            </w:r>
          </w:p>
        </w:tc>
      </w:tr>
      <w:tr w:rsidR="006C567F" w:rsidRPr="00072976" w14:paraId="6A609424" w14:textId="77777777" w:rsidTr="00147DEA">
        <w:trPr>
          <w:trHeight w:val="255"/>
        </w:trPr>
        <w:tc>
          <w:tcPr>
            <w:tcW w:w="851" w:type="dxa"/>
            <w:shd w:val="clear" w:color="auto" w:fill="auto"/>
            <w:noWrap/>
            <w:vAlign w:val="center"/>
            <w:hideMark/>
          </w:tcPr>
          <w:p w14:paraId="7AE3D19C" w14:textId="77777777" w:rsidR="006C567F" w:rsidRPr="00072976" w:rsidRDefault="006C567F" w:rsidP="00226DAA">
            <w:pPr>
              <w:keepNext/>
              <w:spacing w:after="0" w:line="240" w:lineRule="auto"/>
              <w:jc w:val="center"/>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1 01 02</w:t>
            </w:r>
          </w:p>
        </w:tc>
        <w:tc>
          <w:tcPr>
            <w:tcW w:w="4394" w:type="dxa"/>
            <w:shd w:val="clear" w:color="auto" w:fill="auto"/>
            <w:vAlign w:val="center"/>
            <w:hideMark/>
          </w:tcPr>
          <w:p w14:paraId="10ED4616" w14:textId="77777777" w:rsidR="006C567F" w:rsidRPr="007128C5" w:rsidRDefault="006C567F" w:rsidP="00226DAA">
            <w:pPr>
              <w:keepNext/>
              <w:spacing w:after="0" w:line="240" w:lineRule="auto"/>
              <w:rPr>
                <w:rFonts w:ascii="Calibri" w:eastAsia="Times New Roman" w:hAnsi="Calibri" w:cs="Calibri"/>
                <w:color w:val="000000"/>
                <w:sz w:val="20"/>
                <w:szCs w:val="18"/>
                <w:lang w:eastAsia="cs-CZ"/>
              </w:rPr>
            </w:pPr>
            <w:r w:rsidRPr="007128C5">
              <w:rPr>
                <w:rFonts w:ascii="Calibri" w:eastAsia="Times New Roman" w:hAnsi="Calibri" w:cs="Calibri"/>
                <w:color w:val="000000"/>
                <w:sz w:val="20"/>
                <w:szCs w:val="18"/>
                <w:lang w:eastAsia="cs-CZ"/>
              </w:rPr>
              <w:t>Počet podniků pobírajících granty</w:t>
            </w:r>
          </w:p>
        </w:tc>
        <w:tc>
          <w:tcPr>
            <w:tcW w:w="992" w:type="dxa"/>
            <w:shd w:val="clear" w:color="auto" w:fill="auto"/>
            <w:noWrap/>
            <w:vAlign w:val="center"/>
            <w:hideMark/>
          </w:tcPr>
          <w:p w14:paraId="79A66992" w14:textId="77777777" w:rsidR="006C567F" w:rsidRPr="007128C5" w:rsidRDefault="006C567F" w:rsidP="00147DEA">
            <w:pPr>
              <w:keepNext/>
              <w:spacing w:after="0" w:line="240" w:lineRule="auto"/>
              <w:jc w:val="center"/>
              <w:rPr>
                <w:rFonts w:ascii="Calibri" w:eastAsia="Times New Roman" w:hAnsi="Calibri" w:cs="Calibri"/>
                <w:sz w:val="20"/>
                <w:szCs w:val="18"/>
                <w:lang w:eastAsia="cs-CZ"/>
              </w:rPr>
            </w:pPr>
            <w:r w:rsidRPr="007128C5">
              <w:rPr>
                <w:rFonts w:ascii="Calibri" w:eastAsia="Times New Roman" w:hAnsi="Calibri" w:cs="Calibri"/>
                <w:sz w:val="20"/>
                <w:szCs w:val="18"/>
                <w:lang w:eastAsia="cs-CZ"/>
              </w:rPr>
              <w:t>Podnik</w:t>
            </w:r>
          </w:p>
        </w:tc>
        <w:tc>
          <w:tcPr>
            <w:tcW w:w="1418" w:type="dxa"/>
            <w:shd w:val="clear" w:color="auto" w:fill="auto"/>
            <w:noWrap/>
            <w:vAlign w:val="center"/>
            <w:hideMark/>
          </w:tcPr>
          <w:p w14:paraId="002CECFF" w14:textId="77777777" w:rsidR="006C567F" w:rsidRPr="00072976" w:rsidRDefault="006C567F" w:rsidP="00B70290">
            <w:pPr>
              <w:keepNext/>
              <w:spacing w:after="0" w:line="240" w:lineRule="auto"/>
              <w:ind w:right="357"/>
              <w:jc w:val="right"/>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160</w:t>
            </w:r>
          </w:p>
        </w:tc>
        <w:tc>
          <w:tcPr>
            <w:tcW w:w="1417" w:type="dxa"/>
            <w:shd w:val="clear" w:color="auto" w:fill="auto"/>
            <w:noWrap/>
            <w:vAlign w:val="center"/>
            <w:hideMark/>
          </w:tcPr>
          <w:p w14:paraId="568C95ED" w14:textId="77777777" w:rsidR="006C567F" w:rsidRPr="00072976" w:rsidRDefault="006C567F" w:rsidP="00B70290">
            <w:pPr>
              <w:keepNext/>
              <w:spacing w:after="0" w:line="240" w:lineRule="auto"/>
              <w:ind w:right="357"/>
              <w:jc w:val="right"/>
              <w:rPr>
                <w:rFonts w:ascii="Calibri" w:eastAsia="Times New Roman" w:hAnsi="Calibri" w:cs="Calibri"/>
                <w:b/>
                <w:bCs/>
                <w:sz w:val="20"/>
                <w:szCs w:val="20"/>
                <w:lang w:eastAsia="cs-CZ"/>
              </w:rPr>
            </w:pPr>
            <w:r w:rsidRPr="00072976">
              <w:rPr>
                <w:rFonts w:ascii="Calibri" w:eastAsia="Times New Roman" w:hAnsi="Calibri" w:cs="Calibri"/>
                <w:b/>
                <w:bCs/>
                <w:sz w:val="20"/>
                <w:szCs w:val="20"/>
                <w:lang w:eastAsia="cs-CZ"/>
              </w:rPr>
              <w:t>141</w:t>
            </w:r>
          </w:p>
        </w:tc>
      </w:tr>
      <w:tr w:rsidR="006C567F" w:rsidRPr="00072976" w14:paraId="05B50783" w14:textId="77777777" w:rsidTr="00147DEA">
        <w:trPr>
          <w:trHeight w:val="255"/>
        </w:trPr>
        <w:tc>
          <w:tcPr>
            <w:tcW w:w="851" w:type="dxa"/>
            <w:shd w:val="clear" w:color="auto" w:fill="auto"/>
            <w:noWrap/>
            <w:vAlign w:val="center"/>
            <w:hideMark/>
          </w:tcPr>
          <w:p w14:paraId="162018A6" w14:textId="77777777" w:rsidR="006C567F" w:rsidRPr="00072976" w:rsidRDefault="006C567F" w:rsidP="00226DAA">
            <w:pPr>
              <w:keepNext/>
              <w:spacing w:after="0" w:line="240" w:lineRule="auto"/>
              <w:jc w:val="center"/>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1 03 00</w:t>
            </w:r>
          </w:p>
        </w:tc>
        <w:tc>
          <w:tcPr>
            <w:tcW w:w="4394" w:type="dxa"/>
            <w:shd w:val="clear" w:color="auto" w:fill="auto"/>
            <w:vAlign w:val="center"/>
            <w:hideMark/>
          </w:tcPr>
          <w:p w14:paraId="685E5D89" w14:textId="77777777" w:rsidR="006C567F" w:rsidRPr="007128C5" w:rsidRDefault="006C567F" w:rsidP="00226DAA">
            <w:pPr>
              <w:keepNext/>
              <w:spacing w:after="0" w:line="240" w:lineRule="auto"/>
              <w:rPr>
                <w:rFonts w:ascii="Calibri" w:eastAsia="Times New Roman" w:hAnsi="Calibri" w:cs="Calibri"/>
                <w:color w:val="000000"/>
                <w:sz w:val="20"/>
                <w:szCs w:val="18"/>
                <w:lang w:eastAsia="cs-CZ"/>
              </w:rPr>
            </w:pPr>
            <w:r w:rsidRPr="007128C5">
              <w:rPr>
                <w:rFonts w:ascii="Calibri" w:eastAsia="Times New Roman" w:hAnsi="Calibri" w:cs="Calibri"/>
                <w:color w:val="000000"/>
                <w:sz w:val="20"/>
                <w:szCs w:val="18"/>
                <w:lang w:eastAsia="cs-CZ"/>
              </w:rPr>
              <w:t>Soukromé investice odpovídající veřejné podpoře podniků (granty)</w:t>
            </w:r>
          </w:p>
        </w:tc>
        <w:tc>
          <w:tcPr>
            <w:tcW w:w="992" w:type="dxa"/>
            <w:shd w:val="clear" w:color="auto" w:fill="auto"/>
            <w:noWrap/>
            <w:vAlign w:val="center"/>
            <w:hideMark/>
          </w:tcPr>
          <w:p w14:paraId="07374AAF" w14:textId="77777777" w:rsidR="006C567F" w:rsidRPr="007128C5" w:rsidRDefault="009E1EBA" w:rsidP="00147DEA">
            <w:pPr>
              <w:keepNext/>
              <w:spacing w:after="0" w:line="240" w:lineRule="auto"/>
              <w:jc w:val="center"/>
              <w:rPr>
                <w:rFonts w:ascii="Calibri" w:eastAsia="Times New Roman" w:hAnsi="Calibri" w:cs="Calibri"/>
                <w:sz w:val="20"/>
                <w:szCs w:val="18"/>
                <w:lang w:eastAsia="cs-CZ"/>
              </w:rPr>
            </w:pPr>
            <w:r w:rsidRPr="007128C5">
              <w:rPr>
                <w:rFonts w:ascii="Calibri" w:eastAsia="Times New Roman" w:hAnsi="Calibri" w:cs="Calibri"/>
                <w:sz w:val="20"/>
                <w:szCs w:val="18"/>
                <w:lang w:eastAsia="cs-CZ"/>
              </w:rPr>
              <w:t>EUR</w:t>
            </w:r>
          </w:p>
        </w:tc>
        <w:tc>
          <w:tcPr>
            <w:tcW w:w="1418" w:type="dxa"/>
            <w:shd w:val="clear" w:color="auto" w:fill="auto"/>
            <w:noWrap/>
            <w:vAlign w:val="center"/>
            <w:hideMark/>
          </w:tcPr>
          <w:p w14:paraId="6F38BCFD" w14:textId="77777777" w:rsidR="006C567F" w:rsidRPr="00072976" w:rsidRDefault="006C567F" w:rsidP="00226DAA">
            <w:pPr>
              <w:keepNext/>
              <w:spacing w:after="0" w:line="240" w:lineRule="auto"/>
              <w:ind w:right="66"/>
              <w:jc w:val="right"/>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11 000 000</w:t>
            </w:r>
            <w:r w:rsidR="00C4789A">
              <w:rPr>
                <w:rFonts w:ascii="Calibri" w:eastAsia="Times New Roman" w:hAnsi="Calibri" w:cs="Calibri"/>
                <w:sz w:val="20"/>
                <w:szCs w:val="20"/>
                <w:lang w:eastAsia="cs-CZ"/>
              </w:rPr>
              <w:t>,00</w:t>
            </w:r>
          </w:p>
        </w:tc>
        <w:tc>
          <w:tcPr>
            <w:tcW w:w="1417" w:type="dxa"/>
            <w:shd w:val="clear" w:color="auto" w:fill="auto"/>
            <w:noWrap/>
            <w:vAlign w:val="center"/>
            <w:hideMark/>
          </w:tcPr>
          <w:p w14:paraId="6EB7368F" w14:textId="77777777" w:rsidR="006C567F" w:rsidRPr="00072976" w:rsidRDefault="006C567F" w:rsidP="00226DAA">
            <w:pPr>
              <w:keepNext/>
              <w:spacing w:after="0" w:line="240" w:lineRule="auto"/>
              <w:ind w:right="66"/>
              <w:jc w:val="right"/>
              <w:rPr>
                <w:rFonts w:ascii="Calibri" w:eastAsia="Times New Roman" w:hAnsi="Calibri" w:cs="Calibri"/>
                <w:b/>
                <w:bCs/>
                <w:sz w:val="20"/>
                <w:szCs w:val="20"/>
                <w:lang w:eastAsia="cs-CZ"/>
              </w:rPr>
            </w:pPr>
            <w:r w:rsidRPr="00072976">
              <w:rPr>
                <w:rFonts w:ascii="Calibri" w:eastAsia="Times New Roman" w:hAnsi="Calibri" w:cs="Calibri"/>
                <w:b/>
                <w:bCs/>
                <w:sz w:val="20"/>
                <w:szCs w:val="20"/>
                <w:lang w:eastAsia="cs-CZ"/>
              </w:rPr>
              <w:t>21 335 423,00</w:t>
            </w:r>
          </w:p>
        </w:tc>
      </w:tr>
      <w:tr w:rsidR="006C567F" w:rsidRPr="00072976" w14:paraId="3203A163" w14:textId="77777777" w:rsidTr="00147DEA">
        <w:trPr>
          <w:trHeight w:val="255"/>
        </w:trPr>
        <w:tc>
          <w:tcPr>
            <w:tcW w:w="851" w:type="dxa"/>
            <w:shd w:val="clear" w:color="auto" w:fill="auto"/>
            <w:noWrap/>
            <w:vAlign w:val="center"/>
            <w:hideMark/>
          </w:tcPr>
          <w:p w14:paraId="0CEDCDF0" w14:textId="77777777" w:rsidR="006C567F" w:rsidRPr="00072976" w:rsidRDefault="006C567F" w:rsidP="00226DAA">
            <w:pPr>
              <w:keepNext/>
              <w:spacing w:after="0" w:line="240" w:lineRule="auto"/>
              <w:jc w:val="center"/>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1 01 05</w:t>
            </w:r>
          </w:p>
        </w:tc>
        <w:tc>
          <w:tcPr>
            <w:tcW w:w="4394" w:type="dxa"/>
            <w:shd w:val="clear" w:color="auto" w:fill="auto"/>
            <w:vAlign w:val="center"/>
            <w:hideMark/>
          </w:tcPr>
          <w:p w14:paraId="1A021D26" w14:textId="77777777" w:rsidR="006C567F" w:rsidRPr="007128C5" w:rsidRDefault="006C567F" w:rsidP="00226DAA">
            <w:pPr>
              <w:keepNext/>
              <w:spacing w:after="0" w:line="240" w:lineRule="auto"/>
              <w:rPr>
                <w:rFonts w:ascii="Calibri" w:eastAsia="Times New Roman" w:hAnsi="Calibri" w:cs="Calibri"/>
                <w:color w:val="000000"/>
                <w:sz w:val="20"/>
                <w:szCs w:val="18"/>
                <w:lang w:eastAsia="cs-CZ"/>
              </w:rPr>
            </w:pPr>
            <w:r w:rsidRPr="007128C5">
              <w:rPr>
                <w:rFonts w:ascii="Calibri" w:eastAsia="Times New Roman" w:hAnsi="Calibri" w:cs="Calibri"/>
                <w:color w:val="000000"/>
                <w:sz w:val="20"/>
                <w:szCs w:val="18"/>
                <w:lang w:eastAsia="cs-CZ"/>
              </w:rPr>
              <w:t>Počet nových podniků, které dostávají podporu</w:t>
            </w:r>
          </w:p>
        </w:tc>
        <w:tc>
          <w:tcPr>
            <w:tcW w:w="992" w:type="dxa"/>
            <w:shd w:val="clear" w:color="auto" w:fill="auto"/>
            <w:noWrap/>
            <w:vAlign w:val="center"/>
            <w:hideMark/>
          </w:tcPr>
          <w:p w14:paraId="5E24EDAE" w14:textId="77777777" w:rsidR="006C567F" w:rsidRPr="007128C5" w:rsidRDefault="006C567F" w:rsidP="00147DEA">
            <w:pPr>
              <w:keepNext/>
              <w:spacing w:after="0" w:line="240" w:lineRule="auto"/>
              <w:jc w:val="center"/>
              <w:rPr>
                <w:rFonts w:ascii="Calibri" w:eastAsia="Times New Roman" w:hAnsi="Calibri" w:cs="Calibri"/>
                <w:sz w:val="20"/>
                <w:szCs w:val="18"/>
                <w:lang w:eastAsia="cs-CZ"/>
              </w:rPr>
            </w:pPr>
            <w:r w:rsidRPr="007128C5">
              <w:rPr>
                <w:rFonts w:ascii="Calibri" w:eastAsia="Times New Roman" w:hAnsi="Calibri" w:cs="Calibri"/>
                <w:sz w:val="20"/>
                <w:szCs w:val="18"/>
                <w:lang w:eastAsia="cs-CZ"/>
              </w:rPr>
              <w:t>Podnik</w:t>
            </w:r>
          </w:p>
        </w:tc>
        <w:tc>
          <w:tcPr>
            <w:tcW w:w="1418" w:type="dxa"/>
            <w:shd w:val="clear" w:color="auto" w:fill="auto"/>
            <w:noWrap/>
            <w:vAlign w:val="center"/>
            <w:hideMark/>
          </w:tcPr>
          <w:p w14:paraId="49BF12DD" w14:textId="77777777" w:rsidR="006C567F" w:rsidRPr="00072976" w:rsidRDefault="006C567F" w:rsidP="00B70290">
            <w:pPr>
              <w:keepNext/>
              <w:spacing w:after="0" w:line="240" w:lineRule="auto"/>
              <w:ind w:right="357"/>
              <w:jc w:val="right"/>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80</w:t>
            </w:r>
          </w:p>
        </w:tc>
        <w:tc>
          <w:tcPr>
            <w:tcW w:w="1417" w:type="dxa"/>
            <w:shd w:val="clear" w:color="auto" w:fill="auto"/>
            <w:noWrap/>
            <w:vAlign w:val="center"/>
            <w:hideMark/>
          </w:tcPr>
          <w:p w14:paraId="42437C48" w14:textId="77777777" w:rsidR="006C567F" w:rsidRPr="00072976" w:rsidRDefault="006C567F" w:rsidP="00B70290">
            <w:pPr>
              <w:keepNext/>
              <w:spacing w:after="0" w:line="240" w:lineRule="auto"/>
              <w:ind w:right="357"/>
              <w:jc w:val="right"/>
              <w:rPr>
                <w:rFonts w:ascii="Calibri" w:eastAsia="Times New Roman" w:hAnsi="Calibri" w:cs="Calibri"/>
                <w:b/>
                <w:bCs/>
                <w:sz w:val="20"/>
                <w:szCs w:val="20"/>
                <w:lang w:eastAsia="cs-CZ"/>
              </w:rPr>
            </w:pPr>
            <w:r w:rsidRPr="00072976">
              <w:rPr>
                <w:rFonts w:ascii="Calibri" w:eastAsia="Times New Roman" w:hAnsi="Calibri" w:cs="Calibri"/>
                <w:b/>
                <w:bCs/>
                <w:sz w:val="20"/>
                <w:szCs w:val="20"/>
                <w:lang w:eastAsia="cs-CZ"/>
              </w:rPr>
              <w:t>74</w:t>
            </w:r>
          </w:p>
        </w:tc>
      </w:tr>
      <w:tr w:rsidR="006C567F" w:rsidRPr="00072976" w14:paraId="6FDB0A07" w14:textId="77777777" w:rsidTr="00147DEA">
        <w:trPr>
          <w:trHeight w:val="255"/>
        </w:trPr>
        <w:tc>
          <w:tcPr>
            <w:tcW w:w="851" w:type="dxa"/>
            <w:shd w:val="clear" w:color="auto" w:fill="auto"/>
            <w:noWrap/>
            <w:vAlign w:val="center"/>
            <w:hideMark/>
          </w:tcPr>
          <w:p w14:paraId="50531487" w14:textId="77777777" w:rsidR="006C567F" w:rsidRPr="00072976" w:rsidRDefault="006C567F" w:rsidP="00226DAA">
            <w:pPr>
              <w:keepNext/>
              <w:spacing w:after="0" w:line="240" w:lineRule="auto"/>
              <w:jc w:val="center"/>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1 04 00</w:t>
            </w:r>
          </w:p>
        </w:tc>
        <w:tc>
          <w:tcPr>
            <w:tcW w:w="4394" w:type="dxa"/>
            <w:shd w:val="clear" w:color="auto" w:fill="auto"/>
            <w:vAlign w:val="center"/>
            <w:hideMark/>
          </w:tcPr>
          <w:p w14:paraId="1E475669" w14:textId="77777777" w:rsidR="006C567F" w:rsidRPr="007128C5" w:rsidRDefault="006C567F" w:rsidP="00226DAA">
            <w:pPr>
              <w:keepNext/>
              <w:spacing w:after="0" w:line="240" w:lineRule="auto"/>
              <w:rPr>
                <w:rFonts w:ascii="Calibri" w:eastAsia="Times New Roman" w:hAnsi="Calibri" w:cs="Calibri"/>
                <w:color w:val="000000"/>
                <w:sz w:val="20"/>
                <w:szCs w:val="18"/>
                <w:lang w:eastAsia="cs-CZ"/>
              </w:rPr>
            </w:pPr>
            <w:r w:rsidRPr="007128C5">
              <w:rPr>
                <w:rFonts w:ascii="Calibri" w:eastAsia="Times New Roman" w:hAnsi="Calibri" w:cs="Calibri"/>
                <w:color w:val="000000"/>
                <w:sz w:val="20"/>
                <w:szCs w:val="18"/>
                <w:lang w:eastAsia="cs-CZ"/>
              </w:rPr>
              <w:t>Zvýšení zaměstnanosti v podporovaných podnicích</w:t>
            </w:r>
          </w:p>
        </w:tc>
        <w:tc>
          <w:tcPr>
            <w:tcW w:w="992" w:type="dxa"/>
            <w:shd w:val="clear" w:color="auto" w:fill="auto"/>
            <w:noWrap/>
            <w:vAlign w:val="center"/>
            <w:hideMark/>
          </w:tcPr>
          <w:p w14:paraId="31CACC0B" w14:textId="77777777" w:rsidR="006C567F" w:rsidRPr="007128C5" w:rsidRDefault="006C567F" w:rsidP="00147DEA">
            <w:pPr>
              <w:keepNext/>
              <w:spacing w:after="0" w:line="240" w:lineRule="auto"/>
              <w:jc w:val="center"/>
              <w:rPr>
                <w:rFonts w:ascii="Calibri" w:eastAsia="Times New Roman" w:hAnsi="Calibri" w:cs="Calibri"/>
                <w:sz w:val="20"/>
                <w:szCs w:val="18"/>
                <w:lang w:eastAsia="cs-CZ"/>
              </w:rPr>
            </w:pPr>
            <w:r w:rsidRPr="007128C5">
              <w:rPr>
                <w:rFonts w:ascii="Calibri" w:eastAsia="Times New Roman" w:hAnsi="Calibri" w:cs="Calibri"/>
                <w:sz w:val="20"/>
                <w:szCs w:val="18"/>
                <w:lang w:eastAsia="cs-CZ"/>
              </w:rPr>
              <w:t>FTE</w:t>
            </w:r>
          </w:p>
        </w:tc>
        <w:tc>
          <w:tcPr>
            <w:tcW w:w="1418" w:type="dxa"/>
            <w:shd w:val="clear" w:color="auto" w:fill="auto"/>
            <w:vAlign w:val="center"/>
            <w:hideMark/>
          </w:tcPr>
          <w:p w14:paraId="4C0289ED" w14:textId="77777777" w:rsidR="006C567F" w:rsidRPr="00072976" w:rsidRDefault="006C567F" w:rsidP="00226DAA">
            <w:pPr>
              <w:keepNext/>
              <w:spacing w:after="0" w:line="240" w:lineRule="auto"/>
              <w:ind w:right="66"/>
              <w:jc w:val="right"/>
              <w:rPr>
                <w:rFonts w:ascii="Calibri" w:eastAsia="Times New Roman" w:hAnsi="Calibri" w:cs="Calibri"/>
                <w:color w:val="000000"/>
                <w:sz w:val="20"/>
                <w:szCs w:val="20"/>
                <w:lang w:eastAsia="cs-CZ"/>
              </w:rPr>
            </w:pPr>
            <w:r w:rsidRPr="00072976">
              <w:rPr>
                <w:rFonts w:ascii="Calibri" w:eastAsia="Times New Roman" w:hAnsi="Calibri" w:cs="Calibri"/>
                <w:color w:val="000000"/>
                <w:sz w:val="20"/>
                <w:szCs w:val="20"/>
                <w:lang w:eastAsia="cs-CZ"/>
              </w:rPr>
              <w:t>441</w:t>
            </w:r>
            <w:r>
              <w:rPr>
                <w:rFonts w:ascii="Calibri" w:eastAsia="Times New Roman" w:hAnsi="Calibri" w:cs="Calibri"/>
                <w:color w:val="000000"/>
                <w:sz w:val="20"/>
                <w:szCs w:val="20"/>
                <w:lang w:eastAsia="cs-CZ"/>
              </w:rPr>
              <w:t>,00</w:t>
            </w:r>
          </w:p>
        </w:tc>
        <w:tc>
          <w:tcPr>
            <w:tcW w:w="1417" w:type="dxa"/>
            <w:shd w:val="clear" w:color="auto" w:fill="auto"/>
            <w:noWrap/>
            <w:vAlign w:val="center"/>
            <w:hideMark/>
          </w:tcPr>
          <w:p w14:paraId="18723153" w14:textId="77777777" w:rsidR="006C567F" w:rsidRPr="00072976" w:rsidRDefault="006C567F" w:rsidP="00226DAA">
            <w:pPr>
              <w:keepNext/>
              <w:spacing w:after="0" w:line="240" w:lineRule="auto"/>
              <w:ind w:right="66"/>
              <w:jc w:val="right"/>
              <w:rPr>
                <w:rFonts w:ascii="Calibri" w:eastAsia="Times New Roman" w:hAnsi="Calibri" w:cs="Calibri"/>
                <w:b/>
                <w:bCs/>
                <w:sz w:val="20"/>
                <w:szCs w:val="20"/>
                <w:lang w:eastAsia="cs-CZ"/>
              </w:rPr>
            </w:pPr>
            <w:r w:rsidRPr="00072976">
              <w:rPr>
                <w:rFonts w:ascii="Calibri" w:eastAsia="Times New Roman" w:hAnsi="Calibri" w:cs="Calibri"/>
                <w:b/>
                <w:bCs/>
                <w:sz w:val="20"/>
                <w:szCs w:val="20"/>
                <w:lang w:eastAsia="cs-CZ"/>
              </w:rPr>
              <w:t>372,05</w:t>
            </w:r>
          </w:p>
        </w:tc>
      </w:tr>
      <w:tr w:rsidR="006C567F" w:rsidRPr="00072976" w14:paraId="502F6FE9" w14:textId="77777777" w:rsidTr="00147DEA">
        <w:trPr>
          <w:trHeight w:val="255"/>
        </w:trPr>
        <w:tc>
          <w:tcPr>
            <w:tcW w:w="851" w:type="dxa"/>
            <w:shd w:val="clear" w:color="auto" w:fill="auto"/>
            <w:noWrap/>
            <w:vAlign w:val="center"/>
            <w:hideMark/>
          </w:tcPr>
          <w:p w14:paraId="411C9652" w14:textId="77777777" w:rsidR="006C567F" w:rsidRPr="00072976" w:rsidRDefault="006C567F" w:rsidP="00226DAA">
            <w:pPr>
              <w:keepNext/>
              <w:spacing w:after="0" w:line="240" w:lineRule="auto"/>
              <w:jc w:val="center"/>
              <w:rPr>
                <w:rFonts w:ascii="Calibri" w:eastAsia="Times New Roman" w:hAnsi="Calibri" w:cs="Calibri"/>
                <w:sz w:val="20"/>
                <w:szCs w:val="20"/>
                <w:lang w:eastAsia="cs-CZ"/>
              </w:rPr>
            </w:pPr>
            <w:r w:rsidRPr="00072976">
              <w:rPr>
                <w:rFonts w:ascii="Calibri" w:eastAsia="Times New Roman" w:hAnsi="Calibri" w:cs="Calibri"/>
                <w:sz w:val="20"/>
                <w:szCs w:val="20"/>
                <w:lang w:eastAsia="cs-CZ"/>
              </w:rPr>
              <w:t>1 04 03</w:t>
            </w:r>
          </w:p>
        </w:tc>
        <w:tc>
          <w:tcPr>
            <w:tcW w:w="4394" w:type="dxa"/>
            <w:shd w:val="clear" w:color="auto" w:fill="auto"/>
            <w:vAlign w:val="center"/>
            <w:hideMark/>
          </w:tcPr>
          <w:p w14:paraId="00BF914C" w14:textId="77777777" w:rsidR="006C567F" w:rsidRPr="007128C5" w:rsidRDefault="006C567F" w:rsidP="00226DAA">
            <w:pPr>
              <w:keepNext/>
              <w:spacing w:after="0" w:line="240" w:lineRule="auto"/>
              <w:rPr>
                <w:rFonts w:ascii="Calibri" w:eastAsia="Times New Roman" w:hAnsi="Calibri" w:cs="Calibri"/>
                <w:color w:val="000000"/>
                <w:sz w:val="20"/>
                <w:szCs w:val="18"/>
                <w:lang w:eastAsia="cs-CZ"/>
              </w:rPr>
            </w:pPr>
            <w:r w:rsidRPr="007128C5">
              <w:rPr>
                <w:rFonts w:ascii="Calibri" w:eastAsia="Times New Roman" w:hAnsi="Calibri" w:cs="Calibri"/>
                <w:color w:val="000000"/>
                <w:sz w:val="20"/>
                <w:szCs w:val="18"/>
                <w:lang w:eastAsia="cs-CZ"/>
              </w:rPr>
              <w:t>Zvýšení zaměstnanosti v podporovaných podnicích se zaměřením na znevýhodněné skupiny</w:t>
            </w:r>
          </w:p>
        </w:tc>
        <w:tc>
          <w:tcPr>
            <w:tcW w:w="992" w:type="dxa"/>
            <w:shd w:val="clear" w:color="auto" w:fill="auto"/>
            <w:noWrap/>
            <w:vAlign w:val="center"/>
            <w:hideMark/>
          </w:tcPr>
          <w:p w14:paraId="5035CB5A" w14:textId="77777777" w:rsidR="006C567F" w:rsidRPr="007128C5" w:rsidRDefault="006C567F" w:rsidP="00147DEA">
            <w:pPr>
              <w:keepNext/>
              <w:spacing w:after="0" w:line="240" w:lineRule="auto"/>
              <w:jc w:val="center"/>
              <w:rPr>
                <w:rFonts w:ascii="Calibri" w:eastAsia="Times New Roman" w:hAnsi="Calibri" w:cs="Calibri"/>
                <w:sz w:val="20"/>
                <w:szCs w:val="18"/>
                <w:lang w:eastAsia="cs-CZ"/>
              </w:rPr>
            </w:pPr>
            <w:r w:rsidRPr="007128C5">
              <w:rPr>
                <w:rFonts w:ascii="Calibri" w:eastAsia="Times New Roman" w:hAnsi="Calibri" w:cs="Calibri"/>
                <w:sz w:val="20"/>
                <w:szCs w:val="18"/>
                <w:lang w:eastAsia="cs-CZ"/>
              </w:rPr>
              <w:t>FTE</w:t>
            </w:r>
          </w:p>
        </w:tc>
        <w:tc>
          <w:tcPr>
            <w:tcW w:w="1418" w:type="dxa"/>
            <w:shd w:val="clear" w:color="auto" w:fill="auto"/>
            <w:vAlign w:val="center"/>
            <w:hideMark/>
          </w:tcPr>
          <w:p w14:paraId="3AC7251F" w14:textId="77777777" w:rsidR="006C567F" w:rsidRPr="00072976" w:rsidRDefault="006C567F" w:rsidP="00226DAA">
            <w:pPr>
              <w:keepNext/>
              <w:spacing w:after="0" w:line="240" w:lineRule="auto"/>
              <w:ind w:right="66"/>
              <w:jc w:val="right"/>
              <w:rPr>
                <w:rFonts w:ascii="Calibri" w:eastAsia="Times New Roman" w:hAnsi="Calibri" w:cs="Calibri"/>
                <w:color w:val="000000"/>
                <w:sz w:val="20"/>
                <w:szCs w:val="20"/>
                <w:lang w:eastAsia="cs-CZ"/>
              </w:rPr>
            </w:pPr>
            <w:r w:rsidRPr="00072976">
              <w:rPr>
                <w:rFonts w:ascii="Calibri" w:eastAsia="Times New Roman" w:hAnsi="Calibri" w:cs="Calibri"/>
                <w:color w:val="000000"/>
                <w:sz w:val="20"/>
                <w:szCs w:val="20"/>
                <w:lang w:eastAsia="cs-CZ"/>
              </w:rPr>
              <w:t>596</w:t>
            </w:r>
            <w:r>
              <w:rPr>
                <w:rFonts w:ascii="Calibri" w:eastAsia="Times New Roman" w:hAnsi="Calibri" w:cs="Calibri"/>
                <w:color w:val="000000"/>
                <w:sz w:val="20"/>
                <w:szCs w:val="20"/>
                <w:lang w:eastAsia="cs-CZ"/>
              </w:rPr>
              <w:t>,00</w:t>
            </w:r>
          </w:p>
        </w:tc>
        <w:tc>
          <w:tcPr>
            <w:tcW w:w="1417" w:type="dxa"/>
            <w:shd w:val="clear" w:color="auto" w:fill="auto"/>
            <w:noWrap/>
            <w:vAlign w:val="center"/>
            <w:hideMark/>
          </w:tcPr>
          <w:p w14:paraId="04E7EB02" w14:textId="77777777" w:rsidR="006C567F" w:rsidRPr="00072976" w:rsidRDefault="006C567F" w:rsidP="00226DAA">
            <w:pPr>
              <w:keepNext/>
              <w:spacing w:after="0" w:line="240" w:lineRule="auto"/>
              <w:ind w:right="66"/>
              <w:jc w:val="right"/>
              <w:rPr>
                <w:rFonts w:ascii="Calibri" w:eastAsia="Times New Roman" w:hAnsi="Calibri" w:cs="Calibri"/>
                <w:b/>
                <w:bCs/>
                <w:sz w:val="20"/>
                <w:szCs w:val="20"/>
                <w:lang w:eastAsia="cs-CZ"/>
              </w:rPr>
            </w:pPr>
            <w:r w:rsidRPr="00072976">
              <w:rPr>
                <w:rFonts w:ascii="Calibri" w:eastAsia="Times New Roman" w:hAnsi="Calibri" w:cs="Calibri"/>
                <w:b/>
                <w:bCs/>
                <w:sz w:val="20"/>
                <w:szCs w:val="20"/>
                <w:lang w:eastAsia="cs-CZ"/>
              </w:rPr>
              <w:t>285,23</w:t>
            </w:r>
          </w:p>
        </w:tc>
      </w:tr>
    </w:tbl>
    <w:p w14:paraId="46E522B9" w14:textId="77777777" w:rsidR="00BA298E" w:rsidRDefault="006C567F" w:rsidP="000D12E4">
      <w:pPr>
        <w:pStyle w:val="KP-normlntext"/>
        <w:keepNext/>
        <w:spacing w:after="0"/>
        <w:rPr>
          <w:sz w:val="20"/>
          <w:szCs w:val="20"/>
        </w:rPr>
      </w:pPr>
      <w:r w:rsidRPr="00A9229D">
        <w:rPr>
          <w:b/>
          <w:sz w:val="20"/>
          <w:szCs w:val="20"/>
        </w:rPr>
        <w:t>Zdroj</w:t>
      </w:r>
      <w:r w:rsidRPr="003C61C3">
        <w:rPr>
          <w:b/>
          <w:sz w:val="20"/>
        </w:rPr>
        <w:t>:</w:t>
      </w:r>
      <w:r w:rsidRPr="006C567F">
        <w:t xml:space="preserve"> </w:t>
      </w:r>
      <w:r w:rsidR="001A54A9" w:rsidRPr="001A54A9">
        <w:rPr>
          <w:sz w:val="20"/>
          <w:szCs w:val="20"/>
        </w:rPr>
        <w:t>PD IROP,</w:t>
      </w:r>
      <w:r w:rsidR="001A54A9">
        <w:t xml:space="preserve"> </w:t>
      </w:r>
      <w:r w:rsidR="001D7048" w:rsidRPr="001D7048">
        <w:rPr>
          <w:sz w:val="20"/>
          <w:szCs w:val="20"/>
        </w:rPr>
        <w:t>MMR,</w:t>
      </w:r>
      <w:r w:rsidR="001D7048">
        <w:t xml:space="preserve"> </w:t>
      </w:r>
      <w:r w:rsidRPr="00A9229D">
        <w:rPr>
          <w:sz w:val="20"/>
          <w:szCs w:val="20"/>
        </w:rPr>
        <w:t>MS014+, stav k</w:t>
      </w:r>
      <w:r w:rsidR="001A54A9">
        <w:rPr>
          <w:sz w:val="20"/>
          <w:szCs w:val="20"/>
        </w:rPr>
        <w:t> 02/</w:t>
      </w:r>
      <w:r w:rsidRPr="00A9229D">
        <w:rPr>
          <w:sz w:val="20"/>
          <w:szCs w:val="20"/>
        </w:rPr>
        <w:t>2022.</w:t>
      </w:r>
    </w:p>
    <w:p w14:paraId="5F71EE51" w14:textId="77777777" w:rsidR="00885C3C" w:rsidRDefault="00885C3C" w:rsidP="000D12E4">
      <w:pPr>
        <w:pStyle w:val="KP-normlntext"/>
        <w:spacing w:after="0"/>
      </w:pPr>
      <w:r w:rsidRPr="00C332BB">
        <w:rPr>
          <w:b/>
          <w:sz w:val="20"/>
          <w:szCs w:val="20"/>
        </w:rPr>
        <w:t>Pozn</w:t>
      </w:r>
      <w:r>
        <w:rPr>
          <w:b/>
          <w:sz w:val="20"/>
          <w:szCs w:val="20"/>
        </w:rPr>
        <w:t>.</w:t>
      </w:r>
      <w:r w:rsidRPr="00C332BB">
        <w:rPr>
          <w:b/>
          <w:sz w:val="20"/>
          <w:szCs w:val="20"/>
        </w:rPr>
        <w:t xml:space="preserve">: </w:t>
      </w:r>
      <w:r w:rsidRPr="00C332BB">
        <w:rPr>
          <w:sz w:val="20"/>
          <w:szCs w:val="20"/>
        </w:rPr>
        <w:t>Na úrovni příjemce jsou sledovány indikátory 1 01 05, 1 04 00, 1 04 03</w:t>
      </w:r>
      <w:r>
        <w:rPr>
          <w:sz w:val="20"/>
          <w:szCs w:val="20"/>
        </w:rPr>
        <w:t>.</w:t>
      </w:r>
    </w:p>
    <w:p w14:paraId="30D094D5" w14:textId="77777777" w:rsidR="00593F87" w:rsidRDefault="00342684" w:rsidP="00613C80">
      <w:pPr>
        <w:pStyle w:val="JK4"/>
        <w:keepNext w:val="0"/>
        <w:tabs>
          <w:tab w:val="left" w:pos="426"/>
        </w:tabs>
      </w:pPr>
      <w:r>
        <w:t xml:space="preserve">Cílových </w:t>
      </w:r>
      <w:r w:rsidR="00593F87">
        <w:t xml:space="preserve">hodnot výstupových indikátorů IROP </w:t>
      </w:r>
      <w:r w:rsidR="00AD7BFF">
        <w:t xml:space="preserve">uvedených v tabulce č. 4 však </w:t>
      </w:r>
      <w:r w:rsidR="00593F87">
        <w:t xml:space="preserve">bude dosaženo díky </w:t>
      </w:r>
      <w:r w:rsidR="00306DD0">
        <w:t xml:space="preserve">jejich </w:t>
      </w:r>
      <w:r w:rsidR="00593F87">
        <w:t>významné revizi provedené MMR v roce 2020</w:t>
      </w:r>
      <w:r w:rsidR="00593F87">
        <w:rPr>
          <w:rStyle w:val="Znakapoznpodarou"/>
        </w:rPr>
        <w:footnoteReference w:id="22"/>
      </w:r>
      <w:r w:rsidR="009D33CE">
        <w:t>. Snížení cílových hodnot indikátorů o 22</w:t>
      </w:r>
      <w:r w:rsidR="00EF285D">
        <w:t xml:space="preserve"> </w:t>
      </w:r>
      <w:r w:rsidR="00E828E7">
        <w:t>%</w:t>
      </w:r>
      <w:r w:rsidR="009D33CE">
        <w:t xml:space="preserve">, resp. 25 %, při zachování plánované alokace vede mj. k nárůstu výše podpory na jeden </w:t>
      </w:r>
      <w:r w:rsidR="00B76196">
        <w:t>přepočtený</w:t>
      </w:r>
      <w:r w:rsidR="009D33CE">
        <w:t xml:space="preserve"> úvazek.</w:t>
      </w:r>
      <w:r w:rsidR="00B76196">
        <w:t xml:space="preserve"> </w:t>
      </w:r>
      <w:r w:rsidR="00AD7BFF">
        <w:t xml:space="preserve">Efektivita podpory vyjádřená prostřednictvím průměrné výše podpory na jeden přepočtený úvazek je v IROP oproti </w:t>
      </w:r>
      <w:r w:rsidR="00515050">
        <w:t xml:space="preserve">původním </w:t>
      </w:r>
      <w:r w:rsidR="00AD7BFF">
        <w:t>předpokladům</w:t>
      </w:r>
      <w:r w:rsidR="00515050">
        <w:t xml:space="preserve"> MMR</w:t>
      </w:r>
      <w:r w:rsidR="00AD7BFF">
        <w:t xml:space="preserve"> asi 4,5</w:t>
      </w:r>
      <w:r w:rsidR="00492857">
        <w:rPr>
          <w:rFonts w:cs="Calibri"/>
        </w:rPr>
        <w:t>×</w:t>
      </w:r>
      <w:r w:rsidR="00AD7BFF">
        <w:t xml:space="preserve"> nižší.</w:t>
      </w:r>
    </w:p>
    <w:p w14:paraId="4CEA8F70" w14:textId="77777777" w:rsidR="000C6947" w:rsidRDefault="000C6947" w:rsidP="00613C80">
      <w:pPr>
        <w:pStyle w:val="JK4"/>
        <w:keepNext w:val="0"/>
        <w:tabs>
          <w:tab w:val="left" w:pos="426"/>
        </w:tabs>
      </w:pPr>
      <w:r w:rsidRPr="000C6947">
        <w:rPr>
          <w:color w:val="auto"/>
        </w:rPr>
        <w:t>Jedním z</w:t>
      </w:r>
      <w:r w:rsidR="003C61C3">
        <w:rPr>
          <w:color w:val="auto"/>
        </w:rPr>
        <w:t xml:space="preserve"> </w:t>
      </w:r>
      <w:r w:rsidRPr="000C6947">
        <w:rPr>
          <w:color w:val="auto"/>
        </w:rPr>
        <w:t xml:space="preserve">druhů pomoci realizované v rámci SC 2.2 IROP bylo poskytování podpory </w:t>
      </w:r>
      <w:r>
        <w:t>znevýhodněným osobám žijícím v</w:t>
      </w:r>
      <w:r w:rsidR="003C61C3">
        <w:t xml:space="preserve"> </w:t>
      </w:r>
      <w:r>
        <w:t>sociálně vyloučených lokalitách (dále také „SVL“) prostřednictvím výzev č. 11 a 43 IROP. V</w:t>
      </w:r>
      <w:r w:rsidR="003C61C3">
        <w:t xml:space="preserve"> </w:t>
      </w:r>
      <w:r>
        <w:t xml:space="preserve">těchto dvou výzvách byla </w:t>
      </w:r>
      <w:r w:rsidR="00937CD6">
        <w:t xml:space="preserve">ze strany </w:t>
      </w:r>
      <w:r>
        <w:t>MMR vyplacena podpora ve výši více než 350 mil. Kč. NKÚ přitom zjistil, že MMR nestanovilo žádné specifické indikátory pro sledování tohoto druhu pomoci. Důsledkem tohoto stavu je skutečnost, že neexistuje žádná informace o tom, kolik osob bylo v</w:t>
      </w:r>
      <w:r w:rsidR="003C61C3">
        <w:t xml:space="preserve"> </w:t>
      </w:r>
      <w:r>
        <w:t>SVL skutečně podpořeno</w:t>
      </w:r>
      <w:r w:rsidR="00D73B91">
        <w:t xml:space="preserve"> a zda tato hodnota naplňuje původně plánovaný cíl podpory směřované do SVL</w:t>
      </w:r>
      <w:r>
        <w:t xml:space="preserve">.  </w:t>
      </w:r>
    </w:p>
    <w:p w14:paraId="5D8D9048" w14:textId="77777777" w:rsidR="00CA7FF5" w:rsidRDefault="000C6947" w:rsidP="00613C80">
      <w:pPr>
        <w:pStyle w:val="JK4"/>
        <w:keepNext w:val="0"/>
        <w:tabs>
          <w:tab w:val="left" w:pos="426"/>
        </w:tabs>
      </w:pPr>
      <w:r>
        <w:t>Za pozitivní prvek považuje NKÚ v případě podpory z IROP oproti podpoře poskytované z</w:t>
      </w:r>
      <w:r w:rsidR="00613C80">
        <w:t> </w:t>
      </w:r>
      <w:r>
        <w:t>OPZ skutečnost, že v tomto operačním programu je prostřednictvím stanovených indikátorů možné sledovat, jak se v</w:t>
      </w:r>
      <w:r w:rsidR="003C61C3">
        <w:t xml:space="preserve"> </w:t>
      </w:r>
      <w:r>
        <w:t xml:space="preserve">podpořených sociálních podnicích oproti stavu před realizací projektů změnila </w:t>
      </w:r>
      <w:r w:rsidR="00937CD6">
        <w:t xml:space="preserve">celková </w:t>
      </w:r>
      <w:r>
        <w:t xml:space="preserve">zaměstnanost a specificky ve vztahu k osobám ze znevýhodněných skupin. Tato charakteristika je </w:t>
      </w:r>
      <w:r w:rsidR="00B62482">
        <w:t xml:space="preserve">v IROP </w:t>
      </w:r>
      <w:r>
        <w:t>sledována i</w:t>
      </w:r>
      <w:r w:rsidR="003C61C3">
        <w:t xml:space="preserve"> </w:t>
      </w:r>
      <w:r>
        <w:t>po skončení realizace projektů v době jejich udržitelnosti, přičemž příjemci podpory jsou povinni stanovené cílové hodnoty</w:t>
      </w:r>
      <w:r w:rsidRPr="007261BE">
        <w:t xml:space="preserve"> </w:t>
      </w:r>
      <w:r>
        <w:t xml:space="preserve">udržovat. </w:t>
      </w:r>
      <w:bookmarkStart w:id="9" w:name="_Hlk99722598"/>
      <w:r>
        <w:t xml:space="preserve">V případě projektů OPZ nebyla doba udržitelnosti vůbec stanovena, což NKÚ vyhodnotil jako </w:t>
      </w:r>
      <w:r w:rsidR="007141B4">
        <w:t>negativum</w:t>
      </w:r>
      <w:r w:rsidR="00605A98">
        <w:t xml:space="preserve"> v</w:t>
      </w:r>
      <w:r w:rsidR="007141B4">
        <w:t xml:space="preserve"> systému</w:t>
      </w:r>
      <w:r w:rsidR="00605A98">
        <w:t xml:space="preserve"> </w:t>
      </w:r>
      <w:r>
        <w:t>poskytování podpory z</w:t>
      </w:r>
      <w:r w:rsidR="003C61C3">
        <w:t xml:space="preserve"> </w:t>
      </w:r>
      <w:r>
        <w:t>OPZ</w:t>
      </w:r>
      <w:r w:rsidR="00B644E9">
        <w:t>, neboť takovýto stav neodpovídá deklarovanému zájmu MPSV podporovat konkurenceschopné sociální podniky s</w:t>
      </w:r>
      <w:r w:rsidR="003C61C3">
        <w:t xml:space="preserve"> </w:t>
      </w:r>
      <w:r w:rsidR="00B644E9">
        <w:t>potenciálem dlouhodobého fungování. Na vzorku projektů vybraných ke kontrole NKÚ bylo zároveň zjištěno, že</w:t>
      </w:r>
      <w:r w:rsidR="003C61C3">
        <w:t xml:space="preserve"> </w:t>
      </w:r>
      <w:r w:rsidR="00B644E9">
        <w:t>v</w:t>
      </w:r>
      <w:r w:rsidR="003C61C3">
        <w:t xml:space="preserve"> </w:t>
      </w:r>
      <w:r w:rsidR="00B644E9">
        <w:t>některých případech se pořizovaly technologie a dlouhodobý hmotný majetek</w:t>
      </w:r>
      <w:r w:rsidR="00565CC8">
        <w:t>, a proto by</w:t>
      </w:r>
      <w:r w:rsidR="00BC2DD8">
        <w:t> </w:t>
      </w:r>
      <w:r w:rsidR="00565CC8">
        <w:t>u takovýchto projektů bylo stanovení doby udržitelnosti žádoucí</w:t>
      </w:r>
      <w:r>
        <w:t>.</w:t>
      </w:r>
      <w:bookmarkEnd w:id="9"/>
    </w:p>
    <w:p w14:paraId="1AE4F6C5" w14:textId="77777777" w:rsidR="000C6947" w:rsidRPr="00B62482" w:rsidRDefault="00E6602B" w:rsidP="00DF2812">
      <w:pPr>
        <w:pStyle w:val="JK4"/>
        <w:keepNext w:val="0"/>
        <w:numPr>
          <w:ilvl w:val="0"/>
          <w:numId w:val="0"/>
        </w:numPr>
        <w:ind w:left="284" w:hanging="284"/>
      </w:pPr>
      <w:r w:rsidRPr="00E57019">
        <w:rPr>
          <w:b/>
          <w:bCs/>
          <w:i/>
          <w:color w:val="FF0000"/>
        </w:rPr>
        <w:t xml:space="preserve">→ </w:t>
      </w:r>
      <w:r>
        <w:rPr>
          <w:b/>
          <w:bCs/>
          <w:i/>
          <w:color w:val="FF0000"/>
        </w:rPr>
        <w:tab/>
      </w:r>
      <w:r w:rsidR="007B35FA" w:rsidRPr="007B35FA">
        <w:rPr>
          <w:b/>
          <w:bCs/>
          <w:i/>
          <w:color w:val="FF0000"/>
        </w:rPr>
        <w:t xml:space="preserve">U projektů IROP </w:t>
      </w:r>
      <w:r w:rsidR="0099278D" w:rsidRPr="007B35FA">
        <w:rPr>
          <w:b/>
          <w:bCs/>
          <w:i/>
          <w:color w:val="FF0000"/>
        </w:rPr>
        <w:t xml:space="preserve">nepřistoupilo </w:t>
      </w:r>
      <w:r w:rsidR="007B35FA" w:rsidRPr="007B35FA">
        <w:rPr>
          <w:b/>
          <w:bCs/>
          <w:i/>
          <w:color w:val="FF0000"/>
        </w:rPr>
        <w:t>MMR ke snížení dotace vůči příjemcům podpory, když nesplnili cílové hodnoty indikátorů při ukončení realizace projektu.</w:t>
      </w:r>
    </w:p>
    <w:p w14:paraId="5CDBAA86" w14:textId="77777777" w:rsidR="000C6947" w:rsidRDefault="00D22D1C" w:rsidP="00613C80">
      <w:pPr>
        <w:pStyle w:val="JK4"/>
        <w:keepNext w:val="0"/>
        <w:tabs>
          <w:tab w:val="left" w:pos="426"/>
        </w:tabs>
      </w:pPr>
      <w:r>
        <w:t>NKÚ naopak v případě IROP oproti OPZ zjistil</w:t>
      </w:r>
      <w:r w:rsidR="000C6947">
        <w:t>, že MMR ne</w:t>
      </w:r>
      <w:r w:rsidR="008E156F">
        <w:t>dostatečně</w:t>
      </w:r>
      <w:r w:rsidR="000C6947">
        <w:t xml:space="preserve"> nastavilo </w:t>
      </w:r>
      <w:r w:rsidR="008E156F">
        <w:t>způsob</w:t>
      </w:r>
      <w:r w:rsidR="000C6947">
        <w:t xml:space="preserve"> ověřování plnění indikátorů k datu ukončení projektu</w:t>
      </w:r>
      <w:r w:rsidR="000C6947">
        <w:rPr>
          <w:rStyle w:val="Znakapoznpodarou"/>
        </w:rPr>
        <w:footnoteReference w:id="23"/>
      </w:r>
      <w:r w:rsidR="000C6947">
        <w:t xml:space="preserve"> uvedenému v </w:t>
      </w:r>
      <w:proofErr w:type="spellStart"/>
      <w:r w:rsidR="000C6947">
        <w:t>RoPD</w:t>
      </w:r>
      <w:proofErr w:type="spellEnd"/>
      <w:r w:rsidR="000C6947">
        <w:t xml:space="preserve"> a</w:t>
      </w:r>
      <w:r w:rsidR="003C61C3">
        <w:t xml:space="preserve"> </w:t>
      </w:r>
      <w:r w:rsidR="000C6947">
        <w:t xml:space="preserve">nestanovilo konkrétní způsob výpočtu </w:t>
      </w:r>
      <w:r w:rsidR="00515050">
        <w:t>krácení dotace</w:t>
      </w:r>
      <w:r w:rsidR="000C6947">
        <w:t xml:space="preserve"> v případě nesplnění</w:t>
      </w:r>
      <w:r w:rsidR="00515050">
        <w:t xml:space="preserve"> indikátorů</w:t>
      </w:r>
      <w:r w:rsidR="000C6947">
        <w:t xml:space="preserve"> </w:t>
      </w:r>
      <w:r w:rsidR="00515050">
        <w:t xml:space="preserve">ke </w:t>
      </w:r>
      <w:r w:rsidR="00104217">
        <w:t xml:space="preserve">stanovenému </w:t>
      </w:r>
      <w:r w:rsidR="000C6947">
        <w:t xml:space="preserve">termínu. NKÚ </w:t>
      </w:r>
      <w:r>
        <w:t>zjistil</w:t>
      </w:r>
      <w:r w:rsidR="000C6947">
        <w:t>, že plnění podmínky uložené příjemcům podpory v</w:t>
      </w:r>
      <w:r w:rsidR="00673F13">
        <w:t> </w:t>
      </w:r>
      <w:proofErr w:type="spellStart"/>
      <w:r w:rsidR="000C6947">
        <w:t>RoPD</w:t>
      </w:r>
      <w:proofErr w:type="spellEnd"/>
      <w:r w:rsidR="00673F13">
        <w:t>, tj.</w:t>
      </w:r>
      <w:r w:rsidR="000C6947">
        <w:t xml:space="preserve"> dosáhnout stanovených cílových hodnot indikátorů 1 04 00 a 1 04 03 k datu ukončení projektu</w:t>
      </w:r>
      <w:r w:rsidR="00673F13">
        <w:t>,</w:t>
      </w:r>
      <w:r w:rsidR="000C6947">
        <w:t xml:space="preserve"> bylo CRR ověřováno až s ročním zpožděním při kontrole první podané zprávy o udržitelnosti. </w:t>
      </w:r>
      <w:r>
        <w:t>Zároveň přitom NKÚ zjisti</w:t>
      </w:r>
      <w:r w:rsidR="000C6947">
        <w:t xml:space="preserve">, že implementační orgány IROP příjemce podpory za nenaplnění indikátorů k datu ukončení projektu nijak nesankcionují a příjemci podpory tak de facto vůbec nemusí stanovené podmínky dodržovat, přestože jsou k tomu dle </w:t>
      </w:r>
      <w:proofErr w:type="spellStart"/>
      <w:r w:rsidR="000C6947">
        <w:t>RoPD</w:t>
      </w:r>
      <w:proofErr w:type="spellEnd"/>
      <w:r w:rsidR="000C6947">
        <w:t xml:space="preserve"> zavázáni. Tento nedostatek názorněji ilustruje </w:t>
      </w:r>
      <w:r w:rsidR="000C6947" w:rsidRPr="00AC077C">
        <w:t>příklad č.</w:t>
      </w:r>
      <w:r w:rsidR="000C6947">
        <w:t xml:space="preserve"> 1:</w:t>
      </w:r>
    </w:p>
    <w:p w14:paraId="7229B10A" w14:textId="77777777" w:rsidR="000C6947" w:rsidRPr="004A5521" w:rsidRDefault="000C6947" w:rsidP="00AF1141">
      <w:pPr>
        <w:keepNext/>
        <w:pBdr>
          <w:top w:val="single" w:sz="4" w:space="1" w:color="auto"/>
          <w:left w:val="single" w:sz="4" w:space="4" w:color="auto"/>
          <w:bottom w:val="single" w:sz="4" w:space="1" w:color="auto"/>
          <w:right w:val="single" w:sz="4" w:space="4" w:color="auto"/>
        </w:pBdr>
        <w:spacing w:after="120" w:line="240" w:lineRule="auto"/>
        <w:jc w:val="both"/>
        <w:rPr>
          <w:b/>
          <w:color w:val="004595"/>
          <w:sz w:val="24"/>
          <w:szCs w:val="24"/>
        </w:rPr>
      </w:pPr>
      <w:bookmarkStart w:id="10" w:name="_Hlk98844955"/>
      <w:r w:rsidRPr="004A5521">
        <w:rPr>
          <w:b/>
          <w:color w:val="004595"/>
          <w:sz w:val="24"/>
          <w:szCs w:val="24"/>
        </w:rPr>
        <w:t>Příklad č. 1</w:t>
      </w:r>
    </w:p>
    <w:bookmarkEnd w:id="10"/>
    <w:p w14:paraId="4479CF15" w14:textId="77777777" w:rsidR="0030504B" w:rsidRPr="004A5521" w:rsidRDefault="0030504B" w:rsidP="00147DEA">
      <w:pPr>
        <w:pBdr>
          <w:top w:val="single" w:sz="4" w:space="1" w:color="auto"/>
          <w:left w:val="single" w:sz="4" w:space="4" w:color="auto"/>
          <w:bottom w:val="single" w:sz="4" w:space="1" w:color="auto"/>
          <w:right w:val="single" w:sz="4" w:space="4" w:color="auto"/>
        </w:pBdr>
        <w:spacing w:after="120" w:line="240" w:lineRule="auto"/>
        <w:jc w:val="both"/>
        <w:rPr>
          <w:i/>
          <w:sz w:val="24"/>
          <w:szCs w:val="24"/>
        </w:rPr>
      </w:pPr>
      <w:r w:rsidRPr="004A5521">
        <w:rPr>
          <w:i/>
          <w:sz w:val="24"/>
          <w:szCs w:val="24"/>
        </w:rPr>
        <w:t>Příjemce podpory v rámci</w:t>
      </w:r>
      <w:r w:rsidR="003C61C3">
        <w:rPr>
          <w:i/>
          <w:sz w:val="24"/>
          <w:szCs w:val="24"/>
        </w:rPr>
        <w:t xml:space="preserve"> </w:t>
      </w:r>
      <w:r w:rsidRPr="004A5521">
        <w:rPr>
          <w:i/>
          <w:sz w:val="24"/>
          <w:szCs w:val="24"/>
        </w:rPr>
        <w:t>projektu č. 151 měl vytvořit dva přepočtené pracovní úvazky (2,0</w:t>
      </w:r>
      <w:r w:rsidR="003C61C3">
        <w:rPr>
          <w:i/>
          <w:sz w:val="24"/>
          <w:szCs w:val="24"/>
        </w:rPr>
        <w:t> </w:t>
      </w:r>
      <w:r w:rsidRPr="004A5521">
        <w:rPr>
          <w:i/>
          <w:sz w:val="24"/>
          <w:szCs w:val="24"/>
        </w:rPr>
        <w:t>FTE). K</w:t>
      </w:r>
      <w:r w:rsidR="003C61C3">
        <w:rPr>
          <w:i/>
          <w:sz w:val="24"/>
          <w:szCs w:val="24"/>
        </w:rPr>
        <w:t xml:space="preserve"> </w:t>
      </w:r>
      <w:r w:rsidRPr="004A5521">
        <w:rPr>
          <w:i/>
          <w:sz w:val="24"/>
          <w:szCs w:val="24"/>
        </w:rPr>
        <w:t>požadovanému datu ale povinnost nesplnil, když do vytvořených FTE započítal také osoby, které nesplňovaly stanovené podmínky</w:t>
      </w:r>
      <w:r w:rsidR="00C814C0" w:rsidRPr="004A5521">
        <w:rPr>
          <w:i/>
          <w:sz w:val="24"/>
          <w:szCs w:val="24"/>
        </w:rPr>
        <w:t>. Ve skutečnosti tak v</w:t>
      </w:r>
      <w:r w:rsidRPr="004A5521">
        <w:rPr>
          <w:i/>
          <w:sz w:val="24"/>
          <w:szCs w:val="24"/>
        </w:rPr>
        <w:t xml:space="preserve">ytvořil pouze 1,23 FTE. </w:t>
      </w:r>
    </w:p>
    <w:p w14:paraId="100A3B9D" w14:textId="77777777" w:rsidR="0030504B" w:rsidRPr="004A5521" w:rsidRDefault="0030504B" w:rsidP="00147DEA">
      <w:pPr>
        <w:pBdr>
          <w:top w:val="single" w:sz="4" w:space="1" w:color="auto"/>
          <w:left w:val="single" w:sz="4" w:space="4" w:color="auto"/>
          <w:bottom w:val="single" w:sz="4" w:space="1" w:color="auto"/>
          <w:right w:val="single" w:sz="4" w:space="4" w:color="auto"/>
        </w:pBdr>
        <w:spacing w:after="120" w:line="240" w:lineRule="auto"/>
        <w:jc w:val="both"/>
        <w:rPr>
          <w:i/>
          <w:sz w:val="24"/>
          <w:szCs w:val="24"/>
        </w:rPr>
      </w:pPr>
      <w:r w:rsidRPr="004A5521">
        <w:rPr>
          <w:i/>
          <w:sz w:val="24"/>
          <w:szCs w:val="24"/>
        </w:rPr>
        <w:t xml:space="preserve">Tuto skutečnost </w:t>
      </w:r>
      <w:r w:rsidR="00C814C0" w:rsidRPr="004A5521">
        <w:rPr>
          <w:i/>
          <w:sz w:val="24"/>
          <w:szCs w:val="24"/>
        </w:rPr>
        <w:t xml:space="preserve">však </w:t>
      </w:r>
      <w:r w:rsidRPr="004A5521">
        <w:rPr>
          <w:i/>
          <w:sz w:val="24"/>
          <w:szCs w:val="24"/>
        </w:rPr>
        <w:t>CRR při kontrole první zprávy o udržitelnosti projektu nezjistilo, a to z důvodu nevhodně nastavených kontrolních postupů ze strany MMR. Toto pochybení příjemce podpory zjistilo CRR až prostřednictvím kontroly na místě při následné kontrole druhé zprávy o</w:t>
      </w:r>
      <w:r w:rsidR="004A5521">
        <w:rPr>
          <w:i/>
          <w:sz w:val="24"/>
          <w:szCs w:val="24"/>
        </w:rPr>
        <w:t> </w:t>
      </w:r>
      <w:r w:rsidRPr="004A5521">
        <w:rPr>
          <w:i/>
          <w:sz w:val="24"/>
          <w:szCs w:val="24"/>
        </w:rPr>
        <w:t xml:space="preserve">udržitelnosti projektu. </w:t>
      </w:r>
    </w:p>
    <w:p w14:paraId="739DA77C" w14:textId="77777777" w:rsidR="0030504B" w:rsidRPr="004A5521" w:rsidRDefault="0030504B" w:rsidP="00147DEA">
      <w:pPr>
        <w:pBdr>
          <w:top w:val="single" w:sz="4" w:space="1" w:color="auto"/>
          <w:left w:val="single" w:sz="4" w:space="4" w:color="auto"/>
          <w:bottom w:val="single" w:sz="4" w:space="1" w:color="auto"/>
          <w:right w:val="single" w:sz="4" w:space="4" w:color="auto"/>
        </w:pBdr>
        <w:spacing w:after="120" w:line="240" w:lineRule="auto"/>
        <w:jc w:val="both"/>
        <w:rPr>
          <w:i/>
          <w:sz w:val="24"/>
          <w:szCs w:val="24"/>
        </w:rPr>
      </w:pPr>
      <w:r w:rsidRPr="004A5521">
        <w:rPr>
          <w:i/>
          <w:sz w:val="24"/>
          <w:szCs w:val="24"/>
        </w:rPr>
        <w:t xml:space="preserve">CRR však toto </w:t>
      </w:r>
      <w:r w:rsidR="00C814C0" w:rsidRPr="004A5521">
        <w:rPr>
          <w:i/>
          <w:sz w:val="24"/>
          <w:szCs w:val="24"/>
        </w:rPr>
        <w:t xml:space="preserve">kontrolní </w:t>
      </w:r>
      <w:r w:rsidRPr="004A5521">
        <w:rPr>
          <w:i/>
          <w:sz w:val="24"/>
          <w:szCs w:val="24"/>
        </w:rPr>
        <w:t xml:space="preserve">zjištění zpětně neuplatnilo </w:t>
      </w:r>
      <w:r w:rsidR="00C814C0" w:rsidRPr="004A5521">
        <w:rPr>
          <w:i/>
          <w:sz w:val="24"/>
          <w:szCs w:val="24"/>
        </w:rPr>
        <w:t>jako</w:t>
      </w:r>
      <w:r w:rsidRPr="004A5521">
        <w:rPr>
          <w:i/>
          <w:sz w:val="24"/>
          <w:szCs w:val="24"/>
        </w:rPr>
        <w:t xml:space="preserve"> </w:t>
      </w:r>
      <w:r w:rsidR="00C814C0" w:rsidRPr="004A5521">
        <w:rPr>
          <w:i/>
          <w:sz w:val="24"/>
          <w:szCs w:val="24"/>
        </w:rPr>
        <w:t>ne</w:t>
      </w:r>
      <w:r w:rsidRPr="004A5521">
        <w:rPr>
          <w:i/>
          <w:sz w:val="24"/>
          <w:szCs w:val="24"/>
        </w:rPr>
        <w:t xml:space="preserve">splnění podmínek </w:t>
      </w:r>
      <w:r w:rsidR="00C814C0" w:rsidRPr="004A5521">
        <w:rPr>
          <w:i/>
          <w:sz w:val="24"/>
          <w:szCs w:val="24"/>
        </w:rPr>
        <w:t xml:space="preserve">poskytnutí podpory </w:t>
      </w:r>
      <w:r w:rsidRPr="004A5521">
        <w:rPr>
          <w:i/>
          <w:sz w:val="24"/>
          <w:szCs w:val="24"/>
        </w:rPr>
        <w:t xml:space="preserve">projektu a nevyvodilo žádné důsledky pro příjemce podpory. Teprve na základě upozornění NKÚ provádí CRR revizi svých kontrolních zjištění </w:t>
      </w:r>
      <w:r w:rsidR="00C814C0" w:rsidRPr="004A5521">
        <w:rPr>
          <w:i/>
          <w:sz w:val="24"/>
          <w:szCs w:val="24"/>
        </w:rPr>
        <w:t>(</w:t>
      </w:r>
      <w:r w:rsidRPr="004A5521">
        <w:rPr>
          <w:i/>
          <w:sz w:val="24"/>
          <w:szCs w:val="24"/>
        </w:rPr>
        <w:t>v době ukončení kontroly NKÚ nebyl</w:t>
      </w:r>
      <w:r w:rsidR="00C814C0" w:rsidRPr="004A5521">
        <w:rPr>
          <w:i/>
          <w:sz w:val="24"/>
          <w:szCs w:val="24"/>
        </w:rPr>
        <w:t xml:space="preserve"> znám její výsledek)</w:t>
      </w:r>
      <w:r w:rsidRPr="004A5521">
        <w:rPr>
          <w:i/>
          <w:sz w:val="24"/>
          <w:szCs w:val="24"/>
        </w:rPr>
        <w:t>.</w:t>
      </w:r>
    </w:p>
    <w:p w14:paraId="022F3BC2" w14:textId="77777777" w:rsidR="00A02FA0" w:rsidRDefault="000C6947" w:rsidP="00FD2FD8">
      <w:pPr>
        <w:pStyle w:val="JK4"/>
        <w:keepNext w:val="0"/>
        <w:tabs>
          <w:tab w:val="left" w:pos="567"/>
        </w:tabs>
      </w:pPr>
      <w:r>
        <w:t>NKÚ ve vztahu k</w:t>
      </w:r>
      <w:r w:rsidR="00937CD6">
        <w:t>e</w:t>
      </w:r>
      <w:r w:rsidR="006E1294">
        <w:t xml:space="preserve"> </w:t>
      </w:r>
      <w:r>
        <w:t xml:space="preserve">zjištění popsanému v příkladu č. 1 </w:t>
      </w:r>
      <w:r w:rsidR="00D22D1C">
        <w:t>vyhodnotil</w:t>
      </w:r>
      <w:r>
        <w:t xml:space="preserve">, že daný stav byl také důsledkem nedostatečného nastavení kontrolních postupů IROP </w:t>
      </w:r>
      <w:r w:rsidR="00307756">
        <w:t xml:space="preserve">ze strany MMR </w:t>
      </w:r>
      <w:r>
        <w:t xml:space="preserve">pro ověřování </w:t>
      </w:r>
      <w:r w:rsidR="00945D53">
        <w:t>na</w:t>
      </w:r>
      <w:r>
        <w:t>plnění podmínek souvisejících s prokazováním plnění indikátorů 1 04 00 a 1 04 03. Nedostatečné kontrolní postupy byly MMR zpřesněny k</w:t>
      </w:r>
      <w:r w:rsidR="00974945">
        <w:t xml:space="preserve"> </w:t>
      </w:r>
      <w:r>
        <w:t xml:space="preserve">28. 4. 2020 doplněním kontrolních listů o </w:t>
      </w:r>
      <w:r w:rsidR="00D22D1C">
        <w:t xml:space="preserve">povinnost </w:t>
      </w:r>
      <w:r>
        <w:t xml:space="preserve">ověřit, zda </w:t>
      </w:r>
      <w:r w:rsidR="009F6A26">
        <w:t>„</w:t>
      </w:r>
      <w:r w:rsidR="009F6A26">
        <w:rPr>
          <w:i/>
        </w:rPr>
        <w:t>... p</w:t>
      </w:r>
      <w:r w:rsidRPr="000C6947">
        <w:rPr>
          <w:i/>
        </w:rPr>
        <w:t>očet vytvořených pracovních míst představuje čistý přírůstek pracovních míst v organizaci oproti průměru za posledních 12 měsíců před realizací projektu, přičemž</w:t>
      </w:r>
      <w:r w:rsidRPr="0060449F">
        <w:t xml:space="preserve"> </w:t>
      </w:r>
      <w:r w:rsidRPr="000C6947">
        <w:rPr>
          <w:i/>
        </w:rPr>
        <w:t>pracovní místa musí vzniknout v přímé souvislosti s</w:t>
      </w:r>
      <w:r w:rsidR="009F6A26">
        <w:rPr>
          <w:i/>
        </w:rPr>
        <w:t> </w:t>
      </w:r>
      <w:r w:rsidRPr="000C6947">
        <w:rPr>
          <w:i/>
        </w:rPr>
        <w:t>projektem</w:t>
      </w:r>
      <w:r w:rsidR="009F6A26">
        <w:t>“</w:t>
      </w:r>
      <w:r w:rsidRPr="0060449F">
        <w:t>.</w:t>
      </w:r>
      <w:r>
        <w:t xml:space="preserve"> </w:t>
      </w:r>
      <w:r w:rsidR="00605A98">
        <w:t>Ani t</w:t>
      </w:r>
      <w:r>
        <w:t>oto zpřesnění</w:t>
      </w:r>
      <w:r w:rsidR="00605A98">
        <w:t xml:space="preserve"> však</w:t>
      </w:r>
      <w:r>
        <w:t xml:space="preserve"> přitom nebylo dostatečné, neboť MMR </w:t>
      </w:r>
      <w:r w:rsidR="00605A98">
        <w:t xml:space="preserve">ani v něm </w:t>
      </w:r>
      <w:r>
        <w:t>nestanovilo přesnou metodiku výpočtu indikátorů</w:t>
      </w:r>
      <w:r w:rsidR="009B5581">
        <w:t>.</w:t>
      </w:r>
      <w:r w:rsidR="009B5581" w:rsidRPr="009B5581">
        <w:t xml:space="preserve"> </w:t>
      </w:r>
      <w:r w:rsidR="009B5581">
        <w:t>To se např. projevilo rozdílným přístupem CRR u </w:t>
      </w:r>
      <w:r w:rsidR="00605A98">
        <w:t xml:space="preserve">dvou </w:t>
      </w:r>
      <w:r w:rsidR="009B5581">
        <w:t xml:space="preserve">projektů </w:t>
      </w:r>
      <w:r w:rsidR="00C23B94">
        <w:t xml:space="preserve">vybraného vzorku </w:t>
      </w:r>
      <w:r w:rsidR="009A3B90">
        <w:t>(</w:t>
      </w:r>
      <w:r w:rsidR="009B5581">
        <w:t>č.</w:t>
      </w:r>
      <w:r w:rsidR="00E63C33">
        <w:t> </w:t>
      </w:r>
      <w:r w:rsidR="009B5581">
        <w:t>119 a 151</w:t>
      </w:r>
      <w:r w:rsidR="009A3B90">
        <w:t>)</w:t>
      </w:r>
      <w:r w:rsidR="009B5581">
        <w:t>.</w:t>
      </w:r>
      <w:r>
        <w:t xml:space="preserve"> </w:t>
      </w:r>
      <w:r w:rsidR="00EA25A7">
        <w:t xml:space="preserve">Náprava </w:t>
      </w:r>
      <w:r>
        <w:t xml:space="preserve">byla v IROP zajištěna </w:t>
      </w:r>
      <w:r w:rsidR="00605A98">
        <w:t>teprve</w:t>
      </w:r>
      <w:r>
        <w:t xml:space="preserve"> dalším zpřesnění</w:t>
      </w:r>
      <w:r w:rsidR="00EA25A7">
        <w:t>m</w:t>
      </w:r>
      <w:r>
        <w:t xml:space="preserve"> </w:t>
      </w:r>
      <w:r w:rsidR="000731DE">
        <w:t xml:space="preserve">kontrolních postupů </w:t>
      </w:r>
      <w:r w:rsidR="00605A98">
        <w:t xml:space="preserve">s účinností </w:t>
      </w:r>
      <w:r>
        <w:t>od</w:t>
      </w:r>
      <w:r w:rsidR="00BC2DD8">
        <w:t> </w:t>
      </w:r>
      <w:r>
        <w:t>28.</w:t>
      </w:r>
      <w:r w:rsidR="000731DE">
        <w:t> </w:t>
      </w:r>
      <w:r>
        <w:t>4.</w:t>
      </w:r>
      <w:r w:rsidR="000731DE">
        <w:t> </w:t>
      </w:r>
      <w:r>
        <w:t>2021.</w:t>
      </w:r>
    </w:p>
    <w:p w14:paraId="691430C1" w14:textId="77777777" w:rsidR="00A139DA" w:rsidRPr="00147DEA" w:rsidRDefault="00531EEA" w:rsidP="00357C61">
      <w:pPr>
        <w:pStyle w:val="Odstavecseseznamem"/>
        <w:keepNext/>
        <w:numPr>
          <w:ilvl w:val="0"/>
          <w:numId w:val="14"/>
        </w:numPr>
        <w:spacing w:before="360" w:after="240" w:line="240" w:lineRule="auto"/>
        <w:ind w:left="284" w:hanging="284"/>
        <w:contextualSpacing w:val="0"/>
        <w:rPr>
          <w:rFonts w:cstheme="minorHAnsi"/>
          <w:b/>
          <w:i/>
          <w:color w:val="1F4E79" w:themeColor="accent1" w:themeShade="80"/>
          <w:sz w:val="24"/>
          <w:szCs w:val="28"/>
        </w:rPr>
      </w:pPr>
      <w:r w:rsidRPr="00147DEA">
        <w:rPr>
          <w:rFonts w:cstheme="minorHAnsi"/>
          <w:b/>
          <w:i/>
          <w:color w:val="1F4E79" w:themeColor="accent1" w:themeShade="80"/>
          <w:sz w:val="24"/>
          <w:szCs w:val="28"/>
        </w:rPr>
        <w:t xml:space="preserve">Nastavily řídicí </w:t>
      </w:r>
      <w:r w:rsidR="00C23B94" w:rsidRPr="00147DEA">
        <w:rPr>
          <w:rFonts w:cstheme="minorHAnsi"/>
          <w:b/>
          <w:i/>
          <w:color w:val="1F4E79" w:themeColor="accent1" w:themeShade="80"/>
          <w:sz w:val="24"/>
          <w:szCs w:val="28"/>
        </w:rPr>
        <w:t xml:space="preserve">orgány </w:t>
      </w:r>
      <w:r w:rsidR="00E15809" w:rsidRPr="00147DEA">
        <w:rPr>
          <w:rFonts w:cstheme="minorHAnsi"/>
          <w:b/>
          <w:i/>
          <w:color w:val="1F4E79" w:themeColor="accent1" w:themeShade="80"/>
          <w:sz w:val="24"/>
          <w:szCs w:val="28"/>
        </w:rPr>
        <w:t xml:space="preserve">principy sociálního podnikání </w:t>
      </w:r>
      <w:r w:rsidRPr="00147DEA">
        <w:rPr>
          <w:rFonts w:cstheme="minorHAnsi"/>
          <w:b/>
          <w:i/>
          <w:color w:val="1F4E79" w:themeColor="accent1" w:themeShade="80"/>
          <w:sz w:val="24"/>
          <w:szCs w:val="28"/>
        </w:rPr>
        <w:t xml:space="preserve">tak, aby </w:t>
      </w:r>
      <w:r w:rsidR="00601E8F" w:rsidRPr="00147DEA">
        <w:rPr>
          <w:rFonts w:cstheme="minorHAnsi"/>
          <w:b/>
          <w:i/>
          <w:color w:val="1F4E79" w:themeColor="accent1" w:themeShade="80"/>
          <w:sz w:val="24"/>
          <w:szCs w:val="28"/>
        </w:rPr>
        <w:t xml:space="preserve">zajistily </w:t>
      </w:r>
      <w:r w:rsidRPr="00147DEA">
        <w:rPr>
          <w:rFonts w:cstheme="minorHAnsi"/>
          <w:b/>
          <w:i/>
          <w:color w:val="1F4E79" w:themeColor="accent1" w:themeShade="80"/>
          <w:sz w:val="24"/>
          <w:szCs w:val="28"/>
        </w:rPr>
        <w:t>poskytnutí účelné podpory?</w:t>
      </w:r>
    </w:p>
    <w:p w14:paraId="469F4D8F" w14:textId="77777777" w:rsidR="0075092D" w:rsidRPr="00147DEA" w:rsidRDefault="0075092D" w:rsidP="00FD2FD8">
      <w:pPr>
        <w:pStyle w:val="JK4"/>
        <w:keepNext w:val="0"/>
        <w:tabs>
          <w:tab w:val="left" w:pos="567"/>
        </w:tabs>
        <w:spacing w:after="0"/>
      </w:pPr>
      <w:r w:rsidRPr="00147DEA">
        <w:t xml:space="preserve">Jedním ze základních předpokladů pro zajištění účelnosti poskytnuté podpory je její poskytování pouze podnikům, které je možné za </w:t>
      </w:r>
      <w:r w:rsidRPr="00147DEA">
        <w:rPr>
          <w:i/>
        </w:rPr>
        <w:t>sociální</w:t>
      </w:r>
      <w:r w:rsidRPr="00147DEA">
        <w:t xml:space="preserve"> skutečně považovat. V podmínkách OPZ i IROP se za sociální podniky považují takové, které naplňují a dodržují principy sociálního podnikání stanovené pro tyto operační programy (viz </w:t>
      </w:r>
      <w:r w:rsidRPr="00027E25">
        <w:rPr>
          <w:b/>
        </w:rPr>
        <w:t xml:space="preserve">příloha č. </w:t>
      </w:r>
      <w:r w:rsidR="00046F3E" w:rsidRPr="00027E25">
        <w:rPr>
          <w:b/>
        </w:rPr>
        <w:t>3</w:t>
      </w:r>
      <w:r w:rsidR="00E27A3A">
        <w:t xml:space="preserve"> tohoto kontrolního závěru</w:t>
      </w:r>
      <w:r w:rsidRPr="00147DEA">
        <w:t>). NKÚ ve vztahu k principům sociálního podnikání ověřil zejména:</w:t>
      </w:r>
    </w:p>
    <w:p w14:paraId="686F3193" w14:textId="77777777" w:rsidR="0075092D" w:rsidRPr="00147DEA" w:rsidRDefault="0075092D" w:rsidP="00357C61">
      <w:pPr>
        <w:pStyle w:val="JK4"/>
        <w:keepNext w:val="0"/>
        <w:numPr>
          <w:ilvl w:val="0"/>
          <w:numId w:val="8"/>
        </w:numPr>
        <w:spacing w:before="0" w:after="0"/>
        <w:ind w:left="568" w:hanging="284"/>
      </w:pPr>
      <w:r w:rsidRPr="00147DEA">
        <w:t>vymezení principů sociálního podnikání, jednoznačnost</w:t>
      </w:r>
      <w:r w:rsidR="00EA25A7" w:rsidRPr="00147DEA">
        <w:t xml:space="preserve"> a</w:t>
      </w:r>
      <w:r w:rsidR="00BC2DD8" w:rsidRPr="00147DEA">
        <w:t> </w:t>
      </w:r>
      <w:r w:rsidRPr="00147DEA">
        <w:t xml:space="preserve">úplnost principů; </w:t>
      </w:r>
    </w:p>
    <w:p w14:paraId="0CCDD150" w14:textId="77777777" w:rsidR="0075092D" w:rsidRPr="00147DEA" w:rsidRDefault="0075092D" w:rsidP="00357C61">
      <w:pPr>
        <w:pStyle w:val="JK4"/>
        <w:keepNext w:val="0"/>
        <w:numPr>
          <w:ilvl w:val="0"/>
          <w:numId w:val="8"/>
        </w:numPr>
        <w:spacing w:before="0" w:after="0"/>
        <w:ind w:left="568" w:hanging="284"/>
      </w:pPr>
      <w:r w:rsidRPr="00147DEA">
        <w:t>konzistenci názvů, smyslu, obsahu a způsobů naplnění jednotlivých principů;</w:t>
      </w:r>
    </w:p>
    <w:p w14:paraId="4EE395AC" w14:textId="77777777" w:rsidR="00FB4CFC" w:rsidRPr="00147DEA" w:rsidRDefault="0075092D" w:rsidP="00357C61">
      <w:pPr>
        <w:pStyle w:val="JK4"/>
        <w:keepNext w:val="0"/>
        <w:numPr>
          <w:ilvl w:val="0"/>
          <w:numId w:val="8"/>
        </w:numPr>
        <w:spacing w:before="0"/>
        <w:ind w:left="568" w:hanging="284"/>
      </w:pPr>
      <w:r w:rsidRPr="00147DEA">
        <w:t>funkčnost požadavků na způsoby naplnění principů.</w:t>
      </w:r>
      <w:r w:rsidR="0038542F" w:rsidRPr="00147DEA">
        <w:t xml:space="preserve"> </w:t>
      </w:r>
    </w:p>
    <w:p w14:paraId="0BF1B663" w14:textId="77777777" w:rsidR="00A755CA" w:rsidRPr="00147DEA" w:rsidRDefault="00E6602B" w:rsidP="00FF47C7">
      <w:pPr>
        <w:pStyle w:val="JK4"/>
        <w:keepNext w:val="0"/>
        <w:numPr>
          <w:ilvl w:val="0"/>
          <w:numId w:val="0"/>
        </w:numPr>
        <w:ind w:left="284" w:hanging="284"/>
      </w:pPr>
      <w:bookmarkStart w:id="11" w:name="_Hlk98943423"/>
      <w:r w:rsidRPr="00E57019">
        <w:rPr>
          <w:b/>
          <w:bCs/>
          <w:i/>
          <w:color w:val="FF0000"/>
        </w:rPr>
        <w:t xml:space="preserve">→ </w:t>
      </w:r>
      <w:r>
        <w:rPr>
          <w:b/>
          <w:bCs/>
          <w:i/>
          <w:color w:val="FF0000"/>
        </w:rPr>
        <w:tab/>
      </w:r>
      <w:r w:rsidR="00D72C87" w:rsidRPr="00D72C87">
        <w:rPr>
          <w:b/>
          <w:bCs/>
          <w:i/>
          <w:color w:val="FF0000"/>
        </w:rPr>
        <w:t>Vymezení principů sociálního podnikání je nastaveno nejasně nebo nevhodně, což omezuje kontrolu jejich naplňování s rizikem pro účelnost vynaložených prostředků.</w:t>
      </w:r>
      <w:bookmarkEnd w:id="11"/>
    </w:p>
    <w:p w14:paraId="52EEB1B4" w14:textId="77777777" w:rsidR="00A41AC4" w:rsidRPr="00147DEA" w:rsidRDefault="00B61D6F" w:rsidP="00FD2FD8">
      <w:pPr>
        <w:pStyle w:val="JK4"/>
        <w:keepNext w:val="0"/>
        <w:tabs>
          <w:tab w:val="left" w:pos="567"/>
        </w:tabs>
      </w:pPr>
      <w:r w:rsidRPr="00147DEA">
        <w:t xml:space="preserve">Na vzorku vybraných projektů NKÚ zjistil, že příjemci podpory prokazují </w:t>
      </w:r>
      <w:r w:rsidR="00923EF1" w:rsidRPr="00147DEA">
        <w:t xml:space="preserve">dodržování principů sociálního podnikání </w:t>
      </w:r>
      <w:r w:rsidRPr="00147DEA">
        <w:t xml:space="preserve">rozdílným způsobem. A to zejména </w:t>
      </w:r>
      <w:r w:rsidR="0093742C" w:rsidRPr="00147DEA">
        <w:t>kvůli</w:t>
      </w:r>
      <w:r w:rsidRPr="00147DEA">
        <w:t xml:space="preserve"> často vágnímu, neurčitému a deklaratornímu vymezení jednotlivých principů bez stanovení jednoznačné minimální </w:t>
      </w:r>
      <w:r w:rsidR="00717AB5" w:rsidRPr="00147DEA">
        <w:t xml:space="preserve">úrovně </w:t>
      </w:r>
      <w:r w:rsidRPr="00147DEA">
        <w:t xml:space="preserve">nutné k jejich splnění. </w:t>
      </w:r>
      <w:r w:rsidR="00945D53" w:rsidRPr="00147DEA">
        <w:t>NKÚ</w:t>
      </w:r>
      <w:r w:rsidRPr="00147DEA">
        <w:t xml:space="preserve"> přitom zji</w:t>
      </w:r>
      <w:r w:rsidR="00945D53" w:rsidRPr="00147DEA">
        <w:t>s</w:t>
      </w:r>
      <w:r w:rsidRPr="00147DEA">
        <w:t>t</w:t>
      </w:r>
      <w:r w:rsidR="00945D53" w:rsidRPr="00147DEA">
        <w:t>il</w:t>
      </w:r>
      <w:r w:rsidRPr="00147DEA">
        <w:t xml:space="preserve">, že orgány implementační struktury neodhalily </w:t>
      </w:r>
      <w:r w:rsidR="0093742C" w:rsidRPr="00147DEA">
        <w:t>žádné</w:t>
      </w:r>
      <w:r w:rsidRPr="00147DEA">
        <w:t xml:space="preserve"> </w:t>
      </w:r>
      <w:r w:rsidR="00D22D1C" w:rsidRPr="00147DEA">
        <w:t>případy</w:t>
      </w:r>
      <w:r w:rsidR="00412021">
        <w:t xml:space="preserve"> </w:t>
      </w:r>
      <w:r w:rsidR="00923EF1" w:rsidRPr="00147DEA">
        <w:t xml:space="preserve">týkající se </w:t>
      </w:r>
      <w:r w:rsidRPr="00147DEA">
        <w:t xml:space="preserve">neplnění či nedodržování principů, které by </w:t>
      </w:r>
      <w:r w:rsidR="00D22D1C" w:rsidRPr="00147DEA">
        <w:t xml:space="preserve">vedly </w:t>
      </w:r>
      <w:r w:rsidRPr="00147DEA">
        <w:t>k uplatnění sankcí vůči příjemcům podpory</w:t>
      </w:r>
      <w:r w:rsidRPr="00147DEA">
        <w:rPr>
          <w:vertAlign w:val="superscript"/>
        </w:rPr>
        <w:footnoteReference w:id="24"/>
      </w:r>
      <w:r w:rsidR="00886F95" w:rsidRPr="00147DEA">
        <w:t>, což NKÚ považuje za jeden z</w:t>
      </w:r>
      <w:r w:rsidR="00307756" w:rsidRPr="00147DEA">
        <w:t xml:space="preserve"> možných </w:t>
      </w:r>
      <w:r w:rsidR="00886F95" w:rsidRPr="00147DEA">
        <w:t>důsledků tohoto stavu</w:t>
      </w:r>
      <w:r w:rsidRPr="00147DEA">
        <w:t xml:space="preserve">. NKÚ zjistil </w:t>
      </w:r>
      <w:r w:rsidR="00DF2F47" w:rsidRPr="00147DEA">
        <w:t xml:space="preserve">také </w:t>
      </w:r>
      <w:r w:rsidRPr="00147DEA">
        <w:t xml:space="preserve">omezenou funkčnost způsobů </w:t>
      </w:r>
      <w:r w:rsidR="00DF2F47" w:rsidRPr="00147DEA">
        <w:t>prokazování plnění principů sociálního podnikání</w:t>
      </w:r>
      <w:r w:rsidRPr="00147DEA">
        <w:t xml:space="preserve"> narážející na</w:t>
      </w:r>
      <w:r w:rsidR="00925AAF">
        <w:t xml:space="preserve"> </w:t>
      </w:r>
      <w:r w:rsidRPr="00147DEA">
        <w:t>možnosti dané ustanoveními zákona o účetnictví</w:t>
      </w:r>
      <w:r w:rsidRPr="00147DEA">
        <w:rPr>
          <w:vertAlign w:val="superscript"/>
        </w:rPr>
        <w:footnoteReference w:id="25"/>
      </w:r>
      <w:r w:rsidRPr="00147DEA">
        <w:t>. Podrobnosti k </w:t>
      </w:r>
      <w:r w:rsidR="00B665CD" w:rsidRPr="00147DEA">
        <w:t>nejdůležitějším</w:t>
      </w:r>
      <w:r w:rsidRPr="00147DEA">
        <w:t xml:space="preserve"> zjištěním týkajícím se principů sociálního podnikání jsou uvedeny v odstavcích 4.1</w:t>
      </w:r>
      <w:r w:rsidR="00CA7FF5" w:rsidRPr="00147DEA">
        <w:t>3</w:t>
      </w:r>
      <w:r w:rsidRPr="00147DEA">
        <w:t> – 4.2</w:t>
      </w:r>
      <w:r w:rsidR="00CA7FF5" w:rsidRPr="00147DEA">
        <w:t>0</w:t>
      </w:r>
      <w:r w:rsidRPr="00147DEA">
        <w:t>.</w:t>
      </w:r>
    </w:p>
    <w:p w14:paraId="2A243A02" w14:textId="77777777" w:rsidR="007E7B72" w:rsidRPr="00147DEA" w:rsidRDefault="007E7B72" w:rsidP="00FD2FD8">
      <w:pPr>
        <w:pStyle w:val="JK4"/>
        <w:keepNext w:val="0"/>
        <w:tabs>
          <w:tab w:val="left" w:pos="567"/>
        </w:tabs>
      </w:pPr>
      <w:r w:rsidRPr="00147DEA">
        <w:t xml:space="preserve">V případě požadavku, aby </w:t>
      </w:r>
      <w:r w:rsidRPr="00147DEA">
        <w:rPr>
          <w:i/>
        </w:rPr>
        <w:t>podíl osob ze znevýhodněných skupin tvořil více než 30 % zaměstnanců sociálního podniku</w:t>
      </w:r>
      <w:r w:rsidRPr="00147DEA">
        <w:t>, dosud nebylo metodicky nastaveno, po jak dlouhou dobu od</w:t>
      </w:r>
      <w:r w:rsidR="00925AAF">
        <w:t xml:space="preserve"> </w:t>
      </w:r>
      <w:r w:rsidRPr="00147DEA">
        <w:t>počátku zaměstnání v sociálním podniku lze osobu ze znevýhodněné skupiny stále jako takovou vykazovat. V</w:t>
      </w:r>
      <w:r w:rsidR="00974945" w:rsidRPr="00147DEA">
        <w:t xml:space="preserve"> </w:t>
      </w:r>
      <w:r w:rsidRPr="00147DEA">
        <w:t xml:space="preserve">důsledku toho může být jako </w:t>
      </w:r>
      <w:r w:rsidR="00D22D1C" w:rsidRPr="00147DEA">
        <w:t>„</w:t>
      </w:r>
      <w:r w:rsidRPr="00147DEA">
        <w:t>znevýhodněná</w:t>
      </w:r>
      <w:r w:rsidR="00D22D1C" w:rsidRPr="00147DEA">
        <w:t>“</w:t>
      </w:r>
      <w:r w:rsidRPr="00147DEA">
        <w:t xml:space="preserve"> v</w:t>
      </w:r>
      <w:r w:rsidR="00974945" w:rsidRPr="00147DEA">
        <w:t xml:space="preserve"> </w:t>
      </w:r>
      <w:r w:rsidRPr="00147DEA">
        <w:t xml:space="preserve">sociálním podniku vykazována osoba, která začala v podniku před čtyřmi roky pracovat jako osoba dlouhodobě nezaměstnaná. Takováto osoba </w:t>
      </w:r>
      <w:r w:rsidR="00307756" w:rsidRPr="00147DEA">
        <w:t xml:space="preserve">však </w:t>
      </w:r>
      <w:r w:rsidRPr="00147DEA">
        <w:t>již v</w:t>
      </w:r>
      <w:r w:rsidR="00974945" w:rsidRPr="00147DEA">
        <w:t xml:space="preserve"> </w:t>
      </w:r>
      <w:r w:rsidRPr="00147DEA">
        <w:t xml:space="preserve">daný moment kritéria pro její zařazení mezi dlouhodobě nezaměstnané osoby </w:t>
      </w:r>
      <w:r w:rsidR="00307756" w:rsidRPr="00147DEA">
        <w:t>řadu</w:t>
      </w:r>
      <w:r w:rsidRPr="00147DEA">
        <w:t xml:space="preserve"> let </w:t>
      </w:r>
      <w:r w:rsidR="00377ADD" w:rsidRPr="00147DEA">
        <w:t xml:space="preserve">fakticky </w:t>
      </w:r>
      <w:r w:rsidRPr="00147DEA">
        <w:t xml:space="preserve">nesplňuje. </w:t>
      </w:r>
    </w:p>
    <w:p w14:paraId="4AD21C9E" w14:textId="77777777" w:rsidR="00B91D9D" w:rsidRPr="00147DEA" w:rsidRDefault="007E7B72" w:rsidP="00FD2FD8">
      <w:pPr>
        <w:pStyle w:val="JK4"/>
        <w:keepNext w:val="0"/>
        <w:tabs>
          <w:tab w:val="left" w:pos="567"/>
        </w:tabs>
      </w:pPr>
      <w:r w:rsidRPr="00147DEA">
        <w:t xml:space="preserve">Pro naplnění </w:t>
      </w:r>
      <w:r w:rsidRPr="00147DEA">
        <w:rPr>
          <w:i/>
        </w:rPr>
        <w:t>společensky prospěšného cíle zaměstnávání osob ze znevýhodněných skupin</w:t>
      </w:r>
      <w:r w:rsidRPr="00147DEA">
        <w:t xml:space="preserve"> je nezbytné, aby se těmto osobám dostalo v sociálním podniku péče respektující jejich individuální specifické potřeby. Jedním z hlavních nástrojů směřujících k zajištění tohoto stavu je používání takových personálních nástrojů, které podporují rozvoj a integraci těchto zaměstnanců. V případě IROP však byl odpovídající princip nastaven pouze jako doporučující, </w:t>
      </w:r>
      <w:r w:rsidR="00923EF1" w:rsidRPr="00147DEA">
        <w:t>nikoliv povinný</w:t>
      </w:r>
      <w:r w:rsidRPr="00147DEA">
        <w:t xml:space="preserve">. MMR pro prokazování naplnění tohoto principu ani nenastavilo potřebné postupy, jak jeho plnění dokládat. Jak v případě </w:t>
      </w:r>
      <w:r w:rsidR="008C7CC3" w:rsidRPr="00147DEA">
        <w:t>OPZ</w:t>
      </w:r>
      <w:r w:rsidRPr="00147DEA">
        <w:t xml:space="preserve">, tak v případě </w:t>
      </w:r>
      <w:r w:rsidR="008C7CC3" w:rsidRPr="00147DEA">
        <w:t>IROP</w:t>
      </w:r>
      <w:r w:rsidRPr="00147DEA">
        <w:t xml:space="preserve"> dále </w:t>
      </w:r>
      <w:r w:rsidRPr="00147DEA">
        <w:rPr>
          <w:rFonts w:cs="Calibri"/>
        </w:rPr>
        <w:t xml:space="preserve">není z vymezení jednoznačně patrné, jaký je žádoucí cílový stav či určitá nezbytná </w:t>
      </w:r>
      <w:r w:rsidR="004553C8" w:rsidRPr="00147DEA">
        <w:rPr>
          <w:rFonts w:cs="Calibri"/>
        </w:rPr>
        <w:t xml:space="preserve">úroveň </w:t>
      </w:r>
      <w:r w:rsidRPr="00147DEA">
        <w:rPr>
          <w:rFonts w:cs="Calibri"/>
        </w:rPr>
        <w:t>naplnění tohoto principu. Rozsah činností uskutečněných u jednotlivých příjemců podpory, způsob jejich prokazování a dosažený výsledný stav se tak mezi příjemci podpory významně odlišovaly, jak je patrné z příkladu č. 2:</w:t>
      </w:r>
    </w:p>
    <w:p w14:paraId="79A0B495" w14:textId="77777777" w:rsidR="000B4844" w:rsidRPr="00A02FA0" w:rsidRDefault="000B4844" w:rsidP="00AF1141">
      <w:pPr>
        <w:keepNext/>
        <w:pBdr>
          <w:top w:val="single" w:sz="4" w:space="1" w:color="auto"/>
          <w:left w:val="single" w:sz="4" w:space="4" w:color="auto"/>
          <w:bottom w:val="single" w:sz="4" w:space="1" w:color="auto"/>
          <w:right w:val="single" w:sz="4" w:space="4" w:color="auto"/>
        </w:pBdr>
        <w:spacing w:after="120" w:line="240" w:lineRule="auto"/>
        <w:jc w:val="both"/>
        <w:rPr>
          <w:b/>
          <w:color w:val="004595"/>
          <w:sz w:val="24"/>
          <w:szCs w:val="24"/>
        </w:rPr>
      </w:pPr>
      <w:bookmarkStart w:id="12" w:name="_Hlk98846430"/>
      <w:r w:rsidRPr="00A02FA0">
        <w:rPr>
          <w:b/>
          <w:color w:val="004595"/>
          <w:sz w:val="24"/>
          <w:szCs w:val="24"/>
        </w:rPr>
        <w:t xml:space="preserve">Příklad č. </w:t>
      </w:r>
      <w:r>
        <w:rPr>
          <w:b/>
          <w:color w:val="004595"/>
          <w:sz w:val="24"/>
          <w:szCs w:val="24"/>
        </w:rPr>
        <w:t>2</w:t>
      </w:r>
    </w:p>
    <w:p w14:paraId="253CBA82" w14:textId="77777777" w:rsidR="00A41AC4" w:rsidRDefault="00E42D97" w:rsidP="0027290E">
      <w:pPr>
        <w:pBdr>
          <w:top w:val="single" w:sz="4" w:space="1" w:color="auto"/>
          <w:left w:val="single" w:sz="4" w:space="4" w:color="auto"/>
          <w:bottom w:val="single" w:sz="4" w:space="1" w:color="auto"/>
          <w:right w:val="single" w:sz="4" w:space="4" w:color="auto"/>
        </w:pBdr>
        <w:spacing w:after="120" w:line="240" w:lineRule="auto"/>
        <w:jc w:val="both"/>
        <w:rPr>
          <w:i/>
          <w:sz w:val="24"/>
          <w:szCs w:val="24"/>
        </w:rPr>
      </w:pPr>
      <w:r>
        <w:rPr>
          <w:i/>
          <w:sz w:val="24"/>
          <w:szCs w:val="24"/>
        </w:rPr>
        <w:t>Příjemce podpory projektu č. 3498</w:t>
      </w:r>
      <w:r w:rsidR="008761F9">
        <w:rPr>
          <w:i/>
          <w:sz w:val="24"/>
          <w:szCs w:val="24"/>
        </w:rPr>
        <w:t xml:space="preserve"> (IROP)</w:t>
      </w:r>
      <w:r>
        <w:rPr>
          <w:i/>
          <w:sz w:val="24"/>
          <w:szCs w:val="24"/>
        </w:rPr>
        <w:t xml:space="preserve"> v podnikatelském plánu předpokládal, že </w:t>
      </w:r>
      <w:r w:rsidR="001E0A3E">
        <w:rPr>
          <w:i/>
          <w:sz w:val="24"/>
          <w:szCs w:val="24"/>
        </w:rPr>
        <w:t>každý zaměstnanec z cílové skupiny absolvuje v prvním roce realizace projektu sedm školení. Ve skutečnosti došlo pouze k proškolení na práci s pořízeným strojem a část zaměstnanců absolvovala školení základů finanční gramotnosti. Individuální vzdělávací plán zaměstnanců nebyl realizován.</w:t>
      </w:r>
    </w:p>
    <w:p w14:paraId="25CBC2CD" w14:textId="77777777" w:rsidR="001E0A3E" w:rsidRPr="001E0A3E" w:rsidRDefault="001E0A3E" w:rsidP="0027290E">
      <w:pPr>
        <w:pBdr>
          <w:top w:val="single" w:sz="4" w:space="1" w:color="auto"/>
          <w:left w:val="single" w:sz="4" w:space="4" w:color="auto"/>
          <w:bottom w:val="single" w:sz="4" w:space="1" w:color="auto"/>
          <w:right w:val="single" w:sz="4" w:space="4" w:color="auto"/>
        </w:pBdr>
        <w:spacing w:after="120" w:line="240" w:lineRule="auto"/>
        <w:jc w:val="both"/>
        <w:rPr>
          <w:i/>
          <w:sz w:val="24"/>
          <w:szCs w:val="24"/>
        </w:rPr>
      </w:pPr>
      <w:r w:rsidRPr="001E0A3E">
        <w:rPr>
          <w:i/>
          <w:sz w:val="24"/>
          <w:szCs w:val="24"/>
        </w:rPr>
        <w:t xml:space="preserve">Oproti tomu </w:t>
      </w:r>
      <w:r w:rsidR="00B76F26">
        <w:rPr>
          <w:i/>
          <w:sz w:val="24"/>
          <w:szCs w:val="24"/>
        </w:rPr>
        <w:t>v případě projektu č. 3365</w:t>
      </w:r>
      <w:r w:rsidR="008761F9">
        <w:rPr>
          <w:i/>
          <w:sz w:val="24"/>
          <w:szCs w:val="24"/>
        </w:rPr>
        <w:t xml:space="preserve"> (IROP)</w:t>
      </w:r>
      <w:r w:rsidR="00B76F26">
        <w:rPr>
          <w:i/>
          <w:sz w:val="24"/>
          <w:szCs w:val="24"/>
        </w:rPr>
        <w:t xml:space="preserve"> byly pro každého zaměstnance z cílových skupin zpracovány individuální rozvojové plány, probíhal </w:t>
      </w:r>
      <w:r w:rsidR="00622701">
        <w:rPr>
          <w:i/>
          <w:sz w:val="24"/>
          <w:szCs w:val="24"/>
        </w:rPr>
        <w:t xml:space="preserve">jak systém interního </w:t>
      </w:r>
      <w:proofErr w:type="spellStart"/>
      <w:r w:rsidR="00974945">
        <w:rPr>
          <w:i/>
          <w:sz w:val="24"/>
          <w:szCs w:val="24"/>
        </w:rPr>
        <w:t>coachingu</w:t>
      </w:r>
      <w:proofErr w:type="spellEnd"/>
      <w:r w:rsidR="00974945">
        <w:rPr>
          <w:i/>
          <w:sz w:val="24"/>
          <w:szCs w:val="24"/>
        </w:rPr>
        <w:t xml:space="preserve"> </w:t>
      </w:r>
      <w:r w:rsidR="00622701">
        <w:rPr>
          <w:i/>
          <w:sz w:val="24"/>
          <w:szCs w:val="24"/>
        </w:rPr>
        <w:t>a psychosociální podpora poskytovaná odborně vzdělanými osobami s praxí, tak externí školení a stáže na seznámení se s potřebnými technologiemi, programy a postupy.</w:t>
      </w:r>
      <w:bookmarkEnd w:id="12"/>
    </w:p>
    <w:p w14:paraId="14FD0772" w14:textId="77777777" w:rsidR="00A41AC4" w:rsidRDefault="006B1679" w:rsidP="00FD2FD8">
      <w:pPr>
        <w:pStyle w:val="JK4"/>
        <w:keepNext w:val="0"/>
        <w:tabs>
          <w:tab w:val="left" w:pos="567"/>
        </w:tabs>
        <w:spacing w:after="120"/>
      </w:pPr>
      <w:r>
        <w:t xml:space="preserve">V případě požadavku na to, aby </w:t>
      </w:r>
      <w:r w:rsidRPr="00D95BD7">
        <w:t>zaměstnanci anebo členové byl</w:t>
      </w:r>
      <w:r w:rsidR="001046D7" w:rsidRPr="00D95BD7">
        <w:t>i</w:t>
      </w:r>
      <w:r w:rsidRPr="00D95BD7">
        <w:t xml:space="preserve"> pravidelně a systematicky informováni o chodu podniku, výsledcích hospodaření a naplňování společensky prospěšných cílů a zapojeni do rozhodování o směrování podniku</w:t>
      </w:r>
      <w:r w:rsidR="001046D7">
        <w:t>,</w:t>
      </w:r>
      <w:r>
        <w:t xml:space="preserve"> nebyla ani v případě OPZ, ani v případě IROP </w:t>
      </w:r>
      <w:r w:rsidR="001046D7">
        <w:t xml:space="preserve">nastavena </w:t>
      </w:r>
      <w:r>
        <w:t xml:space="preserve">pravidla dostatečně takovým způsobem, aby bylo </w:t>
      </w:r>
      <w:r w:rsidRPr="006B1679">
        <w:t xml:space="preserve">patrné, jaký je žádoucí cílový stav či určitá nezbytná </w:t>
      </w:r>
      <w:r w:rsidR="00805948">
        <w:t xml:space="preserve">úroveň </w:t>
      </w:r>
      <w:r w:rsidRPr="006B1679">
        <w:t>naplnění tohoto znaku.</w:t>
      </w:r>
      <w:r>
        <w:t xml:space="preserve"> </w:t>
      </w:r>
      <w:r w:rsidR="0054488E">
        <w:t>Následující příklad</w:t>
      </w:r>
      <w:r>
        <w:t xml:space="preserve"> č. 3</w:t>
      </w:r>
      <w:r w:rsidR="0054488E">
        <w:t xml:space="preserve"> znázorňuje, jaká </w:t>
      </w:r>
      <w:r w:rsidR="004553C8">
        <w:t xml:space="preserve">úroveň </w:t>
      </w:r>
      <w:r w:rsidR="0054488E">
        <w:t>plnění byla ze strany poskytovatele podpor</w:t>
      </w:r>
      <w:r w:rsidR="007E7B72">
        <w:t>y</w:t>
      </w:r>
      <w:r w:rsidR="0054488E">
        <w:t xml:space="preserve"> akceptovatelná:</w:t>
      </w:r>
    </w:p>
    <w:p w14:paraId="4A135324" w14:textId="77777777" w:rsidR="006B1679" w:rsidRPr="00A02FA0" w:rsidRDefault="006B1679" w:rsidP="0027290E">
      <w:pPr>
        <w:pBdr>
          <w:top w:val="single" w:sz="4" w:space="1" w:color="auto"/>
          <w:left w:val="single" w:sz="4" w:space="4" w:color="auto"/>
          <w:bottom w:val="single" w:sz="4" w:space="1" w:color="auto"/>
          <w:right w:val="single" w:sz="4" w:space="4" w:color="auto"/>
        </w:pBdr>
        <w:spacing w:before="120" w:after="120" w:line="240" w:lineRule="auto"/>
        <w:jc w:val="both"/>
        <w:rPr>
          <w:b/>
          <w:color w:val="004595"/>
          <w:sz w:val="24"/>
          <w:szCs w:val="24"/>
        </w:rPr>
      </w:pPr>
      <w:bookmarkStart w:id="13" w:name="_Hlk98853164"/>
      <w:r w:rsidRPr="00A02FA0">
        <w:rPr>
          <w:b/>
          <w:color w:val="004595"/>
          <w:sz w:val="24"/>
          <w:szCs w:val="24"/>
        </w:rPr>
        <w:t xml:space="preserve">Příklad č. </w:t>
      </w:r>
      <w:r>
        <w:rPr>
          <w:b/>
          <w:color w:val="004595"/>
          <w:sz w:val="24"/>
          <w:szCs w:val="24"/>
        </w:rPr>
        <w:t>3</w:t>
      </w:r>
    </w:p>
    <w:bookmarkEnd w:id="13"/>
    <w:p w14:paraId="626964CB" w14:textId="77777777" w:rsidR="006B1679" w:rsidRPr="0054488E" w:rsidRDefault="007E7B72" w:rsidP="0027290E">
      <w:pPr>
        <w:pBdr>
          <w:top w:val="single" w:sz="4" w:space="1" w:color="auto"/>
          <w:left w:val="single" w:sz="4" w:space="4" w:color="auto"/>
          <w:bottom w:val="single" w:sz="4" w:space="1" w:color="auto"/>
          <w:right w:val="single" w:sz="4" w:space="4" w:color="auto"/>
        </w:pBdr>
        <w:spacing w:before="120" w:after="120" w:line="240" w:lineRule="auto"/>
        <w:jc w:val="both"/>
        <w:rPr>
          <w:i/>
          <w:sz w:val="24"/>
          <w:szCs w:val="24"/>
        </w:rPr>
      </w:pPr>
      <w:r>
        <w:rPr>
          <w:i/>
          <w:sz w:val="24"/>
          <w:szCs w:val="24"/>
        </w:rPr>
        <w:t xml:space="preserve">Příjemce podpory projektu č. 3525 </w:t>
      </w:r>
      <w:r w:rsidR="009F21F5">
        <w:rPr>
          <w:i/>
          <w:sz w:val="24"/>
          <w:szCs w:val="24"/>
        </w:rPr>
        <w:t xml:space="preserve">(IROP) </w:t>
      </w:r>
      <w:r>
        <w:rPr>
          <w:i/>
          <w:sz w:val="24"/>
          <w:szCs w:val="24"/>
        </w:rPr>
        <w:t xml:space="preserve">předložil kontrole NKÚ tři zápisy z porad, které se konaly zhruba v ročních rozestupech. </w:t>
      </w:r>
      <w:r w:rsidR="00405F0F" w:rsidRPr="00405F0F">
        <w:rPr>
          <w:i/>
          <w:sz w:val="24"/>
          <w:szCs w:val="24"/>
        </w:rPr>
        <w:t>Dva z těchto tří zápisů se přitom ani netýkaly celého podniku, ale pouze jedné ze dvou provozoven</w:t>
      </w:r>
      <w:r>
        <w:rPr>
          <w:i/>
          <w:sz w:val="24"/>
          <w:szCs w:val="24"/>
        </w:rPr>
        <w:t xml:space="preserve">. Ze zápisů vyplývá, že na těchto poradách se řešily pouze </w:t>
      </w:r>
      <w:r w:rsidR="009F21F5">
        <w:rPr>
          <w:i/>
          <w:sz w:val="24"/>
          <w:szCs w:val="24"/>
        </w:rPr>
        <w:t xml:space="preserve">běžné </w:t>
      </w:r>
      <w:r>
        <w:rPr>
          <w:i/>
          <w:sz w:val="24"/>
          <w:szCs w:val="24"/>
        </w:rPr>
        <w:t xml:space="preserve">provozní záležitosti podniku. Ze zápisů není patrné, že by příjemce podpory </w:t>
      </w:r>
      <w:r w:rsidRPr="00BA3463">
        <w:rPr>
          <w:i/>
          <w:sz w:val="24"/>
          <w:szCs w:val="24"/>
        </w:rPr>
        <w:t>v</w:t>
      </w:r>
      <w:r>
        <w:rPr>
          <w:i/>
          <w:sz w:val="24"/>
          <w:szCs w:val="24"/>
        </w:rPr>
        <w:t> </w:t>
      </w:r>
      <w:r w:rsidRPr="00BA3463">
        <w:rPr>
          <w:i/>
          <w:sz w:val="24"/>
          <w:szCs w:val="24"/>
        </w:rPr>
        <w:t xml:space="preserve">rámci porad informoval zaměstnance o </w:t>
      </w:r>
      <w:r>
        <w:rPr>
          <w:i/>
          <w:sz w:val="24"/>
          <w:szCs w:val="24"/>
        </w:rPr>
        <w:t xml:space="preserve">naplňování společensky prospěšných </w:t>
      </w:r>
      <w:r w:rsidRPr="00BA3463">
        <w:rPr>
          <w:i/>
          <w:sz w:val="24"/>
          <w:szCs w:val="24"/>
        </w:rPr>
        <w:t>cíl</w:t>
      </w:r>
      <w:r>
        <w:rPr>
          <w:i/>
          <w:sz w:val="24"/>
          <w:szCs w:val="24"/>
        </w:rPr>
        <w:t>ů</w:t>
      </w:r>
      <w:r w:rsidRPr="00BA3463">
        <w:rPr>
          <w:i/>
          <w:sz w:val="24"/>
          <w:szCs w:val="24"/>
        </w:rPr>
        <w:t xml:space="preserve"> sociálního podniku </w:t>
      </w:r>
      <w:r>
        <w:rPr>
          <w:i/>
          <w:sz w:val="24"/>
          <w:szCs w:val="24"/>
        </w:rPr>
        <w:t>nebo že by bylo zaměstnancům podniku umožněno zapojit se do rozhodování o</w:t>
      </w:r>
      <w:r w:rsidR="00184413">
        <w:rPr>
          <w:i/>
          <w:sz w:val="24"/>
          <w:szCs w:val="24"/>
        </w:rPr>
        <w:t> </w:t>
      </w:r>
      <w:r>
        <w:rPr>
          <w:i/>
          <w:sz w:val="24"/>
          <w:szCs w:val="24"/>
        </w:rPr>
        <w:t>směrování podniku.</w:t>
      </w:r>
    </w:p>
    <w:p w14:paraId="004C9BFD" w14:textId="77777777" w:rsidR="007E7B72" w:rsidRPr="007E7B72" w:rsidRDefault="007E7B72" w:rsidP="00357C61">
      <w:pPr>
        <w:numPr>
          <w:ilvl w:val="0"/>
          <w:numId w:val="5"/>
        </w:numPr>
        <w:tabs>
          <w:tab w:val="left" w:pos="567"/>
        </w:tabs>
        <w:spacing w:before="120" w:after="120" w:line="240" w:lineRule="auto"/>
        <w:ind w:left="0" w:firstLine="0"/>
        <w:jc w:val="both"/>
        <w:rPr>
          <w:rFonts w:ascii="Calibri" w:eastAsia="Times New Roman" w:hAnsi="Calibri" w:cs="Times New Roman"/>
          <w:color w:val="000000"/>
          <w:sz w:val="24"/>
          <w:szCs w:val="24"/>
          <w:lang w:eastAsia="cs-CZ"/>
        </w:rPr>
      </w:pPr>
      <w:r w:rsidRPr="007E7B72">
        <w:rPr>
          <w:rFonts w:ascii="Calibri" w:eastAsia="Times New Roman" w:hAnsi="Calibri" w:cs="Times New Roman"/>
          <w:color w:val="000000"/>
          <w:sz w:val="24"/>
          <w:szCs w:val="24"/>
          <w:lang w:eastAsia="cs-CZ"/>
        </w:rPr>
        <w:t xml:space="preserve">V případě principu požadujícího, aby </w:t>
      </w:r>
      <w:r w:rsidRPr="00D95BD7">
        <w:rPr>
          <w:rFonts w:ascii="Calibri" w:eastAsia="Times New Roman" w:hAnsi="Calibri" w:cs="Times New Roman"/>
          <w:i/>
          <w:color w:val="000000"/>
          <w:sz w:val="24"/>
          <w:szCs w:val="24"/>
          <w:lang w:eastAsia="cs-CZ"/>
        </w:rPr>
        <w:t>minimálně 51 % případného zisku bylo reinvestováno zpět do rozvoje sociálního podniku</w:t>
      </w:r>
      <w:r>
        <w:rPr>
          <w:rFonts w:ascii="Calibri" w:eastAsia="Times New Roman" w:hAnsi="Calibri" w:cs="Times New Roman"/>
          <w:color w:val="000000"/>
          <w:sz w:val="24"/>
          <w:szCs w:val="24"/>
          <w:lang w:eastAsia="cs-CZ"/>
        </w:rPr>
        <w:t>,</w:t>
      </w:r>
      <w:r w:rsidRPr="007E7B72">
        <w:rPr>
          <w:rFonts w:ascii="Calibri" w:eastAsia="Times New Roman" w:hAnsi="Calibri" w:cs="Times New Roman"/>
          <w:color w:val="000000"/>
          <w:sz w:val="24"/>
          <w:szCs w:val="24"/>
          <w:lang w:eastAsia="cs-CZ"/>
        </w:rPr>
        <w:t xml:space="preserve"> se v praxi ukázalo, že prokazování plnění je problematické zejména v případě projektů OPZ, u kterých není stanovena doba udržitelnosti a projekty zpravidla trvají dva roky. Nastávají běžně případy, že dvouletá doba trvání projektu začíná běžet v průběhu kalendářního (a tedy i účetního) roku. MPSV tak </w:t>
      </w:r>
      <w:r w:rsidR="001D28E0">
        <w:rPr>
          <w:rFonts w:ascii="Calibri" w:eastAsia="Times New Roman" w:hAnsi="Calibri" w:cs="Times New Roman"/>
          <w:color w:val="000000"/>
          <w:sz w:val="24"/>
          <w:szCs w:val="24"/>
          <w:lang w:eastAsia="cs-CZ"/>
        </w:rPr>
        <w:t xml:space="preserve">často </w:t>
      </w:r>
      <w:r w:rsidRPr="007E7B72">
        <w:rPr>
          <w:rFonts w:ascii="Calibri" w:eastAsia="Times New Roman" w:hAnsi="Calibri" w:cs="Times New Roman"/>
          <w:color w:val="000000"/>
          <w:sz w:val="24"/>
          <w:szCs w:val="24"/>
          <w:lang w:eastAsia="cs-CZ"/>
        </w:rPr>
        <w:t xml:space="preserve">při kontrole plnění podmínek během realizace projektů mohlo vycházet z údajů pouze za jedno uzavřené účetní období. </w:t>
      </w:r>
      <w:r w:rsidR="007C1922" w:rsidRPr="007C1922">
        <w:rPr>
          <w:rFonts w:ascii="Calibri" w:eastAsia="Times New Roman" w:hAnsi="Calibri" w:cs="Times New Roman"/>
          <w:color w:val="000000"/>
          <w:sz w:val="24"/>
          <w:szCs w:val="24"/>
          <w:lang w:eastAsia="cs-CZ"/>
        </w:rPr>
        <w:t>K prokázání splnění předepsaných podmínek přitom postačuje ponechání zisku na</w:t>
      </w:r>
      <w:r w:rsidR="00925AAF">
        <w:rPr>
          <w:rFonts w:ascii="Calibri" w:eastAsia="Times New Roman" w:hAnsi="Calibri" w:cs="Times New Roman"/>
          <w:color w:val="000000"/>
          <w:sz w:val="24"/>
          <w:szCs w:val="24"/>
          <w:lang w:eastAsia="cs-CZ"/>
        </w:rPr>
        <w:t xml:space="preserve"> </w:t>
      </w:r>
      <w:r w:rsidR="007C1922" w:rsidRPr="007C1922">
        <w:rPr>
          <w:rFonts w:ascii="Calibri" w:eastAsia="Times New Roman" w:hAnsi="Calibri" w:cs="Times New Roman"/>
          <w:color w:val="000000"/>
          <w:sz w:val="24"/>
          <w:szCs w:val="24"/>
          <w:lang w:eastAsia="cs-CZ"/>
        </w:rPr>
        <w:t xml:space="preserve">účtu nerozděleného zisku, </w:t>
      </w:r>
      <w:r w:rsidR="00925AAF">
        <w:rPr>
          <w:rFonts w:ascii="Calibri" w:eastAsia="Times New Roman" w:hAnsi="Calibri" w:cs="Times New Roman"/>
          <w:color w:val="000000"/>
          <w:sz w:val="24"/>
          <w:szCs w:val="24"/>
          <w:lang w:eastAsia="cs-CZ"/>
        </w:rPr>
        <w:t>tudíž</w:t>
      </w:r>
      <w:r w:rsidR="007C1922" w:rsidRPr="007C1922">
        <w:rPr>
          <w:rFonts w:ascii="Calibri" w:eastAsia="Times New Roman" w:hAnsi="Calibri" w:cs="Times New Roman"/>
          <w:color w:val="000000"/>
          <w:sz w:val="24"/>
          <w:szCs w:val="24"/>
          <w:lang w:eastAsia="cs-CZ"/>
        </w:rPr>
        <w:t xml:space="preserve"> existuje riziko, že zisk nebude následně skutečně reinvestován do rozvoje sociálního podniku.</w:t>
      </w:r>
    </w:p>
    <w:p w14:paraId="1608DD07" w14:textId="77777777" w:rsidR="007E7B72" w:rsidRPr="007E7B72" w:rsidRDefault="007E7B72" w:rsidP="00357C61">
      <w:pPr>
        <w:numPr>
          <w:ilvl w:val="0"/>
          <w:numId w:val="5"/>
        </w:numPr>
        <w:tabs>
          <w:tab w:val="left" w:pos="567"/>
        </w:tabs>
        <w:spacing w:before="120" w:after="120" w:line="240" w:lineRule="auto"/>
        <w:ind w:left="0" w:firstLine="0"/>
        <w:jc w:val="both"/>
        <w:rPr>
          <w:rFonts w:ascii="Calibri" w:eastAsia="Times New Roman" w:hAnsi="Calibri" w:cs="Times New Roman"/>
          <w:color w:val="000000"/>
          <w:sz w:val="24"/>
          <w:szCs w:val="24"/>
          <w:lang w:eastAsia="cs-CZ"/>
        </w:rPr>
      </w:pPr>
      <w:r w:rsidRPr="007E7B72">
        <w:rPr>
          <w:rFonts w:ascii="Calibri" w:eastAsia="Times New Roman" w:hAnsi="Calibri" w:cs="Times New Roman"/>
          <w:color w:val="000000"/>
          <w:sz w:val="24"/>
          <w:szCs w:val="24"/>
          <w:lang w:eastAsia="cs-CZ"/>
        </w:rPr>
        <w:t xml:space="preserve">Po sociálních podnicích se požaduje, aby </w:t>
      </w:r>
      <w:r w:rsidRPr="008B5D9B">
        <w:rPr>
          <w:rFonts w:ascii="Calibri" w:eastAsia="Times New Roman" w:hAnsi="Calibri" w:cs="Times New Roman"/>
          <w:i/>
          <w:color w:val="000000"/>
          <w:sz w:val="24"/>
          <w:szCs w:val="24"/>
          <w:lang w:eastAsia="cs-CZ"/>
        </w:rPr>
        <w:t>alespoň 30 % z celkových výnosů tvořily tržby z prodeje výrobků nebo služeb</w:t>
      </w:r>
      <w:r w:rsidRPr="007E7B72">
        <w:rPr>
          <w:rFonts w:ascii="Calibri" w:eastAsia="Times New Roman" w:hAnsi="Calibri" w:cs="Times New Roman"/>
          <w:color w:val="000000"/>
          <w:sz w:val="24"/>
          <w:szCs w:val="24"/>
          <w:lang w:eastAsia="cs-CZ"/>
        </w:rPr>
        <w:t>. Nejasnosti byly zjištěny v tom, zda do tržeb z prodeje výrobků nebo služeb počítat i tržby z prodeje zboží</w:t>
      </w:r>
      <w:r w:rsidR="00EE4074">
        <w:rPr>
          <w:rFonts w:ascii="Calibri" w:eastAsia="Times New Roman" w:hAnsi="Calibri" w:cs="Times New Roman"/>
          <w:color w:val="000000"/>
          <w:sz w:val="24"/>
          <w:szCs w:val="24"/>
          <w:lang w:eastAsia="cs-CZ"/>
        </w:rPr>
        <w:t>, tedy výrobku nakoupeného od jiného subjektu za účelem dalšího prodeje,</w:t>
      </w:r>
      <w:r w:rsidRPr="007E7B72">
        <w:rPr>
          <w:rFonts w:ascii="Calibri" w:eastAsia="Times New Roman" w:hAnsi="Calibri" w:cs="Times New Roman"/>
          <w:color w:val="000000"/>
          <w:sz w:val="24"/>
          <w:szCs w:val="24"/>
          <w:lang w:eastAsia="cs-CZ"/>
        </w:rPr>
        <w:t xml:space="preserve"> či nikoliv. MPSV dle svého vyjádření umožňovalo tržby z prodeje zboží </w:t>
      </w:r>
      <w:r w:rsidR="00616665">
        <w:rPr>
          <w:rFonts w:ascii="Calibri" w:eastAsia="Times New Roman" w:hAnsi="Calibri" w:cs="Times New Roman"/>
          <w:color w:val="000000"/>
          <w:sz w:val="24"/>
          <w:szCs w:val="24"/>
          <w:lang w:eastAsia="cs-CZ"/>
        </w:rPr>
        <w:t>v</w:t>
      </w:r>
      <w:r w:rsidR="009F21F5">
        <w:rPr>
          <w:rFonts w:ascii="Calibri" w:eastAsia="Times New Roman" w:hAnsi="Calibri" w:cs="Times New Roman"/>
          <w:color w:val="000000"/>
          <w:sz w:val="24"/>
          <w:szCs w:val="24"/>
          <w:lang w:eastAsia="cs-CZ"/>
        </w:rPr>
        <w:t xml:space="preserve"> projektech dotovaných z </w:t>
      </w:r>
      <w:r w:rsidR="00616665">
        <w:rPr>
          <w:rFonts w:ascii="Calibri" w:eastAsia="Times New Roman" w:hAnsi="Calibri" w:cs="Times New Roman"/>
          <w:color w:val="000000"/>
          <w:sz w:val="24"/>
          <w:szCs w:val="24"/>
          <w:lang w:eastAsia="cs-CZ"/>
        </w:rPr>
        <w:t xml:space="preserve">OPZ </w:t>
      </w:r>
      <w:r w:rsidRPr="007E7B72">
        <w:rPr>
          <w:rFonts w:ascii="Calibri" w:eastAsia="Times New Roman" w:hAnsi="Calibri" w:cs="Times New Roman"/>
          <w:color w:val="000000"/>
          <w:sz w:val="24"/>
          <w:szCs w:val="24"/>
          <w:lang w:eastAsia="cs-CZ"/>
        </w:rPr>
        <w:t xml:space="preserve">započítávat, přestože to nebylo z definice </w:t>
      </w:r>
      <w:r w:rsidR="00171283">
        <w:rPr>
          <w:rFonts w:ascii="Calibri" w:eastAsia="Times New Roman" w:hAnsi="Calibri" w:cs="Times New Roman"/>
          <w:color w:val="000000"/>
          <w:sz w:val="24"/>
          <w:szCs w:val="24"/>
          <w:lang w:eastAsia="cs-CZ"/>
        </w:rPr>
        <w:t>principu</w:t>
      </w:r>
      <w:r w:rsidRPr="007E7B72">
        <w:rPr>
          <w:rFonts w:ascii="Calibri" w:eastAsia="Times New Roman" w:hAnsi="Calibri" w:cs="Times New Roman"/>
          <w:color w:val="000000"/>
          <w:sz w:val="24"/>
          <w:szCs w:val="24"/>
          <w:lang w:eastAsia="cs-CZ"/>
        </w:rPr>
        <w:t xml:space="preserve"> a</w:t>
      </w:r>
      <w:r w:rsidR="00FF47C7">
        <w:rPr>
          <w:rFonts w:ascii="Calibri" w:eastAsia="Times New Roman" w:hAnsi="Calibri" w:cs="Times New Roman"/>
          <w:color w:val="000000"/>
          <w:sz w:val="24"/>
          <w:szCs w:val="24"/>
          <w:lang w:eastAsia="cs-CZ"/>
        </w:rPr>
        <w:t> </w:t>
      </w:r>
      <w:r w:rsidRPr="007E7B72">
        <w:rPr>
          <w:rFonts w:ascii="Calibri" w:eastAsia="Times New Roman" w:hAnsi="Calibri" w:cs="Times New Roman"/>
          <w:color w:val="000000"/>
          <w:sz w:val="24"/>
          <w:szCs w:val="24"/>
          <w:lang w:eastAsia="cs-CZ"/>
        </w:rPr>
        <w:t>požadavků na</w:t>
      </w:r>
      <w:r w:rsidR="00925AAF">
        <w:rPr>
          <w:rFonts w:ascii="Calibri" w:eastAsia="Times New Roman" w:hAnsi="Calibri" w:cs="Times New Roman"/>
          <w:color w:val="000000"/>
          <w:sz w:val="24"/>
          <w:szCs w:val="24"/>
          <w:lang w:eastAsia="cs-CZ"/>
        </w:rPr>
        <w:t xml:space="preserve"> </w:t>
      </w:r>
      <w:r w:rsidRPr="007E7B72">
        <w:rPr>
          <w:rFonts w:ascii="Calibri" w:eastAsia="Times New Roman" w:hAnsi="Calibri" w:cs="Times New Roman"/>
          <w:color w:val="000000"/>
          <w:sz w:val="24"/>
          <w:szCs w:val="24"/>
          <w:lang w:eastAsia="cs-CZ"/>
        </w:rPr>
        <w:t>jeho naplnění patrné. V případě IROP byla zjištěna změna přístupu během realizace programu, což dokazuje nejasnosti v chápání významu a</w:t>
      </w:r>
      <w:r w:rsidR="00EF285D">
        <w:rPr>
          <w:rFonts w:ascii="Calibri" w:eastAsia="Times New Roman" w:hAnsi="Calibri" w:cs="Times New Roman"/>
          <w:color w:val="000000"/>
          <w:sz w:val="24"/>
          <w:szCs w:val="24"/>
          <w:lang w:eastAsia="cs-CZ"/>
        </w:rPr>
        <w:t> </w:t>
      </w:r>
      <w:r w:rsidRPr="007E7B72">
        <w:rPr>
          <w:rFonts w:ascii="Calibri" w:eastAsia="Times New Roman" w:hAnsi="Calibri" w:cs="Times New Roman"/>
          <w:color w:val="000000"/>
          <w:sz w:val="24"/>
          <w:szCs w:val="24"/>
          <w:lang w:eastAsia="cs-CZ"/>
        </w:rPr>
        <w:t xml:space="preserve">smyslu tohoto principu. </w:t>
      </w:r>
    </w:p>
    <w:p w14:paraId="6D141E26" w14:textId="77777777" w:rsidR="007E7B72" w:rsidRPr="007E7B72" w:rsidRDefault="007E7B72" w:rsidP="00357C61">
      <w:pPr>
        <w:numPr>
          <w:ilvl w:val="0"/>
          <w:numId w:val="5"/>
        </w:numPr>
        <w:tabs>
          <w:tab w:val="left" w:pos="567"/>
        </w:tabs>
        <w:spacing w:before="120" w:after="120" w:line="240" w:lineRule="auto"/>
        <w:ind w:left="0" w:firstLine="0"/>
        <w:jc w:val="both"/>
        <w:rPr>
          <w:rFonts w:ascii="Calibri" w:eastAsia="Times New Roman" w:hAnsi="Calibri" w:cs="Times New Roman"/>
          <w:color w:val="000000"/>
          <w:sz w:val="24"/>
          <w:szCs w:val="24"/>
          <w:lang w:eastAsia="cs-CZ"/>
        </w:rPr>
      </w:pPr>
      <w:r w:rsidRPr="007E7B72">
        <w:rPr>
          <w:rFonts w:ascii="Calibri" w:eastAsia="Times New Roman" w:hAnsi="Calibri" w:cs="Times New Roman"/>
          <w:color w:val="000000"/>
          <w:sz w:val="24"/>
          <w:szCs w:val="24"/>
          <w:lang w:eastAsia="cs-CZ"/>
        </w:rPr>
        <w:t xml:space="preserve">Po příjemcích podpory se dále požaduje, aby měli formulované </w:t>
      </w:r>
      <w:r w:rsidRPr="008B5D9B">
        <w:rPr>
          <w:rFonts w:ascii="Calibri" w:eastAsia="Times New Roman" w:hAnsi="Calibri" w:cs="Times New Roman"/>
          <w:i/>
          <w:color w:val="000000"/>
          <w:sz w:val="24"/>
          <w:szCs w:val="24"/>
          <w:lang w:eastAsia="cs-CZ"/>
        </w:rPr>
        <w:t>zásady environmentálně šetrného podnikání</w:t>
      </w:r>
      <w:r w:rsidRPr="007E7B72">
        <w:rPr>
          <w:rFonts w:ascii="Calibri" w:eastAsia="Times New Roman" w:hAnsi="Calibri" w:cs="Times New Roman"/>
          <w:color w:val="000000"/>
          <w:sz w:val="24"/>
          <w:szCs w:val="24"/>
          <w:lang w:eastAsia="cs-CZ"/>
        </w:rPr>
        <w:t xml:space="preserve"> a tyto zásady dodržovali v praxi. </w:t>
      </w:r>
      <w:r w:rsidR="00673F13">
        <w:rPr>
          <w:rFonts w:ascii="Calibri" w:eastAsia="Times New Roman" w:hAnsi="Calibri" w:cs="Times New Roman"/>
          <w:color w:val="000000"/>
          <w:sz w:val="24"/>
          <w:szCs w:val="24"/>
          <w:lang w:eastAsia="cs-CZ"/>
        </w:rPr>
        <w:t xml:space="preserve">NKÚ zjistil, že poskytovatelé podpory nedostatečně definovali pravidla určující, jakým způsobem se </w:t>
      </w:r>
      <w:r w:rsidR="0050670F">
        <w:rPr>
          <w:rFonts w:ascii="Calibri" w:eastAsia="Times New Roman" w:hAnsi="Calibri" w:cs="Times New Roman"/>
          <w:color w:val="000000"/>
          <w:sz w:val="24"/>
          <w:szCs w:val="24"/>
          <w:lang w:eastAsia="cs-CZ"/>
        </w:rPr>
        <w:t>dodržování zásad environmentálně šetrného podnikání</w:t>
      </w:r>
      <w:r w:rsidR="00673F13">
        <w:rPr>
          <w:rFonts w:ascii="Calibri" w:eastAsia="Times New Roman" w:hAnsi="Calibri" w:cs="Times New Roman"/>
          <w:color w:val="000000"/>
          <w:sz w:val="24"/>
          <w:szCs w:val="24"/>
          <w:lang w:eastAsia="cs-CZ"/>
        </w:rPr>
        <w:t xml:space="preserve"> mělo ze strany příjemců podpory prokazovat.</w:t>
      </w:r>
      <w:r w:rsidRPr="007E7B72">
        <w:rPr>
          <w:rFonts w:ascii="Calibri" w:eastAsia="Times New Roman" w:hAnsi="Calibri" w:cs="Times New Roman"/>
          <w:color w:val="000000"/>
          <w:sz w:val="24"/>
          <w:szCs w:val="24"/>
          <w:lang w:eastAsia="cs-CZ"/>
        </w:rPr>
        <w:t xml:space="preserve"> </w:t>
      </w:r>
      <w:r w:rsidR="00673F13">
        <w:rPr>
          <w:rFonts w:ascii="Calibri" w:eastAsia="Times New Roman" w:hAnsi="Calibri" w:cs="Times New Roman"/>
          <w:color w:val="000000"/>
          <w:sz w:val="24"/>
          <w:szCs w:val="24"/>
          <w:lang w:eastAsia="cs-CZ"/>
        </w:rPr>
        <w:t>V případě IROP nebyly minimální požadavky vůbec stanoveny, v případě OPZ postačovalo doložení pouhých tří účetních dokladů za nákup ekologicky šetrných výrobků</w:t>
      </w:r>
      <w:r w:rsidR="00EE4074">
        <w:rPr>
          <w:rFonts w:ascii="Calibri" w:eastAsia="Times New Roman" w:hAnsi="Calibri" w:cs="Times New Roman"/>
          <w:color w:val="000000"/>
          <w:sz w:val="24"/>
          <w:szCs w:val="24"/>
          <w:lang w:eastAsia="cs-CZ"/>
        </w:rPr>
        <w:t xml:space="preserve"> (např. čistících prostředků)</w:t>
      </w:r>
      <w:r w:rsidR="0050670F">
        <w:rPr>
          <w:rFonts w:ascii="Calibri" w:eastAsia="Times New Roman" w:hAnsi="Calibri" w:cs="Times New Roman"/>
          <w:color w:val="000000"/>
          <w:sz w:val="24"/>
          <w:szCs w:val="24"/>
          <w:lang w:eastAsia="cs-CZ"/>
        </w:rPr>
        <w:t xml:space="preserve">. Předložení tří účetních dokladů v cenách jednotlivě desítek či stovek </w:t>
      </w:r>
      <w:r w:rsidR="00205EE0">
        <w:rPr>
          <w:rFonts w:ascii="Calibri" w:eastAsia="Times New Roman" w:hAnsi="Calibri" w:cs="Times New Roman"/>
          <w:color w:val="000000"/>
          <w:sz w:val="24"/>
          <w:szCs w:val="24"/>
          <w:lang w:eastAsia="cs-CZ"/>
        </w:rPr>
        <w:t>korun</w:t>
      </w:r>
      <w:r w:rsidR="0050670F">
        <w:rPr>
          <w:rFonts w:ascii="Calibri" w:eastAsia="Times New Roman" w:hAnsi="Calibri" w:cs="Times New Roman"/>
          <w:color w:val="000000"/>
          <w:sz w:val="24"/>
          <w:szCs w:val="24"/>
          <w:lang w:eastAsia="cs-CZ"/>
        </w:rPr>
        <w:t xml:space="preserve">, kterými příjemci podpory </w:t>
      </w:r>
      <w:r w:rsidR="001D28E0">
        <w:rPr>
          <w:rFonts w:ascii="Calibri" w:eastAsia="Times New Roman" w:hAnsi="Calibri" w:cs="Times New Roman"/>
          <w:color w:val="000000"/>
          <w:sz w:val="24"/>
          <w:szCs w:val="24"/>
          <w:lang w:eastAsia="cs-CZ"/>
        </w:rPr>
        <w:t>často</w:t>
      </w:r>
      <w:r w:rsidR="0050670F">
        <w:rPr>
          <w:rFonts w:ascii="Calibri" w:eastAsia="Times New Roman" w:hAnsi="Calibri" w:cs="Times New Roman"/>
          <w:color w:val="000000"/>
          <w:sz w:val="24"/>
          <w:szCs w:val="24"/>
          <w:lang w:eastAsia="cs-CZ"/>
        </w:rPr>
        <w:t xml:space="preserve"> dodržování zásad environmentálně šetrného podnikání deklarovali, </w:t>
      </w:r>
      <w:r w:rsidR="00945D53">
        <w:rPr>
          <w:rFonts w:ascii="Calibri" w:eastAsia="Times New Roman" w:hAnsi="Calibri" w:cs="Times New Roman"/>
          <w:color w:val="000000"/>
          <w:sz w:val="24"/>
          <w:szCs w:val="24"/>
          <w:lang w:eastAsia="cs-CZ"/>
        </w:rPr>
        <w:t xml:space="preserve">přitom </w:t>
      </w:r>
      <w:r w:rsidRPr="007E7B72">
        <w:rPr>
          <w:rFonts w:ascii="Calibri" w:eastAsia="Times New Roman" w:hAnsi="Calibri" w:cs="Times New Roman"/>
          <w:color w:val="000000"/>
          <w:sz w:val="24"/>
          <w:szCs w:val="24"/>
          <w:lang w:eastAsia="cs-CZ"/>
        </w:rPr>
        <w:t>nemůže poskytnout potřebnou míru jistoty, že sociální podniky skutečně podnikají šetrně k životnímu prostředí.</w:t>
      </w:r>
    </w:p>
    <w:p w14:paraId="37D58063" w14:textId="77777777" w:rsidR="007E7B72" w:rsidRPr="007E7B72" w:rsidRDefault="007E7B72" w:rsidP="00357C61">
      <w:pPr>
        <w:numPr>
          <w:ilvl w:val="0"/>
          <w:numId w:val="5"/>
        </w:numPr>
        <w:tabs>
          <w:tab w:val="left" w:pos="567"/>
        </w:tabs>
        <w:spacing w:before="120" w:after="120" w:line="240" w:lineRule="auto"/>
        <w:ind w:left="0" w:firstLine="0"/>
        <w:jc w:val="both"/>
        <w:rPr>
          <w:rFonts w:ascii="Calibri" w:eastAsia="Times New Roman" w:hAnsi="Calibri" w:cs="Times New Roman"/>
          <w:color w:val="000000"/>
          <w:sz w:val="24"/>
          <w:szCs w:val="24"/>
          <w:lang w:eastAsia="cs-CZ"/>
        </w:rPr>
      </w:pPr>
      <w:r w:rsidRPr="007E7B72">
        <w:rPr>
          <w:rFonts w:ascii="Calibri" w:eastAsia="Times New Roman" w:hAnsi="Calibri" w:cs="Times New Roman"/>
          <w:color w:val="000000"/>
          <w:sz w:val="24"/>
          <w:szCs w:val="24"/>
          <w:lang w:eastAsia="cs-CZ"/>
        </w:rPr>
        <w:t xml:space="preserve">Prostřednictvím podmínek stanovených v kategorii principu </w:t>
      </w:r>
      <w:r w:rsidRPr="007E7B72">
        <w:rPr>
          <w:rFonts w:ascii="Calibri" w:eastAsia="Times New Roman" w:hAnsi="Calibri" w:cs="Times New Roman"/>
          <w:i/>
          <w:color w:val="000000"/>
          <w:sz w:val="24"/>
          <w:szCs w:val="24"/>
          <w:lang w:eastAsia="cs-CZ"/>
        </w:rPr>
        <w:t>místní prospěch</w:t>
      </w:r>
      <w:r w:rsidRPr="007E7B72">
        <w:rPr>
          <w:rFonts w:ascii="Calibri" w:eastAsia="Times New Roman" w:hAnsi="Calibri" w:cs="Times New Roman"/>
          <w:color w:val="000000"/>
          <w:sz w:val="24"/>
          <w:szCs w:val="24"/>
          <w:lang w:eastAsia="cs-CZ"/>
        </w:rPr>
        <w:t xml:space="preserve"> by mělo být zajištěno přednostní uspokojování potřeb místní komunity a místní poptávky, přednostní využívání místních zdrojů a zajištěna spolupráce sociálního podniku s místními aktéry. Minimální míra, kterou poskytovatelé podpory stanovili pro prokázání, že došlo k plnění stanovených podmínek, ale nemůže zajistit, že k požadovaným skutečnostem dochází. K tomu nemohou postačovat pouhé tři účetní doklady odběratelů</w:t>
      </w:r>
      <w:r w:rsidR="005E4718">
        <w:rPr>
          <w:rFonts w:ascii="Calibri" w:eastAsia="Times New Roman" w:hAnsi="Calibri" w:cs="Times New Roman"/>
          <w:color w:val="000000"/>
          <w:sz w:val="24"/>
          <w:szCs w:val="24"/>
          <w:lang w:eastAsia="cs-CZ"/>
        </w:rPr>
        <w:t xml:space="preserve">, resp. </w:t>
      </w:r>
      <w:r w:rsidRPr="007E7B72">
        <w:rPr>
          <w:rFonts w:ascii="Calibri" w:eastAsia="Times New Roman" w:hAnsi="Calibri" w:cs="Times New Roman"/>
          <w:color w:val="000000"/>
          <w:sz w:val="24"/>
          <w:szCs w:val="24"/>
          <w:lang w:eastAsia="cs-CZ"/>
        </w:rPr>
        <w:t>dodavatelů</w:t>
      </w:r>
      <w:r w:rsidR="005E4718">
        <w:rPr>
          <w:rFonts w:ascii="Calibri" w:eastAsia="Times New Roman" w:hAnsi="Calibri" w:cs="Times New Roman"/>
          <w:color w:val="000000"/>
          <w:sz w:val="24"/>
          <w:szCs w:val="24"/>
          <w:lang w:eastAsia="cs-CZ"/>
        </w:rPr>
        <w:t>,</w:t>
      </w:r>
      <w:r w:rsidRPr="007E7B72">
        <w:rPr>
          <w:rFonts w:ascii="Calibri" w:eastAsia="Times New Roman" w:hAnsi="Calibri" w:cs="Times New Roman"/>
          <w:color w:val="000000"/>
          <w:sz w:val="24"/>
          <w:szCs w:val="24"/>
          <w:lang w:eastAsia="cs-CZ"/>
        </w:rPr>
        <w:t xml:space="preserve"> vzniklé za</w:t>
      </w:r>
      <w:r w:rsidR="00205EE0">
        <w:rPr>
          <w:rFonts w:ascii="Calibri" w:eastAsia="Times New Roman" w:hAnsi="Calibri" w:cs="Times New Roman"/>
          <w:color w:val="000000"/>
          <w:sz w:val="24"/>
          <w:szCs w:val="24"/>
          <w:lang w:eastAsia="cs-CZ"/>
        </w:rPr>
        <w:t xml:space="preserve"> </w:t>
      </w:r>
      <w:r w:rsidRPr="007E7B72">
        <w:rPr>
          <w:rFonts w:ascii="Calibri" w:eastAsia="Times New Roman" w:hAnsi="Calibri" w:cs="Times New Roman"/>
          <w:color w:val="000000"/>
          <w:sz w:val="24"/>
          <w:szCs w:val="24"/>
          <w:lang w:eastAsia="cs-CZ"/>
        </w:rPr>
        <w:t>uplynulých 12 měsíců, které jako povinné k</w:t>
      </w:r>
      <w:r w:rsidR="002D7192">
        <w:rPr>
          <w:rFonts w:ascii="Calibri" w:eastAsia="Times New Roman" w:hAnsi="Calibri" w:cs="Times New Roman"/>
          <w:color w:val="000000"/>
          <w:sz w:val="24"/>
          <w:szCs w:val="24"/>
          <w:lang w:eastAsia="cs-CZ"/>
        </w:rPr>
        <w:t> </w:t>
      </w:r>
      <w:r w:rsidRPr="007E7B72">
        <w:rPr>
          <w:rFonts w:ascii="Calibri" w:eastAsia="Times New Roman" w:hAnsi="Calibri" w:cs="Times New Roman"/>
          <w:color w:val="000000"/>
          <w:sz w:val="24"/>
          <w:szCs w:val="24"/>
          <w:lang w:eastAsia="cs-CZ"/>
        </w:rPr>
        <w:t>předložení</w:t>
      </w:r>
      <w:r w:rsidR="002D7192">
        <w:rPr>
          <w:rFonts w:ascii="Calibri" w:eastAsia="Times New Roman" w:hAnsi="Calibri" w:cs="Times New Roman"/>
          <w:color w:val="000000"/>
          <w:sz w:val="24"/>
          <w:szCs w:val="24"/>
          <w:lang w:eastAsia="cs-CZ"/>
        </w:rPr>
        <w:t xml:space="preserve"> v rámci OPZ</w:t>
      </w:r>
      <w:r w:rsidRPr="007E7B72">
        <w:rPr>
          <w:rFonts w:ascii="Calibri" w:eastAsia="Times New Roman" w:hAnsi="Calibri" w:cs="Times New Roman"/>
          <w:color w:val="000000"/>
          <w:sz w:val="24"/>
          <w:szCs w:val="24"/>
          <w:lang w:eastAsia="cs-CZ"/>
        </w:rPr>
        <w:t xml:space="preserve"> stanovilo MPSV. Navíc </w:t>
      </w:r>
      <w:r w:rsidR="005E4718">
        <w:rPr>
          <w:rFonts w:ascii="Calibri" w:eastAsia="Times New Roman" w:hAnsi="Calibri" w:cs="Times New Roman"/>
          <w:color w:val="000000"/>
          <w:sz w:val="24"/>
          <w:szCs w:val="24"/>
          <w:lang w:eastAsia="cs-CZ"/>
        </w:rPr>
        <w:t xml:space="preserve">pro </w:t>
      </w:r>
      <w:r w:rsidRPr="007E7B72">
        <w:rPr>
          <w:rFonts w:ascii="Calibri" w:eastAsia="Times New Roman" w:hAnsi="Calibri" w:cs="Times New Roman"/>
          <w:color w:val="000000"/>
          <w:sz w:val="24"/>
          <w:szCs w:val="24"/>
          <w:lang w:eastAsia="cs-CZ"/>
        </w:rPr>
        <w:t xml:space="preserve">MPSV </w:t>
      </w:r>
      <w:r w:rsidR="005E4718">
        <w:rPr>
          <w:rFonts w:ascii="Calibri" w:eastAsia="Times New Roman" w:hAnsi="Calibri" w:cs="Times New Roman"/>
          <w:color w:val="000000"/>
          <w:sz w:val="24"/>
          <w:szCs w:val="24"/>
          <w:lang w:eastAsia="cs-CZ"/>
        </w:rPr>
        <w:t>bylo dostatečné</w:t>
      </w:r>
      <w:r w:rsidRPr="007E7B72">
        <w:rPr>
          <w:rFonts w:ascii="Calibri" w:eastAsia="Times New Roman" w:hAnsi="Calibri" w:cs="Times New Roman"/>
          <w:color w:val="000000"/>
          <w:sz w:val="24"/>
          <w:szCs w:val="24"/>
          <w:lang w:eastAsia="cs-CZ"/>
        </w:rPr>
        <w:t>, aby sídlo či provozovna odběratelů</w:t>
      </w:r>
      <w:r w:rsidR="00945D53">
        <w:rPr>
          <w:rFonts w:ascii="Calibri" w:eastAsia="Times New Roman" w:hAnsi="Calibri" w:cs="Times New Roman"/>
          <w:color w:val="000000"/>
          <w:sz w:val="24"/>
          <w:szCs w:val="24"/>
          <w:lang w:eastAsia="cs-CZ"/>
        </w:rPr>
        <w:t xml:space="preserve"> či </w:t>
      </w:r>
      <w:r w:rsidRPr="007E7B72">
        <w:rPr>
          <w:rFonts w:ascii="Calibri" w:eastAsia="Times New Roman" w:hAnsi="Calibri" w:cs="Times New Roman"/>
          <w:color w:val="000000"/>
          <w:sz w:val="24"/>
          <w:szCs w:val="24"/>
          <w:lang w:eastAsia="cs-CZ"/>
        </w:rPr>
        <w:t xml:space="preserve">dodavatelů byly umístěny nejdále v sousedním kraji nebo </w:t>
      </w:r>
      <w:r w:rsidR="005E4718">
        <w:rPr>
          <w:rFonts w:ascii="Calibri" w:eastAsia="Times New Roman" w:hAnsi="Calibri" w:cs="Times New Roman"/>
          <w:color w:val="000000"/>
          <w:sz w:val="24"/>
          <w:szCs w:val="24"/>
          <w:lang w:eastAsia="cs-CZ"/>
        </w:rPr>
        <w:t>v </w:t>
      </w:r>
      <w:r w:rsidRPr="007E7B72">
        <w:rPr>
          <w:rFonts w:ascii="Calibri" w:eastAsia="Times New Roman" w:hAnsi="Calibri" w:cs="Times New Roman"/>
          <w:color w:val="000000"/>
          <w:sz w:val="24"/>
          <w:szCs w:val="24"/>
          <w:lang w:eastAsia="cs-CZ"/>
        </w:rPr>
        <w:t xml:space="preserve">přeshraničním regionu. Takovéto územní vymezení lokální (místní) princip </w:t>
      </w:r>
      <w:r w:rsidR="009F21F5">
        <w:rPr>
          <w:rFonts w:ascii="Calibri" w:eastAsia="Times New Roman" w:hAnsi="Calibri" w:cs="Times New Roman"/>
          <w:color w:val="000000"/>
          <w:sz w:val="24"/>
          <w:szCs w:val="24"/>
          <w:lang w:eastAsia="cs-CZ"/>
        </w:rPr>
        <w:t xml:space="preserve">prospěchu </w:t>
      </w:r>
      <w:r w:rsidRPr="007E7B72">
        <w:rPr>
          <w:rFonts w:ascii="Calibri" w:eastAsia="Times New Roman" w:hAnsi="Calibri" w:cs="Times New Roman"/>
          <w:color w:val="000000"/>
          <w:sz w:val="24"/>
          <w:szCs w:val="24"/>
          <w:lang w:eastAsia="cs-CZ"/>
        </w:rPr>
        <w:t xml:space="preserve">dostatečně </w:t>
      </w:r>
      <w:r w:rsidR="005E4718">
        <w:rPr>
          <w:rFonts w:ascii="Calibri" w:eastAsia="Times New Roman" w:hAnsi="Calibri" w:cs="Times New Roman"/>
          <w:color w:val="000000"/>
          <w:sz w:val="24"/>
          <w:szCs w:val="24"/>
          <w:lang w:eastAsia="cs-CZ"/>
        </w:rPr>
        <w:t>ne</w:t>
      </w:r>
      <w:r w:rsidRPr="007E7B72">
        <w:rPr>
          <w:rFonts w:ascii="Calibri" w:eastAsia="Times New Roman" w:hAnsi="Calibri" w:cs="Times New Roman"/>
          <w:color w:val="000000"/>
          <w:sz w:val="24"/>
          <w:szCs w:val="24"/>
          <w:lang w:eastAsia="cs-CZ"/>
        </w:rPr>
        <w:t>akcentuje</w:t>
      </w:r>
      <w:r w:rsidR="005E4718">
        <w:rPr>
          <w:rFonts w:ascii="Calibri" w:eastAsia="Times New Roman" w:hAnsi="Calibri" w:cs="Times New Roman"/>
          <w:color w:val="000000"/>
          <w:sz w:val="24"/>
          <w:szCs w:val="24"/>
          <w:lang w:eastAsia="cs-CZ"/>
        </w:rPr>
        <w:t xml:space="preserve"> a nelze j</w:t>
      </w:r>
      <w:r w:rsidR="00AA3DE6">
        <w:rPr>
          <w:rFonts w:ascii="Calibri" w:eastAsia="Times New Roman" w:hAnsi="Calibri" w:cs="Times New Roman"/>
          <w:color w:val="000000"/>
          <w:sz w:val="24"/>
          <w:szCs w:val="24"/>
          <w:lang w:eastAsia="cs-CZ"/>
        </w:rPr>
        <w:t>í</w:t>
      </w:r>
      <w:r w:rsidR="005E4718">
        <w:rPr>
          <w:rFonts w:ascii="Calibri" w:eastAsia="Times New Roman" w:hAnsi="Calibri" w:cs="Times New Roman"/>
          <w:color w:val="000000"/>
          <w:sz w:val="24"/>
          <w:szCs w:val="24"/>
          <w:lang w:eastAsia="cs-CZ"/>
        </w:rPr>
        <w:t xml:space="preserve">m prokazovat přednostní uspokojování potřeb místní komunity a místní </w:t>
      </w:r>
      <w:r w:rsidR="00B02E8E">
        <w:rPr>
          <w:rFonts w:ascii="Calibri" w:eastAsia="Times New Roman" w:hAnsi="Calibri" w:cs="Times New Roman"/>
          <w:color w:val="000000"/>
          <w:sz w:val="24"/>
          <w:szCs w:val="24"/>
          <w:lang w:eastAsia="cs-CZ"/>
        </w:rPr>
        <w:t>poptávky nebo přednostní využívání místních zdrojů.</w:t>
      </w:r>
      <w:r w:rsidRPr="007E7B72">
        <w:rPr>
          <w:rFonts w:ascii="Calibri" w:eastAsia="Times New Roman" w:hAnsi="Calibri" w:cs="Times New Roman"/>
          <w:color w:val="000000"/>
          <w:sz w:val="24"/>
          <w:szCs w:val="24"/>
          <w:lang w:eastAsia="cs-CZ"/>
        </w:rPr>
        <w:t xml:space="preserve"> Příjemce např. ze západního okraje Středočeského kraje tak podmínku </w:t>
      </w:r>
      <w:r w:rsidR="00AA3DE6" w:rsidRPr="00AA3DE6">
        <w:rPr>
          <w:rFonts w:ascii="Calibri" w:eastAsia="Times New Roman" w:hAnsi="Calibri" w:cs="Times New Roman"/>
          <w:i/>
          <w:color w:val="000000"/>
          <w:sz w:val="24"/>
          <w:szCs w:val="24"/>
          <w:lang w:eastAsia="cs-CZ"/>
        </w:rPr>
        <w:t>místního prospěchu</w:t>
      </w:r>
      <w:r w:rsidR="00AA3DE6">
        <w:rPr>
          <w:rFonts w:ascii="Calibri" w:eastAsia="Times New Roman" w:hAnsi="Calibri" w:cs="Times New Roman"/>
          <w:color w:val="000000"/>
          <w:sz w:val="24"/>
          <w:szCs w:val="24"/>
          <w:lang w:eastAsia="cs-CZ"/>
        </w:rPr>
        <w:t xml:space="preserve"> může </w:t>
      </w:r>
      <w:r w:rsidRPr="007E7B72">
        <w:rPr>
          <w:rFonts w:ascii="Calibri" w:eastAsia="Times New Roman" w:hAnsi="Calibri" w:cs="Times New Roman"/>
          <w:color w:val="000000"/>
          <w:sz w:val="24"/>
          <w:szCs w:val="24"/>
          <w:lang w:eastAsia="cs-CZ"/>
        </w:rPr>
        <w:t>formálně spln</w:t>
      </w:r>
      <w:r w:rsidR="00AA3DE6">
        <w:rPr>
          <w:rFonts w:ascii="Calibri" w:eastAsia="Times New Roman" w:hAnsi="Calibri" w:cs="Times New Roman"/>
          <w:color w:val="000000"/>
          <w:sz w:val="24"/>
          <w:szCs w:val="24"/>
          <w:lang w:eastAsia="cs-CZ"/>
        </w:rPr>
        <w:t>it</w:t>
      </w:r>
      <w:r w:rsidRPr="007E7B72">
        <w:rPr>
          <w:rFonts w:ascii="Calibri" w:eastAsia="Times New Roman" w:hAnsi="Calibri" w:cs="Times New Roman"/>
          <w:color w:val="000000"/>
          <w:sz w:val="24"/>
          <w:szCs w:val="24"/>
          <w:lang w:eastAsia="cs-CZ"/>
        </w:rPr>
        <w:t xml:space="preserve"> </w:t>
      </w:r>
      <w:r w:rsidR="005E4718">
        <w:rPr>
          <w:rFonts w:ascii="Calibri" w:eastAsia="Times New Roman" w:hAnsi="Calibri" w:cs="Times New Roman"/>
          <w:color w:val="000000"/>
          <w:sz w:val="24"/>
          <w:szCs w:val="24"/>
          <w:lang w:eastAsia="cs-CZ"/>
        </w:rPr>
        <w:t>předložením</w:t>
      </w:r>
      <w:r w:rsidRPr="007E7B72">
        <w:rPr>
          <w:rFonts w:ascii="Calibri" w:eastAsia="Times New Roman" w:hAnsi="Calibri" w:cs="Times New Roman"/>
          <w:color w:val="000000"/>
          <w:sz w:val="24"/>
          <w:szCs w:val="24"/>
          <w:lang w:eastAsia="cs-CZ"/>
        </w:rPr>
        <w:t xml:space="preserve"> faktury za odběr zboží či služby od dodavatele z kraje Vysočina vzdáleném od něj </w:t>
      </w:r>
      <w:r w:rsidR="00310DD7">
        <w:rPr>
          <w:rFonts w:ascii="Calibri" w:eastAsia="Times New Roman" w:hAnsi="Calibri" w:cs="Times New Roman"/>
          <w:color w:val="000000"/>
          <w:sz w:val="24"/>
          <w:szCs w:val="24"/>
          <w:lang w:eastAsia="cs-CZ"/>
        </w:rPr>
        <w:t xml:space="preserve">desítky či </w:t>
      </w:r>
      <w:r w:rsidRPr="007E7B72">
        <w:rPr>
          <w:rFonts w:ascii="Calibri" w:eastAsia="Times New Roman" w:hAnsi="Calibri" w:cs="Times New Roman"/>
          <w:color w:val="000000"/>
          <w:sz w:val="24"/>
          <w:szCs w:val="24"/>
          <w:lang w:eastAsia="cs-CZ"/>
        </w:rPr>
        <w:t xml:space="preserve">stovky kilometrů. Podmínky IROP obsahují stejné územní vymezení, přičemž nebylo definováno žádné splnitelné minimum pro doložení naplnění </w:t>
      </w:r>
      <w:r w:rsidR="00AA3DE6">
        <w:rPr>
          <w:rFonts w:ascii="Calibri" w:eastAsia="Times New Roman" w:hAnsi="Calibri" w:cs="Times New Roman"/>
          <w:color w:val="000000"/>
          <w:sz w:val="24"/>
          <w:szCs w:val="24"/>
          <w:lang w:eastAsia="cs-CZ"/>
        </w:rPr>
        <w:t xml:space="preserve">uvedeného </w:t>
      </w:r>
      <w:r w:rsidRPr="007E7B72">
        <w:rPr>
          <w:rFonts w:ascii="Calibri" w:eastAsia="Times New Roman" w:hAnsi="Calibri" w:cs="Times New Roman"/>
          <w:color w:val="000000"/>
          <w:sz w:val="24"/>
          <w:szCs w:val="24"/>
          <w:lang w:eastAsia="cs-CZ"/>
        </w:rPr>
        <w:t xml:space="preserve">principu. </w:t>
      </w:r>
    </w:p>
    <w:p w14:paraId="14AB2744" w14:textId="77777777" w:rsidR="009621E7" w:rsidRPr="00506074" w:rsidRDefault="007E7B72" w:rsidP="00FD2FD8">
      <w:pPr>
        <w:pStyle w:val="JK4"/>
        <w:keepNext w:val="0"/>
        <w:tabs>
          <w:tab w:val="left" w:pos="567"/>
        </w:tabs>
        <w:spacing w:after="120"/>
      </w:pPr>
      <w:r w:rsidRPr="007E7B72">
        <w:rPr>
          <w:rFonts w:eastAsiaTheme="minorHAnsi"/>
        </w:rPr>
        <w:t xml:space="preserve">V případě zajištění </w:t>
      </w:r>
      <w:r w:rsidRPr="008B5D9B">
        <w:rPr>
          <w:rFonts w:eastAsiaTheme="minorHAnsi"/>
          <w:i/>
        </w:rPr>
        <w:t>spolupráce s místními aktéry</w:t>
      </w:r>
      <w:r w:rsidRPr="007E7B72">
        <w:rPr>
          <w:rFonts w:eastAsiaTheme="minorHAnsi"/>
        </w:rPr>
        <w:t xml:space="preserve"> byl pouze stanoven okruh možných vhodných aktérů, aniž by bylo </w:t>
      </w:r>
      <w:r w:rsidR="00B02E8E">
        <w:rPr>
          <w:rFonts w:eastAsiaTheme="minorHAnsi"/>
        </w:rPr>
        <w:t>specifikováno</w:t>
      </w:r>
      <w:r w:rsidRPr="007E7B72">
        <w:rPr>
          <w:rFonts w:eastAsiaTheme="minorHAnsi"/>
        </w:rPr>
        <w:t>, jaké by měly být formy spolupráce nebo co by měly přinášet. U mnoha vybraných projektů bylo zjištěno, že byť spolupráce formálně probíhala, neměla žádné další efekty kromě zajištění odběratelsko-dodavatelských vztahů a</w:t>
      </w:r>
      <w:r w:rsidR="00B02E8E">
        <w:rPr>
          <w:rFonts w:eastAsiaTheme="minorHAnsi"/>
        </w:rPr>
        <w:t> </w:t>
      </w:r>
      <w:r w:rsidRPr="007E7B72">
        <w:rPr>
          <w:rFonts w:eastAsiaTheme="minorHAnsi"/>
        </w:rPr>
        <w:t xml:space="preserve">zaměstnání osob z cílové skupiny v sociálním podniku. </w:t>
      </w:r>
      <w:r w:rsidR="009B02CA">
        <w:t xml:space="preserve">Rozdílnost </w:t>
      </w:r>
      <w:r w:rsidR="00B02E8E">
        <w:t xml:space="preserve">přístupů uplatněných </w:t>
      </w:r>
      <w:r w:rsidR="009B02CA">
        <w:t>příjemci podpory demonstruje příklad č. 4:</w:t>
      </w:r>
    </w:p>
    <w:p w14:paraId="050E1241" w14:textId="77777777" w:rsidR="00506074" w:rsidRDefault="00506074" w:rsidP="00FF47C7">
      <w:pPr>
        <w:pBdr>
          <w:top w:val="single" w:sz="4" w:space="1" w:color="auto"/>
          <w:left w:val="single" w:sz="4" w:space="4" w:color="auto"/>
          <w:bottom w:val="single" w:sz="4" w:space="1" w:color="auto"/>
          <w:right w:val="single" w:sz="4" w:space="4" w:color="auto"/>
        </w:pBdr>
        <w:spacing w:before="120" w:after="120" w:line="240" w:lineRule="auto"/>
        <w:jc w:val="both"/>
        <w:rPr>
          <w:b/>
          <w:color w:val="004595"/>
          <w:sz w:val="24"/>
          <w:szCs w:val="24"/>
        </w:rPr>
      </w:pPr>
      <w:r w:rsidRPr="00506074">
        <w:rPr>
          <w:b/>
          <w:color w:val="004595"/>
          <w:sz w:val="24"/>
          <w:szCs w:val="24"/>
        </w:rPr>
        <w:t>Příklad č. 4</w:t>
      </w:r>
    </w:p>
    <w:p w14:paraId="07DF0416" w14:textId="77777777" w:rsidR="009B02CA" w:rsidRPr="009B02CA" w:rsidRDefault="009B02CA" w:rsidP="00FF47C7">
      <w:pPr>
        <w:pBdr>
          <w:top w:val="single" w:sz="4" w:space="1" w:color="auto"/>
          <w:left w:val="single" w:sz="4" w:space="4" w:color="auto"/>
          <w:bottom w:val="single" w:sz="4" w:space="1" w:color="auto"/>
          <w:right w:val="single" w:sz="4" w:space="4" w:color="auto"/>
        </w:pBdr>
        <w:spacing w:before="120" w:after="120" w:line="240" w:lineRule="auto"/>
        <w:jc w:val="both"/>
        <w:rPr>
          <w:i/>
          <w:sz w:val="24"/>
          <w:szCs w:val="24"/>
        </w:rPr>
      </w:pPr>
      <w:r w:rsidRPr="009B02CA">
        <w:rPr>
          <w:i/>
          <w:sz w:val="24"/>
          <w:szCs w:val="24"/>
        </w:rPr>
        <w:t xml:space="preserve">Příjemce podpory projektu č. 3498 </w:t>
      </w:r>
      <w:r w:rsidR="009F21F5">
        <w:rPr>
          <w:i/>
          <w:sz w:val="24"/>
          <w:szCs w:val="24"/>
        </w:rPr>
        <w:t xml:space="preserve">(IROP) </w:t>
      </w:r>
      <w:r w:rsidRPr="009B02CA">
        <w:rPr>
          <w:i/>
          <w:sz w:val="24"/>
          <w:szCs w:val="24"/>
        </w:rPr>
        <w:t xml:space="preserve">doložil spolupráci s místními aktéry smlouvou, na </w:t>
      </w:r>
      <w:r w:rsidR="00205EE0">
        <w:rPr>
          <w:i/>
          <w:sz w:val="24"/>
          <w:szCs w:val="24"/>
        </w:rPr>
        <w:t xml:space="preserve">jejímž </w:t>
      </w:r>
      <w:r w:rsidRPr="009B02CA">
        <w:rPr>
          <w:i/>
          <w:sz w:val="24"/>
          <w:szCs w:val="24"/>
        </w:rPr>
        <w:t xml:space="preserve">základě </w:t>
      </w:r>
      <w:r w:rsidR="00A73480" w:rsidRPr="009B02CA">
        <w:rPr>
          <w:i/>
          <w:sz w:val="24"/>
          <w:szCs w:val="24"/>
        </w:rPr>
        <w:t>probíh</w:t>
      </w:r>
      <w:r w:rsidR="00A73480">
        <w:rPr>
          <w:i/>
          <w:sz w:val="24"/>
          <w:szCs w:val="24"/>
        </w:rPr>
        <w:t>ala</w:t>
      </w:r>
      <w:r w:rsidR="00A73480" w:rsidRPr="009B02CA">
        <w:rPr>
          <w:i/>
          <w:sz w:val="24"/>
          <w:szCs w:val="24"/>
        </w:rPr>
        <w:t xml:space="preserve"> </w:t>
      </w:r>
      <w:r w:rsidRPr="009B02CA">
        <w:rPr>
          <w:i/>
          <w:sz w:val="24"/>
          <w:szCs w:val="24"/>
        </w:rPr>
        <w:t>spolupráce formou konzultací a prací při vyřizování získávání dotace z IROP a</w:t>
      </w:r>
      <w:r>
        <w:rPr>
          <w:i/>
          <w:sz w:val="24"/>
          <w:szCs w:val="24"/>
        </w:rPr>
        <w:t> </w:t>
      </w:r>
      <w:r w:rsidRPr="009B02CA">
        <w:rPr>
          <w:i/>
          <w:sz w:val="24"/>
          <w:szCs w:val="24"/>
        </w:rPr>
        <w:t xml:space="preserve">následného zpracování zpráv o udržitelnosti. Příjemce dále </w:t>
      </w:r>
      <w:r w:rsidR="00A73480" w:rsidRPr="009B02CA">
        <w:rPr>
          <w:i/>
          <w:sz w:val="24"/>
          <w:szCs w:val="24"/>
        </w:rPr>
        <w:t>spoluprac</w:t>
      </w:r>
      <w:r w:rsidR="00A73480">
        <w:rPr>
          <w:i/>
          <w:sz w:val="24"/>
          <w:szCs w:val="24"/>
        </w:rPr>
        <w:t>oval</w:t>
      </w:r>
      <w:r w:rsidR="00A73480" w:rsidRPr="009B02CA">
        <w:rPr>
          <w:i/>
          <w:sz w:val="24"/>
          <w:szCs w:val="24"/>
        </w:rPr>
        <w:t xml:space="preserve"> </w:t>
      </w:r>
      <w:r w:rsidRPr="009B02CA">
        <w:rPr>
          <w:i/>
          <w:sz w:val="24"/>
          <w:szCs w:val="24"/>
        </w:rPr>
        <w:t>s místním úřadem práce, se kterým ale uzavřenou smlouvu nem</w:t>
      </w:r>
      <w:r w:rsidR="00A73480">
        <w:rPr>
          <w:i/>
          <w:sz w:val="24"/>
          <w:szCs w:val="24"/>
        </w:rPr>
        <w:t>ěl</w:t>
      </w:r>
      <w:r w:rsidRPr="009B02CA">
        <w:rPr>
          <w:i/>
          <w:sz w:val="24"/>
          <w:szCs w:val="24"/>
        </w:rPr>
        <w:t xml:space="preserve"> a jehož prostřednictvím</w:t>
      </w:r>
      <w:r w:rsidR="00EE4074">
        <w:rPr>
          <w:i/>
          <w:sz w:val="24"/>
          <w:szCs w:val="24"/>
        </w:rPr>
        <w:t xml:space="preserve"> </w:t>
      </w:r>
      <w:r w:rsidR="00A73480" w:rsidRPr="009B02CA">
        <w:rPr>
          <w:i/>
          <w:sz w:val="24"/>
          <w:szCs w:val="24"/>
        </w:rPr>
        <w:t>inzer</w:t>
      </w:r>
      <w:r w:rsidR="00A73480">
        <w:rPr>
          <w:i/>
          <w:sz w:val="24"/>
          <w:szCs w:val="24"/>
        </w:rPr>
        <w:t>oval</w:t>
      </w:r>
      <w:r w:rsidR="00A73480" w:rsidRPr="009B02CA">
        <w:rPr>
          <w:i/>
          <w:sz w:val="24"/>
          <w:szCs w:val="24"/>
        </w:rPr>
        <w:t xml:space="preserve"> </w:t>
      </w:r>
      <w:r w:rsidRPr="009B02CA">
        <w:rPr>
          <w:i/>
          <w:sz w:val="24"/>
          <w:szCs w:val="24"/>
        </w:rPr>
        <w:t>volné pracovní pozice. Úřad práce mu na druhou stranu zasíl</w:t>
      </w:r>
      <w:r w:rsidR="00A73480">
        <w:rPr>
          <w:i/>
          <w:sz w:val="24"/>
          <w:szCs w:val="24"/>
        </w:rPr>
        <w:t>al</w:t>
      </w:r>
      <w:r w:rsidRPr="009B02CA">
        <w:rPr>
          <w:i/>
          <w:sz w:val="24"/>
          <w:szCs w:val="24"/>
        </w:rPr>
        <w:t xml:space="preserve"> vhodné uchazeče o</w:t>
      </w:r>
      <w:r w:rsidR="00205EE0">
        <w:rPr>
          <w:i/>
          <w:sz w:val="24"/>
          <w:szCs w:val="24"/>
        </w:rPr>
        <w:t> </w:t>
      </w:r>
      <w:r w:rsidRPr="009B02CA">
        <w:rPr>
          <w:i/>
          <w:sz w:val="24"/>
          <w:szCs w:val="24"/>
        </w:rPr>
        <w:t xml:space="preserve">zaměstnání. Příjemce kontaktoval i místní samosprávu, ale žádná </w:t>
      </w:r>
      <w:r w:rsidR="00B02E8E">
        <w:rPr>
          <w:i/>
          <w:sz w:val="24"/>
          <w:szCs w:val="24"/>
        </w:rPr>
        <w:t xml:space="preserve">formální </w:t>
      </w:r>
      <w:r w:rsidRPr="009B02CA">
        <w:rPr>
          <w:i/>
          <w:sz w:val="24"/>
          <w:szCs w:val="24"/>
        </w:rPr>
        <w:t xml:space="preserve">dohoda nevznikla. Veškerá uskutečněná spolupráce tak </w:t>
      </w:r>
      <w:r w:rsidR="00A73480" w:rsidRPr="009B02CA">
        <w:rPr>
          <w:i/>
          <w:sz w:val="24"/>
          <w:szCs w:val="24"/>
        </w:rPr>
        <w:t>m</w:t>
      </w:r>
      <w:r w:rsidR="00A73480">
        <w:rPr>
          <w:i/>
          <w:sz w:val="24"/>
          <w:szCs w:val="24"/>
        </w:rPr>
        <w:t>ěla</w:t>
      </w:r>
      <w:r w:rsidR="00A73480" w:rsidRPr="009B02CA">
        <w:rPr>
          <w:i/>
          <w:sz w:val="24"/>
          <w:szCs w:val="24"/>
        </w:rPr>
        <w:t xml:space="preserve"> </w:t>
      </w:r>
      <w:r w:rsidRPr="009B02CA">
        <w:rPr>
          <w:i/>
          <w:sz w:val="24"/>
          <w:szCs w:val="24"/>
        </w:rPr>
        <w:t>povahu pouze odběratelsko-dodavatelských vztahů a</w:t>
      </w:r>
      <w:r w:rsidR="008F3DBC">
        <w:rPr>
          <w:i/>
          <w:sz w:val="24"/>
          <w:szCs w:val="24"/>
        </w:rPr>
        <w:t> </w:t>
      </w:r>
      <w:r w:rsidRPr="009B02CA">
        <w:rPr>
          <w:i/>
          <w:sz w:val="24"/>
          <w:szCs w:val="24"/>
        </w:rPr>
        <w:t>spolupráce při zaměstnávání osob bez dalšího přídavného efektu.</w:t>
      </w:r>
    </w:p>
    <w:p w14:paraId="11AC6383" w14:textId="77777777" w:rsidR="00506074" w:rsidRDefault="009B02CA" w:rsidP="00FF47C7">
      <w:pPr>
        <w:pBdr>
          <w:top w:val="single" w:sz="4" w:space="1" w:color="auto"/>
          <w:left w:val="single" w:sz="4" w:space="4" w:color="auto"/>
          <w:bottom w:val="single" w:sz="4" w:space="1" w:color="auto"/>
          <w:right w:val="single" w:sz="4" w:space="4" w:color="auto"/>
        </w:pBdr>
        <w:spacing w:before="120" w:after="120" w:line="240" w:lineRule="auto"/>
        <w:jc w:val="both"/>
      </w:pPr>
      <w:r w:rsidRPr="009B02CA">
        <w:rPr>
          <w:i/>
          <w:sz w:val="24"/>
          <w:szCs w:val="24"/>
        </w:rPr>
        <w:t xml:space="preserve">Příjemce podpory projektu č. 9671 </w:t>
      </w:r>
      <w:r w:rsidR="009F21F5">
        <w:rPr>
          <w:i/>
          <w:sz w:val="24"/>
          <w:szCs w:val="24"/>
        </w:rPr>
        <w:t xml:space="preserve">(OPZ) </w:t>
      </w:r>
      <w:r w:rsidR="00465418">
        <w:rPr>
          <w:i/>
          <w:sz w:val="24"/>
          <w:szCs w:val="24"/>
        </w:rPr>
        <w:t xml:space="preserve">naopak účelně </w:t>
      </w:r>
      <w:r w:rsidRPr="009B02CA">
        <w:rPr>
          <w:i/>
          <w:sz w:val="24"/>
          <w:szCs w:val="24"/>
        </w:rPr>
        <w:t xml:space="preserve">spolupracoval v rámci své činnosti s místními </w:t>
      </w:r>
      <w:r w:rsidR="009F21F5">
        <w:rPr>
          <w:i/>
          <w:sz w:val="24"/>
          <w:szCs w:val="24"/>
        </w:rPr>
        <w:t>orgány obce</w:t>
      </w:r>
      <w:r w:rsidRPr="009B02CA">
        <w:rPr>
          <w:i/>
          <w:sz w:val="24"/>
          <w:szCs w:val="24"/>
        </w:rPr>
        <w:t xml:space="preserve"> při zajištění konání veřejně prospěšných akcí formou zapůjčení potřebného vybavení pro konání akcí, uspořádáním dnů otevřených dveří, umožněním exkurzí do podniku či prostřednictvím odkazů na místní akce na svých webových stránkách. Realizoval také spolupráci se Svazem tělesně postižených</w:t>
      </w:r>
      <w:r w:rsidR="009F21F5">
        <w:rPr>
          <w:i/>
          <w:sz w:val="24"/>
          <w:szCs w:val="24"/>
        </w:rPr>
        <w:t xml:space="preserve"> v ČR</w:t>
      </w:r>
      <w:r w:rsidRPr="009B02CA">
        <w:rPr>
          <w:i/>
          <w:sz w:val="24"/>
          <w:szCs w:val="24"/>
        </w:rPr>
        <w:t>. Tato spolupráce kromě zajištění zaměstnanosti znevýhodněných osob v sociálním podniku zajišťovala jejich vzdělávání a</w:t>
      </w:r>
      <w:r>
        <w:rPr>
          <w:i/>
          <w:sz w:val="24"/>
          <w:szCs w:val="24"/>
        </w:rPr>
        <w:t> </w:t>
      </w:r>
      <w:r w:rsidRPr="009B02CA">
        <w:rPr>
          <w:i/>
          <w:sz w:val="24"/>
          <w:szCs w:val="24"/>
        </w:rPr>
        <w:t>přinášela místní prospěch rozvojem cestovního ruchu.</w:t>
      </w:r>
    </w:p>
    <w:p w14:paraId="1D724FD0" w14:textId="77777777" w:rsidR="00A139DA" w:rsidRPr="0027290E" w:rsidRDefault="00554C84" w:rsidP="00357C61">
      <w:pPr>
        <w:pStyle w:val="Odstavecseseznamem"/>
        <w:keepNext/>
        <w:numPr>
          <w:ilvl w:val="0"/>
          <w:numId w:val="14"/>
        </w:numPr>
        <w:spacing w:before="360" w:after="240" w:line="240" w:lineRule="auto"/>
        <w:ind w:left="284" w:hanging="284"/>
        <w:contextualSpacing w:val="0"/>
        <w:rPr>
          <w:rFonts w:cstheme="minorHAnsi"/>
          <w:b/>
          <w:i/>
          <w:color w:val="1F4E79" w:themeColor="accent1" w:themeShade="80"/>
          <w:sz w:val="24"/>
          <w:szCs w:val="28"/>
        </w:rPr>
      </w:pPr>
      <w:r w:rsidRPr="0027290E">
        <w:rPr>
          <w:rFonts w:cstheme="minorHAnsi"/>
          <w:b/>
          <w:i/>
          <w:color w:val="1F4E79" w:themeColor="accent1" w:themeShade="80"/>
          <w:sz w:val="24"/>
          <w:szCs w:val="28"/>
        </w:rPr>
        <w:t>Provedly orgány implementační struktury výběr projektů k podpoře tak, aby bylo zajištěno poskytnutí podpory účelným a efektivním projektům?</w:t>
      </w:r>
    </w:p>
    <w:p w14:paraId="456CB362" w14:textId="77777777" w:rsidR="00104397" w:rsidRDefault="00104397" w:rsidP="00FD2FD8">
      <w:pPr>
        <w:pStyle w:val="JK4"/>
        <w:keepNext w:val="0"/>
        <w:tabs>
          <w:tab w:val="left" w:pos="567"/>
        </w:tabs>
        <w:spacing w:after="120"/>
      </w:pPr>
      <w:r>
        <w:t xml:space="preserve">Jedním ze základních předpokladů pro poskytování podpory účelným a efektivním projektům je správně nastavený a provedený výběr projektů na základě </w:t>
      </w:r>
      <w:r w:rsidR="00B15396">
        <w:t xml:space="preserve">posouzení </w:t>
      </w:r>
      <w:r>
        <w:t>žádostí o podporu a jejich příloh. V této souvislosti NKÚ prověřoval nastavení a uskutečnění hodnocení přijatelnosti a formálních náležitostí a věcného hodnocení projektů, přičemž zároveň ověřoval, zda při výběru projektů k podpoře byly respektovány i stanovené principy sociálního podnikání.</w:t>
      </w:r>
    </w:p>
    <w:p w14:paraId="762A81C0" w14:textId="77777777" w:rsidR="00714616" w:rsidRDefault="00104397" w:rsidP="00FD2FD8">
      <w:pPr>
        <w:pStyle w:val="JK4"/>
        <w:keepNext w:val="0"/>
        <w:tabs>
          <w:tab w:val="left" w:pos="567"/>
        </w:tabs>
        <w:spacing w:after="120"/>
      </w:pPr>
      <w:r>
        <w:t>NKÚ</w:t>
      </w:r>
      <w:r w:rsidR="0028084F" w:rsidRPr="0028084F">
        <w:t xml:space="preserve"> </w:t>
      </w:r>
      <w:r w:rsidR="0028084F">
        <w:t>ověřil, že při hodnocení žádostí o podporu implementační orgány OPZ (MPSV)</w:t>
      </w:r>
      <w:r w:rsidR="00205EE0">
        <w:t xml:space="preserve"> </w:t>
      </w:r>
      <w:r w:rsidR="0028084F">
        <w:t>a IROP (MMR, CRR) respektovaly principy sociálního podnikání, které ve svých operačních programech nastavily.</w:t>
      </w:r>
      <w:r w:rsidR="00FA0D71">
        <w:t xml:space="preserve"> </w:t>
      </w:r>
      <w:r w:rsidR="00CE1C3D">
        <w:t xml:space="preserve">NKÚ však v této souvislosti upozorňuje na </w:t>
      </w:r>
      <w:r w:rsidR="00FA0D71">
        <w:t>nedostatky</w:t>
      </w:r>
      <w:r w:rsidR="00CE1C3D">
        <w:t xml:space="preserve"> související s vymezením principů sociálního podnikání, které popsal v předchozí kapitole B a</w:t>
      </w:r>
      <w:r w:rsidR="008F3DBC">
        <w:t> </w:t>
      </w:r>
      <w:r w:rsidR="00CE1C3D">
        <w:t>které jsou rizikem pro účelné vynakládání prostředků na podpořené projekty</w:t>
      </w:r>
      <w:r>
        <w:t xml:space="preserve">. </w:t>
      </w:r>
    </w:p>
    <w:p w14:paraId="57C0AA12" w14:textId="77777777" w:rsidR="00104397" w:rsidRDefault="007C479E" w:rsidP="00FD2FD8">
      <w:pPr>
        <w:pStyle w:val="JK4"/>
        <w:keepNext w:val="0"/>
        <w:tabs>
          <w:tab w:val="left" w:pos="567"/>
        </w:tabs>
        <w:spacing w:after="120"/>
      </w:pPr>
      <w:r>
        <w:t xml:space="preserve">V případě obou kontrolovaných operačních programů k podpoře sociálního podnikání </w:t>
      </w:r>
      <w:r w:rsidR="00923EF1">
        <w:t xml:space="preserve">zamítly </w:t>
      </w:r>
      <w:r>
        <w:t xml:space="preserve">orgány implementační struktury vysoký počet </w:t>
      </w:r>
      <w:r w:rsidR="00923EF1">
        <w:t>žádostí</w:t>
      </w:r>
      <w:r>
        <w:t xml:space="preserve"> z důvodů nesplnění stanovených </w:t>
      </w:r>
      <w:r w:rsidR="005B1922">
        <w:t xml:space="preserve">výběrových </w:t>
      </w:r>
      <w:r>
        <w:t xml:space="preserve">kritérií. V případě IROP činil podíl zamítnutých žádostí </w:t>
      </w:r>
      <w:r w:rsidR="00AA3DE6">
        <w:t xml:space="preserve">cca 63 </w:t>
      </w:r>
      <w:r>
        <w:t xml:space="preserve">%, v případě OPZ dokonce </w:t>
      </w:r>
      <w:r w:rsidR="00B05D1B">
        <w:t xml:space="preserve">cca 76 </w:t>
      </w:r>
      <w:r>
        <w:t>%.</w:t>
      </w:r>
      <w:r w:rsidR="00AA3DE6">
        <w:t xml:space="preserve"> To</w:t>
      </w:r>
      <w:r>
        <w:t xml:space="preserve"> NKÚ </w:t>
      </w:r>
      <w:r w:rsidR="00AA3DE6">
        <w:t xml:space="preserve">hodnotí </w:t>
      </w:r>
      <w:r>
        <w:t>jako pozitivní skutečnost. A</w:t>
      </w:r>
      <w:r w:rsidR="00AA3DE6">
        <w:t>však a</w:t>
      </w:r>
      <w:r>
        <w:t>ni takto „husté síto“ výběrového procesu nezajistilo podporu jen projektů s předpokladem účelného a efektivního vynaložení prostředků z obou operačních programů. NKÚ zjistil v</w:t>
      </w:r>
      <w:r w:rsidR="00104397">
        <w:t xml:space="preserve"> nastavení pravidel pro výběr a hodnocení projektů </w:t>
      </w:r>
      <w:r>
        <w:t>nedostatky</w:t>
      </w:r>
      <w:r w:rsidR="00104397">
        <w:t xml:space="preserve">, které </w:t>
      </w:r>
      <w:r w:rsidR="00D75508">
        <w:t>dle jeho názoru</w:t>
      </w:r>
      <w:r w:rsidR="00A6740B">
        <w:t xml:space="preserve"> byly</w:t>
      </w:r>
      <w:r w:rsidR="00104397">
        <w:t xml:space="preserve"> </w:t>
      </w:r>
      <w:r w:rsidR="00205EE0">
        <w:t>mezi příčinami</w:t>
      </w:r>
      <w:r w:rsidR="00104397">
        <w:t xml:space="preserve"> </w:t>
      </w:r>
      <w:r w:rsidR="00714616">
        <w:t xml:space="preserve">snížené </w:t>
      </w:r>
      <w:r w:rsidR="00104397">
        <w:t xml:space="preserve">účelnosti a efektivnosti </w:t>
      </w:r>
      <w:r w:rsidR="00714616">
        <w:t>vynaložených prostředků k podpoře vybraných projektů</w:t>
      </w:r>
      <w:r w:rsidR="00104397">
        <w:t xml:space="preserve"> </w:t>
      </w:r>
      <w:r w:rsidR="00A6740B">
        <w:t>(viz</w:t>
      </w:r>
      <w:r w:rsidR="00104397">
        <w:t xml:space="preserve"> </w:t>
      </w:r>
      <w:r w:rsidR="00B02E8E">
        <w:t>kapitol</w:t>
      </w:r>
      <w:r w:rsidR="00A6740B">
        <w:t>y</w:t>
      </w:r>
      <w:r w:rsidR="00104397">
        <w:t xml:space="preserve"> D a E této</w:t>
      </w:r>
      <w:r w:rsidR="00974945">
        <w:t> </w:t>
      </w:r>
      <w:r w:rsidR="00104397">
        <w:t>části kontrolního závěru</w:t>
      </w:r>
      <w:r w:rsidR="006E5152">
        <w:t>)</w:t>
      </w:r>
      <w:r w:rsidR="00104397">
        <w:t xml:space="preserve">. Tyto skutečnosti jsou popsány v následujících odstavcích </w:t>
      </w:r>
      <w:bookmarkStart w:id="14" w:name="_Hlk100140940"/>
      <w:r w:rsidR="00104397">
        <w:t>4.2</w:t>
      </w:r>
      <w:r w:rsidR="00714616">
        <w:t>4</w:t>
      </w:r>
      <w:r w:rsidR="00974945">
        <w:t> </w:t>
      </w:r>
      <w:r w:rsidR="00104397">
        <w:t>–</w:t>
      </w:r>
      <w:r w:rsidR="00974945">
        <w:t> </w:t>
      </w:r>
      <w:r w:rsidR="00714616">
        <w:t>4.29.</w:t>
      </w:r>
      <w:r w:rsidR="00104397">
        <w:t xml:space="preserve"> </w:t>
      </w:r>
      <w:bookmarkEnd w:id="14"/>
    </w:p>
    <w:p w14:paraId="1549502E" w14:textId="77777777" w:rsidR="00104397" w:rsidRPr="002E68AB" w:rsidRDefault="00E6602B" w:rsidP="00D72C87">
      <w:pPr>
        <w:pStyle w:val="JK4"/>
        <w:keepNext w:val="0"/>
        <w:numPr>
          <w:ilvl w:val="0"/>
          <w:numId w:val="0"/>
        </w:numPr>
        <w:spacing w:after="120"/>
        <w:ind w:left="284" w:hanging="284"/>
      </w:pPr>
      <w:bookmarkStart w:id="15" w:name="_Hlk100043603"/>
      <w:bookmarkStart w:id="16" w:name="_Hlk101342556"/>
      <w:r w:rsidRPr="00E57019">
        <w:rPr>
          <w:b/>
          <w:bCs/>
          <w:i/>
          <w:color w:val="FF0000"/>
        </w:rPr>
        <w:t xml:space="preserve">→ </w:t>
      </w:r>
      <w:r w:rsidR="00D72C87" w:rsidRPr="00D72C87">
        <w:rPr>
          <w:b/>
          <w:bCs/>
          <w:i/>
          <w:color w:val="FF0000"/>
        </w:rPr>
        <w:t>Hodnocení efektivnosti podpory při výběru projektů nebylo dostatečné.</w:t>
      </w:r>
      <w:bookmarkEnd w:id="15"/>
      <w:bookmarkEnd w:id="16"/>
    </w:p>
    <w:p w14:paraId="3895ADCF" w14:textId="77777777" w:rsidR="000F6985" w:rsidRDefault="00104397" w:rsidP="00FD2FD8">
      <w:pPr>
        <w:pStyle w:val="JK4"/>
        <w:keepNext w:val="0"/>
        <w:tabs>
          <w:tab w:val="left" w:pos="567"/>
        </w:tabs>
        <w:spacing w:after="120"/>
      </w:pPr>
      <w:r>
        <w:t>Kontrolou bylo zjištěno, že v</w:t>
      </w:r>
      <w:r w:rsidR="00974945">
        <w:t xml:space="preserve"> </w:t>
      </w:r>
      <w:r>
        <w:t>OPZ ani v</w:t>
      </w:r>
      <w:r w:rsidR="00974945">
        <w:t xml:space="preserve"> </w:t>
      </w:r>
      <w:r>
        <w:t>IROP nebyly pro výběr projektů k</w:t>
      </w:r>
      <w:r w:rsidR="00974945">
        <w:t xml:space="preserve"> </w:t>
      </w:r>
      <w:r>
        <w:t xml:space="preserve">podpoře stanoveny žádné hranice maximální výše podpory na jednoho účastníka projektu (OPZ), resp. jedno vytvořené přepočtené pracovní místo (IROP). V individuálních případech byly k podpoře vybrány projekty, kde intenzita podpory byla vysoká, přičemž se během realizace projektu významně nezměnila. Příklad nejvýraznějších rozdílů u projektů OPZ uvádí následující tabulka č. 5, která srovnává intenzitu podpory uvedených projektů s průměrnou hodnotou </w:t>
      </w:r>
      <w:r w:rsidR="001104C0">
        <w:t>za</w:t>
      </w:r>
      <w:r w:rsidR="00BC2DD8">
        <w:t> </w:t>
      </w:r>
      <w:r w:rsidR="001104C0">
        <w:t xml:space="preserve">všechny projekty </w:t>
      </w:r>
      <w:r>
        <w:t>OPZ</w:t>
      </w:r>
      <w:r w:rsidR="001104C0">
        <w:t xml:space="preserve"> k podpoře sociálního podn</w:t>
      </w:r>
      <w:r w:rsidR="00F141F7">
        <w:t>i</w:t>
      </w:r>
      <w:r w:rsidR="001104C0">
        <w:t>kání</w:t>
      </w:r>
      <w:r>
        <w:t>, která činí cca 170 tis. Kč na osobu a</w:t>
      </w:r>
      <w:r w:rsidR="00BC2DD8">
        <w:t> </w:t>
      </w:r>
      <w:r>
        <w:t>rok.</w:t>
      </w:r>
    </w:p>
    <w:p w14:paraId="6139A168" w14:textId="77777777" w:rsidR="0001722B" w:rsidRPr="0027290E" w:rsidRDefault="003431DC" w:rsidP="005337CF">
      <w:pPr>
        <w:keepNext/>
        <w:spacing w:before="120" w:after="40" w:line="240" w:lineRule="auto"/>
        <w:ind w:left="1276" w:hanging="1276"/>
        <w:rPr>
          <w:b/>
          <w:sz w:val="24"/>
        </w:rPr>
      </w:pPr>
      <w:r w:rsidRPr="0027290E">
        <w:rPr>
          <w:b/>
          <w:sz w:val="24"/>
        </w:rPr>
        <w:t>Tabulka č. 5:</w:t>
      </w:r>
      <w:r w:rsidR="005337CF">
        <w:rPr>
          <w:b/>
          <w:sz w:val="24"/>
        </w:rPr>
        <w:tab/>
      </w:r>
      <w:r w:rsidR="00A40EE5" w:rsidRPr="0027290E">
        <w:rPr>
          <w:b/>
          <w:sz w:val="24"/>
        </w:rPr>
        <w:t>Příklady projektů</w:t>
      </w:r>
      <w:r w:rsidR="00C06C8E" w:rsidRPr="0027290E">
        <w:rPr>
          <w:b/>
          <w:sz w:val="24"/>
        </w:rPr>
        <w:t xml:space="preserve"> OPZ s plánovaným počtem účastníků menším než čtyři s vyšší </w:t>
      </w:r>
      <w:r w:rsidR="00790108" w:rsidRPr="0027290E">
        <w:rPr>
          <w:b/>
          <w:sz w:val="24"/>
        </w:rPr>
        <w:t>intenzitou</w:t>
      </w:r>
      <w:r w:rsidR="00C06C8E" w:rsidRPr="0027290E">
        <w:rPr>
          <w:b/>
          <w:sz w:val="24"/>
        </w:rPr>
        <w:t xml:space="preserve"> podpory na podpořenou osobu za rok</w:t>
      </w:r>
    </w:p>
    <w:tbl>
      <w:tblPr>
        <w:tblW w:w="912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1020"/>
        <w:gridCol w:w="1020"/>
        <w:gridCol w:w="1417"/>
        <w:gridCol w:w="1701"/>
        <w:gridCol w:w="1701"/>
        <w:gridCol w:w="2268"/>
      </w:tblGrid>
      <w:tr w:rsidR="00263E14" w:rsidRPr="00263E14" w14:paraId="3C9A34D2" w14:textId="77777777" w:rsidTr="00263E14">
        <w:trPr>
          <w:trHeight w:val="255"/>
        </w:trPr>
        <w:tc>
          <w:tcPr>
            <w:tcW w:w="1020" w:type="dxa"/>
            <w:shd w:val="clear" w:color="000000" w:fill="E5F1FF"/>
            <w:vAlign w:val="center"/>
            <w:hideMark/>
          </w:tcPr>
          <w:p w14:paraId="7AF2105C" w14:textId="77777777" w:rsidR="00104397" w:rsidRPr="00263E14" w:rsidRDefault="00A40EE5" w:rsidP="00263E14">
            <w:pPr>
              <w:keepNext/>
              <w:spacing w:after="0" w:line="240" w:lineRule="auto"/>
              <w:jc w:val="center"/>
              <w:rPr>
                <w:rFonts w:ascii="Calibri" w:hAnsi="Calibri" w:cs="Calibri"/>
                <w:b/>
                <w:bCs/>
                <w:sz w:val="20"/>
                <w:szCs w:val="20"/>
              </w:rPr>
            </w:pPr>
            <w:r w:rsidRPr="00263E14">
              <w:rPr>
                <w:rFonts w:ascii="Calibri" w:hAnsi="Calibri" w:cs="Calibri"/>
                <w:b/>
                <w:bCs/>
                <w:sz w:val="20"/>
                <w:szCs w:val="20"/>
              </w:rPr>
              <w:t>P</w:t>
            </w:r>
            <w:r w:rsidR="00104397" w:rsidRPr="00263E14">
              <w:rPr>
                <w:rFonts w:ascii="Calibri" w:hAnsi="Calibri" w:cs="Calibri"/>
                <w:b/>
                <w:bCs/>
                <w:sz w:val="20"/>
                <w:szCs w:val="20"/>
              </w:rPr>
              <w:t>rojekt</w:t>
            </w:r>
          </w:p>
        </w:tc>
        <w:tc>
          <w:tcPr>
            <w:tcW w:w="1020" w:type="dxa"/>
            <w:shd w:val="clear" w:color="000000" w:fill="E5F1FF"/>
            <w:vAlign w:val="center"/>
            <w:hideMark/>
          </w:tcPr>
          <w:p w14:paraId="336A83BF" w14:textId="77777777" w:rsidR="00104397" w:rsidRPr="00263E14" w:rsidRDefault="00104397" w:rsidP="00263E14">
            <w:pPr>
              <w:keepNext/>
              <w:spacing w:after="0" w:line="240" w:lineRule="auto"/>
              <w:jc w:val="center"/>
              <w:rPr>
                <w:rFonts w:ascii="Calibri" w:hAnsi="Calibri" w:cs="Calibri"/>
                <w:b/>
                <w:bCs/>
                <w:sz w:val="20"/>
                <w:szCs w:val="20"/>
              </w:rPr>
            </w:pPr>
            <w:r w:rsidRPr="00263E14">
              <w:rPr>
                <w:rFonts w:ascii="Calibri" w:hAnsi="Calibri" w:cs="Calibri"/>
                <w:b/>
                <w:bCs/>
                <w:sz w:val="20"/>
                <w:szCs w:val="20"/>
              </w:rPr>
              <w:t>Osoby</w:t>
            </w:r>
          </w:p>
        </w:tc>
        <w:tc>
          <w:tcPr>
            <w:tcW w:w="1417" w:type="dxa"/>
            <w:shd w:val="clear" w:color="000000" w:fill="E5F1FF"/>
            <w:vAlign w:val="center"/>
            <w:hideMark/>
          </w:tcPr>
          <w:p w14:paraId="184D06A3" w14:textId="77777777" w:rsidR="00104397" w:rsidRPr="00263E14" w:rsidRDefault="00104397" w:rsidP="00263E14">
            <w:pPr>
              <w:keepNext/>
              <w:spacing w:after="0" w:line="240" w:lineRule="auto"/>
              <w:jc w:val="center"/>
              <w:rPr>
                <w:rFonts w:ascii="Calibri" w:hAnsi="Calibri" w:cs="Calibri"/>
                <w:b/>
                <w:bCs/>
                <w:sz w:val="20"/>
                <w:szCs w:val="20"/>
              </w:rPr>
            </w:pPr>
            <w:r w:rsidRPr="00263E14">
              <w:rPr>
                <w:rFonts w:ascii="Calibri" w:hAnsi="Calibri" w:cs="Calibri"/>
                <w:b/>
                <w:bCs/>
                <w:sz w:val="20"/>
                <w:szCs w:val="20"/>
              </w:rPr>
              <w:t>Příspěvek EU</w:t>
            </w:r>
            <w:r w:rsidR="00974945" w:rsidRPr="00263E14">
              <w:rPr>
                <w:rFonts w:ascii="Calibri" w:hAnsi="Calibri" w:cs="Calibri"/>
                <w:b/>
                <w:bCs/>
                <w:sz w:val="20"/>
                <w:szCs w:val="20"/>
              </w:rPr>
              <w:br/>
            </w:r>
            <w:r w:rsidRPr="00263E14">
              <w:rPr>
                <w:rFonts w:ascii="Calibri" w:hAnsi="Calibri" w:cs="Calibri"/>
                <w:b/>
                <w:bCs/>
                <w:sz w:val="20"/>
                <w:szCs w:val="20"/>
              </w:rPr>
              <w:t>(v Kč)</w:t>
            </w:r>
          </w:p>
        </w:tc>
        <w:tc>
          <w:tcPr>
            <w:tcW w:w="1701" w:type="dxa"/>
            <w:shd w:val="clear" w:color="000000" w:fill="E5F1FF"/>
            <w:vAlign w:val="center"/>
            <w:hideMark/>
          </w:tcPr>
          <w:p w14:paraId="5E04634B" w14:textId="77777777" w:rsidR="00104397" w:rsidRPr="00263E14" w:rsidRDefault="00104397" w:rsidP="00263E14">
            <w:pPr>
              <w:keepNext/>
              <w:spacing w:after="0" w:line="240" w:lineRule="auto"/>
              <w:jc w:val="center"/>
              <w:rPr>
                <w:rFonts w:ascii="Calibri" w:hAnsi="Calibri" w:cs="Calibri"/>
                <w:b/>
                <w:bCs/>
                <w:sz w:val="20"/>
                <w:szCs w:val="20"/>
              </w:rPr>
            </w:pPr>
            <w:r w:rsidRPr="00263E14">
              <w:rPr>
                <w:rFonts w:ascii="Calibri" w:hAnsi="Calibri" w:cs="Calibri"/>
                <w:b/>
                <w:bCs/>
                <w:sz w:val="20"/>
                <w:szCs w:val="20"/>
              </w:rPr>
              <w:t>Podíl na osobu</w:t>
            </w:r>
            <w:r w:rsidR="00974945" w:rsidRPr="00263E14">
              <w:rPr>
                <w:rFonts w:ascii="Calibri" w:hAnsi="Calibri" w:cs="Calibri"/>
                <w:b/>
                <w:bCs/>
                <w:sz w:val="20"/>
                <w:szCs w:val="20"/>
              </w:rPr>
              <w:br/>
            </w:r>
            <w:r w:rsidRPr="00263E14">
              <w:rPr>
                <w:rFonts w:ascii="Calibri" w:hAnsi="Calibri" w:cs="Calibri"/>
                <w:b/>
                <w:bCs/>
                <w:sz w:val="20"/>
                <w:szCs w:val="20"/>
              </w:rPr>
              <w:t>(v Kč)</w:t>
            </w:r>
          </w:p>
        </w:tc>
        <w:tc>
          <w:tcPr>
            <w:tcW w:w="1701" w:type="dxa"/>
            <w:shd w:val="clear" w:color="000000" w:fill="E5F1FF"/>
            <w:vAlign w:val="center"/>
            <w:hideMark/>
          </w:tcPr>
          <w:p w14:paraId="69622A68" w14:textId="77777777" w:rsidR="00104397" w:rsidRPr="00263E14" w:rsidRDefault="00104397" w:rsidP="00263E14">
            <w:pPr>
              <w:keepNext/>
              <w:spacing w:after="0" w:line="240" w:lineRule="auto"/>
              <w:jc w:val="center"/>
              <w:rPr>
                <w:rFonts w:ascii="Calibri" w:hAnsi="Calibri" w:cs="Calibri"/>
                <w:b/>
                <w:bCs/>
                <w:sz w:val="20"/>
                <w:szCs w:val="20"/>
              </w:rPr>
            </w:pPr>
            <w:r w:rsidRPr="00263E14">
              <w:rPr>
                <w:rFonts w:ascii="Calibri" w:hAnsi="Calibri" w:cs="Calibri"/>
                <w:b/>
                <w:bCs/>
                <w:sz w:val="20"/>
                <w:szCs w:val="20"/>
              </w:rPr>
              <w:t>Osoba/rok</w:t>
            </w:r>
            <w:r w:rsidR="00974945" w:rsidRPr="00263E14">
              <w:rPr>
                <w:rFonts w:ascii="Calibri" w:hAnsi="Calibri" w:cs="Calibri"/>
                <w:b/>
                <w:bCs/>
                <w:sz w:val="20"/>
                <w:szCs w:val="20"/>
              </w:rPr>
              <w:br/>
            </w:r>
            <w:r w:rsidRPr="00263E14">
              <w:rPr>
                <w:rFonts w:ascii="Calibri" w:hAnsi="Calibri" w:cs="Calibri"/>
                <w:b/>
                <w:bCs/>
                <w:sz w:val="20"/>
                <w:szCs w:val="20"/>
              </w:rPr>
              <w:t>(v Kč)</w:t>
            </w:r>
          </w:p>
        </w:tc>
        <w:tc>
          <w:tcPr>
            <w:tcW w:w="2268" w:type="dxa"/>
            <w:shd w:val="clear" w:color="000000" w:fill="E5F1FF"/>
            <w:vAlign w:val="center"/>
          </w:tcPr>
          <w:p w14:paraId="7601C2C7" w14:textId="77777777" w:rsidR="00104397" w:rsidRPr="00263E14" w:rsidRDefault="00104397" w:rsidP="00263E14">
            <w:pPr>
              <w:keepNext/>
              <w:spacing w:after="0" w:line="240" w:lineRule="auto"/>
              <w:jc w:val="center"/>
              <w:rPr>
                <w:rFonts w:ascii="Calibri" w:hAnsi="Calibri" w:cs="Calibri"/>
                <w:b/>
                <w:bCs/>
                <w:sz w:val="20"/>
                <w:szCs w:val="20"/>
              </w:rPr>
            </w:pPr>
            <w:r w:rsidRPr="00263E14">
              <w:rPr>
                <w:rFonts w:ascii="Calibri" w:hAnsi="Calibri" w:cs="Calibri"/>
                <w:b/>
                <w:bCs/>
                <w:sz w:val="20"/>
                <w:szCs w:val="20"/>
              </w:rPr>
              <w:t>Míra překročení průměrné hodnoty OPZ</w:t>
            </w:r>
          </w:p>
        </w:tc>
      </w:tr>
      <w:tr w:rsidR="00263E14" w:rsidRPr="00263E14" w14:paraId="3D39896B" w14:textId="77777777" w:rsidTr="00263E14">
        <w:trPr>
          <w:trHeight w:val="255"/>
        </w:trPr>
        <w:tc>
          <w:tcPr>
            <w:tcW w:w="1020" w:type="dxa"/>
            <w:shd w:val="clear" w:color="auto" w:fill="auto"/>
            <w:vAlign w:val="center"/>
          </w:tcPr>
          <w:p w14:paraId="02E91EC1"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5846</w:t>
            </w:r>
          </w:p>
        </w:tc>
        <w:tc>
          <w:tcPr>
            <w:tcW w:w="1020" w:type="dxa"/>
            <w:shd w:val="clear" w:color="auto" w:fill="auto"/>
            <w:vAlign w:val="center"/>
          </w:tcPr>
          <w:p w14:paraId="444D8A03"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2</w:t>
            </w:r>
          </w:p>
        </w:tc>
        <w:tc>
          <w:tcPr>
            <w:tcW w:w="1417" w:type="dxa"/>
            <w:shd w:val="clear" w:color="auto" w:fill="auto"/>
            <w:vAlign w:val="center"/>
          </w:tcPr>
          <w:p w14:paraId="6DB45BE6"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4 180 002,87</w:t>
            </w:r>
          </w:p>
        </w:tc>
        <w:tc>
          <w:tcPr>
            <w:tcW w:w="1701" w:type="dxa"/>
            <w:shd w:val="clear" w:color="auto" w:fill="auto"/>
            <w:vAlign w:val="center"/>
          </w:tcPr>
          <w:p w14:paraId="3B3669FC"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2 090 001,43</w:t>
            </w:r>
          </w:p>
        </w:tc>
        <w:tc>
          <w:tcPr>
            <w:tcW w:w="1701" w:type="dxa"/>
            <w:shd w:val="clear" w:color="auto" w:fill="auto"/>
            <w:vAlign w:val="center"/>
          </w:tcPr>
          <w:p w14:paraId="318CC3E3"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1 045 000,72</w:t>
            </w:r>
          </w:p>
        </w:tc>
        <w:tc>
          <w:tcPr>
            <w:tcW w:w="2268" w:type="dxa"/>
            <w:vAlign w:val="center"/>
          </w:tcPr>
          <w:p w14:paraId="00439F0E" w14:textId="77777777" w:rsidR="00104397" w:rsidRPr="00263E14" w:rsidRDefault="00104397" w:rsidP="00263E14">
            <w:pPr>
              <w:keepNext/>
              <w:spacing w:after="0" w:line="240" w:lineRule="auto"/>
              <w:ind w:right="696"/>
              <w:jc w:val="right"/>
              <w:rPr>
                <w:rFonts w:ascii="Calibri" w:hAnsi="Calibri" w:cs="Calibri"/>
                <w:sz w:val="20"/>
                <w:szCs w:val="20"/>
              </w:rPr>
            </w:pPr>
            <w:r w:rsidRPr="00263E14">
              <w:rPr>
                <w:rFonts w:ascii="Calibri" w:hAnsi="Calibri" w:cs="Calibri"/>
                <w:sz w:val="20"/>
                <w:szCs w:val="20"/>
              </w:rPr>
              <w:t>6,15</w:t>
            </w:r>
          </w:p>
        </w:tc>
      </w:tr>
      <w:tr w:rsidR="00263E14" w:rsidRPr="00263E14" w14:paraId="5BDBACD0" w14:textId="77777777" w:rsidTr="00263E14">
        <w:trPr>
          <w:trHeight w:val="255"/>
        </w:trPr>
        <w:tc>
          <w:tcPr>
            <w:tcW w:w="1020" w:type="dxa"/>
            <w:shd w:val="clear" w:color="auto" w:fill="auto"/>
            <w:noWrap/>
            <w:vAlign w:val="center"/>
            <w:hideMark/>
          </w:tcPr>
          <w:p w14:paraId="6359A397"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14925</w:t>
            </w:r>
          </w:p>
        </w:tc>
        <w:tc>
          <w:tcPr>
            <w:tcW w:w="1020" w:type="dxa"/>
            <w:shd w:val="clear" w:color="auto" w:fill="auto"/>
            <w:noWrap/>
            <w:vAlign w:val="center"/>
            <w:hideMark/>
          </w:tcPr>
          <w:p w14:paraId="00E5B84B"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2</w:t>
            </w:r>
          </w:p>
        </w:tc>
        <w:tc>
          <w:tcPr>
            <w:tcW w:w="1417" w:type="dxa"/>
            <w:shd w:val="clear" w:color="auto" w:fill="auto"/>
            <w:noWrap/>
            <w:vAlign w:val="center"/>
            <w:hideMark/>
          </w:tcPr>
          <w:p w14:paraId="07DBBFF5"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3 693 228,75</w:t>
            </w:r>
          </w:p>
        </w:tc>
        <w:tc>
          <w:tcPr>
            <w:tcW w:w="1701" w:type="dxa"/>
            <w:shd w:val="clear" w:color="auto" w:fill="auto"/>
            <w:noWrap/>
            <w:vAlign w:val="center"/>
            <w:hideMark/>
          </w:tcPr>
          <w:p w14:paraId="145FE204"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1 846 614,38</w:t>
            </w:r>
          </w:p>
        </w:tc>
        <w:tc>
          <w:tcPr>
            <w:tcW w:w="1701" w:type="dxa"/>
            <w:shd w:val="clear" w:color="auto" w:fill="auto"/>
            <w:noWrap/>
            <w:vAlign w:val="center"/>
            <w:hideMark/>
          </w:tcPr>
          <w:p w14:paraId="3D6E616C"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923 307,19</w:t>
            </w:r>
          </w:p>
        </w:tc>
        <w:tc>
          <w:tcPr>
            <w:tcW w:w="2268" w:type="dxa"/>
            <w:vAlign w:val="center"/>
          </w:tcPr>
          <w:p w14:paraId="4E9C43A3" w14:textId="77777777" w:rsidR="00104397" w:rsidRPr="00263E14" w:rsidRDefault="00104397" w:rsidP="00263E14">
            <w:pPr>
              <w:keepNext/>
              <w:spacing w:after="0" w:line="240" w:lineRule="auto"/>
              <w:ind w:right="696"/>
              <w:jc w:val="right"/>
              <w:rPr>
                <w:rFonts w:ascii="Calibri" w:hAnsi="Calibri" w:cs="Calibri"/>
                <w:sz w:val="20"/>
                <w:szCs w:val="20"/>
              </w:rPr>
            </w:pPr>
            <w:r w:rsidRPr="00263E14">
              <w:rPr>
                <w:rFonts w:ascii="Calibri" w:hAnsi="Calibri" w:cs="Calibri"/>
                <w:sz w:val="20"/>
                <w:szCs w:val="20"/>
              </w:rPr>
              <w:t>5,43</w:t>
            </w:r>
          </w:p>
        </w:tc>
      </w:tr>
      <w:tr w:rsidR="00263E14" w:rsidRPr="00263E14" w14:paraId="30CA8868" w14:textId="77777777" w:rsidTr="00263E14">
        <w:trPr>
          <w:trHeight w:val="255"/>
        </w:trPr>
        <w:tc>
          <w:tcPr>
            <w:tcW w:w="1020" w:type="dxa"/>
            <w:shd w:val="clear" w:color="auto" w:fill="auto"/>
            <w:noWrap/>
            <w:vAlign w:val="center"/>
            <w:hideMark/>
          </w:tcPr>
          <w:p w14:paraId="15819749"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11792</w:t>
            </w:r>
          </w:p>
        </w:tc>
        <w:tc>
          <w:tcPr>
            <w:tcW w:w="1020" w:type="dxa"/>
            <w:shd w:val="clear" w:color="auto" w:fill="auto"/>
            <w:noWrap/>
            <w:vAlign w:val="center"/>
            <w:hideMark/>
          </w:tcPr>
          <w:p w14:paraId="27957854"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3</w:t>
            </w:r>
          </w:p>
        </w:tc>
        <w:tc>
          <w:tcPr>
            <w:tcW w:w="1417" w:type="dxa"/>
            <w:shd w:val="clear" w:color="auto" w:fill="auto"/>
            <w:noWrap/>
            <w:vAlign w:val="center"/>
            <w:hideMark/>
          </w:tcPr>
          <w:p w14:paraId="2C35F9D2"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4 874 194,31</w:t>
            </w:r>
          </w:p>
        </w:tc>
        <w:tc>
          <w:tcPr>
            <w:tcW w:w="1701" w:type="dxa"/>
            <w:shd w:val="clear" w:color="auto" w:fill="auto"/>
            <w:noWrap/>
            <w:vAlign w:val="center"/>
            <w:hideMark/>
          </w:tcPr>
          <w:p w14:paraId="2DBDB5D2"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1 624 731,44</w:t>
            </w:r>
          </w:p>
        </w:tc>
        <w:tc>
          <w:tcPr>
            <w:tcW w:w="1701" w:type="dxa"/>
            <w:shd w:val="clear" w:color="auto" w:fill="auto"/>
            <w:noWrap/>
            <w:vAlign w:val="center"/>
            <w:hideMark/>
          </w:tcPr>
          <w:p w14:paraId="61F50C88"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812 365,72</w:t>
            </w:r>
          </w:p>
        </w:tc>
        <w:tc>
          <w:tcPr>
            <w:tcW w:w="2268" w:type="dxa"/>
            <w:vAlign w:val="center"/>
          </w:tcPr>
          <w:p w14:paraId="10EEB60B" w14:textId="77777777" w:rsidR="00104397" w:rsidRPr="00263E14" w:rsidRDefault="00104397" w:rsidP="00263E14">
            <w:pPr>
              <w:keepNext/>
              <w:spacing w:after="0" w:line="240" w:lineRule="auto"/>
              <w:ind w:right="696"/>
              <w:jc w:val="right"/>
              <w:rPr>
                <w:rFonts w:ascii="Calibri" w:hAnsi="Calibri" w:cs="Calibri"/>
                <w:sz w:val="20"/>
                <w:szCs w:val="20"/>
              </w:rPr>
            </w:pPr>
            <w:r w:rsidRPr="00263E14">
              <w:rPr>
                <w:rFonts w:ascii="Calibri" w:hAnsi="Calibri" w:cs="Calibri"/>
                <w:sz w:val="20"/>
                <w:szCs w:val="20"/>
              </w:rPr>
              <w:t>4,78</w:t>
            </w:r>
          </w:p>
        </w:tc>
      </w:tr>
      <w:tr w:rsidR="00263E14" w:rsidRPr="00263E14" w14:paraId="3D599A5C" w14:textId="77777777" w:rsidTr="00263E14">
        <w:trPr>
          <w:trHeight w:val="255"/>
        </w:trPr>
        <w:tc>
          <w:tcPr>
            <w:tcW w:w="1020" w:type="dxa"/>
            <w:shd w:val="clear" w:color="auto" w:fill="auto"/>
            <w:noWrap/>
            <w:vAlign w:val="center"/>
            <w:hideMark/>
          </w:tcPr>
          <w:p w14:paraId="64DFD166"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10475</w:t>
            </w:r>
          </w:p>
        </w:tc>
        <w:tc>
          <w:tcPr>
            <w:tcW w:w="1020" w:type="dxa"/>
            <w:shd w:val="clear" w:color="auto" w:fill="auto"/>
            <w:noWrap/>
            <w:vAlign w:val="center"/>
            <w:hideMark/>
          </w:tcPr>
          <w:p w14:paraId="79712B2A"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2</w:t>
            </w:r>
          </w:p>
        </w:tc>
        <w:tc>
          <w:tcPr>
            <w:tcW w:w="1417" w:type="dxa"/>
            <w:shd w:val="clear" w:color="auto" w:fill="auto"/>
            <w:noWrap/>
            <w:vAlign w:val="center"/>
            <w:hideMark/>
          </w:tcPr>
          <w:p w14:paraId="0591E6CB"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3 240 219,33</w:t>
            </w:r>
          </w:p>
        </w:tc>
        <w:tc>
          <w:tcPr>
            <w:tcW w:w="1701" w:type="dxa"/>
            <w:shd w:val="clear" w:color="auto" w:fill="auto"/>
            <w:noWrap/>
            <w:vAlign w:val="center"/>
            <w:hideMark/>
          </w:tcPr>
          <w:p w14:paraId="494FA907"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1 620 109,67</w:t>
            </w:r>
          </w:p>
        </w:tc>
        <w:tc>
          <w:tcPr>
            <w:tcW w:w="1701" w:type="dxa"/>
            <w:shd w:val="clear" w:color="auto" w:fill="auto"/>
            <w:noWrap/>
            <w:vAlign w:val="center"/>
            <w:hideMark/>
          </w:tcPr>
          <w:p w14:paraId="10143CA0"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810 054,83</w:t>
            </w:r>
          </w:p>
        </w:tc>
        <w:tc>
          <w:tcPr>
            <w:tcW w:w="2268" w:type="dxa"/>
            <w:vAlign w:val="center"/>
          </w:tcPr>
          <w:p w14:paraId="736679BF" w14:textId="77777777" w:rsidR="00104397" w:rsidRPr="00263E14" w:rsidRDefault="00104397" w:rsidP="00263E14">
            <w:pPr>
              <w:keepNext/>
              <w:spacing w:after="0" w:line="240" w:lineRule="auto"/>
              <w:ind w:right="696"/>
              <w:jc w:val="right"/>
              <w:rPr>
                <w:rFonts w:ascii="Calibri" w:hAnsi="Calibri" w:cs="Calibri"/>
                <w:sz w:val="20"/>
                <w:szCs w:val="20"/>
              </w:rPr>
            </w:pPr>
            <w:r w:rsidRPr="00263E14">
              <w:rPr>
                <w:rFonts w:ascii="Calibri" w:hAnsi="Calibri" w:cs="Calibri"/>
                <w:sz w:val="20"/>
                <w:szCs w:val="20"/>
              </w:rPr>
              <w:t>4,77</w:t>
            </w:r>
          </w:p>
        </w:tc>
      </w:tr>
      <w:tr w:rsidR="00263E14" w:rsidRPr="00263E14" w14:paraId="155AF9E0" w14:textId="77777777" w:rsidTr="00263E14">
        <w:trPr>
          <w:trHeight w:val="255"/>
        </w:trPr>
        <w:tc>
          <w:tcPr>
            <w:tcW w:w="1020" w:type="dxa"/>
            <w:shd w:val="clear" w:color="auto" w:fill="auto"/>
            <w:noWrap/>
            <w:vAlign w:val="center"/>
            <w:hideMark/>
          </w:tcPr>
          <w:p w14:paraId="31838C92"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14964</w:t>
            </w:r>
          </w:p>
        </w:tc>
        <w:tc>
          <w:tcPr>
            <w:tcW w:w="1020" w:type="dxa"/>
            <w:shd w:val="clear" w:color="auto" w:fill="auto"/>
            <w:noWrap/>
            <w:vAlign w:val="center"/>
            <w:hideMark/>
          </w:tcPr>
          <w:p w14:paraId="1EB48C04"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3</w:t>
            </w:r>
          </w:p>
        </w:tc>
        <w:tc>
          <w:tcPr>
            <w:tcW w:w="1417" w:type="dxa"/>
            <w:shd w:val="clear" w:color="auto" w:fill="auto"/>
            <w:noWrap/>
            <w:vAlign w:val="center"/>
            <w:hideMark/>
          </w:tcPr>
          <w:p w14:paraId="0F6C3A2A"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4 840 539,62</w:t>
            </w:r>
          </w:p>
        </w:tc>
        <w:tc>
          <w:tcPr>
            <w:tcW w:w="1701" w:type="dxa"/>
            <w:shd w:val="clear" w:color="auto" w:fill="auto"/>
            <w:noWrap/>
            <w:vAlign w:val="center"/>
            <w:hideMark/>
          </w:tcPr>
          <w:p w14:paraId="46002663"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1 613 513,21</w:t>
            </w:r>
          </w:p>
        </w:tc>
        <w:tc>
          <w:tcPr>
            <w:tcW w:w="1701" w:type="dxa"/>
            <w:shd w:val="clear" w:color="auto" w:fill="auto"/>
            <w:noWrap/>
            <w:vAlign w:val="center"/>
            <w:hideMark/>
          </w:tcPr>
          <w:p w14:paraId="0ECD8899"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806 756,60</w:t>
            </w:r>
          </w:p>
        </w:tc>
        <w:tc>
          <w:tcPr>
            <w:tcW w:w="2268" w:type="dxa"/>
            <w:vAlign w:val="center"/>
          </w:tcPr>
          <w:p w14:paraId="7DFE06E2" w14:textId="77777777" w:rsidR="00104397" w:rsidRPr="00263E14" w:rsidRDefault="00104397" w:rsidP="00263E14">
            <w:pPr>
              <w:keepNext/>
              <w:spacing w:after="0" w:line="240" w:lineRule="auto"/>
              <w:ind w:right="696"/>
              <w:jc w:val="right"/>
              <w:rPr>
                <w:rFonts w:ascii="Calibri" w:hAnsi="Calibri" w:cs="Calibri"/>
                <w:sz w:val="20"/>
                <w:szCs w:val="20"/>
              </w:rPr>
            </w:pPr>
            <w:r w:rsidRPr="00263E14">
              <w:rPr>
                <w:rFonts w:ascii="Calibri" w:hAnsi="Calibri" w:cs="Calibri"/>
                <w:sz w:val="20"/>
                <w:szCs w:val="20"/>
              </w:rPr>
              <w:t>4,75</w:t>
            </w:r>
          </w:p>
        </w:tc>
      </w:tr>
      <w:tr w:rsidR="00263E14" w:rsidRPr="00263E14" w14:paraId="0EC5AAA9" w14:textId="77777777" w:rsidTr="00263E14">
        <w:trPr>
          <w:trHeight w:val="255"/>
        </w:trPr>
        <w:tc>
          <w:tcPr>
            <w:tcW w:w="1020" w:type="dxa"/>
            <w:shd w:val="clear" w:color="auto" w:fill="auto"/>
            <w:noWrap/>
            <w:vAlign w:val="center"/>
            <w:hideMark/>
          </w:tcPr>
          <w:p w14:paraId="5E30BDE5"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11333</w:t>
            </w:r>
          </w:p>
        </w:tc>
        <w:tc>
          <w:tcPr>
            <w:tcW w:w="1020" w:type="dxa"/>
            <w:shd w:val="clear" w:color="auto" w:fill="auto"/>
            <w:noWrap/>
            <w:vAlign w:val="center"/>
            <w:hideMark/>
          </w:tcPr>
          <w:p w14:paraId="0EF1EAE3" w14:textId="77777777" w:rsidR="00104397" w:rsidRPr="00263E14" w:rsidRDefault="00104397" w:rsidP="00263E14">
            <w:pPr>
              <w:keepNext/>
              <w:spacing w:after="0" w:line="240" w:lineRule="auto"/>
              <w:jc w:val="center"/>
              <w:rPr>
                <w:rFonts w:ascii="Calibri" w:hAnsi="Calibri" w:cs="Calibri"/>
                <w:sz w:val="20"/>
                <w:szCs w:val="20"/>
              </w:rPr>
            </w:pPr>
            <w:r w:rsidRPr="00263E14">
              <w:rPr>
                <w:rFonts w:ascii="Calibri" w:hAnsi="Calibri" w:cs="Calibri"/>
                <w:sz w:val="20"/>
                <w:szCs w:val="20"/>
              </w:rPr>
              <w:t>3</w:t>
            </w:r>
          </w:p>
        </w:tc>
        <w:tc>
          <w:tcPr>
            <w:tcW w:w="1417" w:type="dxa"/>
            <w:shd w:val="clear" w:color="auto" w:fill="auto"/>
            <w:noWrap/>
            <w:vAlign w:val="center"/>
            <w:hideMark/>
          </w:tcPr>
          <w:p w14:paraId="71CCC122"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4 785 513,81</w:t>
            </w:r>
          </w:p>
        </w:tc>
        <w:tc>
          <w:tcPr>
            <w:tcW w:w="1701" w:type="dxa"/>
            <w:shd w:val="clear" w:color="auto" w:fill="auto"/>
            <w:noWrap/>
            <w:vAlign w:val="center"/>
            <w:hideMark/>
          </w:tcPr>
          <w:p w14:paraId="571A17CE"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1 595 171,27</w:t>
            </w:r>
          </w:p>
        </w:tc>
        <w:tc>
          <w:tcPr>
            <w:tcW w:w="1701" w:type="dxa"/>
            <w:shd w:val="clear" w:color="auto" w:fill="auto"/>
            <w:noWrap/>
            <w:vAlign w:val="center"/>
            <w:hideMark/>
          </w:tcPr>
          <w:p w14:paraId="1F102DC1" w14:textId="77777777" w:rsidR="00104397" w:rsidRPr="00263E14" w:rsidRDefault="00104397" w:rsidP="00263E14">
            <w:pPr>
              <w:keepNext/>
              <w:spacing w:after="0" w:line="240" w:lineRule="auto"/>
              <w:ind w:right="125"/>
              <w:jc w:val="right"/>
              <w:rPr>
                <w:rFonts w:ascii="Calibri" w:hAnsi="Calibri" w:cs="Calibri"/>
                <w:sz w:val="20"/>
                <w:szCs w:val="20"/>
              </w:rPr>
            </w:pPr>
            <w:r w:rsidRPr="00263E14">
              <w:rPr>
                <w:rFonts w:ascii="Calibri" w:hAnsi="Calibri" w:cs="Calibri"/>
                <w:sz w:val="20"/>
                <w:szCs w:val="20"/>
              </w:rPr>
              <w:t>797 585,64</w:t>
            </w:r>
          </w:p>
        </w:tc>
        <w:tc>
          <w:tcPr>
            <w:tcW w:w="2268" w:type="dxa"/>
            <w:vAlign w:val="center"/>
          </w:tcPr>
          <w:p w14:paraId="4AB7F884" w14:textId="77777777" w:rsidR="00104397" w:rsidRPr="00263E14" w:rsidRDefault="00104397" w:rsidP="00263E14">
            <w:pPr>
              <w:keepNext/>
              <w:spacing w:after="0" w:line="240" w:lineRule="auto"/>
              <w:ind w:right="696"/>
              <w:jc w:val="right"/>
              <w:rPr>
                <w:rFonts w:ascii="Calibri" w:hAnsi="Calibri" w:cs="Calibri"/>
                <w:sz w:val="20"/>
                <w:szCs w:val="20"/>
              </w:rPr>
            </w:pPr>
            <w:r w:rsidRPr="00263E14">
              <w:rPr>
                <w:rFonts w:ascii="Calibri" w:hAnsi="Calibri" w:cs="Calibri"/>
                <w:sz w:val="20"/>
                <w:szCs w:val="20"/>
              </w:rPr>
              <w:t>4,69</w:t>
            </w:r>
          </w:p>
        </w:tc>
      </w:tr>
    </w:tbl>
    <w:p w14:paraId="5030CC8B" w14:textId="77777777" w:rsidR="00C06C8E" w:rsidRPr="00CF0981" w:rsidRDefault="00C06C8E" w:rsidP="00263E14">
      <w:pPr>
        <w:pStyle w:val="KP-normlnbezodsazen"/>
        <w:keepNext/>
        <w:spacing w:before="40"/>
        <w:rPr>
          <w:sz w:val="20"/>
          <w:szCs w:val="20"/>
        </w:rPr>
      </w:pPr>
      <w:r w:rsidRPr="00C06C8E">
        <w:rPr>
          <w:b/>
          <w:sz w:val="20"/>
          <w:szCs w:val="20"/>
        </w:rPr>
        <w:t>Zdroj</w:t>
      </w:r>
      <w:r w:rsidRPr="00974945">
        <w:rPr>
          <w:b/>
          <w:sz w:val="20"/>
          <w:szCs w:val="20"/>
        </w:rPr>
        <w:t>:</w:t>
      </w:r>
      <w:r w:rsidRPr="00CF0981">
        <w:rPr>
          <w:sz w:val="20"/>
          <w:szCs w:val="20"/>
        </w:rPr>
        <w:t xml:space="preserve"> </w:t>
      </w:r>
      <w:r w:rsidR="00C05ABB">
        <w:rPr>
          <w:sz w:val="20"/>
          <w:szCs w:val="20"/>
        </w:rPr>
        <w:t xml:space="preserve">vypracoval </w:t>
      </w:r>
      <w:r w:rsidRPr="00CF0981">
        <w:rPr>
          <w:sz w:val="20"/>
          <w:szCs w:val="20"/>
        </w:rPr>
        <w:t>NKÚ dle dat MPSV</w:t>
      </w:r>
      <w:r w:rsidR="00C00BB5">
        <w:rPr>
          <w:sz w:val="20"/>
          <w:szCs w:val="20"/>
        </w:rPr>
        <w:t>, stav k 02/2022.</w:t>
      </w:r>
    </w:p>
    <w:p w14:paraId="7B23BE58" w14:textId="77777777" w:rsidR="0001722B" w:rsidRDefault="00C06C8E" w:rsidP="00974945">
      <w:pPr>
        <w:jc w:val="both"/>
      </w:pPr>
      <w:r w:rsidRPr="008A67AF">
        <w:rPr>
          <w:b/>
          <w:sz w:val="20"/>
          <w:szCs w:val="20"/>
        </w:rPr>
        <w:t>Pozn.</w:t>
      </w:r>
      <w:r w:rsidRPr="00974945">
        <w:rPr>
          <w:b/>
          <w:sz w:val="20"/>
          <w:szCs w:val="20"/>
        </w:rPr>
        <w:t>:</w:t>
      </w:r>
      <w:r w:rsidRPr="00CF0981">
        <w:rPr>
          <w:sz w:val="20"/>
          <w:szCs w:val="20"/>
        </w:rPr>
        <w:t xml:space="preserve"> Osoba/rok je pro zjednodušení kalkulována s trváním projektu po dobu dvou let.</w:t>
      </w:r>
    </w:p>
    <w:p w14:paraId="254A2B9C" w14:textId="77777777" w:rsidR="00A40EE5" w:rsidRDefault="006B39C6" w:rsidP="00FD2FD8">
      <w:pPr>
        <w:pStyle w:val="JK4"/>
        <w:keepNext w:val="0"/>
        <w:tabs>
          <w:tab w:val="left" w:pos="567"/>
        </w:tabs>
        <w:spacing w:after="120"/>
      </w:pPr>
      <w:r>
        <w:t>Z tabulky č. 5 je patrné, že průměrná intenzita podpory byla v OPZ překročena až šestkrát.</w:t>
      </w:r>
      <w:r w:rsidR="00A40EE5">
        <w:t xml:space="preserve"> I při zohlednění skutečnosti, že podpořené projekty jsou </w:t>
      </w:r>
      <w:r w:rsidR="001104C0">
        <w:t>obsahově</w:t>
      </w:r>
      <w:r w:rsidR="00A40EE5">
        <w:t xml:space="preserve"> odlišné, indikují výše uvedené údaje </w:t>
      </w:r>
      <w:r w:rsidR="00F141F7">
        <w:t xml:space="preserve">riziko </w:t>
      </w:r>
      <w:r w:rsidR="00A40EE5">
        <w:t>snížen</w:t>
      </w:r>
      <w:r w:rsidR="00F141F7">
        <w:t>é</w:t>
      </w:r>
      <w:r w:rsidR="00A40EE5">
        <w:t xml:space="preserve"> efektivnost</w:t>
      </w:r>
      <w:r w:rsidR="00870656">
        <w:t>i</w:t>
      </w:r>
      <w:r w:rsidR="00A40EE5">
        <w:t xml:space="preserve"> podpory u některých projektů OPZ. NKÚ k tomu dodává, že dle </w:t>
      </w:r>
      <w:r w:rsidR="00A168FC">
        <w:t>analýzy, kterou</w:t>
      </w:r>
      <w:r w:rsidR="008F77D1">
        <w:t xml:space="preserve"> kontrolujícím NKÚ</w:t>
      </w:r>
      <w:r w:rsidR="00A168FC">
        <w:t xml:space="preserve"> předložilo MPSV,</w:t>
      </w:r>
      <w:r w:rsidR="00A40EE5">
        <w:t xml:space="preserve"> činily v roce 2019 průměrné náklady na jednu nezaměstnanou osobu necelých 400 tis. Kč ročně. </w:t>
      </w:r>
      <w:r w:rsidR="00E8354B">
        <w:t>Intenzita podpory projektů uvedených v tabulce č. 5 je tak vysoká i ve srovnání s touto hladinou.</w:t>
      </w:r>
    </w:p>
    <w:p w14:paraId="2977BA0B" w14:textId="77777777" w:rsidR="00E8354B" w:rsidRDefault="009108E1" w:rsidP="00FD2FD8">
      <w:pPr>
        <w:pStyle w:val="JK4"/>
        <w:keepNext w:val="0"/>
        <w:tabs>
          <w:tab w:val="left" w:pos="567"/>
        </w:tabs>
        <w:spacing w:after="120"/>
      </w:pPr>
      <w:r>
        <w:t>Z</w:t>
      </w:r>
      <w:r w:rsidR="006B39C6" w:rsidRPr="00466E5F">
        <w:t xml:space="preserve"> projektů</w:t>
      </w:r>
      <w:r w:rsidR="00F141F7">
        <w:t xml:space="preserve"> </w:t>
      </w:r>
      <w:r w:rsidR="00714616">
        <w:t xml:space="preserve">OPZ </w:t>
      </w:r>
      <w:r>
        <w:t xml:space="preserve">vybraných ke kontrole </w:t>
      </w:r>
      <w:r w:rsidR="006B39C6">
        <w:t>byla</w:t>
      </w:r>
      <w:r w:rsidR="006B39C6" w:rsidRPr="00466E5F">
        <w:t xml:space="preserve"> </w:t>
      </w:r>
      <w:r w:rsidR="006B39C6">
        <w:t xml:space="preserve">přitom </w:t>
      </w:r>
      <w:r w:rsidR="006B39C6" w:rsidRPr="00466E5F">
        <w:t xml:space="preserve">vysoká intenzita podpory </w:t>
      </w:r>
      <w:r w:rsidR="006B39C6">
        <w:t xml:space="preserve">zjištěna </w:t>
      </w:r>
      <w:r w:rsidR="006B39C6" w:rsidRPr="00466E5F">
        <w:t xml:space="preserve">u projektu č. 12055, když příjemce </w:t>
      </w:r>
      <w:r w:rsidR="00F141F7">
        <w:t xml:space="preserve">v žádosti </w:t>
      </w:r>
      <w:r w:rsidR="006B39C6" w:rsidRPr="00466E5F">
        <w:t>přepokládal dva účastníky projektu</w:t>
      </w:r>
      <w:r w:rsidR="000C639B">
        <w:t>.</w:t>
      </w:r>
      <w:r w:rsidR="006B39C6">
        <w:t xml:space="preserve"> </w:t>
      </w:r>
      <w:r w:rsidR="00F141F7">
        <w:t>I</w:t>
      </w:r>
      <w:r w:rsidR="006B39C6">
        <w:t xml:space="preserve">ntenzita podpory </w:t>
      </w:r>
      <w:r w:rsidR="00F141F7">
        <w:t xml:space="preserve">by </w:t>
      </w:r>
      <w:r w:rsidR="006B39C6">
        <w:t>tak byla více než 5</w:t>
      </w:r>
      <w:r w:rsidR="001B3BAD">
        <w:rPr>
          <w:rFonts w:cs="Calibri"/>
        </w:rPr>
        <w:t>×</w:t>
      </w:r>
      <w:r w:rsidR="006B39C6">
        <w:t xml:space="preserve"> vyšší než průměrná</w:t>
      </w:r>
      <w:r w:rsidR="00F141F7">
        <w:t xml:space="preserve">, ale i tak byl projekt </w:t>
      </w:r>
      <w:r w:rsidR="00714616">
        <w:t xml:space="preserve">s takto vysokou intenzitou MPSV schválen a </w:t>
      </w:r>
      <w:r w:rsidR="00F141F7">
        <w:t>vybrán k podpoře</w:t>
      </w:r>
      <w:r w:rsidR="006B39C6" w:rsidRPr="00466E5F">
        <w:t xml:space="preserve">. </w:t>
      </w:r>
      <w:r w:rsidR="00714616">
        <w:t>Jelikož</w:t>
      </w:r>
      <w:r w:rsidR="006B39C6" w:rsidRPr="00466E5F">
        <w:t xml:space="preserve"> nakonec došlo k podpoře pěti účastníků, </w:t>
      </w:r>
      <w:r w:rsidR="006B39C6">
        <w:t>činila</w:t>
      </w:r>
      <w:r w:rsidR="006B39C6" w:rsidRPr="00466E5F">
        <w:t xml:space="preserve"> celková intenzita podpory 457 365,02 Kč na osobu a rok</w:t>
      </w:r>
      <w:r w:rsidR="00F141F7">
        <w:t xml:space="preserve">, </w:t>
      </w:r>
      <w:r w:rsidR="000C639B">
        <w:t xml:space="preserve">a byla </w:t>
      </w:r>
      <w:r w:rsidR="00F141F7">
        <w:t xml:space="preserve">tedy </w:t>
      </w:r>
      <w:r w:rsidR="00714616">
        <w:t xml:space="preserve">i tak </w:t>
      </w:r>
      <w:r w:rsidR="00F141F7">
        <w:t>2,7</w:t>
      </w:r>
      <w:r w:rsidR="001B3BAD">
        <w:rPr>
          <w:rFonts w:cs="Calibri"/>
        </w:rPr>
        <w:t>×</w:t>
      </w:r>
      <w:r w:rsidR="00F141F7">
        <w:t xml:space="preserve"> vyšší než průměrná</w:t>
      </w:r>
      <w:r w:rsidR="006B39C6" w:rsidRPr="00466E5F">
        <w:t>.</w:t>
      </w:r>
    </w:p>
    <w:p w14:paraId="7128FE93" w14:textId="77777777" w:rsidR="006B39C6" w:rsidRPr="00466E5F" w:rsidRDefault="00E8354B" w:rsidP="00FD2FD8">
      <w:pPr>
        <w:pStyle w:val="JK4"/>
        <w:keepNext w:val="0"/>
        <w:tabs>
          <w:tab w:val="left" w:pos="567"/>
        </w:tabs>
        <w:spacing w:after="120"/>
      </w:pPr>
      <w:r>
        <w:t xml:space="preserve">NKÚ </w:t>
      </w:r>
      <w:r w:rsidR="00F67A9E">
        <w:t xml:space="preserve">dále </w:t>
      </w:r>
      <w:r w:rsidR="00BC395F">
        <w:t xml:space="preserve">při prověřování nastavení procesu hodnocení projektů </w:t>
      </w:r>
      <w:r>
        <w:t xml:space="preserve">zjistil, že </w:t>
      </w:r>
      <w:r w:rsidR="00CC4CB7">
        <w:t xml:space="preserve">pro </w:t>
      </w:r>
      <w:r>
        <w:t xml:space="preserve">odpovídající kritérium věcného hodnocení </w:t>
      </w:r>
      <w:r w:rsidR="00F67A9E">
        <w:t xml:space="preserve">efektivnosti </w:t>
      </w:r>
      <w:r>
        <w:t>mělo MPSV stanoven nepřiměřeně nízký podíl na celkovém počtu bodů věcného hodnocení projektů</w:t>
      </w:r>
      <w:r w:rsidR="000C639B">
        <w:t xml:space="preserve"> (15 bodů ze 100 možných, tj. pouze 15 %)</w:t>
      </w:r>
      <w:r>
        <w:t xml:space="preserve">. </w:t>
      </w:r>
      <w:r w:rsidR="00BC395F">
        <w:t xml:space="preserve">V rámci hodnocení projektů u vybraných výzev měla tedy </w:t>
      </w:r>
      <w:r w:rsidR="00714616">
        <w:t xml:space="preserve">otázka </w:t>
      </w:r>
      <w:r w:rsidR="00BC395F">
        <w:t>efektivnost</w:t>
      </w:r>
      <w:r w:rsidR="00714616">
        <w:t>i prostředků vynaložených na</w:t>
      </w:r>
      <w:r w:rsidR="00BC395F">
        <w:t xml:space="preserve"> realizac</w:t>
      </w:r>
      <w:r w:rsidR="00714616">
        <w:t>i</w:t>
      </w:r>
      <w:r w:rsidR="00BC395F">
        <w:t xml:space="preserve"> projektu minimální vliv </w:t>
      </w:r>
      <w:r w:rsidR="00A168FC">
        <w:t>na</w:t>
      </w:r>
      <w:r w:rsidR="00BC395F">
        <w:t xml:space="preserve"> jejich výběr. </w:t>
      </w:r>
    </w:p>
    <w:p w14:paraId="4CBB51A6" w14:textId="77777777" w:rsidR="006B39C6" w:rsidRDefault="006B39C6" w:rsidP="00FD2FD8">
      <w:pPr>
        <w:pStyle w:val="JK4"/>
        <w:keepNext w:val="0"/>
        <w:tabs>
          <w:tab w:val="left" w:pos="567"/>
        </w:tabs>
        <w:spacing w:after="120"/>
      </w:pPr>
      <w:r>
        <w:t>V případě projektů IROP byla průměrná výše podpory vybraného vzorku projektů cca</w:t>
      </w:r>
      <w:r w:rsidR="00301023">
        <w:t> </w:t>
      </w:r>
      <w:r>
        <w:t>200 tis. Kč na FTE ročně při zohlednění pětileté doby udržitelnosti podpory</w:t>
      </w:r>
      <w:r>
        <w:rPr>
          <w:rStyle w:val="Znakapoznpodarou"/>
        </w:rPr>
        <w:footnoteReference w:id="26"/>
      </w:r>
      <w:r>
        <w:t>. Z nastavení věcného hodnocení projektů IROP je přitom zřetelné, že za efektivní byla považována podpora nepřekračující cca 400 tis. Kč na FTE ročně</w:t>
      </w:r>
      <w:r>
        <w:rPr>
          <w:rStyle w:val="Znakapoznpodarou"/>
        </w:rPr>
        <w:footnoteReference w:id="27"/>
      </w:r>
      <w:r>
        <w:t>. V případě jednoho vybraného projektu (projekt č. 3</w:t>
      </w:r>
      <w:r w:rsidR="008F77D1">
        <w:t>4</w:t>
      </w:r>
      <w:r>
        <w:t xml:space="preserve">38) však intenzita podpory činila cca 660 tis. Kč na FTE ročně, což bylo důsledkem vysokého podílu výdajů na pořízení nemovitosti </w:t>
      </w:r>
      <w:r w:rsidR="008F77D1">
        <w:t xml:space="preserve">(viz také příklad č. 7) </w:t>
      </w:r>
      <w:r>
        <w:t>a nízkého počtu vytvořených FTE. Stejně jako v případě OPZ i v případě IROP existují i další projekty mimo vybraný vzorek</w:t>
      </w:r>
      <w:r w:rsidR="00BC395F">
        <w:t xml:space="preserve"> NKÚ</w:t>
      </w:r>
      <w:r>
        <w:t xml:space="preserve">, u kterých intenzita podpory významně převyšuje průměr </w:t>
      </w:r>
      <w:r w:rsidR="00A97705">
        <w:t xml:space="preserve">daného </w:t>
      </w:r>
      <w:r>
        <w:t xml:space="preserve">operačního programu. </w:t>
      </w:r>
      <w:r w:rsidR="00305699">
        <w:t xml:space="preserve">V případě nejvýraznějšího NKÚ zjištěného rozdílu činí výše podpory na FTE cca 1 mil. Kč ročně. </w:t>
      </w:r>
    </w:p>
    <w:p w14:paraId="49383E12" w14:textId="77777777" w:rsidR="008B506E" w:rsidRDefault="00DE7863" w:rsidP="00FD2FD8">
      <w:pPr>
        <w:pStyle w:val="JK4"/>
        <w:keepNext w:val="0"/>
        <w:tabs>
          <w:tab w:val="left" w:pos="567"/>
        </w:tabs>
        <w:spacing w:after="120"/>
      </w:pPr>
      <w:r>
        <w:t xml:space="preserve">NKÚ zároveň vyhodnotil, že </w:t>
      </w:r>
      <w:r w:rsidR="00F67A9E">
        <w:t xml:space="preserve">MMR </w:t>
      </w:r>
      <w:r>
        <w:t xml:space="preserve">nastavilo </w:t>
      </w:r>
      <w:r w:rsidR="00D96083">
        <w:t xml:space="preserve">pro IROP </w:t>
      </w:r>
      <w:r w:rsidR="00F67A9E" w:rsidRPr="00C128B1">
        <w:t xml:space="preserve">taková kritéria hodnocení, která </w:t>
      </w:r>
      <w:r w:rsidR="00946164">
        <w:t>ve</w:t>
      </w:r>
      <w:r w:rsidR="001B3BAD">
        <w:t xml:space="preserve"> </w:t>
      </w:r>
      <w:r w:rsidR="00946164">
        <w:t>výsledku ne</w:t>
      </w:r>
      <w:r w:rsidR="00F67A9E" w:rsidRPr="00C128B1">
        <w:t xml:space="preserve">zaručila výběr </w:t>
      </w:r>
      <w:r>
        <w:t xml:space="preserve">pouze </w:t>
      </w:r>
      <w:r w:rsidR="00F67A9E" w:rsidRPr="00C128B1">
        <w:t>efektivních projektů sociálního podnikání.</w:t>
      </w:r>
      <w:r w:rsidR="00F67A9E">
        <w:t xml:space="preserve"> T</w:t>
      </w:r>
      <w:r w:rsidR="009108E1">
        <w:t>o</w:t>
      </w:r>
      <w:r w:rsidR="00F67A9E">
        <w:t xml:space="preserve"> </w:t>
      </w:r>
      <w:r>
        <w:t>je</w:t>
      </w:r>
      <w:r w:rsidR="00687DC4">
        <w:t xml:space="preserve"> </w:t>
      </w:r>
      <w:r>
        <w:t>kromě skutečnosti uvedené v odstavci 4.</w:t>
      </w:r>
      <w:r w:rsidR="00722741">
        <w:t>2</w:t>
      </w:r>
      <w:r w:rsidR="00714616">
        <w:t>8</w:t>
      </w:r>
      <w:r w:rsidR="00F67A9E">
        <w:t xml:space="preserve"> </w:t>
      </w:r>
      <w:r>
        <w:t>důsledkem</w:t>
      </w:r>
      <w:r w:rsidR="00F67A9E">
        <w:t xml:space="preserve"> nevhodně nastavené struktury a</w:t>
      </w:r>
      <w:r w:rsidR="0044394A">
        <w:t> </w:t>
      </w:r>
      <w:r w:rsidR="00F67A9E">
        <w:t>obsahu kritérií věcného hodnocení</w:t>
      </w:r>
      <w:r w:rsidR="0041356B">
        <w:t>.</w:t>
      </w:r>
      <w:r w:rsidR="00F67A9E">
        <w:t xml:space="preserve"> </w:t>
      </w:r>
      <w:r w:rsidR="0041356B">
        <w:t>V</w:t>
      </w:r>
      <w:r w:rsidR="00F67A9E">
        <w:t xml:space="preserve">šechny projekty, které úspěšně prošly do fáze věcného hodnocení projektů, </w:t>
      </w:r>
      <w:r>
        <w:t>obdržely</w:t>
      </w:r>
      <w:r w:rsidR="00F67A9E">
        <w:t xml:space="preserve"> minimální potřebné množství přidělitelných bodů </w:t>
      </w:r>
      <w:r>
        <w:t>(nedošlo k vyřazení žádného projektu z důvodu nedosažení potřebné hladiny bodů v rámci věcného hodnocení</w:t>
      </w:r>
      <w:r w:rsidR="00946164">
        <w:t xml:space="preserve"> či z důvodu nedostatečné kvality projektu</w:t>
      </w:r>
      <w:r>
        <w:t>). K další selekci projektů podle jejich celkové kvality</w:t>
      </w:r>
      <w:r w:rsidR="00783598">
        <w:t>, zahrnující i např. kritérium jejich efektivnosti,</w:t>
      </w:r>
      <w:r>
        <w:t xml:space="preserve"> již nedošlo, neboť k</w:t>
      </w:r>
      <w:r w:rsidR="00F67A9E">
        <w:t xml:space="preserve"> podpoře </w:t>
      </w:r>
      <w:r>
        <w:t>projektů</w:t>
      </w:r>
      <w:r w:rsidR="00F67A9E">
        <w:t xml:space="preserve"> </w:t>
      </w:r>
      <w:r>
        <w:t xml:space="preserve">byla </w:t>
      </w:r>
      <w:r w:rsidR="00F67A9E">
        <w:t>k dispozici dostatečná finanční alokace.</w:t>
      </w:r>
      <w:r w:rsidR="001D434A">
        <w:t xml:space="preserve"> Možnost podpořit všechny projekty, které prošly do fáze věcného hodnocení projektů, byla nicméně důsledkem toho, že orgány implementační struktury (MMR, CRR) vyřadily z procesu hodnocení velké množství projektů již ve fázi hodnocení přijatelnosti a formálních náležitostí.</w:t>
      </w:r>
      <w:r w:rsidR="007E0508">
        <w:t xml:space="preserve"> Celková úspěšnost podaných žádostí o podporu činila v IROP </w:t>
      </w:r>
      <w:r w:rsidR="006F3423">
        <w:t>cca 37 %, přičemž např. v prvních dvou vyhlášených výzvách (č.</w:t>
      </w:r>
      <w:r w:rsidR="00FD2FD8">
        <w:t> </w:t>
      </w:r>
      <w:r w:rsidR="006F3423">
        <w:t>11 a 12) se pohybovala pouze na úrovni 15 %.</w:t>
      </w:r>
    </w:p>
    <w:p w14:paraId="0DB2208B" w14:textId="77777777" w:rsidR="006B39C6" w:rsidRPr="0041356B" w:rsidRDefault="00E6602B" w:rsidP="00687DC4">
      <w:pPr>
        <w:pStyle w:val="JK4"/>
        <w:keepNext w:val="0"/>
        <w:numPr>
          <w:ilvl w:val="0"/>
          <w:numId w:val="0"/>
        </w:numPr>
        <w:spacing w:after="120"/>
        <w:ind w:left="284" w:hanging="284"/>
      </w:pPr>
      <w:r w:rsidRPr="00E57019">
        <w:rPr>
          <w:b/>
          <w:bCs/>
          <w:i/>
          <w:color w:val="FF0000"/>
        </w:rPr>
        <w:t xml:space="preserve">→ </w:t>
      </w:r>
      <w:r>
        <w:rPr>
          <w:b/>
          <w:bCs/>
          <w:i/>
          <w:color w:val="FF0000"/>
        </w:rPr>
        <w:tab/>
      </w:r>
      <w:r w:rsidR="00D72C87" w:rsidRPr="00D72C87">
        <w:rPr>
          <w:b/>
          <w:bCs/>
          <w:i/>
          <w:color w:val="FF0000"/>
        </w:rPr>
        <w:t>V systému výběru projektů k podpoře z OPZ existují rizika, která snižují účelnost a</w:t>
      </w:r>
      <w:r w:rsidR="00D72C87">
        <w:rPr>
          <w:b/>
          <w:bCs/>
          <w:i/>
          <w:color w:val="FF0000"/>
        </w:rPr>
        <w:t> </w:t>
      </w:r>
      <w:r w:rsidR="00D72C87" w:rsidRPr="00D72C87">
        <w:rPr>
          <w:b/>
          <w:bCs/>
          <w:i/>
          <w:color w:val="FF0000"/>
        </w:rPr>
        <w:t>efektivnost poskytované podpory, ...</w:t>
      </w:r>
    </w:p>
    <w:p w14:paraId="05972C79" w14:textId="77777777" w:rsidR="0075760A" w:rsidRDefault="00665D33" w:rsidP="00FD2FD8">
      <w:pPr>
        <w:pStyle w:val="JK4"/>
        <w:keepNext w:val="0"/>
        <w:tabs>
          <w:tab w:val="left" w:pos="567"/>
        </w:tabs>
        <w:spacing w:after="120"/>
      </w:pPr>
      <w:r>
        <w:t xml:space="preserve">Při výběru projektů k podpoře sociálního podnikání hrálo v OPZ významnou roli věcné hodnocení projektů. Z údajů uvedených v tabulce </w:t>
      </w:r>
      <w:r w:rsidR="00D63F53">
        <w:t xml:space="preserve">č. </w:t>
      </w:r>
      <w:r w:rsidR="005B1FAC">
        <w:t>6</w:t>
      </w:r>
      <w:r w:rsidR="00D63F53">
        <w:t xml:space="preserve"> </w:t>
      </w:r>
      <w:r>
        <w:t>je patrné, že objem podaných žádostí o</w:t>
      </w:r>
      <w:r w:rsidR="00D63F53">
        <w:t> </w:t>
      </w:r>
      <w:r>
        <w:t>podporu výrazně převyšoval disponibilní alokaci</w:t>
      </w:r>
      <w:r w:rsidR="00D63F53">
        <w:t xml:space="preserve"> výzev. </w:t>
      </w:r>
    </w:p>
    <w:p w14:paraId="1391C55F" w14:textId="77777777" w:rsidR="00665D33" w:rsidRPr="00263E14" w:rsidRDefault="00665D33" w:rsidP="00263E14">
      <w:pPr>
        <w:keepNext/>
        <w:spacing w:before="120" w:after="40" w:line="240" w:lineRule="auto"/>
        <w:ind w:left="1276" w:hanging="1276"/>
        <w:jc w:val="both"/>
        <w:rPr>
          <w:b/>
          <w:sz w:val="24"/>
        </w:rPr>
      </w:pPr>
      <w:r w:rsidRPr="00263E14">
        <w:rPr>
          <w:b/>
          <w:sz w:val="24"/>
        </w:rPr>
        <w:t>Tabulka č.</w:t>
      </w:r>
      <w:r w:rsidR="00687DC4">
        <w:rPr>
          <w:b/>
          <w:sz w:val="24"/>
        </w:rPr>
        <w:t> </w:t>
      </w:r>
      <w:r w:rsidR="005B1FAC" w:rsidRPr="00263E14">
        <w:rPr>
          <w:b/>
          <w:sz w:val="24"/>
        </w:rPr>
        <w:t>6</w:t>
      </w:r>
      <w:r w:rsidRPr="00263E14">
        <w:rPr>
          <w:b/>
          <w:sz w:val="24"/>
        </w:rPr>
        <w:t>:</w:t>
      </w:r>
      <w:r w:rsidR="00263E14">
        <w:rPr>
          <w:b/>
          <w:sz w:val="24"/>
        </w:rPr>
        <w:tab/>
      </w:r>
      <w:r w:rsidRPr="00263E14">
        <w:rPr>
          <w:b/>
          <w:sz w:val="24"/>
        </w:rPr>
        <w:t xml:space="preserve">Finanční objem podaných a podpořených žádostí o podporu u výzev podpory sociálního podnikání v OPZ </w:t>
      </w:r>
    </w:p>
    <w:tbl>
      <w:tblPr>
        <w:tblW w:w="90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1100"/>
        <w:gridCol w:w="2374"/>
        <w:gridCol w:w="1913"/>
        <w:gridCol w:w="1843"/>
        <w:gridCol w:w="1842"/>
      </w:tblGrid>
      <w:tr w:rsidR="00665D33" w:rsidRPr="00C7094C" w14:paraId="581F3D1B" w14:textId="77777777" w:rsidTr="00687DC4">
        <w:trPr>
          <w:trHeight w:val="255"/>
        </w:trPr>
        <w:tc>
          <w:tcPr>
            <w:tcW w:w="1100" w:type="dxa"/>
            <w:shd w:val="clear" w:color="000000" w:fill="E5F1FF"/>
            <w:vAlign w:val="center"/>
            <w:hideMark/>
          </w:tcPr>
          <w:p w14:paraId="5A4D95D1" w14:textId="77777777" w:rsidR="00665D33" w:rsidRPr="00C7094C" w:rsidRDefault="00665D33" w:rsidP="00687DC4">
            <w:pPr>
              <w:keepNext/>
              <w:keepLines/>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Výzva</w:t>
            </w:r>
          </w:p>
        </w:tc>
        <w:tc>
          <w:tcPr>
            <w:tcW w:w="2374" w:type="dxa"/>
            <w:shd w:val="clear" w:color="000000" w:fill="E5F1FF"/>
            <w:vAlign w:val="center"/>
            <w:hideMark/>
          </w:tcPr>
          <w:p w14:paraId="6D7957A1" w14:textId="77777777" w:rsidR="00665D33" w:rsidRPr="00C7094C" w:rsidRDefault="00665D33" w:rsidP="00687DC4">
            <w:pPr>
              <w:keepNext/>
              <w:keepLines/>
              <w:spacing w:after="0" w:line="240" w:lineRule="auto"/>
              <w:jc w:val="center"/>
              <w:rPr>
                <w:rFonts w:ascii="Calibri" w:eastAsia="Times New Roman" w:hAnsi="Calibri" w:cs="Calibri"/>
                <w:b/>
                <w:bCs/>
                <w:color w:val="000000"/>
                <w:sz w:val="20"/>
                <w:szCs w:val="20"/>
                <w:lang w:eastAsia="cs-CZ"/>
              </w:rPr>
            </w:pPr>
            <w:r w:rsidRPr="00C7094C">
              <w:rPr>
                <w:rFonts w:ascii="Calibri" w:eastAsia="Times New Roman" w:hAnsi="Calibri" w:cs="Calibri"/>
                <w:b/>
                <w:bCs/>
                <w:color w:val="000000"/>
                <w:sz w:val="20"/>
                <w:szCs w:val="20"/>
                <w:lang w:eastAsia="cs-CZ"/>
              </w:rPr>
              <w:t>Finanční alokace výzvy</w:t>
            </w:r>
            <w:r w:rsidRPr="00C7094C">
              <w:rPr>
                <w:rFonts w:ascii="Calibri" w:eastAsia="Times New Roman" w:hAnsi="Calibri" w:cs="Calibri"/>
                <w:b/>
                <w:bCs/>
                <w:color w:val="000000"/>
                <w:sz w:val="20"/>
                <w:szCs w:val="20"/>
                <w:lang w:eastAsia="cs-CZ"/>
              </w:rPr>
              <w:br/>
              <w:t>(celkové způsobilé výdaje)</w:t>
            </w:r>
          </w:p>
        </w:tc>
        <w:tc>
          <w:tcPr>
            <w:tcW w:w="1913" w:type="dxa"/>
            <w:shd w:val="clear" w:color="000000" w:fill="E5F1FF"/>
            <w:vAlign w:val="center"/>
            <w:hideMark/>
          </w:tcPr>
          <w:p w14:paraId="63239A1F" w14:textId="77777777" w:rsidR="00665D33" w:rsidRPr="00C7094C" w:rsidRDefault="00665D33" w:rsidP="00687DC4">
            <w:pPr>
              <w:keepNext/>
              <w:keepLines/>
              <w:spacing w:after="0" w:line="240" w:lineRule="auto"/>
              <w:jc w:val="center"/>
              <w:rPr>
                <w:rFonts w:ascii="Calibri" w:eastAsia="Times New Roman" w:hAnsi="Calibri" w:cs="Calibri"/>
                <w:b/>
                <w:bCs/>
                <w:color w:val="000000"/>
                <w:sz w:val="20"/>
                <w:szCs w:val="20"/>
                <w:lang w:eastAsia="cs-CZ"/>
              </w:rPr>
            </w:pPr>
            <w:r w:rsidRPr="00C7094C">
              <w:rPr>
                <w:rFonts w:ascii="Calibri" w:eastAsia="Times New Roman" w:hAnsi="Calibri" w:cs="Calibri"/>
                <w:b/>
                <w:bCs/>
                <w:color w:val="000000"/>
                <w:sz w:val="20"/>
                <w:szCs w:val="20"/>
                <w:lang w:eastAsia="cs-CZ"/>
              </w:rPr>
              <w:t>Objem podaných žádostí celkem</w:t>
            </w:r>
          </w:p>
        </w:tc>
        <w:tc>
          <w:tcPr>
            <w:tcW w:w="1843" w:type="dxa"/>
            <w:shd w:val="clear" w:color="000000" w:fill="E5F1FF"/>
            <w:vAlign w:val="center"/>
            <w:hideMark/>
          </w:tcPr>
          <w:p w14:paraId="67DC80FC" w14:textId="77777777" w:rsidR="00665D33" w:rsidRPr="00C7094C" w:rsidRDefault="00665D33" w:rsidP="00687DC4">
            <w:pPr>
              <w:keepNext/>
              <w:keepLines/>
              <w:spacing w:after="0" w:line="240" w:lineRule="auto"/>
              <w:jc w:val="center"/>
              <w:rPr>
                <w:rFonts w:ascii="Calibri" w:eastAsia="Times New Roman" w:hAnsi="Calibri" w:cs="Calibri"/>
                <w:b/>
                <w:bCs/>
                <w:color w:val="000000"/>
                <w:sz w:val="20"/>
                <w:szCs w:val="20"/>
                <w:lang w:eastAsia="cs-CZ"/>
              </w:rPr>
            </w:pPr>
            <w:r w:rsidRPr="00C7094C">
              <w:rPr>
                <w:rFonts w:ascii="Calibri" w:eastAsia="Times New Roman" w:hAnsi="Calibri" w:cs="Calibri"/>
                <w:b/>
                <w:bCs/>
                <w:color w:val="000000"/>
                <w:sz w:val="20"/>
                <w:szCs w:val="20"/>
                <w:lang w:eastAsia="cs-CZ"/>
              </w:rPr>
              <w:t xml:space="preserve">Objem vydaných </w:t>
            </w:r>
            <w:proofErr w:type="spellStart"/>
            <w:r w:rsidRPr="00C7094C">
              <w:rPr>
                <w:rFonts w:ascii="Calibri" w:eastAsia="Times New Roman" w:hAnsi="Calibri" w:cs="Calibri"/>
                <w:b/>
                <w:bCs/>
                <w:color w:val="000000"/>
                <w:sz w:val="20"/>
                <w:szCs w:val="20"/>
                <w:lang w:eastAsia="cs-CZ"/>
              </w:rPr>
              <w:t>RoPD</w:t>
            </w:r>
            <w:proofErr w:type="spellEnd"/>
            <w:r w:rsidRPr="00C7094C">
              <w:rPr>
                <w:rFonts w:ascii="Calibri" w:eastAsia="Times New Roman" w:hAnsi="Calibri" w:cs="Calibri"/>
                <w:b/>
                <w:bCs/>
                <w:color w:val="000000"/>
                <w:sz w:val="20"/>
                <w:szCs w:val="20"/>
                <w:lang w:eastAsia="cs-CZ"/>
              </w:rPr>
              <w:t xml:space="preserve"> celkem</w:t>
            </w:r>
          </w:p>
        </w:tc>
        <w:tc>
          <w:tcPr>
            <w:tcW w:w="1842" w:type="dxa"/>
            <w:shd w:val="clear" w:color="000000" w:fill="E5F1FF"/>
            <w:vAlign w:val="center"/>
            <w:hideMark/>
          </w:tcPr>
          <w:p w14:paraId="114D28B4" w14:textId="77777777" w:rsidR="00665D33" w:rsidRPr="00C7094C" w:rsidRDefault="00665D33" w:rsidP="00687DC4">
            <w:pPr>
              <w:keepNext/>
              <w:keepLines/>
              <w:spacing w:after="0" w:line="240" w:lineRule="auto"/>
              <w:jc w:val="center"/>
              <w:rPr>
                <w:rFonts w:ascii="Calibri" w:eastAsia="Times New Roman" w:hAnsi="Calibri" w:cs="Calibri"/>
                <w:b/>
                <w:bCs/>
                <w:color w:val="000000"/>
                <w:sz w:val="20"/>
                <w:szCs w:val="20"/>
                <w:lang w:eastAsia="cs-CZ"/>
              </w:rPr>
            </w:pPr>
            <w:r w:rsidRPr="00C7094C">
              <w:rPr>
                <w:rFonts w:ascii="Calibri" w:eastAsia="Times New Roman" w:hAnsi="Calibri" w:cs="Calibri"/>
                <w:b/>
                <w:bCs/>
                <w:color w:val="000000"/>
                <w:sz w:val="20"/>
                <w:szCs w:val="20"/>
                <w:lang w:eastAsia="cs-CZ"/>
              </w:rPr>
              <w:t>Úspěšnost žádostí</w:t>
            </w:r>
            <w:r w:rsidRPr="00C7094C">
              <w:rPr>
                <w:rFonts w:ascii="Calibri" w:eastAsia="Times New Roman" w:hAnsi="Calibri" w:cs="Calibri"/>
                <w:b/>
                <w:bCs/>
                <w:color w:val="000000"/>
                <w:sz w:val="20"/>
                <w:szCs w:val="20"/>
                <w:lang w:eastAsia="cs-CZ"/>
              </w:rPr>
              <w:br/>
              <w:t>(v %)</w:t>
            </w:r>
          </w:p>
        </w:tc>
      </w:tr>
      <w:tr w:rsidR="00665D33" w:rsidRPr="00C7094C" w14:paraId="641422EA" w14:textId="77777777" w:rsidTr="00687DC4">
        <w:trPr>
          <w:trHeight w:val="255"/>
        </w:trPr>
        <w:tc>
          <w:tcPr>
            <w:tcW w:w="1100" w:type="dxa"/>
            <w:shd w:val="clear" w:color="auto" w:fill="auto"/>
            <w:noWrap/>
            <w:vAlign w:val="bottom"/>
            <w:hideMark/>
          </w:tcPr>
          <w:p w14:paraId="41782C18" w14:textId="77777777" w:rsidR="00665D33" w:rsidRPr="00C7094C" w:rsidRDefault="00665D33" w:rsidP="00687DC4">
            <w:pPr>
              <w:keepNext/>
              <w:keepLines/>
              <w:spacing w:after="0" w:line="240" w:lineRule="auto"/>
              <w:jc w:val="center"/>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15</w:t>
            </w:r>
          </w:p>
        </w:tc>
        <w:tc>
          <w:tcPr>
            <w:tcW w:w="2374" w:type="dxa"/>
            <w:shd w:val="clear" w:color="auto" w:fill="auto"/>
            <w:noWrap/>
            <w:vAlign w:val="bottom"/>
            <w:hideMark/>
          </w:tcPr>
          <w:p w14:paraId="3A407527"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100 000 000,00</w:t>
            </w:r>
          </w:p>
        </w:tc>
        <w:tc>
          <w:tcPr>
            <w:tcW w:w="1913" w:type="dxa"/>
            <w:shd w:val="clear" w:color="auto" w:fill="auto"/>
            <w:noWrap/>
            <w:vAlign w:val="bottom"/>
            <w:hideMark/>
          </w:tcPr>
          <w:p w14:paraId="55DB2A3D"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1 253 485 036,00</w:t>
            </w:r>
          </w:p>
        </w:tc>
        <w:tc>
          <w:tcPr>
            <w:tcW w:w="1843" w:type="dxa"/>
            <w:shd w:val="clear" w:color="auto" w:fill="auto"/>
            <w:noWrap/>
            <w:vAlign w:val="bottom"/>
            <w:hideMark/>
          </w:tcPr>
          <w:p w14:paraId="53F05487"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74 868 410,25</w:t>
            </w:r>
          </w:p>
        </w:tc>
        <w:tc>
          <w:tcPr>
            <w:tcW w:w="1842" w:type="dxa"/>
            <w:shd w:val="clear" w:color="auto" w:fill="auto"/>
            <w:noWrap/>
            <w:vAlign w:val="bottom"/>
            <w:hideMark/>
          </w:tcPr>
          <w:p w14:paraId="45E7AE3D" w14:textId="77777777" w:rsidR="00665D33" w:rsidRPr="00C7094C" w:rsidRDefault="00665D33" w:rsidP="00687DC4">
            <w:pPr>
              <w:keepNext/>
              <w:keepLines/>
              <w:spacing w:after="0" w:line="240" w:lineRule="auto"/>
              <w:ind w:right="642"/>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5,97</w:t>
            </w:r>
          </w:p>
        </w:tc>
      </w:tr>
      <w:tr w:rsidR="00665D33" w:rsidRPr="00C7094C" w14:paraId="44DD493B" w14:textId="77777777" w:rsidTr="00687DC4">
        <w:trPr>
          <w:trHeight w:val="255"/>
        </w:trPr>
        <w:tc>
          <w:tcPr>
            <w:tcW w:w="1100" w:type="dxa"/>
            <w:shd w:val="clear" w:color="auto" w:fill="auto"/>
            <w:noWrap/>
            <w:vAlign w:val="bottom"/>
            <w:hideMark/>
          </w:tcPr>
          <w:p w14:paraId="738C5328" w14:textId="77777777" w:rsidR="00665D33" w:rsidRPr="00C7094C" w:rsidRDefault="00665D33" w:rsidP="00687DC4">
            <w:pPr>
              <w:keepNext/>
              <w:keepLines/>
              <w:spacing w:after="0" w:line="240" w:lineRule="auto"/>
              <w:jc w:val="center"/>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26</w:t>
            </w:r>
          </w:p>
        </w:tc>
        <w:tc>
          <w:tcPr>
            <w:tcW w:w="2374" w:type="dxa"/>
            <w:shd w:val="clear" w:color="auto" w:fill="auto"/>
            <w:noWrap/>
            <w:vAlign w:val="bottom"/>
            <w:hideMark/>
          </w:tcPr>
          <w:p w14:paraId="695F11CD"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609 972 200,00</w:t>
            </w:r>
          </w:p>
        </w:tc>
        <w:tc>
          <w:tcPr>
            <w:tcW w:w="1913" w:type="dxa"/>
            <w:shd w:val="clear" w:color="auto" w:fill="auto"/>
            <w:noWrap/>
            <w:vAlign w:val="bottom"/>
            <w:hideMark/>
          </w:tcPr>
          <w:p w14:paraId="7F3AD171"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167 065 080,10</w:t>
            </w:r>
          </w:p>
        </w:tc>
        <w:tc>
          <w:tcPr>
            <w:tcW w:w="1843" w:type="dxa"/>
            <w:shd w:val="clear" w:color="auto" w:fill="auto"/>
            <w:noWrap/>
            <w:vAlign w:val="bottom"/>
            <w:hideMark/>
          </w:tcPr>
          <w:p w14:paraId="0E81D271"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8 744 361,25</w:t>
            </w:r>
          </w:p>
        </w:tc>
        <w:tc>
          <w:tcPr>
            <w:tcW w:w="1842" w:type="dxa"/>
            <w:shd w:val="clear" w:color="auto" w:fill="auto"/>
            <w:noWrap/>
            <w:vAlign w:val="bottom"/>
            <w:hideMark/>
          </w:tcPr>
          <w:p w14:paraId="2572EC3B" w14:textId="77777777" w:rsidR="00665D33" w:rsidRPr="00C7094C" w:rsidRDefault="00665D33" w:rsidP="00687DC4">
            <w:pPr>
              <w:keepNext/>
              <w:keepLines/>
              <w:spacing w:after="0" w:line="240" w:lineRule="auto"/>
              <w:ind w:right="642"/>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5,23</w:t>
            </w:r>
          </w:p>
        </w:tc>
      </w:tr>
      <w:tr w:rsidR="00665D33" w:rsidRPr="00C7094C" w14:paraId="199C89CA" w14:textId="77777777" w:rsidTr="00687DC4">
        <w:trPr>
          <w:trHeight w:val="255"/>
        </w:trPr>
        <w:tc>
          <w:tcPr>
            <w:tcW w:w="1100" w:type="dxa"/>
            <w:shd w:val="clear" w:color="auto" w:fill="auto"/>
            <w:noWrap/>
            <w:vAlign w:val="bottom"/>
            <w:hideMark/>
          </w:tcPr>
          <w:p w14:paraId="784F464E" w14:textId="77777777" w:rsidR="00665D33" w:rsidRPr="00C7094C" w:rsidRDefault="00665D33" w:rsidP="00687DC4">
            <w:pPr>
              <w:keepNext/>
              <w:keepLines/>
              <w:spacing w:after="0" w:line="240" w:lineRule="auto"/>
              <w:jc w:val="center"/>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47</w:t>
            </w:r>
          </w:p>
        </w:tc>
        <w:tc>
          <w:tcPr>
            <w:tcW w:w="2374" w:type="dxa"/>
            <w:shd w:val="clear" w:color="auto" w:fill="auto"/>
            <w:noWrap/>
            <w:vAlign w:val="bottom"/>
            <w:hideMark/>
          </w:tcPr>
          <w:p w14:paraId="1449116E"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2 030 000 000,00</w:t>
            </w:r>
          </w:p>
        </w:tc>
        <w:tc>
          <w:tcPr>
            <w:tcW w:w="1913" w:type="dxa"/>
            <w:shd w:val="clear" w:color="auto" w:fill="auto"/>
            <w:noWrap/>
            <w:vAlign w:val="bottom"/>
            <w:hideMark/>
          </w:tcPr>
          <w:p w14:paraId="522E5C70"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273 516 254,41</w:t>
            </w:r>
          </w:p>
        </w:tc>
        <w:tc>
          <w:tcPr>
            <w:tcW w:w="1843" w:type="dxa"/>
            <w:shd w:val="clear" w:color="auto" w:fill="auto"/>
            <w:noWrap/>
            <w:vAlign w:val="bottom"/>
            <w:hideMark/>
          </w:tcPr>
          <w:p w14:paraId="579D065C"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150 387 499,70</w:t>
            </w:r>
          </w:p>
        </w:tc>
        <w:tc>
          <w:tcPr>
            <w:tcW w:w="1842" w:type="dxa"/>
            <w:shd w:val="clear" w:color="auto" w:fill="auto"/>
            <w:noWrap/>
            <w:vAlign w:val="bottom"/>
            <w:hideMark/>
          </w:tcPr>
          <w:p w14:paraId="3E09D0D0" w14:textId="77777777" w:rsidR="00665D33" w:rsidRPr="00C7094C" w:rsidRDefault="00665D33" w:rsidP="00687DC4">
            <w:pPr>
              <w:keepNext/>
              <w:keepLines/>
              <w:spacing w:after="0" w:line="240" w:lineRule="auto"/>
              <w:ind w:right="642"/>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54,98</w:t>
            </w:r>
          </w:p>
        </w:tc>
      </w:tr>
      <w:tr w:rsidR="00665D33" w:rsidRPr="00C7094C" w14:paraId="1273F75E" w14:textId="77777777" w:rsidTr="00687DC4">
        <w:trPr>
          <w:trHeight w:val="255"/>
        </w:trPr>
        <w:tc>
          <w:tcPr>
            <w:tcW w:w="1100" w:type="dxa"/>
            <w:shd w:val="clear" w:color="auto" w:fill="auto"/>
            <w:noWrap/>
            <w:vAlign w:val="bottom"/>
            <w:hideMark/>
          </w:tcPr>
          <w:p w14:paraId="255ED623" w14:textId="77777777" w:rsidR="00665D33" w:rsidRPr="00C7094C" w:rsidRDefault="00665D33" w:rsidP="00687DC4">
            <w:pPr>
              <w:keepNext/>
              <w:keepLines/>
              <w:spacing w:after="0" w:line="240" w:lineRule="auto"/>
              <w:jc w:val="center"/>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67</w:t>
            </w:r>
          </w:p>
        </w:tc>
        <w:tc>
          <w:tcPr>
            <w:tcW w:w="2374" w:type="dxa"/>
            <w:shd w:val="clear" w:color="auto" w:fill="auto"/>
            <w:noWrap/>
            <w:vAlign w:val="bottom"/>
            <w:hideMark/>
          </w:tcPr>
          <w:p w14:paraId="4249C8B1"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100 000 000,00</w:t>
            </w:r>
          </w:p>
        </w:tc>
        <w:tc>
          <w:tcPr>
            <w:tcW w:w="1913" w:type="dxa"/>
            <w:shd w:val="clear" w:color="auto" w:fill="auto"/>
            <w:noWrap/>
            <w:vAlign w:val="bottom"/>
            <w:hideMark/>
          </w:tcPr>
          <w:p w14:paraId="23A50F2F"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748 318 405,10</w:t>
            </w:r>
          </w:p>
        </w:tc>
        <w:tc>
          <w:tcPr>
            <w:tcW w:w="1843" w:type="dxa"/>
            <w:shd w:val="clear" w:color="auto" w:fill="auto"/>
            <w:noWrap/>
            <w:vAlign w:val="bottom"/>
            <w:hideMark/>
          </w:tcPr>
          <w:p w14:paraId="0E445299"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70 255 448,75</w:t>
            </w:r>
          </w:p>
        </w:tc>
        <w:tc>
          <w:tcPr>
            <w:tcW w:w="1842" w:type="dxa"/>
            <w:shd w:val="clear" w:color="auto" w:fill="auto"/>
            <w:noWrap/>
            <w:vAlign w:val="bottom"/>
            <w:hideMark/>
          </w:tcPr>
          <w:p w14:paraId="6E2166DC" w14:textId="77777777" w:rsidR="00665D33" w:rsidRPr="00C7094C" w:rsidRDefault="00665D33" w:rsidP="00687DC4">
            <w:pPr>
              <w:keepNext/>
              <w:keepLines/>
              <w:spacing w:after="0" w:line="240" w:lineRule="auto"/>
              <w:ind w:right="642"/>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9,39</w:t>
            </w:r>
          </w:p>
        </w:tc>
      </w:tr>
      <w:tr w:rsidR="00665D33" w:rsidRPr="00C7094C" w14:paraId="469648C1" w14:textId="77777777" w:rsidTr="00687DC4">
        <w:trPr>
          <w:trHeight w:val="255"/>
        </w:trPr>
        <w:tc>
          <w:tcPr>
            <w:tcW w:w="1100" w:type="dxa"/>
            <w:shd w:val="clear" w:color="auto" w:fill="auto"/>
            <w:noWrap/>
            <w:vAlign w:val="bottom"/>
          </w:tcPr>
          <w:p w14:paraId="05E584EE" w14:textId="77777777" w:rsidR="00665D33" w:rsidRPr="00C7094C" w:rsidRDefault="00665D33" w:rsidP="00687DC4">
            <w:pPr>
              <w:keepNext/>
              <w:keepLines/>
              <w:spacing w:after="0" w:line="240" w:lineRule="auto"/>
              <w:jc w:val="center"/>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105</w:t>
            </w:r>
          </w:p>
        </w:tc>
        <w:tc>
          <w:tcPr>
            <w:tcW w:w="2374" w:type="dxa"/>
            <w:shd w:val="clear" w:color="auto" w:fill="auto"/>
            <w:noWrap/>
            <w:vAlign w:val="bottom"/>
          </w:tcPr>
          <w:p w14:paraId="51293F47"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50 000 000,00</w:t>
            </w:r>
          </w:p>
        </w:tc>
        <w:tc>
          <w:tcPr>
            <w:tcW w:w="1913" w:type="dxa"/>
            <w:shd w:val="clear" w:color="auto" w:fill="auto"/>
            <w:noWrap/>
            <w:vAlign w:val="bottom"/>
          </w:tcPr>
          <w:p w14:paraId="366D7610"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55 036 725,63</w:t>
            </w:r>
          </w:p>
        </w:tc>
        <w:tc>
          <w:tcPr>
            <w:tcW w:w="1843" w:type="dxa"/>
            <w:shd w:val="clear" w:color="auto" w:fill="auto"/>
            <w:noWrap/>
            <w:vAlign w:val="bottom"/>
          </w:tcPr>
          <w:p w14:paraId="2057138A"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7 568 736,25</w:t>
            </w:r>
          </w:p>
        </w:tc>
        <w:tc>
          <w:tcPr>
            <w:tcW w:w="1842" w:type="dxa"/>
            <w:shd w:val="clear" w:color="auto" w:fill="auto"/>
            <w:noWrap/>
            <w:vAlign w:val="bottom"/>
          </w:tcPr>
          <w:p w14:paraId="479552CC" w14:textId="77777777" w:rsidR="00665D33" w:rsidRPr="00C7094C" w:rsidRDefault="00665D33" w:rsidP="00687DC4">
            <w:pPr>
              <w:keepNext/>
              <w:keepLines/>
              <w:spacing w:after="0" w:line="240" w:lineRule="auto"/>
              <w:ind w:right="642"/>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13,75</w:t>
            </w:r>
          </w:p>
        </w:tc>
      </w:tr>
      <w:tr w:rsidR="00665D33" w:rsidRPr="00C7094C" w14:paraId="74EB23BE" w14:textId="77777777" w:rsidTr="00687DC4">
        <w:trPr>
          <w:trHeight w:val="255"/>
        </w:trPr>
        <w:tc>
          <w:tcPr>
            <w:tcW w:w="1100" w:type="dxa"/>
            <w:shd w:val="clear" w:color="auto" w:fill="auto"/>
            <w:noWrap/>
            <w:vAlign w:val="bottom"/>
            <w:hideMark/>
          </w:tcPr>
          <w:p w14:paraId="0E71FC7E" w14:textId="77777777" w:rsidR="00665D33" w:rsidRPr="00C7094C" w:rsidRDefault="00665D33" w:rsidP="00687DC4">
            <w:pPr>
              <w:keepNext/>
              <w:keepLines/>
              <w:spacing w:after="0" w:line="240" w:lineRule="auto"/>
              <w:jc w:val="center"/>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129</w:t>
            </w:r>
          </w:p>
        </w:tc>
        <w:tc>
          <w:tcPr>
            <w:tcW w:w="2374" w:type="dxa"/>
            <w:shd w:val="clear" w:color="auto" w:fill="auto"/>
            <w:noWrap/>
            <w:vAlign w:val="bottom"/>
            <w:hideMark/>
          </w:tcPr>
          <w:p w14:paraId="45F02239"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315 000 000,00</w:t>
            </w:r>
          </w:p>
        </w:tc>
        <w:tc>
          <w:tcPr>
            <w:tcW w:w="1913" w:type="dxa"/>
            <w:shd w:val="clear" w:color="auto" w:fill="auto"/>
            <w:noWrap/>
            <w:vAlign w:val="bottom"/>
            <w:hideMark/>
          </w:tcPr>
          <w:p w14:paraId="285DC43E"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1 560 942 262,00</w:t>
            </w:r>
          </w:p>
        </w:tc>
        <w:tc>
          <w:tcPr>
            <w:tcW w:w="1843" w:type="dxa"/>
            <w:shd w:val="clear" w:color="auto" w:fill="auto"/>
            <w:noWrap/>
            <w:vAlign w:val="bottom"/>
            <w:hideMark/>
          </w:tcPr>
          <w:p w14:paraId="303E48B4" w14:textId="77777777" w:rsidR="00665D33" w:rsidRPr="00C7094C" w:rsidRDefault="00665D33" w:rsidP="00687DC4">
            <w:pPr>
              <w:keepNext/>
              <w:keepLines/>
              <w:spacing w:after="0" w:line="240" w:lineRule="auto"/>
              <w:ind w:right="145"/>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267 282 855,60</w:t>
            </w:r>
          </w:p>
        </w:tc>
        <w:tc>
          <w:tcPr>
            <w:tcW w:w="1842" w:type="dxa"/>
            <w:shd w:val="clear" w:color="auto" w:fill="auto"/>
            <w:noWrap/>
            <w:vAlign w:val="bottom"/>
            <w:hideMark/>
          </w:tcPr>
          <w:p w14:paraId="6077F47C" w14:textId="77777777" w:rsidR="00665D33" w:rsidRPr="00C7094C" w:rsidRDefault="00665D33" w:rsidP="00687DC4">
            <w:pPr>
              <w:keepNext/>
              <w:keepLines/>
              <w:spacing w:after="0" w:line="240" w:lineRule="auto"/>
              <w:ind w:right="642"/>
              <w:jc w:val="right"/>
              <w:rPr>
                <w:rFonts w:ascii="Calibri" w:eastAsia="Times New Roman" w:hAnsi="Calibri" w:cs="Calibri"/>
                <w:color w:val="000000"/>
                <w:sz w:val="20"/>
                <w:szCs w:val="20"/>
                <w:lang w:eastAsia="cs-CZ"/>
              </w:rPr>
            </w:pPr>
            <w:r w:rsidRPr="00C7094C">
              <w:rPr>
                <w:rFonts w:ascii="Calibri" w:eastAsia="Times New Roman" w:hAnsi="Calibri" w:cs="Calibri"/>
                <w:color w:val="000000"/>
                <w:sz w:val="20"/>
                <w:szCs w:val="20"/>
                <w:lang w:eastAsia="cs-CZ"/>
              </w:rPr>
              <w:t>17,12</w:t>
            </w:r>
          </w:p>
        </w:tc>
      </w:tr>
    </w:tbl>
    <w:p w14:paraId="7BC72309" w14:textId="77777777" w:rsidR="00665D33" w:rsidRPr="00687DC4" w:rsidRDefault="00665D33" w:rsidP="00687DC4">
      <w:pPr>
        <w:pStyle w:val="JK4"/>
        <w:keepNext w:val="0"/>
        <w:numPr>
          <w:ilvl w:val="0"/>
          <w:numId w:val="0"/>
        </w:numPr>
        <w:spacing w:before="40" w:after="120"/>
        <w:rPr>
          <w:sz w:val="20"/>
        </w:rPr>
      </w:pPr>
      <w:r w:rsidRPr="00687DC4">
        <w:rPr>
          <w:b/>
          <w:sz w:val="20"/>
        </w:rPr>
        <w:t>Zdroj:</w:t>
      </w:r>
      <w:r w:rsidRPr="00687DC4">
        <w:rPr>
          <w:sz w:val="20"/>
        </w:rPr>
        <w:t xml:space="preserve"> MS2014+, stav k 07/2021.</w:t>
      </w:r>
    </w:p>
    <w:p w14:paraId="21980995" w14:textId="77777777" w:rsidR="006B39C6" w:rsidRDefault="0073429C" w:rsidP="00FD2FD8">
      <w:pPr>
        <w:pStyle w:val="JK4"/>
        <w:keepNext w:val="0"/>
        <w:tabs>
          <w:tab w:val="left" w:pos="567"/>
        </w:tabs>
        <w:spacing w:after="120"/>
      </w:pPr>
      <w:r w:rsidRPr="00301BB1">
        <w:t>Míra úspěšnosti předložených žádostí byla nízká. To by indikovalo důsledný a účinný systém vedoucí k výběru účelných a efektivních projektů. Přesto však NKÚ zjistil</w:t>
      </w:r>
      <w:r w:rsidR="001A0C27">
        <w:t xml:space="preserve"> v</w:t>
      </w:r>
      <w:r w:rsidR="006B39C6">
        <w:t> nastavení věcného hodnocení žádostí o</w:t>
      </w:r>
      <w:r w:rsidR="001D6E1D">
        <w:t> </w:t>
      </w:r>
      <w:r w:rsidR="006B39C6">
        <w:t>podporu</w:t>
      </w:r>
      <w:r w:rsidR="00D63F53">
        <w:t xml:space="preserve"> </w:t>
      </w:r>
      <w:r w:rsidR="006B39C6">
        <w:t>a</w:t>
      </w:r>
      <w:r w:rsidR="002B18FB">
        <w:t> </w:t>
      </w:r>
      <w:r w:rsidR="001D6E1D">
        <w:t>z </w:t>
      </w:r>
      <w:r w:rsidR="006B39C6">
        <w:t xml:space="preserve">dalších souvisejících skutečností </w:t>
      </w:r>
      <w:r w:rsidR="00D63F53">
        <w:t>r</w:t>
      </w:r>
      <w:r w:rsidR="006B39C6">
        <w:t>izika</w:t>
      </w:r>
      <w:r w:rsidR="001A0C27">
        <w:t>, že tomu tak vždy nemusí být.</w:t>
      </w:r>
      <w:r w:rsidR="00AF3237">
        <w:t xml:space="preserve"> Z analýzy procesu věcného hodnocení výzev č. 15, 67, 105 a 129</w:t>
      </w:r>
      <w:r w:rsidR="00AF3237">
        <w:rPr>
          <w:rStyle w:val="Znakapoznpodarou"/>
        </w:rPr>
        <w:footnoteReference w:id="28"/>
      </w:r>
      <w:r w:rsidR="00AF3237">
        <w:t xml:space="preserve"> vyplývá:</w:t>
      </w:r>
    </w:p>
    <w:p w14:paraId="60B44F9A" w14:textId="77777777" w:rsidR="00A910FA" w:rsidRPr="00BF7B0C" w:rsidRDefault="00D72C87" w:rsidP="00357C61">
      <w:pPr>
        <w:pStyle w:val="JK4"/>
        <w:keepNext w:val="0"/>
        <w:numPr>
          <w:ilvl w:val="0"/>
          <w:numId w:val="15"/>
        </w:numPr>
        <w:spacing w:after="120"/>
        <w:ind w:left="567" w:hanging="283"/>
        <w:jc w:val="left"/>
        <w:rPr>
          <w:color w:val="000000" w:themeColor="text1"/>
        </w:rPr>
      </w:pPr>
      <w:r w:rsidRPr="00BF7B0C">
        <w:rPr>
          <w:bCs/>
          <w:i/>
          <w:color w:val="000000" w:themeColor="text1"/>
        </w:rPr>
        <w:t>MPSV podpořilo vysoké množství projektů, aniž by obdržely více než 50 % přidělitelného množství bodů:</w:t>
      </w:r>
    </w:p>
    <w:p w14:paraId="005EA2D0" w14:textId="77777777" w:rsidR="00A910FA" w:rsidRDefault="00A910FA" w:rsidP="00BF7B0C">
      <w:pPr>
        <w:pStyle w:val="JK4"/>
        <w:keepNext w:val="0"/>
        <w:numPr>
          <w:ilvl w:val="0"/>
          <w:numId w:val="0"/>
        </w:numPr>
        <w:tabs>
          <w:tab w:val="left" w:pos="567"/>
        </w:tabs>
        <w:spacing w:after="120"/>
        <w:ind w:left="567"/>
      </w:pPr>
      <w:r>
        <w:t xml:space="preserve">V případě výzev č. 15, 67, 105 a 129 bylo možné projekty podpořit, pokud žádné z hodnoticích kritérií věcného hodnocení nebylo vyhodnocené jako nesplněné. Zároveň musely předložené žádosti obdržet alespoň 50 bodů ze sta možných. </w:t>
      </w:r>
      <w:r w:rsidR="001D6E1D">
        <w:t xml:space="preserve">Nejnižší </w:t>
      </w:r>
      <w:r>
        <w:t xml:space="preserve">množství, které </w:t>
      </w:r>
      <w:r w:rsidRPr="004B3B34">
        <w:t>mohla</w:t>
      </w:r>
      <w:r w:rsidRPr="00CB2190">
        <w:t xml:space="preserve"> žádost </w:t>
      </w:r>
      <w:r w:rsidRPr="004B3B34">
        <w:t>o</w:t>
      </w:r>
      <w:r>
        <w:t> </w:t>
      </w:r>
      <w:r w:rsidRPr="004B3B34">
        <w:t>podporu obdržet</w:t>
      </w:r>
      <w:r>
        <w:t xml:space="preserve">, činilo </w:t>
      </w:r>
      <w:r w:rsidR="002D34C9">
        <w:t xml:space="preserve">nikoliv 0, ale </w:t>
      </w:r>
      <w:r>
        <w:t>25 bodů. Polovina z intervalu 25</w:t>
      </w:r>
      <w:r w:rsidR="00BD6A84">
        <w:t> </w:t>
      </w:r>
      <w:r>
        <w:t xml:space="preserve">až 100 přidělitelných bodů tak činí 62,5 bodu. Z následující tabulky č. </w:t>
      </w:r>
      <w:r w:rsidR="005B1FAC">
        <w:t>7</w:t>
      </w:r>
      <w:r>
        <w:t xml:space="preserve"> je patrné, že</w:t>
      </w:r>
      <w:r w:rsidR="00BD6A84">
        <w:t> </w:t>
      </w:r>
      <w:r>
        <w:t>48 projektů ze 105 podpořených (tj. 46 %) obdrželo maximálně polovinu z přidělitelného množství bodů.</w:t>
      </w:r>
    </w:p>
    <w:p w14:paraId="4998AD33" w14:textId="77777777" w:rsidR="00A910FA" w:rsidRPr="00687DC4" w:rsidRDefault="00A910FA" w:rsidP="00687DC4">
      <w:pPr>
        <w:keepNext/>
        <w:spacing w:before="120" w:after="40" w:line="240" w:lineRule="auto"/>
        <w:ind w:left="1276" w:hanging="1276"/>
        <w:jc w:val="both"/>
        <w:rPr>
          <w:b/>
          <w:sz w:val="24"/>
        </w:rPr>
      </w:pPr>
      <w:r w:rsidRPr="00687DC4">
        <w:rPr>
          <w:b/>
          <w:sz w:val="24"/>
        </w:rPr>
        <w:t>Tabulka č.</w:t>
      </w:r>
      <w:r w:rsidR="00DF2812">
        <w:rPr>
          <w:b/>
          <w:sz w:val="24"/>
        </w:rPr>
        <w:t> </w:t>
      </w:r>
      <w:r w:rsidR="005B1FAC" w:rsidRPr="00687DC4">
        <w:rPr>
          <w:b/>
          <w:sz w:val="24"/>
        </w:rPr>
        <w:t>7</w:t>
      </w:r>
      <w:r w:rsidRPr="00687DC4">
        <w:rPr>
          <w:b/>
          <w:sz w:val="24"/>
        </w:rPr>
        <w:t>:</w:t>
      </w:r>
      <w:r w:rsidR="00DF2812">
        <w:rPr>
          <w:b/>
          <w:sz w:val="24"/>
        </w:rPr>
        <w:tab/>
      </w:r>
      <w:r w:rsidRPr="00687DC4">
        <w:rPr>
          <w:b/>
          <w:sz w:val="24"/>
        </w:rPr>
        <w:t>Přehled přidělených množství bodů hodnoticí komise ve výzvách č. 15, 67, 105 a 129 OPZ</w:t>
      </w:r>
    </w:p>
    <w:tbl>
      <w:tblPr>
        <w:tblW w:w="9067" w:type="dxa"/>
        <w:tblLayout w:type="fixed"/>
        <w:tblCellMar>
          <w:left w:w="70" w:type="dxa"/>
          <w:right w:w="70" w:type="dxa"/>
        </w:tblCellMar>
        <w:tblLook w:val="04A0" w:firstRow="1" w:lastRow="0" w:firstColumn="1" w:lastColumn="0" w:noHBand="0" w:noVBand="1"/>
      </w:tblPr>
      <w:tblGrid>
        <w:gridCol w:w="846"/>
        <w:gridCol w:w="1559"/>
        <w:gridCol w:w="1039"/>
        <w:gridCol w:w="1040"/>
        <w:gridCol w:w="1040"/>
        <w:gridCol w:w="2126"/>
        <w:gridCol w:w="1417"/>
      </w:tblGrid>
      <w:tr w:rsidR="00A910FA" w:rsidRPr="00550728" w14:paraId="2D52A6D9" w14:textId="77777777" w:rsidTr="00791BCB">
        <w:trPr>
          <w:trHeight w:val="255"/>
        </w:trPr>
        <w:tc>
          <w:tcPr>
            <w:tcW w:w="846"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01395ABE" w14:textId="77777777" w:rsidR="00A910FA" w:rsidRPr="00550728" w:rsidRDefault="00A910FA" w:rsidP="00791BCB">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Výzva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105AEB64" w14:textId="77777777" w:rsidR="00A910FA" w:rsidRPr="00550728" w:rsidRDefault="00A910FA" w:rsidP="00550728">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Počet úspěšných projektů</w:t>
            </w:r>
          </w:p>
        </w:tc>
        <w:tc>
          <w:tcPr>
            <w:tcW w:w="3119" w:type="dxa"/>
            <w:gridSpan w:val="3"/>
            <w:tcBorders>
              <w:top w:val="single" w:sz="4" w:space="0" w:color="auto"/>
              <w:left w:val="nil"/>
              <w:bottom w:val="single" w:sz="4" w:space="0" w:color="auto"/>
              <w:right w:val="single" w:sz="4" w:space="0" w:color="auto"/>
            </w:tcBorders>
            <w:shd w:val="clear" w:color="000000" w:fill="E5F1FF"/>
            <w:noWrap/>
            <w:vAlign w:val="center"/>
            <w:hideMark/>
          </w:tcPr>
          <w:p w14:paraId="0B050FEF" w14:textId="77777777" w:rsidR="00A910FA" w:rsidRPr="00550728" w:rsidRDefault="00A910FA" w:rsidP="00550728">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Body přidělené hodnoticí komisí</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5C40F011" w14:textId="77777777" w:rsidR="00A910FA" w:rsidRPr="00550728" w:rsidRDefault="00A910FA" w:rsidP="00550728">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Počet projektů v</w:t>
            </w:r>
            <w:r w:rsidR="00550728">
              <w:rPr>
                <w:rFonts w:ascii="Calibri" w:eastAsia="Times New Roman" w:hAnsi="Calibri" w:cs="Calibri"/>
                <w:b/>
                <w:bCs/>
                <w:color w:val="000000"/>
                <w:sz w:val="20"/>
                <w:szCs w:val="20"/>
                <w:lang w:eastAsia="cs-CZ"/>
              </w:rPr>
              <w:t> </w:t>
            </w:r>
            <w:r w:rsidRPr="00550728">
              <w:rPr>
                <w:rFonts w:ascii="Calibri" w:eastAsia="Times New Roman" w:hAnsi="Calibri" w:cs="Calibri"/>
                <w:b/>
                <w:bCs/>
                <w:color w:val="000000"/>
                <w:sz w:val="20"/>
                <w:szCs w:val="20"/>
                <w:lang w:eastAsia="cs-CZ"/>
              </w:rPr>
              <w:t>rozpětí</w:t>
            </w:r>
            <w:r w:rsidR="00550728">
              <w:rPr>
                <w:rFonts w:ascii="Calibri" w:eastAsia="Times New Roman" w:hAnsi="Calibri" w:cs="Calibri"/>
                <w:b/>
                <w:bCs/>
                <w:color w:val="000000"/>
                <w:sz w:val="20"/>
                <w:szCs w:val="20"/>
                <w:lang w:eastAsia="cs-CZ"/>
              </w:rPr>
              <w:t xml:space="preserve"> </w:t>
            </w:r>
            <w:r w:rsidRPr="00550728">
              <w:rPr>
                <w:rFonts w:ascii="Calibri" w:eastAsia="Times New Roman" w:hAnsi="Calibri" w:cs="Calibri"/>
                <w:b/>
                <w:bCs/>
                <w:color w:val="000000"/>
                <w:sz w:val="20"/>
                <w:szCs w:val="20"/>
                <w:lang w:eastAsia="cs-CZ"/>
              </w:rPr>
              <w:t>50</w:t>
            </w:r>
            <w:r w:rsidRPr="00550728">
              <w:rPr>
                <w:rFonts w:ascii="Calibri" w:eastAsia="Times New Roman" w:hAnsi="Calibri" w:cs="Calibri"/>
                <w:color w:val="000000"/>
                <w:sz w:val="20"/>
                <w:szCs w:val="20"/>
                <w:lang w:eastAsia="cs-CZ"/>
              </w:rPr>
              <w:t>–</w:t>
            </w:r>
            <w:r w:rsidRPr="00550728">
              <w:rPr>
                <w:rFonts w:ascii="Calibri" w:eastAsia="Times New Roman" w:hAnsi="Calibri" w:cs="Calibri"/>
                <w:b/>
                <w:bCs/>
                <w:color w:val="000000"/>
                <w:sz w:val="20"/>
                <w:szCs w:val="20"/>
                <w:lang w:eastAsia="cs-CZ"/>
              </w:rPr>
              <w:t>62,5 bodů</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E5F1FF"/>
            <w:vAlign w:val="center"/>
            <w:hideMark/>
          </w:tcPr>
          <w:p w14:paraId="4246B320" w14:textId="77777777" w:rsidR="00A910FA" w:rsidRPr="00550728" w:rsidRDefault="00A910FA" w:rsidP="00550728">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Počet projektů s</w:t>
            </w:r>
            <w:r w:rsidR="00301023" w:rsidRPr="00550728">
              <w:rPr>
                <w:rFonts w:ascii="Calibri" w:eastAsia="Times New Roman" w:hAnsi="Calibri" w:cs="Calibri"/>
                <w:b/>
                <w:bCs/>
                <w:color w:val="000000"/>
                <w:sz w:val="20"/>
                <w:szCs w:val="20"/>
                <w:lang w:eastAsia="cs-CZ"/>
              </w:rPr>
              <w:t> </w:t>
            </w:r>
            <w:r w:rsidRPr="00550728">
              <w:rPr>
                <w:rFonts w:ascii="Calibri" w:eastAsia="Times New Roman" w:hAnsi="Calibri" w:cs="Calibri"/>
                <w:b/>
                <w:bCs/>
                <w:color w:val="000000"/>
                <w:sz w:val="20"/>
                <w:szCs w:val="20"/>
                <w:lang w:eastAsia="cs-CZ"/>
              </w:rPr>
              <w:t>50</w:t>
            </w:r>
            <w:r w:rsidR="008050C0" w:rsidRPr="00550728">
              <w:rPr>
                <w:rFonts w:ascii="Calibri" w:eastAsia="Times New Roman" w:hAnsi="Calibri" w:cs="Calibri"/>
                <w:b/>
                <w:bCs/>
                <w:color w:val="000000"/>
                <w:sz w:val="20"/>
                <w:szCs w:val="20"/>
                <w:lang w:eastAsia="cs-CZ"/>
              </w:rPr>
              <w:t> </w:t>
            </w:r>
            <w:r w:rsidRPr="00550728">
              <w:rPr>
                <w:rFonts w:ascii="Calibri" w:eastAsia="Times New Roman" w:hAnsi="Calibri" w:cs="Calibri"/>
                <w:b/>
                <w:bCs/>
                <w:color w:val="000000"/>
                <w:sz w:val="20"/>
                <w:szCs w:val="20"/>
                <w:lang w:eastAsia="cs-CZ"/>
              </w:rPr>
              <w:t>body</w:t>
            </w:r>
          </w:p>
        </w:tc>
      </w:tr>
      <w:tr w:rsidR="00A910FA" w:rsidRPr="00550728" w14:paraId="6BB5506D" w14:textId="77777777" w:rsidTr="00791BCB">
        <w:trPr>
          <w:trHeight w:val="25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6D78C9A" w14:textId="77777777" w:rsidR="00A910FA" w:rsidRPr="00550728" w:rsidRDefault="00A910FA" w:rsidP="00791BCB">
            <w:pPr>
              <w:keepNext/>
              <w:spacing w:after="0" w:line="240" w:lineRule="auto"/>
              <w:jc w:val="center"/>
              <w:rPr>
                <w:rFonts w:ascii="Calibri" w:eastAsia="Times New Roman" w:hAnsi="Calibri" w:cs="Calibri"/>
                <w:b/>
                <w:bCs/>
                <w:color w:val="000000"/>
                <w:sz w:val="20"/>
                <w:szCs w:val="20"/>
                <w:lang w:eastAsia="cs-CZ"/>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639CB82" w14:textId="77777777" w:rsidR="00A910FA" w:rsidRPr="00550728" w:rsidRDefault="00A910FA" w:rsidP="00550728">
            <w:pPr>
              <w:keepNext/>
              <w:spacing w:after="0" w:line="240" w:lineRule="auto"/>
              <w:rPr>
                <w:rFonts w:ascii="Calibri" w:eastAsia="Times New Roman" w:hAnsi="Calibri" w:cs="Calibri"/>
                <w:b/>
                <w:bCs/>
                <w:color w:val="000000"/>
                <w:sz w:val="20"/>
                <w:szCs w:val="20"/>
                <w:lang w:eastAsia="cs-CZ"/>
              </w:rPr>
            </w:pPr>
          </w:p>
        </w:tc>
        <w:tc>
          <w:tcPr>
            <w:tcW w:w="1039" w:type="dxa"/>
            <w:tcBorders>
              <w:top w:val="nil"/>
              <w:left w:val="nil"/>
              <w:bottom w:val="single" w:sz="4" w:space="0" w:color="auto"/>
              <w:right w:val="single" w:sz="4" w:space="0" w:color="auto"/>
            </w:tcBorders>
            <w:shd w:val="clear" w:color="000000" w:fill="E5F1FF"/>
            <w:noWrap/>
            <w:vAlign w:val="center"/>
            <w:hideMark/>
          </w:tcPr>
          <w:p w14:paraId="124112B8" w14:textId="77777777" w:rsidR="00A910FA" w:rsidRPr="00550728" w:rsidRDefault="00A910FA" w:rsidP="00550728">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Min</w:t>
            </w:r>
            <w:r w:rsidR="00EA7075">
              <w:rPr>
                <w:rFonts w:ascii="Calibri" w:eastAsia="Times New Roman" w:hAnsi="Calibri" w:cs="Calibri"/>
                <w:b/>
                <w:bCs/>
                <w:color w:val="000000"/>
                <w:sz w:val="20"/>
                <w:szCs w:val="20"/>
                <w:lang w:eastAsia="cs-CZ"/>
              </w:rPr>
              <w:t>.</w:t>
            </w:r>
          </w:p>
        </w:tc>
        <w:tc>
          <w:tcPr>
            <w:tcW w:w="1040" w:type="dxa"/>
            <w:tcBorders>
              <w:top w:val="nil"/>
              <w:left w:val="nil"/>
              <w:bottom w:val="single" w:sz="4" w:space="0" w:color="auto"/>
              <w:right w:val="single" w:sz="4" w:space="0" w:color="auto"/>
            </w:tcBorders>
            <w:shd w:val="clear" w:color="000000" w:fill="E5F1FF"/>
            <w:noWrap/>
            <w:vAlign w:val="center"/>
            <w:hideMark/>
          </w:tcPr>
          <w:p w14:paraId="6577E42C" w14:textId="77777777" w:rsidR="00A910FA" w:rsidRPr="00550728" w:rsidRDefault="00A910FA" w:rsidP="00550728">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Max</w:t>
            </w:r>
            <w:r w:rsidR="00EA7075">
              <w:rPr>
                <w:rFonts w:ascii="Calibri" w:eastAsia="Times New Roman" w:hAnsi="Calibri" w:cs="Calibri"/>
                <w:b/>
                <w:bCs/>
                <w:color w:val="000000"/>
                <w:sz w:val="20"/>
                <w:szCs w:val="20"/>
                <w:lang w:eastAsia="cs-CZ"/>
              </w:rPr>
              <w:t>.</w:t>
            </w:r>
          </w:p>
        </w:tc>
        <w:tc>
          <w:tcPr>
            <w:tcW w:w="1040" w:type="dxa"/>
            <w:tcBorders>
              <w:top w:val="nil"/>
              <w:left w:val="nil"/>
              <w:bottom w:val="single" w:sz="4" w:space="0" w:color="auto"/>
              <w:right w:val="single" w:sz="4" w:space="0" w:color="auto"/>
            </w:tcBorders>
            <w:shd w:val="clear" w:color="000000" w:fill="E5F1FF"/>
            <w:noWrap/>
            <w:vAlign w:val="center"/>
            <w:hideMark/>
          </w:tcPr>
          <w:p w14:paraId="43796931" w14:textId="77777777" w:rsidR="00A910FA" w:rsidRPr="00550728" w:rsidRDefault="00A910FA" w:rsidP="00550728">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Průměr</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3C54449" w14:textId="77777777" w:rsidR="00A910FA" w:rsidRPr="00550728" w:rsidRDefault="00A910FA" w:rsidP="00550728">
            <w:pPr>
              <w:keepNext/>
              <w:spacing w:after="0" w:line="240" w:lineRule="auto"/>
              <w:rPr>
                <w:rFonts w:ascii="Calibri" w:eastAsia="Times New Roman" w:hAnsi="Calibri" w:cs="Calibri"/>
                <w:b/>
                <w:bCs/>
                <w:color w:val="000000"/>
                <w:sz w:val="20"/>
                <w:szCs w:val="20"/>
                <w:lang w:eastAsia="cs-CZ"/>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1D962EF" w14:textId="77777777" w:rsidR="00A910FA" w:rsidRPr="00550728" w:rsidRDefault="00A910FA" w:rsidP="00550728">
            <w:pPr>
              <w:keepNext/>
              <w:spacing w:after="0" w:line="240" w:lineRule="auto"/>
              <w:rPr>
                <w:rFonts w:ascii="Calibri" w:eastAsia="Times New Roman" w:hAnsi="Calibri" w:cs="Calibri"/>
                <w:b/>
                <w:bCs/>
                <w:color w:val="000000"/>
                <w:sz w:val="20"/>
                <w:szCs w:val="20"/>
                <w:lang w:eastAsia="cs-CZ"/>
              </w:rPr>
            </w:pPr>
          </w:p>
        </w:tc>
      </w:tr>
      <w:tr w:rsidR="00A910FA" w:rsidRPr="00550728" w14:paraId="7E24F19E" w14:textId="77777777" w:rsidTr="00791BCB">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5DB4B21" w14:textId="77777777" w:rsidR="00A910FA" w:rsidRPr="00550728" w:rsidRDefault="00A910FA" w:rsidP="00791BCB">
            <w:pPr>
              <w:keepNext/>
              <w:spacing w:after="0" w:line="240" w:lineRule="auto"/>
              <w:jc w:val="center"/>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15</w:t>
            </w:r>
          </w:p>
        </w:tc>
        <w:tc>
          <w:tcPr>
            <w:tcW w:w="1559" w:type="dxa"/>
            <w:tcBorders>
              <w:top w:val="nil"/>
              <w:left w:val="nil"/>
              <w:bottom w:val="single" w:sz="4" w:space="0" w:color="auto"/>
              <w:right w:val="single" w:sz="4" w:space="0" w:color="auto"/>
            </w:tcBorders>
            <w:shd w:val="clear" w:color="auto" w:fill="auto"/>
            <w:noWrap/>
            <w:vAlign w:val="center"/>
            <w:hideMark/>
          </w:tcPr>
          <w:p w14:paraId="68DDE942" w14:textId="77777777" w:rsidR="00A910FA" w:rsidRPr="00550728" w:rsidRDefault="00A910FA" w:rsidP="00791BCB">
            <w:pPr>
              <w:keepNext/>
              <w:spacing w:after="0" w:line="240" w:lineRule="auto"/>
              <w:ind w:right="357"/>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16</w:t>
            </w:r>
          </w:p>
        </w:tc>
        <w:tc>
          <w:tcPr>
            <w:tcW w:w="1039" w:type="dxa"/>
            <w:tcBorders>
              <w:top w:val="nil"/>
              <w:left w:val="nil"/>
              <w:bottom w:val="single" w:sz="4" w:space="0" w:color="auto"/>
              <w:right w:val="single" w:sz="4" w:space="0" w:color="auto"/>
            </w:tcBorders>
            <w:shd w:val="clear" w:color="auto" w:fill="auto"/>
            <w:noWrap/>
            <w:vAlign w:val="center"/>
            <w:hideMark/>
          </w:tcPr>
          <w:p w14:paraId="244A72A1"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50,00</w:t>
            </w:r>
          </w:p>
        </w:tc>
        <w:tc>
          <w:tcPr>
            <w:tcW w:w="1040" w:type="dxa"/>
            <w:tcBorders>
              <w:top w:val="nil"/>
              <w:left w:val="nil"/>
              <w:bottom w:val="single" w:sz="4" w:space="0" w:color="auto"/>
              <w:right w:val="single" w:sz="4" w:space="0" w:color="auto"/>
            </w:tcBorders>
            <w:shd w:val="clear" w:color="auto" w:fill="auto"/>
            <w:noWrap/>
            <w:vAlign w:val="center"/>
            <w:hideMark/>
          </w:tcPr>
          <w:p w14:paraId="571C424F"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91,25</w:t>
            </w:r>
          </w:p>
        </w:tc>
        <w:tc>
          <w:tcPr>
            <w:tcW w:w="1040" w:type="dxa"/>
            <w:tcBorders>
              <w:top w:val="nil"/>
              <w:left w:val="nil"/>
              <w:bottom w:val="single" w:sz="4" w:space="0" w:color="auto"/>
              <w:right w:val="single" w:sz="4" w:space="0" w:color="auto"/>
            </w:tcBorders>
            <w:shd w:val="clear" w:color="auto" w:fill="auto"/>
            <w:noWrap/>
            <w:vAlign w:val="center"/>
            <w:hideMark/>
          </w:tcPr>
          <w:p w14:paraId="7228B6E6"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67,27</w:t>
            </w:r>
          </w:p>
        </w:tc>
        <w:tc>
          <w:tcPr>
            <w:tcW w:w="2126" w:type="dxa"/>
            <w:tcBorders>
              <w:top w:val="nil"/>
              <w:left w:val="nil"/>
              <w:bottom w:val="single" w:sz="4" w:space="0" w:color="auto"/>
              <w:right w:val="single" w:sz="4" w:space="0" w:color="auto"/>
            </w:tcBorders>
            <w:shd w:val="clear" w:color="auto" w:fill="auto"/>
            <w:noWrap/>
            <w:vAlign w:val="center"/>
            <w:hideMark/>
          </w:tcPr>
          <w:p w14:paraId="1EFD8C78" w14:textId="77777777" w:rsidR="00A910FA" w:rsidRPr="00550728" w:rsidRDefault="00A910FA" w:rsidP="00791BCB">
            <w:pPr>
              <w:keepNext/>
              <w:spacing w:after="0" w:line="240" w:lineRule="auto"/>
              <w:ind w:right="783"/>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8</w:t>
            </w:r>
          </w:p>
        </w:tc>
        <w:tc>
          <w:tcPr>
            <w:tcW w:w="1417" w:type="dxa"/>
            <w:tcBorders>
              <w:top w:val="nil"/>
              <w:left w:val="nil"/>
              <w:bottom w:val="single" w:sz="4" w:space="0" w:color="auto"/>
              <w:right w:val="single" w:sz="4" w:space="0" w:color="auto"/>
            </w:tcBorders>
            <w:shd w:val="clear" w:color="auto" w:fill="auto"/>
            <w:noWrap/>
            <w:vAlign w:val="center"/>
            <w:hideMark/>
          </w:tcPr>
          <w:p w14:paraId="00029544" w14:textId="77777777" w:rsidR="00A910FA" w:rsidRPr="00550728" w:rsidRDefault="00A910FA" w:rsidP="00791BCB">
            <w:pPr>
              <w:keepNext/>
              <w:spacing w:after="0" w:line="240" w:lineRule="auto"/>
              <w:ind w:right="460"/>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4</w:t>
            </w:r>
          </w:p>
        </w:tc>
      </w:tr>
      <w:tr w:rsidR="00A910FA" w:rsidRPr="00550728" w14:paraId="56853D7A" w14:textId="77777777" w:rsidTr="00791BCB">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564923" w14:textId="77777777" w:rsidR="00A910FA" w:rsidRPr="00550728" w:rsidRDefault="00A910FA" w:rsidP="00791BCB">
            <w:pPr>
              <w:keepNext/>
              <w:spacing w:after="0" w:line="240" w:lineRule="auto"/>
              <w:jc w:val="center"/>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67</w:t>
            </w:r>
          </w:p>
        </w:tc>
        <w:tc>
          <w:tcPr>
            <w:tcW w:w="1559" w:type="dxa"/>
            <w:tcBorders>
              <w:top w:val="nil"/>
              <w:left w:val="nil"/>
              <w:bottom w:val="single" w:sz="4" w:space="0" w:color="auto"/>
              <w:right w:val="single" w:sz="4" w:space="0" w:color="auto"/>
            </w:tcBorders>
            <w:shd w:val="clear" w:color="auto" w:fill="auto"/>
            <w:noWrap/>
            <w:vAlign w:val="center"/>
            <w:hideMark/>
          </w:tcPr>
          <w:p w14:paraId="0B40AC65" w14:textId="77777777" w:rsidR="00A910FA" w:rsidRPr="00550728" w:rsidRDefault="00A910FA" w:rsidP="00791BCB">
            <w:pPr>
              <w:keepNext/>
              <w:spacing w:after="0" w:line="240" w:lineRule="auto"/>
              <w:ind w:right="357"/>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21</w:t>
            </w:r>
          </w:p>
        </w:tc>
        <w:tc>
          <w:tcPr>
            <w:tcW w:w="1039" w:type="dxa"/>
            <w:tcBorders>
              <w:top w:val="nil"/>
              <w:left w:val="nil"/>
              <w:bottom w:val="single" w:sz="4" w:space="0" w:color="auto"/>
              <w:right w:val="single" w:sz="4" w:space="0" w:color="auto"/>
            </w:tcBorders>
            <w:shd w:val="clear" w:color="auto" w:fill="auto"/>
            <w:noWrap/>
            <w:vAlign w:val="center"/>
            <w:hideMark/>
          </w:tcPr>
          <w:p w14:paraId="4B2248A7"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50,00</w:t>
            </w:r>
          </w:p>
        </w:tc>
        <w:tc>
          <w:tcPr>
            <w:tcW w:w="1040" w:type="dxa"/>
            <w:tcBorders>
              <w:top w:val="nil"/>
              <w:left w:val="nil"/>
              <w:bottom w:val="single" w:sz="4" w:space="0" w:color="auto"/>
              <w:right w:val="single" w:sz="4" w:space="0" w:color="auto"/>
            </w:tcBorders>
            <w:shd w:val="clear" w:color="auto" w:fill="auto"/>
            <w:noWrap/>
            <w:vAlign w:val="center"/>
            <w:hideMark/>
          </w:tcPr>
          <w:p w14:paraId="7D49FDB7"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78,75</w:t>
            </w:r>
          </w:p>
        </w:tc>
        <w:tc>
          <w:tcPr>
            <w:tcW w:w="1040" w:type="dxa"/>
            <w:tcBorders>
              <w:top w:val="nil"/>
              <w:left w:val="nil"/>
              <w:bottom w:val="single" w:sz="4" w:space="0" w:color="auto"/>
              <w:right w:val="single" w:sz="4" w:space="0" w:color="auto"/>
            </w:tcBorders>
            <w:shd w:val="clear" w:color="auto" w:fill="auto"/>
            <w:noWrap/>
            <w:vAlign w:val="center"/>
            <w:hideMark/>
          </w:tcPr>
          <w:p w14:paraId="1A974786"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58,10</w:t>
            </w:r>
          </w:p>
        </w:tc>
        <w:tc>
          <w:tcPr>
            <w:tcW w:w="2126" w:type="dxa"/>
            <w:tcBorders>
              <w:top w:val="nil"/>
              <w:left w:val="nil"/>
              <w:bottom w:val="single" w:sz="4" w:space="0" w:color="auto"/>
              <w:right w:val="single" w:sz="4" w:space="0" w:color="auto"/>
            </w:tcBorders>
            <w:shd w:val="clear" w:color="auto" w:fill="auto"/>
            <w:noWrap/>
            <w:vAlign w:val="center"/>
            <w:hideMark/>
          </w:tcPr>
          <w:p w14:paraId="389FA4D7" w14:textId="77777777" w:rsidR="00A910FA" w:rsidRPr="00550728" w:rsidRDefault="00A910FA" w:rsidP="00791BCB">
            <w:pPr>
              <w:keepNext/>
              <w:spacing w:after="0" w:line="240" w:lineRule="auto"/>
              <w:ind w:right="783"/>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16</w:t>
            </w:r>
          </w:p>
        </w:tc>
        <w:tc>
          <w:tcPr>
            <w:tcW w:w="1417" w:type="dxa"/>
            <w:tcBorders>
              <w:top w:val="nil"/>
              <w:left w:val="nil"/>
              <w:bottom w:val="single" w:sz="4" w:space="0" w:color="auto"/>
              <w:right w:val="single" w:sz="4" w:space="0" w:color="auto"/>
            </w:tcBorders>
            <w:shd w:val="clear" w:color="auto" w:fill="auto"/>
            <w:noWrap/>
            <w:vAlign w:val="center"/>
            <w:hideMark/>
          </w:tcPr>
          <w:p w14:paraId="5F8398AE" w14:textId="77777777" w:rsidR="00A910FA" w:rsidRPr="00550728" w:rsidRDefault="00A910FA" w:rsidP="00791BCB">
            <w:pPr>
              <w:keepNext/>
              <w:spacing w:after="0" w:line="240" w:lineRule="auto"/>
              <w:ind w:right="460"/>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5</w:t>
            </w:r>
          </w:p>
        </w:tc>
      </w:tr>
      <w:tr w:rsidR="00A910FA" w:rsidRPr="00550728" w14:paraId="29DE8B91" w14:textId="77777777" w:rsidTr="00791BCB">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0944B3C" w14:textId="77777777" w:rsidR="00A910FA" w:rsidRPr="00550728" w:rsidRDefault="00A910FA" w:rsidP="00791BCB">
            <w:pPr>
              <w:keepNext/>
              <w:spacing w:after="0" w:line="240" w:lineRule="auto"/>
              <w:jc w:val="center"/>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105</w:t>
            </w:r>
          </w:p>
        </w:tc>
        <w:tc>
          <w:tcPr>
            <w:tcW w:w="1559" w:type="dxa"/>
            <w:tcBorders>
              <w:top w:val="nil"/>
              <w:left w:val="nil"/>
              <w:bottom w:val="single" w:sz="4" w:space="0" w:color="auto"/>
              <w:right w:val="single" w:sz="4" w:space="0" w:color="auto"/>
            </w:tcBorders>
            <w:shd w:val="clear" w:color="auto" w:fill="auto"/>
            <w:noWrap/>
            <w:vAlign w:val="center"/>
            <w:hideMark/>
          </w:tcPr>
          <w:p w14:paraId="6417156F" w14:textId="77777777" w:rsidR="00A910FA" w:rsidRPr="00550728" w:rsidRDefault="00A910FA" w:rsidP="00791BCB">
            <w:pPr>
              <w:keepNext/>
              <w:spacing w:after="0" w:line="240" w:lineRule="auto"/>
              <w:ind w:right="357"/>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2</w:t>
            </w:r>
          </w:p>
        </w:tc>
        <w:tc>
          <w:tcPr>
            <w:tcW w:w="1039" w:type="dxa"/>
            <w:tcBorders>
              <w:top w:val="nil"/>
              <w:left w:val="nil"/>
              <w:bottom w:val="single" w:sz="4" w:space="0" w:color="auto"/>
              <w:right w:val="single" w:sz="4" w:space="0" w:color="auto"/>
            </w:tcBorders>
            <w:shd w:val="clear" w:color="auto" w:fill="auto"/>
            <w:noWrap/>
            <w:vAlign w:val="center"/>
            <w:hideMark/>
          </w:tcPr>
          <w:p w14:paraId="649E3EF4"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73,75</w:t>
            </w:r>
          </w:p>
        </w:tc>
        <w:tc>
          <w:tcPr>
            <w:tcW w:w="1040" w:type="dxa"/>
            <w:tcBorders>
              <w:top w:val="nil"/>
              <w:left w:val="nil"/>
              <w:bottom w:val="single" w:sz="4" w:space="0" w:color="auto"/>
              <w:right w:val="single" w:sz="4" w:space="0" w:color="auto"/>
            </w:tcBorders>
            <w:shd w:val="clear" w:color="auto" w:fill="auto"/>
            <w:noWrap/>
            <w:vAlign w:val="center"/>
            <w:hideMark/>
          </w:tcPr>
          <w:p w14:paraId="25E20B9B"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75,00</w:t>
            </w:r>
          </w:p>
        </w:tc>
        <w:tc>
          <w:tcPr>
            <w:tcW w:w="1040" w:type="dxa"/>
            <w:tcBorders>
              <w:top w:val="nil"/>
              <w:left w:val="nil"/>
              <w:bottom w:val="single" w:sz="4" w:space="0" w:color="auto"/>
              <w:right w:val="single" w:sz="4" w:space="0" w:color="auto"/>
            </w:tcBorders>
            <w:shd w:val="clear" w:color="auto" w:fill="auto"/>
            <w:noWrap/>
            <w:vAlign w:val="center"/>
            <w:hideMark/>
          </w:tcPr>
          <w:p w14:paraId="6BE4018A"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74,38</w:t>
            </w:r>
          </w:p>
        </w:tc>
        <w:tc>
          <w:tcPr>
            <w:tcW w:w="2126" w:type="dxa"/>
            <w:tcBorders>
              <w:top w:val="nil"/>
              <w:left w:val="nil"/>
              <w:bottom w:val="single" w:sz="4" w:space="0" w:color="auto"/>
              <w:right w:val="single" w:sz="4" w:space="0" w:color="auto"/>
            </w:tcBorders>
            <w:shd w:val="clear" w:color="auto" w:fill="auto"/>
            <w:noWrap/>
            <w:vAlign w:val="center"/>
            <w:hideMark/>
          </w:tcPr>
          <w:p w14:paraId="251BE8DF" w14:textId="77777777" w:rsidR="00A910FA" w:rsidRPr="00550728" w:rsidRDefault="00A910FA" w:rsidP="00791BCB">
            <w:pPr>
              <w:keepNext/>
              <w:spacing w:after="0" w:line="240" w:lineRule="auto"/>
              <w:ind w:right="783"/>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0</w:t>
            </w:r>
          </w:p>
        </w:tc>
        <w:tc>
          <w:tcPr>
            <w:tcW w:w="1417" w:type="dxa"/>
            <w:tcBorders>
              <w:top w:val="nil"/>
              <w:left w:val="nil"/>
              <w:bottom w:val="single" w:sz="4" w:space="0" w:color="auto"/>
              <w:right w:val="single" w:sz="4" w:space="0" w:color="auto"/>
            </w:tcBorders>
            <w:shd w:val="clear" w:color="auto" w:fill="auto"/>
            <w:noWrap/>
            <w:vAlign w:val="center"/>
            <w:hideMark/>
          </w:tcPr>
          <w:p w14:paraId="3AC16F7B" w14:textId="77777777" w:rsidR="00A910FA" w:rsidRPr="00550728" w:rsidRDefault="00A910FA" w:rsidP="00791BCB">
            <w:pPr>
              <w:keepNext/>
              <w:spacing w:after="0" w:line="240" w:lineRule="auto"/>
              <w:ind w:right="460"/>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0</w:t>
            </w:r>
          </w:p>
        </w:tc>
      </w:tr>
      <w:tr w:rsidR="00A910FA" w:rsidRPr="00550728" w14:paraId="232F4822" w14:textId="77777777" w:rsidTr="00791BCB">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99CF0E6" w14:textId="77777777" w:rsidR="00A910FA" w:rsidRPr="00550728" w:rsidRDefault="00A910FA" w:rsidP="00791BCB">
            <w:pPr>
              <w:keepNext/>
              <w:spacing w:after="0" w:line="240" w:lineRule="auto"/>
              <w:jc w:val="center"/>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129</w:t>
            </w:r>
          </w:p>
        </w:tc>
        <w:tc>
          <w:tcPr>
            <w:tcW w:w="1559" w:type="dxa"/>
            <w:tcBorders>
              <w:top w:val="nil"/>
              <w:left w:val="nil"/>
              <w:bottom w:val="single" w:sz="4" w:space="0" w:color="auto"/>
              <w:right w:val="single" w:sz="4" w:space="0" w:color="auto"/>
            </w:tcBorders>
            <w:shd w:val="clear" w:color="auto" w:fill="auto"/>
            <w:noWrap/>
            <w:vAlign w:val="center"/>
            <w:hideMark/>
          </w:tcPr>
          <w:p w14:paraId="74D27C5F" w14:textId="77777777" w:rsidR="00A910FA" w:rsidRPr="00550728" w:rsidRDefault="00A910FA" w:rsidP="00791BCB">
            <w:pPr>
              <w:keepNext/>
              <w:spacing w:after="0" w:line="240" w:lineRule="auto"/>
              <w:ind w:right="357"/>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6</w:t>
            </w:r>
            <w:r w:rsidR="007C1922" w:rsidRPr="00550728">
              <w:rPr>
                <w:rFonts w:ascii="Calibri" w:eastAsia="Times New Roman" w:hAnsi="Calibri" w:cs="Calibri"/>
                <w:color w:val="000000"/>
                <w:sz w:val="20"/>
                <w:szCs w:val="20"/>
                <w:lang w:eastAsia="cs-CZ"/>
              </w:rPr>
              <w:t>7</w:t>
            </w:r>
          </w:p>
        </w:tc>
        <w:tc>
          <w:tcPr>
            <w:tcW w:w="1039" w:type="dxa"/>
            <w:tcBorders>
              <w:top w:val="nil"/>
              <w:left w:val="nil"/>
              <w:bottom w:val="single" w:sz="4" w:space="0" w:color="auto"/>
              <w:right w:val="single" w:sz="4" w:space="0" w:color="auto"/>
            </w:tcBorders>
            <w:shd w:val="clear" w:color="auto" w:fill="auto"/>
            <w:noWrap/>
            <w:vAlign w:val="center"/>
            <w:hideMark/>
          </w:tcPr>
          <w:p w14:paraId="49FA3A07"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50,00</w:t>
            </w:r>
          </w:p>
        </w:tc>
        <w:tc>
          <w:tcPr>
            <w:tcW w:w="1040" w:type="dxa"/>
            <w:tcBorders>
              <w:top w:val="nil"/>
              <w:left w:val="nil"/>
              <w:bottom w:val="single" w:sz="4" w:space="0" w:color="auto"/>
              <w:right w:val="single" w:sz="4" w:space="0" w:color="auto"/>
            </w:tcBorders>
            <w:shd w:val="clear" w:color="auto" w:fill="auto"/>
            <w:noWrap/>
            <w:vAlign w:val="center"/>
            <w:hideMark/>
          </w:tcPr>
          <w:p w14:paraId="1F90FF94"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87,50</w:t>
            </w:r>
          </w:p>
        </w:tc>
        <w:tc>
          <w:tcPr>
            <w:tcW w:w="1040" w:type="dxa"/>
            <w:tcBorders>
              <w:top w:val="nil"/>
              <w:left w:val="nil"/>
              <w:bottom w:val="single" w:sz="4" w:space="0" w:color="auto"/>
              <w:right w:val="single" w:sz="4" w:space="0" w:color="auto"/>
            </w:tcBorders>
            <w:shd w:val="clear" w:color="auto" w:fill="auto"/>
            <w:noWrap/>
            <w:vAlign w:val="center"/>
            <w:hideMark/>
          </w:tcPr>
          <w:p w14:paraId="18A98CDC" w14:textId="77777777" w:rsidR="00A910FA" w:rsidRPr="00550728" w:rsidRDefault="00A910FA" w:rsidP="00791BCB">
            <w:pPr>
              <w:keepNext/>
              <w:spacing w:after="0" w:line="240" w:lineRule="auto"/>
              <w:ind w:right="129"/>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69,47</w:t>
            </w:r>
          </w:p>
        </w:tc>
        <w:tc>
          <w:tcPr>
            <w:tcW w:w="2126" w:type="dxa"/>
            <w:tcBorders>
              <w:top w:val="nil"/>
              <w:left w:val="nil"/>
              <w:bottom w:val="single" w:sz="4" w:space="0" w:color="auto"/>
              <w:right w:val="single" w:sz="4" w:space="0" w:color="auto"/>
            </w:tcBorders>
            <w:shd w:val="clear" w:color="auto" w:fill="auto"/>
            <w:noWrap/>
            <w:vAlign w:val="center"/>
            <w:hideMark/>
          </w:tcPr>
          <w:p w14:paraId="3B8DA153" w14:textId="77777777" w:rsidR="00A910FA" w:rsidRPr="00550728" w:rsidRDefault="00A910FA" w:rsidP="00791BCB">
            <w:pPr>
              <w:keepNext/>
              <w:spacing w:after="0" w:line="240" w:lineRule="auto"/>
              <w:ind w:right="783"/>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24</w:t>
            </w:r>
          </w:p>
        </w:tc>
        <w:tc>
          <w:tcPr>
            <w:tcW w:w="1417" w:type="dxa"/>
            <w:tcBorders>
              <w:top w:val="nil"/>
              <w:left w:val="nil"/>
              <w:bottom w:val="single" w:sz="4" w:space="0" w:color="auto"/>
              <w:right w:val="single" w:sz="4" w:space="0" w:color="auto"/>
            </w:tcBorders>
            <w:shd w:val="clear" w:color="auto" w:fill="auto"/>
            <w:noWrap/>
            <w:vAlign w:val="center"/>
            <w:hideMark/>
          </w:tcPr>
          <w:p w14:paraId="4372B8FB" w14:textId="77777777" w:rsidR="00A910FA" w:rsidRPr="00550728" w:rsidRDefault="00A910FA" w:rsidP="00791BCB">
            <w:pPr>
              <w:keepNext/>
              <w:spacing w:after="0" w:line="240" w:lineRule="auto"/>
              <w:ind w:right="460"/>
              <w:jc w:val="right"/>
              <w:rPr>
                <w:rFonts w:ascii="Calibri" w:eastAsia="Times New Roman" w:hAnsi="Calibri" w:cs="Calibri"/>
                <w:color w:val="000000"/>
                <w:sz w:val="20"/>
                <w:szCs w:val="20"/>
                <w:lang w:eastAsia="cs-CZ"/>
              </w:rPr>
            </w:pPr>
            <w:r w:rsidRPr="00550728">
              <w:rPr>
                <w:rFonts w:ascii="Calibri" w:eastAsia="Times New Roman" w:hAnsi="Calibri" w:cs="Calibri"/>
                <w:color w:val="000000"/>
                <w:sz w:val="20"/>
                <w:szCs w:val="20"/>
                <w:lang w:eastAsia="cs-CZ"/>
              </w:rPr>
              <w:t>1</w:t>
            </w:r>
          </w:p>
        </w:tc>
      </w:tr>
      <w:tr w:rsidR="00A910FA" w:rsidRPr="00550728" w14:paraId="47B8C594" w14:textId="77777777" w:rsidTr="00791BCB">
        <w:trPr>
          <w:trHeight w:val="2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7EEF6BF" w14:textId="77777777" w:rsidR="00A910FA" w:rsidRPr="00550728" w:rsidRDefault="00A910FA" w:rsidP="00791BCB">
            <w:pPr>
              <w:keepNext/>
              <w:spacing w:after="0" w:line="240" w:lineRule="auto"/>
              <w:jc w:val="center"/>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Celkem</w:t>
            </w:r>
          </w:p>
        </w:tc>
        <w:tc>
          <w:tcPr>
            <w:tcW w:w="1559" w:type="dxa"/>
            <w:tcBorders>
              <w:top w:val="nil"/>
              <w:left w:val="nil"/>
              <w:bottom w:val="single" w:sz="4" w:space="0" w:color="auto"/>
              <w:right w:val="single" w:sz="4" w:space="0" w:color="auto"/>
            </w:tcBorders>
            <w:shd w:val="clear" w:color="auto" w:fill="auto"/>
            <w:noWrap/>
            <w:vAlign w:val="center"/>
            <w:hideMark/>
          </w:tcPr>
          <w:p w14:paraId="557CF8A5" w14:textId="77777777" w:rsidR="00A910FA" w:rsidRPr="00550728" w:rsidRDefault="00A910FA" w:rsidP="00791BCB">
            <w:pPr>
              <w:keepNext/>
              <w:spacing w:after="0" w:line="240" w:lineRule="auto"/>
              <w:ind w:right="357"/>
              <w:jc w:val="right"/>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10</w:t>
            </w:r>
            <w:r w:rsidR="007C1922" w:rsidRPr="00550728">
              <w:rPr>
                <w:rFonts w:ascii="Calibri" w:eastAsia="Times New Roman" w:hAnsi="Calibri" w:cs="Calibri"/>
                <w:b/>
                <w:bCs/>
                <w:color w:val="000000"/>
                <w:sz w:val="20"/>
                <w:szCs w:val="20"/>
                <w:lang w:eastAsia="cs-CZ"/>
              </w:rPr>
              <w:t>6</w:t>
            </w:r>
          </w:p>
        </w:tc>
        <w:tc>
          <w:tcPr>
            <w:tcW w:w="1039" w:type="dxa"/>
            <w:tcBorders>
              <w:top w:val="nil"/>
              <w:left w:val="nil"/>
              <w:bottom w:val="single" w:sz="4" w:space="0" w:color="auto"/>
              <w:right w:val="single" w:sz="4" w:space="0" w:color="auto"/>
            </w:tcBorders>
            <w:shd w:val="clear" w:color="auto" w:fill="auto"/>
            <w:noWrap/>
            <w:vAlign w:val="center"/>
            <w:hideMark/>
          </w:tcPr>
          <w:p w14:paraId="365BA410" w14:textId="77777777" w:rsidR="00A910FA" w:rsidRPr="00550728" w:rsidRDefault="00A910FA" w:rsidP="00791BCB">
            <w:pPr>
              <w:keepNext/>
              <w:spacing w:after="0" w:line="240" w:lineRule="auto"/>
              <w:ind w:right="129"/>
              <w:jc w:val="right"/>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50,00</w:t>
            </w:r>
          </w:p>
        </w:tc>
        <w:tc>
          <w:tcPr>
            <w:tcW w:w="1040" w:type="dxa"/>
            <w:tcBorders>
              <w:top w:val="nil"/>
              <w:left w:val="nil"/>
              <w:bottom w:val="single" w:sz="4" w:space="0" w:color="auto"/>
              <w:right w:val="single" w:sz="4" w:space="0" w:color="auto"/>
            </w:tcBorders>
            <w:shd w:val="clear" w:color="auto" w:fill="auto"/>
            <w:noWrap/>
            <w:vAlign w:val="center"/>
            <w:hideMark/>
          </w:tcPr>
          <w:p w14:paraId="74B1D6A5" w14:textId="77777777" w:rsidR="00A910FA" w:rsidRPr="00550728" w:rsidRDefault="00A910FA" w:rsidP="00791BCB">
            <w:pPr>
              <w:keepNext/>
              <w:spacing w:after="0" w:line="240" w:lineRule="auto"/>
              <w:ind w:right="129"/>
              <w:jc w:val="right"/>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91,25</w:t>
            </w:r>
          </w:p>
        </w:tc>
        <w:tc>
          <w:tcPr>
            <w:tcW w:w="1040" w:type="dxa"/>
            <w:tcBorders>
              <w:top w:val="nil"/>
              <w:left w:val="nil"/>
              <w:bottom w:val="single" w:sz="4" w:space="0" w:color="auto"/>
              <w:right w:val="single" w:sz="4" w:space="0" w:color="auto"/>
            </w:tcBorders>
            <w:shd w:val="clear" w:color="auto" w:fill="auto"/>
            <w:noWrap/>
            <w:vAlign w:val="center"/>
            <w:hideMark/>
          </w:tcPr>
          <w:p w14:paraId="65847A2A" w14:textId="77777777" w:rsidR="00A910FA" w:rsidRPr="00550728" w:rsidRDefault="00A910FA" w:rsidP="00791BCB">
            <w:pPr>
              <w:keepNext/>
              <w:spacing w:after="0" w:line="240" w:lineRule="auto"/>
              <w:ind w:right="129"/>
              <w:jc w:val="right"/>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65,54</w:t>
            </w:r>
          </w:p>
        </w:tc>
        <w:tc>
          <w:tcPr>
            <w:tcW w:w="2126" w:type="dxa"/>
            <w:tcBorders>
              <w:top w:val="nil"/>
              <w:left w:val="nil"/>
              <w:bottom w:val="single" w:sz="4" w:space="0" w:color="auto"/>
              <w:right w:val="single" w:sz="4" w:space="0" w:color="auto"/>
            </w:tcBorders>
            <w:shd w:val="clear" w:color="auto" w:fill="auto"/>
            <w:noWrap/>
            <w:vAlign w:val="center"/>
            <w:hideMark/>
          </w:tcPr>
          <w:p w14:paraId="264F91C6" w14:textId="77777777" w:rsidR="00A910FA" w:rsidRPr="00550728" w:rsidRDefault="00A910FA" w:rsidP="00791BCB">
            <w:pPr>
              <w:keepNext/>
              <w:spacing w:after="0" w:line="240" w:lineRule="auto"/>
              <w:ind w:right="783"/>
              <w:jc w:val="right"/>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48</w:t>
            </w:r>
          </w:p>
        </w:tc>
        <w:tc>
          <w:tcPr>
            <w:tcW w:w="1417" w:type="dxa"/>
            <w:tcBorders>
              <w:top w:val="nil"/>
              <w:left w:val="nil"/>
              <w:bottom w:val="single" w:sz="4" w:space="0" w:color="auto"/>
              <w:right w:val="single" w:sz="4" w:space="0" w:color="auto"/>
            </w:tcBorders>
            <w:shd w:val="clear" w:color="auto" w:fill="auto"/>
            <w:noWrap/>
            <w:vAlign w:val="center"/>
            <w:hideMark/>
          </w:tcPr>
          <w:p w14:paraId="55981DB6" w14:textId="77777777" w:rsidR="00A910FA" w:rsidRPr="00550728" w:rsidRDefault="00A910FA" w:rsidP="00791BCB">
            <w:pPr>
              <w:keepNext/>
              <w:spacing w:after="0" w:line="240" w:lineRule="auto"/>
              <w:ind w:right="460"/>
              <w:jc w:val="right"/>
              <w:rPr>
                <w:rFonts w:ascii="Calibri" w:eastAsia="Times New Roman" w:hAnsi="Calibri" w:cs="Calibri"/>
                <w:b/>
                <w:bCs/>
                <w:color w:val="000000"/>
                <w:sz w:val="20"/>
                <w:szCs w:val="20"/>
                <w:lang w:eastAsia="cs-CZ"/>
              </w:rPr>
            </w:pPr>
            <w:r w:rsidRPr="00550728">
              <w:rPr>
                <w:rFonts w:ascii="Calibri" w:eastAsia="Times New Roman" w:hAnsi="Calibri" w:cs="Calibri"/>
                <w:b/>
                <w:bCs/>
                <w:color w:val="000000"/>
                <w:sz w:val="20"/>
                <w:szCs w:val="20"/>
                <w:lang w:eastAsia="cs-CZ"/>
              </w:rPr>
              <w:t>10</w:t>
            </w:r>
          </w:p>
        </w:tc>
      </w:tr>
    </w:tbl>
    <w:p w14:paraId="16809F47" w14:textId="77777777" w:rsidR="00A910FA" w:rsidRPr="00550728" w:rsidRDefault="00A910FA" w:rsidP="00550728">
      <w:pPr>
        <w:pStyle w:val="JK4"/>
        <w:keepNext w:val="0"/>
        <w:numPr>
          <w:ilvl w:val="0"/>
          <w:numId w:val="0"/>
        </w:numPr>
        <w:spacing w:before="40" w:after="0"/>
        <w:rPr>
          <w:sz w:val="20"/>
          <w:szCs w:val="20"/>
        </w:rPr>
      </w:pPr>
      <w:r w:rsidRPr="00550728">
        <w:rPr>
          <w:b/>
          <w:sz w:val="20"/>
          <w:szCs w:val="20"/>
        </w:rPr>
        <w:t>Zdroj:</w:t>
      </w:r>
      <w:r w:rsidRPr="00550728">
        <w:rPr>
          <w:sz w:val="20"/>
          <w:szCs w:val="20"/>
        </w:rPr>
        <w:t xml:space="preserve"> </w:t>
      </w:r>
      <w:r w:rsidR="00341087">
        <w:rPr>
          <w:sz w:val="20"/>
          <w:szCs w:val="20"/>
        </w:rPr>
        <w:t xml:space="preserve">vypracoval </w:t>
      </w:r>
      <w:r w:rsidRPr="00550728">
        <w:rPr>
          <w:sz w:val="20"/>
          <w:szCs w:val="20"/>
        </w:rPr>
        <w:t>NKÚ na základě zápisů z hodnoticích komisí, stav k 02/2022.</w:t>
      </w:r>
    </w:p>
    <w:p w14:paraId="5F6B1878" w14:textId="77777777" w:rsidR="006B39C6" w:rsidRPr="00BF7B0C" w:rsidRDefault="00EA7075" w:rsidP="00EA7075">
      <w:pPr>
        <w:pStyle w:val="JK4"/>
        <w:keepNext w:val="0"/>
        <w:numPr>
          <w:ilvl w:val="0"/>
          <w:numId w:val="16"/>
        </w:numPr>
        <w:spacing w:after="120"/>
        <w:ind w:left="567" w:hanging="283"/>
        <w:jc w:val="left"/>
        <w:rPr>
          <w:i/>
        </w:rPr>
      </w:pPr>
      <w:r>
        <w:rPr>
          <w:i/>
        </w:rPr>
        <w:t xml:space="preserve">Jednotlivá zpracovaná hodnocení vykazují </w:t>
      </w:r>
      <w:r w:rsidR="00AF3237" w:rsidRPr="00BF7B0C">
        <w:rPr>
          <w:i/>
        </w:rPr>
        <w:t>v</w:t>
      </w:r>
      <w:r w:rsidR="006B39C6" w:rsidRPr="00BF7B0C">
        <w:rPr>
          <w:i/>
        </w:rPr>
        <w:t>ysok</w:t>
      </w:r>
      <w:r>
        <w:rPr>
          <w:i/>
        </w:rPr>
        <w:t>ou</w:t>
      </w:r>
      <w:r w:rsidR="006B39C6" w:rsidRPr="00BF7B0C">
        <w:rPr>
          <w:i/>
        </w:rPr>
        <w:t xml:space="preserve"> mír</w:t>
      </w:r>
      <w:r>
        <w:rPr>
          <w:i/>
        </w:rPr>
        <w:t>ou</w:t>
      </w:r>
      <w:r w:rsidR="006B39C6" w:rsidRPr="00BF7B0C">
        <w:rPr>
          <w:i/>
        </w:rPr>
        <w:t xml:space="preserve"> rozdílnosti výroků</w:t>
      </w:r>
      <w:r>
        <w:rPr>
          <w:i/>
        </w:rPr>
        <w:t>.</w:t>
      </w:r>
      <w:r w:rsidR="006B39C6" w:rsidRPr="00BF7B0C">
        <w:rPr>
          <w:i/>
        </w:rPr>
        <w:t xml:space="preserve"> </w:t>
      </w:r>
    </w:p>
    <w:p w14:paraId="2A969DD8" w14:textId="77777777" w:rsidR="00F272A9" w:rsidRDefault="006B39C6" w:rsidP="00BF7B0C">
      <w:pPr>
        <w:pStyle w:val="JK4"/>
        <w:keepNext w:val="0"/>
        <w:numPr>
          <w:ilvl w:val="0"/>
          <w:numId w:val="0"/>
        </w:numPr>
        <w:tabs>
          <w:tab w:val="left" w:pos="567"/>
        </w:tabs>
        <w:spacing w:after="120"/>
        <w:ind w:left="567"/>
      </w:pPr>
      <w:r>
        <w:t xml:space="preserve">Ke každému projektu hodnocenému v rámci výzev </w:t>
      </w:r>
      <w:r w:rsidR="00B02E8E">
        <w:t xml:space="preserve">č. 15, 67, 105 a 129 </w:t>
      </w:r>
      <w:r>
        <w:t xml:space="preserve">byla zpracována dvě </w:t>
      </w:r>
      <w:r w:rsidR="002D34C9">
        <w:t>výchozí</w:t>
      </w:r>
      <w:r w:rsidR="002D34C9">
        <w:rPr>
          <w:rStyle w:val="Znakapoznpodarou"/>
        </w:rPr>
        <w:footnoteReference w:id="29"/>
      </w:r>
      <w:r w:rsidR="002D34C9">
        <w:t xml:space="preserve"> </w:t>
      </w:r>
      <w:r>
        <w:t xml:space="preserve">hodnocení, která sloužila jako </w:t>
      </w:r>
      <w:r w:rsidR="00735D42">
        <w:t xml:space="preserve">podklad </w:t>
      </w:r>
      <w:r>
        <w:t xml:space="preserve">pro finální rozhodnutí učiněné za celou hodnoticí komisi. Hodnocení hodnoticí komise bylo rozhodující </w:t>
      </w:r>
      <w:r w:rsidR="00735D42">
        <w:t xml:space="preserve">(jediné směrodatné) </w:t>
      </w:r>
      <w:r>
        <w:t xml:space="preserve">a mohlo se od </w:t>
      </w:r>
      <w:r w:rsidR="00735D42">
        <w:t xml:space="preserve">výchozích </w:t>
      </w:r>
      <w:r>
        <w:t xml:space="preserve">úplně odlišovat. </w:t>
      </w:r>
      <w:r w:rsidR="00735D42">
        <w:t xml:space="preserve">NKÚ zjistil, že mezi výsledky jednotlivých </w:t>
      </w:r>
      <w:r w:rsidR="00BB0184">
        <w:t>vypracovaných</w:t>
      </w:r>
      <w:r w:rsidR="00735D42">
        <w:t xml:space="preserve"> hodnocení existovaly značné rozdíly</w:t>
      </w:r>
      <w:r w:rsidR="00BC4FFB">
        <w:t xml:space="preserve"> a že byly velmi četné zejména v případě úspěšných žádostí</w:t>
      </w:r>
      <w:r w:rsidR="00735D42">
        <w:t xml:space="preserve">. </w:t>
      </w:r>
      <w:r>
        <w:t xml:space="preserve">Rozdílností výroků je </w:t>
      </w:r>
      <w:r w:rsidR="00735D42">
        <w:t xml:space="preserve">přitom </w:t>
      </w:r>
      <w:r>
        <w:t xml:space="preserve">myšlen stav, kdy se jedno hodnocení od zbývajících odlišovalo v tom, zda projekt podpořit či nikoliv. Z následující tabulky č. </w:t>
      </w:r>
      <w:r w:rsidR="005B1FAC">
        <w:t>8</w:t>
      </w:r>
      <w:r>
        <w:t xml:space="preserve"> je patrné, že míra rozdílnosti výroků u</w:t>
      </w:r>
      <w:r w:rsidR="00B02E8E">
        <w:t> </w:t>
      </w:r>
      <w:r>
        <w:t xml:space="preserve">podpořených projektů </w:t>
      </w:r>
      <w:r w:rsidR="001A0C27">
        <w:t xml:space="preserve">(tedy úspěšných žádostí) </w:t>
      </w:r>
      <w:r>
        <w:t>ve sledovaných výzvách činila více než 60 %.</w:t>
      </w:r>
      <w:r w:rsidR="001A0C27">
        <w:t xml:space="preserve"> Takto vysoká míra rozdílnosti názorů v hodnocení projektů vybraných k</w:t>
      </w:r>
      <w:r w:rsidR="00FF47C7">
        <w:t> </w:t>
      </w:r>
      <w:r w:rsidR="001A0C27">
        <w:t>podpoře indikuje rizika pro jejich účelnou a efektivní realizaci.</w:t>
      </w:r>
    </w:p>
    <w:p w14:paraId="6F3230AC" w14:textId="77777777" w:rsidR="00091AF6" w:rsidRPr="00FF47C7" w:rsidRDefault="00091AF6" w:rsidP="00897F1F">
      <w:pPr>
        <w:keepNext/>
        <w:spacing w:before="120" w:after="40" w:line="240" w:lineRule="auto"/>
        <w:rPr>
          <w:b/>
          <w:sz w:val="24"/>
        </w:rPr>
      </w:pPr>
      <w:r w:rsidRPr="00FF47C7">
        <w:rPr>
          <w:b/>
          <w:sz w:val="24"/>
        </w:rPr>
        <w:t xml:space="preserve">Tabulka č. </w:t>
      </w:r>
      <w:r w:rsidR="005B1FAC" w:rsidRPr="00FF47C7">
        <w:rPr>
          <w:b/>
          <w:sz w:val="24"/>
        </w:rPr>
        <w:t>8</w:t>
      </w:r>
      <w:r w:rsidRPr="00FF47C7">
        <w:rPr>
          <w:b/>
          <w:sz w:val="24"/>
        </w:rPr>
        <w:t>: Míra rozdílnosti výroků hodnocení ve výzvách č. 15, 67, 105 a 129</w:t>
      </w:r>
      <w:r w:rsidR="00C443F1" w:rsidRPr="00FF47C7">
        <w:rPr>
          <w:b/>
          <w:sz w:val="24"/>
        </w:rPr>
        <w:t xml:space="preserve"> OPZ</w:t>
      </w:r>
    </w:p>
    <w:tbl>
      <w:tblPr>
        <w:tblW w:w="9014" w:type="dxa"/>
        <w:jc w:val="center"/>
        <w:tblLayout w:type="fixed"/>
        <w:tblCellMar>
          <w:left w:w="70" w:type="dxa"/>
          <w:right w:w="70" w:type="dxa"/>
        </w:tblCellMar>
        <w:tblLook w:val="04A0" w:firstRow="1" w:lastRow="0" w:firstColumn="1" w:lastColumn="0" w:noHBand="0" w:noVBand="1"/>
      </w:tblPr>
      <w:tblGrid>
        <w:gridCol w:w="964"/>
        <w:gridCol w:w="1134"/>
        <w:gridCol w:w="1984"/>
        <w:gridCol w:w="907"/>
        <w:gridCol w:w="1134"/>
        <w:gridCol w:w="1984"/>
        <w:gridCol w:w="907"/>
      </w:tblGrid>
      <w:tr w:rsidR="00791BCB" w:rsidRPr="00091AF6" w14:paraId="37A71B4D" w14:textId="77777777" w:rsidTr="00897F1F">
        <w:trPr>
          <w:trHeight w:val="255"/>
          <w:jc w:val="center"/>
        </w:trPr>
        <w:tc>
          <w:tcPr>
            <w:tcW w:w="964" w:type="dxa"/>
            <w:tcBorders>
              <w:top w:val="single" w:sz="4" w:space="0" w:color="auto"/>
              <w:left w:val="single" w:sz="4" w:space="0" w:color="auto"/>
              <w:bottom w:val="single" w:sz="4" w:space="0" w:color="auto"/>
              <w:right w:val="single" w:sz="4" w:space="0" w:color="auto"/>
            </w:tcBorders>
            <w:shd w:val="clear" w:color="000000" w:fill="E5F1FF"/>
            <w:vAlign w:val="center"/>
            <w:hideMark/>
          </w:tcPr>
          <w:p w14:paraId="73822214" w14:textId="77777777" w:rsidR="00091AF6" w:rsidRPr="00091AF6" w:rsidRDefault="00091AF6" w:rsidP="00791BCB">
            <w:pPr>
              <w:keepNext/>
              <w:keepLines/>
              <w:spacing w:after="0" w:line="240" w:lineRule="auto"/>
              <w:jc w:val="center"/>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Výzva</w:t>
            </w:r>
          </w:p>
        </w:tc>
        <w:tc>
          <w:tcPr>
            <w:tcW w:w="1134" w:type="dxa"/>
            <w:tcBorders>
              <w:top w:val="single" w:sz="4" w:space="0" w:color="auto"/>
              <w:left w:val="nil"/>
              <w:bottom w:val="single" w:sz="4" w:space="0" w:color="auto"/>
              <w:right w:val="single" w:sz="4" w:space="0" w:color="auto"/>
            </w:tcBorders>
            <w:shd w:val="clear" w:color="000000" w:fill="E5F1FF"/>
            <w:vAlign w:val="center"/>
            <w:hideMark/>
          </w:tcPr>
          <w:p w14:paraId="6262532C" w14:textId="77777777" w:rsidR="00091AF6" w:rsidRPr="00091AF6" w:rsidRDefault="00091AF6" w:rsidP="00791BCB">
            <w:pPr>
              <w:keepNext/>
              <w:keepLines/>
              <w:spacing w:after="0" w:line="240" w:lineRule="auto"/>
              <w:jc w:val="center"/>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Hodnocené žádosti</w:t>
            </w:r>
          </w:p>
        </w:tc>
        <w:tc>
          <w:tcPr>
            <w:tcW w:w="1984" w:type="dxa"/>
            <w:tcBorders>
              <w:top w:val="single" w:sz="4" w:space="0" w:color="auto"/>
              <w:left w:val="nil"/>
              <w:bottom w:val="single" w:sz="4" w:space="0" w:color="auto"/>
              <w:right w:val="single" w:sz="4" w:space="0" w:color="auto"/>
            </w:tcBorders>
            <w:shd w:val="clear" w:color="000000" w:fill="E5F1FF"/>
            <w:vAlign w:val="center"/>
            <w:hideMark/>
          </w:tcPr>
          <w:p w14:paraId="711DAD34" w14:textId="77777777" w:rsidR="00091AF6" w:rsidRPr="00091AF6" w:rsidRDefault="006B39C6" w:rsidP="00791BCB">
            <w:pPr>
              <w:keepNext/>
              <w:keepLines/>
              <w:spacing w:after="0" w:line="240" w:lineRule="auto"/>
              <w:jc w:val="center"/>
              <w:rPr>
                <w:rFonts w:ascii="Calibri" w:eastAsia="Times New Roman" w:hAnsi="Calibri" w:cs="Calibri"/>
                <w:b/>
                <w:bCs/>
                <w:color w:val="000000"/>
                <w:sz w:val="20"/>
                <w:szCs w:val="20"/>
                <w:lang w:eastAsia="cs-CZ"/>
              </w:rPr>
            </w:pPr>
            <w:r>
              <w:rPr>
                <w:rFonts w:ascii="Calibri" w:eastAsia="Times New Roman" w:hAnsi="Calibri" w:cs="Calibri"/>
                <w:b/>
                <w:bCs/>
                <w:color w:val="000000"/>
                <w:sz w:val="20"/>
                <w:szCs w:val="20"/>
                <w:lang w:eastAsia="cs-CZ"/>
              </w:rPr>
              <w:t>Žádosti s</w:t>
            </w:r>
            <w:r w:rsidR="008050C0">
              <w:rPr>
                <w:rFonts w:ascii="Calibri" w:eastAsia="Times New Roman" w:hAnsi="Calibri" w:cs="Calibri"/>
                <w:b/>
                <w:bCs/>
                <w:color w:val="000000"/>
                <w:sz w:val="20"/>
                <w:szCs w:val="20"/>
                <w:lang w:eastAsia="cs-CZ"/>
              </w:rPr>
              <w:t> </w:t>
            </w:r>
            <w:r>
              <w:rPr>
                <w:rFonts w:ascii="Calibri" w:eastAsia="Times New Roman" w:hAnsi="Calibri" w:cs="Calibri"/>
                <w:b/>
                <w:bCs/>
                <w:color w:val="000000"/>
                <w:sz w:val="20"/>
                <w:szCs w:val="20"/>
                <w:lang w:eastAsia="cs-CZ"/>
              </w:rPr>
              <w:t>r</w:t>
            </w:r>
            <w:r w:rsidRPr="00091AF6">
              <w:rPr>
                <w:rFonts w:ascii="Calibri" w:eastAsia="Times New Roman" w:hAnsi="Calibri" w:cs="Calibri"/>
                <w:b/>
                <w:bCs/>
                <w:color w:val="000000"/>
                <w:sz w:val="20"/>
                <w:szCs w:val="20"/>
                <w:lang w:eastAsia="cs-CZ"/>
              </w:rPr>
              <w:t>ozdílnost</w:t>
            </w:r>
            <w:r>
              <w:rPr>
                <w:rFonts w:ascii="Calibri" w:eastAsia="Times New Roman" w:hAnsi="Calibri" w:cs="Calibri"/>
                <w:b/>
                <w:bCs/>
                <w:color w:val="000000"/>
                <w:sz w:val="20"/>
                <w:szCs w:val="20"/>
                <w:lang w:eastAsia="cs-CZ"/>
              </w:rPr>
              <w:t>í</w:t>
            </w:r>
            <w:r w:rsidRPr="00091AF6">
              <w:rPr>
                <w:rFonts w:ascii="Calibri" w:eastAsia="Times New Roman" w:hAnsi="Calibri" w:cs="Calibri"/>
                <w:b/>
                <w:bCs/>
                <w:color w:val="000000"/>
                <w:sz w:val="20"/>
                <w:szCs w:val="20"/>
                <w:lang w:eastAsia="cs-CZ"/>
              </w:rPr>
              <w:t xml:space="preserve"> výroků</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14:paraId="1A8A8526" w14:textId="77777777" w:rsidR="00091AF6" w:rsidRPr="00091AF6" w:rsidRDefault="00091AF6" w:rsidP="00791BCB">
            <w:pPr>
              <w:keepNext/>
              <w:keepLines/>
              <w:spacing w:after="0" w:line="240" w:lineRule="auto"/>
              <w:jc w:val="center"/>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Míra</w:t>
            </w:r>
            <w:r w:rsidRPr="00091AF6">
              <w:rPr>
                <w:rFonts w:ascii="Calibri" w:eastAsia="Times New Roman" w:hAnsi="Calibri" w:cs="Calibri"/>
                <w:b/>
                <w:bCs/>
                <w:color w:val="000000"/>
                <w:sz w:val="20"/>
                <w:szCs w:val="20"/>
                <w:lang w:eastAsia="cs-CZ"/>
              </w:rPr>
              <w:br/>
              <w:t>(v %)</w:t>
            </w:r>
          </w:p>
        </w:tc>
        <w:tc>
          <w:tcPr>
            <w:tcW w:w="1134" w:type="dxa"/>
            <w:tcBorders>
              <w:top w:val="single" w:sz="4" w:space="0" w:color="auto"/>
              <w:left w:val="nil"/>
              <w:bottom w:val="single" w:sz="4" w:space="0" w:color="auto"/>
              <w:right w:val="single" w:sz="4" w:space="0" w:color="auto"/>
            </w:tcBorders>
            <w:shd w:val="clear" w:color="000000" w:fill="E5F1FF"/>
            <w:vAlign w:val="center"/>
            <w:hideMark/>
          </w:tcPr>
          <w:p w14:paraId="4F22D3F4" w14:textId="77777777" w:rsidR="00091AF6" w:rsidRPr="00091AF6" w:rsidRDefault="00091AF6" w:rsidP="00791BCB">
            <w:pPr>
              <w:keepNext/>
              <w:keepLines/>
              <w:spacing w:after="0" w:line="240" w:lineRule="auto"/>
              <w:jc w:val="center"/>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Úspěšné žádosti</w:t>
            </w:r>
          </w:p>
        </w:tc>
        <w:tc>
          <w:tcPr>
            <w:tcW w:w="1984" w:type="dxa"/>
            <w:tcBorders>
              <w:top w:val="single" w:sz="4" w:space="0" w:color="auto"/>
              <w:left w:val="nil"/>
              <w:bottom w:val="single" w:sz="4" w:space="0" w:color="auto"/>
              <w:right w:val="single" w:sz="4" w:space="0" w:color="auto"/>
            </w:tcBorders>
            <w:shd w:val="clear" w:color="000000" w:fill="E5F1FF"/>
            <w:vAlign w:val="center"/>
            <w:hideMark/>
          </w:tcPr>
          <w:p w14:paraId="062A069E" w14:textId="77777777" w:rsidR="00091AF6" w:rsidRPr="00091AF6" w:rsidRDefault="006B39C6" w:rsidP="00791BCB">
            <w:pPr>
              <w:keepNext/>
              <w:keepLines/>
              <w:spacing w:after="0" w:line="240" w:lineRule="auto"/>
              <w:jc w:val="center"/>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 xml:space="preserve">Úspěšné </w:t>
            </w:r>
            <w:r>
              <w:rPr>
                <w:rFonts w:ascii="Calibri" w:eastAsia="Times New Roman" w:hAnsi="Calibri" w:cs="Calibri"/>
                <w:b/>
                <w:bCs/>
                <w:color w:val="000000"/>
                <w:sz w:val="20"/>
                <w:szCs w:val="20"/>
                <w:lang w:eastAsia="cs-CZ"/>
              </w:rPr>
              <w:t xml:space="preserve">žádosti </w:t>
            </w:r>
            <w:r w:rsidRPr="00091AF6">
              <w:rPr>
                <w:rFonts w:ascii="Calibri" w:eastAsia="Times New Roman" w:hAnsi="Calibri" w:cs="Calibri"/>
                <w:b/>
                <w:bCs/>
                <w:color w:val="000000"/>
                <w:sz w:val="20"/>
                <w:szCs w:val="20"/>
                <w:lang w:eastAsia="cs-CZ"/>
              </w:rPr>
              <w:t>s</w:t>
            </w:r>
            <w:r>
              <w:rPr>
                <w:rFonts w:ascii="Calibri" w:eastAsia="Times New Roman" w:hAnsi="Calibri" w:cs="Calibri"/>
                <w:b/>
                <w:bCs/>
                <w:color w:val="000000"/>
                <w:sz w:val="20"/>
                <w:szCs w:val="20"/>
                <w:lang w:eastAsia="cs-CZ"/>
              </w:rPr>
              <w:t> </w:t>
            </w:r>
            <w:r w:rsidRPr="00091AF6">
              <w:rPr>
                <w:rFonts w:ascii="Calibri" w:eastAsia="Times New Roman" w:hAnsi="Calibri" w:cs="Calibri"/>
                <w:b/>
                <w:bCs/>
                <w:color w:val="000000"/>
                <w:sz w:val="20"/>
                <w:szCs w:val="20"/>
                <w:lang w:eastAsia="cs-CZ"/>
              </w:rPr>
              <w:t>rozdíl</w:t>
            </w:r>
            <w:r>
              <w:rPr>
                <w:rFonts w:ascii="Calibri" w:eastAsia="Times New Roman" w:hAnsi="Calibri" w:cs="Calibri"/>
                <w:b/>
                <w:bCs/>
                <w:color w:val="000000"/>
                <w:sz w:val="20"/>
                <w:szCs w:val="20"/>
                <w:lang w:eastAsia="cs-CZ"/>
              </w:rPr>
              <w:t>ností výroků</w:t>
            </w:r>
          </w:p>
        </w:tc>
        <w:tc>
          <w:tcPr>
            <w:tcW w:w="907" w:type="dxa"/>
            <w:tcBorders>
              <w:top w:val="single" w:sz="4" w:space="0" w:color="auto"/>
              <w:left w:val="nil"/>
              <w:bottom w:val="single" w:sz="4" w:space="0" w:color="auto"/>
              <w:right w:val="single" w:sz="4" w:space="0" w:color="auto"/>
            </w:tcBorders>
            <w:shd w:val="clear" w:color="000000" w:fill="E5F1FF"/>
            <w:vAlign w:val="center"/>
            <w:hideMark/>
          </w:tcPr>
          <w:p w14:paraId="154CA01C" w14:textId="77777777" w:rsidR="00091AF6" w:rsidRPr="00091AF6" w:rsidRDefault="00091AF6" w:rsidP="00791BCB">
            <w:pPr>
              <w:keepNext/>
              <w:keepLines/>
              <w:spacing w:after="0" w:line="240" w:lineRule="auto"/>
              <w:jc w:val="center"/>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Míra</w:t>
            </w:r>
            <w:r w:rsidRPr="00091AF6">
              <w:rPr>
                <w:rFonts w:ascii="Calibri" w:eastAsia="Times New Roman" w:hAnsi="Calibri" w:cs="Calibri"/>
                <w:b/>
                <w:bCs/>
                <w:color w:val="000000"/>
                <w:sz w:val="20"/>
                <w:szCs w:val="20"/>
                <w:lang w:eastAsia="cs-CZ"/>
              </w:rPr>
              <w:br/>
              <w:t>(v %)</w:t>
            </w:r>
          </w:p>
        </w:tc>
      </w:tr>
      <w:tr w:rsidR="00791BCB" w:rsidRPr="00091AF6" w14:paraId="6C6ECD78" w14:textId="77777777" w:rsidTr="00897F1F">
        <w:trPr>
          <w:trHeight w:val="255"/>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20CF3D9B" w14:textId="77777777" w:rsidR="00C440AA" w:rsidRPr="00C440AA" w:rsidRDefault="00C440AA" w:rsidP="00791BCB">
            <w:pPr>
              <w:keepNext/>
              <w:keepLines/>
              <w:spacing w:after="0" w:line="240" w:lineRule="auto"/>
              <w:jc w:val="center"/>
              <w:rPr>
                <w:rFonts w:ascii="Calibri" w:eastAsia="Times New Roman" w:hAnsi="Calibri" w:cs="Calibri"/>
                <w:bCs/>
                <w:color w:val="000000"/>
                <w:sz w:val="20"/>
                <w:szCs w:val="20"/>
                <w:lang w:eastAsia="cs-CZ"/>
              </w:rPr>
            </w:pPr>
            <w:r w:rsidRPr="00C440AA">
              <w:rPr>
                <w:rFonts w:ascii="Calibri" w:eastAsia="Times New Roman" w:hAnsi="Calibri" w:cs="Calibri"/>
                <w:color w:val="000000"/>
                <w:sz w:val="20"/>
                <w:szCs w:val="20"/>
                <w:lang w:eastAsia="cs-CZ"/>
              </w:rPr>
              <w:t>15</w:t>
            </w:r>
          </w:p>
        </w:tc>
        <w:tc>
          <w:tcPr>
            <w:tcW w:w="1134" w:type="dxa"/>
            <w:tcBorders>
              <w:top w:val="nil"/>
              <w:left w:val="nil"/>
              <w:bottom w:val="single" w:sz="4" w:space="0" w:color="auto"/>
              <w:right w:val="single" w:sz="4" w:space="0" w:color="auto"/>
            </w:tcBorders>
            <w:shd w:val="clear" w:color="auto" w:fill="auto"/>
            <w:noWrap/>
            <w:vAlign w:val="center"/>
            <w:hideMark/>
          </w:tcPr>
          <w:p w14:paraId="497B149C" w14:textId="77777777" w:rsidR="00C440AA" w:rsidRPr="00091AF6" w:rsidRDefault="00C440AA" w:rsidP="00897F1F">
            <w:pPr>
              <w:keepNext/>
              <w:keepLines/>
              <w:tabs>
                <w:tab w:val="left" w:pos="660"/>
              </w:tabs>
              <w:spacing w:after="0" w:line="240" w:lineRule="auto"/>
              <w:ind w:right="17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278</w:t>
            </w:r>
          </w:p>
        </w:tc>
        <w:tc>
          <w:tcPr>
            <w:tcW w:w="1984" w:type="dxa"/>
            <w:tcBorders>
              <w:top w:val="nil"/>
              <w:left w:val="nil"/>
              <w:bottom w:val="single" w:sz="4" w:space="0" w:color="auto"/>
              <w:right w:val="single" w:sz="4" w:space="0" w:color="auto"/>
            </w:tcBorders>
            <w:shd w:val="clear" w:color="auto" w:fill="auto"/>
            <w:noWrap/>
            <w:vAlign w:val="center"/>
            <w:hideMark/>
          </w:tcPr>
          <w:p w14:paraId="11D29272" w14:textId="77777777" w:rsidR="00C440AA" w:rsidRPr="00091AF6" w:rsidRDefault="00C440AA" w:rsidP="00897F1F">
            <w:pPr>
              <w:keepNext/>
              <w:keepLines/>
              <w:spacing w:after="0" w:line="240" w:lineRule="auto"/>
              <w:ind w:right="75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36</w:t>
            </w:r>
          </w:p>
        </w:tc>
        <w:tc>
          <w:tcPr>
            <w:tcW w:w="907" w:type="dxa"/>
            <w:tcBorders>
              <w:top w:val="nil"/>
              <w:left w:val="nil"/>
              <w:bottom w:val="single" w:sz="4" w:space="0" w:color="auto"/>
              <w:right w:val="single" w:sz="4" w:space="0" w:color="auto"/>
            </w:tcBorders>
            <w:shd w:val="clear" w:color="auto" w:fill="auto"/>
            <w:noWrap/>
            <w:vAlign w:val="center"/>
            <w:hideMark/>
          </w:tcPr>
          <w:p w14:paraId="5648D6DC"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12,95</w:t>
            </w:r>
          </w:p>
        </w:tc>
        <w:tc>
          <w:tcPr>
            <w:tcW w:w="1134" w:type="dxa"/>
            <w:tcBorders>
              <w:top w:val="nil"/>
              <w:left w:val="nil"/>
              <w:bottom w:val="single" w:sz="4" w:space="0" w:color="auto"/>
              <w:right w:val="single" w:sz="4" w:space="0" w:color="auto"/>
            </w:tcBorders>
            <w:shd w:val="clear" w:color="auto" w:fill="auto"/>
            <w:noWrap/>
            <w:vAlign w:val="center"/>
            <w:hideMark/>
          </w:tcPr>
          <w:p w14:paraId="43679FA5" w14:textId="77777777" w:rsidR="00C440AA" w:rsidRPr="00091AF6" w:rsidRDefault="00C440AA" w:rsidP="00897F1F">
            <w:pPr>
              <w:keepNext/>
              <w:keepLines/>
              <w:spacing w:after="0" w:line="240" w:lineRule="auto"/>
              <w:ind w:right="18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16</w:t>
            </w:r>
          </w:p>
        </w:tc>
        <w:tc>
          <w:tcPr>
            <w:tcW w:w="1984" w:type="dxa"/>
            <w:tcBorders>
              <w:top w:val="nil"/>
              <w:left w:val="nil"/>
              <w:bottom w:val="single" w:sz="4" w:space="0" w:color="auto"/>
              <w:right w:val="single" w:sz="4" w:space="0" w:color="auto"/>
            </w:tcBorders>
            <w:shd w:val="clear" w:color="auto" w:fill="auto"/>
            <w:noWrap/>
            <w:vAlign w:val="center"/>
            <w:hideMark/>
          </w:tcPr>
          <w:p w14:paraId="79646217" w14:textId="77777777" w:rsidR="00C440AA" w:rsidRPr="00091AF6" w:rsidRDefault="00C440AA" w:rsidP="00897F1F">
            <w:pPr>
              <w:keepNext/>
              <w:keepLines/>
              <w:spacing w:after="0" w:line="240" w:lineRule="auto"/>
              <w:ind w:right="66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9</w:t>
            </w:r>
          </w:p>
        </w:tc>
        <w:tc>
          <w:tcPr>
            <w:tcW w:w="907" w:type="dxa"/>
            <w:tcBorders>
              <w:top w:val="nil"/>
              <w:left w:val="nil"/>
              <w:bottom w:val="single" w:sz="4" w:space="0" w:color="auto"/>
              <w:right w:val="single" w:sz="4" w:space="0" w:color="auto"/>
            </w:tcBorders>
            <w:shd w:val="clear" w:color="auto" w:fill="auto"/>
            <w:noWrap/>
            <w:vAlign w:val="center"/>
            <w:hideMark/>
          </w:tcPr>
          <w:p w14:paraId="1B1414CD"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56,25</w:t>
            </w:r>
          </w:p>
        </w:tc>
      </w:tr>
      <w:tr w:rsidR="00791BCB" w:rsidRPr="00091AF6" w14:paraId="6A983ADE" w14:textId="77777777" w:rsidTr="00897F1F">
        <w:trPr>
          <w:trHeight w:val="255"/>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71CD5BFE" w14:textId="77777777" w:rsidR="00C440AA" w:rsidRPr="00C440AA" w:rsidRDefault="00C440AA" w:rsidP="00791BCB">
            <w:pPr>
              <w:keepNext/>
              <w:keepLines/>
              <w:spacing w:after="0" w:line="240" w:lineRule="auto"/>
              <w:jc w:val="center"/>
              <w:rPr>
                <w:rFonts w:ascii="Calibri" w:eastAsia="Times New Roman" w:hAnsi="Calibri" w:cs="Calibri"/>
                <w:bCs/>
                <w:color w:val="000000"/>
                <w:sz w:val="20"/>
                <w:szCs w:val="20"/>
                <w:lang w:eastAsia="cs-CZ"/>
              </w:rPr>
            </w:pPr>
            <w:r w:rsidRPr="00C440AA">
              <w:rPr>
                <w:rFonts w:ascii="Calibri" w:eastAsia="Times New Roman" w:hAnsi="Calibri" w:cs="Calibri"/>
                <w:color w:val="000000"/>
                <w:sz w:val="20"/>
                <w:szCs w:val="20"/>
                <w:lang w:eastAsia="cs-CZ"/>
              </w:rPr>
              <w:t>67</w:t>
            </w:r>
          </w:p>
        </w:tc>
        <w:tc>
          <w:tcPr>
            <w:tcW w:w="1134" w:type="dxa"/>
            <w:tcBorders>
              <w:top w:val="nil"/>
              <w:left w:val="nil"/>
              <w:bottom w:val="single" w:sz="4" w:space="0" w:color="auto"/>
              <w:right w:val="single" w:sz="4" w:space="0" w:color="auto"/>
            </w:tcBorders>
            <w:shd w:val="clear" w:color="auto" w:fill="auto"/>
            <w:noWrap/>
            <w:vAlign w:val="center"/>
            <w:hideMark/>
          </w:tcPr>
          <w:p w14:paraId="6E4F1296" w14:textId="77777777" w:rsidR="00C440AA" w:rsidRPr="00091AF6" w:rsidRDefault="00C440AA" w:rsidP="00897F1F">
            <w:pPr>
              <w:keepNext/>
              <w:keepLines/>
              <w:tabs>
                <w:tab w:val="left" w:pos="660"/>
              </w:tabs>
              <w:spacing w:after="0" w:line="240" w:lineRule="auto"/>
              <w:ind w:right="17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181</w:t>
            </w:r>
          </w:p>
        </w:tc>
        <w:tc>
          <w:tcPr>
            <w:tcW w:w="1984" w:type="dxa"/>
            <w:tcBorders>
              <w:top w:val="nil"/>
              <w:left w:val="nil"/>
              <w:bottom w:val="single" w:sz="4" w:space="0" w:color="auto"/>
              <w:right w:val="single" w:sz="4" w:space="0" w:color="auto"/>
            </w:tcBorders>
            <w:shd w:val="clear" w:color="auto" w:fill="auto"/>
            <w:noWrap/>
            <w:vAlign w:val="center"/>
            <w:hideMark/>
          </w:tcPr>
          <w:p w14:paraId="6A88F34F" w14:textId="77777777" w:rsidR="00C440AA" w:rsidRPr="00091AF6" w:rsidRDefault="00C440AA" w:rsidP="00897F1F">
            <w:pPr>
              <w:keepNext/>
              <w:keepLines/>
              <w:spacing w:after="0" w:line="240" w:lineRule="auto"/>
              <w:ind w:right="75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30</w:t>
            </w:r>
          </w:p>
        </w:tc>
        <w:tc>
          <w:tcPr>
            <w:tcW w:w="907" w:type="dxa"/>
            <w:tcBorders>
              <w:top w:val="nil"/>
              <w:left w:val="nil"/>
              <w:bottom w:val="single" w:sz="4" w:space="0" w:color="auto"/>
              <w:right w:val="single" w:sz="4" w:space="0" w:color="auto"/>
            </w:tcBorders>
            <w:shd w:val="clear" w:color="auto" w:fill="auto"/>
            <w:noWrap/>
            <w:vAlign w:val="center"/>
            <w:hideMark/>
          </w:tcPr>
          <w:p w14:paraId="22EB106B"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16,57</w:t>
            </w:r>
          </w:p>
        </w:tc>
        <w:tc>
          <w:tcPr>
            <w:tcW w:w="1134" w:type="dxa"/>
            <w:tcBorders>
              <w:top w:val="nil"/>
              <w:left w:val="nil"/>
              <w:bottom w:val="single" w:sz="4" w:space="0" w:color="auto"/>
              <w:right w:val="single" w:sz="4" w:space="0" w:color="auto"/>
            </w:tcBorders>
            <w:shd w:val="clear" w:color="auto" w:fill="auto"/>
            <w:noWrap/>
            <w:vAlign w:val="center"/>
            <w:hideMark/>
          </w:tcPr>
          <w:p w14:paraId="2EE18FDF" w14:textId="77777777" w:rsidR="00C440AA" w:rsidRPr="00091AF6" w:rsidRDefault="00C440AA" w:rsidP="00897F1F">
            <w:pPr>
              <w:keepNext/>
              <w:keepLines/>
              <w:spacing w:after="0" w:line="240" w:lineRule="auto"/>
              <w:ind w:right="18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21</w:t>
            </w:r>
          </w:p>
        </w:tc>
        <w:tc>
          <w:tcPr>
            <w:tcW w:w="1984" w:type="dxa"/>
            <w:tcBorders>
              <w:top w:val="nil"/>
              <w:left w:val="nil"/>
              <w:bottom w:val="single" w:sz="4" w:space="0" w:color="auto"/>
              <w:right w:val="single" w:sz="4" w:space="0" w:color="auto"/>
            </w:tcBorders>
            <w:shd w:val="clear" w:color="auto" w:fill="auto"/>
            <w:noWrap/>
            <w:vAlign w:val="center"/>
            <w:hideMark/>
          </w:tcPr>
          <w:p w14:paraId="1E591DEE" w14:textId="77777777" w:rsidR="00C440AA" w:rsidRPr="00091AF6" w:rsidRDefault="00C440AA" w:rsidP="00897F1F">
            <w:pPr>
              <w:keepNext/>
              <w:keepLines/>
              <w:spacing w:after="0" w:line="240" w:lineRule="auto"/>
              <w:ind w:right="66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13</w:t>
            </w:r>
          </w:p>
        </w:tc>
        <w:tc>
          <w:tcPr>
            <w:tcW w:w="907" w:type="dxa"/>
            <w:tcBorders>
              <w:top w:val="nil"/>
              <w:left w:val="nil"/>
              <w:bottom w:val="single" w:sz="4" w:space="0" w:color="auto"/>
              <w:right w:val="single" w:sz="4" w:space="0" w:color="auto"/>
            </w:tcBorders>
            <w:shd w:val="clear" w:color="auto" w:fill="auto"/>
            <w:noWrap/>
            <w:vAlign w:val="center"/>
            <w:hideMark/>
          </w:tcPr>
          <w:p w14:paraId="5BDDE49D"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61,90</w:t>
            </w:r>
          </w:p>
        </w:tc>
      </w:tr>
      <w:tr w:rsidR="00791BCB" w:rsidRPr="00091AF6" w14:paraId="4F219054" w14:textId="77777777" w:rsidTr="00897F1F">
        <w:trPr>
          <w:trHeight w:val="255"/>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6D173CB3" w14:textId="77777777" w:rsidR="00C440AA" w:rsidRPr="00C440AA" w:rsidRDefault="00C440AA" w:rsidP="00791BCB">
            <w:pPr>
              <w:keepNext/>
              <w:keepLines/>
              <w:spacing w:after="0" w:line="240" w:lineRule="auto"/>
              <w:jc w:val="center"/>
              <w:rPr>
                <w:rFonts w:ascii="Calibri" w:eastAsia="Times New Roman" w:hAnsi="Calibri" w:cs="Calibri"/>
                <w:bCs/>
                <w:color w:val="000000"/>
                <w:sz w:val="20"/>
                <w:szCs w:val="20"/>
                <w:lang w:eastAsia="cs-CZ"/>
              </w:rPr>
            </w:pPr>
            <w:r w:rsidRPr="00C440AA">
              <w:rPr>
                <w:rFonts w:ascii="Calibri" w:eastAsia="Times New Roman" w:hAnsi="Calibri" w:cs="Calibri"/>
                <w:color w:val="000000"/>
                <w:sz w:val="20"/>
                <w:szCs w:val="20"/>
                <w:lang w:eastAsia="cs-CZ"/>
              </w:rPr>
              <w:t>105</w:t>
            </w:r>
          </w:p>
        </w:tc>
        <w:tc>
          <w:tcPr>
            <w:tcW w:w="1134" w:type="dxa"/>
            <w:tcBorders>
              <w:top w:val="nil"/>
              <w:left w:val="nil"/>
              <w:bottom w:val="single" w:sz="4" w:space="0" w:color="auto"/>
              <w:right w:val="single" w:sz="4" w:space="0" w:color="auto"/>
            </w:tcBorders>
            <w:shd w:val="clear" w:color="auto" w:fill="auto"/>
            <w:noWrap/>
            <w:vAlign w:val="center"/>
            <w:hideMark/>
          </w:tcPr>
          <w:p w14:paraId="2F808801" w14:textId="77777777" w:rsidR="00C440AA" w:rsidRPr="00091AF6" w:rsidRDefault="00C440AA" w:rsidP="00897F1F">
            <w:pPr>
              <w:keepNext/>
              <w:keepLines/>
              <w:tabs>
                <w:tab w:val="left" w:pos="660"/>
              </w:tabs>
              <w:spacing w:after="0" w:line="240" w:lineRule="auto"/>
              <w:ind w:right="17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11</w:t>
            </w:r>
          </w:p>
        </w:tc>
        <w:tc>
          <w:tcPr>
            <w:tcW w:w="1984" w:type="dxa"/>
            <w:tcBorders>
              <w:top w:val="nil"/>
              <w:left w:val="nil"/>
              <w:bottom w:val="single" w:sz="4" w:space="0" w:color="auto"/>
              <w:right w:val="single" w:sz="4" w:space="0" w:color="auto"/>
            </w:tcBorders>
            <w:shd w:val="clear" w:color="auto" w:fill="auto"/>
            <w:noWrap/>
            <w:vAlign w:val="center"/>
            <w:hideMark/>
          </w:tcPr>
          <w:p w14:paraId="70EE5445" w14:textId="77777777" w:rsidR="00C440AA" w:rsidRPr="00091AF6" w:rsidRDefault="00C440AA" w:rsidP="00897F1F">
            <w:pPr>
              <w:keepNext/>
              <w:keepLines/>
              <w:spacing w:after="0" w:line="240" w:lineRule="auto"/>
              <w:ind w:right="75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2</w:t>
            </w:r>
          </w:p>
        </w:tc>
        <w:tc>
          <w:tcPr>
            <w:tcW w:w="907" w:type="dxa"/>
            <w:tcBorders>
              <w:top w:val="nil"/>
              <w:left w:val="nil"/>
              <w:bottom w:val="single" w:sz="4" w:space="0" w:color="auto"/>
              <w:right w:val="single" w:sz="4" w:space="0" w:color="auto"/>
            </w:tcBorders>
            <w:shd w:val="clear" w:color="auto" w:fill="auto"/>
            <w:noWrap/>
            <w:vAlign w:val="center"/>
            <w:hideMark/>
          </w:tcPr>
          <w:p w14:paraId="0223C6F8"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18,18</w:t>
            </w:r>
          </w:p>
        </w:tc>
        <w:tc>
          <w:tcPr>
            <w:tcW w:w="1134" w:type="dxa"/>
            <w:tcBorders>
              <w:top w:val="nil"/>
              <w:left w:val="nil"/>
              <w:bottom w:val="single" w:sz="4" w:space="0" w:color="auto"/>
              <w:right w:val="single" w:sz="4" w:space="0" w:color="auto"/>
            </w:tcBorders>
            <w:shd w:val="clear" w:color="auto" w:fill="auto"/>
            <w:noWrap/>
            <w:vAlign w:val="center"/>
            <w:hideMark/>
          </w:tcPr>
          <w:p w14:paraId="3194BAC9" w14:textId="77777777" w:rsidR="00C440AA" w:rsidRPr="00091AF6" w:rsidRDefault="00C440AA" w:rsidP="00897F1F">
            <w:pPr>
              <w:keepNext/>
              <w:keepLines/>
              <w:spacing w:after="0" w:line="240" w:lineRule="auto"/>
              <w:ind w:right="18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2</w:t>
            </w:r>
          </w:p>
        </w:tc>
        <w:tc>
          <w:tcPr>
            <w:tcW w:w="1984" w:type="dxa"/>
            <w:tcBorders>
              <w:top w:val="nil"/>
              <w:left w:val="nil"/>
              <w:bottom w:val="single" w:sz="4" w:space="0" w:color="auto"/>
              <w:right w:val="single" w:sz="4" w:space="0" w:color="auto"/>
            </w:tcBorders>
            <w:shd w:val="clear" w:color="auto" w:fill="auto"/>
            <w:noWrap/>
            <w:vAlign w:val="center"/>
            <w:hideMark/>
          </w:tcPr>
          <w:p w14:paraId="31CE8EAF" w14:textId="77777777" w:rsidR="00C440AA" w:rsidRPr="00091AF6" w:rsidRDefault="00C440AA" w:rsidP="00897F1F">
            <w:pPr>
              <w:keepNext/>
              <w:keepLines/>
              <w:spacing w:after="0" w:line="240" w:lineRule="auto"/>
              <w:ind w:right="66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1</w:t>
            </w:r>
          </w:p>
        </w:tc>
        <w:tc>
          <w:tcPr>
            <w:tcW w:w="907" w:type="dxa"/>
            <w:tcBorders>
              <w:top w:val="nil"/>
              <w:left w:val="nil"/>
              <w:bottom w:val="single" w:sz="4" w:space="0" w:color="auto"/>
              <w:right w:val="single" w:sz="4" w:space="0" w:color="auto"/>
            </w:tcBorders>
            <w:shd w:val="clear" w:color="auto" w:fill="auto"/>
            <w:noWrap/>
            <w:vAlign w:val="center"/>
            <w:hideMark/>
          </w:tcPr>
          <w:p w14:paraId="5C449C00"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50,00</w:t>
            </w:r>
          </w:p>
        </w:tc>
      </w:tr>
      <w:tr w:rsidR="00791BCB" w:rsidRPr="00091AF6" w14:paraId="5E9A0455" w14:textId="77777777" w:rsidTr="00897F1F">
        <w:trPr>
          <w:trHeight w:val="255"/>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55AAC8AC" w14:textId="77777777" w:rsidR="00C440AA" w:rsidRPr="00C440AA" w:rsidRDefault="00C440AA" w:rsidP="00791BCB">
            <w:pPr>
              <w:keepNext/>
              <w:keepLines/>
              <w:spacing w:after="0" w:line="240" w:lineRule="auto"/>
              <w:jc w:val="center"/>
              <w:rPr>
                <w:rFonts w:ascii="Calibri" w:eastAsia="Times New Roman" w:hAnsi="Calibri" w:cs="Calibri"/>
                <w:bCs/>
                <w:color w:val="000000"/>
                <w:sz w:val="20"/>
                <w:szCs w:val="20"/>
                <w:lang w:eastAsia="cs-CZ"/>
              </w:rPr>
            </w:pPr>
            <w:r w:rsidRPr="00C440AA">
              <w:rPr>
                <w:rFonts w:ascii="Calibri" w:eastAsia="Times New Roman" w:hAnsi="Calibri" w:cs="Calibri"/>
                <w:color w:val="000000"/>
                <w:sz w:val="20"/>
                <w:szCs w:val="20"/>
                <w:lang w:eastAsia="cs-CZ"/>
              </w:rPr>
              <w:t>129</w:t>
            </w:r>
          </w:p>
        </w:tc>
        <w:tc>
          <w:tcPr>
            <w:tcW w:w="1134" w:type="dxa"/>
            <w:tcBorders>
              <w:top w:val="nil"/>
              <w:left w:val="nil"/>
              <w:bottom w:val="single" w:sz="4" w:space="0" w:color="auto"/>
              <w:right w:val="single" w:sz="4" w:space="0" w:color="auto"/>
            </w:tcBorders>
            <w:shd w:val="clear" w:color="auto" w:fill="auto"/>
            <w:noWrap/>
            <w:vAlign w:val="center"/>
            <w:hideMark/>
          </w:tcPr>
          <w:p w14:paraId="13E14661" w14:textId="77777777" w:rsidR="00C440AA" w:rsidRPr="00091AF6" w:rsidRDefault="00C440AA" w:rsidP="00897F1F">
            <w:pPr>
              <w:keepNext/>
              <w:keepLines/>
              <w:tabs>
                <w:tab w:val="left" w:pos="660"/>
              </w:tabs>
              <w:spacing w:after="0" w:line="240" w:lineRule="auto"/>
              <w:ind w:right="17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306</w:t>
            </w:r>
          </w:p>
        </w:tc>
        <w:tc>
          <w:tcPr>
            <w:tcW w:w="1984" w:type="dxa"/>
            <w:tcBorders>
              <w:top w:val="nil"/>
              <w:left w:val="nil"/>
              <w:bottom w:val="single" w:sz="4" w:space="0" w:color="auto"/>
              <w:right w:val="single" w:sz="4" w:space="0" w:color="auto"/>
            </w:tcBorders>
            <w:shd w:val="clear" w:color="auto" w:fill="auto"/>
            <w:noWrap/>
            <w:vAlign w:val="center"/>
            <w:hideMark/>
          </w:tcPr>
          <w:p w14:paraId="4455AD30" w14:textId="77777777" w:rsidR="00C440AA" w:rsidRPr="00091AF6" w:rsidRDefault="00C440AA" w:rsidP="00897F1F">
            <w:pPr>
              <w:keepNext/>
              <w:keepLines/>
              <w:spacing w:after="0" w:line="240" w:lineRule="auto"/>
              <w:ind w:right="75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83</w:t>
            </w:r>
          </w:p>
        </w:tc>
        <w:tc>
          <w:tcPr>
            <w:tcW w:w="907" w:type="dxa"/>
            <w:tcBorders>
              <w:top w:val="nil"/>
              <w:left w:val="nil"/>
              <w:bottom w:val="single" w:sz="4" w:space="0" w:color="auto"/>
              <w:right w:val="single" w:sz="4" w:space="0" w:color="auto"/>
            </w:tcBorders>
            <w:shd w:val="clear" w:color="auto" w:fill="auto"/>
            <w:noWrap/>
            <w:vAlign w:val="center"/>
            <w:hideMark/>
          </w:tcPr>
          <w:p w14:paraId="25E1DBE3"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27,12</w:t>
            </w:r>
          </w:p>
        </w:tc>
        <w:tc>
          <w:tcPr>
            <w:tcW w:w="1134" w:type="dxa"/>
            <w:tcBorders>
              <w:top w:val="nil"/>
              <w:left w:val="nil"/>
              <w:bottom w:val="single" w:sz="4" w:space="0" w:color="auto"/>
              <w:right w:val="single" w:sz="4" w:space="0" w:color="auto"/>
            </w:tcBorders>
            <w:shd w:val="clear" w:color="auto" w:fill="auto"/>
            <w:noWrap/>
            <w:vAlign w:val="center"/>
            <w:hideMark/>
          </w:tcPr>
          <w:p w14:paraId="64BD57F3" w14:textId="77777777" w:rsidR="00C440AA" w:rsidRPr="00091AF6" w:rsidRDefault="00C440AA" w:rsidP="00897F1F">
            <w:pPr>
              <w:keepNext/>
              <w:keepLines/>
              <w:spacing w:after="0" w:line="240" w:lineRule="auto"/>
              <w:ind w:right="181"/>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67</w:t>
            </w:r>
          </w:p>
        </w:tc>
        <w:tc>
          <w:tcPr>
            <w:tcW w:w="1984" w:type="dxa"/>
            <w:tcBorders>
              <w:top w:val="nil"/>
              <w:left w:val="nil"/>
              <w:bottom w:val="single" w:sz="4" w:space="0" w:color="auto"/>
              <w:right w:val="single" w:sz="4" w:space="0" w:color="auto"/>
            </w:tcBorders>
            <w:shd w:val="clear" w:color="auto" w:fill="auto"/>
            <w:noWrap/>
            <w:vAlign w:val="center"/>
            <w:hideMark/>
          </w:tcPr>
          <w:p w14:paraId="4EE3DFDD" w14:textId="77777777" w:rsidR="00C440AA" w:rsidRPr="00091AF6" w:rsidRDefault="00C440AA" w:rsidP="00897F1F">
            <w:pPr>
              <w:keepNext/>
              <w:keepLines/>
              <w:spacing w:after="0" w:line="240" w:lineRule="auto"/>
              <w:ind w:right="668"/>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42</w:t>
            </w:r>
          </w:p>
        </w:tc>
        <w:tc>
          <w:tcPr>
            <w:tcW w:w="907" w:type="dxa"/>
            <w:tcBorders>
              <w:top w:val="nil"/>
              <w:left w:val="nil"/>
              <w:bottom w:val="single" w:sz="4" w:space="0" w:color="auto"/>
              <w:right w:val="single" w:sz="4" w:space="0" w:color="auto"/>
            </w:tcBorders>
            <w:shd w:val="clear" w:color="auto" w:fill="auto"/>
            <w:noWrap/>
            <w:vAlign w:val="center"/>
            <w:hideMark/>
          </w:tcPr>
          <w:p w14:paraId="17101248" w14:textId="77777777" w:rsidR="00C440AA" w:rsidRPr="00091AF6" w:rsidRDefault="00C440AA" w:rsidP="00897F1F">
            <w:pPr>
              <w:keepNext/>
              <w:keepLines/>
              <w:spacing w:after="0" w:line="240" w:lineRule="auto"/>
              <w:ind w:right="57"/>
              <w:jc w:val="right"/>
              <w:rPr>
                <w:rFonts w:ascii="Calibri" w:eastAsia="Times New Roman" w:hAnsi="Calibri" w:cs="Calibri"/>
                <w:color w:val="000000"/>
                <w:sz w:val="20"/>
                <w:szCs w:val="20"/>
                <w:lang w:eastAsia="cs-CZ"/>
              </w:rPr>
            </w:pPr>
            <w:r w:rsidRPr="00091AF6">
              <w:rPr>
                <w:rFonts w:ascii="Calibri" w:eastAsia="Times New Roman" w:hAnsi="Calibri" w:cs="Calibri"/>
                <w:color w:val="000000"/>
                <w:sz w:val="20"/>
                <w:szCs w:val="20"/>
                <w:lang w:eastAsia="cs-CZ"/>
              </w:rPr>
              <w:t>62,69</w:t>
            </w:r>
          </w:p>
        </w:tc>
      </w:tr>
      <w:tr w:rsidR="00791BCB" w:rsidRPr="00091AF6" w14:paraId="78B7A225" w14:textId="77777777" w:rsidTr="00897F1F">
        <w:trPr>
          <w:trHeight w:val="255"/>
          <w:jc w:val="center"/>
        </w:trPr>
        <w:tc>
          <w:tcPr>
            <w:tcW w:w="964" w:type="dxa"/>
            <w:tcBorders>
              <w:top w:val="nil"/>
              <w:left w:val="single" w:sz="4" w:space="0" w:color="auto"/>
              <w:bottom w:val="single" w:sz="4" w:space="0" w:color="auto"/>
              <w:right w:val="single" w:sz="4" w:space="0" w:color="auto"/>
            </w:tcBorders>
            <w:shd w:val="clear" w:color="auto" w:fill="auto"/>
            <w:noWrap/>
            <w:vAlign w:val="bottom"/>
            <w:hideMark/>
          </w:tcPr>
          <w:p w14:paraId="55A52936" w14:textId="77777777" w:rsidR="00091AF6" w:rsidRPr="00091AF6" w:rsidRDefault="00091AF6" w:rsidP="00791BCB">
            <w:pPr>
              <w:keepNext/>
              <w:keepLines/>
              <w:spacing w:after="0" w:line="240" w:lineRule="auto"/>
              <w:jc w:val="center"/>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Celkem</w:t>
            </w:r>
          </w:p>
        </w:tc>
        <w:tc>
          <w:tcPr>
            <w:tcW w:w="1134" w:type="dxa"/>
            <w:tcBorders>
              <w:top w:val="nil"/>
              <w:left w:val="nil"/>
              <w:bottom w:val="single" w:sz="4" w:space="0" w:color="auto"/>
              <w:right w:val="single" w:sz="4" w:space="0" w:color="auto"/>
            </w:tcBorders>
            <w:shd w:val="clear" w:color="auto" w:fill="auto"/>
            <w:noWrap/>
            <w:vAlign w:val="center"/>
            <w:hideMark/>
          </w:tcPr>
          <w:p w14:paraId="3C2AF1E1" w14:textId="77777777" w:rsidR="00091AF6" w:rsidRPr="00091AF6" w:rsidRDefault="00091AF6" w:rsidP="00897F1F">
            <w:pPr>
              <w:keepNext/>
              <w:keepLines/>
              <w:tabs>
                <w:tab w:val="left" w:pos="660"/>
              </w:tabs>
              <w:spacing w:after="0" w:line="240" w:lineRule="auto"/>
              <w:ind w:right="171"/>
              <w:jc w:val="right"/>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776</w:t>
            </w:r>
          </w:p>
        </w:tc>
        <w:tc>
          <w:tcPr>
            <w:tcW w:w="1984" w:type="dxa"/>
            <w:tcBorders>
              <w:top w:val="nil"/>
              <w:left w:val="nil"/>
              <w:bottom w:val="single" w:sz="4" w:space="0" w:color="auto"/>
              <w:right w:val="single" w:sz="4" w:space="0" w:color="auto"/>
            </w:tcBorders>
            <w:shd w:val="clear" w:color="auto" w:fill="auto"/>
            <w:noWrap/>
            <w:vAlign w:val="center"/>
            <w:hideMark/>
          </w:tcPr>
          <w:p w14:paraId="568E28D7" w14:textId="77777777" w:rsidR="00091AF6" w:rsidRPr="00091AF6" w:rsidRDefault="00091AF6" w:rsidP="00897F1F">
            <w:pPr>
              <w:keepNext/>
              <w:keepLines/>
              <w:spacing w:after="0" w:line="240" w:lineRule="auto"/>
              <w:ind w:right="758"/>
              <w:jc w:val="right"/>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151</w:t>
            </w:r>
          </w:p>
        </w:tc>
        <w:tc>
          <w:tcPr>
            <w:tcW w:w="907" w:type="dxa"/>
            <w:tcBorders>
              <w:top w:val="nil"/>
              <w:left w:val="nil"/>
              <w:bottom w:val="single" w:sz="4" w:space="0" w:color="auto"/>
              <w:right w:val="single" w:sz="4" w:space="0" w:color="auto"/>
            </w:tcBorders>
            <w:shd w:val="clear" w:color="auto" w:fill="auto"/>
            <w:noWrap/>
            <w:vAlign w:val="center"/>
            <w:hideMark/>
          </w:tcPr>
          <w:p w14:paraId="26C1B3B9" w14:textId="77777777" w:rsidR="00091AF6" w:rsidRPr="00091AF6" w:rsidRDefault="00091AF6" w:rsidP="00897F1F">
            <w:pPr>
              <w:keepNext/>
              <w:keepLines/>
              <w:spacing w:after="0" w:line="240" w:lineRule="auto"/>
              <w:ind w:right="57"/>
              <w:jc w:val="right"/>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19,46</w:t>
            </w:r>
          </w:p>
        </w:tc>
        <w:tc>
          <w:tcPr>
            <w:tcW w:w="1134" w:type="dxa"/>
            <w:tcBorders>
              <w:top w:val="nil"/>
              <w:left w:val="nil"/>
              <w:bottom w:val="single" w:sz="4" w:space="0" w:color="auto"/>
              <w:right w:val="single" w:sz="4" w:space="0" w:color="auto"/>
            </w:tcBorders>
            <w:shd w:val="clear" w:color="auto" w:fill="auto"/>
            <w:noWrap/>
            <w:vAlign w:val="center"/>
            <w:hideMark/>
          </w:tcPr>
          <w:p w14:paraId="70187E18" w14:textId="77777777" w:rsidR="00091AF6" w:rsidRPr="00091AF6" w:rsidRDefault="00091AF6" w:rsidP="00897F1F">
            <w:pPr>
              <w:keepNext/>
              <w:keepLines/>
              <w:spacing w:after="0" w:line="240" w:lineRule="auto"/>
              <w:ind w:right="181"/>
              <w:jc w:val="right"/>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106</w:t>
            </w:r>
          </w:p>
        </w:tc>
        <w:tc>
          <w:tcPr>
            <w:tcW w:w="1984" w:type="dxa"/>
            <w:tcBorders>
              <w:top w:val="nil"/>
              <w:left w:val="nil"/>
              <w:bottom w:val="single" w:sz="4" w:space="0" w:color="auto"/>
              <w:right w:val="single" w:sz="4" w:space="0" w:color="auto"/>
            </w:tcBorders>
            <w:shd w:val="clear" w:color="auto" w:fill="auto"/>
            <w:noWrap/>
            <w:vAlign w:val="center"/>
            <w:hideMark/>
          </w:tcPr>
          <w:p w14:paraId="76AA6044" w14:textId="77777777" w:rsidR="00091AF6" w:rsidRPr="00091AF6" w:rsidRDefault="00091AF6" w:rsidP="00897F1F">
            <w:pPr>
              <w:keepNext/>
              <w:keepLines/>
              <w:spacing w:after="0" w:line="240" w:lineRule="auto"/>
              <w:ind w:right="668"/>
              <w:jc w:val="right"/>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65</w:t>
            </w:r>
          </w:p>
        </w:tc>
        <w:tc>
          <w:tcPr>
            <w:tcW w:w="907" w:type="dxa"/>
            <w:tcBorders>
              <w:top w:val="nil"/>
              <w:left w:val="nil"/>
              <w:bottom w:val="single" w:sz="4" w:space="0" w:color="auto"/>
              <w:right w:val="single" w:sz="4" w:space="0" w:color="auto"/>
            </w:tcBorders>
            <w:shd w:val="clear" w:color="auto" w:fill="auto"/>
            <w:noWrap/>
            <w:vAlign w:val="center"/>
            <w:hideMark/>
          </w:tcPr>
          <w:p w14:paraId="013C1328" w14:textId="77777777" w:rsidR="00091AF6" w:rsidRPr="00091AF6" w:rsidRDefault="00091AF6" w:rsidP="00897F1F">
            <w:pPr>
              <w:keepNext/>
              <w:keepLines/>
              <w:spacing w:after="0" w:line="240" w:lineRule="auto"/>
              <w:ind w:right="57"/>
              <w:jc w:val="right"/>
              <w:rPr>
                <w:rFonts w:ascii="Calibri" w:eastAsia="Times New Roman" w:hAnsi="Calibri" w:cs="Calibri"/>
                <w:b/>
                <w:bCs/>
                <w:color w:val="000000"/>
                <w:sz w:val="20"/>
                <w:szCs w:val="20"/>
                <w:lang w:eastAsia="cs-CZ"/>
              </w:rPr>
            </w:pPr>
            <w:r w:rsidRPr="00091AF6">
              <w:rPr>
                <w:rFonts w:ascii="Calibri" w:eastAsia="Times New Roman" w:hAnsi="Calibri" w:cs="Calibri"/>
                <w:b/>
                <w:bCs/>
                <w:color w:val="000000"/>
                <w:sz w:val="20"/>
                <w:szCs w:val="20"/>
                <w:lang w:eastAsia="cs-CZ"/>
              </w:rPr>
              <w:t>61,32</w:t>
            </w:r>
          </w:p>
        </w:tc>
      </w:tr>
    </w:tbl>
    <w:p w14:paraId="37D4639F" w14:textId="77777777" w:rsidR="00C7094C" w:rsidRDefault="00091AF6" w:rsidP="00897F1F">
      <w:pPr>
        <w:pStyle w:val="JK4"/>
        <w:keepNext w:val="0"/>
        <w:numPr>
          <w:ilvl w:val="0"/>
          <w:numId w:val="0"/>
        </w:numPr>
        <w:spacing w:before="40" w:after="120"/>
      </w:pPr>
      <w:r w:rsidRPr="00897F1F">
        <w:rPr>
          <w:b/>
          <w:sz w:val="20"/>
        </w:rPr>
        <w:t>Zdroj:</w:t>
      </w:r>
      <w:r w:rsidRPr="00897F1F">
        <w:rPr>
          <w:sz w:val="20"/>
        </w:rPr>
        <w:t xml:space="preserve"> </w:t>
      </w:r>
      <w:r w:rsidR="00EA7075">
        <w:rPr>
          <w:sz w:val="20"/>
        </w:rPr>
        <w:t xml:space="preserve">vypracoval </w:t>
      </w:r>
      <w:r w:rsidRPr="00897F1F">
        <w:rPr>
          <w:sz w:val="20"/>
        </w:rPr>
        <w:t>NKÚ na základě dat MPSV</w:t>
      </w:r>
      <w:r w:rsidR="00C00BB5" w:rsidRPr="00897F1F">
        <w:rPr>
          <w:sz w:val="20"/>
        </w:rPr>
        <w:t>, stav k 02/2022.</w:t>
      </w:r>
    </w:p>
    <w:p w14:paraId="69FEABA4" w14:textId="77777777" w:rsidR="00C10483" w:rsidRPr="00D5503A" w:rsidRDefault="00E6602B" w:rsidP="009F4DD6">
      <w:pPr>
        <w:pStyle w:val="JK4"/>
        <w:keepNext w:val="0"/>
        <w:numPr>
          <w:ilvl w:val="0"/>
          <w:numId w:val="0"/>
        </w:numPr>
        <w:spacing w:after="120"/>
        <w:ind w:left="284" w:hanging="284"/>
      </w:pPr>
      <w:bookmarkStart w:id="17" w:name="_Hlk98946682"/>
      <w:r w:rsidRPr="00E57019">
        <w:rPr>
          <w:b/>
          <w:bCs/>
          <w:i/>
          <w:color w:val="FF0000"/>
        </w:rPr>
        <w:t xml:space="preserve">→ </w:t>
      </w:r>
      <w:r>
        <w:rPr>
          <w:b/>
          <w:bCs/>
          <w:i/>
          <w:color w:val="FF0000"/>
        </w:rPr>
        <w:tab/>
      </w:r>
      <w:r w:rsidR="00897F1F" w:rsidRPr="00897F1F">
        <w:rPr>
          <w:b/>
          <w:bCs/>
          <w:i/>
          <w:color w:val="FF0000"/>
        </w:rPr>
        <w:t>... realizace podpořených projektů se negativně odchyluje od předpokladů; naplňují se rizika, na která bylo při hodnoceních poukazováno.</w:t>
      </w:r>
      <w:bookmarkEnd w:id="17"/>
    </w:p>
    <w:p w14:paraId="6A0BAD75" w14:textId="77777777" w:rsidR="003C0B8A" w:rsidRDefault="0067549A" w:rsidP="00B9765B">
      <w:pPr>
        <w:pStyle w:val="JK4"/>
        <w:keepNext w:val="0"/>
        <w:tabs>
          <w:tab w:val="left" w:pos="567"/>
        </w:tabs>
        <w:spacing w:after="120"/>
      </w:pPr>
      <w:r>
        <w:t xml:space="preserve">Při kontrole realizace projektů provedené NKÚ u vybraného vzorku projektů OPZ bylo zjištěno, že se naplnila rizika, která při výběru projektů k podpoře vedla k tomu, že </w:t>
      </w:r>
      <w:r w:rsidR="005B1FAC">
        <w:t>výchozí</w:t>
      </w:r>
      <w:r>
        <w:t xml:space="preserve"> hodnocení daný projekt nedoporučovala k podpoře. V</w:t>
      </w:r>
      <w:r w:rsidR="00C71AD4">
        <w:t>e v</w:t>
      </w:r>
      <w:r>
        <w:t>ýsledn</w:t>
      </w:r>
      <w:r w:rsidR="008F77D1">
        <w:t>é</w:t>
      </w:r>
      <w:r w:rsidR="00C71AD4">
        <w:t>m</w:t>
      </w:r>
      <w:r w:rsidR="008F77D1">
        <w:t xml:space="preserve"> </w:t>
      </w:r>
      <w:r w:rsidR="00C71AD4">
        <w:t xml:space="preserve">rozhodnutí však </w:t>
      </w:r>
      <w:r w:rsidR="007B7B56">
        <w:t xml:space="preserve">hodnoticí </w:t>
      </w:r>
      <w:r w:rsidR="00C71AD4">
        <w:t xml:space="preserve">komise </w:t>
      </w:r>
      <w:r w:rsidR="007121C5">
        <w:t>tato rizika nevzal</w:t>
      </w:r>
      <w:r w:rsidR="00C71AD4">
        <w:t>a</w:t>
      </w:r>
      <w:r w:rsidR="007121C5">
        <w:t xml:space="preserve"> dostatečně v úvahu a projekty byly podpořeny</w:t>
      </w:r>
      <w:r w:rsidR="00A135F5">
        <w:t xml:space="preserve">. </w:t>
      </w:r>
      <w:r w:rsidR="002A55C3">
        <w:t>Některá naplněná rizika</w:t>
      </w:r>
      <w:r w:rsidR="007121C5">
        <w:t>, na</w:t>
      </w:r>
      <w:r w:rsidR="00EA7075">
        <w:t xml:space="preserve"> </w:t>
      </w:r>
      <w:r w:rsidR="007121C5">
        <w:t>kter</w:t>
      </w:r>
      <w:r w:rsidR="000C639B">
        <w:t>á</w:t>
      </w:r>
      <w:r w:rsidR="007121C5">
        <w:t xml:space="preserve"> některý z hodnotitelů upozorňoval,</w:t>
      </w:r>
      <w:r w:rsidR="00A135F5">
        <w:t xml:space="preserve"> jsou uveden</w:t>
      </w:r>
      <w:r w:rsidR="002A55C3">
        <w:t>a</w:t>
      </w:r>
      <w:r w:rsidR="00A135F5">
        <w:t xml:space="preserve"> v příkladu č. 5:</w:t>
      </w:r>
    </w:p>
    <w:p w14:paraId="5D0A5D82" w14:textId="77777777" w:rsidR="005337CF" w:rsidRDefault="005337CF" w:rsidP="005337CF">
      <w:pPr>
        <w:pStyle w:val="JK4"/>
        <w:keepNext w:val="0"/>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spacing w:after="0"/>
        <w:rPr>
          <w:b/>
          <w:color w:val="004595"/>
        </w:rPr>
      </w:pPr>
      <w:bookmarkStart w:id="18" w:name="_Hlk100045733"/>
      <w:r w:rsidRPr="00A02FA0">
        <w:rPr>
          <w:b/>
          <w:color w:val="004595"/>
        </w:rPr>
        <w:t>Příklad č.</w:t>
      </w:r>
      <w:r>
        <w:rPr>
          <w:b/>
          <w:color w:val="004595"/>
        </w:rPr>
        <w:t> 5</w:t>
      </w:r>
    </w:p>
    <w:p w14:paraId="71B235AA" w14:textId="77777777" w:rsidR="00A15C3A" w:rsidRPr="005337CF" w:rsidRDefault="00A15C3A" w:rsidP="005337CF">
      <w:pPr>
        <w:pStyle w:val="JK4"/>
        <w:keepNext w:val="0"/>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spacing w:after="120"/>
        <w:rPr>
          <w:i/>
        </w:rPr>
      </w:pPr>
      <w:r w:rsidRPr="005337CF">
        <w:rPr>
          <w:i/>
        </w:rPr>
        <w:t>Jedno výchozí hodnocení pro zasedání hodnoticí komise u projektu č. 9087 nedoporučovalo projekt podpořit. Projekt shledalo nepotřebným, jelikož nepřinášel oproti již existující konkurenci na trhu žádnou výhodu</w:t>
      </w:r>
      <w:r w:rsidR="00EA7075">
        <w:rPr>
          <w:i/>
        </w:rPr>
        <w:t>,</w:t>
      </w:r>
      <w:r w:rsidRPr="005337CF">
        <w:rPr>
          <w:i/>
        </w:rPr>
        <w:t xml:space="preserve"> a hodnotitel viděl problém se zajištěním dostatku vhodných pracovníků z řad cílové skupiny. Všechna tato rizika se během realizace projektu potvrdila a podpořený podnik se hospodářským výsledkům, které předpokládal jeho podnikatelský plán, vůbec nepřiblížil.</w:t>
      </w:r>
    </w:p>
    <w:p w14:paraId="5CC1BB1C" w14:textId="77777777" w:rsidR="00A15C3A" w:rsidRPr="005337CF" w:rsidRDefault="00A15C3A" w:rsidP="005337CF">
      <w:pPr>
        <w:pStyle w:val="JK4"/>
        <w:keepNext w:val="0"/>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spacing w:after="120"/>
        <w:rPr>
          <w:i/>
        </w:rPr>
      </w:pPr>
      <w:r w:rsidRPr="005337CF">
        <w:rPr>
          <w:i/>
        </w:rPr>
        <w:t>Obdobná rizika, na která upozorňoval jeden z</w:t>
      </w:r>
      <w:r w:rsidR="00EA7075">
        <w:rPr>
          <w:i/>
        </w:rPr>
        <w:t> </w:t>
      </w:r>
      <w:r w:rsidRPr="005337CF">
        <w:rPr>
          <w:i/>
        </w:rPr>
        <w:t>hodnotitelů</w:t>
      </w:r>
      <w:r w:rsidR="00EA7075">
        <w:rPr>
          <w:i/>
        </w:rPr>
        <w:t>,</w:t>
      </w:r>
      <w:r w:rsidRPr="005337CF">
        <w:rPr>
          <w:i/>
        </w:rPr>
        <w:t xml:space="preserve"> se projevila, byť v menší míře, i u projektu č. 5738. Toto hodnocení upozorňovalo mimo jiné na nedostatečně zpracovaný podnikatelský záměr a nedostatečně podchycenou sociální stránku projektu (přínos projektu pro cílovou skupinu osob). První z rizik se během realizace projektu i po jeho skončení skutečně projevilo. Příjemce má opakované problémy sehnat a udržet vhodné zaměstnance a dosahuje stanovených ekonomických cílů pouze částečně, a to ještě díky provázanosti na ekonomické subjekty, které jsou se sociálním podnikem personálně propojeny.</w:t>
      </w:r>
    </w:p>
    <w:p w14:paraId="0F3400DC" w14:textId="77777777" w:rsidR="00280471" w:rsidRPr="00D5503A" w:rsidRDefault="00E6602B" w:rsidP="009F4DD6">
      <w:pPr>
        <w:pStyle w:val="JK4"/>
        <w:keepNext w:val="0"/>
        <w:numPr>
          <w:ilvl w:val="0"/>
          <w:numId w:val="0"/>
        </w:numPr>
        <w:spacing w:after="120"/>
        <w:ind w:left="284" w:hanging="284"/>
      </w:pPr>
      <w:r w:rsidRPr="00E57019">
        <w:rPr>
          <w:b/>
          <w:bCs/>
          <w:i/>
          <w:color w:val="FF0000"/>
        </w:rPr>
        <w:t xml:space="preserve">→ </w:t>
      </w:r>
      <w:r>
        <w:rPr>
          <w:b/>
          <w:bCs/>
          <w:i/>
          <w:color w:val="FF0000"/>
        </w:rPr>
        <w:tab/>
      </w:r>
      <w:r w:rsidR="00B9765B" w:rsidRPr="00B9765B">
        <w:rPr>
          <w:b/>
          <w:bCs/>
          <w:i/>
          <w:color w:val="FF0000"/>
        </w:rPr>
        <w:t>Nové sociální podniky vznikají často spíše z ekonomických než sociálních důvodů a mají výraznou personální vazbu na externí subjekty, které pak zajišťují hlavní odbyt.</w:t>
      </w:r>
      <w:bookmarkEnd w:id="18"/>
    </w:p>
    <w:p w14:paraId="5911A9AC" w14:textId="77777777" w:rsidR="00D5503A" w:rsidRDefault="00280471" w:rsidP="00B9765B">
      <w:pPr>
        <w:pStyle w:val="JK4"/>
        <w:keepNext w:val="0"/>
        <w:tabs>
          <w:tab w:val="left" w:pos="567"/>
        </w:tabs>
        <w:spacing w:after="120"/>
      </w:pPr>
      <w:r>
        <w:t xml:space="preserve">U vybraného vzorku projektů bylo zjištěno, že </w:t>
      </w:r>
      <w:r w:rsidR="00464602">
        <w:t xml:space="preserve">motivací ke vzniku nových sociálních podniků nebyly </w:t>
      </w:r>
      <w:r w:rsidR="007E66F2">
        <w:t xml:space="preserve">v řadě případů </w:t>
      </w:r>
      <w:r w:rsidR="00464602">
        <w:t xml:space="preserve">primárně cíle sociálního podnikání jako takové </w:t>
      </w:r>
      <w:r w:rsidR="00705C69">
        <w:t>(</w:t>
      </w:r>
      <w:r w:rsidR="00464602">
        <w:t xml:space="preserve">tedy </w:t>
      </w:r>
      <w:r w:rsidR="00705C69">
        <w:t xml:space="preserve">především </w:t>
      </w:r>
      <w:r w:rsidR="00464602">
        <w:t>podpora osob z cílových skupin</w:t>
      </w:r>
      <w:r w:rsidR="00705C69">
        <w:t>)</w:t>
      </w:r>
      <w:r w:rsidR="00464602">
        <w:t>, ale spíše ekonomick</w:t>
      </w:r>
      <w:r w:rsidR="003A55DB">
        <w:t>é</w:t>
      </w:r>
      <w:r w:rsidR="00464602">
        <w:t xml:space="preserve"> výhod</w:t>
      </w:r>
      <w:r w:rsidR="003A55DB">
        <w:t>y</w:t>
      </w:r>
      <w:r w:rsidR="00464602">
        <w:t xml:space="preserve"> plynoucí</w:t>
      </w:r>
      <w:r w:rsidR="007E66F2">
        <w:t xml:space="preserve"> pro příjemce podpory</w:t>
      </w:r>
      <w:r w:rsidR="00464602">
        <w:t>. N</w:t>
      </w:r>
      <w:r>
        <w:t>ové sociální podniky často vznikaly s významnou personální vazbou na jejich předpokládané odběratele a dodavatele. Tyto firmy pak v prvních letech fungování nových sociálních podniků tvořily převažující, či výlučnou část odběratelského řetězce. Jedná se o případ příjemců podpory projektů č. 3366 (a 5738), 3382, 3498, 9087 a 14002</w:t>
      </w:r>
      <w:r w:rsidR="000C639B">
        <w:t>, což</w:t>
      </w:r>
      <w:r w:rsidR="00F13415">
        <w:t xml:space="preserve"> </w:t>
      </w:r>
      <w:r w:rsidR="003A55DB">
        <w:t>představuje</w:t>
      </w:r>
      <w:r w:rsidR="000C639B">
        <w:t xml:space="preserve"> pět příjemců z </w:t>
      </w:r>
      <w:r w:rsidR="0038212E">
        <w:t>devíti</w:t>
      </w:r>
      <w:r w:rsidR="000C639B">
        <w:t xml:space="preserve"> nově vznikajících sociálních podniků</w:t>
      </w:r>
      <w:r w:rsidR="00B65DF6">
        <w:t xml:space="preserve"> vybraného vzorku</w:t>
      </w:r>
      <w:r>
        <w:t xml:space="preserve">. </w:t>
      </w:r>
    </w:p>
    <w:p w14:paraId="15A71CB4" w14:textId="77777777" w:rsidR="00526265" w:rsidRDefault="00CC0F31" w:rsidP="00B9765B">
      <w:pPr>
        <w:pStyle w:val="JK4"/>
        <w:keepNext w:val="0"/>
        <w:tabs>
          <w:tab w:val="left" w:pos="567"/>
        </w:tabs>
        <w:spacing w:after="120"/>
      </w:pPr>
      <w:r>
        <w:t>Primárn</w:t>
      </w:r>
      <w:r w:rsidR="009108E1">
        <w:t>í</w:t>
      </w:r>
      <w:r>
        <w:t xml:space="preserve"> motivace ekonomickými výhodami ke vzniku nových sociálních podniků byla </w:t>
      </w:r>
      <w:r w:rsidR="00C71AD4">
        <w:t xml:space="preserve">přitom </w:t>
      </w:r>
      <w:r>
        <w:t xml:space="preserve">příjemci </w:t>
      </w:r>
      <w:r w:rsidR="00C71AD4">
        <w:t xml:space="preserve">i </w:t>
      </w:r>
      <w:r>
        <w:t>přímo uvedena v jejich podnikatelských plánech, jež byly součástí předložených žádostí o podporu, jak ukazuje příklad č. 6</w:t>
      </w:r>
      <w:r w:rsidR="00280471">
        <w:t>:</w:t>
      </w:r>
    </w:p>
    <w:p w14:paraId="4704EA79" w14:textId="77777777" w:rsidR="00526265" w:rsidRPr="00A02FA0" w:rsidRDefault="00526265" w:rsidP="00BF7B0C">
      <w:pPr>
        <w:pBdr>
          <w:top w:val="single" w:sz="4" w:space="1" w:color="000000" w:themeColor="text1"/>
          <w:left w:val="single" w:sz="4" w:space="4" w:color="000000" w:themeColor="text1"/>
          <w:bottom w:val="single" w:sz="4" w:space="1" w:color="000000" w:themeColor="text1"/>
          <w:right w:val="single" w:sz="4" w:space="4" w:color="000000" w:themeColor="text1"/>
        </w:pBdr>
        <w:spacing w:before="120" w:after="120" w:line="240" w:lineRule="auto"/>
        <w:jc w:val="both"/>
        <w:rPr>
          <w:b/>
          <w:color w:val="004595"/>
          <w:sz w:val="24"/>
          <w:szCs w:val="24"/>
        </w:rPr>
      </w:pPr>
      <w:r w:rsidRPr="00A02FA0">
        <w:rPr>
          <w:b/>
          <w:color w:val="004595"/>
          <w:sz w:val="24"/>
          <w:szCs w:val="24"/>
        </w:rPr>
        <w:t xml:space="preserve">Příklad č. </w:t>
      </w:r>
      <w:r>
        <w:rPr>
          <w:b/>
          <w:color w:val="004595"/>
          <w:sz w:val="24"/>
          <w:szCs w:val="24"/>
        </w:rPr>
        <w:t>6</w:t>
      </w:r>
    </w:p>
    <w:p w14:paraId="22A40FEE" w14:textId="77777777" w:rsidR="00526265" w:rsidRPr="00BF7B0C" w:rsidRDefault="00280471" w:rsidP="00BF7B0C">
      <w:pPr>
        <w:pStyle w:val="JK4"/>
        <w:keepNext w:val="0"/>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567"/>
        </w:tabs>
        <w:spacing w:after="120"/>
        <w:rPr>
          <w:i/>
        </w:rPr>
      </w:pPr>
      <w:r w:rsidRPr="00BF7B0C">
        <w:rPr>
          <w:i/>
        </w:rPr>
        <w:t>Příjemce podpory projektu č. 14002</w:t>
      </w:r>
      <w:r w:rsidR="00CC0F31" w:rsidRPr="00BF7B0C">
        <w:rPr>
          <w:i/>
        </w:rPr>
        <w:t xml:space="preserve"> (OPZ)</w:t>
      </w:r>
      <w:r w:rsidRPr="00BF7B0C">
        <w:rPr>
          <w:i/>
        </w:rPr>
        <w:t xml:space="preserve"> v podnikatelském plánu uvedl: „Po vyhodnocení především ekonomických souvislostí, jako možnost vzít si úvěr na počáteční investice (Pivovar je již </w:t>
      </w:r>
      <w:proofErr w:type="spellStart"/>
      <w:r w:rsidRPr="00BF7B0C">
        <w:rPr>
          <w:i/>
        </w:rPr>
        <w:t>zaúvěrován</w:t>
      </w:r>
      <w:proofErr w:type="spellEnd"/>
      <w:r w:rsidRPr="00BF7B0C">
        <w:rPr>
          <w:i/>
        </w:rPr>
        <w:t xml:space="preserve"> a bez povolení banky by se dále neměl zadlužovat), nebo pragmatickým obavám, že by se nová podnikatelská aktivita v dynamicky rostoucím pivovaru, který se musí značně zabývat problémy a výzvami, které přináší dvouciferný růst výroby, stala „popelkou“ a</w:t>
      </w:r>
      <w:r w:rsidR="00090C44" w:rsidRPr="00BF7B0C">
        <w:rPr>
          <w:i/>
        </w:rPr>
        <w:t> </w:t>
      </w:r>
      <w:r w:rsidRPr="00BF7B0C">
        <w:rPr>
          <w:i/>
        </w:rPr>
        <w:t xml:space="preserve">nemohla by tak naplno rozvinout svůj potenciál, jsme se rozhodli založit nový podnikatelský subjekt, který je z části personálně propojen se sociálním podnikem ...“ </w:t>
      </w:r>
    </w:p>
    <w:p w14:paraId="0B03ED7D" w14:textId="77777777" w:rsidR="00E15F37" w:rsidRPr="00BF7B0C" w:rsidRDefault="00E15F37" w:rsidP="00BF7B0C">
      <w:pPr>
        <w:pStyle w:val="JK4"/>
        <w:keepNext w:val="0"/>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tabs>
          <w:tab w:val="left" w:pos="567"/>
        </w:tabs>
        <w:spacing w:after="120"/>
        <w:rPr>
          <w:i/>
        </w:rPr>
      </w:pPr>
      <w:r w:rsidRPr="00BF7B0C">
        <w:rPr>
          <w:i/>
        </w:rPr>
        <w:t xml:space="preserve">Příjemce podpory projektu č. 1445 </w:t>
      </w:r>
      <w:r w:rsidR="00CC0F31" w:rsidRPr="00BF7B0C">
        <w:rPr>
          <w:i/>
        </w:rPr>
        <w:t xml:space="preserve">(OPZ) </w:t>
      </w:r>
      <w:r w:rsidRPr="00BF7B0C">
        <w:rPr>
          <w:i/>
        </w:rPr>
        <w:t>v podnikatelském plánu uvedl následující: „Hlavním důvodem pro založení nového právního subjektu, je to, aby se firma v prvních letech fungování nestala plátcem DPH</w:t>
      </w:r>
      <w:r w:rsidRPr="00BF7B0C">
        <w:rPr>
          <w:i/>
          <w:vertAlign w:val="superscript"/>
        </w:rPr>
        <w:footnoteReference w:id="30"/>
      </w:r>
      <w:r w:rsidRPr="00BF7B0C">
        <w:rPr>
          <w:i/>
        </w:rPr>
        <w:t xml:space="preserve">, neboť u masérských služeb jsou minimální možnosti odpočtu u DPH na vstupu a odvody jsou pak téměř v plné výši (21 % z tržeb), což by bylo pro společnost v prvních letech fungování likvidační. V případě podnikání pod hlavičkou stávající firmy </w:t>
      </w:r>
      <w:r w:rsidR="00722741" w:rsidRPr="00BF7B0C">
        <w:rPr>
          <w:i/>
        </w:rPr>
        <w:t>...</w:t>
      </w:r>
      <w:r w:rsidRPr="00BF7B0C">
        <w:rPr>
          <w:i/>
        </w:rPr>
        <w:t>, poskytující účetní služby, by se firma stala plátcem DPH do 12 měsíců od zahájení poskytování masérských služeb a ohrozila by tak finančně i fungující účetní firmu. Realizací podnikání v rámci samostatných subjektů se navíc eliminuje riziko v případě, že by některé z podnikání bylo ztrátové a firma by se dostala do likvidace.</w:t>
      </w:r>
      <w:r w:rsidR="00722741" w:rsidRPr="00BF7B0C">
        <w:rPr>
          <w:i/>
        </w:rPr>
        <w:t>..</w:t>
      </w:r>
      <w:r w:rsidR="00F71458">
        <w:rPr>
          <w:i/>
        </w:rPr>
        <w:t>,</w:t>
      </w:r>
      <w:r w:rsidR="00722741" w:rsidRPr="00BF7B0C">
        <w:rPr>
          <w:i/>
        </w:rPr>
        <w:t xml:space="preserve"> </w:t>
      </w:r>
      <w:r w:rsidRPr="00BF7B0C">
        <w:rPr>
          <w:i/>
        </w:rPr>
        <w:t xml:space="preserve">je rovněž plátcem DPH a zároveň nespadá do oprávněných žadatelů v rámci výzvy. Zároveň nemohla společnost </w:t>
      </w:r>
      <w:r w:rsidR="00722741" w:rsidRPr="00BF7B0C">
        <w:rPr>
          <w:i/>
        </w:rPr>
        <w:t>...</w:t>
      </w:r>
      <w:r w:rsidRPr="00BF7B0C">
        <w:rPr>
          <w:i/>
        </w:rPr>
        <w:t xml:space="preserve"> být zakladatelem nové společnosti z důvodu překročení limitu veřejné podpory v režimu de </w:t>
      </w:r>
      <w:proofErr w:type="spellStart"/>
      <w:r w:rsidRPr="00BF7B0C">
        <w:rPr>
          <w:i/>
        </w:rPr>
        <w:t>minimis</w:t>
      </w:r>
      <w:proofErr w:type="spellEnd"/>
      <w:r w:rsidRPr="00BF7B0C">
        <w:rPr>
          <w:i/>
        </w:rPr>
        <w:t>, společnost již nyní čerpá veřejnou podporu v rámci poskytování sociálních a jiných služeb.“</w:t>
      </w:r>
    </w:p>
    <w:p w14:paraId="30BA8796" w14:textId="77777777" w:rsidR="00280471" w:rsidRPr="00D5503A" w:rsidRDefault="00E6602B" w:rsidP="009F4DD6">
      <w:pPr>
        <w:pStyle w:val="JK4"/>
        <w:keepNext w:val="0"/>
        <w:numPr>
          <w:ilvl w:val="0"/>
          <w:numId w:val="0"/>
        </w:numPr>
        <w:spacing w:after="120"/>
        <w:ind w:left="284" w:hanging="284"/>
      </w:pPr>
      <w:r w:rsidRPr="00E57019">
        <w:rPr>
          <w:b/>
          <w:bCs/>
          <w:i/>
          <w:color w:val="FF0000"/>
        </w:rPr>
        <w:t xml:space="preserve">→ </w:t>
      </w:r>
      <w:r>
        <w:rPr>
          <w:b/>
          <w:bCs/>
          <w:i/>
          <w:color w:val="FF0000"/>
        </w:rPr>
        <w:tab/>
        <w:t xml:space="preserve">Skutečné </w:t>
      </w:r>
      <w:r w:rsidRPr="00E6602B">
        <w:rPr>
          <w:b/>
          <w:bCs/>
          <w:i/>
          <w:color w:val="FF0000"/>
        </w:rPr>
        <w:t>fungování podpořených podniků se významně negativně odchyluje od hospodářských předpokladů obsažených v podnikatelských plánech.</w:t>
      </w:r>
      <w:r>
        <w:rPr>
          <w:b/>
          <w:bCs/>
          <w:i/>
          <w:color w:val="FF0000"/>
        </w:rPr>
        <w:t xml:space="preserve"> </w:t>
      </w:r>
      <w:r w:rsidR="00705C69">
        <w:rPr>
          <w:bCs/>
        </w:rPr>
        <w:t xml:space="preserve"> </w:t>
      </w:r>
    </w:p>
    <w:p w14:paraId="7EF061A7" w14:textId="77777777" w:rsidR="00A139DA" w:rsidRPr="00AF401B" w:rsidRDefault="00280471" w:rsidP="00B9765B">
      <w:pPr>
        <w:pStyle w:val="JK4"/>
        <w:keepNext w:val="0"/>
        <w:tabs>
          <w:tab w:val="left" w:pos="567"/>
        </w:tabs>
        <w:spacing w:after="120"/>
      </w:pPr>
      <w:r>
        <w:t xml:space="preserve">U projektů podpořených v rámci IROP je stanovena pětiletá doba udržitelnosti projektů. V případě projektů OPZ doba udržitelnosti stanovena není, MPSV však deklaruje zájem podporovat </w:t>
      </w:r>
      <w:r w:rsidR="00281AF5">
        <w:t>„</w:t>
      </w:r>
      <w:r w:rsidRPr="00281AF5">
        <w:rPr>
          <w:i/>
        </w:rPr>
        <w:t>životaschopné příjemce podpory s potenciálem dlouhodobého úspěšného fungování</w:t>
      </w:r>
      <w:r w:rsidR="00281AF5">
        <w:rPr>
          <w:i/>
        </w:rPr>
        <w:t>“</w:t>
      </w:r>
      <w:r>
        <w:t>. U obou operačních programů probíhá hodnocení a výběr projektů k podpoře mj.</w:t>
      </w:r>
      <w:r w:rsidR="00B9765B">
        <w:t> </w:t>
      </w:r>
      <w:r>
        <w:t xml:space="preserve">na základě podnikatelských a finančních plánů, které obsahují předpoklady ekonomického fungování žadatelů nejen po dobu realizace projektů, ale i minimálně </w:t>
      </w:r>
      <w:r w:rsidR="009108E1">
        <w:t>p</w:t>
      </w:r>
      <w:r>
        <w:t xml:space="preserve">o </w:t>
      </w:r>
      <w:r w:rsidR="00705C69">
        <w:t>následujících</w:t>
      </w:r>
      <w:r>
        <w:t xml:space="preserve"> 12</w:t>
      </w:r>
      <w:r w:rsidR="00BD6A84">
        <w:t> </w:t>
      </w:r>
      <w:r>
        <w:t xml:space="preserve">měsíců. Kontrolou vykonanou NKÚ u příjemců podpory bylo zjištěno, že </w:t>
      </w:r>
      <w:r w:rsidR="003A55DB">
        <w:t xml:space="preserve">v naprosté většině podpořených projektů </w:t>
      </w:r>
      <w:r>
        <w:t xml:space="preserve">nedosahovalo ekonomické fungování předpokladů stanovených příjemci podpory v podnikatelských a finančních plánech, přičemž v některých případech byly odchylky významné. </w:t>
      </w:r>
      <w:r w:rsidR="003A55DB">
        <w:t xml:space="preserve">To </w:t>
      </w:r>
      <w:r w:rsidR="00281AF5">
        <w:t>dokládá</w:t>
      </w:r>
      <w:r w:rsidR="003A55DB">
        <w:t xml:space="preserve"> nedostatečnou pozornost, která byla reálnosti podnikatelských a finančních plánů při výběrovém procesu přikládána. </w:t>
      </w:r>
      <w:r>
        <w:t xml:space="preserve">Epidemie </w:t>
      </w:r>
      <w:r w:rsidR="00F13415" w:rsidRPr="00AF401B">
        <w:t>covid</w:t>
      </w:r>
      <w:r w:rsidR="00F13415">
        <w:t>u</w:t>
      </w:r>
      <w:r w:rsidRPr="00AF401B">
        <w:t xml:space="preserve">-19 měla přitom na tento stav částečný vliv pouze u některých příjemců podpory. Následující graf </w:t>
      </w:r>
      <w:r>
        <w:t xml:space="preserve">č. 1 </w:t>
      </w:r>
      <w:r w:rsidRPr="00AF401B">
        <w:t xml:space="preserve">zobrazuje zjištěné </w:t>
      </w:r>
      <w:r w:rsidR="009108E1">
        <w:t>rozdíly mezi předpokládanými a realizovanými tržbami</w:t>
      </w:r>
      <w:r w:rsidRPr="00AF401B">
        <w:t>:</w:t>
      </w:r>
    </w:p>
    <w:p w14:paraId="66DF2D8A" w14:textId="77777777" w:rsidR="00DC2F13" w:rsidRPr="009F4DD6" w:rsidRDefault="00AF401B" w:rsidP="00F241AB">
      <w:pPr>
        <w:keepNext/>
        <w:spacing w:after="0" w:line="240" w:lineRule="auto"/>
        <w:ind w:left="992" w:hanging="992"/>
        <w:jc w:val="both"/>
        <w:rPr>
          <w:b/>
          <w:sz w:val="24"/>
          <w:szCs w:val="24"/>
        </w:rPr>
      </w:pPr>
      <w:r w:rsidRPr="009F4DD6">
        <w:rPr>
          <w:b/>
          <w:sz w:val="24"/>
          <w:szCs w:val="24"/>
        </w:rPr>
        <w:t>Graf č.</w:t>
      </w:r>
      <w:r w:rsidR="009F4DD6">
        <w:rPr>
          <w:b/>
          <w:sz w:val="24"/>
          <w:szCs w:val="24"/>
        </w:rPr>
        <w:t> </w:t>
      </w:r>
      <w:r w:rsidRPr="009F4DD6">
        <w:rPr>
          <w:b/>
          <w:sz w:val="24"/>
          <w:szCs w:val="24"/>
        </w:rPr>
        <w:t>1</w:t>
      </w:r>
      <w:r w:rsidR="00F13415">
        <w:rPr>
          <w:b/>
        </w:rPr>
        <w:t>:</w:t>
      </w:r>
      <w:r w:rsidRPr="009F4DD6">
        <w:rPr>
          <w:b/>
          <w:sz w:val="24"/>
          <w:szCs w:val="24"/>
        </w:rPr>
        <w:t xml:space="preserve"> </w:t>
      </w:r>
      <w:r w:rsidR="009F4DD6">
        <w:rPr>
          <w:b/>
          <w:sz w:val="24"/>
          <w:szCs w:val="24"/>
        </w:rPr>
        <w:tab/>
      </w:r>
      <w:r w:rsidR="009108E1" w:rsidRPr="009F4DD6">
        <w:rPr>
          <w:b/>
          <w:sz w:val="24"/>
          <w:szCs w:val="24"/>
        </w:rPr>
        <w:t>Rozdíly</w:t>
      </w:r>
      <w:r w:rsidRPr="009F4DD6">
        <w:rPr>
          <w:b/>
          <w:sz w:val="24"/>
          <w:szCs w:val="24"/>
        </w:rPr>
        <w:t xml:space="preserve"> </w:t>
      </w:r>
      <w:r w:rsidR="009108E1" w:rsidRPr="009F4DD6">
        <w:rPr>
          <w:b/>
          <w:sz w:val="24"/>
          <w:szCs w:val="24"/>
        </w:rPr>
        <w:t>mezi</w:t>
      </w:r>
      <w:r w:rsidR="00AA4490" w:rsidRPr="009F4DD6">
        <w:rPr>
          <w:b/>
          <w:sz w:val="24"/>
          <w:szCs w:val="24"/>
        </w:rPr>
        <w:t xml:space="preserve"> skutečně</w:t>
      </w:r>
      <w:r w:rsidRPr="009F4DD6">
        <w:rPr>
          <w:b/>
          <w:sz w:val="24"/>
          <w:szCs w:val="24"/>
        </w:rPr>
        <w:t> realizovaný</w:t>
      </w:r>
      <w:r w:rsidR="009108E1" w:rsidRPr="009F4DD6">
        <w:rPr>
          <w:b/>
          <w:sz w:val="24"/>
          <w:szCs w:val="24"/>
        </w:rPr>
        <w:t>mi</w:t>
      </w:r>
      <w:r w:rsidR="00C37F2C" w:rsidRPr="009F4DD6">
        <w:rPr>
          <w:b/>
          <w:sz w:val="24"/>
          <w:szCs w:val="24"/>
        </w:rPr>
        <w:t xml:space="preserve"> a předpokládanými </w:t>
      </w:r>
      <w:r w:rsidRPr="009F4DD6">
        <w:rPr>
          <w:b/>
          <w:sz w:val="24"/>
          <w:szCs w:val="24"/>
        </w:rPr>
        <w:t>tržb</w:t>
      </w:r>
      <w:r w:rsidR="009108E1" w:rsidRPr="009F4DD6">
        <w:rPr>
          <w:b/>
          <w:sz w:val="24"/>
          <w:szCs w:val="24"/>
        </w:rPr>
        <w:t>ami</w:t>
      </w:r>
      <w:r w:rsidRPr="009F4DD6">
        <w:rPr>
          <w:b/>
          <w:sz w:val="24"/>
          <w:szCs w:val="24"/>
        </w:rPr>
        <w:t xml:space="preserve"> </w:t>
      </w:r>
      <w:r w:rsidR="00DC0D66" w:rsidRPr="009F4DD6">
        <w:rPr>
          <w:b/>
          <w:sz w:val="24"/>
          <w:szCs w:val="24"/>
        </w:rPr>
        <w:t xml:space="preserve">příjemců podpory </w:t>
      </w:r>
      <w:r w:rsidR="003F1DC4" w:rsidRPr="009F4DD6">
        <w:rPr>
          <w:b/>
          <w:sz w:val="24"/>
          <w:szCs w:val="24"/>
        </w:rPr>
        <w:t xml:space="preserve">na </w:t>
      </w:r>
      <w:r w:rsidR="00516476" w:rsidRPr="009F4DD6">
        <w:rPr>
          <w:b/>
          <w:sz w:val="24"/>
          <w:szCs w:val="24"/>
        </w:rPr>
        <w:t xml:space="preserve">vzorku </w:t>
      </w:r>
      <w:r w:rsidRPr="009F4DD6">
        <w:rPr>
          <w:b/>
          <w:sz w:val="24"/>
          <w:szCs w:val="24"/>
        </w:rPr>
        <w:t xml:space="preserve">vybraných </w:t>
      </w:r>
      <w:r w:rsidR="009378B8" w:rsidRPr="009F4DD6">
        <w:rPr>
          <w:b/>
          <w:sz w:val="24"/>
          <w:szCs w:val="24"/>
        </w:rPr>
        <w:t>projektů</w:t>
      </w:r>
      <w:r w:rsidRPr="009F4DD6">
        <w:rPr>
          <w:rStyle w:val="Znakapoznpodarou"/>
          <w:b/>
          <w:sz w:val="24"/>
          <w:szCs w:val="24"/>
        </w:rPr>
        <w:footnoteReference w:id="31"/>
      </w:r>
    </w:p>
    <w:p w14:paraId="1AE2FA4D" w14:textId="77777777" w:rsidR="00AF401B" w:rsidRDefault="00280471" w:rsidP="009F4DD6">
      <w:pPr>
        <w:pStyle w:val="JK4"/>
        <w:numPr>
          <w:ilvl w:val="0"/>
          <w:numId w:val="0"/>
        </w:numPr>
        <w:jc w:val="center"/>
      </w:pPr>
      <w:r>
        <w:rPr>
          <w:noProof/>
        </w:rPr>
        <w:drawing>
          <wp:inline distT="0" distB="0" distL="0" distR="0" wp14:anchorId="5BAA6257" wp14:editId="328B9533">
            <wp:extent cx="5760720" cy="3600000"/>
            <wp:effectExtent l="0" t="0" r="0" b="635"/>
            <wp:docPr id="7" name="Graf 7">
              <a:extLst xmlns:a="http://schemas.openxmlformats.org/drawingml/2006/main">
                <a:ext uri="{FF2B5EF4-FFF2-40B4-BE49-F238E27FC236}">
                  <a16:creationId xmlns:a16="http://schemas.microsoft.com/office/drawing/2014/main" id="{5C2B4F72-2669-4101-A639-9E7DC3896F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A9166C" w14:textId="77777777" w:rsidR="00AF401B" w:rsidRPr="009F4DD6" w:rsidRDefault="00AF401B" w:rsidP="009F4DD6">
      <w:pPr>
        <w:pStyle w:val="JK4"/>
        <w:keepNext w:val="0"/>
        <w:numPr>
          <w:ilvl w:val="0"/>
          <w:numId w:val="0"/>
        </w:numPr>
        <w:spacing w:after="120"/>
        <w:rPr>
          <w:sz w:val="20"/>
        </w:rPr>
      </w:pPr>
      <w:r w:rsidRPr="009F4DD6">
        <w:rPr>
          <w:b/>
          <w:sz w:val="20"/>
        </w:rPr>
        <w:t>Zdroj:</w:t>
      </w:r>
      <w:r w:rsidRPr="009F4DD6">
        <w:rPr>
          <w:sz w:val="20"/>
        </w:rPr>
        <w:t xml:space="preserve"> </w:t>
      </w:r>
      <w:r w:rsidR="00280471" w:rsidRPr="009F4DD6">
        <w:rPr>
          <w:sz w:val="20"/>
        </w:rPr>
        <w:t>MS 2014+</w:t>
      </w:r>
      <w:r w:rsidR="00D155A5" w:rsidRPr="009F4DD6">
        <w:rPr>
          <w:sz w:val="20"/>
        </w:rPr>
        <w:t>,</w:t>
      </w:r>
      <w:r w:rsidR="00280471" w:rsidRPr="009F4DD6">
        <w:rPr>
          <w:sz w:val="20"/>
        </w:rPr>
        <w:t xml:space="preserve"> </w:t>
      </w:r>
      <w:r w:rsidR="00F13415">
        <w:rPr>
          <w:sz w:val="20"/>
        </w:rPr>
        <w:t>vypracoval</w:t>
      </w:r>
      <w:r w:rsidR="00280471" w:rsidRPr="009F4DD6">
        <w:rPr>
          <w:sz w:val="20"/>
        </w:rPr>
        <w:t xml:space="preserve"> NKÚ</w:t>
      </w:r>
      <w:r w:rsidR="00C00BB5" w:rsidRPr="009F4DD6">
        <w:rPr>
          <w:sz w:val="20"/>
        </w:rPr>
        <w:t>, stav k 02/2022.</w:t>
      </w:r>
    </w:p>
    <w:p w14:paraId="41CDD46C" w14:textId="77777777" w:rsidR="00A139DA" w:rsidRPr="009F4DD6" w:rsidRDefault="002728B3" w:rsidP="00357C61">
      <w:pPr>
        <w:pStyle w:val="Odstavecseseznamem"/>
        <w:keepNext/>
        <w:numPr>
          <w:ilvl w:val="0"/>
          <w:numId w:val="14"/>
        </w:numPr>
        <w:spacing w:before="360" w:after="240" w:line="240" w:lineRule="auto"/>
        <w:ind w:left="284" w:hanging="284"/>
        <w:contextualSpacing w:val="0"/>
        <w:rPr>
          <w:rFonts w:cstheme="minorHAnsi"/>
          <w:b/>
          <w:i/>
          <w:color w:val="1F4E79" w:themeColor="accent1" w:themeShade="80"/>
          <w:sz w:val="24"/>
          <w:szCs w:val="28"/>
        </w:rPr>
      </w:pPr>
      <w:r w:rsidRPr="009F4DD6">
        <w:rPr>
          <w:rFonts w:cstheme="minorHAnsi"/>
          <w:b/>
          <w:i/>
          <w:color w:val="1F4E79" w:themeColor="accent1" w:themeShade="80"/>
          <w:sz w:val="24"/>
          <w:szCs w:val="28"/>
        </w:rPr>
        <w:t>Byly peněžní prostředky</w:t>
      </w:r>
      <w:bookmarkStart w:id="19" w:name="_Hlk98947140"/>
      <w:r w:rsidRPr="009F4DD6">
        <w:rPr>
          <w:rFonts w:cstheme="minorHAnsi"/>
          <w:b/>
          <w:i/>
          <w:color w:val="1F4E79" w:themeColor="accent1" w:themeShade="80"/>
          <w:sz w:val="24"/>
          <w:szCs w:val="28"/>
        </w:rPr>
        <w:t xml:space="preserve"> na podporu </w:t>
      </w:r>
      <w:r w:rsidR="004623D6" w:rsidRPr="009F4DD6">
        <w:rPr>
          <w:rFonts w:cstheme="minorHAnsi"/>
          <w:b/>
          <w:i/>
          <w:color w:val="1F4E79" w:themeColor="accent1" w:themeShade="80"/>
          <w:sz w:val="24"/>
          <w:szCs w:val="28"/>
        </w:rPr>
        <w:t xml:space="preserve">vybraných </w:t>
      </w:r>
      <w:r w:rsidRPr="009F4DD6">
        <w:rPr>
          <w:rFonts w:cstheme="minorHAnsi"/>
          <w:b/>
          <w:i/>
          <w:color w:val="1F4E79" w:themeColor="accent1" w:themeShade="80"/>
          <w:sz w:val="24"/>
          <w:szCs w:val="28"/>
        </w:rPr>
        <w:t>sociálních podniků poskytovány a</w:t>
      </w:r>
      <w:r w:rsidR="009F4DD6">
        <w:rPr>
          <w:rFonts w:cstheme="minorHAnsi"/>
          <w:b/>
          <w:i/>
          <w:color w:val="1F4E79" w:themeColor="accent1" w:themeShade="80"/>
          <w:sz w:val="24"/>
          <w:szCs w:val="28"/>
        </w:rPr>
        <w:t> </w:t>
      </w:r>
      <w:r w:rsidRPr="009F4DD6">
        <w:rPr>
          <w:rFonts w:cstheme="minorHAnsi"/>
          <w:b/>
          <w:i/>
          <w:color w:val="1F4E79" w:themeColor="accent1" w:themeShade="80"/>
          <w:sz w:val="24"/>
          <w:szCs w:val="28"/>
        </w:rPr>
        <w:t>čerpány účelně</w:t>
      </w:r>
      <w:bookmarkEnd w:id="19"/>
      <w:r w:rsidRPr="009F4DD6">
        <w:rPr>
          <w:rFonts w:cstheme="minorHAnsi"/>
          <w:b/>
          <w:i/>
          <w:color w:val="1F4E79" w:themeColor="accent1" w:themeShade="80"/>
          <w:sz w:val="24"/>
          <w:szCs w:val="28"/>
        </w:rPr>
        <w:t>?</w:t>
      </w:r>
    </w:p>
    <w:p w14:paraId="105B0D00" w14:textId="77777777" w:rsidR="00A76049" w:rsidRDefault="00A76049" w:rsidP="00B9765B">
      <w:pPr>
        <w:pStyle w:val="JK4"/>
        <w:keepNext w:val="0"/>
        <w:tabs>
          <w:tab w:val="left" w:pos="567"/>
        </w:tabs>
        <w:spacing w:after="120"/>
      </w:pPr>
      <w:bookmarkStart w:id="20" w:name="_Hlk99007641"/>
      <w:r>
        <w:t>Na základě skutečností zjištěných při kontrole vybraných projektů a u poskytovatelů podpory provedl NKÚ vyhodnocení toho, zda peněžní prostředky státního rozpočtu a Evropské unie na podporu sociálních podniků byly poskytovány a čerpány účelně. Za tímto účelem zpracoval NKÚ</w:t>
      </w:r>
      <w:r w:rsidRPr="00935BCF">
        <w:t xml:space="preserve"> </w:t>
      </w:r>
      <w:r>
        <w:t xml:space="preserve">pro hodnocení projektů </w:t>
      </w:r>
      <w:r w:rsidRPr="00935BCF">
        <w:t>čtyřstupňovou hodnot</w:t>
      </w:r>
      <w:r w:rsidR="00E56603">
        <w:t>i</w:t>
      </w:r>
      <w:r w:rsidRPr="00935BCF">
        <w:t>cí škálu</w:t>
      </w:r>
      <w:r>
        <w:t xml:space="preserve"> (projekt je: účelný</w:t>
      </w:r>
      <w:r w:rsidR="00C9209D">
        <w:t> </w:t>
      </w:r>
      <w:r>
        <w:t>–</w:t>
      </w:r>
      <w:r w:rsidR="00C9209D">
        <w:t> </w:t>
      </w:r>
      <w:r>
        <w:t xml:space="preserve">účelný s mírnými nedostatky – účelný omezeně – neúčelný) a stanovil jednotná kritéria pro hodnocení </w:t>
      </w:r>
      <w:r w:rsidRPr="00E15F38">
        <w:t>(</w:t>
      </w:r>
      <w:r w:rsidR="00E56603" w:rsidRPr="00E15F38">
        <w:t xml:space="preserve">viz </w:t>
      </w:r>
      <w:r w:rsidRPr="00E15F38">
        <w:rPr>
          <w:b/>
        </w:rPr>
        <w:t xml:space="preserve">příloha č. </w:t>
      </w:r>
      <w:r w:rsidR="00046F3E" w:rsidRPr="00E15F38">
        <w:rPr>
          <w:b/>
        </w:rPr>
        <w:t>2</w:t>
      </w:r>
      <w:r w:rsidR="00E56603">
        <w:rPr>
          <w:b/>
        </w:rPr>
        <w:t xml:space="preserve"> </w:t>
      </w:r>
      <w:r w:rsidR="00E56603" w:rsidRPr="00E15F38">
        <w:t>tohoto</w:t>
      </w:r>
      <w:r w:rsidR="00E56603">
        <w:t xml:space="preserve"> kontrolního závěru</w:t>
      </w:r>
      <w:r w:rsidRPr="00E15F38">
        <w:t>)</w:t>
      </w:r>
      <w:r>
        <w:t xml:space="preserve">. Výsledky posouzení po jednotlivých projektech obsahuje </w:t>
      </w:r>
      <w:r w:rsidRPr="00E15F38">
        <w:rPr>
          <w:b/>
        </w:rPr>
        <w:t>příloha č.</w:t>
      </w:r>
      <w:r w:rsidR="00046F3E" w:rsidRPr="00E15F38">
        <w:rPr>
          <w:b/>
        </w:rPr>
        <w:t> 1</w:t>
      </w:r>
      <w:r w:rsidR="00E56603">
        <w:t xml:space="preserve"> tohoto kontrolního závěru</w:t>
      </w:r>
      <w:r>
        <w:t>.</w:t>
      </w:r>
    </w:p>
    <w:p w14:paraId="100E83B5" w14:textId="77777777" w:rsidR="00A76049" w:rsidRPr="00974C55" w:rsidRDefault="00D569BD" w:rsidP="00D569BD">
      <w:pPr>
        <w:pStyle w:val="JK4"/>
        <w:keepNext w:val="0"/>
        <w:numPr>
          <w:ilvl w:val="0"/>
          <w:numId w:val="0"/>
        </w:numPr>
        <w:spacing w:after="120"/>
        <w:ind w:left="284" w:hanging="284"/>
      </w:pPr>
      <w:bookmarkStart w:id="21" w:name="_Hlk98947168"/>
      <w:r w:rsidRPr="00E57019">
        <w:rPr>
          <w:b/>
          <w:bCs/>
          <w:i/>
          <w:color w:val="FF0000"/>
        </w:rPr>
        <w:t xml:space="preserve">→ </w:t>
      </w:r>
      <w:r>
        <w:rPr>
          <w:b/>
          <w:bCs/>
          <w:i/>
          <w:color w:val="FF0000"/>
        </w:rPr>
        <w:tab/>
        <w:t>Ú</w:t>
      </w:r>
      <w:r>
        <w:rPr>
          <w:b/>
          <w:i/>
          <w:color w:val="FF0000"/>
        </w:rPr>
        <w:t>čelnost</w:t>
      </w:r>
      <w:r w:rsidR="00E6602B">
        <w:rPr>
          <w:b/>
          <w:i/>
          <w:color w:val="FF0000"/>
        </w:rPr>
        <w:t xml:space="preserve"> </w:t>
      </w:r>
      <w:r w:rsidR="00E6602B" w:rsidRPr="00E6602B">
        <w:rPr>
          <w:b/>
          <w:i/>
          <w:color w:val="FF0000"/>
        </w:rPr>
        <w:t xml:space="preserve">vynaložených prostředků byla u osmi z 16 kontrolovaných projektů vyhodnocena pozitivně, u sedmi byla naopak vyhodnocena jako omezeně účelná a </w:t>
      </w:r>
      <w:r w:rsidR="00E56603">
        <w:rPr>
          <w:b/>
          <w:i/>
          <w:color w:val="FF0000"/>
        </w:rPr>
        <w:t>u </w:t>
      </w:r>
      <w:r w:rsidR="00E6602B" w:rsidRPr="00E6602B">
        <w:rPr>
          <w:b/>
          <w:i/>
          <w:color w:val="FF0000"/>
        </w:rPr>
        <w:t xml:space="preserve">jednoho </w:t>
      </w:r>
      <w:r w:rsidR="00E56603">
        <w:rPr>
          <w:b/>
          <w:i/>
          <w:color w:val="FF0000"/>
        </w:rPr>
        <w:t xml:space="preserve">jako </w:t>
      </w:r>
      <w:r w:rsidR="00E6602B" w:rsidRPr="00E6602B">
        <w:rPr>
          <w:b/>
          <w:i/>
          <w:color w:val="FF0000"/>
        </w:rPr>
        <w:t>zcela neúčelná.</w:t>
      </w:r>
      <w:r>
        <w:rPr>
          <w:b/>
          <w:i/>
          <w:color w:val="FF0000"/>
        </w:rPr>
        <w:t xml:space="preserve"> </w:t>
      </w:r>
      <w:r w:rsidR="00A76049" w:rsidRPr="00974C55">
        <w:t xml:space="preserve"> </w:t>
      </w:r>
      <w:bookmarkEnd w:id="21"/>
    </w:p>
    <w:p w14:paraId="17DF6DE7" w14:textId="77777777" w:rsidR="00935BCF" w:rsidRDefault="00A90A0E" w:rsidP="00B9765B">
      <w:pPr>
        <w:pStyle w:val="JK4"/>
        <w:keepNext w:val="0"/>
        <w:tabs>
          <w:tab w:val="left" w:pos="567"/>
        </w:tabs>
        <w:spacing w:after="120"/>
      </w:pPr>
      <w:r>
        <w:t>Hodnocení účelnosti vynaložených peněžních prostředků provedl NKÚ na vybraném vzorku</w:t>
      </w:r>
      <w:r w:rsidR="00E877D2">
        <w:t xml:space="preserve"> projektů</w:t>
      </w:r>
      <w:r w:rsidR="00A76049" w:rsidRPr="00935BCF">
        <w:t xml:space="preserve">. </w:t>
      </w:r>
      <w:r w:rsidR="00A76049">
        <w:t>Kromě pří</w:t>
      </w:r>
      <w:r w:rsidR="00E877D2">
        <w:t>p</w:t>
      </w:r>
      <w:r w:rsidR="00A76049">
        <w:t xml:space="preserve">adů </w:t>
      </w:r>
      <w:r w:rsidR="00824B15">
        <w:t xml:space="preserve">zjištěných </w:t>
      </w:r>
      <w:r w:rsidR="00693507">
        <w:t>nedostatků zmíně</w:t>
      </w:r>
      <w:r w:rsidR="00A76049">
        <w:t>ných v předchozí</w:t>
      </w:r>
      <w:r w:rsidR="00693507">
        <w:t>ch</w:t>
      </w:r>
      <w:r w:rsidR="00A76049">
        <w:t xml:space="preserve"> </w:t>
      </w:r>
      <w:r w:rsidR="00693507">
        <w:t>příkladech</w:t>
      </w:r>
      <w:r w:rsidR="00A76049">
        <w:t xml:space="preserve"> </w:t>
      </w:r>
      <w:r w:rsidR="00693507">
        <w:t xml:space="preserve">uvádí NKÚ další příklady </w:t>
      </w:r>
      <w:r w:rsidR="00A76049">
        <w:t>sníž</w:t>
      </w:r>
      <w:r w:rsidR="00693507">
        <w:t>ení</w:t>
      </w:r>
      <w:r w:rsidR="00A76049">
        <w:t xml:space="preserve"> stup</w:t>
      </w:r>
      <w:r w:rsidR="00693507">
        <w:t>ně</w:t>
      </w:r>
      <w:r w:rsidR="00A76049">
        <w:t xml:space="preserve"> hodnocení účelnosti </w:t>
      </w:r>
      <w:r w:rsidR="00693507">
        <w:t>vynaložených prostředků v příkladech č. 7 až 9</w:t>
      </w:r>
      <w:r w:rsidR="00A76049">
        <w:t>:</w:t>
      </w:r>
      <w:bookmarkEnd w:id="20"/>
    </w:p>
    <w:p w14:paraId="718804C4" w14:textId="77777777" w:rsidR="003041FD" w:rsidRPr="004822CE" w:rsidRDefault="003041FD" w:rsidP="009423D3">
      <w:pPr>
        <w:keepNext/>
        <w:pBdr>
          <w:top w:val="single" w:sz="4" w:space="1" w:color="auto"/>
          <w:left w:val="single" w:sz="4" w:space="4" w:color="auto"/>
          <w:bottom w:val="single" w:sz="4" w:space="1" w:color="auto"/>
          <w:right w:val="single" w:sz="4" w:space="4" w:color="auto"/>
        </w:pBdr>
        <w:spacing w:before="120" w:after="120" w:line="240" w:lineRule="auto"/>
        <w:jc w:val="both"/>
      </w:pPr>
      <w:r w:rsidRPr="003041FD">
        <w:rPr>
          <w:b/>
          <w:color w:val="004595"/>
          <w:sz w:val="24"/>
          <w:szCs w:val="24"/>
        </w:rPr>
        <w:t xml:space="preserve">Příklad č. </w:t>
      </w:r>
      <w:r>
        <w:rPr>
          <w:b/>
          <w:color w:val="004595"/>
          <w:sz w:val="24"/>
          <w:szCs w:val="24"/>
        </w:rPr>
        <w:t>7</w:t>
      </w:r>
    </w:p>
    <w:p w14:paraId="0A2BC8D8" w14:textId="77777777" w:rsidR="00935BCF" w:rsidRPr="003041FD" w:rsidRDefault="003041FD" w:rsidP="00CB3156">
      <w:pPr>
        <w:pBdr>
          <w:top w:val="single" w:sz="4" w:space="1" w:color="auto"/>
          <w:left w:val="single" w:sz="4" w:space="4" w:color="auto"/>
          <w:bottom w:val="single" w:sz="4" w:space="1" w:color="auto"/>
          <w:right w:val="single" w:sz="4" w:space="4" w:color="auto"/>
        </w:pBdr>
        <w:spacing w:before="120" w:after="120" w:line="240" w:lineRule="auto"/>
        <w:jc w:val="both"/>
        <w:rPr>
          <w:i/>
          <w:sz w:val="24"/>
          <w:szCs w:val="24"/>
        </w:rPr>
      </w:pPr>
      <w:r>
        <w:rPr>
          <w:i/>
          <w:sz w:val="24"/>
          <w:szCs w:val="24"/>
        </w:rPr>
        <w:t>MMR</w:t>
      </w:r>
      <w:r w:rsidRPr="003041FD">
        <w:rPr>
          <w:i/>
          <w:sz w:val="24"/>
          <w:szCs w:val="24"/>
        </w:rPr>
        <w:t xml:space="preserve"> podpořil</w:t>
      </w:r>
      <w:r>
        <w:rPr>
          <w:i/>
          <w:sz w:val="24"/>
          <w:szCs w:val="24"/>
        </w:rPr>
        <w:t>o</w:t>
      </w:r>
      <w:r w:rsidRPr="003041FD">
        <w:rPr>
          <w:i/>
          <w:sz w:val="24"/>
          <w:szCs w:val="24"/>
        </w:rPr>
        <w:t xml:space="preserve"> </w:t>
      </w:r>
      <w:r w:rsidR="00693507">
        <w:rPr>
          <w:i/>
          <w:sz w:val="24"/>
          <w:szCs w:val="24"/>
        </w:rPr>
        <w:t>z</w:t>
      </w:r>
      <w:r w:rsidR="00610D2D">
        <w:rPr>
          <w:i/>
          <w:sz w:val="24"/>
          <w:szCs w:val="24"/>
        </w:rPr>
        <w:t xml:space="preserve"> </w:t>
      </w:r>
      <w:r w:rsidR="00693507">
        <w:rPr>
          <w:i/>
          <w:sz w:val="24"/>
          <w:szCs w:val="24"/>
        </w:rPr>
        <w:t xml:space="preserve">IROP </w:t>
      </w:r>
      <w:r w:rsidRPr="003041FD">
        <w:rPr>
          <w:i/>
          <w:sz w:val="24"/>
          <w:szCs w:val="24"/>
        </w:rPr>
        <w:t xml:space="preserve">částkou 4,1 mil. Kč projekt č. 3438. Cílem projektu bylo zaměstnat alespoň dvě osoby z cílových skupin a vytvořit celkový úvazek alespoň 1,25 FTE. </w:t>
      </w:r>
      <w:r>
        <w:rPr>
          <w:i/>
          <w:sz w:val="24"/>
          <w:szCs w:val="24"/>
        </w:rPr>
        <w:t>P</w:t>
      </w:r>
      <w:r w:rsidRPr="003041FD">
        <w:rPr>
          <w:i/>
          <w:sz w:val="24"/>
          <w:szCs w:val="24"/>
        </w:rPr>
        <w:t>říjemce podpory uplatnil v</w:t>
      </w:r>
      <w:r w:rsidR="00610D2D">
        <w:rPr>
          <w:i/>
          <w:sz w:val="24"/>
          <w:szCs w:val="24"/>
        </w:rPr>
        <w:t xml:space="preserve"> </w:t>
      </w:r>
      <w:r w:rsidR="00725773">
        <w:rPr>
          <w:i/>
          <w:sz w:val="24"/>
          <w:szCs w:val="24"/>
        </w:rPr>
        <w:t>ž</w:t>
      </w:r>
      <w:r w:rsidR="00725773" w:rsidRPr="003041FD">
        <w:rPr>
          <w:i/>
          <w:sz w:val="24"/>
          <w:szCs w:val="24"/>
        </w:rPr>
        <w:t xml:space="preserve">ádosti </w:t>
      </w:r>
      <w:r w:rsidRPr="003041FD">
        <w:rPr>
          <w:i/>
          <w:sz w:val="24"/>
          <w:szCs w:val="24"/>
        </w:rPr>
        <w:t>o podporu v</w:t>
      </w:r>
      <w:r w:rsidR="00610D2D">
        <w:rPr>
          <w:i/>
          <w:sz w:val="24"/>
          <w:szCs w:val="24"/>
        </w:rPr>
        <w:t xml:space="preserve"> </w:t>
      </w:r>
      <w:r w:rsidRPr="003041FD">
        <w:rPr>
          <w:i/>
          <w:sz w:val="24"/>
          <w:szCs w:val="24"/>
        </w:rPr>
        <w:t>rámci způsobilých výdajů projektu také výdaj na pořízení nemovitosti od osoby blízké (manžel</w:t>
      </w:r>
      <w:r>
        <w:rPr>
          <w:i/>
          <w:sz w:val="24"/>
          <w:szCs w:val="24"/>
        </w:rPr>
        <w:t>a)</w:t>
      </w:r>
      <w:r w:rsidRPr="003041FD">
        <w:rPr>
          <w:i/>
          <w:sz w:val="24"/>
          <w:szCs w:val="24"/>
        </w:rPr>
        <w:t xml:space="preserve"> ve výši 3 370 500 Kč, přičemž z podpory bylo </w:t>
      </w:r>
      <w:r w:rsidR="00144085">
        <w:rPr>
          <w:i/>
          <w:sz w:val="24"/>
          <w:szCs w:val="24"/>
        </w:rPr>
        <w:t xml:space="preserve">na tento účel </w:t>
      </w:r>
      <w:r w:rsidRPr="003041FD">
        <w:rPr>
          <w:i/>
          <w:sz w:val="24"/>
          <w:szCs w:val="24"/>
        </w:rPr>
        <w:t xml:space="preserve">proplaceno 2 864 925 Kč. </w:t>
      </w:r>
      <w:r>
        <w:rPr>
          <w:i/>
          <w:sz w:val="24"/>
          <w:szCs w:val="24"/>
        </w:rPr>
        <w:t>T</w:t>
      </w:r>
      <w:r w:rsidRPr="003041FD">
        <w:rPr>
          <w:i/>
          <w:sz w:val="24"/>
          <w:szCs w:val="24"/>
        </w:rPr>
        <w:t xml:space="preserve">ento výdaj byl v době podání </w:t>
      </w:r>
      <w:r w:rsidR="00F52713">
        <w:rPr>
          <w:i/>
          <w:sz w:val="24"/>
          <w:szCs w:val="24"/>
        </w:rPr>
        <w:t>ž</w:t>
      </w:r>
      <w:r w:rsidR="00F52713" w:rsidRPr="003041FD">
        <w:rPr>
          <w:i/>
          <w:sz w:val="24"/>
          <w:szCs w:val="24"/>
        </w:rPr>
        <w:t xml:space="preserve">ádosti </w:t>
      </w:r>
      <w:r w:rsidRPr="003041FD">
        <w:rPr>
          <w:i/>
          <w:sz w:val="24"/>
          <w:szCs w:val="24"/>
        </w:rPr>
        <w:t>o platbu nezpůsobilý</w:t>
      </w:r>
      <w:r w:rsidR="004623D6">
        <w:rPr>
          <w:i/>
          <w:sz w:val="24"/>
          <w:szCs w:val="24"/>
        </w:rPr>
        <w:t>, přesto však byl z prostředků IROP uhrazen</w:t>
      </w:r>
      <w:r w:rsidRPr="003041FD">
        <w:rPr>
          <w:i/>
          <w:sz w:val="24"/>
          <w:szCs w:val="24"/>
        </w:rPr>
        <w:t>.</w:t>
      </w:r>
      <w:r>
        <w:rPr>
          <w:i/>
          <w:sz w:val="24"/>
          <w:szCs w:val="24"/>
        </w:rPr>
        <w:t xml:space="preserve"> Takovýto výdaj</w:t>
      </w:r>
      <w:r w:rsidR="004623D6">
        <w:rPr>
          <w:i/>
          <w:sz w:val="24"/>
          <w:szCs w:val="24"/>
        </w:rPr>
        <w:t>, představující 69 % z celkového obje</w:t>
      </w:r>
      <w:r w:rsidR="00510A6C">
        <w:rPr>
          <w:i/>
          <w:sz w:val="24"/>
          <w:szCs w:val="24"/>
        </w:rPr>
        <w:t xml:space="preserve">mu podpory, </w:t>
      </w:r>
      <w:r>
        <w:rPr>
          <w:i/>
          <w:sz w:val="24"/>
          <w:szCs w:val="24"/>
        </w:rPr>
        <w:t>nelze</w:t>
      </w:r>
      <w:r w:rsidR="00510A6C">
        <w:rPr>
          <w:i/>
          <w:sz w:val="24"/>
          <w:szCs w:val="24"/>
        </w:rPr>
        <w:t xml:space="preserve"> </w:t>
      </w:r>
      <w:r w:rsidR="00F52713">
        <w:rPr>
          <w:i/>
          <w:sz w:val="24"/>
          <w:szCs w:val="24"/>
        </w:rPr>
        <w:t>(</w:t>
      </w:r>
      <w:r w:rsidR="00510A6C">
        <w:rPr>
          <w:i/>
          <w:sz w:val="24"/>
          <w:szCs w:val="24"/>
        </w:rPr>
        <w:t>i bez ohledu na jeho nezpůsobilost</w:t>
      </w:r>
      <w:r w:rsidR="00F52713">
        <w:rPr>
          <w:i/>
          <w:sz w:val="24"/>
          <w:szCs w:val="24"/>
        </w:rPr>
        <w:t>)</w:t>
      </w:r>
      <w:r w:rsidR="00510A6C">
        <w:rPr>
          <w:i/>
          <w:sz w:val="24"/>
          <w:szCs w:val="24"/>
        </w:rPr>
        <w:t xml:space="preserve"> považovat za účelný a</w:t>
      </w:r>
      <w:r w:rsidR="00B32E6C">
        <w:rPr>
          <w:i/>
          <w:sz w:val="24"/>
          <w:szCs w:val="24"/>
        </w:rPr>
        <w:t> </w:t>
      </w:r>
      <w:r w:rsidR="00510A6C">
        <w:rPr>
          <w:i/>
          <w:sz w:val="24"/>
          <w:szCs w:val="24"/>
        </w:rPr>
        <w:t>efektivní</w:t>
      </w:r>
      <w:r>
        <w:rPr>
          <w:i/>
          <w:sz w:val="24"/>
          <w:szCs w:val="24"/>
        </w:rPr>
        <w:t xml:space="preserve"> </w:t>
      </w:r>
      <w:r w:rsidRPr="003041FD">
        <w:rPr>
          <w:i/>
          <w:sz w:val="24"/>
          <w:szCs w:val="24"/>
        </w:rPr>
        <w:t>ve vztahu k</w:t>
      </w:r>
      <w:r w:rsidR="0081601A">
        <w:rPr>
          <w:i/>
          <w:sz w:val="24"/>
          <w:szCs w:val="24"/>
        </w:rPr>
        <w:t>e</w:t>
      </w:r>
      <w:r w:rsidRPr="003041FD">
        <w:rPr>
          <w:i/>
          <w:sz w:val="24"/>
          <w:szCs w:val="24"/>
        </w:rPr>
        <w:t xml:space="preserve"> stanovenému cíli </w:t>
      </w:r>
      <w:r w:rsidR="0081601A">
        <w:rPr>
          <w:i/>
          <w:sz w:val="24"/>
          <w:szCs w:val="24"/>
        </w:rPr>
        <w:t>„</w:t>
      </w:r>
      <w:r w:rsidRPr="003041FD">
        <w:rPr>
          <w:i/>
          <w:sz w:val="24"/>
          <w:szCs w:val="24"/>
        </w:rPr>
        <w:t>podporovat vznik a rozvoj sociálního podnikání</w:t>
      </w:r>
      <w:r w:rsidR="0081601A">
        <w:rPr>
          <w:i/>
          <w:sz w:val="24"/>
          <w:szCs w:val="24"/>
        </w:rPr>
        <w:t>“</w:t>
      </w:r>
      <w:r w:rsidR="00846006">
        <w:rPr>
          <w:i/>
          <w:sz w:val="24"/>
          <w:szCs w:val="24"/>
        </w:rPr>
        <w:t>. Z těchto důvodů NKÚ vynaložení prostředků z IROP na tento projekt vyhodnotil jako neúčelné a neefektivní</w:t>
      </w:r>
      <w:r w:rsidRPr="003041FD">
        <w:rPr>
          <w:i/>
          <w:sz w:val="24"/>
          <w:szCs w:val="24"/>
        </w:rPr>
        <w:t>.</w:t>
      </w:r>
      <w:r>
        <w:rPr>
          <w:i/>
          <w:sz w:val="24"/>
          <w:szCs w:val="24"/>
        </w:rPr>
        <w:t xml:space="preserve"> </w:t>
      </w:r>
      <w:r w:rsidR="004623D6">
        <w:rPr>
          <w:i/>
          <w:sz w:val="24"/>
          <w:szCs w:val="24"/>
        </w:rPr>
        <w:t>Podporou takového projektu a proplacení</w:t>
      </w:r>
      <w:r w:rsidR="00EB7BF0">
        <w:rPr>
          <w:i/>
          <w:sz w:val="24"/>
          <w:szCs w:val="24"/>
        </w:rPr>
        <w:t>m</w:t>
      </w:r>
      <w:r w:rsidR="005B48AA">
        <w:rPr>
          <w:i/>
          <w:sz w:val="24"/>
          <w:szCs w:val="24"/>
        </w:rPr>
        <w:t xml:space="preserve"> těchto nezpůsobilých výdajů došlo k významné</w:t>
      </w:r>
      <w:r w:rsidR="003F1DC4">
        <w:rPr>
          <w:i/>
          <w:sz w:val="24"/>
          <w:szCs w:val="24"/>
        </w:rPr>
        <w:t>mu</w:t>
      </w:r>
      <w:r w:rsidR="005B48AA">
        <w:rPr>
          <w:i/>
          <w:sz w:val="24"/>
          <w:szCs w:val="24"/>
        </w:rPr>
        <w:t xml:space="preserve"> selhání řídící a kontrolní funkce jak MMR jako řídícího orgánu, tak CRR jako zprostředkujícího subjektu (dále také viz odst. 4.43).</w:t>
      </w:r>
    </w:p>
    <w:p w14:paraId="4CC4C0D6" w14:textId="77777777" w:rsidR="00C55371" w:rsidRDefault="00C55371" w:rsidP="00C55371">
      <w:pPr>
        <w:spacing w:after="0" w:line="240" w:lineRule="auto"/>
        <w:jc w:val="both"/>
        <w:rPr>
          <w:b/>
          <w:color w:val="004595"/>
          <w:sz w:val="24"/>
          <w:szCs w:val="24"/>
        </w:rPr>
      </w:pPr>
    </w:p>
    <w:p w14:paraId="3326BEB0" w14:textId="77777777" w:rsidR="00221C32" w:rsidRPr="00221C32" w:rsidRDefault="00221C32" w:rsidP="009423D3">
      <w:pPr>
        <w:keepNext/>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i/>
        </w:rPr>
      </w:pPr>
      <w:r w:rsidRPr="00221C32">
        <w:rPr>
          <w:b/>
          <w:color w:val="004595"/>
          <w:sz w:val="24"/>
          <w:szCs w:val="24"/>
        </w:rPr>
        <w:t xml:space="preserve">Příklad č. </w:t>
      </w:r>
      <w:r w:rsidR="00C55371">
        <w:rPr>
          <w:b/>
          <w:color w:val="004595"/>
          <w:sz w:val="24"/>
          <w:szCs w:val="24"/>
        </w:rPr>
        <w:t>8</w:t>
      </w:r>
    </w:p>
    <w:p w14:paraId="706E43D2" w14:textId="77777777" w:rsidR="003041FD" w:rsidRDefault="00221C32" w:rsidP="00C55371">
      <w:pPr>
        <w:pBdr>
          <w:top w:val="single" w:sz="4" w:space="1" w:color="auto"/>
          <w:left w:val="single" w:sz="4" w:space="4" w:color="auto"/>
          <w:bottom w:val="single" w:sz="4" w:space="1" w:color="auto"/>
          <w:right w:val="single" w:sz="4" w:space="4" w:color="auto"/>
        </w:pBdr>
        <w:spacing w:before="120" w:after="60" w:line="240" w:lineRule="auto"/>
        <w:jc w:val="both"/>
      </w:pPr>
      <w:r w:rsidRPr="00221C32">
        <w:rPr>
          <w:i/>
          <w:sz w:val="24"/>
          <w:szCs w:val="24"/>
        </w:rPr>
        <w:t xml:space="preserve">V případě projektu č. 3382 </w:t>
      </w:r>
      <w:r w:rsidR="00693507">
        <w:rPr>
          <w:i/>
          <w:sz w:val="24"/>
          <w:szCs w:val="24"/>
        </w:rPr>
        <w:t xml:space="preserve">(IROP) </w:t>
      </w:r>
      <w:r w:rsidRPr="00221C32">
        <w:rPr>
          <w:i/>
          <w:sz w:val="24"/>
          <w:szCs w:val="24"/>
        </w:rPr>
        <w:t>bylo podpořeno vybudování provozu prádelny, přičemž cílem projektu bylo vytvořit úvazek minimálně 2,4 FTE. Příjemce realizoval pouze malý zlomek ze vzdělávacích aktivit, které v souvislosti s naplňováním cíle plánoval</w:t>
      </w:r>
      <w:r w:rsidR="0038212E">
        <w:rPr>
          <w:i/>
          <w:sz w:val="24"/>
          <w:szCs w:val="24"/>
        </w:rPr>
        <w:t xml:space="preserve"> (např. vůbec nerealizoval psychosociální podporu pro zaměstnance z CS, workshopy ke zvýšení pracovních kompetencí nebo řízená setkání pracovního kolektivu)</w:t>
      </w:r>
      <w:r w:rsidR="00C55371">
        <w:rPr>
          <w:i/>
          <w:sz w:val="24"/>
          <w:szCs w:val="24"/>
        </w:rPr>
        <w:t>.</w:t>
      </w:r>
      <w:r w:rsidRPr="00221C32">
        <w:rPr>
          <w:i/>
          <w:sz w:val="24"/>
          <w:szCs w:val="24"/>
        </w:rPr>
        <w:t xml:space="preserve"> Naplnění cíle „vybudovat stabilní a finančně soběstačný subjekt“ se příjemci podařilo naplnit pouze částečně. </w:t>
      </w:r>
      <w:r w:rsidR="00C55371">
        <w:rPr>
          <w:i/>
          <w:sz w:val="24"/>
          <w:szCs w:val="24"/>
        </w:rPr>
        <w:t>M</w:t>
      </w:r>
      <w:r w:rsidRPr="00221C32">
        <w:rPr>
          <w:i/>
          <w:sz w:val="24"/>
          <w:szCs w:val="24"/>
        </w:rPr>
        <w:t>ístní komunitu a místní poptávku vytvářely zejména právnické osoby</w:t>
      </w:r>
      <w:r w:rsidR="00C55371">
        <w:rPr>
          <w:i/>
          <w:sz w:val="24"/>
          <w:szCs w:val="24"/>
        </w:rPr>
        <w:t xml:space="preserve"> personálně propojené s příjemcem podpory</w:t>
      </w:r>
      <w:r w:rsidRPr="00221C32">
        <w:rPr>
          <w:i/>
          <w:sz w:val="24"/>
          <w:szCs w:val="24"/>
        </w:rPr>
        <w:t xml:space="preserve">. </w:t>
      </w:r>
      <w:r w:rsidR="00C55371">
        <w:rPr>
          <w:i/>
          <w:sz w:val="24"/>
          <w:szCs w:val="24"/>
        </w:rPr>
        <w:t>P</w:t>
      </w:r>
      <w:r w:rsidRPr="00221C32">
        <w:rPr>
          <w:i/>
          <w:sz w:val="24"/>
          <w:szCs w:val="24"/>
        </w:rPr>
        <w:t xml:space="preserve">říjemce podpory </w:t>
      </w:r>
      <w:r w:rsidR="00C55371">
        <w:rPr>
          <w:i/>
          <w:sz w:val="24"/>
          <w:szCs w:val="24"/>
        </w:rPr>
        <w:t xml:space="preserve">přitom </w:t>
      </w:r>
      <w:r w:rsidRPr="00221C32">
        <w:rPr>
          <w:i/>
          <w:sz w:val="24"/>
          <w:szCs w:val="24"/>
        </w:rPr>
        <w:t xml:space="preserve">nezajistil spolupráci s relevantními místními aktéry tak, jak zamýšlel a deklaroval v podnikatelském plánu, </w:t>
      </w:r>
      <w:r w:rsidR="00C55371">
        <w:rPr>
          <w:i/>
          <w:sz w:val="24"/>
          <w:szCs w:val="24"/>
        </w:rPr>
        <w:t>takže tato ve výsledku ne</w:t>
      </w:r>
      <w:r w:rsidRPr="00221C32">
        <w:rPr>
          <w:i/>
          <w:sz w:val="24"/>
          <w:szCs w:val="24"/>
        </w:rPr>
        <w:t xml:space="preserve">měla vztah k zaměstnání cílových skupin v sociálním podniku a </w:t>
      </w:r>
      <w:r w:rsidR="00C55371">
        <w:rPr>
          <w:i/>
          <w:sz w:val="24"/>
          <w:szCs w:val="24"/>
        </w:rPr>
        <w:t>ne</w:t>
      </w:r>
      <w:r w:rsidRPr="00221C32">
        <w:rPr>
          <w:i/>
          <w:sz w:val="24"/>
          <w:szCs w:val="24"/>
        </w:rPr>
        <w:t>přinášela místní prospěch.</w:t>
      </w:r>
      <w:r w:rsidR="00C55371">
        <w:rPr>
          <w:i/>
          <w:sz w:val="24"/>
          <w:szCs w:val="24"/>
        </w:rPr>
        <w:t xml:space="preserve"> </w:t>
      </w:r>
      <w:r w:rsidRPr="00C55371">
        <w:rPr>
          <w:i/>
          <w:sz w:val="24"/>
          <w:szCs w:val="24"/>
        </w:rPr>
        <w:t xml:space="preserve">NKÚ </w:t>
      </w:r>
      <w:r w:rsidR="00C55371">
        <w:rPr>
          <w:i/>
          <w:sz w:val="24"/>
          <w:szCs w:val="24"/>
        </w:rPr>
        <w:t>vy</w:t>
      </w:r>
      <w:r w:rsidRPr="00C55371">
        <w:rPr>
          <w:i/>
          <w:sz w:val="24"/>
          <w:szCs w:val="24"/>
        </w:rPr>
        <w:t>hodnot</w:t>
      </w:r>
      <w:r w:rsidR="00C55371">
        <w:rPr>
          <w:i/>
          <w:sz w:val="24"/>
          <w:szCs w:val="24"/>
        </w:rPr>
        <w:t>il</w:t>
      </w:r>
      <w:r w:rsidRPr="00C55371">
        <w:rPr>
          <w:i/>
          <w:sz w:val="24"/>
          <w:szCs w:val="24"/>
        </w:rPr>
        <w:t xml:space="preserve"> projekt</w:t>
      </w:r>
      <w:r w:rsidR="004E1D2B">
        <w:rPr>
          <w:i/>
          <w:sz w:val="24"/>
          <w:szCs w:val="24"/>
        </w:rPr>
        <w:t xml:space="preserve"> </w:t>
      </w:r>
      <w:r w:rsidR="00C55371">
        <w:rPr>
          <w:i/>
          <w:sz w:val="24"/>
          <w:szCs w:val="24"/>
        </w:rPr>
        <w:t>č.</w:t>
      </w:r>
      <w:r w:rsidR="007712B5">
        <w:rPr>
          <w:i/>
          <w:sz w:val="24"/>
          <w:szCs w:val="24"/>
        </w:rPr>
        <w:t> </w:t>
      </w:r>
      <w:r w:rsidRPr="00C55371">
        <w:rPr>
          <w:i/>
          <w:sz w:val="24"/>
          <w:szCs w:val="24"/>
        </w:rPr>
        <w:t>3382 j</w:t>
      </w:r>
      <w:r w:rsidR="00C55371">
        <w:rPr>
          <w:i/>
          <w:sz w:val="24"/>
          <w:szCs w:val="24"/>
        </w:rPr>
        <w:t>ako</w:t>
      </w:r>
      <w:r w:rsidRPr="00C55371">
        <w:rPr>
          <w:i/>
          <w:sz w:val="24"/>
          <w:szCs w:val="24"/>
        </w:rPr>
        <w:t xml:space="preserve"> účelný </w:t>
      </w:r>
      <w:r w:rsidR="005B48AA">
        <w:rPr>
          <w:i/>
          <w:sz w:val="24"/>
          <w:szCs w:val="24"/>
        </w:rPr>
        <w:t xml:space="preserve">(a též efektivní) </w:t>
      </w:r>
      <w:r w:rsidRPr="00C55371">
        <w:rPr>
          <w:i/>
          <w:sz w:val="24"/>
          <w:szCs w:val="24"/>
        </w:rPr>
        <w:t>pouze omezeně.</w:t>
      </w:r>
    </w:p>
    <w:p w14:paraId="512CBFFB" w14:textId="77777777" w:rsidR="003041FD" w:rsidRDefault="003041FD" w:rsidP="00CB3156">
      <w:pPr>
        <w:pStyle w:val="JK4"/>
        <w:keepNext w:val="0"/>
        <w:numPr>
          <w:ilvl w:val="0"/>
          <w:numId w:val="0"/>
        </w:numPr>
        <w:spacing w:after="120"/>
      </w:pPr>
    </w:p>
    <w:p w14:paraId="3CCDE137" w14:textId="77777777" w:rsidR="0034425A" w:rsidRPr="0034425A" w:rsidRDefault="0034425A" w:rsidP="009423D3">
      <w:pPr>
        <w:keepNext/>
        <w:pBdr>
          <w:top w:val="single" w:sz="4" w:space="1" w:color="auto"/>
          <w:left w:val="single" w:sz="4" w:space="4" w:color="auto"/>
          <w:bottom w:val="single" w:sz="4" w:space="1" w:color="auto"/>
          <w:right w:val="single" w:sz="4" w:space="4" w:color="auto"/>
        </w:pBdr>
        <w:spacing w:before="120" w:after="120" w:line="240" w:lineRule="auto"/>
        <w:jc w:val="both"/>
        <w:rPr>
          <w:b/>
          <w:color w:val="004595"/>
          <w:sz w:val="24"/>
          <w:szCs w:val="24"/>
        </w:rPr>
      </w:pPr>
      <w:r w:rsidRPr="0034425A">
        <w:rPr>
          <w:b/>
          <w:color w:val="004595"/>
          <w:sz w:val="24"/>
          <w:szCs w:val="24"/>
        </w:rPr>
        <w:t xml:space="preserve">Příklad č. </w:t>
      </w:r>
      <w:r>
        <w:rPr>
          <w:b/>
          <w:color w:val="004595"/>
          <w:sz w:val="24"/>
          <w:szCs w:val="24"/>
        </w:rPr>
        <w:t>9</w:t>
      </w:r>
    </w:p>
    <w:p w14:paraId="4145DD70" w14:textId="77777777" w:rsidR="003041FD" w:rsidRDefault="0034425A" w:rsidP="00CB3156">
      <w:pPr>
        <w:pBdr>
          <w:top w:val="single" w:sz="4" w:space="1" w:color="auto"/>
          <w:left w:val="single" w:sz="4" w:space="4" w:color="auto"/>
          <w:bottom w:val="single" w:sz="4" w:space="1" w:color="auto"/>
          <w:right w:val="single" w:sz="4" w:space="4" w:color="auto"/>
        </w:pBdr>
        <w:spacing w:before="120" w:after="120" w:line="240" w:lineRule="auto"/>
        <w:jc w:val="both"/>
      </w:pPr>
      <w:r w:rsidRPr="001B46CE">
        <w:rPr>
          <w:i/>
          <w:sz w:val="24"/>
          <w:szCs w:val="24"/>
        </w:rPr>
        <w:t>Podpor</w:t>
      </w:r>
      <w:r w:rsidR="008D07E4">
        <w:rPr>
          <w:i/>
          <w:sz w:val="24"/>
          <w:szCs w:val="24"/>
        </w:rPr>
        <w:t>a</w:t>
      </w:r>
      <w:r w:rsidRPr="001B46CE">
        <w:rPr>
          <w:i/>
          <w:sz w:val="24"/>
          <w:szCs w:val="24"/>
        </w:rPr>
        <w:t xml:space="preserve"> ve výši cca 3,9 mil. Kč </w:t>
      </w:r>
      <w:r w:rsidR="008D07E4">
        <w:rPr>
          <w:i/>
          <w:sz w:val="24"/>
          <w:szCs w:val="24"/>
        </w:rPr>
        <w:t>byla u</w:t>
      </w:r>
      <w:r w:rsidRPr="001B46CE">
        <w:rPr>
          <w:i/>
          <w:sz w:val="24"/>
          <w:szCs w:val="24"/>
        </w:rPr>
        <w:t xml:space="preserve"> projektu </w:t>
      </w:r>
      <w:r w:rsidR="008D07E4">
        <w:rPr>
          <w:i/>
          <w:sz w:val="24"/>
          <w:szCs w:val="24"/>
        </w:rPr>
        <w:t xml:space="preserve">č. </w:t>
      </w:r>
      <w:r w:rsidRPr="001B46CE">
        <w:rPr>
          <w:i/>
          <w:sz w:val="24"/>
          <w:szCs w:val="24"/>
        </w:rPr>
        <w:t>14002</w:t>
      </w:r>
      <w:r w:rsidR="00693507">
        <w:rPr>
          <w:i/>
          <w:sz w:val="24"/>
          <w:szCs w:val="24"/>
        </w:rPr>
        <w:t xml:space="preserve"> (OPZ)</w:t>
      </w:r>
      <w:r w:rsidRPr="001B46CE">
        <w:rPr>
          <w:i/>
          <w:sz w:val="24"/>
          <w:szCs w:val="24"/>
        </w:rPr>
        <w:t xml:space="preserve"> </w:t>
      </w:r>
      <w:r w:rsidR="008D07E4">
        <w:rPr>
          <w:i/>
          <w:sz w:val="24"/>
          <w:szCs w:val="24"/>
        </w:rPr>
        <w:t>příjemci podpory poskytnuta</w:t>
      </w:r>
      <w:r w:rsidRPr="001B46CE">
        <w:rPr>
          <w:i/>
          <w:sz w:val="24"/>
          <w:szCs w:val="24"/>
        </w:rPr>
        <w:t xml:space="preserve"> na </w:t>
      </w:r>
      <w:r w:rsidR="008D07E4">
        <w:rPr>
          <w:i/>
          <w:sz w:val="24"/>
          <w:szCs w:val="24"/>
        </w:rPr>
        <w:t xml:space="preserve">pořízení technologie a zahájení provozu </w:t>
      </w:r>
      <w:proofErr w:type="spellStart"/>
      <w:r w:rsidR="008D07E4">
        <w:rPr>
          <w:i/>
          <w:sz w:val="24"/>
          <w:szCs w:val="24"/>
        </w:rPr>
        <w:t>ciderie</w:t>
      </w:r>
      <w:proofErr w:type="spellEnd"/>
      <w:r w:rsidR="008D07E4">
        <w:rPr>
          <w:i/>
          <w:sz w:val="24"/>
          <w:szCs w:val="24"/>
        </w:rPr>
        <w:t>. P</w:t>
      </w:r>
      <w:r w:rsidRPr="001B46CE">
        <w:rPr>
          <w:i/>
          <w:sz w:val="24"/>
          <w:szCs w:val="24"/>
        </w:rPr>
        <w:t>říjemce podpory naplnil očekávané výsledky projektu v oblasti ekonomických cílů pouze z cca 25 % plánovaných hodnot</w:t>
      </w:r>
      <w:r w:rsidR="008D07E4">
        <w:rPr>
          <w:i/>
          <w:sz w:val="24"/>
          <w:szCs w:val="24"/>
        </w:rPr>
        <w:t>, přičemž</w:t>
      </w:r>
      <w:r w:rsidRPr="001B46CE">
        <w:rPr>
          <w:i/>
          <w:sz w:val="24"/>
          <w:szCs w:val="24"/>
        </w:rPr>
        <w:t xml:space="preserve"> projekt </w:t>
      </w:r>
      <w:r w:rsidR="008D07E4">
        <w:rPr>
          <w:i/>
          <w:sz w:val="24"/>
          <w:szCs w:val="24"/>
        </w:rPr>
        <w:t xml:space="preserve">realizoval </w:t>
      </w:r>
      <w:r w:rsidRPr="001B46CE">
        <w:rPr>
          <w:i/>
          <w:sz w:val="24"/>
          <w:szCs w:val="24"/>
        </w:rPr>
        <w:t>s výrazným zpožděním oproti harmonogramu</w:t>
      </w:r>
      <w:r w:rsidR="00144085">
        <w:rPr>
          <w:i/>
          <w:sz w:val="24"/>
          <w:szCs w:val="24"/>
        </w:rPr>
        <w:t>.</w:t>
      </w:r>
      <w:r w:rsidRPr="001B46CE">
        <w:rPr>
          <w:i/>
          <w:sz w:val="24"/>
          <w:szCs w:val="24"/>
        </w:rPr>
        <w:t xml:space="preserve"> </w:t>
      </w:r>
      <w:r w:rsidR="00144085">
        <w:rPr>
          <w:i/>
          <w:sz w:val="24"/>
          <w:szCs w:val="24"/>
        </w:rPr>
        <w:t>V</w:t>
      </w:r>
      <w:r w:rsidRPr="001B46CE">
        <w:rPr>
          <w:i/>
          <w:sz w:val="24"/>
          <w:szCs w:val="24"/>
        </w:rPr>
        <w:t xml:space="preserve"> důsledku </w:t>
      </w:r>
      <w:r w:rsidR="00144085">
        <w:rPr>
          <w:i/>
          <w:sz w:val="24"/>
          <w:szCs w:val="24"/>
        </w:rPr>
        <w:t>toho</w:t>
      </w:r>
      <w:r w:rsidRPr="001B46CE">
        <w:rPr>
          <w:i/>
          <w:sz w:val="24"/>
          <w:szCs w:val="24"/>
        </w:rPr>
        <w:t xml:space="preserve"> byl významně snížen sociální prospěch, který měl projekt přinést. Navíc v rámci projektu byly proplaceny značné investiční výdaje </w:t>
      </w:r>
      <w:r w:rsidR="008D07E4">
        <w:rPr>
          <w:i/>
          <w:sz w:val="24"/>
          <w:szCs w:val="24"/>
        </w:rPr>
        <w:t xml:space="preserve">(přestože se jedná o projekt OPZ) </w:t>
      </w:r>
      <w:r w:rsidRPr="001B46CE">
        <w:rPr>
          <w:i/>
          <w:sz w:val="24"/>
          <w:szCs w:val="24"/>
        </w:rPr>
        <w:t>a intenzita podpory z veřejných zdrojů je v případě tohoto projektu</w:t>
      </w:r>
      <w:r w:rsidR="008D07E4">
        <w:rPr>
          <w:i/>
          <w:sz w:val="24"/>
          <w:szCs w:val="24"/>
        </w:rPr>
        <w:t xml:space="preserve"> vysoká</w:t>
      </w:r>
      <w:r w:rsidRPr="001B46CE">
        <w:rPr>
          <w:i/>
          <w:sz w:val="24"/>
          <w:szCs w:val="24"/>
        </w:rPr>
        <w:t>.</w:t>
      </w:r>
      <w:r w:rsidR="008D07E4">
        <w:rPr>
          <w:i/>
          <w:sz w:val="24"/>
          <w:szCs w:val="24"/>
        </w:rPr>
        <w:t xml:space="preserve"> </w:t>
      </w:r>
      <w:r w:rsidRPr="001B46CE">
        <w:rPr>
          <w:i/>
          <w:sz w:val="24"/>
          <w:szCs w:val="24"/>
        </w:rPr>
        <w:t xml:space="preserve">Z těchto důvodů NKÚ vyhodnotil </w:t>
      </w:r>
      <w:r w:rsidR="00693507">
        <w:rPr>
          <w:i/>
          <w:sz w:val="24"/>
          <w:szCs w:val="24"/>
        </w:rPr>
        <w:t xml:space="preserve">tento </w:t>
      </w:r>
      <w:r w:rsidR="008D07E4">
        <w:rPr>
          <w:i/>
          <w:sz w:val="24"/>
          <w:szCs w:val="24"/>
        </w:rPr>
        <w:t>projekt</w:t>
      </w:r>
      <w:r w:rsidRPr="001B46CE">
        <w:rPr>
          <w:i/>
          <w:sz w:val="24"/>
          <w:szCs w:val="24"/>
        </w:rPr>
        <w:t xml:space="preserve"> jako účelný</w:t>
      </w:r>
      <w:r w:rsidR="005B48AA">
        <w:rPr>
          <w:i/>
          <w:sz w:val="24"/>
          <w:szCs w:val="24"/>
        </w:rPr>
        <w:t xml:space="preserve"> (a též efektivní)</w:t>
      </w:r>
      <w:r w:rsidRPr="001B46CE">
        <w:rPr>
          <w:i/>
          <w:sz w:val="24"/>
          <w:szCs w:val="24"/>
        </w:rPr>
        <w:t xml:space="preserve"> pouze omezeně.</w:t>
      </w:r>
    </w:p>
    <w:p w14:paraId="304CDF17" w14:textId="77777777" w:rsidR="00A65537" w:rsidRDefault="00A76049" w:rsidP="00B9765B">
      <w:pPr>
        <w:pStyle w:val="JK4"/>
        <w:keepNext w:val="0"/>
        <w:tabs>
          <w:tab w:val="left" w:pos="567"/>
        </w:tabs>
        <w:spacing w:after="120"/>
      </w:pPr>
      <w:bookmarkStart w:id="22" w:name="_Hlk99008016"/>
      <w:r>
        <w:t>Souhrnný výsledek hodnocení účelnosti 16 posuzovaných projektů ukazuje názorně graf č.</w:t>
      </w:r>
      <w:r w:rsidR="00B9765B">
        <w:t> </w:t>
      </w:r>
      <w:r>
        <w:t>2. Polovina projektů získala pozitivní hodnocení (projekty byly hodnoceny nejhůře jako účelné s mírnými nedostatky)</w:t>
      </w:r>
      <w:r w:rsidR="00510A6C">
        <w:t>. Avšak</w:t>
      </w:r>
      <w:r>
        <w:t xml:space="preserve"> u druhé poloviny </w:t>
      </w:r>
      <w:r w:rsidR="00510A6C">
        <w:t xml:space="preserve">projektů </w:t>
      </w:r>
      <w:r>
        <w:t>bylo hodnocení účelnosti</w:t>
      </w:r>
      <w:r w:rsidR="00510A6C">
        <w:t xml:space="preserve"> vynaložených prostředků</w:t>
      </w:r>
      <w:r>
        <w:t xml:space="preserve"> významně sníženo</w:t>
      </w:r>
      <w:r w:rsidR="00510A6C">
        <w:t xml:space="preserve">, přičemž </w:t>
      </w:r>
      <w:r>
        <w:t xml:space="preserve">jeden projekt byl hodnocen jako </w:t>
      </w:r>
      <w:r w:rsidR="00510A6C">
        <w:t xml:space="preserve">zcela </w:t>
      </w:r>
      <w:r>
        <w:t>neúčelný</w:t>
      </w:r>
      <w:r w:rsidR="00510A6C">
        <w:t xml:space="preserve"> </w:t>
      </w:r>
      <w:r w:rsidR="00DA742E">
        <w:t>–</w:t>
      </w:r>
      <w:r>
        <w:t xml:space="preserve"> viz příklad č. 7</w:t>
      </w:r>
      <w:bookmarkEnd w:id="22"/>
      <w:r w:rsidR="00F7526A">
        <w:t>.</w:t>
      </w:r>
    </w:p>
    <w:p w14:paraId="10174130" w14:textId="77777777" w:rsidR="00A65537" w:rsidRPr="00DA742E" w:rsidRDefault="00A65537" w:rsidP="00CB3156">
      <w:pPr>
        <w:keepNext/>
        <w:spacing w:before="120" w:after="120" w:line="240" w:lineRule="auto"/>
        <w:rPr>
          <w:b/>
          <w:sz w:val="24"/>
        </w:rPr>
      </w:pPr>
      <w:r w:rsidRPr="00DA742E">
        <w:rPr>
          <w:b/>
          <w:sz w:val="24"/>
        </w:rPr>
        <w:t xml:space="preserve">Graf č. </w:t>
      </w:r>
      <w:r w:rsidR="00AF401B" w:rsidRPr="00DA742E">
        <w:rPr>
          <w:b/>
          <w:sz w:val="24"/>
        </w:rPr>
        <w:t>2</w:t>
      </w:r>
      <w:r w:rsidR="00DA742E">
        <w:rPr>
          <w:b/>
          <w:sz w:val="24"/>
        </w:rPr>
        <w:t>:</w:t>
      </w:r>
      <w:r w:rsidRPr="00DA742E">
        <w:rPr>
          <w:b/>
          <w:sz w:val="24"/>
        </w:rPr>
        <w:t xml:space="preserve"> Souhrnný výsledek hodnocení účelnosti posuzovaných projektů</w:t>
      </w:r>
    </w:p>
    <w:p w14:paraId="672C7B05" w14:textId="77777777" w:rsidR="00935BCF" w:rsidRDefault="00DF2359" w:rsidP="00CB3156">
      <w:pPr>
        <w:pStyle w:val="JK4"/>
        <w:numPr>
          <w:ilvl w:val="0"/>
          <w:numId w:val="0"/>
        </w:numPr>
      </w:pPr>
      <w:r w:rsidRPr="00DF2359">
        <w:rPr>
          <w:rFonts w:eastAsia="Calibri"/>
          <w:noProof/>
          <w:color w:val="auto"/>
          <w:sz w:val="22"/>
          <w:szCs w:val="22"/>
          <w:lang w:eastAsia="en-US"/>
        </w:rPr>
        <mc:AlternateContent>
          <mc:Choice Requires="wps">
            <w:drawing>
              <wp:anchor distT="45720" distB="45720" distL="114300" distR="114300" simplePos="0" relativeHeight="251658242" behindDoc="0" locked="0" layoutInCell="1" allowOverlap="1" wp14:anchorId="2FE78717" wp14:editId="603654B8">
                <wp:simplePos x="0" y="0"/>
                <wp:positionH relativeFrom="column">
                  <wp:posOffset>1219710</wp:posOffset>
                </wp:positionH>
                <wp:positionV relativeFrom="paragraph">
                  <wp:posOffset>1040607</wp:posOffset>
                </wp:positionV>
                <wp:extent cx="1426464" cy="1157535"/>
                <wp:effectExtent l="0" t="0" r="2540" b="508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464" cy="1157535"/>
                        </a:xfrm>
                        <a:prstGeom prst="rect">
                          <a:avLst/>
                        </a:prstGeom>
                        <a:solidFill>
                          <a:srgbClr val="FFFFFF"/>
                        </a:solidFill>
                        <a:ln w="9525">
                          <a:noFill/>
                          <a:miter lim="800000"/>
                          <a:headEnd/>
                          <a:tailEnd/>
                        </a:ln>
                      </wps:spPr>
                      <wps:txbx>
                        <w:txbxContent>
                          <w:p w14:paraId="7F73FDAC" w14:textId="77777777" w:rsidR="00F95814" w:rsidRDefault="00F95814" w:rsidP="00DF2359">
                            <w:pPr>
                              <w:jc w:val="center"/>
                              <w:rPr>
                                <w:b/>
                                <w:sz w:val="28"/>
                              </w:rPr>
                            </w:pPr>
                            <w:r>
                              <w:rPr>
                                <w:b/>
                                <w:sz w:val="28"/>
                              </w:rPr>
                              <w:t>50 %</w:t>
                            </w:r>
                          </w:p>
                          <w:p w14:paraId="1FD7B1A3" w14:textId="77777777" w:rsidR="00F95814" w:rsidRPr="00A56395" w:rsidRDefault="00F95814" w:rsidP="00DF2359">
                            <w:pPr>
                              <w:jc w:val="center"/>
                              <w:rPr>
                                <w:sz w:val="20"/>
                                <w:szCs w:val="20"/>
                              </w:rPr>
                            </w:pPr>
                            <w:r w:rsidRPr="00A56395">
                              <w:rPr>
                                <w:sz w:val="20"/>
                                <w:szCs w:val="20"/>
                              </w:rPr>
                              <w:t>kontrolovaných projektů problematických z hlediska účelnosti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78717" id="_x0000_t202" coordsize="21600,21600" o:spt="202" path="m,l,21600r21600,l21600,xe">
                <v:stroke joinstyle="miter"/>
                <v:path gradientshapeok="t" o:connecttype="rect"/>
              </v:shapetype>
              <v:shape id="Textové pole 2" o:spid="_x0000_s1031" type="#_x0000_t202" style="position:absolute;left:0;text-align:left;margin-left:96.05pt;margin-top:81.95pt;width:112.3pt;height:91.1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" stroked="f">
                <v:textbox>
                  <w:txbxContent>
                    <w:p w14:paraId="7F73FDAC" w14:textId="77777777" w:rsidR="00F95814" w:rsidRDefault="00F95814" w:rsidP="00DF2359">
                      <w:pPr>
                        <w:jc w:val="center"/>
                        <w:rPr>
                          <w:b/>
                          <w:sz w:val="28"/>
                        </w:rPr>
                      </w:pPr>
                      <w:r>
                        <w:rPr>
                          <w:b/>
                          <w:sz w:val="28"/>
                        </w:rPr>
                        <w:t>50 %</w:t>
                      </w:r>
                    </w:p>
                    <w:p w14:paraId="1FD7B1A3" w14:textId="77777777" w:rsidR="00F95814" w:rsidRPr="00A56395" w:rsidRDefault="00F95814" w:rsidP="00DF2359">
                      <w:pPr>
                        <w:jc w:val="center"/>
                        <w:rPr>
                          <w:sz w:val="20"/>
                          <w:szCs w:val="20"/>
                        </w:rPr>
                      </w:pPr>
                      <w:r w:rsidRPr="00A56395">
                        <w:rPr>
                          <w:sz w:val="20"/>
                          <w:szCs w:val="20"/>
                        </w:rPr>
                        <w:t>kontrolovaných projektů problematických z hlediska účelnosti</w:t>
                      </w:r>
                    </w:p>
                  </w:txbxContent>
                </v:textbox>
              </v:shape>
            </w:pict>
          </mc:Fallback>
        </mc:AlternateContent>
      </w:r>
      <w:r w:rsidR="00935BCF">
        <w:rPr>
          <w:noProof/>
        </w:rPr>
        <w:drawing>
          <wp:inline distT="0" distB="0" distL="0" distR="0" wp14:anchorId="1F5D0F1B" wp14:editId="501946BD">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784B94" w14:textId="77777777" w:rsidR="00935BCF" w:rsidRPr="00CB3156" w:rsidRDefault="00A76049" w:rsidP="00CB3156">
      <w:pPr>
        <w:pStyle w:val="JK4"/>
        <w:keepNext w:val="0"/>
        <w:numPr>
          <w:ilvl w:val="0"/>
          <w:numId w:val="0"/>
        </w:numPr>
        <w:spacing w:after="120"/>
        <w:rPr>
          <w:sz w:val="20"/>
        </w:rPr>
      </w:pPr>
      <w:bookmarkStart w:id="23" w:name="_Hlk99008301"/>
      <w:r w:rsidRPr="00CB3156">
        <w:rPr>
          <w:b/>
          <w:sz w:val="20"/>
        </w:rPr>
        <w:t>Zdroj:</w:t>
      </w:r>
      <w:r w:rsidRPr="00CB3156">
        <w:rPr>
          <w:sz w:val="20"/>
        </w:rPr>
        <w:t xml:space="preserve"> </w:t>
      </w:r>
      <w:r w:rsidR="003A795B">
        <w:rPr>
          <w:sz w:val="20"/>
        </w:rPr>
        <w:t>a</w:t>
      </w:r>
      <w:r w:rsidRPr="00CB3156">
        <w:rPr>
          <w:sz w:val="20"/>
        </w:rPr>
        <w:t>nalýzu dat vypracoval NKÚ.</w:t>
      </w:r>
      <w:bookmarkEnd w:id="23"/>
    </w:p>
    <w:p w14:paraId="11F841AA" w14:textId="77777777" w:rsidR="007712B5" w:rsidRDefault="005B48AA" w:rsidP="00B9765B">
      <w:pPr>
        <w:pStyle w:val="JK4"/>
        <w:keepNext w:val="0"/>
        <w:tabs>
          <w:tab w:val="left" w:pos="567"/>
        </w:tabs>
        <w:spacing w:after="120"/>
      </w:pPr>
      <w:r>
        <w:t>NKÚ v této souvislosti upozorňuje na významný systémový nedostatek</w:t>
      </w:r>
      <w:r w:rsidR="00A76049">
        <w:t xml:space="preserve"> zjištěn</w:t>
      </w:r>
      <w:r>
        <w:t>ý</w:t>
      </w:r>
      <w:r w:rsidR="00A76049">
        <w:t xml:space="preserve"> u IROP v souvislosti s proplácením nezpůsobilých výdajů spojených s </w:t>
      </w:r>
      <w:r w:rsidR="00510A6C">
        <w:t>nákupem</w:t>
      </w:r>
      <w:r w:rsidR="00A76049">
        <w:t xml:space="preserve"> nemovitostí </w:t>
      </w:r>
      <w:r w:rsidR="00510A6C">
        <w:t xml:space="preserve">od </w:t>
      </w:r>
      <w:r w:rsidR="00A76049">
        <w:t>osob blízký</w:t>
      </w:r>
      <w:r w:rsidR="00510A6C">
        <w:t>ch</w:t>
      </w:r>
      <w:r w:rsidR="00A76049">
        <w:t xml:space="preserve">. NKÚ zjistil, že nedostatek popsaný </w:t>
      </w:r>
      <w:r w:rsidR="00687CC7">
        <w:t>v</w:t>
      </w:r>
      <w:r w:rsidR="00A76049">
        <w:t xml:space="preserve"> příklad</w:t>
      </w:r>
      <w:r w:rsidR="00687CC7">
        <w:t>u</w:t>
      </w:r>
      <w:r w:rsidR="00A76049">
        <w:t xml:space="preserve"> č. 7 se netýkal pouze jednoho vybraného projektu</w:t>
      </w:r>
      <w:r w:rsidR="00687CC7">
        <w:t>.</w:t>
      </w:r>
      <w:r w:rsidR="00A76049">
        <w:t xml:space="preserve"> NKÚ prokazatelně zjistil pochybení u </w:t>
      </w:r>
      <w:r>
        <w:t xml:space="preserve">dalších dvou </w:t>
      </w:r>
      <w:r w:rsidR="00A76049">
        <w:t>projektů</w:t>
      </w:r>
      <w:r>
        <w:t xml:space="preserve"> sociálního podnikání podpořených z IROP</w:t>
      </w:r>
      <w:r w:rsidR="00A76049">
        <w:t xml:space="preserve"> </w:t>
      </w:r>
      <w:r w:rsidR="0018643E">
        <w:t>prověřovaných u poskytovatele podpory</w:t>
      </w:r>
      <w:r>
        <w:t>.</w:t>
      </w:r>
      <w:r w:rsidR="00A76049">
        <w:t xml:space="preserve"> </w:t>
      </w:r>
      <w:r>
        <w:t>Jelikož</w:t>
      </w:r>
      <w:r w:rsidR="008A446D">
        <w:t xml:space="preserve"> NKÚ tyto případy zjistil jen na základě prostého porovnání příjmení prodávajících a kupujících,</w:t>
      </w:r>
      <w:r w:rsidR="00A76049">
        <w:t xml:space="preserve"> </w:t>
      </w:r>
      <w:r w:rsidR="00A576B5">
        <w:t>existuje riziko</w:t>
      </w:r>
      <w:r w:rsidR="00A76049">
        <w:t>, že</w:t>
      </w:r>
      <w:r w:rsidR="00C9209D">
        <w:t xml:space="preserve"> </w:t>
      </w:r>
      <w:r w:rsidR="008A446D">
        <w:t>koupě nemovitosti od osob blízkých</w:t>
      </w:r>
      <w:r w:rsidR="00A76049">
        <w:t xml:space="preserve"> </w:t>
      </w:r>
      <w:r w:rsidR="008A446D">
        <w:t>mohla nastat u</w:t>
      </w:r>
      <w:r w:rsidR="00A76049">
        <w:t xml:space="preserve"> více </w:t>
      </w:r>
      <w:r w:rsidR="008A446D">
        <w:t>příjemců, kdy se jejich příjmení neshodují s příjmením prodávajícího</w:t>
      </w:r>
      <w:r w:rsidR="00A76049">
        <w:t xml:space="preserve">. Implementační orgány IROP </w:t>
      </w:r>
      <w:r w:rsidR="008A446D">
        <w:t>byly na tuto skutečnost již</w:t>
      </w:r>
      <w:r w:rsidR="00DA742E">
        <w:t xml:space="preserve"> </w:t>
      </w:r>
      <w:r w:rsidR="008A446D">
        <w:t>v průběhu kontroly upozorněny</w:t>
      </w:r>
      <w:r w:rsidR="00A76049">
        <w:t xml:space="preserve"> a </w:t>
      </w:r>
      <w:r w:rsidR="008A446D">
        <w:t xml:space="preserve">na základě toho </w:t>
      </w:r>
      <w:r w:rsidR="00A76049" w:rsidRPr="00AF52A6">
        <w:t>provád</w:t>
      </w:r>
      <w:r w:rsidR="00A76049">
        <w:t>ějí</w:t>
      </w:r>
      <w:r w:rsidR="00A76049" w:rsidRPr="00AF52A6">
        <w:t xml:space="preserve"> mimořádné kontroly všech projektů zaměřených na podporu sociálních podniků, v</w:t>
      </w:r>
      <w:r w:rsidR="00DA742E">
        <w:t> jejichž</w:t>
      </w:r>
      <w:r w:rsidR="00A76049" w:rsidRPr="00AF52A6">
        <w:t xml:space="preserve"> rámci bude </w:t>
      </w:r>
      <w:r w:rsidR="008A446D">
        <w:t xml:space="preserve">důsledně </w:t>
      </w:r>
      <w:r w:rsidR="00A76049" w:rsidRPr="00AF52A6">
        <w:t>prověřen nákup nemovitostí</w:t>
      </w:r>
      <w:r w:rsidR="008A446D">
        <w:t xml:space="preserve"> za účelem eliminace tohoto rizika pro</w:t>
      </w:r>
      <w:r w:rsidR="00846006">
        <w:t xml:space="preserve"> způsobilost,</w:t>
      </w:r>
      <w:r w:rsidR="008A446D">
        <w:t xml:space="preserve"> účelnost a efektivnost vynaložených prostředků</w:t>
      </w:r>
      <w:r w:rsidR="00A76049">
        <w:t xml:space="preserve">. </w:t>
      </w:r>
    </w:p>
    <w:p w14:paraId="7BFBC283" w14:textId="77777777" w:rsidR="00A139DA" w:rsidRPr="00CB3156" w:rsidRDefault="002728B3" w:rsidP="00CB3156">
      <w:pPr>
        <w:pStyle w:val="Odstavecseseznamem"/>
        <w:keepNext/>
        <w:spacing w:before="360" w:after="240" w:line="240" w:lineRule="auto"/>
        <w:ind w:left="284" w:hanging="284"/>
        <w:contextualSpacing w:val="0"/>
        <w:rPr>
          <w:rFonts w:cstheme="minorHAnsi"/>
          <w:b/>
          <w:i/>
          <w:color w:val="1F4E79" w:themeColor="accent1" w:themeShade="80"/>
          <w:sz w:val="24"/>
          <w:szCs w:val="28"/>
        </w:rPr>
      </w:pPr>
      <w:r>
        <w:rPr>
          <w:rFonts w:cstheme="minorHAnsi"/>
          <w:b/>
          <w:i/>
          <w:color w:val="1F4E79" w:themeColor="accent1" w:themeShade="80"/>
          <w:sz w:val="28"/>
          <w:szCs w:val="28"/>
        </w:rPr>
        <w:t>E</w:t>
      </w:r>
      <w:r w:rsidR="00A139DA" w:rsidRPr="002728B3">
        <w:rPr>
          <w:rFonts w:cstheme="minorHAnsi"/>
          <w:b/>
          <w:i/>
          <w:color w:val="1F4E79" w:themeColor="accent1" w:themeShade="80"/>
          <w:sz w:val="28"/>
          <w:szCs w:val="28"/>
        </w:rPr>
        <w:t xml:space="preserve">. </w:t>
      </w:r>
      <w:r w:rsidRPr="00CB3156">
        <w:rPr>
          <w:rFonts w:cstheme="minorHAnsi"/>
          <w:b/>
          <w:i/>
          <w:color w:val="1F4E79" w:themeColor="accent1" w:themeShade="80"/>
          <w:sz w:val="24"/>
          <w:szCs w:val="28"/>
        </w:rPr>
        <w:t xml:space="preserve">Byly peněžní prostředky na podporu </w:t>
      </w:r>
      <w:r w:rsidR="009C54E6" w:rsidRPr="00CB3156">
        <w:rPr>
          <w:rFonts w:cstheme="minorHAnsi"/>
          <w:b/>
          <w:i/>
          <w:color w:val="1F4E79" w:themeColor="accent1" w:themeShade="80"/>
          <w:sz w:val="24"/>
          <w:szCs w:val="28"/>
        </w:rPr>
        <w:t xml:space="preserve">vybraných </w:t>
      </w:r>
      <w:r w:rsidRPr="00CB3156">
        <w:rPr>
          <w:rFonts w:cstheme="minorHAnsi"/>
          <w:b/>
          <w:i/>
          <w:color w:val="1F4E79" w:themeColor="accent1" w:themeShade="80"/>
          <w:sz w:val="24"/>
          <w:szCs w:val="28"/>
        </w:rPr>
        <w:t>sociálních podniků poskytovány a</w:t>
      </w:r>
      <w:r w:rsidR="00CB3156">
        <w:rPr>
          <w:rFonts w:cstheme="minorHAnsi"/>
          <w:b/>
          <w:i/>
          <w:color w:val="1F4E79" w:themeColor="accent1" w:themeShade="80"/>
          <w:sz w:val="24"/>
          <w:szCs w:val="28"/>
        </w:rPr>
        <w:t> </w:t>
      </w:r>
      <w:r w:rsidRPr="00CB3156">
        <w:rPr>
          <w:rFonts w:cstheme="minorHAnsi"/>
          <w:b/>
          <w:i/>
          <w:color w:val="1F4E79" w:themeColor="accent1" w:themeShade="80"/>
          <w:sz w:val="24"/>
          <w:szCs w:val="28"/>
        </w:rPr>
        <w:t>čerpány efektivně</w:t>
      </w:r>
      <w:r w:rsidR="00E149B6" w:rsidRPr="00CB3156">
        <w:rPr>
          <w:rFonts w:cstheme="minorHAnsi"/>
          <w:b/>
          <w:i/>
          <w:color w:val="1F4E79" w:themeColor="accent1" w:themeShade="80"/>
          <w:sz w:val="24"/>
          <w:szCs w:val="28"/>
        </w:rPr>
        <w:t xml:space="preserve"> a v souladu s právními předpisy</w:t>
      </w:r>
      <w:r w:rsidRPr="00CB3156">
        <w:rPr>
          <w:rFonts w:cstheme="minorHAnsi"/>
          <w:b/>
          <w:i/>
          <w:color w:val="1F4E79" w:themeColor="accent1" w:themeShade="80"/>
          <w:sz w:val="24"/>
          <w:szCs w:val="28"/>
        </w:rPr>
        <w:t>?</w:t>
      </w:r>
    </w:p>
    <w:p w14:paraId="04621ECB" w14:textId="77777777" w:rsidR="00836B35" w:rsidRDefault="00A36044" w:rsidP="00B9765B">
      <w:pPr>
        <w:pStyle w:val="JK4"/>
        <w:keepNext w:val="0"/>
        <w:tabs>
          <w:tab w:val="left" w:pos="567"/>
        </w:tabs>
        <w:spacing w:after="120"/>
      </w:pPr>
      <w:r>
        <w:t xml:space="preserve">Na základě skutečností zjištěných při kontrole vybraných projektů a u poskytovatelů podpory provedl NKÚ vyhodnocení toho, zda peněžní prostředky státního rozpočtu a Evropské unie na podporu sociálních podniků byly poskytovány a čerpány efektivně. Obdobně jako v případě hodnocení účelnosti zpracoval NKÚ pro hodnocení </w:t>
      </w:r>
      <w:r w:rsidR="00316CFE">
        <w:t xml:space="preserve">efektivnosti </w:t>
      </w:r>
      <w:r>
        <w:t>projektů čtyřstupňovou hodnotící škálu (projekt je: efektivní – efektivní s mírnými nedostatky – efektivní omezeně – neefektivní) a stanovil jednotná kritéria pro vyhodnocení (</w:t>
      </w:r>
      <w:r w:rsidR="00DA742E">
        <w:t xml:space="preserve">viz </w:t>
      </w:r>
      <w:r w:rsidRPr="004A5171">
        <w:rPr>
          <w:b/>
        </w:rPr>
        <w:t>příloha č.</w:t>
      </w:r>
      <w:r w:rsidR="00DA742E">
        <w:rPr>
          <w:b/>
        </w:rPr>
        <w:t> </w:t>
      </w:r>
      <w:r w:rsidR="00046F3E" w:rsidRPr="004A5171">
        <w:rPr>
          <w:b/>
        </w:rPr>
        <w:t>2</w:t>
      </w:r>
      <w:r w:rsidR="00DA742E">
        <w:rPr>
          <w:b/>
        </w:rPr>
        <w:t xml:space="preserve"> </w:t>
      </w:r>
      <w:r w:rsidR="00DA742E">
        <w:t>tohoto kontrolního závěru</w:t>
      </w:r>
      <w:r>
        <w:t>). Výsledky posouzení po</w:t>
      </w:r>
      <w:r w:rsidR="0036765A">
        <w:t> </w:t>
      </w:r>
      <w:r>
        <w:t xml:space="preserve">jednotlivých projektech obsahuje </w:t>
      </w:r>
      <w:r w:rsidRPr="004A5171">
        <w:rPr>
          <w:b/>
        </w:rPr>
        <w:t xml:space="preserve">příloha č. </w:t>
      </w:r>
      <w:r w:rsidR="00046F3E" w:rsidRPr="004A5171">
        <w:rPr>
          <w:b/>
        </w:rPr>
        <w:t>1</w:t>
      </w:r>
      <w:r w:rsidR="003A795B">
        <w:t xml:space="preserve"> tohoto kontrolního závěru</w:t>
      </w:r>
      <w:r>
        <w:t>.</w:t>
      </w:r>
    </w:p>
    <w:p w14:paraId="43440752" w14:textId="77777777" w:rsidR="00A36044" w:rsidRPr="00E57019" w:rsidRDefault="00C253E2" w:rsidP="00282685">
      <w:pPr>
        <w:spacing w:before="120" w:after="120" w:line="240" w:lineRule="auto"/>
        <w:ind w:left="284" w:hanging="284"/>
        <w:jc w:val="both"/>
        <w:rPr>
          <w:i/>
          <w:sz w:val="28"/>
          <w:szCs w:val="28"/>
        </w:rPr>
      </w:pPr>
      <w:r w:rsidRPr="00E57019">
        <w:rPr>
          <w:b/>
          <w:bCs/>
          <w:i/>
          <w:color w:val="FF0000"/>
          <w:sz w:val="24"/>
          <w:szCs w:val="24"/>
        </w:rPr>
        <w:t xml:space="preserve">→ </w:t>
      </w:r>
      <w:r w:rsidR="00282685">
        <w:rPr>
          <w:b/>
          <w:bCs/>
          <w:i/>
          <w:color w:val="FF0000"/>
          <w:sz w:val="24"/>
          <w:szCs w:val="24"/>
        </w:rPr>
        <w:tab/>
      </w:r>
      <w:r w:rsidRPr="00E57019">
        <w:rPr>
          <w:b/>
          <w:i/>
          <w:color w:val="FF0000"/>
          <w:sz w:val="24"/>
          <w:szCs w:val="24"/>
        </w:rPr>
        <w:t xml:space="preserve">Efektivnost </w:t>
      </w:r>
      <w:r w:rsidR="007E1B1B">
        <w:rPr>
          <w:b/>
          <w:i/>
          <w:color w:val="FF0000"/>
          <w:sz w:val="24"/>
          <w:szCs w:val="24"/>
        </w:rPr>
        <w:t xml:space="preserve">vynaložených prostředků </w:t>
      </w:r>
      <w:r w:rsidR="003A795B">
        <w:rPr>
          <w:b/>
          <w:i/>
          <w:color w:val="FF0000"/>
          <w:sz w:val="24"/>
          <w:szCs w:val="24"/>
        </w:rPr>
        <w:t>u </w:t>
      </w:r>
      <w:r w:rsidRPr="00E57019">
        <w:rPr>
          <w:b/>
          <w:i/>
          <w:color w:val="FF0000"/>
          <w:sz w:val="24"/>
          <w:szCs w:val="24"/>
        </w:rPr>
        <w:t>osmi z</w:t>
      </w:r>
      <w:r w:rsidR="00C37F2C">
        <w:rPr>
          <w:b/>
          <w:i/>
          <w:color w:val="FF0000"/>
          <w:sz w:val="24"/>
          <w:szCs w:val="24"/>
        </w:rPr>
        <w:t xml:space="preserve"> 16 </w:t>
      </w:r>
      <w:r w:rsidRPr="00E57019">
        <w:rPr>
          <w:b/>
          <w:i/>
          <w:color w:val="FF0000"/>
          <w:sz w:val="24"/>
          <w:szCs w:val="24"/>
        </w:rPr>
        <w:t xml:space="preserve">kontrolovaných projektů byla vyhodnocena pozitivně, </w:t>
      </w:r>
      <w:r w:rsidR="007E1B1B">
        <w:rPr>
          <w:b/>
          <w:i/>
          <w:color w:val="FF0000"/>
          <w:sz w:val="24"/>
          <w:szCs w:val="24"/>
        </w:rPr>
        <w:t xml:space="preserve">šest projektů bylo vyhodnoceno jako omezeně efektivní a dva </w:t>
      </w:r>
      <w:r w:rsidR="003A795B">
        <w:rPr>
          <w:b/>
          <w:i/>
          <w:color w:val="FF0000"/>
          <w:sz w:val="24"/>
          <w:szCs w:val="24"/>
        </w:rPr>
        <w:t xml:space="preserve">jako </w:t>
      </w:r>
      <w:r w:rsidR="007E1B1B">
        <w:rPr>
          <w:b/>
          <w:i/>
          <w:color w:val="FF0000"/>
          <w:sz w:val="24"/>
          <w:szCs w:val="24"/>
        </w:rPr>
        <w:t>zcela neefektivní</w:t>
      </w:r>
      <w:r w:rsidRPr="00E57019">
        <w:rPr>
          <w:b/>
          <w:i/>
          <w:color w:val="FF0000"/>
          <w:sz w:val="24"/>
          <w:szCs w:val="24"/>
        </w:rPr>
        <w:t>.</w:t>
      </w:r>
    </w:p>
    <w:p w14:paraId="23D9A9C3" w14:textId="77777777" w:rsidR="00A36044" w:rsidRDefault="00A90A0E" w:rsidP="00B9765B">
      <w:pPr>
        <w:pStyle w:val="JK4"/>
        <w:keepNext w:val="0"/>
        <w:tabs>
          <w:tab w:val="left" w:pos="567"/>
        </w:tabs>
        <w:spacing w:after="120"/>
      </w:pPr>
      <w:r>
        <w:t>Hodnocení efektivnosti vynaložených peněžních prostředků provedl NKÚ na vybraném vzorku</w:t>
      </w:r>
      <w:r w:rsidR="00024B1E">
        <w:t xml:space="preserve"> projektů</w:t>
      </w:r>
      <w:r w:rsidRPr="00935BCF">
        <w:t>.</w:t>
      </w:r>
      <w:r w:rsidR="00A36044">
        <w:t xml:space="preserve"> Kromě pří</w:t>
      </w:r>
      <w:r w:rsidR="00FE04ED">
        <w:t>pad</w:t>
      </w:r>
      <w:r w:rsidR="00A36044">
        <w:t xml:space="preserve">ů uvedených v předchozím textu kontrolního závěru, především prostřednictvím příkladů č. </w:t>
      </w:r>
      <w:r w:rsidR="00A76B87">
        <w:t>5</w:t>
      </w:r>
      <w:r w:rsidR="007E1B1B">
        <w:t>,</w:t>
      </w:r>
      <w:r w:rsidR="00A76B87">
        <w:t xml:space="preserve"> 7</w:t>
      </w:r>
      <w:r w:rsidR="007E1B1B">
        <w:t>, 8 a</w:t>
      </w:r>
      <w:r w:rsidR="00A36044">
        <w:t xml:space="preserve"> </w:t>
      </w:r>
      <w:r w:rsidR="00A76B87">
        <w:t>9</w:t>
      </w:r>
      <w:r w:rsidR="00A36044">
        <w:t xml:space="preserve">, </w:t>
      </w:r>
      <w:r w:rsidR="00D21741">
        <w:t>uvádí NKÚ další příklady snížení stupně hodnocení efektivnosti vynaložených prostředků v příkladech č. 10 až 12</w:t>
      </w:r>
      <w:r w:rsidR="00A36044">
        <w:t>:</w:t>
      </w:r>
    </w:p>
    <w:p w14:paraId="70525090" w14:textId="77777777" w:rsidR="00E13ACC" w:rsidRPr="00D809A6" w:rsidRDefault="00E13ACC" w:rsidP="009423D3">
      <w:pPr>
        <w:keepNext/>
        <w:pBdr>
          <w:top w:val="single" w:sz="4" w:space="1" w:color="auto"/>
          <w:left w:val="single" w:sz="4" w:space="4" w:color="auto"/>
          <w:bottom w:val="single" w:sz="4" w:space="1" w:color="auto"/>
          <w:right w:val="single" w:sz="4" w:space="4" w:color="auto"/>
        </w:pBdr>
        <w:spacing w:before="120" w:after="120" w:line="240" w:lineRule="auto"/>
        <w:jc w:val="both"/>
      </w:pPr>
      <w:r w:rsidRPr="00E13ACC">
        <w:rPr>
          <w:b/>
          <w:color w:val="004595"/>
          <w:sz w:val="24"/>
          <w:szCs w:val="24"/>
        </w:rPr>
        <w:t>Příklad č.</w:t>
      </w:r>
      <w:r>
        <w:rPr>
          <w:b/>
          <w:color w:val="004595"/>
          <w:sz w:val="24"/>
          <w:szCs w:val="24"/>
        </w:rPr>
        <w:t xml:space="preserve"> 10</w:t>
      </w:r>
    </w:p>
    <w:p w14:paraId="20E9A365" w14:textId="77777777" w:rsidR="00A36044" w:rsidRDefault="00A5641F" w:rsidP="009423D3">
      <w:pPr>
        <w:pBdr>
          <w:top w:val="single" w:sz="4" w:space="1" w:color="auto"/>
          <w:left w:val="single" w:sz="4" w:space="4" w:color="auto"/>
          <w:bottom w:val="single" w:sz="4" w:space="1" w:color="auto"/>
          <w:right w:val="single" w:sz="4" w:space="4" w:color="auto"/>
        </w:pBdr>
        <w:spacing w:before="120" w:after="120" w:line="240" w:lineRule="auto"/>
        <w:jc w:val="both"/>
      </w:pPr>
      <w:r>
        <w:rPr>
          <w:i/>
          <w:sz w:val="24"/>
          <w:szCs w:val="24"/>
        </w:rPr>
        <w:t>P</w:t>
      </w:r>
      <w:r w:rsidR="00E13ACC" w:rsidRPr="00E13ACC">
        <w:rPr>
          <w:i/>
          <w:sz w:val="24"/>
          <w:szCs w:val="24"/>
        </w:rPr>
        <w:t xml:space="preserve">říjemce podpory </w:t>
      </w:r>
      <w:r>
        <w:rPr>
          <w:i/>
          <w:sz w:val="24"/>
          <w:szCs w:val="24"/>
        </w:rPr>
        <w:t>projektu č. 151</w:t>
      </w:r>
      <w:r w:rsidR="00D21741">
        <w:rPr>
          <w:i/>
          <w:sz w:val="24"/>
          <w:szCs w:val="24"/>
        </w:rPr>
        <w:t xml:space="preserve"> (IROP)</w:t>
      </w:r>
      <w:r>
        <w:rPr>
          <w:i/>
          <w:sz w:val="24"/>
          <w:szCs w:val="24"/>
        </w:rPr>
        <w:t xml:space="preserve"> </w:t>
      </w:r>
      <w:r w:rsidR="00E13ACC" w:rsidRPr="00E13ACC">
        <w:rPr>
          <w:i/>
          <w:sz w:val="24"/>
          <w:szCs w:val="24"/>
        </w:rPr>
        <w:t>využíval pořízenou technologii na výrobu a pasterizaci sladové limonády v pořizovací ceně 796 000 Kč bez DPH (resp. ve schválené výši způsobilých výdajů 795 204 Kč) pouze minimálně. Objemy prodeje limonády byly na úrovni pouhých 2 % plánovaných objemů, tržby z jejího prodeje pak cca na 5 % plánu. NKÚ vyhodnotil projekt jako efektivní pouze omezeně</w:t>
      </w:r>
      <w:r>
        <w:rPr>
          <w:i/>
          <w:sz w:val="24"/>
          <w:szCs w:val="24"/>
        </w:rPr>
        <w:t>, když výsledn</w:t>
      </w:r>
      <w:r w:rsidR="00D21741">
        <w:rPr>
          <w:i/>
          <w:sz w:val="24"/>
          <w:szCs w:val="24"/>
        </w:rPr>
        <w:t>é hodnocení</w:t>
      </w:r>
      <w:r>
        <w:rPr>
          <w:i/>
          <w:sz w:val="24"/>
          <w:szCs w:val="24"/>
        </w:rPr>
        <w:t xml:space="preserve"> byl</w:t>
      </w:r>
      <w:r w:rsidR="00D21741">
        <w:rPr>
          <w:i/>
          <w:sz w:val="24"/>
          <w:szCs w:val="24"/>
        </w:rPr>
        <w:t>o</w:t>
      </w:r>
      <w:r>
        <w:rPr>
          <w:i/>
          <w:sz w:val="24"/>
          <w:szCs w:val="24"/>
        </w:rPr>
        <w:t xml:space="preserve"> ovlivněn</w:t>
      </w:r>
      <w:r w:rsidR="00D21741">
        <w:rPr>
          <w:i/>
          <w:sz w:val="24"/>
          <w:szCs w:val="24"/>
        </w:rPr>
        <w:t>o</w:t>
      </w:r>
      <w:r>
        <w:rPr>
          <w:i/>
          <w:sz w:val="24"/>
          <w:szCs w:val="24"/>
        </w:rPr>
        <w:t xml:space="preserve"> také zjištěním popsaným v příkladu č. 1.</w:t>
      </w:r>
    </w:p>
    <w:p w14:paraId="3E2E0F91" w14:textId="77777777" w:rsidR="00A36044" w:rsidRDefault="00A36044" w:rsidP="009423D3">
      <w:pPr>
        <w:spacing w:before="120" w:after="120" w:line="240" w:lineRule="auto"/>
        <w:jc w:val="both"/>
      </w:pPr>
    </w:p>
    <w:p w14:paraId="0817F829" w14:textId="77777777" w:rsidR="00A5641F" w:rsidRPr="00A5641F" w:rsidRDefault="00846006" w:rsidP="009423D3">
      <w:pPr>
        <w:keepNext/>
        <w:pBdr>
          <w:top w:val="single" w:sz="4" w:space="1" w:color="auto"/>
          <w:left w:val="single" w:sz="4" w:space="4" w:color="auto"/>
          <w:bottom w:val="single" w:sz="4" w:space="1" w:color="auto"/>
          <w:right w:val="single" w:sz="4" w:space="4" w:color="auto"/>
        </w:pBdr>
        <w:spacing w:before="120" w:after="120" w:line="240" w:lineRule="auto"/>
        <w:jc w:val="both"/>
      </w:pPr>
      <w:r>
        <w:rPr>
          <w:b/>
          <w:color w:val="004595"/>
          <w:sz w:val="24"/>
          <w:szCs w:val="24"/>
        </w:rPr>
        <w:t>P</w:t>
      </w:r>
      <w:r w:rsidR="00A5641F" w:rsidRPr="00A5641F">
        <w:rPr>
          <w:b/>
          <w:color w:val="004595"/>
          <w:sz w:val="24"/>
          <w:szCs w:val="24"/>
        </w:rPr>
        <w:t>říklad č.</w:t>
      </w:r>
      <w:r w:rsidR="00A5641F">
        <w:rPr>
          <w:b/>
          <w:color w:val="004595"/>
          <w:sz w:val="24"/>
          <w:szCs w:val="24"/>
        </w:rPr>
        <w:t xml:space="preserve"> 11</w:t>
      </w:r>
    </w:p>
    <w:p w14:paraId="1A97DF24" w14:textId="77777777" w:rsidR="00A5641F" w:rsidRPr="00A603B7" w:rsidRDefault="00A603B7" w:rsidP="00CB3156">
      <w:pPr>
        <w:pBdr>
          <w:top w:val="single" w:sz="4" w:space="1" w:color="auto"/>
          <w:left w:val="single" w:sz="4" w:space="4" w:color="auto"/>
          <w:bottom w:val="single" w:sz="4" w:space="1" w:color="auto"/>
          <w:right w:val="single" w:sz="4" w:space="4" w:color="auto"/>
        </w:pBdr>
        <w:spacing w:before="120" w:after="120" w:line="240" w:lineRule="auto"/>
        <w:jc w:val="both"/>
        <w:rPr>
          <w:i/>
          <w:sz w:val="24"/>
          <w:szCs w:val="24"/>
        </w:rPr>
      </w:pPr>
      <w:r>
        <w:rPr>
          <w:i/>
          <w:sz w:val="24"/>
          <w:szCs w:val="24"/>
        </w:rPr>
        <w:t>Příjemce podpory</w:t>
      </w:r>
      <w:r w:rsidR="00A5641F" w:rsidRPr="00A603B7">
        <w:rPr>
          <w:i/>
          <w:sz w:val="24"/>
          <w:szCs w:val="24"/>
        </w:rPr>
        <w:t xml:space="preserve"> projekt</w:t>
      </w:r>
      <w:r>
        <w:rPr>
          <w:i/>
          <w:sz w:val="24"/>
          <w:szCs w:val="24"/>
        </w:rPr>
        <w:t>u</w:t>
      </w:r>
      <w:r w:rsidR="00A5641F" w:rsidRPr="00A603B7">
        <w:rPr>
          <w:i/>
          <w:sz w:val="24"/>
          <w:szCs w:val="24"/>
        </w:rPr>
        <w:t xml:space="preserve"> č. 119</w:t>
      </w:r>
      <w:r>
        <w:rPr>
          <w:i/>
          <w:sz w:val="24"/>
          <w:szCs w:val="24"/>
        </w:rPr>
        <w:t xml:space="preserve"> </w:t>
      </w:r>
      <w:r w:rsidR="00D21741">
        <w:rPr>
          <w:i/>
          <w:sz w:val="24"/>
          <w:szCs w:val="24"/>
        </w:rPr>
        <w:t xml:space="preserve">(IROP) </w:t>
      </w:r>
      <w:r>
        <w:rPr>
          <w:i/>
          <w:sz w:val="24"/>
          <w:szCs w:val="24"/>
        </w:rPr>
        <w:t xml:space="preserve">rozšiřoval prostřednictvím svého projektu </w:t>
      </w:r>
      <w:r w:rsidR="009423D3">
        <w:rPr>
          <w:i/>
          <w:sz w:val="24"/>
          <w:szCs w:val="24"/>
        </w:rPr>
        <w:br/>
      </w:r>
      <w:r>
        <w:rPr>
          <w:i/>
          <w:sz w:val="24"/>
          <w:szCs w:val="24"/>
        </w:rPr>
        <w:t>stávající podnikatelskou činnost pořízením</w:t>
      </w:r>
      <w:r w:rsidR="00A5641F" w:rsidRPr="00A603B7">
        <w:rPr>
          <w:i/>
          <w:sz w:val="24"/>
          <w:szCs w:val="24"/>
        </w:rPr>
        <w:t xml:space="preserve"> technologické</w:t>
      </w:r>
      <w:r w:rsidR="00877DAA">
        <w:rPr>
          <w:i/>
          <w:sz w:val="24"/>
          <w:szCs w:val="24"/>
        </w:rPr>
        <w:t>ho</w:t>
      </w:r>
      <w:r w:rsidR="00A5641F" w:rsidRPr="00A603B7">
        <w:rPr>
          <w:i/>
          <w:sz w:val="24"/>
          <w:szCs w:val="24"/>
        </w:rPr>
        <w:t xml:space="preserve"> vybavení související</w:t>
      </w:r>
      <w:r>
        <w:rPr>
          <w:i/>
          <w:sz w:val="24"/>
          <w:szCs w:val="24"/>
        </w:rPr>
        <w:t>ho</w:t>
      </w:r>
      <w:r w:rsidR="00A5641F" w:rsidRPr="00A603B7">
        <w:rPr>
          <w:i/>
          <w:sz w:val="24"/>
          <w:szCs w:val="24"/>
        </w:rPr>
        <w:t xml:space="preserve"> s</w:t>
      </w:r>
      <w:r w:rsidR="00C9209D">
        <w:rPr>
          <w:i/>
          <w:sz w:val="24"/>
          <w:szCs w:val="24"/>
        </w:rPr>
        <w:t xml:space="preserve"> </w:t>
      </w:r>
      <w:r>
        <w:rPr>
          <w:i/>
          <w:sz w:val="24"/>
          <w:szCs w:val="24"/>
        </w:rPr>
        <w:t xml:space="preserve">nově provozovanou </w:t>
      </w:r>
      <w:r w:rsidR="00A5641F" w:rsidRPr="00A603B7">
        <w:rPr>
          <w:i/>
          <w:sz w:val="24"/>
          <w:szCs w:val="24"/>
        </w:rPr>
        <w:t>činností realizace veřejné zeleně</w:t>
      </w:r>
      <w:r w:rsidR="00F35369">
        <w:rPr>
          <w:i/>
          <w:sz w:val="24"/>
          <w:szCs w:val="24"/>
        </w:rPr>
        <w:t xml:space="preserve">. </w:t>
      </w:r>
      <w:r w:rsidR="00A5641F" w:rsidRPr="00A603B7">
        <w:rPr>
          <w:i/>
          <w:sz w:val="24"/>
          <w:szCs w:val="24"/>
        </w:rPr>
        <w:t>Na projekt byla schválen</w:t>
      </w:r>
      <w:r w:rsidR="003A795B">
        <w:rPr>
          <w:i/>
          <w:sz w:val="24"/>
          <w:szCs w:val="24"/>
        </w:rPr>
        <w:t>a</w:t>
      </w:r>
      <w:r w:rsidR="00A5641F" w:rsidRPr="00A603B7">
        <w:rPr>
          <w:i/>
          <w:sz w:val="24"/>
          <w:szCs w:val="24"/>
        </w:rPr>
        <w:t xml:space="preserve"> podpora ve výši cca</w:t>
      </w:r>
      <w:r w:rsidR="009423D3">
        <w:rPr>
          <w:i/>
          <w:sz w:val="24"/>
          <w:szCs w:val="24"/>
        </w:rPr>
        <w:t> </w:t>
      </w:r>
      <w:r w:rsidR="00A5641F" w:rsidRPr="00A603B7">
        <w:rPr>
          <w:i/>
          <w:sz w:val="24"/>
          <w:szCs w:val="24"/>
        </w:rPr>
        <w:t>4,2 mil. Kč s tím, že podnik má umožnit zaměstnání na plný nebo částečný pracovní úvazek v součtu minimálně 3,00 FTE.</w:t>
      </w:r>
      <w:r w:rsidR="00F35369">
        <w:rPr>
          <w:i/>
          <w:sz w:val="24"/>
          <w:szCs w:val="24"/>
        </w:rPr>
        <w:t xml:space="preserve"> P</w:t>
      </w:r>
      <w:r w:rsidR="00A5641F" w:rsidRPr="00A603B7">
        <w:rPr>
          <w:i/>
          <w:sz w:val="24"/>
          <w:szCs w:val="24"/>
        </w:rPr>
        <w:t xml:space="preserve">říjemce </w:t>
      </w:r>
      <w:r w:rsidR="00F35369">
        <w:rPr>
          <w:i/>
          <w:sz w:val="24"/>
          <w:szCs w:val="24"/>
        </w:rPr>
        <w:t xml:space="preserve">podpory </w:t>
      </w:r>
      <w:r w:rsidR="00A5641F" w:rsidRPr="00A603B7">
        <w:rPr>
          <w:i/>
          <w:sz w:val="24"/>
          <w:szCs w:val="24"/>
        </w:rPr>
        <w:t xml:space="preserve">se při </w:t>
      </w:r>
      <w:r w:rsidR="00F35369">
        <w:rPr>
          <w:i/>
          <w:sz w:val="24"/>
          <w:szCs w:val="24"/>
        </w:rPr>
        <w:t>realizaci projektu významně odchýlil od</w:t>
      </w:r>
      <w:r w:rsidR="00BD6A84">
        <w:rPr>
          <w:i/>
          <w:sz w:val="24"/>
          <w:szCs w:val="24"/>
        </w:rPr>
        <w:t> </w:t>
      </w:r>
      <w:r w:rsidR="00F35369">
        <w:rPr>
          <w:i/>
          <w:sz w:val="24"/>
          <w:szCs w:val="24"/>
        </w:rPr>
        <w:t xml:space="preserve">stanovených ekonomických </w:t>
      </w:r>
      <w:r w:rsidR="00A5641F" w:rsidRPr="00A603B7">
        <w:rPr>
          <w:i/>
          <w:sz w:val="24"/>
          <w:szCs w:val="24"/>
        </w:rPr>
        <w:t>plán</w:t>
      </w:r>
      <w:r w:rsidR="00F35369">
        <w:rPr>
          <w:i/>
          <w:sz w:val="24"/>
          <w:szCs w:val="24"/>
        </w:rPr>
        <w:t>ů</w:t>
      </w:r>
      <w:r w:rsidR="00A5641F" w:rsidRPr="00A603B7">
        <w:rPr>
          <w:i/>
          <w:sz w:val="24"/>
          <w:szCs w:val="24"/>
        </w:rPr>
        <w:t xml:space="preserve">. V letech 2020 a 2021 nedosahovaly tržby z poskytnuté služby ani poloviny toho, co příjemce predikoval. </w:t>
      </w:r>
      <w:r w:rsidR="0038212E">
        <w:rPr>
          <w:i/>
          <w:sz w:val="24"/>
          <w:szCs w:val="24"/>
        </w:rPr>
        <w:t>Při poskytování služby od poloviny roku 2018 do konce roku 2021</w:t>
      </w:r>
      <w:r w:rsidR="00A5641F" w:rsidRPr="00A603B7">
        <w:rPr>
          <w:i/>
          <w:sz w:val="24"/>
          <w:szCs w:val="24"/>
        </w:rPr>
        <w:t xml:space="preserve"> realizoval </w:t>
      </w:r>
      <w:r w:rsidR="00C13046">
        <w:rPr>
          <w:i/>
          <w:sz w:val="24"/>
          <w:szCs w:val="24"/>
        </w:rPr>
        <w:t>kloubový nakladač</w:t>
      </w:r>
      <w:r w:rsidR="00A5641F" w:rsidRPr="00A603B7">
        <w:rPr>
          <w:i/>
          <w:sz w:val="24"/>
          <w:szCs w:val="24"/>
        </w:rPr>
        <w:t xml:space="preserve"> </w:t>
      </w:r>
      <w:r w:rsidR="00C13046">
        <w:rPr>
          <w:i/>
          <w:sz w:val="24"/>
          <w:szCs w:val="24"/>
        </w:rPr>
        <w:t>pořízený vč. dalšího příslušenství za cenu 4</w:t>
      </w:r>
      <w:r w:rsidR="00ED680B">
        <w:rPr>
          <w:i/>
          <w:sz w:val="24"/>
          <w:szCs w:val="24"/>
        </w:rPr>
        <w:t>,8</w:t>
      </w:r>
      <w:r w:rsidR="00C9209D">
        <w:rPr>
          <w:i/>
          <w:sz w:val="24"/>
          <w:szCs w:val="24"/>
        </w:rPr>
        <w:t> </w:t>
      </w:r>
      <w:r w:rsidR="00ED680B">
        <w:rPr>
          <w:i/>
          <w:sz w:val="24"/>
          <w:szCs w:val="24"/>
        </w:rPr>
        <w:t>mil.</w:t>
      </w:r>
      <w:r w:rsidR="00C13046">
        <w:rPr>
          <w:i/>
          <w:sz w:val="24"/>
          <w:szCs w:val="24"/>
        </w:rPr>
        <w:t xml:space="preserve"> Kč </w:t>
      </w:r>
      <w:r w:rsidR="00A5641F" w:rsidRPr="00A603B7">
        <w:rPr>
          <w:i/>
          <w:sz w:val="24"/>
          <w:szCs w:val="24"/>
        </w:rPr>
        <w:t>zakázky v</w:t>
      </w:r>
      <w:r w:rsidR="00C13046">
        <w:rPr>
          <w:i/>
          <w:sz w:val="24"/>
          <w:szCs w:val="24"/>
        </w:rPr>
        <w:t> </w:t>
      </w:r>
      <w:r w:rsidR="00A5641F" w:rsidRPr="00A603B7">
        <w:rPr>
          <w:i/>
          <w:sz w:val="24"/>
          <w:szCs w:val="24"/>
        </w:rPr>
        <w:t>hodnotě</w:t>
      </w:r>
      <w:r w:rsidR="00C13046">
        <w:rPr>
          <w:i/>
          <w:sz w:val="24"/>
          <w:szCs w:val="24"/>
        </w:rPr>
        <w:t xml:space="preserve"> pouze</w:t>
      </w:r>
      <w:r w:rsidR="00A5641F" w:rsidRPr="00A603B7">
        <w:rPr>
          <w:i/>
          <w:sz w:val="24"/>
          <w:szCs w:val="24"/>
        </w:rPr>
        <w:t xml:space="preserve"> 1</w:t>
      </w:r>
      <w:r w:rsidR="00ED680B">
        <w:rPr>
          <w:i/>
          <w:sz w:val="24"/>
          <w:szCs w:val="24"/>
        </w:rPr>
        <w:t>,</w:t>
      </w:r>
      <w:r w:rsidR="00A5641F" w:rsidRPr="00A603B7">
        <w:rPr>
          <w:i/>
          <w:sz w:val="24"/>
          <w:szCs w:val="24"/>
        </w:rPr>
        <w:t xml:space="preserve">7 </w:t>
      </w:r>
      <w:r w:rsidR="00ED680B">
        <w:rPr>
          <w:i/>
          <w:sz w:val="24"/>
          <w:szCs w:val="24"/>
        </w:rPr>
        <w:t>mil</w:t>
      </w:r>
      <w:r w:rsidR="00A5641F" w:rsidRPr="00A603B7">
        <w:rPr>
          <w:i/>
          <w:sz w:val="24"/>
          <w:szCs w:val="24"/>
        </w:rPr>
        <w:t xml:space="preserve">. Kč. Vzhledem k nízkému počtu zakázek, kdy v roce 2020 realizoval </w:t>
      </w:r>
      <w:r w:rsidR="00C13046">
        <w:rPr>
          <w:i/>
          <w:sz w:val="24"/>
          <w:szCs w:val="24"/>
        </w:rPr>
        <w:t xml:space="preserve">kloubový </w:t>
      </w:r>
      <w:r w:rsidR="00A5641F" w:rsidRPr="00A603B7">
        <w:rPr>
          <w:i/>
          <w:sz w:val="24"/>
          <w:szCs w:val="24"/>
        </w:rPr>
        <w:t>nakladač 15 zakázek a v roce 2021 jen osm, nebyl</w:t>
      </w:r>
      <w:r w:rsidR="00C13046">
        <w:rPr>
          <w:i/>
          <w:sz w:val="24"/>
          <w:szCs w:val="24"/>
        </w:rPr>
        <w:t>o</w:t>
      </w:r>
      <w:r w:rsidR="00A5641F" w:rsidRPr="00A603B7">
        <w:rPr>
          <w:i/>
          <w:sz w:val="24"/>
          <w:szCs w:val="24"/>
        </w:rPr>
        <w:t xml:space="preserve"> využíván</w:t>
      </w:r>
      <w:r w:rsidR="00C13046">
        <w:rPr>
          <w:i/>
          <w:sz w:val="24"/>
          <w:szCs w:val="24"/>
        </w:rPr>
        <w:t>o</w:t>
      </w:r>
      <w:r w:rsidR="00A5641F" w:rsidRPr="00A603B7">
        <w:rPr>
          <w:i/>
          <w:sz w:val="24"/>
          <w:szCs w:val="24"/>
        </w:rPr>
        <w:t xml:space="preserve"> </w:t>
      </w:r>
      <w:r w:rsidR="00C13046">
        <w:rPr>
          <w:i/>
          <w:sz w:val="24"/>
          <w:szCs w:val="24"/>
        </w:rPr>
        <w:t>ani</w:t>
      </w:r>
      <w:r w:rsidR="00A5641F" w:rsidRPr="00A603B7">
        <w:rPr>
          <w:i/>
          <w:sz w:val="24"/>
          <w:szCs w:val="24"/>
        </w:rPr>
        <w:t xml:space="preserve"> </w:t>
      </w:r>
      <w:r w:rsidR="00C13046">
        <w:rPr>
          <w:i/>
          <w:sz w:val="24"/>
          <w:szCs w:val="24"/>
        </w:rPr>
        <w:t>další příslušenství (</w:t>
      </w:r>
      <w:r w:rsidR="00A5641F" w:rsidRPr="00A603B7">
        <w:rPr>
          <w:i/>
          <w:sz w:val="24"/>
          <w:szCs w:val="24"/>
        </w:rPr>
        <w:t>automobil a přívěs</w:t>
      </w:r>
      <w:r w:rsidR="00C13046">
        <w:rPr>
          <w:i/>
          <w:sz w:val="24"/>
          <w:szCs w:val="24"/>
        </w:rPr>
        <w:t>)</w:t>
      </w:r>
      <w:r w:rsidR="00B36084">
        <w:rPr>
          <w:i/>
          <w:sz w:val="24"/>
          <w:szCs w:val="24"/>
        </w:rPr>
        <w:t>.</w:t>
      </w:r>
      <w:r w:rsidR="00A5641F" w:rsidRPr="00A603B7">
        <w:rPr>
          <w:i/>
          <w:sz w:val="24"/>
          <w:szCs w:val="24"/>
        </w:rPr>
        <w:t xml:space="preserve"> </w:t>
      </w:r>
      <w:r w:rsidR="00B36084">
        <w:rPr>
          <w:i/>
          <w:sz w:val="24"/>
          <w:szCs w:val="24"/>
        </w:rPr>
        <w:t>S</w:t>
      </w:r>
      <w:r w:rsidR="00A5641F" w:rsidRPr="00A603B7">
        <w:rPr>
          <w:i/>
          <w:sz w:val="24"/>
          <w:szCs w:val="24"/>
        </w:rPr>
        <w:t>tejně tak nebylo využití pro tři pomocné pracovníky</w:t>
      </w:r>
      <w:r w:rsidR="00C13046">
        <w:rPr>
          <w:i/>
          <w:sz w:val="24"/>
          <w:szCs w:val="24"/>
        </w:rPr>
        <w:t xml:space="preserve"> zaměstnané v souvislosti s novou aktivitou podniku</w:t>
      </w:r>
      <w:r w:rsidR="00A5641F" w:rsidRPr="00A603B7">
        <w:rPr>
          <w:i/>
          <w:sz w:val="24"/>
          <w:szCs w:val="24"/>
        </w:rPr>
        <w:t>. Těm</w:t>
      </w:r>
      <w:r w:rsidR="00C13046">
        <w:rPr>
          <w:i/>
          <w:sz w:val="24"/>
          <w:szCs w:val="24"/>
        </w:rPr>
        <w:t>to zaměstnancům tak</w:t>
      </w:r>
      <w:r w:rsidR="00A5641F" w:rsidRPr="00A603B7">
        <w:rPr>
          <w:i/>
          <w:sz w:val="24"/>
          <w:szCs w:val="24"/>
        </w:rPr>
        <w:t xml:space="preserve"> byl</w:t>
      </w:r>
      <w:r w:rsidR="00C13046">
        <w:rPr>
          <w:i/>
          <w:sz w:val="24"/>
          <w:szCs w:val="24"/>
        </w:rPr>
        <w:t>y</w:t>
      </w:r>
      <w:r w:rsidR="00A5641F" w:rsidRPr="00A603B7">
        <w:rPr>
          <w:i/>
          <w:sz w:val="24"/>
          <w:szCs w:val="24"/>
        </w:rPr>
        <w:t xml:space="preserve"> přidělován</w:t>
      </w:r>
      <w:r w:rsidR="00C13046">
        <w:rPr>
          <w:i/>
          <w:sz w:val="24"/>
          <w:szCs w:val="24"/>
        </w:rPr>
        <w:t>y</w:t>
      </w:r>
      <w:r w:rsidR="00A5641F" w:rsidRPr="00A603B7">
        <w:rPr>
          <w:i/>
          <w:sz w:val="24"/>
          <w:szCs w:val="24"/>
        </w:rPr>
        <w:t xml:space="preserve"> práce v prodejně zahradnického centra, případně při náhradních zakázkách tří</w:t>
      </w:r>
      <w:r w:rsidR="00C13046">
        <w:rPr>
          <w:i/>
          <w:sz w:val="24"/>
          <w:szCs w:val="24"/>
        </w:rPr>
        <w:t>dě</w:t>
      </w:r>
      <w:r w:rsidR="00A5641F" w:rsidRPr="00A603B7">
        <w:rPr>
          <w:i/>
          <w:sz w:val="24"/>
          <w:szCs w:val="24"/>
        </w:rPr>
        <w:t xml:space="preserve">ní ovoce a zeleniny. </w:t>
      </w:r>
      <w:r w:rsidR="00C13046">
        <w:rPr>
          <w:i/>
          <w:sz w:val="24"/>
          <w:szCs w:val="24"/>
        </w:rPr>
        <w:t>NKÚ vyhodnotil projekt jako efektivní pouze omezeně.</w:t>
      </w:r>
    </w:p>
    <w:p w14:paraId="4F581BEE" w14:textId="77777777" w:rsidR="00CA1B83" w:rsidRDefault="00CA1B83" w:rsidP="00CB3156">
      <w:pPr>
        <w:pStyle w:val="JK4"/>
        <w:keepNext w:val="0"/>
        <w:numPr>
          <w:ilvl w:val="0"/>
          <w:numId w:val="0"/>
        </w:numPr>
        <w:spacing w:after="120"/>
      </w:pPr>
    </w:p>
    <w:p w14:paraId="0234479E" w14:textId="77777777" w:rsidR="00CD36E5" w:rsidRDefault="00CD36E5" w:rsidP="00357C61">
      <w:pPr>
        <w:keepNext/>
        <w:pBdr>
          <w:top w:val="single" w:sz="4" w:space="1" w:color="000000" w:themeColor="text1"/>
          <w:left w:val="single" w:sz="4" w:space="4" w:color="000000" w:themeColor="text1"/>
          <w:bottom w:val="single" w:sz="4" w:space="1" w:color="000000" w:themeColor="text1"/>
          <w:right w:val="single" w:sz="4" w:space="4" w:color="000000" w:themeColor="text1"/>
        </w:pBdr>
        <w:spacing w:before="120" w:after="120" w:line="240" w:lineRule="auto"/>
        <w:jc w:val="both"/>
      </w:pPr>
      <w:r w:rsidRPr="00CA1B83">
        <w:rPr>
          <w:b/>
          <w:color w:val="004595"/>
          <w:sz w:val="24"/>
          <w:szCs w:val="24"/>
        </w:rPr>
        <w:t>Příklad č. 12</w:t>
      </w:r>
    </w:p>
    <w:p w14:paraId="2AAC16D2" w14:textId="77777777" w:rsidR="00CD36E5" w:rsidRPr="003A795B" w:rsidRDefault="00CA1B83" w:rsidP="009423D3">
      <w:pPr>
        <w:pStyle w:val="JK4"/>
        <w:keepNext w:val="0"/>
        <w:numPr>
          <w:ilvl w:val="0"/>
          <w:numId w:val="0"/>
        </w:numPr>
        <w:pBdr>
          <w:top w:val="single" w:sz="4" w:space="1" w:color="000000" w:themeColor="text1"/>
          <w:left w:val="single" w:sz="4" w:space="4" w:color="000000" w:themeColor="text1"/>
          <w:bottom w:val="single" w:sz="4" w:space="1" w:color="000000" w:themeColor="text1"/>
          <w:right w:val="single" w:sz="4" w:space="4" w:color="000000" w:themeColor="text1"/>
        </w:pBdr>
        <w:spacing w:after="120"/>
        <w:rPr>
          <w:i/>
        </w:rPr>
      </w:pPr>
      <w:r w:rsidRPr="003A795B">
        <w:rPr>
          <w:i/>
        </w:rPr>
        <w:t xml:space="preserve">Příjemce podpory realizoval projekt č. 12055 za </w:t>
      </w:r>
      <w:r w:rsidR="000060B4" w:rsidRPr="003A795B">
        <w:rPr>
          <w:i/>
        </w:rPr>
        <w:t>pomoc</w:t>
      </w:r>
      <w:r w:rsidR="004133F0" w:rsidRPr="003A795B">
        <w:rPr>
          <w:i/>
        </w:rPr>
        <w:t xml:space="preserve">i </w:t>
      </w:r>
      <w:r w:rsidRPr="003A795B">
        <w:rPr>
          <w:i/>
        </w:rPr>
        <w:t xml:space="preserve">podpory </w:t>
      </w:r>
      <w:r w:rsidR="00B36084" w:rsidRPr="003A795B">
        <w:rPr>
          <w:i/>
        </w:rPr>
        <w:t xml:space="preserve">poskytnuté z </w:t>
      </w:r>
      <w:r w:rsidRPr="003A795B">
        <w:rPr>
          <w:i/>
        </w:rPr>
        <w:t xml:space="preserve">OPZ. </w:t>
      </w:r>
      <w:r w:rsidR="00C933D2" w:rsidRPr="003A795B">
        <w:rPr>
          <w:i/>
        </w:rPr>
        <w:t>V</w:t>
      </w:r>
      <w:r w:rsidR="00282685" w:rsidRPr="003A795B">
        <w:rPr>
          <w:i/>
        </w:rPr>
        <w:t> </w:t>
      </w:r>
      <w:r w:rsidR="00C933D2" w:rsidRPr="003A795B">
        <w:rPr>
          <w:i/>
        </w:rPr>
        <w:t xml:space="preserve">rámci předkládaného rozpočtu tvořily osobní náklady pouze 7,9 </w:t>
      </w:r>
      <w:r w:rsidR="00BD492B" w:rsidRPr="003A795B">
        <w:rPr>
          <w:i/>
        </w:rPr>
        <w:t xml:space="preserve">% </w:t>
      </w:r>
      <w:r w:rsidR="00C933D2" w:rsidRPr="003A795B">
        <w:rPr>
          <w:i/>
        </w:rPr>
        <w:t>rozpočtu, nebyla stanovena žádná přímá podpora cílovým skupinám osob. Naopak investiční výdaje tvořily 49,67 % rozpočtu, položka „zařízení a</w:t>
      </w:r>
      <w:r w:rsidR="00B81F4E" w:rsidRPr="003A795B">
        <w:rPr>
          <w:i/>
        </w:rPr>
        <w:t> </w:t>
      </w:r>
      <w:r w:rsidR="00C933D2" w:rsidRPr="003A795B">
        <w:rPr>
          <w:i/>
        </w:rPr>
        <w:t xml:space="preserve">vybavení, včetně pronájmu a odpisů“ celkově 86,53 % rozpočtu. Projekt tak svým charakterem neodpovídá jiným projektům </w:t>
      </w:r>
      <w:r w:rsidR="00877DAA" w:rsidRPr="003A795B">
        <w:rPr>
          <w:i/>
        </w:rPr>
        <w:t>financovaným</w:t>
      </w:r>
      <w:r w:rsidR="00C933D2" w:rsidRPr="003A795B">
        <w:rPr>
          <w:i/>
        </w:rPr>
        <w:t xml:space="preserve"> v rámci podpory sociálního podnikání v OPZ, ve kterých se hradí zejména mzdy a přímá podpora, školení a</w:t>
      </w:r>
      <w:r w:rsidR="00836EDE" w:rsidRPr="003A795B">
        <w:rPr>
          <w:i/>
        </w:rPr>
        <w:t> </w:t>
      </w:r>
      <w:r w:rsidR="00C933D2" w:rsidRPr="003A795B">
        <w:rPr>
          <w:i/>
        </w:rPr>
        <w:t>vzdělávání a</w:t>
      </w:r>
      <w:r w:rsidR="00C9209D" w:rsidRPr="003A795B">
        <w:rPr>
          <w:i/>
        </w:rPr>
        <w:t> </w:t>
      </w:r>
      <w:r w:rsidR="00C933D2" w:rsidRPr="003A795B">
        <w:rPr>
          <w:i/>
        </w:rPr>
        <w:t>případně marketing.</w:t>
      </w:r>
      <w:r w:rsidR="0042526A" w:rsidRPr="003A795B">
        <w:rPr>
          <w:i/>
        </w:rPr>
        <w:t xml:space="preserve"> </w:t>
      </w:r>
      <w:r w:rsidR="00C933D2" w:rsidRPr="003A795B">
        <w:rPr>
          <w:i/>
        </w:rPr>
        <w:t xml:space="preserve">V době podání žádosti </w:t>
      </w:r>
      <w:r w:rsidR="003B6B57" w:rsidRPr="003A795B">
        <w:rPr>
          <w:i/>
        </w:rPr>
        <w:t xml:space="preserve">o podporu přitom sociální podnik </w:t>
      </w:r>
      <w:r w:rsidR="00C933D2" w:rsidRPr="003A795B">
        <w:rPr>
          <w:i/>
        </w:rPr>
        <w:t>zaměstnával 12,99 přepočtených osob z řad cílové skupiny.</w:t>
      </w:r>
      <w:r w:rsidR="003B6B57" w:rsidRPr="003A795B">
        <w:rPr>
          <w:i/>
        </w:rPr>
        <w:t xml:space="preserve"> Úhradu mzdy těmto osobám během realizace projektu zajišťoval příjemce podpory prostřednictvím jiných veřejných zdrojů (příspěvků od úřadu práce). Investiční výdaje byly v rámci projektu vynaložen</w:t>
      </w:r>
      <w:r w:rsidR="003A795B">
        <w:rPr>
          <w:i/>
        </w:rPr>
        <w:t>y</w:t>
      </w:r>
      <w:r w:rsidR="003B6B57" w:rsidRPr="003A795B">
        <w:rPr>
          <w:i/>
        </w:rPr>
        <w:t xml:space="preserve"> především na pořízení nových technologií, které by měly umožnit vyšší výstav sociálního podniku, aniž by bezprostředně sloužily k získávání speciálních dovedností pro zaměstnance z řad cílových skupin osob. Míra zapojení zaměstnanců z řad cílových osob do projektu byla nízká, intenzita podpory </w:t>
      </w:r>
      <w:r w:rsidR="00D70D68" w:rsidRPr="003A795B">
        <w:rPr>
          <w:i/>
        </w:rPr>
        <w:t xml:space="preserve">cílové skupiny </w:t>
      </w:r>
      <w:r w:rsidR="003B6B57" w:rsidRPr="003A795B">
        <w:rPr>
          <w:i/>
        </w:rPr>
        <w:t>proto vysoká. NKÚ vyhodnotil projekt jako neefektivní.</w:t>
      </w:r>
    </w:p>
    <w:p w14:paraId="26F44664" w14:textId="77777777" w:rsidR="00A36044" w:rsidRDefault="00C253E2" w:rsidP="00B9765B">
      <w:pPr>
        <w:pStyle w:val="JK4"/>
        <w:keepNext w:val="0"/>
        <w:tabs>
          <w:tab w:val="left" w:pos="567"/>
        </w:tabs>
        <w:spacing w:after="120"/>
      </w:pPr>
      <w:r>
        <w:t xml:space="preserve">Souhrnný výsledek hodnocení efektivnosti 16 posuzovaných projektů názorně </w:t>
      </w:r>
      <w:r w:rsidR="004133F0">
        <w:t xml:space="preserve">ukazuje </w:t>
      </w:r>
      <w:r>
        <w:t xml:space="preserve">graf č. 3. Stejně jako v případě hodnocení účelnosti získala polovina projektů pozitivní hodnocení (projekty byly hodnoceny nejhůře jako efektivní s mírnými nedostatky), u druhé poloviny bylo hodnocení efektivnosti </w:t>
      </w:r>
      <w:r w:rsidR="00846006">
        <w:t xml:space="preserve">vynaložených prostředků </w:t>
      </w:r>
      <w:r>
        <w:t>významně sníženo</w:t>
      </w:r>
      <w:r w:rsidR="00B36084">
        <w:t>.</w:t>
      </w:r>
      <w:r>
        <w:t xml:space="preserve"> </w:t>
      </w:r>
      <w:r w:rsidR="00B36084">
        <w:t>J</w:t>
      </w:r>
      <w:r>
        <w:t xml:space="preserve">ako </w:t>
      </w:r>
      <w:r w:rsidR="00B36084">
        <w:t xml:space="preserve">zcela </w:t>
      </w:r>
      <w:r>
        <w:t>neefektivní byly hodnoceny dva projekty</w:t>
      </w:r>
      <w:r w:rsidR="00B36084">
        <w:t xml:space="preserve"> (viz příklad</w:t>
      </w:r>
      <w:r w:rsidR="00846006">
        <w:t>y</w:t>
      </w:r>
      <w:r w:rsidR="00B36084">
        <w:t xml:space="preserve"> č. 7</w:t>
      </w:r>
      <w:r w:rsidR="00846006">
        <w:t xml:space="preserve"> a č. 12</w:t>
      </w:r>
      <w:r w:rsidR="00B36084">
        <w:t>)</w:t>
      </w:r>
      <w:r>
        <w:t>:</w:t>
      </w:r>
    </w:p>
    <w:p w14:paraId="043D3B7B" w14:textId="77777777" w:rsidR="000D21A2" w:rsidRPr="00B81F4E" w:rsidRDefault="000D21A2" w:rsidP="00836B35">
      <w:pPr>
        <w:keepNext/>
        <w:keepLines/>
        <w:jc w:val="both"/>
        <w:rPr>
          <w:b/>
          <w:sz w:val="24"/>
          <w:szCs w:val="24"/>
        </w:rPr>
      </w:pPr>
      <w:r w:rsidRPr="00B81F4E">
        <w:rPr>
          <w:b/>
          <w:sz w:val="24"/>
          <w:szCs w:val="24"/>
        </w:rPr>
        <w:t xml:space="preserve">Graf č. </w:t>
      </w:r>
      <w:r w:rsidR="00AF401B">
        <w:rPr>
          <w:b/>
          <w:sz w:val="24"/>
          <w:szCs w:val="24"/>
        </w:rPr>
        <w:t>3</w:t>
      </w:r>
      <w:r w:rsidR="003A795B">
        <w:rPr>
          <w:b/>
          <w:sz w:val="24"/>
          <w:szCs w:val="24"/>
        </w:rPr>
        <w:t>:</w:t>
      </w:r>
      <w:r w:rsidRPr="00B81F4E">
        <w:rPr>
          <w:b/>
          <w:sz w:val="24"/>
          <w:szCs w:val="24"/>
        </w:rPr>
        <w:t xml:space="preserve"> Souhrnný výsledek hodnocení efektivnosti posuzovaných projektů</w:t>
      </w:r>
    </w:p>
    <w:p w14:paraId="3C1F864C" w14:textId="77777777" w:rsidR="000D21A2" w:rsidRDefault="00DF2359" w:rsidP="00836B35">
      <w:pPr>
        <w:keepNext/>
        <w:keepLines/>
        <w:jc w:val="both"/>
      </w:pPr>
      <w:r w:rsidRPr="00DF2359">
        <w:rPr>
          <w:rFonts w:eastAsia="Calibri"/>
          <w:noProof/>
        </w:rPr>
        <mc:AlternateContent>
          <mc:Choice Requires="wps">
            <w:drawing>
              <wp:anchor distT="45720" distB="45720" distL="114300" distR="114300" simplePos="0" relativeHeight="251658241" behindDoc="0" locked="0" layoutInCell="1" allowOverlap="1" wp14:anchorId="74BBA8E2" wp14:editId="5E4AD957">
                <wp:simplePos x="0" y="0"/>
                <wp:positionH relativeFrom="column">
                  <wp:posOffset>998855</wp:posOffset>
                </wp:positionH>
                <wp:positionV relativeFrom="paragraph">
                  <wp:posOffset>868045</wp:posOffset>
                </wp:positionV>
                <wp:extent cx="1346200" cy="1130300"/>
                <wp:effectExtent l="0" t="0" r="635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130300"/>
                        </a:xfrm>
                        <a:prstGeom prst="rect">
                          <a:avLst/>
                        </a:prstGeom>
                        <a:solidFill>
                          <a:srgbClr val="FFFFFF"/>
                        </a:solidFill>
                        <a:ln w="9525">
                          <a:noFill/>
                          <a:miter lim="800000"/>
                          <a:headEnd/>
                          <a:tailEnd/>
                        </a:ln>
                      </wps:spPr>
                      <wps:txbx>
                        <w:txbxContent>
                          <w:p w14:paraId="4A5C0F17" w14:textId="77777777" w:rsidR="00F95814" w:rsidRDefault="00F95814" w:rsidP="00C04EB6">
                            <w:pPr>
                              <w:spacing w:after="120" w:line="240" w:lineRule="auto"/>
                              <w:jc w:val="center"/>
                              <w:rPr>
                                <w:b/>
                                <w:sz w:val="28"/>
                              </w:rPr>
                            </w:pPr>
                            <w:r>
                              <w:rPr>
                                <w:b/>
                                <w:sz w:val="28"/>
                              </w:rPr>
                              <w:t>50 %</w:t>
                            </w:r>
                          </w:p>
                          <w:p w14:paraId="48BBB933" w14:textId="77777777" w:rsidR="00F95814" w:rsidRPr="00CC37D1" w:rsidRDefault="00F95814" w:rsidP="00C04EB6">
                            <w:pPr>
                              <w:spacing w:after="120" w:line="240" w:lineRule="auto"/>
                              <w:jc w:val="center"/>
                              <w:rPr>
                                <w:sz w:val="20"/>
                                <w:szCs w:val="20"/>
                              </w:rPr>
                            </w:pPr>
                            <w:r w:rsidRPr="00CC37D1">
                              <w:rPr>
                                <w:sz w:val="20"/>
                                <w:szCs w:val="20"/>
                              </w:rPr>
                              <w:t>kontrolovaných projektů problematických z hlediska efektivnosti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BA8E2" id="Textové pole 4" o:spid="_x0000_s1032" type="#_x0000_t202" style="position:absolute;left:0;text-align:left;margin-left:78.65pt;margin-top:68.35pt;width:106pt;height:89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" stroked="f">
                <v:textbox>
                  <w:txbxContent>
                    <w:p w14:paraId="4A5C0F17" w14:textId="77777777" w:rsidR="00F95814" w:rsidRDefault="00F95814" w:rsidP="00C04EB6">
                      <w:pPr>
                        <w:spacing w:after="120" w:line="240" w:lineRule="auto"/>
                        <w:jc w:val="center"/>
                        <w:rPr>
                          <w:b/>
                          <w:sz w:val="28"/>
                        </w:rPr>
                      </w:pPr>
                      <w:r>
                        <w:rPr>
                          <w:b/>
                          <w:sz w:val="28"/>
                        </w:rPr>
                        <w:t>50 %</w:t>
                      </w:r>
                    </w:p>
                    <w:p w14:paraId="48BBB933" w14:textId="77777777" w:rsidR="00F95814" w:rsidRPr="00CC37D1" w:rsidRDefault="00F95814" w:rsidP="00C04EB6">
                      <w:pPr>
                        <w:spacing w:after="120" w:line="240" w:lineRule="auto"/>
                        <w:jc w:val="center"/>
                        <w:rPr>
                          <w:sz w:val="20"/>
                          <w:szCs w:val="20"/>
                        </w:rPr>
                      </w:pPr>
                      <w:r w:rsidRPr="00CC37D1">
                        <w:rPr>
                          <w:sz w:val="20"/>
                          <w:szCs w:val="20"/>
                        </w:rPr>
                        <w:t>kontrolovaných projektů problematických z hlediska efektivnosti</w:t>
                      </w:r>
                    </w:p>
                  </w:txbxContent>
                </v:textbox>
              </v:shape>
            </w:pict>
          </mc:Fallback>
        </mc:AlternateContent>
      </w:r>
      <w:r w:rsidR="000D21A2">
        <w:rPr>
          <w:noProof/>
        </w:rPr>
        <w:drawing>
          <wp:inline distT="0" distB="0" distL="0" distR="0" wp14:anchorId="7880C687" wp14:editId="7F4D26C5">
            <wp:extent cx="5399405" cy="2880000"/>
            <wp:effectExtent l="0" t="0" r="0" b="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6FD652" w14:textId="77777777" w:rsidR="000D21A2" w:rsidRDefault="000D21A2" w:rsidP="00C9209D">
      <w:pPr>
        <w:jc w:val="both"/>
      </w:pPr>
      <w:r w:rsidRPr="00935BCF">
        <w:rPr>
          <w:b/>
          <w:sz w:val="20"/>
          <w:szCs w:val="20"/>
        </w:rPr>
        <w:t>Zdroj</w:t>
      </w:r>
      <w:r w:rsidRPr="00935BCF">
        <w:rPr>
          <w:sz w:val="20"/>
          <w:szCs w:val="20"/>
        </w:rPr>
        <w:t xml:space="preserve">: </w:t>
      </w:r>
      <w:r w:rsidR="003A795B">
        <w:rPr>
          <w:sz w:val="20"/>
          <w:szCs w:val="20"/>
        </w:rPr>
        <w:t>a</w:t>
      </w:r>
      <w:r w:rsidR="00C253E2" w:rsidRPr="00335030">
        <w:rPr>
          <w:sz w:val="20"/>
          <w:szCs w:val="20"/>
        </w:rPr>
        <w:t>nalýzu dat vypracoval NKÚ.</w:t>
      </w:r>
    </w:p>
    <w:p w14:paraId="7D7DD0EA" w14:textId="77777777" w:rsidR="00357C61" w:rsidRPr="00BD2390" w:rsidRDefault="00357C61" w:rsidP="00357C61">
      <w:pPr>
        <w:pStyle w:val="JK4"/>
        <w:numPr>
          <w:ilvl w:val="0"/>
          <w:numId w:val="0"/>
        </w:numPr>
        <w:ind w:left="284" w:hanging="284"/>
        <w:rPr>
          <w:b/>
          <w:i/>
          <w:color w:val="FF0000"/>
        </w:rPr>
      </w:pPr>
      <w:r w:rsidRPr="00BD2390">
        <w:rPr>
          <w:rFonts w:cs="Calibri"/>
          <w:b/>
          <w:i/>
          <w:color w:val="FF0000"/>
        </w:rPr>
        <w:t xml:space="preserve">→ U tří z 16 prověřovaných projektů zjistil NKÚ skutečnosti nasvědčující porušení rozpočtové kázně a </w:t>
      </w:r>
      <w:r>
        <w:rPr>
          <w:rFonts w:cs="Calibri"/>
          <w:b/>
          <w:i/>
          <w:color w:val="FF0000"/>
        </w:rPr>
        <w:t xml:space="preserve">vzniku </w:t>
      </w:r>
      <w:r w:rsidRPr="00BD2390">
        <w:rPr>
          <w:rFonts w:cs="Calibri"/>
          <w:b/>
          <w:i/>
          <w:color w:val="FF0000"/>
        </w:rPr>
        <w:t>nesrovnalost</w:t>
      </w:r>
      <w:r>
        <w:rPr>
          <w:rFonts w:cs="Calibri"/>
          <w:b/>
          <w:i/>
          <w:color w:val="FF0000"/>
        </w:rPr>
        <w:t>i</w:t>
      </w:r>
      <w:r w:rsidRPr="00BD2390">
        <w:rPr>
          <w:rFonts w:cs="Calibri"/>
          <w:b/>
          <w:i/>
          <w:color w:val="FF0000"/>
        </w:rPr>
        <w:t xml:space="preserve"> ve smyslu právních předpisů ČR a EU</w:t>
      </w:r>
      <w:r>
        <w:rPr>
          <w:rFonts w:cs="Calibri"/>
          <w:b/>
          <w:i/>
          <w:color w:val="FF0000"/>
        </w:rPr>
        <w:t>.</w:t>
      </w:r>
    </w:p>
    <w:p w14:paraId="5EC4AC00" w14:textId="77777777" w:rsidR="005F746B" w:rsidRPr="00C9209D" w:rsidRDefault="00C37F2C" w:rsidP="00B9765B">
      <w:pPr>
        <w:pStyle w:val="JK4"/>
        <w:keepNext w:val="0"/>
        <w:tabs>
          <w:tab w:val="left" w:pos="567"/>
        </w:tabs>
        <w:spacing w:after="120"/>
      </w:pPr>
      <w:r>
        <w:t xml:space="preserve">Kromě </w:t>
      </w:r>
      <w:r w:rsidR="00D70D68">
        <w:t xml:space="preserve">významného objemu </w:t>
      </w:r>
      <w:r w:rsidR="00931C60">
        <w:t>použití</w:t>
      </w:r>
      <w:r w:rsidR="00D70D68">
        <w:t xml:space="preserve"> prostředků IROP na</w:t>
      </w:r>
      <w:r w:rsidR="00931C60">
        <w:t xml:space="preserve"> financování</w:t>
      </w:r>
      <w:r w:rsidR="00D70D68">
        <w:t xml:space="preserve"> nezpůsobil</w:t>
      </w:r>
      <w:r w:rsidR="00931C60">
        <w:t>ých</w:t>
      </w:r>
      <w:r w:rsidR="00D70D68">
        <w:t xml:space="preserve"> výdaj</w:t>
      </w:r>
      <w:r w:rsidR="00931C60">
        <w:t>ů</w:t>
      </w:r>
      <w:r w:rsidR="00D70D68">
        <w:t xml:space="preserve"> spojen</w:t>
      </w:r>
      <w:r w:rsidR="00931C60">
        <w:t>ých</w:t>
      </w:r>
      <w:r w:rsidR="00D70D68">
        <w:t xml:space="preserve"> s nákupem nemovitosti od osoby blízké v řád</w:t>
      </w:r>
      <w:r w:rsidR="00E67A6C">
        <w:t>u</w:t>
      </w:r>
      <w:r w:rsidR="00D70D68">
        <w:t xml:space="preserve"> milionů </w:t>
      </w:r>
      <w:r w:rsidR="003A795B">
        <w:t>korun</w:t>
      </w:r>
      <w:r w:rsidR="00D70D68">
        <w:t xml:space="preserve"> (viz příklad č. 7) zjistil NKÚ dva další pří</w:t>
      </w:r>
      <w:r w:rsidR="00931C60">
        <w:t>p</w:t>
      </w:r>
      <w:r w:rsidR="00D70D68">
        <w:t>ady nezpůsobilých výdajů (projekt č. 1445 podpořený z OPZ a</w:t>
      </w:r>
      <w:r w:rsidR="003A795B">
        <w:t> </w:t>
      </w:r>
      <w:r w:rsidR="00D70D68">
        <w:t>projekt č. 3382 podpořený z IROP), v obou případech v řád</w:t>
      </w:r>
      <w:r w:rsidR="00E67A6C">
        <w:t>u</w:t>
      </w:r>
      <w:r w:rsidR="00D70D68">
        <w:t xml:space="preserve"> desítek tisíc </w:t>
      </w:r>
      <w:r w:rsidR="00E67A6C">
        <w:t>korun</w:t>
      </w:r>
      <w:r w:rsidR="00D70D68">
        <w:t>.</w:t>
      </w:r>
      <w:r w:rsidR="003209F1">
        <w:t xml:space="preserve"> Tato zjištění měla povahu individuálních porušení stanovených pravidel způsobilosti výdajů</w:t>
      </w:r>
      <w:r w:rsidR="00D70D68">
        <w:t xml:space="preserve">. NKÚ u všech tří případů vyhodnotil tyto skutečnosti jako nasvědčující </w:t>
      </w:r>
      <w:r w:rsidR="00931C60">
        <w:t xml:space="preserve">možnému </w:t>
      </w:r>
      <w:r w:rsidR="00D70D68">
        <w:t>porušení rozpočtové kázně a</w:t>
      </w:r>
      <w:r w:rsidR="00BD6A84">
        <w:t> </w:t>
      </w:r>
      <w:r w:rsidR="00D70D68">
        <w:t>vzniku nesrovnalost</w:t>
      </w:r>
      <w:r w:rsidR="00C71AD4">
        <w:t>i</w:t>
      </w:r>
      <w:r w:rsidR="00D70D68">
        <w:t xml:space="preserve"> </w:t>
      </w:r>
      <w:r w:rsidR="00931C60">
        <w:t>ve smyslu</w:t>
      </w:r>
      <w:r w:rsidR="00D70D68">
        <w:t xml:space="preserve"> právních předpisů ČR a EU</w:t>
      </w:r>
      <w:r w:rsidR="008F62F9">
        <w:rPr>
          <w:rStyle w:val="Znakapoznpodarou"/>
        </w:rPr>
        <w:footnoteReference w:id="32"/>
      </w:r>
      <w:r w:rsidR="008F62F9">
        <w:t>.</w:t>
      </w:r>
      <w:r w:rsidR="00D70D68">
        <w:t xml:space="preserve"> </w:t>
      </w:r>
    </w:p>
    <w:p w14:paraId="3A0753BE" w14:textId="77777777" w:rsidR="00A723E5" w:rsidRPr="00F56517" w:rsidRDefault="00903A0D" w:rsidP="00DD3376">
      <w:pPr>
        <w:spacing w:before="600" w:after="60" w:line="240" w:lineRule="auto"/>
        <w:jc w:val="both"/>
        <w:rPr>
          <w:b/>
          <w:sz w:val="24"/>
          <w:szCs w:val="24"/>
        </w:rPr>
      </w:pPr>
      <w:r w:rsidRPr="00F56517">
        <w:rPr>
          <w:b/>
          <w:sz w:val="24"/>
          <w:szCs w:val="24"/>
        </w:rPr>
        <w:t>Seznam</w:t>
      </w:r>
      <w:r w:rsidR="00A66570" w:rsidRPr="00F56517">
        <w:rPr>
          <w:b/>
          <w:sz w:val="24"/>
          <w:szCs w:val="24"/>
        </w:rPr>
        <w:t xml:space="preserve"> </w:t>
      </w:r>
      <w:r w:rsidRPr="00F56517">
        <w:rPr>
          <w:b/>
          <w:sz w:val="24"/>
          <w:szCs w:val="24"/>
        </w:rPr>
        <w:t>zkratek</w:t>
      </w:r>
    </w:p>
    <w:p w14:paraId="46246E66" w14:textId="77777777" w:rsidR="00046F3E" w:rsidRPr="00046F3E" w:rsidRDefault="00046F3E" w:rsidP="004F3158">
      <w:pPr>
        <w:tabs>
          <w:tab w:val="left" w:pos="1843"/>
        </w:tabs>
        <w:spacing w:after="60" w:line="240" w:lineRule="auto"/>
        <w:ind w:left="1843" w:hanging="1843"/>
        <w:jc w:val="both"/>
        <w:rPr>
          <w:rFonts w:cs="Calibri"/>
          <w:color w:val="000000" w:themeColor="text1"/>
          <w:sz w:val="24"/>
          <w:szCs w:val="24"/>
        </w:rPr>
      </w:pPr>
      <w:r w:rsidRPr="00046F3E">
        <w:rPr>
          <w:rFonts w:cs="Calibri"/>
          <w:color w:val="000000" w:themeColor="text1"/>
          <w:sz w:val="24"/>
          <w:szCs w:val="24"/>
        </w:rPr>
        <w:t>CRR</w:t>
      </w:r>
      <w:r w:rsidRPr="00046F3E">
        <w:rPr>
          <w:rFonts w:cs="Calibri"/>
          <w:color w:val="000000" w:themeColor="text1"/>
          <w:sz w:val="24"/>
          <w:szCs w:val="24"/>
        </w:rPr>
        <w:tab/>
        <w:t>Centrum pro regionální rozvoj České republiky</w:t>
      </w:r>
    </w:p>
    <w:p w14:paraId="7EAC18BE" w14:textId="77777777" w:rsidR="00046F3E" w:rsidRPr="00046F3E" w:rsidRDefault="00046F3E" w:rsidP="004F3158">
      <w:pPr>
        <w:tabs>
          <w:tab w:val="left" w:pos="1843"/>
        </w:tabs>
        <w:spacing w:after="60" w:line="240" w:lineRule="auto"/>
        <w:ind w:left="1843" w:hanging="1843"/>
        <w:jc w:val="both"/>
        <w:rPr>
          <w:rFonts w:cs="Calibri"/>
          <w:color w:val="000000" w:themeColor="text1"/>
          <w:sz w:val="24"/>
          <w:szCs w:val="24"/>
        </w:rPr>
      </w:pPr>
      <w:r w:rsidRPr="00046F3E">
        <w:rPr>
          <w:rFonts w:cs="Calibri"/>
          <w:color w:val="000000" w:themeColor="text1"/>
          <w:sz w:val="24"/>
          <w:szCs w:val="24"/>
        </w:rPr>
        <w:t>CS</w:t>
      </w:r>
      <w:r w:rsidRPr="00046F3E">
        <w:rPr>
          <w:rFonts w:cs="Calibri"/>
          <w:color w:val="000000" w:themeColor="text1"/>
          <w:sz w:val="24"/>
          <w:szCs w:val="24"/>
        </w:rPr>
        <w:tab/>
      </w:r>
      <w:r w:rsidR="004F3158">
        <w:rPr>
          <w:rFonts w:cs="Calibri"/>
          <w:color w:val="000000" w:themeColor="text1"/>
          <w:sz w:val="24"/>
          <w:szCs w:val="24"/>
        </w:rPr>
        <w:t>c</w:t>
      </w:r>
      <w:r w:rsidRPr="00046F3E">
        <w:rPr>
          <w:rFonts w:cs="Calibri"/>
          <w:color w:val="000000" w:themeColor="text1"/>
          <w:sz w:val="24"/>
          <w:szCs w:val="24"/>
        </w:rPr>
        <w:t>ílové skupiny</w:t>
      </w:r>
    </w:p>
    <w:p w14:paraId="2B3E1B20" w14:textId="77777777" w:rsidR="00046F3E" w:rsidRPr="00046F3E" w:rsidRDefault="00046F3E" w:rsidP="004F3158">
      <w:pPr>
        <w:tabs>
          <w:tab w:val="left" w:pos="1843"/>
        </w:tabs>
        <w:spacing w:after="60" w:line="240" w:lineRule="auto"/>
        <w:ind w:left="1843" w:hanging="1843"/>
        <w:jc w:val="both"/>
        <w:rPr>
          <w:rFonts w:cs="Calibri"/>
          <w:color w:val="000000" w:themeColor="text1"/>
          <w:sz w:val="24"/>
          <w:szCs w:val="24"/>
        </w:rPr>
      </w:pPr>
      <w:r w:rsidRPr="00046F3E">
        <w:rPr>
          <w:rFonts w:cs="Calibri"/>
          <w:color w:val="000000" w:themeColor="text1"/>
          <w:sz w:val="24"/>
          <w:szCs w:val="24"/>
        </w:rPr>
        <w:t>ČR</w:t>
      </w:r>
      <w:r w:rsidRPr="00046F3E">
        <w:rPr>
          <w:rFonts w:cs="Calibri"/>
          <w:color w:val="000000" w:themeColor="text1"/>
          <w:sz w:val="24"/>
          <w:szCs w:val="24"/>
        </w:rPr>
        <w:tab/>
        <w:t>Česká republika</w:t>
      </w:r>
    </w:p>
    <w:p w14:paraId="08A355E6" w14:textId="77777777" w:rsidR="00046F3E" w:rsidRPr="00046F3E" w:rsidRDefault="00046F3E" w:rsidP="004F3158">
      <w:pPr>
        <w:tabs>
          <w:tab w:val="left" w:pos="1843"/>
        </w:tabs>
        <w:spacing w:after="60" w:line="240" w:lineRule="auto"/>
        <w:ind w:left="1843" w:hanging="1843"/>
        <w:jc w:val="both"/>
        <w:rPr>
          <w:sz w:val="24"/>
          <w:szCs w:val="24"/>
        </w:rPr>
      </w:pPr>
      <w:r w:rsidRPr="00046F3E">
        <w:rPr>
          <w:sz w:val="24"/>
          <w:szCs w:val="24"/>
        </w:rPr>
        <w:t>DPH</w:t>
      </w:r>
      <w:r w:rsidRPr="00046F3E">
        <w:rPr>
          <w:sz w:val="24"/>
          <w:szCs w:val="24"/>
        </w:rPr>
        <w:tab/>
      </w:r>
      <w:r w:rsidR="004F3158">
        <w:rPr>
          <w:sz w:val="24"/>
          <w:szCs w:val="24"/>
        </w:rPr>
        <w:t>d</w:t>
      </w:r>
      <w:r w:rsidRPr="00046F3E">
        <w:rPr>
          <w:sz w:val="24"/>
          <w:szCs w:val="24"/>
        </w:rPr>
        <w:t>aň z přidané hodnoty</w:t>
      </w:r>
    </w:p>
    <w:p w14:paraId="7D22FFAA" w14:textId="77777777" w:rsidR="00046F3E" w:rsidRPr="00046F3E" w:rsidRDefault="00046F3E" w:rsidP="004F3158">
      <w:pPr>
        <w:tabs>
          <w:tab w:val="left" w:pos="1843"/>
        </w:tabs>
        <w:spacing w:after="60" w:line="240" w:lineRule="auto"/>
        <w:ind w:left="1843" w:hanging="1843"/>
        <w:jc w:val="both"/>
        <w:rPr>
          <w:sz w:val="24"/>
          <w:szCs w:val="24"/>
        </w:rPr>
      </w:pPr>
      <w:r w:rsidRPr="00046F3E">
        <w:rPr>
          <w:sz w:val="24"/>
          <w:szCs w:val="24"/>
        </w:rPr>
        <w:t>EFRR</w:t>
      </w:r>
      <w:r w:rsidRPr="00046F3E">
        <w:rPr>
          <w:sz w:val="24"/>
          <w:szCs w:val="24"/>
        </w:rPr>
        <w:tab/>
      </w:r>
      <w:r w:rsidRPr="00046F3E">
        <w:rPr>
          <w:i/>
          <w:sz w:val="24"/>
          <w:szCs w:val="24"/>
        </w:rPr>
        <w:t>Evropský fond pro regionální rozvoj</w:t>
      </w:r>
    </w:p>
    <w:p w14:paraId="42B715EB" w14:textId="77777777" w:rsidR="00046F3E" w:rsidRPr="00046F3E" w:rsidRDefault="00046F3E" w:rsidP="004F3158">
      <w:pPr>
        <w:tabs>
          <w:tab w:val="left" w:pos="1843"/>
        </w:tabs>
        <w:spacing w:after="60" w:line="240" w:lineRule="auto"/>
        <w:ind w:left="1843" w:hanging="1843"/>
        <w:jc w:val="both"/>
        <w:rPr>
          <w:sz w:val="24"/>
          <w:szCs w:val="24"/>
        </w:rPr>
      </w:pPr>
      <w:r w:rsidRPr="00046F3E">
        <w:rPr>
          <w:sz w:val="24"/>
          <w:szCs w:val="24"/>
        </w:rPr>
        <w:t>EU</w:t>
      </w:r>
      <w:r w:rsidRPr="00046F3E">
        <w:rPr>
          <w:sz w:val="24"/>
          <w:szCs w:val="24"/>
        </w:rPr>
        <w:tab/>
        <w:t>Evropská unie</w:t>
      </w:r>
    </w:p>
    <w:p w14:paraId="04D0A746" w14:textId="77777777" w:rsidR="00046F3E" w:rsidRPr="00046F3E" w:rsidRDefault="00046F3E" w:rsidP="004F3158">
      <w:pPr>
        <w:tabs>
          <w:tab w:val="left" w:pos="1843"/>
        </w:tabs>
        <w:spacing w:after="60" w:line="240" w:lineRule="auto"/>
        <w:ind w:left="1843" w:hanging="1843"/>
        <w:jc w:val="both"/>
        <w:rPr>
          <w:rFonts w:cs="Calibri"/>
          <w:color w:val="000000" w:themeColor="text1"/>
          <w:sz w:val="24"/>
          <w:szCs w:val="24"/>
        </w:rPr>
      </w:pPr>
      <w:r w:rsidRPr="00046F3E">
        <w:rPr>
          <w:rFonts w:cs="Calibri"/>
          <w:color w:val="000000" w:themeColor="text1"/>
          <w:sz w:val="24"/>
          <w:szCs w:val="24"/>
        </w:rPr>
        <w:t>FTE</w:t>
      </w:r>
      <w:r w:rsidRPr="00046F3E">
        <w:rPr>
          <w:rFonts w:cs="Calibri"/>
          <w:color w:val="000000" w:themeColor="text1"/>
          <w:sz w:val="24"/>
          <w:szCs w:val="24"/>
        </w:rPr>
        <w:tab/>
      </w:r>
      <w:r w:rsidR="004F3158">
        <w:rPr>
          <w:rFonts w:cs="Calibri"/>
          <w:color w:val="000000" w:themeColor="text1"/>
          <w:sz w:val="24"/>
          <w:szCs w:val="24"/>
        </w:rPr>
        <w:t>e</w:t>
      </w:r>
      <w:r w:rsidRPr="00046F3E">
        <w:rPr>
          <w:rFonts w:cs="Calibri"/>
          <w:color w:val="000000" w:themeColor="text1"/>
          <w:sz w:val="24"/>
          <w:szCs w:val="24"/>
        </w:rPr>
        <w:t>kvivalent plné pracovní doby</w:t>
      </w:r>
    </w:p>
    <w:p w14:paraId="53ADE62B" w14:textId="77777777" w:rsidR="00046F3E" w:rsidRPr="00046F3E" w:rsidRDefault="00046F3E" w:rsidP="004F3158">
      <w:pPr>
        <w:tabs>
          <w:tab w:val="left" w:pos="1843"/>
        </w:tabs>
        <w:spacing w:after="60" w:line="240" w:lineRule="auto"/>
        <w:ind w:left="1843" w:hanging="1843"/>
        <w:jc w:val="both"/>
        <w:rPr>
          <w:rFonts w:cs="Calibri"/>
          <w:color w:val="000000" w:themeColor="text1"/>
          <w:sz w:val="24"/>
          <w:szCs w:val="24"/>
        </w:rPr>
      </w:pPr>
      <w:r w:rsidRPr="00046F3E">
        <w:rPr>
          <w:rFonts w:cs="Calibri"/>
          <w:color w:val="000000" w:themeColor="text1"/>
          <w:sz w:val="24"/>
          <w:szCs w:val="24"/>
        </w:rPr>
        <w:t>IROP</w:t>
      </w:r>
      <w:r w:rsidRPr="00046F3E">
        <w:rPr>
          <w:rFonts w:cs="Calibri"/>
          <w:color w:val="000000" w:themeColor="text1"/>
          <w:sz w:val="24"/>
          <w:szCs w:val="24"/>
        </w:rPr>
        <w:tab/>
      </w:r>
      <w:r w:rsidRPr="00A61A67">
        <w:rPr>
          <w:rFonts w:cs="Calibri"/>
          <w:i/>
          <w:color w:val="000000" w:themeColor="text1"/>
          <w:sz w:val="24"/>
          <w:szCs w:val="24"/>
        </w:rPr>
        <w:t>Integrovaný regionální operační program</w:t>
      </w:r>
    </w:p>
    <w:p w14:paraId="5163F33C" w14:textId="77777777" w:rsidR="00046F3E" w:rsidRPr="00046F3E" w:rsidRDefault="00046F3E" w:rsidP="004F3158">
      <w:pPr>
        <w:tabs>
          <w:tab w:val="left" w:pos="1843"/>
        </w:tabs>
        <w:spacing w:after="60" w:line="240" w:lineRule="auto"/>
        <w:ind w:left="1843" w:hanging="1843"/>
        <w:jc w:val="both"/>
        <w:rPr>
          <w:sz w:val="24"/>
          <w:szCs w:val="24"/>
        </w:rPr>
      </w:pPr>
      <w:r w:rsidRPr="00046F3E">
        <w:rPr>
          <w:sz w:val="24"/>
          <w:szCs w:val="24"/>
        </w:rPr>
        <w:t>MMR</w:t>
      </w:r>
      <w:r w:rsidRPr="00046F3E">
        <w:rPr>
          <w:sz w:val="24"/>
          <w:szCs w:val="24"/>
        </w:rPr>
        <w:tab/>
        <w:t>Ministerstvo pro místní rozvoj</w:t>
      </w:r>
    </w:p>
    <w:p w14:paraId="0277290E" w14:textId="77777777" w:rsidR="00046F3E" w:rsidRPr="00046F3E" w:rsidRDefault="00046F3E" w:rsidP="004F3158">
      <w:pPr>
        <w:tabs>
          <w:tab w:val="left" w:pos="1843"/>
        </w:tabs>
        <w:spacing w:after="60" w:line="240" w:lineRule="auto"/>
        <w:ind w:left="1843" w:hanging="1843"/>
        <w:jc w:val="both"/>
        <w:rPr>
          <w:sz w:val="24"/>
          <w:szCs w:val="24"/>
        </w:rPr>
      </w:pPr>
      <w:r w:rsidRPr="00046F3E">
        <w:rPr>
          <w:sz w:val="24"/>
          <w:szCs w:val="24"/>
        </w:rPr>
        <w:t>MPSV</w:t>
      </w:r>
      <w:r w:rsidRPr="00046F3E">
        <w:rPr>
          <w:sz w:val="24"/>
          <w:szCs w:val="24"/>
        </w:rPr>
        <w:tab/>
        <w:t>Ministerstvo práce a sociálních věcí</w:t>
      </w:r>
    </w:p>
    <w:p w14:paraId="306EB2E9" w14:textId="77777777" w:rsidR="00046F3E" w:rsidRPr="00046F3E" w:rsidRDefault="00046F3E" w:rsidP="004F3158">
      <w:pPr>
        <w:tabs>
          <w:tab w:val="left" w:pos="1843"/>
        </w:tabs>
        <w:spacing w:after="60" w:line="240" w:lineRule="auto"/>
        <w:ind w:left="1843" w:hanging="1843"/>
        <w:jc w:val="both"/>
        <w:rPr>
          <w:sz w:val="24"/>
          <w:szCs w:val="24"/>
        </w:rPr>
      </w:pPr>
      <w:r w:rsidRPr="00046F3E">
        <w:rPr>
          <w:sz w:val="24"/>
          <w:szCs w:val="24"/>
        </w:rPr>
        <w:t>NKÚ</w:t>
      </w:r>
      <w:r w:rsidRPr="00046F3E">
        <w:rPr>
          <w:sz w:val="24"/>
          <w:szCs w:val="24"/>
        </w:rPr>
        <w:tab/>
        <w:t>Nejvyšší kontrolní úřad</w:t>
      </w:r>
    </w:p>
    <w:p w14:paraId="21D270A9" w14:textId="77777777" w:rsidR="00046F3E" w:rsidRPr="00046F3E" w:rsidRDefault="00046F3E" w:rsidP="004F3158">
      <w:pPr>
        <w:tabs>
          <w:tab w:val="left" w:pos="1843"/>
        </w:tabs>
        <w:spacing w:after="60" w:line="240" w:lineRule="auto"/>
        <w:ind w:left="1843" w:hanging="1843"/>
        <w:jc w:val="both"/>
        <w:rPr>
          <w:rFonts w:cstheme="minorHAnsi"/>
          <w:bCs/>
          <w:sz w:val="24"/>
          <w:szCs w:val="24"/>
        </w:rPr>
      </w:pPr>
      <w:r w:rsidRPr="00046F3E">
        <w:rPr>
          <w:rFonts w:cstheme="minorHAnsi"/>
          <w:bCs/>
          <w:sz w:val="24"/>
          <w:szCs w:val="24"/>
        </w:rPr>
        <w:t>OP PPR</w:t>
      </w:r>
      <w:r w:rsidRPr="00046F3E">
        <w:rPr>
          <w:rFonts w:cstheme="minorHAnsi"/>
          <w:bCs/>
          <w:sz w:val="24"/>
          <w:szCs w:val="24"/>
        </w:rPr>
        <w:tab/>
      </w:r>
      <w:r w:rsidR="004F3158">
        <w:rPr>
          <w:rFonts w:cstheme="minorHAnsi"/>
          <w:sz w:val="24"/>
          <w:szCs w:val="24"/>
        </w:rPr>
        <w:t>o</w:t>
      </w:r>
      <w:r w:rsidRPr="007865B9">
        <w:rPr>
          <w:rFonts w:cstheme="minorHAnsi"/>
          <w:sz w:val="24"/>
          <w:szCs w:val="24"/>
        </w:rPr>
        <w:t>perační program</w:t>
      </w:r>
      <w:r w:rsidRPr="00151C56">
        <w:rPr>
          <w:rFonts w:cstheme="minorHAnsi"/>
          <w:bCs/>
          <w:i/>
          <w:sz w:val="24"/>
          <w:szCs w:val="24"/>
        </w:rPr>
        <w:t xml:space="preserve"> Praha – pól růstu</w:t>
      </w:r>
    </w:p>
    <w:p w14:paraId="2138CFF9" w14:textId="77777777" w:rsidR="00046F3E" w:rsidRPr="00046F3E" w:rsidRDefault="00046F3E" w:rsidP="004F3158">
      <w:pPr>
        <w:tabs>
          <w:tab w:val="left" w:pos="1843"/>
        </w:tabs>
        <w:spacing w:after="60" w:line="240" w:lineRule="auto"/>
        <w:ind w:left="1843" w:hanging="1843"/>
        <w:jc w:val="both"/>
        <w:rPr>
          <w:rFonts w:cstheme="minorHAnsi"/>
          <w:bCs/>
          <w:sz w:val="24"/>
          <w:szCs w:val="24"/>
        </w:rPr>
      </w:pPr>
      <w:r w:rsidRPr="00046F3E">
        <w:rPr>
          <w:rFonts w:cstheme="minorHAnsi"/>
          <w:bCs/>
          <w:sz w:val="24"/>
          <w:szCs w:val="24"/>
        </w:rPr>
        <w:t>OPZ</w:t>
      </w:r>
      <w:r w:rsidRPr="00046F3E">
        <w:rPr>
          <w:rFonts w:cstheme="minorHAnsi"/>
          <w:bCs/>
          <w:sz w:val="24"/>
          <w:szCs w:val="24"/>
        </w:rPr>
        <w:tab/>
      </w:r>
      <w:r w:rsidR="004F3158">
        <w:rPr>
          <w:rFonts w:cstheme="minorHAnsi"/>
          <w:sz w:val="24"/>
          <w:szCs w:val="24"/>
        </w:rPr>
        <w:t>o</w:t>
      </w:r>
      <w:r w:rsidRPr="007865B9">
        <w:rPr>
          <w:rFonts w:cstheme="minorHAnsi"/>
          <w:sz w:val="24"/>
          <w:szCs w:val="24"/>
        </w:rPr>
        <w:t>perační program</w:t>
      </w:r>
      <w:r w:rsidRPr="00151C56">
        <w:rPr>
          <w:rFonts w:cstheme="minorHAnsi"/>
          <w:bCs/>
          <w:i/>
          <w:sz w:val="24"/>
          <w:szCs w:val="24"/>
        </w:rPr>
        <w:t xml:space="preserve"> Zaměstnanost</w:t>
      </w:r>
      <w:r w:rsidR="00684D57">
        <w:rPr>
          <w:rFonts w:cstheme="minorHAnsi"/>
          <w:bCs/>
          <w:i/>
          <w:sz w:val="24"/>
          <w:szCs w:val="24"/>
        </w:rPr>
        <w:t xml:space="preserve"> 2014–2020</w:t>
      </w:r>
    </w:p>
    <w:p w14:paraId="1B8F4F5D" w14:textId="77777777" w:rsidR="00046F3E" w:rsidRPr="00046F3E" w:rsidRDefault="00046F3E" w:rsidP="004F3158">
      <w:pPr>
        <w:tabs>
          <w:tab w:val="left" w:pos="1843"/>
        </w:tabs>
        <w:spacing w:after="60" w:line="240" w:lineRule="auto"/>
        <w:ind w:left="1843" w:hanging="1843"/>
        <w:jc w:val="both"/>
        <w:rPr>
          <w:rFonts w:cstheme="minorHAnsi"/>
          <w:bCs/>
          <w:sz w:val="24"/>
          <w:szCs w:val="24"/>
        </w:rPr>
      </w:pPr>
      <w:r w:rsidRPr="00046F3E">
        <w:rPr>
          <w:rFonts w:cstheme="minorHAnsi"/>
          <w:bCs/>
          <w:sz w:val="24"/>
          <w:szCs w:val="24"/>
        </w:rPr>
        <w:t>PO</w:t>
      </w:r>
      <w:r w:rsidR="000046DF">
        <w:rPr>
          <w:rFonts w:cstheme="minorHAnsi"/>
          <w:bCs/>
          <w:sz w:val="24"/>
          <w:szCs w:val="24"/>
        </w:rPr>
        <w:t> </w:t>
      </w:r>
      <w:r w:rsidRPr="00046F3E">
        <w:rPr>
          <w:rFonts w:cstheme="minorHAnsi"/>
          <w:bCs/>
          <w:sz w:val="24"/>
          <w:szCs w:val="24"/>
        </w:rPr>
        <w:t>2</w:t>
      </w:r>
      <w:r w:rsidRPr="00046F3E">
        <w:rPr>
          <w:rFonts w:cstheme="minorHAnsi"/>
          <w:bCs/>
          <w:sz w:val="24"/>
          <w:szCs w:val="24"/>
        </w:rPr>
        <w:tab/>
      </w:r>
      <w:r w:rsidR="004F3158">
        <w:rPr>
          <w:rFonts w:cstheme="minorHAnsi"/>
          <w:bCs/>
          <w:sz w:val="24"/>
          <w:szCs w:val="24"/>
        </w:rPr>
        <w:t>p</w:t>
      </w:r>
      <w:r w:rsidRPr="00046F3E">
        <w:rPr>
          <w:rFonts w:cstheme="minorHAnsi"/>
          <w:bCs/>
          <w:sz w:val="24"/>
          <w:szCs w:val="24"/>
        </w:rPr>
        <w:t xml:space="preserve">rioritní osa 2 OPZ </w:t>
      </w:r>
      <w:r w:rsidRPr="00046F3E">
        <w:rPr>
          <w:rFonts w:cstheme="minorHAnsi"/>
          <w:bCs/>
          <w:i/>
          <w:sz w:val="24"/>
          <w:szCs w:val="24"/>
        </w:rPr>
        <w:t>Sociální začleňování a boj s chudobou</w:t>
      </w:r>
    </w:p>
    <w:p w14:paraId="63E45655" w14:textId="77777777" w:rsidR="00046F3E" w:rsidRPr="00046F3E" w:rsidRDefault="00046F3E" w:rsidP="004F3158">
      <w:pPr>
        <w:tabs>
          <w:tab w:val="left" w:pos="1843"/>
        </w:tabs>
        <w:spacing w:after="60" w:line="240" w:lineRule="auto"/>
        <w:ind w:left="1843" w:hanging="1843"/>
        <w:jc w:val="both"/>
        <w:rPr>
          <w:rFonts w:cstheme="minorHAnsi"/>
          <w:bCs/>
          <w:sz w:val="24"/>
          <w:szCs w:val="24"/>
        </w:rPr>
      </w:pPr>
      <w:proofErr w:type="spellStart"/>
      <w:r w:rsidRPr="00046F3E">
        <w:rPr>
          <w:rFonts w:cstheme="minorHAnsi"/>
          <w:bCs/>
          <w:sz w:val="24"/>
          <w:szCs w:val="24"/>
        </w:rPr>
        <w:t>RoPD</w:t>
      </w:r>
      <w:proofErr w:type="spellEnd"/>
      <w:r w:rsidRPr="00046F3E">
        <w:rPr>
          <w:rFonts w:cstheme="minorHAnsi"/>
          <w:bCs/>
          <w:sz w:val="24"/>
          <w:szCs w:val="24"/>
        </w:rPr>
        <w:tab/>
      </w:r>
      <w:r w:rsidR="004F3158">
        <w:rPr>
          <w:rFonts w:cstheme="minorHAnsi"/>
          <w:bCs/>
          <w:sz w:val="24"/>
          <w:szCs w:val="24"/>
        </w:rPr>
        <w:t>r</w:t>
      </w:r>
      <w:r w:rsidRPr="00046F3E">
        <w:rPr>
          <w:rFonts w:cstheme="minorHAnsi"/>
          <w:bCs/>
          <w:sz w:val="24"/>
          <w:szCs w:val="24"/>
        </w:rPr>
        <w:t>ozhodnutí o poskytnutí dotace</w:t>
      </w:r>
    </w:p>
    <w:p w14:paraId="49D0F9E2" w14:textId="77777777" w:rsidR="003066A4" w:rsidRDefault="003066A4" w:rsidP="004F3158">
      <w:pPr>
        <w:tabs>
          <w:tab w:val="left" w:pos="1843"/>
        </w:tabs>
        <w:spacing w:after="60" w:line="240" w:lineRule="auto"/>
        <w:ind w:left="1843" w:hanging="1843"/>
        <w:jc w:val="both"/>
        <w:rPr>
          <w:rFonts w:cstheme="minorHAnsi"/>
          <w:bCs/>
          <w:sz w:val="24"/>
          <w:szCs w:val="24"/>
        </w:rPr>
      </w:pPr>
      <w:r>
        <w:rPr>
          <w:rFonts w:cstheme="minorHAnsi"/>
          <w:bCs/>
          <w:sz w:val="24"/>
          <w:szCs w:val="24"/>
        </w:rPr>
        <w:t>SC</w:t>
      </w:r>
      <w:r>
        <w:rPr>
          <w:rFonts w:cstheme="minorHAnsi"/>
          <w:bCs/>
          <w:sz w:val="24"/>
          <w:szCs w:val="24"/>
        </w:rPr>
        <w:tab/>
      </w:r>
      <w:r w:rsidR="004F3158">
        <w:rPr>
          <w:rFonts w:cstheme="minorHAnsi"/>
          <w:bCs/>
          <w:sz w:val="24"/>
          <w:szCs w:val="24"/>
        </w:rPr>
        <w:t>s</w:t>
      </w:r>
      <w:r>
        <w:rPr>
          <w:rFonts w:cstheme="minorHAnsi"/>
          <w:bCs/>
          <w:sz w:val="24"/>
          <w:szCs w:val="24"/>
        </w:rPr>
        <w:t>pecifický cíl</w:t>
      </w:r>
    </w:p>
    <w:p w14:paraId="710F285E" w14:textId="77777777" w:rsidR="00292790" w:rsidRDefault="00292790" w:rsidP="004F3158">
      <w:pPr>
        <w:tabs>
          <w:tab w:val="left" w:pos="1843"/>
        </w:tabs>
        <w:spacing w:after="60" w:line="240" w:lineRule="auto"/>
        <w:ind w:left="1843" w:hanging="1843"/>
        <w:jc w:val="both"/>
        <w:rPr>
          <w:rFonts w:cstheme="minorHAnsi"/>
          <w:bCs/>
          <w:sz w:val="24"/>
          <w:szCs w:val="24"/>
        </w:rPr>
      </w:pPr>
      <w:r>
        <w:rPr>
          <w:rFonts w:cstheme="minorHAnsi"/>
          <w:bCs/>
          <w:sz w:val="24"/>
          <w:szCs w:val="24"/>
        </w:rPr>
        <w:t>SC 2.1.2</w:t>
      </w:r>
      <w:r w:rsidR="00D44FA2">
        <w:rPr>
          <w:rFonts w:cstheme="minorHAnsi"/>
          <w:bCs/>
          <w:sz w:val="24"/>
          <w:szCs w:val="24"/>
        </w:rPr>
        <w:t xml:space="preserve"> OPZ</w:t>
      </w:r>
      <w:r>
        <w:rPr>
          <w:rFonts w:cstheme="minorHAnsi"/>
          <w:bCs/>
          <w:sz w:val="24"/>
          <w:szCs w:val="24"/>
        </w:rPr>
        <w:tab/>
      </w:r>
      <w:r w:rsidR="004F3158">
        <w:rPr>
          <w:rFonts w:cstheme="minorHAnsi"/>
          <w:bCs/>
          <w:sz w:val="24"/>
          <w:szCs w:val="24"/>
        </w:rPr>
        <w:t>s</w:t>
      </w:r>
      <w:r w:rsidRPr="00292790">
        <w:rPr>
          <w:rFonts w:cstheme="minorHAnsi"/>
          <w:bCs/>
          <w:sz w:val="24"/>
          <w:szCs w:val="24"/>
        </w:rPr>
        <w:t>pecifick</w:t>
      </w:r>
      <w:r>
        <w:rPr>
          <w:rFonts w:cstheme="minorHAnsi"/>
          <w:bCs/>
          <w:sz w:val="24"/>
          <w:szCs w:val="24"/>
        </w:rPr>
        <w:t>ý</w:t>
      </w:r>
      <w:r w:rsidRPr="00292790">
        <w:rPr>
          <w:rFonts w:cstheme="minorHAnsi"/>
          <w:bCs/>
          <w:sz w:val="24"/>
          <w:szCs w:val="24"/>
        </w:rPr>
        <w:t xml:space="preserve"> cíl 2.1.2 </w:t>
      </w:r>
      <w:r>
        <w:rPr>
          <w:rFonts w:cstheme="minorHAnsi"/>
          <w:bCs/>
          <w:sz w:val="24"/>
          <w:szCs w:val="24"/>
        </w:rPr>
        <w:t xml:space="preserve">OPZ </w:t>
      </w:r>
      <w:r w:rsidRPr="00292790">
        <w:rPr>
          <w:rFonts w:cstheme="minorHAnsi"/>
          <w:bCs/>
          <w:i/>
          <w:sz w:val="24"/>
          <w:szCs w:val="24"/>
        </w:rPr>
        <w:t>Rozvoj sektoru sociální ekonomiky</w:t>
      </w:r>
    </w:p>
    <w:p w14:paraId="6D8C931C" w14:textId="77777777" w:rsidR="00046F3E" w:rsidRDefault="00046F3E" w:rsidP="004F3158">
      <w:pPr>
        <w:tabs>
          <w:tab w:val="left" w:pos="1843"/>
        </w:tabs>
        <w:spacing w:after="60" w:line="240" w:lineRule="auto"/>
        <w:ind w:left="1843" w:hanging="1843"/>
        <w:jc w:val="both"/>
        <w:rPr>
          <w:rFonts w:cstheme="minorHAnsi"/>
          <w:bCs/>
          <w:i/>
          <w:sz w:val="24"/>
          <w:szCs w:val="24"/>
        </w:rPr>
      </w:pPr>
      <w:r w:rsidRPr="00046F3E">
        <w:rPr>
          <w:rFonts w:cstheme="minorHAnsi"/>
          <w:bCs/>
          <w:sz w:val="24"/>
          <w:szCs w:val="24"/>
        </w:rPr>
        <w:t>SC 2.2</w:t>
      </w:r>
      <w:r w:rsidR="00D44FA2">
        <w:rPr>
          <w:rFonts w:cstheme="minorHAnsi"/>
          <w:bCs/>
          <w:sz w:val="24"/>
          <w:szCs w:val="24"/>
        </w:rPr>
        <w:t xml:space="preserve"> IROP</w:t>
      </w:r>
      <w:r w:rsidRPr="00046F3E">
        <w:tab/>
      </w:r>
      <w:r w:rsidR="004F3158">
        <w:rPr>
          <w:rFonts w:cstheme="minorHAnsi"/>
          <w:bCs/>
          <w:sz w:val="24"/>
          <w:szCs w:val="24"/>
        </w:rPr>
        <w:t>s</w:t>
      </w:r>
      <w:r w:rsidRPr="00046F3E">
        <w:rPr>
          <w:rFonts w:cstheme="minorHAnsi"/>
          <w:bCs/>
          <w:sz w:val="24"/>
          <w:szCs w:val="24"/>
        </w:rPr>
        <w:t xml:space="preserve">pecifický cíl 2.2 IROP </w:t>
      </w:r>
      <w:r w:rsidRPr="00046F3E">
        <w:rPr>
          <w:rFonts w:cstheme="minorHAnsi"/>
          <w:bCs/>
          <w:i/>
          <w:sz w:val="24"/>
          <w:szCs w:val="24"/>
        </w:rPr>
        <w:t>Vznik nových a rozvoj existujících podnikatelských aktivit v oblasti sociálního podnikání</w:t>
      </w:r>
    </w:p>
    <w:p w14:paraId="44F487D7" w14:textId="77777777" w:rsidR="007F05BB" w:rsidRDefault="007F05BB" w:rsidP="004F3158">
      <w:pPr>
        <w:tabs>
          <w:tab w:val="left" w:pos="1843"/>
        </w:tabs>
        <w:spacing w:after="60" w:line="240" w:lineRule="auto"/>
        <w:ind w:left="1843" w:hanging="1843"/>
        <w:jc w:val="both"/>
        <w:rPr>
          <w:rFonts w:cstheme="minorHAnsi"/>
          <w:bCs/>
          <w:sz w:val="24"/>
          <w:szCs w:val="24"/>
        </w:rPr>
      </w:pPr>
      <w:r>
        <w:rPr>
          <w:rFonts w:cstheme="minorHAnsi"/>
          <w:bCs/>
          <w:sz w:val="24"/>
          <w:szCs w:val="24"/>
        </w:rPr>
        <w:t>SC 2.3.1</w:t>
      </w:r>
      <w:r w:rsidR="00D44FA2">
        <w:rPr>
          <w:rFonts w:cstheme="minorHAnsi"/>
          <w:bCs/>
          <w:sz w:val="24"/>
          <w:szCs w:val="24"/>
        </w:rPr>
        <w:t xml:space="preserve"> OPZ</w:t>
      </w:r>
      <w:r>
        <w:rPr>
          <w:rFonts w:cstheme="minorHAnsi"/>
          <w:bCs/>
          <w:sz w:val="24"/>
          <w:szCs w:val="24"/>
        </w:rPr>
        <w:tab/>
      </w:r>
      <w:r w:rsidR="004F3158">
        <w:rPr>
          <w:rFonts w:cstheme="minorHAnsi"/>
          <w:bCs/>
          <w:sz w:val="24"/>
          <w:szCs w:val="24"/>
        </w:rPr>
        <w:t>s</w:t>
      </w:r>
      <w:r>
        <w:rPr>
          <w:rFonts w:cstheme="minorHAnsi"/>
          <w:bCs/>
          <w:sz w:val="24"/>
          <w:szCs w:val="24"/>
        </w:rPr>
        <w:t xml:space="preserve">pecifický cíl 2.3.1 OPZ </w:t>
      </w:r>
      <w:r w:rsidRPr="00A56395">
        <w:rPr>
          <w:rFonts w:cstheme="minorHAnsi"/>
          <w:bCs/>
          <w:i/>
          <w:sz w:val="24"/>
          <w:szCs w:val="24"/>
        </w:rPr>
        <w:t>Zvýšit zapojení lokálních aktérů do řešení problémů nezaměstnanosti a sociálního začleňování ve venkovských oblastech</w:t>
      </w:r>
    </w:p>
    <w:p w14:paraId="740C27E2" w14:textId="77777777" w:rsidR="000B4AAE" w:rsidRPr="000B4AAE" w:rsidRDefault="000B4AAE" w:rsidP="004F3158">
      <w:pPr>
        <w:tabs>
          <w:tab w:val="left" w:pos="1843"/>
        </w:tabs>
        <w:spacing w:after="60" w:line="240" w:lineRule="auto"/>
        <w:ind w:left="1843" w:hanging="1843"/>
        <w:jc w:val="both"/>
        <w:rPr>
          <w:rFonts w:cstheme="minorHAnsi"/>
          <w:bCs/>
          <w:sz w:val="24"/>
          <w:szCs w:val="24"/>
        </w:rPr>
      </w:pPr>
      <w:r w:rsidRPr="000B4AAE">
        <w:rPr>
          <w:rFonts w:cstheme="minorHAnsi"/>
          <w:bCs/>
          <w:sz w:val="24"/>
          <w:szCs w:val="24"/>
        </w:rPr>
        <w:t>SC 4.1</w:t>
      </w:r>
      <w:r w:rsidR="00D44FA2">
        <w:rPr>
          <w:rFonts w:cstheme="minorHAnsi"/>
          <w:bCs/>
          <w:sz w:val="24"/>
          <w:szCs w:val="24"/>
        </w:rPr>
        <w:t xml:space="preserve"> IROP</w:t>
      </w:r>
      <w:r w:rsidRPr="000B4AAE">
        <w:rPr>
          <w:rFonts w:cstheme="minorHAnsi"/>
          <w:bCs/>
          <w:sz w:val="24"/>
          <w:szCs w:val="24"/>
        </w:rPr>
        <w:tab/>
      </w:r>
      <w:r w:rsidR="004F3158">
        <w:rPr>
          <w:sz w:val="24"/>
          <w:szCs w:val="24"/>
        </w:rPr>
        <w:t>s</w:t>
      </w:r>
      <w:r w:rsidRPr="00A56395">
        <w:rPr>
          <w:sz w:val="24"/>
          <w:szCs w:val="24"/>
        </w:rPr>
        <w:t xml:space="preserve">pecifický cíl 4.1 IROP </w:t>
      </w:r>
      <w:r w:rsidRPr="00A56395">
        <w:rPr>
          <w:i/>
          <w:sz w:val="24"/>
          <w:szCs w:val="24"/>
        </w:rPr>
        <w:t>Posílení komunitně vedeného místního rozvoje za účelem zvýšení kvality života ve venkovských oblastech a</w:t>
      </w:r>
      <w:r>
        <w:rPr>
          <w:i/>
          <w:sz w:val="24"/>
          <w:szCs w:val="24"/>
        </w:rPr>
        <w:t> </w:t>
      </w:r>
      <w:r w:rsidRPr="00A56395">
        <w:rPr>
          <w:i/>
          <w:sz w:val="24"/>
          <w:szCs w:val="24"/>
        </w:rPr>
        <w:t>aktivizace místního potenciálu</w:t>
      </w:r>
    </w:p>
    <w:p w14:paraId="1162EEB5" w14:textId="77777777" w:rsidR="00046F3E" w:rsidRPr="00046F3E" w:rsidRDefault="00046F3E" w:rsidP="004F3158">
      <w:pPr>
        <w:tabs>
          <w:tab w:val="left" w:pos="1843"/>
        </w:tabs>
        <w:spacing w:after="60" w:line="240" w:lineRule="auto"/>
        <w:ind w:left="1843" w:hanging="1843"/>
        <w:jc w:val="both"/>
        <w:rPr>
          <w:rFonts w:cstheme="minorHAnsi"/>
          <w:bCs/>
          <w:sz w:val="24"/>
          <w:szCs w:val="24"/>
        </w:rPr>
      </w:pPr>
      <w:r w:rsidRPr="00046F3E">
        <w:rPr>
          <w:rFonts w:cstheme="minorHAnsi"/>
          <w:bCs/>
          <w:sz w:val="24"/>
          <w:szCs w:val="24"/>
        </w:rPr>
        <w:t>SP</w:t>
      </w:r>
      <w:r w:rsidRPr="00046F3E">
        <w:rPr>
          <w:rFonts w:cstheme="minorHAnsi"/>
          <w:bCs/>
          <w:sz w:val="24"/>
          <w:szCs w:val="24"/>
        </w:rPr>
        <w:tab/>
      </w:r>
      <w:r w:rsidR="004F3158">
        <w:rPr>
          <w:rFonts w:cstheme="minorHAnsi"/>
          <w:bCs/>
          <w:sz w:val="24"/>
          <w:szCs w:val="24"/>
        </w:rPr>
        <w:t>s</w:t>
      </w:r>
      <w:r w:rsidRPr="00046F3E">
        <w:rPr>
          <w:rFonts w:cstheme="minorHAnsi"/>
          <w:bCs/>
          <w:sz w:val="24"/>
          <w:szCs w:val="24"/>
        </w:rPr>
        <w:t>ociální podnik</w:t>
      </w:r>
    </w:p>
    <w:p w14:paraId="1B6C54EC" w14:textId="77777777" w:rsidR="004F3158" w:rsidRDefault="00046F3E" w:rsidP="004F3158">
      <w:pPr>
        <w:tabs>
          <w:tab w:val="left" w:pos="1843"/>
        </w:tabs>
        <w:spacing w:after="60" w:line="240" w:lineRule="auto"/>
        <w:ind w:left="1843" w:hanging="1843"/>
        <w:jc w:val="both"/>
        <w:rPr>
          <w:rFonts w:cstheme="minorHAnsi"/>
          <w:bCs/>
          <w:sz w:val="24"/>
          <w:szCs w:val="24"/>
        </w:rPr>
      </w:pPr>
      <w:r w:rsidRPr="00046F3E">
        <w:rPr>
          <w:rFonts w:cstheme="minorHAnsi"/>
          <w:bCs/>
          <w:sz w:val="24"/>
          <w:szCs w:val="24"/>
        </w:rPr>
        <w:t>SVL</w:t>
      </w:r>
      <w:r w:rsidRPr="00046F3E">
        <w:rPr>
          <w:rFonts w:cstheme="minorHAnsi"/>
          <w:bCs/>
          <w:sz w:val="24"/>
          <w:szCs w:val="24"/>
        </w:rPr>
        <w:tab/>
      </w:r>
      <w:r w:rsidR="004F3158">
        <w:rPr>
          <w:rFonts w:cstheme="minorHAnsi"/>
          <w:bCs/>
          <w:sz w:val="24"/>
          <w:szCs w:val="24"/>
        </w:rPr>
        <w:t>s</w:t>
      </w:r>
      <w:r w:rsidRPr="00046F3E">
        <w:rPr>
          <w:rFonts w:cstheme="minorHAnsi"/>
          <w:bCs/>
          <w:sz w:val="24"/>
          <w:szCs w:val="24"/>
        </w:rPr>
        <w:t>ociálně vyloučené lokality</w:t>
      </w:r>
    </w:p>
    <w:p w14:paraId="260299EF" w14:textId="77777777" w:rsidR="004F3158" w:rsidRDefault="004F3158" w:rsidP="004F3158">
      <w:pPr>
        <w:tabs>
          <w:tab w:val="left" w:pos="1843"/>
        </w:tabs>
        <w:spacing w:after="60" w:line="240" w:lineRule="auto"/>
        <w:ind w:left="1843" w:hanging="1843"/>
        <w:jc w:val="both"/>
        <w:rPr>
          <w:rFonts w:cstheme="minorHAnsi"/>
          <w:bCs/>
          <w:sz w:val="24"/>
          <w:szCs w:val="24"/>
        </w:rPr>
      </w:pPr>
      <w:r>
        <w:rPr>
          <w:rFonts w:cstheme="minorHAnsi"/>
          <w:bCs/>
          <w:sz w:val="24"/>
          <w:szCs w:val="24"/>
        </w:rPr>
        <w:t>vybrané projekty</w:t>
      </w:r>
      <w:r>
        <w:rPr>
          <w:rFonts w:cstheme="minorHAnsi"/>
          <w:bCs/>
          <w:sz w:val="24"/>
          <w:szCs w:val="24"/>
        </w:rPr>
        <w:tab/>
        <w:t>kontrolovaný vzorek</w:t>
      </w:r>
      <w:r w:rsidR="00A61A67">
        <w:rPr>
          <w:rFonts w:cstheme="minorHAnsi"/>
          <w:bCs/>
          <w:sz w:val="24"/>
          <w:szCs w:val="24"/>
        </w:rPr>
        <w:t xml:space="preserve"> </w:t>
      </w:r>
      <w:r w:rsidRPr="00046F3E">
        <w:rPr>
          <w:rFonts w:cstheme="minorHAnsi"/>
          <w:bCs/>
          <w:sz w:val="24"/>
          <w:szCs w:val="24"/>
        </w:rPr>
        <w:t>16 projektů realizovaných u 12 příjemců podpory</w:t>
      </w:r>
    </w:p>
    <w:p w14:paraId="4CD82224" w14:textId="77777777" w:rsidR="00F31777" w:rsidRPr="00A2429A" w:rsidRDefault="00774346" w:rsidP="000046DF">
      <w:pPr>
        <w:spacing w:after="60" w:line="240" w:lineRule="auto"/>
        <w:jc w:val="right"/>
        <w:rPr>
          <w:rFonts w:ascii="Calibri" w:hAnsi="Calibri" w:cs="Calibri"/>
          <w:b/>
          <w:sz w:val="24"/>
          <w:szCs w:val="24"/>
        </w:rPr>
      </w:pPr>
      <w:r>
        <w:rPr>
          <w:rFonts w:cstheme="minorHAnsi"/>
          <w:bCs/>
          <w:sz w:val="24"/>
          <w:szCs w:val="24"/>
        </w:rPr>
        <w:br w:type="page"/>
      </w:r>
      <w:r w:rsidR="00F31777" w:rsidRPr="00A2429A">
        <w:rPr>
          <w:rFonts w:ascii="Calibri" w:hAnsi="Calibri" w:cs="Calibri"/>
          <w:b/>
          <w:sz w:val="24"/>
          <w:szCs w:val="24"/>
        </w:rPr>
        <w:t>Příloha č. 1</w:t>
      </w:r>
    </w:p>
    <w:p w14:paraId="1AA2A163" w14:textId="77777777" w:rsidR="009E3A50" w:rsidRPr="00F31777" w:rsidRDefault="009E3A50" w:rsidP="00EC4FD6">
      <w:pPr>
        <w:spacing w:after="120" w:line="240" w:lineRule="auto"/>
        <w:jc w:val="center"/>
        <w:rPr>
          <w:rFonts w:cstheme="minorHAnsi"/>
          <w:b/>
          <w:sz w:val="24"/>
        </w:rPr>
      </w:pPr>
      <w:r w:rsidRPr="00F31777">
        <w:rPr>
          <w:rFonts w:cstheme="minorHAnsi"/>
          <w:b/>
          <w:sz w:val="24"/>
        </w:rPr>
        <w:t>Přehled kontrolovaných projektů OPZ a IROP a hodnocení jejich účelnosti a efektivnosti</w:t>
      </w:r>
    </w:p>
    <w:tbl>
      <w:tblPr>
        <w:tblW w:w="5002"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70" w:type="dxa"/>
          <w:right w:w="70" w:type="dxa"/>
        </w:tblCellMar>
        <w:tblLook w:val="04A0" w:firstRow="1" w:lastRow="0" w:firstColumn="1" w:lastColumn="0" w:noHBand="0" w:noVBand="1"/>
      </w:tblPr>
      <w:tblGrid>
        <w:gridCol w:w="561"/>
        <w:gridCol w:w="3971"/>
        <w:gridCol w:w="1417"/>
        <w:gridCol w:w="1136"/>
        <w:gridCol w:w="849"/>
        <w:gridCol w:w="1136"/>
      </w:tblGrid>
      <w:tr w:rsidR="009E3A50" w:rsidRPr="00A2429A" w14:paraId="5A9A76C5" w14:textId="77777777" w:rsidTr="00A2429A">
        <w:trPr>
          <w:trHeight w:val="227"/>
          <w:jc w:val="center"/>
        </w:trPr>
        <w:tc>
          <w:tcPr>
            <w:tcW w:w="2499" w:type="pct"/>
            <w:gridSpan w:val="2"/>
            <w:shd w:val="clear" w:color="auto" w:fill="E5F1FF"/>
            <w:tcMar>
              <w:left w:w="17" w:type="dxa"/>
              <w:right w:w="17" w:type="dxa"/>
            </w:tcMar>
            <w:vAlign w:val="center"/>
          </w:tcPr>
          <w:p w14:paraId="6C16126D"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Projekt</w:t>
            </w:r>
          </w:p>
        </w:tc>
        <w:tc>
          <w:tcPr>
            <w:tcW w:w="781" w:type="pct"/>
            <w:vMerge w:val="restart"/>
            <w:shd w:val="clear" w:color="auto" w:fill="E5F1FF"/>
            <w:tcMar>
              <w:left w:w="17" w:type="dxa"/>
              <w:right w:w="17" w:type="dxa"/>
            </w:tcMar>
            <w:vAlign w:val="center"/>
            <w:hideMark/>
          </w:tcPr>
          <w:p w14:paraId="25CDDA08" w14:textId="77777777" w:rsidR="009E3A50" w:rsidRPr="00A2429A" w:rsidRDefault="009E3A50" w:rsidP="00A2429A">
            <w:pPr>
              <w:spacing w:before="40" w:after="40" w:line="240" w:lineRule="auto"/>
              <w:jc w:val="center"/>
              <w:rPr>
                <w:rFonts w:ascii="Calibri" w:eastAsia="Times New Roman" w:hAnsi="Calibri" w:cs="Calibri"/>
                <w:bCs/>
                <w:color w:val="000000"/>
                <w:sz w:val="18"/>
                <w:szCs w:val="18"/>
                <w:lang w:eastAsia="cs-CZ"/>
              </w:rPr>
            </w:pPr>
            <w:r w:rsidRPr="00A2429A">
              <w:rPr>
                <w:rFonts w:ascii="Calibri" w:eastAsia="Times New Roman" w:hAnsi="Calibri" w:cs="Calibri"/>
                <w:b/>
                <w:bCs/>
                <w:color w:val="000000"/>
                <w:sz w:val="18"/>
                <w:szCs w:val="18"/>
                <w:lang w:eastAsia="cs-CZ"/>
              </w:rPr>
              <w:t>Kontrolovaný příjemce podpory</w:t>
            </w:r>
          </w:p>
        </w:tc>
        <w:tc>
          <w:tcPr>
            <w:tcW w:w="626" w:type="pct"/>
            <w:vMerge w:val="restart"/>
            <w:shd w:val="clear" w:color="auto" w:fill="E5F1FF"/>
            <w:tcMar>
              <w:left w:w="17" w:type="dxa"/>
              <w:right w:w="17" w:type="dxa"/>
            </w:tcMar>
            <w:vAlign w:val="center"/>
          </w:tcPr>
          <w:p w14:paraId="65323740"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 xml:space="preserve">Podpora dle </w:t>
            </w:r>
            <w:r w:rsidR="00836C37">
              <w:rPr>
                <w:rFonts w:ascii="Calibri" w:eastAsia="Times New Roman" w:hAnsi="Calibri" w:cs="Calibri"/>
                <w:b/>
                <w:bCs/>
                <w:color w:val="000000"/>
                <w:sz w:val="18"/>
                <w:szCs w:val="18"/>
                <w:lang w:eastAsia="cs-CZ"/>
              </w:rPr>
              <w:t>r</w:t>
            </w:r>
            <w:r w:rsidRPr="00A2429A">
              <w:rPr>
                <w:rFonts w:ascii="Calibri" w:eastAsia="Times New Roman" w:hAnsi="Calibri" w:cs="Calibri"/>
                <w:b/>
                <w:bCs/>
                <w:color w:val="000000"/>
                <w:sz w:val="18"/>
                <w:szCs w:val="18"/>
                <w:lang w:eastAsia="cs-CZ"/>
              </w:rPr>
              <w:t>ozhodnutí (v Kč)</w:t>
            </w:r>
          </w:p>
        </w:tc>
        <w:tc>
          <w:tcPr>
            <w:tcW w:w="1094" w:type="pct"/>
            <w:gridSpan w:val="2"/>
            <w:shd w:val="clear" w:color="auto" w:fill="E5F1FF"/>
            <w:tcMar>
              <w:left w:w="17" w:type="dxa"/>
              <w:right w:w="17" w:type="dxa"/>
            </w:tcMar>
            <w:vAlign w:val="center"/>
            <w:hideMark/>
          </w:tcPr>
          <w:p w14:paraId="527E83FE"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Hodnocení</w:t>
            </w:r>
          </w:p>
        </w:tc>
      </w:tr>
      <w:tr w:rsidR="009E3A50" w:rsidRPr="00A2429A" w14:paraId="3D6EA7F8" w14:textId="77777777" w:rsidTr="00A2429A">
        <w:trPr>
          <w:trHeight w:val="227"/>
          <w:jc w:val="center"/>
        </w:trPr>
        <w:tc>
          <w:tcPr>
            <w:tcW w:w="310" w:type="pct"/>
            <w:shd w:val="clear" w:color="auto" w:fill="E5F1FF"/>
            <w:tcMar>
              <w:left w:w="17" w:type="dxa"/>
              <w:right w:w="17" w:type="dxa"/>
            </w:tcMar>
            <w:vAlign w:val="center"/>
            <w:hideMark/>
          </w:tcPr>
          <w:p w14:paraId="72CB590D"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Zkr.</w:t>
            </w:r>
          </w:p>
        </w:tc>
        <w:tc>
          <w:tcPr>
            <w:tcW w:w="2189" w:type="pct"/>
            <w:shd w:val="clear" w:color="auto" w:fill="E5F1FF"/>
            <w:tcMar>
              <w:left w:w="17" w:type="dxa"/>
              <w:right w:w="17" w:type="dxa"/>
            </w:tcMar>
            <w:vAlign w:val="center"/>
            <w:hideMark/>
          </w:tcPr>
          <w:p w14:paraId="7E2440BA"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Číslo a název</w:t>
            </w:r>
          </w:p>
        </w:tc>
        <w:tc>
          <w:tcPr>
            <w:tcW w:w="781" w:type="pct"/>
            <w:vMerge/>
            <w:shd w:val="clear" w:color="auto" w:fill="E5F1FF"/>
            <w:tcMar>
              <w:left w:w="17" w:type="dxa"/>
              <w:right w:w="17" w:type="dxa"/>
            </w:tcMar>
            <w:vAlign w:val="center"/>
            <w:hideMark/>
          </w:tcPr>
          <w:p w14:paraId="4FD42D42" w14:textId="77777777" w:rsidR="009E3A50" w:rsidRPr="00A2429A" w:rsidRDefault="009E3A50" w:rsidP="00A2429A">
            <w:pPr>
              <w:spacing w:before="40" w:after="40" w:line="240" w:lineRule="auto"/>
              <w:jc w:val="center"/>
              <w:rPr>
                <w:rFonts w:ascii="Calibri" w:eastAsia="Times New Roman" w:hAnsi="Calibri" w:cs="Calibri"/>
                <w:bCs/>
                <w:color w:val="000000"/>
                <w:sz w:val="18"/>
                <w:szCs w:val="18"/>
                <w:lang w:eastAsia="cs-CZ"/>
              </w:rPr>
            </w:pPr>
          </w:p>
        </w:tc>
        <w:tc>
          <w:tcPr>
            <w:tcW w:w="626" w:type="pct"/>
            <w:vMerge/>
            <w:shd w:val="clear" w:color="auto" w:fill="E5F1FF"/>
            <w:tcMar>
              <w:left w:w="17" w:type="dxa"/>
              <w:right w:w="17" w:type="dxa"/>
            </w:tcMar>
            <w:vAlign w:val="center"/>
          </w:tcPr>
          <w:p w14:paraId="19D92967"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p>
        </w:tc>
        <w:tc>
          <w:tcPr>
            <w:tcW w:w="468" w:type="pct"/>
            <w:shd w:val="clear" w:color="auto" w:fill="E5F1FF"/>
            <w:tcMar>
              <w:left w:w="17" w:type="dxa"/>
              <w:right w:w="17" w:type="dxa"/>
            </w:tcMar>
            <w:vAlign w:val="center"/>
            <w:hideMark/>
          </w:tcPr>
          <w:p w14:paraId="3B160187"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Účelnost</w:t>
            </w:r>
          </w:p>
        </w:tc>
        <w:tc>
          <w:tcPr>
            <w:tcW w:w="626" w:type="pct"/>
            <w:shd w:val="clear" w:color="auto" w:fill="E5F1FF"/>
            <w:tcMar>
              <w:left w:w="17" w:type="dxa"/>
              <w:right w:w="17" w:type="dxa"/>
            </w:tcMar>
            <w:vAlign w:val="center"/>
            <w:hideMark/>
          </w:tcPr>
          <w:p w14:paraId="564558DB" w14:textId="77777777" w:rsidR="009E3A50" w:rsidRPr="00A2429A" w:rsidRDefault="009E3A50" w:rsidP="00A2429A">
            <w:pPr>
              <w:spacing w:before="40" w:after="40" w:line="240" w:lineRule="auto"/>
              <w:jc w:val="center"/>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Efektivnost</w:t>
            </w:r>
          </w:p>
        </w:tc>
      </w:tr>
      <w:tr w:rsidR="009E3A50" w:rsidRPr="00A2429A" w14:paraId="67B730C2" w14:textId="77777777" w:rsidTr="00B96DC8">
        <w:trPr>
          <w:trHeight w:val="227"/>
          <w:jc w:val="center"/>
        </w:trPr>
        <w:tc>
          <w:tcPr>
            <w:tcW w:w="310" w:type="pct"/>
            <w:tcMar>
              <w:left w:w="17" w:type="dxa"/>
              <w:right w:w="17" w:type="dxa"/>
            </w:tcMar>
            <w:vAlign w:val="center"/>
          </w:tcPr>
          <w:p w14:paraId="592EA9D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654</w:t>
            </w:r>
          </w:p>
        </w:tc>
        <w:tc>
          <w:tcPr>
            <w:tcW w:w="2189" w:type="pct"/>
            <w:tcMar>
              <w:left w:w="17" w:type="dxa"/>
              <w:right w:w="17" w:type="dxa"/>
            </w:tcMar>
            <w:vAlign w:val="center"/>
          </w:tcPr>
          <w:p w14:paraId="6E36614A"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CZ.03.2.60/0.0/0.0/15_015/0000654</w:t>
            </w:r>
          </w:p>
          <w:p w14:paraId="373F38F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Naše Café – výrobna </w:t>
            </w:r>
          </w:p>
        </w:tc>
        <w:tc>
          <w:tcPr>
            <w:tcW w:w="781" w:type="pct"/>
            <w:tcMar>
              <w:left w:w="17" w:type="dxa"/>
              <w:right w:w="17" w:type="dxa"/>
            </w:tcMar>
            <w:vAlign w:val="center"/>
          </w:tcPr>
          <w:p w14:paraId="0F79108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Sociální družstvo Stabilita Olomouc</w:t>
            </w:r>
          </w:p>
        </w:tc>
        <w:tc>
          <w:tcPr>
            <w:tcW w:w="626" w:type="pct"/>
            <w:tcMar>
              <w:left w:w="17" w:type="dxa"/>
              <w:right w:w="17" w:type="dxa"/>
            </w:tcMar>
            <w:vAlign w:val="center"/>
          </w:tcPr>
          <w:p w14:paraId="327CF399"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5 097 450,00</w:t>
            </w:r>
          </w:p>
        </w:tc>
        <w:tc>
          <w:tcPr>
            <w:tcW w:w="468" w:type="pct"/>
            <w:shd w:val="clear" w:color="auto" w:fill="538135" w:themeFill="accent6" w:themeFillShade="BF"/>
            <w:tcMar>
              <w:left w:w="17" w:type="dxa"/>
              <w:right w:w="17" w:type="dxa"/>
            </w:tcMar>
            <w:vAlign w:val="center"/>
          </w:tcPr>
          <w:p w14:paraId="7E9A1084"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1</w:t>
            </w:r>
          </w:p>
        </w:tc>
        <w:tc>
          <w:tcPr>
            <w:tcW w:w="626" w:type="pct"/>
            <w:shd w:val="clear" w:color="auto" w:fill="A8D08D" w:themeFill="accent6" w:themeFillTint="99"/>
            <w:tcMar>
              <w:left w:w="17" w:type="dxa"/>
              <w:right w:w="17" w:type="dxa"/>
            </w:tcMar>
            <w:vAlign w:val="center"/>
          </w:tcPr>
          <w:p w14:paraId="77789348"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r>
      <w:tr w:rsidR="009E3A50" w:rsidRPr="00A2429A" w14:paraId="1FD773A4" w14:textId="77777777" w:rsidTr="00B96DC8">
        <w:trPr>
          <w:trHeight w:val="227"/>
          <w:jc w:val="center"/>
        </w:trPr>
        <w:tc>
          <w:tcPr>
            <w:tcW w:w="310" w:type="pct"/>
            <w:tcMar>
              <w:left w:w="17" w:type="dxa"/>
              <w:right w:w="17" w:type="dxa"/>
            </w:tcMar>
            <w:vAlign w:val="center"/>
          </w:tcPr>
          <w:p w14:paraId="79D6693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1445</w:t>
            </w:r>
          </w:p>
        </w:tc>
        <w:tc>
          <w:tcPr>
            <w:tcW w:w="2189" w:type="pct"/>
            <w:tcMar>
              <w:left w:w="17" w:type="dxa"/>
              <w:right w:w="17" w:type="dxa"/>
            </w:tcMar>
            <w:vAlign w:val="center"/>
          </w:tcPr>
          <w:p w14:paraId="318ECADB"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CZ.03.2.60/0.0/0.0/15_015/0001445</w:t>
            </w:r>
          </w:p>
          <w:p w14:paraId="4E08FAD1"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Sociální podnik – Masérské centrum Unika </w:t>
            </w:r>
            <w:proofErr w:type="spellStart"/>
            <w:r w:rsidRPr="00A2429A">
              <w:rPr>
                <w:rFonts w:ascii="Calibri" w:eastAsia="Times New Roman" w:hAnsi="Calibri" w:cs="Calibri"/>
                <w:color w:val="000000"/>
                <w:sz w:val="18"/>
                <w:szCs w:val="18"/>
                <w:lang w:eastAsia="cs-CZ"/>
              </w:rPr>
              <w:t>Relax</w:t>
            </w:r>
            <w:proofErr w:type="spellEnd"/>
            <w:r w:rsidRPr="00A2429A">
              <w:rPr>
                <w:rFonts w:ascii="Calibri" w:eastAsia="Times New Roman" w:hAnsi="Calibri" w:cs="Calibri"/>
                <w:color w:val="000000"/>
                <w:sz w:val="18"/>
                <w:szCs w:val="18"/>
                <w:lang w:eastAsia="cs-CZ"/>
              </w:rPr>
              <w:t xml:space="preserve"> Ostrava</w:t>
            </w:r>
          </w:p>
        </w:tc>
        <w:tc>
          <w:tcPr>
            <w:tcW w:w="781" w:type="pct"/>
            <w:tcMar>
              <w:left w:w="17" w:type="dxa"/>
              <w:right w:w="17" w:type="dxa"/>
            </w:tcMar>
            <w:vAlign w:val="center"/>
          </w:tcPr>
          <w:p w14:paraId="498AF3CD"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Unika </w:t>
            </w:r>
            <w:proofErr w:type="spellStart"/>
            <w:r w:rsidRPr="00A2429A">
              <w:rPr>
                <w:rFonts w:ascii="Calibri" w:eastAsia="Times New Roman" w:hAnsi="Calibri" w:cs="Calibri"/>
                <w:color w:val="000000"/>
                <w:sz w:val="18"/>
                <w:szCs w:val="18"/>
                <w:lang w:eastAsia="cs-CZ"/>
              </w:rPr>
              <w:t>Relax</w:t>
            </w:r>
            <w:proofErr w:type="spellEnd"/>
            <w:r w:rsidRPr="00A2429A">
              <w:rPr>
                <w:rFonts w:ascii="Calibri" w:eastAsia="Times New Roman" w:hAnsi="Calibri" w:cs="Calibri"/>
                <w:color w:val="000000"/>
                <w:sz w:val="18"/>
                <w:szCs w:val="18"/>
                <w:lang w:eastAsia="cs-CZ"/>
              </w:rPr>
              <w:t xml:space="preserve"> Ostrava, s.r.o.</w:t>
            </w:r>
          </w:p>
        </w:tc>
        <w:tc>
          <w:tcPr>
            <w:tcW w:w="626" w:type="pct"/>
            <w:tcMar>
              <w:left w:w="17" w:type="dxa"/>
              <w:right w:w="17" w:type="dxa"/>
            </w:tcMar>
            <w:vAlign w:val="center"/>
          </w:tcPr>
          <w:p w14:paraId="72B7CB1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4 636 849,02</w:t>
            </w:r>
          </w:p>
        </w:tc>
        <w:tc>
          <w:tcPr>
            <w:tcW w:w="468" w:type="pct"/>
            <w:shd w:val="clear" w:color="auto" w:fill="538135" w:themeFill="accent6" w:themeFillShade="BF"/>
            <w:tcMar>
              <w:left w:w="17" w:type="dxa"/>
              <w:right w:w="17" w:type="dxa"/>
            </w:tcMar>
            <w:vAlign w:val="center"/>
          </w:tcPr>
          <w:p w14:paraId="0FF67C4F"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1</w:t>
            </w:r>
          </w:p>
        </w:tc>
        <w:tc>
          <w:tcPr>
            <w:tcW w:w="626" w:type="pct"/>
            <w:shd w:val="clear" w:color="auto" w:fill="A8D08D" w:themeFill="accent6" w:themeFillTint="99"/>
            <w:tcMar>
              <w:left w:w="17" w:type="dxa"/>
              <w:right w:w="17" w:type="dxa"/>
            </w:tcMar>
            <w:vAlign w:val="center"/>
          </w:tcPr>
          <w:p w14:paraId="7E0BA575"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r>
      <w:tr w:rsidR="009E3A50" w:rsidRPr="00A2429A" w14:paraId="5EE6AB8D" w14:textId="77777777" w:rsidTr="00B96DC8">
        <w:trPr>
          <w:trHeight w:val="227"/>
          <w:jc w:val="center"/>
        </w:trPr>
        <w:tc>
          <w:tcPr>
            <w:tcW w:w="310" w:type="pct"/>
            <w:tcMar>
              <w:left w:w="17" w:type="dxa"/>
              <w:right w:w="17" w:type="dxa"/>
            </w:tcMar>
            <w:vAlign w:val="center"/>
          </w:tcPr>
          <w:p w14:paraId="277C110E"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5738</w:t>
            </w:r>
          </w:p>
        </w:tc>
        <w:tc>
          <w:tcPr>
            <w:tcW w:w="2189" w:type="pct"/>
            <w:tcMar>
              <w:left w:w="17" w:type="dxa"/>
              <w:right w:w="17" w:type="dxa"/>
            </w:tcMar>
            <w:vAlign w:val="center"/>
          </w:tcPr>
          <w:p w14:paraId="5DA6FB95"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CZ.03.2.60/0.0/0.0/16_067/0005738 </w:t>
            </w:r>
          </w:p>
          <w:p w14:paraId="6A0E777E"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Služby parku Brniště</w:t>
            </w:r>
          </w:p>
        </w:tc>
        <w:tc>
          <w:tcPr>
            <w:tcW w:w="781" w:type="pct"/>
            <w:tcMar>
              <w:left w:w="17" w:type="dxa"/>
              <w:right w:w="17" w:type="dxa"/>
            </w:tcMar>
            <w:vAlign w:val="center"/>
          </w:tcPr>
          <w:p w14:paraId="480AF9FC"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FT &amp; Catering s.r.o.</w:t>
            </w:r>
          </w:p>
        </w:tc>
        <w:tc>
          <w:tcPr>
            <w:tcW w:w="626" w:type="pct"/>
            <w:tcMar>
              <w:left w:w="17" w:type="dxa"/>
              <w:right w:w="17" w:type="dxa"/>
            </w:tcMar>
            <w:vAlign w:val="center"/>
          </w:tcPr>
          <w:p w14:paraId="682510E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2 893 485,00</w:t>
            </w:r>
          </w:p>
        </w:tc>
        <w:tc>
          <w:tcPr>
            <w:tcW w:w="468" w:type="pct"/>
            <w:shd w:val="clear" w:color="auto" w:fill="A8D08D" w:themeFill="accent6" w:themeFillTint="99"/>
            <w:tcMar>
              <w:left w:w="17" w:type="dxa"/>
              <w:right w:w="17" w:type="dxa"/>
            </w:tcMar>
            <w:vAlign w:val="center"/>
          </w:tcPr>
          <w:p w14:paraId="7105B438"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c>
          <w:tcPr>
            <w:tcW w:w="626" w:type="pct"/>
            <w:shd w:val="clear" w:color="auto" w:fill="A8D08D" w:themeFill="accent6" w:themeFillTint="99"/>
            <w:tcMar>
              <w:left w:w="17" w:type="dxa"/>
              <w:right w:w="17" w:type="dxa"/>
            </w:tcMar>
            <w:vAlign w:val="center"/>
          </w:tcPr>
          <w:p w14:paraId="02DFCDCC"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r>
      <w:tr w:rsidR="009E3A50" w:rsidRPr="00A2429A" w14:paraId="27D95F46" w14:textId="77777777" w:rsidTr="00B96DC8">
        <w:trPr>
          <w:trHeight w:val="227"/>
          <w:jc w:val="center"/>
        </w:trPr>
        <w:tc>
          <w:tcPr>
            <w:tcW w:w="310" w:type="pct"/>
            <w:tcMar>
              <w:left w:w="17" w:type="dxa"/>
              <w:right w:w="17" w:type="dxa"/>
            </w:tcMar>
            <w:vAlign w:val="center"/>
          </w:tcPr>
          <w:p w14:paraId="5250330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9087</w:t>
            </w:r>
          </w:p>
        </w:tc>
        <w:tc>
          <w:tcPr>
            <w:tcW w:w="2189" w:type="pct"/>
            <w:tcMar>
              <w:left w:w="17" w:type="dxa"/>
              <w:right w:w="17" w:type="dxa"/>
            </w:tcMar>
            <w:vAlign w:val="center"/>
          </w:tcPr>
          <w:p w14:paraId="69C1F56B"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CZ.03.2.60/0.0/0.0/17_129/0009087</w:t>
            </w:r>
          </w:p>
          <w:p w14:paraId="50F1095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Úklidem ke stabilnímu zaměstnání </w:t>
            </w:r>
          </w:p>
        </w:tc>
        <w:tc>
          <w:tcPr>
            <w:tcW w:w="781" w:type="pct"/>
            <w:tcMar>
              <w:left w:w="17" w:type="dxa"/>
              <w:right w:w="17" w:type="dxa"/>
            </w:tcMar>
            <w:vAlign w:val="center"/>
          </w:tcPr>
          <w:p w14:paraId="49FF8DDE"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Spirála Turnov s.r.o.</w:t>
            </w:r>
          </w:p>
        </w:tc>
        <w:tc>
          <w:tcPr>
            <w:tcW w:w="626" w:type="pct"/>
            <w:tcMar>
              <w:left w:w="17" w:type="dxa"/>
              <w:right w:w="17" w:type="dxa"/>
            </w:tcMar>
            <w:vAlign w:val="center"/>
          </w:tcPr>
          <w:p w14:paraId="6BF259E2"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3 766 647,50</w:t>
            </w:r>
          </w:p>
        </w:tc>
        <w:tc>
          <w:tcPr>
            <w:tcW w:w="468" w:type="pct"/>
            <w:shd w:val="clear" w:color="auto" w:fill="FFFF00"/>
            <w:tcMar>
              <w:left w:w="17" w:type="dxa"/>
              <w:right w:w="17" w:type="dxa"/>
            </w:tcMar>
            <w:vAlign w:val="center"/>
          </w:tcPr>
          <w:p w14:paraId="4B6F23F1"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c>
          <w:tcPr>
            <w:tcW w:w="626" w:type="pct"/>
            <w:shd w:val="clear" w:color="auto" w:fill="FFFF00"/>
            <w:tcMar>
              <w:left w:w="17" w:type="dxa"/>
              <w:right w:w="17" w:type="dxa"/>
            </w:tcMar>
            <w:vAlign w:val="center"/>
          </w:tcPr>
          <w:p w14:paraId="01C2C3AC"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r>
      <w:tr w:rsidR="009E3A50" w:rsidRPr="00A2429A" w14:paraId="10BE21F1" w14:textId="77777777" w:rsidTr="00B96DC8">
        <w:trPr>
          <w:trHeight w:val="227"/>
          <w:jc w:val="center"/>
        </w:trPr>
        <w:tc>
          <w:tcPr>
            <w:tcW w:w="310" w:type="pct"/>
            <w:tcMar>
              <w:left w:w="17" w:type="dxa"/>
              <w:right w:w="17" w:type="dxa"/>
            </w:tcMar>
            <w:vAlign w:val="center"/>
          </w:tcPr>
          <w:p w14:paraId="5928C657"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9671</w:t>
            </w:r>
          </w:p>
        </w:tc>
        <w:tc>
          <w:tcPr>
            <w:tcW w:w="2189" w:type="pct"/>
            <w:tcMar>
              <w:left w:w="17" w:type="dxa"/>
              <w:right w:w="17" w:type="dxa"/>
            </w:tcMar>
            <w:vAlign w:val="center"/>
          </w:tcPr>
          <w:p w14:paraId="0C4DD425"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CZ.03.2.60/0.0/0.0/17_129/0009671</w:t>
            </w:r>
          </w:p>
          <w:p w14:paraId="20D04F6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Sociální podnik pro venkov </w:t>
            </w:r>
          </w:p>
        </w:tc>
        <w:tc>
          <w:tcPr>
            <w:tcW w:w="781" w:type="pct"/>
            <w:tcMar>
              <w:left w:w="17" w:type="dxa"/>
              <w:right w:w="17" w:type="dxa"/>
            </w:tcMar>
            <w:vAlign w:val="center"/>
          </w:tcPr>
          <w:p w14:paraId="72840D71"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Tradiční Hanácká, s.r.o.</w:t>
            </w:r>
          </w:p>
        </w:tc>
        <w:tc>
          <w:tcPr>
            <w:tcW w:w="626" w:type="pct"/>
            <w:tcMar>
              <w:left w:w="17" w:type="dxa"/>
              <w:right w:w="17" w:type="dxa"/>
            </w:tcMar>
            <w:vAlign w:val="center"/>
          </w:tcPr>
          <w:p w14:paraId="4F04AA20"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1 678 299,50</w:t>
            </w:r>
          </w:p>
        </w:tc>
        <w:tc>
          <w:tcPr>
            <w:tcW w:w="468" w:type="pct"/>
            <w:shd w:val="clear" w:color="auto" w:fill="538135" w:themeFill="accent6" w:themeFillShade="BF"/>
            <w:tcMar>
              <w:left w:w="17" w:type="dxa"/>
              <w:right w:w="17" w:type="dxa"/>
            </w:tcMar>
            <w:vAlign w:val="center"/>
          </w:tcPr>
          <w:p w14:paraId="00FF740E"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1</w:t>
            </w:r>
          </w:p>
        </w:tc>
        <w:tc>
          <w:tcPr>
            <w:tcW w:w="626" w:type="pct"/>
            <w:shd w:val="clear" w:color="auto" w:fill="538135" w:themeFill="accent6" w:themeFillShade="BF"/>
            <w:tcMar>
              <w:left w:w="17" w:type="dxa"/>
              <w:right w:w="17" w:type="dxa"/>
            </w:tcMar>
            <w:vAlign w:val="center"/>
          </w:tcPr>
          <w:p w14:paraId="6313FC2C"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1</w:t>
            </w:r>
          </w:p>
        </w:tc>
      </w:tr>
      <w:tr w:rsidR="009E3A50" w:rsidRPr="00A2429A" w14:paraId="4A5371E9" w14:textId="77777777" w:rsidTr="00B96DC8">
        <w:trPr>
          <w:trHeight w:val="227"/>
          <w:jc w:val="center"/>
        </w:trPr>
        <w:tc>
          <w:tcPr>
            <w:tcW w:w="310" w:type="pct"/>
            <w:tcMar>
              <w:left w:w="17" w:type="dxa"/>
              <w:right w:w="17" w:type="dxa"/>
            </w:tcMar>
            <w:vAlign w:val="center"/>
          </w:tcPr>
          <w:p w14:paraId="6928E67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11726</w:t>
            </w:r>
          </w:p>
        </w:tc>
        <w:tc>
          <w:tcPr>
            <w:tcW w:w="2189" w:type="pct"/>
            <w:tcMar>
              <w:left w:w="17" w:type="dxa"/>
              <w:right w:w="17" w:type="dxa"/>
            </w:tcMar>
            <w:vAlign w:val="center"/>
          </w:tcPr>
          <w:p w14:paraId="611DCA0E"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CZ.03.2.60/0.0/0.0/17_129/0011726</w:t>
            </w:r>
          </w:p>
          <w:p w14:paraId="4EDD53BA"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Naše Café – rozšíření kavárny </w:t>
            </w:r>
          </w:p>
        </w:tc>
        <w:tc>
          <w:tcPr>
            <w:tcW w:w="781" w:type="pct"/>
            <w:tcMar>
              <w:left w:w="17" w:type="dxa"/>
              <w:right w:w="17" w:type="dxa"/>
            </w:tcMar>
            <w:vAlign w:val="center"/>
          </w:tcPr>
          <w:p w14:paraId="1BE1DBD7"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Sociální družstvo Stabilita Olomouc</w:t>
            </w:r>
          </w:p>
        </w:tc>
        <w:tc>
          <w:tcPr>
            <w:tcW w:w="626" w:type="pct"/>
            <w:tcMar>
              <w:left w:w="17" w:type="dxa"/>
              <w:right w:w="17" w:type="dxa"/>
            </w:tcMar>
            <w:vAlign w:val="center"/>
          </w:tcPr>
          <w:p w14:paraId="42BB95B5"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4 189 097,50</w:t>
            </w:r>
          </w:p>
        </w:tc>
        <w:tc>
          <w:tcPr>
            <w:tcW w:w="468" w:type="pct"/>
            <w:shd w:val="clear" w:color="auto" w:fill="538135" w:themeFill="accent6" w:themeFillShade="BF"/>
            <w:tcMar>
              <w:left w:w="17" w:type="dxa"/>
              <w:right w:w="17" w:type="dxa"/>
            </w:tcMar>
            <w:vAlign w:val="center"/>
          </w:tcPr>
          <w:p w14:paraId="316B08FC"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1</w:t>
            </w:r>
          </w:p>
        </w:tc>
        <w:tc>
          <w:tcPr>
            <w:tcW w:w="626" w:type="pct"/>
            <w:shd w:val="clear" w:color="auto" w:fill="A8D08D" w:themeFill="accent6" w:themeFillTint="99"/>
            <w:tcMar>
              <w:left w:w="17" w:type="dxa"/>
              <w:right w:w="17" w:type="dxa"/>
            </w:tcMar>
            <w:vAlign w:val="center"/>
          </w:tcPr>
          <w:p w14:paraId="72448948"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r>
      <w:tr w:rsidR="009E3A50" w:rsidRPr="00A2429A" w14:paraId="6A91E294" w14:textId="77777777" w:rsidTr="00B96DC8">
        <w:trPr>
          <w:trHeight w:val="227"/>
          <w:jc w:val="center"/>
        </w:trPr>
        <w:tc>
          <w:tcPr>
            <w:tcW w:w="310" w:type="pct"/>
            <w:tcMar>
              <w:left w:w="17" w:type="dxa"/>
              <w:right w:w="17" w:type="dxa"/>
            </w:tcMar>
            <w:vAlign w:val="center"/>
          </w:tcPr>
          <w:p w14:paraId="7E45E111"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12055</w:t>
            </w:r>
          </w:p>
        </w:tc>
        <w:tc>
          <w:tcPr>
            <w:tcW w:w="2189" w:type="pct"/>
            <w:tcMar>
              <w:left w:w="17" w:type="dxa"/>
              <w:right w:w="17" w:type="dxa"/>
            </w:tcMar>
            <w:vAlign w:val="center"/>
          </w:tcPr>
          <w:p w14:paraId="59D838D1"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CZ.03.2.60/0.0/0.0/17_129/0012055</w:t>
            </w:r>
          </w:p>
          <w:p w14:paraId="57089CA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Rozšíření výroby a zlepšení PR aktivit Pivovaru Chříč</w:t>
            </w:r>
          </w:p>
        </w:tc>
        <w:tc>
          <w:tcPr>
            <w:tcW w:w="781" w:type="pct"/>
            <w:tcMar>
              <w:left w:w="17" w:type="dxa"/>
              <w:right w:w="17" w:type="dxa"/>
            </w:tcMar>
            <w:vAlign w:val="center"/>
          </w:tcPr>
          <w:p w14:paraId="006E1CF1"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Pivovar Chříč s.r.o.</w:t>
            </w:r>
          </w:p>
        </w:tc>
        <w:tc>
          <w:tcPr>
            <w:tcW w:w="626" w:type="pct"/>
            <w:tcMar>
              <w:left w:w="17" w:type="dxa"/>
              <w:right w:w="17" w:type="dxa"/>
            </w:tcMar>
            <w:vAlign w:val="center"/>
          </w:tcPr>
          <w:p w14:paraId="1B590978"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4 574 912,50</w:t>
            </w:r>
          </w:p>
        </w:tc>
        <w:tc>
          <w:tcPr>
            <w:tcW w:w="468" w:type="pct"/>
            <w:shd w:val="clear" w:color="auto" w:fill="FFFF00"/>
            <w:tcMar>
              <w:left w:w="17" w:type="dxa"/>
              <w:right w:w="17" w:type="dxa"/>
            </w:tcMar>
            <w:vAlign w:val="center"/>
          </w:tcPr>
          <w:p w14:paraId="41CCF1C0"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c>
          <w:tcPr>
            <w:tcW w:w="626" w:type="pct"/>
            <w:shd w:val="clear" w:color="auto" w:fill="FF0000"/>
            <w:tcMar>
              <w:left w:w="17" w:type="dxa"/>
              <w:right w:w="17" w:type="dxa"/>
            </w:tcMar>
            <w:vAlign w:val="center"/>
          </w:tcPr>
          <w:p w14:paraId="6E6317B8" w14:textId="77777777" w:rsidR="009E3A50" w:rsidRPr="00A2429A" w:rsidRDefault="00860BDA"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4</w:t>
            </w:r>
          </w:p>
        </w:tc>
      </w:tr>
      <w:tr w:rsidR="009E3A50" w:rsidRPr="00A2429A" w14:paraId="623E2290" w14:textId="77777777" w:rsidTr="00B96DC8">
        <w:trPr>
          <w:trHeight w:val="227"/>
          <w:jc w:val="center"/>
        </w:trPr>
        <w:tc>
          <w:tcPr>
            <w:tcW w:w="310" w:type="pct"/>
            <w:tcMar>
              <w:left w:w="17" w:type="dxa"/>
              <w:right w:w="17" w:type="dxa"/>
            </w:tcMar>
            <w:vAlign w:val="center"/>
          </w:tcPr>
          <w:p w14:paraId="79AE47F7"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14002</w:t>
            </w:r>
          </w:p>
        </w:tc>
        <w:tc>
          <w:tcPr>
            <w:tcW w:w="2189" w:type="pct"/>
            <w:tcMar>
              <w:left w:w="17" w:type="dxa"/>
              <w:right w:w="17" w:type="dxa"/>
            </w:tcMar>
            <w:vAlign w:val="center"/>
          </w:tcPr>
          <w:p w14:paraId="2E0BC6C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CZ.03.2.60/0.0/0.0/17_129/0014002</w:t>
            </w:r>
          </w:p>
          <w:p w14:paraId="14D526B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Zřízení a provoz integračního sociálního podniku </w:t>
            </w:r>
            <w:proofErr w:type="spellStart"/>
            <w:r w:rsidRPr="00A2429A">
              <w:rPr>
                <w:rFonts w:ascii="Calibri" w:eastAsia="Times New Roman" w:hAnsi="Calibri" w:cs="Calibri"/>
                <w:color w:val="000000"/>
                <w:sz w:val="18"/>
                <w:szCs w:val="18"/>
                <w:lang w:eastAsia="cs-CZ"/>
              </w:rPr>
              <w:t>Ciderie</w:t>
            </w:r>
            <w:proofErr w:type="spellEnd"/>
            <w:r w:rsidRPr="00A2429A">
              <w:rPr>
                <w:rFonts w:ascii="Calibri" w:eastAsia="Times New Roman" w:hAnsi="Calibri" w:cs="Calibri"/>
                <w:color w:val="000000"/>
                <w:sz w:val="18"/>
                <w:szCs w:val="18"/>
                <w:lang w:eastAsia="cs-CZ"/>
              </w:rPr>
              <w:t xml:space="preserve"> Chříč</w:t>
            </w:r>
          </w:p>
        </w:tc>
        <w:tc>
          <w:tcPr>
            <w:tcW w:w="781" w:type="pct"/>
            <w:tcMar>
              <w:left w:w="17" w:type="dxa"/>
              <w:right w:w="17" w:type="dxa"/>
            </w:tcMar>
            <w:vAlign w:val="center"/>
          </w:tcPr>
          <w:p w14:paraId="503C232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proofErr w:type="spellStart"/>
            <w:r w:rsidRPr="00A2429A">
              <w:rPr>
                <w:rFonts w:ascii="Calibri" w:eastAsia="Times New Roman" w:hAnsi="Calibri" w:cs="Calibri"/>
                <w:color w:val="000000"/>
                <w:sz w:val="18"/>
                <w:szCs w:val="18"/>
                <w:lang w:eastAsia="cs-CZ"/>
              </w:rPr>
              <w:t>Ciderie</w:t>
            </w:r>
            <w:proofErr w:type="spellEnd"/>
            <w:r w:rsidRPr="00A2429A">
              <w:rPr>
                <w:rFonts w:ascii="Calibri" w:eastAsia="Times New Roman" w:hAnsi="Calibri" w:cs="Calibri"/>
                <w:color w:val="000000"/>
                <w:sz w:val="18"/>
                <w:szCs w:val="18"/>
                <w:lang w:eastAsia="cs-CZ"/>
              </w:rPr>
              <w:t xml:space="preserve"> Chříč s.r.o.</w:t>
            </w:r>
          </w:p>
        </w:tc>
        <w:tc>
          <w:tcPr>
            <w:tcW w:w="626" w:type="pct"/>
            <w:tcMar>
              <w:left w:w="17" w:type="dxa"/>
              <w:right w:w="17" w:type="dxa"/>
            </w:tcMar>
            <w:vAlign w:val="center"/>
          </w:tcPr>
          <w:p w14:paraId="2E1EABF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5 063 081,31</w:t>
            </w:r>
          </w:p>
        </w:tc>
        <w:tc>
          <w:tcPr>
            <w:tcW w:w="468" w:type="pct"/>
            <w:shd w:val="clear" w:color="auto" w:fill="FFFF00"/>
            <w:tcMar>
              <w:left w:w="17" w:type="dxa"/>
              <w:right w:w="17" w:type="dxa"/>
            </w:tcMar>
            <w:vAlign w:val="center"/>
          </w:tcPr>
          <w:p w14:paraId="69B75600"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c>
          <w:tcPr>
            <w:tcW w:w="626" w:type="pct"/>
            <w:shd w:val="clear" w:color="auto" w:fill="FFFF00"/>
            <w:tcMar>
              <w:left w:w="17" w:type="dxa"/>
              <w:right w:w="17" w:type="dxa"/>
            </w:tcMar>
            <w:vAlign w:val="center"/>
          </w:tcPr>
          <w:p w14:paraId="396B3E34"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r>
      <w:tr w:rsidR="009E3A50" w:rsidRPr="00A2429A" w14:paraId="2ADD3B32" w14:textId="77777777" w:rsidTr="00B96DC8">
        <w:trPr>
          <w:trHeight w:val="227"/>
          <w:jc w:val="center"/>
        </w:trPr>
        <w:tc>
          <w:tcPr>
            <w:tcW w:w="2499" w:type="pct"/>
            <w:gridSpan w:val="2"/>
            <w:tcMar>
              <w:left w:w="17" w:type="dxa"/>
              <w:right w:w="17" w:type="dxa"/>
            </w:tcMar>
            <w:vAlign w:val="center"/>
          </w:tcPr>
          <w:p w14:paraId="04C0C7B5" w14:textId="77777777" w:rsidR="009E3A50" w:rsidRPr="00A2429A" w:rsidRDefault="009E3A50" w:rsidP="00A2429A">
            <w:pPr>
              <w:spacing w:after="0" w:line="240" w:lineRule="auto"/>
              <w:rPr>
                <w:rFonts w:ascii="Calibri" w:hAnsi="Calibri" w:cs="Calibri"/>
                <w:sz w:val="18"/>
                <w:szCs w:val="18"/>
              </w:rPr>
            </w:pPr>
            <w:r w:rsidRPr="00A2429A">
              <w:rPr>
                <w:rFonts w:ascii="Calibri" w:eastAsia="Times New Roman" w:hAnsi="Calibri" w:cs="Calibri"/>
                <w:b/>
                <w:color w:val="000000"/>
                <w:sz w:val="18"/>
                <w:szCs w:val="18"/>
                <w:lang w:eastAsia="cs-CZ"/>
              </w:rPr>
              <w:t>Celkem OPZ</w:t>
            </w:r>
          </w:p>
        </w:tc>
        <w:tc>
          <w:tcPr>
            <w:tcW w:w="1407" w:type="pct"/>
            <w:gridSpan w:val="2"/>
            <w:shd w:val="clear" w:color="auto" w:fill="auto"/>
            <w:tcMar>
              <w:left w:w="17" w:type="dxa"/>
              <w:right w:w="17" w:type="dxa"/>
            </w:tcMar>
            <w:vAlign w:val="center"/>
          </w:tcPr>
          <w:p w14:paraId="72BA129D" w14:textId="77777777" w:rsidR="009E3A50" w:rsidRPr="00A2429A" w:rsidRDefault="009E3A50" w:rsidP="00A2429A">
            <w:pPr>
              <w:spacing w:before="40" w:after="40" w:line="240" w:lineRule="auto"/>
              <w:jc w:val="right"/>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31 899 822,33</w:t>
            </w:r>
          </w:p>
        </w:tc>
        <w:tc>
          <w:tcPr>
            <w:tcW w:w="468" w:type="pct"/>
            <w:shd w:val="clear" w:color="auto" w:fill="auto"/>
            <w:tcMar>
              <w:left w:w="17" w:type="dxa"/>
              <w:right w:w="17" w:type="dxa"/>
            </w:tcMar>
            <w:vAlign w:val="center"/>
          </w:tcPr>
          <w:p w14:paraId="67690326"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p>
        </w:tc>
        <w:tc>
          <w:tcPr>
            <w:tcW w:w="626" w:type="pct"/>
            <w:shd w:val="clear" w:color="auto" w:fill="auto"/>
            <w:tcMar>
              <w:left w:w="17" w:type="dxa"/>
              <w:right w:w="17" w:type="dxa"/>
            </w:tcMar>
            <w:vAlign w:val="center"/>
          </w:tcPr>
          <w:p w14:paraId="42AABB38"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p>
        </w:tc>
      </w:tr>
      <w:tr w:rsidR="009E3A50" w:rsidRPr="00A2429A" w14:paraId="3A179603" w14:textId="77777777" w:rsidTr="00B96DC8">
        <w:trPr>
          <w:trHeight w:val="227"/>
          <w:jc w:val="center"/>
        </w:trPr>
        <w:tc>
          <w:tcPr>
            <w:tcW w:w="310" w:type="pct"/>
            <w:tcMar>
              <w:left w:w="17" w:type="dxa"/>
              <w:right w:w="17" w:type="dxa"/>
            </w:tcMar>
            <w:vAlign w:val="center"/>
          </w:tcPr>
          <w:p w14:paraId="0434BD91"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119</w:t>
            </w:r>
          </w:p>
        </w:tc>
        <w:tc>
          <w:tcPr>
            <w:tcW w:w="2189" w:type="pct"/>
            <w:shd w:val="clear" w:color="auto" w:fill="auto"/>
            <w:tcMar>
              <w:left w:w="17" w:type="dxa"/>
              <w:right w:w="17" w:type="dxa"/>
            </w:tcMar>
            <w:vAlign w:val="center"/>
          </w:tcPr>
          <w:p w14:paraId="7659135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CZ.06.2.58/0.0/0.0/15_005/0000119</w:t>
            </w:r>
          </w:p>
          <w:p w14:paraId="52476B6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TECHNOLOGICKÉ VYBAVENÍ PRO SPOLEČNOST HROCH GROUP S.R.O. </w:t>
            </w:r>
          </w:p>
        </w:tc>
        <w:tc>
          <w:tcPr>
            <w:tcW w:w="781" w:type="pct"/>
            <w:shd w:val="clear" w:color="auto" w:fill="auto"/>
            <w:tcMar>
              <w:left w:w="17" w:type="dxa"/>
              <w:right w:w="17" w:type="dxa"/>
            </w:tcMar>
            <w:vAlign w:val="center"/>
          </w:tcPr>
          <w:p w14:paraId="18F16D2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HROCH </w:t>
            </w:r>
            <w:proofErr w:type="spellStart"/>
            <w:r w:rsidRPr="00A2429A">
              <w:rPr>
                <w:rFonts w:ascii="Calibri" w:eastAsia="Times New Roman" w:hAnsi="Calibri" w:cs="Calibri"/>
                <w:color w:val="000000"/>
                <w:sz w:val="18"/>
                <w:szCs w:val="18"/>
                <w:lang w:eastAsia="cs-CZ"/>
              </w:rPr>
              <w:t>group</w:t>
            </w:r>
            <w:proofErr w:type="spellEnd"/>
            <w:r w:rsidRPr="00A2429A">
              <w:rPr>
                <w:rFonts w:ascii="Calibri" w:eastAsia="Times New Roman" w:hAnsi="Calibri" w:cs="Calibri"/>
                <w:color w:val="000000"/>
                <w:sz w:val="18"/>
                <w:szCs w:val="18"/>
                <w:lang w:eastAsia="cs-CZ"/>
              </w:rPr>
              <w:t xml:space="preserve"> s.r.o.,</w:t>
            </w:r>
          </w:p>
        </w:tc>
        <w:tc>
          <w:tcPr>
            <w:tcW w:w="626" w:type="pct"/>
            <w:tcMar>
              <w:left w:w="17" w:type="dxa"/>
              <w:right w:w="17" w:type="dxa"/>
            </w:tcMar>
            <w:vAlign w:val="center"/>
          </w:tcPr>
          <w:p w14:paraId="00F50CE5"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4 165 000,00</w:t>
            </w:r>
          </w:p>
        </w:tc>
        <w:tc>
          <w:tcPr>
            <w:tcW w:w="468" w:type="pct"/>
            <w:shd w:val="clear" w:color="auto" w:fill="FFFF00"/>
            <w:tcMar>
              <w:left w:w="17" w:type="dxa"/>
              <w:right w:w="17" w:type="dxa"/>
            </w:tcMar>
            <w:vAlign w:val="center"/>
          </w:tcPr>
          <w:p w14:paraId="53FC689C"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c>
          <w:tcPr>
            <w:tcW w:w="626" w:type="pct"/>
            <w:shd w:val="clear" w:color="auto" w:fill="FFFF00"/>
            <w:tcMar>
              <w:left w:w="17" w:type="dxa"/>
              <w:right w:w="17" w:type="dxa"/>
            </w:tcMar>
            <w:vAlign w:val="center"/>
          </w:tcPr>
          <w:p w14:paraId="15460417"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r>
      <w:tr w:rsidR="009E3A50" w:rsidRPr="00A2429A" w14:paraId="4C3973B1" w14:textId="77777777" w:rsidTr="00B96DC8">
        <w:trPr>
          <w:trHeight w:val="227"/>
          <w:jc w:val="center"/>
        </w:trPr>
        <w:tc>
          <w:tcPr>
            <w:tcW w:w="310" w:type="pct"/>
            <w:tcMar>
              <w:left w:w="17" w:type="dxa"/>
              <w:right w:w="17" w:type="dxa"/>
            </w:tcMar>
            <w:vAlign w:val="center"/>
          </w:tcPr>
          <w:p w14:paraId="35E2B8A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151</w:t>
            </w:r>
          </w:p>
        </w:tc>
        <w:tc>
          <w:tcPr>
            <w:tcW w:w="2189" w:type="pct"/>
            <w:shd w:val="clear" w:color="auto" w:fill="auto"/>
            <w:tcMar>
              <w:left w:w="17" w:type="dxa"/>
              <w:right w:w="17" w:type="dxa"/>
            </w:tcMar>
            <w:vAlign w:val="center"/>
          </w:tcPr>
          <w:p w14:paraId="55D27DB0"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CZ.06.2.58/0.0/0.0/15_010/0000151</w:t>
            </w:r>
          </w:p>
          <w:p w14:paraId="072CAA6C" w14:textId="77777777" w:rsidR="009E3A50" w:rsidRPr="00A2429A" w:rsidRDefault="009E3A50" w:rsidP="00A2429A">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color w:val="000000"/>
                <w:sz w:val="18"/>
                <w:szCs w:val="18"/>
                <w:lang w:eastAsia="cs-CZ"/>
              </w:rPr>
              <w:t>Rozšíření výroby sociálního podniku Pivovar Chříč</w:t>
            </w:r>
          </w:p>
        </w:tc>
        <w:tc>
          <w:tcPr>
            <w:tcW w:w="781" w:type="pct"/>
            <w:shd w:val="clear" w:color="auto" w:fill="auto"/>
            <w:tcMar>
              <w:left w:w="17" w:type="dxa"/>
              <w:right w:w="17" w:type="dxa"/>
            </w:tcMar>
            <w:vAlign w:val="center"/>
          </w:tcPr>
          <w:p w14:paraId="5792B0C6" w14:textId="77777777" w:rsidR="009E3A50" w:rsidRPr="00A2429A" w:rsidRDefault="009E3A50" w:rsidP="00A2429A">
            <w:pPr>
              <w:spacing w:after="0" w:line="240" w:lineRule="auto"/>
              <w:jc w:val="center"/>
              <w:rPr>
                <w:rFonts w:ascii="Calibri" w:eastAsia="Times New Roman" w:hAnsi="Calibri" w:cs="Calibri"/>
                <w:bCs/>
                <w:color w:val="000000"/>
                <w:sz w:val="18"/>
                <w:szCs w:val="18"/>
                <w:lang w:eastAsia="cs-CZ"/>
              </w:rPr>
            </w:pPr>
            <w:r w:rsidRPr="00A2429A">
              <w:rPr>
                <w:rFonts w:ascii="Calibri" w:eastAsia="Times New Roman" w:hAnsi="Calibri" w:cs="Calibri"/>
                <w:color w:val="000000"/>
                <w:sz w:val="18"/>
                <w:szCs w:val="18"/>
                <w:lang w:eastAsia="cs-CZ"/>
              </w:rPr>
              <w:t>Pivovar Chříč s.r.o.</w:t>
            </w:r>
          </w:p>
        </w:tc>
        <w:tc>
          <w:tcPr>
            <w:tcW w:w="626" w:type="pct"/>
            <w:tcMar>
              <w:left w:w="17" w:type="dxa"/>
              <w:right w:w="17" w:type="dxa"/>
            </w:tcMar>
            <w:vAlign w:val="center"/>
          </w:tcPr>
          <w:p w14:paraId="319476F8"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3 487 221,05</w:t>
            </w:r>
          </w:p>
        </w:tc>
        <w:tc>
          <w:tcPr>
            <w:tcW w:w="468" w:type="pct"/>
            <w:shd w:val="clear" w:color="auto" w:fill="FFFF00"/>
            <w:tcMar>
              <w:left w:w="17" w:type="dxa"/>
              <w:right w:w="17" w:type="dxa"/>
            </w:tcMar>
            <w:vAlign w:val="center"/>
          </w:tcPr>
          <w:p w14:paraId="27A4D62C"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c>
          <w:tcPr>
            <w:tcW w:w="626" w:type="pct"/>
            <w:shd w:val="clear" w:color="auto" w:fill="FFFF00"/>
            <w:tcMar>
              <w:left w:w="17" w:type="dxa"/>
              <w:right w:w="17" w:type="dxa"/>
            </w:tcMar>
            <w:vAlign w:val="center"/>
          </w:tcPr>
          <w:p w14:paraId="79B913CC" w14:textId="77777777" w:rsidR="009E3A50" w:rsidRPr="00A2429A" w:rsidRDefault="00860BDA"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r>
      <w:tr w:rsidR="009E3A50" w:rsidRPr="00A2429A" w14:paraId="16243CE7" w14:textId="77777777" w:rsidTr="00B96DC8">
        <w:trPr>
          <w:trHeight w:val="227"/>
          <w:jc w:val="center"/>
        </w:trPr>
        <w:tc>
          <w:tcPr>
            <w:tcW w:w="310" w:type="pct"/>
            <w:tcMar>
              <w:left w:w="17" w:type="dxa"/>
              <w:right w:w="17" w:type="dxa"/>
            </w:tcMar>
            <w:vAlign w:val="center"/>
          </w:tcPr>
          <w:p w14:paraId="53182D6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3365</w:t>
            </w:r>
          </w:p>
        </w:tc>
        <w:tc>
          <w:tcPr>
            <w:tcW w:w="2189" w:type="pct"/>
            <w:shd w:val="clear" w:color="auto" w:fill="auto"/>
            <w:tcMar>
              <w:left w:w="17" w:type="dxa"/>
              <w:right w:w="17" w:type="dxa"/>
            </w:tcMar>
            <w:vAlign w:val="center"/>
          </w:tcPr>
          <w:p w14:paraId="6193D6E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CZ.06.2.58/0.0/0.0/16_061/0003365</w:t>
            </w:r>
          </w:p>
          <w:p w14:paraId="7FA79AF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Sociální podnik pro venkov</w:t>
            </w:r>
          </w:p>
        </w:tc>
        <w:tc>
          <w:tcPr>
            <w:tcW w:w="781" w:type="pct"/>
            <w:shd w:val="clear" w:color="auto" w:fill="auto"/>
            <w:tcMar>
              <w:left w:w="17" w:type="dxa"/>
              <w:right w:w="17" w:type="dxa"/>
            </w:tcMar>
            <w:vAlign w:val="center"/>
          </w:tcPr>
          <w:p w14:paraId="5BF0705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Tradiční Hanácká, s.r.o.</w:t>
            </w:r>
          </w:p>
        </w:tc>
        <w:tc>
          <w:tcPr>
            <w:tcW w:w="626" w:type="pct"/>
            <w:tcMar>
              <w:left w:w="17" w:type="dxa"/>
              <w:right w:w="17" w:type="dxa"/>
            </w:tcMar>
            <w:vAlign w:val="center"/>
          </w:tcPr>
          <w:p w14:paraId="32126A1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3 002 338,21</w:t>
            </w:r>
          </w:p>
        </w:tc>
        <w:tc>
          <w:tcPr>
            <w:tcW w:w="468" w:type="pct"/>
            <w:shd w:val="clear" w:color="auto" w:fill="538135" w:themeFill="accent6" w:themeFillShade="BF"/>
            <w:tcMar>
              <w:left w:w="17" w:type="dxa"/>
              <w:right w:w="17" w:type="dxa"/>
            </w:tcMar>
            <w:vAlign w:val="center"/>
          </w:tcPr>
          <w:p w14:paraId="077C957A"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1</w:t>
            </w:r>
          </w:p>
        </w:tc>
        <w:tc>
          <w:tcPr>
            <w:tcW w:w="626" w:type="pct"/>
            <w:shd w:val="clear" w:color="auto" w:fill="A8D08D" w:themeFill="accent6" w:themeFillTint="99"/>
            <w:tcMar>
              <w:left w:w="17" w:type="dxa"/>
              <w:right w:w="17" w:type="dxa"/>
            </w:tcMar>
            <w:vAlign w:val="center"/>
          </w:tcPr>
          <w:p w14:paraId="517F27BC"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r>
      <w:tr w:rsidR="009E3A50" w:rsidRPr="00A2429A" w14:paraId="276721B2" w14:textId="77777777" w:rsidTr="00B96DC8">
        <w:trPr>
          <w:trHeight w:val="227"/>
          <w:jc w:val="center"/>
        </w:trPr>
        <w:tc>
          <w:tcPr>
            <w:tcW w:w="310" w:type="pct"/>
            <w:tcMar>
              <w:left w:w="17" w:type="dxa"/>
              <w:right w:w="17" w:type="dxa"/>
            </w:tcMar>
            <w:vAlign w:val="center"/>
          </w:tcPr>
          <w:p w14:paraId="0741291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3366</w:t>
            </w:r>
          </w:p>
        </w:tc>
        <w:tc>
          <w:tcPr>
            <w:tcW w:w="2189" w:type="pct"/>
            <w:shd w:val="clear" w:color="auto" w:fill="auto"/>
            <w:tcMar>
              <w:left w:w="17" w:type="dxa"/>
              <w:right w:w="17" w:type="dxa"/>
            </w:tcMar>
            <w:vAlign w:val="center"/>
          </w:tcPr>
          <w:p w14:paraId="69D1E930"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CZ.06.2.58/0.0/0.0/16_061/0003366 </w:t>
            </w:r>
          </w:p>
          <w:p w14:paraId="34EBB91E"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Vybavení služeb parku Brniště</w:t>
            </w:r>
          </w:p>
        </w:tc>
        <w:tc>
          <w:tcPr>
            <w:tcW w:w="781" w:type="pct"/>
            <w:shd w:val="clear" w:color="auto" w:fill="auto"/>
            <w:tcMar>
              <w:left w:w="17" w:type="dxa"/>
              <w:right w:w="17" w:type="dxa"/>
            </w:tcMar>
            <w:vAlign w:val="center"/>
          </w:tcPr>
          <w:p w14:paraId="5229963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FT &amp; Catering s.r.o.</w:t>
            </w:r>
          </w:p>
        </w:tc>
        <w:tc>
          <w:tcPr>
            <w:tcW w:w="626" w:type="pct"/>
            <w:tcMar>
              <w:left w:w="17" w:type="dxa"/>
              <w:right w:w="17" w:type="dxa"/>
            </w:tcMar>
            <w:vAlign w:val="center"/>
          </w:tcPr>
          <w:p w14:paraId="20742EB8"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1 057 496,44</w:t>
            </w:r>
          </w:p>
        </w:tc>
        <w:tc>
          <w:tcPr>
            <w:tcW w:w="468" w:type="pct"/>
            <w:shd w:val="clear" w:color="auto" w:fill="A8D08D" w:themeFill="accent6" w:themeFillTint="99"/>
            <w:tcMar>
              <w:left w:w="17" w:type="dxa"/>
              <w:right w:w="17" w:type="dxa"/>
            </w:tcMar>
            <w:vAlign w:val="center"/>
          </w:tcPr>
          <w:p w14:paraId="24311CEA"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c>
          <w:tcPr>
            <w:tcW w:w="626" w:type="pct"/>
            <w:shd w:val="clear" w:color="auto" w:fill="A8D08D" w:themeFill="accent6" w:themeFillTint="99"/>
            <w:tcMar>
              <w:left w:w="17" w:type="dxa"/>
              <w:right w:w="17" w:type="dxa"/>
            </w:tcMar>
            <w:vAlign w:val="center"/>
          </w:tcPr>
          <w:p w14:paraId="0B2F0F35"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r>
      <w:tr w:rsidR="009E3A50" w:rsidRPr="00A2429A" w14:paraId="3F2CDC24" w14:textId="77777777" w:rsidTr="00B96DC8">
        <w:trPr>
          <w:trHeight w:val="227"/>
          <w:jc w:val="center"/>
        </w:trPr>
        <w:tc>
          <w:tcPr>
            <w:tcW w:w="310" w:type="pct"/>
            <w:tcMar>
              <w:left w:w="17" w:type="dxa"/>
              <w:right w:w="17" w:type="dxa"/>
            </w:tcMar>
            <w:vAlign w:val="center"/>
          </w:tcPr>
          <w:p w14:paraId="3A848168"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3382</w:t>
            </w:r>
          </w:p>
        </w:tc>
        <w:tc>
          <w:tcPr>
            <w:tcW w:w="2189" w:type="pct"/>
            <w:shd w:val="clear" w:color="auto" w:fill="auto"/>
            <w:tcMar>
              <w:left w:w="17" w:type="dxa"/>
              <w:right w:w="17" w:type="dxa"/>
            </w:tcMar>
            <w:vAlign w:val="center"/>
          </w:tcPr>
          <w:p w14:paraId="08654129"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CZ.06.2.58/0.0/0.0/16_060/0003382</w:t>
            </w:r>
          </w:p>
          <w:p w14:paraId="2F817539"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 xml:space="preserve">Sociální podnik – Ústav Pohoda, z. </w:t>
            </w:r>
            <w:proofErr w:type="spellStart"/>
            <w:r w:rsidRPr="00A2429A">
              <w:rPr>
                <w:rFonts w:ascii="Calibri" w:eastAsia="Times New Roman" w:hAnsi="Calibri" w:cs="Calibri"/>
                <w:color w:val="000000"/>
                <w:sz w:val="18"/>
                <w:szCs w:val="18"/>
                <w:lang w:eastAsia="cs-CZ"/>
              </w:rPr>
              <w:t>ú.</w:t>
            </w:r>
            <w:proofErr w:type="spellEnd"/>
            <w:r w:rsidRPr="00A2429A">
              <w:rPr>
                <w:rFonts w:ascii="Calibri" w:eastAsia="Times New Roman" w:hAnsi="Calibri" w:cs="Calibri"/>
                <w:color w:val="000000"/>
                <w:sz w:val="18"/>
                <w:szCs w:val="18"/>
                <w:lang w:eastAsia="cs-CZ"/>
              </w:rPr>
              <w:t xml:space="preserve"> </w:t>
            </w:r>
            <w:r w:rsidR="00B96DC8">
              <w:rPr>
                <w:rFonts w:ascii="Calibri" w:eastAsia="Times New Roman" w:hAnsi="Calibri" w:cs="Calibri"/>
                <w:color w:val="000000"/>
                <w:sz w:val="18"/>
                <w:szCs w:val="18"/>
                <w:lang w:eastAsia="cs-CZ"/>
              </w:rPr>
              <w:t>–</w:t>
            </w:r>
            <w:r w:rsidRPr="00A2429A">
              <w:rPr>
                <w:rFonts w:ascii="Calibri" w:eastAsia="Times New Roman" w:hAnsi="Calibri" w:cs="Calibri"/>
                <w:color w:val="000000"/>
                <w:sz w:val="18"/>
                <w:szCs w:val="18"/>
                <w:lang w:eastAsia="cs-CZ"/>
              </w:rPr>
              <w:t xml:space="preserve"> vybudování provozu prádelny v Českém Těšíně</w:t>
            </w:r>
          </w:p>
        </w:tc>
        <w:tc>
          <w:tcPr>
            <w:tcW w:w="781" w:type="pct"/>
            <w:shd w:val="clear" w:color="auto" w:fill="auto"/>
            <w:tcMar>
              <w:left w:w="17" w:type="dxa"/>
              <w:right w:w="17" w:type="dxa"/>
            </w:tcMar>
            <w:vAlign w:val="center"/>
          </w:tcPr>
          <w:p w14:paraId="147ACF72"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Ústav pohoda, z.</w:t>
            </w:r>
            <w:r w:rsidR="00836C37">
              <w:rPr>
                <w:rFonts w:ascii="Calibri" w:eastAsia="Times New Roman" w:hAnsi="Calibri" w:cs="Calibri"/>
                <w:color w:val="000000"/>
                <w:sz w:val="18"/>
                <w:szCs w:val="18"/>
                <w:lang w:eastAsia="cs-CZ"/>
              </w:rPr>
              <w:t> </w:t>
            </w:r>
            <w:proofErr w:type="spellStart"/>
            <w:r w:rsidRPr="00A2429A">
              <w:rPr>
                <w:rFonts w:ascii="Calibri" w:eastAsia="Times New Roman" w:hAnsi="Calibri" w:cs="Calibri"/>
                <w:color w:val="000000"/>
                <w:sz w:val="18"/>
                <w:szCs w:val="18"/>
                <w:lang w:eastAsia="cs-CZ"/>
              </w:rPr>
              <w:t>ú.</w:t>
            </w:r>
            <w:proofErr w:type="spellEnd"/>
          </w:p>
        </w:tc>
        <w:tc>
          <w:tcPr>
            <w:tcW w:w="626" w:type="pct"/>
            <w:tcMar>
              <w:left w:w="17" w:type="dxa"/>
              <w:right w:w="17" w:type="dxa"/>
            </w:tcMar>
            <w:vAlign w:val="center"/>
          </w:tcPr>
          <w:p w14:paraId="467503A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2 289 055,95</w:t>
            </w:r>
          </w:p>
        </w:tc>
        <w:tc>
          <w:tcPr>
            <w:tcW w:w="468" w:type="pct"/>
            <w:shd w:val="clear" w:color="auto" w:fill="FFFF00"/>
            <w:tcMar>
              <w:left w:w="17" w:type="dxa"/>
              <w:right w:w="17" w:type="dxa"/>
            </w:tcMar>
            <w:vAlign w:val="center"/>
          </w:tcPr>
          <w:p w14:paraId="121B1E0E"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c>
          <w:tcPr>
            <w:tcW w:w="626" w:type="pct"/>
            <w:shd w:val="clear" w:color="auto" w:fill="FFFF00"/>
            <w:tcMar>
              <w:left w:w="17" w:type="dxa"/>
              <w:right w:w="17" w:type="dxa"/>
            </w:tcMar>
            <w:vAlign w:val="center"/>
          </w:tcPr>
          <w:p w14:paraId="355CAB85"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r>
      <w:tr w:rsidR="009E3A50" w:rsidRPr="00A2429A" w14:paraId="38661E8D" w14:textId="77777777" w:rsidTr="00B96DC8">
        <w:trPr>
          <w:trHeight w:val="227"/>
          <w:jc w:val="center"/>
        </w:trPr>
        <w:tc>
          <w:tcPr>
            <w:tcW w:w="310" w:type="pct"/>
            <w:shd w:val="clear" w:color="auto" w:fill="auto"/>
            <w:tcMar>
              <w:left w:w="17" w:type="dxa"/>
              <w:right w:w="17" w:type="dxa"/>
            </w:tcMar>
            <w:vAlign w:val="center"/>
          </w:tcPr>
          <w:p w14:paraId="37062E37"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3438</w:t>
            </w:r>
          </w:p>
        </w:tc>
        <w:tc>
          <w:tcPr>
            <w:tcW w:w="2189" w:type="pct"/>
            <w:shd w:val="clear" w:color="auto" w:fill="auto"/>
            <w:tcMar>
              <w:left w:w="17" w:type="dxa"/>
              <w:right w:w="17" w:type="dxa"/>
            </w:tcMar>
            <w:vAlign w:val="center"/>
          </w:tcPr>
          <w:p w14:paraId="0327C55B"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CZ.06.2.58/0.0/0.0/16_060/0003438</w:t>
            </w:r>
          </w:p>
          <w:p w14:paraId="27CAF19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Kavárna Blatná</w:t>
            </w:r>
          </w:p>
        </w:tc>
        <w:tc>
          <w:tcPr>
            <w:tcW w:w="781" w:type="pct"/>
            <w:shd w:val="clear" w:color="auto" w:fill="auto"/>
            <w:noWrap/>
            <w:tcMar>
              <w:left w:w="17" w:type="dxa"/>
              <w:right w:w="17" w:type="dxa"/>
            </w:tcMar>
            <w:vAlign w:val="center"/>
          </w:tcPr>
          <w:p w14:paraId="2FA2731E"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Veronika Vachulková</w:t>
            </w:r>
          </w:p>
        </w:tc>
        <w:tc>
          <w:tcPr>
            <w:tcW w:w="626" w:type="pct"/>
            <w:shd w:val="clear" w:color="auto" w:fill="auto"/>
            <w:tcMar>
              <w:left w:w="17" w:type="dxa"/>
              <w:right w:w="17" w:type="dxa"/>
            </w:tcMar>
            <w:vAlign w:val="center"/>
          </w:tcPr>
          <w:p w14:paraId="062700CC"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4 137 513,14</w:t>
            </w:r>
          </w:p>
        </w:tc>
        <w:tc>
          <w:tcPr>
            <w:tcW w:w="468" w:type="pct"/>
            <w:shd w:val="clear" w:color="auto" w:fill="FF0000"/>
            <w:tcMar>
              <w:left w:w="17" w:type="dxa"/>
              <w:right w:w="17" w:type="dxa"/>
            </w:tcMar>
            <w:vAlign w:val="center"/>
          </w:tcPr>
          <w:p w14:paraId="21563CBF"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4</w:t>
            </w:r>
          </w:p>
        </w:tc>
        <w:tc>
          <w:tcPr>
            <w:tcW w:w="626" w:type="pct"/>
            <w:shd w:val="clear" w:color="auto" w:fill="FF0000"/>
            <w:tcMar>
              <w:left w:w="17" w:type="dxa"/>
              <w:right w:w="17" w:type="dxa"/>
            </w:tcMar>
            <w:vAlign w:val="center"/>
          </w:tcPr>
          <w:p w14:paraId="04652C6E"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4</w:t>
            </w:r>
          </w:p>
        </w:tc>
      </w:tr>
      <w:tr w:rsidR="009E3A50" w:rsidRPr="00A2429A" w14:paraId="0E549DA9" w14:textId="77777777" w:rsidTr="00B96DC8">
        <w:trPr>
          <w:trHeight w:val="227"/>
          <w:jc w:val="center"/>
        </w:trPr>
        <w:tc>
          <w:tcPr>
            <w:tcW w:w="310" w:type="pct"/>
            <w:shd w:val="clear" w:color="auto" w:fill="auto"/>
            <w:tcMar>
              <w:left w:w="17" w:type="dxa"/>
              <w:right w:w="17" w:type="dxa"/>
            </w:tcMar>
            <w:vAlign w:val="center"/>
          </w:tcPr>
          <w:p w14:paraId="40AECF9B"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3498</w:t>
            </w:r>
          </w:p>
        </w:tc>
        <w:tc>
          <w:tcPr>
            <w:tcW w:w="2189" w:type="pct"/>
            <w:shd w:val="clear" w:color="auto" w:fill="auto"/>
            <w:tcMar>
              <w:left w:w="17" w:type="dxa"/>
              <w:right w:w="17" w:type="dxa"/>
            </w:tcMar>
            <w:vAlign w:val="center"/>
          </w:tcPr>
          <w:p w14:paraId="0D5F329F"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CZ.06.2.58/0.0/0.0/16_061/0003498</w:t>
            </w:r>
          </w:p>
          <w:p w14:paraId="1825B1EA"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Sociální podnik PLT Liberec s.r.o.</w:t>
            </w:r>
          </w:p>
        </w:tc>
        <w:tc>
          <w:tcPr>
            <w:tcW w:w="781" w:type="pct"/>
            <w:shd w:val="clear" w:color="auto" w:fill="auto"/>
            <w:tcMar>
              <w:left w:w="17" w:type="dxa"/>
              <w:right w:w="17" w:type="dxa"/>
            </w:tcMar>
            <w:vAlign w:val="center"/>
          </w:tcPr>
          <w:p w14:paraId="792721AA"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PLT Liberec s.r.o.</w:t>
            </w:r>
          </w:p>
        </w:tc>
        <w:tc>
          <w:tcPr>
            <w:tcW w:w="626" w:type="pct"/>
            <w:shd w:val="clear" w:color="auto" w:fill="auto"/>
            <w:tcMar>
              <w:left w:w="17" w:type="dxa"/>
              <w:right w:w="17" w:type="dxa"/>
            </w:tcMar>
            <w:vAlign w:val="center"/>
          </w:tcPr>
          <w:p w14:paraId="6D4377C8" w14:textId="77777777" w:rsidR="009E3A50" w:rsidRPr="00A2429A" w:rsidRDefault="009E3A50" w:rsidP="00A2429A">
            <w:pPr>
              <w:spacing w:after="0" w:line="240" w:lineRule="auto"/>
              <w:jc w:val="center"/>
              <w:rPr>
                <w:rFonts w:ascii="Calibri" w:hAnsi="Calibri" w:cs="Calibri"/>
                <w:sz w:val="18"/>
                <w:szCs w:val="18"/>
              </w:rPr>
            </w:pPr>
            <w:r w:rsidRPr="00A2429A">
              <w:rPr>
                <w:rFonts w:ascii="Calibri" w:eastAsia="Times New Roman" w:hAnsi="Calibri" w:cs="Calibri"/>
                <w:color w:val="000000"/>
                <w:sz w:val="18"/>
                <w:szCs w:val="18"/>
                <w:lang w:eastAsia="cs-CZ"/>
              </w:rPr>
              <w:fldChar w:fldCharType="begin"/>
            </w:r>
            <w:r w:rsidRPr="00A2429A">
              <w:rPr>
                <w:rFonts w:ascii="Calibri" w:eastAsia="Times New Roman" w:hAnsi="Calibri" w:cs="Calibri"/>
                <w:color w:val="000000"/>
                <w:sz w:val="18"/>
                <w:szCs w:val="18"/>
                <w:lang w:eastAsia="cs-CZ"/>
              </w:rPr>
              <w:instrText xml:space="preserve"> LINK Excel.Sheet.12 "https://nku/sites/odbor_IV/ka2122/Sdilene%20dokumenty/04.%20PROGRAM%20KA/výběr%20příjemců/návrh%20výběru%20vzorku%2022.9.2021.xlsx" "List1!R27C7" \a \f 5 \h  \* MERGEFORMAT </w:instrText>
            </w:r>
            <w:r w:rsidRPr="00A2429A">
              <w:rPr>
                <w:rFonts w:ascii="Calibri" w:eastAsia="Times New Roman" w:hAnsi="Calibri" w:cs="Calibri"/>
                <w:color w:val="000000"/>
                <w:sz w:val="18"/>
                <w:szCs w:val="18"/>
                <w:lang w:eastAsia="cs-CZ"/>
              </w:rPr>
              <w:fldChar w:fldCharType="separate"/>
            </w:r>
          </w:p>
          <w:p w14:paraId="50572BC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3 700 877,05</w:t>
            </w:r>
          </w:p>
          <w:p w14:paraId="3B36DEA3"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fldChar w:fldCharType="end"/>
            </w:r>
          </w:p>
        </w:tc>
        <w:tc>
          <w:tcPr>
            <w:tcW w:w="468" w:type="pct"/>
            <w:shd w:val="clear" w:color="auto" w:fill="FFFF00"/>
            <w:tcMar>
              <w:left w:w="17" w:type="dxa"/>
              <w:right w:w="17" w:type="dxa"/>
            </w:tcMar>
            <w:vAlign w:val="center"/>
          </w:tcPr>
          <w:p w14:paraId="4307E44A"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c>
          <w:tcPr>
            <w:tcW w:w="626" w:type="pct"/>
            <w:shd w:val="clear" w:color="auto" w:fill="FFFF00"/>
            <w:tcMar>
              <w:left w:w="17" w:type="dxa"/>
              <w:right w:w="17" w:type="dxa"/>
            </w:tcMar>
            <w:vAlign w:val="center"/>
          </w:tcPr>
          <w:p w14:paraId="20CDB2E4"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3</w:t>
            </w:r>
          </w:p>
        </w:tc>
      </w:tr>
      <w:tr w:rsidR="009E3A50" w:rsidRPr="00A2429A" w14:paraId="3F60F93B" w14:textId="77777777" w:rsidTr="00B96DC8">
        <w:trPr>
          <w:trHeight w:val="227"/>
          <w:jc w:val="center"/>
        </w:trPr>
        <w:tc>
          <w:tcPr>
            <w:tcW w:w="310" w:type="pct"/>
            <w:shd w:val="clear" w:color="auto" w:fill="auto"/>
            <w:tcMar>
              <w:left w:w="17" w:type="dxa"/>
              <w:right w:w="17" w:type="dxa"/>
            </w:tcMar>
            <w:vAlign w:val="center"/>
          </w:tcPr>
          <w:p w14:paraId="5F312526"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3525</w:t>
            </w:r>
          </w:p>
        </w:tc>
        <w:tc>
          <w:tcPr>
            <w:tcW w:w="2189" w:type="pct"/>
            <w:shd w:val="clear" w:color="auto" w:fill="auto"/>
            <w:tcMar>
              <w:left w:w="17" w:type="dxa"/>
              <w:right w:w="17" w:type="dxa"/>
            </w:tcMar>
            <w:vAlign w:val="center"/>
          </w:tcPr>
          <w:p w14:paraId="7B6B0AF4"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CZ.06.2.58/0.0/0.0/16_061/0003525</w:t>
            </w:r>
          </w:p>
          <w:p w14:paraId="54901EE9"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ROZŠÍŘENÍ KAPACITY SPOLEČNOSTI PRÁDELNA PRAPOS S.R.O.</w:t>
            </w:r>
          </w:p>
        </w:tc>
        <w:tc>
          <w:tcPr>
            <w:tcW w:w="781" w:type="pct"/>
            <w:shd w:val="clear" w:color="auto" w:fill="auto"/>
            <w:tcMar>
              <w:left w:w="17" w:type="dxa"/>
              <w:right w:w="17" w:type="dxa"/>
            </w:tcMar>
            <w:vAlign w:val="center"/>
          </w:tcPr>
          <w:p w14:paraId="37FEBC9E"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Prádelna PRAPOS s.r.o.</w:t>
            </w:r>
          </w:p>
        </w:tc>
        <w:tc>
          <w:tcPr>
            <w:tcW w:w="626" w:type="pct"/>
            <w:shd w:val="clear" w:color="auto" w:fill="auto"/>
            <w:tcMar>
              <w:left w:w="17" w:type="dxa"/>
              <w:right w:w="17" w:type="dxa"/>
            </w:tcMar>
            <w:vAlign w:val="center"/>
          </w:tcPr>
          <w:p w14:paraId="4296C96C" w14:textId="77777777" w:rsidR="009E3A50" w:rsidRPr="00A2429A" w:rsidRDefault="009E3A50" w:rsidP="00A2429A">
            <w:pPr>
              <w:spacing w:after="0" w:line="240" w:lineRule="auto"/>
              <w:jc w:val="center"/>
              <w:rPr>
                <w:rFonts w:ascii="Calibri" w:eastAsia="Times New Roman" w:hAnsi="Calibri" w:cs="Calibri"/>
                <w:color w:val="000000"/>
                <w:sz w:val="18"/>
                <w:szCs w:val="18"/>
                <w:lang w:eastAsia="cs-CZ"/>
              </w:rPr>
            </w:pPr>
            <w:r w:rsidRPr="00A2429A">
              <w:rPr>
                <w:rFonts w:ascii="Calibri" w:eastAsia="Times New Roman" w:hAnsi="Calibri" w:cs="Calibri"/>
                <w:color w:val="000000"/>
                <w:sz w:val="18"/>
                <w:szCs w:val="18"/>
                <w:lang w:eastAsia="cs-CZ"/>
              </w:rPr>
              <w:t>3 961 940,40</w:t>
            </w:r>
          </w:p>
        </w:tc>
        <w:tc>
          <w:tcPr>
            <w:tcW w:w="468" w:type="pct"/>
            <w:shd w:val="clear" w:color="auto" w:fill="A8D08D" w:themeFill="accent6" w:themeFillTint="99"/>
            <w:tcMar>
              <w:left w:w="17" w:type="dxa"/>
              <w:right w:w="17" w:type="dxa"/>
            </w:tcMar>
            <w:vAlign w:val="center"/>
          </w:tcPr>
          <w:p w14:paraId="2DBA0DC6"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2</w:t>
            </w:r>
          </w:p>
        </w:tc>
        <w:tc>
          <w:tcPr>
            <w:tcW w:w="626" w:type="pct"/>
            <w:shd w:val="clear" w:color="auto" w:fill="538135" w:themeFill="accent6" w:themeFillShade="BF"/>
            <w:tcMar>
              <w:left w:w="17" w:type="dxa"/>
              <w:right w:w="17" w:type="dxa"/>
            </w:tcMar>
            <w:vAlign w:val="center"/>
          </w:tcPr>
          <w:p w14:paraId="55AF4117"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r w:rsidRPr="00A2429A">
              <w:rPr>
                <w:rFonts w:ascii="Calibri" w:eastAsia="Times New Roman" w:hAnsi="Calibri" w:cs="Calibri"/>
                <w:b/>
                <w:color w:val="000000"/>
                <w:sz w:val="18"/>
                <w:szCs w:val="18"/>
                <w:lang w:eastAsia="cs-CZ"/>
              </w:rPr>
              <w:t>1</w:t>
            </w:r>
          </w:p>
        </w:tc>
      </w:tr>
      <w:tr w:rsidR="009E3A50" w:rsidRPr="00A2429A" w14:paraId="6CCC7E45" w14:textId="77777777" w:rsidTr="00B96DC8">
        <w:trPr>
          <w:trHeight w:val="227"/>
          <w:jc w:val="center"/>
        </w:trPr>
        <w:tc>
          <w:tcPr>
            <w:tcW w:w="2499" w:type="pct"/>
            <w:gridSpan w:val="2"/>
            <w:tcMar>
              <w:left w:w="17" w:type="dxa"/>
              <w:right w:w="17" w:type="dxa"/>
            </w:tcMar>
            <w:vAlign w:val="center"/>
          </w:tcPr>
          <w:p w14:paraId="0646192A" w14:textId="77777777" w:rsidR="009E3A50" w:rsidRPr="00A2429A" w:rsidRDefault="009E3A50" w:rsidP="00A2429A">
            <w:pPr>
              <w:spacing w:before="40" w:after="40" w:line="240" w:lineRule="auto"/>
              <w:rPr>
                <w:rFonts w:ascii="Calibri" w:eastAsia="Times New Roman" w:hAnsi="Calibri" w:cs="Calibri"/>
                <w:color w:val="000000"/>
                <w:sz w:val="18"/>
                <w:szCs w:val="18"/>
                <w:lang w:eastAsia="cs-CZ"/>
              </w:rPr>
            </w:pPr>
            <w:r w:rsidRPr="00A2429A">
              <w:rPr>
                <w:rFonts w:ascii="Calibri" w:eastAsia="Times New Roman" w:hAnsi="Calibri" w:cs="Calibri"/>
                <w:b/>
                <w:color w:val="000000"/>
                <w:sz w:val="18"/>
                <w:szCs w:val="18"/>
                <w:lang w:eastAsia="cs-CZ"/>
              </w:rPr>
              <w:t>Celkem IROP</w:t>
            </w:r>
          </w:p>
        </w:tc>
        <w:tc>
          <w:tcPr>
            <w:tcW w:w="1407" w:type="pct"/>
            <w:gridSpan w:val="2"/>
            <w:tcMar>
              <w:left w:w="17" w:type="dxa"/>
              <w:right w:w="17" w:type="dxa"/>
            </w:tcMar>
            <w:vAlign w:val="center"/>
          </w:tcPr>
          <w:p w14:paraId="4A4013BC" w14:textId="77777777" w:rsidR="009E3A50" w:rsidRPr="00A2429A" w:rsidRDefault="009E3A50" w:rsidP="00A2429A">
            <w:pPr>
              <w:spacing w:before="40" w:after="40" w:line="240" w:lineRule="auto"/>
              <w:jc w:val="right"/>
              <w:rPr>
                <w:rFonts w:ascii="Calibri" w:eastAsia="Times New Roman" w:hAnsi="Calibri" w:cs="Calibri"/>
                <w:b/>
                <w:bCs/>
                <w:color w:val="000000"/>
                <w:sz w:val="18"/>
                <w:szCs w:val="18"/>
                <w:lang w:eastAsia="cs-CZ"/>
              </w:rPr>
            </w:pPr>
            <w:r w:rsidRPr="00A2429A">
              <w:rPr>
                <w:rFonts w:ascii="Calibri" w:eastAsia="Times New Roman" w:hAnsi="Calibri" w:cs="Calibri"/>
                <w:b/>
                <w:bCs/>
                <w:color w:val="000000"/>
                <w:sz w:val="18"/>
                <w:szCs w:val="18"/>
                <w:lang w:eastAsia="cs-CZ"/>
              </w:rPr>
              <w:t>25 801 442,24</w:t>
            </w:r>
          </w:p>
        </w:tc>
        <w:tc>
          <w:tcPr>
            <w:tcW w:w="468" w:type="pct"/>
            <w:shd w:val="clear" w:color="auto" w:fill="auto"/>
            <w:tcMar>
              <w:left w:w="17" w:type="dxa"/>
              <w:right w:w="17" w:type="dxa"/>
            </w:tcMar>
            <w:vAlign w:val="center"/>
          </w:tcPr>
          <w:p w14:paraId="1741E4F9"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p>
        </w:tc>
        <w:tc>
          <w:tcPr>
            <w:tcW w:w="626" w:type="pct"/>
            <w:shd w:val="clear" w:color="auto" w:fill="auto"/>
            <w:tcMar>
              <w:left w:w="17" w:type="dxa"/>
              <w:right w:w="17" w:type="dxa"/>
            </w:tcMar>
            <w:vAlign w:val="center"/>
          </w:tcPr>
          <w:p w14:paraId="55F9D77B" w14:textId="77777777" w:rsidR="009E3A50" w:rsidRPr="00A2429A" w:rsidRDefault="009E3A50" w:rsidP="00B96DC8">
            <w:pPr>
              <w:spacing w:after="0" w:line="240" w:lineRule="auto"/>
              <w:jc w:val="center"/>
              <w:rPr>
                <w:rFonts w:ascii="Calibri" w:eastAsia="Times New Roman" w:hAnsi="Calibri" w:cs="Calibri"/>
                <w:b/>
                <w:color w:val="000000"/>
                <w:sz w:val="18"/>
                <w:szCs w:val="18"/>
                <w:lang w:eastAsia="cs-CZ"/>
              </w:rPr>
            </w:pPr>
          </w:p>
        </w:tc>
      </w:tr>
    </w:tbl>
    <w:p w14:paraId="7C150F2E" w14:textId="77777777" w:rsidR="00F31777" w:rsidRPr="00F31777" w:rsidRDefault="00F31777" w:rsidP="00EC4FD6">
      <w:pPr>
        <w:tabs>
          <w:tab w:val="left" w:pos="993"/>
        </w:tabs>
        <w:spacing w:before="120" w:after="120" w:line="240" w:lineRule="auto"/>
        <w:rPr>
          <w:rFonts w:cstheme="minorHAnsi"/>
          <w:b/>
          <w:sz w:val="20"/>
          <w:szCs w:val="20"/>
        </w:rPr>
      </w:pPr>
      <w:r w:rsidRPr="00F31777">
        <w:rPr>
          <w:rFonts w:cstheme="minorHAnsi"/>
          <w:b/>
          <w:sz w:val="20"/>
          <w:szCs w:val="20"/>
        </w:rPr>
        <w:t>Stupně hodnocení:</w:t>
      </w:r>
    </w:p>
    <w:tbl>
      <w:tblPr>
        <w:tblStyle w:val="Mkatabulky2"/>
        <w:tblW w:w="0" w:type="auto"/>
        <w:tblLook w:val="04A0" w:firstRow="1" w:lastRow="0" w:firstColumn="1" w:lastColumn="0" w:noHBand="0" w:noVBand="1"/>
      </w:tblPr>
      <w:tblGrid>
        <w:gridCol w:w="421"/>
        <w:gridCol w:w="8641"/>
      </w:tblGrid>
      <w:tr w:rsidR="00F31777" w:rsidRPr="00A2429A" w14:paraId="1F921997" w14:textId="77777777" w:rsidTr="00A2429A">
        <w:trPr>
          <w:trHeight w:val="255"/>
        </w:trPr>
        <w:tc>
          <w:tcPr>
            <w:tcW w:w="421" w:type="dxa"/>
            <w:shd w:val="clear" w:color="auto" w:fill="538135" w:themeFill="accent6" w:themeFillShade="BF"/>
            <w:vAlign w:val="center"/>
          </w:tcPr>
          <w:p w14:paraId="4EF44A20" w14:textId="77777777" w:rsidR="00F31777" w:rsidRPr="00A2429A" w:rsidRDefault="00F31777" w:rsidP="00A2429A">
            <w:pPr>
              <w:tabs>
                <w:tab w:val="left" w:pos="993"/>
              </w:tabs>
              <w:ind w:right="-103"/>
              <w:rPr>
                <w:rFonts w:ascii="Calibri" w:hAnsi="Calibri" w:cs="Calibri"/>
                <w:b/>
                <w:color w:val="000000" w:themeColor="text1"/>
                <w:sz w:val="20"/>
                <w:szCs w:val="20"/>
              </w:rPr>
            </w:pPr>
            <w:r w:rsidRPr="00A2429A">
              <w:rPr>
                <w:rFonts w:ascii="Calibri" w:hAnsi="Calibri" w:cs="Calibri"/>
                <w:b/>
                <w:color w:val="000000" w:themeColor="text1"/>
                <w:sz w:val="20"/>
                <w:szCs w:val="20"/>
              </w:rPr>
              <w:t>1</w:t>
            </w:r>
          </w:p>
        </w:tc>
        <w:tc>
          <w:tcPr>
            <w:tcW w:w="8641" w:type="dxa"/>
            <w:vAlign w:val="center"/>
          </w:tcPr>
          <w:p w14:paraId="0CCC958E" w14:textId="77777777" w:rsidR="00F31777" w:rsidRPr="00A2429A" w:rsidRDefault="00F31777" w:rsidP="00A2429A">
            <w:pPr>
              <w:tabs>
                <w:tab w:val="left" w:pos="993"/>
              </w:tabs>
              <w:rPr>
                <w:rFonts w:ascii="Calibri" w:hAnsi="Calibri" w:cs="Calibri"/>
                <w:b/>
                <w:sz w:val="20"/>
                <w:szCs w:val="20"/>
              </w:rPr>
            </w:pPr>
            <w:r w:rsidRPr="00A2429A">
              <w:rPr>
                <w:rFonts w:ascii="Calibri" w:hAnsi="Calibri" w:cs="Calibri"/>
                <w:sz w:val="20"/>
                <w:szCs w:val="20"/>
              </w:rPr>
              <w:t>Projekt je účelný, resp. efektivní.</w:t>
            </w:r>
          </w:p>
        </w:tc>
      </w:tr>
      <w:tr w:rsidR="00F31777" w:rsidRPr="00A2429A" w14:paraId="0E4DF13A" w14:textId="77777777" w:rsidTr="00A2429A">
        <w:trPr>
          <w:trHeight w:val="255"/>
        </w:trPr>
        <w:tc>
          <w:tcPr>
            <w:tcW w:w="421" w:type="dxa"/>
            <w:shd w:val="clear" w:color="auto" w:fill="A8D08D" w:themeFill="accent6" w:themeFillTint="99"/>
            <w:vAlign w:val="center"/>
          </w:tcPr>
          <w:p w14:paraId="42EC87C1" w14:textId="77777777" w:rsidR="00F31777" w:rsidRPr="00A2429A" w:rsidRDefault="00F31777" w:rsidP="00A2429A">
            <w:pPr>
              <w:tabs>
                <w:tab w:val="left" w:pos="993"/>
              </w:tabs>
              <w:ind w:right="-103"/>
              <w:rPr>
                <w:rFonts w:ascii="Calibri" w:hAnsi="Calibri" w:cs="Calibri"/>
                <w:b/>
                <w:color w:val="000000" w:themeColor="text1"/>
                <w:sz w:val="20"/>
                <w:szCs w:val="20"/>
              </w:rPr>
            </w:pPr>
            <w:r w:rsidRPr="00A2429A">
              <w:rPr>
                <w:rFonts w:ascii="Calibri" w:hAnsi="Calibri" w:cs="Calibri"/>
                <w:b/>
                <w:color w:val="000000" w:themeColor="text1"/>
                <w:sz w:val="20"/>
                <w:szCs w:val="20"/>
              </w:rPr>
              <w:t>2</w:t>
            </w:r>
          </w:p>
        </w:tc>
        <w:tc>
          <w:tcPr>
            <w:tcW w:w="8641" w:type="dxa"/>
            <w:vAlign w:val="center"/>
          </w:tcPr>
          <w:p w14:paraId="0720BF0C" w14:textId="77777777" w:rsidR="00F31777" w:rsidRPr="00A2429A" w:rsidRDefault="00F31777" w:rsidP="00A2429A">
            <w:pPr>
              <w:tabs>
                <w:tab w:val="left" w:pos="993"/>
              </w:tabs>
              <w:rPr>
                <w:rFonts w:ascii="Calibri" w:hAnsi="Calibri" w:cs="Calibri"/>
                <w:b/>
                <w:sz w:val="20"/>
                <w:szCs w:val="20"/>
              </w:rPr>
            </w:pPr>
            <w:r w:rsidRPr="00A2429A">
              <w:rPr>
                <w:rFonts w:ascii="Calibri" w:hAnsi="Calibri" w:cs="Calibri"/>
                <w:sz w:val="20"/>
                <w:szCs w:val="20"/>
              </w:rPr>
              <w:t>Projekt je účelný, resp. efektivní s mírnými nedostatky.</w:t>
            </w:r>
          </w:p>
        </w:tc>
      </w:tr>
      <w:tr w:rsidR="00F31777" w:rsidRPr="00A2429A" w14:paraId="6E8800B5" w14:textId="77777777" w:rsidTr="00A2429A">
        <w:trPr>
          <w:trHeight w:val="255"/>
        </w:trPr>
        <w:tc>
          <w:tcPr>
            <w:tcW w:w="421" w:type="dxa"/>
            <w:shd w:val="clear" w:color="auto" w:fill="FFFF00"/>
            <w:vAlign w:val="center"/>
          </w:tcPr>
          <w:p w14:paraId="5F2BE495" w14:textId="77777777" w:rsidR="00F31777" w:rsidRPr="00A2429A" w:rsidRDefault="00F31777" w:rsidP="00A2429A">
            <w:pPr>
              <w:tabs>
                <w:tab w:val="left" w:pos="993"/>
              </w:tabs>
              <w:ind w:right="-103"/>
              <w:rPr>
                <w:rFonts w:ascii="Calibri" w:hAnsi="Calibri" w:cs="Calibri"/>
                <w:b/>
                <w:color w:val="000000" w:themeColor="text1"/>
                <w:sz w:val="20"/>
                <w:szCs w:val="20"/>
              </w:rPr>
            </w:pPr>
            <w:r w:rsidRPr="00A2429A">
              <w:rPr>
                <w:rFonts w:ascii="Calibri" w:hAnsi="Calibri" w:cs="Calibri"/>
                <w:b/>
                <w:color w:val="000000" w:themeColor="text1"/>
                <w:sz w:val="20"/>
                <w:szCs w:val="20"/>
              </w:rPr>
              <w:t>3</w:t>
            </w:r>
          </w:p>
        </w:tc>
        <w:tc>
          <w:tcPr>
            <w:tcW w:w="8641" w:type="dxa"/>
            <w:vAlign w:val="center"/>
          </w:tcPr>
          <w:p w14:paraId="31ED0FE8" w14:textId="77777777" w:rsidR="00F31777" w:rsidRPr="00A2429A" w:rsidRDefault="00F31777" w:rsidP="00A2429A">
            <w:pPr>
              <w:tabs>
                <w:tab w:val="left" w:pos="993"/>
              </w:tabs>
              <w:rPr>
                <w:rFonts w:ascii="Calibri" w:hAnsi="Calibri" w:cs="Calibri"/>
                <w:b/>
                <w:sz w:val="20"/>
                <w:szCs w:val="20"/>
              </w:rPr>
            </w:pPr>
            <w:r w:rsidRPr="00A2429A">
              <w:rPr>
                <w:rFonts w:ascii="Calibri" w:hAnsi="Calibri" w:cs="Calibri"/>
                <w:sz w:val="20"/>
                <w:szCs w:val="20"/>
              </w:rPr>
              <w:t>Projekt je účelný, resp. efektivní omezeně.</w:t>
            </w:r>
          </w:p>
        </w:tc>
      </w:tr>
      <w:tr w:rsidR="00F31777" w:rsidRPr="00A2429A" w14:paraId="0A7D0CC0" w14:textId="77777777" w:rsidTr="00A2429A">
        <w:trPr>
          <w:trHeight w:val="255"/>
        </w:trPr>
        <w:tc>
          <w:tcPr>
            <w:tcW w:w="421" w:type="dxa"/>
            <w:shd w:val="clear" w:color="auto" w:fill="FF0000"/>
            <w:vAlign w:val="center"/>
          </w:tcPr>
          <w:p w14:paraId="72902041" w14:textId="77777777" w:rsidR="00F31777" w:rsidRPr="00A2429A" w:rsidRDefault="00F31777" w:rsidP="00A2429A">
            <w:pPr>
              <w:tabs>
                <w:tab w:val="left" w:pos="993"/>
              </w:tabs>
              <w:ind w:right="-103"/>
              <w:rPr>
                <w:rFonts w:ascii="Calibri" w:hAnsi="Calibri" w:cs="Calibri"/>
                <w:b/>
                <w:color w:val="000000" w:themeColor="text1"/>
                <w:sz w:val="20"/>
                <w:szCs w:val="20"/>
              </w:rPr>
            </w:pPr>
            <w:r w:rsidRPr="00A2429A">
              <w:rPr>
                <w:rFonts w:ascii="Calibri" w:hAnsi="Calibri" w:cs="Calibri"/>
                <w:b/>
                <w:color w:val="000000" w:themeColor="text1"/>
                <w:sz w:val="20"/>
                <w:szCs w:val="20"/>
              </w:rPr>
              <w:t>4</w:t>
            </w:r>
          </w:p>
        </w:tc>
        <w:tc>
          <w:tcPr>
            <w:tcW w:w="8641" w:type="dxa"/>
            <w:vAlign w:val="center"/>
          </w:tcPr>
          <w:p w14:paraId="1E324B3C" w14:textId="77777777" w:rsidR="00F31777" w:rsidRPr="00A2429A" w:rsidRDefault="00F31777" w:rsidP="00A2429A">
            <w:pPr>
              <w:tabs>
                <w:tab w:val="left" w:pos="993"/>
              </w:tabs>
              <w:rPr>
                <w:rFonts w:ascii="Calibri" w:hAnsi="Calibri" w:cs="Calibri"/>
                <w:b/>
                <w:sz w:val="20"/>
                <w:szCs w:val="20"/>
              </w:rPr>
            </w:pPr>
            <w:r w:rsidRPr="00A2429A">
              <w:rPr>
                <w:rFonts w:ascii="Calibri" w:hAnsi="Calibri" w:cs="Calibri"/>
                <w:sz w:val="20"/>
                <w:szCs w:val="20"/>
              </w:rPr>
              <w:t>Projekt je neúčelný, resp. neefektivní.</w:t>
            </w:r>
          </w:p>
        </w:tc>
      </w:tr>
    </w:tbl>
    <w:p w14:paraId="7A5ECDF4" w14:textId="77777777" w:rsidR="00654B54" w:rsidRDefault="00654B54" w:rsidP="00654B54">
      <w:pPr>
        <w:spacing w:after="0" w:line="240" w:lineRule="auto"/>
        <w:rPr>
          <w:rFonts w:cstheme="minorHAnsi"/>
          <w:bCs/>
          <w:sz w:val="24"/>
          <w:szCs w:val="24"/>
          <w:highlight w:val="yellow"/>
        </w:rPr>
      </w:pPr>
    </w:p>
    <w:p w14:paraId="2210104A" w14:textId="77777777" w:rsidR="00F31777" w:rsidRPr="00F31777" w:rsidRDefault="00F31777" w:rsidP="00654B54">
      <w:pPr>
        <w:spacing w:after="0" w:line="240" w:lineRule="auto"/>
        <w:rPr>
          <w:rFonts w:asciiTheme="majorHAnsi" w:hAnsiTheme="majorHAnsi" w:cstheme="majorHAnsi"/>
          <w:sz w:val="24"/>
          <w:szCs w:val="24"/>
        </w:rPr>
      </w:pPr>
      <w:r w:rsidRPr="00F31777">
        <w:rPr>
          <w:rFonts w:cstheme="minorHAnsi"/>
          <w:bCs/>
          <w:sz w:val="24"/>
          <w:szCs w:val="24"/>
          <w:highlight w:val="yellow"/>
        </w:rPr>
        <w:br w:type="page"/>
      </w:r>
    </w:p>
    <w:p w14:paraId="5D4DAA18" w14:textId="77777777" w:rsidR="00F31777" w:rsidRPr="00654B54" w:rsidRDefault="00F31777" w:rsidP="00654B54">
      <w:pPr>
        <w:spacing w:after="120" w:line="240" w:lineRule="auto"/>
        <w:jc w:val="right"/>
        <w:rPr>
          <w:rFonts w:ascii="Calibri" w:hAnsi="Calibri" w:cs="Calibri"/>
          <w:b/>
          <w:sz w:val="24"/>
          <w:szCs w:val="24"/>
        </w:rPr>
      </w:pPr>
      <w:r w:rsidRPr="00654B54">
        <w:rPr>
          <w:rFonts w:ascii="Calibri" w:hAnsi="Calibri" w:cs="Calibri"/>
          <w:b/>
          <w:sz w:val="24"/>
          <w:szCs w:val="24"/>
        </w:rPr>
        <w:t>Příloha č. 2</w:t>
      </w:r>
    </w:p>
    <w:p w14:paraId="078331F0" w14:textId="77777777" w:rsidR="00F31777" w:rsidRPr="00F31777" w:rsidRDefault="00F31777" w:rsidP="0034616E">
      <w:pPr>
        <w:spacing w:after="40" w:line="240" w:lineRule="auto"/>
        <w:jc w:val="center"/>
        <w:rPr>
          <w:rFonts w:cstheme="minorHAnsi"/>
          <w:b/>
          <w:sz w:val="24"/>
        </w:rPr>
      </w:pPr>
      <w:r w:rsidRPr="00F31777">
        <w:rPr>
          <w:rFonts w:cstheme="minorHAnsi"/>
          <w:b/>
          <w:sz w:val="24"/>
        </w:rPr>
        <w:t>Kritéria hodnocení účelnosti a</w:t>
      </w:r>
      <w:r w:rsidR="00836C37">
        <w:rPr>
          <w:rFonts w:cstheme="minorHAnsi"/>
          <w:b/>
          <w:sz w:val="24"/>
        </w:rPr>
        <w:t> </w:t>
      </w:r>
      <w:r w:rsidRPr="00F31777">
        <w:rPr>
          <w:rFonts w:cstheme="minorHAnsi"/>
          <w:b/>
          <w:sz w:val="24"/>
        </w:rPr>
        <w:t>efektivnosti projektů OPZ a</w:t>
      </w:r>
      <w:r w:rsidR="00AC08BD">
        <w:rPr>
          <w:rFonts w:cstheme="minorHAnsi"/>
          <w:b/>
          <w:sz w:val="24"/>
        </w:rPr>
        <w:t> </w:t>
      </w:r>
      <w:r w:rsidRPr="00F31777">
        <w:rPr>
          <w:rFonts w:cstheme="minorHAnsi"/>
          <w:b/>
          <w:sz w:val="24"/>
        </w:rPr>
        <w:t>IROP</w:t>
      </w:r>
    </w:p>
    <w:p w14:paraId="4F1F8826" w14:textId="77777777" w:rsidR="00F31777" w:rsidRPr="00654B54" w:rsidRDefault="00654B54" w:rsidP="00654B54">
      <w:pPr>
        <w:spacing w:after="40" w:line="240" w:lineRule="auto"/>
        <w:jc w:val="both"/>
        <w:rPr>
          <w:rFonts w:ascii="Calibri" w:hAnsi="Calibri" w:cs="Calibri"/>
          <w:b/>
          <w:sz w:val="24"/>
          <w:szCs w:val="20"/>
        </w:rPr>
      </w:pPr>
      <w:r w:rsidRPr="00654B54">
        <w:rPr>
          <w:rFonts w:ascii="Calibri" w:hAnsi="Calibri" w:cs="Calibri"/>
          <w:b/>
          <w:sz w:val="24"/>
          <w:szCs w:val="20"/>
        </w:rPr>
        <w:t xml:space="preserve">1. </w:t>
      </w:r>
      <w:r w:rsidR="00F31777" w:rsidRPr="00654B54">
        <w:rPr>
          <w:rFonts w:ascii="Calibri" w:hAnsi="Calibri" w:cs="Calibri"/>
          <w:b/>
          <w:sz w:val="24"/>
          <w:szCs w:val="20"/>
        </w:rPr>
        <w:t>Vyhodnocení účelnosti</w:t>
      </w:r>
    </w:p>
    <w:tbl>
      <w:tblPr>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
        <w:gridCol w:w="8220"/>
      </w:tblGrid>
      <w:tr w:rsidR="00F31777" w:rsidRPr="00654B54" w14:paraId="65FA4E87" w14:textId="77777777" w:rsidTr="0034616E">
        <w:trPr>
          <w:trHeight w:val="375"/>
          <w:jc w:val="center"/>
        </w:trPr>
        <w:tc>
          <w:tcPr>
            <w:tcW w:w="964" w:type="dxa"/>
            <w:vAlign w:val="center"/>
          </w:tcPr>
          <w:p w14:paraId="07B6E9FB" w14:textId="77777777" w:rsidR="00F31777" w:rsidRPr="0034616E" w:rsidRDefault="00F31777" w:rsidP="00654B54">
            <w:pPr>
              <w:spacing w:after="0" w:line="240" w:lineRule="auto"/>
              <w:jc w:val="center"/>
              <w:rPr>
                <w:rFonts w:ascii="Calibri" w:hAnsi="Calibri" w:cs="Calibri"/>
                <w:b/>
                <w:sz w:val="19"/>
                <w:szCs w:val="19"/>
              </w:rPr>
            </w:pPr>
            <w:r w:rsidRPr="0034616E">
              <w:rPr>
                <w:rFonts w:ascii="Calibri" w:hAnsi="Calibri" w:cs="Calibri"/>
                <w:b/>
                <w:sz w:val="19"/>
                <w:szCs w:val="19"/>
              </w:rPr>
              <w:t>Stupeň účelnosti projektu</w:t>
            </w:r>
          </w:p>
        </w:tc>
        <w:tc>
          <w:tcPr>
            <w:tcW w:w="8220" w:type="dxa"/>
            <w:vAlign w:val="center"/>
          </w:tcPr>
          <w:p w14:paraId="0F3B034D" w14:textId="77777777" w:rsidR="00F31777" w:rsidRPr="00654B54" w:rsidRDefault="00F31777" w:rsidP="00654B54">
            <w:pPr>
              <w:spacing w:after="0" w:line="240" w:lineRule="auto"/>
              <w:jc w:val="center"/>
              <w:rPr>
                <w:rFonts w:ascii="Calibri" w:hAnsi="Calibri" w:cs="Calibri"/>
                <w:b/>
                <w:sz w:val="20"/>
                <w:szCs w:val="20"/>
              </w:rPr>
            </w:pPr>
            <w:r w:rsidRPr="00654B54">
              <w:rPr>
                <w:rFonts w:ascii="Calibri" w:hAnsi="Calibri" w:cs="Calibri"/>
                <w:b/>
                <w:sz w:val="20"/>
                <w:szCs w:val="20"/>
              </w:rPr>
              <w:t>Definice stupně účelnosti</w:t>
            </w:r>
          </w:p>
        </w:tc>
      </w:tr>
      <w:tr w:rsidR="00F31777" w:rsidRPr="00654B54" w14:paraId="12ABD63E" w14:textId="77777777" w:rsidTr="0034616E">
        <w:trPr>
          <w:jc w:val="center"/>
        </w:trPr>
        <w:tc>
          <w:tcPr>
            <w:tcW w:w="964" w:type="dxa"/>
            <w:vAlign w:val="center"/>
          </w:tcPr>
          <w:p w14:paraId="4EA37BAA" w14:textId="77777777" w:rsidR="00F31777" w:rsidRPr="0034616E" w:rsidRDefault="00F31777" w:rsidP="00654B54">
            <w:pPr>
              <w:spacing w:after="0" w:line="240" w:lineRule="auto"/>
              <w:jc w:val="center"/>
              <w:rPr>
                <w:rFonts w:ascii="Calibri" w:hAnsi="Calibri" w:cs="Calibri"/>
                <w:b/>
                <w:sz w:val="19"/>
                <w:szCs w:val="19"/>
              </w:rPr>
            </w:pPr>
            <w:r w:rsidRPr="0034616E">
              <w:rPr>
                <w:rFonts w:ascii="Calibri" w:hAnsi="Calibri" w:cs="Calibri"/>
                <w:b/>
                <w:sz w:val="19"/>
                <w:szCs w:val="19"/>
              </w:rPr>
              <w:t>1.</w:t>
            </w:r>
          </w:p>
          <w:p w14:paraId="70CC14CD" w14:textId="77777777" w:rsidR="00F31777" w:rsidRPr="0034616E" w:rsidRDefault="00F31777" w:rsidP="00654B54">
            <w:pPr>
              <w:spacing w:after="0" w:line="240" w:lineRule="auto"/>
              <w:jc w:val="center"/>
              <w:rPr>
                <w:rFonts w:ascii="Calibri" w:hAnsi="Calibri" w:cs="Calibri"/>
                <w:b/>
                <w:sz w:val="19"/>
                <w:szCs w:val="19"/>
              </w:rPr>
            </w:pPr>
            <w:r w:rsidRPr="0034616E">
              <w:rPr>
                <w:rFonts w:ascii="Calibri" w:hAnsi="Calibri" w:cs="Calibri"/>
                <w:b/>
                <w:sz w:val="19"/>
                <w:szCs w:val="19"/>
              </w:rPr>
              <w:t>Projekt je účelný</w:t>
            </w:r>
          </w:p>
        </w:tc>
        <w:tc>
          <w:tcPr>
            <w:tcW w:w="8220" w:type="dxa"/>
          </w:tcPr>
          <w:p w14:paraId="6046F9D3"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Projekt byl řádně realizován a jeho realizací bylo dosaženo stanovených výstupů a cílů nebo existuje předpoklad, že je naplní. Cíle (nejen monitorovací indikátory) jsou specifické a</w:t>
            </w:r>
            <w:r w:rsidR="00684D57" w:rsidRPr="00654B54">
              <w:rPr>
                <w:rFonts w:ascii="Calibri" w:hAnsi="Calibri" w:cs="Calibri"/>
                <w:sz w:val="20"/>
                <w:szCs w:val="20"/>
              </w:rPr>
              <w:t> </w:t>
            </w:r>
            <w:r w:rsidRPr="00654B54">
              <w:rPr>
                <w:rFonts w:ascii="Calibri" w:hAnsi="Calibri" w:cs="Calibri"/>
                <w:sz w:val="20"/>
                <w:szCs w:val="20"/>
              </w:rPr>
              <w:t>měřitelné a jejich plnění je možno ověřit, efekty jsou dlouhodobě udržitelné (SMART).</w:t>
            </w:r>
          </w:p>
          <w:p w14:paraId="1DEB0F83"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Byly naplněny dílčí cíle a klíčové aktivity dle harmonogramu projektu a lze konstatovat očekávaný přínos projektu pro cílovou skupinu a pro plnění obecných cílů OPZ a IROP. Očekávaný přínos tam</w:t>
            </w:r>
            <w:r w:rsidR="003C2EB0">
              <w:rPr>
                <w:rFonts w:ascii="Calibri" w:hAnsi="Calibri" w:cs="Calibri"/>
                <w:sz w:val="20"/>
                <w:szCs w:val="20"/>
              </w:rPr>
              <w:t>,</w:t>
            </w:r>
            <w:r w:rsidRPr="00654B54">
              <w:rPr>
                <w:rFonts w:ascii="Calibri" w:hAnsi="Calibri" w:cs="Calibri"/>
                <w:sz w:val="20"/>
                <w:szCs w:val="20"/>
              </w:rPr>
              <w:t xml:space="preserve"> kde je to relevantní, je možné pozorovat i po skončení realizace projektu.</w:t>
            </w:r>
          </w:p>
          <w:p w14:paraId="5DBED1BB"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 xml:space="preserve">Pozn.: </w:t>
            </w:r>
            <w:r w:rsidR="00B96DC8">
              <w:rPr>
                <w:rFonts w:ascii="Calibri" w:hAnsi="Calibri" w:cs="Calibri"/>
                <w:sz w:val="20"/>
                <w:szCs w:val="20"/>
              </w:rPr>
              <w:t>S</w:t>
            </w:r>
            <w:r w:rsidRPr="00654B54">
              <w:rPr>
                <w:rFonts w:ascii="Calibri" w:hAnsi="Calibri" w:cs="Calibri"/>
                <w:sz w:val="20"/>
                <w:szCs w:val="20"/>
              </w:rPr>
              <w:t xml:space="preserve">tandardně se jedná o dosažení 100 % stanovených dílčích cílů, nicméně je třeba brát v úvahu relativní důležitost stanoveného cíle </w:t>
            </w:r>
            <w:r w:rsidR="00B96DC8">
              <w:rPr>
                <w:rFonts w:ascii="Calibri" w:hAnsi="Calibri" w:cs="Calibri"/>
                <w:sz w:val="20"/>
                <w:szCs w:val="20"/>
              </w:rPr>
              <w:t>–</w:t>
            </w:r>
            <w:r w:rsidRPr="00654B54">
              <w:rPr>
                <w:rFonts w:ascii="Calibri" w:hAnsi="Calibri" w:cs="Calibri"/>
                <w:sz w:val="20"/>
                <w:szCs w:val="20"/>
              </w:rPr>
              <w:t xml:space="preserve"> např. čtyři zásadní cíle splněny a jeden marginální cíl nesplněn se dá vyhodnotit jako „všechny splněny“. </w:t>
            </w:r>
          </w:p>
          <w:p w14:paraId="7C80D529"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U investičních akcí je dále nutno ověřit, zda jsou výstupy projektu využívány ke stanovenému účelu (např. vystavěné/zrekonstruované prostory jsou využívány zaměstnanci z cílové skupiny a</w:t>
            </w:r>
            <w:r w:rsidR="00684D57" w:rsidRPr="00654B54">
              <w:rPr>
                <w:rFonts w:ascii="Calibri" w:hAnsi="Calibri" w:cs="Calibri"/>
                <w:sz w:val="20"/>
                <w:szCs w:val="20"/>
              </w:rPr>
              <w:t> </w:t>
            </w:r>
            <w:r w:rsidRPr="00654B54">
              <w:rPr>
                <w:rFonts w:ascii="Calibri" w:hAnsi="Calibri" w:cs="Calibri"/>
                <w:sz w:val="20"/>
                <w:szCs w:val="20"/>
              </w:rPr>
              <w:t>v souladu s projektem).</w:t>
            </w:r>
          </w:p>
          <w:p w14:paraId="757E8B1D"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Podpořený podnik plní všechny rozpoznávací znaky sociálních podniků a i dle odborného úsudku kontrolora je primárním smyslem jeho existence „sociální“, nikoli podnikatelský rozměr.</w:t>
            </w:r>
          </w:p>
        </w:tc>
      </w:tr>
      <w:tr w:rsidR="00F31777" w:rsidRPr="00654B54" w14:paraId="2AF7709B" w14:textId="77777777" w:rsidTr="0034616E">
        <w:trPr>
          <w:jc w:val="center"/>
        </w:trPr>
        <w:tc>
          <w:tcPr>
            <w:tcW w:w="964" w:type="dxa"/>
            <w:vAlign w:val="center"/>
          </w:tcPr>
          <w:p w14:paraId="6546C1FE" w14:textId="77777777" w:rsidR="00F31777" w:rsidRPr="0034616E" w:rsidRDefault="00F31777" w:rsidP="00A80B71">
            <w:pPr>
              <w:spacing w:after="0" w:line="240" w:lineRule="auto"/>
              <w:ind w:left="-85" w:right="-57"/>
              <w:jc w:val="center"/>
              <w:rPr>
                <w:rFonts w:ascii="Calibri" w:hAnsi="Calibri" w:cs="Calibri"/>
                <w:b/>
                <w:sz w:val="19"/>
                <w:szCs w:val="19"/>
              </w:rPr>
            </w:pPr>
            <w:r w:rsidRPr="0034616E">
              <w:rPr>
                <w:rFonts w:ascii="Calibri" w:hAnsi="Calibri" w:cs="Calibri"/>
                <w:b/>
                <w:sz w:val="19"/>
                <w:szCs w:val="19"/>
              </w:rPr>
              <w:t>2.</w:t>
            </w:r>
          </w:p>
          <w:p w14:paraId="668D1353" w14:textId="77777777" w:rsidR="00F31777" w:rsidRPr="0034616E" w:rsidRDefault="00F31777" w:rsidP="00A80B71">
            <w:pPr>
              <w:spacing w:after="0" w:line="240" w:lineRule="auto"/>
              <w:ind w:left="-85" w:right="-57"/>
              <w:jc w:val="center"/>
              <w:rPr>
                <w:rFonts w:ascii="Calibri" w:hAnsi="Calibri" w:cs="Calibri"/>
                <w:b/>
                <w:sz w:val="19"/>
                <w:szCs w:val="19"/>
              </w:rPr>
            </w:pPr>
            <w:r w:rsidRPr="0034616E">
              <w:rPr>
                <w:rFonts w:ascii="Calibri" w:hAnsi="Calibri" w:cs="Calibri"/>
                <w:b/>
                <w:sz w:val="19"/>
                <w:szCs w:val="19"/>
              </w:rPr>
              <w:t>Projekt je účelný s mírnými nedostatky</w:t>
            </w:r>
          </w:p>
        </w:tc>
        <w:tc>
          <w:tcPr>
            <w:tcW w:w="8220" w:type="dxa"/>
          </w:tcPr>
          <w:p w14:paraId="4D2B4020"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Projekt podporuje správné cílové skupiny a vede (nebo má předpoklad vést) k plnění cílů programu (vznik a rozvoj sociálního podnikání).</w:t>
            </w:r>
          </w:p>
          <w:p w14:paraId="0F47F7D3"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Cíle budou z většiny splněny, ne však zcela. Projekt např. splnil více než ¾ svých cílů nebo je předpoklad, že je naplní. Nesplnění některých dílčích cílů nemá podstatný vliv na úspěšnost projektu. Některé cíle projektu jsou nastaveny vágně a nejsou měřitelné nebo jsou známy jen ukazatele výstupu, nikoliv však výsledku. Jako celek ale projekt funguje ve prospěch cílové skupiny a povede k dosažení přínosů, které byly jejím zaměstnáním sledovány.</w:t>
            </w:r>
          </w:p>
          <w:p w14:paraId="56FB1837"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Výstupy investičních projektů jsou z větší části využívány ke stanovenému účelu.</w:t>
            </w:r>
          </w:p>
          <w:p w14:paraId="79DCE984"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Podpořený podnik plní všechny rozpoznávací znaky sociálních podniků a dle odborného úsudku kontrolora je primárním smyslem jeho existence „sociální“, nikoli podnikatelský rozměr. Dle odborného úsudku kontrolora je však míra naplnění některých rozpoznávacích znaků (malého množství) nízká nebo zpochybnitelná nebo zjištěné skutečnosti zcela nezaručují, že je sledován primárně „sociální“ princip.</w:t>
            </w:r>
          </w:p>
        </w:tc>
      </w:tr>
      <w:tr w:rsidR="00F31777" w:rsidRPr="00654B54" w14:paraId="6295FB3D" w14:textId="77777777" w:rsidTr="0034616E">
        <w:trPr>
          <w:jc w:val="center"/>
        </w:trPr>
        <w:tc>
          <w:tcPr>
            <w:tcW w:w="964" w:type="dxa"/>
            <w:vAlign w:val="center"/>
          </w:tcPr>
          <w:p w14:paraId="71A7A354" w14:textId="77777777" w:rsidR="00F31777" w:rsidRPr="0034616E" w:rsidRDefault="00F31777" w:rsidP="00654B54">
            <w:pPr>
              <w:spacing w:after="0" w:line="240" w:lineRule="auto"/>
              <w:jc w:val="center"/>
              <w:rPr>
                <w:rFonts w:ascii="Calibri" w:hAnsi="Calibri" w:cs="Calibri"/>
                <w:b/>
                <w:sz w:val="19"/>
                <w:szCs w:val="19"/>
              </w:rPr>
            </w:pPr>
            <w:r w:rsidRPr="0034616E">
              <w:rPr>
                <w:rFonts w:ascii="Calibri" w:hAnsi="Calibri" w:cs="Calibri"/>
                <w:b/>
                <w:sz w:val="19"/>
                <w:szCs w:val="19"/>
              </w:rPr>
              <w:t>3.</w:t>
            </w:r>
          </w:p>
          <w:p w14:paraId="4731B01F" w14:textId="77777777" w:rsidR="00F31777" w:rsidRPr="0034616E" w:rsidRDefault="00F31777" w:rsidP="00654B54">
            <w:pPr>
              <w:spacing w:after="0" w:line="240" w:lineRule="auto"/>
              <w:jc w:val="center"/>
              <w:rPr>
                <w:rFonts w:ascii="Calibri" w:hAnsi="Calibri" w:cs="Calibri"/>
                <w:b/>
                <w:sz w:val="19"/>
                <w:szCs w:val="19"/>
              </w:rPr>
            </w:pPr>
            <w:r w:rsidRPr="0034616E">
              <w:rPr>
                <w:rFonts w:ascii="Calibri" w:hAnsi="Calibri" w:cs="Calibri"/>
                <w:b/>
                <w:sz w:val="19"/>
                <w:szCs w:val="19"/>
              </w:rPr>
              <w:t>Projekt je účelný pouze omezeně</w:t>
            </w:r>
          </w:p>
        </w:tc>
        <w:tc>
          <w:tcPr>
            <w:tcW w:w="8220" w:type="dxa"/>
          </w:tcPr>
          <w:p w14:paraId="583E7099"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Některé z</w:t>
            </w:r>
            <w:r w:rsidR="00684D57" w:rsidRPr="00654B54">
              <w:rPr>
                <w:rFonts w:ascii="Calibri" w:hAnsi="Calibri" w:cs="Calibri"/>
                <w:sz w:val="20"/>
                <w:szCs w:val="20"/>
              </w:rPr>
              <w:t xml:space="preserve"> </w:t>
            </w:r>
            <w:r w:rsidRPr="00654B54">
              <w:rPr>
                <w:rFonts w:ascii="Calibri" w:hAnsi="Calibri" w:cs="Calibri"/>
                <w:sz w:val="20"/>
                <w:szCs w:val="20"/>
              </w:rPr>
              <w:t>předpokladů účelnosti (viz první stupeň hodnocení účelnosti) jsou významně zpochybněny.</w:t>
            </w:r>
          </w:p>
          <w:p w14:paraId="6E728787"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Žádost o dotaci např. obsahuje vágní a neověřitelné údaje, proti kterým nelze měřit výsledek projektu. Skutečnost potvrzuje nereálnost předpokládaných výsledků, např. kdy projekt splnil (nebo pravděpodobně splní) pouze cca ½ svých cílů, respektive je předpoklad, že naplní pouze tuto část z</w:t>
            </w:r>
            <w:r w:rsidR="00132E22">
              <w:rPr>
                <w:rFonts w:ascii="Calibri" w:hAnsi="Calibri" w:cs="Calibri"/>
                <w:sz w:val="20"/>
                <w:szCs w:val="20"/>
              </w:rPr>
              <w:t> </w:t>
            </w:r>
            <w:r w:rsidRPr="00654B54">
              <w:rPr>
                <w:rFonts w:ascii="Calibri" w:hAnsi="Calibri" w:cs="Calibri"/>
                <w:sz w:val="20"/>
                <w:szCs w:val="20"/>
              </w:rPr>
              <w:t>nich</w:t>
            </w:r>
            <w:r w:rsidR="00132E22">
              <w:rPr>
                <w:rFonts w:ascii="Calibri" w:hAnsi="Calibri" w:cs="Calibri"/>
                <w:sz w:val="20"/>
                <w:szCs w:val="20"/>
              </w:rPr>
              <w:t>,</w:t>
            </w:r>
            <w:r w:rsidRPr="00654B54">
              <w:rPr>
                <w:rFonts w:ascii="Calibri" w:hAnsi="Calibri" w:cs="Calibri"/>
                <w:sz w:val="20"/>
                <w:szCs w:val="20"/>
              </w:rPr>
              <w:t xml:space="preserve"> nebo je pochybnost o jejich udržitelnosti.</w:t>
            </w:r>
          </w:p>
          <w:p w14:paraId="3AC6401A"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Výstupy investičních akcí jsou využívány jen omezeně a zároveň neexistuje důvodný předpoklad významnějšího zlepšení v</w:t>
            </w:r>
            <w:r w:rsidR="00684D57" w:rsidRPr="00654B54">
              <w:rPr>
                <w:rFonts w:ascii="Calibri" w:hAnsi="Calibri" w:cs="Calibri"/>
                <w:sz w:val="20"/>
                <w:szCs w:val="20"/>
              </w:rPr>
              <w:t xml:space="preserve"> </w:t>
            </w:r>
            <w:r w:rsidRPr="00654B54">
              <w:rPr>
                <w:rFonts w:ascii="Calibri" w:hAnsi="Calibri" w:cs="Calibri"/>
                <w:sz w:val="20"/>
                <w:szCs w:val="20"/>
              </w:rPr>
              <w:t xml:space="preserve">budoucnu. Podpořený podnik plní všechny rozpoznávací znaky sociálních podniků a dle odborného úsudku kontrolora je primárním smyslem jeho existence „sociální“, nikoli podnikatelský rozměr. Dle odborného úsudku kontrolora je však míra naplnění některých rozpoznávacích znaků (více z nich) nízká nebo zpochybnitelná nebo zjištěné skutečnosti zcela nezaručují, že je sledován primárně „sociální“ princip. </w:t>
            </w:r>
          </w:p>
        </w:tc>
      </w:tr>
      <w:tr w:rsidR="00F31777" w:rsidRPr="00654B54" w14:paraId="10BECAA4" w14:textId="77777777" w:rsidTr="0034616E">
        <w:trPr>
          <w:trHeight w:val="416"/>
          <w:jc w:val="center"/>
        </w:trPr>
        <w:tc>
          <w:tcPr>
            <w:tcW w:w="964" w:type="dxa"/>
            <w:vAlign w:val="center"/>
          </w:tcPr>
          <w:p w14:paraId="2ED42C2D" w14:textId="77777777" w:rsidR="00F31777" w:rsidRPr="0034616E" w:rsidRDefault="00F31777" w:rsidP="00654B54">
            <w:pPr>
              <w:spacing w:after="0" w:line="240" w:lineRule="auto"/>
              <w:jc w:val="center"/>
              <w:rPr>
                <w:rFonts w:ascii="Calibri" w:hAnsi="Calibri" w:cs="Calibri"/>
                <w:b/>
                <w:sz w:val="19"/>
                <w:szCs w:val="19"/>
              </w:rPr>
            </w:pPr>
            <w:r w:rsidRPr="0034616E">
              <w:rPr>
                <w:rFonts w:ascii="Calibri" w:hAnsi="Calibri" w:cs="Calibri"/>
                <w:b/>
                <w:sz w:val="19"/>
                <w:szCs w:val="19"/>
              </w:rPr>
              <w:t>4.</w:t>
            </w:r>
          </w:p>
          <w:p w14:paraId="1CAF8C19" w14:textId="77777777" w:rsidR="00F31777" w:rsidRPr="0034616E" w:rsidRDefault="00F31777" w:rsidP="00654B54">
            <w:pPr>
              <w:spacing w:after="0" w:line="240" w:lineRule="auto"/>
              <w:jc w:val="center"/>
              <w:rPr>
                <w:rFonts w:ascii="Calibri" w:hAnsi="Calibri" w:cs="Calibri"/>
                <w:b/>
                <w:sz w:val="19"/>
                <w:szCs w:val="19"/>
              </w:rPr>
            </w:pPr>
            <w:r w:rsidRPr="0034616E">
              <w:rPr>
                <w:rFonts w:ascii="Calibri" w:hAnsi="Calibri" w:cs="Calibri"/>
                <w:b/>
                <w:sz w:val="19"/>
                <w:szCs w:val="19"/>
              </w:rPr>
              <w:t>Projekt není účelný</w:t>
            </w:r>
          </w:p>
        </w:tc>
        <w:tc>
          <w:tcPr>
            <w:tcW w:w="8220" w:type="dxa"/>
          </w:tcPr>
          <w:p w14:paraId="159E5514"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Předpoklady účelnosti (viz první stupeň hodnocení účelnosti) jsou zásadně zpochybněny některými z dále uvedených nedostatků. Projekt např. neměl být vybrán k financování (projekt je od počátku nezpůsobilý), neboť cílová skupina z něj těžící neodpovídá vymezení v programu, resp. nejsou naplněny přínosy, které by její zaměstnání v projektu mělo přinést. Projekt např. nemá měřitelné a</w:t>
            </w:r>
            <w:r w:rsidR="008F725C">
              <w:rPr>
                <w:rFonts w:ascii="Calibri" w:hAnsi="Calibri" w:cs="Calibri"/>
                <w:sz w:val="20"/>
                <w:szCs w:val="20"/>
              </w:rPr>
              <w:t> </w:t>
            </w:r>
            <w:r w:rsidRPr="00654B54">
              <w:rPr>
                <w:rFonts w:ascii="Calibri" w:hAnsi="Calibri" w:cs="Calibri"/>
                <w:sz w:val="20"/>
                <w:szCs w:val="20"/>
              </w:rPr>
              <w:t>specifické cíle, není možné prokázat jejich splnění. Udržitelnost výsledků projektu není reálná.</w:t>
            </w:r>
          </w:p>
          <w:p w14:paraId="7632AA5E" w14:textId="77777777" w:rsidR="00F31777" w:rsidRPr="00654B54" w:rsidRDefault="00F31777" w:rsidP="00654B54">
            <w:pPr>
              <w:spacing w:after="0" w:line="240" w:lineRule="auto"/>
              <w:jc w:val="both"/>
              <w:rPr>
                <w:rFonts w:ascii="Calibri" w:hAnsi="Calibri" w:cs="Calibri"/>
                <w:sz w:val="20"/>
                <w:szCs w:val="20"/>
              </w:rPr>
            </w:pPr>
            <w:r w:rsidRPr="00654B54">
              <w:rPr>
                <w:rFonts w:ascii="Calibri" w:hAnsi="Calibri" w:cs="Calibri"/>
                <w:sz w:val="20"/>
                <w:szCs w:val="20"/>
              </w:rPr>
              <w:t>Výstupy investičních akcí jsou využívány jen omezeně a zároveň neexistuje ani důvodný předpoklad pro jejich využívání v budoucnu. Podpořený podnik neplní všechny rozpoznávací znaky sociálních podniků nebo dle odborného úsudku kontrolora není primárním smyslem jeho existence „sociální“, ale podnikatelský rozměr. K tomuto hodnocení postačuje, aby dle odborného úsudku kontrolora, byť i</w:t>
            </w:r>
            <w:r w:rsidR="00684D57" w:rsidRPr="00654B54">
              <w:rPr>
                <w:rFonts w:ascii="Calibri" w:hAnsi="Calibri" w:cs="Calibri"/>
                <w:sz w:val="20"/>
                <w:szCs w:val="20"/>
              </w:rPr>
              <w:t xml:space="preserve"> </w:t>
            </w:r>
            <w:r w:rsidRPr="00654B54">
              <w:rPr>
                <w:rFonts w:ascii="Calibri" w:hAnsi="Calibri" w:cs="Calibri"/>
                <w:sz w:val="20"/>
                <w:szCs w:val="20"/>
              </w:rPr>
              <w:t>jeden rozpoznávací znak nebyl v podniku realizován při respektování jeho sociálního principu.</w:t>
            </w:r>
          </w:p>
        </w:tc>
      </w:tr>
    </w:tbl>
    <w:p w14:paraId="0270BE0A" w14:textId="77777777" w:rsidR="00F31777" w:rsidRPr="0034616E" w:rsidRDefault="0034616E" w:rsidP="0034616E">
      <w:pPr>
        <w:spacing w:before="120" w:after="40" w:line="240" w:lineRule="auto"/>
        <w:jc w:val="both"/>
        <w:rPr>
          <w:rFonts w:ascii="Calibri" w:hAnsi="Calibri" w:cs="Calibri"/>
          <w:sz w:val="24"/>
          <w:szCs w:val="20"/>
        </w:rPr>
      </w:pPr>
      <w:r>
        <w:rPr>
          <w:rFonts w:ascii="Calibri" w:hAnsi="Calibri" w:cs="Calibri"/>
          <w:b/>
          <w:sz w:val="24"/>
          <w:szCs w:val="20"/>
        </w:rPr>
        <w:t xml:space="preserve">2. </w:t>
      </w:r>
      <w:r w:rsidR="00F31777" w:rsidRPr="0034616E">
        <w:rPr>
          <w:rFonts w:ascii="Calibri" w:hAnsi="Calibri" w:cs="Calibri"/>
          <w:b/>
          <w:sz w:val="24"/>
          <w:szCs w:val="20"/>
        </w:rPr>
        <w:t>Vyhodnocení efektivnosti</w:t>
      </w:r>
    </w:p>
    <w:tbl>
      <w:tblPr>
        <w:tblW w:w="92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8220"/>
      </w:tblGrid>
      <w:tr w:rsidR="00F31777" w:rsidRPr="0034616E" w14:paraId="007548A8" w14:textId="77777777" w:rsidTr="0018424F">
        <w:trPr>
          <w:trHeight w:val="625"/>
          <w:jc w:val="center"/>
        </w:trPr>
        <w:tc>
          <w:tcPr>
            <w:tcW w:w="1020" w:type="dxa"/>
            <w:vAlign w:val="center"/>
          </w:tcPr>
          <w:p w14:paraId="3A372B8C"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Stupeň efektivnosti projektu</w:t>
            </w:r>
          </w:p>
        </w:tc>
        <w:tc>
          <w:tcPr>
            <w:tcW w:w="8220" w:type="dxa"/>
            <w:vAlign w:val="center"/>
          </w:tcPr>
          <w:p w14:paraId="718E7040" w14:textId="77777777" w:rsidR="00F31777" w:rsidRPr="0034616E" w:rsidRDefault="00F31777" w:rsidP="0034616E">
            <w:pPr>
              <w:spacing w:after="0" w:line="240" w:lineRule="auto"/>
              <w:jc w:val="center"/>
              <w:rPr>
                <w:rFonts w:ascii="Calibri" w:hAnsi="Calibri" w:cs="Calibri"/>
                <w:b/>
                <w:sz w:val="20"/>
                <w:szCs w:val="20"/>
              </w:rPr>
            </w:pPr>
            <w:r w:rsidRPr="0034616E">
              <w:rPr>
                <w:rFonts w:ascii="Calibri" w:hAnsi="Calibri" w:cs="Calibri"/>
                <w:b/>
                <w:sz w:val="20"/>
                <w:szCs w:val="20"/>
              </w:rPr>
              <w:t>Definice stupně efektivnosti</w:t>
            </w:r>
          </w:p>
        </w:tc>
      </w:tr>
      <w:tr w:rsidR="00F31777" w:rsidRPr="0034616E" w14:paraId="4E0BFEC1" w14:textId="77777777" w:rsidTr="0018424F">
        <w:trPr>
          <w:jc w:val="center"/>
        </w:trPr>
        <w:tc>
          <w:tcPr>
            <w:tcW w:w="1020" w:type="dxa"/>
            <w:vAlign w:val="center"/>
          </w:tcPr>
          <w:p w14:paraId="2E70FCD2"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1.</w:t>
            </w:r>
          </w:p>
          <w:p w14:paraId="3F9FC913" w14:textId="77777777" w:rsidR="00F31777" w:rsidRPr="0034616E" w:rsidRDefault="00F31777" w:rsidP="0018424F">
            <w:pPr>
              <w:spacing w:after="0" w:line="240" w:lineRule="auto"/>
              <w:ind w:left="-85" w:right="-85"/>
              <w:jc w:val="center"/>
              <w:rPr>
                <w:rFonts w:ascii="Calibri" w:hAnsi="Calibri" w:cs="Calibri"/>
                <w:sz w:val="19"/>
                <w:szCs w:val="19"/>
              </w:rPr>
            </w:pPr>
            <w:r w:rsidRPr="0034616E">
              <w:rPr>
                <w:rFonts w:ascii="Calibri" w:hAnsi="Calibri" w:cs="Calibri"/>
                <w:b/>
                <w:sz w:val="19"/>
                <w:szCs w:val="19"/>
              </w:rPr>
              <w:t>Projekt je efektivní</w:t>
            </w:r>
          </w:p>
        </w:tc>
        <w:tc>
          <w:tcPr>
            <w:tcW w:w="8220" w:type="dxa"/>
            <w:vAlign w:val="center"/>
          </w:tcPr>
          <w:p w14:paraId="6FF1B980"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Všechny aktivity projektu byly (jsou) nezbytné pro naplnění cíle projektu a náklady na ně byly (jsou) minimální při zachování přiměřené kvality. Rozsah realizačního týmu není nepřiměřený a</w:t>
            </w:r>
            <w:r w:rsidR="00684D57" w:rsidRPr="00907770">
              <w:rPr>
                <w:rFonts w:ascii="Calibri" w:hAnsi="Calibri" w:cs="Calibri"/>
                <w:sz w:val="19"/>
                <w:szCs w:val="19"/>
              </w:rPr>
              <w:t> </w:t>
            </w:r>
            <w:r w:rsidRPr="00907770">
              <w:rPr>
                <w:rFonts w:ascii="Calibri" w:hAnsi="Calibri" w:cs="Calibri"/>
                <w:sz w:val="19"/>
                <w:szCs w:val="19"/>
              </w:rPr>
              <w:t>rozsah jeho práce je pro projekt nezbytný.</w:t>
            </w:r>
          </w:p>
          <w:p w14:paraId="276652B2"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 xml:space="preserve">Pozn.: </w:t>
            </w:r>
            <w:r w:rsidR="00132E22">
              <w:rPr>
                <w:rFonts w:ascii="Calibri" w:hAnsi="Calibri" w:cs="Calibri"/>
                <w:sz w:val="19"/>
                <w:szCs w:val="19"/>
              </w:rPr>
              <w:t>P</w:t>
            </w:r>
            <w:r w:rsidRPr="00907770">
              <w:rPr>
                <w:rFonts w:ascii="Calibri" w:hAnsi="Calibri" w:cs="Calibri"/>
                <w:sz w:val="19"/>
                <w:szCs w:val="19"/>
              </w:rPr>
              <w:t xml:space="preserve">ři financování aktivity byl (je) kladen důraz jak na co nejmenší použití množství, tak i na dosažení optimální ceny, včetně racionálního plánování potřebných zdrojů. </w:t>
            </w:r>
          </w:p>
          <w:p w14:paraId="1B7F3F6C"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 xml:space="preserve">Náklady na jednotku výkonu (tedy na jednu podpořenou osobu/FTE) vynaložené z veřejných zdrojů jsou v přiměřené relaci k průměrným nákladům daného operačního programu na tuto jednotku výkonu. Rozsah prací a provedených aktivit odpovídal plánovanému harmonogramu jak termínově, tak věcně. </w:t>
            </w:r>
          </w:p>
          <w:p w14:paraId="7BB0D405"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Všechny přímé vynaložené prostředky byly v přímé souvislosti s realizací projektu a byly nezbytné pro naplnění cílů projektu (z hlediska věcného obsahu).</w:t>
            </w:r>
          </w:p>
          <w:p w14:paraId="49C2B016"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Činnosti a služby byly prováděny za odpovídající ceny v místě a čase obvyklé, ceny nebyly nadhodnocené ve vztahu k výkonům, za které byly hrazeny (srovnání cen v rámci vybraných kontrolovaných projektů).</w:t>
            </w:r>
          </w:p>
          <w:p w14:paraId="4CEA27F7"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Nedochází k tzv. duplicitnímu financování, tedy jedny aktivity/výkony nejsou hrazeny více poskytovateli (např. současně z OPZ i IROP); v případě několika projektů mezi nimi existuje jasná hranice. Realizace projektu se neodůvodnitelným způsobem významnou měrou negativně neodchyluje od podnikatelského plánu.</w:t>
            </w:r>
          </w:p>
        </w:tc>
      </w:tr>
      <w:tr w:rsidR="00F31777" w:rsidRPr="0034616E" w14:paraId="4DB2DF6D" w14:textId="77777777" w:rsidTr="0018424F">
        <w:trPr>
          <w:jc w:val="center"/>
        </w:trPr>
        <w:tc>
          <w:tcPr>
            <w:tcW w:w="1020" w:type="dxa"/>
            <w:vAlign w:val="center"/>
          </w:tcPr>
          <w:p w14:paraId="3D390BA7"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2.</w:t>
            </w:r>
          </w:p>
          <w:p w14:paraId="5080E1D4"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Projekt je efektivní s mírnými nedostatky</w:t>
            </w:r>
          </w:p>
        </w:tc>
        <w:tc>
          <w:tcPr>
            <w:tcW w:w="8220" w:type="dxa"/>
            <w:vAlign w:val="center"/>
          </w:tcPr>
          <w:p w14:paraId="7B646BE3"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Některé(ý) z předpokladů efektivnosti (viz první stupeň hodnocení efektivnosti) nejsou zcela splněny, jako celek ale projekt dává předpoklad odpovídajících výkonů za přiměřené náklady. Např. drtivá většina aktivit byla (je) nezbytná pro naplnění cíle (jsou jen malé výjimky) a současně</w:t>
            </w:r>
            <w:r w:rsidR="00300EA8">
              <w:rPr>
                <w:rFonts w:ascii="Calibri" w:hAnsi="Calibri" w:cs="Calibri"/>
                <w:sz w:val="19"/>
                <w:szCs w:val="19"/>
              </w:rPr>
              <w:t xml:space="preserve"> </w:t>
            </w:r>
            <w:r w:rsidRPr="00907770">
              <w:rPr>
                <w:rFonts w:ascii="Calibri" w:hAnsi="Calibri" w:cs="Calibri"/>
                <w:sz w:val="19"/>
                <w:szCs w:val="19"/>
              </w:rPr>
              <w:t>náklady na většinu aktivit byly (jsou) ve</w:t>
            </w:r>
            <w:r w:rsidR="00300EA8">
              <w:rPr>
                <w:rFonts w:ascii="Calibri" w:hAnsi="Calibri" w:cs="Calibri"/>
                <w:sz w:val="19"/>
                <w:szCs w:val="19"/>
              </w:rPr>
              <w:t xml:space="preserve"> </w:t>
            </w:r>
            <w:r w:rsidRPr="00907770">
              <w:rPr>
                <w:rFonts w:ascii="Calibri" w:hAnsi="Calibri" w:cs="Calibri"/>
                <w:sz w:val="19"/>
                <w:szCs w:val="19"/>
              </w:rPr>
              <w:t>výši významně nepřekračující ceny běžné na trhu (nebo převýšily je pouze v ojediněle nevýznamným způsobem). Dílčí, ale</w:t>
            </w:r>
            <w:r w:rsidR="00684D57" w:rsidRPr="00907770">
              <w:rPr>
                <w:rFonts w:ascii="Calibri" w:hAnsi="Calibri" w:cs="Calibri"/>
                <w:sz w:val="19"/>
                <w:szCs w:val="19"/>
              </w:rPr>
              <w:t xml:space="preserve"> </w:t>
            </w:r>
            <w:r w:rsidRPr="00907770">
              <w:rPr>
                <w:rFonts w:ascii="Calibri" w:hAnsi="Calibri" w:cs="Calibri"/>
                <w:sz w:val="19"/>
                <w:szCs w:val="19"/>
              </w:rPr>
              <w:t>z</w:t>
            </w:r>
            <w:r w:rsidR="00684D57" w:rsidRPr="00907770">
              <w:rPr>
                <w:rFonts w:ascii="Calibri" w:hAnsi="Calibri" w:cs="Calibri"/>
                <w:sz w:val="19"/>
                <w:szCs w:val="19"/>
              </w:rPr>
              <w:t xml:space="preserve"> </w:t>
            </w:r>
            <w:r w:rsidRPr="00907770">
              <w:rPr>
                <w:rFonts w:ascii="Calibri" w:hAnsi="Calibri" w:cs="Calibri"/>
                <w:sz w:val="19"/>
                <w:szCs w:val="19"/>
              </w:rPr>
              <w:t>hlediska celku nevýznamný výdaj neměl prokazatelnou přímou souvislost se zajištěním cílů projektu. Rozsah realizačního týmu byl jen mírně nepřiměřený a/nebo rozsah jeho práce pro projekt nezbytný s minimálními výhradami. Náklady na jednotku výkonu (tedy na jednu podpořenou osobu/FTE) vynaložené z veřejných zdrojů jsou jen mírně vyšší než průměrné náklady daného operačního programu na tuto jednotku výkonu.</w:t>
            </w:r>
          </w:p>
          <w:p w14:paraId="568BD68E"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Realizace projektu se od podnikatelského plánu odchyluje pouze nevýznamně.</w:t>
            </w:r>
          </w:p>
        </w:tc>
      </w:tr>
      <w:tr w:rsidR="00F31777" w:rsidRPr="0034616E" w14:paraId="180F245A" w14:textId="77777777" w:rsidTr="0018424F">
        <w:trPr>
          <w:jc w:val="center"/>
        </w:trPr>
        <w:tc>
          <w:tcPr>
            <w:tcW w:w="1020" w:type="dxa"/>
            <w:vAlign w:val="center"/>
          </w:tcPr>
          <w:p w14:paraId="62322A45"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3.</w:t>
            </w:r>
          </w:p>
          <w:p w14:paraId="398C7275"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Projekt je efektivní pouze omezeně</w:t>
            </w:r>
          </w:p>
        </w:tc>
        <w:tc>
          <w:tcPr>
            <w:tcW w:w="8220" w:type="dxa"/>
            <w:vAlign w:val="center"/>
          </w:tcPr>
          <w:p w14:paraId="5C0FC0BA"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Některé z předpokladů efektivnosti (viz první stupeň hodnocení efektivnosti) jsou významně zpochybněny. V projektu byl (je) významný podíl aktivit, jejichž význam pro dosažení cíle projektu je omezený a/nebo náklady na některé aktivity zjevně překročily (překračují) ceny obvyklé na trhu. Počet cílových beneficientů byl nižší oproti předpokladům, aniž by</w:t>
            </w:r>
            <w:r w:rsidR="00300EA8">
              <w:rPr>
                <w:rFonts w:ascii="Calibri" w:hAnsi="Calibri" w:cs="Calibri"/>
                <w:sz w:val="19"/>
                <w:szCs w:val="19"/>
              </w:rPr>
              <w:t xml:space="preserve"> </w:t>
            </w:r>
            <w:r w:rsidRPr="00907770">
              <w:rPr>
                <w:rFonts w:ascii="Calibri" w:hAnsi="Calibri" w:cs="Calibri"/>
                <w:sz w:val="19"/>
                <w:szCs w:val="19"/>
              </w:rPr>
              <w:t>došlo k odpovídající redukci nákladů; náklady na</w:t>
            </w:r>
            <w:r w:rsidR="00300EA8">
              <w:rPr>
                <w:rFonts w:ascii="Calibri" w:hAnsi="Calibri" w:cs="Calibri"/>
                <w:sz w:val="19"/>
                <w:szCs w:val="19"/>
              </w:rPr>
              <w:t xml:space="preserve"> </w:t>
            </w:r>
            <w:r w:rsidRPr="00907770">
              <w:rPr>
                <w:rFonts w:ascii="Calibri" w:hAnsi="Calibri" w:cs="Calibri"/>
                <w:sz w:val="19"/>
                <w:szCs w:val="19"/>
              </w:rPr>
              <w:t>jednoho beneficienta jsou tak významně vyšší.</w:t>
            </w:r>
          </w:p>
          <w:p w14:paraId="636191AF"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U více nákladů bylo zjištěno nehospodárné vynaložení, resp. nehospodárnost je u některého z nich významná. Více přímých výdajů vynaložených v rámci projektu nemělo prokazatelnou přímou souvislost se zajištěním jeho cílů.</w:t>
            </w:r>
          </w:p>
          <w:p w14:paraId="311ED8EB"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Rozsah realizačního týmu byl výrazně nepřiměřený a/nebo rozsah jeho práce pro projekt nadbytečný. Náklady na jednotku výkonu (tedy na jednu podpořenou osobu/FTE) vynaložené z veřejných zdrojů jsou významně vyšší než průměrné náklady daného operačního programu na tuto jednotku výkonu.</w:t>
            </w:r>
          </w:p>
          <w:p w14:paraId="077469E5"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 xml:space="preserve">Realizace projektu se významně odchyluje od podnikatelského plánu. </w:t>
            </w:r>
          </w:p>
        </w:tc>
      </w:tr>
      <w:tr w:rsidR="00F31777" w:rsidRPr="0034616E" w14:paraId="1E3EBEFB" w14:textId="77777777" w:rsidTr="0018424F">
        <w:trPr>
          <w:jc w:val="center"/>
        </w:trPr>
        <w:tc>
          <w:tcPr>
            <w:tcW w:w="1020" w:type="dxa"/>
            <w:vAlign w:val="center"/>
          </w:tcPr>
          <w:p w14:paraId="17F23FFA"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4.</w:t>
            </w:r>
          </w:p>
          <w:p w14:paraId="438D24E6" w14:textId="77777777" w:rsidR="00F31777" w:rsidRPr="0034616E" w:rsidRDefault="00F31777" w:rsidP="0018424F">
            <w:pPr>
              <w:spacing w:after="0" w:line="240" w:lineRule="auto"/>
              <w:ind w:left="-85" w:right="-85"/>
              <w:jc w:val="center"/>
              <w:rPr>
                <w:rFonts w:ascii="Calibri" w:hAnsi="Calibri" w:cs="Calibri"/>
                <w:b/>
                <w:sz w:val="19"/>
                <w:szCs w:val="19"/>
              </w:rPr>
            </w:pPr>
            <w:r w:rsidRPr="0034616E">
              <w:rPr>
                <w:rFonts w:ascii="Calibri" w:hAnsi="Calibri" w:cs="Calibri"/>
                <w:b/>
                <w:sz w:val="19"/>
                <w:szCs w:val="19"/>
              </w:rPr>
              <w:t>Projekt není efektivní</w:t>
            </w:r>
          </w:p>
        </w:tc>
        <w:tc>
          <w:tcPr>
            <w:tcW w:w="8220" w:type="dxa"/>
            <w:vAlign w:val="center"/>
          </w:tcPr>
          <w:p w14:paraId="18CD658C"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Některé z</w:t>
            </w:r>
            <w:r w:rsidR="00684D57" w:rsidRPr="00907770">
              <w:rPr>
                <w:rFonts w:ascii="Calibri" w:hAnsi="Calibri" w:cs="Calibri"/>
                <w:sz w:val="19"/>
                <w:szCs w:val="19"/>
              </w:rPr>
              <w:t xml:space="preserve"> </w:t>
            </w:r>
            <w:r w:rsidRPr="00907770">
              <w:rPr>
                <w:rFonts w:ascii="Calibri" w:hAnsi="Calibri" w:cs="Calibri"/>
                <w:sz w:val="19"/>
                <w:szCs w:val="19"/>
              </w:rPr>
              <w:t>předpokladů efektivnosti (viz první stupeň hodnocení efektivnosti) jsou zásadně zpochybněny. V projektu je např. cca polovina aktivit, které nebyly (nejsou) vůbec nezbytné pro dosažení projektových cílů a/nebo náklady na řadu aktivit zjevně významně překročily (překračují) ceny obvyklé na trhu. Rozsah realizačního týmu byl nepřiměřený a/nebo většina jeho úkonů pro projekt zbytečná.</w:t>
            </w:r>
          </w:p>
          <w:p w14:paraId="1ABD651B"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 xml:space="preserve">Podíl cílových beneficientů byl zásadně nižší oproti předpokladům, aniž by došlo k odpovídající redukci nákladů – náklady na jednu cílovou osobu jsou tak několikrát vyšší oproti původním předpokladům. </w:t>
            </w:r>
            <w:r w:rsidR="0018424F">
              <w:rPr>
                <w:rFonts w:ascii="Calibri" w:hAnsi="Calibri" w:cs="Calibri"/>
                <w:sz w:val="19"/>
                <w:szCs w:val="19"/>
              </w:rPr>
              <w:t>Existuj</w:t>
            </w:r>
            <w:r w:rsidRPr="00907770">
              <w:rPr>
                <w:rFonts w:ascii="Calibri" w:hAnsi="Calibri" w:cs="Calibri"/>
                <w:sz w:val="19"/>
                <w:szCs w:val="19"/>
              </w:rPr>
              <w:t>e</w:t>
            </w:r>
            <w:r w:rsidR="0018424F">
              <w:rPr>
                <w:rFonts w:ascii="Calibri" w:hAnsi="Calibri" w:cs="Calibri"/>
                <w:sz w:val="19"/>
                <w:szCs w:val="19"/>
              </w:rPr>
              <w:t xml:space="preserve"> </w:t>
            </w:r>
            <w:r w:rsidRPr="00907770">
              <w:rPr>
                <w:rFonts w:ascii="Calibri" w:hAnsi="Calibri" w:cs="Calibri"/>
                <w:sz w:val="19"/>
                <w:szCs w:val="19"/>
              </w:rPr>
              <w:t>pochybnost, zda projekt měl být podpořen z</w:t>
            </w:r>
            <w:r w:rsidR="00684D57" w:rsidRPr="00907770">
              <w:rPr>
                <w:rFonts w:ascii="Calibri" w:hAnsi="Calibri" w:cs="Calibri"/>
                <w:sz w:val="19"/>
                <w:szCs w:val="19"/>
              </w:rPr>
              <w:t xml:space="preserve"> </w:t>
            </w:r>
            <w:r w:rsidRPr="00907770">
              <w:rPr>
                <w:rFonts w:ascii="Calibri" w:hAnsi="Calibri" w:cs="Calibri"/>
                <w:sz w:val="19"/>
                <w:szCs w:val="19"/>
              </w:rPr>
              <w:t>veřejných zdrojů, jsou pochybnosti o</w:t>
            </w:r>
            <w:r w:rsidR="0018424F">
              <w:rPr>
                <w:rFonts w:ascii="Calibri" w:hAnsi="Calibri" w:cs="Calibri"/>
                <w:sz w:val="19"/>
                <w:szCs w:val="19"/>
              </w:rPr>
              <w:t> </w:t>
            </w:r>
            <w:r w:rsidRPr="00907770">
              <w:rPr>
                <w:rFonts w:ascii="Calibri" w:hAnsi="Calibri" w:cs="Calibri"/>
                <w:sz w:val="19"/>
                <w:szCs w:val="19"/>
              </w:rPr>
              <w:t>potřebě projektu pro danou cílovou skupinu nebo projekt by se realizoval bez veřejné podpory. Náklady na jednotku výkonu (tedy na jednu podpořenou osobu/FTE) vynaložené z veřejných zdrojů jsou vícenásobně vyšší než průměrné náklady daného operačního programu na tuto jednotku výkonu.</w:t>
            </w:r>
          </w:p>
          <w:p w14:paraId="6EDC8DF4" w14:textId="77777777" w:rsidR="00F31777" w:rsidRPr="00907770" w:rsidRDefault="00F31777" w:rsidP="0034616E">
            <w:pPr>
              <w:spacing w:after="0" w:line="240" w:lineRule="auto"/>
              <w:jc w:val="both"/>
              <w:rPr>
                <w:rFonts w:ascii="Calibri" w:hAnsi="Calibri" w:cs="Calibri"/>
                <w:sz w:val="19"/>
                <w:szCs w:val="19"/>
              </w:rPr>
            </w:pPr>
            <w:r w:rsidRPr="00907770">
              <w:rPr>
                <w:rFonts w:ascii="Calibri" w:hAnsi="Calibri" w:cs="Calibri"/>
                <w:sz w:val="19"/>
                <w:szCs w:val="19"/>
              </w:rPr>
              <w:t>Dochází k duplicitnímu financování, příp. není jasné rozhraní mezi aktivitami financovanými z jiných projektů. Realizace projektu se neodůvodnitelným způsobem naprosto odchyluje od podnikatelského plánu. Sociální podnik není životaschopný. Projekt je vždy hodnocen jako neefektivní, je-li hodnocen jako neúčelný.</w:t>
            </w:r>
          </w:p>
        </w:tc>
      </w:tr>
    </w:tbl>
    <w:p w14:paraId="6831680A" w14:textId="77777777" w:rsidR="0018424F" w:rsidRDefault="0018424F">
      <w:pPr>
        <w:rPr>
          <w:rFonts w:ascii="Calibri" w:hAnsi="Calibri" w:cs="Calibri"/>
          <w:b/>
          <w:sz w:val="24"/>
          <w:szCs w:val="24"/>
        </w:rPr>
      </w:pPr>
      <w:r>
        <w:rPr>
          <w:rFonts w:ascii="Calibri" w:hAnsi="Calibri" w:cs="Calibri"/>
          <w:b/>
          <w:sz w:val="24"/>
          <w:szCs w:val="24"/>
        </w:rPr>
        <w:br w:type="page"/>
      </w:r>
    </w:p>
    <w:p w14:paraId="4A714510" w14:textId="77777777" w:rsidR="00F31777" w:rsidRPr="00A80B71" w:rsidRDefault="00F31777" w:rsidP="00A80B71">
      <w:pPr>
        <w:spacing w:after="120" w:line="240" w:lineRule="auto"/>
        <w:jc w:val="right"/>
        <w:rPr>
          <w:rFonts w:ascii="Calibri" w:hAnsi="Calibri" w:cs="Calibri"/>
          <w:b/>
          <w:sz w:val="24"/>
          <w:szCs w:val="24"/>
        </w:rPr>
      </w:pPr>
      <w:r w:rsidRPr="00A80B71">
        <w:rPr>
          <w:rFonts w:ascii="Calibri" w:hAnsi="Calibri" w:cs="Calibri"/>
          <w:b/>
          <w:sz w:val="24"/>
          <w:szCs w:val="24"/>
        </w:rPr>
        <w:t>Příloha č. 3</w:t>
      </w:r>
    </w:p>
    <w:p w14:paraId="76735332" w14:textId="77777777" w:rsidR="00F31777" w:rsidRPr="00A80B71" w:rsidRDefault="00F31777" w:rsidP="00A80B71">
      <w:pPr>
        <w:spacing w:after="120" w:line="240" w:lineRule="auto"/>
        <w:jc w:val="center"/>
        <w:rPr>
          <w:rFonts w:ascii="Calibri" w:hAnsi="Calibri" w:cs="Calibri"/>
          <w:b/>
          <w:sz w:val="24"/>
          <w:szCs w:val="24"/>
        </w:rPr>
      </w:pPr>
      <w:r w:rsidRPr="00A80B71">
        <w:rPr>
          <w:rFonts w:ascii="Calibri" w:hAnsi="Calibri" w:cs="Calibri"/>
          <w:b/>
          <w:sz w:val="24"/>
          <w:szCs w:val="24"/>
        </w:rPr>
        <w:t>Definice principů sociálního podnikání v IROP</w:t>
      </w:r>
    </w:p>
    <w:p w14:paraId="414BA3F1" w14:textId="77777777" w:rsidR="00F31777" w:rsidRPr="00A80B71" w:rsidRDefault="00F31777" w:rsidP="00A80B71">
      <w:pPr>
        <w:autoSpaceDE w:val="0"/>
        <w:autoSpaceDN w:val="0"/>
        <w:adjustRightInd w:val="0"/>
        <w:spacing w:after="120" w:line="240" w:lineRule="auto"/>
        <w:jc w:val="both"/>
        <w:rPr>
          <w:rFonts w:ascii="Calibri" w:hAnsi="Calibri" w:cs="Calibri"/>
          <w:sz w:val="24"/>
          <w:szCs w:val="24"/>
        </w:rPr>
      </w:pPr>
      <w:r w:rsidRPr="00A80B71">
        <w:rPr>
          <w:rFonts w:ascii="Calibri" w:hAnsi="Calibri" w:cs="Calibri"/>
          <w:sz w:val="24"/>
          <w:szCs w:val="24"/>
        </w:rPr>
        <w:t>Specifická pravidla pro žadatele a příjemce rozvádějí v kapitole 2.2 definici principů sociálního podnikání, když charakterizují sociální, ekonomický, environmentální a místní prospěch:</w:t>
      </w:r>
    </w:p>
    <w:p w14:paraId="0DDD3B48" w14:textId="77777777" w:rsidR="00F31777" w:rsidRPr="00A80B71" w:rsidRDefault="00F31777" w:rsidP="00A80B71">
      <w:pPr>
        <w:keepNext/>
        <w:autoSpaceDE w:val="0"/>
        <w:autoSpaceDN w:val="0"/>
        <w:adjustRightInd w:val="0"/>
        <w:spacing w:after="120" w:line="240" w:lineRule="auto"/>
        <w:jc w:val="both"/>
        <w:rPr>
          <w:rFonts w:ascii="Calibri" w:eastAsia="Times New Roman" w:hAnsi="Calibri" w:cs="Calibri"/>
          <w:b/>
          <w:color w:val="000000"/>
          <w:sz w:val="24"/>
          <w:szCs w:val="24"/>
          <w:lang w:eastAsia="cs-CZ"/>
        </w:rPr>
      </w:pPr>
      <w:r w:rsidRPr="00A80B71">
        <w:rPr>
          <w:rFonts w:ascii="Calibri" w:eastAsia="Times New Roman" w:hAnsi="Calibri" w:cs="Calibri"/>
          <w:b/>
          <w:color w:val="000000"/>
          <w:sz w:val="24"/>
          <w:szCs w:val="24"/>
          <w:lang w:eastAsia="cs-CZ"/>
        </w:rPr>
        <w:t xml:space="preserve">Princip „Sociální prospěch“ </w:t>
      </w:r>
    </w:p>
    <w:p w14:paraId="7B37EDC1" w14:textId="77777777" w:rsidR="00F31777" w:rsidRPr="00A80B71" w:rsidRDefault="00F31777" w:rsidP="00A43505">
      <w:pPr>
        <w:autoSpaceDE w:val="0"/>
        <w:autoSpaceDN w:val="0"/>
        <w:adjustRightInd w:val="0"/>
        <w:spacing w:after="0" w:line="240" w:lineRule="auto"/>
        <w:ind w:firstLine="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a)</w:t>
      </w:r>
      <w:r w:rsidR="00684D57"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Podmínky zaměstnávání a sociálního začleňování osob z CS</w:t>
      </w:r>
    </w:p>
    <w:p w14:paraId="2BA8F296" w14:textId="77777777" w:rsidR="00F31777" w:rsidRPr="00A80B71" w:rsidRDefault="00F31777" w:rsidP="00357C61">
      <w:pPr>
        <w:numPr>
          <w:ilvl w:val="0"/>
          <w:numId w:val="11"/>
        </w:numPr>
        <w:autoSpaceDE w:val="0"/>
        <w:autoSpaceDN w:val="0"/>
        <w:adjustRightInd w:val="0"/>
        <w:spacing w:after="0" w:line="240" w:lineRule="auto"/>
        <w:ind w:left="851" w:hanging="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 xml:space="preserve">minimální podíl zaměstnanců z CS činí </w:t>
      </w:r>
      <w:r w:rsidRPr="00A80B71">
        <w:rPr>
          <w:rFonts w:ascii="Calibri" w:eastAsia="Times New Roman" w:hAnsi="Calibri" w:cs="Calibri"/>
          <w:bCs/>
          <w:color w:val="000000"/>
          <w:sz w:val="24"/>
          <w:szCs w:val="24"/>
          <w:lang w:eastAsia="cs-CZ"/>
        </w:rPr>
        <w:t xml:space="preserve">30 % z celkového počtu zaměstnanců </w:t>
      </w:r>
      <w:r w:rsidRPr="00A80B71">
        <w:rPr>
          <w:rFonts w:ascii="Calibri" w:eastAsia="Times New Roman" w:hAnsi="Calibri" w:cs="Calibri"/>
          <w:bCs/>
          <w:sz w:val="24"/>
          <w:szCs w:val="24"/>
          <w:lang w:eastAsia="cs-CZ"/>
        </w:rPr>
        <w:t>sociálního podniku</w:t>
      </w:r>
      <w:r w:rsidRPr="00A80B71">
        <w:rPr>
          <w:rFonts w:ascii="Calibri" w:eastAsia="Times New Roman" w:hAnsi="Calibri" w:cs="Calibri"/>
          <w:sz w:val="24"/>
          <w:szCs w:val="24"/>
          <w:lang w:eastAsia="cs-CZ"/>
        </w:rPr>
        <w:t xml:space="preserve">; </w:t>
      </w:r>
    </w:p>
    <w:p w14:paraId="0B6F2682" w14:textId="77777777" w:rsidR="00F31777" w:rsidRPr="00A80B71" w:rsidRDefault="00F31777" w:rsidP="00357C61">
      <w:pPr>
        <w:numPr>
          <w:ilvl w:val="0"/>
          <w:numId w:val="11"/>
        </w:numPr>
        <w:autoSpaceDE w:val="0"/>
        <w:autoSpaceDN w:val="0"/>
        <w:adjustRightInd w:val="0"/>
        <w:spacing w:after="0" w:line="240" w:lineRule="auto"/>
        <w:ind w:left="851" w:hanging="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 xml:space="preserve">se zaměstnancem z CS musí být uzavřena pracovní smlouva nebo dohoda o pracovní činnosti; </w:t>
      </w:r>
    </w:p>
    <w:p w14:paraId="4224FDAD" w14:textId="77777777" w:rsidR="00F31777" w:rsidRPr="00A80B71" w:rsidRDefault="00F31777" w:rsidP="00357C61">
      <w:pPr>
        <w:numPr>
          <w:ilvl w:val="0"/>
          <w:numId w:val="11"/>
        </w:numPr>
        <w:autoSpaceDE w:val="0"/>
        <w:autoSpaceDN w:val="0"/>
        <w:adjustRightInd w:val="0"/>
        <w:spacing w:after="120" w:line="240" w:lineRule="auto"/>
        <w:ind w:left="851" w:hanging="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minimální úvazek pro zaměstnance z CS je 0,4 vůči celému úvazku.</w:t>
      </w:r>
    </w:p>
    <w:p w14:paraId="2024B562" w14:textId="77777777" w:rsidR="00F31777" w:rsidRPr="00A80B71" w:rsidRDefault="00F31777" w:rsidP="00A43505">
      <w:pPr>
        <w:autoSpaceDE w:val="0"/>
        <w:autoSpaceDN w:val="0"/>
        <w:adjustRightInd w:val="0"/>
        <w:spacing w:after="120" w:line="240" w:lineRule="auto"/>
        <w:ind w:firstLine="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b)</w:t>
      </w:r>
      <w:r w:rsidR="00684D57"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 xml:space="preserve">Účast zaměstnanců na směřování podniku </w:t>
      </w:r>
    </w:p>
    <w:p w14:paraId="3B4F3AC8"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 xml:space="preserve">Zaměstnavatel informuje zaměstnance o chodu podniku, naplňování společensky prospěšných cílů. Osoby z CS jsou zapojeny do rozhodování, participují na něm, pokud mají zájem a jsou k participaci způsobilí vzhledem k míře a typu svého znevýhodnění. </w:t>
      </w:r>
    </w:p>
    <w:p w14:paraId="698EDDC0"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sz w:val="24"/>
          <w:szCs w:val="24"/>
          <w:lang w:eastAsia="cs-CZ"/>
        </w:rPr>
      </w:pPr>
      <w:r w:rsidRPr="00A80B71">
        <w:rPr>
          <w:rFonts w:ascii="Calibri" w:eastAsia="Times New Roman" w:hAnsi="Calibri" w:cs="Calibri"/>
          <w:color w:val="000000"/>
          <w:sz w:val="24"/>
          <w:szCs w:val="24"/>
          <w:lang w:eastAsia="cs-CZ"/>
        </w:rPr>
        <w:t xml:space="preserve">Žadatel popisuje v Podnikatelském plánu (dále také „PP“), jak bude zaměstnance informovat </w:t>
      </w:r>
      <w:r w:rsidRPr="00A80B71">
        <w:rPr>
          <w:rFonts w:ascii="Calibri" w:eastAsia="Times New Roman" w:hAnsi="Calibri" w:cs="Calibri"/>
          <w:sz w:val="24"/>
          <w:szCs w:val="24"/>
          <w:lang w:eastAsia="cs-CZ"/>
        </w:rPr>
        <w:t>a jakým způsobem budou zaměstnanci z CS zapojeni do rozhodování o směřování sociálního podniku.</w:t>
      </w:r>
    </w:p>
    <w:p w14:paraId="28DDF973" w14:textId="77777777" w:rsidR="00F31777" w:rsidRPr="00A80B71" w:rsidRDefault="00F31777" w:rsidP="00A80B71">
      <w:pPr>
        <w:autoSpaceDE w:val="0"/>
        <w:autoSpaceDN w:val="0"/>
        <w:adjustRightInd w:val="0"/>
        <w:spacing w:after="120" w:line="240" w:lineRule="auto"/>
        <w:ind w:firstLine="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c)</w:t>
      </w:r>
      <w:r w:rsidR="00684D57"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 xml:space="preserve">Důraz na rozvoj pracovních kompetencí znevýhodněných zaměstnanců </w:t>
      </w:r>
    </w:p>
    <w:p w14:paraId="66B77D6D"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MMR doporučuje zaměstnavatelům poskytovat zaměstnancům z CS vzdělávání zohledňující jejich individuální možnosti. Pokud zaměstnavatel hodlá plnit tento doporučený princip, popíše v PP témata, rozsah a účastníky vzdělávání.</w:t>
      </w:r>
    </w:p>
    <w:p w14:paraId="2853B7D5" w14:textId="77777777" w:rsidR="00F31777" w:rsidRPr="00A80B71" w:rsidRDefault="00F31777" w:rsidP="00A80B71">
      <w:pPr>
        <w:keepNext/>
        <w:autoSpaceDE w:val="0"/>
        <w:autoSpaceDN w:val="0"/>
        <w:adjustRightInd w:val="0"/>
        <w:spacing w:after="120" w:line="240" w:lineRule="auto"/>
        <w:jc w:val="both"/>
        <w:rPr>
          <w:rFonts w:ascii="Calibri" w:eastAsia="Times New Roman" w:hAnsi="Calibri" w:cs="Calibri"/>
          <w:b/>
          <w:color w:val="000000"/>
          <w:sz w:val="24"/>
          <w:szCs w:val="24"/>
          <w:lang w:eastAsia="cs-CZ"/>
        </w:rPr>
      </w:pPr>
      <w:r w:rsidRPr="00A80B71">
        <w:rPr>
          <w:rFonts w:ascii="Calibri" w:eastAsia="Times New Roman" w:hAnsi="Calibri" w:cs="Calibri"/>
          <w:b/>
          <w:color w:val="000000"/>
          <w:sz w:val="24"/>
          <w:szCs w:val="24"/>
          <w:lang w:eastAsia="cs-CZ"/>
        </w:rPr>
        <w:t xml:space="preserve">Princip „Ekonomický prospěch“ </w:t>
      </w:r>
    </w:p>
    <w:p w14:paraId="2EC03C2C" w14:textId="77777777" w:rsidR="00F31777" w:rsidRPr="00A80B71" w:rsidRDefault="00F31777" w:rsidP="00A43505">
      <w:pPr>
        <w:autoSpaceDE w:val="0"/>
        <w:autoSpaceDN w:val="0"/>
        <w:adjustRightInd w:val="0"/>
        <w:spacing w:after="120" w:line="240" w:lineRule="auto"/>
        <w:ind w:firstLine="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a)</w:t>
      </w:r>
      <w:r w:rsidR="00684D57"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 xml:space="preserve">Zisk je využíván přednostně pro rozvoj sociálního podniku </w:t>
      </w:r>
    </w:p>
    <w:p w14:paraId="1FD13D00"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color w:val="000000"/>
          <w:sz w:val="24"/>
          <w:szCs w:val="24"/>
          <w:lang w:eastAsia="cs-CZ"/>
        </w:rPr>
      </w:pPr>
      <w:r w:rsidRPr="00A80B71">
        <w:rPr>
          <w:rFonts w:ascii="Calibri" w:eastAsia="Times New Roman" w:hAnsi="Calibri" w:cs="Calibri"/>
          <w:sz w:val="24"/>
          <w:szCs w:val="24"/>
          <w:lang w:eastAsia="cs-CZ"/>
        </w:rPr>
        <w:t xml:space="preserve">Více než 50 % zisku je reinvestováno do rozvoje sociálního podniku. </w:t>
      </w:r>
      <w:r w:rsidRPr="00A80B71">
        <w:rPr>
          <w:rFonts w:ascii="Calibri" w:eastAsia="Times New Roman" w:hAnsi="Calibri" w:cs="Calibri"/>
          <w:color w:val="000000"/>
          <w:sz w:val="24"/>
          <w:szCs w:val="24"/>
          <w:lang w:eastAsia="cs-CZ"/>
        </w:rPr>
        <w:t xml:space="preserve">Žadatel popíše využití zisku (po zdanění) v PP. </w:t>
      </w:r>
    </w:p>
    <w:p w14:paraId="391DFABF" w14:textId="77777777" w:rsidR="00F31777" w:rsidRPr="00A80B71" w:rsidRDefault="00F31777" w:rsidP="00A43505">
      <w:pPr>
        <w:autoSpaceDE w:val="0"/>
        <w:autoSpaceDN w:val="0"/>
        <w:adjustRightInd w:val="0"/>
        <w:spacing w:after="120" w:line="240" w:lineRule="auto"/>
        <w:ind w:left="567" w:hanging="283"/>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b)</w:t>
      </w:r>
      <w:r w:rsidR="00684D57"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 xml:space="preserve">Nezávislost v manažerském rozhodování a řízení na externích zakladatelích nebo zřizovatelích </w:t>
      </w:r>
    </w:p>
    <w:p w14:paraId="4E2951BE"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 xml:space="preserve">Nezávislostí se míní autonomie v manažerském rozhodování a řízení. Pokud externí vlastník či zřizovatel neexistuje, je podmínka naplněna automaticky. </w:t>
      </w:r>
    </w:p>
    <w:p w14:paraId="2231D67E" w14:textId="77777777" w:rsidR="00F31777" w:rsidRPr="00A80B71" w:rsidRDefault="00F31777" w:rsidP="00A43505">
      <w:pPr>
        <w:autoSpaceDE w:val="0"/>
        <w:autoSpaceDN w:val="0"/>
        <w:adjustRightInd w:val="0"/>
        <w:spacing w:after="120" w:line="240" w:lineRule="auto"/>
        <w:ind w:left="567" w:hanging="283"/>
        <w:rPr>
          <w:rFonts w:ascii="Calibri" w:eastAsia="Times New Roman" w:hAnsi="Calibri" w:cs="Calibri"/>
          <w:color w:val="000000"/>
          <w:sz w:val="24"/>
          <w:szCs w:val="24"/>
          <w:lang w:eastAsia="cs-CZ"/>
        </w:rPr>
      </w:pPr>
      <w:r w:rsidRPr="00A80B71">
        <w:rPr>
          <w:rFonts w:ascii="Calibri" w:eastAsia="Times New Roman" w:hAnsi="Calibri" w:cs="Calibri"/>
          <w:sz w:val="24"/>
          <w:szCs w:val="24"/>
          <w:lang w:eastAsia="cs-CZ"/>
        </w:rPr>
        <w:t>c)</w:t>
      </w:r>
      <w:r w:rsidR="00684D57" w:rsidRPr="00A80B71">
        <w:rPr>
          <w:rFonts w:ascii="Calibri" w:eastAsia="Times New Roman" w:hAnsi="Calibri" w:cs="Calibri"/>
          <w:sz w:val="24"/>
          <w:szCs w:val="24"/>
          <w:lang w:eastAsia="cs-CZ"/>
        </w:rPr>
        <w:t> </w:t>
      </w:r>
      <w:r w:rsidRPr="00A80B71">
        <w:rPr>
          <w:rFonts w:ascii="Calibri" w:eastAsia="Times New Roman" w:hAnsi="Calibri" w:cs="Calibri"/>
          <w:sz w:val="24"/>
          <w:szCs w:val="24"/>
          <w:lang w:eastAsia="cs-CZ"/>
        </w:rPr>
        <w:t>Výnosy sociálního podniku tvoří minimálně z 30 % tržby z prodeje vlastních výrobků nebo z poskytování vlastních služeb. Žadatel popíše naplňování principu v PP.</w:t>
      </w:r>
    </w:p>
    <w:p w14:paraId="6CFE6BE6" w14:textId="77777777" w:rsidR="00F31777" w:rsidRPr="00A43505" w:rsidRDefault="00F31777" w:rsidP="00A43505">
      <w:pPr>
        <w:keepNext/>
        <w:autoSpaceDE w:val="0"/>
        <w:autoSpaceDN w:val="0"/>
        <w:adjustRightInd w:val="0"/>
        <w:spacing w:after="120" w:line="240" w:lineRule="auto"/>
        <w:jc w:val="both"/>
        <w:rPr>
          <w:rFonts w:ascii="Calibri" w:eastAsia="Times New Roman" w:hAnsi="Calibri" w:cs="Calibri"/>
          <w:b/>
          <w:color w:val="000000"/>
          <w:sz w:val="24"/>
          <w:szCs w:val="24"/>
          <w:lang w:eastAsia="cs-CZ"/>
        </w:rPr>
      </w:pPr>
      <w:r w:rsidRPr="00A43505">
        <w:rPr>
          <w:rFonts w:ascii="Calibri" w:eastAsia="Times New Roman" w:hAnsi="Calibri" w:cs="Calibri"/>
          <w:b/>
          <w:color w:val="000000"/>
          <w:sz w:val="24"/>
          <w:szCs w:val="24"/>
          <w:lang w:eastAsia="cs-CZ"/>
        </w:rPr>
        <w:t xml:space="preserve">Princip „Environmentální prospěch“ </w:t>
      </w:r>
    </w:p>
    <w:p w14:paraId="777E455F" w14:textId="77777777" w:rsidR="00F31777" w:rsidRPr="00A80B71" w:rsidRDefault="00F31777" w:rsidP="00A43505">
      <w:pPr>
        <w:autoSpaceDE w:val="0"/>
        <w:autoSpaceDN w:val="0"/>
        <w:adjustRightInd w:val="0"/>
        <w:spacing w:after="120" w:line="240" w:lineRule="auto"/>
        <w:ind w:firstLine="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a)</w:t>
      </w:r>
      <w:r w:rsidR="00684D57"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 xml:space="preserve">Zohledňování environmentálních aspektů výroby a spotřeby </w:t>
      </w:r>
    </w:p>
    <w:p w14:paraId="4238403A"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 xml:space="preserve">Podnik má formulované zásady podnikání šetrného k životnímu prostředí, např. využití recyklovaných tonerů, papírů, </w:t>
      </w:r>
      <w:proofErr w:type="spellStart"/>
      <w:r w:rsidRPr="00A80B71">
        <w:rPr>
          <w:rFonts w:ascii="Calibri" w:eastAsia="Times New Roman" w:hAnsi="Calibri" w:cs="Calibri"/>
          <w:color w:val="000000"/>
          <w:sz w:val="24"/>
          <w:szCs w:val="24"/>
          <w:lang w:eastAsia="cs-CZ"/>
        </w:rPr>
        <w:t>eko</w:t>
      </w:r>
      <w:proofErr w:type="spellEnd"/>
      <w:r w:rsidR="00846006" w:rsidRPr="00A80B71">
        <w:rPr>
          <w:rFonts w:ascii="Calibri" w:eastAsia="Times New Roman" w:hAnsi="Calibri" w:cs="Calibri"/>
          <w:color w:val="000000"/>
          <w:sz w:val="24"/>
          <w:szCs w:val="24"/>
          <w:lang w:eastAsia="cs-CZ"/>
        </w:rPr>
        <w:t>-</w:t>
      </w:r>
      <w:r w:rsidRPr="00A80B71">
        <w:rPr>
          <w:rFonts w:ascii="Calibri" w:eastAsia="Times New Roman" w:hAnsi="Calibri" w:cs="Calibri"/>
          <w:color w:val="000000"/>
          <w:sz w:val="24"/>
          <w:szCs w:val="24"/>
          <w:lang w:eastAsia="cs-CZ"/>
        </w:rPr>
        <w:t xml:space="preserve">automobilů, čističek vody či vzduchu, recyklovatelných obalů, energeticky nenáročných budov a přístrojů, </w:t>
      </w:r>
      <w:r w:rsidRPr="00A80B71">
        <w:rPr>
          <w:rFonts w:ascii="Calibri" w:eastAsia="Times New Roman" w:hAnsi="Calibri" w:cs="Calibri"/>
          <w:sz w:val="24"/>
          <w:szCs w:val="24"/>
          <w:lang w:eastAsia="cs-CZ"/>
        </w:rPr>
        <w:t xml:space="preserve">ekologicky šetrných výrobků. </w:t>
      </w:r>
      <w:r w:rsidRPr="00A80B71">
        <w:rPr>
          <w:rFonts w:ascii="Calibri" w:eastAsia="Times New Roman" w:hAnsi="Calibri" w:cs="Calibri"/>
          <w:color w:val="000000"/>
          <w:sz w:val="24"/>
          <w:szCs w:val="24"/>
          <w:lang w:eastAsia="cs-CZ"/>
        </w:rPr>
        <w:t xml:space="preserve">Žadatel tyto zásady popíše v PP. </w:t>
      </w:r>
    </w:p>
    <w:p w14:paraId="0304CE83" w14:textId="77777777" w:rsidR="00F31777" w:rsidRPr="00A43505" w:rsidRDefault="00F31777" w:rsidP="00A43505">
      <w:pPr>
        <w:keepNext/>
        <w:autoSpaceDE w:val="0"/>
        <w:autoSpaceDN w:val="0"/>
        <w:adjustRightInd w:val="0"/>
        <w:spacing w:after="120" w:line="240" w:lineRule="auto"/>
        <w:jc w:val="both"/>
        <w:rPr>
          <w:rFonts w:ascii="Calibri" w:eastAsia="Times New Roman" w:hAnsi="Calibri" w:cs="Calibri"/>
          <w:b/>
          <w:color w:val="000000"/>
          <w:sz w:val="24"/>
          <w:szCs w:val="24"/>
          <w:lang w:eastAsia="cs-CZ"/>
        </w:rPr>
      </w:pPr>
      <w:r w:rsidRPr="00A43505">
        <w:rPr>
          <w:rFonts w:ascii="Calibri" w:eastAsia="Times New Roman" w:hAnsi="Calibri" w:cs="Calibri"/>
          <w:b/>
          <w:color w:val="000000"/>
          <w:sz w:val="24"/>
          <w:szCs w:val="24"/>
          <w:lang w:eastAsia="cs-CZ"/>
        </w:rPr>
        <w:t xml:space="preserve">Princip „Místní prospěch“ </w:t>
      </w:r>
    </w:p>
    <w:p w14:paraId="6A73181B" w14:textId="77777777" w:rsidR="00F31777" w:rsidRPr="00A80B71" w:rsidRDefault="00F31777" w:rsidP="00A43505">
      <w:pPr>
        <w:autoSpaceDE w:val="0"/>
        <w:autoSpaceDN w:val="0"/>
        <w:adjustRightInd w:val="0"/>
        <w:spacing w:after="120" w:line="240" w:lineRule="auto"/>
        <w:ind w:firstLine="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a)</w:t>
      </w:r>
      <w:r w:rsidR="008B5E9B"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 xml:space="preserve">Přednostní uspokojování potřeb místní komunity a místní poptávky </w:t>
      </w:r>
    </w:p>
    <w:p w14:paraId="5C70BD91"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 xml:space="preserve">Podnik se ve své činnosti orientuje na místní potřeby, odběratelé jsou ze stejného nebo sousedního kraje. Nabídka zboží a služeb vychází vstříc místním potřebám. </w:t>
      </w:r>
    </w:p>
    <w:p w14:paraId="6C255AE2" w14:textId="77777777" w:rsidR="00F31777" w:rsidRPr="00A80B71" w:rsidRDefault="00F31777" w:rsidP="00A43505">
      <w:pPr>
        <w:autoSpaceDE w:val="0"/>
        <w:autoSpaceDN w:val="0"/>
        <w:adjustRightInd w:val="0"/>
        <w:spacing w:after="120" w:line="240" w:lineRule="auto"/>
        <w:ind w:firstLine="284"/>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b)</w:t>
      </w:r>
      <w:r w:rsidR="008B5E9B" w:rsidRPr="00A80B71">
        <w:rPr>
          <w:rFonts w:ascii="Calibri" w:eastAsia="Times New Roman" w:hAnsi="Calibri" w:cs="Calibri"/>
          <w:color w:val="000000"/>
          <w:sz w:val="24"/>
          <w:szCs w:val="24"/>
          <w:lang w:eastAsia="cs-CZ"/>
        </w:rPr>
        <w:t> </w:t>
      </w:r>
      <w:r w:rsidRPr="00A80B71">
        <w:rPr>
          <w:rFonts w:ascii="Calibri" w:eastAsia="Times New Roman" w:hAnsi="Calibri" w:cs="Calibri"/>
          <w:color w:val="000000"/>
          <w:sz w:val="24"/>
          <w:szCs w:val="24"/>
          <w:lang w:eastAsia="cs-CZ"/>
        </w:rPr>
        <w:t xml:space="preserve">Využívání přednostně místních zdrojů </w:t>
      </w:r>
    </w:p>
    <w:p w14:paraId="701C8FED" w14:textId="77777777" w:rsidR="00F31777" w:rsidRPr="00A80B71" w:rsidRDefault="00F31777" w:rsidP="00A80B71">
      <w:pPr>
        <w:autoSpaceDE w:val="0"/>
        <w:autoSpaceDN w:val="0"/>
        <w:adjustRightInd w:val="0"/>
        <w:spacing w:after="120" w:line="240" w:lineRule="auto"/>
        <w:jc w:val="both"/>
        <w:rPr>
          <w:rFonts w:ascii="Calibri" w:eastAsia="Times New Roman" w:hAnsi="Calibri" w:cs="Calibri"/>
          <w:color w:val="000000"/>
          <w:sz w:val="24"/>
          <w:szCs w:val="24"/>
          <w:lang w:eastAsia="cs-CZ"/>
        </w:rPr>
      </w:pPr>
      <w:r w:rsidRPr="00A80B71">
        <w:rPr>
          <w:rFonts w:ascii="Calibri" w:eastAsia="Times New Roman" w:hAnsi="Calibri" w:cs="Calibri"/>
          <w:color w:val="000000"/>
          <w:sz w:val="24"/>
          <w:szCs w:val="24"/>
          <w:lang w:eastAsia="cs-CZ"/>
        </w:rPr>
        <w:t>Podnik přednostně zaměstnává místní obyvatele nebo nakupuje od místních dodavatelů. Žadatel tuto zásadu popíše v PP.</w:t>
      </w:r>
    </w:p>
    <w:p w14:paraId="12CA72CF" w14:textId="77777777" w:rsidR="00AB2986" w:rsidRPr="00A80B71" w:rsidRDefault="00AB2986" w:rsidP="00A80B71">
      <w:pPr>
        <w:spacing w:before="240" w:after="120" w:line="240" w:lineRule="auto"/>
        <w:jc w:val="center"/>
        <w:rPr>
          <w:rFonts w:ascii="Calibri" w:eastAsia="Calibri" w:hAnsi="Calibri" w:cs="Calibri"/>
          <w:color w:val="000000"/>
          <w:sz w:val="24"/>
          <w:szCs w:val="24"/>
          <w:lang w:eastAsia="cs-CZ"/>
        </w:rPr>
      </w:pPr>
      <w:r w:rsidRPr="00A80B71">
        <w:rPr>
          <w:rFonts w:ascii="Calibri" w:eastAsia="Calibri" w:hAnsi="Calibri" w:cs="Calibri"/>
          <w:b/>
          <w:color w:val="000000"/>
          <w:sz w:val="24"/>
          <w:szCs w:val="24"/>
          <w:lang w:eastAsia="cs-CZ"/>
        </w:rPr>
        <w:t xml:space="preserve">Sada rozpoznávacích znaků pro integrační sociální podnik (WISE) </w:t>
      </w:r>
      <w:r w:rsidR="00383EE4" w:rsidRPr="00A80B71">
        <w:rPr>
          <w:rFonts w:ascii="Calibri" w:eastAsia="Calibri" w:hAnsi="Calibri" w:cs="Calibri"/>
          <w:b/>
          <w:color w:val="000000"/>
          <w:sz w:val="24"/>
          <w:szCs w:val="24"/>
          <w:lang w:eastAsia="cs-CZ"/>
        </w:rPr>
        <w:t>dle výzvy č. 129 OPZ</w:t>
      </w:r>
    </w:p>
    <w:p w14:paraId="7BA31E7A" w14:textId="77777777" w:rsidR="00AB2986" w:rsidRPr="00A80B71" w:rsidRDefault="00AB2986" w:rsidP="00A43505">
      <w:pPr>
        <w:spacing w:after="120" w:line="240" w:lineRule="auto"/>
        <w:jc w:val="both"/>
        <w:rPr>
          <w:rFonts w:ascii="Calibri" w:eastAsia="Calibri" w:hAnsi="Calibri" w:cs="Calibri"/>
          <w:color w:val="000000"/>
          <w:sz w:val="24"/>
          <w:szCs w:val="24"/>
          <w:lang w:eastAsia="cs-CZ"/>
        </w:rPr>
      </w:pPr>
      <w:r w:rsidRPr="00A80B71">
        <w:rPr>
          <w:rFonts w:ascii="Calibri" w:eastAsia="Calibri" w:hAnsi="Calibri" w:cs="Calibri"/>
          <w:color w:val="000000"/>
          <w:sz w:val="24"/>
          <w:szCs w:val="24"/>
          <w:lang w:eastAsia="cs-CZ"/>
        </w:rPr>
        <w:t>Rozpoznávací znaky integračního sociálního podniku jsou pro příjemce závazné v plném rozsahu a budou sledovány v průběhu realizace projektu. Všechny principy sociálního podnikání včetně charakteristiky a</w:t>
      </w:r>
      <w:r w:rsidR="008B5E9B" w:rsidRPr="00A80B71">
        <w:rPr>
          <w:rFonts w:ascii="Calibri" w:eastAsia="Calibri" w:hAnsi="Calibri" w:cs="Calibri"/>
          <w:color w:val="000000"/>
          <w:sz w:val="24"/>
          <w:szCs w:val="24"/>
          <w:lang w:eastAsia="cs-CZ"/>
        </w:rPr>
        <w:t xml:space="preserve"> </w:t>
      </w:r>
      <w:r w:rsidRPr="00A80B71">
        <w:rPr>
          <w:rFonts w:ascii="Calibri" w:eastAsia="Calibri" w:hAnsi="Calibri" w:cs="Calibri"/>
          <w:color w:val="000000"/>
          <w:sz w:val="24"/>
          <w:szCs w:val="24"/>
          <w:lang w:eastAsia="cs-CZ"/>
        </w:rPr>
        <w:t xml:space="preserve">konkrétního naplňování rozpoznávacích znaků v sociálním podniku uvede žadatel v zakládacích dokumentech, a to nejpozději k datu ukončení realizace projektu (pro aktivitu g) k datu podání žádosti). Obchodní korporace zveřejní na </w:t>
      </w:r>
      <w:hyperlink r:id="rId15">
        <w:r w:rsidRPr="00A80B71">
          <w:rPr>
            <w:rFonts w:ascii="Calibri" w:eastAsia="Calibri" w:hAnsi="Calibri" w:cs="Calibri"/>
            <w:color w:val="000000"/>
            <w:sz w:val="24"/>
            <w:szCs w:val="24"/>
            <w:lang w:eastAsia="cs-CZ"/>
          </w:rPr>
          <w:t>www.justice.cz</w:t>
        </w:r>
      </w:hyperlink>
      <w:hyperlink r:id="rId16">
        <w:r w:rsidRPr="00A80B71">
          <w:rPr>
            <w:rFonts w:ascii="Calibri" w:eastAsia="Calibri" w:hAnsi="Calibri" w:cs="Calibri"/>
            <w:color w:val="000000"/>
            <w:sz w:val="24"/>
            <w:szCs w:val="24"/>
            <w:lang w:eastAsia="cs-CZ"/>
          </w:rPr>
          <w:t>,</w:t>
        </w:r>
      </w:hyperlink>
      <w:r w:rsidRPr="00A80B71">
        <w:rPr>
          <w:rFonts w:ascii="Calibri" w:eastAsia="Calibri" w:hAnsi="Calibri" w:cs="Calibri"/>
          <w:color w:val="000000"/>
          <w:sz w:val="24"/>
          <w:szCs w:val="24"/>
          <w:lang w:eastAsia="cs-CZ"/>
        </w:rPr>
        <w:t xml:space="preserve"> OSVČ zveřejní např. formou prohlášení na webu organizace nebo na jiném veřejně a</w:t>
      </w:r>
      <w:r w:rsidR="008B5E9B" w:rsidRPr="00A80B71">
        <w:rPr>
          <w:rFonts w:ascii="Calibri" w:eastAsia="Calibri" w:hAnsi="Calibri" w:cs="Calibri"/>
          <w:color w:val="000000"/>
          <w:sz w:val="24"/>
          <w:szCs w:val="24"/>
          <w:lang w:eastAsia="cs-CZ"/>
        </w:rPr>
        <w:t xml:space="preserve"> </w:t>
      </w:r>
      <w:r w:rsidRPr="00A80B71">
        <w:rPr>
          <w:rFonts w:ascii="Calibri" w:eastAsia="Calibri" w:hAnsi="Calibri" w:cs="Calibri"/>
          <w:color w:val="000000"/>
          <w:sz w:val="24"/>
          <w:szCs w:val="24"/>
          <w:lang w:eastAsia="cs-CZ"/>
        </w:rPr>
        <w:t>bez překážek dostupném místě, nestátní neziskové organizace v příslušném rejstříku podle právní formy organizace. Doporučujeme žadatelům, aby principy sociálního podnikání zapracovali do zakládacích dokumentů při založení společnosti.</w:t>
      </w:r>
    </w:p>
    <w:tbl>
      <w:tblPr>
        <w:tblStyle w:val="TableGrid"/>
        <w:tblW w:w="920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5" w:type="dxa"/>
          <w:left w:w="107" w:type="dxa"/>
          <w:right w:w="63" w:type="dxa"/>
        </w:tblCellMar>
        <w:tblLook w:val="04A0" w:firstRow="1" w:lastRow="0" w:firstColumn="1" w:lastColumn="0" w:noHBand="0" w:noVBand="1"/>
      </w:tblPr>
      <w:tblGrid>
        <w:gridCol w:w="1724"/>
        <w:gridCol w:w="2665"/>
        <w:gridCol w:w="349"/>
        <w:gridCol w:w="4470"/>
      </w:tblGrid>
      <w:tr w:rsidR="00AB2986" w:rsidRPr="00AB2986" w14:paraId="4FAFD88D" w14:textId="77777777" w:rsidTr="00212113">
        <w:trPr>
          <w:trHeight w:val="283"/>
        </w:trPr>
        <w:tc>
          <w:tcPr>
            <w:tcW w:w="1724" w:type="dxa"/>
            <w:shd w:val="clear" w:color="auto" w:fill="D9D9D9"/>
            <w:vAlign w:val="center"/>
          </w:tcPr>
          <w:p w14:paraId="3BD51FC3" w14:textId="77777777" w:rsidR="00AB2986" w:rsidRPr="00A43505" w:rsidRDefault="00AB2986" w:rsidP="00A43505">
            <w:pPr>
              <w:jc w:val="center"/>
              <w:rPr>
                <w:rFonts w:ascii="Calibri" w:eastAsia="Calibri" w:hAnsi="Calibri" w:cs="Calibri"/>
                <w:b/>
                <w:color w:val="000000"/>
                <w:sz w:val="20"/>
                <w:szCs w:val="20"/>
              </w:rPr>
            </w:pPr>
            <w:r w:rsidRPr="00A43505">
              <w:rPr>
                <w:rFonts w:ascii="Calibri" w:eastAsia="Calibri" w:hAnsi="Calibri" w:cs="Calibri"/>
                <w:b/>
                <w:color w:val="000000"/>
                <w:sz w:val="20"/>
                <w:szCs w:val="20"/>
              </w:rPr>
              <w:t>Princip/</w:t>
            </w:r>
          </w:p>
          <w:p w14:paraId="7A3055FA" w14:textId="77777777" w:rsidR="00AB2986" w:rsidRPr="00A43505" w:rsidRDefault="00AB2986" w:rsidP="00A43505">
            <w:pPr>
              <w:jc w:val="center"/>
              <w:rPr>
                <w:rFonts w:ascii="Calibri" w:eastAsia="Calibri" w:hAnsi="Calibri" w:cs="Calibri"/>
                <w:color w:val="000000"/>
                <w:sz w:val="20"/>
                <w:szCs w:val="20"/>
              </w:rPr>
            </w:pPr>
            <w:r w:rsidRPr="00A43505">
              <w:rPr>
                <w:rFonts w:ascii="Calibri" w:eastAsia="Calibri" w:hAnsi="Calibri" w:cs="Calibri"/>
                <w:b/>
                <w:color w:val="000000"/>
                <w:sz w:val="20"/>
                <w:szCs w:val="20"/>
              </w:rPr>
              <w:t>/charakteristika</w:t>
            </w:r>
          </w:p>
        </w:tc>
        <w:tc>
          <w:tcPr>
            <w:tcW w:w="2665" w:type="dxa"/>
            <w:shd w:val="clear" w:color="auto" w:fill="D9D9D9"/>
            <w:vAlign w:val="center"/>
          </w:tcPr>
          <w:p w14:paraId="2B5F455E"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b/>
                <w:color w:val="000000"/>
                <w:sz w:val="20"/>
                <w:szCs w:val="20"/>
              </w:rPr>
              <w:t>Rozpoznávací znak</w:t>
            </w:r>
          </w:p>
        </w:tc>
        <w:tc>
          <w:tcPr>
            <w:tcW w:w="4819" w:type="dxa"/>
            <w:gridSpan w:val="2"/>
            <w:shd w:val="clear" w:color="auto" w:fill="D9D9D9"/>
            <w:vAlign w:val="center"/>
          </w:tcPr>
          <w:p w14:paraId="00F4F035"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b/>
                <w:color w:val="000000"/>
                <w:sz w:val="20"/>
                <w:szCs w:val="20"/>
              </w:rPr>
              <w:t>Důkaz</w:t>
            </w:r>
          </w:p>
        </w:tc>
      </w:tr>
      <w:tr w:rsidR="00AB2986" w:rsidRPr="00AB2986" w14:paraId="0D7CC697" w14:textId="77777777" w:rsidTr="00212113">
        <w:trPr>
          <w:trHeight w:val="283"/>
        </w:trPr>
        <w:tc>
          <w:tcPr>
            <w:tcW w:w="9208" w:type="dxa"/>
            <w:gridSpan w:val="4"/>
            <w:shd w:val="clear" w:color="auto" w:fill="FDE9D9"/>
            <w:vAlign w:val="center"/>
          </w:tcPr>
          <w:p w14:paraId="28137503"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b/>
                <w:color w:val="000000"/>
                <w:sz w:val="20"/>
                <w:szCs w:val="20"/>
              </w:rPr>
              <w:t>1. společensky prospěšný cíl</w:t>
            </w:r>
          </w:p>
        </w:tc>
      </w:tr>
      <w:tr w:rsidR="00AB2986" w:rsidRPr="00AB2986" w14:paraId="5540BDD7" w14:textId="77777777" w:rsidTr="00212113">
        <w:trPr>
          <w:trHeight w:val="283"/>
        </w:trPr>
        <w:tc>
          <w:tcPr>
            <w:tcW w:w="1724" w:type="dxa"/>
            <w:vMerge w:val="restart"/>
            <w:shd w:val="clear" w:color="auto" w:fill="FDE9D9"/>
          </w:tcPr>
          <w:p w14:paraId="06DB41CF"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a) společensky prospěšný cíl zaměstnávání a sociálního začleňování osob znevýhodněných na trhu práce formulován v zakládacích dokumentech </w:t>
            </w:r>
          </w:p>
        </w:tc>
        <w:tc>
          <w:tcPr>
            <w:tcW w:w="2665" w:type="dxa"/>
            <w:shd w:val="clear" w:color="auto" w:fill="FDE9D9"/>
            <w:vAlign w:val="center"/>
          </w:tcPr>
          <w:p w14:paraId="24786975"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1a1. podnik má společensky prospěšný cíl zaměstnávání a sociálního začleňování osob znevýhodněných na trhu práce, který je formulován v zakládacích dokumentech, a tyto dokumenty jsou veřejně dostupné </w:t>
            </w:r>
          </w:p>
        </w:tc>
        <w:tc>
          <w:tcPr>
            <w:tcW w:w="4819" w:type="dxa"/>
            <w:gridSpan w:val="2"/>
            <w:shd w:val="clear" w:color="auto" w:fill="FDE9D9"/>
          </w:tcPr>
          <w:p w14:paraId="3A727D61"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Zakládací dokumenty zveřejněné ve veřejném rejstříku, u</w:t>
            </w:r>
            <w:r w:rsidR="00212113">
              <w:rPr>
                <w:rFonts w:ascii="Calibri" w:eastAsia="Calibri" w:hAnsi="Calibri" w:cs="Calibri"/>
                <w:color w:val="000000"/>
                <w:sz w:val="20"/>
                <w:szCs w:val="20"/>
              </w:rPr>
              <w:t> </w:t>
            </w:r>
            <w:r w:rsidRPr="00A43505">
              <w:rPr>
                <w:rFonts w:ascii="Calibri" w:eastAsia="Calibri" w:hAnsi="Calibri" w:cs="Calibri"/>
                <w:color w:val="000000"/>
                <w:sz w:val="20"/>
                <w:szCs w:val="20"/>
              </w:rPr>
              <w:t xml:space="preserve">OSVČ jiné závazně platné dokumenty zveřejněné na webu organizace nebo na jiném veřejně a bez překážek dostupném místě. </w:t>
            </w:r>
          </w:p>
        </w:tc>
      </w:tr>
      <w:tr w:rsidR="00AB2986" w:rsidRPr="00AB2986" w14:paraId="51B95177" w14:textId="77777777" w:rsidTr="00212113">
        <w:trPr>
          <w:trHeight w:val="283"/>
        </w:trPr>
        <w:tc>
          <w:tcPr>
            <w:tcW w:w="1724" w:type="dxa"/>
            <w:vMerge/>
            <w:vAlign w:val="center"/>
          </w:tcPr>
          <w:p w14:paraId="2FBFC583"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FDE9D9"/>
            <w:vAlign w:val="center"/>
          </w:tcPr>
          <w:p w14:paraId="6B08F559" w14:textId="77777777" w:rsidR="00AB2986" w:rsidRPr="00A43505" w:rsidRDefault="00AB2986" w:rsidP="00C02995">
            <w:pPr>
              <w:rPr>
                <w:rFonts w:ascii="Calibri" w:eastAsia="Calibri" w:hAnsi="Calibri" w:cs="Calibri"/>
                <w:color w:val="000000"/>
                <w:sz w:val="20"/>
                <w:szCs w:val="20"/>
              </w:rPr>
            </w:pPr>
            <w:r w:rsidRPr="00C02995">
              <w:rPr>
                <w:rFonts w:ascii="Calibri" w:eastAsia="Calibri" w:hAnsi="Calibri" w:cs="Calibri"/>
                <w:b/>
                <w:color w:val="000000"/>
                <w:sz w:val="20"/>
                <w:szCs w:val="20"/>
              </w:rPr>
              <w:t xml:space="preserve">Komentář: </w:t>
            </w:r>
            <w:r w:rsidRPr="00A43505">
              <w:rPr>
                <w:rFonts w:ascii="Calibri" w:eastAsia="Calibri" w:hAnsi="Calibri" w:cs="Calibri"/>
                <w:color w:val="000000"/>
                <w:sz w:val="20"/>
                <w:szCs w:val="20"/>
              </w:rPr>
              <w:t xml:space="preserve"> Obchodní korporace zveřejní dokumenty v obchodním rejstříku na</w:t>
            </w:r>
            <w:hyperlink r:id="rId17">
              <w:r w:rsidRPr="00A43505">
                <w:rPr>
                  <w:rFonts w:ascii="Calibri" w:eastAsia="Calibri" w:hAnsi="Calibri" w:cs="Calibri"/>
                  <w:color w:val="000000"/>
                  <w:sz w:val="20"/>
                  <w:szCs w:val="20"/>
                </w:rPr>
                <w:t xml:space="preserve"> </w:t>
              </w:r>
            </w:hyperlink>
            <w:hyperlink r:id="rId18">
              <w:r w:rsidRPr="00A43505">
                <w:rPr>
                  <w:rFonts w:ascii="Calibri" w:eastAsia="Calibri" w:hAnsi="Calibri" w:cs="Calibri"/>
                  <w:color w:val="000000"/>
                  <w:sz w:val="20"/>
                  <w:szCs w:val="20"/>
                </w:rPr>
                <w:t>www.justice.cz</w:t>
              </w:r>
            </w:hyperlink>
            <w:hyperlink r:id="rId19">
              <w:r w:rsidRPr="00A43505">
                <w:rPr>
                  <w:rFonts w:ascii="Calibri" w:eastAsia="Calibri" w:hAnsi="Calibri" w:cs="Calibri"/>
                  <w:color w:val="000000"/>
                  <w:sz w:val="20"/>
                  <w:szCs w:val="20"/>
                </w:rPr>
                <w:t>.</w:t>
              </w:r>
            </w:hyperlink>
            <w:r w:rsidRPr="00A43505">
              <w:rPr>
                <w:rFonts w:ascii="Calibri" w:eastAsia="Calibri" w:hAnsi="Calibri" w:cs="Calibri"/>
                <w:color w:val="000000"/>
                <w:sz w:val="20"/>
                <w:szCs w:val="20"/>
              </w:rPr>
              <w:t xml:space="preserve">  U OSVČ jiné veřejně a bez překážek dostupné místo může být např. v</w:t>
            </w:r>
            <w:r w:rsidR="00C02995">
              <w:rPr>
                <w:rFonts w:ascii="Calibri" w:eastAsia="Calibri" w:hAnsi="Calibri" w:cs="Calibri"/>
                <w:color w:val="000000"/>
                <w:sz w:val="20"/>
                <w:szCs w:val="20"/>
              </w:rPr>
              <w:t> </w:t>
            </w:r>
            <w:r w:rsidRPr="00A43505">
              <w:rPr>
                <w:rFonts w:ascii="Calibri" w:eastAsia="Calibri" w:hAnsi="Calibri" w:cs="Calibri"/>
                <w:color w:val="000000"/>
                <w:sz w:val="20"/>
                <w:szCs w:val="20"/>
              </w:rPr>
              <w:t>místě provozovny. Nestátní neziskové organizace zveřejnění v příslušném rejstříku dle právní formy organizace.</w:t>
            </w:r>
          </w:p>
        </w:tc>
      </w:tr>
      <w:tr w:rsidR="00AB2986" w:rsidRPr="00AB2986" w14:paraId="6DEFAB09" w14:textId="77777777" w:rsidTr="00212113">
        <w:trPr>
          <w:trHeight w:val="283"/>
        </w:trPr>
        <w:tc>
          <w:tcPr>
            <w:tcW w:w="9208" w:type="dxa"/>
            <w:gridSpan w:val="4"/>
            <w:shd w:val="clear" w:color="auto" w:fill="F2DBDB"/>
            <w:vAlign w:val="center"/>
          </w:tcPr>
          <w:p w14:paraId="4D771F11"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b/>
                <w:color w:val="000000"/>
                <w:sz w:val="20"/>
                <w:szCs w:val="20"/>
              </w:rPr>
              <w:t>2. sociální prospěch</w:t>
            </w:r>
          </w:p>
        </w:tc>
      </w:tr>
      <w:tr w:rsidR="00AB2986" w:rsidRPr="00AB2986" w14:paraId="71BB07D0" w14:textId="77777777" w:rsidTr="00212113">
        <w:trPr>
          <w:trHeight w:val="283"/>
        </w:trPr>
        <w:tc>
          <w:tcPr>
            <w:tcW w:w="1724" w:type="dxa"/>
            <w:vMerge w:val="restart"/>
            <w:shd w:val="clear" w:color="auto" w:fill="F2DBDB"/>
          </w:tcPr>
          <w:p w14:paraId="1E816CA3"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a) integrace osob ze znevýhodněných skupin </w:t>
            </w:r>
          </w:p>
        </w:tc>
        <w:tc>
          <w:tcPr>
            <w:tcW w:w="2665" w:type="dxa"/>
            <w:shd w:val="clear" w:color="auto" w:fill="F2DBDB"/>
            <w:vAlign w:val="center"/>
          </w:tcPr>
          <w:p w14:paraId="66316023"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2a1. podíl osob ze znevýhodněných skupin (OZS) tvoří více než 30</w:t>
            </w:r>
            <w:r w:rsidR="00CA7B46" w:rsidRPr="00A43505">
              <w:rPr>
                <w:rFonts w:ascii="Calibri" w:eastAsia="Calibri" w:hAnsi="Calibri" w:cs="Calibri"/>
                <w:color w:val="000000"/>
                <w:sz w:val="20"/>
                <w:szCs w:val="20"/>
              </w:rPr>
              <w:t xml:space="preserve"> </w:t>
            </w:r>
            <w:r w:rsidRPr="00A43505">
              <w:rPr>
                <w:rFonts w:ascii="Calibri" w:eastAsia="Calibri" w:hAnsi="Calibri" w:cs="Calibri"/>
                <w:color w:val="000000"/>
                <w:sz w:val="20"/>
                <w:szCs w:val="20"/>
              </w:rPr>
              <w:t xml:space="preserve">% zaměstnanců a tyto informace jsou veřejně dostupné </w:t>
            </w:r>
          </w:p>
        </w:tc>
        <w:tc>
          <w:tcPr>
            <w:tcW w:w="4819" w:type="dxa"/>
            <w:gridSpan w:val="2"/>
            <w:shd w:val="clear" w:color="auto" w:fill="F2DBDB"/>
            <w:vAlign w:val="center"/>
          </w:tcPr>
          <w:p w14:paraId="0F41FE07"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Doklady o pracovně-právních vztazích všech zaměstnanců podniku. V případě spolupracujících osob u</w:t>
            </w:r>
            <w:r w:rsidR="00212113">
              <w:rPr>
                <w:rFonts w:ascii="Calibri" w:eastAsia="Calibri" w:hAnsi="Calibri" w:cs="Calibri"/>
                <w:color w:val="000000"/>
                <w:sz w:val="20"/>
                <w:szCs w:val="20"/>
              </w:rPr>
              <w:t> </w:t>
            </w:r>
            <w:r w:rsidRPr="00A43505">
              <w:rPr>
                <w:rFonts w:ascii="Calibri" w:eastAsia="Calibri" w:hAnsi="Calibri" w:cs="Calibri"/>
                <w:color w:val="000000"/>
                <w:sz w:val="20"/>
                <w:szCs w:val="20"/>
              </w:rPr>
              <w:t xml:space="preserve">OSVČ doloží příjemce daňové přiznání nebo čestné prohlášení, že poplatník odvedl daň z příjmů. Doklady o příslušnosti k OZS. </w:t>
            </w:r>
          </w:p>
        </w:tc>
      </w:tr>
      <w:tr w:rsidR="00AB2986" w:rsidRPr="00AB2986" w14:paraId="2CD4864F" w14:textId="77777777" w:rsidTr="00212113">
        <w:trPr>
          <w:trHeight w:val="283"/>
        </w:trPr>
        <w:tc>
          <w:tcPr>
            <w:tcW w:w="1724" w:type="dxa"/>
            <w:vMerge/>
            <w:vAlign w:val="center"/>
          </w:tcPr>
          <w:p w14:paraId="2F27BC63"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F2DBDB"/>
            <w:vAlign w:val="center"/>
          </w:tcPr>
          <w:p w14:paraId="2272E554"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 xml:space="preserve">Komentář: </w:t>
            </w:r>
            <w:r w:rsidRPr="00A43505">
              <w:rPr>
                <w:rFonts w:ascii="Calibri" w:eastAsia="Calibri" w:hAnsi="Calibri" w:cs="Calibri"/>
                <w:color w:val="000000"/>
                <w:sz w:val="20"/>
                <w:szCs w:val="20"/>
              </w:rPr>
              <w:t xml:space="preserve"> Poměr zaměstnanců ze znevýhodněných skupin vůči celkovému počtu zaměstnanců se vyjadřuje v průměrných ročních přepočtených počtech zaměstnanců, do kterých se započítávají zaměstnanci s pracovní smlouvou, DPP a DPČ; OSVČ včetně příp. spolupracujících osob prokazují rozsah zapojení (míra zapojení bude vyjádřena v úvazcích nebo v počtu hodin za určité období) informacemi ve zprávách o realizaci projektu. Do kategorie osob ze znevýhodněných skupin patří skupiny, které jsou definovány výzvou.  Veřejně dostupná je pouze informace o podílu osob ze znevýhodněných skupin, nikoli doklady o pracovněprávních vztazích a doklady o příslušnosti k OZS.  </w:t>
            </w:r>
          </w:p>
        </w:tc>
      </w:tr>
      <w:tr w:rsidR="00AB2986" w:rsidRPr="00AB2986" w14:paraId="3359D12D" w14:textId="77777777" w:rsidTr="00212113">
        <w:trPr>
          <w:trHeight w:val="283"/>
        </w:trPr>
        <w:tc>
          <w:tcPr>
            <w:tcW w:w="1724" w:type="dxa"/>
            <w:vMerge/>
            <w:vAlign w:val="center"/>
          </w:tcPr>
          <w:p w14:paraId="7031406A" w14:textId="77777777" w:rsidR="00AB2986" w:rsidRPr="00A43505" w:rsidRDefault="00AB2986" w:rsidP="00A43505">
            <w:pPr>
              <w:rPr>
                <w:rFonts w:ascii="Calibri" w:eastAsia="Calibri" w:hAnsi="Calibri" w:cs="Calibri"/>
                <w:color w:val="000000"/>
                <w:sz w:val="20"/>
                <w:szCs w:val="20"/>
              </w:rPr>
            </w:pPr>
          </w:p>
        </w:tc>
        <w:tc>
          <w:tcPr>
            <w:tcW w:w="2665" w:type="dxa"/>
            <w:shd w:val="clear" w:color="auto" w:fill="F2DBDB"/>
          </w:tcPr>
          <w:p w14:paraId="2C8119CC"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2a2. podnik používá personální a integrační nástroje podporující rozvoj a integraci zaměstnanců z cílových skupin</w:t>
            </w:r>
          </w:p>
        </w:tc>
        <w:tc>
          <w:tcPr>
            <w:tcW w:w="4819" w:type="dxa"/>
            <w:gridSpan w:val="2"/>
            <w:shd w:val="clear" w:color="auto" w:fill="F2DBDB"/>
            <w:vAlign w:val="center"/>
          </w:tcPr>
          <w:p w14:paraId="6FC7612D"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Doklad o pracovně-právním vztahu (pracovní smlouva, DPP, DPČ) a náplň práce osoby, která integrační personalistiku poskytuje, nebo doklad o poskytnutí služby a jejím charakteru (pokud je podpora externí).</w:t>
            </w:r>
          </w:p>
          <w:p w14:paraId="4EE7F2C8"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Nástroje integrační personalistiky podporující rozvoj a integraci cílové skupiny zaměstnanců (forma zpracování je na příjemci, např. interní předpis, metodika, individuální plány). </w:t>
            </w:r>
          </w:p>
        </w:tc>
      </w:tr>
      <w:tr w:rsidR="00AB2986" w:rsidRPr="00AB2986" w14:paraId="51249A0B" w14:textId="77777777" w:rsidTr="00212113">
        <w:trPr>
          <w:trHeight w:val="283"/>
        </w:trPr>
        <w:tc>
          <w:tcPr>
            <w:tcW w:w="1724" w:type="dxa"/>
            <w:vMerge/>
            <w:vAlign w:val="center"/>
          </w:tcPr>
          <w:p w14:paraId="17BA821E"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F2DBDB"/>
            <w:vAlign w:val="center"/>
          </w:tcPr>
          <w:p w14:paraId="691E7969"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 xml:space="preserve">Komentář: </w:t>
            </w:r>
            <w:r w:rsidRPr="00A43505">
              <w:rPr>
                <w:rFonts w:ascii="Calibri" w:eastAsia="Calibri" w:hAnsi="Calibri" w:cs="Calibri"/>
                <w:color w:val="000000"/>
                <w:sz w:val="20"/>
                <w:szCs w:val="20"/>
              </w:rPr>
              <w:t xml:space="preserve"> Personální a integrační nástroje: soubor všech nástrojů sociálního podniku, které jsou potřeba k přípravě a vykonávání pracovní pozice, jsou to nástroje, které umožňují zaměstnanci výkon pracovní činnosti a zároveň přispívají k řešení jeho individuálních specifických potřeb. Formou mohou být individuální plány rozvoje zaměstnanců, které jsou souhrnem profesních a osobních cílů zaměstnance, jichž chce zaměstnanec dosáhnout za pomoci a ve spolupráci s integračním personalistou, tak, aby poskytování služby směřovalo k jeho zplnomocňování a integraci.</w:t>
            </w:r>
          </w:p>
        </w:tc>
      </w:tr>
      <w:tr w:rsidR="00AB2986" w:rsidRPr="00AB2986" w14:paraId="44DE439A" w14:textId="77777777" w:rsidTr="00212113">
        <w:trPr>
          <w:trHeight w:val="283"/>
        </w:trPr>
        <w:tc>
          <w:tcPr>
            <w:tcW w:w="1724" w:type="dxa"/>
            <w:shd w:val="clear" w:color="auto" w:fill="F2DBDB"/>
          </w:tcPr>
          <w:p w14:paraId="04367D3A"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b) účast zaměstnanců a členů na směřování podniku</w:t>
            </w:r>
          </w:p>
        </w:tc>
        <w:tc>
          <w:tcPr>
            <w:tcW w:w="2665" w:type="dxa"/>
            <w:shd w:val="clear" w:color="auto" w:fill="F2DBDB"/>
            <w:vAlign w:val="center"/>
          </w:tcPr>
          <w:p w14:paraId="396EDCC2"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2b1. zaměstnanci a/nebo členové jsou pravidelně a systematicky informováni o chodu podniku, výsledcích hospodaření a naplňování společensky prospěšných cílů; zaměstnanci a/nebo členové jsou zapojení do rozhodování o směrování podniku</w:t>
            </w:r>
          </w:p>
        </w:tc>
        <w:tc>
          <w:tcPr>
            <w:tcW w:w="4819" w:type="dxa"/>
            <w:gridSpan w:val="2"/>
            <w:shd w:val="clear" w:color="auto" w:fill="F2DBDB"/>
          </w:tcPr>
          <w:p w14:paraId="6D17CB47"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Lze doložit jedním z uvedených způsobů: strategie zapojování zaměstnanců, interní zpravodaj, zápisy z příslušných schůzí, výsledky dotazníkového šetření, příp. jiný prokazatelný způsob. </w:t>
            </w:r>
          </w:p>
        </w:tc>
      </w:tr>
      <w:tr w:rsidR="00AB2986" w:rsidRPr="00AB2986" w14:paraId="12221DA0" w14:textId="77777777" w:rsidTr="00212113">
        <w:tblPrEx>
          <w:tblCellMar>
            <w:right w:w="75" w:type="dxa"/>
          </w:tblCellMar>
        </w:tblPrEx>
        <w:trPr>
          <w:trHeight w:val="283"/>
        </w:trPr>
        <w:tc>
          <w:tcPr>
            <w:tcW w:w="1724" w:type="dxa"/>
            <w:shd w:val="clear" w:color="auto" w:fill="F2DBDB"/>
            <w:vAlign w:val="center"/>
          </w:tcPr>
          <w:p w14:paraId="1DD43880"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F2DBDB"/>
            <w:vAlign w:val="center"/>
          </w:tcPr>
          <w:p w14:paraId="718839E6"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Komentář:</w:t>
            </w:r>
            <w:r w:rsidRPr="00A43505">
              <w:rPr>
                <w:rFonts w:ascii="Calibri" w:eastAsia="Calibri" w:hAnsi="Calibri" w:cs="Calibri"/>
                <w:color w:val="000000"/>
                <w:sz w:val="20"/>
                <w:szCs w:val="20"/>
              </w:rPr>
              <w:t xml:space="preserve">  Zaměstnavatel má vypracovanou strategii zapojování zaměstnanců do rozhodujících procesů podle jejich individuálních možností a má definovány oblasti, kde k</w:t>
            </w:r>
            <w:r w:rsidR="00212113">
              <w:rPr>
                <w:rFonts w:ascii="Calibri" w:eastAsia="Calibri" w:hAnsi="Calibri" w:cs="Calibri"/>
                <w:color w:val="000000"/>
                <w:sz w:val="20"/>
                <w:szCs w:val="20"/>
              </w:rPr>
              <w:t> </w:t>
            </w:r>
            <w:r w:rsidRPr="00A43505">
              <w:rPr>
                <w:rFonts w:ascii="Calibri" w:eastAsia="Calibri" w:hAnsi="Calibri" w:cs="Calibri"/>
                <w:color w:val="000000"/>
                <w:sz w:val="20"/>
                <w:szCs w:val="20"/>
              </w:rPr>
              <w:t xml:space="preserve">zapojení zaměstnanců dochází (provoz, obchod, PR). Informace jsou zpracovány tak, aby jim všichni zaměstnanci rozuměli. Míra zapojení může být různá, vždy se týká pouze členů a/nebo zaměstnanců, kteří jsou k participaci způsobilí vzhledem k míře a typu svého znevýhodnění; musí existovat prostor pro zaměstnance a/nebo členy, aby mohli na směřování podniku participovat, pokud mají zájem. Automaticky tento rozpoznávací znak naplňují družstva za předpokladu, že zaměstnanci ze znevýhodněných skupin jsou členy družstva. </w:t>
            </w:r>
          </w:p>
        </w:tc>
      </w:tr>
      <w:tr w:rsidR="00AB2986" w:rsidRPr="00AB2986" w14:paraId="78E63D26" w14:textId="77777777" w:rsidTr="00212113">
        <w:tblPrEx>
          <w:tblCellMar>
            <w:right w:w="75" w:type="dxa"/>
          </w:tblCellMar>
        </w:tblPrEx>
        <w:trPr>
          <w:trHeight w:val="283"/>
        </w:trPr>
        <w:tc>
          <w:tcPr>
            <w:tcW w:w="9208" w:type="dxa"/>
            <w:gridSpan w:val="4"/>
            <w:shd w:val="clear" w:color="auto" w:fill="C6D9F1"/>
            <w:vAlign w:val="center"/>
          </w:tcPr>
          <w:p w14:paraId="41D73A59"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b/>
                <w:color w:val="000000"/>
                <w:sz w:val="20"/>
                <w:szCs w:val="20"/>
              </w:rPr>
              <w:t>3. ekonomický prospěch</w:t>
            </w:r>
          </w:p>
        </w:tc>
      </w:tr>
      <w:tr w:rsidR="00AB2986" w:rsidRPr="00AB2986" w14:paraId="269E14CA" w14:textId="77777777" w:rsidTr="00212113">
        <w:tblPrEx>
          <w:tblCellMar>
            <w:right w:w="75" w:type="dxa"/>
          </w:tblCellMar>
        </w:tblPrEx>
        <w:trPr>
          <w:trHeight w:val="283"/>
        </w:trPr>
        <w:tc>
          <w:tcPr>
            <w:tcW w:w="1724" w:type="dxa"/>
            <w:vMerge w:val="restart"/>
            <w:shd w:val="clear" w:color="auto" w:fill="C6D9F1"/>
          </w:tcPr>
          <w:p w14:paraId="33C4CC52"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a) případný zisk používán přednostně pro rozvoj sociálního podniku a/nebo pro naplnění jeho společensky prospěšných cílů </w:t>
            </w:r>
          </w:p>
        </w:tc>
        <w:tc>
          <w:tcPr>
            <w:tcW w:w="3014" w:type="dxa"/>
            <w:gridSpan w:val="2"/>
            <w:shd w:val="clear" w:color="auto" w:fill="C6D9F1"/>
            <w:vAlign w:val="center"/>
          </w:tcPr>
          <w:p w14:paraId="1FDF46D3"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3a1</w:t>
            </w:r>
            <w:r w:rsidR="00CA7B46" w:rsidRPr="00A43505">
              <w:rPr>
                <w:rFonts w:ascii="Calibri" w:eastAsia="Calibri" w:hAnsi="Calibri" w:cs="Calibri"/>
                <w:color w:val="000000"/>
                <w:sz w:val="20"/>
                <w:szCs w:val="20"/>
              </w:rPr>
              <w:t xml:space="preserve">. </w:t>
            </w:r>
            <w:r w:rsidRPr="00A43505">
              <w:rPr>
                <w:rFonts w:ascii="Calibri" w:eastAsia="Calibri" w:hAnsi="Calibri" w:cs="Calibri"/>
                <w:color w:val="000000"/>
                <w:sz w:val="20"/>
                <w:szCs w:val="20"/>
              </w:rPr>
              <w:t>min. 51</w:t>
            </w:r>
            <w:r w:rsidR="00CA7B46" w:rsidRPr="00A43505">
              <w:rPr>
                <w:rFonts w:ascii="Calibri" w:eastAsia="Calibri" w:hAnsi="Calibri" w:cs="Calibri"/>
                <w:color w:val="000000"/>
                <w:sz w:val="20"/>
                <w:szCs w:val="20"/>
              </w:rPr>
              <w:t xml:space="preserve"> </w:t>
            </w:r>
            <w:r w:rsidRPr="00A43505">
              <w:rPr>
                <w:rFonts w:ascii="Calibri" w:eastAsia="Calibri" w:hAnsi="Calibri" w:cs="Calibri"/>
                <w:color w:val="000000"/>
                <w:sz w:val="20"/>
                <w:szCs w:val="20"/>
              </w:rPr>
              <w:t xml:space="preserve">% případného zisku je reinvestováno do rozvoje sociálního podniku a/nebo naplňování jeho deklarovaných společensky prospěšných cílů a informace o využití případného zisku je veřejně dostupná </w:t>
            </w:r>
          </w:p>
        </w:tc>
        <w:tc>
          <w:tcPr>
            <w:tcW w:w="4470" w:type="dxa"/>
            <w:shd w:val="clear" w:color="auto" w:fill="C6D9F1"/>
          </w:tcPr>
          <w:p w14:paraId="53ACC8BE"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Účetní uzávěrka a příloha k účetní uzávěrce za nejbližší uzavřený kalendářní rok zveřejněná na </w:t>
            </w:r>
            <w:hyperlink r:id="rId20">
              <w:r w:rsidRPr="00A43505">
                <w:rPr>
                  <w:rFonts w:ascii="Calibri" w:eastAsia="Calibri" w:hAnsi="Calibri" w:cs="Calibri"/>
                  <w:color w:val="000000"/>
                  <w:sz w:val="20"/>
                  <w:szCs w:val="20"/>
                </w:rPr>
                <w:t>www.justice.cz</w:t>
              </w:r>
            </w:hyperlink>
            <w:hyperlink r:id="rId21">
              <w:r w:rsidRPr="00A43505">
                <w:rPr>
                  <w:rFonts w:ascii="Calibri" w:eastAsia="Calibri" w:hAnsi="Calibri" w:cs="Calibri"/>
                  <w:color w:val="000000"/>
                  <w:sz w:val="20"/>
                  <w:szCs w:val="20"/>
                </w:rPr>
                <w:t>.</w:t>
              </w:r>
            </w:hyperlink>
            <w:r w:rsidRPr="00A43505">
              <w:rPr>
                <w:rFonts w:ascii="Calibri" w:eastAsia="Calibri" w:hAnsi="Calibri" w:cs="Calibri"/>
                <w:color w:val="000000"/>
                <w:sz w:val="20"/>
                <w:szCs w:val="20"/>
              </w:rPr>
              <w:t xml:space="preserve"> OSVČ formou čestného prohlášení.</w:t>
            </w:r>
            <w:r w:rsidRPr="00A43505">
              <w:rPr>
                <w:rFonts w:ascii="Calibri" w:eastAsia="Arial" w:hAnsi="Calibri" w:cs="Calibri"/>
                <w:b/>
                <w:color w:val="000000"/>
                <w:sz w:val="20"/>
                <w:szCs w:val="20"/>
              </w:rPr>
              <w:t xml:space="preserve"> </w:t>
            </w:r>
          </w:p>
        </w:tc>
      </w:tr>
      <w:tr w:rsidR="00AB2986" w:rsidRPr="00AB2986" w14:paraId="188B3014" w14:textId="77777777" w:rsidTr="00212113">
        <w:tblPrEx>
          <w:tblCellMar>
            <w:right w:w="75" w:type="dxa"/>
          </w:tblCellMar>
        </w:tblPrEx>
        <w:trPr>
          <w:trHeight w:val="283"/>
        </w:trPr>
        <w:tc>
          <w:tcPr>
            <w:tcW w:w="1724" w:type="dxa"/>
            <w:vMerge/>
            <w:vAlign w:val="center"/>
          </w:tcPr>
          <w:p w14:paraId="19905537"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C6D9F1"/>
            <w:vAlign w:val="center"/>
          </w:tcPr>
          <w:p w14:paraId="5121CB90"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 xml:space="preserve">Komentář: </w:t>
            </w:r>
            <w:r w:rsidRPr="00A43505">
              <w:rPr>
                <w:rFonts w:ascii="Calibri" w:eastAsia="Calibri" w:hAnsi="Calibri" w:cs="Calibri"/>
                <w:color w:val="000000"/>
                <w:sz w:val="20"/>
                <w:szCs w:val="20"/>
              </w:rPr>
              <w:t xml:space="preserve"> Pokud podnik vykazuje ztrátu, není relevantní. Každoročně nejvyšší orgán společnosti schvaluje převedení min. 51 % zisku po zdanění na účty zavedené k účelu sledování hospodaření se ziskem (příklady účtů: 428 </w:t>
            </w:r>
            <w:r w:rsidRPr="00A054E0">
              <w:rPr>
                <w:rFonts w:ascii="Calibri" w:eastAsia="Calibri" w:hAnsi="Calibri" w:cs="Calibri"/>
                <w:color w:val="000000"/>
                <w:sz w:val="20"/>
                <w:szCs w:val="20"/>
              </w:rPr>
              <w:t>Nerozdělený zisk minulých let</w:t>
            </w:r>
            <w:r w:rsidRPr="00A43505">
              <w:rPr>
                <w:rFonts w:ascii="Calibri" w:eastAsia="Calibri" w:hAnsi="Calibri" w:cs="Calibri"/>
                <w:color w:val="000000"/>
                <w:sz w:val="20"/>
                <w:szCs w:val="20"/>
              </w:rPr>
              <w:t>, 423 </w:t>
            </w:r>
            <w:r w:rsidRPr="00A054E0">
              <w:rPr>
                <w:rFonts w:ascii="Calibri" w:eastAsia="Calibri" w:hAnsi="Calibri" w:cs="Calibri"/>
                <w:color w:val="000000"/>
                <w:sz w:val="20"/>
                <w:szCs w:val="20"/>
              </w:rPr>
              <w:t>Fond společensky odpovědné reinvestice</w:t>
            </w:r>
            <w:r w:rsidRPr="00A43505">
              <w:rPr>
                <w:rFonts w:ascii="Calibri" w:eastAsia="Calibri" w:hAnsi="Calibri" w:cs="Calibri"/>
                <w:color w:val="000000"/>
                <w:sz w:val="20"/>
                <w:szCs w:val="20"/>
              </w:rPr>
              <w:t>, v účetní uzávěrce v rozvaze řádek A.III.2</w:t>
            </w:r>
            <w:r w:rsidR="00212113">
              <w:rPr>
                <w:rFonts w:ascii="Calibri" w:eastAsia="Calibri" w:hAnsi="Calibri" w:cs="Calibri"/>
                <w:color w:val="000000"/>
                <w:sz w:val="20"/>
                <w:szCs w:val="20"/>
              </w:rPr>
              <w:t> </w:t>
            </w:r>
            <w:r w:rsidRPr="00A054E0">
              <w:rPr>
                <w:rFonts w:ascii="Calibri" w:eastAsia="Calibri" w:hAnsi="Calibri" w:cs="Calibri"/>
                <w:color w:val="000000"/>
                <w:sz w:val="20"/>
                <w:szCs w:val="20"/>
              </w:rPr>
              <w:t>Statutární a ostatní fondy</w:t>
            </w:r>
            <w:r w:rsidRPr="00A43505">
              <w:rPr>
                <w:rFonts w:ascii="Calibri" w:eastAsia="Calibri" w:hAnsi="Calibri" w:cs="Calibri"/>
                <w:color w:val="000000"/>
                <w:sz w:val="20"/>
                <w:szCs w:val="20"/>
              </w:rPr>
              <w:t xml:space="preserve">, A.IV.1 </w:t>
            </w:r>
            <w:r w:rsidRPr="00A054E0">
              <w:rPr>
                <w:rFonts w:ascii="Calibri" w:eastAsia="Calibri" w:hAnsi="Calibri" w:cs="Calibri"/>
                <w:color w:val="000000"/>
                <w:sz w:val="20"/>
                <w:szCs w:val="20"/>
              </w:rPr>
              <w:t>Nerozdělený zisk z minulých let</w:t>
            </w:r>
            <w:r w:rsidRPr="00A43505">
              <w:rPr>
                <w:rFonts w:ascii="Calibri" w:eastAsia="Calibri" w:hAnsi="Calibri" w:cs="Calibri"/>
                <w:color w:val="000000"/>
                <w:sz w:val="20"/>
                <w:szCs w:val="20"/>
              </w:rPr>
              <w:t xml:space="preserve">). V příloze účetní závěrky bude obsažena informace o pohybech na uvedených účtech vč. sdělení, do čeho byl zisk reinvestován. </w:t>
            </w:r>
          </w:p>
        </w:tc>
      </w:tr>
      <w:tr w:rsidR="00AB2986" w:rsidRPr="00AB2986" w14:paraId="0BFFABEF" w14:textId="77777777" w:rsidTr="00212113">
        <w:tblPrEx>
          <w:tblCellMar>
            <w:right w:w="75" w:type="dxa"/>
          </w:tblCellMar>
        </w:tblPrEx>
        <w:trPr>
          <w:trHeight w:val="283"/>
        </w:trPr>
        <w:tc>
          <w:tcPr>
            <w:tcW w:w="1724" w:type="dxa"/>
            <w:vMerge w:val="restart"/>
            <w:shd w:val="clear" w:color="auto" w:fill="C6D9F1"/>
            <w:vAlign w:val="center"/>
          </w:tcPr>
          <w:p w14:paraId="2EC01DCC"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b) nezávislost (autonomie) v manažerském rozhodování a řízení na externích zakladatelích nebo zřizovatelích </w:t>
            </w:r>
          </w:p>
        </w:tc>
        <w:tc>
          <w:tcPr>
            <w:tcW w:w="3014" w:type="dxa"/>
            <w:gridSpan w:val="2"/>
            <w:shd w:val="clear" w:color="auto" w:fill="C6D9F1"/>
            <w:vAlign w:val="center"/>
          </w:tcPr>
          <w:p w14:paraId="1B43ED3C"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3b1. manažerské řízení podniku je nezávislé na externím zřizovateli či vlastníkovi </w:t>
            </w:r>
          </w:p>
        </w:tc>
        <w:tc>
          <w:tcPr>
            <w:tcW w:w="4470" w:type="dxa"/>
            <w:shd w:val="clear" w:color="auto" w:fill="C6D9F1"/>
            <w:vAlign w:val="center"/>
          </w:tcPr>
          <w:p w14:paraId="17F0CD46"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Zakládací dokumenty a</w:t>
            </w:r>
            <w:r w:rsidR="00532A49">
              <w:rPr>
                <w:rFonts w:ascii="Calibri" w:eastAsia="Calibri" w:hAnsi="Calibri" w:cs="Calibri"/>
                <w:color w:val="000000"/>
                <w:sz w:val="20"/>
                <w:szCs w:val="20"/>
              </w:rPr>
              <w:t> </w:t>
            </w:r>
            <w:r w:rsidRPr="00A43505">
              <w:rPr>
                <w:rFonts w:ascii="Calibri" w:eastAsia="Calibri" w:hAnsi="Calibri" w:cs="Calibri"/>
                <w:color w:val="000000"/>
                <w:sz w:val="20"/>
                <w:szCs w:val="20"/>
              </w:rPr>
              <w:t xml:space="preserve">závazné vnitřní předpisy organizace. Pokud externí vlastník či zřizovatel neexistuje, podmínka je naplněna automaticky. </w:t>
            </w:r>
          </w:p>
        </w:tc>
      </w:tr>
      <w:tr w:rsidR="00AB2986" w:rsidRPr="00AB2986" w14:paraId="6D611424" w14:textId="77777777" w:rsidTr="00212113">
        <w:tblPrEx>
          <w:tblCellMar>
            <w:right w:w="75" w:type="dxa"/>
          </w:tblCellMar>
        </w:tblPrEx>
        <w:trPr>
          <w:trHeight w:val="283"/>
        </w:trPr>
        <w:tc>
          <w:tcPr>
            <w:tcW w:w="1724" w:type="dxa"/>
            <w:vMerge/>
            <w:vAlign w:val="center"/>
          </w:tcPr>
          <w:p w14:paraId="6A739776"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C6D9F1"/>
            <w:vAlign w:val="center"/>
          </w:tcPr>
          <w:p w14:paraId="6F866713"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 xml:space="preserve">Komentář: </w:t>
            </w:r>
            <w:r w:rsidRPr="00A43505">
              <w:rPr>
                <w:rFonts w:ascii="Calibri" w:eastAsia="Calibri" w:hAnsi="Calibri" w:cs="Calibri"/>
                <w:color w:val="000000"/>
                <w:sz w:val="20"/>
                <w:szCs w:val="20"/>
              </w:rPr>
              <w:t xml:space="preserve"> Nezávislostí se zde míní autonomie v manažerském rozhodování a řízení. Nezávislost se posuzuje v těchto oblastech: řídící struktura, rozhodovací pravomoci, dispozice podpisovým právem a schvalovací procesy.  </w:t>
            </w:r>
          </w:p>
          <w:p w14:paraId="122D429C"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Pokud je jedním ze zřizovatelů obec, její celkový vlastnický podíl v podniku musí být menší než 50%. Pokud je zřizovatelem více obcí, vlastnický podíl každé z těchto obcí musí být menší než 50 %. V zakládacích dokumentech sociálního podniku je vymezena míra nezávislosti na těchto jednotlivých obcích, která spočívá v dodržování principů demokratického řízení a široké participace a žádná z těchto obcí nedisponuje většinou rozhodovacích práv.  Zřizovatelem může být dobrovolný svazek obcí, který je složen nejméně ze tří obcí a žádná z nich v něm nedisponuje většinou rozhodovacích práv. Ve stanovách svazku obcí je zakotvena nezávislost rozhodování orgánů svazku daná dodržováním principů demokratického řízení a široké participace a jeho rozhodování není založeno na výši kapitálových podílů. Ve stanovách svazku obcí je vymezena míra nezávislosti na svazku obcí i na jednotlivých obcích.  </w:t>
            </w:r>
          </w:p>
        </w:tc>
      </w:tr>
      <w:tr w:rsidR="00AB2986" w:rsidRPr="00AB2986" w14:paraId="50FB7F1B" w14:textId="77777777" w:rsidTr="00212113">
        <w:tblPrEx>
          <w:tblCellMar>
            <w:right w:w="75" w:type="dxa"/>
          </w:tblCellMar>
        </w:tblPrEx>
        <w:trPr>
          <w:trHeight w:val="283"/>
        </w:trPr>
        <w:tc>
          <w:tcPr>
            <w:tcW w:w="1724" w:type="dxa"/>
            <w:vMerge w:val="restart"/>
            <w:shd w:val="clear" w:color="auto" w:fill="C6D9F1"/>
          </w:tcPr>
          <w:p w14:paraId="404E8F21"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c) alespoň minimální podíl tržeb z prodeje výrobků a služeb na celkových výnosech  </w:t>
            </w:r>
          </w:p>
        </w:tc>
        <w:tc>
          <w:tcPr>
            <w:tcW w:w="3014" w:type="dxa"/>
            <w:gridSpan w:val="2"/>
            <w:shd w:val="clear" w:color="auto" w:fill="C6D9F1"/>
          </w:tcPr>
          <w:p w14:paraId="20D5CE1D"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3c1. tržby z prodeje výrobků a/nebo služeb tvoří alespoň </w:t>
            </w:r>
          </w:p>
          <w:p w14:paraId="4551024E"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30% z celkových výnosů podniku  </w:t>
            </w:r>
          </w:p>
        </w:tc>
        <w:tc>
          <w:tcPr>
            <w:tcW w:w="4470" w:type="dxa"/>
            <w:shd w:val="clear" w:color="auto" w:fill="C6D9F1"/>
            <w:vAlign w:val="center"/>
          </w:tcPr>
          <w:p w14:paraId="4FD24706"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Výsledovka podniku za posledních 12 měsíců realizace projektu nebo peněžní deník za posledních 12 měsíců realizace projektu (pro fyzické osoby, které vedou daňovou evidenci podle zákona č.</w:t>
            </w:r>
            <w:r w:rsidR="00212113">
              <w:rPr>
                <w:rFonts w:ascii="Calibri" w:eastAsia="Calibri" w:hAnsi="Calibri" w:cs="Calibri"/>
                <w:color w:val="000000"/>
                <w:sz w:val="20"/>
                <w:szCs w:val="20"/>
              </w:rPr>
              <w:t> </w:t>
            </w:r>
            <w:r w:rsidRPr="00A43505">
              <w:rPr>
                <w:rFonts w:ascii="Calibri" w:eastAsia="Calibri" w:hAnsi="Calibri" w:cs="Calibri"/>
                <w:color w:val="000000"/>
                <w:sz w:val="20"/>
                <w:szCs w:val="20"/>
              </w:rPr>
              <w:t>586/1992</w:t>
            </w:r>
            <w:r w:rsidR="00212113">
              <w:rPr>
                <w:rFonts w:ascii="Calibri" w:eastAsia="Calibri" w:hAnsi="Calibri" w:cs="Calibri"/>
                <w:color w:val="000000"/>
                <w:sz w:val="20"/>
                <w:szCs w:val="20"/>
              </w:rPr>
              <w:t> </w:t>
            </w:r>
            <w:r w:rsidRPr="00A43505">
              <w:rPr>
                <w:rFonts w:ascii="Calibri" w:eastAsia="Calibri" w:hAnsi="Calibri" w:cs="Calibri"/>
                <w:color w:val="000000"/>
                <w:sz w:val="20"/>
                <w:szCs w:val="20"/>
              </w:rPr>
              <w:t xml:space="preserve">Sb., o daních z příjmů, ve znění pozdějších předpisů, nebo uplatňují výdaje procentem z příjmů - paušální výdaje a zároveň nevedou účetnictví).  </w:t>
            </w:r>
          </w:p>
        </w:tc>
      </w:tr>
      <w:tr w:rsidR="00AB2986" w:rsidRPr="00AB2986" w14:paraId="346C0A75" w14:textId="77777777" w:rsidTr="00212113">
        <w:tblPrEx>
          <w:tblCellMar>
            <w:right w:w="75" w:type="dxa"/>
          </w:tblCellMar>
        </w:tblPrEx>
        <w:trPr>
          <w:trHeight w:val="283"/>
        </w:trPr>
        <w:tc>
          <w:tcPr>
            <w:tcW w:w="1724" w:type="dxa"/>
            <w:vMerge/>
            <w:vAlign w:val="center"/>
          </w:tcPr>
          <w:p w14:paraId="5B48050D"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C6D9F1"/>
            <w:vAlign w:val="center"/>
          </w:tcPr>
          <w:p w14:paraId="74F6A02E"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 xml:space="preserve">Komentář: </w:t>
            </w:r>
            <w:r w:rsidRPr="00A43505">
              <w:rPr>
                <w:rFonts w:ascii="Calibri" w:eastAsia="Calibri" w:hAnsi="Calibri" w:cs="Calibri"/>
                <w:color w:val="000000"/>
                <w:sz w:val="20"/>
                <w:szCs w:val="20"/>
              </w:rPr>
              <w:t>Do celkových výnosů se pro účely tohoto rozpoznávacího znaku nezapočítávají investiční dotace. Tento rozpoznávací znak se sleduje za posledních 12 měsíců realizace projektu.</w:t>
            </w:r>
            <w:r w:rsidRPr="00A43505">
              <w:rPr>
                <w:rFonts w:ascii="Calibri" w:eastAsia="Calibri" w:hAnsi="Calibri" w:cs="Calibri"/>
                <w:b/>
                <w:color w:val="000000"/>
                <w:sz w:val="20"/>
                <w:szCs w:val="20"/>
              </w:rPr>
              <w:t xml:space="preserve"> </w:t>
            </w:r>
          </w:p>
        </w:tc>
      </w:tr>
      <w:tr w:rsidR="00AB2986" w:rsidRPr="00AB2986" w14:paraId="5B38A661" w14:textId="77777777" w:rsidTr="00212113">
        <w:tblPrEx>
          <w:tblCellMar>
            <w:right w:w="75" w:type="dxa"/>
          </w:tblCellMar>
        </w:tblPrEx>
        <w:trPr>
          <w:trHeight w:val="283"/>
        </w:trPr>
        <w:tc>
          <w:tcPr>
            <w:tcW w:w="9208" w:type="dxa"/>
            <w:gridSpan w:val="4"/>
            <w:shd w:val="clear" w:color="auto" w:fill="EAF1DD"/>
            <w:vAlign w:val="center"/>
          </w:tcPr>
          <w:p w14:paraId="2FDA0D30"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b/>
                <w:color w:val="000000"/>
                <w:sz w:val="20"/>
                <w:szCs w:val="20"/>
              </w:rPr>
              <w:t>4. environmentální prospěch</w:t>
            </w:r>
          </w:p>
        </w:tc>
      </w:tr>
      <w:tr w:rsidR="00AB2986" w:rsidRPr="00AB2986" w14:paraId="7055716E" w14:textId="77777777" w:rsidTr="00212113">
        <w:tblPrEx>
          <w:tblCellMar>
            <w:right w:w="75" w:type="dxa"/>
          </w:tblCellMar>
        </w:tblPrEx>
        <w:trPr>
          <w:trHeight w:val="283"/>
        </w:trPr>
        <w:tc>
          <w:tcPr>
            <w:tcW w:w="1724" w:type="dxa"/>
            <w:shd w:val="clear" w:color="auto" w:fill="EAF1DD"/>
          </w:tcPr>
          <w:p w14:paraId="2753BD11"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a) zohledňování environmentálních aspektů výroby i spotřeby </w:t>
            </w:r>
          </w:p>
        </w:tc>
        <w:tc>
          <w:tcPr>
            <w:tcW w:w="3014" w:type="dxa"/>
            <w:gridSpan w:val="2"/>
            <w:shd w:val="clear" w:color="auto" w:fill="EAF1DD"/>
          </w:tcPr>
          <w:p w14:paraId="5289093F"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4a1. podnik má formulované zásady environmentálně šetrného podnikání, které jsou veřejně dostupné,  a zároveň tyto zásady naplňuje v praxi </w:t>
            </w:r>
          </w:p>
        </w:tc>
        <w:tc>
          <w:tcPr>
            <w:tcW w:w="4470" w:type="dxa"/>
            <w:shd w:val="clear" w:color="auto" w:fill="EAF1DD"/>
            <w:vAlign w:val="center"/>
          </w:tcPr>
          <w:p w14:paraId="6E348815"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Doložení naplňování v praxi skrze dokumenty: 3 účetní doklady o používání ekologicky šetrných výrobků (recyklované tonery, papíry, certifikace EŠV, BIO, </w:t>
            </w:r>
            <w:proofErr w:type="spellStart"/>
            <w:r w:rsidRPr="00A43505">
              <w:rPr>
                <w:rFonts w:ascii="Calibri" w:eastAsia="Calibri" w:hAnsi="Calibri" w:cs="Calibri"/>
                <w:color w:val="000000"/>
                <w:sz w:val="20"/>
                <w:szCs w:val="20"/>
              </w:rPr>
              <w:t>Fairtrade</w:t>
            </w:r>
            <w:proofErr w:type="spellEnd"/>
            <w:r w:rsidRPr="00A43505">
              <w:rPr>
                <w:rFonts w:ascii="Calibri" w:eastAsia="Calibri" w:hAnsi="Calibri" w:cs="Calibri"/>
                <w:color w:val="000000"/>
                <w:sz w:val="20"/>
                <w:szCs w:val="20"/>
              </w:rPr>
              <w:t xml:space="preserve"> apod.), průkaz energetické náročnosti budovy (tj. energetický štítek) A nebo B, zpracovaný environmentální audit typu EMS/EMAS apod.</w:t>
            </w:r>
          </w:p>
        </w:tc>
      </w:tr>
      <w:tr w:rsidR="00AB2986" w:rsidRPr="00AB2986" w14:paraId="5F3E8BC8" w14:textId="77777777" w:rsidTr="00212113">
        <w:tblPrEx>
          <w:tblCellMar>
            <w:right w:w="75" w:type="dxa"/>
          </w:tblCellMar>
        </w:tblPrEx>
        <w:trPr>
          <w:trHeight w:val="283"/>
        </w:trPr>
        <w:tc>
          <w:tcPr>
            <w:tcW w:w="1724" w:type="dxa"/>
            <w:shd w:val="clear" w:color="auto" w:fill="EAF1DD"/>
            <w:vAlign w:val="center"/>
          </w:tcPr>
          <w:p w14:paraId="18ED8711"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EAF1DD"/>
            <w:vAlign w:val="center"/>
          </w:tcPr>
          <w:p w14:paraId="6B6365A0"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Komentář:</w:t>
            </w:r>
            <w:r w:rsidRPr="00A43505">
              <w:rPr>
                <w:rFonts w:ascii="Calibri" w:eastAsia="Calibri" w:hAnsi="Calibri" w:cs="Calibri"/>
                <w:color w:val="000000"/>
                <w:sz w:val="20"/>
                <w:szCs w:val="20"/>
              </w:rPr>
              <w:t xml:space="preserve"> Realizaci v praxi lze prokázat také ověřením na místě: nadstandardně hospodárné využívání materiálů a eliminace vzniku odpadů, využívání energeticky úsporných spotřebičů, způsob třídění odpadů a jejich následná likvidace, používání ekologických obalů, ekologicky šetrných prostředků apod.</w:t>
            </w:r>
          </w:p>
        </w:tc>
      </w:tr>
      <w:tr w:rsidR="00AB2986" w:rsidRPr="00AB2986" w14:paraId="006BB19A" w14:textId="77777777" w:rsidTr="00212113">
        <w:tblPrEx>
          <w:tblCellMar>
            <w:right w:w="75" w:type="dxa"/>
          </w:tblCellMar>
        </w:tblPrEx>
        <w:trPr>
          <w:trHeight w:val="283"/>
        </w:trPr>
        <w:tc>
          <w:tcPr>
            <w:tcW w:w="9208" w:type="dxa"/>
            <w:gridSpan w:val="4"/>
            <w:shd w:val="clear" w:color="auto" w:fill="EAF1DD"/>
            <w:vAlign w:val="center"/>
          </w:tcPr>
          <w:p w14:paraId="7D855DC8"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b/>
                <w:color w:val="000000"/>
                <w:sz w:val="20"/>
                <w:szCs w:val="20"/>
              </w:rPr>
              <w:t>5. místní prospěch</w:t>
            </w:r>
          </w:p>
        </w:tc>
      </w:tr>
      <w:tr w:rsidR="00AB2986" w:rsidRPr="00AB2986" w14:paraId="06C6F4DC" w14:textId="77777777" w:rsidTr="00212113">
        <w:tblPrEx>
          <w:tblCellMar>
            <w:right w:w="75" w:type="dxa"/>
          </w:tblCellMar>
        </w:tblPrEx>
        <w:trPr>
          <w:trHeight w:val="283"/>
        </w:trPr>
        <w:tc>
          <w:tcPr>
            <w:tcW w:w="1724" w:type="dxa"/>
            <w:vMerge w:val="restart"/>
            <w:shd w:val="clear" w:color="auto" w:fill="EAF1DD"/>
          </w:tcPr>
          <w:p w14:paraId="3E8922CF"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a) přednostní uspokojování potřeb místní komunity a místní poptávky </w:t>
            </w:r>
          </w:p>
        </w:tc>
        <w:tc>
          <w:tcPr>
            <w:tcW w:w="3014" w:type="dxa"/>
            <w:gridSpan w:val="2"/>
            <w:shd w:val="clear" w:color="auto" w:fill="EAF1DD"/>
          </w:tcPr>
          <w:p w14:paraId="2E092C14"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5a1. podnik se ve své činnosti orientuje na lokální potřeby </w:t>
            </w:r>
          </w:p>
        </w:tc>
        <w:tc>
          <w:tcPr>
            <w:tcW w:w="4470" w:type="dxa"/>
            <w:shd w:val="clear" w:color="auto" w:fill="EAF1DD"/>
            <w:vAlign w:val="center"/>
          </w:tcPr>
          <w:p w14:paraId="30ECC825"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Účetní doklady 3 odběratelů se sídlem nebo provozovnou ve stejném nebo sousedním kraji (přeshraničním regionu) ne starší než 12 měsíců. </w:t>
            </w:r>
          </w:p>
        </w:tc>
      </w:tr>
      <w:tr w:rsidR="00AB2986" w:rsidRPr="00AB2986" w14:paraId="199A9BE8" w14:textId="77777777" w:rsidTr="00212113">
        <w:tblPrEx>
          <w:tblCellMar>
            <w:right w:w="75" w:type="dxa"/>
          </w:tblCellMar>
        </w:tblPrEx>
        <w:trPr>
          <w:trHeight w:val="283"/>
        </w:trPr>
        <w:tc>
          <w:tcPr>
            <w:tcW w:w="1724" w:type="dxa"/>
            <w:vMerge/>
            <w:vAlign w:val="center"/>
          </w:tcPr>
          <w:p w14:paraId="19AC3EFE"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EAF1DD"/>
            <w:vAlign w:val="center"/>
          </w:tcPr>
          <w:p w14:paraId="7FF94A0C" w14:textId="77777777" w:rsidR="00AB2986" w:rsidRPr="00A43505" w:rsidRDefault="00AB2986" w:rsidP="00A43505">
            <w:pPr>
              <w:rPr>
                <w:rFonts w:ascii="Calibri" w:eastAsia="Calibri" w:hAnsi="Calibri" w:cs="Calibri"/>
                <w:color w:val="000000"/>
                <w:sz w:val="20"/>
                <w:szCs w:val="20"/>
              </w:rPr>
            </w:pPr>
            <w:r w:rsidRPr="00C02995">
              <w:rPr>
                <w:rFonts w:ascii="Calibri" w:eastAsia="Calibri" w:hAnsi="Calibri" w:cs="Calibri"/>
                <w:b/>
                <w:color w:val="000000"/>
                <w:sz w:val="20"/>
                <w:szCs w:val="20"/>
              </w:rPr>
              <w:t xml:space="preserve">Komentář: </w:t>
            </w:r>
            <w:r w:rsidRPr="00A43505">
              <w:rPr>
                <w:rFonts w:ascii="Calibri" w:eastAsia="Calibri" w:hAnsi="Calibri" w:cs="Calibri"/>
                <w:color w:val="000000"/>
                <w:sz w:val="20"/>
                <w:szCs w:val="20"/>
              </w:rPr>
              <w:t xml:space="preserve">„Stejný nebo sousední kraj nebo přeshraniční region“ se hodnotí vzhledem k sídlu podniku nebo jeho libovolné provozovny. Z účetních dokladů musí být poznat, že sídlo nebo provozovna jsou ve stejném nebo sousedním kraji (přeshraničním regionu). Pokud podnik tento znak nesplňuje, musí prokázat jeho </w:t>
            </w:r>
            <w:proofErr w:type="spellStart"/>
            <w:r w:rsidR="00C02995">
              <w:rPr>
                <w:rFonts w:ascii="Calibri" w:eastAsia="Calibri" w:hAnsi="Calibri" w:cs="Calibri"/>
                <w:color w:val="000000"/>
                <w:sz w:val="20"/>
                <w:szCs w:val="20"/>
              </w:rPr>
              <w:t>ne</w:t>
            </w:r>
            <w:r w:rsidRPr="00A43505">
              <w:rPr>
                <w:rFonts w:ascii="Calibri" w:eastAsia="Calibri" w:hAnsi="Calibri" w:cs="Calibri"/>
                <w:color w:val="000000"/>
                <w:sz w:val="20"/>
                <w:szCs w:val="20"/>
              </w:rPr>
              <w:t>relevan</w:t>
            </w:r>
            <w:r w:rsidR="00C02995">
              <w:rPr>
                <w:rFonts w:ascii="Calibri" w:eastAsia="Calibri" w:hAnsi="Calibri" w:cs="Calibri"/>
                <w:color w:val="000000"/>
                <w:sz w:val="20"/>
                <w:szCs w:val="20"/>
              </w:rPr>
              <w:t>ci</w:t>
            </w:r>
            <w:proofErr w:type="spellEnd"/>
            <w:r w:rsidRPr="00A43505">
              <w:rPr>
                <w:rFonts w:ascii="Calibri" w:eastAsia="Calibri" w:hAnsi="Calibri" w:cs="Calibri"/>
                <w:color w:val="000000"/>
                <w:sz w:val="20"/>
                <w:szCs w:val="20"/>
              </w:rPr>
              <w:t xml:space="preserve">. </w:t>
            </w:r>
          </w:p>
        </w:tc>
      </w:tr>
      <w:tr w:rsidR="00AB2986" w:rsidRPr="00AB2986" w14:paraId="016ECB4D" w14:textId="77777777" w:rsidTr="00212113">
        <w:tblPrEx>
          <w:tblCellMar>
            <w:right w:w="75" w:type="dxa"/>
          </w:tblCellMar>
        </w:tblPrEx>
        <w:trPr>
          <w:trHeight w:val="283"/>
        </w:trPr>
        <w:tc>
          <w:tcPr>
            <w:tcW w:w="1724" w:type="dxa"/>
            <w:vMerge w:val="restart"/>
            <w:shd w:val="clear" w:color="auto" w:fill="EAF1DD"/>
          </w:tcPr>
          <w:p w14:paraId="5B5BDC56"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b) využívání přednostně místních zdrojů </w:t>
            </w:r>
          </w:p>
        </w:tc>
        <w:tc>
          <w:tcPr>
            <w:tcW w:w="3014" w:type="dxa"/>
            <w:gridSpan w:val="2"/>
            <w:shd w:val="clear" w:color="auto" w:fill="EAF1DD"/>
          </w:tcPr>
          <w:p w14:paraId="6E20ACE6" w14:textId="77777777" w:rsidR="00AB2986" w:rsidRPr="00A43505" w:rsidRDefault="00AB2986" w:rsidP="00C0299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5b1. podnik přednostně využívá místní zdroje: a) zaměstnává místní obyvatele, b) nakupuje od místních dodavatelů </w:t>
            </w:r>
          </w:p>
        </w:tc>
        <w:tc>
          <w:tcPr>
            <w:tcW w:w="4470" w:type="dxa"/>
            <w:shd w:val="clear" w:color="auto" w:fill="EAF1DD"/>
            <w:vAlign w:val="center"/>
          </w:tcPr>
          <w:p w14:paraId="7695F5B4" w14:textId="77777777" w:rsidR="00AB2986" w:rsidRPr="00A43505" w:rsidRDefault="00AB2986" w:rsidP="00357C61">
            <w:pPr>
              <w:numPr>
                <w:ilvl w:val="0"/>
                <w:numId w:val="12"/>
              </w:numPr>
              <w:tabs>
                <w:tab w:val="left" w:pos="376"/>
              </w:tabs>
              <w:ind w:left="0"/>
              <w:rPr>
                <w:rFonts w:ascii="Calibri" w:eastAsia="Calibri" w:hAnsi="Calibri" w:cs="Calibri"/>
                <w:color w:val="000000"/>
                <w:sz w:val="20"/>
                <w:szCs w:val="20"/>
              </w:rPr>
            </w:pPr>
            <w:r w:rsidRPr="00A43505">
              <w:rPr>
                <w:rFonts w:ascii="Calibri" w:eastAsia="Calibri" w:hAnsi="Calibri" w:cs="Calibri"/>
                <w:color w:val="000000"/>
                <w:sz w:val="20"/>
                <w:szCs w:val="20"/>
              </w:rPr>
              <w:t xml:space="preserve">Doklady o pracovně-právním vztahu (pracovní smlouva, DPP, DPČ) a případně další dokumenty, které dokládají bydliště ve stejném nebo sousedním kraji (přeshraničním regionu) u min. 50% zaměstnanců;  </w:t>
            </w:r>
          </w:p>
          <w:p w14:paraId="71FFE7DC" w14:textId="77777777" w:rsidR="00AB2986" w:rsidRPr="00A43505" w:rsidRDefault="00AB2986" w:rsidP="00357C61">
            <w:pPr>
              <w:numPr>
                <w:ilvl w:val="0"/>
                <w:numId w:val="12"/>
              </w:numPr>
              <w:tabs>
                <w:tab w:val="left" w:pos="376"/>
              </w:tabs>
              <w:ind w:left="0"/>
              <w:rPr>
                <w:rFonts w:ascii="Calibri" w:eastAsia="Calibri" w:hAnsi="Calibri" w:cs="Calibri"/>
                <w:color w:val="000000"/>
                <w:sz w:val="20"/>
                <w:szCs w:val="20"/>
              </w:rPr>
            </w:pPr>
            <w:r w:rsidRPr="00A43505">
              <w:rPr>
                <w:rFonts w:ascii="Calibri" w:eastAsia="Calibri" w:hAnsi="Calibri" w:cs="Calibri"/>
                <w:color w:val="000000"/>
                <w:sz w:val="20"/>
                <w:szCs w:val="20"/>
              </w:rPr>
              <w:t xml:space="preserve">účetní doklady 3 různých dodavatelů podniku, kteří mají sídlo firmy ve stejném nebo sousedním kraji nebo přeshraničním regionu ne starší než 12 měsíců. </w:t>
            </w:r>
          </w:p>
        </w:tc>
      </w:tr>
      <w:tr w:rsidR="00AB2986" w:rsidRPr="00AB2986" w14:paraId="07A38024" w14:textId="77777777" w:rsidTr="00212113">
        <w:tblPrEx>
          <w:tblCellMar>
            <w:right w:w="75" w:type="dxa"/>
          </w:tblCellMar>
        </w:tblPrEx>
        <w:trPr>
          <w:trHeight w:val="283"/>
        </w:trPr>
        <w:tc>
          <w:tcPr>
            <w:tcW w:w="1724" w:type="dxa"/>
            <w:vMerge/>
            <w:vAlign w:val="center"/>
          </w:tcPr>
          <w:p w14:paraId="1279FD80"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EAF1DD"/>
            <w:vAlign w:val="center"/>
          </w:tcPr>
          <w:p w14:paraId="6CFED7A3" w14:textId="77777777" w:rsidR="00AB2986" w:rsidRPr="00A43505" w:rsidRDefault="00AB2986" w:rsidP="00A43505">
            <w:pPr>
              <w:rPr>
                <w:rFonts w:ascii="Calibri" w:eastAsia="Calibri" w:hAnsi="Calibri" w:cs="Calibri"/>
                <w:color w:val="000000"/>
                <w:sz w:val="20"/>
                <w:szCs w:val="20"/>
              </w:rPr>
            </w:pPr>
            <w:r w:rsidRPr="00212113">
              <w:rPr>
                <w:rFonts w:ascii="Calibri" w:eastAsia="Calibri" w:hAnsi="Calibri" w:cs="Calibri"/>
                <w:b/>
                <w:color w:val="000000"/>
                <w:sz w:val="20"/>
                <w:szCs w:val="20"/>
              </w:rPr>
              <w:t>Komentář:</w:t>
            </w:r>
            <w:r w:rsidRPr="00A43505">
              <w:rPr>
                <w:rFonts w:ascii="Calibri" w:eastAsia="Calibri" w:hAnsi="Calibri" w:cs="Calibri"/>
                <w:color w:val="000000"/>
                <w:sz w:val="20"/>
                <w:szCs w:val="20"/>
              </w:rPr>
              <w:t xml:space="preserve">  Sociální podnik při dodržování tohoto principu musí zachovávat pravidla hospodářské soutěže a nediskriminace v pracovněprávních vztazích. „Stejný nebo sousední kraj nebo přeshraniční region“ se hodnotí vzhledem k sídlu podniku nebo jeho libovolné provozovny. Z účetních dokladů musí být poznat, že sídlo nebo provozovna jsou ve stejném nebo sousedním kraji.  Pokud podnik některý ze dvou uvedených znaků nesplňuje, musí prokázat jeho </w:t>
            </w:r>
            <w:proofErr w:type="spellStart"/>
            <w:r w:rsidRPr="00A43505">
              <w:rPr>
                <w:rFonts w:ascii="Calibri" w:eastAsia="Calibri" w:hAnsi="Calibri" w:cs="Calibri"/>
                <w:color w:val="000000"/>
                <w:sz w:val="20"/>
                <w:szCs w:val="20"/>
              </w:rPr>
              <w:t>nerelevanci</w:t>
            </w:r>
            <w:proofErr w:type="spellEnd"/>
            <w:r w:rsidRPr="00A43505">
              <w:rPr>
                <w:rFonts w:ascii="Calibri" w:eastAsia="Calibri" w:hAnsi="Calibri" w:cs="Calibri"/>
                <w:color w:val="000000"/>
                <w:sz w:val="20"/>
                <w:szCs w:val="20"/>
              </w:rPr>
              <w:t xml:space="preserve">.  </w:t>
            </w:r>
          </w:p>
        </w:tc>
      </w:tr>
      <w:tr w:rsidR="00AB2986" w:rsidRPr="00AB2986" w14:paraId="5C1F3D15" w14:textId="77777777" w:rsidTr="00212113">
        <w:tblPrEx>
          <w:tblCellMar>
            <w:right w:w="75" w:type="dxa"/>
          </w:tblCellMar>
        </w:tblPrEx>
        <w:trPr>
          <w:trHeight w:val="283"/>
        </w:trPr>
        <w:tc>
          <w:tcPr>
            <w:tcW w:w="1724" w:type="dxa"/>
            <w:vMerge w:val="restart"/>
            <w:shd w:val="clear" w:color="auto" w:fill="EAF1DD"/>
          </w:tcPr>
          <w:p w14:paraId="2677A0F3" w14:textId="77777777" w:rsidR="00AB2986" w:rsidRPr="00A43505" w:rsidRDefault="00AB2986" w:rsidP="00212113">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c) spolupráce sociálního podniku s místními aktéry </w:t>
            </w:r>
          </w:p>
        </w:tc>
        <w:tc>
          <w:tcPr>
            <w:tcW w:w="3014" w:type="dxa"/>
            <w:gridSpan w:val="2"/>
            <w:shd w:val="clear" w:color="auto" w:fill="EAF1DD"/>
            <w:vAlign w:val="center"/>
          </w:tcPr>
          <w:p w14:paraId="566642C6"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5c1. podnik komunikuje a spolupracuje s místními aktéry  </w:t>
            </w:r>
          </w:p>
        </w:tc>
        <w:tc>
          <w:tcPr>
            <w:tcW w:w="4470" w:type="dxa"/>
            <w:shd w:val="clear" w:color="auto" w:fill="EAF1DD"/>
            <w:vAlign w:val="center"/>
          </w:tcPr>
          <w:p w14:paraId="2C1C7E1F" w14:textId="77777777" w:rsidR="00AB2986" w:rsidRPr="00A43505" w:rsidRDefault="00AB2986" w:rsidP="00A43505">
            <w:pPr>
              <w:rPr>
                <w:rFonts w:ascii="Calibri" w:eastAsia="Calibri" w:hAnsi="Calibri" w:cs="Calibri"/>
                <w:color w:val="000000"/>
                <w:sz w:val="20"/>
                <w:szCs w:val="20"/>
              </w:rPr>
            </w:pPr>
            <w:r w:rsidRPr="00A43505">
              <w:rPr>
                <w:rFonts w:ascii="Calibri" w:eastAsia="Calibri" w:hAnsi="Calibri" w:cs="Calibri"/>
                <w:color w:val="000000"/>
                <w:sz w:val="20"/>
                <w:szCs w:val="20"/>
              </w:rPr>
              <w:t xml:space="preserve">Dva doklady o spolupráci s místními aktéry ne starší než 2 roky. </w:t>
            </w:r>
          </w:p>
        </w:tc>
      </w:tr>
      <w:tr w:rsidR="00AB2986" w:rsidRPr="00AB2986" w14:paraId="5C4E5F69" w14:textId="77777777" w:rsidTr="00212113">
        <w:tblPrEx>
          <w:tblCellMar>
            <w:right w:w="75" w:type="dxa"/>
          </w:tblCellMar>
        </w:tblPrEx>
        <w:trPr>
          <w:trHeight w:val="283"/>
        </w:trPr>
        <w:tc>
          <w:tcPr>
            <w:tcW w:w="1724" w:type="dxa"/>
            <w:vMerge/>
            <w:vAlign w:val="center"/>
          </w:tcPr>
          <w:p w14:paraId="357735F5" w14:textId="77777777" w:rsidR="00AB2986" w:rsidRPr="00A43505" w:rsidRDefault="00AB2986" w:rsidP="00A43505">
            <w:pPr>
              <w:rPr>
                <w:rFonts w:ascii="Calibri" w:eastAsia="Calibri" w:hAnsi="Calibri" w:cs="Calibri"/>
                <w:color w:val="000000"/>
                <w:sz w:val="20"/>
                <w:szCs w:val="20"/>
              </w:rPr>
            </w:pPr>
          </w:p>
        </w:tc>
        <w:tc>
          <w:tcPr>
            <w:tcW w:w="7484" w:type="dxa"/>
            <w:gridSpan w:val="3"/>
            <w:shd w:val="clear" w:color="auto" w:fill="EAF1DD"/>
            <w:vAlign w:val="center"/>
          </w:tcPr>
          <w:p w14:paraId="395DBDFD" w14:textId="77777777" w:rsidR="00AB2986" w:rsidRPr="00A43505" w:rsidRDefault="00AB2986" w:rsidP="00A43505">
            <w:pPr>
              <w:rPr>
                <w:rFonts w:ascii="Calibri" w:eastAsia="Calibri" w:hAnsi="Calibri" w:cs="Calibri"/>
                <w:color w:val="000000"/>
                <w:sz w:val="20"/>
                <w:szCs w:val="20"/>
              </w:rPr>
            </w:pPr>
            <w:r w:rsidRPr="00212113">
              <w:rPr>
                <w:rFonts w:ascii="Calibri" w:eastAsia="Calibri" w:hAnsi="Calibri" w:cs="Calibri"/>
                <w:b/>
                <w:color w:val="000000"/>
                <w:sz w:val="20"/>
                <w:szCs w:val="20"/>
              </w:rPr>
              <w:t>Komentář:</w:t>
            </w:r>
            <w:r w:rsidRPr="00212113">
              <w:rPr>
                <w:rFonts w:ascii="Calibri" w:eastAsia="Calibri" w:hAnsi="Calibri" w:cs="Calibri"/>
                <w:color w:val="000000"/>
                <w:sz w:val="20"/>
                <w:szCs w:val="20"/>
              </w:rPr>
              <w:t xml:space="preserve"> </w:t>
            </w:r>
            <w:r w:rsidRPr="00A43505">
              <w:rPr>
                <w:rFonts w:ascii="Calibri" w:eastAsia="Calibri" w:hAnsi="Calibri" w:cs="Calibri"/>
                <w:color w:val="000000"/>
                <w:sz w:val="20"/>
                <w:szCs w:val="20"/>
              </w:rPr>
              <w:t xml:space="preserve"> Možné doklady spolupráce: smlouva o spolupráci, partnerská smlouva, mediální zpráva o zapojení do veřejných občanských aktivit, referenční kontakty pro ověření ústní informace. Místní aktéři jsou například orgány místní samosprávy, pracoviště ÚP ČR, školy, další organizace s podobnými společensky prospěšnými cíli, tematické pracovní skupiny apod. </w:t>
            </w:r>
          </w:p>
        </w:tc>
      </w:tr>
    </w:tbl>
    <w:p w14:paraId="45AF2A71" w14:textId="77777777" w:rsidR="0063703B" w:rsidRPr="00212113" w:rsidRDefault="0063703B" w:rsidP="00212113">
      <w:pPr>
        <w:spacing w:before="240" w:after="120" w:line="240" w:lineRule="auto"/>
        <w:jc w:val="center"/>
        <w:rPr>
          <w:rFonts w:ascii="Calibri" w:eastAsia="Calibri" w:hAnsi="Calibri" w:cs="Calibri"/>
          <w:color w:val="000000"/>
          <w:sz w:val="24"/>
          <w:lang w:eastAsia="cs-CZ"/>
        </w:rPr>
      </w:pPr>
      <w:r w:rsidRPr="00212113">
        <w:rPr>
          <w:rFonts w:ascii="Calibri" w:eastAsia="Calibri" w:hAnsi="Calibri" w:cs="Calibri"/>
          <w:b/>
          <w:color w:val="000000"/>
          <w:sz w:val="24"/>
          <w:lang w:eastAsia="cs-CZ"/>
        </w:rPr>
        <w:t xml:space="preserve">Sada rozpoznávacích znaků pro environmentální sociální podnik </w:t>
      </w:r>
      <w:r w:rsidR="00383EE4" w:rsidRPr="00212113">
        <w:rPr>
          <w:rFonts w:ascii="Calibri" w:eastAsia="Calibri" w:hAnsi="Calibri" w:cs="Calibri"/>
          <w:b/>
          <w:color w:val="000000"/>
          <w:sz w:val="24"/>
          <w:lang w:eastAsia="cs-CZ"/>
        </w:rPr>
        <w:t>dle výzvy č. 129 OPZ</w:t>
      </w:r>
    </w:p>
    <w:p w14:paraId="6BFC0F15" w14:textId="77777777" w:rsidR="0063703B" w:rsidRPr="00212113" w:rsidRDefault="0063703B" w:rsidP="00212113">
      <w:pPr>
        <w:spacing w:after="120" w:line="240" w:lineRule="auto"/>
        <w:jc w:val="both"/>
        <w:rPr>
          <w:rFonts w:ascii="Calibri" w:eastAsia="Calibri" w:hAnsi="Calibri" w:cs="Calibri"/>
          <w:color w:val="000000"/>
          <w:sz w:val="24"/>
          <w:szCs w:val="24"/>
          <w:lang w:eastAsia="cs-CZ"/>
        </w:rPr>
      </w:pPr>
      <w:r w:rsidRPr="00212113">
        <w:rPr>
          <w:rFonts w:ascii="Calibri" w:eastAsia="Calibri" w:hAnsi="Calibri" w:cs="Calibri"/>
          <w:color w:val="000000"/>
          <w:sz w:val="24"/>
          <w:szCs w:val="24"/>
          <w:lang w:eastAsia="cs-CZ"/>
        </w:rPr>
        <w:t xml:space="preserve">Rozpoznávací znaky environmentálního sociálního podniku jsou pro příjemce závazné v plném rozsahu a budou sledovány v průběhu realizace projektu. Všechny principy sociálního podnikání včetně charakteristiky a konkrétního naplňování rozpoznávacích znaků v sociálním podniku uvede žadatel v zakládacích dokumentech, a to nejpozději k datu ukončení realizace projektu (pro aktivitu g) k datu podání žádosti). Obchodní korporace zveřejní na </w:t>
      </w:r>
      <w:hyperlink r:id="rId22">
        <w:r w:rsidRPr="00212113">
          <w:rPr>
            <w:rFonts w:ascii="Calibri" w:eastAsia="Calibri" w:hAnsi="Calibri" w:cs="Calibri"/>
            <w:color w:val="000000"/>
            <w:sz w:val="24"/>
            <w:szCs w:val="24"/>
            <w:lang w:eastAsia="cs-CZ"/>
          </w:rPr>
          <w:t>www.justice.cz,</w:t>
        </w:r>
      </w:hyperlink>
      <w:r w:rsidRPr="00212113">
        <w:rPr>
          <w:rFonts w:ascii="Calibri" w:eastAsia="Calibri" w:hAnsi="Calibri" w:cs="Calibri"/>
          <w:color w:val="000000"/>
          <w:sz w:val="24"/>
          <w:szCs w:val="24"/>
          <w:lang w:eastAsia="cs-CZ"/>
        </w:rPr>
        <w:t xml:space="preserve"> OSVČ zveřejní např. formou prohlášení na webu organizace nebo na jiném veřejně a bez překážek dostupném místě, nestátní neziskové organizace v příslušném rejstříku podle právní formy organizace. Doporučujeme žadatelům, aby principy sociálního podnikání zapracovali do zakládacích dokumentů při založení společnosti.  </w:t>
      </w:r>
    </w:p>
    <w:tbl>
      <w:tblPr>
        <w:tblStyle w:val="TableGrid1"/>
        <w:tblW w:w="920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7" w:type="dxa"/>
          <w:right w:w="67" w:type="dxa"/>
        </w:tblCellMar>
        <w:tblLook w:val="04A0" w:firstRow="1" w:lastRow="0" w:firstColumn="1" w:lastColumn="0" w:noHBand="0" w:noVBand="1"/>
      </w:tblPr>
      <w:tblGrid>
        <w:gridCol w:w="1784"/>
        <w:gridCol w:w="2534"/>
        <w:gridCol w:w="416"/>
        <w:gridCol w:w="80"/>
        <w:gridCol w:w="4394"/>
      </w:tblGrid>
      <w:tr w:rsidR="0063703B" w:rsidRPr="00212113" w14:paraId="15A0BD40" w14:textId="77777777" w:rsidTr="00212113">
        <w:trPr>
          <w:trHeight w:val="283"/>
        </w:trPr>
        <w:tc>
          <w:tcPr>
            <w:tcW w:w="1784" w:type="dxa"/>
            <w:shd w:val="clear" w:color="auto" w:fill="D9D9D9"/>
            <w:vAlign w:val="center"/>
          </w:tcPr>
          <w:p w14:paraId="3FDB9742" w14:textId="77777777" w:rsidR="0063703B" w:rsidRPr="00212113" w:rsidRDefault="0063703B" w:rsidP="00212113">
            <w:pPr>
              <w:jc w:val="center"/>
              <w:rPr>
                <w:rFonts w:ascii="Calibri" w:eastAsia="Calibri" w:hAnsi="Calibri" w:cs="Calibri"/>
                <w:b/>
                <w:color w:val="000000"/>
                <w:sz w:val="20"/>
                <w:szCs w:val="20"/>
              </w:rPr>
            </w:pPr>
            <w:r w:rsidRPr="00212113">
              <w:rPr>
                <w:rFonts w:ascii="Calibri" w:eastAsia="Calibri" w:hAnsi="Calibri" w:cs="Calibri"/>
                <w:b/>
                <w:color w:val="000000"/>
                <w:sz w:val="20"/>
                <w:szCs w:val="20"/>
              </w:rPr>
              <w:t>Princip/</w:t>
            </w:r>
          </w:p>
          <w:p w14:paraId="664697EA" w14:textId="77777777" w:rsidR="0063703B" w:rsidRPr="00212113" w:rsidRDefault="0063703B" w:rsidP="00212113">
            <w:pPr>
              <w:jc w:val="center"/>
              <w:rPr>
                <w:rFonts w:ascii="Calibri" w:eastAsia="Calibri" w:hAnsi="Calibri" w:cs="Calibri"/>
                <w:color w:val="000000"/>
                <w:sz w:val="20"/>
                <w:szCs w:val="20"/>
              </w:rPr>
            </w:pPr>
            <w:r w:rsidRPr="00212113">
              <w:rPr>
                <w:rFonts w:ascii="Calibri" w:eastAsia="Calibri" w:hAnsi="Calibri" w:cs="Calibri"/>
                <w:b/>
                <w:color w:val="000000"/>
                <w:sz w:val="20"/>
                <w:szCs w:val="20"/>
              </w:rPr>
              <w:t>/charakteristika</w:t>
            </w:r>
          </w:p>
        </w:tc>
        <w:tc>
          <w:tcPr>
            <w:tcW w:w="3030" w:type="dxa"/>
            <w:gridSpan w:val="3"/>
            <w:shd w:val="clear" w:color="auto" w:fill="D9D9D9"/>
            <w:vAlign w:val="center"/>
          </w:tcPr>
          <w:p w14:paraId="3D3EDD26" w14:textId="77777777" w:rsidR="0063703B" w:rsidRPr="00212113" w:rsidRDefault="0063703B" w:rsidP="00212113">
            <w:pPr>
              <w:jc w:val="center"/>
              <w:rPr>
                <w:rFonts w:ascii="Calibri" w:eastAsia="Calibri" w:hAnsi="Calibri" w:cs="Calibri"/>
                <w:color w:val="000000"/>
                <w:sz w:val="20"/>
                <w:szCs w:val="20"/>
              </w:rPr>
            </w:pPr>
            <w:r w:rsidRPr="00212113">
              <w:rPr>
                <w:rFonts w:ascii="Calibri" w:eastAsia="Calibri" w:hAnsi="Calibri" w:cs="Calibri"/>
                <w:b/>
                <w:color w:val="000000"/>
                <w:sz w:val="20"/>
                <w:szCs w:val="20"/>
              </w:rPr>
              <w:t>Rozpoznávací znak</w:t>
            </w:r>
          </w:p>
        </w:tc>
        <w:tc>
          <w:tcPr>
            <w:tcW w:w="4394" w:type="dxa"/>
            <w:shd w:val="clear" w:color="auto" w:fill="D9D9D9"/>
            <w:vAlign w:val="center"/>
          </w:tcPr>
          <w:p w14:paraId="2FB6DF49" w14:textId="77777777" w:rsidR="0063703B" w:rsidRPr="00212113" w:rsidRDefault="0063703B" w:rsidP="00212113">
            <w:pPr>
              <w:jc w:val="center"/>
              <w:rPr>
                <w:rFonts w:ascii="Calibri" w:eastAsia="Calibri" w:hAnsi="Calibri" w:cs="Calibri"/>
                <w:color w:val="000000"/>
                <w:sz w:val="20"/>
                <w:szCs w:val="20"/>
              </w:rPr>
            </w:pPr>
            <w:r w:rsidRPr="00212113">
              <w:rPr>
                <w:rFonts w:ascii="Calibri" w:eastAsia="Calibri" w:hAnsi="Calibri" w:cs="Calibri"/>
                <w:b/>
                <w:color w:val="000000"/>
                <w:sz w:val="20"/>
                <w:szCs w:val="20"/>
              </w:rPr>
              <w:t>Důkaz</w:t>
            </w:r>
          </w:p>
        </w:tc>
      </w:tr>
      <w:tr w:rsidR="0063703B" w:rsidRPr="00212113" w14:paraId="6F33C79D" w14:textId="77777777" w:rsidTr="00212113">
        <w:trPr>
          <w:trHeight w:val="283"/>
        </w:trPr>
        <w:tc>
          <w:tcPr>
            <w:tcW w:w="9208" w:type="dxa"/>
            <w:gridSpan w:val="5"/>
            <w:shd w:val="clear" w:color="auto" w:fill="FDE9D9"/>
          </w:tcPr>
          <w:p w14:paraId="52890FE6"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b/>
                <w:color w:val="000000"/>
                <w:sz w:val="20"/>
                <w:szCs w:val="20"/>
              </w:rPr>
              <w:t xml:space="preserve">1. společensky prospěšný cíl </w:t>
            </w:r>
          </w:p>
        </w:tc>
      </w:tr>
      <w:tr w:rsidR="0063703B" w:rsidRPr="00212113" w14:paraId="0006DEEB" w14:textId="77777777" w:rsidTr="00212113">
        <w:trPr>
          <w:trHeight w:val="283"/>
        </w:trPr>
        <w:tc>
          <w:tcPr>
            <w:tcW w:w="1784" w:type="dxa"/>
            <w:vMerge w:val="restart"/>
            <w:shd w:val="clear" w:color="auto" w:fill="FDE9D9"/>
          </w:tcPr>
          <w:p w14:paraId="307DC2CE" w14:textId="77777777" w:rsidR="0063703B" w:rsidRPr="00212113" w:rsidRDefault="0063703B" w:rsidP="00212113">
            <w:pPr>
              <w:ind w:right="53"/>
              <w:rPr>
                <w:rFonts w:ascii="Calibri" w:eastAsia="Calibri" w:hAnsi="Calibri" w:cs="Calibri"/>
                <w:color w:val="000000"/>
                <w:sz w:val="20"/>
                <w:szCs w:val="20"/>
              </w:rPr>
            </w:pPr>
            <w:r w:rsidRPr="00212113">
              <w:rPr>
                <w:rFonts w:ascii="Calibri" w:eastAsia="Calibri" w:hAnsi="Calibri" w:cs="Calibri"/>
                <w:color w:val="000000"/>
                <w:sz w:val="20"/>
                <w:szCs w:val="20"/>
              </w:rPr>
              <w:t>a) podnik existuje za účelem naplnění společensky prospěšného cíle, kterým je řešení konkrétního environmentálního problému</w:t>
            </w:r>
            <w:r w:rsidRPr="00212113">
              <w:rPr>
                <w:rFonts w:ascii="Calibri" w:eastAsia="Calibri" w:hAnsi="Calibri" w:cs="Calibri"/>
                <w:color w:val="000000"/>
                <w:sz w:val="20"/>
                <w:szCs w:val="20"/>
                <w:vertAlign w:val="superscript"/>
              </w:rPr>
              <w:footnoteReference w:id="33"/>
            </w:r>
            <w:r w:rsidRPr="00212113">
              <w:rPr>
                <w:rFonts w:ascii="Calibri" w:eastAsia="Calibri" w:hAnsi="Calibri" w:cs="Calibri"/>
                <w:color w:val="000000"/>
                <w:sz w:val="20"/>
                <w:szCs w:val="20"/>
              </w:rPr>
              <w:t xml:space="preserve">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zaměstnávání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sociální začleňování osob znevýhodněných na trhu práce; tento cíl je formulován v</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zakládacích dokumentech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naplňován prostřednictvím podnikatelských aktivit;  oba aspekty společensky prospěšného cíle, tzn. řešení konkrétního environmentálního problému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zaměstnávání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sociální začleňování znevýhodněných osob, musí být jednoznačně vymezeny v</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projektové žádosti i</w:t>
            </w:r>
            <w:r w:rsidR="001E337E">
              <w:rPr>
                <w:rFonts w:ascii="Calibri" w:eastAsia="Calibri" w:hAnsi="Calibri" w:cs="Calibri"/>
                <w:color w:val="000000"/>
                <w:sz w:val="20"/>
                <w:szCs w:val="20"/>
              </w:rPr>
              <w:t> </w:t>
            </w:r>
            <w:r w:rsidRPr="00212113">
              <w:rPr>
                <w:rFonts w:ascii="Calibri" w:eastAsia="Calibri" w:hAnsi="Calibri" w:cs="Calibri"/>
                <w:color w:val="000000"/>
                <w:sz w:val="20"/>
                <w:szCs w:val="20"/>
              </w:rPr>
              <w:t>v</w:t>
            </w:r>
            <w:r w:rsidR="001E337E">
              <w:rPr>
                <w:rFonts w:ascii="Calibri" w:eastAsia="Calibri" w:hAnsi="Calibri" w:cs="Calibri"/>
                <w:color w:val="000000"/>
                <w:sz w:val="20"/>
                <w:szCs w:val="20"/>
              </w:rPr>
              <w:t> </w:t>
            </w:r>
            <w:r w:rsidRPr="00212113">
              <w:rPr>
                <w:rFonts w:ascii="Calibri" w:eastAsia="Calibri" w:hAnsi="Calibri" w:cs="Calibri"/>
                <w:color w:val="000000"/>
                <w:sz w:val="20"/>
                <w:szCs w:val="20"/>
              </w:rPr>
              <w:t>podnikatelském plánu; zároveň musí být v</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projektové žádosti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podnikatelském plánu popsáno, prostřednictvím jakých aktivit budou naplňovány </w:t>
            </w:r>
          </w:p>
        </w:tc>
        <w:tc>
          <w:tcPr>
            <w:tcW w:w="3030" w:type="dxa"/>
            <w:gridSpan w:val="3"/>
            <w:shd w:val="clear" w:color="auto" w:fill="FDE9D9"/>
          </w:tcPr>
          <w:p w14:paraId="63A71A8C" w14:textId="77777777" w:rsidR="0063703B" w:rsidRPr="00212113" w:rsidRDefault="0063703B" w:rsidP="00212113">
            <w:pPr>
              <w:ind w:right="2"/>
              <w:rPr>
                <w:rFonts w:ascii="Calibri" w:eastAsia="Calibri" w:hAnsi="Calibri" w:cs="Calibri"/>
                <w:color w:val="000000"/>
                <w:sz w:val="20"/>
                <w:szCs w:val="20"/>
              </w:rPr>
            </w:pPr>
            <w:r w:rsidRPr="00212113">
              <w:rPr>
                <w:rFonts w:ascii="Calibri" w:eastAsia="Calibri" w:hAnsi="Calibri" w:cs="Calibri"/>
                <w:color w:val="000000"/>
                <w:sz w:val="20"/>
                <w:szCs w:val="20"/>
              </w:rPr>
              <w:t>1a1. podnik má společensky prospěšný cíl, kterým je řešení konkrétního environmentálního problému a zaměstnávání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sociální začleňování osob znevýhodněných na trhu práce, tento cíl je formulován v</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zakládacích dokumentech, a tyto dokumenty jsou veřejně dostupné; oba aspekty společensky prospěšného cíle, tzn. řešení konkrétního environmentálního problému a zaměstnávání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sociální začleňování znevýhodněných osob, musí být jednoznačně vymezeny v</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projektové žádosti i</w:t>
            </w:r>
            <w:r w:rsidR="00212113">
              <w:rPr>
                <w:rFonts w:ascii="Calibri" w:eastAsia="Calibri" w:hAnsi="Calibri" w:cs="Calibri"/>
                <w:color w:val="000000"/>
                <w:sz w:val="20"/>
                <w:szCs w:val="20"/>
              </w:rPr>
              <w:t> </w:t>
            </w:r>
            <w:r w:rsidRPr="00212113">
              <w:rPr>
                <w:rFonts w:ascii="Calibri" w:eastAsia="Calibri" w:hAnsi="Calibri" w:cs="Calibri"/>
                <w:color w:val="000000"/>
                <w:sz w:val="20"/>
                <w:szCs w:val="20"/>
              </w:rPr>
              <w:t>v</w:t>
            </w:r>
            <w:r w:rsidR="00212113">
              <w:rPr>
                <w:rFonts w:ascii="Calibri" w:eastAsia="Calibri" w:hAnsi="Calibri" w:cs="Calibri"/>
                <w:color w:val="000000"/>
                <w:sz w:val="20"/>
                <w:szCs w:val="20"/>
              </w:rPr>
              <w:t> </w:t>
            </w:r>
            <w:r w:rsidRPr="00212113">
              <w:rPr>
                <w:rFonts w:ascii="Calibri" w:eastAsia="Calibri" w:hAnsi="Calibri" w:cs="Calibri"/>
                <w:color w:val="000000"/>
                <w:sz w:val="20"/>
                <w:szCs w:val="20"/>
              </w:rPr>
              <w:t>podnikatelském plánu; zároveň musí být v projektové žádosti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podnikatelském plánu popsáno, prostřednictvím jakých aktivit budou naplňovány </w:t>
            </w:r>
          </w:p>
        </w:tc>
        <w:tc>
          <w:tcPr>
            <w:tcW w:w="4394" w:type="dxa"/>
            <w:shd w:val="clear" w:color="auto" w:fill="FDE9D9"/>
          </w:tcPr>
          <w:p w14:paraId="1CB2522A"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Zakládací dokumenty zveřejněné ve veřejném rejstříku, u OSVČ jiné závazně platné dokumenty zveřejněné na webu organizace nebo na jiném veřejně a bez překážek dostupném místě. </w:t>
            </w:r>
          </w:p>
        </w:tc>
      </w:tr>
      <w:tr w:rsidR="0063703B" w:rsidRPr="00212113" w14:paraId="3652D0EE" w14:textId="77777777" w:rsidTr="00212113">
        <w:trPr>
          <w:trHeight w:val="283"/>
        </w:trPr>
        <w:tc>
          <w:tcPr>
            <w:tcW w:w="1784" w:type="dxa"/>
            <w:vMerge/>
          </w:tcPr>
          <w:p w14:paraId="22A27FB1" w14:textId="77777777" w:rsidR="0063703B" w:rsidRPr="00212113" w:rsidRDefault="0063703B" w:rsidP="00212113">
            <w:pPr>
              <w:rPr>
                <w:rFonts w:ascii="Calibri" w:eastAsia="Calibri" w:hAnsi="Calibri" w:cs="Calibri"/>
                <w:color w:val="000000"/>
                <w:sz w:val="20"/>
                <w:szCs w:val="20"/>
              </w:rPr>
            </w:pPr>
          </w:p>
        </w:tc>
        <w:tc>
          <w:tcPr>
            <w:tcW w:w="7424" w:type="dxa"/>
            <w:gridSpan w:val="4"/>
            <w:shd w:val="clear" w:color="auto" w:fill="FDE9D9"/>
            <w:vAlign w:val="center"/>
          </w:tcPr>
          <w:p w14:paraId="4F09641F"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Komentář:  Obchodní korporace zveřejní dokumenty v obchodním rejstříku na </w:t>
            </w:r>
            <w:hyperlink r:id="rId23">
              <w:r w:rsidRPr="00212113">
                <w:rPr>
                  <w:rFonts w:ascii="Calibri" w:eastAsia="Calibri" w:hAnsi="Calibri" w:cs="Calibri"/>
                  <w:color w:val="000000"/>
                  <w:sz w:val="20"/>
                  <w:szCs w:val="20"/>
                </w:rPr>
                <w:t>www.justice.cz.</w:t>
              </w:r>
            </w:hyperlink>
            <w:r w:rsidRPr="00212113">
              <w:rPr>
                <w:rFonts w:ascii="Calibri" w:eastAsia="Calibri" w:hAnsi="Calibri" w:cs="Calibri"/>
                <w:color w:val="000000"/>
                <w:sz w:val="20"/>
                <w:szCs w:val="20"/>
              </w:rPr>
              <w:t xml:space="preserve">  U OSVČ jiné veřejně a bez překážek dostupné místo může být např. v</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místě provozovny. Nestátní neziskové organizace zveřejnění v příslušném rejstříku dle právní formy organizace. </w:t>
            </w:r>
          </w:p>
        </w:tc>
      </w:tr>
      <w:tr w:rsidR="0063703B" w:rsidRPr="00212113" w14:paraId="27227F76" w14:textId="77777777" w:rsidTr="00212113">
        <w:trPr>
          <w:trHeight w:val="283"/>
        </w:trPr>
        <w:tc>
          <w:tcPr>
            <w:tcW w:w="9208" w:type="dxa"/>
            <w:gridSpan w:val="5"/>
            <w:shd w:val="clear" w:color="auto" w:fill="F2DBDB"/>
          </w:tcPr>
          <w:p w14:paraId="222601DF"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b/>
                <w:color w:val="000000"/>
                <w:sz w:val="20"/>
                <w:szCs w:val="20"/>
              </w:rPr>
              <w:t>2. sociální prospěch</w:t>
            </w:r>
            <w:r w:rsidRPr="00212113">
              <w:rPr>
                <w:rFonts w:ascii="Calibri" w:eastAsia="Calibri" w:hAnsi="Calibri" w:cs="Calibri"/>
                <w:color w:val="000000"/>
                <w:sz w:val="20"/>
                <w:szCs w:val="20"/>
              </w:rPr>
              <w:t xml:space="preserve"> </w:t>
            </w:r>
          </w:p>
        </w:tc>
      </w:tr>
      <w:tr w:rsidR="0063703B" w:rsidRPr="00212113" w14:paraId="389CC11F" w14:textId="77777777" w:rsidTr="001E337E">
        <w:trPr>
          <w:trHeight w:val="283"/>
        </w:trPr>
        <w:tc>
          <w:tcPr>
            <w:tcW w:w="1784" w:type="dxa"/>
            <w:vMerge w:val="restart"/>
            <w:shd w:val="clear" w:color="auto" w:fill="F2DBDB"/>
          </w:tcPr>
          <w:p w14:paraId="7180953A"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a) integrace osob ze znevýhodněných skupin </w:t>
            </w:r>
          </w:p>
        </w:tc>
        <w:tc>
          <w:tcPr>
            <w:tcW w:w="3030" w:type="dxa"/>
            <w:gridSpan w:val="3"/>
            <w:shd w:val="clear" w:color="auto" w:fill="F2DBDB"/>
          </w:tcPr>
          <w:p w14:paraId="6CE9B739"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2a1. podíl osob ze znevýhodněných skupin (OZS) tvoří více než 30% zaměstnanců a tyto informace jsou veřejně dostupné </w:t>
            </w:r>
          </w:p>
        </w:tc>
        <w:tc>
          <w:tcPr>
            <w:tcW w:w="4394" w:type="dxa"/>
            <w:shd w:val="clear" w:color="auto" w:fill="F2DBDB"/>
          </w:tcPr>
          <w:p w14:paraId="5D26E7F0" w14:textId="77777777" w:rsidR="0063703B" w:rsidRPr="00212113" w:rsidRDefault="0063703B" w:rsidP="00212113">
            <w:pPr>
              <w:ind w:right="2"/>
              <w:rPr>
                <w:rFonts w:ascii="Calibri" w:eastAsia="Calibri" w:hAnsi="Calibri" w:cs="Calibri"/>
                <w:color w:val="000000"/>
                <w:sz w:val="20"/>
                <w:szCs w:val="20"/>
              </w:rPr>
            </w:pPr>
            <w:r w:rsidRPr="00212113">
              <w:rPr>
                <w:rFonts w:ascii="Calibri" w:eastAsia="Calibri" w:hAnsi="Calibri" w:cs="Calibri"/>
                <w:color w:val="000000"/>
                <w:sz w:val="20"/>
                <w:szCs w:val="20"/>
              </w:rPr>
              <w:t>Doklady o pracovně-právních vztazích všech zaměstnanců podniku. V případě spolupracujících osob u OSVČ doloží příjemce daňové přiznání nebo čestné prohlášení, že poplatník odvedl daň z</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příjmů. Doklady o příslušnosti k OZS. </w:t>
            </w:r>
          </w:p>
        </w:tc>
      </w:tr>
      <w:tr w:rsidR="0063703B" w:rsidRPr="00212113" w14:paraId="122CAD9A" w14:textId="77777777" w:rsidTr="00212113">
        <w:trPr>
          <w:trHeight w:val="283"/>
        </w:trPr>
        <w:tc>
          <w:tcPr>
            <w:tcW w:w="1784" w:type="dxa"/>
            <w:vMerge/>
          </w:tcPr>
          <w:p w14:paraId="70A9A16B" w14:textId="77777777" w:rsidR="0063703B" w:rsidRPr="00212113" w:rsidRDefault="0063703B" w:rsidP="00212113">
            <w:pPr>
              <w:rPr>
                <w:rFonts w:ascii="Calibri" w:eastAsia="Calibri" w:hAnsi="Calibri" w:cs="Calibri"/>
                <w:color w:val="000000"/>
                <w:sz w:val="20"/>
                <w:szCs w:val="20"/>
              </w:rPr>
            </w:pPr>
          </w:p>
        </w:tc>
        <w:tc>
          <w:tcPr>
            <w:tcW w:w="7424" w:type="dxa"/>
            <w:gridSpan w:val="4"/>
            <w:shd w:val="clear" w:color="auto" w:fill="F2DBDB"/>
          </w:tcPr>
          <w:p w14:paraId="36A279F0" w14:textId="77777777" w:rsidR="0063703B" w:rsidRPr="00212113" w:rsidRDefault="0063703B" w:rsidP="00212113">
            <w:pPr>
              <w:rPr>
                <w:rFonts w:ascii="Calibri" w:eastAsia="Calibri" w:hAnsi="Calibri" w:cs="Calibri"/>
                <w:color w:val="000000"/>
                <w:sz w:val="20"/>
                <w:szCs w:val="20"/>
              </w:rPr>
            </w:pPr>
            <w:r w:rsidRPr="001E337E">
              <w:rPr>
                <w:rFonts w:ascii="Calibri" w:eastAsia="Calibri" w:hAnsi="Calibri" w:cs="Calibri"/>
                <w:b/>
                <w:color w:val="000000"/>
                <w:sz w:val="20"/>
                <w:szCs w:val="20"/>
              </w:rPr>
              <w:t xml:space="preserve">Komentář: </w:t>
            </w:r>
            <w:r w:rsidRPr="00212113">
              <w:rPr>
                <w:rFonts w:ascii="Calibri" w:eastAsia="Calibri" w:hAnsi="Calibri" w:cs="Calibri"/>
                <w:color w:val="000000"/>
                <w:sz w:val="20"/>
                <w:szCs w:val="20"/>
              </w:rPr>
              <w:t xml:space="preserve"> Poměr zaměstnanců ze znevýhodněných skupin vůči celkovému počtu zaměstnanců se vyjadřuje v průměrných ročních přepočtených počtech zaměstnanců, do kterých se započítávají zaměstnanci s pracovní smlouvou, DPP a DPČ. OSVČ včetně příp. spolupracujících osob prokazují rozsah zapojení (míra zapojení bude vyjádřena v úvazcích nebo v počtu hodin za určité období)</w:t>
            </w:r>
            <w:r w:rsidRPr="00212113">
              <w:rPr>
                <w:rFonts w:ascii="Calibri" w:eastAsia="Calibri" w:hAnsi="Calibri" w:cs="Calibri"/>
                <w:color w:val="1F497D"/>
                <w:sz w:val="20"/>
                <w:szCs w:val="20"/>
              </w:rPr>
              <w:t xml:space="preserve"> </w:t>
            </w:r>
            <w:r w:rsidRPr="00212113">
              <w:rPr>
                <w:rFonts w:ascii="Calibri" w:eastAsia="Calibri" w:hAnsi="Calibri" w:cs="Calibri"/>
                <w:color w:val="000000"/>
                <w:sz w:val="20"/>
                <w:szCs w:val="20"/>
              </w:rPr>
              <w:t>informacemi ve zprávách o realizaci projektu. Do kategorie osob ze znevýhodněných skupin patří skupiny, které jsou definovány výzvou. Veřejně dostupná je pouze informace o podílu osob ze znevýhodněných skupin, nikoli doklady o pracovně-právních vztazích a doklady o příslušnosti k OZS.</w:t>
            </w:r>
          </w:p>
        </w:tc>
      </w:tr>
      <w:tr w:rsidR="00491C57" w:rsidRPr="00212113" w14:paraId="3FC539FC" w14:textId="77777777" w:rsidTr="001E337E">
        <w:tblPrEx>
          <w:tblCellMar>
            <w:top w:w="45" w:type="dxa"/>
            <w:right w:w="72" w:type="dxa"/>
          </w:tblCellMar>
        </w:tblPrEx>
        <w:trPr>
          <w:trHeight w:val="283"/>
        </w:trPr>
        <w:tc>
          <w:tcPr>
            <w:tcW w:w="1784" w:type="dxa"/>
            <w:vMerge/>
          </w:tcPr>
          <w:p w14:paraId="570CB660" w14:textId="77777777" w:rsidR="0063703B" w:rsidRPr="00212113" w:rsidRDefault="0063703B" w:rsidP="00212113">
            <w:pPr>
              <w:rPr>
                <w:rFonts w:ascii="Calibri" w:eastAsia="Calibri" w:hAnsi="Calibri" w:cs="Calibri"/>
                <w:color w:val="000000"/>
                <w:sz w:val="20"/>
                <w:szCs w:val="20"/>
              </w:rPr>
            </w:pPr>
          </w:p>
        </w:tc>
        <w:tc>
          <w:tcPr>
            <w:tcW w:w="2950" w:type="dxa"/>
            <w:gridSpan w:val="2"/>
            <w:shd w:val="clear" w:color="auto" w:fill="F2DBDB"/>
          </w:tcPr>
          <w:p w14:paraId="1DBD5B04"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2a2. podnik používá personální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integrační nástroje podporující rozvoj a integraci zaměstnanců z</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cílových skupin </w:t>
            </w:r>
          </w:p>
        </w:tc>
        <w:tc>
          <w:tcPr>
            <w:tcW w:w="4474" w:type="dxa"/>
            <w:gridSpan w:val="2"/>
            <w:shd w:val="clear" w:color="auto" w:fill="F2DBDB"/>
          </w:tcPr>
          <w:p w14:paraId="04596FA4" w14:textId="77777777" w:rsidR="0063703B" w:rsidRPr="00212113" w:rsidRDefault="0063703B" w:rsidP="00212113">
            <w:pPr>
              <w:ind w:left="2"/>
              <w:rPr>
                <w:rFonts w:ascii="Calibri" w:eastAsia="Calibri" w:hAnsi="Calibri" w:cs="Calibri"/>
                <w:color w:val="000000"/>
                <w:sz w:val="20"/>
                <w:szCs w:val="20"/>
              </w:rPr>
            </w:pPr>
            <w:r w:rsidRPr="00212113">
              <w:rPr>
                <w:rFonts w:ascii="Calibri" w:eastAsia="Calibri" w:hAnsi="Calibri" w:cs="Calibri"/>
                <w:color w:val="000000"/>
                <w:sz w:val="20"/>
                <w:szCs w:val="20"/>
              </w:rPr>
              <w:t>Doklad o pracovně-právním vztahu (pracovní smlouva, DPP, DPČ) a náplň práce osoby, která integrační personalistiku poskytuje, nebo doklad o</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poskytnutí služby a jejím charakteru (pokud je podpora externí).</w:t>
            </w:r>
          </w:p>
          <w:p w14:paraId="761C891E" w14:textId="77777777" w:rsidR="0063703B" w:rsidRPr="00212113" w:rsidRDefault="0063703B" w:rsidP="00212113">
            <w:pPr>
              <w:ind w:left="2"/>
              <w:rPr>
                <w:rFonts w:ascii="Calibri" w:eastAsia="Calibri" w:hAnsi="Calibri" w:cs="Calibri"/>
                <w:color w:val="000000"/>
                <w:sz w:val="20"/>
                <w:szCs w:val="20"/>
              </w:rPr>
            </w:pPr>
            <w:r w:rsidRPr="00212113">
              <w:rPr>
                <w:rFonts w:ascii="Calibri" w:eastAsia="Calibri" w:hAnsi="Calibri" w:cs="Calibri"/>
                <w:color w:val="000000"/>
                <w:sz w:val="20"/>
                <w:szCs w:val="20"/>
              </w:rPr>
              <w:t xml:space="preserve">Nástroje integrační personalistiky podporující rozvoj a integraci cílové skupiny zaměstnanců (forma zpracování je na příjemci, např. interní předpis, metodika, individuální plány). </w:t>
            </w:r>
          </w:p>
        </w:tc>
      </w:tr>
      <w:tr w:rsidR="0063703B" w:rsidRPr="00212113" w14:paraId="4E6B94BC" w14:textId="77777777" w:rsidTr="00212113">
        <w:tblPrEx>
          <w:tblCellMar>
            <w:top w:w="45" w:type="dxa"/>
            <w:right w:w="72" w:type="dxa"/>
          </w:tblCellMar>
        </w:tblPrEx>
        <w:trPr>
          <w:trHeight w:val="283"/>
        </w:trPr>
        <w:tc>
          <w:tcPr>
            <w:tcW w:w="1784" w:type="dxa"/>
            <w:vMerge/>
          </w:tcPr>
          <w:p w14:paraId="0C4E5C94" w14:textId="77777777" w:rsidR="0063703B" w:rsidRPr="00212113" w:rsidRDefault="0063703B" w:rsidP="00212113">
            <w:pPr>
              <w:rPr>
                <w:rFonts w:ascii="Calibri" w:eastAsia="Calibri" w:hAnsi="Calibri" w:cs="Calibri"/>
                <w:color w:val="000000"/>
                <w:sz w:val="20"/>
                <w:szCs w:val="20"/>
              </w:rPr>
            </w:pPr>
          </w:p>
        </w:tc>
        <w:tc>
          <w:tcPr>
            <w:tcW w:w="7424" w:type="dxa"/>
            <w:gridSpan w:val="4"/>
            <w:shd w:val="clear" w:color="auto" w:fill="F2DBDB"/>
          </w:tcPr>
          <w:p w14:paraId="3542600D" w14:textId="77777777" w:rsidR="0063703B" w:rsidRPr="00212113" w:rsidRDefault="0063703B" w:rsidP="00212113">
            <w:pPr>
              <w:rPr>
                <w:rFonts w:ascii="Calibri" w:eastAsia="Calibri" w:hAnsi="Calibri" w:cs="Calibri"/>
                <w:color w:val="000000"/>
                <w:sz w:val="20"/>
                <w:szCs w:val="20"/>
              </w:rPr>
            </w:pPr>
            <w:r w:rsidRPr="001E337E">
              <w:rPr>
                <w:rFonts w:ascii="Calibri" w:eastAsia="Calibri" w:hAnsi="Calibri" w:cs="Calibri"/>
                <w:b/>
                <w:color w:val="000000"/>
                <w:sz w:val="20"/>
                <w:szCs w:val="20"/>
              </w:rPr>
              <w:t xml:space="preserve">Komentář: </w:t>
            </w:r>
            <w:r w:rsidRPr="00212113">
              <w:rPr>
                <w:rFonts w:ascii="Calibri" w:eastAsia="Calibri" w:hAnsi="Calibri" w:cs="Calibri"/>
                <w:color w:val="000000"/>
                <w:sz w:val="20"/>
                <w:szCs w:val="20"/>
              </w:rPr>
              <w:t>Personální a integrační nástroje: soubor všech nástrojů sociálního podniku, které jsou potřeba k přípravě a vykonávání pracovní pozice, jsou to nástroje, které umožňují zaměstnanci výkon pracovní činnosti a zároveň přispívají k řešení jeho individuálních specifických potřeb. Formou mohou být individuální plány rozvoje zaměstnanců, které jsou souhrnem profesních a osobních cílů zaměstnance, jichž chce zaměstnanec dosáhnout za pomoci a ve spolupráci s integračním personalistou, tak, aby poskytování služby směřovalo k jeho zplnomocňování a integraci.</w:t>
            </w:r>
          </w:p>
        </w:tc>
      </w:tr>
      <w:tr w:rsidR="00491C57" w:rsidRPr="00212113" w14:paraId="16DE9913" w14:textId="77777777" w:rsidTr="001E337E">
        <w:tblPrEx>
          <w:tblCellMar>
            <w:top w:w="45" w:type="dxa"/>
            <w:right w:w="72" w:type="dxa"/>
          </w:tblCellMar>
        </w:tblPrEx>
        <w:trPr>
          <w:trHeight w:val="283"/>
        </w:trPr>
        <w:tc>
          <w:tcPr>
            <w:tcW w:w="1784" w:type="dxa"/>
            <w:vMerge w:val="restart"/>
            <w:shd w:val="clear" w:color="auto" w:fill="F2DBDB"/>
          </w:tcPr>
          <w:p w14:paraId="1035CB1D"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b) demokratická struktura řízení podniku </w:t>
            </w:r>
          </w:p>
        </w:tc>
        <w:tc>
          <w:tcPr>
            <w:tcW w:w="2950" w:type="dxa"/>
            <w:gridSpan w:val="2"/>
            <w:shd w:val="clear" w:color="auto" w:fill="F2DBDB"/>
          </w:tcPr>
          <w:p w14:paraId="7ABDD0B4" w14:textId="77777777" w:rsidR="0063703B" w:rsidRPr="00212113" w:rsidRDefault="0063703B" w:rsidP="00212113">
            <w:pPr>
              <w:ind w:right="37"/>
              <w:rPr>
                <w:rFonts w:ascii="Calibri" w:eastAsia="Calibri" w:hAnsi="Calibri" w:cs="Calibri"/>
                <w:color w:val="000000"/>
                <w:sz w:val="20"/>
                <w:szCs w:val="20"/>
              </w:rPr>
            </w:pPr>
            <w:r w:rsidRPr="00212113">
              <w:rPr>
                <w:rFonts w:ascii="Calibri" w:eastAsia="Calibri" w:hAnsi="Calibri" w:cs="Calibri"/>
                <w:color w:val="000000"/>
                <w:sz w:val="20"/>
                <w:szCs w:val="20"/>
              </w:rPr>
              <w:t>2b1. zaměstnanci a/nebo členové jsou pravidelně a systematicky informováni o chodu podniku, výsledcích hospodaření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naplňování společensky prospěšných cílů; zaměstnanci a/nebo členové jsou zapojení do rozhodování o směrování podniku </w:t>
            </w:r>
          </w:p>
        </w:tc>
        <w:tc>
          <w:tcPr>
            <w:tcW w:w="4474" w:type="dxa"/>
            <w:gridSpan w:val="2"/>
            <w:shd w:val="clear" w:color="auto" w:fill="F2DBDB"/>
          </w:tcPr>
          <w:p w14:paraId="5EFC79EE" w14:textId="77777777" w:rsidR="0063703B" w:rsidRPr="00212113" w:rsidRDefault="0063703B" w:rsidP="001E337E">
            <w:pPr>
              <w:ind w:left="2"/>
              <w:rPr>
                <w:rFonts w:ascii="Calibri" w:eastAsia="Calibri" w:hAnsi="Calibri" w:cs="Calibri"/>
                <w:color w:val="000000"/>
                <w:sz w:val="20"/>
                <w:szCs w:val="20"/>
              </w:rPr>
            </w:pPr>
            <w:r w:rsidRPr="00212113">
              <w:rPr>
                <w:rFonts w:ascii="Calibri" w:eastAsia="Calibri" w:hAnsi="Calibri" w:cs="Calibri"/>
                <w:color w:val="000000"/>
                <w:sz w:val="20"/>
                <w:szCs w:val="20"/>
              </w:rPr>
              <w:t>Lze doložit jedním z uvedených způsobů: strategie zapojování zaměstnanců, interní zpravodaj, zápisy z</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příslušných schůzí, výsledky dotazníkového šetření, příp. jiný prokazatelný způsob. </w:t>
            </w:r>
          </w:p>
        </w:tc>
      </w:tr>
      <w:tr w:rsidR="0063703B" w:rsidRPr="00212113" w14:paraId="514AE5E3" w14:textId="77777777" w:rsidTr="00212113">
        <w:tblPrEx>
          <w:tblCellMar>
            <w:top w:w="45" w:type="dxa"/>
            <w:right w:w="72" w:type="dxa"/>
          </w:tblCellMar>
        </w:tblPrEx>
        <w:trPr>
          <w:trHeight w:val="283"/>
        </w:trPr>
        <w:tc>
          <w:tcPr>
            <w:tcW w:w="1784" w:type="dxa"/>
            <w:vMerge/>
          </w:tcPr>
          <w:p w14:paraId="74A319CF" w14:textId="77777777" w:rsidR="0063703B" w:rsidRPr="00212113" w:rsidRDefault="0063703B" w:rsidP="00212113">
            <w:pPr>
              <w:rPr>
                <w:rFonts w:ascii="Calibri" w:eastAsia="Calibri" w:hAnsi="Calibri" w:cs="Calibri"/>
                <w:color w:val="000000"/>
                <w:sz w:val="20"/>
                <w:szCs w:val="20"/>
              </w:rPr>
            </w:pPr>
          </w:p>
        </w:tc>
        <w:tc>
          <w:tcPr>
            <w:tcW w:w="7424" w:type="dxa"/>
            <w:gridSpan w:val="4"/>
            <w:shd w:val="clear" w:color="auto" w:fill="F2DBDB"/>
          </w:tcPr>
          <w:p w14:paraId="302204F9" w14:textId="77777777" w:rsidR="0063703B" w:rsidRPr="00212113" w:rsidRDefault="0063703B" w:rsidP="00212113">
            <w:pPr>
              <w:rPr>
                <w:rFonts w:ascii="Calibri" w:eastAsia="Calibri" w:hAnsi="Calibri" w:cs="Calibri"/>
                <w:color w:val="000000"/>
                <w:sz w:val="20"/>
                <w:szCs w:val="20"/>
              </w:rPr>
            </w:pPr>
            <w:r w:rsidRPr="001E337E">
              <w:rPr>
                <w:rFonts w:ascii="Calibri" w:eastAsia="Calibri" w:hAnsi="Calibri" w:cs="Calibri"/>
                <w:b/>
                <w:color w:val="000000"/>
                <w:sz w:val="20"/>
                <w:szCs w:val="20"/>
              </w:rPr>
              <w:t>Komentář:</w:t>
            </w:r>
            <w:r w:rsidRPr="00212113">
              <w:rPr>
                <w:rFonts w:ascii="Calibri" w:eastAsia="Calibri" w:hAnsi="Calibri" w:cs="Calibri"/>
                <w:color w:val="000000"/>
                <w:sz w:val="20"/>
                <w:szCs w:val="20"/>
              </w:rPr>
              <w:t xml:space="preserve">  Zaměstnavatel má vypracovanou strategii zapojování zaměstnanců do rozhodujících procesů podle jejich individuálních možností a má definovány oblasti, kde k</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zapojení zaměstnanců dochází (provoz, obchod, PR). Informace jsou zpracovány tak, aby jim všichni zaměstnanci rozuměli. Míra zapojení může být různá, vždy se týká pouze členů a/nebo zaměstnanců, kteří jsou k participaci způsobilí vzhledem k míře a typu svého znevýhodnění; musí existovat prostor pro zaměstnance a/nebo členy, aby mohli na směřování podniku participovat, pokud mají zájem. </w:t>
            </w:r>
          </w:p>
          <w:p w14:paraId="24259827"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Automaticky tento rozpoznávací znak naplňují družstva za předpokladu, že zaměstnanci ze znevýhodněných skupin jsou členy družstva. </w:t>
            </w:r>
          </w:p>
        </w:tc>
      </w:tr>
      <w:tr w:rsidR="0063703B" w:rsidRPr="00212113" w14:paraId="68C70275" w14:textId="77777777" w:rsidTr="00212113">
        <w:tblPrEx>
          <w:tblCellMar>
            <w:top w:w="45" w:type="dxa"/>
            <w:right w:w="72" w:type="dxa"/>
          </w:tblCellMar>
        </w:tblPrEx>
        <w:trPr>
          <w:trHeight w:val="283"/>
        </w:trPr>
        <w:tc>
          <w:tcPr>
            <w:tcW w:w="9208" w:type="dxa"/>
            <w:gridSpan w:val="5"/>
            <w:shd w:val="clear" w:color="auto" w:fill="C6D9F1"/>
          </w:tcPr>
          <w:p w14:paraId="41620783"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b/>
                <w:color w:val="000000"/>
                <w:sz w:val="20"/>
                <w:szCs w:val="20"/>
              </w:rPr>
              <w:t>3. ekonomický prospěch</w:t>
            </w:r>
            <w:r w:rsidRPr="00212113">
              <w:rPr>
                <w:rFonts w:ascii="Calibri" w:eastAsia="Calibri" w:hAnsi="Calibri" w:cs="Calibri"/>
                <w:color w:val="000000"/>
                <w:sz w:val="20"/>
                <w:szCs w:val="20"/>
              </w:rPr>
              <w:t xml:space="preserve"> </w:t>
            </w:r>
          </w:p>
        </w:tc>
      </w:tr>
      <w:tr w:rsidR="00491C57" w:rsidRPr="00212113" w14:paraId="33DA39F2" w14:textId="77777777" w:rsidTr="001E337E">
        <w:tblPrEx>
          <w:tblCellMar>
            <w:top w:w="45" w:type="dxa"/>
            <w:right w:w="72" w:type="dxa"/>
          </w:tblCellMar>
        </w:tblPrEx>
        <w:trPr>
          <w:trHeight w:val="283"/>
        </w:trPr>
        <w:tc>
          <w:tcPr>
            <w:tcW w:w="1784" w:type="dxa"/>
            <w:vMerge w:val="restart"/>
            <w:shd w:val="clear" w:color="auto" w:fill="C6D9F1"/>
          </w:tcPr>
          <w:p w14:paraId="35B6227D"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a) případný zisk používán přednostně pro rozvoj sociálního podniku a/nebo pro naplnění jeho společensky prospěšných cílů </w:t>
            </w:r>
          </w:p>
        </w:tc>
        <w:tc>
          <w:tcPr>
            <w:tcW w:w="2950" w:type="dxa"/>
            <w:gridSpan w:val="2"/>
            <w:shd w:val="clear" w:color="auto" w:fill="C6D9F1"/>
          </w:tcPr>
          <w:p w14:paraId="2755E30A" w14:textId="77777777" w:rsidR="0063703B" w:rsidRPr="00212113" w:rsidRDefault="0063703B" w:rsidP="00212113">
            <w:pPr>
              <w:ind w:right="14"/>
              <w:rPr>
                <w:rFonts w:ascii="Calibri" w:eastAsia="Calibri" w:hAnsi="Calibri" w:cs="Calibri"/>
                <w:color w:val="000000"/>
                <w:sz w:val="20"/>
                <w:szCs w:val="20"/>
              </w:rPr>
            </w:pPr>
            <w:r w:rsidRPr="00212113">
              <w:rPr>
                <w:rFonts w:ascii="Calibri" w:eastAsia="Calibri" w:hAnsi="Calibri" w:cs="Calibri"/>
                <w:color w:val="000000"/>
                <w:sz w:val="20"/>
                <w:szCs w:val="20"/>
              </w:rPr>
              <w:t>3a1. min. 51</w:t>
            </w:r>
            <w:r w:rsidR="00CA7B46" w:rsidRPr="00212113">
              <w:rPr>
                <w:rFonts w:ascii="Calibri" w:eastAsia="Calibri" w:hAnsi="Calibri" w:cs="Calibri"/>
                <w:color w:val="000000"/>
                <w:sz w:val="20"/>
                <w:szCs w:val="20"/>
              </w:rPr>
              <w:t xml:space="preserve"> </w:t>
            </w:r>
            <w:r w:rsidRPr="00212113">
              <w:rPr>
                <w:rFonts w:ascii="Calibri" w:eastAsia="Calibri" w:hAnsi="Calibri" w:cs="Calibri"/>
                <w:color w:val="000000"/>
                <w:sz w:val="20"/>
                <w:szCs w:val="20"/>
              </w:rPr>
              <w:t>% případného zisku je reinvestováno do rozvoje sociálního podniku a/nebo naplňování jeho deklarovaných společensky prospěšných cílů a</w:t>
            </w:r>
            <w:r w:rsidR="00491C57"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informace o využití případného zisku je veřejně dostupná </w:t>
            </w:r>
          </w:p>
        </w:tc>
        <w:tc>
          <w:tcPr>
            <w:tcW w:w="4474" w:type="dxa"/>
            <w:gridSpan w:val="2"/>
            <w:shd w:val="clear" w:color="auto" w:fill="C6D9F1"/>
          </w:tcPr>
          <w:p w14:paraId="24F3B101" w14:textId="77777777" w:rsidR="0063703B" w:rsidRPr="00212113" w:rsidRDefault="0063703B" w:rsidP="001E337E">
            <w:pPr>
              <w:ind w:left="2"/>
              <w:rPr>
                <w:rFonts w:ascii="Calibri" w:eastAsia="Calibri" w:hAnsi="Calibri" w:cs="Calibri"/>
                <w:color w:val="000000"/>
                <w:sz w:val="20"/>
                <w:szCs w:val="20"/>
              </w:rPr>
            </w:pPr>
            <w:r w:rsidRPr="00212113">
              <w:rPr>
                <w:rFonts w:ascii="Calibri" w:eastAsia="Calibri" w:hAnsi="Calibri" w:cs="Calibri"/>
                <w:color w:val="000000"/>
                <w:sz w:val="20"/>
                <w:szCs w:val="20"/>
              </w:rPr>
              <w:t xml:space="preserve">Účetní uzávěrka a příloha k účetní uzávěrce za nejbližší uzavřený kalendářní rok zveřejněná na </w:t>
            </w:r>
            <w:hyperlink r:id="rId24">
              <w:r w:rsidRPr="00212113">
                <w:rPr>
                  <w:rFonts w:ascii="Calibri" w:eastAsia="Calibri" w:hAnsi="Calibri" w:cs="Calibri"/>
                  <w:color w:val="000000"/>
                  <w:sz w:val="20"/>
                  <w:szCs w:val="20"/>
                </w:rPr>
                <w:t>www.justice.cz</w:t>
              </w:r>
            </w:hyperlink>
            <w:hyperlink r:id="rId25">
              <w:r w:rsidRPr="00212113">
                <w:rPr>
                  <w:rFonts w:ascii="Calibri" w:eastAsia="Calibri" w:hAnsi="Calibri" w:cs="Calibri"/>
                  <w:color w:val="000000"/>
                  <w:sz w:val="20"/>
                  <w:szCs w:val="20"/>
                </w:rPr>
                <w:t>.</w:t>
              </w:r>
            </w:hyperlink>
            <w:r w:rsidRPr="00212113">
              <w:rPr>
                <w:rFonts w:ascii="Calibri" w:eastAsia="Calibri" w:hAnsi="Calibri" w:cs="Calibri"/>
                <w:color w:val="000000"/>
                <w:sz w:val="20"/>
                <w:szCs w:val="20"/>
              </w:rPr>
              <w:t xml:space="preserve"> </w:t>
            </w:r>
          </w:p>
        </w:tc>
      </w:tr>
      <w:tr w:rsidR="0063703B" w:rsidRPr="00212113" w14:paraId="2800D982" w14:textId="77777777" w:rsidTr="00212113">
        <w:tblPrEx>
          <w:tblCellMar>
            <w:top w:w="45" w:type="dxa"/>
            <w:right w:w="72" w:type="dxa"/>
          </w:tblCellMar>
        </w:tblPrEx>
        <w:trPr>
          <w:trHeight w:val="283"/>
        </w:trPr>
        <w:tc>
          <w:tcPr>
            <w:tcW w:w="1784" w:type="dxa"/>
            <w:vMerge/>
          </w:tcPr>
          <w:p w14:paraId="55EDD6CC" w14:textId="77777777" w:rsidR="0063703B" w:rsidRPr="00212113" w:rsidRDefault="0063703B" w:rsidP="00212113">
            <w:pPr>
              <w:rPr>
                <w:rFonts w:ascii="Calibri" w:eastAsia="Calibri" w:hAnsi="Calibri" w:cs="Calibri"/>
                <w:color w:val="000000"/>
                <w:sz w:val="20"/>
                <w:szCs w:val="20"/>
              </w:rPr>
            </w:pPr>
          </w:p>
        </w:tc>
        <w:tc>
          <w:tcPr>
            <w:tcW w:w="7424" w:type="dxa"/>
            <w:gridSpan w:val="4"/>
            <w:shd w:val="clear" w:color="auto" w:fill="C6D9F1"/>
          </w:tcPr>
          <w:p w14:paraId="205640CE" w14:textId="77777777" w:rsidR="0063703B" w:rsidRPr="00212113" w:rsidRDefault="0063703B" w:rsidP="00212113">
            <w:pPr>
              <w:rPr>
                <w:rFonts w:ascii="Calibri" w:eastAsia="Calibri" w:hAnsi="Calibri" w:cs="Calibri"/>
                <w:color w:val="000000"/>
                <w:sz w:val="20"/>
                <w:szCs w:val="20"/>
              </w:rPr>
            </w:pPr>
            <w:r w:rsidRPr="001E337E">
              <w:rPr>
                <w:rFonts w:ascii="Calibri" w:eastAsia="Calibri" w:hAnsi="Calibri" w:cs="Calibri"/>
                <w:b/>
                <w:color w:val="000000"/>
                <w:sz w:val="20"/>
                <w:szCs w:val="20"/>
              </w:rPr>
              <w:t xml:space="preserve">Komentář: </w:t>
            </w:r>
            <w:r w:rsidRPr="00212113">
              <w:rPr>
                <w:rFonts w:ascii="Calibri" w:eastAsia="Calibri" w:hAnsi="Calibri" w:cs="Calibri"/>
                <w:color w:val="000000"/>
                <w:sz w:val="20"/>
                <w:szCs w:val="20"/>
              </w:rPr>
              <w:t xml:space="preserve"> Pokud podnik vykazuje ztrátu, není relevantní. Každoročně nejvyšší orgán společnosti schvaluje převedení min. 51 % zisku po zdanění na účty zavedené k účelu sledování hospodaření se ziskem (příklady účtů: 428 </w:t>
            </w:r>
            <w:r w:rsidRPr="006532B0">
              <w:rPr>
                <w:rFonts w:ascii="Calibri" w:eastAsia="Calibri" w:hAnsi="Calibri" w:cs="Calibri"/>
                <w:color w:val="000000"/>
                <w:sz w:val="20"/>
                <w:szCs w:val="20"/>
              </w:rPr>
              <w:t>Nerozdělený zisk minulých let</w:t>
            </w:r>
            <w:r w:rsidRPr="00212113">
              <w:rPr>
                <w:rFonts w:ascii="Calibri" w:eastAsia="Calibri" w:hAnsi="Calibri" w:cs="Calibri"/>
                <w:color w:val="000000"/>
                <w:sz w:val="20"/>
                <w:szCs w:val="20"/>
              </w:rPr>
              <w:t>, 423</w:t>
            </w:r>
            <w:r w:rsidR="00491C57" w:rsidRPr="00212113">
              <w:rPr>
                <w:rFonts w:ascii="Calibri" w:eastAsia="Calibri" w:hAnsi="Calibri" w:cs="Calibri"/>
                <w:color w:val="000000"/>
                <w:sz w:val="20"/>
                <w:szCs w:val="20"/>
              </w:rPr>
              <w:t> </w:t>
            </w:r>
            <w:r w:rsidRPr="006532B0">
              <w:rPr>
                <w:rFonts w:ascii="Calibri" w:eastAsia="Calibri" w:hAnsi="Calibri" w:cs="Calibri"/>
                <w:color w:val="000000"/>
                <w:sz w:val="20"/>
                <w:szCs w:val="20"/>
              </w:rPr>
              <w:t>Fond společensky odpovědné reinvestice</w:t>
            </w:r>
            <w:r w:rsidRPr="00212113">
              <w:rPr>
                <w:rFonts w:ascii="Calibri" w:eastAsia="Calibri" w:hAnsi="Calibri" w:cs="Calibri"/>
                <w:color w:val="000000"/>
                <w:sz w:val="20"/>
                <w:szCs w:val="20"/>
              </w:rPr>
              <w:t>, v účetní uzávěrce v rozvaze řádek A.III.2</w:t>
            </w:r>
            <w:r w:rsidR="001E337E">
              <w:rPr>
                <w:rFonts w:ascii="Calibri" w:eastAsia="Calibri" w:hAnsi="Calibri" w:cs="Calibri"/>
                <w:color w:val="000000"/>
                <w:sz w:val="20"/>
                <w:szCs w:val="20"/>
              </w:rPr>
              <w:t> </w:t>
            </w:r>
            <w:r w:rsidRPr="006532B0">
              <w:rPr>
                <w:rFonts w:ascii="Calibri" w:eastAsia="Calibri" w:hAnsi="Calibri" w:cs="Calibri"/>
                <w:color w:val="000000"/>
                <w:sz w:val="20"/>
                <w:szCs w:val="20"/>
              </w:rPr>
              <w:t>Statutární a ostatní fondy</w:t>
            </w:r>
            <w:r w:rsidRPr="00212113">
              <w:rPr>
                <w:rFonts w:ascii="Calibri" w:eastAsia="Calibri" w:hAnsi="Calibri" w:cs="Calibri"/>
                <w:color w:val="000000"/>
                <w:sz w:val="20"/>
                <w:szCs w:val="20"/>
              </w:rPr>
              <w:t xml:space="preserve">, A.IV.1 </w:t>
            </w:r>
            <w:r w:rsidRPr="006532B0">
              <w:rPr>
                <w:rFonts w:ascii="Calibri" w:eastAsia="Calibri" w:hAnsi="Calibri" w:cs="Calibri"/>
                <w:color w:val="000000"/>
                <w:sz w:val="20"/>
                <w:szCs w:val="20"/>
              </w:rPr>
              <w:t>Nerozdělený zisk z minulých let</w:t>
            </w:r>
            <w:r w:rsidRPr="00212113">
              <w:rPr>
                <w:rFonts w:ascii="Calibri" w:eastAsia="Calibri" w:hAnsi="Calibri" w:cs="Calibri"/>
                <w:color w:val="000000"/>
                <w:sz w:val="20"/>
                <w:szCs w:val="20"/>
              </w:rPr>
              <w:t xml:space="preserve">). V příloze účetní závěrky bude obsažena informace o pohybech na uvedených účtech vč. sdělení, do čeho byl zisk reinvestován. </w:t>
            </w:r>
          </w:p>
        </w:tc>
      </w:tr>
      <w:tr w:rsidR="00491C57" w:rsidRPr="00212113" w14:paraId="0BEEF570" w14:textId="77777777" w:rsidTr="001E337E">
        <w:tblPrEx>
          <w:tblCellMar>
            <w:top w:w="45" w:type="dxa"/>
            <w:right w:w="72" w:type="dxa"/>
          </w:tblCellMar>
        </w:tblPrEx>
        <w:trPr>
          <w:trHeight w:val="283"/>
        </w:trPr>
        <w:tc>
          <w:tcPr>
            <w:tcW w:w="1784" w:type="dxa"/>
            <w:vMerge w:val="restart"/>
            <w:shd w:val="clear" w:color="auto" w:fill="C6D9F1"/>
          </w:tcPr>
          <w:p w14:paraId="43A50C52" w14:textId="77777777" w:rsidR="00491C57" w:rsidRPr="00212113" w:rsidRDefault="00491C57"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1</w:t>
            </w:r>
            <w:r w:rsidR="0063703B" w:rsidRPr="00212113">
              <w:rPr>
                <w:rFonts w:ascii="Calibri" w:eastAsia="Calibri" w:hAnsi="Calibri" w:cs="Calibri"/>
                <w:color w:val="000000"/>
                <w:sz w:val="20"/>
                <w:szCs w:val="20"/>
              </w:rPr>
              <w:t>b) nezávislost (autonomie) v</w:t>
            </w:r>
            <w:r w:rsidRPr="00212113">
              <w:rPr>
                <w:rFonts w:ascii="Calibri" w:eastAsia="Calibri" w:hAnsi="Calibri" w:cs="Calibri"/>
                <w:color w:val="000000"/>
                <w:sz w:val="20"/>
                <w:szCs w:val="20"/>
              </w:rPr>
              <w:t> </w:t>
            </w:r>
            <w:r w:rsidR="0063703B" w:rsidRPr="00212113">
              <w:rPr>
                <w:rFonts w:ascii="Calibri" w:eastAsia="Calibri" w:hAnsi="Calibri" w:cs="Calibri"/>
                <w:color w:val="000000"/>
                <w:sz w:val="20"/>
                <w:szCs w:val="20"/>
              </w:rPr>
              <w:t>manažerském rozhodování a</w:t>
            </w:r>
            <w:r w:rsidRPr="00212113">
              <w:rPr>
                <w:rFonts w:ascii="Calibri" w:eastAsia="Calibri" w:hAnsi="Calibri" w:cs="Calibri"/>
                <w:color w:val="000000"/>
                <w:sz w:val="20"/>
                <w:szCs w:val="20"/>
              </w:rPr>
              <w:t> </w:t>
            </w:r>
            <w:r w:rsidR="0063703B" w:rsidRPr="00212113">
              <w:rPr>
                <w:rFonts w:ascii="Calibri" w:eastAsia="Calibri" w:hAnsi="Calibri" w:cs="Calibri"/>
                <w:color w:val="000000"/>
                <w:sz w:val="20"/>
                <w:szCs w:val="20"/>
              </w:rPr>
              <w:t xml:space="preserve">řízení na externích zakladatelích nebo zřizovatelích </w:t>
            </w:r>
          </w:p>
        </w:tc>
        <w:tc>
          <w:tcPr>
            <w:tcW w:w="2950" w:type="dxa"/>
            <w:gridSpan w:val="2"/>
            <w:shd w:val="clear" w:color="auto" w:fill="C6D9F1"/>
          </w:tcPr>
          <w:p w14:paraId="2DD67331"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3b1. manažerské řízení podniku je nezávislé na externím zřizovateli či vlastníkovi </w:t>
            </w:r>
          </w:p>
        </w:tc>
        <w:tc>
          <w:tcPr>
            <w:tcW w:w="4474" w:type="dxa"/>
            <w:gridSpan w:val="2"/>
            <w:shd w:val="clear" w:color="auto" w:fill="C6D9F1"/>
          </w:tcPr>
          <w:p w14:paraId="170DEAA2" w14:textId="77777777" w:rsidR="0063703B" w:rsidRPr="00212113" w:rsidRDefault="0063703B" w:rsidP="00212113">
            <w:pPr>
              <w:ind w:left="2"/>
              <w:rPr>
                <w:rFonts w:ascii="Calibri" w:eastAsia="Calibri" w:hAnsi="Calibri" w:cs="Calibri"/>
                <w:color w:val="000000"/>
                <w:sz w:val="20"/>
                <w:szCs w:val="20"/>
              </w:rPr>
            </w:pPr>
            <w:r w:rsidRPr="00212113">
              <w:rPr>
                <w:rFonts w:ascii="Calibri" w:eastAsia="Calibri" w:hAnsi="Calibri" w:cs="Calibri"/>
                <w:color w:val="000000"/>
                <w:sz w:val="20"/>
                <w:szCs w:val="20"/>
              </w:rPr>
              <w:t xml:space="preserve">Zakládací dokumenty a závazné vnitřní předpisy organizace. Pokud externí vlastník či zřizovatel neexistuje, podmínka je naplněna automaticky. </w:t>
            </w:r>
          </w:p>
        </w:tc>
      </w:tr>
      <w:tr w:rsidR="0063703B" w:rsidRPr="00212113" w14:paraId="38A8B554" w14:textId="77777777" w:rsidTr="00212113">
        <w:tblPrEx>
          <w:tblCellMar>
            <w:top w:w="45" w:type="dxa"/>
            <w:right w:w="72" w:type="dxa"/>
          </w:tblCellMar>
        </w:tblPrEx>
        <w:trPr>
          <w:trHeight w:val="283"/>
        </w:trPr>
        <w:tc>
          <w:tcPr>
            <w:tcW w:w="1784" w:type="dxa"/>
            <w:vMerge/>
          </w:tcPr>
          <w:p w14:paraId="694A8015" w14:textId="77777777" w:rsidR="0063703B" w:rsidRPr="00212113" w:rsidRDefault="0063703B" w:rsidP="00212113">
            <w:pPr>
              <w:rPr>
                <w:rFonts w:ascii="Calibri" w:eastAsia="Calibri" w:hAnsi="Calibri" w:cs="Calibri"/>
                <w:color w:val="000000"/>
                <w:sz w:val="20"/>
                <w:szCs w:val="20"/>
              </w:rPr>
            </w:pPr>
          </w:p>
        </w:tc>
        <w:tc>
          <w:tcPr>
            <w:tcW w:w="7424" w:type="dxa"/>
            <w:gridSpan w:val="4"/>
            <w:shd w:val="clear" w:color="auto" w:fill="C6D9F1"/>
          </w:tcPr>
          <w:p w14:paraId="6A20A0E2" w14:textId="77777777" w:rsidR="0063703B" w:rsidRPr="00212113" w:rsidRDefault="0063703B" w:rsidP="00212113">
            <w:pPr>
              <w:rPr>
                <w:rFonts w:ascii="Calibri" w:eastAsia="Calibri" w:hAnsi="Calibri" w:cs="Calibri"/>
                <w:color w:val="000000"/>
                <w:sz w:val="20"/>
                <w:szCs w:val="20"/>
              </w:rPr>
            </w:pPr>
            <w:r w:rsidRPr="001E337E">
              <w:rPr>
                <w:rFonts w:ascii="Calibri" w:eastAsia="Calibri" w:hAnsi="Calibri" w:cs="Calibri"/>
                <w:b/>
                <w:color w:val="000000"/>
                <w:sz w:val="20"/>
                <w:szCs w:val="20"/>
              </w:rPr>
              <w:t xml:space="preserve">Komentář: </w:t>
            </w:r>
            <w:r w:rsidRPr="00212113">
              <w:rPr>
                <w:rFonts w:ascii="Calibri" w:eastAsia="Calibri" w:hAnsi="Calibri" w:cs="Calibri"/>
                <w:color w:val="000000"/>
                <w:sz w:val="20"/>
                <w:szCs w:val="20"/>
              </w:rPr>
              <w:t>Nezávislostí se zde míní autonomie v manažerském rozhodování a řízení. Nezávislost se posuzuje v těchto oblastech: řídící struktura, rozhodovací pravomoci, dispozice podpisovým právem a schvalovací procesy.</w:t>
            </w:r>
          </w:p>
          <w:p w14:paraId="00C8F697"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Pokud je jedním ze zřizovatelů obec, její celkový vlastnický podíl v podniku musí být menší než 50%. Pokud je zřizovatelem více obcí, vlastnický podíl každé z těchto obcí musí být menší než 50 %. V zakládacích dokumentech sociálního podniku je vymezena míra nezávislosti na těchto jednotlivých obcích, která spočívá v dodržování principů demokratického řízení a široké participace a žádná z těchto obcí nedisponuje většinou rozhodovacích práv.  Zřizovatelem může být dobrovolný svazek obcí, který je složen nejméně ze tří obcí a žádná z nich v něm nedisponuje většinou rozhodovacích práv. Ve stanovách svazku obcí je zakotvena nezávislost rozhodování orgánů svazku daná dodržováním principů demokratického řízení a široké participace a jeho rozhodování není založeno na výši kapitálových podílů. Ve stanovách svazku obcí je vymezena míra nezávislosti na svazku obcí i na jednotlivých obcích.  </w:t>
            </w:r>
          </w:p>
        </w:tc>
      </w:tr>
      <w:tr w:rsidR="00491C57" w:rsidRPr="00212113" w14:paraId="20250920" w14:textId="77777777" w:rsidTr="001E337E">
        <w:tblPrEx>
          <w:tblCellMar>
            <w:top w:w="45" w:type="dxa"/>
            <w:right w:w="62" w:type="dxa"/>
          </w:tblCellMar>
        </w:tblPrEx>
        <w:trPr>
          <w:trHeight w:val="283"/>
        </w:trPr>
        <w:tc>
          <w:tcPr>
            <w:tcW w:w="1784" w:type="dxa"/>
            <w:vMerge w:val="restart"/>
            <w:shd w:val="clear" w:color="auto" w:fill="C6D9F1"/>
            <w:vAlign w:val="center"/>
          </w:tcPr>
          <w:p w14:paraId="3B413361"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c) alespoň minimální podíl tržeb z prodeje výrobků a služeb na celkových výnosech  </w:t>
            </w:r>
          </w:p>
        </w:tc>
        <w:tc>
          <w:tcPr>
            <w:tcW w:w="2534" w:type="dxa"/>
            <w:shd w:val="clear" w:color="auto" w:fill="C6D9F1"/>
          </w:tcPr>
          <w:p w14:paraId="4F5CE9B4"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3c1. tržby z prodeje výrobků a/nebo služeb tvoří alespoň 30</w:t>
            </w:r>
            <w:r w:rsidR="00CA7B46" w:rsidRPr="00212113">
              <w:rPr>
                <w:rFonts w:ascii="Calibri" w:eastAsia="Calibri" w:hAnsi="Calibri" w:cs="Calibri"/>
                <w:color w:val="000000"/>
                <w:sz w:val="20"/>
                <w:szCs w:val="20"/>
              </w:rPr>
              <w:t xml:space="preserve"> </w:t>
            </w:r>
            <w:r w:rsidRPr="00212113">
              <w:rPr>
                <w:rFonts w:ascii="Calibri" w:eastAsia="Calibri" w:hAnsi="Calibri" w:cs="Calibri"/>
                <w:color w:val="000000"/>
                <w:sz w:val="20"/>
                <w:szCs w:val="20"/>
              </w:rPr>
              <w:t xml:space="preserve">% z celkových výnosů podniku </w:t>
            </w:r>
          </w:p>
        </w:tc>
        <w:tc>
          <w:tcPr>
            <w:tcW w:w="4890" w:type="dxa"/>
            <w:gridSpan w:val="3"/>
            <w:shd w:val="clear" w:color="auto" w:fill="C6D9F1"/>
          </w:tcPr>
          <w:p w14:paraId="3A7E7396" w14:textId="77777777" w:rsidR="0063703B" w:rsidRPr="00212113" w:rsidRDefault="0063703B" w:rsidP="00212113">
            <w:pPr>
              <w:ind w:right="25"/>
              <w:rPr>
                <w:rFonts w:ascii="Calibri" w:eastAsia="Calibri" w:hAnsi="Calibri" w:cs="Calibri"/>
                <w:color w:val="000000"/>
                <w:sz w:val="20"/>
                <w:szCs w:val="20"/>
              </w:rPr>
            </w:pPr>
            <w:r w:rsidRPr="00212113">
              <w:rPr>
                <w:rFonts w:ascii="Calibri" w:eastAsia="Calibri" w:hAnsi="Calibri" w:cs="Calibri"/>
                <w:color w:val="000000"/>
                <w:sz w:val="20"/>
                <w:szCs w:val="20"/>
              </w:rPr>
              <w:t xml:space="preserve">Výsledovka podniku za posledních 12 měsíců realizace projektu nebo peněžní deník za posledních 12 měsíců realizace projektu (pro fyzické osoby, které vedou daňovou evidenci podle zákona č. 586/1992 Sb., o daních z příjmů, ve znění pozdějších předpisů, nebo uplatňují výdaje procentem z příjmů </w:t>
            </w:r>
            <w:r w:rsidR="008B5E9B" w:rsidRPr="00212113">
              <w:rPr>
                <w:rFonts w:ascii="Calibri" w:eastAsia="Calibri" w:hAnsi="Calibri" w:cs="Calibri"/>
                <w:color w:val="000000"/>
                <w:sz w:val="20"/>
                <w:szCs w:val="20"/>
              </w:rPr>
              <w:t>–</w:t>
            </w:r>
            <w:r w:rsidRPr="00212113">
              <w:rPr>
                <w:rFonts w:ascii="Calibri" w:eastAsia="Calibri" w:hAnsi="Calibri" w:cs="Calibri"/>
                <w:color w:val="000000"/>
                <w:sz w:val="20"/>
                <w:szCs w:val="20"/>
              </w:rPr>
              <w:t xml:space="preserve"> paušální výdaje a zároveň nevedou účetnictví). </w:t>
            </w:r>
          </w:p>
        </w:tc>
      </w:tr>
      <w:tr w:rsidR="0063703B" w:rsidRPr="00212113" w14:paraId="55E00AFD" w14:textId="77777777" w:rsidTr="00212113">
        <w:tblPrEx>
          <w:tblCellMar>
            <w:top w:w="45" w:type="dxa"/>
            <w:right w:w="62" w:type="dxa"/>
          </w:tblCellMar>
        </w:tblPrEx>
        <w:trPr>
          <w:trHeight w:val="283"/>
        </w:trPr>
        <w:tc>
          <w:tcPr>
            <w:tcW w:w="1784" w:type="dxa"/>
            <w:vMerge/>
          </w:tcPr>
          <w:p w14:paraId="47DBDCFA" w14:textId="77777777" w:rsidR="0063703B" w:rsidRPr="00212113" w:rsidRDefault="0063703B" w:rsidP="00212113">
            <w:pPr>
              <w:rPr>
                <w:rFonts w:ascii="Calibri" w:eastAsia="Calibri" w:hAnsi="Calibri" w:cs="Calibri"/>
                <w:color w:val="000000"/>
                <w:sz w:val="20"/>
                <w:szCs w:val="20"/>
              </w:rPr>
            </w:pPr>
          </w:p>
        </w:tc>
        <w:tc>
          <w:tcPr>
            <w:tcW w:w="7424" w:type="dxa"/>
            <w:gridSpan w:val="4"/>
            <w:shd w:val="clear" w:color="auto" w:fill="C6D9F1"/>
          </w:tcPr>
          <w:p w14:paraId="58B9402E" w14:textId="77777777" w:rsidR="0063703B" w:rsidRPr="00212113" w:rsidRDefault="0063703B" w:rsidP="00212113">
            <w:pPr>
              <w:rPr>
                <w:rFonts w:ascii="Calibri" w:eastAsia="Calibri" w:hAnsi="Calibri" w:cs="Calibri"/>
                <w:color w:val="000000"/>
                <w:sz w:val="20"/>
                <w:szCs w:val="20"/>
              </w:rPr>
            </w:pPr>
            <w:r w:rsidRPr="001E337E">
              <w:rPr>
                <w:rFonts w:ascii="Calibri" w:eastAsia="Calibri" w:hAnsi="Calibri" w:cs="Calibri"/>
                <w:b/>
                <w:color w:val="000000"/>
                <w:sz w:val="20"/>
                <w:szCs w:val="20"/>
              </w:rPr>
              <w:t>Komentář:</w:t>
            </w:r>
            <w:r w:rsidRPr="00212113">
              <w:rPr>
                <w:rFonts w:ascii="Calibri" w:eastAsia="Calibri" w:hAnsi="Calibri" w:cs="Calibri"/>
                <w:color w:val="000000"/>
                <w:sz w:val="20"/>
                <w:szCs w:val="20"/>
              </w:rPr>
              <w:t xml:space="preserve"> Do celkových výnosů se pro účely tohoto rozpoznávacího znaku nezapočítávají investiční dotace. Tento rozpoznávací znak se sleduje za posledních 12</w:t>
            </w:r>
            <w:r w:rsidR="00B748E3"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měsíců realizace projektu.</w:t>
            </w:r>
          </w:p>
        </w:tc>
      </w:tr>
      <w:tr w:rsidR="0063703B" w:rsidRPr="00212113" w14:paraId="4F7D2C6E" w14:textId="77777777" w:rsidTr="00212113">
        <w:tblPrEx>
          <w:tblCellMar>
            <w:top w:w="45" w:type="dxa"/>
            <w:right w:w="62" w:type="dxa"/>
          </w:tblCellMar>
        </w:tblPrEx>
        <w:trPr>
          <w:trHeight w:val="283"/>
        </w:trPr>
        <w:tc>
          <w:tcPr>
            <w:tcW w:w="9208" w:type="dxa"/>
            <w:gridSpan w:val="5"/>
            <w:shd w:val="clear" w:color="auto" w:fill="EAF1DD"/>
          </w:tcPr>
          <w:p w14:paraId="0F12636E"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b/>
                <w:color w:val="000000"/>
                <w:sz w:val="20"/>
                <w:szCs w:val="20"/>
              </w:rPr>
              <w:t>4. environmentální prospěch</w:t>
            </w:r>
            <w:r w:rsidRPr="00212113">
              <w:rPr>
                <w:rFonts w:ascii="Calibri" w:eastAsia="Calibri" w:hAnsi="Calibri" w:cs="Calibri"/>
                <w:color w:val="000000"/>
                <w:sz w:val="20"/>
                <w:szCs w:val="20"/>
              </w:rPr>
              <w:t xml:space="preserve"> </w:t>
            </w:r>
          </w:p>
        </w:tc>
      </w:tr>
      <w:tr w:rsidR="00491C57" w:rsidRPr="00212113" w14:paraId="783B0DA7" w14:textId="77777777" w:rsidTr="001E337E">
        <w:tblPrEx>
          <w:tblCellMar>
            <w:top w:w="45" w:type="dxa"/>
            <w:right w:w="62" w:type="dxa"/>
          </w:tblCellMar>
        </w:tblPrEx>
        <w:trPr>
          <w:trHeight w:val="283"/>
        </w:trPr>
        <w:tc>
          <w:tcPr>
            <w:tcW w:w="1784" w:type="dxa"/>
            <w:shd w:val="clear" w:color="auto" w:fill="EAF1DD"/>
          </w:tcPr>
          <w:p w14:paraId="101E5E04"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a) podnikatelské aktivity podniku, skrze které podnik naplňuje společensky prospěšní cíl, mají environmentální rozměr </w:t>
            </w:r>
          </w:p>
        </w:tc>
        <w:tc>
          <w:tcPr>
            <w:tcW w:w="2534" w:type="dxa"/>
            <w:shd w:val="clear" w:color="auto" w:fill="EAF1DD"/>
            <w:vAlign w:val="center"/>
          </w:tcPr>
          <w:p w14:paraId="78098210" w14:textId="77777777" w:rsidR="0063703B" w:rsidRPr="00212113" w:rsidRDefault="0063703B" w:rsidP="00212113">
            <w:pPr>
              <w:ind w:right="8"/>
              <w:rPr>
                <w:rFonts w:ascii="Calibri" w:eastAsia="Calibri" w:hAnsi="Calibri" w:cs="Calibri"/>
                <w:color w:val="000000"/>
                <w:sz w:val="20"/>
                <w:szCs w:val="20"/>
              </w:rPr>
            </w:pPr>
            <w:r w:rsidRPr="00212113">
              <w:rPr>
                <w:rFonts w:ascii="Calibri" w:eastAsia="Calibri" w:hAnsi="Calibri" w:cs="Calibri"/>
                <w:color w:val="000000"/>
                <w:sz w:val="20"/>
                <w:szCs w:val="20"/>
              </w:rPr>
              <w:t xml:space="preserve">4a1. podnik vykonává podnikatelskou činnost, která přispívá k řešení konkrétního environmentálního problému </w:t>
            </w:r>
            <w:r w:rsidR="00CA7B46" w:rsidRPr="00212113">
              <w:rPr>
                <w:rFonts w:ascii="Calibri" w:eastAsia="Calibri" w:hAnsi="Calibri" w:cs="Calibri"/>
                <w:color w:val="000000"/>
                <w:sz w:val="20"/>
                <w:szCs w:val="20"/>
              </w:rPr>
              <w:t>–</w:t>
            </w:r>
            <w:r w:rsidRPr="00212113">
              <w:rPr>
                <w:rFonts w:ascii="Calibri" w:eastAsia="Calibri" w:hAnsi="Calibri" w:cs="Calibri"/>
                <w:color w:val="000000"/>
                <w:sz w:val="20"/>
                <w:szCs w:val="20"/>
              </w:rPr>
              <w:t xml:space="preserve"> environmentální přínos podnikatelské aktivity je jasně komunikován jak veřejně, tak interně a</w:t>
            </w:r>
            <w:r w:rsidR="00B748E3"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úspěšnost naplňování environmentálního přínosu podnikatelské aktivity je pravidelně hodnocena </w:t>
            </w:r>
          </w:p>
        </w:tc>
        <w:tc>
          <w:tcPr>
            <w:tcW w:w="4890" w:type="dxa"/>
            <w:gridSpan w:val="3"/>
            <w:shd w:val="clear" w:color="auto" w:fill="EAF1DD"/>
          </w:tcPr>
          <w:p w14:paraId="1FCF8C03" w14:textId="77777777" w:rsidR="0063703B" w:rsidRPr="00212113" w:rsidRDefault="0063703B" w:rsidP="00212113">
            <w:pPr>
              <w:ind w:right="46"/>
              <w:rPr>
                <w:rFonts w:ascii="Calibri" w:eastAsia="Calibri" w:hAnsi="Calibri" w:cs="Calibri"/>
                <w:color w:val="000000"/>
                <w:sz w:val="20"/>
                <w:szCs w:val="20"/>
              </w:rPr>
            </w:pPr>
            <w:r w:rsidRPr="00212113">
              <w:rPr>
                <w:rFonts w:ascii="Calibri" w:eastAsia="Calibri" w:hAnsi="Calibri" w:cs="Calibri"/>
                <w:color w:val="000000"/>
                <w:sz w:val="20"/>
                <w:szCs w:val="20"/>
              </w:rPr>
              <w:t>Environmentální přínos podnikatelské aktivity je jasně formulován v zakládacích dokumentech. Zakládací dokumenty jsou zveřejněné ve veřejném rejstříku, u</w:t>
            </w:r>
            <w:r w:rsidR="00B748E3"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OSVČ jiné závazně platné dokumenty zveřejněné na webu organizace nebo na jiném veřejně a bez překážek dostupném místě. Úspěšnost plnění environmentálního přínosu je kvantitativně i kvalitativně hodnocena v</w:t>
            </w:r>
            <w:r w:rsidR="00B748E3"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interních dokumentech podniku, které musejí být zpracovány do 12 měsíců před ukončením projektu. Rovněž musí být prokazatelná při šetření na místě a</w:t>
            </w:r>
            <w:r w:rsidR="00B748E3" w:rsidRPr="00212113">
              <w:rPr>
                <w:rFonts w:ascii="Calibri" w:eastAsia="Calibri" w:hAnsi="Calibri" w:cs="Calibri"/>
                <w:color w:val="000000"/>
                <w:sz w:val="20"/>
                <w:szCs w:val="20"/>
              </w:rPr>
              <w:t> </w:t>
            </w:r>
            <w:r w:rsidRPr="00212113">
              <w:rPr>
                <w:rFonts w:ascii="Calibri" w:eastAsia="Calibri" w:hAnsi="Calibri" w:cs="Calibri"/>
                <w:color w:val="000000"/>
                <w:sz w:val="20"/>
                <w:szCs w:val="20"/>
              </w:rPr>
              <w:t xml:space="preserve">zveřejněna na webu organizace. </w:t>
            </w:r>
            <w:r w:rsidRPr="00212113">
              <w:rPr>
                <w:rFonts w:ascii="Calibri" w:eastAsia="Calibri" w:hAnsi="Calibri" w:cs="Calibri"/>
                <w:color w:val="984806"/>
                <w:sz w:val="20"/>
                <w:szCs w:val="20"/>
              </w:rPr>
              <w:t xml:space="preserve"> </w:t>
            </w:r>
          </w:p>
        </w:tc>
      </w:tr>
      <w:tr w:rsidR="0063703B" w:rsidRPr="00212113" w14:paraId="1AFCAE2F" w14:textId="77777777" w:rsidTr="00212113">
        <w:tblPrEx>
          <w:tblCellMar>
            <w:top w:w="45" w:type="dxa"/>
            <w:right w:w="62" w:type="dxa"/>
          </w:tblCellMar>
        </w:tblPrEx>
        <w:trPr>
          <w:trHeight w:val="283"/>
        </w:trPr>
        <w:tc>
          <w:tcPr>
            <w:tcW w:w="1784" w:type="dxa"/>
            <w:shd w:val="clear" w:color="auto" w:fill="EAF1DD"/>
            <w:vAlign w:val="center"/>
          </w:tcPr>
          <w:p w14:paraId="0C87B336"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 </w:t>
            </w:r>
          </w:p>
        </w:tc>
        <w:tc>
          <w:tcPr>
            <w:tcW w:w="7424" w:type="dxa"/>
            <w:gridSpan w:val="4"/>
            <w:shd w:val="clear" w:color="auto" w:fill="EAF1DD"/>
          </w:tcPr>
          <w:p w14:paraId="4CF2D5B0" w14:textId="77777777" w:rsidR="0063703B" w:rsidRPr="00212113" w:rsidRDefault="0063703B" w:rsidP="00212113">
            <w:pPr>
              <w:ind w:right="315"/>
              <w:rPr>
                <w:rFonts w:ascii="Calibri" w:eastAsia="Calibri" w:hAnsi="Calibri" w:cs="Calibri"/>
                <w:color w:val="000000"/>
                <w:sz w:val="20"/>
                <w:szCs w:val="20"/>
              </w:rPr>
            </w:pPr>
            <w:r w:rsidRPr="001E337E">
              <w:rPr>
                <w:rFonts w:ascii="Calibri" w:eastAsia="Calibri" w:hAnsi="Calibri" w:cs="Calibri"/>
                <w:b/>
                <w:color w:val="000000"/>
                <w:sz w:val="20"/>
                <w:szCs w:val="20"/>
              </w:rPr>
              <w:t>Komentář:</w:t>
            </w:r>
            <w:r w:rsidRPr="00212113">
              <w:rPr>
                <w:rFonts w:ascii="Calibri" w:eastAsia="Calibri" w:hAnsi="Calibri" w:cs="Calibri"/>
                <w:color w:val="000000"/>
                <w:sz w:val="20"/>
                <w:szCs w:val="20"/>
              </w:rPr>
              <w:t xml:space="preserve"> Při kvantitativním a kvalitativním hodnocení dopadů podnikatelské činnosti podniku NEMUSÍ být aplikována sofistikovaná evaluační metoda. Vzorem může být systém vnitřního environmentálního přezkoumání tj. analýzy problémů ochrany životního prostředí v podniku a nejvýznamnějších environmentálních dopadů / faktorů podnikových činností využívaný systémem environmentálního řízení a auditu EMAS. Environmentální přínos lze ilustrovat na konkrétních příkladech, jako je počet poskytnutých environmentálně příznivých služeb včetně jejich stručného popisu, případně kontaktu a zpětné vazby klienta, nebo konkrétní dopad činnosti podniku typu zvýšení čistoty přírodních zdrojů v lokalitě, zvýšení biodiverzity, snížení množství produkovaného odpadu a podobně. Povaha environmentálně příznivého dopadu souvisí s celou podnikatelskou činností podniku, tzn. i s předmětem podnikání. </w:t>
            </w:r>
          </w:p>
        </w:tc>
      </w:tr>
      <w:tr w:rsidR="00491C57" w:rsidRPr="00212113" w14:paraId="549BF3F3" w14:textId="77777777" w:rsidTr="001E337E">
        <w:tblPrEx>
          <w:tblCellMar>
            <w:top w:w="45" w:type="dxa"/>
            <w:right w:w="62" w:type="dxa"/>
          </w:tblCellMar>
        </w:tblPrEx>
        <w:trPr>
          <w:trHeight w:val="283"/>
        </w:trPr>
        <w:tc>
          <w:tcPr>
            <w:tcW w:w="1784" w:type="dxa"/>
            <w:vMerge w:val="restart"/>
            <w:shd w:val="clear" w:color="auto" w:fill="EAF1DD"/>
          </w:tcPr>
          <w:p w14:paraId="6AB31478"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b) zohledňování environmentálních aspektů ve všech fázích podnikání, tzn. při výrobě výrobků a/nebo poskytování služeb včetně </w:t>
            </w:r>
            <w:r w:rsidR="00B748E3" w:rsidRPr="00212113">
              <w:rPr>
                <w:rFonts w:ascii="Calibri" w:eastAsia="Calibri" w:hAnsi="Calibri" w:cs="Calibri"/>
                <w:color w:val="000000"/>
                <w:sz w:val="20"/>
                <w:szCs w:val="20"/>
              </w:rPr>
              <w:t>e</w:t>
            </w:r>
            <w:r w:rsidRPr="00212113">
              <w:rPr>
                <w:rFonts w:ascii="Calibri" w:eastAsia="Calibri" w:hAnsi="Calibri" w:cs="Calibri"/>
                <w:color w:val="000000"/>
                <w:sz w:val="20"/>
                <w:szCs w:val="20"/>
              </w:rPr>
              <w:t xml:space="preserve">nvironmentálně příznivého úřadování </w:t>
            </w:r>
          </w:p>
        </w:tc>
        <w:tc>
          <w:tcPr>
            <w:tcW w:w="2534" w:type="dxa"/>
            <w:shd w:val="clear" w:color="auto" w:fill="EAF1DD"/>
          </w:tcPr>
          <w:p w14:paraId="73251FCD" w14:textId="77777777" w:rsidR="0063703B" w:rsidRPr="00212113" w:rsidRDefault="0063703B"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4b1. podnik má formulované zásady environmentálně šetrného podnikání (včetně úřadování), které jsou veřejně dostupné a zároveň tyto zásady naplňuje v praxi v celém výrobním procesu a/nebo v celém procesu poskytované služby </w:t>
            </w:r>
          </w:p>
        </w:tc>
        <w:tc>
          <w:tcPr>
            <w:tcW w:w="4890" w:type="dxa"/>
            <w:gridSpan w:val="3"/>
            <w:shd w:val="clear" w:color="auto" w:fill="EAF1DD"/>
          </w:tcPr>
          <w:p w14:paraId="7241DE00"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Interní předpis nebo jiný relevantní předpis zveřejněný na webu organizace. </w:t>
            </w:r>
          </w:p>
          <w:p w14:paraId="63EEA0CE" w14:textId="77777777" w:rsidR="0063703B" w:rsidRPr="00212113" w:rsidRDefault="0063703B"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Dodržování těchto předpisů musí být prokazatelné při ověření na místě. Předpisy jsou zpracovány do 12 měsíců před ukončením projektu. </w:t>
            </w:r>
          </w:p>
        </w:tc>
      </w:tr>
      <w:tr w:rsidR="00B748E3" w:rsidRPr="00212113" w14:paraId="2198A8DD" w14:textId="77777777" w:rsidTr="00E30AEB">
        <w:tblPrEx>
          <w:tblCellMar>
            <w:top w:w="45" w:type="dxa"/>
            <w:right w:w="62" w:type="dxa"/>
          </w:tblCellMar>
        </w:tblPrEx>
        <w:trPr>
          <w:trHeight w:val="1814"/>
        </w:trPr>
        <w:tc>
          <w:tcPr>
            <w:tcW w:w="1784" w:type="dxa"/>
            <w:vMerge/>
          </w:tcPr>
          <w:p w14:paraId="7DEA8771" w14:textId="77777777" w:rsidR="00B748E3" w:rsidRPr="00212113" w:rsidRDefault="00B748E3" w:rsidP="00212113">
            <w:pPr>
              <w:rPr>
                <w:rFonts w:ascii="Calibri" w:eastAsia="Calibri" w:hAnsi="Calibri" w:cs="Calibri"/>
                <w:color w:val="000000"/>
                <w:sz w:val="20"/>
                <w:szCs w:val="20"/>
              </w:rPr>
            </w:pPr>
          </w:p>
        </w:tc>
        <w:tc>
          <w:tcPr>
            <w:tcW w:w="7424" w:type="dxa"/>
            <w:gridSpan w:val="4"/>
            <w:shd w:val="clear" w:color="auto" w:fill="EAF1DD"/>
          </w:tcPr>
          <w:p w14:paraId="295AF5E9" w14:textId="77777777" w:rsidR="00B748E3" w:rsidRPr="00212113" w:rsidRDefault="00B748E3" w:rsidP="00212113">
            <w:pPr>
              <w:ind w:right="15"/>
              <w:rPr>
                <w:rFonts w:ascii="Calibri" w:eastAsia="Calibri" w:hAnsi="Calibri" w:cs="Calibri"/>
                <w:color w:val="000000"/>
                <w:sz w:val="20"/>
                <w:szCs w:val="20"/>
              </w:rPr>
            </w:pPr>
            <w:r w:rsidRPr="00212113">
              <w:rPr>
                <w:rFonts w:ascii="Calibri" w:eastAsia="Calibri" w:hAnsi="Calibri" w:cs="Calibri"/>
                <w:color w:val="000000"/>
                <w:sz w:val="20"/>
                <w:szCs w:val="20"/>
              </w:rPr>
              <w:t>dopravu apod. Zásady environmentálně šetrného podnikání automaticky naplňují podniky, které fungují v režimu ekologického zemědělství, což dokládají platnou licencí dle zákona č. 242/2000 Sb., o ekologickém zemědělství. Tyto podniky nadto při ověření na místě prokazují naplňování environmentálně příznivého úřadování (kancelářské potřeby, papír a výrobky z papíru, nakládání s odpady, spotřeba energie, čištění a úklid, zařízení interiéru, podlahové krytiny a nátěrové hmoty, hospodaření s vodou, jídlo – občerstvení na poradách, kantýna, jídelna, doprava, ochrana biodiverzity apod.).</w:t>
            </w:r>
          </w:p>
        </w:tc>
      </w:tr>
      <w:tr w:rsidR="00B748E3" w:rsidRPr="00212113" w14:paraId="37062500" w14:textId="77777777" w:rsidTr="00212113">
        <w:tblPrEx>
          <w:tblCellMar>
            <w:top w:w="45" w:type="dxa"/>
            <w:right w:w="62" w:type="dxa"/>
          </w:tblCellMar>
        </w:tblPrEx>
        <w:trPr>
          <w:trHeight w:val="283"/>
        </w:trPr>
        <w:tc>
          <w:tcPr>
            <w:tcW w:w="9208" w:type="dxa"/>
            <w:gridSpan w:val="5"/>
            <w:shd w:val="clear" w:color="auto" w:fill="EAF1DD"/>
          </w:tcPr>
          <w:p w14:paraId="7892E91E" w14:textId="77777777" w:rsidR="00B748E3" w:rsidRPr="00212113" w:rsidRDefault="00B748E3" w:rsidP="00212113">
            <w:pPr>
              <w:rPr>
                <w:rFonts w:ascii="Calibri" w:eastAsia="Calibri" w:hAnsi="Calibri" w:cs="Calibri"/>
                <w:color w:val="000000"/>
                <w:sz w:val="20"/>
                <w:szCs w:val="20"/>
              </w:rPr>
            </w:pPr>
            <w:r w:rsidRPr="00212113">
              <w:rPr>
                <w:rFonts w:ascii="Calibri" w:eastAsia="Calibri" w:hAnsi="Calibri" w:cs="Calibri"/>
                <w:b/>
                <w:color w:val="000000"/>
                <w:sz w:val="20"/>
                <w:szCs w:val="20"/>
              </w:rPr>
              <w:t>5. místní prospěch</w:t>
            </w:r>
            <w:r w:rsidRPr="00212113">
              <w:rPr>
                <w:rFonts w:ascii="Calibri" w:eastAsia="Calibri" w:hAnsi="Calibri" w:cs="Calibri"/>
                <w:color w:val="000000"/>
                <w:sz w:val="20"/>
                <w:szCs w:val="20"/>
              </w:rPr>
              <w:t xml:space="preserve"> </w:t>
            </w:r>
          </w:p>
        </w:tc>
      </w:tr>
      <w:tr w:rsidR="00B748E3" w:rsidRPr="00212113" w14:paraId="57F4BD8F" w14:textId="77777777" w:rsidTr="001E337E">
        <w:tblPrEx>
          <w:tblCellMar>
            <w:top w:w="45" w:type="dxa"/>
            <w:right w:w="62" w:type="dxa"/>
          </w:tblCellMar>
        </w:tblPrEx>
        <w:trPr>
          <w:trHeight w:val="283"/>
        </w:trPr>
        <w:tc>
          <w:tcPr>
            <w:tcW w:w="1784" w:type="dxa"/>
            <w:shd w:val="clear" w:color="auto" w:fill="EAF1DD"/>
          </w:tcPr>
          <w:p w14:paraId="01C649A5" w14:textId="77777777" w:rsidR="00B748E3" w:rsidRPr="00212113" w:rsidRDefault="00B748E3"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a) ekonomická lokalizace = místní výroba pro místní spotřebu, podpora místní ekonomiky</w:t>
            </w:r>
          </w:p>
        </w:tc>
        <w:tc>
          <w:tcPr>
            <w:tcW w:w="2534" w:type="dxa"/>
            <w:shd w:val="clear" w:color="auto" w:fill="EAF1DD"/>
          </w:tcPr>
          <w:p w14:paraId="2F03EDD9" w14:textId="77777777" w:rsidR="00B748E3" w:rsidRPr="00212113" w:rsidRDefault="00B748E3"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5a1. uspokojování potřeb na základě místní poptávky a využívání místních zdrojů - využívá místní suroviny/ materiály/služby - nakupuje od místních dodavatelů</w:t>
            </w:r>
          </w:p>
        </w:tc>
        <w:tc>
          <w:tcPr>
            <w:tcW w:w="4890" w:type="dxa"/>
            <w:gridSpan w:val="3"/>
            <w:shd w:val="clear" w:color="auto" w:fill="EAF1DD"/>
          </w:tcPr>
          <w:p w14:paraId="44C86C6F" w14:textId="77777777" w:rsidR="00B748E3" w:rsidRPr="00212113" w:rsidRDefault="00B748E3"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Účetní doklady dodavatelů a 3 hlavních odběratelů se sídlem nebo provozovnou ve stejném nebo sousedním kraji (přeshraničním regionu) ne starší než 12 měsíců. </w:t>
            </w:r>
          </w:p>
        </w:tc>
      </w:tr>
      <w:tr w:rsidR="00B748E3" w:rsidRPr="00212113" w14:paraId="6DEA3304" w14:textId="77777777" w:rsidTr="00212113">
        <w:tblPrEx>
          <w:tblCellMar>
            <w:top w:w="45" w:type="dxa"/>
            <w:right w:w="62" w:type="dxa"/>
          </w:tblCellMar>
        </w:tblPrEx>
        <w:trPr>
          <w:trHeight w:val="283"/>
        </w:trPr>
        <w:tc>
          <w:tcPr>
            <w:tcW w:w="1784" w:type="dxa"/>
            <w:shd w:val="clear" w:color="auto" w:fill="EAF1DD"/>
            <w:vAlign w:val="center"/>
          </w:tcPr>
          <w:p w14:paraId="6318EB9E" w14:textId="77777777" w:rsidR="00B748E3" w:rsidRPr="00212113" w:rsidRDefault="00B748E3"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 </w:t>
            </w:r>
          </w:p>
        </w:tc>
        <w:tc>
          <w:tcPr>
            <w:tcW w:w="7424" w:type="dxa"/>
            <w:gridSpan w:val="4"/>
            <w:shd w:val="clear" w:color="auto" w:fill="EAF1DD"/>
          </w:tcPr>
          <w:p w14:paraId="4E13EFFA" w14:textId="77777777" w:rsidR="00B748E3" w:rsidRPr="00212113" w:rsidRDefault="00B748E3" w:rsidP="00212113">
            <w:pPr>
              <w:rPr>
                <w:rFonts w:ascii="Calibri" w:eastAsia="Calibri" w:hAnsi="Calibri" w:cs="Calibri"/>
                <w:color w:val="000000"/>
                <w:sz w:val="20"/>
                <w:szCs w:val="20"/>
              </w:rPr>
            </w:pPr>
            <w:r w:rsidRPr="001E337E">
              <w:rPr>
                <w:rFonts w:ascii="Calibri" w:eastAsia="Calibri" w:hAnsi="Calibri" w:cs="Calibri"/>
                <w:b/>
                <w:color w:val="000000"/>
                <w:sz w:val="20"/>
                <w:szCs w:val="20"/>
              </w:rPr>
              <w:t xml:space="preserve">Komentář: </w:t>
            </w:r>
            <w:r w:rsidRPr="00212113">
              <w:rPr>
                <w:rFonts w:ascii="Calibri" w:eastAsia="Calibri" w:hAnsi="Calibri" w:cs="Calibri"/>
                <w:color w:val="000000"/>
                <w:sz w:val="20"/>
                <w:szCs w:val="20"/>
              </w:rPr>
              <w:t xml:space="preserve"> Environmentální sociální podnik při dodržování tohoto principu musí zachovávat pravidla hospodářské soutěže. „Stejný nebo sousední kraj nebo přeshraniční region“ se hodnotí vzhledem k sídlu podniku nebo jeho libovolné provozovny. Z účetních dokladů musí být poznat, že sídlo nebo provozovna jsou ve stejném nebo sousedním kraji (přeshraničním regionu). Pokud podnik tento znak nesplňuje, musí prokázat jeho </w:t>
            </w:r>
            <w:proofErr w:type="spellStart"/>
            <w:r w:rsidRPr="00212113">
              <w:rPr>
                <w:rFonts w:ascii="Calibri" w:eastAsia="Calibri" w:hAnsi="Calibri" w:cs="Calibri"/>
                <w:color w:val="000000"/>
                <w:sz w:val="20"/>
                <w:szCs w:val="20"/>
              </w:rPr>
              <w:t>nerelevanci</w:t>
            </w:r>
            <w:proofErr w:type="spellEnd"/>
            <w:r w:rsidRPr="00212113">
              <w:rPr>
                <w:rFonts w:ascii="Calibri" w:eastAsia="Calibri" w:hAnsi="Calibri" w:cs="Calibri"/>
                <w:color w:val="000000"/>
                <w:sz w:val="20"/>
                <w:szCs w:val="20"/>
              </w:rPr>
              <w:t xml:space="preserve">.  Tento rozpoznávací znak sleduje celý dodavatelský řetězec celého výrobního cyklu/poskytované služby.  </w:t>
            </w:r>
          </w:p>
        </w:tc>
      </w:tr>
      <w:tr w:rsidR="00B748E3" w:rsidRPr="00212113" w14:paraId="6F874B34" w14:textId="77777777" w:rsidTr="001E337E">
        <w:tblPrEx>
          <w:tblCellMar>
            <w:top w:w="45" w:type="dxa"/>
            <w:right w:w="62" w:type="dxa"/>
          </w:tblCellMar>
        </w:tblPrEx>
        <w:trPr>
          <w:trHeight w:val="283"/>
        </w:trPr>
        <w:tc>
          <w:tcPr>
            <w:tcW w:w="1784" w:type="dxa"/>
            <w:vMerge w:val="restart"/>
            <w:shd w:val="clear" w:color="auto" w:fill="EAF1DD"/>
          </w:tcPr>
          <w:p w14:paraId="4CB4218E" w14:textId="77777777" w:rsidR="00B748E3" w:rsidRPr="00212113" w:rsidRDefault="00B748E3"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b) sociální podnik zaměstnává místní obyvatele </w:t>
            </w:r>
          </w:p>
        </w:tc>
        <w:tc>
          <w:tcPr>
            <w:tcW w:w="2534" w:type="dxa"/>
            <w:shd w:val="clear" w:color="auto" w:fill="EAF1DD"/>
          </w:tcPr>
          <w:p w14:paraId="35781D3A" w14:textId="77777777" w:rsidR="00B748E3" w:rsidRPr="00212113" w:rsidRDefault="00B748E3"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5b1. podnik přednostně zaměstnává místní obyvatele </w:t>
            </w:r>
          </w:p>
        </w:tc>
        <w:tc>
          <w:tcPr>
            <w:tcW w:w="4890" w:type="dxa"/>
            <w:gridSpan w:val="3"/>
            <w:shd w:val="clear" w:color="auto" w:fill="EAF1DD"/>
          </w:tcPr>
          <w:p w14:paraId="5C060F56" w14:textId="77777777" w:rsidR="00B748E3" w:rsidRPr="00212113" w:rsidRDefault="00B748E3"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Doklady o pracovně-právním vztahu (pracovní smlouva, DPP, DPČ) a případně další dokumenty, které dokládají bydliště ve stejném nebo sousedním kraji (přeshraničním regionu) u min. 50% zaměstnanců;</w:t>
            </w:r>
          </w:p>
        </w:tc>
      </w:tr>
      <w:tr w:rsidR="00B748E3" w:rsidRPr="00212113" w14:paraId="6899FD69" w14:textId="77777777" w:rsidTr="001E337E">
        <w:tblPrEx>
          <w:tblCellMar>
            <w:top w:w="45" w:type="dxa"/>
            <w:right w:w="62" w:type="dxa"/>
          </w:tblCellMar>
        </w:tblPrEx>
        <w:trPr>
          <w:trHeight w:val="283"/>
        </w:trPr>
        <w:tc>
          <w:tcPr>
            <w:tcW w:w="1784" w:type="dxa"/>
            <w:vMerge/>
          </w:tcPr>
          <w:p w14:paraId="345CF87C" w14:textId="77777777" w:rsidR="00B748E3" w:rsidRPr="00212113" w:rsidRDefault="00B748E3" w:rsidP="001E337E">
            <w:pPr>
              <w:rPr>
                <w:rFonts w:ascii="Calibri" w:eastAsia="Calibri" w:hAnsi="Calibri" w:cs="Calibri"/>
                <w:color w:val="000000"/>
                <w:sz w:val="20"/>
                <w:szCs w:val="20"/>
              </w:rPr>
            </w:pPr>
          </w:p>
        </w:tc>
        <w:tc>
          <w:tcPr>
            <w:tcW w:w="7424" w:type="dxa"/>
            <w:gridSpan w:val="4"/>
            <w:shd w:val="clear" w:color="auto" w:fill="EAF1DD"/>
          </w:tcPr>
          <w:p w14:paraId="6DB58AC8" w14:textId="77777777" w:rsidR="00B748E3" w:rsidRPr="00212113" w:rsidRDefault="00B748E3" w:rsidP="00212113">
            <w:pPr>
              <w:rPr>
                <w:rFonts w:ascii="Calibri" w:eastAsia="Calibri" w:hAnsi="Calibri" w:cs="Calibri"/>
                <w:color w:val="000000"/>
                <w:sz w:val="20"/>
                <w:szCs w:val="20"/>
              </w:rPr>
            </w:pPr>
            <w:r w:rsidRPr="006532B0">
              <w:rPr>
                <w:rFonts w:ascii="Calibri" w:eastAsia="Calibri" w:hAnsi="Calibri" w:cs="Calibri"/>
                <w:color w:val="000000"/>
                <w:sz w:val="20"/>
                <w:szCs w:val="20"/>
                <w:u w:val="single" w:color="000000"/>
              </w:rPr>
              <w:t>Komentář:</w:t>
            </w:r>
            <w:r w:rsidRPr="00212113">
              <w:rPr>
                <w:rFonts w:ascii="Calibri" w:eastAsia="Calibri" w:hAnsi="Calibri" w:cs="Calibri"/>
                <w:color w:val="000000"/>
                <w:sz w:val="20"/>
                <w:szCs w:val="20"/>
              </w:rPr>
              <w:t xml:space="preserve">  Sociální podnik při dodržování tohoto principu musí zachovávat pravidla nediskriminace v pracovněprávních vztazích. „Stejný nebo sousední kraj nebo přeshraniční region“ se hodnotí vzhledem k sídlu podniku nebo jeho libovolné provozovny. Pokud podnik znak nesplňuje, musí prokázat jeho </w:t>
            </w:r>
            <w:proofErr w:type="spellStart"/>
            <w:r w:rsidRPr="00212113">
              <w:rPr>
                <w:rFonts w:ascii="Calibri" w:eastAsia="Calibri" w:hAnsi="Calibri" w:cs="Calibri"/>
                <w:color w:val="000000"/>
                <w:sz w:val="20"/>
                <w:szCs w:val="20"/>
              </w:rPr>
              <w:t>nerelevanci</w:t>
            </w:r>
            <w:proofErr w:type="spellEnd"/>
            <w:r w:rsidRPr="00212113">
              <w:rPr>
                <w:rFonts w:ascii="Calibri" w:eastAsia="Calibri" w:hAnsi="Calibri" w:cs="Calibri"/>
                <w:color w:val="000000"/>
                <w:sz w:val="20"/>
                <w:szCs w:val="20"/>
              </w:rPr>
              <w:t>.</w:t>
            </w:r>
          </w:p>
        </w:tc>
      </w:tr>
      <w:tr w:rsidR="00B748E3" w:rsidRPr="00212113" w14:paraId="4A268070" w14:textId="77777777" w:rsidTr="001E337E">
        <w:tblPrEx>
          <w:tblCellMar>
            <w:top w:w="45" w:type="dxa"/>
            <w:right w:w="62" w:type="dxa"/>
          </w:tblCellMar>
        </w:tblPrEx>
        <w:trPr>
          <w:trHeight w:val="283"/>
        </w:trPr>
        <w:tc>
          <w:tcPr>
            <w:tcW w:w="1784" w:type="dxa"/>
            <w:vMerge w:val="restart"/>
            <w:shd w:val="clear" w:color="auto" w:fill="EAF1DD"/>
          </w:tcPr>
          <w:p w14:paraId="769B8E91" w14:textId="77777777" w:rsidR="00B748E3" w:rsidRPr="00212113" w:rsidRDefault="00B748E3" w:rsidP="001E337E">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c) spolupráce sociálního podniku s místními aktéry </w:t>
            </w:r>
          </w:p>
        </w:tc>
        <w:tc>
          <w:tcPr>
            <w:tcW w:w="2534" w:type="dxa"/>
            <w:shd w:val="clear" w:color="auto" w:fill="EAF1DD"/>
          </w:tcPr>
          <w:p w14:paraId="48B94052" w14:textId="77777777" w:rsidR="00B748E3" w:rsidRPr="00212113" w:rsidRDefault="00B748E3"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5c1. podnik komunikuje a spolupracuje s místními aktéry </w:t>
            </w:r>
          </w:p>
        </w:tc>
        <w:tc>
          <w:tcPr>
            <w:tcW w:w="4890" w:type="dxa"/>
            <w:gridSpan w:val="3"/>
            <w:shd w:val="clear" w:color="auto" w:fill="EAF1DD"/>
          </w:tcPr>
          <w:p w14:paraId="05E55625" w14:textId="77777777" w:rsidR="00B748E3" w:rsidRPr="00212113" w:rsidRDefault="00B748E3" w:rsidP="00212113">
            <w:pPr>
              <w:rPr>
                <w:rFonts w:ascii="Calibri" w:eastAsia="Calibri" w:hAnsi="Calibri" w:cs="Calibri"/>
                <w:color w:val="000000"/>
                <w:sz w:val="20"/>
                <w:szCs w:val="20"/>
              </w:rPr>
            </w:pPr>
            <w:r w:rsidRPr="00212113">
              <w:rPr>
                <w:rFonts w:ascii="Calibri" w:eastAsia="Calibri" w:hAnsi="Calibri" w:cs="Calibri"/>
                <w:color w:val="000000"/>
                <w:sz w:val="20"/>
                <w:szCs w:val="20"/>
              </w:rPr>
              <w:t xml:space="preserve">Dva doklady o spolupráci s místními aktéry ne starší než 2 roky. </w:t>
            </w:r>
          </w:p>
        </w:tc>
      </w:tr>
      <w:tr w:rsidR="00B748E3" w:rsidRPr="00212113" w14:paraId="6F38FDB8" w14:textId="77777777" w:rsidTr="00212113">
        <w:tblPrEx>
          <w:tblCellMar>
            <w:top w:w="45" w:type="dxa"/>
            <w:right w:w="62" w:type="dxa"/>
          </w:tblCellMar>
        </w:tblPrEx>
        <w:trPr>
          <w:trHeight w:val="283"/>
        </w:trPr>
        <w:tc>
          <w:tcPr>
            <w:tcW w:w="1784" w:type="dxa"/>
            <w:vMerge/>
          </w:tcPr>
          <w:p w14:paraId="421A2EF7" w14:textId="77777777" w:rsidR="00B748E3" w:rsidRPr="00212113" w:rsidRDefault="00B748E3" w:rsidP="00212113">
            <w:pPr>
              <w:rPr>
                <w:rFonts w:ascii="Calibri" w:eastAsia="Calibri" w:hAnsi="Calibri" w:cs="Calibri"/>
                <w:color w:val="000000"/>
                <w:sz w:val="20"/>
                <w:szCs w:val="20"/>
              </w:rPr>
            </w:pPr>
          </w:p>
        </w:tc>
        <w:tc>
          <w:tcPr>
            <w:tcW w:w="7424" w:type="dxa"/>
            <w:gridSpan w:val="4"/>
            <w:shd w:val="clear" w:color="auto" w:fill="EAF1DD"/>
          </w:tcPr>
          <w:p w14:paraId="01889140" w14:textId="77777777" w:rsidR="00B748E3" w:rsidRPr="00212113" w:rsidRDefault="00B748E3" w:rsidP="00212113">
            <w:pPr>
              <w:ind w:right="58"/>
              <w:rPr>
                <w:rFonts w:ascii="Calibri" w:eastAsia="Calibri" w:hAnsi="Calibri" w:cs="Calibri"/>
                <w:color w:val="000000"/>
                <w:sz w:val="20"/>
                <w:szCs w:val="20"/>
              </w:rPr>
            </w:pPr>
            <w:r w:rsidRPr="001E337E">
              <w:rPr>
                <w:rFonts w:ascii="Calibri" w:eastAsia="Calibri" w:hAnsi="Calibri" w:cs="Calibri"/>
                <w:b/>
                <w:color w:val="000000"/>
                <w:sz w:val="20"/>
                <w:szCs w:val="20"/>
              </w:rPr>
              <w:t xml:space="preserve">Komentář: </w:t>
            </w:r>
            <w:r w:rsidRPr="00212113">
              <w:rPr>
                <w:rFonts w:ascii="Calibri" w:eastAsia="Calibri" w:hAnsi="Calibri" w:cs="Calibri"/>
                <w:color w:val="000000"/>
                <w:sz w:val="20"/>
                <w:szCs w:val="20"/>
              </w:rPr>
              <w:t xml:space="preserve">Možné doklady spolupráce: smlouva o spolupráci, partnerská smlouva, mediální zpráva o zapojení do veřejných občanských aktivit, referenční kontakty pro ověření ústní informace. Místní aktéři jsou například orgány místní samosprávy, pracoviště ÚP ČR, školy, další organizace s podobnými společensky prospěšnými cíli, tematické pracovní skupiny apod. </w:t>
            </w:r>
          </w:p>
        </w:tc>
      </w:tr>
    </w:tbl>
    <w:p w14:paraId="786A61E5" w14:textId="77777777" w:rsidR="00F27556" w:rsidRPr="005846CC" w:rsidRDefault="00F27556" w:rsidP="00F27556">
      <w:pPr>
        <w:spacing w:before="120" w:after="120" w:line="240" w:lineRule="auto"/>
        <w:ind w:left="567" w:hanging="567"/>
        <w:jc w:val="both"/>
        <w:rPr>
          <w:sz w:val="20"/>
        </w:rPr>
      </w:pPr>
      <w:r w:rsidRPr="00BF1670">
        <w:rPr>
          <w:b/>
          <w:sz w:val="20"/>
        </w:rPr>
        <w:t>Pozn.:</w:t>
      </w:r>
      <w:r>
        <w:rPr>
          <w:sz w:val="20"/>
        </w:rPr>
        <w:tab/>
      </w:r>
      <w:r w:rsidRPr="005846CC">
        <w:rPr>
          <w:sz w:val="20"/>
        </w:rPr>
        <w:t>Pří</w:t>
      </w:r>
      <w:r w:rsidR="00263901">
        <w:rPr>
          <w:sz w:val="20"/>
        </w:rPr>
        <w:t xml:space="preserve">loha byla převzata </w:t>
      </w:r>
      <w:r w:rsidR="00263901" w:rsidRPr="00263901">
        <w:rPr>
          <w:sz w:val="20"/>
        </w:rPr>
        <w:t>v původním znění od MPSV a MMR. Text přílohy nebyl jazykově redigován</w:t>
      </w:r>
      <w:r w:rsidRPr="005846CC">
        <w:rPr>
          <w:sz w:val="20"/>
        </w:rPr>
        <w:t>.</w:t>
      </w:r>
    </w:p>
    <w:p w14:paraId="243A82B5" w14:textId="77777777" w:rsidR="00F31777" w:rsidRPr="00F31777" w:rsidRDefault="00F31777" w:rsidP="00F31777">
      <w:pPr>
        <w:rPr>
          <w:rFonts w:cstheme="minorHAnsi"/>
          <w:bCs/>
          <w:sz w:val="24"/>
          <w:szCs w:val="24"/>
          <w:highlight w:val="yellow"/>
        </w:rPr>
      </w:pPr>
    </w:p>
    <w:p w14:paraId="73B51E9C" w14:textId="77777777" w:rsidR="00B748E3" w:rsidRDefault="00B748E3">
      <w:pPr>
        <w:rPr>
          <w:rFonts w:asciiTheme="majorHAnsi" w:hAnsiTheme="majorHAnsi" w:cstheme="majorHAnsi"/>
          <w:sz w:val="24"/>
          <w:szCs w:val="24"/>
        </w:rPr>
      </w:pPr>
      <w:r>
        <w:rPr>
          <w:rFonts w:asciiTheme="majorHAnsi" w:hAnsiTheme="majorHAnsi" w:cstheme="majorHAnsi"/>
          <w:sz w:val="24"/>
          <w:szCs w:val="24"/>
        </w:rPr>
        <w:br w:type="page"/>
      </w:r>
    </w:p>
    <w:p w14:paraId="0664441B" w14:textId="77777777" w:rsidR="00F31777" w:rsidRPr="001E337E" w:rsidRDefault="00F31777" w:rsidP="001E337E">
      <w:pPr>
        <w:spacing w:after="120" w:line="240" w:lineRule="auto"/>
        <w:jc w:val="right"/>
        <w:rPr>
          <w:rFonts w:ascii="Calibri" w:hAnsi="Calibri" w:cs="Calibri"/>
          <w:b/>
          <w:sz w:val="24"/>
          <w:szCs w:val="24"/>
        </w:rPr>
      </w:pPr>
      <w:r w:rsidRPr="001E337E">
        <w:rPr>
          <w:rFonts w:ascii="Calibri" w:hAnsi="Calibri" w:cs="Calibri"/>
          <w:b/>
          <w:sz w:val="24"/>
          <w:szCs w:val="24"/>
        </w:rPr>
        <w:t>Příloha č. 4</w:t>
      </w:r>
    </w:p>
    <w:p w14:paraId="4F9575FB" w14:textId="77777777" w:rsidR="00F31777" w:rsidRPr="001E337E" w:rsidRDefault="00F31777" w:rsidP="002F5E7B">
      <w:pPr>
        <w:keepNext/>
        <w:keepLines/>
        <w:tabs>
          <w:tab w:val="right" w:pos="9072"/>
        </w:tabs>
        <w:spacing w:after="40" w:line="240" w:lineRule="auto"/>
        <w:jc w:val="both"/>
        <w:rPr>
          <w:rFonts w:ascii="Calibri" w:hAnsi="Calibri" w:cs="Calibri"/>
          <w:b/>
          <w:color w:val="000000" w:themeColor="text1"/>
          <w:sz w:val="24"/>
          <w:szCs w:val="24"/>
        </w:rPr>
      </w:pPr>
      <w:r w:rsidRPr="001E337E">
        <w:rPr>
          <w:rFonts w:ascii="Calibri" w:hAnsi="Calibri" w:cs="Calibri"/>
          <w:b/>
          <w:color w:val="000000" w:themeColor="text1"/>
          <w:sz w:val="24"/>
          <w:szCs w:val="24"/>
        </w:rPr>
        <w:t>Výzvy IROP na podporu sociálního podnikání</w:t>
      </w:r>
      <w:r w:rsidRPr="001E337E">
        <w:rPr>
          <w:rFonts w:ascii="Calibri" w:hAnsi="Calibri" w:cs="Calibri"/>
          <w:b/>
          <w:color w:val="000000" w:themeColor="text1"/>
          <w:sz w:val="24"/>
          <w:szCs w:val="24"/>
        </w:rPr>
        <w:tab/>
        <w:t>(v Kč)</w:t>
      </w:r>
    </w:p>
    <w:tbl>
      <w:tblPr>
        <w:tblStyle w:val="Mkatabulky2"/>
        <w:tblW w:w="93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51"/>
        <w:gridCol w:w="2829"/>
        <w:gridCol w:w="1133"/>
        <w:gridCol w:w="1473"/>
        <w:gridCol w:w="1700"/>
        <w:gridCol w:w="1360"/>
      </w:tblGrid>
      <w:tr w:rsidR="00F31777" w:rsidRPr="00621CB3" w14:paraId="637A7AA0" w14:textId="77777777" w:rsidTr="002F5E7B">
        <w:trPr>
          <w:trHeight w:val="255"/>
          <w:jc w:val="center"/>
        </w:trPr>
        <w:tc>
          <w:tcPr>
            <w:tcW w:w="851" w:type="dxa"/>
            <w:shd w:val="clear" w:color="auto" w:fill="E5F1FF"/>
            <w:tcMar>
              <w:left w:w="28" w:type="dxa"/>
              <w:right w:w="28" w:type="dxa"/>
            </w:tcMar>
            <w:vAlign w:val="center"/>
          </w:tcPr>
          <w:p w14:paraId="33DC0489" w14:textId="77777777" w:rsidR="00F31777" w:rsidRPr="00621CB3" w:rsidRDefault="008C375C" w:rsidP="00621CB3">
            <w:pPr>
              <w:keepNext/>
              <w:keepLines/>
              <w:jc w:val="center"/>
              <w:rPr>
                <w:rFonts w:ascii="Calibri" w:hAnsi="Calibri" w:cs="Calibri"/>
                <w:sz w:val="20"/>
                <w:szCs w:val="20"/>
              </w:rPr>
            </w:pPr>
            <w:r w:rsidRPr="00621CB3">
              <w:rPr>
                <w:rFonts w:ascii="Calibri" w:hAnsi="Calibri" w:cs="Calibri"/>
                <w:b/>
                <w:sz w:val="20"/>
                <w:szCs w:val="20"/>
              </w:rPr>
              <w:t>Výzva</w:t>
            </w:r>
            <w:r w:rsidR="00F31777" w:rsidRPr="00621CB3">
              <w:rPr>
                <w:rFonts w:ascii="Calibri" w:hAnsi="Calibri" w:cs="Calibri"/>
                <w:b/>
                <w:sz w:val="20"/>
                <w:szCs w:val="20"/>
                <w:vertAlign w:val="superscript"/>
              </w:rPr>
              <w:footnoteReference w:id="34"/>
            </w:r>
          </w:p>
        </w:tc>
        <w:tc>
          <w:tcPr>
            <w:tcW w:w="2829" w:type="dxa"/>
            <w:shd w:val="clear" w:color="auto" w:fill="E5F1FF"/>
            <w:vAlign w:val="center"/>
          </w:tcPr>
          <w:p w14:paraId="1AA6DA42"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b/>
                <w:sz w:val="20"/>
                <w:szCs w:val="20"/>
              </w:rPr>
              <w:t>Název výzvy</w:t>
            </w:r>
          </w:p>
        </w:tc>
        <w:tc>
          <w:tcPr>
            <w:tcW w:w="1133" w:type="dxa"/>
            <w:shd w:val="clear" w:color="auto" w:fill="E5F1FF"/>
            <w:tcMar>
              <w:left w:w="28" w:type="dxa"/>
              <w:right w:w="28" w:type="dxa"/>
            </w:tcMar>
            <w:vAlign w:val="center"/>
          </w:tcPr>
          <w:p w14:paraId="0E0FCB54"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b/>
                <w:sz w:val="20"/>
                <w:szCs w:val="20"/>
              </w:rPr>
              <w:t>Datum vyhlášení výzvy</w:t>
            </w:r>
          </w:p>
        </w:tc>
        <w:tc>
          <w:tcPr>
            <w:tcW w:w="1473" w:type="dxa"/>
            <w:shd w:val="clear" w:color="auto" w:fill="E5F1FF"/>
            <w:tcMar>
              <w:left w:w="28" w:type="dxa"/>
              <w:right w:w="28" w:type="dxa"/>
            </w:tcMar>
            <w:vAlign w:val="center"/>
          </w:tcPr>
          <w:p w14:paraId="0EF81595"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b/>
                <w:sz w:val="20"/>
                <w:szCs w:val="20"/>
              </w:rPr>
              <w:t>Finanční alokace výzvy</w:t>
            </w:r>
          </w:p>
        </w:tc>
        <w:tc>
          <w:tcPr>
            <w:tcW w:w="1700" w:type="dxa"/>
            <w:shd w:val="clear" w:color="auto" w:fill="E5F1FF"/>
            <w:tcMar>
              <w:left w:w="28" w:type="dxa"/>
              <w:right w:w="28" w:type="dxa"/>
            </w:tcMar>
            <w:vAlign w:val="center"/>
          </w:tcPr>
          <w:p w14:paraId="5E60B438" w14:textId="77777777" w:rsidR="00F31777" w:rsidRPr="00621CB3" w:rsidRDefault="00F31777" w:rsidP="007B4DB2">
            <w:pPr>
              <w:keepNext/>
              <w:keepLines/>
              <w:ind w:left="-28" w:right="-28"/>
              <w:jc w:val="center"/>
              <w:rPr>
                <w:rFonts w:ascii="Calibri" w:hAnsi="Calibri" w:cs="Calibri"/>
                <w:sz w:val="20"/>
                <w:szCs w:val="20"/>
              </w:rPr>
            </w:pPr>
            <w:r w:rsidRPr="00621CB3">
              <w:rPr>
                <w:rFonts w:ascii="Calibri" w:hAnsi="Calibri" w:cs="Calibri"/>
                <w:b/>
                <w:sz w:val="20"/>
                <w:szCs w:val="20"/>
              </w:rPr>
              <w:t xml:space="preserve">Vydaná </w:t>
            </w:r>
            <w:r w:rsidR="005B1B88">
              <w:rPr>
                <w:rFonts w:ascii="Calibri" w:hAnsi="Calibri" w:cs="Calibri"/>
                <w:b/>
                <w:sz w:val="20"/>
                <w:szCs w:val="20"/>
              </w:rPr>
              <w:t>r</w:t>
            </w:r>
            <w:r w:rsidRPr="00621CB3">
              <w:rPr>
                <w:rFonts w:ascii="Calibri" w:hAnsi="Calibri" w:cs="Calibri"/>
                <w:b/>
                <w:sz w:val="20"/>
                <w:szCs w:val="20"/>
              </w:rPr>
              <w:t>ozhodnutí o</w:t>
            </w:r>
            <w:r w:rsidR="00FF0245" w:rsidRPr="00621CB3">
              <w:rPr>
                <w:rFonts w:ascii="Calibri" w:hAnsi="Calibri" w:cs="Calibri"/>
                <w:b/>
                <w:sz w:val="20"/>
                <w:szCs w:val="20"/>
              </w:rPr>
              <w:t> </w:t>
            </w:r>
            <w:r w:rsidRPr="00621CB3">
              <w:rPr>
                <w:rFonts w:ascii="Calibri" w:hAnsi="Calibri" w:cs="Calibri"/>
                <w:b/>
                <w:sz w:val="20"/>
                <w:szCs w:val="20"/>
              </w:rPr>
              <w:t>poskytnutí dotace*</w:t>
            </w:r>
          </w:p>
        </w:tc>
        <w:tc>
          <w:tcPr>
            <w:tcW w:w="1360" w:type="dxa"/>
            <w:shd w:val="clear" w:color="auto" w:fill="E5F1FF"/>
            <w:tcMar>
              <w:left w:w="28" w:type="dxa"/>
              <w:right w:w="28" w:type="dxa"/>
            </w:tcMar>
            <w:vAlign w:val="center"/>
          </w:tcPr>
          <w:p w14:paraId="3EEE9FEF"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b/>
                <w:sz w:val="20"/>
                <w:szCs w:val="20"/>
              </w:rPr>
              <w:t xml:space="preserve">Celkové způsobilé výdaje </w:t>
            </w:r>
          </w:p>
        </w:tc>
      </w:tr>
      <w:tr w:rsidR="00F31777" w:rsidRPr="00621CB3" w14:paraId="276AF54A" w14:textId="77777777" w:rsidTr="002F5E7B">
        <w:trPr>
          <w:trHeight w:val="255"/>
          <w:jc w:val="center"/>
        </w:trPr>
        <w:tc>
          <w:tcPr>
            <w:tcW w:w="851" w:type="dxa"/>
            <w:tcMar>
              <w:left w:w="28" w:type="dxa"/>
              <w:right w:w="28" w:type="dxa"/>
            </w:tcMar>
            <w:vAlign w:val="center"/>
          </w:tcPr>
          <w:p w14:paraId="6CBF2E0E"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11</w:t>
            </w:r>
          </w:p>
        </w:tc>
        <w:tc>
          <w:tcPr>
            <w:tcW w:w="2829" w:type="dxa"/>
            <w:vAlign w:val="center"/>
          </w:tcPr>
          <w:p w14:paraId="7D56B86F"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 pro sociálně vyloučené lokality</w:t>
            </w:r>
          </w:p>
        </w:tc>
        <w:tc>
          <w:tcPr>
            <w:tcW w:w="1133" w:type="dxa"/>
            <w:tcMar>
              <w:left w:w="28" w:type="dxa"/>
              <w:right w:w="28" w:type="dxa"/>
            </w:tcMar>
            <w:vAlign w:val="center"/>
          </w:tcPr>
          <w:p w14:paraId="02EE6327"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27. 10. 2015</w:t>
            </w:r>
          </w:p>
        </w:tc>
        <w:tc>
          <w:tcPr>
            <w:tcW w:w="1473" w:type="dxa"/>
            <w:tcMar>
              <w:left w:w="28" w:type="dxa"/>
              <w:right w:w="28" w:type="dxa"/>
            </w:tcMar>
            <w:vAlign w:val="center"/>
          </w:tcPr>
          <w:p w14:paraId="0E5E8725"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133 000</w:t>
            </w:r>
            <w:r w:rsidR="00120416" w:rsidRPr="00621CB3">
              <w:rPr>
                <w:rFonts w:ascii="Calibri" w:hAnsi="Calibri" w:cs="Calibri"/>
                <w:sz w:val="20"/>
                <w:szCs w:val="20"/>
              </w:rPr>
              <w:t> </w:t>
            </w:r>
            <w:r w:rsidRPr="00621CB3">
              <w:rPr>
                <w:rFonts w:ascii="Calibri" w:hAnsi="Calibri" w:cs="Calibri"/>
                <w:sz w:val="20"/>
                <w:szCs w:val="20"/>
              </w:rPr>
              <w:t>000</w:t>
            </w:r>
            <w:r w:rsidR="00120416" w:rsidRPr="00621CB3">
              <w:rPr>
                <w:rFonts w:ascii="Calibri" w:hAnsi="Calibri" w:cs="Calibri"/>
                <w:sz w:val="20"/>
                <w:szCs w:val="20"/>
              </w:rPr>
              <w:t>,00</w:t>
            </w:r>
          </w:p>
        </w:tc>
        <w:tc>
          <w:tcPr>
            <w:tcW w:w="1700" w:type="dxa"/>
            <w:tcMar>
              <w:left w:w="28" w:type="dxa"/>
              <w:right w:w="28" w:type="dxa"/>
            </w:tcMar>
            <w:vAlign w:val="center"/>
          </w:tcPr>
          <w:p w14:paraId="5B733DDB" w14:textId="77777777" w:rsidR="00F31777" w:rsidRPr="00621CB3" w:rsidRDefault="00F31777" w:rsidP="00621CB3">
            <w:pPr>
              <w:keepNext/>
              <w:keepLines/>
              <w:jc w:val="right"/>
              <w:rPr>
                <w:rFonts w:ascii="Calibri" w:hAnsi="Calibri" w:cs="Calibri"/>
                <w:sz w:val="20"/>
                <w:szCs w:val="20"/>
                <w:highlight w:val="yellow"/>
              </w:rPr>
            </w:pPr>
            <w:r w:rsidRPr="00621CB3">
              <w:rPr>
                <w:rFonts w:ascii="Calibri" w:hAnsi="Calibri" w:cs="Calibri"/>
                <w:sz w:val="20"/>
                <w:szCs w:val="20"/>
              </w:rPr>
              <w:t>83 314 459,09</w:t>
            </w:r>
          </w:p>
        </w:tc>
        <w:tc>
          <w:tcPr>
            <w:tcW w:w="1360" w:type="dxa"/>
            <w:tcMar>
              <w:left w:w="28" w:type="dxa"/>
              <w:right w:w="28" w:type="dxa"/>
            </w:tcMar>
            <w:vAlign w:val="center"/>
          </w:tcPr>
          <w:p w14:paraId="6F18D9DD"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80 331 232,22</w:t>
            </w:r>
          </w:p>
        </w:tc>
      </w:tr>
      <w:tr w:rsidR="00F31777" w:rsidRPr="00621CB3" w14:paraId="5EE6B01E" w14:textId="77777777" w:rsidTr="002F5E7B">
        <w:trPr>
          <w:trHeight w:val="255"/>
          <w:jc w:val="center"/>
        </w:trPr>
        <w:tc>
          <w:tcPr>
            <w:tcW w:w="851" w:type="dxa"/>
            <w:tcMar>
              <w:left w:w="28" w:type="dxa"/>
              <w:right w:w="28" w:type="dxa"/>
            </w:tcMar>
            <w:vAlign w:val="center"/>
          </w:tcPr>
          <w:p w14:paraId="4D50D10D"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12</w:t>
            </w:r>
          </w:p>
        </w:tc>
        <w:tc>
          <w:tcPr>
            <w:tcW w:w="2829" w:type="dxa"/>
            <w:vAlign w:val="center"/>
          </w:tcPr>
          <w:p w14:paraId="3070D044"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w:t>
            </w:r>
          </w:p>
        </w:tc>
        <w:tc>
          <w:tcPr>
            <w:tcW w:w="1133" w:type="dxa"/>
            <w:tcMar>
              <w:left w:w="28" w:type="dxa"/>
              <w:right w:w="28" w:type="dxa"/>
            </w:tcMar>
            <w:vAlign w:val="center"/>
          </w:tcPr>
          <w:p w14:paraId="72F293CC"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27. 10. 2015</w:t>
            </w:r>
          </w:p>
        </w:tc>
        <w:tc>
          <w:tcPr>
            <w:tcW w:w="1473" w:type="dxa"/>
            <w:tcMar>
              <w:left w:w="28" w:type="dxa"/>
              <w:right w:w="28" w:type="dxa"/>
            </w:tcMar>
            <w:vAlign w:val="center"/>
          </w:tcPr>
          <w:p w14:paraId="5F1CE3CE"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88 000</w:t>
            </w:r>
            <w:r w:rsidR="00120416" w:rsidRPr="00621CB3">
              <w:rPr>
                <w:rFonts w:ascii="Calibri" w:hAnsi="Calibri" w:cs="Calibri"/>
                <w:sz w:val="20"/>
                <w:szCs w:val="20"/>
              </w:rPr>
              <w:t> </w:t>
            </w:r>
            <w:r w:rsidRPr="00621CB3">
              <w:rPr>
                <w:rFonts w:ascii="Calibri" w:hAnsi="Calibri" w:cs="Calibri"/>
                <w:sz w:val="20"/>
                <w:szCs w:val="20"/>
              </w:rPr>
              <w:t>000</w:t>
            </w:r>
            <w:r w:rsidR="00120416" w:rsidRPr="00621CB3">
              <w:rPr>
                <w:rFonts w:ascii="Calibri" w:hAnsi="Calibri" w:cs="Calibri"/>
                <w:sz w:val="20"/>
                <w:szCs w:val="20"/>
              </w:rPr>
              <w:t>,00</w:t>
            </w:r>
          </w:p>
        </w:tc>
        <w:tc>
          <w:tcPr>
            <w:tcW w:w="1700" w:type="dxa"/>
            <w:tcMar>
              <w:left w:w="28" w:type="dxa"/>
              <w:right w:w="28" w:type="dxa"/>
            </w:tcMar>
            <w:vAlign w:val="center"/>
          </w:tcPr>
          <w:p w14:paraId="725C48D9" w14:textId="77777777" w:rsidR="00F31777" w:rsidRPr="00621CB3" w:rsidRDefault="00F31777" w:rsidP="00621CB3">
            <w:pPr>
              <w:keepNext/>
              <w:keepLines/>
              <w:jc w:val="right"/>
              <w:rPr>
                <w:rFonts w:ascii="Calibri" w:hAnsi="Calibri" w:cs="Calibri"/>
                <w:sz w:val="20"/>
                <w:szCs w:val="20"/>
                <w:highlight w:val="yellow"/>
              </w:rPr>
            </w:pPr>
            <w:r w:rsidRPr="00621CB3">
              <w:rPr>
                <w:rFonts w:ascii="Calibri" w:hAnsi="Calibri" w:cs="Calibri"/>
                <w:sz w:val="20"/>
                <w:szCs w:val="20"/>
              </w:rPr>
              <w:t>27 462 914,71</w:t>
            </w:r>
          </w:p>
        </w:tc>
        <w:tc>
          <w:tcPr>
            <w:tcW w:w="1360" w:type="dxa"/>
            <w:tcMar>
              <w:left w:w="28" w:type="dxa"/>
              <w:right w:w="28" w:type="dxa"/>
            </w:tcMar>
            <w:vAlign w:val="center"/>
          </w:tcPr>
          <w:p w14:paraId="5963A611"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24 998 119,68</w:t>
            </w:r>
          </w:p>
        </w:tc>
      </w:tr>
      <w:tr w:rsidR="00F31777" w:rsidRPr="00621CB3" w14:paraId="3B40CD79" w14:textId="77777777" w:rsidTr="002F5E7B">
        <w:trPr>
          <w:trHeight w:val="255"/>
          <w:jc w:val="center"/>
        </w:trPr>
        <w:tc>
          <w:tcPr>
            <w:tcW w:w="851" w:type="dxa"/>
            <w:tcMar>
              <w:left w:w="28" w:type="dxa"/>
              <w:right w:w="28" w:type="dxa"/>
            </w:tcMar>
            <w:vAlign w:val="center"/>
          </w:tcPr>
          <w:p w14:paraId="52FF55D9"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43</w:t>
            </w:r>
          </w:p>
        </w:tc>
        <w:tc>
          <w:tcPr>
            <w:tcW w:w="2829" w:type="dxa"/>
            <w:vAlign w:val="center"/>
          </w:tcPr>
          <w:p w14:paraId="288D55B4"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 II.</w:t>
            </w:r>
          </w:p>
        </w:tc>
        <w:tc>
          <w:tcPr>
            <w:tcW w:w="1133" w:type="dxa"/>
            <w:tcMar>
              <w:left w:w="28" w:type="dxa"/>
              <w:right w:w="28" w:type="dxa"/>
            </w:tcMar>
            <w:vAlign w:val="center"/>
          </w:tcPr>
          <w:p w14:paraId="511D9522"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10. 8. 2016</w:t>
            </w:r>
          </w:p>
        </w:tc>
        <w:tc>
          <w:tcPr>
            <w:tcW w:w="1473" w:type="dxa"/>
            <w:tcMar>
              <w:left w:w="28" w:type="dxa"/>
              <w:right w:w="28" w:type="dxa"/>
            </w:tcMar>
            <w:vAlign w:val="center"/>
          </w:tcPr>
          <w:p w14:paraId="76EF22C6"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130 000</w:t>
            </w:r>
            <w:r w:rsidR="00120416" w:rsidRPr="00621CB3">
              <w:rPr>
                <w:rFonts w:ascii="Calibri" w:hAnsi="Calibri" w:cs="Calibri"/>
                <w:sz w:val="20"/>
                <w:szCs w:val="20"/>
              </w:rPr>
              <w:t> </w:t>
            </w:r>
            <w:r w:rsidRPr="00621CB3">
              <w:rPr>
                <w:rFonts w:ascii="Calibri" w:hAnsi="Calibri" w:cs="Calibri"/>
                <w:sz w:val="20"/>
                <w:szCs w:val="20"/>
              </w:rPr>
              <w:t>000</w:t>
            </w:r>
            <w:r w:rsidR="00120416" w:rsidRPr="00621CB3">
              <w:rPr>
                <w:rFonts w:ascii="Calibri" w:hAnsi="Calibri" w:cs="Calibri"/>
                <w:sz w:val="20"/>
                <w:szCs w:val="20"/>
              </w:rPr>
              <w:t>,00</w:t>
            </w:r>
          </w:p>
        </w:tc>
        <w:tc>
          <w:tcPr>
            <w:tcW w:w="1700" w:type="dxa"/>
            <w:tcMar>
              <w:left w:w="28" w:type="dxa"/>
              <w:right w:w="28" w:type="dxa"/>
            </w:tcMar>
            <w:vAlign w:val="center"/>
          </w:tcPr>
          <w:p w14:paraId="4F15F592" w14:textId="77777777" w:rsidR="00F31777" w:rsidRPr="00621CB3" w:rsidRDefault="00F31777" w:rsidP="00621CB3">
            <w:pPr>
              <w:keepNext/>
              <w:keepLines/>
              <w:jc w:val="right"/>
              <w:rPr>
                <w:rFonts w:ascii="Calibri" w:hAnsi="Calibri" w:cs="Calibri"/>
                <w:sz w:val="20"/>
                <w:szCs w:val="20"/>
                <w:highlight w:val="yellow"/>
              </w:rPr>
            </w:pPr>
            <w:r w:rsidRPr="00621CB3">
              <w:rPr>
                <w:rFonts w:ascii="Calibri" w:hAnsi="Calibri" w:cs="Calibri"/>
                <w:sz w:val="20"/>
                <w:szCs w:val="20"/>
              </w:rPr>
              <w:t>83 294 845,44</w:t>
            </w:r>
          </w:p>
        </w:tc>
        <w:tc>
          <w:tcPr>
            <w:tcW w:w="1360" w:type="dxa"/>
            <w:tcMar>
              <w:left w:w="28" w:type="dxa"/>
              <w:right w:w="28" w:type="dxa"/>
            </w:tcMar>
            <w:vAlign w:val="center"/>
          </w:tcPr>
          <w:p w14:paraId="187AD4C2"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80 791 046,81</w:t>
            </w:r>
          </w:p>
        </w:tc>
      </w:tr>
      <w:tr w:rsidR="00F31777" w:rsidRPr="00621CB3" w14:paraId="0A73C9D0" w14:textId="77777777" w:rsidTr="002F5E7B">
        <w:trPr>
          <w:trHeight w:val="255"/>
          <w:jc w:val="center"/>
        </w:trPr>
        <w:tc>
          <w:tcPr>
            <w:tcW w:w="851" w:type="dxa"/>
            <w:tcMar>
              <w:left w:w="28" w:type="dxa"/>
              <w:right w:w="28" w:type="dxa"/>
            </w:tcMar>
            <w:vAlign w:val="center"/>
          </w:tcPr>
          <w:p w14:paraId="4017813C"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44</w:t>
            </w:r>
          </w:p>
        </w:tc>
        <w:tc>
          <w:tcPr>
            <w:tcW w:w="2829" w:type="dxa"/>
            <w:vAlign w:val="center"/>
          </w:tcPr>
          <w:p w14:paraId="60C5B250"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 pro sociálně vyloučené lokality II.</w:t>
            </w:r>
          </w:p>
        </w:tc>
        <w:tc>
          <w:tcPr>
            <w:tcW w:w="1133" w:type="dxa"/>
            <w:tcMar>
              <w:left w:w="28" w:type="dxa"/>
              <w:right w:w="28" w:type="dxa"/>
            </w:tcMar>
            <w:vAlign w:val="center"/>
          </w:tcPr>
          <w:p w14:paraId="1B5686E6"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10. 8. 2016</w:t>
            </w:r>
          </w:p>
        </w:tc>
        <w:tc>
          <w:tcPr>
            <w:tcW w:w="1473" w:type="dxa"/>
            <w:tcMar>
              <w:left w:w="28" w:type="dxa"/>
              <w:right w:w="28" w:type="dxa"/>
            </w:tcMar>
            <w:vAlign w:val="center"/>
          </w:tcPr>
          <w:p w14:paraId="6181E53E"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377 334</w:t>
            </w:r>
            <w:r w:rsidR="00120416" w:rsidRPr="00621CB3">
              <w:rPr>
                <w:rFonts w:ascii="Calibri" w:hAnsi="Calibri" w:cs="Calibri"/>
                <w:sz w:val="20"/>
                <w:szCs w:val="20"/>
              </w:rPr>
              <w:t> </w:t>
            </w:r>
            <w:r w:rsidRPr="00621CB3">
              <w:rPr>
                <w:rFonts w:ascii="Calibri" w:hAnsi="Calibri" w:cs="Calibri"/>
                <w:sz w:val="20"/>
                <w:szCs w:val="20"/>
              </w:rPr>
              <w:t>947</w:t>
            </w:r>
            <w:r w:rsidR="00120416" w:rsidRPr="00621CB3">
              <w:rPr>
                <w:rFonts w:ascii="Calibri" w:hAnsi="Calibri" w:cs="Calibri"/>
                <w:sz w:val="20"/>
                <w:szCs w:val="20"/>
              </w:rPr>
              <w:t>,00</w:t>
            </w:r>
          </w:p>
        </w:tc>
        <w:tc>
          <w:tcPr>
            <w:tcW w:w="1700" w:type="dxa"/>
            <w:tcMar>
              <w:left w:w="28" w:type="dxa"/>
              <w:right w:w="28" w:type="dxa"/>
            </w:tcMar>
            <w:vAlign w:val="center"/>
          </w:tcPr>
          <w:p w14:paraId="4F44647F"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355 067 562,82</w:t>
            </w:r>
          </w:p>
        </w:tc>
        <w:tc>
          <w:tcPr>
            <w:tcW w:w="1360" w:type="dxa"/>
            <w:tcMar>
              <w:left w:w="28" w:type="dxa"/>
              <w:right w:w="28" w:type="dxa"/>
            </w:tcMar>
            <w:vAlign w:val="center"/>
          </w:tcPr>
          <w:p w14:paraId="0DD04856"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325 193 225,29</w:t>
            </w:r>
          </w:p>
        </w:tc>
      </w:tr>
      <w:tr w:rsidR="00F31777" w:rsidRPr="00621CB3" w14:paraId="2659AA20" w14:textId="77777777" w:rsidTr="002F5E7B">
        <w:trPr>
          <w:trHeight w:val="255"/>
          <w:jc w:val="center"/>
        </w:trPr>
        <w:tc>
          <w:tcPr>
            <w:tcW w:w="851" w:type="dxa"/>
            <w:tcMar>
              <w:left w:w="28" w:type="dxa"/>
              <w:right w:w="28" w:type="dxa"/>
            </w:tcMar>
            <w:vAlign w:val="center"/>
          </w:tcPr>
          <w:p w14:paraId="1711D761"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63</w:t>
            </w:r>
          </w:p>
        </w:tc>
        <w:tc>
          <w:tcPr>
            <w:tcW w:w="2829" w:type="dxa"/>
            <w:vAlign w:val="center"/>
          </w:tcPr>
          <w:p w14:paraId="22805B2A"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 – integrované projekty ITI</w:t>
            </w:r>
            <w:r w:rsidRPr="00621CB3">
              <w:rPr>
                <w:rFonts w:ascii="Calibri" w:hAnsi="Calibri" w:cs="Calibri"/>
                <w:sz w:val="20"/>
                <w:szCs w:val="20"/>
                <w:vertAlign w:val="superscript"/>
              </w:rPr>
              <w:footnoteReference w:id="35"/>
            </w:r>
          </w:p>
        </w:tc>
        <w:tc>
          <w:tcPr>
            <w:tcW w:w="1133" w:type="dxa"/>
            <w:tcMar>
              <w:left w:w="28" w:type="dxa"/>
              <w:right w:w="28" w:type="dxa"/>
            </w:tcMar>
            <w:vAlign w:val="center"/>
          </w:tcPr>
          <w:p w14:paraId="31361334"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2. 12. 2016</w:t>
            </w:r>
          </w:p>
        </w:tc>
        <w:tc>
          <w:tcPr>
            <w:tcW w:w="1473" w:type="dxa"/>
            <w:tcMar>
              <w:left w:w="28" w:type="dxa"/>
              <w:right w:w="28" w:type="dxa"/>
            </w:tcMar>
            <w:vAlign w:val="center"/>
          </w:tcPr>
          <w:p w14:paraId="028B8D88"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66 455</w:t>
            </w:r>
            <w:r w:rsidR="00120416" w:rsidRPr="00621CB3">
              <w:rPr>
                <w:rFonts w:ascii="Calibri" w:hAnsi="Calibri" w:cs="Calibri"/>
                <w:sz w:val="20"/>
                <w:szCs w:val="20"/>
              </w:rPr>
              <w:t> </w:t>
            </w:r>
            <w:r w:rsidRPr="00621CB3">
              <w:rPr>
                <w:rFonts w:ascii="Calibri" w:hAnsi="Calibri" w:cs="Calibri"/>
                <w:sz w:val="20"/>
                <w:szCs w:val="20"/>
              </w:rPr>
              <w:t>000</w:t>
            </w:r>
            <w:r w:rsidR="00120416" w:rsidRPr="00621CB3">
              <w:rPr>
                <w:rFonts w:ascii="Calibri" w:hAnsi="Calibri" w:cs="Calibri"/>
                <w:sz w:val="20"/>
                <w:szCs w:val="20"/>
              </w:rPr>
              <w:t>,00</w:t>
            </w:r>
          </w:p>
        </w:tc>
        <w:tc>
          <w:tcPr>
            <w:tcW w:w="1700" w:type="dxa"/>
            <w:tcMar>
              <w:left w:w="28" w:type="dxa"/>
              <w:right w:w="28" w:type="dxa"/>
            </w:tcMar>
            <w:vAlign w:val="center"/>
          </w:tcPr>
          <w:p w14:paraId="3EC15381" w14:textId="77777777" w:rsidR="00F31777" w:rsidRPr="00621CB3" w:rsidRDefault="00F31777" w:rsidP="00621CB3">
            <w:pPr>
              <w:keepNext/>
              <w:keepLines/>
              <w:jc w:val="right"/>
              <w:rPr>
                <w:rFonts w:ascii="Calibri" w:hAnsi="Calibri" w:cs="Calibri"/>
                <w:sz w:val="20"/>
                <w:szCs w:val="20"/>
                <w:highlight w:val="yellow"/>
              </w:rPr>
            </w:pPr>
            <w:r w:rsidRPr="00621CB3">
              <w:rPr>
                <w:rFonts w:ascii="Calibri" w:hAnsi="Calibri" w:cs="Calibri"/>
                <w:sz w:val="20"/>
                <w:szCs w:val="20"/>
              </w:rPr>
              <w:t>47 470 237,31</w:t>
            </w:r>
          </w:p>
        </w:tc>
        <w:tc>
          <w:tcPr>
            <w:tcW w:w="1360" w:type="dxa"/>
            <w:tcMar>
              <w:left w:w="28" w:type="dxa"/>
              <w:right w:w="28" w:type="dxa"/>
            </w:tcMar>
            <w:vAlign w:val="center"/>
          </w:tcPr>
          <w:p w14:paraId="19AD3F14"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28 340 237,54</w:t>
            </w:r>
          </w:p>
        </w:tc>
      </w:tr>
      <w:tr w:rsidR="00F31777" w:rsidRPr="00621CB3" w14:paraId="322C92D2" w14:textId="77777777" w:rsidTr="002F5E7B">
        <w:trPr>
          <w:trHeight w:val="255"/>
          <w:jc w:val="center"/>
        </w:trPr>
        <w:tc>
          <w:tcPr>
            <w:tcW w:w="851" w:type="dxa"/>
            <w:tcMar>
              <w:left w:w="28" w:type="dxa"/>
              <w:right w:w="28" w:type="dxa"/>
            </w:tcMar>
            <w:vAlign w:val="center"/>
          </w:tcPr>
          <w:p w14:paraId="58E04884"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64</w:t>
            </w:r>
          </w:p>
        </w:tc>
        <w:tc>
          <w:tcPr>
            <w:tcW w:w="2829" w:type="dxa"/>
            <w:vAlign w:val="center"/>
          </w:tcPr>
          <w:p w14:paraId="2F4AE751"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 – integrované projekty IPRÚ</w:t>
            </w:r>
            <w:r w:rsidRPr="00621CB3">
              <w:rPr>
                <w:rFonts w:ascii="Calibri" w:hAnsi="Calibri" w:cs="Calibri"/>
                <w:sz w:val="20"/>
                <w:szCs w:val="20"/>
                <w:vertAlign w:val="superscript"/>
              </w:rPr>
              <w:footnoteReference w:id="36"/>
            </w:r>
          </w:p>
        </w:tc>
        <w:tc>
          <w:tcPr>
            <w:tcW w:w="1133" w:type="dxa"/>
            <w:tcMar>
              <w:left w:w="28" w:type="dxa"/>
              <w:right w:w="28" w:type="dxa"/>
            </w:tcMar>
            <w:vAlign w:val="center"/>
          </w:tcPr>
          <w:p w14:paraId="6798CF76"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2. 12. 2016</w:t>
            </w:r>
          </w:p>
        </w:tc>
        <w:tc>
          <w:tcPr>
            <w:tcW w:w="1473" w:type="dxa"/>
            <w:tcMar>
              <w:left w:w="28" w:type="dxa"/>
              <w:right w:w="28" w:type="dxa"/>
            </w:tcMar>
            <w:vAlign w:val="center"/>
          </w:tcPr>
          <w:p w14:paraId="6C5BD52E"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33 000</w:t>
            </w:r>
            <w:r w:rsidR="00120416" w:rsidRPr="00621CB3">
              <w:rPr>
                <w:rFonts w:ascii="Calibri" w:hAnsi="Calibri" w:cs="Calibri"/>
                <w:sz w:val="20"/>
                <w:szCs w:val="20"/>
              </w:rPr>
              <w:t> </w:t>
            </w:r>
            <w:r w:rsidRPr="00621CB3">
              <w:rPr>
                <w:rFonts w:ascii="Calibri" w:hAnsi="Calibri" w:cs="Calibri"/>
                <w:sz w:val="20"/>
                <w:szCs w:val="20"/>
              </w:rPr>
              <w:t>000</w:t>
            </w:r>
            <w:r w:rsidR="00120416" w:rsidRPr="00621CB3">
              <w:rPr>
                <w:rFonts w:ascii="Calibri" w:hAnsi="Calibri" w:cs="Calibri"/>
                <w:sz w:val="20"/>
                <w:szCs w:val="20"/>
              </w:rPr>
              <w:t>,00</w:t>
            </w:r>
          </w:p>
        </w:tc>
        <w:tc>
          <w:tcPr>
            <w:tcW w:w="1700" w:type="dxa"/>
            <w:tcMar>
              <w:left w:w="28" w:type="dxa"/>
              <w:right w:w="28" w:type="dxa"/>
            </w:tcMar>
            <w:vAlign w:val="center"/>
          </w:tcPr>
          <w:p w14:paraId="1A0E3475"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20 692 065,61</w:t>
            </w:r>
          </w:p>
        </w:tc>
        <w:tc>
          <w:tcPr>
            <w:tcW w:w="1360" w:type="dxa"/>
            <w:tcMar>
              <w:left w:w="28" w:type="dxa"/>
              <w:right w:w="28" w:type="dxa"/>
            </w:tcMar>
            <w:vAlign w:val="center"/>
          </w:tcPr>
          <w:p w14:paraId="2DFF31F7"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14 132 885,68</w:t>
            </w:r>
          </w:p>
        </w:tc>
      </w:tr>
      <w:tr w:rsidR="00F31777" w:rsidRPr="00621CB3" w14:paraId="78D418C1" w14:textId="77777777" w:rsidTr="002F5E7B">
        <w:trPr>
          <w:trHeight w:val="255"/>
          <w:jc w:val="center"/>
        </w:trPr>
        <w:tc>
          <w:tcPr>
            <w:tcW w:w="851" w:type="dxa"/>
            <w:tcMar>
              <w:left w:w="28" w:type="dxa"/>
              <w:right w:w="28" w:type="dxa"/>
            </w:tcMar>
            <w:vAlign w:val="center"/>
          </w:tcPr>
          <w:p w14:paraId="73093DB4"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65</w:t>
            </w:r>
          </w:p>
        </w:tc>
        <w:tc>
          <w:tcPr>
            <w:tcW w:w="2829" w:type="dxa"/>
            <w:vAlign w:val="center"/>
          </w:tcPr>
          <w:p w14:paraId="4491242B"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 – integrované projekty CLLD</w:t>
            </w:r>
            <w:r w:rsidRPr="00621CB3">
              <w:rPr>
                <w:rFonts w:ascii="Calibri" w:hAnsi="Calibri" w:cs="Calibri"/>
                <w:sz w:val="20"/>
                <w:szCs w:val="20"/>
                <w:vertAlign w:val="superscript"/>
              </w:rPr>
              <w:footnoteReference w:id="37"/>
            </w:r>
          </w:p>
        </w:tc>
        <w:tc>
          <w:tcPr>
            <w:tcW w:w="1133" w:type="dxa"/>
            <w:tcMar>
              <w:left w:w="28" w:type="dxa"/>
              <w:right w:w="28" w:type="dxa"/>
            </w:tcMar>
            <w:vAlign w:val="center"/>
          </w:tcPr>
          <w:p w14:paraId="0F25502E"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2. 12. 2016</w:t>
            </w:r>
          </w:p>
        </w:tc>
        <w:tc>
          <w:tcPr>
            <w:tcW w:w="1473" w:type="dxa"/>
            <w:tcMar>
              <w:left w:w="28" w:type="dxa"/>
              <w:right w:w="28" w:type="dxa"/>
            </w:tcMar>
            <w:vAlign w:val="center"/>
          </w:tcPr>
          <w:p w14:paraId="25819DEC"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423 735</w:t>
            </w:r>
            <w:r w:rsidR="00120416" w:rsidRPr="00621CB3">
              <w:rPr>
                <w:rFonts w:ascii="Calibri" w:hAnsi="Calibri" w:cs="Calibri"/>
                <w:sz w:val="20"/>
                <w:szCs w:val="20"/>
              </w:rPr>
              <w:t> </w:t>
            </w:r>
            <w:r w:rsidRPr="00621CB3">
              <w:rPr>
                <w:rFonts w:ascii="Calibri" w:hAnsi="Calibri" w:cs="Calibri"/>
                <w:sz w:val="20"/>
                <w:szCs w:val="20"/>
              </w:rPr>
              <w:t>000</w:t>
            </w:r>
            <w:r w:rsidR="00120416" w:rsidRPr="00621CB3">
              <w:rPr>
                <w:rFonts w:ascii="Calibri" w:hAnsi="Calibri" w:cs="Calibri"/>
                <w:sz w:val="20"/>
                <w:szCs w:val="20"/>
              </w:rPr>
              <w:t>,00</w:t>
            </w:r>
          </w:p>
        </w:tc>
        <w:tc>
          <w:tcPr>
            <w:tcW w:w="1700" w:type="dxa"/>
            <w:tcMar>
              <w:left w:w="28" w:type="dxa"/>
              <w:right w:w="28" w:type="dxa"/>
            </w:tcMar>
            <w:vAlign w:val="center"/>
          </w:tcPr>
          <w:p w14:paraId="78943CD3"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174 059 322,47</w:t>
            </w:r>
          </w:p>
        </w:tc>
        <w:tc>
          <w:tcPr>
            <w:tcW w:w="1360" w:type="dxa"/>
            <w:tcMar>
              <w:left w:w="28" w:type="dxa"/>
              <w:right w:w="28" w:type="dxa"/>
            </w:tcMar>
            <w:vAlign w:val="center"/>
          </w:tcPr>
          <w:p w14:paraId="69EE5F8A"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137 485 102,59</w:t>
            </w:r>
          </w:p>
        </w:tc>
      </w:tr>
      <w:tr w:rsidR="00F31777" w:rsidRPr="00621CB3" w14:paraId="777665A5" w14:textId="77777777" w:rsidTr="002F5E7B">
        <w:trPr>
          <w:trHeight w:val="255"/>
          <w:jc w:val="center"/>
        </w:trPr>
        <w:tc>
          <w:tcPr>
            <w:tcW w:w="851" w:type="dxa"/>
            <w:tcMar>
              <w:left w:w="28" w:type="dxa"/>
              <w:right w:w="28" w:type="dxa"/>
            </w:tcMar>
            <w:vAlign w:val="center"/>
          </w:tcPr>
          <w:p w14:paraId="7BC6AC54" w14:textId="77777777" w:rsidR="00F31777" w:rsidRPr="00621CB3" w:rsidRDefault="00F31777" w:rsidP="00621CB3">
            <w:pPr>
              <w:keepNext/>
              <w:keepLines/>
              <w:jc w:val="center"/>
              <w:rPr>
                <w:rFonts w:ascii="Calibri" w:hAnsi="Calibri" w:cs="Calibri"/>
                <w:sz w:val="20"/>
                <w:szCs w:val="20"/>
              </w:rPr>
            </w:pPr>
            <w:r w:rsidRPr="00621CB3">
              <w:rPr>
                <w:rFonts w:ascii="Calibri" w:hAnsi="Calibri" w:cs="Calibri"/>
                <w:sz w:val="20"/>
                <w:szCs w:val="20"/>
              </w:rPr>
              <w:t>90</w:t>
            </w:r>
          </w:p>
        </w:tc>
        <w:tc>
          <w:tcPr>
            <w:tcW w:w="2829" w:type="dxa"/>
            <w:vAlign w:val="center"/>
          </w:tcPr>
          <w:p w14:paraId="0FCE1B6A" w14:textId="77777777" w:rsidR="00F31777" w:rsidRPr="00621CB3" w:rsidRDefault="00F31777" w:rsidP="00621CB3">
            <w:pPr>
              <w:keepNext/>
              <w:keepLines/>
              <w:rPr>
                <w:rFonts w:ascii="Calibri" w:hAnsi="Calibri" w:cs="Calibri"/>
                <w:sz w:val="20"/>
                <w:szCs w:val="20"/>
              </w:rPr>
            </w:pPr>
            <w:r w:rsidRPr="00621CB3">
              <w:rPr>
                <w:rFonts w:ascii="Calibri" w:hAnsi="Calibri" w:cs="Calibri"/>
                <w:sz w:val="20"/>
                <w:szCs w:val="20"/>
              </w:rPr>
              <w:t>Sociální podnikání pro Koordinovaný přístup k sociálně vyloučeným lokalitám</w:t>
            </w:r>
          </w:p>
        </w:tc>
        <w:tc>
          <w:tcPr>
            <w:tcW w:w="1133" w:type="dxa"/>
            <w:tcMar>
              <w:left w:w="28" w:type="dxa"/>
              <w:right w:w="28" w:type="dxa"/>
            </w:tcMar>
            <w:vAlign w:val="center"/>
          </w:tcPr>
          <w:p w14:paraId="70FE5F96"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31. 7. 2019</w:t>
            </w:r>
          </w:p>
        </w:tc>
        <w:tc>
          <w:tcPr>
            <w:tcW w:w="1473" w:type="dxa"/>
            <w:tcMar>
              <w:left w:w="28" w:type="dxa"/>
              <w:right w:w="28" w:type="dxa"/>
            </w:tcMar>
            <w:vAlign w:val="center"/>
          </w:tcPr>
          <w:p w14:paraId="69A5F287"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60 000</w:t>
            </w:r>
            <w:r w:rsidR="00120416" w:rsidRPr="00621CB3">
              <w:rPr>
                <w:rFonts w:ascii="Calibri" w:hAnsi="Calibri" w:cs="Calibri"/>
                <w:sz w:val="20"/>
                <w:szCs w:val="20"/>
              </w:rPr>
              <w:t> </w:t>
            </w:r>
            <w:r w:rsidRPr="00621CB3">
              <w:rPr>
                <w:rFonts w:ascii="Calibri" w:hAnsi="Calibri" w:cs="Calibri"/>
                <w:sz w:val="20"/>
                <w:szCs w:val="20"/>
              </w:rPr>
              <w:t>000</w:t>
            </w:r>
            <w:r w:rsidR="00120416" w:rsidRPr="00621CB3">
              <w:rPr>
                <w:rFonts w:ascii="Calibri" w:hAnsi="Calibri" w:cs="Calibri"/>
                <w:sz w:val="20"/>
                <w:szCs w:val="20"/>
              </w:rPr>
              <w:t>,00</w:t>
            </w:r>
          </w:p>
        </w:tc>
        <w:tc>
          <w:tcPr>
            <w:tcW w:w="1700" w:type="dxa"/>
            <w:tcMar>
              <w:left w:w="28" w:type="dxa"/>
              <w:right w:w="28" w:type="dxa"/>
            </w:tcMar>
            <w:vAlign w:val="center"/>
          </w:tcPr>
          <w:p w14:paraId="1E561AC2"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38 405 734,06</w:t>
            </w:r>
          </w:p>
        </w:tc>
        <w:tc>
          <w:tcPr>
            <w:tcW w:w="1360" w:type="dxa"/>
            <w:tcMar>
              <w:left w:w="28" w:type="dxa"/>
              <w:right w:w="28" w:type="dxa"/>
            </w:tcMar>
            <w:vAlign w:val="center"/>
          </w:tcPr>
          <w:p w14:paraId="684D45A9" w14:textId="77777777" w:rsidR="00F31777" w:rsidRPr="00621CB3" w:rsidRDefault="00F31777" w:rsidP="00621CB3">
            <w:pPr>
              <w:keepNext/>
              <w:keepLines/>
              <w:jc w:val="right"/>
              <w:rPr>
                <w:rFonts w:ascii="Calibri" w:hAnsi="Calibri" w:cs="Calibri"/>
                <w:sz w:val="20"/>
                <w:szCs w:val="20"/>
              </w:rPr>
            </w:pPr>
            <w:r w:rsidRPr="00621CB3">
              <w:rPr>
                <w:rFonts w:ascii="Calibri" w:hAnsi="Calibri" w:cs="Calibri"/>
                <w:sz w:val="20"/>
                <w:szCs w:val="20"/>
              </w:rPr>
              <w:t>0</w:t>
            </w:r>
            <w:r w:rsidR="00120416" w:rsidRPr="00621CB3">
              <w:rPr>
                <w:rFonts w:ascii="Calibri" w:hAnsi="Calibri" w:cs="Calibri"/>
                <w:sz w:val="20"/>
                <w:szCs w:val="20"/>
              </w:rPr>
              <w:t>,00</w:t>
            </w:r>
          </w:p>
        </w:tc>
      </w:tr>
      <w:tr w:rsidR="002F5E7B" w:rsidRPr="00621CB3" w14:paraId="72C18D38" w14:textId="77777777" w:rsidTr="002F5E7B">
        <w:trPr>
          <w:trHeight w:val="255"/>
          <w:jc w:val="center"/>
        </w:trPr>
        <w:tc>
          <w:tcPr>
            <w:tcW w:w="3680" w:type="dxa"/>
            <w:gridSpan w:val="2"/>
            <w:tcMar>
              <w:left w:w="28" w:type="dxa"/>
              <w:right w:w="28" w:type="dxa"/>
            </w:tcMar>
            <w:vAlign w:val="center"/>
          </w:tcPr>
          <w:p w14:paraId="14265172" w14:textId="77777777" w:rsidR="002F5E7B" w:rsidRPr="00621CB3" w:rsidRDefault="002F5E7B" w:rsidP="002F5E7B">
            <w:pPr>
              <w:keepNext/>
              <w:keepLines/>
              <w:rPr>
                <w:rFonts w:ascii="Calibri" w:hAnsi="Calibri" w:cs="Calibri"/>
                <w:sz w:val="20"/>
                <w:szCs w:val="20"/>
              </w:rPr>
            </w:pPr>
            <w:r w:rsidRPr="00621CB3">
              <w:rPr>
                <w:rFonts w:ascii="Calibri" w:hAnsi="Calibri" w:cs="Calibri"/>
                <w:b/>
                <w:bCs/>
                <w:color w:val="000000"/>
                <w:sz w:val="20"/>
                <w:szCs w:val="20"/>
                <w:lang w:eastAsia="cs-CZ"/>
              </w:rPr>
              <w:t>Celkem</w:t>
            </w:r>
          </w:p>
        </w:tc>
        <w:tc>
          <w:tcPr>
            <w:tcW w:w="1133" w:type="dxa"/>
            <w:tcMar>
              <w:left w:w="28" w:type="dxa"/>
              <w:right w:w="28" w:type="dxa"/>
            </w:tcMar>
            <w:vAlign w:val="center"/>
          </w:tcPr>
          <w:p w14:paraId="1D0F4879" w14:textId="77777777" w:rsidR="002F5E7B" w:rsidRPr="00621CB3" w:rsidRDefault="002F5E7B" w:rsidP="002F5E7B">
            <w:pPr>
              <w:keepNext/>
              <w:keepLines/>
              <w:jc w:val="right"/>
              <w:rPr>
                <w:rFonts w:ascii="Calibri" w:hAnsi="Calibri" w:cs="Calibri"/>
                <w:sz w:val="20"/>
                <w:szCs w:val="20"/>
              </w:rPr>
            </w:pPr>
          </w:p>
        </w:tc>
        <w:tc>
          <w:tcPr>
            <w:tcW w:w="1473" w:type="dxa"/>
            <w:tcMar>
              <w:left w:w="28" w:type="dxa"/>
              <w:right w:w="28" w:type="dxa"/>
            </w:tcMar>
            <w:vAlign w:val="center"/>
          </w:tcPr>
          <w:p w14:paraId="6E5C1D6D" w14:textId="77777777" w:rsidR="002F5E7B" w:rsidRPr="00621CB3" w:rsidRDefault="002F5E7B" w:rsidP="002F5E7B">
            <w:pPr>
              <w:keepNext/>
              <w:keepLines/>
              <w:jc w:val="right"/>
              <w:rPr>
                <w:rFonts w:ascii="Calibri" w:hAnsi="Calibri" w:cs="Calibri"/>
                <w:sz w:val="20"/>
                <w:szCs w:val="20"/>
              </w:rPr>
            </w:pPr>
            <w:r w:rsidRPr="00621CB3">
              <w:rPr>
                <w:rFonts w:ascii="Calibri" w:hAnsi="Calibri" w:cs="Calibri"/>
                <w:b/>
                <w:sz w:val="20"/>
                <w:szCs w:val="20"/>
              </w:rPr>
              <w:t>1 311 524 947,00</w:t>
            </w:r>
          </w:p>
        </w:tc>
        <w:tc>
          <w:tcPr>
            <w:tcW w:w="1700" w:type="dxa"/>
            <w:tcMar>
              <w:left w:w="28" w:type="dxa"/>
              <w:right w:w="28" w:type="dxa"/>
            </w:tcMar>
            <w:vAlign w:val="center"/>
          </w:tcPr>
          <w:p w14:paraId="5EE1C5C6" w14:textId="77777777" w:rsidR="002F5E7B" w:rsidRPr="00621CB3" w:rsidRDefault="002F5E7B" w:rsidP="002F5E7B">
            <w:pPr>
              <w:keepNext/>
              <w:keepLines/>
              <w:jc w:val="right"/>
              <w:rPr>
                <w:rFonts w:ascii="Calibri" w:hAnsi="Calibri" w:cs="Calibri"/>
                <w:b/>
                <w:sz w:val="20"/>
                <w:szCs w:val="20"/>
              </w:rPr>
            </w:pPr>
            <w:r w:rsidRPr="00621CB3">
              <w:rPr>
                <w:rFonts w:ascii="Calibri" w:hAnsi="Calibri" w:cs="Calibri"/>
                <w:b/>
                <w:sz w:val="20"/>
                <w:szCs w:val="20"/>
              </w:rPr>
              <w:t>809 767 141,51</w:t>
            </w:r>
          </w:p>
        </w:tc>
        <w:tc>
          <w:tcPr>
            <w:tcW w:w="1360" w:type="dxa"/>
            <w:tcMar>
              <w:left w:w="28" w:type="dxa"/>
              <w:right w:w="28" w:type="dxa"/>
            </w:tcMar>
            <w:vAlign w:val="center"/>
          </w:tcPr>
          <w:p w14:paraId="166D1B6B" w14:textId="77777777" w:rsidR="002F5E7B" w:rsidRPr="00621CB3" w:rsidRDefault="002F5E7B" w:rsidP="002F5E7B">
            <w:pPr>
              <w:keepNext/>
              <w:keepLines/>
              <w:jc w:val="right"/>
              <w:rPr>
                <w:rFonts w:ascii="Calibri" w:hAnsi="Calibri" w:cs="Calibri"/>
                <w:b/>
                <w:sz w:val="20"/>
                <w:szCs w:val="20"/>
              </w:rPr>
            </w:pPr>
            <w:r w:rsidRPr="00621CB3">
              <w:rPr>
                <w:rFonts w:ascii="Calibri" w:hAnsi="Calibri" w:cs="Calibri"/>
                <w:b/>
                <w:sz w:val="20"/>
                <w:szCs w:val="20"/>
              </w:rPr>
              <w:t>691 271 849,82</w:t>
            </w:r>
          </w:p>
        </w:tc>
      </w:tr>
    </w:tbl>
    <w:p w14:paraId="065383C6" w14:textId="77777777" w:rsidR="00F31777" w:rsidRPr="00F31777" w:rsidRDefault="00F31777" w:rsidP="002F5E7B">
      <w:pPr>
        <w:keepNext/>
        <w:keepLines/>
        <w:spacing w:before="40" w:after="0" w:line="240" w:lineRule="auto"/>
        <w:jc w:val="both"/>
        <w:rPr>
          <w:sz w:val="20"/>
          <w:szCs w:val="20"/>
        </w:rPr>
      </w:pPr>
      <w:r w:rsidRPr="00F31777">
        <w:rPr>
          <w:b/>
          <w:sz w:val="20"/>
          <w:szCs w:val="20"/>
        </w:rPr>
        <w:t>Zdroj</w:t>
      </w:r>
      <w:r w:rsidRPr="00610D2D">
        <w:rPr>
          <w:b/>
          <w:sz w:val="20"/>
          <w:szCs w:val="20"/>
        </w:rPr>
        <w:t>:</w:t>
      </w:r>
      <w:r w:rsidRPr="00F31777">
        <w:rPr>
          <w:sz w:val="20"/>
          <w:szCs w:val="20"/>
        </w:rPr>
        <w:t xml:space="preserve"> </w:t>
      </w:r>
      <w:r w:rsidR="008C375C">
        <w:rPr>
          <w:sz w:val="20"/>
          <w:szCs w:val="20"/>
        </w:rPr>
        <w:t xml:space="preserve">MMR, </w:t>
      </w:r>
      <w:r w:rsidRPr="00F31777">
        <w:rPr>
          <w:sz w:val="20"/>
          <w:szCs w:val="20"/>
        </w:rPr>
        <w:t>MS2014+, stav k</w:t>
      </w:r>
      <w:r w:rsidR="008C375C">
        <w:rPr>
          <w:sz w:val="20"/>
          <w:szCs w:val="20"/>
        </w:rPr>
        <w:t> 02/</w:t>
      </w:r>
      <w:r w:rsidRPr="00F31777">
        <w:rPr>
          <w:sz w:val="20"/>
          <w:szCs w:val="20"/>
        </w:rPr>
        <w:t>2022.</w:t>
      </w:r>
    </w:p>
    <w:p w14:paraId="4CF30218" w14:textId="77777777" w:rsidR="00F31777" w:rsidRPr="00610D2D" w:rsidRDefault="00E31500" w:rsidP="00610D2D">
      <w:pPr>
        <w:spacing w:after="0" w:line="240" w:lineRule="auto"/>
        <w:jc w:val="both"/>
        <w:rPr>
          <w:rFonts w:eastAsia="Times New Roman" w:cs="Calibri"/>
          <w:sz w:val="24"/>
          <w:szCs w:val="24"/>
        </w:rPr>
      </w:pPr>
      <w:r>
        <w:rPr>
          <w:rFonts w:eastAsia="Times New Roman" w:cs="Calibri"/>
          <w:b/>
          <w:sz w:val="20"/>
          <w:szCs w:val="20"/>
        </w:rPr>
        <w:t>Vysvětlivka</w:t>
      </w:r>
      <w:r w:rsidR="00F31777" w:rsidRPr="00610D2D">
        <w:rPr>
          <w:rFonts w:eastAsia="Times New Roman" w:cs="Calibri"/>
          <w:b/>
          <w:sz w:val="20"/>
          <w:szCs w:val="20"/>
        </w:rPr>
        <w:t>:</w:t>
      </w:r>
      <w:r w:rsidR="00F31777" w:rsidRPr="00F31777">
        <w:rPr>
          <w:rFonts w:eastAsia="Times New Roman" w:cs="Calibri"/>
          <w:sz w:val="20"/>
          <w:szCs w:val="20"/>
        </w:rPr>
        <w:t xml:space="preserve"> * Bez projektů nedokončených – ukončených příjemcem.</w:t>
      </w:r>
    </w:p>
    <w:p w14:paraId="21A43148" w14:textId="77777777" w:rsidR="00F31777" w:rsidRPr="00F31777" w:rsidRDefault="00F31777" w:rsidP="002F5E7B">
      <w:pPr>
        <w:keepNext/>
        <w:tabs>
          <w:tab w:val="right" w:pos="9072"/>
        </w:tabs>
        <w:spacing w:before="120" w:after="40" w:line="240" w:lineRule="auto"/>
        <w:jc w:val="both"/>
        <w:rPr>
          <w:rFonts w:ascii="Calibri" w:hAnsi="Calibri" w:cs="Calibri"/>
          <w:b/>
          <w:color w:val="000000" w:themeColor="text1"/>
          <w:sz w:val="24"/>
          <w:szCs w:val="24"/>
        </w:rPr>
      </w:pPr>
      <w:r w:rsidRPr="00F31777">
        <w:rPr>
          <w:rFonts w:ascii="Calibri" w:hAnsi="Calibri" w:cs="Calibri"/>
          <w:b/>
          <w:color w:val="000000" w:themeColor="text1"/>
          <w:sz w:val="24"/>
          <w:szCs w:val="24"/>
        </w:rPr>
        <w:t>Výzvy OPZ</w:t>
      </w:r>
      <w:r w:rsidR="00292790">
        <w:rPr>
          <w:rFonts w:ascii="Calibri" w:hAnsi="Calibri" w:cs="Calibri"/>
          <w:b/>
          <w:color w:val="000000" w:themeColor="text1"/>
          <w:sz w:val="24"/>
          <w:szCs w:val="24"/>
        </w:rPr>
        <w:t xml:space="preserve"> na podporu</w:t>
      </w:r>
      <w:r w:rsidRPr="00F31777">
        <w:rPr>
          <w:rFonts w:ascii="Calibri" w:hAnsi="Calibri" w:cs="Calibri"/>
          <w:b/>
          <w:color w:val="000000" w:themeColor="text1"/>
          <w:sz w:val="24"/>
          <w:szCs w:val="24"/>
        </w:rPr>
        <w:t xml:space="preserve"> sociálního podnikání</w:t>
      </w:r>
      <w:r w:rsidRPr="00F31777">
        <w:rPr>
          <w:rFonts w:ascii="Calibri" w:hAnsi="Calibri" w:cs="Calibri"/>
          <w:b/>
          <w:color w:val="000000" w:themeColor="text1"/>
          <w:sz w:val="24"/>
          <w:szCs w:val="24"/>
        </w:rPr>
        <w:tab/>
        <w:t>(v Kč)</w:t>
      </w:r>
    </w:p>
    <w:tbl>
      <w:tblPr>
        <w:tblW w:w="9174"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auto"/>
        </w:tblBorders>
        <w:tblCellMar>
          <w:left w:w="70" w:type="dxa"/>
          <w:right w:w="70" w:type="dxa"/>
        </w:tblCellMar>
        <w:tblLook w:val="04A0" w:firstRow="1" w:lastRow="0" w:firstColumn="1" w:lastColumn="0" w:noHBand="0" w:noVBand="1"/>
      </w:tblPr>
      <w:tblGrid>
        <w:gridCol w:w="737"/>
        <w:gridCol w:w="3175"/>
        <w:gridCol w:w="1134"/>
        <w:gridCol w:w="1430"/>
        <w:gridCol w:w="1361"/>
        <w:gridCol w:w="1337"/>
      </w:tblGrid>
      <w:tr w:rsidR="009632D0" w:rsidRPr="00F34833" w14:paraId="4A105839" w14:textId="77777777" w:rsidTr="009632D0">
        <w:trPr>
          <w:trHeight w:val="255"/>
        </w:trPr>
        <w:tc>
          <w:tcPr>
            <w:tcW w:w="737" w:type="dxa"/>
            <w:shd w:val="clear" w:color="000000" w:fill="E5F1FF"/>
            <w:vAlign w:val="center"/>
            <w:hideMark/>
          </w:tcPr>
          <w:p w14:paraId="3303537A" w14:textId="77777777" w:rsidR="00F31777" w:rsidRPr="00F34833" w:rsidRDefault="00293D77" w:rsidP="00621CB3">
            <w:pPr>
              <w:spacing w:after="0" w:line="240" w:lineRule="auto"/>
              <w:jc w:val="center"/>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V</w:t>
            </w:r>
            <w:r w:rsidR="00F31777" w:rsidRPr="00F34833">
              <w:rPr>
                <w:rFonts w:ascii="Calibri" w:hAnsi="Calibri" w:cs="Calibri"/>
                <w:b/>
                <w:bCs/>
                <w:color w:val="000000"/>
                <w:sz w:val="19"/>
                <w:szCs w:val="19"/>
                <w:lang w:eastAsia="cs-CZ"/>
              </w:rPr>
              <w:t>ýzv</w:t>
            </w:r>
            <w:r w:rsidRPr="00F34833">
              <w:rPr>
                <w:rFonts w:ascii="Calibri" w:hAnsi="Calibri" w:cs="Calibri"/>
                <w:b/>
                <w:bCs/>
                <w:color w:val="000000"/>
                <w:sz w:val="19"/>
                <w:szCs w:val="19"/>
                <w:lang w:eastAsia="cs-CZ"/>
              </w:rPr>
              <w:t>a</w:t>
            </w:r>
            <w:r w:rsidR="00F31777" w:rsidRPr="00F34833">
              <w:rPr>
                <w:rFonts w:ascii="Calibri" w:hAnsi="Calibri" w:cs="Calibri"/>
                <w:b/>
                <w:bCs/>
                <w:color w:val="000000"/>
                <w:sz w:val="19"/>
                <w:szCs w:val="19"/>
                <w:vertAlign w:val="superscript"/>
                <w:lang w:eastAsia="cs-CZ"/>
              </w:rPr>
              <w:footnoteReference w:id="38"/>
            </w:r>
          </w:p>
        </w:tc>
        <w:tc>
          <w:tcPr>
            <w:tcW w:w="3175" w:type="dxa"/>
            <w:shd w:val="clear" w:color="000000" w:fill="E5F1FF"/>
            <w:vAlign w:val="center"/>
            <w:hideMark/>
          </w:tcPr>
          <w:p w14:paraId="21A62B44" w14:textId="77777777" w:rsidR="00F31777" w:rsidRPr="00F34833" w:rsidRDefault="00F31777" w:rsidP="00621CB3">
            <w:pPr>
              <w:spacing w:after="0" w:line="240" w:lineRule="auto"/>
              <w:jc w:val="center"/>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Název výzvy</w:t>
            </w:r>
          </w:p>
        </w:tc>
        <w:tc>
          <w:tcPr>
            <w:tcW w:w="1134" w:type="dxa"/>
            <w:shd w:val="clear" w:color="000000" w:fill="E5F1FF"/>
            <w:vAlign w:val="center"/>
            <w:hideMark/>
          </w:tcPr>
          <w:p w14:paraId="7ED68F2A" w14:textId="77777777" w:rsidR="00F31777" w:rsidRPr="00F34833" w:rsidRDefault="00F31777" w:rsidP="009632D0">
            <w:pPr>
              <w:spacing w:after="0" w:line="240" w:lineRule="auto"/>
              <w:ind w:left="-57" w:right="-57"/>
              <w:jc w:val="center"/>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Datum vyhlášení výzvy</w:t>
            </w:r>
          </w:p>
        </w:tc>
        <w:tc>
          <w:tcPr>
            <w:tcW w:w="1430" w:type="dxa"/>
            <w:shd w:val="clear" w:color="000000" w:fill="E5F1FF"/>
            <w:vAlign w:val="center"/>
            <w:hideMark/>
          </w:tcPr>
          <w:p w14:paraId="083F38B2" w14:textId="77777777" w:rsidR="00F31777" w:rsidRPr="00F34833" w:rsidRDefault="00F31777" w:rsidP="00621CB3">
            <w:pPr>
              <w:spacing w:after="0" w:line="240" w:lineRule="auto"/>
              <w:jc w:val="center"/>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Finanční alokace výzvy</w:t>
            </w:r>
          </w:p>
        </w:tc>
        <w:tc>
          <w:tcPr>
            <w:tcW w:w="1361" w:type="dxa"/>
            <w:shd w:val="clear" w:color="000000" w:fill="E5F1FF"/>
            <w:vAlign w:val="center"/>
            <w:hideMark/>
          </w:tcPr>
          <w:p w14:paraId="7C6EB0A5" w14:textId="77777777" w:rsidR="00F31777" w:rsidRPr="00F34833" w:rsidRDefault="00F31777" w:rsidP="00621CB3">
            <w:pPr>
              <w:spacing w:after="0" w:line="240" w:lineRule="auto"/>
              <w:jc w:val="center"/>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 xml:space="preserve">Vydaná </w:t>
            </w:r>
            <w:r w:rsidR="00E31500">
              <w:rPr>
                <w:rFonts w:ascii="Calibri" w:hAnsi="Calibri" w:cs="Calibri"/>
                <w:b/>
                <w:bCs/>
                <w:color w:val="000000"/>
                <w:sz w:val="19"/>
                <w:szCs w:val="19"/>
                <w:lang w:eastAsia="cs-CZ"/>
              </w:rPr>
              <w:t>r</w:t>
            </w:r>
            <w:r w:rsidRPr="00F34833">
              <w:rPr>
                <w:rFonts w:ascii="Calibri" w:hAnsi="Calibri" w:cs="Calibri"/>
                <w:b/>
                <w:bCs/>
                <w:color w:val="000000"/>
                <w:sz w:val="19"/>
                <w:szCs w:val="19"/>
                <w:lang w:eastAsia="cs-CZ"/>
              </w:rPr>
              <w:t>ozhodnutí o</w:t>
            </w:r>
            <w:r w:rsidR="00FF0245" w:rsidRPr="00F34833">
              <w:rPr>
                <w:rFonts w:ascii="Calibri" w:hAnsi="Calibri" w:cs="Calibri"/>
                <w:b/>
                <w:bCs/>
                <w:color w:val="000000"/>
                <w:sz w:val="19"/>
                <w:szCs w:val="19"/>
                <w:lang w:eastAsia="cs-CZ"/>
              </w:rPr>
              <w:t> </w:t>
            </w:r>
            <w:r w:rsidRPr="00F34833">
              <w:rPr>
                <w:rFonts w:ascii="Calibri" w:hAnsi="Calibri" w:cs="Calibri"/>
                <w:b/>
                <w:bCs/>
                <w:color w:val="000000"/>
                <w:sz w:val="19"/>
                <w:szCs w:val="19"/>
                <w:lang w:eastAsia="cs-CZ"/>
              </w:rPr>
              <w:t>poskytnutí dotace*</w:t>
            </w:r>
          </w:p>
        </w:tc>
        <w:tc>
          <w:tcPr>
            <w:tcW w:w="1337" w:type="dxa"/>
            <w:shd w:val="clear" w:color="000000" w:fill="E5F1FF"/>
            <w:vAlign w:val="center"/>
            <w:hideMark/>
          </w:tcPr>
          <w:p w14:paraId="3D7B9BAF" w14:textId="77777777" w:rsidR="00F31777" w:rsidRPr="00F34833" w:rsidRDefault="00F31777" w:rsidP="00621CB3">
            <w:pPr>
              <w:spacing w:after="0" w:line="240" w:lineRule="auto"/>
              <w:jc w:val="center"/>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Celkové způsobilé výdaje</w:t>
            </w:r>
          </w:p>
        </w:tc>
      </w:tr>
      <w:tr w:rsidR="009632D0" w:rsidRPr="00F34833" w14:paraId="54404021" w14:textId="77777777" w:rsidTr="009632D0">
        <w:trPr>
          <w:trHeight w:val="255"/>
        </w:trPr>
        <w:tc>
          <w:tcPr>
            <w:tcW w:w="737" w:type="dxa"/>
            <w:shd w:val="clear" w:color="auto" w:fill="auto"/>
            <w:vAlign w:val="center"/>
            <w:hideMark/>
          </w:tcPr>
          <w:p w14:paraId="70155FC4" w14:textId="77777777" w:rsidR="00F31777" w:rsidRPr="00F34833" w:rsidRDefault="00F31777" w:rsidP="00621CB3">
            <w:pPr>
              <w:spacing w:after="0" w:line="240" w:lineRule="auto"/>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15</w:t>
            </w:r>
          </w:p>
        </w:tc>
        <w:tc>
          <w:tcPr>
            <w:tcW w:w="3175" w:type="dxa"/>
            <w:shd w:val="clear" w:color="auto" w:fill="auto"/>
            <w:vAlign w:val="center"/>
            <w:hideMark/>
          </w:tcPr>
          <w:p w14:paraId="7F07D2F7" w14:textId="77777777" w:rsidR="00F31777" w:rsidRPr="00F34833" w:rsidRDefault="00F31777" w:rsidP="00621CB3">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Podpora sociálního podnikání</w:t>
            </w:r>
          </w:p>
        </w:tc>
        <w:tc>
          <w:tcPr>
            <w:tcW w:w="1134" w:type="dxa"/>
            <w:shd w:val="clear" w:color="auto" w:fill="auto"/>
            <w:vAlign w:val="center"/>
            <w:hideMark/>
          </w:tcPr>
          <w:p w14:paraId="6A355C2B" w14:textId="77777777" w:rsidR="00F31777" w:rsidRPr="00F34833" w:rsidRDefault="00F31777" w:rsidP="009632D0">
            <w:pPr>
              <w:spacing w:after="0" w:line="240" w:lineRule="auto"/>
              <w:ind w:left="-57" w:right="-57"/>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17. 8. 2015</w:t>
            </w:r>
          </w:p>
        </w:tc>
        <w:tc>
          <w:tcPr>
            <w:tcW w:w="1430" w:type="dxa"/>
            <w:shd w:val="clear" w:color="auto" w:fill="auto"/>
            <w:vAlign w:val="center"/>
            <w:hideMark/>
          </w:tcPr>
          <w:p w14:paraId="1C1DC300" w14:textId="77777777" w:rsidR="00F31777" w:rsidRPr="00F34833" w:rsidRDefault="00F31777" w:rsidP="009632D0">
            <w:pPr>
              <w:spacing w:after="0" w:line="240" w:lineRule="auto"/>
              <w:ind w:left="-57"/>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100 000 000,00</w:t>
            </w:r>
          </w:p>
        </w:tc>
        <w:tc>
          <w:tcPr>
            <w:tcW w:w="1361" w:type="dxa"/>
            <w:shd w:val="clear" w:color="auto" w:fill="auto"/>
            <w:vAlign w:val="center"/>
            <w:hideMark/>
          </w:tcPr>
          <w:p w14:paraId="3CCEA7A0"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69 170 912,75</w:t>
            </w:r>
          </w:p>
        </w:tc>
        <w:tc>
          <w:tcPr>
            <w:tcW w:w="1337" w:type="dxa"/>
            <w:shd w:val="clear" w:color="auto" w:fill="auto"/>
            <w:vAlign w:val="center"/>
            <w:hideMark/>
          </w:tcPr>
          <w:p w14:paraId="5F0169AF"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66 257 518,91</w:t>
            </w:r>
          </w:p>
        </w:tc>
      </w:tr>
      <w:tr w:rsidR="009632D0" w:rsidRPr="00F34833" w14:paraId="687ED146" w14:textId="77777777" w:rsidTr="009632D0">
        <w:trPr>
          <w:trHeight w:val="255"/>
        </w:trPr>
        <w:tc>
          <w:tcPr>
            <w:tcW w:w="737" w:type="dxa"/>
            <w:shd w:val="clear" w:color="auto" w:fill="auto"/>
            <w:vAlign w:val="center"/>
            <w:hideMark/>
          </w:tcPr>
          <w:p w14:paraId="3FE91EDC" w14:textId="77777777" w:rsidR="00F31777" w:rsidRPr="00F34833" w:rsidRDefault="00F31777" w:rsidP="00621CB3">
            <w:pPr>
              <w:spacing w:after="0" w:line="240" w:lineRule="auto"/>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16</w:t>
            </w:r>
          </w:p>
        </w:tc>
        <w:tc>
          <w:tcPr>
            <w:tcW w:w="3175" w:type="dxa"/>
            <w:shd w:val="clear" w:color="auto" w:fill="auto"/>
            <w:vAlign w:val="center"/>
            <w:hideMark/>
          </w:tcPr>
          <w:p w14:paraId="6D51B4D6" w14:textId="77777777" w:rsidR="00F31777" w:rsidRPr="00F34833" w:rsidRDefault="00F31777" w:rsidP="00621CB3">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Výzva pro systémové projekty realizované MPSV – sociální podnikání</w:t>
            </w:r>
          </w:p>
        </w:tc>
        <w:tc>
          <w:tcPr>
            <w:tcW w:w="1134" w:type="dxa"/>
            <w:shd w:val="clear" w:color="auto" w:fill="auto"/>
            <w:vAlign w:val="center"/>
            <w:hideMark/>
          </w:tcPr>
          <w:p w14:paraId="72936A8D" w14:textId="77777777" w:rsidR="00F31777" w:rsidRPr="00F34833" w:rsidRDefault="00F31777" w:rsidP="009632D0">
            <w:pPr>
              <w:spacing w:after="0" w:line="240" w:lineRule="auto"/>
              <w:ind w:left="-57" w:right="-57"/>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27. 8. 2015</w:t>
            </w:r>
          </w:p>
        </w:tc>
        <w:tc>
          <w:tcPr>
            <w:tcW w:w="1430" w:type="dxa"/>
            <w:shd w:val="clear" w:color="auto" w:fill="auto"/>
            <w:vAlign w:val="center"/>
            <w:hideMark/>
          </w:tcPr>
          <w:p w14:paraId="1C6BAA52" w14:textId="77777777" w:rsidR="00F31777" w:rsidRPr="00F34833" w:rsidRDefault="00F31777" w:rsidP="009632D0">
            <w:pPr>
              <w:spacing w:after="0" w:line="240" w:lineRule="auto"/>
              <w:ind w:left="-57"/>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25 000 000,00</w:t>
            </w:r>
          </w:p>
        </w:tc>
        <w:tc>
          <w:tcPr>
            <w:tcW w:w="1361" w:type="dxa"/>
            <w:shd w:val="clear" w:color="auto" w:fill="auto"/>
            <w:vAlign w:val="center"/>
            <w:hideMark/>
          </w:tcPr>
          <w:p w14:paraId="6971D272"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25 337 053,20</w:t>
            </w:r>
          </w:p>
        </w:tc>
        <w:tc>
          <w:tcPr>
            <w:tcW w:w="1337" w:type="dxa"/>
            <w:shd w:val="clear" w:color="auto" w:fill="auto"/>
            <w:vAlign w:val="center"/>
            <w:hideMark/>
          </w:tcPr>
          <w:p w14:paraId="4EA34444"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16 650 701,06</w:t>
            </w:r>
          </w:p>
        </w:tc>
      </w:tr>
      <w:tr w:rsidR="009632D0" w:rsidRPr="00F34833" w14:paraId="5EF19295" w14:textId="77777777" w:rsidTr="009632D0">
        <w:trPr>
          <w:trHeight w:val="255"/>
        </w:trPr>
        <w:tc>
          <w:tcPr>
            <w:tcW w:w="737" w:type="dxa"/>
            <w:shd w:val="clear" w:color="auto" w:fill="auto"/>
            <w:vAlign w:val="center"/>
            <w:hideMark/>
          </w:tcPr>
          <w:p w14:paraId="642F4BD6" w14:textId="77777777" w:rsidR="00F31777" w:rsidRPr="00F34833" w:rsidRDefault="00F31777" w:rsidP="00621CB3">
            <w:pPr>
              <w:spacing w:after="0" w:line="240" w:lineRule="auto"/>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26</w:t>
            </w:r>
          </w:p>
        </w:tc>
        <w:tc>
          <w:tcPr>
            <w:tcW w:w="3175" w:type="dxa"/>
            <w:shd w:val="clear" w:color="auto" w:fill="auto"/>
            <w:vAlign w:val="center"/>
            <w:hideMark/>
          </w:tcPr>
          <w:p w14:paraId="057D2FAE" w14:textId="77777777" w:rsidR="00F31777" w:rsidRPr="00F34833" w:rsidRDefault="00F31777" w:rsidP="00621CB3">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Koordinovaný přístup k sociálně vyloučeným lokalitám (KPSVL) 1. výzva</w:t>
            </w:r>
          </w:p>
        </w:tc>
        <w:tc>
          <w:tcPr>
            <w:tcW w:w="1134" w:type="dxa"/>
            <w:shd w:val="clear" w:color="auto" w:fill="auto"/>
            <w:vAlign w:val="center"/>
            <w:hideMark/>
          </w:tcPr>
          <w:p w14:paraId="2E9ADF02" w14:textId="77777777" w:rsidR="00F31777" w:rsidRPr="00F34833" w:rsidRDefault="00F31777" w:rsidP="009632D0">
            <w:pPr>
              <w:spacing w:after="0" w:line="240" w:lineRule="auto"/>
              <w:ind w:left="-57" w:right="-57"/>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23. 9. 2015</w:t>
            </w:r>
          </w:p>
        </w:tc>
        <w:tc>
          <w:tcPr>
            <w:tcW w:w="1430" w:type="dxa"/>
            <w:shd w:val="clear" w:color="auto" w:fill="auto"/>
            <w:vAlign w:val="center"/>
            <w:hideMark/>
          </w:tcPr>
          <w:p w14:paraId="066A1D6E" w14:textId="77777777" w:rsidR="00F31777" w:rsidRPr="00F34833" w:rsidRDefault="00F31777" w:rsidP="009632D0">
            <w:pPr>
              <w:spacing w:after="0" w:line="240" w:lineRule="auto"/>
              <w:ind w:left="-57"/>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609 972 200,00</w:t>
            </w:r>
          </w:p>
        </w:tc>
        <w:tc>
          <w:tcPr>
            <w:tcW w:w="1361" w:type="dxa"/>
            <w:shd w:val="clear" w:color="auto" w:fill="auto"/>
            <w:vAlign w:val="center"/>
            <w:hideMark/>
          </w:tcPr>
          <w:p w14:paraId="2FF7C64D"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8 744 361,25</w:t>
            </w:r>
          </w:p>
        </w:tc>
        <w:tc>
          <w:tcPr>
            <w:tcW w:w="1337" w:type="dxa"/>
            <w:shd w:val="clear" w:color="auto" w:fill="auto"/>
            <w:vAlign w:val="center"/>
            <w:hideMark/>
          </w:tcPr>
          <w:p w14:paraId="4F7F3A6F"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8 627 391,22</w:t>
            </w:r>
          </w:p>
        </w:tc>
      </w:tr>
      <w:tr w:rsidR="009632D0" w:rsidRPr="00F34833" w14:paraId="4A3CA750" w14:textId="77777777" w:rsidTr="009632D0">
        <w:trPr>
          <w:trHeight w:val="255"/>
        </w:trPr>
        <w:tc>
          <w:tcPr>
            <w:tcW w:w="737" w:type="dxa"/>
            <w:shd w:val="clear" w:color="auto" w:fill="auto"/>
            <w:vAlign w:val="center"/>
            <w:hideMark/>
          </w:tcPr>
          <w:p w14:paraId="74914B4C" w14:textId="77777777" w:rsidR="00F31777" w:rsidRPr="00F34833" w:rsidRDefault="00F31777" w:rsidP="00621CB3">
            <w:pPr>
              <w:spacing w:after="0" w:line="240" w:lineRule="auto"/>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47</w:t>
            </w:r>
          </w:p>
        </w:tc>
        <w:tc>
          <w:tcPr>
            <w:tcW w:w="3175" w:type="dxa"/>
            <w:shd w:val="clear" w:color="auto" w:fill="auto"/>
            <w:vAlign w:val="center"/>
            <w:hideMark/>
          </w:tcPr>
          <w:p w14:paraId="05029567" w14:textId="77777777" w:rsidR="00F31777" w:rsidRPr="00F34833" w:rsidRDefault="00F31777" w:rsidP="00621CB3">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Výzva pro MAS na podporu strategií komunitně vedeného místního rozvoje</w:t>
            </w:r>
          </w:p>
        </w:tc>
        <w:tc>
          <w:tcPr>
            <w:tcW w:w="1134" w:type="dxa"/>
            <w:shd w:val="clear" w:color="auto" w:fill="auto"/>
            <w:vAlign w:val="center"/>
            <w:hideMark/>
          </w:tcPr>
          <w:p w14:paraId="4F2A4E62" w14:textId="77777777" w:rsidR="00F31777" w:rsidRPr="00F34833" w:rsidRDefault="00F31777" w:rsidP="009632D0">
            <w:pPr>
              <w:spacing w:after="0" w:line="240" w:lineRule="auto"/>
              <w:ind w:left="-57" w:right="-57"/>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29. 4. 2016</w:t>
            </w:r>
          </w:p>
        </w:tc>
        <w:tc>
          <w:tcPr>
            <w:tcW w:w="1430" w:type="dxa"/>
            <w:shd w:val="clear" w:color="auto" w:fill="auto"/>
            <w:vAlign w:val="center"/>
            <w:hideMark/>
          </w:tcPr>
          <w:p w14:paraId="250DE7C2" w14:textId="77777777" w:rsidR="00F31777" w:rsidRPr="00F34833" w:rsidRDefault="00F31777" w:rsidP="009632D0">
            <w:pPr>
              <w:spacing w:after="0" w:line="240" w:lineRule="auto"/>
              <w:ind w:left="-57"/>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2 030 000 000,00</w:t>
            </w:r>
          </w:p>
        </w:tc>
        <w:tc>
          <w:tcPr>
            <w:tcW w:w="1361" w:type="dxa"/>
            <w:shd w:val="clear" w:color="auto" w:fill="auto"/>
            <w:vAlign w:val="center"/>
            <w:hideMark/>
          </w:tcPr>
          <w:p w14:paraId="2180D55F"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140 170 881,01</w:t>
            </w:r>
          </w:p>
        </w:tc>
        <w:tc>
          <w:tcPr>
            <w:tcW w:w="1337" w:type="dxa"/>
            <w:shd w:val="clear" w:color="auto" w:fill="auto"/>
            <w:vAlign w:val="center"/>
            <w:hideMark/>
          </w:tcPr>
          <w:p w14:paraId="66865375"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104 011 763,00</w:t>
            </w:r>
          </w:p>
        </w:tc>
      </w:tr>
      <w:tr w:rsidR="009632D0" w:rsidRPr="00F34833" w14:paraId="2BC7CADE" w14:textId="77777777" w:rsidTr="009632D0">
        <w:trPr>
          <w:trHeight w:val="255"/>
        </w:trPr>
        <w:tc>
          <w:tcPr>
            <w:tcW w:w="737" w:type="dxa"/>
            <w:shd w:val="clear" w:color="auto" w:fill="auto"/>
            <w:vAlign w:val="center"/>
            <w:hideMark/>
          </w:tcPr>
          <w:p w14:paraId="13EB92EA" w14:textId="77777777" w:rsidR="00F31777" w:rsidRPr="00F34833" w:rsidRDefault="00F31777" w:rsidP="00621CB3">
            <w:pPr>
              <w:spacing w:after="0" w:line="240" w:lineRule="auto"/>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67</w:t>
            </w:r>
          </w:p>
        </w:tc>
        <w:tc>
          <w:tcPr>
            <w:tcW w:w="3175" w:type="dxa"/>
            <w:shd w:val="clear" w:color="auto" w:fill="auto"/>
            <w:vAlign w:val="center"/>
            <w:hideMark/>
          </w:tcPr>
          <w:p w14:paraId="4F6FCF3B" w14:textId="77777777" w:rsidR="00F31777" w:rsidRPr="00F34833" w:rsidRDefault="00F31777" w:rsidP="00621CB3">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Podpora sociálního podnikání</w:t>
            </w:r>
          </w:p>
        </w:tc>
        <w:tc>
          <w:tcPr>
            <w:tcW w:w="1134" w:type="dxa"/>
            <w:shd w:val="clear" w:color="auto" w:fill="auto"/>
            <w:vAlign w:val="center"/>
            <w:hideMark/>
          </w:tcPr>
          <w:p w14:paraId="0F6DFB6E" w14:textId="77777777" w:rsidR="00F31777" w:rsidRPr="00F34833" w:rsidRDefault="00F31777" w:rsidP="009632D0">
            <w:pPr>
              <w:spacing w:after="0" w:line="240" w:lineRule="auto"/>
              <w:ind w:left="-57" w:right="-57"/>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31. 5. 2016</w:t>
            </w:r>
          </w:p>
        </w:tc>
        <w:tc>
          <w:tcPr>
            <w:tcW w:w="1430" w:type="dxa"/>
            <w:shd w:val="clear" w:color="auto" w:fill="auto"/>
            <w:vAlign w:val="center"/>
            <w:hideMark/>
          </w:tcPr>
          <w:p w14:paraId="09535B25" w14:textId="77777777" w:rsidR="00F31777" w:rsidRPr="00F34833" w:rsidRDefault="00F31777" w:rsidP="009632D0">
            <w:pPr>
              <w:spacing w:after="0" w:line="240" w:lineRule="auto"/>
              <w:ind w:left="-57"/>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100 000 000,00</w:t>
            </w:r>
          </w:p>
        </w:tc>
        <w:tc>
          <w:tcPr>
            <w:tcW w:w="1361" w:type="dxa"/>
            <w:shd w:val="clear" w:color="auto" w:fill="auto"/>
            <w:vAlign w:val="center"/>
            <w:hideMark/>
          </w:tcPr>
          <w:p w14:paraId="5DDC460C"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70 255 448,75</w:t>
            </w:r>
          </w:p>
        </w:tc>
        <w:tc>
          <w:tcPr>
            <w:tcW w:w="1337" w:type="dxa"/>
            <w:shd w:val="clear" w:color="auto" w:fill="auto"/>
            <w:vAlign w:val="center"/>
            <w:hideMark/>
          </w:tcPr>
          <w:p w14:paraId="66782F9F"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63 183 421,86</w:t>
            </w:r>
          </w:p>
        </w:tc>
      </w:tr>
      <w:tr w:rsidR="009632D0" w:rsidRPr="00F34833" w14:paraId="38260A81" w14:textId="77777777" w:rsidTr="009632D0">
        <w:trPr>
          <w:trHeight w:val="255"/>
        </w:trPr>
        <w:tc>
          <w:tcPr>
            <w:tcW w:w="737" w:type="dxa"/>
            <w:shd w:val="clear" w:color="auto" w:fill="auto"/>
            <w:vAlign w:val="center"/>
            <w:hideMark/>
          </w:tcPr>
          <w:p w14:paraId="2ABE73E7" w14:textId="77777777" w:rsidR="00F31777" w:rsidRPr="00F34833" w:rsidRDefault="00F31777" w:rsidP="00621CB3">
            <w:pPr>
              <w:spacing w:after="0" w:line="240" w:lineRule="auto"/>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129</w:t>
            </w:r>
          </w:p>
        </w:tc>
        <w:tc>
          <w:tcPr>
            <w:tcW w:w="3175" w:type="dxa"/>
            <w:shd w:val="clear" w:color="auto" w:fill="auto"/>
            <w:vAlign w:val="center"/>
            <w:hideMark/>
          </w:tcPr>
          <w:p w14:paraId="677122CF" w14:textId="77777777" w:rsidR="00F31777" w:rsidRPr="00F34833" w:rsidRDefault="00F31777" w:rsidP="00621CB3">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Podpora sociálního podnikání</w:t>
            </w:r>
          </w:p>
        </w:tc>
        <w:tc>
          <w:tcPr>
            <w:tcW w:w="1134" w:type="dxa"/>
            <w:shd w:val="clear" w:color="auto" w:fill="auto"/>
            <w:vAlign w:val="center"/>
            <w:hideMark/>
          </w:tcPr>
          <w:p w14:paraId="7A513A62" w14:textId="77777777" w:rsidR="00F31777" w:rsidRPr="00F34833" w:rsidRDefault="00F31777" w:rsidP="009632D0">
            <w:pPr>
              <w:spacing w:after="0" w:line="240" w:lineRule="auto"/>
              <w:ind w:left="-57" w:right="-57"/>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30. 6. 2017</w:t>
            </w:r>
          </w:p>
        </w:tc>
        <w:tc>
          <w:tcPr>
            <w:tcW w:w="1430" w:type="dxa"/>
            <w:shd w:val="clear" w:color="auto" w:fill="auto"/>
            <w:vAlign w:val="center"/>
            <w:hideMark/>
          </w:tcPr>
          <w:p w14:paraId="1939C3FB" w14:textId="77777777" w:rsidR="00F31777" w:rsidRPr="00F34833" w:rsidRDefault="00F31777" w:rsidP="009632D0">
            <w:pPr>
              <w:spacing w:after="0" w:line="240" w:lineRule="auto"/>
              <w:ind w:left="-57"/>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315 000 000,00</w:t>
            </w:r>
          </w:p>
        </w:tc>
        <w:tc>
          <w:tcPr>
            <w:tcW w:w="1361" w:type="dxa"/>
            <w:shd w:val="clear" w:color="auto" w:fill="auto"/>
            <w:vAlign w:val="center"/>
            <w:hideMark/>
          </w:tcPr>
          <w:p w14:paraId="582029C2"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264 532 855,60</w:t>
            </w:r>
          </w:p>
        </w:tc>
        <w:tc>
          <w:tcPr>
            <w:tcW w:w="1337" w:type="dxa"/>
            <w:shd w:val="clear" w:color="auto" w:fill="auto"/>
            <w:vAlign w:val="center"/>
            <w:hideMark/>
          </w:tcPr>
          <w:p w14:paraId="64EECC71"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208 670 681,00</w:t>
            </w:r>
          </w:p>
        </w:tc>
      </w:tr>
      <w:tr w:rsidR="009632D0" w:rsidRPr="00F34833" w14:paraId="4D6B6782" w14:textId="77777777" w:rsidTr="009632D0">
        <w:trPr>
          <w:trHeight w:val="255"/>
        </w:trPr>
        <w:tc>
          <w:tcPr>
            <w:tcW w:w="737" w:type="dxa"/>
            <w:shd w:val="clear" w:color="auto" w:fill="auto"/>
            <w:vAlign w:val="center"/>
            <w:hideMark/>
          </w:tcPr>
          <w:p w14:paraId="266DCF95" w14:textId="77777777" w:rsidR="00F31777" w:rsidRPr="00F34833" w:rsidRDefault="00F31777" w:rsidP="00621CB3">
            <w:pPr>
              <w:spacing w:after="0" w:line="240" w:lineRule="auto"/>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105</w:t>
            </w:r>
          </w:p>
        </w:tc>
        <w:tc>
          <w:tcPr>
            <w:tcW w:w="3175" w:type="dxa"/>
            <w:shd w:val="clear" w:color="auto" w:fill="auto"/>
            <w:vAlign w:val="center"/>
            <w:hideMark/>
          </w:tcPr>
          <w:p w14:paraId="5DC13D00" w14:textId="77777777" w:rsidR="00F31777" w:rsidRPr="00F34833" w:rsidRDefault="00F31777" w:rsidP="00621CB3">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Podpora sociálního podnikání v</w:t>
            </w:r>
            <w:r w:rsidR="002F5E7B" w:rsidRPr="00F34833">
              <w:rPr>
                <w:rFonts w:ascii="Calibri" w:hAnsi="Calibri" w:cs="Calibri"/>
                <w:color w:val="000000"/>
                <w:sz w:val="19"/>
                <w:szCs w:val="19"/>
                <w:lang w:eastAsia="cs-CZ"/>
              </w:rPr>
              <w:t> </w:t>
            </w:r>
            <w:r w:rsidRPr="00F34833">
              <w:rPr>
                <w:rFonts w:ascii="Calibri" w:hAnsi="Calibri" w:cs="Calibri"/>
                <w:color w:val="000000"/>
                <w:sz w:val="19"/>
                <w:szCs w:val="19"/>
                <w:lang w:eastAsia="cs-CZ"/>
              </w:rPr>
              <w:t>Praze</w:t>
            </w:r>
          </w:p>
        </w:tc>
        <w:tc>
          <w:tcPr>
            <w:tcW w:w="1134" w:type="dxa"/>
            <w:shd w:val="clear" w:color="auto" w:fill="auto"/>
            <w:vAlign w:val="center"/>
            <w:hideMark/>
          </w:tcPr>
          <w:p w14:paraId="594E19D7" w14:textId="77777777" w:rsidR="00F31777" w:rsidRPr="00F34833" w:rsidRDefault="00F31777" w:rsidP="009632D0">
            <w:pPr>
              <w:spacing w:after="0" w:line="240" w:lineRule="auto"/>
              <w:ind w:left="-57" w:right="-57"/>
              <w:jc w:val="center"/>
              <w:rPr>
                <w:rFonts w:ascii="Calibri" w:hAnsi="Calibri" w:cs="Calibri"/>
                <w:color w:val="000000"/>
                <w:sz w:val="19"/>
                <w:szCs w:val="19"/>
                <w:lang w:eastAsia="cs-CZ"/>
              </w:rPr>
            </w:pPr>
            <w:r w:rsidRPr="00F34833">
              <w:rPr>
                <w:rFonts w:ascii="Calibri" w:hAnsi="Calibri" w:cs="Calibri"/>
                <w:color w:val="000000"/>
                <w:sz w:val="19"/>
                <w:szCs w:val="19"/>
                <w:lang w:eastAsia="cs-CZ"/>
              </w:rPr>
              <w:t>1. 4. 2019</w:t>
            </w:r>
          </w:p>
        </w:tc>
        <w:tc>
          <w:tcPr>
            <w:tcW w:w="1430" w:type="dxa"/>
            <w:shd w:val="clear" w:color="auto" w:fill="auto"/>
            <w:vAlign w:val="center"/>
            <w:hideMark/>
          </w:tcPr>
          <w:p w14:paraId="24423C14" w14:textId="77777777" w:rsidR="00F31777" w:rsidRPr="00F34833" w:rsidRDefault="00F31777" w:rsidP="009632D0">
            <w:pPr>
              <w:spacing w:after="0" w:line="240" w:lineRule="auto"/>
              <w:ind w:left="-57"/>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50 000 000,00</w:t>
            </w:r>
          </w:p>
        </w:tc>
        <w:tc>
          <w:tcPr>
            <w:tcW w:w="1361" w:type="dxa"/>
            <w:shd w:val="clear" w:color="auto" w:fill="auto"/>
            <w:vAlign w:val="center"/>
            <w:hideMark/>
          </w:tcPr>
          <w:p w14:paraId="1C077F1E"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7 568 736,25</w:t>
            </w:r>
          </w:p>
        </w:tc>
        <w:tc>
          <w:tcPr>
            <w:tcW w:w="1337" w:type="dxa"/>
            <w:shd w:val="clear" w:color="auto" w:fill="auto"/>
            <w:vAlign w:val="center"/>
            <w:hideMark/>
          </w:tcPr>
          <w:p w14:paraId="66A4700C" w14:textId="77777777" w:rsidR="00F31777" w:rsidRPr="00F34833" w:rsidRDefault="00F31777" w:rsidP="00621CB3">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3 776 746,32</w:t>
            </w:r>
          </w:p>
        </w:tc>
      </w:tr>
      <w:tr w:rsidR="009632D0" w:rsidRPr="00F34833" w14:paraId="27A68993" w14:textId="77777777" w:rsidTr="009632D0">
        <w:trPr>
          <w:trHeight w:val="255"/>
        </w:trPr>
        <w:tc>
          <w:tcPr>
            <w:tcW w:w="6476" w:type="dxa"/>
            <w:gridSpan w:val="4"/>
            <w:shd w:val="clear" w:color="auto" w:fill="auto"/>
            <w:vAlign w:val="center"/>
          </w:tcPr>
          <w:p w14:paraId="2C6EB654" w14:textId="77777777" w:rsidR="009632D0" w:rsidRPr="00F34833" w:rsidRDefault="009632D0" w:rsidP="009632D0">
            <w:pPr>
              <w:spacing w:after="0" w:line="240" w:lineRule="auto"/>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Celkem</w:t>
            </w:r>
          </w:p>
        </w:tc>
        <w:tc>
          <w:tcPr>
            <w:tcW w:w="1361" w:type="dxa"/>
            <w:shd w:val="clear" w:color="auto" w:fill="auto"/>
            <w:vAlign w:val="center"/>
          </w:tcPr>
          <w:p w14:paraId="2E556EA9" w14:textId="77777777" w:rsidR="009632D0" w:rsidRPr="00F34833" w:rsidRDefault="009632D0" w:rsidP="009632D0">
            <w:pPr>
              <w:spacing w:after="0" w:line="240" w:lineRule="auto"/>
              <w:jc w:val="right"/>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585 780 248,81</w:t>
            </w:r>
          </w:p>
        </w:tc>
        <w:tc>
          <w:tcPr>
            <w:tcW w:w="1337" w:type="dxa"/>
            <w:shd w:val="clear" w:color="auto" w:fill="auto"/>
            <w:vAlign w:val="center"/>
          </w:tcPr>
          <w:p w14:paraId="1E832170" w14:textId="77777777" w:rsidR="009632D0" w:rsidRPr="00F34833" w:rsidRDefault="009632D0" w:rsidP="009632D0">
            <w:pPr>
              <w:spacing w:after="0" w:line="240" w:lineRule="auto"/>
              <w:jc w:val="right"/>
              <w:rPr>
                <w:rFonts w:ascii="Calibri" w:hAnsi="Calibri" w:cs="Calibri"/>
                <w:b/>
                <w:bCs/>
                <w:color w:val="000000"/>
                <w:sz w:val="19"/>
                <w:szCs w:val="19"/>
                <w:lang w:eastAsia="cs-CZ"/>
              </w:rPr>
            </w:pPr>
            <w:r w:rsidRPr="00F34833">
              <w:rPr>
                <w:rFonts w:ascii="Calibri" w:hAnsi="Calibri" w:cs="Calibri"/>
                <w:b/>
                <w:bCs/>
                <w:color w:val="000000"/>
                <w:sz w:val="19"/>
                <w:szCs w:val="19"/>
                <w:lang w:eastAsia="cs-CZ"/>
              </w:rPr>
              <w:t>471 178 223,37</w:t>
            </w:r>
          </w:p>
        </w:tc>
      </w:tr>
      <w:tr w:rsidR="009632D0" w:rsidRPr="00F34833" w14:paraId="4FD55DDF" w14:textId="77777777" w:rsidTr="009632D0">
        <w:trPr>
          <w:trHeight w:val="255"/>
        </w:trPr>
        <w:tc>
          <w:tcPr>
            <w:tcW w:w="6476" w:type="dxa"/>
            <w:gridSpan w:val="4"/>
            <w:shd w:val="clear" w:color="auto" w:fill="auto"/>
            <w:vAlign w:val="center"/>
          </w:tcPr>
          <w:p w14:paraId="3AF8959C" w14:textId="77777777" w:rsidR="009632D0" w:rsidRPr="00F34833" w:rsidRDefault="009632D0" w:rsidP="009632D0">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Celkem za investiční prioritu 2.1</w:t>
            </w:r>
          </w:p>
        </w:tc>
        <w:tc>
          <w:tcPr>
            <w:tcW w:w="1361" w:type="dxa"/>
            <w:shd w:val="clear" w:color="auto" w:fill="auto"/>
            <w:vAlign w:val="center"/>
          </w:tcPr>
          <w:p w14:paraId="6D9046E7" w14:textId="77777777" w:rsidR="009632D0" w:rsidRPr="00F34833" w:rsidRDefault="009632D0" w:rsidP="009632D0">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445 609 367,80</w:t>
            </w:r>
          </w:p>
        </w:tc>
        <w:tc>
          <w:tcPr>
            <w:tcW w:w="1337" w:type="dxa"/>
            <w:shd w:val="clear" w:color="auto" w:fill="auto"/>
            <w:vAlign w:val="center"/>
          </w:tcPr>
          <w:p w14:paraId="52FD05D3" w14:textId="77777777" w:rsidR="009632D0" w:rsidRPr="00F34833" w:rsidRDefault="009632D0" w:rsidP="009632D0">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367 166 460,37</w:t>
            </w:r>
          </w:p>
        </w:tc>
      </w:tr>
      <w:tr w:rsidR="009632D0" w:rsidRPr="00F34833" w14:paraId="67ABD4EE" w14:textId="77777777" w:rsidTr="009632D0">
        <w:trPr>
          <w:trHeight w:val="255"/>
        </w:trPr>
        <w:tc>
          <w:tcPr>
            <w:tcW w:w="6476" w:type="dxa"/>
            <w:gridSpan w:val="4"/>
            <w:shd w:val="clear" w:color="auto" w:fill="auto"/>
            <w:vAlign w:val="center"/>
          </w:tcPr>
          <w:p w14:paraId="477F1545" w14:textId="77777777" w:rsidR="009632D0" w:rsidRPr="00F34833" w:rsidRDefault="009632D0" w:rsidP="009632D0">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Z toho za investiční prioritu 2.1 bez započtení výzvy č. 16</w:t>
            </w:r>
          </w:p>
        </w:tc>
        <w:tc>
          <w:tcPr>
            <w:tcW w:w="1361" w:type="dxa"/>
            <w:shd w:val="clear" w:color="auto" w:fill="auto"/>
            <w:vAlign w:val="center"/>
          </w:tcPr>
          <w:p w14:paraId="715FC910" w14:textId="77777777" w:rsidR="009632D0" w:rsidRPr="00F34833" w:rsidRDefault="009632D0" w:rsidP="009632D0">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420 272 314,60</w:t>
            </w:r>
          </w:p>
        </w:tc>
        <w:tc>
          <w:tcPr>
            <w:tcW w:w="1337" w:type="dxa"/>
            <w:shd w:val="clear" w:color="auto" w:fill="auto"/>
            <w:vAlign w:val="center"/>
          </w:tcPr>
          <w:p w14:paraId="02B15238" w14:textId="77777777" w:rsidR="009632D0" w:rsidRPr="00F34833" w:rsidRDefault="009632D0" w:rsidP="009632D0">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350 515 759,31</w:t>
            </w:r>
          </w:p>
        </w:tc>
      </w:tr>
      <w:tr w:rsidR="009632D0" w:rsidRPr="00F34833" w14:paraId="0923721D" w14:textId="77777777" w:rsidTr="009632D0">
        <w:trPr>
          <w:trHeight w:val="255"/>
        </w:trPr>
        <w:tc>
          <w:tcPr>
            <w:tcW w:w="6476" w:type="dxa"/>
            <w:gridSpan w:val="4"/>
            <w:shd w:val="clear" w:color="auto" w:fill="auto"/>
            <w:vAlign w:val="center"/>
          </w:tcPr>
          <w:p w14:paraId="46149D35" w14:textId="77777777" w:rsidR="009632D0" w:rsidRPr="00F34833" w:rsidRDefault="009632D0" w:rsidP="009632D0">
            <w:pPr>
              <w:spacing w:after="0" w:line="240" w:lineRule="auto"/>
              <w:rPr>
                <w:rFonts w:ascii="Calibri" w:hAnsi="Calibri" w:cs="Calibri"/>
                <w:color w:val="000000"/>
                <w:sz w:val="19"/>
                <w:szCs w:val="19"/>
                <w:lang w:eastAsia="cs-CZ"/>
              </w:rPr>
            </w:pPr>
            <w:r w:rsidRPr="00F34833">
              <w:rPr>
                <w:rFonts w:ascii="Calibri" w:hAnsi="Calibri" w:cs="Calibri"/>
                <w:color w:val="000000"/>
                <w:sz w:val="19"/>
                <w:szCs w:val="19"/>
                <w:lang w:eastAsia="cs-CZ"/>
              </w:rPr>
              <w:t>Celkem za investiční prioritu 2.3</w:t>
            </w:r>
          </w:p>
        </w:tc>
        <w:tc>
          <w:tcPr>
            <w:tcW w:w="1361" w:type="dxa"/>
            <w:shd w:val="clear" w:color="auto" w:fill="auto"/>
            <w:vAlign w:val="center"/>
          </w:tcPr>
          <w:p w14:paraId="1FDFD691" w14:textId="77777777" w:rsidR="009632D0" w:rsidRPr="00F34833" w:rsidRDefault="009632D0" w:rsidP="009632D0">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140 170 881,01</w:t>
            </w:r>
          </w:p>
        </w:tc>
        <w:tc>
          <w:tcPr>
            <w:tcW w:w="1337" w:type="dxa"/>
            <w:shd w:val="clear" w:color="auto" w:fill="auto"/>
            <w:vAlign w:val="center"/>
          </w:tcPr>
          <w:p w14:paraId="69374A1F" w14:textId="77777777" w:rsidR="009632D0" w:rsidRPr="00F34833" w:rsidRDefault="009632D0" w:rsidP="009632D0">
            <w:pPr>
              <w:spacing w:after="0" w:line="240" w:lineRule="auto"/>
              <w:jc w:val="right"/>
              <w:rPr>
                <w:rFonts w:ascii="Calibri" w:hAnsi="Calibri" w:cs="Calibri"/>
                <w:color w:val="000000"/>
                <w:sz w:val="19"/>
                <w:szCs w:val="19"/>
                <w:lang w:eastAsia="cs-CZ"/>
              </w:rPr>
            </w:pPr>
            <w:r w:rsidRPr="00F34833">
              <w:rPr>
                <w:rFonts w:ascii="Calibri" w:hAnsi="Calibri" w:cs="Calibri"/>
                <w:color w:val="000000"/>
                <w:sz w:val="19"/>
                <w:szCs w:val="19"/>
                <w:lang w:eastAsia="cs-CZ"/>
              </w:rPr>
              <w:t>104 011 763,00</w:t>
            </w:r>
          </w:p>
        </w:tc>
      </w:tr>
    </w:tbl>
    <w:p w14:paraId="2FDD76C3" w14:textId="77777777" w:rsidR="00F31777" w:rsidRPr="00F31777" w:rsidRDefault="00F31777" w:rsidP="009632D0">
      <w:pPr>
        <w:spacing w:before="40" w:after="0" w:line="240" w:lineRule="auto"/>
        <w:jc w:val="both"/>
        <w:rPr>
          <w:rFonts w:eastAsia="Times New Roman" w:cs="Calibri"/>
          <w:sz w:val="20"/>
          <w:szCs w:val="20"/>
        </w:rPr>
      </w:pPr>
      <w:r w:rsidRPr="00F31777">
        <w:rPr>
          <w:rFonts w:eastAsia="Times New Roman" w:cs="Calibri"/>
          <w:b/>
          <w:sz w:val="20"/>
          <w:szCs w:val="20"/>
        </w:rPr>
        <w:t>Zdroj</w:t>
      </w:r>
      <w:r w:rsidRPr="00FF0245">
        <w:rPr>
          <w:rFonts w:eastAsia="Times New Roman" w:cs="Calibri"/>
          <w:b/>
          <w:sz w:val="20"/>
          <w:szCs w:val="20"/>
        </w:rPr>
        <w:t>:</w:t>
      </w:r>
      <w:r w:rsidRPr="00F31777">
        <w:rPr>
          <w:rFonts w:eastAsia="Times New Roman" w:cs="Calibri"/>
          <w:sz w:val="20"/>
          <w:szCs w:val="20"/>
        </w:rPr>
        <w:t xml:space="preserve"> MPSV, MS2014+</w:t>
      </w:r>
      <w:r w:rsidR="008C375C">
        <w:rPr>
          <w:rFonts w:eastAsia="Times New Roman" w:cs="Calibri"/>
          <w:sz w:val="20"/>
          <w:szCs w:val="20"/>
        </w:rPr>
        <w:t>, stav k 02/2022.</w:t>
      </w:r>
    </w:p>
    <w:p w14:paraId="5E21E178" w14:textId="77777777" w:rsidR="00774346" w:rsidRDefault="007B4DB2" w:rsidP="00621CB3">
      <w:pPr>
        <w:spacing w:line="240" w:lineRule="auto"/>
        <w:rPr>
          <w:rFonts w:cstheme="minorHAnsi"/>
          <w:bCs/>
          <w:sz w:val="24"/>
          <w:szCs w:val="24"/>
        </w:rPr>
      </w:pPr>
      <w:r>
        <w:rPr>
          <w:b/>
          <w:sz w:val="20"/>
          <w:szCs w:val="20"/>
        </w:rPr>
        <w:t>Vysvětlivka</w:t>
      </w:r>
      <w:r w:rsidR="00FF0245" w:rsidRPr="00FF0245">
        <w:rPr>
          <w:b/>
          <w:sz w:val="20"/>
          <w:szCs w:val="20"/>
        </w:rPr>
        <w:t>:</w:t>
      </w:r>
      <w:r w:rsidR="00F31777" w:rsidRPr="00F31777">
        <w:rPr>
          <w:sz w:val="20"/>
          <w:szCs w:val="20"/>
        </w:rPr>
        <w:t xml:space="preserve"> * Bez projektů nedokončených – ukončených příjemcem.</w:t>
      </w:r>
    </w:p>
    <w:sectPr w:rsidR="00774346" w:rsidSect="00D02D27">
      <w:footerReference w:type="default" r:id="rId26"/>
      <w:footerReference w:type="firs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CA7ED" w14:textId="77777777" w:rsidR="00F95814" w:rsidRDefault="00F95814" w:rsidP="00FA586B">
      <w:pPr>
        <w:spacing w:after="0" w:line="240" w:lineRule="auto"/>
      </w:pPr>
      <w:r>
        <w:separator/>
      </w:r>
    </w:p>
    <w:p w14:paraId="4652D4A3" w14:textId="77777777" w:rsidR="00F95814" w:rsidRDefault="00F95814"/>
  </w:endnote>
  <w:endnote w:type="continuationSeparator" w:id="0">
    <w:p w14:paraId="09B31519" w14:textId="77777777" w:rsidR="00F95814" w:rsidRDefault="00F95814" w:rsidP="00FA586B">
      <w:pPr>
        <w:spacing w:after="0" w:line="240" w:lineRule="auto"/>
      </w:pPr>
      <w:r>
        <w:continuationSeparator/>
      </w:r>
    </w:p>
    <w:p w14:paraId="363D06F9" w14:textId="77777777" w:rsidR="00F95814" w:rsidRDefault="00F95814"/>
  </w:endnote>
  <w:endnote w:type="continuationNotice" w:id="1">
    <w:p w14:paraId="07B4FD86" w14:textId="77777777" w:rsidR="00F95814" w:rsidRDefault="00F95814">
      <w:pPr>
        <w:spacing w:after="0" w:line="240" w:lineRule="auto"/>
      </w:pPr>
    </w:p>
    <w:p w14:paraId="456EB354" w14:textId="77777777" w:rsidR="00F95814" w:rsidRDefault="00F95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95414"/>
      <w:docPartObj>
        <w:docPartGallery w:val="Page Numbers (Bottom of Page)"/>
        <w:docPartUnique/>
      </w:docPartObj>
    </w:sdtPr>
    <w:sdtContent>
      <w:p w14:paraId="055A2C1D" w14:textId="77777777" w:rsidR="00F95814" w:rsidRDefault="00F95814" w:rsidP="0069391C">
        <w:pPr>
          <w:pStyle w:val="Zpat"/>
          <w:jc w:val="center"/>
        </w:pPr>
        <w:r w:rsidRPr="00EF2E1E">
          <w:rPr>
            <w:sz w:val="24"/>
            <w:szCs w:val="24"/>
          </w:rPr>
          <w:fldChar w:fldCharType="begin"/>
        </w:r>
        <w:r w:rsidRPr="00EF2E1E">
          <w:rPr>
            <w:sz w:val="24"/>
            <w:szCs w:val="24"/>
          </w:rPr>
          <w:instrText>PAGE   \* MERGEFORMAT</w:instrText>
        </w:r>
        <w:r w:rsidRPr="00EF2E1E">
          <w:rPr>
            <w:sz w:val="24"/>
            <w:szCs w:val="24"/>
          </w:rPr>
          <w:fldChar w:fldCharType="separate"/>
        </w:r>
        <w:r>
          <w:rPr>
            <w:noProof/>
            <w:sz w:val="24"/>
            <w:szCs w:val="24"/>
          </w:rPr>
          <w:t>31</w:t>
        </w:r>
        <w:r w:rsidRPr="00EF2E1E">
          <w:rPr>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E0F" w14:textId="77777777" w:rsidR="00F95814" w:rsidRDefault="00F95814" w:rsidP="0069391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8BC4" w14:textId="77777777" w:rsidR="00F95814" w:rsidRDefault="00F95814" w:rsidP="00B15E26">
      <w:pPr>
        <w:spacing w:after="0" w:line="240" w:lineRule="auto"/>
      </w:pPr>
      <w:r>
        <w:separator/>
      </w:r>
    </w:p>
  </w:footnote>
  <w:footnote w:type="continuationSeparator" w:id="0">
    <w:p w14:paraId="636E9B40" w14:textId="77777777" w:rsidR="00F95814" w:rsidRDefault="00F95814" w:rsidP="00FA586B">
      <w:pPr>
        <w:spacing w:after="0" w:line="240" w:lineRule="auto"/>
      </w:pPr>
      <w:r>
        <w:continuationSeparator/>
      </w:r>
    </w:p>
  </w:footnote>
  <w:footnote w:type="continuationNotice" w:id="1">
    <w:p w14:paraId="275DB75B" w14:textId="77777777" w:rsidR="00F95814" w:rsidRPr="00B15E26" w:rsidRDefault="00F95814" w:rsidP="00B15E26">
      <w:pPr>
        <w:pStyle w:val="Zpat"/>
      </w:pPr>
    </w:p>
  </w:footnote>
  <w:footnote w:id="2">
    <w:p w14:paraId="3176A475" w14:textId="77777777" w:rsidR="00F95814" w:rsidRDefault="00F95814" w:rsidP="00BD6EAD">
      <w:pPr>
        <w:pStyle w:val="Textpoznpodarou"/>
      </w:pPr>
      <w:r>
        <w:rPr>
          <w:rStyle w:val="Znakapoznpodarou"/>
        </w:rPr>
        <w:footnoteRef/>
      </w:r>
      <w:r>
        <w:t xml:space="preserve"> </w:t>
      </w:r>
      <w:r>
        <w:tab/>
        <w:t xml:space="preserve">Ciderie Chříč s.r.o. změnila v průběhu kontroly své sídlo z Prahy do okresu </w:t>
      </w:r>
      <w:r w:rsidRPr="00AD10D4">
        <w:t>Plzeň</w:t>
      </w:r>
      <w:r>
        <w:t>-</w:t>
      </w:r>
      <w:r w:rsidRPr="00AD10D4">
        <w:t>sever</w:t>
      </w:r>
      <w:r>
        <w:t>.</w:t>
      </w:r>
    </w:p>
  </w:footnote>
  <w:footnote w:id="3">
    <w:p w14:paraId="2F8FF6B8" w14:textId="77777777" w:rsidR="00F95814" w:rsidRDefault="00F95814" w:rsidP="00BD6EAD">
      <w:pPr>
        <w:pStyle w:val="Textpoznpodarou"/>
      </w:pPr>
      <w:r>
        <w:rPr>
          <w:rStyle w:val="Znakapoznpodarou"/>
        </w:rPr>
        <w:footnoteRef/>
      </w:r>
      <w:r>
        <w:t xml:space="preserve"> </w:t>
      </w:r>
      <w:r>
        <w:tab/>
        <w:t xml:space="preserve">Operační program </w:t>
      </w:r>
      <w:r w:rsidRPr="00A15626">
        <w:rPr>
          <w:i/>
        </w:rPr>
        <w:t>Zaměstnanost 2014–2020</w:t>
      </w:r>
      <w:r w:rsidRPr="00966FF9">
        <w:t>.</w:t>
      </w:r>
    </w:p>
  </w:footnote>
  <w:footnote w:id="4">
    <w:p w14:paraId="40F8BEFF" w14:textId="77777777" w:rsidR="00F95814" w:rsidRDefault="00F95814" w:rsidP="00BD6EAD">
      <w:pPr>
        <w:pStyle w:val="Textpoznpodarou"/>
      </w:pPr>
      <w:r>
        <w:rPr>
          <w:rStyle w:val="Znakapoznpodarou"/>
        </w:rPr>
        <w:footnoteRef/>
      </w:r>
      <w:r>
        <w:t xml:space="preserve"> </w:t>
      </w:r>
      <w:r>
        <w:tab/>
      </w:r>
      <w:r w:rsidRPr="00A15626">
        <w:rPr>
          <w:i/>
        </w:rPr>
        <w:t>Integrovaný regionální operační program</w:t>
      </w:r>
      <w:r>
        <w:t>.</w:t>
      </w:r>
    </w:p>
  </w:footnote>
  <w:footnote w:id="5">
    <w:p w14:paraId="21C4016C" w14:textId="77777777" w:rsidR="00F95814" w:rsidRDefault="00F95814" w:rsidP="00BD6EAD">
      <w:pPr>
        <w:pStyle w:val="Textpoznpodarou"/>
      </w:pPr>
      <w:r>
        <w:rPr>
          <w:rStyle w:val="Znakapoznpodarou"/>
        </w:rPr>
        <w:footnoteRef/>
      </w:r>
      <w:r>
        <w:t xml:space="preserve"> </w:t>
      </w:r>
      <w:r>
        <w:tab/>
        <w:t>E</w:t>
      </w:r>
      <w:r w:rsidRPr="00F35910">
        <w:t>kvivalent plného pracovního úvazku</w:t>
      </w:r>
      <w:r>
        <w:t xml:space="preserve"> (</w:t>
      </w:r>
      <w:r w:rsidRPr="00F35910">
        <w:t>FTE</w:t>
      </w:r>
      <w:r>
        <w:t xml:space="preserve"> – </w:t>
      </w:r>
      <w:r w:rsidRPr="00F35910">
        <w:t>z anglického označení</w:t>
      </w:r>
      <w:r>
        <w:t xml:space="preserve"> „</w:t>
      </w:r>
      <w:r w:rsidRPr="00F35910">
        <w:t>full time equivalent</w:t>
      </w:r>
      <w:r>
        <w:t>“</w:t>
      </w:r>
      <w:r w:rsidRPr="00F35910">
        <w:t>) je ukazatel spotřeby</w:t>
      </w:r>
      <w:r>
        <w:t xml:space="preserve"> </w:t>
      </w:r>
      <w:hyperlink r:id="rId1" w:tooltip="Lidská práce (stránka neexistuje)" w:history="1">
        <w:r w:rsidRPr="00F35910">
          <w:t>lidské práce</w:t>
        </w:r>
      </w:hyperlink>
      <w:r w:rsidRPr="00F35910">
        <w:t>. Počítá se jako počet odpracovaných hodin za určité období vydělený počtem hodin, které by za stejné období odpracoval jeden pracovník na</w:t>
      </w:r>
      <w:r>
        <w:t xml:space="preserve"> </w:t>
      </w:r>
      <w:hyperlink r:id="rId2" w:tooltip="Plný pracovní úvazek" w:history="1">
        <w:r w:rsidRPr="00F35910">
          <w:t>plný pracovní úvazek</w:t>
        </w:r>
      </w:hyperlink>
      <w:r w:rsidRPr="00F35910">
        <w:t xml:space="preserve">. </w:t>
      </w:r>
      <w:r>
        <w:t>U</w:t>
      </w:r>
      <w:r w:rsidRPr="00F35910">
        <w:t>možňuje porovnávat spotřebu lidské práce různých jednotek, které zaměstnávají lidi na</w:t>
      </w:r>
      <w:r>
        <w:t xml:space="preserve"> </w:t>
      </w:r>
      <w:hyperlink r:id="rId3" w:tooltip="Částečný pracovní úvazek (stránka neexistuje)" w:history="1">
        <w:r w:rsidRPr="00F35910">
          <w:t>částečné úvazky</w:t>
        </w:r>
      </w:hyperlink>
      <w:r w:rsidRPr="00F35910">
        <w:t>; z hlediska FTE je například stejné, když zkoumaná jednotka zaměstnává jednoho člověka na plný úvazek, jako kdyby zaměstnávala dva lidi na</w:t>
      </w:r>
      <w:r>
        <w:t xml:space="preserve"> </w:t>
      </w:r>
      <w:r w:rsidRPr="00F35910">
        <w:t>poloviční anebo jednoho na poloviční a dva lidi na čtvrtinový úvazek.</w:t>
      </w:r>
    </w:p>
  </w:footnote>
  <w:footnote w:id="6">
    <w:p w14:paraId="77775C54" w14:textId="77777777" w:rsidR="00F95814" w:rsidRDefault="00F95814" w:rsidP="00232EB7">
      <w:pPr>
        <w:pStyle w:val="Textpoznpodarou"/>
      </w:pPr>
      <w:r>
        <w:rPr>
          <w:rStyle w:val="Znakapoznpodarou"/>
        </w:rPr>
        <w:footnoteRef/>
      </w:r>
      <w:r>
        <w:t xml:space="preserve"> </w:t>
      </w:r>
      <w:r>
        <w:tab/>
      </w:r>
      <w:r w:rsidRPr="00CD7215">
        <w:t xml:space="preserve">Podpora z operačního programu </w:t>
      </w:r>
      <w:r w:rsidRPr="001E657B">
        <w:rPr>
          <w:i/>
        </w:rPr>
        <w:t xml:space="preserve">Praha – pól růstu ČR </w:t>
      </w:r>
      <w:r w:rsidRPr="00CD7215">
        <w:t>poskytnutá na sociální začleňování a na boj proti chudobě</w:t>
      </w:r>
      <w:r>
        <w:t xml:space="preserve"> byla předmětem kontrolní akce NKÚ č. 18/33, viz </w:t>
      </w:r>
      <w:hyperlink r:id="rId4" w:history="1">
        <w:r>
          <w:rPr>
            <w:rStyle w:val="Hypertextovodkaz"/>
          </w:rPr>
          <w:t>kontrolní akce č. 18/33 | NKÚ (nku.cz)</w:t>
        </w:r>
      </w:hyperlink>
      <w:r>
        <w:t>. Proto je další text této části kontrolního závěru věnován již jen podpoře sociálního podnikání z OPZ a IROP, jež byla obsahem kontrolní akce č. 21/22.</w:t>
      </w:r>
    </w:p>
  </w:footnote>
  <w:footnote w:id="7">
    <w:p w14:paraId="391E0963" w14:textId="77777777" w:rsidR="00F95814" w:rsidRDefault="00F95814" w:rsidP="00BD6EAD">
      <w:pPr>
        <w:pStyle w:val="Textpoznpodarou"/>
      </w:pPr>
      <w:r>
        <w:rPr>
          <w:rStyle w:val="Znakapoznpodarou"/>
        </w:rPr>
        <w:footnoteRef/>
      </w:r>
      <w:r>
        <w:t xml:space="preserve"> </w:t>
      </w:r>
      <w:r>
        <w:tab/>
        <w:t xml:space="preserve">Ze 170 RoPD je 108 RoPD vydáno v rámci SC 2.1.2., z toho dvě pro území hl. města Prahy (výzva č. 105), dvě v rámci </w:t>
      </w:r>
      <w:r w:rsidRPr="00063F2D">
        <w:rPr>
          <w:i/>
        </w:rPr>
        <w:t>Koordinovaného přístupu k sociálně vyloučeným lokalitám</w:t>
      </w:r>
      <w:r>
        <w:t xml:space="preserve"> (výzva č. 26) a jedno pro MPSV v rámci výzvy č. 16.</w:t>
      </w:r>
    </w:p>
  </w:footnote>
  <w:footnote w:id="8">
    <w:p w14:paraId="505AF301" w14:textId="77777777" w:rsidR="00F95814" w:rsidRDefault="00F95814" w:rsidP="00BD6EAD">
      <w:pPr>
        <w:pStyle w:val="Textpoznpodarou"/>
      </w:pPr>
      <w:r>
        <w:rPr>
          <w:rStyle w:val="Znakapoznpodarou"/>
        </w:rPr>
        <w:footnoteRef/>
      </w:r>
      <w:r>
        <w:t xml:space="preserve"> </w:t>
      </w:r>
      <w:r>
        <w:tab/>
        <w:t>Z 235 RoPD je 142 RoPD vydáno v rámci individuálních výzev (z toho devět v rámci výzvy č. 90), 93 RoPD bylo vydáno v rámci integrovaných výzev (21 v rámci SC 2.2 a 72 v rámci SC 4.1).</w:t>
      </w:r>
    </w:p>
  </w:footnote>
  <w:footnote w:id="9">
    <w:p w14:paraId="4C29579C" w14:textId="77777777" w:rsidR="00F95814" w:rsidRDefault="00F95814" w:rsidP="00BD6EAD">
      <w:pPr>
        <w:pStyle w:val="Textpoznpodarou"/>
      </w:pPr>
      <w:r>
        <w:rPr>
          <w:rStyle w:val="Znakapoznpodarou"/>
        </w:rPr>
        <w:footnoteRef/>
      </w:r>
      <w:r>
        <w:t xml:space="preserve"> </w:t>
      </w:r>
      <w:r>
        <w:tab/>
        <w:t xml:space="preserve">Více na </w:t>
      </w:r>
      <w:hyperlink r:id="rId5" w:history="1">
        <w:r w:rsidRPr="00014C30">
          <w:rPr>
            <w:rStyle w:val="Hypertextovodkaz"/>
          </w:rPr>
          <w:t>https://www.nku.cz/scripts/rka/detail.asp?cisloakce=18/33&amp;rok=0&amp;sestava=0</w:t>
        </w:r>
      </w:hyperlink>
      <w:r>
        <w:t>.</w:t>
      </w:r>
    </w:p>
  </w:footnote>
  <w:footnote w:id="10">
    <w:p w14:paraId="6912EB3D" w14:textId="77777777" w:rsidR="00F95814" w:rsidRDefault="00F95814" w:rsidP="00BD6EAD">
      <w:pPr>
        <w:pStyle w:val="Textpoznpodarou"/>
      </w:pPr>
      <w:r>
        <w:rPr>
          <w:rStyle w:val="Znakapoznpodarou"/>
        </w:rPr>
        <w:footnoteRef/>
      </w:r>
      <w:r>
        <w:t xml:space="preserve"> </w:t>
      </w:r>
      <w:r>
        <w:tab/>
        <w:t>Jedná se o maximální šíři cílových skupin – konkrétní podporované cílové skupiny byly definovány v textech příslušných výzev.</w:t>
      </w:r>
    </w:p>
  </w:footnote>
  <w:footnote w:id="11">
    <w:p w14:paraId="15D76EC3" w14:textId="77777777" w:rsidR="00F95814" w:rsidRDefault="00F95814" w:rsidP="00D96C84">
      <w:pPr>
        <w:pStyle w:val="Textpoznpodarou"/>
      </w:pPr>
      <w:r>
        <w:rPr>
          <w:rStyle w:val="Znakapoznpodarou"/>
        </w:rPr>
        <w:footnoteRef/>
      </w:r>
      <w:r>
        <w:t xml:space="preserve"> </w:t>
      </w:r>
      <w:r>
        <w:tab/>
        <w:t>V OPZ se tyto principy nazývají rozpoznávacími znaky, v dalším textu se pro zjednodušení používá pojem „</w:t>
      </w:r>
      <w:r w:rsidRPr="007D6517">
        <w:rPr>
          <w:i/>
        </w:rPr>
        <w:t>principy</w:t>
      </w:r>
      <w:r>
        <w:t xml:space="preserve">“. Principy sociálního podnikání uplatňované v OPZ a IROP vycházejí z indikátorů tematické sítě pro sociální ekonomiku, viz </w:t>
      </w:r>
      <w:hyperlink r:id="rId6" w:history="1">
        <w:r w:rsidRPr="004531B4">
          <w:rPr>
            <w:rStyle w:val="Hypertextovodkaz"/>
          </w:rPr>
          <w:t>www.tessea.cz</w:t>
        </w:r>
      </w:hyperlink>
      <w:r>
        <w:t xml:space="preserve">. </w:t>
      </w:r>
    </w:p>
  </w:footnote>
  <w:footnote w:id="12">
    <w:p w14:paraId="04C0DC07" w14:textId="77777777" w:rsidR="00F95814" w:rsidRDefault="00F95814" w:rsidP="00D96C84">
      <w:pPr>
        <w:pStyle w:val="Textpoznpodarou"/>
      </w:pPr>
      <w:r>
        <w:rPr>
          <w:rStyle w:val="Znakapoznpodarou"/>
        </w:rPr>
        <w:footnoteRef/>
      </w:r>
      <w:r>
        <w:t xml:space="preserve"> </w:t>
      </w:r>
      <w:r>
        <w:tab/>
        <w:t>IROP má oproti OPZ některé principy definované jen jako doporučené.</w:t>
      </w:r>
    </w:p>
  </w:footnote>
  <w:footnote w:id="13">
    <w:p w14:paraId="75C599F5" w14:textId="77777777" w:rsidR="00F95814" w:rsidRDefault="00F95814" w:rsidP="00D96C84">
      <w:pPr>
        <w:pStyle w:val="Textpoznpodarou"/>
      </w:pPr>
      <w:r>
        <w:rPr>
          <w:rStyle w:val="Znakapoznpodarou"/>
        </w:rPr>
        <w:footnoteRef/>
      </w:r>
      <w:r>
        <w:t xml:space="preserve"> </w:t>
      </w:r>
      <w:r>
        <w:tab/>
        <w:t>Dle ustanovení § 2 písm. o) zákona č. 320/2001 Sb., o finanční kontrole ve veřejné správě a o změně některých zákonů (zákon o finanční kontrole).</w:t>
      </w:r>
    </w:p>
  </w:footnote>
  <w:footnote w:id="14">
    <w:p w14:paraId="38B04CA8" w14:textId="77777777" w:rsidR="00F95814" w:rsidRDefault="00F95814" w:rsidP="00D96C84">
      <w:pPr>
        <w:pStyle w:val="Textpoznpodarou"/>
      </w:pPr>
      <w:r>
        <w:rPr>
          <w:rStyle w:val="Znakapoznpodarou"/>
        </w:rPr>
        <w:footnoteRef/>
      </w:r>
      <w:r>
        <w:t xml:space="preserve"> </w:t>
      </w:r>
      <w:r>
        <w:tab/>
        <w:t>Dle ustanovení § 2 písm. n) zákona č. 320/2001 Sb., o finanční kontrole ve veřejné správě a o změně některých zákonů (zákon o finanční kontrole).</w:t>
      </w:r>
    </w:p>
  </w:footnote>
  <w:footnote w:id="15">
    <w:p w14:paraId="5E799E39" w14:textId="77777777" w:rsidR="00F95814" w:rsidRPr="00032EA4" w:rsidRDefault="00F95814" w:rsidP="00BD6EAD">
      <w:pPr>
        <w:pStyle w:val="Textpoznpodarou"/>
        <w:rPr>
          <w:rFonts w:ascii="Calibri" w:hAnsi="Calibri" w:cs="Calibri"/>
        </w:rPr>
      </w:pPr>
      <w:r w:rsidRPr="00032EA4">
        <w:rPr>
          <w:rStyle w:val="Znakapoznpodarou"/>
          <w:rFonts w:ascii="Calibri" w:hAnsi="Calibri" w:cs="Calibri"/>
        </w:rPr>
        <w:footnoteRef/>
      </w:r>
      <w:r w:rsidRPr="00032EA4">
        <w:rPr>
          <w:rFonts w:ascii="Calibri" w:hAnsi="Calibri" w:cs="Calibri"/>
        </w:rPr>
        <w:t xml:space="preserve"> </w:t>
      </w:r>
      <w:r w:rsidRPr="00032EA4">
        <w:rPr>
          <w:rFonts w:ascii="Calibri" w:hAnsi="Calibri" w:cs="Calibri"/>
        </w:rPr>
        <w:tab/>
        <w:t>D</w:t>
      </w:r>
      <w:r>
        <w:rPr>
          <w:rFonts w:ascii="Calibri" w:hAnsi="Calibri" w:cs="Calibri"/>
        </w:rPr>
        <w:t>le</w:t>
      </w:r>
      <w:r w:rsidRPr="00032EA4">
        <w:rPr>
          <w:rFonts w:ascii="Calibri" w:hAnsi="Calibri" w:cs="Calibri"/>
        </w:rPr>
        <w:t> ustanovení § 2 písm. m) zákona č. 320/2001 Sb.</w:t>
      </w:r>
      <w:r>
        <w:rPr>
          <w:rFonts w:ascii="Calibri" w:hAnsi="Calibri" w:cs="Calibri"/>
        </w:rPr>
        <w:t>,</w:t>
      </w:r>
      <w:r w:rsidRPr="00032EA4">
        <w:rPr>
          <w:rFonts w:ascii="Calibri" w:hAnsi="Calibri" w:cs="Calibri"/>
        </w:rPr>
        <w:t xml:space="preserve"> </w:t>
      </w:r>
      <w:r>
        <w:t>o finanční kontrole ve veřejné správě a o změně některých zákonů (zákon o finanční kontrole).</w:t>
      </w:r>
    </w:p>
  </w:footnote>
  <w:footnote w:id="16">
    <w:p w14:paraId="7AB7DEB3" w14:textId="77777777" w:rsidR="00F95814" w:rsidRDefault="00F95814" w:rsidP="00B162DC">
      <w:pPr>
        <w:pStyle w:val="Textpoznpodarou"/>
      </w:pPr>
      <w:r>
        <w:rPr>
          <w:rStyle w:val="Znakapoznpodarou"/>
        </w:rPr>
        <w:footnoteRef/>
      </w:r>
      <w:r>
        <w:t xml:space="preserve"> </w:t>
      </w:r>
      <w:r>
        <w:tab/>
        <w:t>V rámci SC 2.3.1 OPZ MPSV indikátory výlučně pro sledování podpory poskytované sociálním podnikům v programovém dokumentu OPZ nestanovilo.</w:t>
      </w:r>
    </w:p>
  </w:footnote>
  <w:footnote w:id="17">
    <w:p w14:paraId="7AE76BBD" w14:textId="77777777" w:rsidR="00F95814" w:rsidRDefault="00F95814" w:rsidP="00147DEA">
      <w:pPr>
        <w:pStyle w:val="Textpoznpodarou"/>
      </w:pPr>
      <w:r>
        <w:rPr>
          <w:rStyle w:val="Znakapoznpodarou"/>
        </w:rPr>
        <w:footnoteRef/>
      </w:r>
      <w:r>
        <w:t xml:space="preserve"> </w:t>
      </w:r>
      <w:r>
        <w:tab/>
        <w:t xml:space="preserve">SMART = akronym z anglických termínů: </w:t>
      </w:r>
      <w:r w:rsidRPr="0029266B">
        <w:rPr>
          <w:i/>
        </w:rPr>
        <w:t>specific</w:t>
      </w:r>
      <w:r>
        <w:t xml:space="preserve"> (konkrétní), </w:t>
      </w:r>
      <w:r w:rsidRPr="0029266B">
        <w:rPr>
          <w:i/>
        </w:rPr>
        <w:t>measurable</w:t>
      </w:r>
      <w:r>
        <w:t xml:space="preserve"> (měřitelný), </w:t>
      </w:r>
      <w:r w:rsidRPr="0029266B">
        <w:rPr>
          <w:i/>
        </w:rPr>
        <w:t>achievable</w:t>
      </w:r>
      <w:r>
        <w:t xml:space="preserve"> (dosažitelný), </w:t>
      </w:r>
      <w:r w:rsidRPr="0029266B">
        <w:rPr>
          <w:i/>
        </w:rPr>
        <w:t>relevant</w:t>
      </w:r>
      <w:r>
        <w:t xml:space="preserve"> (relevantní), </w:t>
      </w:r>
      <w:r w:rsidRPr="0029266B">
        <w:rPr>
          <w:i/>
        </w:rPr>
        <w:t>time-bound</w:t>
      </w:r>
      <w:r>
        <w:t xml:space="preserve"> (časově vymezený).</w:t>
      </w:r>
    </w:p>
  </w:footnote>
  <w:footnote w:id="18">
    <w:p w14:paraId="1B1D3576" w14:textId="77777777" w:rsidR="00F95814" w:rsidRDefault="00F95814" w:rsidP="00147DEA">
      <w:pPr>
        <w:pStyle w:val="Textpoznpodarou"/>
      </w:pPr>
      <w:r>
        <w:rPr>
          <w:rStyle w:val="Znakapoznpodarou"/>
        </w:rPr>
        <w:footnoteRef/>
      </w:r>
      <w:r>
        <w:t xml:space="preserve"> </w:t>
      </w:r>
      <w:r>
        <w:tab/>
        <w:t xml:space="preserve">V tabulce č. 3 je uveden pouze nejvýznamnější z těchto indikátorů – 6 00 00 </w:t>
      </w:r>
      <w:r w:rsidRPr="009722A8">
        <w:rPr>
          <w:i/>
        </w:rPr>
        <w:t>Celkový počet účastníků</w:t>
      </w:r>
      <w:r>
        <w:t>.</w:t>
      </w:r>
    </w:p>
  </w:footnote>
  <w:footnote w:id="19">
    <w:p w14:paraId="4A98B6D3" w14:textId="77777777" w:rsidR="00F95814" w:rsidRDefault="00F95814" w:rsidP="00147DEA">
      <w:pPr>
        <w:pStyle w:val="Textpoznpodarou"/>
      </w:pPr>
      <w:r>
        <w:rPr>
          <w:rStyle w:val="Znakapoznpodarou"/>
        </w:rPr>
        <w:footnoteRef/>
      </w:r>
      <w:r>
        <w:t xml:space="preserve"> </w:t>
      </w:r>
      <w:r>
        <w:tab/>
        <w:t>Jedná se např. o sledování osob podle pohlaví, vzdělání, předchozí účasti na trhu práce, příslušnosti k vymezeným cílovým skupinám apod.</w:t>
      </w:r>
    </w:p>
  </w:footnote>
  <w:footnote w:id="20">
    <w:p w14:paraId="5FAA9704" w14:textId="77777777" w:rsidR="00F95814" w:rsidRDefault="00F95814" w:rsidP="00147DEA">
      <w:pPr>
        <w:pStyle w:val="Textpoznpodarou"/>
      </w:pPr>
      <w:r>
        <w:rPr>
          <w:rStyle w:val="Znakapoznpodarou"/>
        </w:rPr>
        <w:footnoteRef/>
      </w:r>
      <w:r>
        <w:t xml:space="preserve"> </w:t>
      </w:r>
      <w:r>
        <w:tab/>
        <w:t>Obecně se jedná o podporu ve výši jen 40 hodin.</w:t>
      </w:r>
    </w:p>
  </w:footnote>
  <w:footnote w:id="21">
    <w:p w14:paraId="2E70508B" w14:textId="77777777" w:rsidR="00F95814" w:rsidRDefault="00F95814" w:rsidP="00147DEA">
      <w:pPr>
        <w:pStyle w:val="Textpoznpodarou"/>
      </w:pPr>
      <w:r>
        <w:rPr>
          <w:rStyle w:val="Znakapoznpodarou"/>
        </w:rPr>
        <w:footnoteRef/>
      </w:r>
      <w:r>
        <w:t xml:space="preserve"> </w:t>
      </w:r>
      <w:r>
        <w:tab/>
        <w:t>V rámci SC 4.1 IROP MMR indikátory výlučně pro sledování podpory poskytované sociálním podnikům v programovém dokumentu IROP nestanovilo.</w:t>
      </w:r>
    </w:p>
  </w:footnote>
  <w:footnote w:id="22">
    <w:p w14:paraId="25CEA10A" w14:textId="77777777" w:rsidR="00F95814" w:rsidRDefault="00F95814" w:rsidP="00BD6EAD">
      <w:pPr>
        <w:pStyle w:val="Textpoznpodarou"/>
      </w:pPr>
      <w:r>
        <w:rPr>
          <w:rStyle w:val="Znakapoznpodarou"/>
        </w:rPr>
        <w:footnoteRef/>
      </w:r>
      <w:r>
        <w:t xml:space="preserve"> </w:t>
      </w:r>
      <w:r>
        <w:tab/>
        <w:t>Cílová hodnota indikátorů 1 00 00 a 1 01 02 byla snížena z hodnoty 383, indikátoru 1 01 05 z hodnoty 320 a indikátoru 1 04 00 z hodnoty 1 988.</w:t>
      </w:r>
    </w:p>
  </w:footnote>
  <w:footnote w:id="23">
    <w:p w14:paraId="0304CD7C" w14:textId="77777777" w:rsidR="00F95814" w:rsidRDefault="00F95814" w:rsidP="00BD6EAD">
      <w:pPr>
        <w:pStyle w:val="Textpoznpodarou"/>
      </w:pPr>
      <w:r>
        <w:rPr>
          <w:rStyle w:val="Znakapoznpodarou"/>
        </w:rPr>
        <w:footnoteRef/>
      </w:r>
      <w:r>
        <w:t xml:space="preserve"> </w:t>
      </w:r>
      <w:r>
        <w:tab/>
        <w:t>Jedná se buď o termín ukončení projektu, nebo o termín do 90 dnů od ukončení projektu.</w:t>
      </w:r>
    </w:p>
  </w:footnote>
  <w:footnote w:id="24">
    <w:p w14:paraId="6A4BC125" w14:textId="77777777" w:rsidR="00F95814" w:rsidRDefault="00F95814" w:rsidP="00BD6EAD">
      <w:pPr>
        <w:pStyle w:val="Textpoznpodarou"/>
      </w:pPr>
      <w:r>
        <w:rPr>
          <w:rStyle w:val="Znakapoznpodarou"/>
        </w:rPr>
        <w:footnoteRef/>
      </w:r>
      <w:r>
        <w:t xml:space="preserve"> </w:t>
      </w:r>
      <w:r>
        <w:tab/>
        <w:t xml:space="preserve">S výjimkou projektu č. 119, kdy ale uplatněná sankce týkající se porušení principu sociálního podnikání popsaného v odst. 4.17 byla po zpřesnění pravidel poskytovatelem podpory revokována. </w:t>
      </w:r>
    </w:p>
  </w:footnote>
  <w:footnote w:id="25">
    <w:p w14:paraId="773DA3FF" w14:textId="77777777" w:rsidR="00F95814" w:rsidRDefault="00F95814" w:rsidP="00BD6EAD">
      <w:pPr>
        <w:pStyle w:val="Textpoznpodarou"/>
      </w:pPr>
      <w:r>
        <w:rPr>
          <w:rStyle w:val="Znakapoznpodarou"/>
        </w:rPr>
        <w:footnoteRef/>
      </w:r>
      <w:r>
        <w:t xml:space="preserve"> </w:t>
      </w:r>
      <w:r>
        <w:tab/>
        <w:t>Zákon č. 563/1991 Sb., o účetnictví.</w:t>
      </w:r>
    </w:p>
  </w:footnote>
  <w:footnote w:id="26">
    <w:p w14:paraId="12C972A3" w14:textId="77777777" w:rsidR="00F95814" w:rsidRDefault="00F95814" w:rsidP="00BD6EAD">
      <w:pPr>
        <w:pStyle w:val="Textpoznpodarou"/>
      </w:pPr>
      <w:r>
        <w:rPr>
          <w:rStyle w:val="Znakapoznpodarou"/>
        </w:rPr>
        <w:footnoteRef/>
      </w:r>
      <w:r>
        <w:t xml:space="preserve"> </w:t>
      </w:r>
      <w:r>
        <w:tab/>
        <w:t>Zároveň se předpokládá, že pracovní místa vzniknou ke konci realizace projektu.</w:t>
      </w:r>
    </w:p>
  </w:footnote>
  <w:footnote w:id="27">
    <w:p w14:paraId="553F9A93" w14:textId="77777777" w:rsidR="00F95814" w:rsidRDefault="00F95814" w:rsidP="00BD6EAD">
      <w:pPr>
        <w:pStyle w:val="Textpoznpodarou"/>
      </w:pPr>
      <w:r>
        <w:rPr>
          <w:rStyle w:val="Znakapoznpodarou"/>
        </w:rPr>
        <w:footnoteRef/>
      </w:r>
      <w:r>
        <w:t xml:space="preserve"> </w:t>
      </w:r>
      <w:r>
        <w:tab/>
        <w:t>Tento závěr vychází z přepočtu maximální výše dotace na požadavek vytvořit alespoň dvě nové FTE pro znevýhodněné osoby, za který bylo poskytováno maximální bodové ohodnocení v rámci odpovídajícího kritéria efektivnosti ve věcném hodnocení žádostí o podporu.</w:t>
      </w:r>
    </w:p>
  </w:footnote>
  <w:footnote w:id="28">
    <w:p w14:paraId="0419DE8F" w14:textId="77777777" w:rsidR="00F95814" w:rsidRDefault="00F95814" w:rsidP="00BD6EAD">
      <w:pPr>
        <w:pStyle w:val="Textpoznpodarou"/>
      </w:pPr>
      <w:r>
        <w:rPr>
          <w:rStyle w:val="Znakapoznpodarou"/>
        </w:rPr>
        <w:footnoteRef/>
      </w:r>
      <w:r>
        <w:t xml:space="preserve"> </w:t>
      </w:r>
      <w:r>
        <w:tab/>
        <w:t>V rámci ostatních výzev OPZ, u kterých došlo k podpoře sociálních podniků, byl systém hodnocení odlišný a neumožňoval analýzu provedenou u výzev č. 15, 67, 105 a 129.</w:t>
      </w:r>
    </w:p>
  </w:footnote>
  <w:footnote w:id="29">
    <w:p w14:paraId="6F7BCFAA" w14:textId="77777777" w:rsidR="00F95814" w:rsidRDefault="00F95814" w:rsidP="00BD6EAD">
      <w:pPr>
        <w:pStyle w:val="Textpoznpodarou"/>
      </w:pPr>
      <w:r>
        <w:rPr>
          <w:rStyle w:val="Znakapoznpodarou"/>
        </w:rPr>
        <w:footnoteRef/>
      </w:r>
      <w:r>
        <w:t xml:space="preserve"> </w:t>
      </w:r>
      <w:r>
        <w:tab/>
        <w:t>Výchozím hodnocením se rozumí podkladové hodnocení pro zasedání hodnoticí komise, která zpracovávala jediné směrodatné hodnocení a nemusela přitom k výchozím hodnocením přihlížet.</w:t>
      </w:r>
    </w:p>
  </w:footnote>
  <w:footnote w:id="30">
    <w:p w14:paraId="7BDAA40A" w14:textId="77777777" w:rsidR="00F95814" w:rsidRDefault="00F95814" w:rsidP="00BD6EAD">
      <w:pPr>
        <w:pStyle w:val="Textpoznpodarou"/>
      </w:pPr>
      <w:r>
        <w:rPr>
          <w:rStyle w:val="Znakapoznpodarou"/>
        </w:rPr>
        <w:footnoteRef/>
      </w:r>
      <w:r>
        <w:t xml:space="preserve"> </w:t>
      </w:r>
      <w:r>
        <w:tab/>
        <w:t>Daň z přidané hodnoty.</w:t>
      </w:r>
    </w:p>
  </w:footnote>
  <w:footnote w:id="31">
    <w:p w14:paraId="0DD41A6F" w14:textId="77777777" w:rsidR="00F95814" w:rsidRDefault="00F95814" w:rsidP="00BD6EAD">
      <w:pPr>
        <w:pStyle w:val="Textpoznpodarou"/>
      </w:pPr>
      <w:r>
        <w:rPr>
          <w:rStyle w:val="Znakapoznpodarou"/>
        </w:rPr>
        <w:footnoteRef/>
      </w:r>
      <w:r>
        <w:t xml:space="preserve"> </w:t>
      </w:r>
      <w:r>
        <w:tab/>
        <w:t xml:space="preserve">Projekty jsou identifikovány jejich zkratkou (viz </w:t>
      </w:r>
      <w:r w:rsidRPr="00B0591D">
        <w:rPr>
          <w:b/>
        </w:rPr>
        <w:t>příloha č. 1</w:t>
      </w:r>
      <w:r>
        <w:t xml:space="preserve"> tohoto kontrolního závěru), přičemž v případě dvou projektů u jednoho příjemce byly využity údaje za co nejširší dostupné období. V případě projektu č. 3382 nebyly srovnatelné údaje o plánovaných a skutečných tržbách k dispozici.</w:t>
      </w:r>
    </w:p>
  </w:footnote>
  <w:footnote w:id="32">
    <w:p w14:paraId="1D06BF1C" w14:textId="77777777" w:rsidR="00F95814" w:rsidRDefault="00F95814" w:rsidP="00BD6EAD">
      <w:pPr>
        <w:pStyle w:val="Textpoznpodarou"/>
      </w:pPr>
      <w:r>
        <w:rPr>
          <w:rStyle w:val="Znakapoznpodarou"/>
        </w:rPr>
        <w:footnoteRef/>
      </w:r>
      <w:r>
        <w:t xml:space="preserve"> </w:t>
      </w:r>
      <w:r>
        <w:tab/>
        <w:t xml:space="preserve">Porušení rozpočtové kázně dle ustanovení </w:t>
      </w:r>
      <w:r w:rsidRPr="003555C2">
        <w:t>§ 44 odst. 1 písm. b) zákona č. 218/2000 Sb.</w:t>
      </w:r>
      <w:r>
        <w:t xml:space="preserve">, </w:t>
      </w:r>
      <w:r w:rsidRPr="003555C2">
        <w:t>o rozpočtových pravidlech a o změně některých souvisejících zákonů (rozpočtová pravidla)</w:t>
      </w:r>
      <w:r>
        <w:t xml:space="preserve">, a nesrovnalost ve smyslu </w:t>
      </w:r>
      <w:r w:rsidRPr="003555C2">
        <w:t>ustanovení článku 2 odst. 36 nařízení Evropského parlamentu a Rady (EU) č. 1303/2013 ze dne 17. prosince 2013</w:t>
      </w:r>
      <w:r>
        <w:t>,</w:t>
      </w:r>
      <w:r w:rsidRPr="003555C2">
        <w:t xml:space="preserve">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t>.</w:t>
      </w:r>
    </w:p>
  </w:footnote>
  <w:footnote w:id="33">
    <w:p w14:paraId="26DE6426" w14:textId="77777777" w:rsidR="00F95814" w:rsidRDefault="00F95814" w:rsidP="00BD6EAD">
      <w:pPr>
        <w:pStyle w:val="Textpoznpodarou"/>
      </w:pPr>
      <w:r w:rsidRPr="00342B25">
        <w:rPr>
          <w:rStyle w:val="Znakapoznpodarou"/>
        </w:rPr>
        <w:footnoteRef/>
      </w:r>
      <w:r w:rsidRPr="00342B25">
        <w:rPr>
          <w:rStyle w:val="Znakapoznpodarou"/>
        </w:rPr>
        <w:t xml:space="preserve"> </w:t>
      </w:r>
      <w:r>
        <w:rPr>
          <w:rStyle w:val="Znakapoznpodarou"/>
        </w:rPr>
        <w:tab/>
      </w:r>
      <w:r w:rsidRPr="00342B25">
        <w:rPr>
          <w:rStyle w:val="Znakapoznpodarou"/>
          <w:vertAlign w:val="baseline"/>
        </w:rPr>
        <w:t>Environmentální problém je definován jako problém způsobený činností člověka s negativními následky pro životní prostředí. Aktivita environmentálního sociálního podniku je prostředkem nápravy těchto negativních následků. Environmentální problém musí být definován konkrétně, a to v přímé vazbě na výkon podnikatelské činnosti žadatele.</w:t>
      </w:r>
      <w:r>
        <w:t xml:space="preserve"> </w:t>
      </w:r>
    </w:p>
  </w:footnote>
  <w:footnote w:id="34">
    <w:p w14:paraId="3CB4CA84" w14:textId="77777777" w:rsidR="00F95814" w:rsidRPr="00566AD1" w:rsidRDefault="00F95814" w:rsidP="008F725C">
      <w:pPr>
        <w:pStyle w:val="Textpoznpodarou"/>
      </w:pPr>
      <w:r>
        <w:rPr>
          <w:rStyle w:val="Znakapoznpodarou"/>
        </w:rPr>
        <w:footnoteRef/>
      </w:r>
      <w:r>
        <w:t xml:space="preserve"> </w:t>
      </w:r>
      <w:r>
        <w:tab/>
      </w:r>
      <w:r w:rsidRPr="00566AD1">
        <w:t xml:space="preserve">Číslování těchto výzev v MS2014+ je následující: č. 11 – 06_15_005, č. 12 – 06_15_010, č. 43 – 06_16_060, č. 44 – 06_16_061, č. 63 – 06_16_064, č. 64 – 06_16_065, </w:t>
      </w:r>
      <w:r>
        <w:t xml:space="preserve">č. 65 – 06_ 074, </w:t>
      </w:r>
      <w:r w:rsidRPr="00566AD1">
        <w:t>č. 90 – 06_19_112.</w:t>
      </w:r>
    </w:p>
  </w:footnote>
  <w:footnote w:id="35">
    <w:p w14:paraId="7EC9F314" w14:textId="77777777" w:rsidR="00F95814" w:rsidRDefault="00F95814" w:rsidP="008F725C">
      <w:pPr>
        <w:pStyle w:val="Textpoznpodarou"/>
      </w:pPr>
      <w:r>
        <w:rPr>
          <w:rStyle w:val="Znakapoznpodarou"/>
        </w:rPr>
        <w:footnoteRef/>
      </w:r>
      <w:r>
        <w:t xml:space="preserve"> </w:t>
      </w:r>
      <w:r>
        <w:tab/>
        <w:t xml:space="preserve">ITI = integrované územní investice. </w:t>
      </w:r>
    </w:p>
  </w:footnote>
  <w:footnote w:id="36">
    <w:p w14:paraId="247F5142" w14:textId="77777777" w:rsidR="00F95814" w:rsidRDefault="00F95814" w:rsidP="008F725C">
      <w:pPr>
        <w:pStyle w:val="Textpoznpodarou"/>
      </w:pPr>
      <w:r>
        <w:rPr>
          <w:rStyle w:val="Znakapoznpodarou"/>
        </w:rPr>
        <w:footnoteRef/>
      </w:r>
      <w:r>
        <w:t xml:space="preserve"> </w:t>
      </w:r>
      <w:r>
        <w:tab/>
        <w:t>IPRÚ = integrované plány rozvoje území.</w:t>
      </w:r>
    </w:p>
  </w:footnote>
  <w:footnote w:id="37">
    <w:p w14:paraId="435D28B8" w14:textId="77777777" w:rsidR="00F95814" w:rsidRDefault="00F95814" w:rsidP="008F725C">
      <w:pPr>
        <w:pStyle w:val="Textpoznpodarou"/>
      </w:pPr>
      <w:r>
        <w:rPr>
          <w:rStyle w:val="Znakapoznpodarou"/>
        </w:rPr>
        <w:footnoteRef/>
      </w:r>
      <w:r>
        <w:t xml:space="preserve"> </w:t>
      </w:r>
      <w:r>
        <w:tab/>
        <w:t>CLLD = komunitně vedený místní rozvoj.</w:t>
      </w:r>
    </w:p>
  </w:footnote>
  <w:footnote w:id="38">
    <w:p w14:paraId="67EFE937" w14:textId="77777777" w:rsidR="00F95814" w:rsidRDefault="00F95814" w:rsidP="008F725C">
      <w:pPr>
        <w:pStyle w:val="Textpoznpodarou"/>
      </w:pPr>
      <w:r>
        <w:rPr>
          <w:rStyle w:val="Znakapoznpodarou"/>
        </w:rPr>
        <w:footnoteRef/>
      </w:r>
      <w:r>
        <w:t xml:space="preserve"> </w:t>
      </w:r>
      <w:r>
        <w:tab/>
        <w:t>Číslování těchto výzev v MS2014+ je následující: č. 15 – 03_15_015, č. 16 – 03_15_016, č. 26 – 03_15_026, č. 47 – 03_16_047, č. 67 – 03_16_067, č. 129 – 03_17_129, č. 105 – 03_19_105.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136"/>
    <w:multiLevelType w:val="hybridMultilevel"/>
    <w:tmpl w:val="75FA897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A12A16"/>
    <w:multiLevelType w:val="hybridMultilevel"/>
    <w:tmpl w:val="B060F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7861CA"/>
    <w:multiLevelType w:val="hybridMultilevel"/>
    <w:tmpl w:val="CB82B4B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96D6A"/>
    <w:multiLevelType w:val="hybridMultilevel"/>
    <w:tmpl w:val="A99AF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84675B"/>
    <w:multiLevelType w:val="hybridMultilevel"/>
    <w:tmpl w:val="D2023F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74E20"/>
    <w:multiLevelType w:val="hybridMultilevel"/>
    <w:tmpl w:val="B6AA07C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041FE"/>
    <w:multiLevelType w:val="hybridMultilevel"/>
    <w:tmpl w:val="4558D2A8"/>
    <w:lvl w:ilvl="0" w:tplc="1AE419F2">
      <w:start w:val="1"/>
      <w:numFmt w:val="decimal"/>
      <w:pStyle w:val="JK1"/>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D42EE6"/>
    <w:multiLevelType w:val="hybridMultilevel"/>
    <w:tmpl w:val="B680DFBA"/>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15:restartNumberingAfterBreak="0">
    <w:nsid w:val="336B4A5E"/>
    <w:multiLevelType w:val="hybridMultilevel"/>
    <w:tmpl w:val="BD469606"/>
    <w:lvl w:ilvl="0" w:tplc="621A151A">
      <w:start w:val="1"/>
      <w:numFmt w:val="decimal"/>
      <w:pStyle w:val="KPseznamcislo"/>
      <w:lvlText w:val="%1."/>
      <w:lvlJc w:val="left"/>
      <w:pPr>
        <w:ind w:left="1080" w:hanging="360"/>
      </w:pPr>
      <w:rPr>
        <w:b w:val="0"/>
      </w:rPr>
    </w:lvl>
    <w:lvl w:ilvl="1" w:tplc="E2CC618C" w:tentative="1">
      <w:start w:val="1"/>
      <w:numFmt w:val="lowerLetter"/>
      <w:lvlText w:val="%2."/>
      <w:lvlJc w:val="left"/>
      <w:pPr>
        <w:ind w:left="1800" w:hanging="360"/>
      </w:pPr>
    </w:lvl>
    <w:lvl w:ilvl="2" w:tplc="8CAAE5FA" w:tentative="1">
      <w:start w:val="1"/>
      <w:numFmt w:val="lowerRoman"/>
      <w:lvlText w:val="%3."/>
      <w:lvlJc w:val="right"/>
      <w:pPr>
        <w:ind w:left="2520" w:hanging="180"/>
      </w:pPr>
    </w:lvl>
    <w:lvl w:ilvl="3" w:tplc="37FC2320" w:tentative="1">
      <w:start w:val="1"/>
      <w:numFmt w:val="decimal"/>
      <w:lvlText w:val="%4."/>
      <w:lvlJc w:val="left"/>
      <w:pPr>
        <w:ind w:left="3240" w:hanging="360"/>
      </w:pPr>
    </w:lvl>
    <w:lvl w:ilvl="4" w:tplc="F59AAE90" w:tentative="1">
      <w:start w:val="1"/>
      <w:numFmt w:val="lowerLetter"/>
      <w:lvlText w:val="%5."/>
      <w:lvlJc w:val="left"/>
      <w:pPr>
        <w:ind w:left="3960" w:hanging="360"/>
      </w:pPr>
    </w:lvl>
    <w:lvl w:ilvl="5" w:tplc="507ACE60" w:tentative="1">
      <w:start w:val="1"/>
      <w:numFmt w:val="lowerRoman"/>
      <w:lvlText w:val="%6."/>
      <w:lvlJc w:val="right"/>
      <w:pPr>
        <w:ind w:left="4680" w:hanging="180"/>
      </w:pPr>
    </w:lvl>
    <w:lvl w:ilvl="6" w:tplc="DC3A2262" w:tentative="1">
      <w:start w:val="1"/>
      <w:numFmt w:val="decimal"/>
      <w:lvlText w:val="%7."/>
      <w:lvlJc w:val="left"/>
      <w:pPr>
        <w:ind w:left="5400" w:hanging="360"/>
      </w:pPr>
    </w:lvl>
    <w:lvl w:ilvl="7" w:tplc="67045FF4" w:tentative="1">
      <w:start w:val="1"/>
      <w:numFmt w:val="lowerLetter"/>
      <w:lvlText w:val="%8."/>
      <w:lvlJc w:val="left"/>
      <w:pPr>
        <w:ind w:left="6120" w:hanging="360"/>
      </w:pPr>
    </w:lvl>
    <w:lvl w:ilvl="8" w:tplc="9B4A13F4" w:tentative="1">
      <w:start w:val="1"/>
      <w:numFmt w:val="lowerRoman"/>
      <w:lvlText w:val="%9."/>
      <w:lvlJc w:val="right"/>
      <w:pPr>
        <w:ind w:left="6840" w:hanging="180"/>
      </w:pPr>
    </w:lvl>
  </w:abstractNum>
  <w:abstractNum w:abstractNumId="9" w15:restartNumberingAfterBreak="0">
    <w:nsid w:val="34875A30"/>
    <w:multiLevelType w:val="hybridMultilevel"/>
    <w:tmpl w:val="7FC2956C"/>
    <w:lvl w:ilvl="0" w:tplc="C37026E8">
      <w:start w:val="1"/>
      <w:numFmt w:val="decimal"/>
      <w:pStyle w:val="JK2"/>
      <w:lvlText w:val="2.%1"/>
      <w:lvlJc w:val="left"/>
      <w:pPr>
        <w:ind w:left="475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7E1F45"/>
    <w:multiLevelType w:val="hybridMultilevel"/>
    <w:tmpl w:val="F1BEB61C"/>
    <w:lvl w:ilvl="0" w:tplc="BE3A29B0">
      <w:start w:val="1"/>
      <w:numFmt w:val="bullet"/>
      <w:pStyle w:val="KPodrazka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0C062BF"/>
    <w:multiLevelType w:val="hybridMultilevel"/>
    <w:tmpl w:val="178EF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3562C17"/>
    <w:multiLevelType w:val="hybridMultilevel"/>
    <w:tmpl w:val="A6D01564"/>
    <w:lvl w:ilvl="0" w:tplc="FC36572E">
      <w:start w:val="1"/>
      <w:numFmt w:val="decimal"/>
      <w:pStyle w:val="JK4"/>
      <w:lvlText w:val="4.%1"/>
      <w:lvlJc w:val="left"/>
      <w:pPr>
        <w:ind w:left="347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F1B2E71"/>
    <w:multiLevelType w:val="hybridMultilevel"/>
    <w:tmpl w:val="E1DEB978"/>
    <w:lvl w:ilvl="0" w:tplc="A976AE7A">
      <w:start w:val="1"/>
      <w:numFmt w:val="upperRoman"/>
      <w:pStyle w:val="Nadpismsk"/>
      <w:lvlText w:val="%1."/>
      <w:lvlJc w:val="right"/>
      <w:pPr>
        <w:ind w:left="3621" w:hanging="360"/>
      </w:pPr>
      <w:rPr>
        <w:b/>
        <w:sz w:val="32"/>
        <w:szCs w:val="3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787F7451"/>
    <w:multiLevelType w:val="hybridMultilevel"/>
    <w:tmpl w:val="0F686F52"/>
    <w:lvl w:ilvl="0" w:tplc="35B6CE00">
      <w:start w:val="1"/>
      <w:numFmt w:val="lowerLetter"/>
      <w:lvlText w:val="%1)"/>
      <w:lvlJc w:val="left"/>
      <w:pPr>
        <w:ind w:left="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02D2D6">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4C8D26">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349EF2">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7CDD02">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30B0AC">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FCE05C">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D69C92">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5C07AC">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E51472D"/>
    <w:multiLevelType w:val="hybridMultilevel"/>
    <w:tmpl w:val="57A60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9"/>
  </w:num>
  <w:num w:numId="5">
    <w:abstractNumId w:val="12"/>
  </w:num>
  <w:num w:numId="6">
    <w:abstractNumId w:val="10"/>
  </w:num>
  <w:num w:numId="7">
    <w:abstractNumId w:val="4"/>
  </w:num>
  <w:num w:numId="8">
    <w:abstractNumId w:val="1"/>
  </w:num>
  <w:num w:numId="9">
    <w:abstractNumId w:val="7"/>
  </w:num>
  <w:num w:numId="10">
    <w:abstractNumId w:val="0"/>
  </w:num>
  <w:num w:numId="11">
    <w:abstractNumId w:val="15"/>
  </w:num>
  <w:num w:numId="12">
    <w:abstractNumId w:val="14"/>
  </w:num>
  <w:num w:numId="13">
    <w:abstractNumId w:val="5"/>
  </w:num>
  <w:num w:numId="14">
    <w:abstractNumId w:val="2"/>
  </w:num>
  <w:num w:numId="15">
    <w:abstractNumId w:val="11"/>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trackRevisions/>
  <w:doNotTrackMoves/>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2F"/>
    <w:rsid w:val="000000BA"/>
    <w:rsid w:val="00000728"/>
    <w:rsid w:val="00000741"/>
    <w:rsid w:val="00001120"/>
    <w:rsid w:val="00001A74"/>
    <w:rsid w:val="00001B30"/>
    <w:rsid w:val="000028A7"/>
    <w:rsid w:val="00003D2A"/>
    <w:rsid w:val="000046DF"/>
    <w:rsid w:val="00004933"/>
    <w:rsid w:val="000056E1"/>
    <w:rsid w:val="00005AD0"/>
    <w:rsid w:val="00005B06"/>
    <w:rsid w:val="00005B0E"/>
    <w:rsid w:val="000060B4"/>
    <w:rsid w:val="0000655E"/>
    <w:rsid w:val="000068DA"/>
    <w:rsid w:val="00006B62"/>
    <w:rsid w:val="0000712B"/>
    <w:rsid w:val="0000724C"/>
    <w:rsid w:val="00011530"/>
    <w:rsid w:val="00011841"/>
    <w:rsid w:val="00011B6F"/>
    <w:rsid w:val="00012127"/>
    <w:rsid w:val="0001353C"/>
    <w:rsid w:val="00013910"/>
    <w:rsid w:val="00014C30"/>
    <w:rsid w:val="0001562E"/>
    <w:rsid w:val="00015DB1"/>
    <w:rsid w:val="000164AF"/>
    <w:rsid w:val="0001722B"/>
    <w:rsid w:val="00017322"/>
    <w:rsid w:val="0001771B"/>
    <w:rsid w:val="00017796"/>
    <w:rsid w:val="00020B96"/>
    <w:rsid w:val="00022BCB"/>
    <w:rsid w:val="00022CA4"/>
    <w:rsid w:val="00024AC7"/>
    <w:rsid w:val="00024B1E"/>
    <w:rsid w:val="000250A9"/>
    <w:rsid w:val="0002583C"/>
    <w:rsid w:val="0002617D"/>
    <w:rsid w:val="00026CE2"/>
    <w:rsid w:val="00027C84"/>
    <w:rsid w:val="00027E25"/>
    <w:rsid w:val="000309B6"/>
    <w:rsid w:val="000313DA"/>
    <w:rsid w:val="00031ED9"/>
    <w:rsid w:val="000321FD"/>
    <w:rsid w:val="00032FC2"/>
    <w:rsid w:val="0003337C"/>
    <w:rsid w:val="00033ACC"/>
    <w:rsid w:val="00033C61"/>
    <w:rsid w:val="00033D94"/>
    <w:rsid w:val="0003492F"/>
    <w:rsid w:val="00035976"/>
    <w:rsid w:val="0003629A"/>
    <w:rsid w:val="00036B5A"/>
    <w:rsid w:val="00036DCF"/>
    <w:rsid w:val="0003727C"/>
    <w:rsid w:val="00037347"/>
    <w:rsid w:val="0003778F"/>
    <w:rsid w:val="0004155E"/>
    <w:rsid w:val="00041DA3"/>
    <w:rsid w:val="0004213C"/>
    <w:rsid w:val="000428CC"/>
    <w:rsid w:val="000429B7"/>
    <w:rsid w:val="0004311B"/>
    <w:rsid w:val="0004317C"/>
    <w:rsid w:val="00043A2F"/>
    <w:rsid w:val="00043B01"/>
    <w:rsid w:val="00044246"/>
    <w:rsid w:val="0004455C"/>
    <w:rsid w:val="00045D0D"/>
    <w:rsid w:val="000460B7"/>
    <w:rsid w:val="00046F3E"/>
    <w:rsid w:val="00047BFD"/>
    <w:rsid w:val="000501FE"/>
    <w:rsid w:val="00052AF6"/>
    <w:rsid w:val="000530F1"/>
    <w:rsid w:val="00053660"/>
    <w:rsid w:val="000547BA"/>
    <w:rsid w:val="0005481B"/>
    <w:rsid w:val="000558A0"/>
    <w:rsid w:val="00055C1F"/>
    <w:rsid w:val="00055C31"/>
    <w:rsid w:val="00055C56"/>
    <w:rsid w:val="00056F3B"/>
    <w:rsid w:val="0005776D"/>
    <w:rsid w:val="00057B14"/>
    <w:rsid w:val="000602CB"/>
    <w:rsid w:val="000605A7"/>
    <w:rsid w:val="00060B90"/>
    <w:rsid w:val="000610EC"/>
    <w:rsid w:val="000614F2"/>
    <w:rsid w:val="000624C9"/>
    <w:rsid w:val="00063054"/>
    <w:rsid w:val="00063507"/>
    <w:rsid w:val="00063AEE"/>
    <w:rsid w:val="00063BA3"/>
    <w:rsid w:val="00063C9E"/>
    <w:rsid w:val="00063F2D"/>
    <w:rsid w:val="0006470A"/>
    <w:rsid w:val="00065C15"/>
    <w:rsid w:val="00067064"/>
    <w:rsid w:val="000710D3"/>
    <w:rsid w:val="00071985"/>
    <w:rsid w:val="000731DE"/>
    <w:rsid w:val="00073C30"/>
    <w:rsid w:val="00073F5F"/>
    <w:rsid w:val="0007424F"/>
    <w:rsid w:val="00076583"/>
    <w:rsid w:val="00076EC4"/>
    <w:rsid w:val="000773BD"/>
    <w:rsid w:val="00077561"/>
    <w:rsid w:val="00077620"/>
    <w:rsid w:val="00077C76"/>
    <w:rsid w:val="00077FD6"/>
    <w:rsid w:val="000800A9"/>
    <w:rsid w:val="0008087D"/>
    <w:rsid w:val="00080D05"/>
    <w:rsid w:val="000816C1"/>
    <w:rsid w:val="0008192C"/>
    <w:rsid w:val="000820E1"/>
    <w:rsid w:val="0008249C"/>
    <w:rsid w:val="00082603"/>
    <w:rsid w:val="000827F4"/>
    <w:rsid w:val="00084ADD"/>
    <w:rsid w:val="000852EF"/>
    <w:rsid w:val="00085E27"/>
    <w:rsid w:val="000863A2"/>
    <w:rsid w:val="00086634"/>
    <w:rsid w:val="000904F4"/>
    <w:rsid w:val="00090C44"/>
    <w:rsid w:val="000916FC"/>
    <w:rsid w:val="00091AF6"/>
    <w:rsid w:val="00091D14"/>
    <w:rsid w:val="00092508"/>
    <w:rsid w:val="00092696"/>
    <w:rsid w:val="00092828"/>
    <w:rsid w:val="00092DD2"/>
    <w:rsid w:val="00094142"/>
    <w:rsid w:val="00094B54"/>
    <w:rsid w:val="00095E59"/>
    <w:rsid w:val="00095F83"/>
    <w:rsid w:val="000961C8"/>
    <w:rsid w:val="00096A0D"/>
    <w:rsid w:val="00097220"/>
    <w:rsid w:val="000979BB"/>
    <w:rsid w:val="00097C11"/>
    <w:rsid w:val="000A08D0"/>
    <w:rsid w:val="000A2139"/>
    <w:rsid w:val="000A2810"/>
    <w:rsid w:val="000A360F"/>
    <w:rsid w:val="000A3889"/>
    <w:rsid w:val="000A3FCC"/>
    <w:rsid w:val="000A4B0A"/>
    <w:rsid w:val="000A4B20"/>
    <w:rsid w:val="000A628C"/>
    <w:rsid w:val="000A6DD9"/>
    <w:rsid w:val="000A6DDA"/>
    <w:rsid w:val="000A6DF3"/>
    <w:rsid w:val="000B028F"/>
    <w:rsid w:val="000B06C2"/>
    <w:rsid w:val="000B0B98"/>
    <w:rsid w:val="000B112B"/>
    <w:rsid w:val="000B14C9"/>
    <w:rsid w:val="000B191F"/>
    <w:rsid w:val="000B1F8A"/>
    <w:rsid w:val="000B2246"/>
    <w:rsid w:val="000B2370"/>
    <w:rsid w:val="000B3235"/>
    <w:rsid w:val="000B423F"/>
    <w:rsid w:val="000B4844"/>
    <w:rsid w:val="000B4894"/>
    <w:rsid w:val="000B4AAE"/>
    <w:rsid w:val="000B54DB"/>
    <w:rsid w:val="000B5892"/>
    <w:rsid w:val="000B5CB3"/>
    <w:rsid w:val="000B74FB"/>
    <w:rsid w:val="000B7A47"/>
    <w:rsid w:val="000B7F0B"/>
    <w:rsid w:val="000C0353"/>
    <w:rsid w:val="000C0407"/>
    <w:rsid w:val="000C1A09"/>
    <w:rsid w:val="000C263E"/>
    <w:rsid w:val="000C2756"/>
    <w:rsid w:val="000C2D09"/>
    <w:rsid w:val="000C3B99"/>
    <w:rsid w:val="000C3C92"/>
    <w:rsid w:val="000C3E4A"/>
    <w:rsid w:val="000C3EF0"/>
    <w:rsid w:val="000C40C6"/>
    <w:rsid w:val="000C519B"/>
    <w:rsid w:val="000C639B"/>
    <w:rsid w:val="000C6947"/>
    <w:rsid w:val="000D12E4"/>
    <w:rsid w:val="000D14D6"/>
    <w:rsid w:val="000D164F"/>
    <w:rsid w:val="000D18D2"/>
    <w:rsid w:val="000D2028"/>
    <w:rsid w:val="000D21A2"/>
    <w:rsid w:val="000D2AD1"/>
    <w:rsid w:val="000D3712"/>
    <w:rsid w:val="000D4265"/>
    <w:rsid w:val="000D52BB"/>
    <w:rsid w:val="000D5CA8"/>
    <w:rsid w:val="000D6030"/>
    <w:rsid w:val="000D70F0"/>
    <w:rsid w:val="000D7221"/>
    <w:rsid w:val="000D73BD"/>
    <w:rsid w:val="000D7853"/>
    <w:rsid w:val="000D7D3D"/>
    <w:rsid w:val="000D7D57"/>
    <w:rsid w:val="000D7E53"/>
    <w:rsid w:val="000E05AF"/>
    <w:rsid w:val="000E0985"/>
    <w:rsid w:val="000E0AA1"/>
    <w:rsid w:val="000E137C"/>
    <w:rsid w:val="000E13C8"/>
    <w:rsid w:val="000E1429"/>
    <w:rsid w:val="000E1B3B"/>
    <w:rsid w:val="000E366F"/>
    <w:rsid w:val="000E47DF"/>
    <w:rsid w:val="000E4F6E"/>
    <w:rsid w:val="000E5AFE"/>
    <w:rsid w:val="000E738B"/>
    <w:rsid w:val="000E7AC3"/>
    <w:rsid w:val="000F06BE"/>
    <w:rsid w:val="000F0848"/>
    <w:rsid w:val="000F1DB4"/>
    <w:rsid w:val="000F2CF9"/>
    <w:rsid w:val="000F387D"/>
    <w:rsid w:val="000F3F8D"/>
    <w:rsid w:val="000F42FE"/>
    <w:rsid w:val="000F4AC4"/>
    <w:rsid w:val="000F4E26"/>
    <w:rsid w:val="000F583B"/>
    <w:rsid w:val="000F6985"/>
    <w:rsid w:val="000F69CD"/>
    <w:rsid w:val="000F77E0"/>
    <w:rsid w:val="000F7A70"/>
    <w:rsid w:val="00102240"/>
    <w:rsid w:val="0010386B"/>
    <w:rsid w:val="00103AC5"/>
    <w:rsid w:val="00103FB9"/>
    <w:rsid w:val="00104217"/>
    <w:rsid w:val="00104397"/>
    <w:rsid w:val="001046D7"/>
    <w:rsid w:val="00104800"/>
    <w:rsid w:val="001049BE"/>
    <w:rsid w:val="00104D55"/>
    <w:rsid w:val="00105744"/>
    <w:rsid w:val="00105D87"/>
    <w:rsid w:val="00107203"/>
    <w:rsid w:val="00107F3F"/>
    <w:rsid w:val="001104C0"/>
    <w:rsid w:val="00110BC6"/>
    <w:rsid w:val="00110BDC"/>
    <w:rsid w:val="001117D6"/>
    <w:rsid w:val="001124C7"/>
    <w:rsid w:val="00112759"/>
    <w:rsid w:val="0011468C"/>
    <w:rsid w:val="0011587B"/>
    <w:rsid w:val="00115D58"/>
    <w:rsid w:val="001162CD"/>
    <w:rsid w:val="00116A13"/>
    <w:rsid w:val="00120416"/>
    <w:rsid w:val="00120A44"/>
    <w:rsid w:val="00120A94"/>
    <w:rsid w:val="00121186"/>
    <w:rsid w:val="001216A2"/>
    <w:rsid w:val="00121A98"/>
    <w:rsid w:val="0012202E"/>
    <w:rsid w:val="0012269D"/>
    <w:rsid w:val="00123258"/>
    <w:rsid w:val="00124B87"/>
    <w:rsid w:val="0012624A"/>
    <w:rsid w:val="001267EA"/>
    <w:rsid w:val="00126C06"/>
    <w:rsid w:val="00126D6D"/>
    <w:rsid w:val="00126EB3"/>
    <w:rsid w:val="00127CB9"/>
    <w:rsid w:val="00130A3E"/>
    <w:rsid w:val="00130C1C"/>
    <w:rsid w:val="00132133"/>
    <w:rsid w:val="001323A4"/>
    <w:rsid w:val="0013268C"/>
    <w:rsid w:val="00132E22"/>
    <w:rsid w:val="00132E86"/>
    <w:rsid w:val="001346D5"/>
    <w:rsid w:val="001350B1"/>
    <w:rsid w:val="00135876"/>
    <w:rsid w:val="00135F5B"/>
    <w:rsid w:val="0013604F"/>
    <w:rsid w:val="00136C64"/>
    <w:rsid w:val="00136C8A"/>
    <w:rsid w:val="00137642"/>
    <w:rsid w:val="00140C4A"/>
    <w:rsid w:val="00141236"/>
    <w:rsid w:val="00141937"/>
    <w:rsid w:val="00141967"/>
    <w:rsid w:val="001420DC"/>
    <w:rsid w:val="00142CBC"/>
    <w:rsid w:val="00143957"/>
    <w:rsid w:val="00143B6F"/>
    <w:rsid w:val="00144085"/>
    <w:rsid w:val="00144ADB"/>
    <w:rsid w:val="0014529B"/>
    <w:rsid w:val="00146BAD"/>
    <w:rsid w:val="001471F4"/>
    <w:rsid w:val="001472D8"/>
    <w:rsid w:val="00147DEA"/>
    <w:rsid w:val="00150171"/>
    <w:rsid w:val="001508BA"/>
    <w:rsid w:val="00150DB4"/>
    <w:rsid w:val="00150EB9"/>
    <w:rsid w:val="001515A5"/>
    <w:rsid w:val="0015171B"/>
    <w:rsid w:val="00151C56"/>
    <w:rsid w:val="00151EF6"/>
    <w:rsid w:val="001520C9"/>
    <w:rsid w:val="00152287"/>
    <w:rsid w:val="00152623"/>
    <w:rsid w:val="001527E1"/>
    <w:rsid w:val="001529F1"/>
    <w:rsid w:val="00154084"/>
    <w:rsid w:val="00154502"/>
    <w:rsid w:val="00156838"/>
    <w:rsid w:val="00156C1F"/>
    <w:rsid w:val="00156F84"/>
    <w:rsid w:val="00157388"/>
    <w:rsid w:val="00160896"/>
    <w:rsid w:val="00161D05"/>
    <w:rsid w:val="00161F59"/>
    <w:rsid w:val="00162DD3"/>
    <w:rsid w:val="001641DA"/>
    <w:rsid w:val="00164F1C"/>
    <w:rsid w:val="00164F87"/>
    <w:rsid w:val="0016544D"/>
    <w:rsid w:val="00165522"/>
    <w:rsid w:val="00165822"/>
    <w:rsid w:val="0016607C"/>
    <w:rsid w:val="001660DA"/>
    <w:rsid w:val="001677A3"/>
    <w:rsid w:val="00167B68"/>
    <w:rsid w:val="0017090C"/>
    <w:rsid w:val="00171283"/>
    <w:rsid w:val="0017199F"/>
    <w:rsid w:val="00172833"/>
    <w:rsid w:val="001728A9"/>
    <w:rsid w:val="00172F29"/>
    <w:rsid w:val="001737B0"/>
    <w:rsid w:val="001737C3"/>
    <w:rsid w:val="00173C67"/>
    <w:rsid w:val="00174B9D"/>
    <w:rsid w:val="00174EED"/>
    <w:rsid w:val="001758C5"/>
    <w:rsid w:val="001759B5"/>
    <w:rsid w:val="001761BB"/>
    <w:rsid w:val="00176EFE"/>
    <w:rsid w:val="00177445"/>
    <w:rsid w:val="0017771C"/>
    <w:rsid w:val="001778DD"/>
    <w:rsid w:val="00177A34"/>
    <w:rsid w:val="001810BA"/>
    <w:rsid w:val="0018196A"/>
    <w:rsid w:val="00181EB1"/>
    <w:rsid w:val="0018202D"/>
    <w:rsid w:val="00182673"/>
    <w:rsid w:val="001832DE"/>
    <w:rsid w:val="00183502"/>
    <w:rsid w:val="00183A1F"/>
    <w:rsid w:val="001841BF"/>
    <w:rsid w:val="0018424F"/>
    <w:rsid w:val="00184413"/>
    <w:rsid w:val="001861C2"/>
    <w:rsid w:val="0018643E"/>
    <w:rsid w:val="0018662D"/>
    <w:rsid w:val="00186CEF"/>
    <w:rsid w:val="00187EC4"/>
    <w:rsid w:val="00190839"/>
    <w:rsid w:val="00190CEB"/>
    <w:rsid w:val="0019169B"/>
    <w:rsid w:val="001919F8"/>
    <w:rsid w:val="00192467"/>
    <w:rsid w:val="00192CF9"/>
    <w:rsid w:val="00193003"/>
    <w:rsid w:val="001931E0"/>
    <w:rsid w:val="00193836"/>
    <w:rsid w:val="00194270"/>
    <w:rsid w:val="001943EF"/>
    <w:rsid w:val="00194EBD"/>
    <w:rsid w:val="0019532F"/>
    <w:rsid w:val="001953BF"/>
    <w:rsid w:val="001968D7"/>
    <w:rsid w:val="001978BA"/>
    <w:rsid w:val="00197E5E"/>
    <w:rsid w:val="001A0686"/>
    <w:rsid w:val="001A0B55"/>
    <w:rsid w:val="001A0C27"/>
    <w:rsid w:val="001A11A3"/>
    <w:rsid w:val="001A2846"/>
    <w:rsid w:val="001A29D6"/>
    <w:rsid w:val="001A2B53"/>
    <w:rsid w:val="001A3570"/>
    <w:rsid w:val="001A42F7"/>
    <w:rsid w:val="001A51F5"/>
    <w:rsid w:val="001A54A9"/>
    <w:rsid w:val="001A61F5"/>
    <w:rsid w:val="001A7EAE"/>
    <w:rsid w:val="001B0EF2"/>
    <w:rsid w:val="001B1309"/>
    <w:rsid w:val="001B1E78"/>
    <w:rsid w:val="001B2366"/>
    <w:rsid w:val="001B269D"/>
    <w:rsid w:val="001B3BAD"/>
    <w:rsid w:val="001B3D84"/>
    <w:rsid w:val="001B3F22"/>
    <w:rsid w:val="001B46CE"/>
    <w:rsid w:val="001B49D1"/>
    <w:rsid w:val="001B4E4A"/>
    <w:rsid w:val="001B6ACD"/>
    <w:rsid w:val="001B7C66"/>
    <w:rsid w:val="001B7EA6"/>
    <w:rsid w:val="001B7F4A"/>
    <w:rsid w:val="001C0F3D"/>
    <w:rsid w:val="001C1984"/>
    <w:rsid w:val="001C1E3E"/>
    <w:rsid w:val="001C2B73"/>
    <w:rsid w:val="001C2ECE"/>
    <w:rsid w:val="001C3187"/>
    <w:rsid w:val="001C3A2B"/>
    <w:rsid w:val="001C4632"/>
    <w:rsid w:val="001C4A40"/>
    <w:rsid w:val="001C4FA9"/>
    <w:rsid w:val="001C5850"/>
    <w:rsid w:val="001C645F"/>
    <w:rsid w:val="001C68F4"/>
    <w:rsid w:val="001D0785"/>
    <w:rsid w:val="001D0A42"/>
    <w:rsid w:val="001D12B9"/>
    <w:rsid w:val="001D21CC"/>
    <w:rsid w:val="001D28E0"/>
    <w:rsid w:val="001D3156"/>
    <w:rsid w:val="001D434A"/>
    <w:rsid w:val="001D4FAD"/>
    <w:rsid w:val="001D53B5"/>
    <w:rsid w:val="001D5CA4"/>
    <w:rsid w:val="001D5DD4"/>
    <w:rsid w:val="001D615F"/>
    <w:rsid w:val="001D6BA7"/>
    <w:rsid w:val="001D6E1D"/>
    <w:rsid w:val="001D6FBF"/>
    <w:rsid w:val="001D7048"/>
    <w:rsid w:val="001D793B"/>
    <w:rsid w:val="001E015D"/>
    <w:rsid w:val="001E0A3E"/>
    <w:rsid w:val="001E1065"/>
    <w:rsid w:val="001E11F3"/>
    <w:rsid w:val="001E1728"/>
    <w:rsid w:val="001E19CB"/>
    <w:rsid w:val="001E1A17"/>
    <w:rsid w:val="001E21F5"/>
    <w:rsid w:val="001E2499"/>
    <w:rsid w:val="001E337E"/>
    <w:rsid w:val="001E45D4"/>
    <w:rsid w:val="001E500B"/>
    <w:rsid w:val="001E51A0"/>
    <w:rsid w:val="001E5276"/>
    <w:rsid w:val="001E55CC"/>
    <w:rsid w:val="001E59AF"/>
    <w:rsid w:val="001E657B"/>
    <w:rsid w:val="001E657F"/>
    <w:rsid w:val="001E756E"/>
    <w:rsid w:val="001E7B3D"/>
    <w:rsid w:val="001F016A"/>
    <w:rsid w:val="001F0B2C"/>
    <w:rsid w:val="001F21D1"/>
    <w:rsid w:val="001F2794"/>
    <w:rsid w:val="001F2B23"/>
    <w:rsid w:val="001F3105"/>
    <w:rsid w:val="001F326C"/>
    <w:rsid w:val="001F35E0"/>
    <w:rsid w:val="001F3867"/>
    <w:rsid w:val="001F3BB2"/>
    <w:rsid w:val="001F4B53"/>
    <w:rsid w:val="001F5DD0"/>
    <w:rsid w:val="001F5E7B"/>
    <w:rsid w:val="001F6321"/>
    <w:rsid w:val="001F6633"/>
    <w:rsid w:val="001F6A32"/>
    <w:rsid w:val="001F7081"/>
    <w:rsid w:val="001F776C"/>
    <w:rsid w:val="002001AF"/>
    <w:rsid w:val="002011FA"/>
    <w:rsid w:val="002015CB"/>
    <w:rsid w:val="00201994"/>
    <w:rsid w:val="00201C79"/>
    <w:rsid w:val="00202701"/>
    <w:rsid w:val="00203FE7"/>
    <w:rsid w:val="0020406A"/>
    <w:rsid w:val="0020420E"/>
    <w:rsid w:val="00205390"/>
    <w:rsid w:val="00205729"/>
    <w:rsid w:val="00205819"/>
    <w:rsid w:val="00205EE0"/>
    <w:rsid w:val="002064AB"/>
    <w:rsid w:val="00207928"/>
    <w:rsid w:val="0021036B"/>
    <w:rsid w:val="0021060E"/>
    <w:rsid w:val="00211D82"/>
    <w:rsid w:val="00212113"/>
    <w:rsid w:val="00212BC1"/>
    <w:rsid w:val="00214DB3"/>
    <w:rsid w:val="00214F11"/>
    <w:rsid w:val="00216477"/>
    <w:rsid w:val="002165F8"/>
    <w:rsid w:val="002179E8"/>
    <w:rsid w:val="00217BE6"/>
    <w:rsid w:val="00220AA4"/>
    <w:rsid w:val="00220CB0"/>
    <w:rsid w:val="00220D2D"/>
    <w:rsid w:val="00221A24"/>
    <w:rsid w:val="00221C32"/>
    <w:rsid w:val="00221C5E"/>
    <w:rsid w:val="00222667"/>
    <w:rsid w:val="00222A92"/>
    <w:rsid w:val="002230AB"/>
    <w:rsid w:val="00223819"/>
    <w:rsid w:val="00224FE8"/>
    <w:rsid w:val="0022511D"/>
    <w:rsid w:val="0022561F"/>
    <w:rsid w:val="002256E5"/>
    <w:rsid w:val="00225762"/>
    <w:rsid w:val="00226DAA"/>
    <w:rsid w:val="00227D07"/>
    <w:rsid w:val="00227EA0"/>
    <w:rsid w:val="00230563"/>
    <w:rsid w:val="00230F4D"/>
    <w:rsid w:val="00231917"/>
    <w:rsid w:val="00231C91"/>
    <w:rsid w:val="00231F35"/>
    <w:rsid w:val="00232735"/>
    <w:rsid w:val="00232EB7"/>
    <w:rsid w:val="002332F5"/>
    <w:rsid w:val="002336DC"/>
    <w:rsid w:val="00233B62"/>
    <w:rsid w:val="00233BD2"/>
    <w:rsid w:val="00233CFB"/>
    <w:rsid w:val="002348E1"/>
    <w:rsid w:val="00234ED4"/>
    <w:rsid w:val="00235536"/>
    <w:rsid w:val="0023553E"/>
    <w:rsid w:val="00235B6E"/>
    <w:rsid w:val="00236117"/>
    <w:rsid w:val="00236305"/>
    <w:rsid w:val="002366EB"/>
    <w:rsid w:val="002375AF"/>
    <w:rsid w:val="00237A67"/>
    <w:rsid w:val="00237FE9"/>
    <w:rsid w:val="002404D9"/>
    <w:rsid w:val="0024063C"/>
    <w:rsid w:val="00240861"/>
    <w:rsid w:val="00241984"/>
    <w:rsid w:val="00241993"/>
    <w:rsid w:val="00242BF7"/>
    <w:rsid w:val="00243083"/>
    <w:rsid w:val="00243477"/>
    <w:rsid w:val="00243B62"/>
    <w:rsid w:val="00243DC4"/>
    <w:rsid w:val="00245505"/>
    <w:rsid w:val="00246466"/>
    <w:rsid w:val="002474EC"/>
    <w:rsid w:val="00247995"/>
    <w:rsid w:val="00247A50"/>
    <w:rsid w:val="00247C8C"/>
    <w:rsid w:val="00247EA1"/>
    <w:rsid w:val="00250BC9"/>
    <w:rsid w:val="00250E8F"/>
    <w:rsid w:val="00251792"/>
    <w:rsid w:val="002524D7"/>
    <w:rsid w:val="0025482D"/>
    <w:rsid w:val="00254DA1"/>
    <w:rsid w:val="00256246"/>
    <w:rsid w:val="00256302"/>
    <w:rsid w:val="002563AB"/>
    <w:rsid w:val="00256FEC"/>
    <w:rsid w:val="002603CD"/>
    <w:rsid w:val="00260B47"/>
    <w:rsid w:val="00261377"/>
    <w:rsid w:val="00261673"/>
    <w:rsid w:val="002616C0"/>
    <w:rsid w:val="00261858"/>
    <w:rsid w:val="00261D99"/>
    <w:rsid w:val="00261FBD"/>
    <w:rsid w:val="00262748"/>
    <w:rsid w:val="00262AE0"/>
    <w:rsid w:val="002631A8"/>
    <w:rsid w:val="00263705"/>
    <w:rsid w:val="00263901"/>
    <w:rsid w:val="00263E14"/>
    <w:rsid w:val="00263E38"/>
    <w:rsid w:val="00264A0B"/>
    <w:rsid w:val="00264A35"/>
    <w:rsid w:val="00264D70"/>
    <w:rsid w:val="00264EBE"/>
    <w:rsid w:val="00265AB2"/>
    <w:rsid w:val="00266891"/>
    <w:rsid w:val="00267921"/>
    <w:rsid w:val="00267BAE"/>
    <w:rsid w:val="00267DA5"/>
    <w:rsid w:val="00267F50"/>
    <w:rsid w:val="00270899"/>
    <w:rsid w:val="002709D7"/>
    <w:rsid w:val="00271B62"/>
    <w:rsid w:val="002728B3"/>
    <w:rsid w:val="0027290E"/>
    <w:rsid w:val="00273102"/>
    <w:rsid w:val="0027378C"/>
    <w:rsid w:val="00273859"/>
    <w:rsid w:val="002757F4"/>
    <w:rsid w:val="00275868"/>
    <w:rsid w:val="002763C3"/>
    <w:rsid w:val="00277CE0"/>
    <w:rsid w:val="00280471"/>
    <w:rsid w:val="0028059A"/>
    <w:rsid w:val="0028084F"/>
    <w:rsid w:val="00281755"/>
    <w:rsid w:val="00281A57"/>
    <w:rsid w:val="00281AF5"/>
    <w:rsid w:val="00281C2D"/>
    <w:rsid w:val="00282685"/>
    <w:rsid w:val="002826F9"/>
    <w:rsid w:val="0028308B"/>
    <w:rsid w:val="00283924"/>
    <w:rsid w:val="00284276"/>
    <w:rsid w:val="002844ED"/>
    <w:rsid w:val="00285033"/>
    <w:rsid w:val="002852F0"/>
    <w:rsid w:val="00285969"/>
    <w:rsid w:val="002863F6"/>
    <w:rsid w:val="00286754"/>
    <w:rsid w:val="00286F14"/>
    <w:rsid w:val="00287954"/>
    <w:rsid w:val="00290220"/>
    <w:rsid w:val="002910DD"/>
    <w:rsid w:val="00291DCC"/>
    <w:rsid w:val="0029266B"/>
    <w:rsid w:val="00292790"/>
    <w:rsid w:val="00292957"/>
    <w:rsid w:val="00292A00"/>
    <w:rsid w:val="002931ED"/>
    <w:rsid w:val="00293C94"/>
    <w:rsid w:val="00293D77"/>
    <w:rsid w:val="00293E0D"/>
    <w:rsid w:val="002946E7"/>
    <w:rsid w:val="00294990"/>
    <w:rsid w:val="002950C8"/>
    <w:rsid w:val="0029527C"/>
    <w:rsid w:val="0029531C"/>
    <w:rsid w:val="002959D6"/>
    <w:rsid w:val="002962DA"/>
    <w:rsid w:val="002963C1"/>
    <w:rsid w:val="00296C25"/>
    <w:rsid w:val="002970B3"/>
    <w:rsid w:val="00297C21"/>
    <w:rsid w:val="00297EA0"/>
    <w:rsid w:val="00297ED2"/>
    <w:rsid w:val="002A424A"/>
    <w:rsid w:val="002A4C8E"/>
    <w:rsid w:val="002A4DBE"/>
    <w:rsid w:val="002A55C3"/>
    <w:rsid w:val="002A5734"/>
    <w:rsid w:val="002A5EA9"/>
    <w:rsid w:val="002A611C"/>
    <w:rsid w:val="002A65AC"/>
    <w:rsid w:val="002A6A2A"/>
    <w:rsid w:val="002A7223"/>
    <w:rsid w:val="002A74C9"/>
    <w:rsid w:val="002A74EC"/>
    <w:rsid w:val="002A774F"/>
    <w:rsid w:val="002A7D7E"/>
    <w:rsid w:val="002B0D31"/>
    <w:rsid w:val="002B10A3"/>
    <w:rsid w:val="002B18FB"/>
    <w:rsid w:val="002B1917"/>
    <w:rsid w:val="002B2740"/>
    <w:rsid w:val="002B2DFA"/>
    <w:rsid w:val="002B3661"/>
    <w:rsid w:val="002B3D7F"/>
    <w:rsid w:val="002B481B"/>
    <w:rsid w:val="002B5F65"/>
    <w:rsid w:val="002B62B5"/>
    <w:rsid w:val="002B78AD"/>
    <w:rsid w:val="002C0469"/>
    <w:rsid w:val="002C0556"/>
    <w:rsid w:val="002C0758"/>
    <w:rsid w:val="002C1445"/>
    <w:rsid w:val="002C150C"/>
    <w:rsid w:val="002C1587"/>
    <w:rsid w:val="002C161C"/>
    <w:rsid w:val="002C1B6A"/>
    <w:rsid w:val="002C270D"/>
    <w:rsid w:val="002C2D32"/>
    <w:rsid w:val="002C2EEF"/>
    <w:rsid w:val="002C3E08"/>
    <w:rsid w:val="002C3F74"/>
    <w:rsid w:val="002C41DC"/>
    <w:rsid w:val="002C41EF"/>
    <w:rsid w:val="002C64C4"/>
    <w:rsid w:val="002C6B9C"/>
    <w:rsid w:val="002C6F62"/>
    <w:rsid w:val="002C7699"/>
    <w:rsid w:val="002D0E4D"/>
    <w:rsid w:val="002D11E3"/>
    <w:rsid w:val="002D18E3"/>
    <w:rsid w:val="002D1D96"/>
    <w:rsid w:val="002D1DB5"/>
    <w:rsid w:val="002D1DE3"/>
    <w:rsid w:val="002D1F88"/>
    <w:rsid w:val="002D34C9"/>
    <w:rsid w:val="002D46E6"/>
    <w:rsid w:val="002D4BFF"/>
    <w:rsid w:val="002D528B"/>
    <w:rsid w:val="002D5AC0"/>
    <w:rsid w:val="002D61E6"/>
    <w:rsid w:val="002D7192"/>
    <w:rsid w:val="002D7D18"/>
    <w:rsid w:val="002E02EB"/>
    <w:rsid w:val="002E06DF"/>
    <w:rsid w:val="002E0F4D"/>
    <w:rsid w:val="002E17BB"/>
    <w:rsid w:val="002E1A8A"/>
    <w:rsid w:val="002E1C1B"/>
    <w:rsid w:val="002E2CD9"/>
    <w:rsid w:val="002E32D5"/>
    <w:rsid w:val="002E43BD"/>
    <w:rsid w:val="002E4D85"/>
    <w:rsid w:val="002E6231"/>
    <w:rsid w:val="002E6886"/>
    <w:rsid w:val="002E68AB"/>
    <w:rsid w:val="002E7017"/>
    <w:rsid w:val="002F0749"/>
    <w:rsid w:val="002F0C65"/>
    <w:rsid w:val="002F17FF"/>
    <w:rsid w:val="002F1FE0"/>
    <w:rsid w:val="002F3FCA"/>
    <w:rsid w:val="002F40DE"/>
    <w:rsid w:val="002F415F"/>
    <w:rsid w:val="002F567A"/>
    <w:rsid w:val="002F5E7B"/>
    <w:rsid w:val="002F60FB"/>
    <w:rsid w:val="002F61AE"/>
    <w:rsid w:val="002F6C7F"/>
    <w:rsid w:val="002F6F77"/>
    <w:rsid w:val="002F710F"/>
    <w:rsid w:val="002F7243"/>
    <w:rsid w:val="003003FE"/>
    <w:rsid w:val="00300415"/>
    <w:rsid w:val="00300CAA"/>
    <w:rsid w:val="00300EA8"/>
    <w:rsid w:val="00301023"/>
    <w:rsid w:val="003026AC"/>
    <w:rsid w:val="00302F7A"/>
    <w:rsid w:val="003041FD"/>
    <w:rsid w:val="00304BCC"/>
    <w:rsid w:val="00304F86"/>
    <w:rsid w:val="00305039"/>
    <w:rsid w:val="0030504B"/>
    <w:rsid w:val="00305699"/>
    <w:rsid w:val="00305742"/>
    <w:rsid w:val="003066A4"/>
    <w:rsid w:val="00306DD0"/>
    <w:rsid w:val="00307756"/>
    <w:rsid w:val="00307F79"/>
    <w:rsid w:val="003107E1"/>
    <w:rsid w:val="00310DD7"/>
    <w:rsid w:val="00310DF4"/>
    <w:rsid w:val="003114CF"/>
    <w:rsid w:val="00311553"/>
    <w:rsid w:val="0031179A"/>
    <w:rsid w:val="003118F9"/>
    <w:rsid w:val="00312974"/>
    <w:rsid w:val="00313B39"/>
    <w:rsid w:val="00313ED6"/>
    <w:rsid w:val="00314846"/>
    <w:rsid w:val="00315428"/>
    <w:rsid w:val="003158A9"/>
    <w:rsid w:val="00315D55"/>
    <w:rsid w:val="003165DA"/>
    <w:rsid w:val="00316C94"/>
    <w:rsid w:val="00316CFE"/>
    <w:rsid w:val="00316DF0"/>
    <w:rsid w:val="003177D1"/>
    <w:rsid w:val="003209F1"/>
    <w:rsid w:val="003219B2"/>
    <w:rsid w:val="00321DEA"/>
    <w:rsid w:val="00321FB5"/>
    <w:rsid w:val="00322752"/>
    <w:rsid w:val="003247D2"/>
    <w:rsid w:val="00324977"/>
    <w:rsid w:val="003256BD"/>
    <w:rsid w:val="003260E5"/>
    <w:rsid w:val="0032615D"/>
    <w:rsid w:val="00326CBC"/>
    <w:rsid w:val="00326E4E"/>
    <w:rsid w:val="0032773A"/>
    <w:rsid w:val="00330359"/>
    <w:rsid w:val="003309AE"/>
    <w:rsid w:val="003312CE"/>
    <w:rsid w:val="003328C6"/>
    <w:rsid w:val="00332A96"/>
    <w:rsid w:val="00332C99"/>
    <w:rsid w:val="0033362D"/>
    <w:rsid w:val="003342C3"/>
    <w:rsid w:val="00334B1B"/>
    <w:rsid w:val="00334F58"/>
    <w:rsid w:val="0033511D"/>
    <w:rsid w:val="00335757"/>
    <w:rsid w:val="00335A32"/>
    <w:rsid w:val="00335DE5"/>
    <w:rsid w:val="00335F78"/>
    <w:rsid w:val="003361A5"/>
    <w:rsid w:val="00337347"/>
    <w:rsid w:val="00337D88"/>
    <w:rsid w:val="00341087"/>
    <w:rsid w:val="00341D81"/>
    <w:rsid w:val="00342359"/>
    <w:rsid w:val="00342684"/>
    <w:rsid w:val="003426F9"/>
    <w:rsid w:val="00342878"/>
    <w:rsid w:val="00342B25"/>
    <w:rsid w:val="003431DC"/>
    <w:rsid w:val="00343308"/>
    <w:rsid w:val="00343749"/>
    <w:rsid w:val="0034425A"/>
    <w:rsid w:val="00345482"/>
    <w:rsid w:val="00345783"/>
    <w:rsid w:val="00345FEC"/>
    <w:rsid w:val="003460AD"/>
    <w:rsid w:val="0034616E"/>
    <w:rsid w:val="00347904"/>
    <w:rsid w:val="003502A7"/>
    <w:rsid w:val="00350328"/>
    <w:rsid w:val="00350F9B"/>
    <w:rsid w:val="0035100E"/>
    <w:rsid w:val="00351069"/>
    <w:rsid w:val="00351435"/>
    <w:rsid w:val="00351C5B"/>
    <w:rsid w:val="0035274D"/>
    <w:rsid w:val="00352A3C"/>
    <w:rsid w:val="00353348"/>
    <w:rsid w:val="003539A2"/>
    <w:rsid w:val="00353C94"/>
    <w:rsid w:val="003541EE"/>
    <w:rsid w:val="0035476F"/>
    <w:rsid w:val="003553BD"/>
    <w:rsid w:val="00355AE9"/>
    <w:rsid w:val="00356333"/>
    <w:rsid w:val="003564B4"/>
    <w:rsid w:val="00356578"/>
    <w:rsid w:val="00356E07"/>
    <w:rsid w:val="003573E1"/>
    <w:rsid w:val="00357595"/>
    <w:rsid w:val="00357C61"/>
    <w:rsid w:val="00360DC5"/>
    <w:rsid w:val="00361301"/>
    <w:rsid w:val="0036137E"/>
    <w:rsid w:val="0036178E"/>
    <w:rsid w:val="00361B7A"/>
    <w:rsid w:val="0036206D"/>
    <w:rsid w:val="0036334B"/>
    <w:rsid w:val="00363B45"/>
    <w:rsid w:val="00363F0A"/>
    <w:rsid w:val="00363FEF"/>
    <w:rsid w:val="00364870"/>
    <w:rsid w:val="00364DCE"/>
    <w:rsid w:val="0036553E"/>
    <w:rsid w:val="003658EE"/>
    <w:rsid w:val="00365E7E"/>
    <w:rsid w:val="0036765A"/>
    <w:rsid w:val="00367E20"/>
    <w:rsid w:val="00367E48"/>
    <w:rsid w:val="0037053E"/>
    <w:rsid w:val="0037076A"/>
    <w:rsid w:val="00370CAE"/>
    <w:rsid w:val="00371178"/>
    <w:rsid w:val="0037124B"/>
    <w:rsid w:val="0037152B"/>
    <w:rsid w:val="0037166F"/>
    <w:rsid w:val="00372611"/>
    <w:rsid w:val="0037293B"/>
    <w:rsid w:val="00373806"/>
    <w:rsid w:val="00373FF0"/>
    <w:rsid w:val="00374EC7"/>
    <w:rsid w:val="00374FA2"/>
    <w:rsid w:val="00375091"/>
    <w:rsid w:val="00375917"/>
    <w:rsid w:val="00375F54"/>
    <w:rsid w:val="00376126"/>
    <w:rsid w:val="0037613D"/>
    <w:rsid w:val="00376ECF"/>
    <w:rsid w:val="00377058"/>
    <w:rsid w:val="00377ADD"/>
    <w:rsid w:val="003806A1"/>
    <w:rsid w:val="00380A67"/>
    <w:rsid w:val="00380CAB"/>
    <w:rsid w:val="00381A6B"/>
    <w:rsid w:val="00381BD2"/>
    <w:rsid w:val="00381CD8"/>
    <w:rsid w:val="00381EFD"/>
    <w:rsid w:val="0038211D"/>
    <w:rsid w:val="0038212E"/>
    <w:rsid w:val="00382618"/>
    <w:rsid w:val="00382682"/>
    <w:rsid w:val="003826C7"/>
    <w:rsid w:val="00383EE4"/>
    <w:rsid w:val="00384B57"/>
    <w:rsid w:val="0038542A"/>
    <w:rsid w:val="0038542F"/>
    <w:rsid w:val="00385898"/>
    <w:rsid w:val="00385D98"/>
    <w:rsid w:val="00386123"/>
    <w:rsid w:val="00386E7B"/>
    <w:rsid w:val="00387A3E"/>
    <w:rsid w:val="00387B59"/>
    <w:rsid w:val="00387F29"/>
    <w:rsid w:val="00387FB6"/>
    <w:rsid w:val="00390328"/>
    <w:rsid w:val="00390A71"/>
    <w:rsid w:val="003916FA"/>
    <w:rsid w:val="00391D0C"/>
    <w:rsid w:val="00392821"/>
    <w:rsid w:val="00392B4B"/>
    <w:rsid w:val="00393891"/>
    <w:rsid w:val="00393FEF"/>
    <w:rsid w:val="003940FD"/>
    <w:rsid w:val="00394DBC"/>
    <w:rsid w:val="00394DDC"/>
    <w:rsid w:val="00395A8F"/>
    <w:rsid w:val="00396135"/>
    <w:rsid w:val="003965B0"/>
    <w:rsid w:val="00397524"/>
    <w:rsid w:val="00397FC5"/>
    <w:rsid w:val="003A09E5"/>
    <w:rsid w:val="003A0FD8"/>
    <w:rsid w:val="003A1349"/>
    <w:rsid w:val="003A2255"/>
    <w:rsid w:val="003A23D5"/>
    <w:rsid w:val="003A2809"/>
    <w:rsid w:val="003A288E"/>
    <w:rsid w:val="003A3E1E"/>
    <w:rsid w:val="003A3E8E"/>
    <w:rsid w:val="003A4F11"/>
    <w:rsid w:val="003A54E4"/>
    <w:rsid w:val="003A55DB"/>
    <w:rsid w:val="003A59F4"/>
    <w:rsid w:val="003A62F0"/>
    <w:rsid w:val="003A662C"/>
    <w:rsid w:val="003A6CE2"/>
    <w:rsid w:val="003A6E5D"/>
    <w:rsid w:val="003A7441"/>
    <w:rsid w:val="003A795B"/>
    <w:rsid w:val="003B0925"/>
    <w:rsid w:val="003B154C"/>
    <w:rsid w:val="003B1BC3"/>
    <w:rsid w:val="003B1ECD"/>
    <w:rsid w:val="003B25C2"/>
    <w:rsid w:val="003B2A9C"/>
    <w:rsid w:val="003B31B9"/>
    <w:rsid w:val="003B3708"/>
    <w:rsid w:val="003B38A8"/>
    <w:rsid w:val="003B454A"/>
    <w:rsid w:val="003B4A3E"/>
    <w:rsid w:val="003B544A"/>
    <w:rsid w:val="003B5868"/>
    <w:rsid w:val="003B5A0D"/>
    <w:rsid w:val="003B620A"/>
    <w:rsid w:val="003B677B"/>
    <w:rsid w:val="003B6B57"/>
    <w:rsid w:val="003B708B"/>
    <w:rsid w:val="003B7CBA"/>
    <w:rsid w:val="003B7DC6"/>
    <w:rsid w:val="003C0434"/>
    <w:rsid w:val="003C0B8A"/>
    <w:rsid w:val="003C0F08"/>
    <w:rsid w:val="003C2849"/>
    <w:rsid w:val="003C2EB0"/>
    <w:rsid w:val="003C36F2"/>
    <w:rsid w:val="003C3BCA"/>
    <w:rsid w:val="003C3E5C"/>
    <w:rsid w:val="003C4DD3"/>
    <w:rsid w:val="003C4E2E"/>
    <w:rsid w:val="003C5CC7"/>
    <w:rsid w:val="003C61C3"/>
    <w:rsid w:val="003C68A3"/>
    <w:rsid w:val="003C6BC0"/>
    <w:rsid w:val="003C6E3A"/>
    <w:rsid w:val="003C7247"/>
    <w:rsid w:val="003C734D"/>
    <w:rsid w:val="003D08BF"/>
    <w:rsid w:val="003D099F"/>
    <w:rsid w:val="003D153C"/>
    <w:rsid w:val="003D182B"/>
    <w:rsid w:val="003D2730"/>
    <w:rsid w:val="003D285F"/>
    <w:rsid w:val="003D4957"/>
    <w:rsid w:val="003D49E5"/>
    <w:rsid w:val="003D64F1"/>
    <w:rsid w:val="003D6D11"/>
    <w:rsid w:val="003D7502"/>
    <w:rsid w:val="003E03DB"/>
    <w:rsid w:val="003E1CCB"/>
    <w:rsid w:val="003E1D2C"/>
    <w:rsid w:val="003E26E2"/>
    <w:rsid w:val="003E3A9A"/>
    <w:rsid w:val="003E4055"/>
    <w:rsid w:val="003E52C8"/>
    <w:rsid w:val="003E6C53"/>
    <w:rsid w:val="003E6E74"/>
    <w:rsid w:val="003E7095"/>
    <w:rsid w:val="003E795E"/>
    <w:rsid w:val="003F002B"/>
    <w:rsid w:val="003F0114"/>
    <w:rsid w:val="003F055C"/>
    <w:rsid w:val="003F06AB"/>
    <w:rsid w:val="003F0A9B"/>
    <w:rsid w:val="003F1B10"/>
    <w:rsid w:val="003F1DC4"/>
    <w:rsid w:val="003F1E97"/>
    <w:rsid w:val="003F2750"/>
    <w:rsid w:val="003F606E"/>
    <w:rsid w:val="003F6B4D"/>
    <w:rsid w:val="003F6CF5"/>
    <w:rsid w:val="003F79E6"/>
    <w:rsid w:val="003F7C64"/>
    <w:rsid w:val="00400309"/>
    <w:rsid w:val="00400675"/>
    <w:rsid w:val="004007C6"/>
    <w:rsid w:val="004008BB"/>
    <w:rsid w:val="00400AEC"/>
    <w:rsid w:val="00400CD3"/>
    <w:rsid w:val="00401071"/>
    <w:rsid w:val="00401893"/>
    <w:rsid w:val="00401E0B"/>
    <w:rsid w:val="00402074"/>
    <w:rsid w:val="004034C4"/>
    <w:rsid w:val="004036EC"/>
    <w:rsid w:val="004052E2"/>
    <w:rsid w:val="004053FF"/>
    <w:rsid w:val="004057A9"/>
    <w:rsid w:val="004057F7"/>
    <w:rsid w:val="00405F0F"/>
    <w:rsid w:val="00406658"/>
    <w:rsid w:val="00410C3E"/>
    <w:rsid w:val="00411D3A"/>
    <w:rsid w:val="00412021"/>
    <w:rsid w:val="00412277"/>
    <w:rsid w:val="00412C77"/>
    <w:rsid w:val="004133F0"/>
    <w:rsid w:val="0041356B"/>
    <w:rsid w:val="00413887"/>
    <w:rsid w:val="00413997"/>
    <w:rsid w:val="00413A78"/>
    <w:rsid w:val="00413D8B"/>
    <w:rsid w:val="00413DAF"/>
    <w:rsid w:val="00414639"/>
    <w:rsid w:val="00414685"/>
    <w:rsid w:val="00414C5D"/>
    <w:rsid w:val="00414D46"/>
    <w:rsid w:val="00415AF7"/>
    <w:rsid w:val="00415D64"/>
    <w:rsid w:val="00415EEF"/>
    <w:rsid w:val="00416801"/>
    <w:rsid w:val="00416864"/>
    <w:rsid w:val="0041690F"/>
    <w:rsid w:val="0041751A"/>
    <w:rsid w:val="00420DDD"/>
    <w:rsid w:val="00421791"/>
    <w:rsid w:val="004221BB"/>
    <w:rsid w:val="004236FA"/>
    <w:rsid w:val="00423B61"/>
    <w:rsid w:val="00424902"/>
    <w:rsid w:val="00424D39"/>
    <w:rsid w:val="0042526A"/>
    <w:rsid w:val="00425A9F"/>
    <w:rsid w:val="004266B6"/>
    <w:rsid w:val="00426B9B"/>
    <w:rsid w:val="00426D3A"/>
    <w:rsid w:val="004278EF"/>
    <w:rsid w:val="00427CB3"/>
    <w:rsid w:val="0043191A"/>
    <w:rsid w:val="00433482"/>
    <w:rsid w:val="00434A71"/>
    <w:rsid w:val="00434CF4"/>
    <w:rsid w:val="00434DF9"/>
    <w:rsid w:val="00435771"/>
    <w:rsid w:val="00435CFA"/>
    <w:rsid w:val="00441584"/>
    <w:rsid w:val="004424F6"/>
    <w:rsid w:val="00442C0F"/>
    <w:rsid w:val="0044394A"/>
    <w:rsid w:val="00443B7E"/>
    <w:rsid w:val="00443EBF"/>
    <w:rsid w:val="004443C0"/>
    <w:rsid w:val="00444786"/>
    <w:rsid w:val="004458A9"/>
    <w:rsid w:val="00445912"/>
    <w:rsid w:val="004477BD"/>
    <w:rsid w:val="00447C43"/>
    <w:rsid w:val="00450268"/>
    <w:rsid w:val="0045037F"/>
    <w:rsid w:val="0045046D"/>
    <w:rsid w:val="00450EC2"/>
    <w:rsid w:val="00451B60"/>
    <w:rsid w:val="0045241C"/>
    <w:rsid w:val="00452CB6"/>
    <w:rsid w:val="00452F84"/>
    <w:rsid w:val="00453E78"/>
    <w:rsid w:val="0045469E"/>
    <w:rsid w:val="0045538E"/>
    <w:rsid w:val="004553C8"/>
    <w:rsid w:val="00455495"/>
    <w:rsid w:val="004555C5"/>
    <w:rsid w:val="00455DE5"/>
    <w:rsid w:val="0045610B"/>
    <w:rsid w:val="00456521"/>
    <w:rsid w:val="00456A66"/>
    <w:rsid w:val="004603B6"/>
    <w:rsid w:val="00460F00"/>
    <w:rsid w:val="00461558"/>
    <w:rsid w:val="004623D6"/>
    <w:rsid w:val="00462679"/>
    <w:rsid w:val="00462B07"/>
    <w:rsid w:val="00463412"/>
    <w:rsid w:val="004641E1"/>
    <w:rsid w:val="004645BA"/>
    <w:rsid w:val="00464602"/>
    <w:rsid w:val="00464619"/>
    <w:rsid w:val="00464DDC"/>
    <w:rsid w:val="00465412"/>
    <w:rsid w:val="00465418"/>
    <w:rsid w:val="00466534"/>
    <w:rsid w:val="00470EBC"/>
    <w:rsid w:val="00471A0E"/>
    <w:rsid w:val="004730A1"/>
    <w:rsid w:val="004736D6"/>
    <w:rsid w:val="004740E3"/>
    <w:rsid w:val="00474903"/>
    <w:rsid w:val="00474DD7"/>
    <w:rsid w:val="00474EFE"/>
    <w:rsid w:val="004761E3"/>
    <w:rsid w:val="004767E4"/>
    <w:rsid w:val="004779EF"/>
    <w:rsid w:val="00480405"/>
    <w:rsid w:val="00480806"/>
    <w:rsid w:val="00482193"/>
    <w:rsid w:val="00482532"/>
    <w:rsid w:val="00482FEE"/>
    <w:rsid w:val="00483699"/>
    <w:rsid w:val="00483A4E"/>
    <w:rsid w:val="004847A4"/>
    <w:rsid w:val="00484E7F"/>
    <w:rsid w:val="00485260"/>
    <w:rsid w:val="00485F74"/>
    <w:rsid w:val="00486072"/>
    <w:rsid w:val="00486FFD"/>
    <w:rsid w:val="004872D9"/>
    <w:rsid w:val="00487B86"/>
    <w:rsid w:val="00487D2D"/>
    <w:rsid w:val="00487D9F"/>
    <w:rsid w:val="0049003B"/>
    <w:rsid w:val="00490CAD"/>
    <w:rsid w:val="00490FC0"/>
    <w:rsid w:val="00491C57"/>
    <w:rsid w:val="004920BA"/>
    <w:rsid w:val="00492167"/>
    <w:rsid w:val="00492857"/>
    <w:rsid w:val="00493AB2"/>
    <w:rsid w:val="00494E08"/>
    <w:rsid w:val="00495E33"/>
    <w:rsid w:val="00495E3F"/>
    <w:rsid w:val="00496E17"/>
    <w:rsid w:val="004976CF"/>
    <w:rsid w:val="00497BB0"/>
    <w:rsid w:val="00497E32"/>
    <w:rsid w:val="004A01AB"/>
    <w:rsid w:val="004A0257"/>
    <w:rsid w:val="004A1A06"/>
    <w:rsid w:val="004A1A74"/>
    <w:rsid w:val="004A214A"/>
    <w:rsid w:val="004A2A6D"/>
    <w:rsid w:val="004A2C83"/>
    <w:rsid w:val="004A42DA"/>
    <w:rsid w:val="004A45BC"/>
    <w:rsid w:val="004A4EFB"/>
    <w:rsid w:val="004A5171"/>
    <w:rsid w:val="004A5521"/>
    <w:rsid w:val="004A56AE"/>
    <w:rsid w:val="004A64B7"/>
    <w:rsid w:val="004A6E68"/>
    <w:rsid w:val="004A6F04"/>
    <w:rsid w:val="004B0E83"/>
    <w:rsid w:val="004B1731"/>
    <w:rsid w:val="004B25CE"/>
    <w:rsid w:val="004B26C6"/>
    <w:rsid w:val="004B282D"/>
    <w:rsid w:val="004B2968"/>
    <w:rsid w:val="004B2A13"/>
    <w:rsid w:val="004B4D61"/>
    <w:rsid w:val="004B4EA2"/>
    <w:rsid w:val="004B537D"/>
    <w:rsid w:val="004B58FA"/>
    <w:rsid w:val="004B625D"/>
    <w:rsid w:val="004B63DB"/>
    <w:rsid w:val="004B6578"/>
    <w:rsid w:val="004B66D7"/>
    <w:rsid w:val="004B6A3E"/>
    <w:rsid w:val="004B6D8B"/>
    <w:rsid w:val="004B7875"/>
    <w:rsid w:val="004C15F8"/>
    <w:rsid w:val="004C16CC"/>
    <w:rsid w:val="004C16FB"/>
    <w:rsid w:val="004C1C02"/>
    <w:rsid w:val="004C1F16"/>
    <w:rsid w:val="004C2B80"/>
    <w:rsid w:val="004C2CF3"/>
    <w:rsid w:val="004C2E92"/>
    <w:rsid w:val="004C36C2"/>
    <w:rsid w:val="004C3C04"/>
    <w:rsid w:val="004C572D"/>
    <w:rsid w:val="004C5F04"/>
    <w:rsid w:val="004C663F"/>
    <w:rsid w:val="004C7156"/>
    <w:rsid w:val="004C79DC"/>
    <w:rsid w:val="004C7A6F"/>
    <w:rsid w:val="004C7E5F"/>
    <w:rsid w:val="004D0011"/>
    <w:rsid w:val="004D1C73"/>
    <w:rsid w:val="004D24AC"/>
    <w:rsid w:val="004D292E"/>
    <w:rsid w:val="004D2F8F"/>
    <w:rsid w:val="004D36BB"/>
    <w:rsid w:val="004D467B"/>
    <w:rsid w:val="004D4736"/>
    <w:rsid w:val="004D50D4"/>
    <w:rsid w:val="004D580B"/>
    <w:rsid w:val="004D5ACC"/>
    <w:rsid w:val="004E1D2B"/>
    <w:rsid w:val="004E1E7B"/>
    <w:rsid w:val="004E1F3E"/>
    <w:rsid w:val="004E2151"/>
    <w:rsid w:val="004E228C"/>
    <w:rsid w:val="004E2C93"/>
    <w:rsid w:val="004E57C2"/>
    <w:rsid w:val="004E64AE"/>
    <w:rsid w:val="004E7AC6"/>
    <w:rsid w:val="004F0C31"/>
    <w:rsid w:val="004F1031"/>
    <w:rsid w:val="004F2A57"/>
    <w:rsid w:val="004F2B40"/>
    <w:rsid w:val="004F2C13"/>
    <w:rsid w:val="004F3158"/>
    <w:rsid w:val="004F31AE"/>
    <w:rsid w:val="004F45B4"/>
    <w:rsid w:val="004F4E99"/>
    <w:rsid w:val="004F6818"/>
    <w:rsid w:val="004F717E"/>
    <w:rsid w:val="004F7190"/>
    <w:rsid w:val="005000E2"/>
    <w:rsid w:val="00500368"/>
    <w:rsid w:val="0050101C"/>
    <w:rsid w:val="005021A8"/>
    <w:rsid w:val="005036AA"/>
    <w:rsid w:val="0050415B"/>
    <w:rsid w:val="005048BF"/>
    <w:rsid w:val="00504CF4"/>
    <w:rsid w:val="005054EB"/>
    <w:rsid w:val="00505B27"/>
    <w:rsid w:val="00506024"/>
    <w:rsid w:val="00506074"/>
    <w:rsid w:val="0050670F"/>
    <w:rsid w:val="005068F6"/>
    <w:rsid w:val="005070F8"/>
    <w:rsid w:val="00507194"/>
    <w:rsid w:val="00510403"/>
    <w:rsid w:val="00510A6C"/>
    <w:rsid w:val="00511BF4"/>
    <w:rsid w:val="0051275F"/>
    <w:rsid w:val="0051300D"/>
    <w:rsid w:val="00513AE2"/>
    <w:rsid w:val="00514107"/>
    <w:rsid w:val="00514348"/>
    <w:rsid w:val="00514AA1"/>
    <w:rsid w:val="00515050"/>
    <w:rsid w:val="00515A6A"/>
    <w:rsid w:val="00516476"/>
    <w:rsid w:val="00516563"/>
    <w:rsid w:val="00517C03"/>
    <w:rsid w:val="00517E8E"/>
    <w:rsid w:val="00517FCA"/>
    <w:rsid w:val="00517FFC"/>
    <w:rsid w:val="00520633"/>
    <w:rsid w:val="0052067A"/>
    <w:rsid w:val="00520D7B"/>
    <w:rsid w:val="00521119"/>
    <w:rsid w:val="0052116D"/>
    <w:rsid w:val="005221C8"/>
    <w:rsid w:val="00522412"/>
    <w:rsid w:val="00523058"/>
    <w:rsid w:val="00523D25"/>
    <w:rsid w:val="00523D67"/>
    <w:rsid w:val="00523F57"/>
    <w:rsid w:val="00524288"/>
    <w:rsid w:val="00524961"/>
    <w:rsid w:val="00524C41"/>
    <w:rsid w:val="00524D37"/>
    <w:rsid w:val="00525473"/>
    <w:rsid w:val="005255C4"/>
    <w:rsid w:val="00525AA5"/>
    <w:rsid w:val="00525D87"/>
    <w:rsid w:val="00526265"/>
    <w:rsid w:val="005266AF"/>
    <w:rsid w:val="00526CDB"/>
    <w:rsid w:val="005277B2"/>
    <w:rsid w:val="00527960"/>
    <w:rsid w:val="00527EE1"/>
    <w:rsid w:val="005304BA"/>
    <w:rsid w:val="005314AE"/>
    <w:rsid w:val="0053158B"/>
    <w:rsid w:val="00531886"/>
    <w:rsid w:val="005318F5"/>
    <w:rsid w:val="00531EEA"/>
    <w:rsid w:val="00532045"/>
    <w:rsid w:val="005326C8"/>
    <w:rsid w:val="00532A49"/>
    <w:rsid w:val="00533169"/>
    <w:rsid w:val="00533578"/>
    <w:rsid w:val="005337CF"/>
    <w:rsid w:val="0053504C"/>
    <w:rsid w:val="00535FFC"/>
    <w:rsid w:val="0053615F"/>
    <w:rsid w:val="00536632"/>
    <w:rsid w:val="00537481"/>
    <w:rsid w:val="00537615"/>
    <w:rsid w:val="00537C07"/>
    <w:rsid w:val="0054030F"/>
    <w:rsid w:val="00540A00"/>
    <w:rsid w:val="00540F79"/>
    <w:rsid w:val="005415CE"/>
    <w:rsid w:val="005427BB"/>
    <w:rsid w:val="00543561"/>
    <w:rsid w:val="005435FA"/>
    <w:rsid w:val="00543627"/>
    <w:rsid w:val="00543E16"/>
    <w:rsid w:val="005442CC"/>
    <w:rsid w:val="005445F8"/>
    <w:rsid w:val="0054488E"/>
    <w:rsid w:val="005453CB"/>
    <w:rsid w:val="005458E7"/>
    <w:rsid w:val="00546852"/>
    <w:rsid w:val="00550728"/>
    <w:rsid w:val="00551093"/>
    <w:rsid w:val="00551E5F"/>
    <w:rsid w:val="00551EB6"/>
    <w:rsid w:val="00552F30"/>
    <w:rsid w:val="00554427"/>
    <w:rsid w:val="00554C84"/>
    <w:rsid w:val="00554E16"/>
    <w:rsid w:val="005561CE"/>
    <w:rsid w:val="00556DA0"/>
    <w:rsid w:val="005578D2"/>
    <w:rsid w:val="005600CA"/>
    <w:rsid w:val="00560DBD"/>
    <w:rsid w:val="005611EE"/>
    <w:rsid w:val="00562001"/>
    <w:rsid w:val="00562E03"/>
    <w:rsid w:val="00563E7E"/>
    <w:rsid w:val="005642ED"/>
    <w:rsid w:val="005648F9"/>
    <w:rsid w:val="005649F1"/>
    <w:rsid w:val="00564AE2"/>
    <w:rsid w:val="00564B68"/>
    <w:rsid w:val="00565558"/>
    <w:rsid w:val="00565A52"/>
    <w:rsid w:val="00565CC8"/>
    <w:rsid w:val="00565CF3"/>
    <w:rsid w:val="005662A6"/>
    <w:rsid w:val="00566392"/>
    <w:rsid w:val="005719EC"/>
    <w:rsid w:val="00571EAA"/>
    <w:rsid w:val="005723E2"/>
    <w:rsid w:val="005725BA"/>
    <w:rsid w:val="005726ED"/>
    <w:rsid w:val="00572EA4"/>
    <w:rsid w:val="00573D7C"/>
    <w:rsid w:val="005750DD"/>
    <w:rsid w:val="005755F5"/>
    <w:rsid w:val="00575DFD"/>
    <w:rsid w:val="00577106"/>
    <w:rsid w:val="00577523"/>
    <w:rsid w:val="00577F25"/>
    <w:rsid w:val="005802D6"/>
    <w:rsid w:val="00581862"/>
    <w:rsid w:val="00582B29"/>
    <w:rsid w:val="005833D3"/>
    <w:rsid w:val="0058352B"/>
    <w:rsid w:val="00583A31"/>
    <w:rsid w:val="005841C4"/>
    <w:rsid w:val="005846CC"/>
    <w:rsid w:val="005847F5"/>
    <w:rsid w:val="00585103"/>
    <w:rsid w:val="00585980"/>
    <w:rsid w:val="00585BBB"/>
    <w:rsid w:val="00586974"/>
    <w:rsid w:val="00586CC0"/>
    <w:rsid w:val="00586FBC"/>
    <w:rsid w:val="005873B4"/>
    <w:rsid w:val="005906AE"/>
    <w:rsid w:val="00590AA0"/>
    <w:rsid w:val="00590BD7"/>
    <w:rsid w:val="00590CA6"/>
    <w:rsid w:val="00591C67"/>
    <w:rsid w:val="00592193"/>
    <w:rsid w:val="005922E5"/>
    <w:rsid w:val="00592395"/>
    <w:rsid w:val="005927E2"/>
    <w:rsid w:val="00592AF3"/>
    <w:rsid w:val="00593F87"/>
    <w:rsid w:val="0059453B"/>
    <w:rsid w:val="005962D2"/>
    <w:rsid w:val="0059668A"/>
    <w:rsid w:val="0059747F"/>
    <w:rsid w:val="005A1017"/>
    <w:rsid w:val="005A10E5"/>
    <w:rsid w:val="005A167D"/>
    <w:rsid w:val="005A1AB7"/>
    <w:rsid w:val="005A2D84"/>
    <w:rsid w:val="005A3274"/>
    <w:rsid w:val="005A45F9"/>
    <w:rsid w:val="005A619D"/>
    <w:rsid w:val="005A6979"/>
    <w:rsid w:val="005A6A3D"/>
    <w:rsid w:val="005A7269"/>
    <w:rsid w:val="005A72A2"/>
    <w:rsid w:val="005A7F3C"/>
    <w:rsid w:val="005B01B2"/>
    <w:rsid w:val="005B0A22"/>
    <w:rsid w:val="005B0AA2"/>
    <w:rsid w:val="005B1056"/>
    <w:rsid w:val="005B1922"/>
    <w:rsid w:val="005B1B88"/>
    <w:rsid w:val="005B1FAC"/>
    <w:rsid w:val="005B20BF"/>
    <w:rsid w:val="005B2530"/>
    <w:rsid w:val="005B3BC1"/>
    <w:rsid w:val="005B433E"/>
    <w:rsid w:val="005B48AA"/>
    <w:rsid w:val="005B6FA4"/>
    <w:rsid w:val="005C14B8"/>
    <w:rsid w:val="005C1AF1"/>
    <w:rsid w:val="005C1E6B"/>
    <w:rsid w:val="005C208E"/>
    <w:rsid w:val="005C25B4"/>
    <w:rsid w:val="005C270D"/>
    <w:rsid w:val="005C3489"/>
    <w:rsid w:val="005C3657"/>
    <w:rsid w:val="005C3938"/>
    <w:rsid w:val="005C3A77"/>
    <w:rsid w:val="005C5148"/>
    <w:rsid w:val="005C55F9"/>
    <w:rsid w:val="005C70B5"/>
    <w:rsid w:val="005C7683"/>
    <w:rsid w:val="005D0695"/>
    <w:rsid w:val="005D179B"/>
    <w:rsid w:val="005D2A47"/>
    <w:rsid w:val="005D2EF5"/>
    <w:rsid w:val="005D3BB7"/>
    <w:rsid w:val="005D49D6"/>
    <w:rsid w:val="005D4CC9"/>
    <w:rsid w:val="005D5BFE"/>
    <w:rsid w:val="005D70CB"/>
    <w:rsid w:val="005D7606"/>
    <w:rsid w:val="005D7DA0"/>
    <w:rsid w:val="005D7DD4"/>
    <w:rsid w:val="005D7F57"/>
    <w:rsid w:val="005E01D4"/>
    <w:rsid w:val="005E0434"/>
    <w:rsid w:val="005E1410"/>
    <w:rsid w:val="005E3D48"/>
    <w:rsid w:val="005E4435"/>
    <w:rsid w:val="005E4718"/>
    <w:rsid w:val="005E48EF"/>
    <w:rsid w:val="005E4B45"/>
    <w:rsid w:val="005E5010"/>
    <w:rsid w:val="005E5939"/>
    <w:rsid w:val="005E6084"/>
    <w:rsid w:val="005E61FF"/>
    <w:rsid w:val="005E63C5"/>
    <w:rsid w:val="005E685D"/>
    <w:rsid w:val="005F019A"/>
    <w:rsid w:val="005F0942"/>
    <w:rsid w:val="005F2E6D"/>
    <w:rsid w:val="005F3AFB"/>
    <w:rsid w:val="005F4662"/>
    <w:rsid w:val="005F4A50"/>
    <w:rsid w:val="005F54FC"/>
    <w:rsid w:val="005F6418"/>
    <w:rsid w:val="005F6587"/>
    <w:rsid w:val="005F6EEF"/>
    <w:rsid w:val="005F7083"/>
    <w:rsid w:val="005F7406"/>
    <w:rsid w:val="005F746B"/>
    <w:rsid w:val="005F79F7"/>
    <w:rsid w:val="006003CB"/>
    <w:rsid w:val="00600D66"/>
    <w:rsid w:val="00600E47"/>
    <w:rsid w:val="00601796"/>
    <w:rsid w:val="0060190F"/>
    <w:rsid w:val="00601E8F"/>
    <w:rsid w:val="00602AD9"/>
    <w:rsid w:val="00602F73"/>
    <w:rsid w:val="00602F7A"/>
    <w:rsid w:val="006043FD"/>
    <w:rsid w:val="00604F44"/>
    <w:rsid w:val="00605817"/>
    <w:rsid w:val="00605A98"/>
    <w:rsid w:val="00606A20"/>
    <w:rsid w:val="00607358"/>
    <w:rsid w:val="0060749A"/>
    <w:rsid w:val="00607598"/>
    <w:rsid w:val="00610198"/>
    <w:rsid w:val="0061036B"/>
    <w:rsid w:val="00610745"/>
    <w:rsid w:val="00610D2D"/>
    <w:rsid w:val="0061114B"/>
    <w:rsid w:val="00611A8B"/>
    <w:rsid w:val="00611FF7"/>
    <w:rsid w:val="006120C9"/>
    <w:rsid w:val="006125FD"/>
    <w:rsid w:val="0061340C"/>
    <w:rsid w:val="00613C80"/>
    <w:rsid w:val="0061401F"/>
    <w:rsid w:val="00614133"/>
    <w:rsid w:val="00614EB4"/>
    <w:rsid w:val="00616665"/>
    <w:rsid w:val="00616888"/>
    <w:rsid w:val="00616999"/>
    <w:rsid w:val="00616C35"/>
    <w:rsid w:val="006171F5"/>
    <w:rsid w:val="00617EBD"/>
    <w:rsid w:val="006207D5"/>
    <w:rsid w:val="0062127C"/>
    <w:rsid w:val="006218C4"/>
    <w:rsid w:val="00621CB3"/>
    <w:rsid w:val="00621D3C"/>
    <w:rsid w:val="00622034"/>
    <w:rsid w:val="00622701"/>
    <w:rsid w:val="00622FB4"/>
    <w:rsid w:val="0062348E"/>
    <w:rsid w:val="00623F9A"/>
    <w:rsid w:val="00624120"/>
    <w:rsid w:val="00624198"/>
    <w:rsid w:val="0062453A"/>
    <w:rsid w:val="00624553"/>
    <w:rsid w:val="006246F2"/>
    <w:rsid w:val="0062484D"/>
    <w:rsid w:val="00625C23"/>
    <w:rsid w:val="006261DD"/>
    <w:rsid w:val="0062638F"/>
    <w:rsid w:val="00626958"/>
    <w:rsid w:val="00626DFD"/>
    <w:rsid w:val="00626FBD"/>
    <w:rsid w:val="00627BD1"/>
    <w:rsid w:val="00630208"/>
    <w:rsid w:val="006311ED"/>
    <w:rsid w:val="0063191C"/>
    <w:rsid w:val="00632155"/>
    <w:rsid w:val="00632F30"/>
    <w:rsid w:val="00634C5A"/>
    <w:rsid w:val="0063564E"/>
    <w:rsid w:val="00635769"/>
    <w:rsid w:val="00636025"/>
    <w:rsid w:val="00636212"/>
    <w:rsid w:val="0063665B"/>
    <w:rsid w:val="00636EA4"/>
    <w:rsid w:val="0063703B"/>
    <w:rsid w:val="0063709A"/>
    <w:rsid w:val="00637C7F"/>
    <w:rsid w:val="00637CD9"/>
    <w:rsid w:val="00637CE2"/>
    <w:rsid w:val="00637CE3"/>
    <w:rsid w:val="00640167"/>
    <w:rsid w:val="00641968"/>
    <w:rsid w:val="0064266C"/>
    <w:rsid w:val="0064294C"/>
    <w:rsid w:val="0064322D"/>
    <w:rsid w:val="00643441"/>
    <w:rsid w:val="00644D18"/>
    <w:rsid w:val="00645EF1"/>
    <w:rsid w:val="00646562"/>
    <w:rsid w:val="00646FB1"/>
    <w:rsid w:val="0064714D"/>
    <w:rsid w:val="00647168"/>
    <w:rsid w:val="00647521"/>
    <w:rsid w:val="00650019"/>
    <w:rsid w:val="00650451"/>
    <w:rsid w:val="0065049D"/>
    <w:rsid w:val="0065077C"/>
    <w:rsid w:val="00651921"/>
    <w:rsid w:val="006519AC"/>
    <w:rsid w:val="006522F2"/>
    <w:rsid w:val="006532B0"/>
    <w:rsid w:val="00653492"/>
    <w:rsid w:val="0065364F"/>
    <w:rsid w:val="00653727"/>
    <w:rsid w:val="0065394F"/>
    <w:rsid w:val="00654754"/>
    <w:rsid w:val="00654774"/>
    <w:rsid w:val="0065492B"/>
    <w:rsid w:val="00654B54"/>
    <w:rsid w:val="00656227"/>
    <w:rsid w:val="0065634C"/>
    <w:rsid w:val="00656E9A"/>
    <w:rsid w:val="006606D0"/>
    <w:rsid w:val="00660F38"/>
    <w:rsid w:val="00660FC8"/>
    <w:rsid w:val="00662355"/>
    <w:rsid w:val="00662E45"/>
    <w:rsid w:val="006637A0"/>
    <w:rsid w:val="00664A11"/>
    <w:rsid w:val="00665B6E"/>
    <w:rsid w:val="00665D33"/>
    <w:rsid w:val="0066618F"/>
    <w:rsid w:val="006665BA"/>
    <w:rsid w:val="00666AC4"/>
    <w:rsid w:val="00666BEE"/>
    <w:rsid w:val="00666F08"/>
    <w:rsid w:val="0066762D"/>
    <w:rsid w:val="006676BF"/>
    <w:rsid w:val="00667B0C"/>
    <w:rsid w:val="00671252"/>
    <w:rsid w:val="006717B1"/>
    <w:rsid w:val="00672D64"/>
    <w:rsid w:val="006734E0"/>
    <w:rsid w:val="0067372B"/>
    <w:rsid w:val="006739BE"/>
    <w:rsid w:val="00673F13"/>
    <w:rsid w:val="0067434F"/>
    <w:rsid w:val="0067549A"/>
    <w:rsid w:val="00680658"/>
    <w:rsid w:val="00680E9F"/>
    <w:rsid w:val="00681059"/>
    <w:rsid w:val="00681526"/>
    <w:rsid w:val="0068297C"/>
    <w:rsid w:val="00682D93"/>
    <w:rsid w:val="0068393B"/>
    <w:rsid w:val="00684B7D"/>
    <w:rsid w:val="00684D57"/>
    <w:rsid w:val="006861C5"/>
    <w:rsid w:val="00686383"/>
    <w:rsid w:val="006868D6"/>
    <w:rsid w:val="00687903"/>
    <w:rsid w:val="00687A18"/>
    <w:rsid w:val="00687A90"/>
    <w:rsid w:val="00687CC7"/>
    <w:rsid w:val="00687DC4"/>
    <w:rsid w:val="0069020E"/>
    <w:rsid w:val="006907BC"/>
    <w:rsid w:val="00692122"/>
    <w:rsid w:val="00693507"/>
    <w:rsid w:val="0069391C"/>
    <w:rsid w:val="00694734"/>
    <w:rsid w:val="00694C44"/>
    <w:rsid w:val="00694D0B"/>
    <w:rsid w:val="00695C0A"/>
    <w:rsid w:val="00695C2C"/>
    <w:rsid w:val="0069600C"/>
    <w:rsid w:val="0069622D"/>
    <w:rsid w:val="006968FC"/>
    <w:rsid w:val="006971B5"/>
    <w:rsid w:val="00697266"/>
    <w:rsid w:val="006978B8"/>
    <w:rsid w:val="006A16FF"/>
    <w:rsid w:val="006A190C"/>
    <w:rsid w:val="006A29FB"/>
    <w:rsid w:val="006A3F08"/>
    <w:rsid w:val="006A462F"/>
    <w:rsid w:val="006A4764"/>
    <w:rsid w:val="006A4CDF"/>
    <w:rsid w:val="006A61AF"/>
    <w:rsid w:val="006A65FF"/>
    <w:rsid w:val="006A686A"/>
    <w:rsid w:val="006A6BA0"/>
    <w:rsid w:val="006A6D67"/>
    <w:rsid w:val="006A7143"/>
    <w:rsid w:val="006A7884"/>
    <w:rsid w:val="006A799F"/>
    <w:rsid w:val="006A7C8E"/>
    <w:rsid w:val="006A7D79"/>
    <w:rsid w:val="006B02C5"/>
    <w:rsid w:val="006B1679"/>
    <w:rsid w:val="006B1BCE"/>
    <w:rsid w:val="006B1D9A"/>
    <w:rsid w:val="006B2CF1"/>
    <w:rsid w:val="006B2D3E"/>
    <w:rsid w:val="006B3647"/>
    <w:rsid w:val="006B39C6"/>
    <w:rsid w:val="006B437B"/>
    <w:rsid w:val="006B516A"/>
    <w:rsid w:val="006B5411"/>
    <w:rsid w:val="006B617C"/>
    <w:rsid w:val="006B6923"/>
    <w:rsid w:val="006B6C17"/>
    <w:rsid w:val="006B6EDB"/>
    <w:rsid w:val="006B6EDC"/>
    <w:rsid w:val="006B6EE5"/>
    <w:rsid w:val="006C00AD"/>
    <w:rsid w:val="006C161A"/>
    <w:rsid w:val="006C1AB1"/>
    <w:rsid w:val="006C2200"/>
    <w:rsid w:val="006C27DB"/>
    <w:rsid w:val="006C2DEE"/>
    <w:rsid w:val="006C3083"/>
    <w:rsid w:val="006C40F7"/>
    <w:rsid w:val="006C4C1B"/>
    <w:rsid w:val="006C535E"/>
    <w:rsid w:val="006C567F"/>
    <w:rsid w:val="006C5A97"/>
    <w:rsid w:val="006C5F7C"/>
    <w:rsid w:val="006C6DC1"/>
    <w:rsid w:val="006C7B07"/>
    <w:rsid w:val="006D10F5"/>
    <w:rsid w:val="006D198D"/>
    <w:rsid w:val="006D42B3"/>
    <w:rsid w:val="006D6790"/>
    <w:rsid w:val="006D791D"/>
    <w:rsid w:val="006D79B0"/>
    <w:rsid w:val="006E0CAE"/>
    <w:rsid w:val="006E0F0D"/>
    <w:rsid w:val="006E1294"/>
    <w:rsid w:val="006E1555"/>
    <w:rsid w:val="006E156E"/>
    <w:rsid w:val="006E1DF4"/>
    <w:rsid w:val="006E2188"/>
    <w:rsid w:val="006E256E"/>
    <w:rsid w:val="006E2803"/>
    <w:rsid w:val="006E31BD"/>
    <w:rsid w:val="006E43CD"/>
    <w:rsid w:val="006E49EC"/>
    <w:rsid w:val="006E507A"/>
    <w:rsid w:val="006E5152"/>
    <w:rsid w:val="006E66B2"/>
    <w:rsid w:val="006E785B"/>
    <w:rsid w:val="006E7F5E"/>
    <w:rsid w:val="006F028A"/>
    <w:rsid w:val="006F03F0"/>
    <w:rsid w:val="006F04C7"/>
    <w:rsid w:val="006F076F"/>
    <w:rsid w:val="006F174B"/>
    <w:rsid w:val="006F1B08"/>
    <w:rsid w:val="006F1E98"/>
    <w:rsid w:val="006F217F"/>
    <w:rsid w:val="006F21DC"/>
    <w:rsid w:val="006F2B91"/>
    <w:rsid w:val="006F2C9D"/>
    <w:rsid w:val="006F300E"/>
    <w:rsid w:val="006F3423"/>
    <w:rsid w:val="006F3959"/>
    <w:rsid w:val="006F4215"/>
    <w:rsid w:val="006F42FA"/>
    <w:rsid w:val="006F43C7"/>
    <w:rsid w:val="006F5B51"/>
    <w:rsid w:val="006F5DE3"/>
    <w:rsid w:val="006F6DEB"/>
    <w:rsid w:val="006F71FD"/>
    <w:rsid w:val="006F7AE5"/>
    <w:rsid w:val="006F7E44"/>
    <w:rsid w:val="006F7F25"/>
    <w:rsid w:val="007003EA"/>
    <w:rsid w:val="00700673"/>
    <w:rsid w:val="007006A9"/>
    <w:rsid w:val="0070131F"/>
    <w:rsid w:val="007016FA"/>
    <w:rsid w:val="0070322D"/>
    <w:rsid w:val="0070324A"/>
    <w:rsid w:val="00703299"/>
    <w:rsid w:val="00704062"/>
    <w:rsid w:val="00704413"/>
    <w:rsid w:val="007052A3"/>
    <w:rsid w:val="0070579C"/>
    <w:rsid w:val="00705C69"/>
    <w:rsid w:val="00705CF0"/>
    <w:rsid w:val="007065DD"/>
    <w:rsid w:val="007071C1"/>
    <w:rsid w:val="00707EAE"/>
    <w:rsid w:val="00710BAC"/>
    <w:rsid w:val="00711442"/>
    <w:rsid w:val="007114A7"/>
    <w:rsid w:val="007118FE"/>
    <w:rsid w:val="007121C5"/>
    <w:rsid w:val="00712240"/>
    <w:rsid w:val="007122EC"/>
    <w:rsid w:val="007122F1"/>
    <w:rsid w:val="007128C5"/>
    <w:rsid w:val="00712D64"/>
    <w:rsid w:val="00713844"/>
    <w:rsid w:val="007141B4"/>
    <w:rsid w:val="00714616"/>
    <w:rsid w:val="00714DDC"/>
    <w:rsid w:val="00715843"/>
    <w:rsid w:val="00715BD7"/>
    <w:rsid w:val="00716287"/>
    <w:rsid w:val="0071710A"/>
    <w:rsid w:val="00717AB5"/>
    <w:rsid w:val="00720429"/>
    <w:rsid w:val="00720777"/>
    <w:rsid w:val="007211C2"/>
    <w:rsid w:val="007216A8"/>
    <w:rsid w:val="00722741"/>
    <w:rsid w:val="00722E01"/>
    <w:rsid w:val="00723177"/>
    <w:rsid w:val="00724F17"/>
    <w:rsid w:val="007254E0"/>
    <w:rsid w:val="00725773"/>
    <w:rsid w:val="007257E7"/>
    <w:rsid w:val="00726343"/>
    <w:rsid w:val="00726A00"/>
    <w:rsid w:val="007273A4"/>
    <w:rsid w:val="00730796"/>
    <w:rsid w:val="00731936"/>
    <w:rsid w:val="0073199E"/>
    <w:rsid w:val="00731B69"/>
    <w:rsid w:val="00731E7D"/>
    <w:rsid w:val="007329B9"/>
    <w:rsid w:val="0073424B"/>
    <w:rsid w:val="0073429C"/>
    <w:rsid w:val="007342B7"/>
    <w:rsid w:val="00734703"/>
    <w:rsid w:val="007348CB"/>
    <w:rsid w:val="00734C8D"/>
    <w:rsid w:val="00735D42"/>
    <w:rsid w:val="007361F2"/>
    <w:rsid w:val="007370B4"/>
    <w:rsid w:val="007373E6"/>
    <w:rsid w:val="007401EE"/>
    <w:rsid w:val="007405E3"/>
    <w:rsid w:val="00741BFC"/>
    <w:rsid w:val="00741C63"/>
    <w:rsid w:val="00744915"/>
    <w:rsid w:val="00744BE8"/>
    <w:rsid w:val="00746716"/>
    <w:rsid w:val="00747020"/>
    <w:rsid w:val="0075092D"/>
    <w:rsid w:val="00750F4A"/>
    <w:rsid w:val="00751D7D"/>
    <w:rsid w:val="00752299"/>
    <w:rsid w:val="007526FB"/>
    <w:rsid w:val="00752B59"/>
    <w:rsid w:val="00754131"/>
    <w:rsid w:val="00754874"/>
    <w:rsid w:val="00754B0D"/>
    <w:rsid w:val="00754EF9"/>
    <w:rsid w:val="00755405"/>
    <w:rsid w:val="00757057"/>
    <w:rsid w:val="0075760A"/>
    <w:rsid w:val="007578A1"/>
    <w:rsid w:val="007603F8"/>
    <w:rsid w:val="00760737"/>
    <w:rsid w:val="007610B1"/>
    <w:rsid w:val="007613EC"/>
    <w:rsid w:val="00761E4C"/>
    <w:rsid w:val="00761FEB"/>
    <w:rsid w:val="0076260D"/>
    <w:rsid w:val="00764AA8"/>
    <w:rsid w:val="00765332"/>
    <w:rsid w:val="0076556B"/>
    <w:rsid w:val="0076635A"/>
    <w:rsid w:val="007664DC"/>
    <w:rsid w:val="00766F90"/>
    <w:rsid w:val="007700AF"/>
    <w:rsid w:val="00770760"/>
    <w:rsid w:val="007712B5"/>
    <w:rsid w:val="00771CD5"/>
    <w:rsid w:val="0077271C"/>
    <w:rsid w:val="00773923"/>
    <w:rsid w:val="00774346"/>
    <w:rsid w:val="00774BD7"/>
    <w:rsid w:val="0077521E"/>
    <w:rsid w:val="00775976"/>
    <w:rsid w:val="007759BF"/>
    <w:rsid w:val="00776085"/>
    <w:rsid w:val="00776747"/>
    <w:rsid w:val="007768E0"/>
    <w:rsid w:val="00776DD8"/>
    <w:rsid w:val="007772CE"/>
    <w:rsid w:val="007776B4"/>
    <w:rsid w:val="00777BAD"/>
    <w:rsid w:val="00781909"/>
    <w:rsid w:val="007824DA"/>
    <w:rsid w:val="00783359"/>
    <w:rsid w:val="00783598"/>
    <w:rsid w:val="00783A61"/>
    <w:rsid w:val="007846F9"/>
    <w:rsid w:val="0078536A"/>
    <w:rsid w:val="00785933"/>
    <w:rsid w:val="007865B9"/>
    <w:rsid w:val="00786610"/>
    <w:rsid w:val="00786D7C"/>
    <w:rsid w:val="00786D9A"/>
    <w:rsid w:val="0078733F"/>
    <w:rsid w:val="00787A0A"/>
    <w:rsid w:val="00787E0A"/>
    <w:rsid w:val="00787E0B"/>
    <w:rsid w:val="00790108"/>
    <w:rsid w:val="00791BCB"/>
    <w:rsid w:val="00794108"/>
    <w:rsid w:val="007942C3"/>
    <w:rsid w:val="007943B3"/>
    <w:rsid w:val="0079442B"/>
    <w:rsid w:val="00797773"/>
    <w:rsid w:val="007A36FF"/>
    <w:rsid w:val="007A3737"/>
    <w:rsid w:val="007A4028"/>
    <w:rsid w:val="007A47B9"/>
    <w:rsid w:val="007A633F"/>
    <w:rsid w:val="007A6EC6"/>
    <w:rsid w:val="007A73FD"/>
    <w:rsid w:val="007A7A32"/>
    <w:rsid w:val="007B0273"/>
    <w:rsid w:val="007B02B2"/>
    <w:rsid w:val="007B1531"/>
    <w:rsid w:val="007B15B1"/>
    <w:rsid w:val="007B31E9"/>
    <w:rsid w:val="007B35FA"/>
    <w:rsid w:val="007B42CD"/>
    <w:rsid w:val="007B4DB2"/>
    <w:rsid w:val="007B5077"/>
    <w:rsid w:val="007B5828"/>
    <w:rsid w:val="007B5ACB"/>
    <w:rsid w:val="007B669C"/>
    <w:rsid w:val="007B6AA6"/>
    <w:rsid w:val="007B6BF5"/>
    <w:rsid w:val="007B7348"/>
    <w:rsid w:val="007B7924"/>
    <w:rsid w:val="007B7B56"/>
    <w:rsid w:val="007B7C1E"/>
    <w:rsid w:val="007B7D0A"/>
    <w:rsid w:val="007C0D05"/>
    <w:rsid w:val="007C14C0"/>
    <w:rsid w:val="007C18E9"/>
    <w:rsid w:val="007C1922"/>
    <w:rsid w:val="007C1C7F"/>
    <w:rsid w:val="007C2152"/>
    <w:rsid w:val="007C2C91"/>
    <w:rsid w:val="007C31AF"/>
    <w:rsid w:val="007C3FAA"/>
    <w:rsid w:val="007C42F0"/>
    <w:rsid w:val="007C4501"/>
    <w:rsid w:val="007C479E"/>
    <w:rsid w:val="007C4C7C"/>
    <w:rsid w:val="007C58F2"/>
    <w:rsid w:val="007C6439"/>
    <w:rsid w:val="007C64E0"/>
    <w:rsid w:val="007C6C67"/>
    <w:rsid w:val="007C6D65"/>
    <w:rsid w:val="007D0A3A"/>
    <w:rsid w:val="007D0B08"/>
    <w:rsid w:val="007D159B"/>
    <w:rsid w:val="007D180A"/>
    <w:rsid w:val="007D1A73"/>
    <w:rsid w:val="007D2095"/>
    <w:rsid w:val="007D2186"/>
    <w:rsid w:val="007D24D5"/>
    <w:rsid w:val="007D2B98"/>
    <w:rsid w:val="007D3C25"/>
    <w:rsid w:val="007D3CBB"/>
    <w:rsid w:val="007D3D39"/>
    <w:rsid w:val="007D48EC"/>
    <w:rsid w:val="007D6129"/>
    <w:rsid w:val="007D6390"/>
    <w:rsid w:val="007D6517"/>
    <w:rsid w:val="007D6684"/>
    <w:rsid w:val="007D66DD"/>
    <w:rsid w:val="007D789A"/>
    <w:rsid w:val="007D7DA2"/>
    <w:rsid w:val="007E00D1"/>
    <w:rsid w:val="007E01B5"/>
    <w:rsid w:val="007E027C"/>
    <w:rsid w:val="007E0508"/>
    <w:rsid w:val="007E164F"/>
    <w:rsid w:val="007E16E6"/>
    <w:rsid w:val="007E1B1B"/>
    <w:rsid w:val="007E2D5A"/>
    <w:rsid w:val="007E34D6"/>
    <w:rsid w:val="007E5F38"/>
    <w:rsid w:val="007E5F82"/>
    <w:rsid w:val="007E66F2"/>
    <w:rsid w:val="007E6D0B"/>
    <w:rsid w:val="007E78A7"/>
    <w:rsid w:val="007E7A20"/>
    <w:rsid w:val="007E7B72"/>
    <w:rsid w:val="007E7EB0"/>
    <w:rsid w:val="007F02F0"/>
    <w:rsid w:val="007F05BB"/>
    <w:rsid w:val="007F08EA"/>
    <w:rsid w:val="007F1A1B"/>
    <w:rsid w:val="007F1AE0"/>
    <w:rsid w:val="007F20B5"/>
    <w:rsid w:val="007F2118"/>
    <w:rsid w:val="007F2D0D"/>
    <w:rsid w:val="007F3316"/>
    <w:rsid w:val="007F3C70"/>
    <w:rsid w:val="007F3DF3"/>
    <w:rsid w:val="007F5152"/>
    <w:rsid w:val="007F5247"/>
    <w:rsid w:val="007F57F9"/>
    <w:rsid w:val="007F5E32"/>
    <w:rsid w:val="007F7CFD"/>
    <w:rsid w:val="00800522"/>
    <w:rsid w:val="0080174E"/>
    <w:rsid w:val="00801C59"/>
    <w:rsid w:val="008023B4"/>
    <w:rsid w:val="008025E1"/>
    <w:rsid w:val="0080278A"/>
    <w:rsid w:val="00804896"/>
    <w:rsid w:val="00804FD2"/>
    <w:rsid w:val="008050C0"/>
    <w:rsid w:val="0080580C"/>
    <w:rsid w:val="00805948"/>
    <w:rsid w:val="00805A05"/>
    <w:rsid w:val="00805B5B"/>
    <w:rsid w:val="0080668F"/>
    <w:rsid w:val="00807330"/>
    <w:rsid w:val="008079BB"/>
    <w:rsid w:val="00807BDF"/>
    <w:rsid w:val="00807E55"/>
    <w:rsid w:val="008102EB"/>
    <w:rsid w:val="008106E8"/>
    <w:rsid w:val="00810AAE"/>
    <w:rsid w:val="00810B93"/>
    <w:rsid w:val="00811273"/>
    <w:rsid w:val="0081128A"/>
    <w:rsid w:val="008115BD"/>
    <w:rsid w:val="008116E0"/>
    <w:rsid w:val="00812577"/>
    <w:rsid w:val="0081294E"/>
    <w:rsid w:val="00813243"/>
    <w:rsid w:val="00813D88"/>
    <w:rsid w:val="008146A8"/>
    <w:rsid w:val="00815116"/>
    <w:rsid w:val="0081594E"/>
    <w:rsid w:val="00815A2D"/>
    <w:rsid w:val="00815AD7"/>
    <w:rsid w:val="00815D7D"/>
    <w:rsid w:val="00815FDB"/>
    <w:rsid w:val="0081601A"/>
    <w:rsid w:val="008165B7"/>
    <w:rsid w:val="008166B3"/>
    <w:rsid w:val="00816A82"/>
    <w:rsid w:val="008171E6"/>
    <w:rsid w:val="00821CBB"/>
    <w:rsid w:val="00821D5A"/>
    <w:rsid w:val="00822DD6"/>
    <w:rsid w:val="00822ED7"/>
    <w:rsid w:val="008234FB"/>
    <w:rsid w:val="00823B58"/>
    <w:rsid w:val="0082453A"/>
    <w:rsid w:val="00824942"/>
    <w:rsid w:val="00824A28"/>
    <w:rsid w:val="00824B15"/>
    <w:rsid w:val="00824FDF"/>
    <w:rsid w:val="008262FB"/>
    <w:rsid w:val="00826F08"/>
    <w:rsid w:val="0082704B"/>
    <w:rsid w:val="00827B27"/>
    <w:rsid w:val="0083026D"/>
    <w:rsid w:val="00830326"/>
    <w:rsid w:val="00830C56"/>
    <w:rsid w:val="00832761"/>
    <w:rsid w:val="00832E40"/>
    <w:rsid w:val="00833165"/>
    <w:rsid w:val="00833AE3"/>
    <w:rsid w:val="00833E1F"/>
    <w:rsid w:val="00834206"/>
    <w:rsid w:val="00834B16"/>
    <w:rsid w:val="00834BEB"/>
    <w:rsid w:val="00834C04"/>
    <w:rsid w:val="0083590F"/>
    <w:rsid w:val="008369AF"/>
    <w:rsid w:val="00836B35"/>
    <w:rsid w:val="00836C37"/>
    <w:rsid w:val="00836EDE"/>
    <w:rsid w:val="00837B23"/>
    <w:rsid w:val="008401C4"/>
    <w:rsid w:val="008411D8"/>
    <w:rsid w:val="008424DE"/>
    <w:rsid w:val="00843665"/>
    <w:rsid w:val="008436F4"/>
    <w:rsid w:val="00843ACF"/>
    <w:rsid w:val="00843E64"/>
    <w:rsid w:val="0084434D"/>
    <w:rsid w:val="00845BDB"/>
    <w:rsid w:val="00846006"/>
    <w:rsid w:val="00846213"/>
    <w:rsid w:val="00847219"/>
    <w:rsid w:val="00847AAC"/>
    <w:rsid w:val="00847AF9"/>
    <w:rsid w:val="00852853"/>
    <w:rsid w:val="008541D7"/>
    <w:rsid w:val="008549FD"/>
    <w:rsid w:val="00854ADE"/>
    <w:rsid w:val="00856C69"/>
    <w:rsid w:val="00856D5A"/>
    <w:rsid w:val="00857587"/>
    <w:rsid w:val="00857621"/>
    <w:rsid w:val="00857722"/>
    <w:rsid w:val="008577EE"/>
    <w:rsid w:val="00857BA1"/>
    <w:rsid w:val="00860470"/>
    <w:rsid w:val="00860696"/>
    <w:rsid w:val="00860BDA"/>
    <w:rsid w:val="0086102A"/>
    <w:rsid w:val="0086192D"/>
    <w:rsid w:val="00861C5A"/>
    <w:rsid w:val="008626B4"/>
    <w:rsid w:val="00862EFC"/>
    <w:rsid w:val="00863214"/>
    <w:rsid w:val="0086388A"/>
    <w:rsid w:val="0086396D"/>
    <w:rsid w:val="00864C65"/>
    <w:rsid w:val="00864FAF"/>
    <w:rsid w:val="0086577A"/>
    <w:rsid w:val="00865AB8"/>
    <w:rsid w:val="0086659D"/>
    <w:rsid w:val="00866FD5"/>
    <w:rsid w:val="0086787F"/>
    <w:rsid w:val="008679C4"/>
    <w:rsid w:val="00867F46"/>
    <w:rsid w:val="00870656"/>
    <w:rsid w:val="00872539"/>
    <w:rsid w:val="0087270B"/>
    <w:rsid w:val="00872728"/>
    <w:rsid w:val="00872F28"/>
    <w:rsid w:val="008734F1"/>
    <w:rsid w:val="008750C1"/>
    <w:rsid w:val="00875260"/>
    <w:rsid w:val="008761F9"/>
    <w:rsid w:val="0087695C"/>
    <w:rsid w:val="00876E44"/>
    <w:rsid w:val="0087707F"/>
    <w:rsid w:val="00877657"/>
    <w:rsid w:val="00877DAA"/>
    <w:rsid w:val="00880EF4"/>
    <w:rsid w:val="00881315"/>
    <w:rsid w:val="00881445"/>
    <w:rsid w:val="0088226F"/>
    <w:rsid w:val="00882EDF"/>
    <w:rsid w:val="00884A8B"/>
    <w:rsid w:val="00884F5D"/>
    <w:rsid w:val="00885C3C"/>
    <w:rsid w:val="00885DA0"/>
    <w:rsid w:val="00886619"/>
    <w:rsid w:val="00886A86"/>
    <w:rsid w:val="00886F95"/>
    <w:rsid w:val="008873DB"/>
    <w:rsid w:val="008877AE"/>
    <w:rsid w:val="008877F7"/>
    <w:rsid w:val="008903F1"/>
    <w:rsid w:val="00890926"/>
    <w:rsid w:val="00890A40"/>
    <w:rsid w:val="00891211"/>
    <w:rsid w:val="0089184E"/>
    <w:rsid w:val="008919DB"/>
    <w:rsid w:val="008921C2"/>
    <w:rsid w:val="00892DD2"/>
    <w:rsid w:val="00893796"/>
    <w:rsid w:val="008938A6"/>
    <w:rsid w:val="008938FB"/>
    <w:rsid w:val="00893948"/>
    <w:rsid w:val="0089492D"/>
    <w:rsid w:val="00894A6B"/>
    <w:rsid w:val="00894DA2"/>
    <w:rsid w:val="008953AE"/>
    <w:rsid w:val="00895B36"/>
    <w:rsid w:val="0089697F"/>
    <w:rsid w:val="00897A0A"/>
    <w:rsid w:val="00897F1F"/>
    <w:rsid w:val="008A03B9"/>
    <w:rsid w:val="008A11A5"/>
    <w:rsid w:val="008A1767"/>
    <w:rsid w:val="008A1BB9"/>
    <w:rsid w:val="008A2FF0"/>
    <w:rsid w:val="008A37C1"/>
    <w:rsid w:val="008A38E3"/>
    <w:rsid w:val="008A3E7F"/>
    <w:rsid w:val="008A3E86"/>
    <w:rsid w:val="008A446D"/>
    <w:rsid w:val="008A4773"/>
    <w:rsid w:val="008A4841"/>
    <w:rsid w:val="008A4C4A"/>
    <w:rsid w:val="008A4E3B"/>
    <w:rsid w:val="008A5315"/>
    <w:rsid w:val="008A67AF"/>
    <w:rsid w:val="008A6B64"/>
    <w:rsid w:val="008A725D"/>
    <w:rsid w:val="008B037C"/>
    <w:rsid w:val="008B0DC7"/>
    <w:rsid w:val="008B12E5"/>
    <w:rsid w:val="008B1498"/>
    <w:rsid w:val="008B1F34"/>
    <w:rsid w:val="008B2F52"/>
    <w:rsid w:val="008B43C7"/>
    <w:rsid w:val="008B48F4"/>
    <w:rsid w:val="008B506E"/>
    <w:rsid w:val="008B5186"/>
    <w:rsid w:val="008B5D9B"/>
    <w:rsid w:val="008B5E9B"/>
    <w:rsid w:val="008B62D2"/>
    <w:rsid w:val="008B68B2"/>
    <w:rsid w:val="008B773A"/>
    <w:rsid w:val="008B7930"/>
    <w:rsid w:val="008C0277"/>
    <w:rsid w:val="008C0CE7"/>
    <w:rsid w:val="008C14CB"/>
    <w:rsid w:val="008C35F8"/>
    <w:rsid w:val="008C375C"/>
    <w:rsid w:val="008C3A85"/>
    <w:rsid w:val="008C40AC"/>
    <w:rsid w:val="008C4DED"/>
    <w:rsid w:val="008C6EEB"/>
    <w:rsid w:val="008C7CC3"/>
    <w:rsid w:val="008C7EC2"/>
    <w:rsid w:val="008D0506"/>
    <w:rsid w:val="008D07E4"/>
    <w:rsid w:val="008D141E"/>
    <w:rsid w:val="008D3486"/>
    <w:rsid w:val="008D37BC"/>
    <w:rsid w:val="008D4AB9"/>
    <w:rsid w:val="008D7F74"/>
    <w:rsid w:val="008E03CD"/>
    <w:rsid w:val="008E09B1"/>
    <w:rsid w:val="008E0E33"/>
    <w:rsid w:val="008E156F"/>
    <w:rsid w:val="008E1981"/>
    <w:rsid w:val="008E1A0C"/>
    <w:rsid w:val="008E2464"/>
    <w:rsid w:val="008E2CE3"/>
    <w:rsid w:val="008E3712"/>
    <w:rsid w:val="008E3DE6"/>
    <w:rsid w:val="008E3E10"/>
    <w:rsid w:val="008E5A98"/>
    <w:rsid w:val="008E5FFB"/>
    <w:rsid w:val="008E6A70"/>
    <w:rsid w:val="008F2156"/>
    <w:rsid w:val="008F23F3"/>
    <w:rsid w:val="008F2490"/>
    <w:rsid w:val="008F2D7E"/>
    <w:rsid w:val="008F3886"/>
    <w:rsid w:val="008F3CCB"/>
    <w:rsid w:val="008F3DBC"/>
    <w:rsid w:val="008F3DBD"/>
    <w:rsid w:val="008F4013"/>
    <w:rsid w:val="008F4243"/>
    <w:rsid w:val="008F4262"/>
    <w:rsid w:val="008F447E"/>
    <w:rsid w:val="008F537E"/>
    <w:rsid w:val="008F5A4E"/>
    <w:rsid w:val="008F5A7B"/>
    <w:rsid w:val="008F5B86"/>
    <w:rsid w:val="008F5C3E"/>
    <w:rsid w:val="008F62D7"/>
    <w:rsid w:val="008F62F9"/>
    <w:rsid w:val="008F6C75"/>
    <w:rsid w:val="008F725C"/>
    <w:rsid w:val="008F735A"/>
    <w:rsid w:val="008F74B3"/>
    <w:rsid w:val="008F77D1"/>
    <w:rsid w:val="00900E0A"/>
    <w:rsid w:val="009012C7"/>
    <w:rsid w:val="00901820"/>
    <w:rsid w:val="00901BC3"/>
    <w:rsid w:val="009023DC"/>
    <w:rsid w:val="0090264A"/>
    <w:rsid w:val="00902AA1"/>
    <w:rsid w:val="009032E3"/>
    <w:rsid w:val="00903A0D"/>
    <w:rsid w:val="00903CCD"/>
    <w:rsid w:val="00903F04"/>
    <w:rsid w:val="00904017"/>
    <w:rsid w:val="0090502A"/>
    <w:rsid w:val="00905C5F"/>
    <w:rsid w:val="009066D9"/>
    <w:rsid w:val="009068E6"/>
    <w:rsid w:val="00906EAF"/>
    <w:rsid w:val="00907770"/>
    <w:rsid w:val="0091060E"/>
    <w:rsid w:val="009108E1"/>
    <w:rsid w:val="00910CB8"/>
    <w:rsid w:val="00913B9C"/>
    <w:rsid w:val="00913F68"/>
    <w:rsid w:val="0091550F"/>
    <w:rsid w:val="00915574"/>
    <w:rsid w:val="00915FC6"/>
    <w:rsid w:val="0091750F"/>
    <w:rsid w:val="00917ACD"/>
    <w:rsid w:val="00917D89"/>
    <w:rsid w:val="00920E52"/>
    <w:rsid w:val="009220EB"/>
    <w:rsid w:val="0092223F"/>
    <w:rsid w:val="009223D7"/>
    <w:rsid w:val="00923212"/>
    <w:rsid w:val="00923472"/>
    <w:rsid w:val="00923EF1"/>
    <w:rsid w:val="009249E1"/>
    <w:rsid w:val="00924DCE"/>
    <w:rsid w:val="009259E7"/>
    <w:rsid w:val="00925AAF"/>
    <w:rsid w:val="00926923"/>
    <w:rsid w:val="00926C02"/>
    <w:rsid w:val="00927BAF"/>
    <w:rsid w:val="00930945"/>
    <w:rsid w:val="00930D9D"/>
    <w:rsid w:val="00930E13"/>
    <w:rsid w:val="0093122D"/>
    <w:rsid w:val="00931C60"/>
    <w:rsid w:val="00931E5F"/>
    <w:rsid w:val="0093243A"/>
    <w:rsid w:val="009325B3"/>
    <w:rsid w:val="009337BB"/>
    <w:rsid w:val="00934215"/>
    <w:rsid w:val="00934291"/>
    <w:rsid w:val="0093502D"/>
    <w:rsid w:val="009357CB"/>
    <w:rsid w:val="00935933"/>
    <w:rsid w:val="00935BCF"/>
    <w:rsid w:val="0093677C"/>
    <w:rsid w:val="009367B4"/>
    <w:rsid w:val="0093742C"/>
    <w:rsid w:val="009378B8"/>
    <w:rsid w:val="00937A09"/>
    <w:rsid w:val="00937CD6"/>
    <w:rsid w:val="00937F7B"/>
    <w:rsid w:val="009402FB"/>
    <w:rsid w:val="0094085F"/>
    <w:rsid w:val="00940E14"/>
    <w:rsid w:val="009411C4"/>
    <w:rsid w:val="00941515"/>
    <w:rsid w:val="00941CA4"/>
    <w:rsid w:val="009423D3"/>
    <w:rsid w:val="00942627"/>
    <w:rsid w:val="0094276E"/>
    <w:rsid w:val="00942A21"/>
    <w:rsid w:val="009430BE"/>
    <w:rsid w:val="009438AB"/>
    <w:rsid w:val="00944A94"/>
    <w:rsid w:val="009453D5"/>
    <w:rsid w:val="0094551B"/>
    <w:rsid w:val="0094576B"/>
    <w:rsid w:val="00945A5C"/>
    <w:rsid w:val="00945D53"/>
    <w:rsid w:val="00946164"/>
    <w:rsid w:val="00946350"/>
    <w:rsid w:val="009464A2"/>
    <w:rsid w:val="00946D23"/>
    <w:rsid w:val="00947607"/>
    <w:rsid w:val="00947B7A"/>
    <w:rsid w:val="00950CC0"/>
    <w:rsid w:val="00950F59"/>
    <w:rsid w:val="009511DF"/>
    <w:rsid w:val="00951AAD"/>
    <w:rsid w:val="00952942"/>
    <w:rsid w:val="0095363B"/>
    <w:rsid w:val="00953E37"/>
    <w:rsid w:val="0095453E"/>
    <w:rsid w:val="009549A9"/>
    <w:rsid w:val="00955013"/>
    <w:rsid w:val="00955221"/>
    <w:rsid w:val="009564BB"/>
    <w:rsid w:val="00956DF4"/>
    <w:rsid w:val="00956E84"/>
    <w:rsid w:val="00956FA5"/>
    <w:rsid w:val="0095709E"/>
    <w:rsid w:val="0095791D"/>
    <w:rsid w:val="00957CA7"/>
    <w:rsid w:val="009602F4"/>
    <w:rsid w:val="00960331"/>
    <w:rsid w:val="009621E7"/>
    <w:rsid w:val="00962BF7"/>
    <w:rsid w:val="009632D0"/>
    <w:rsid w:val="00963748"/>
    <w:rsid w:val="0096481D"/>
    <w:rsid w:val="009650F0"/>
    <w:rsid w:val="00965F81"/>
    <w:rsid w:val="00966687"/>
    <w:rsid w:val="00966CCF"/>
    <w:rsid w:val="00966FF9"/>
    <w:rsid w:val="00967EAE"/>
    <w:rsid w:val="009707E8"/>
    <w:rsid w:val="00970A8B"/>
    <w:rsid w:val="00970BE3"/>
    <w:rsid w:val="009722A8"/>
    <w:rsid w:val="00973AF9"/>
    <w:rsid w:val="00973B07"/>
    <w:rsid w:val="00974945"/>
    <w:rsid w:val="00974C55"/>
    <w:rsid w:val="00974C5D"/>
    <w:rsid w:val="00975ED0"/>
    <w:rsid w:val="009765E7"/>
    <w:rsid w:val="009773D5"/>
    <w:rsid w:val="00980365"/>
    <w:rsid w:val="00980E45"/>
    <w:rsid w:val="0098134E"/>
    <w:rsid w:val="0098225E"/>
    <w:rsid w:val="00982616"/>
    <w:rsid w:val="009835C9"/>
    <w:rsid w:val="00983A59"/>
    <w:rsid w:val="00984777"/>
    <w:rsid w:val="00985B0B"/>
    <w:rsid w:val="00986D06"/>
    <w:rsid w:val="00987A3E"/>
    <w:rsid w:val="009901B6"/>
    <w:rsid w:val="009914F6"/>
    <w:rsid w:val="00991571"/>
    <w:rsid w:val="009918FD"/>
    <w:rsid w:val="0099278D"/>
    <w:rsid w:val="00993490"/>
    <w:rsid w:val="00993F95"/>
    <w:rsid w:val="009947F6"/>
    <w:rsid w:val="00994AC3"/>
    <w:rsid w:val="00994E39"/>
    <w:rsid w:val="009951AC"/>
    <w:rsid w:val="009975EB"/>
    <w:rsid w:val="00997A79"/>
    <w:rsid w:val="009A093B"/>
    <w:rsid w:val="009A0B4F"/>
    <w:rsid w:val="009A0D9D"/>
    <w:rsid w:val="009A159F"/>
    <w:rsid w:val="009A1D1F"/>
    <w:rsid w:val="009A1DFE"/>
    <w:rsid w:val="009A2B6B"/>
    <w:rsid w:val="009A2C83"/>
    <w:rsid w:val="009A3237"/>
    <w:rsid w:val="009A39A8"/>
    <w:rsid w:val="009A3B30"/>
    <w:rsid w:val="009A3B90"/>
    <w:rsid w:val="009A3E66"/>
    <w:rsid w:val="009A3FA9"/>
    <w:rsid w:val="009A432B"/>
    <w:rsid w:val="009A4866"/>
    <w:rsid w:val="009A488A"/>
    <w:rsid w:val="009A4A1A"/>
    <w:rsid w:val="009A6CFF"/>
    <w:rsid w:val="009A78F3"/>
    <w:rsid w:val="009B02CA"/>
    <w:rsid w:val="009B0BEB"/>
    <w:rsid w:val="009B28C0"/>
    <w:rsid w:val="009B2BE2"/>
    <w:rsid w:val="009B4632"/>
    <w:rsid w:val="009B5581"/>
    <w:rsid w:val="009B5916"/>
    <w:rsid w:val="009B5AB9"/>
    <w:rsid w:val="009B5B4F"/>
    <w:rsid w:val="009B5D1D"/>
    <w:rsid w:val="009B6398"/>
    <w:rsid w:val="009B64B9"/>
    <w:rsid w:val="009B6A59"/>
    <w:rsid w:val="009B7872"/>
    <w:rsid w:val="009C1188"/>
    <w:rsid w:val="009C18CD"/>
    <w:rsid w:val="009C2101"/>
    <w:rsid w:val="009C2F9A"/>
    <w:rsid w:val="009C3535"/>
    <w:rsid w:val="009C3EB6"/>
    <w:rsid w:val="009C4A48"/>
    <w:rsid w:val="009C54E6"/>
    <w:rsid w:val="009C55A8"/>
    <w:rsid w:val="009C5910"/>
    <w:rsid w:val="009C5DAE"/>
    <w:rsid w:val="009C703E"/>
    <w:rsid w:val="009C7857"/>
    <w:rsid w:val="009D0796"/>
    <w:rsid w:val="009D1694"/>
    <w:rsid w:val="009D2166"/>
    <w:rsid w:val="009D2199"/>
    <w:rsid w:val="009D33CE"/>
    <w:rsid w:val="009D3E86"/>
    <w:rsid w:val="009D486C"/>
    <w:rsid w:val="009D58C0"/>
    <w:rsid w:val="009D5BA4"/>
    <w:rsid w:val="009D62CF"/>
    <w:rsid w:val="009E074D"/>
    <w:rsid w:val="009E0BDE"/>
    <w:rsid w:val="009E1EBA"/>
    <w:rsid w:val="009E23C5"/>
    <w:rsid w:val="009E307E"/>
    <w:rsid w:val="009E341F"/>
    <w:rsid w:val="009E3A50"/>
    <w:rsid w:val="009E6064"/>
    <w:rsid w:val="009E6EC1"/>
    <w:rsid w:val="009E7273"/>
    <w:rsid w:val="009E749B"/>
    <w:rsid w:val="009F0073"/>
    <w:rsid w:val="009F09D2"/>
    <w:rsid w:val="009F0F9E"/>
    <w:rsid w:val="009F1F4F"/>
    <w:rsid w:val="009F21F5"/>
    <w:rsid w:val="009F2470"/>
    <w:rsid w:val="009F248F"/>
    <w:rsid w:val="009F24AF"/>
    <w:rsid w:val="009F2D28"/>
    <w:rsid w:val="009F2E58"/>
    <w:rsid w:val="009F32D0"/>
    <w:rsid w:val="009F3627"/>
    <w:rsid w:val="009F45DC"/>
    <w:rsid w:val="009F4DD6"/>
    <w:rsid w:val="009F54A4"/>
    <w:rsid w:val="009F54B9"/>
    <w:rsid w:val="009F5649"/>
    <w:rsid w:val="009F6A26"/>
    <w:rsid w:val="009F7EC4"/>
    <w:rsid w:val="00A00C20"/>
    <w:rsid w:val="00A011C7"/>
    <w:rsid w:val="00A01EC3"/>
    <w:rsid w:val="00A02AD4"/>
    <w:rsid w:val="00A02C80"/>
    <w:rsid w:val="00A02D9F"/>
    <w:rsid w:val="00A02FA0"/>
    <w:rsid w:val="00A04FA2"/>
    <w:rsid w:val="00A054E0"/>
    <w:rsid w:val="00A0598A"/>
    <w:rsid w:val="00A0631C"/>
    <w:rsid w:val="00A06D35"/>
    <w:rsid w:val="00A124EC"/>
    <w:rsid w:val="00A13009"/>
    <w:rsid w:val="00A135F5"/>
    <w:rsid w:val="00A139DA"/>
    <w:rsid w:val="00A142A9"/>
    <w:rsid w:val="00A14CF9"/>
    <w:rsid w:val="00A14F01"/>
    <w:rsid w:val="00A15626"/>
    <w:rsid w:val="00A15A64"/>
    <w:rsid w:val="00A15C3A"/>
    <w:rsid w:val="00A16178"/>
    <w:rsid w:val="00A16758"/>
    <w:rsid w:val="00A168FC"/>
    <w:rsid w:val="00A1697D"/>
    <w:rsid w:val="00A172F5"/>
    <w:rsid w:val="00A17E0B"/>
    <w:rsid w:val="00A200E9"/>
    <w:rsid w:val="00A20F64"/>
    <w:rsid w:val="00A229C4"/>
    <w:rsid w:val="00A231DF"/>
    <w:rsid w:val="00A23340"/>
    <w:rsid w:val="00A2403C"/>
    <w:rsid w:val="00A2429A"/>
    <w:rsid w:val="00A244F3"/>
    <w:rsid w:val="00A24AD0"/>
    <w:rsid w:val="00A25D88"/>
    <w:rsid w:val="00A26096"/>
    <w:rsid w:val="00A261E7"/>
    <w:rsid w:val="00A265E9"/>
    <w:rsid w:val="00A269BD"/>
    <w:rsid w:val="00A26DD0"/>
    <w:rsid w:val="00A27590"/>
    <w:rsid w:val="00A2760A"/>
    <w:rsid w:val="00A27E20"/>
    <w:rsid w:val="00A301F9"/>
    <w:rsid w:val="00A302AC"/>
    <w:rsid w:val="00A3070E"/>
    <w:rsid w:val="00A30B57"/>
    <w:rsid w:val="00A30D51"/>
    <w:rsid w:val="00A313AD"/>
    <w:rsid w:val="00A3179E"/>
    <w:rsid w:val="00A31ACB"/>
    <w:rsid w:val="00A328A1"/>
    <w:rsid w:val="00A32F89"/>
    <w:rsid w:val="00A341D4"/>
    <w:rsid w:val="00A36044"/>
    <w:rsid w:val="00A3620E"/>
    <w:rsid w:val="00A362EC"/>
    <w:rsid w:val="00A36805"/>
    <w:rsid w:val="00A36C53"/>
    <w:rsid w:val="00A36F1C"/>
    <w:rsid w:val="00A37335"/>
    <w:rsid w:val="00A4031F"/>
    <w:rsid w:val="00A403F6"/>
    <w:rsid w:val="00A4065C"/>
    <w:rsid w:val="00A4097A"/>
    <w:rsid w:val="00A40AA0"/>
    <w:rsid w:val="00A40EE5"/>
    <w:rsid w:val="00A418E5"/>
    <w:rsid w:val="00A41AC4"/>
    <w:rsid w:val="00A4227C"/>
    <w:rsid w:val="00A423F3"/>
    <w:rsid w:val="00A430B2"/>
    <w:rsid w:val="00A43505"/>
    <w:rsid w:val="00A436B9"/>
    <w:rsid w:val="00A43789"/>
    <w:rsid w:val="00A4383C"/>
    <w:rsid w:val="00A43D1B"/>
    <w:rsid w:val="00A443A6"/>
    <w:rsid w:val="00A4532A"/>
    <w:rsid w:val="00A45E72"/>
    <w:rsid w:val="00A46196"/>
    <w:rsid w:val="00A464D8"/>
    <w:rsid w:val="00A468BE"/>
    <w:rsid w:val="00A46A06"/>
    <w:rsid w:val="00A46BF2"/>
    <w:rsid w:val="00A47930"/>
    <w:rsid w:val="00A50DDA"/>
    <w:rsid w:val="00A5197C"/>
    <w:rsid w:val="00A52CA1"/>
    <w:rsid w:val="00A536AA"/>
    <w:rsid w:val="00A54694"/>
    <w:rsid w:val="00A55E8D"/>
    <w:rsid w:val="00A5611A"/>
    <w:rsid w:val="00A56395"/>
    <w:rsid w:val="00A5641F"/>
    <w:rsid w:val="00A568F9"/>
    <w:rsid w:val="00A5705F"/>
    <w:rsid w:val="00A5727F"/>
    <w:rsid w:val="00A576B5"/>
    <w:rsid w:val="00A57C91"/>
    <w:rsid w:val="00A57D3A"/>
    <w:rsid w:val="00A603B7"/>
    <w:rsid w:val="00A604F3"/>
    <w:rsid w:val="00A609BA"/>
    <w:rsid w:val="00A60D46"/>
    <w:rsid w:val="00A61A67"/>
    <w:rsid w:val="00A61AA2"/>
    <w:rsid w:val="00A61F02"/>
    <w:rsid w:val="00A621CA"/>
    <w:rsid w:val="00A62205"/>
    <w:rsid w:val="00A63315"/>
    <w:rsid w:val="00A634C8"/>
    <w:rsid w:val="00A63D4C"/>
    <w:rsid w:val="00A63E4A"/>
    <w:rsid w:val="00A646F5"/>
    <w:rsid w:val="00A65537"/>
    <w:rsid w:val="00A66570"/>
    <w:rsid w:val="00A66F60"/>
    <w:rsid w:val="00A671A0"/>
    <w:rsid w:val="00A6740B"/>
    <w:rsid w:val="00A6753A"/>
    <w:rsid w:val="00A675B6"/>
    <w:rsid w:val="00A67637"/>
    <w:rsid w:val="00A676FB"/>
    <w:rsid w:val="00A67DA1"/>
    <w:rsid w:val="00A700EA"/>
    <w:rsid w:val="00A71362"/>
    <w:rsid w:val="00A717BE"/>
    <w:rsid w:val="00A717CB"/>
    <w:rsid w:val="00A723E5"/>
    <w:rsid w:val="00A733C4"/>
    <w:rsid w:val="00A73480"/>
    <w:rsid w:val="00A74EBE"/>
    <w:rsid w:val="00A750F7"/>
    <w:rsid w:val="00A755CA"/>
    <w:rsid w:val="00A75CEF"/>
    <w:rsid w:val="00A76049"/>
    <w:rsid w:val="00A76B87"/>
    <w:rsid w:val="00A76F85"/>
    <w:rsid w:val="00A775FF"/>
    <w:rsid w:val="00A7762D"/>
    <w:rsid w:val="00A807D7"/>
    <w:rsid w:val="00A80B21"/>
    <w:rsid w:val="00A80B71"/>
    <w:rsid w:val="00A80E81"/>
    <w:rsid w:val="00A8205C"/>
    <w:rsid w:val="00A8244F"/>
    <w:rsid w:val="00A82B48"/>
    <w:rsid w:val="00A82D8A"/>
    <w:rsid w:val="00A82E68"/>
    <w:rsid w:val="00A83261"/>
    <w:rsid w:val="00A83340"/>
    <w:rsid w:val="00A83930"/>
    <w:rsid w:val="00A84199"/>
    <w:rsid w:val="00A85587"/>
    <w:rsid w:val="00A86186"/>
    <w:rsid w:val="00A87157"/>
    <w:rsid w:val="00A87BC3"/>
    <w:rsid w:val="00A9033F"/>
    <w:rsid w:val="00A90634"/>
    <w:rsid w:val="00A9083A"/>
    <w:rsid w:val="00A90A0E"/>
    <w:rsid w:val="00A90B6B"/>
    <w:rsid w:val="00A90BE1"/>
    <w:rsid w:val="00A90EAA"/>
    <w:rsid w:val="00A910FA"/>
    <w:rsid w:val="00A9229D"/>
    <w:rsid w:val="00A92584"/>
    <w:rsid w:val="00A948FF"/>
    <w:rsid w:val="00A94912"/>
    <w:rsid w:val="00A94EB1"/>
    <w:rsid w:val="00A951FE"/>
    <w:rsid w:val="00A95378"/>
    <w:rsid w:val="00A954E2"/>
    <w:rsid w:val="00A956DC"/>
    <w:rsid w:val="00A96D0E"/>
    <w:rsid w:val="00A96EA9"/>
    <w:rsid w:val="00A97705"/>
    <w:rsid w:val="00AA01D1"/>
    <w:rsid w:val="00AA2711"/>
    <w:rsid w:val="00AA2D2B"/>
    <w:rsid w:val="00AA39A9"/>
    <w:rsid w:val="00AA3AAE"/>
    <w:rsid w:val="00AA3DE6"/>
    <w:rsid w:val="00AA4490"/>
    <w:rsid w:val="00AA4E49"/>
    <w:rsid w:val="00AA4E89"/>
    <w:rsid w:val="00AA581D"/>
    <w:rsid w:val="00AA5E8B"/>
    <w:rsid w:val="00AB04E1"/>
    <w:rsid w:val="00AB12EB"/>
    <w:rsid w:val="00AB1A9A"/>
    <w:rsid w:val="00AB2986"/>
    <w:rsid w:val="00AB2B22"/>
    <w:rsid w:val="00AB3D1E"/>
    <w:rsid w:val="00AB3D71"/>
    <w:rsid w:val="00AB44DE"/>
    <w:rsid w:val="00AB5FBC"/>
    <w:rsid w:val="00AB688E"/>
    <w:rsid w:val="00AB689A"/>
    <w:rsid w:val="00AB7447"/>
    <w:rsid w:val="00AB747D"/>
    <w:rsid w:val="00AB7A0E"/>
    <w:rsid w:val="00AC077C"/>
    <w:rsid w:val="00AC08BD"/>
    <w:rsid w:val="00AC0940"/>
    <w:rsid w:val="00AC0AA3"/>
    <w:rsid w:val="00AC18D6"/>
    <w:rsid w:val="00AC18EB"/>
    <w:rsid w:val="00AC1D1A"/>
    <w:rsid w:val="00AC1F83"/>
    <w:rsid w:val="00AC2447"/>
    <w:rsid w:val="00AC2F19"/>
    <w:rsid w:val="00AC3A25"/>
    <w:rsid w:val="00AC3BD6"/>
    <w:rsid w:val="00AC3C2F"/>
    <w:rsid w:val="00AC5A5E"/>
    <w:rsid w:val="00AC5AB6"/>
    <w:rsid w:val="00AC61A7"/>
    <w:rsid w:val="00AC63DC"/>
    <w:rsid w:val="00AC7393"/>
    <w:rsid w:val="00AC7565"/>
    <w:rsid w:val="00AD02C3"/>
    <w:rsid w:val="00AD0726"/>
    <w:rsid w:val="00AD10D4"/>
    <w:rsid w:val="00AD1A57"/>
    <w:rsid w:val="00AD1E21"/>
    <w:rsid w:val="00AD2E7B"/>
    <w:rsid w:val="00AD4A2D"/>
    <w:rsid w:val="00AD5103"/>
    <w:rsid w:val="00AD574A"/>
    <w:rsid w:val="00AD6C24"/>
    <w:rsid w:val="00AD7BFF"/>
    <w:rsid w:val="00AE006A"/>
    <w:rsid w:val="00AE0EFD"/>
    <w:rsid w:val="00AE2687"/>
    <w:rsid w:val="00AE2DB8"/>
    <w:rsid w:val="00AE2ECD"/>
    <w:rsid w:val="00AE35DD"/>
    <w:rsid w:val="00AE380C"/>
    <w:rsid w:val="00AE5EE7"/>
    <w:rsid w:val="00AE6059"/>
    <w:rsid w:val="00AE655D"/>
    <w:rsid w:val="00AE67C0"/>
    <w:rsid w:val="00AE6E9D"/>
    <w:rsid w:val="00AE7903"/>
    <w:rsid w:val="00AE7D8A"/>
    <w:rsid w:val="00AE7DA3"/>
    <w:rsid w:val="00AF00E0"/>
    <w:rsid w:val="00AF0E4B"/>
    <w:rsid w:val="00AF1141"/>
    <w:rsid w:val="00AF19E7"/>
    <w:rsid w:val="00AF1B96"/>
    <w:rsid w:val="00AF28B1"/>
    <w:rsid w:val="00AF2C2B"/>
    <w:rsid w:val="00AF3237"/>
    <w:rsid w:val="00AF392B"/>
    <w:rsid w:val="00AF401B"/>
    <w:rsid w:val="00AF40D9"/>
    <w:rsid w:val="00AF52A6"/>
    <w:rsid w:val="00AF542E"/>
    <w:rsid w:val="00AF5B0A"/>
    <w:rsid w:val="00AF642D"/>
    <w:rsid w:val="00B00607"/>
    <w:rsid w:val="00B0069E"/>
    <w:rsid w:val="00B01ABC"/>
    <w:rsid w:val="00B022FA"/>
    <w:rsid w:val="00B02A59"/>
    <w:rsid w:val="00B02B69"/>
    <w:rsid w:val="00B02E8E"/>
    <w:rsid w:val="00B04305"/>
    <w:rsid w:val="00B048CA"/>
    <w:rsid w:val="00B0493F"/>
    <w:rsid w:val="00B04CC4"/>
    <w:rsid w:val="00B05230"/>
    <w:rsid w:val="00B0591D"/>
    <w:rsid w:val="00B0599C"/>
    <w:rsid w:val="00B05D1B"/>
    <w:rsid w:val="00B05E93"/>
    <w:rsid w:val="00B06474"/>
    <w:rsid w:val="00B072AA"/>
    <w:rsid w:val="00B07637"/>
    <w:rsid w:val="00B0763F"/>
    <w:rsid w:val="00B07781"/>
    <w:rsid w:val="00B10314"/>
    <w:rsid w:val="00B1117A"/>
    <w:rsid w:val="00B11277"/>
    <w:rsid w:val="00B11C5B"/>
    <w:rsid w:val="00B121DC"/>
    <w:rsid w:val="00B12AB4"/>
    <w:rsid w:val="00B1328A"/>
    <w:rsid w:val="00B15396"/>
    <w:rsid w:val="00B15E26"/>
    <w:rsid w:val="00B1602D"/>
    <w:rsid w:val="00B162DC"/>
    <w:rsid w:val="00B2198B"/>
    <w:rsid w:val="00B21B1A"/>
    <w:rsid w:val="00B2238B"/>
    <w:rsid w:val="00B224A6"/>
    <w:rsid w:val="00B240A9"/>
    <w:rsid w:val="00B242C2"/>
    <w:rsid w:val="00B2448C"/>
    <w:rsid w:val="00B24DE4"/>
    <w:rsid w:val="00B25C8A"/>
    <w:rsid w:val="00B25CD7"/>
    <w:rsid w:val="00B260AF"/>
    <w:rsid w:val="00B26D42"/>
    <w:rsid w:val="00B278A8"/>
    <w:rsid w:val="00B27EB3"/>
    <w:rsid w:val="00B27EC2"/>
    <w:rsid w:val="00B30227"/>
    <w:rsid w:val="00B305FB"/>
    <w:rsid w:val="00B32603"/>
    <w:rsid w:val="00B32A1B"/>
    <w:rsid w:val="00B32BC4"/>
    <w:rsid w:val="00B32C6C"/>
    <w:rsid w:val="00B32E6C"/>
    <w:rsid w:val="00B32ECB"/>
    <w:rsid w:val="00B337F2"/>
    <w:rsid w:val="00B33BAE"/>
    <w:rsid w:val="00B350A9"/>
    <w:rsid w:val="00B35AA9"/>
    <w:rsid w:val="00B36084"/>
    <w:rsid w:val="00B36541"/>
    <w:rsid w:val="00B3773E"/>
    <w:rsid w:val="00B379FE"/>
    <w:rsid w:val="00B40AB3"/>
    <w:rsid w:val="00B42240"/>
    <w:rsid w:val="00B42EC5"/>
    <w:rsid w:val="00B43144"/>
    <w:rsid w:val="00B433F3"/>
    <w:rsid w:val="00B437BE"/>
    <w:rsid w:val="00B438D3"/>
    <w:rsid w:val="00B43D8F"/>
    <w:rsid w:val="00B44017"/>
    <w:rsid w:val="00B45600"/>
    <w:rsid w:val="00B45AA6"/>
    <w:rsid w:val="00B46292"/>
    <w:rsid w:val="00B46293"/>
    <w:rsid w:val="00B462A8"/>
    <w:rsid w:val="00B4656D"/>
    <w:rsid w:val="00B4685D"/>
    <w:rsid w:val="00B46A96"/>
    <w:rsid w:val="00B504CC"/>
    <w:rsid w:val="00B50A2D"/>
    <w:rsid w:val="00B526CC"/>
    <w:rsid w:val="00B53AED"/>
    <w:rsid w:val="00B5442C"/>
    <w:rsid w:val="00B54498"/>
    <w:rsid w:val="00B54A6D"/>
    <w:rsid w:val="00B54FBC"/>
    <w:rsid w:val="00B55490"/>
    <w:rsid w:val="00B5562A"/>
    <w:rsid w:val="00B569EE"/>
    <w:rsid w:val="00B575BE"/>
    <w:rsid w:val="00B600F3"/>
    <w:rsid w:val="00B60222"/>
    <w:rsid w:val="00B608C9"/>
    <w:rsid w:val="00B6117A"/>
    <w:rsid w:val="00B61D6F"/>
    <w:rsid w:val="00B62482"/>
    <w:rsid w:val="00B631E8"/>
    <w:rsid w:val="00B635DC"/>
    <w:rsid w:val="00B63DEE"/>
    <w:rsid w:val="00B63FD1"/>
    <w:rsid w:val="00B640EA"/>
    <w:rsid w:val="00B644E9"/>
    <w:rsid w:val="00B64AB9"/>
    <w:rsid w:val="00B64FA1"/>
    <w:rsid w:val="00B656E4"/>
    <w:rsid w:val="00B6574B"/>
    <w:rsid w:val="00B65D2D"/>
    <w:rsid w:val="00B65DF6"/>
    <w:rsid w:val="00B665CD"/>
    <w:rsid w:val="00B66D87"/>
    <w:rsid w:val="00B67177"/>
    <w:rsid w:val="00B6738D"/>
    <w:rsid w:val="00B67BEE"/>
    <w:rsid w:val="00B67E12"/>
    <w:rsid w:val="00B70290"/>
    <w:rsid w:val="00B71071"/>
    <w:rsid w:val="00B72DBF"/>
    <w:rsid w:val="00B7364E"/>
    <w:rsid w:val="00B74340"/>
    <w:rsid w:val="00B744F4"/>
    <w:rsid w:val="00B74749"/>
    <w:rsid w:val="00B748E3"/>
    <w:rsid w:val="00B75D75"/>
    <w:rsid w:val="00B75FD4"/>
    <w:rsid w:val="00B76196"/>
    <w:rsid w:val="00B76551"/>
    <w:rsid w:val="00B76D5A"/>
    <w:rsid w:val="00B76E84"/>
    <w:rsid w:val="00B76F26"/>
    <w:rsid w:val="00B8042B"/>
    <w:rsid w:val="00B805C4"/>
    <w:rsid w:val="00B80662"/>
    <w:rsid w:val="00B806FD"/>
    <w:rsid w:val="00B8118D"/>
    <w:rsid w:val="00B813A1"/>
    <w:rsid w:val="00B814EF"/>
    <w:rsid w:val="00B81F4E"/>
    <w:rsid w:val="00B828C5"/>
    <w:rsid w:val="00B832C4"/>
    <w:rsid w:val="00B83763"/>
    <w:rsid w:val="00B83ACC"/>
    <w:rsid w:val="00B84497"/>
    <w:rsid w:val="00B8476E"/>
    <w:rsid w:val="00B84C8D"/>
    <w:rsid w:val="00B85812"/>
    <w:rsid w:val="00B85D77"/>
    <w:rsid w:val="00B85F0A"/>
    <w:rsid w:val="00B868B0"/>
    <w:rsid w:val="00B8740B"/>
    <w:rsid w:val="00B874D5"/>
    <w:rsid w:val="00B875D8"/>
    <w:rsid w:val="00B87AFE"/>
    <w:rsid w:val="00B900DE"/>
    <w:rsid w:val="00B901AE"/>
    <w:rsid w:val="00B9049E"/>
    <w:rsid w:val="00B90816"/>
    <w:rsid w:val="00B916BF"/>
    <w:rsid w:val="00B91D9D"/>
    <w:rsid w:val="00B92DC1"/>
    <w:rsid w:val="00B93F6B"/>
    <w:rsid w:val="00B9408C"/>
    <w:rsid w:val="00B952FA"/>
    <w:rsid w:val="00B9548C"/>
    <w:rsid w:val="00B95CB8"/>
    <w:rsid w:val="00B965E0"/>
    <w:rsid w:val="00B96C86"/>
    <w:rsid w:val="00B96DC8"/>
    <w:rsid w:val="00B9765B"/>
    <w:rsid w:val="00B977FA"/>
    <w:rsid w:val="00BA0851"/>
    <w:rsid w:val="00BA1007"/>
    <w:rsid w:val="00BA194F"/>
    <w:rsid w:val="00BA298E"/>
    <w:rsid w:val="00BA3463"/>
    <w:rsid w:val="00BA36C6"/>
    <w:rsid w:val="00BA41C1"/>
    <w:rsid w:val="00BA423A"/>
    <w:rsid w:val="00BA6ED8"/>
    <w:rsid w:val="00BA7326"/>
    <w:rsid w:val="00BA7B51"/>
    <w:rsid w:val="00BA7D68"/>
    <w:rsid w:val="00BB0184"/>
    <w:rsid w:val="00BB0294"/>
    <w:rsid w:val="00BB0CB0"/>
    <w:rsid w:val="00BB14BA"/>
    <w:rsid w:val="00BB1F99"/>
    <w:rsid w:val="00BB2D57"/>
    <w:rsid w:val="00BB3366"/>
    <w:rsid w:val="00BB339F"/>
    <w:rsid w:val="00BB39EB"/>
    <w:rsid w:val="00BB3E35"/>
    <w:rsid w:val="00BB44A1"/>
    <w:rsid w:val="00BB4C06"/>
    <w:rsid w:val="00BB56FE"/>
    <w:rsid w:val="00BB5757"/>
    <w:rsid w:val="00BB6538"/>
    <w:rsid w:val="00BB6C5E"/>
    <w:rsid w:val="00BB6F9A"/>
    <w:rsid w:val="00BB7D26"/>
    <w:rsid w:val="00BC01BC"/>
    <w:rsid w:val="00BC05FE"/>
    <w:rsid w:val="00BC06AF"/>
    <w:rsid w:val="00BC1138"/>
    <w:rsid w:val="00BC13B4"/>
    <w:rsid w:val="00BC1AD8"/>
    <w:rsid w:val="00BC1BC6"/>
    <w:rsid w:val="00BC23E2"/>
    <w:rsid w:val="00BC2DD8"/>
    <w:rsid w:val="00BC2FB7"/>
    <w:rsid w:val="00BC395F"/>
    <w:rsid w:val="00BC3B57"/>
    <w:rsid w:val="00BC453F"/>
    <w:rsid w:val="00BC4C1A"/>
    <w:rsid w:val="00BC4ED5"/>
    <w:rsid w:val="00BC4FFB"/>
    <w:rsid w:val="00BC57F9"/>
    <w:rsid w:val="00BC5A1B"/>
    <w:rsid w:val="00BC5F4D"/>
    <w:rsid w:val="00BC684A"/>
    <w:rsid w:val="00BC6D71"/>
    <w:rsid w:val="00BC6F7E"/>
    <w:rsid w:val="00BC728C"/>
    <w:rsid w:val="00BC769F"/>
    <w:rsid w:val="00BC79EE"/>
    <w:rsid w:val="00BD02E7"/>
    <w:rsid w:val="00BD03E0"/>
    <w:rsid w:val="00BD0524"/>
    <w:rsid w:val="00BD05F7"/>
    <w:rsid w:val="00BD08E6"/>
    <w:rsid w:val="00BD19E9"/>
    <w:rsid w:val="00BD2390"/>
    <w:rsid w:val="00BD294A"/>
    <w:rsid w:val="00BD2C8E"/>
    <w:rsid w:val="00BD2CC8"/>
    <w:rsid w:val="00BD2F08"/>
    <w:rsid w:val="00BD367A"/>
    <w:rsid w:val="00BD3725"/>
    <w:rsid w:val="00BD492B"/>
    <w:rsid w:val="00BD6A84"/>
    <w:rsid w:val="00BD6D90"/>
    <w:rsid w:val="00BD6EAD"/>
    <w:rsid w:val="00BD78F3"/>
    <w:rsid w:val="00BD7EBB"/>
    <w:rsid w:val="00BE01D7"/>
    <w:rsid w:val="00BE0FD8"/>
    <w:rsid w:val="00BE175E"/>
    <w:rsid w:val="00BE2790"/>
    <w:rsid w:val="00BE2EEB"/>
    <w:rsid w:val="00BE3CDB"/>
    <w:rsid w:val="00BE41C1"/>
    <w:rsid w:val="00BE4FA0"/>
    <w:rsid w:val="00BE5816"/>
    <w:rsid w:val="00BE59A6"/>
    <w:rsid w:val="00BE5A50"/>
    <w:rsid w:val="00BE625B"/>
    <w:rsid w:val="00BF021C"/>
    <w:rsid w:val="00BF0C3B"/>
    <w:rsid w:val="00BF10E3"/>
    <w:rsid w:val="00BF111E"/>
    <w:rsid w:val="00BF1533"/>
    <w:rsid w:val="00BF157A"/>
    <w:rsid w:val="00BF1670"/>
    <w:rsid w:val="00BF21FD"/>
    <w:rsid w:val="00BF2AF5"/>
    <w:rsid w:val="00BF2B8D"/>
    <w:rsid w:val="00BF3407"/>
    <w:rsid w:val="00BF3C80"/>
    <w:rsid w:val="00BF3EED"/>
    <w:rsid w:val="00BF4698"/>
    <w:rsid w:val="00BF479A"/>
    <w:rsid w:val="00BF4AEF"/>
    <w:rsid w:val="00BF645B"/>
    <w:rsid w:val="00BF6511"/>
    <w:rsid w:val="00BF7274"/>
    <w:rsid w:val="00BF77B1"/>
    <w:rsid w:val="00BF77E7"/>
    <w:rsid w:val="00BF7B0C"/>
    <w:rsid w:val="00C00439"/>
    <w:rsid w:val="00C00BB5"/>
    <w:rsid w:val="00C00BB7"/>
    <w:rsid w:val="00C0194F"/>
    <w:rsid w:val="00C02995"/>
    <w:rsid w:val="00C035FB"/>
    <w:rsid w:val="00C0484D"/>
    <w:rsid w:val="00C04EB6"/>
    <w:rsid w:val="00C05AB9"/>
    <w:rsid w:val="00C05ABB"/>
    <w:rsid w:val="00C05CB4"/>
    <w:rsid w:val="00C064A9"/>
    <w:rsid w:val="00C06C8E"/>
    <w:rsid w:val="00C07724"/>
    <w:rsid w:val="00C10483"/>
    <w:rsid w:val="00C10758"/>
    <w:rsid w:val="00C10F82"/>
    <w:rsid w:val="00C127AB"/>
    <w:rsid w:val="00C128B1"/>
    <w:rsid w:val="00C13046"/>
    <w:rsid w:val="00C1364C"/>
    <w:rsid w:val="00C14A81"/>
    <w:rsid w:val="00C14F3B"/>
    <w:rsid w:val="00C1509A"/>
    <w:rsid w:val="00C1526E"/>
    <w:rsid w:val="00C1539D"/>
    <w:rsid w:val="00C1572D"/>
    <w:rsid w:val="00C16054"/>
    <w:rsid w:val="00C16E8C"/>
    <w:rsid w:val="00C178D8"/>
    <w:rsid w:val="00C17DBC"/>
    <w:rsid w:val="00C17E1E"/>
    <w:rsid w:val="00C17F75"/>
    <w:rsid w:val="00C20401"/>
    <w:rsid w:val="00C2152E"/>
    <w:rsid w:val="00C217D6"/>
    <w:rsid w:val="00C218B4"/>
    <w:rsid w:val="00C21C11"/>
    <w:rsid w:val="00C21EC3"/>
    <w:rsid w:val="00C23907"/>
    <w:rsid w:val="00C23B94"/>
    <w:rsid w:val="00C2460C"/>
    <w:rsid w:val="00C24881"/>
    <w:rsid w:val="00C253E2"/>
    <w:rsid w:val="00C2551C"/>
    <w:rsid w:val="00C25F42"/>
    <w:rsid w:val="00C26F14"/>
    <w:rsid w:val="00C27046"/>
    <w:rsid w:val="00C27BC1"/>
    <w:rsid w:val="00C27D33"/>
    <w:rsid w:val="00C31770"/>
    <w:rsid w:val="00C31F20"/>
    <w:rsid w:val="00C33706"/>
    <w:rsid w:val="00C33A3A"/>
    <w:rsid w:val="00C33B27"/>
    <w:rsid w:val="00C3485E"/>
    <w:rsid w:val="00C3528E"/>
    <w:rsid w:val="00C353B2"/>
    <w:rsid w:val="00C354C4"/>
    <w:rsid w:val="00C35711"/>
    <w:rsid w:val="00C3591F"/>
    <w:rsid w:val="00C35EBA"/>
    <w:rsid w:val="00C36267"/>
    <w:rsid w:val="00C376F0"/>
    <w:rsid w:val="00C37BDF"/>
    <w:rsid w:val="00C37F2C"/>
    <w:rsid w:val="00C42028"/>
    <w:rsid w:val="00C42168"/>
    <w:rsid w:val="00C43777"/>
    <w:rsid w:val="00C44099"/>
    <w:rsid w:val="00C440AA"/>
    <w:rsid w:val="00C443F1"/>
    <w:rsid w:val="00C44C43"/>
    <w:rsid w:val="00C44D94"/>
    <w:rsid w:val="00C454D9"/>
    <w:rsid w:val="00C464C2"/>
    <w:rsid w:val="00C46C66"/>
    <w:rsid w:val="00C46D51"/>
    <w:rsid w:val="00C4717D"/>
    <w:rsid w:val="00C477FD"/>
    <w:rsid w:val="00C4789A"/>
    <w:rsid w:val="00C50B3D"/>
    <w:rsid w:val="00C510BB"/>
    <w:rsid w:val="00C52113"/>
    <w:rsid w:val="00C52920"/>
    <w:rsid w:val="00C529D0"/>
    <w:rsid w:val="00C540B3"/>
    <w:rsid w:val="00C54302"/>
    <w:rsid w:val="00C54508"/>
    <w:rsid w:val="00C545E4"/>
    <w:rsid w:val="00C54CBC"/>
    <w:rsid w:val="00C54DF1"/>
    <w:rsid w:val="00C551E4"/>
    <w:rsid w:val="00C55371"/>
    <w:rsid w:val="00C55A0D"/>
    <w:rsid w:val="00C566D9"/>
    <w:rsid w:val="00C5681C"/>
    <w:rsid w:val="00C56BF7"/>
    <w:rsid w:val="00C60744"/>
    <w:rsid w:val="00C6337E"/>
    <w:rsid w:val="00C635D3"/>
    <w:rsid w:val="00C63635"/>
    <w:rsid w:val="00C64270"/>
    <w:rsid w:val="00C64ABE"/>
    <w:rsid w:val="00C65D56"/>
    <w:rsid w:val="00C66884"/>
    <w:rsid w:val="00C67D05"/>
    <w:rsid w:val="00C7094C"/>
    <w:rsid w:val="00C71AD4"/>
    <w:rsid w:val="00C7227F"/>
    <w:rsid w:val="00C72365"/>
    <w:rsid w:val="00C72EB1"/>
    <w:rsid w:val="00C7342C"/>
    <w:rsid w:val="00C73532"/>
    <w:rsid w:val="00C735CE"/>
    <w:rsid w:val="00C76E81"/>
    <w:rsid w:val="00C77227"/>
    <w:rsid w:val="00C77296"/>
    <w:rsid w:val="00C77F38"/>
    <w:rsid w:val="00C8043A"/>
    <w:rsid w:val="00C8049F"/>
    <w:rsid w:val="00C80602"/>
    <w:rsid w:val="00C806B5"/>
    <w:rsid w:val="00C81389"/>
    <w:rsid w:val="00C814C0"/>
    <w:rsid w:val="00C81F77"/>
    <w:rsid w:val="00C82BDA"/>
    <w:rsid w:val="00C82D83"/>
    <w:rsid w:val="00C8339C"/>
    <w:rsid w:val="00C84507"/>
    <w:rsid w:val="00C84CD9"/>
    <w:rsid w:val="00C85AAC"/>
    <w:rsid w:val="00C86B16"/>
    <w:rsid w:val="00C86DA4"/>
    <w:rsid w:val="00C87562"/>
    <w:rsid w:val="00C87CEF"/>
    <w:rsid w:val="00C87E3E"/>
    <w:rsid w:val="00C90723"/>
    <w:rsid w:val="00C90D64"/>
    <w:rsid w:val="00C910F1"/>
    <w:rsid w:val="00C91ADE"/>
    <w:rsid w:val="00C9209D"/>
    <w:rsid w:val="00C933D2"/>
    <w:rsid w:val="00C93DD9"/>
    <w:rsid w:val="00C94A28"/>
    <w:rsid w:val="00C94ED2"/>
    <w:rsid w:val="00C95C9C"/>
    <w:rsid w:val="00C95EA9"/>
    <w:rsid w:val="00C97F58"/>
    <w:rsid w:val="00CA0704"/>
    <w:rsid w:val="00CA0B28"/>
    <w:rsid w:val="00CA1029"/>
    <w:rsid w:val="00CA1290"/>
    <w:rsid w:val="00CA141E"/>
    <w:rsid w:val="00CA15D2"/>
    <w:rsid w:val="00CA1907"/>
    <w:rsid w:val="00CA1B14"/>
    <w:rsid w:val="00CA1B83"/>
    <w:rsid w:val="00CA1BB7"/>
    <w:rsid w:val="00CA2E85"/>
    <w:rsid w:val="00CA3AF1"/>
    <w:rsid w:val="00CA4CC9"/>
    <w:rsid w:val="00CA5238"/>
    <w:rsid w:val="00CA585B"/>
    <w:rsid w:val="00CA6080"/>
    <w:rsid w:val="00CA6714"/>
    <w:rsid w:val="00CA6CA0"/>
    <w:rsid w:val="00CA6D1A"/>
    <w:rsid w:val="00CA7B46"/>
    <w:rsid w:val="00CA7FF5"/>
    <w:rsid w:val="00CB0E19"/>
    <w:rsid w:val="00CB1C4B"/>
    <w:rsid w:val="00CB24D6"/>
    <w:rsid w:val="00CB26FB"/>
    <w:rsid w:val="00CB2B4B"/>
    <w:rsid w:val="00CB2F9A"/>
    <w:rsid w:val="00CB3156"/>
    <w:rsid w:val="00CB33D8"/>
    <w:rsid w:val="00CB4333"/>
    <w:rsid w:val="00CB49FC"/>
    <w:rsid w:val="00CB566E"/>
    <w:rsid w:val="00CB5D27"/>
    <w:rsid w:val="00CB6445"/>
    <w:rsid w:val="00CB6EA6"/>
    <w:rsid w:val="00CB6F09"/>
    <w:rsid w:val="00CB7AC4"/>
    <w:rsid w:val="00CC0BEB"/>
    <w:rsid w:val="00CC0F31"/>
    <w:rsid w:val="00CC103E"/>
    <w:rsid w:val="00CC1A19"/>
    <w:rsid w:val="00CC39E9"/>
    <w:rsid w:val="00CC3F9F"/>
    <w:rsid w:val="00CC4256"/>
    <w:rsid w:val="00CC4C7A"/>
    <w:rsid w:val="00CC4CB7"/>
    <w:rsid w:val="00CC53C7"/>
    <w:rsid w:val="00CC5988"/>
    <w:rsid w:val="00CC608C"/>
    <w:rsid w:val="00CC78D0"/>
    <w:rsid w:val="00CC7914"/>
    <w:rsid w:val="00CD03DD"/>
    <w:rsid w:val="00CD05E0"/>
    <w:rsid w:val="00CD0DF2"/>
    <w:rsid w:val="00CD129D"/>
    <w:rsid w:val="00CD3052"/>
    <w:rsid w:val="00CD34BB"/>
    <w:rsid w:val="00CD36E5"/>
    <w:rsid w:val="00CD3D51"/>
    <w:rsid w:val="00CD4DCF"/>
    <w:rsid w:val="00CD503C"/>
    <w:rsid w:val="00CD69A9"/>
    <w:rsid w:val="00CD6B75"/>
    <w:rsid w:val="00CD7215"/>
    <w:rsid w:val="00CD7583"/>
    <w:rsid w:val="00CD76FA"/>
    <w:rsid w:val="00CE0CF0"/>
    <w:rsid w:val="00CE118E"/>
    <w:rsid w:val="00CE1195"/>
    <w:rsid w:val="00CE11E2"/>
    <w:rsid w:val="00CE1297"/>
    <w:rsid w:val="00CE1BB1"/>
    <w:rsid w:val="00CE1C3D"/>
    <w:rsid w:val="00CE2752"/>
    <w:rsid w:val="00CE3659"/>
    <w:rsid w:val="00CE381C"/>
    <w:rsid w:val="00CE4F8F"/>
    <w:rsid w:val="00CE571B"/>
    <w:rsid w:val="00CE5DA4"/>
    <w:rsid w:val="00CE6755"/>
    <w:rsid w:val="00CE6AC8"/>
    <w:rsid w:val="00CE722E"/>
    <w:rsid w:val="00CE7C24"/>
    <w:rsid w:val="00CF06BF"/>
    <w:rsid w:val="00CF10EF"/>
    <w:rsid w:val="00CF212D"/>
    <w:rsid w:val="00CF3CCB"/>
    <w:rsid w:val="00CF3F9A"/>
    <w:rsid w:val="00CF5299"/>
    <w:rsid w:val="00CF600B"/>
    <w:rsid w:val="00CF6C79"/>
    <w:rsid w:val="00CF6D33"/>
    <w:rsid w:val="00CF6F0C"/>
    <w:rsid w:val="00D00BF8"/>
    <w:rsid w:val="00D014A4"/>
    <w:rsid w:val="00D01BA8"/>
    <w:rsid w:val="00D01F24"/>
    <w:rsid w:val="00D0242A"/>
    <w:rsid w:val="00D02D27"/>
    <w:rsid w:val="00D02F58"/>
    <w:rsid w:val="00D032EA"/>
    <w:rsid w:val="00D0397A"/>
    <w:rsid w:val="00D03B55"/>
    <w:rsid w:val="00D045B9"/>
    <w:rsid w:val="00D048AC"/>
    <w:rsid w:val="00D05C1C"/>
    <w:rsid w:val="00D05DFC"/>
    <w:rsid w:val="00D06DBF"/>
    <w:rsid w:val="00D06E62"/>
    <w:rsid w:val="00D07957"/>
    <w:rsid w:val="00D07A33"/>
    <w:rsid w:val="00D10C91"/>
    <w:rsid w:val="00D10FCF"/>
    <w:rsid w:val="00D111DB"/>
    <w:rsid w:val="00D122F7"/>
    <w:rsid w:val="00D134C5"/>
    <w:rsid w:val="00D13943"/>
    <w:rsid w:val="00D155A5"/>
    <w:rsid w:val="00D162D3"/>
    <w:rsid w:val="00D162DF"/>
    <w:rsid w:val="00D16B42"/>
    <w:rsid w:val="00D16E8D"/>
    <w:rsid w:val="00D16F45"/>
    <w:rsid w:val="00D17CB3"/>
    <w:rsid w:val="00D20616"/>
    <w:rsid w:val="00D207A3"/>
    <w:rsid w:val="00D20BA9"/>
    <w:rsid w:val="00D214A9"/>
    <w:rsid w:val="00D21741"/>
    <w:rsid w:val="00D21FA4"/>
    <w:rsid w:val="00D223B8"/>
    <w:rsid w:val="00D22408"/>
    <w:rsid w:val="00D22D1C"/>
    <w:rsid w:val="00D23B55"/>
    <w:rsid w:val="00D23E13"/>
    <w:rsid w:val="00D24594"/>
    <w:rsid w:val="00D24C71"/>
    <w:rsid w:val="00D2591D"/>
    <w:rsid w:val="00D25D41"/>
    <w:rsid w:val="00D26773"/>
    <w:rsid w:val="00D27D8F"/>
    <w:rsid w:val="00D30635"/>
    <w:rsid w:val="00D3102E"/>
    <w:rsid w:val="00D31370"/>
    <w:rsid w:val="00D3220F"/>
    <w:rsid w:val="00D32E39"/>
    <w:rsid w:val="00D33E54"/>
    <w:rsid w:val="00D33FFE"/>
    <w:rsid w:val="00D340BE"/>
    <w:rsid w:val="00D35D80"/>
    <w:rsid w:val="00D361B4"/>
    <w:rsid w:val="00D36AED"/>
    <w:rsid w:val="00D401B8"/>
    <w:rsid w:val="00D40DF3"/>
    <w:rsid w:val="00D419C5"/>
    <w:rsid w:val="00D41CB3"/>
    <w:rsid w:val="00D41D07"/>
    <w:rsid w:val="00D420DC"/>
    <w:rsid w:val="00D42199"/>
    <w:rsid w:val="00D421B0"/>
    <w:rsid w:val="00D431F0"/>
    <w:rsid w:val="00D43BB5"/>
    <w:rsid w:val="00D43FF7"/>
    <w:rsid w:val="00D44357"/>
    <w:rsid w:val="00D44FA2"/>
    <w:rsid w:val="00D451DA"/>
    <w:rsid w:val="00D4549D"/>
    <w:rsid w:val="00D45A4C"/>
    <w:rsid w:val="00D45F78"/>
    <w:rsid w:val="00D466A5"/>
    <w:rsid w:val="00D47D43"/>
    <w:rsid w:val="00D508AA"/>
    <w:rsid w:val="00D51196"/>
    <w:rsid w:val="00D52ADF"/>
    <w:rsid w:val="00D53761"/>
    <w:rsid w:val="00D53E6C"/>
    <w:rsid w:val="00D5424D"/>
    <w:rsid w:val="00D54D12"/>
    <w:rsid w:val="00D5503A"/>
    <w:rsid w:val="00D5566C"/>
    <w:rsid w:val="00D5660A"/>
    <w:rsid w:val="00D567B4"/>
    <w:rsid w:val="00D569A6"/>
    <w:rsid w:val="00D569BD"/>
    <w:rsid w:val="00D577A7"/>
    <w:rsid w:val="00D57E87"/>
    <w:rsid w:val="00D6045D"/>
    <w:rsid w:val="00D60652"/>
    <w:rsid w:val="00D609DD"/>
    <w:rsid w:val="00D60FE0"/>
    <w:rsid w:val="00D616E9"/>
    <w:rsid w:val="00D61CE9"/>
    <w:rsid w:val="00D61E85"/>
    <w:rsid w:val="00D623E8"/>
    <w:rsid w:val="00D62815"/>
    <w:rsid w:val="00D6305B"/>
    <w:rsid w:val="00D63830"/>
    <w:rsid w:val="00D63AA7"/>
    <w:rsid w:val="00D63F53"/>
    <w:rsid w:val="00D64888"/>
    <w:rsid w:val="00D6493E"/>
    <w:rsid w:val="00D649ED"/>
    <w:rsid w:val="00D65A8D"/>
    <w:rsid w:val="00D6751B"/>
    <w:rsid w:val="00D67FBA"/>
    <w:rsid w:val="00D70108"/>
    <w:rsid w:val="00D70A77"/>
    <w:rsid w:val="00D70D68"/>
    <w:rsid w:val="00D71E5D"/>
    <w:rsid w:val="00D72C87"/>
    <w:rsid w:val="00D72D68"/>
    <w:rsid w:val="00D73B91"/>
    <w:rsid w:val="00D74E5B"/>
    <w:rsid w:val="00D75453"/>
    <w:rsid w:val="00D75508"/>
    <w:rsid w:val="00D75FCD"/>
    <w:rsid w:val="00D766E9"/>
    <w:rsid w:val="00D768BF"/>
    <w:rsid w:val="00D76BDB"/>
    <w:rsid w:val="00D806DE"/>
    <w:rsid w:val="00D8092B"/>
    <w:rsid w:val="00D80956"/>
    <w:rsid w:val="00D81275"/>
    <w:rsid w:val="00D8133B"/>
    <w:rsid w:val="00D813DA"/>
    <w:rsid w:val="00D81550"/>
    <w:rsid w:val="00D81662"/>
    <w:rsid w:val="00D81949"/>
    <w:rsid w:val="00D81E9F"/>
    <w:rsid w:val="00D8226C"/>
    <w:rsid w:val="00D825B1"/>
    <w:rsid w:val="00D82B50"/>
    <w:rsid w:val="00D8471A"/>
    <w:rsid w:val="00D855BE"/>
    <w:rsid w:val="00D856BB"/>
    <w:rsid w:val="00D85D09"/>
    <w:rsid w:val="00D86699"/>
    <w:rsid w:val="00D8679F"/>
    <w:rsid w:val="00D8768A"/>
    <w:rsid w:val="00D87A4A"/>
    <w:rsid w:val="00D87C50"/>
    <w:rsid w:val="00D87CC9"/>
    <w:rsid w:val="00D90FB5"/>
    <w:rsid w:val="00D9232C"/>
    <w:rsid w:val="00D92753"/>
    <w:rsid w:val="00D9291B"/>
    <w:rsid w:val="00D939DA"/>
    <w:rsid w:val="00D93BFF"/>
    <w:rsid w:val="00D946DE"/>
    <w:rsid w:val="00D94902"/>
    <w:rsid w:val="00D94BD7"/>
    <w:rsid w:val="00D94D47"/>
    <w:rsid w:val="00D951E9"/>
    <w:rsid w:val="00D95BD7"/>
    <w:rsid w:val="00D96083"/>
    <w:rsid w:val="00D96C84"/>
    <w:rsid w:val="00D97704"/>
    <w:rsid w:val="00DA0C3D"/>
    <w:rsid w:val="00DA1A73"/>
    <w:rsid w:val="00DA1CE1"/>
    <w:rsid w:val="00DA2318"/>
    <w:rsid w:val="00DA2768"/>
    <w:rsid w:val="00DA2B83"/>
    <w:rsid w:val="00DA37D9"/>
    <w:rsid w:val="00DA429F"/>
    <w:rsid w:val="00DA44EF"/>
    <w:rsid w:val="00DA5431"/>
    <w:rsid w:val="00DA574B"/>
    <w:rsid w:val="00DA62FC"/>
    <w:rsid w:val="00DA641B"/>
    <w:rsid w:val="00DA6880"/>
    <w:rsid w:val="00DA742E"/>
    <w:rsid w:val="00DA7929"/>
    <w:rsid w:val="00DA7A95"/>
    <w:rsid w:val="00DB0405"/>
    <w:rsid w:val="00DB120C"/>
    <w:rsid w:val="00DB2B53"/>
    <w:rsid w:val="00DB3B2B"/>
    <w:rsid w:val="00DB47AF"/>
    <w:rsid w:val="00DB53D3"/>
    <w:rsid w:val="00DB5E12"/>
    <w:rsid w:val="00DB607A"/>
    <w:rsid w:val="00DB607F"/>
    <w:rsid w:val="00DB6323"/>
    <w:rsid w:val="00DB6D95"/>
    <w:rsid w:val="00DB71A8"/>
    <w:rsid w:val="00DB7734"/>
    <w:rsid w:val="00DC0D66"/>
    <w:rsid w:val="00DC224B"/>
    <w:rsid w:val="00DC262A"/>
    <w:rsid w:val="00DC2F13"/>
    <w:rsid w:val="00DC312D"/>
    <w:rsid w:val="00DC3502"/>
    <w:rsid w:val="00DC3D8E"/>
    <w:rsid w:val="00DC5159"/>
    <w:rsid w:val="00DC5619"/>
    <w:rsid w:val="00DC5850"/>
    <w:rsid w:val="00DC5B65"/>
    <w:rsid w:val="00DC63F3"/>
    <w:rsid w:val="00DC6426"/>
    <w:rsid w:val="00DC6613"/>
    <w:rsid w:val="00DC6A15"/>
    <w:rsid w:val="00DC70D3"/>
    <w:rsid w:val="00DD0379"/>
    <w:rsid w:val="00DD0C35"/>
    <w:rsid w:val="00DD3376"/>
    <w:rsid w:val="00DD40B3"/>
    <w:rsid w:val="00DD6608"/>
    <w:rsid w:val="00DD7075"/>
    <w:rsid w:val="00DE11D3"/>
    <w:rsid w:val="00DE19F1"/>
    <w:rsid w:val="00DE1F33"/>
    <w:rsid w:val="00DE1FD0"/>
    <w:rsid w:val="00DE30E9"/>
    <w:rsid w:val="00DE320C"/>
    <w:rsid w:val="00DE33DC"/>
    <w:rsid w:val="00DE62AE"/>
    <w:rsid w:val="00DE7063"/>
    <w:rsid w:val="00DE74D3"/>
    <w:rsid w:val="00DE7842"/>
    <w:rsid w:val="00DE7863"/>
    <w:rsid w:val="00DE7F83"/>
    <w:rsid w:val="00DF05E5"/>
    <w:rsid w:val="00DF0AC3"/>
    <w:rsid w:val="00DF2359"/>
    <w:rsid w:val="00DF24C3"/>
    <w:rsid w:val="00DF2663"/>
    <w:rsid w:val="00DF2812"/>
    <w:rsid w:val="00DF2F47"/>
    <w:rsid w:val="00DF323F"/>
    <w:rsid w:val="00DF3675"/>
    <w:rsid w:val="00DF46E4"/>
    <w:rsid w:val="00DF4EC1"/>
    <w:rsid w:val="00DF6761"/>
    <w:rsid w:val="00DF7981"/>
    <w:rsid w:val="00DF7A68"/>
    <w:rsid w:val="00DF7D1A"/>
    <w:rsid w:val="00E006EC"/>
    <w:rsid w:val="00E032A5"/>
    <w:rsid w:val="00E036A3"/>
    <w:rsid w:val="00E03727"/>
    <w:rsid w:val="00E03B10"/>
    <w:rsid w:val="00E04D4D"/>
    <w:rsid w:val="00E052E0"/>
    <w:rsid w:val="00E058ED"/>
    <w:rsid w:val="00E05FE9"/>
    <w:rsid w:val="00E06441"/>
    <w:rsid w:val="00E067D4"/>
    <w:rsid w:val="00E07270"/>
    <w:rsid w:val="00E073ED"/>
    <w:rsid w:val="00E078A9"/>
    <w:rsid w:val="00E07B5A"/>
    <w:rsid w:val="00E07BD1"/>
    <w:rsid w:val="00E1187F"/>
    <w:rsid w:val="00E11B3A"/>
    <w:rsid w:val="00E11DC9"/>
    <w:rsid w:val="00E11E1B"/>
    <w:rsid w:val="00E11F72"/>
    <w:rsid w:val="00E1234F"/>
    <w:rsid w:val="00E126F0"/>
    <w:rsid w:val="00E13641"/>
    <w:rsid w:val="00E13ACC"/>
    <w:rsid w:val="00E13AE6"/>
    <w:rsid w:val="00E147B6"/>
    <w:rsid w:val="00E148F6"/>
    <w:rsid w:val="00E149B6"/>
    <w:rsid w:val="00E14F5F"/>
    <w:rsid w:val="00E1505F"/>
    <w:rsid w:val="00E15328"/>
    <w:rsid w:val="00E15809"/>
    <w:rsid w:val="00E1584E"/>
    <w:rsid w:val="00E15F37"/>
    <w:rsid w:val="00E15F38"/>
    <w:rsid w:val="00E1618C"/>
    <w:rsid w:val="00E16462"/>
    <w:rsid w:val="00E1693F"/>
    <w:rsid w:val="00E16C41"/>
    <w:rsid w:val="00E16C61"/>
    <w:rsid w:val="00E176AC"/>
    <w:rsid w:val="00E17D01"/>
    <w:rsid w:val="00E2000F"/>
    <w:rsid w:val="00E20521"/>
    <w:rsid w:val="00E21A19"/>
    <w:rsid w:val="00E21A9E"/>
    <w:rsid w:val="00E21CC4"/>
    <w:rsid w:val="00E2302B"/>
    <w:rsid w:val="00E23C5D"/>
    <w:rsid w:val="00E25442"/>
    <w:rsid w:val="00E270BD"/>
    <w:rsid w:val="00E27A3A"/>
    <w:rsid w:val="00E30AEB"/>
    <w:rsid w:val="00E31500"/>
    <w:rsid w:val="00E315FF"/>
    <w:rsid w:val="00E318FA"/>
    <w:rsid w:val="00E319EB"/>
    <w:rsid w:val="00E32959"/>
    <w:rsid w:val="00E32E8E"/>
    <w:rsid w:val="00E33B07"/>
    <w:rsid w:val="00E348A6"/>
    <w:rsid w:val="00E349B0"/>
    <w:rsid w:val="00E34EDF"/>
    <w:rsid w:val="00E3519B"/>
    <w:rsid w:val="00E35302"/>
    <w:rsid w:val="00E361B9"/>
    <w:rsid w:val="00E36FB3"/>
    <w:rsid w:val="00E3726A"/>
    <w:rsid w:val="00E37BC5"/>
    <w:rsid w:val="00E37EE1"/>
    <w:rsid w:val="00E40298"/>
    <w:rsid w:val="00E41DEB"/>
    <w:rsid w:val="00E41EE2"/>
    <w:rsid w:val="00E42D97"/>
    <w:rsid w:val="00E4381D"/>
    <w:rsid w:val="00E45296"/>
    <w:rsid w:val="00E455C7"/>
    <w:rsid w:val="00E45B28"/>
    <w:rsid w:val="00E461CD"/>
    <w:rsid w:val="00E472D1"/>
    <w:rsid w:val="00E47420"/>
    <w:rsid w:val="00E5028B"/>
    <w:rsid w:val="00E50A40"/>
    <w:rsid w:val="00E50B7F"/>
    <w:rsid w:val="00E5196D"/>
    <w:rsid w:val="00E51CE7"/>
    <w:rsid w:val="00E52B04"/>
    <w:rsid w:val="00E53F40"/>
    <w:rsid w:val="00E54595"/>
    <w:rsid w:val="00E5476F"/>
    <w:rsid w:val="00E55C58"/>
    <w:rsid w:val="00E56494"/>
    <w:rsid w:val="00E56603"/>
    <w:rsid w:val="00E56BEC"/>
    <w:rsid w:val="00E57019"/>
    <w:rsid w:val="00E574D4"/>
    <w:rsid w:val="00E57718"/>
    <w:rsid w:val="00E577B4"/>
    <w:rsid w:val="00E57F18"/>
    <w:rsid w:val="00E6047F"/>
    <w:rsid w:val="00E6178D"/>
    <w:rsid w:val="00E6215B"/>
    <w:rsid w:val="00E62211"/>
    <w:rsid w:val="00E62469"/>
    <w:rsid w:val="00E629D2"/>
    <w:rsid w:val="00E63127"/>
    <w:rsid w:val="00E63987"/>
    <w:rsid w:val="00E63AE5"/>
    <w:rsid w:val="00E63C33"/>
    <w:rsid w:val="00E63E08"/>
    <w:rsid w:val="00E642EB"/>
    <w:rsid w:val="00E6479C"/>
    <w:rsid w:val="00E649F4"/>
    <w:rsid w:val="00E653CC"/>
    <w:rsid w:val="00E65510"/>
    <w:rsid w:val="00E6602B"/>
    <w:rsid w:val="00E66625"/>
    <w:rsid w:val="00E66A88"/>
    <w:rsid w:val="00E66C15"/>
    <w:rsid w:val="00E67A6C"/>
    <w:rsid w:val="00E70B39"/>
    <w:rsid w:val="00E71A7D"/>
    <w:rsid w:val="00E71ACE"/>
    <w:rsid w:val="00E72252"/>
    <w:rsid w:val="00E72EF2"/>
    <w:rsid w:val="00E7312F"/>
    <w:rsid w:val="00E731FE"/>
    <w:rsid w:val="00E7444A"/>
    <w:rsid w:val="00E745C9"/>
    <w:rsid w:val="00E74742"/>
    <w:rsid w:val="00E75016"/>
    <w:rsid w:val="00E7678D"/>
    <w:rsid w:val="00E77B21"/>
    <w:rsid w:val="00E77CC9"/>
    <w:rsid w:val="00E802B2"/>
    <w:rsid w:val="00E80E7C"/>
    <w:rsid w:val="00E810B7"/>
    <w:rsid w:val="00E8176F"/>
    <w:rsid w:val="00E81E96"/>
    <w:rsid w:val="00E828E7"/>
    <w:rsid w:val="00E832BA"/>
    <w:rsid w:val="00E8354B"/>
    <w:rsid w:val="00E84CAC"/>
    <w:rsid w:val="00E851EA"/>
    <w:rsid w:val="00E851F7"/>
    <w:rsid w:val="00E853DF"/>
    <w:rsid w:val="00E855A0"/>
    <w:rsid w:val="00E855C8"/>
    <w:rsid w:val="00E85964"/>
    <w:rsid w:val="00E859FF"/>
    <w:rsid w:val="00E872C6"/>
    <w:rsid w:val="00E877D2"/>
    <w:rsid w:val="00E87E1E"/>
    <w:rsid w:val="00E90010"/>
    <w:rsid w:val="00E90809"/>
    <w:rsid w:val="00E90AAA"/>
    <w:rsid w:val="00E90E73"/>
    <w:rsid w:val="00E9128F"/>
    <w:rsid w:val="00E91A29"/>
    <w:rsid w:val="00E92308"/>
    <w:rsid w:val="00E93BB4"/>
    <w:rsid w:val="00E93E58"/>
    <w:rsid w:val="00E962CE"/>
    <w:rsid w:val="00E96831"/>
    <w:rsid w:val="00E96FA8"/>
    <w:rsid w:val="00E97323"/>
    <w:rsid w:val="00E97A6B"/>
    <w:rsid w:val="00EA05A6"/>
    <w:rsid w:val="00EA08D1"/>
    <w:rsid w:val="00EA0948"/>
    <w:rsid w:val="00EA0B2D"/>
    <w:rsid w:val="00EA1566"/>
    <w:rsid w:val="00EA25A7"/>
    <w:rsid w:val="00EA286E"/>
    <w:rsid w:val="00EA2FA0"/>
    <w:rsid w:val="00EA3C5A"/>
    <w:rsid w:val="00EA5202"/>
    <w:rsid w:val="00EA52A3"/>
    <w:rsid w:val="00EA5740"/>
    <w:rsid w:val="00EA6187"/>
    <w:rsid w:val="00EA6962"/>
    <w:rsid w:val="00EA6D43"/>
    <w:rsid w:val="00EA7075"/>
    <w:rsid w:val="00EA770E"/>
    <w:rsid w:val="00EB068D"/>
    <w:rsid w:val="00EB0B2C"/>
    <w:rsid w:val="00EB18BC"/>
    <w:rsid w:val="00EB19FB"/>
    <w:rsid w:val="00EB2CA3"/>
    <w:rsid w:val="00EB2E96"/>
    <w:rsid w:val="00EB3852"/>
    <w:rsid w:val="00EB4833"/>
    <w:rsid w:val="00EB5606"/>
    <w:rsid w:val="00EB608A"/>
    <w:rsid w:val="00EB7AD2"/>
    <w:rsid w:val="00EB7BF0"/>
    <w:rsid w:val="00EC04EA"/>
    <w:rsid w:val="00EC0AD8"/>
    <w:rsid w:val="00EC1019"/>
    <w:rsid w:val="00EC113B"/>
    <w:rsid w:val="00EC13AA"/>
    <w:rsid w:val="00EC1A49"/>
    <w:rsid w:val="00EC2147"/>
    <w:rsid w:val="00EC41D2"/>
    <w:rsid w:val="00EC4900"/>
    <w:rsid w:val="00EC4F19"/>
    <w:rsid w:val="00EC4FD6"/>
    <w:rsid w:val="00EC5026"/>
    <w:rsid w:val="00EC5F12"/>
    <w:rsid w:val="00EC710A"/>
    <w:rsid w:val="00EC721A"/>
    <w:rsid w:val="00EC7441"/>
    <w:rsid w:val="00EC74A2"/>
    <w:rsid w:val="00EC7CEA"/>
    <w:rsid w:val="00EC7D55"/>
    <w:rsid w:val="00ED0E6C"/>
    <w:rsid w:val="00ED18EE"/>
    <w:rsid w:val="00ED1FF2"/>
    <w:rsid w:val="00ED220A"/>
    <w:rsid w:val="00ED225B"/>
    <w:rsid w:val="00ED2DA7"/>
    <w:rsid w:val="00ED34BE"/>
    <w:rsid w:val="00ED3DA4"/>
    <w:rsid w:val="00ED4CE1"/>
    <w:rsid w:val="00ED4E91"/>
    <w:rsid w:val="00ED57C8"/>
    <w:rsid w:val="00ED58E9"/>
    <w:rsid w:val="00ED6269"/>
    <w:rsid w:val="00ED680B"/>
    <w:rsid w:val="00ED77E9"/>
    <w:rsid w:val="00EE0399"/>
    <w:rsid w:val="00EE1E86"/>
    <w:rsid w:val="00EE3C7E"/>
    <w:rsid w:val="00EE4074"/>
    <w:rsid w:val="00EE5AF0"/>
    <w:rsid w:val="00EE614D"/>
    <w:rsid w:val="00EF01D8"/>
    <w:rsid w:val="00EF0440"/>
    <w:rsid w:val="00EF0611"/>
    <w:rsid w:val="00EF06D6"/>
    <w:rsid w:val="00EF07DC"/>
    <w:rsid w:val="00EF0A14"/>
    <w:rsid w:val="00EF0EAE"/>
    <w:rsid w:val="00EF15B4"/>
    <w:rsid w:val="00EF1E7A"/>
    <w:rsid w:val="00EF2284"/>
    <w:rsid w:val="00EF285D"/>
    <w:rsid w:val="00EF2D83"/>
    <w:rsid w:val="00EF2E1E"/>
    <w:rsid w:val="00EF2EFD"/>
    <w:rsid w:val="00EF36B1"/>
    <w:rsid w:val="00EF39F0"/>
    <w:rsid w:val="00EF3D27"/>
    <w:rsid w:val="00EF4208"/>
    <w:rsid w:val="00EF4BE4"/>
    <w:rsid w:val="00EF50D5"/>
    <w:rsid w:val="00EF6141"/>
    <w:rsid w:val="00EF64BC"/>
    <w:rsid w:val="00EF6E1C"/>
    <w:rsid w:val="00F00118"/>
    <w:rsid w:val="00F00C74"/>
    <w:rsid w:val="00F00CBE"/>
    <w:rsid w:val="00F010C9"/>
    <w:rsid w:val="00F0186E"/>
    <w:rsid w:val="00F01AB8"/>
    <w:rsid w:val="00F02358"/>
    <w:rsid w:val="00F02B8C"/>
    <w:rsid w:val="00F02EB1"/>
    <w:rsid w:val="00F03925"/>
    <w:rsid w:val="00F03A2A"/>
    <w:rsid w:val="00F04121"/>
    <w:rsid w:val="00F0469E"/>
    <w:rsid w:val="00F075E6"/>
    <w:rsid w:val="00F07CD4"/>
    <w:rsid w:val="00F07CDB"/>
    <w:rsid w:val="00F07F0C"/>
    <w:rsid w:val="00F07F77"/>
    <w:rsid w:val="00F106AD"/>
    <w:rsid w:val="00F10BCD"/>
    <w:rsid w:val="00F11C48"/>
    <w:rsid w:val="00F123DD"/>
    <w:rsid w:val="00F12589"/>
    <w:rsid w:val="00F13415"/>
    <w:rsid w:val="00F141F7"/>
    <w:rsid w:val="00F15333"/>
    <w:rsid w:val="00F15AF5"/>
    <w:rsid w:val="00F178E5"/>
    <w:rsid w:val="00F200C7"/>
    <w:rsid w:val="00F204F4"/>
    <w:rsid w:val="00F20EB8"/>
    <w:rsid w:val="00F21273"/>
    <w:rsid w:val="00F236C1"/>
    <w:rsid w:val="00F23876"/>
    <w:rsid w:val="00F23CBB"/>
    <w:rsid w:val="00F241AB"/>
    <w:rsid w:val="00F24420"/>
    <w:rsid w:val="00F248BE"/>
    <w:rsid w:val="00F24904"/>
    <w:rsid w:val="00F249F0"/>
    <w:rsid w:val="00F24E47"/>
    <w:rsid w:val="00F24FAF"/>
    <w:rsid w:val="00F2524B"/>
    <w:rsid w:val="00F256C9"/>
    <w:rsid w:val="00F26982"/>
    <w:rsid w:val="00F26B3F"/>
    <w:rsid w:val="00F272A9"/>
    <w:rsid w:val="00F27384"/>
    <w:rsid w:val="00F27556"/>
    <w:rsid w:val="00F30075"/>
    <w:rsid w:val="00F30968"/>
    <w:rsid w:val="00F3132D"/>
    <w:rsid w:val="00F31777"/>
    <w:rsid w:val="00F31AF4"/>
    <w:rsid w:val="00F34833"/>
    <w:rsid w:val="00F35369"/>
    <w:rsid w:val="00F35910"/>
    <w:rsid w:val="00F365E9"/>
    <w:rsid w:val="00F36EE3"/>
    <w:rsid w:val="00F37119"/>
    <w:rsid w:val="00F40328"/>
    <w:rsid w:val="00F40FCD"/>
    <w:rsid w:val="00F41283"/>
    <w:rsid w:val="00F415C1"/>
    <w:rsid w:val="00F417CA"/>
    <w:rsid w:val="00F41C90"/>
    <w:rsid w:val="00F4207F"/>
    <w:rsid w:val="00F42198"/>
    <w:rsid w:val="00F43085"/>
    <w:rsid w:val="00F4331D"/>
    <w:rsid w:val="00F43CC2"/>
    <w:rsid w:val="00F43CC6"/>
    <w:rsid w:val="00F43E6B"/>
    <w:rsid w:val="00F448D1"/>
    <w:rsid w:val="00F44BD5"/>
    <w:rsid w:val="00F452BE"/>
    <w:rsid w:val="00F46497"/>
    <w:rsid w:val="00F468BF"/>
    <w:rsid w:val="00F46A01"/>
    <w:rsid w:val="00F47519"/>
    <w:rsid w:val="00F47C4E"/>
    <w:rsid w:val="00F47E1C"/>
    <w:rsid w:val="00F512D7"/>
    <w:rsid w:val="00F517AA"/>
    <w:rsid w:val="00F52713"/>
    <w:rsid w:val="00F52E5C"/>
    <w:rsid w:val="00F5316D"/>
    <w:rsid w:val="00F53276"/>
    <w:rsid w:val="00F536C8"/>
    <w:rsid w:val="00F56517"/>
    <w:rsid w:val="00F568D8"/>
    <w:rsid w:val="00F5690D"/>
    <w:rsid w:val="00F56CA5"/>
    <w:rsid w:val="00F60BFF"/>
    <w:rsid w:val="00F61AE8"/>
    <w:rsid w:val="00F6244C"/>
    <w:rsid w:val="00F62CBD"/>
    <w:rsid w:val="00F63365"/>
    <w:rsid w:val="00F64959"/>
    <w:rsid w:val="00F64BE2"/>
    <w:rsid w:val="00F65A0B"/>
    <w:rsid w:val="00F65F7C"/>
    <w:rsid w:val="00F66401"/>
    <w:rsid w:val="00F665F6"/>
    <w:rsid w:val="00F66F77"/>
    <w:rsid w:val="00F67A9E"/>
    <w:rsid w:val="00F71458"/>
    <w:rsid w:val="00F7208D"/>
    <w:rsid w:val="00F727DF"/>
    <w:rsid w:val="00F72D09"/>
    <w:rsid w:val="00F740C3"/>
    <w:rsid w:val="00F74370"/>
    <w:rsid w:val="00F746FC"/>
    <w:rsid w:val="00F7526A"/>
    <w:rsid w:val="00F755F0"/>
    <w:rsid w:val="00F75C02"/>
    <w:rsid w:val="00F76C97"/>
    <w:rsid w:val="00F76DD8"/>
    <w:rsid w:val="00F80647"/>
    <w:rsid w:val="00F80651"/>
    <w:rsid w:val="00F80D58"/>
    <w:rsid w:val="00F82723"/>
    <w:rsid w:val="00F83293"/>
    <w:rsid w:val="00F8369C"/>
    <w:rsid w:val="00F83CEA"/>
    <w:rsid w:val="00F84544"/>
    <w:rsid w:val="00F84F07"/>
    <w:rsid w:val="00F86719"/>
    <w:rsid w:val="00F86E1E"/>
    <w:rsid w:val="00F900E0"/>
    <w:rsid w:val="00F90375"/>
    <w:rsid w:val="00F9140C"/>
    <w:rsid w:val="00F91D1C"/>
    <w:rsid w:val="00F925B4"/>
    <w:rsid w:val="00F929BB"/>
    <w:rsid w:val="00F92CBE"/>
    <w:rsid w:val="00F93695"/>
    <w:rsid w:val="00F949DC"/>
    <w:rsid w:val="00F9532D"/>
    <w:rsid w:val="00F95814"/>
    <w:rsid w:val="00F95854"/>
    <w:rsid w:val="00F96D01"/>
    <w:rsid w:val="00F97007"/>
    <w:rsid w:val="00F97666"/>
    <w:rsid w:val="00FA0D71"/>
    <w:rsid w:val="00FA177C"/>
    <w:rsid w:val="00FA2321"/>
    <w:rsid w:val="00FA23FD"/>
    <w:rsid w:val="00FA2618"/>
    <w:rsid w:val="00FA2917"/>
    <w:rsid w:val="00FA2E50"/>
    <w:rsid w:val="00FA3546"/>
    <w:rsid w:val="00FA3BD9"/>
    <w:rsid w:val="00FA3E10"/>
    <w:rsid w:val="00FA465C"/>
    <w:rsid w:val="00FA4BDB"/>
    <w:rsid w:val="00FA4EF8"/>
    <w:rsid w:val="00FA4F18"/>
    <w:rsid w:val="00FA586B"/>
    <w:rsid w:val="00FA5E19"/>
    <w:rsid w:val="00FA63FE"/>
    <w:rsid w:val="00FA642F"/>
    <w:rsid w:val="00FA6AD9"/>
    <w:rsid w:val="00FA7E43"/>
    <w:rsid w:val="00FB0733"/>
    <w:rsid w:val="00FB2332"/>
    <w:rsid w:val="00FB2CA9"/>
    <w:rsid w:val="00FB3BFA"/>
    <w:rsid w:val="00FB435C"/>
    <w:rsid w:val="00FB4CFC"/>
    <w:rsid w:val="00FB4D27"/>
    <w:rsid w:val="00FB4EDE"/>
    <w:rsid w:val="00FB4F81"/>
    <w:rsid w:val="00FB6957"/>
    <w:rsid w:val="00FB7A37"/>
    <w:rsid w:val="00FC01C8"/>
    <w:rsid w:val="00FC057C"/>
    <w:rsid w:val="00FC0B9F"/>
    <w:rsid w:val="00FC1206"/>
    <w:rsid w:val="00FC137C"/>
    <w:rsid w:val="00FC2C67"/>
    <w:rsid w:val="00FC306B"/>
    <w:rsid w:val="00FC3DD8"/>
    <w:rsid w:val="00FC4716"/>
    <w:rsid w:val="00FC5691"/>
    <w:rsid w:val="00FC6178"/>
    <w:rsid w:val="00FC74F5"/>
    <w:rsid w:val="00FD009B"/>
    <w:rsid w:val="00FD0233"/>
    <w:rsid w:val="00FD058B"/>
    <w:rsid w:val="00FD0612"/>
    <w:rsid w:val="00FD16ED"/>
    <w:rsid w:val="00FD1AA2"/>
    <w:rsid w:val="00FD2FD8"/>
    <w:rsid w:val="00FD3023"/>
    <w:rsid w:val="00FD3B59"/>
    <w:rsid w:val="00FD3E32"/>
    <w:rsid w:val="00FD3EF9"/>
    <w:rsid w:val="00FD4049"/>
    <w:rsid w:val="00FD508B"/>
    <w:rsid w:val="00FD54D7"/>
    <w:rsid w:val="00FD5A1C"/>
    <w:rsid w:val="00FD68C8"/>
    <w:rsid w:val="00FE04ED"/>
    <w:rsid w:val="00FE0831"/>
    <w:rsid w:val="00FE1197"/>
    <w:rsid w:val="00FE18A3"/>
    <w:rsid w:val="00FE2820"/>
    <w:rsid w:val="00FE2DBE"/>
    <w:rsid w:val="00FE3AEE"/>
    <w:rsid w:val="00FE3C39"/>
    <w:rsid w:val="00FE3D15"/>
    <w:rsid w:val="00FE3D52"/>
    <w:rsid w:val="00FE3E8E"/>
    <w:rsid w:val="00FE480E"/>
    <w:rsid w:val="00FE535C"/>
    <w:rsid w:val="00FE5732"/>
    <w:rsid w:val="00FE5A90"/>
    <w:rsid w:val="00FE5C6D"/>
    <w:rsid w:val="00FE5D61"/>
    <w:rsid w:val="00FE619B"/>
    <w:rsid w:val="00FE6540"/>
    <w:rsid w:val="00FE74BD"/>
    <w:rsid w:val="00FE768F"/>
    <w:rsid w:val="00FF0245"/>
    <w:rsid w:val="00FF066E"/>
    <w:rsid w:val="00FF1157"/>
    <w:rsid w:val="00FF1796"/>
    <w:rsid w:val="00FF1AC8"/>
    <w:rsid w:val="00FF2224"/>
    <w:rsid w:val="00FF34D9"/>
    <w:rsid w:val="00FF3CAF"/>
    <w:rsid w:val="00FF47C7"/>
    <w:rsid w:val="00FF5CD9"/>
    <w:rsid w:val="00FF6015"/>
    <w:rsid w:val="00FF62F0"/>
    <w:rsid w:val="00FF704E"/>
    <w:rsid w:val="00FF72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B98AB70"/>
  <w15:chartTrackingRefBased/>
  <w15:docId w15:val="{8D874538-59A7-48D7-A78F-439FDAA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27556"/>
  </w:style>
  <w:style w:type="paragraph" w:styleId="Nadpis1">
    <w:name w:val="heading 1"/>
    <w:basedOn w:val="Normln"/>
    <w:next w:val="Normln"/>
    <w:link w:val="Nadpis1Char"/>
    <w:uiPriority w:val="9"/>
    <w:qFormat/>
    <w:rsid w:val="007003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nhideWhenUsed/>
    <w:qFormat/>
    <w:rsid w:val="00385D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pis pro KZ,odrážky,Odstavec_muj,List Paragraph_0,List Paragraph1,List Paragraph2,Nad,Nad1,Nad2,Odstavec_muj1,Odstavec_muj10,Odstavec_muj2,Odstavec_muj3,Odstavec_muj4,Odstavec_muj5,Odstavec_muj6,Odstavec_muj7,Odstavec_muj8,Dot pt"/>
    <w:basedOn w:val="Normln"/>
    <w:link w:val="OdstavecseseznamemChar"/>
    <w:uiPriority w:val="34"/>
    <w:qFormat/>
    <w:rsid w:val="00C2551C"/>
    <w:pPr>
      <w:ind w:left="720"/>
      <w:contextualSpacing/>
    </w:pPr>
  </w:style>
  <w:style w:type="paragraph" w:styleId="Textpoznpodarou">
    <w:name w:val="footnote text"/>
    <w:aliases w:val="Footnote Text Char1,Footnote Text Char Char,Footnote Text Char3 Char Char,Footnote Text Char2 Char Char Char,Footnote Text Char1 Char Char Char Char,Footnote Text Char Char Char Char Char Char,Footnote Text Char,Footnote,Podrozdział"/>
    <w:basedOn w:val="Normln"/>
    <w:link w:val="TextpoznpodarouChar"/>
    <w:autoRedefine/>
    <w:uiPriority w:val="99"/>
    <w:unhideWhenUsed/>
    <w:qFormat/>
    <w:rsid w:val="00BD6EAD"/>
    <w:pPr>
      <w:spacing w:after="0" w:line="240" w:lineRule="auto"/>
      <w:ind w:left="284" w:hanging="284"/>
      <w:jc w:val="both"/>
    </w:pPr>
    <w:rPr>
      <w:sz w:val="20"/>
      <w:szCs w:val="20"/>
    </w:rPr>
  </w:style>
  <w:style w:type="character" w:customStyle="1" w:styleId="TextpoznpodarouChar">
    <w:name w:val="Text pozn. pod čarou Char"/>
    <w:aliases w:val="Footnote Text Char1 Char,Footnote Text Char Char Char,Footnote Text Char3 Char Char Char,Footnote Text Char2 Char Char Char Char,Footnote Text Char1 Char Char Char Char Char,Footnote Text Char Char Char Char Char Char Char"/>
    <w:basedOn w:val="Standardnpsmoodstavce"/>
    <w:link w:val="Textpoznpodarou"/>
    <w:uiPriority w:val="99"/>
    <w:rsid w:val="00BD6EAD"/>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FR"/>
    <w:basedOn w:val="Standardnpsmoodstavce"/>
    <w:uiPriority w:val="99"/>
    <w:unhideWhenUsed/>
    <w:qFormat/>
    <w:rsid w:val="00FA586B"/>
    <w:rPr>
      <w:vertAlign w:val="superscript"/>
    </w:rPr>
  </w:style>
  <w:style w:type="paragraph" w:styleId="Textbubliny">
    <w:name w:val="Balloon Text"/>
    <w:basedOn w:val="Normln"/>
    <w:link w:val="TextbublinyChar"/>
    <w:uiPriority w:val="99"/>
    <w:semiHidden/>
    <w:unhideWhenUsed/>
    <w:rsid w:val="007944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442B"/>
    <w:rPr>
      <w:rFonts w:ascii="Segoe UI" w:hAnsi="Segoe UI" w:cs="Segoe UI"/>
      <w:sz w:val="18"/>
      <w:szCs w:val="18"/>
    </w:rPr>
  </w:style>
  <w:style w:type="table" w:styleId="Mkatabulky">
    <w:name w:val="Table Grid"/>
    <w:basedOn w:val="Normlntabulka"/>
    <w:uiPriority w:val="59"/>
    <w:rsid w:val="00A53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pis pro KZ Char,odrážky Char,Odstavec_muj Char,List Paragraph_0 Char,List Paragraph1 Char,List Paragraph2 Char,Nad Char,Nad1 Char,Nad2 Char,Odstavec_muj1 Char,Odstavec_muj10 Char,Odstavec_muj2 Char,Odstavec_muj3 Char"/>
    <w:basedOn w:val="Standardnpsmoodstavce"/>
    <w:link w:val="Odstavecseseznamem"/>
    <w:uiPriority w:val="34"/>
    <w:qFormat/>
    <w:locked/>
    <w:rsid w:val="00212BC1"/>
  </w:style>
  <w:style w:type="paragraph" w:styleId="Titulek">
    <w:name w:val="caption"/>
    <w:aliases w:val="Caption Char3,Caption Char2 Char,Caption Char1 Char Char,Caption Char Char Char Char,Caption Char Char1 Char,Caption Char1 Char1,Caption Char Char Char1,Caption Char Char2,Titulek Char,KP_titulek"/>
    <w:basedOn w:val="Normln"/>
    <w:next w:val="Normln"/>
    <w:uiPriority w:val="35"/>
    <w:unhideWhenUsed/>
    <w:qFormat/>
    <w:rsid w:val="00241984"/>
    <w:pPr>
      <w:spacing w:after="200" w:line="240" w:lineRule="auto"/>
    </w:pPr>
    <w:rPr>
      <w:i/>
      <w:iCs/>
      <w:color w:val="44546A" w:themeColor="text2"/>
      <w:sz w:val="18"/>
      <w:szCs w:val="18"/>
    </w:rPr>
  </w:style>
  <w:style w:type="paragraph" w:styleId="Zhlav">
    <w:name w:val="header"/>
    <w:basedOn w:val="Normln"/>
    <w:link w:val="ZhlavChar"/>
    <w:uiPriority w:val="99"/>
    <w:unhideWhenUsed/>
    <w:rsid w:val="008576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57621"/>
  </w:style>
  <w:style w:type="paragraph" w:styleId="Zpat">
    <w:name w:val="footer"/>
    <w:basedOn w:val="Normln"/>
    <w:link w:val="ZpatChar"/>
    <w:uiPriority w:val="99"/>
    <w:unhideWhenUsed/>
    <w:rsid w:val="00857621"/>
    <w:pPr>
      <w:tabs>
        <w:tab w:val="center" w:pos="4536"/>
        <w:tab w:val="right" w:pos="9072"/>
      </w:tabs>
      <w:spacing w:after="0" w:line="240" w:lineRule="auto"/>
    </w:pPr>
  </w:style>
  <w:style w:type="character" w:customStyle="1" w:styleId="ZpatChar">
    <w:name w:val="Zápatí Char"/>
    <w:basedOn w:val="Standardnpsmoodstavce"/>
    <w:link w:val="Zpat"/>
    <w:uiPriority w:val="99"/>
    <w:rsid w:val="00857621"/>
  </w:style>
  <w:style w:type="character" w:styleId="Hypertextovodkaz">
    <w:name w:val="Hyperlink"/>
    <w:basedOn w:val="Standardnpsmoodstavce"/>
    <w:uiPriority w:val="99"/>
    <w:unhideWhenUsed/>
    <w:rsid w:val="00297C21"/>
    <w:rPr>
      <w:color w:val="0563C1" w:themeColor="hyperlink"/>
      <w:u w:val="single"/>
    </w:rPr>
  </w:style>
  <w:style w:type="character" w:styleId="Siln">
    <w:name w:val="Strong"/>
    <w:basedOn w:val="Standardnpsmoodstavce"/>
    <w:uiPriority w:val="22"/>
    <w:qFormat/>
    <w:rsid w:val="00A90BE1"/>
    <w:rPr>
      <w:b/>
      <w:bCs/>
    </w:rPr>
  </w:style>
  <w:style w:type="paragraph" w:customStyle="1" w:styleId="JK3">
    <w:name w:val="JK3"/>
    <w:basedOn w:val="JK1"/>
    <w:autoRedefine/>
    <w:qFormat/>
    <w:rsid w:val="0027290E"/>
    <w:pPr>
      <w:keepNext/>
      <w:numPr>
        <w:numId w:val="0"/>
      </w:numPr>
      <w:tabs>
        <w:tab w:val="clear" w:pos="567"/>
      </w:tabs>
      <w:spacing w:after="40"/>
      <w:ind w:left="1276" w:hanging="1276"/>
    </w:pPr>
  </w:style>
  <w:style w:type="paragraph" w:customStyle="1" w:styleId="JK4">
    <w:name w:val="JK4"/>
    <w:basedOn w:val="JK3"/>
    <w:qFormat/>
    <w:rsid w:val="00B07637"/>
    <w:pPr>
      <w:numPr>
        <w:numId w:val="5"/>
      </w:numPr>
      <w:spacing w:after="60"/>
      <w:ind w:left="0" w:firstLine="0"/>
    </w:pPr>
  </w:style>
  <w:style w:type="character" w:styleId="Odkaznakoment">
    <w:name w:val="annotation reference"/>
    <w:basedOn w:val="Standardnpsmoodstavce"/>
    <w:uiPriority w:val="99"/>
    <w:semiHidden/>
    <w:unhideWhenUsed/>
    <w:rsid w:val="008E5A98"/>
    <w:rPr>
      <w:sz w:val="16"/>
      <w:szCs w:val="16"/>
    </w:rPr>
  </w:style>
  <w:style w:type="paragraph" w:styleId="Textkomente">
    <w:name w:val="annotation text"/>
    <w:basedOn w:val="Normln"/>
    <w:link w:val="TextkomenteChar"/>
    <w:uiPriority w:val="99"/>
    <w:unhideWhenUsed/>
    <w:rsid w:val="008E5A98"/>
    <w:pPr>
      <w:spacing w:line="240" w:lineRule="auto"/>
    </w:pPr>
    <w:rPr>
      <w:sz w:val="20"/>
      <w:szCs w:val="20"/>
    </w:rPr>
  </w:style>
  <w:style w:type="character" w:customStyle="1" w:styleId="TextkomenteChar">
    <w:name w:val="Text komentáře Char"/>
    <w:basedOn w:val="Standardnpsmoodstavce"/>
    <w:link w:val="Textkomente"/>
    <w:uiPriority w:val="99"/>
    <w:rsid w:val="008E5A98"/>
    <w:rPr>
      <w:sz w:val="20"/>
      <w:szCs w:val="20"/>
    </w:rPr>
  </w:style>
  <w:style w:type="paragraph" w:styleId="Pedmtkomente">
    <w:name w:val="annotation subject"/>
    <w:basedOn w:val="Textkomente"/>
    <w:next w:val="Textkomente"/>
    <w:link w:val="PedmtkomenteChar"/>
    <w:uiPriority w:val="99"/>
    <w:semiHidden/>
    <w:unhideWhenUsed/>
    <w:rsid w:val="008E5A98"/>
    <w:rPr>
      <w:b/>
      <w:bCs/>
    </w:rPr>
  </w:style>
  <w:style w:type="character" w:customStyle="1" w:styleId="PedmtkomenteChar">
    <w:name w:val="Předmět komentáře Char"/>
    <w:basedOn w:val="TextkomenteChar"/>
    <w:link w:val="Pedmtkomente"/>
    <w:uiPriority w:val="99"/>
    <w:semiHidden/>
    <w:rsid w:val="008E5A98"/>
    <w:rPr>
      <w:b/>
      <w:bCs/>
      <w:sz w:val="20"/>
      <w:szCs w:val="20"/>
    </w:rPr>
  </w:style>
  <w:style w:type="paragraph" w:customStyle="1" w:styleId="KPseznamcislo">
    <w:name w:val="KP_seznam_cislo"/>
    <w:basedOn w:val="Normln"/>
    <w:uiPriority w:val="3"/>
    <w:qFormat/>
    <w:rsid w:val="009438AB"/>
    <w:pPr>
      <w:numPr>
        <w:numId w:val="1"/>
      </w:numPr>
      <w:spacing w:before="60" w:after="60" w:line="276" w:lineRule="auto"/>
      <w:jc w:val="both"/>
    </w:pPr>
    <w:rPr>
      <w:rFonts w:ascii="Calibri" w:eastAsia="Times New Roman" w:hAnsi="Calibri" w:cs="Times New Roman"/>
      <w:sz w:val="24"/>
      <w:szCs w:val="24"/>
      <w:lang w:eastAsia="cs-CZ"/>
    </w:rPr>
  </w:style>
  <w:style w:type="paragraph" w:customStyle="1" w:styleId="KPnormal">
    <w:name w:val="KP_normal"/>
    <w:basedOn w:val="Normln"/>
    <w:link w:val="KPnormalChar"/>
    <w:qFormat/>
    <w:rsid w:val="007C58F2"/>
    <w:pPr>
      <w:spacing w:before="160" w:after="0" w:line="276" w:lineRule="auto"/>
      <w:ind w:firstLine="720"/>
      <w:jc w:val="both"/>
    </w:pPr>
    <w:rPr>
      <w:rFonts w:ascii="Calibri" w:eastAsia="Times New Roman" w:hAnsi="Calibri" w:cs="Times New Roman"/>
      <w:color w:val="000000"/>
      <w:sz w:val="24"/>
      <w:lang w:eastAsia="cs-CZ"/>
    </w:rPr>
  </w:style>
  <w:style w:type="character" w:customStyle="1" w:styleId="KPnormalChar">
    <w:name w:val="KP_normal Char"/>
    <w:basedOn w:val="Standardnpsmoodstavce"/>
    <w:link w:val="KPnormal"/>
    <w:rsid w:val="007C58F2"/>
    <w:rPr>
      <w:rFonts w:ascii="Calibri" w:eastAsia="Times New Roman" w:hAnsi="Calibri" w:cs="Times New Roman"/>
      <w:color w:val="000000"/>
      <w:sz w:val="24"/>
      <w:lang w:eastAsia="cs-CZ"/>
    </w:rPr>
  </w:style>
  <w:style w:type="paragraph" w:customStyle="1" w:styleId="KPodrazka1">
    <w:name w:val="KP_odrazka1"/>
    <w:basedOn w:val="Odstavecseseznamem"/>
    <w:autoRedefine/>
    <w:uiPriority w:val="2"/>
    <w:qFormat/>
    <w:rsid w:val="009A3FA9"/>
    <w:pPr>
      <w:numPr>
        <w:numId w:val="6"/>
      </w:numPr>
      <w:spacing w:before="60" w:after="0" w:line="240" w:lineRule="auto"/>
      <w:contextualSpacing w:val="0"/>
      <w:jc w:val="both"/>
    </w:pPr>
    <w:rPr>
      <w:rFonts w:ascii="Calibri" w:eastAsia="Calibri" w:hAnsi="Calibri" w:cs="Calibri"/>
      <w:sz w:val="24"/>
      <w:szCs w:val="24"/>
      <w:lang w:eastAsia="cs-CZ"/>
    </w:rPr>
  </w:style>
  <w:style w:type="paragraph" w:customStyle="1" w:styleId="KPodrazka1posl">
    <w:name w:val="KP_odrazka1_posl"/>
    <w:basedOn w:val="KPodrazka1"/>
    <w:next w:val="KPnormal"/>
    <w:uiPriority w:val="2"/>
    <w:qFormat/>
    <w:rsid w:val="002256E5"/>
    <w:pPr>
      <w:numPr>
        <w:numId w:val="0"/>
      </w:numPr>
      <w:spacing w:after="160"/>
      <w:ind w:left="1004" w:hanging="360"/>
    </w:pPr>
  </w:style>
  <w:style w:type="table" w:customStyle="1" w:styleId="Mkatabulky1">
    <w:name w:val="Mřížka tabulky1"/>
    <w:basedOn w:val="Normlntabulka"/>
    <w:next w:val="Mkatabulky"/>
    <w:uiPriority w:val="39"/>
    <w:rsid w:val="00815FDB"/>
    <w:pPr>
      <w:spacing w:before="160" w:after="0" w:line="276"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Pzdroj">
    <w:name w:val="KP_zdroj"/>
    <w:basedOn w:val="KPnormal"/>
    <w:next w:val="KPnormal"/>
    <w:uiPriority w:val="4"/>
    <w:qFormat/>
    <w:rsid w:val="00815FDB"/>
    <w:pPr>
      <w:tabs>
        <w:tab w:val="left" w:pos="709"/>
      </w:tabs>
      <w:spacing w:before="60" w:after="160"/>
      <w:ind w:left="709" w:hanging="709"/>
      <w:contextualSpacing/>
    </w:pPr>
    <w:rPr>
      <w:rFonts w:eastAsiaTheme="minorHAnsi"/>
      <w:sz w:val="20"/>
    </w:rPr>
  </w:style>
  <w:style w:type="paragraph" w:customStyle="1" w:styleId="KPsvazany">
    <w:name w:val="KP_svazany"/>
    <w:basedOn w:val="KPnormal"/>
    <w:next w:val="Normln"/>
    <w:qFormat/>
    <w:rsid w:val="00815FDB"/>
    <w:pPr>
      <w:keepNext/>
    </w:pPr>
  </w:style>
  <w:style w:type="character" w:styleId="slodku">
    <w:name w:val="line number"/>
    <w:basedOn w:val="Standardnpsmoodstavce"/>
    <w:uiPriority w:val="99"/>
    <w:semiHidden/>
    <w:unhideWhenUsed/>
    <w:rsid w:val="00E859FF"/>
  </w:style>
  <w:style w:type="paragraph" w:styleId="Revize">
    <w:name w:val="Revision"/>
    <w:hidden/>
    <w:uiPriority w:val="99"/>
    <w:semiHidden/>
    <w:rsid w:val="00B12AB4"/>
    <w:pPr>
      <w:spacing w:after="0" w:line="240" w:lineRule="auto"/>
    </w:pPr>
  </w:style>
  <w:style w:type="paragraph" w:customStyle="1" w:styleId="JK1">
    <w:name w:val="JK1"/>
    <w:basedOn w:val="KPnormal"/>
    <w:qFormat/>
    <w:rsid w:val="00E349B0"/>
    <w:pPr>
      <w:numPr>
        <w:numId w:val="2"/>
      </w:numPr>
      <w:tabs>
        <w:tab w:val="left" w:pos="567"/>
      </w:tabs>
      <w:spacing w:before="120" w:line="240" w:lineRule="auto"/>
      <w:ind w:left="357" w:firstLine="0"/>
    </w:pPr>
    <w:rPr>
      <w:szCs w:val="24"/>
    </w:rPr>
  </w:style>
  <w:style w:type="paragraph" w:customStyle="1" w:styleId="JK2">
    <w:name w:val="JK2"/>
    <w:basedOn w:val="JK1"/>
    <w:qFormat/>
    <w:rsid w:val="006E156E"/>
    <w:pPr>
      <w:numPr>
        <w:numId w:val="4"/>
      </w:numPr>
      <w:spacing w:after="120"/>
      <w:ind w:left="0" w:firstLine="0"/>
    </w:pPr>
  </w:style>
  <w:style w:type="paragraph" w:customStyle="1" w:styleId="Mluvcnadpis">
    <w:name w:val="Mluvící nadpis"/>
    <w:basedOn w:val="JK4"/>
    <w:qFormat/>
    <w:rsid w:val="005D7F57"/>
    <w:pPr>
      <w:numPr>
        <w:numId w:val="0"/>
      </w:numPr>
      <w:tabs>
        <w:tab w:val="left" w:pos="0"/>
      </w:tabs>
    </w:pPr>
    <w:rPr>
      <w:b/>
      <w:color w:val="FF0000"/>
    </w:rPr>
  </w:style>
  <w:style w:type="paragraph" w:customStyle="1" w:styleId="Nadpismsk">
    <w:name w:val="Nadpis římská"/>
    <w:basedOn w:val="Nadpis1"/>
    <w:link w:val="NadpismskChar"/>
    <w:qFormat/>
    <w:rsid w:val="006978B8"/>
    <w:pPr>
      <w:numPr>
        <w:numId w:val="3"/>
      </w:numPr>
      <w:spacing w:line="276" w:lineRule="auto"/>
      <w:jc w:val="center"/>
    </w:pPr>
    <w:rPr>
      <w:rFonts w:asciiTheme="minorHAnsi" w:hAnsiTheme="minorHAnsi"/>
      <w:b/>
      <w:color w:val="auto"/>
    </w:rPr>
  </w:style>
  <w:style w:type="paragraph" w:customStyle="1" w:styleId="Default">
    <w:name w:val="Default"/>
    <w:uiPriority w:val="99"/>
    <w:rsid w:val="003B7DC6"/>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mskChar">
    <w:name w:val="Nadpis římská Char"/>
    <w:basedOn w:val="Standardnpsmoodstavce"/>
    <w:link w:val="Nadpismsk"/>
    <w:rsid w:val="006978B8"/>
    <w:rPr>
      <w:rFonts w:eastAsiaTheme="majorEastAsia" w:cstheme="majorBidi"/>
      <w:b/>
      <w:sz w:val="32"/>
      <w:szCs w:val="32"/>
    </w:rPr>
  </w:style>
  <w:style w:type="character" w:customStyle="1" w:styleId="Nadpis1Char">
    <w:name w:val="Nadpis 1 Char"/>
    <w:basedOn w:val="Standardnpsmoodstavce"/>
    <w:link w:val="Nadpis1"/>
    <w:uiPriority w:val="9"/>
    <w:rsid w:val="007003EA"/>
    <w:rPr>
      <w:rFonts w:asciiTheme="majorHAnsi" w:eastAsiaTheme="majorEastAsia" w:hAnsiTheme="majorHAnsi" w:cstheme="majorBidi"/>
      <w:color w:val="2E74B5" w:themeColor="accent1" w:themeShade="BF"/>
      <w:sz w:val="32"/>
      <w:szCs w:val="32"/>
    </w:rPr>
  </w:style>
  <w:style w:type="paragraph" w:customStyle="1" w:styleId="EZvraznn">
    <w:name w:val="E_Zvýraznění"/>
    <w:basedOn w:val="Normln"/>
    <w:uiPriority w:val="4"/>
    <w:qFormat/>
    <w:rsid w:val="008106E8"/>
    <w:pPr>
      <w:spacing w:line="276" w:lineRule="auto"/>
      <w:jc w:val="both"/>
    </w:pPr>
    <w:rPr>
      <w:sz w:val="24"/>
      <w:szCs w:val="24"/>
    </w:rPr>
  </w:style>
  <w:style w:type="character" w:customStyle="1" w:styleId="Bodytext2">
    <w:name w:val="Body text|2_"/>
    <w:basedOn w:val="Standardnpsmoodstavce"/>
    <w:link w:val="Bodytext20"/>
    <w:uiPriority w:val="99"/>
    <w:rsid w:val="00DA574B"/>
    <w:rPr>
      <w:rFonts w:ascii="Calibri" w:eastAsia="Calibri" w:hAnsi="Calibri" w:cs="Calibri"/>
      <w:sz w:val="19"/>
      <w:szCs w:val="19"/>
      <w:shd w:val="clear" w:color="auto" w:fill="FFFFFF"/>
    </w:rPr>
  </w:style>
  <w:style w:type="paragraph" w:customStyle="1" w:styleId="Bodytext20">
    <w:name w:val="Body text|2"/>
    <w:basedOn w:val="Normln"/>
    <w:link w:val="Bodytext2"/>
    <w:uiPriority w:val="99"/>
    <w:qFormat/>
    <w:rsid w:val="00C05CB4"/>
    <w:pPr>
      <w:widowControl w:val="0"/>
      <w:shd w:val="clear" w:color="auto" w:fill="FFFFFF"/>
      <w:spacing w:before="100" w:after="100" w:line="293" w:lineRule="exact"/>
      <w:ind w:hanging="360"/>
      <w:jc w:val="both"/>
    </w:pPr>
    <w:rPr>
      <w:rFonts w:ascii="Calibri" w:eastAsia="Calibri" w:hAnsi="Calibri" w:cs="Calibri"/>
      <w:sz w:val="19"/>
      <w:szCs w:val="19"/>
    </w:rPr>
  </w:style>
  <w:style w:type="character" w:customStyle="1" w:styleId="Bodytext4">
    <w:name w:val="Body text|4_"/>
    <w:basedOn w:val="Standardnpsmoodstavce"/>
    <w:link w:val="Bodytext40"/>
    <w:uiPriority w:val="99"/>
    <w:rsid w:val="00DA574B"/>
    <w:rPr>
      <w:rFonts w:ascii="Calibri" w:eastAsia="Calibri" w:hAnsi="Calibri" w:cs="Calibri"/>
      <w:b/>
      <w:sz w:val="20"/>
      <w:shd w:val="clear" w:color="auto" w:fill="FFFFFF"/>
    </w:rPr>
  </w:style>
  <w:style w:type="paragraph" w:customStyle="1" w:styleId="Bodytext40">
    <w:name w:val="Body text|4"/>
    <w:basedOn w:val="Normln"/>
    <w:link w:val="Bodytext4"/>
    <w:uiPriority w:val="99"/>
    <w:rsid w:val="00C05CB4"/>
    <w:pPr>
      <w:widowControl w:val="0"/>
      <w:shd w:val="clear" w:color="auto" w:fill="FFFFFF"/>
      <w:spacing w:before="140" w:after="0" w:line="244" w:lineRule="exact"/>
      <w:jc w:val="both"/>
    </w:pPr>
    <w:rPr>
      <w:rFonts w:ascii="Calibri" w:eastAsia="Calibri" w:hAnsi="Calibri" w:cs="Calibri"/>
      <w:b/>
      <w:sz w:val="20"/>
    </w:rPr>
  </w:style>
  <w:style w:type="character" w:customStyle="1" w:styleId="Bodytext6">
    <w:name w:val="Body text|6_"/>
    <w:basedOn w:val="Standardnpsmoodstavce"/>
    <w:link w:val="Bodytext60"/>
    <w:uiPriority w:val="99"/>
    <w:rsid w:val="00DA574B"/>
    <w:rPr>
      <w:rFonts w:ascii="Calibri" w:eastAsia="Calibri" w:hAnsi="Calibri" w:cs="Calibri"/>
      <w:i/>
      <w:sz w:val="18"/>
      <w:shd w:val="clear" w:color="auto" w:fill="FFFFFF"/>
    </w:rPr>
  </w:style>
  <w:style w:type="paragraph" w:customStyle="1" w:styleId="Bodytext60">
    <w:name w:val="Body text|6"/>
    <w:basedOn w:val="Normln"/>
    <w:link w:val="Bodytext6"/>
    <w:uiPriority w:val="99"/>
    <w:rsid w:val="00C05CB4"/>
    <w:pPr>
      <w:widowControl w:val="0"/>
      <w:shd w:val="clear" w:color="auto" w:fill="FFFFFF"/>
      <w:spacing w:before="320" w:after="200" w:line="220" w:lineRule="exact"/>
      <w:jc w:val="both"/>
    </w:pPr>
    <w:rPr>
      <w:rFonts w:ascii="Calibri" w:eastAsia="Calibri" w:hAnsi="Calibri" w:cs="Calibri"/>
      <w:i/>
      <w:sz w:val="18"/>
    </w:rPr>
  </w:style>
  <w:style w:type="character" w:styleId="Sledovanodkaz">
    <w:name w:val="FollowedHyperlink"/>
    <w:basedOn w:val="Standardnpsmoodstavce"/>
    <w:uiPriority w:val="99"/>
    <w:semiHidden/>
    <w:unhideWhenUsed/>
    <w:rsid w:val="002E32D5"/>
    <w:rPr>
      <w:color w:val="954F72" w:themeColor="followedHyperlink"/>
      <w:u w:val="single"/>
    </w:rPr>
  </w:style>
  <w:style w:type="paragraph" w:styleId="Obsah1">
    <w:name w:val="toc 1"/>
    <w:basedOn w:val="Normln"/>
    <w:next w:val="Normln"/>
    <w:autoRedefine/>
    <w:uiPriority w:val="39"/>
    <w:semiHidden/>
    <w:unhideWhenUsed/>
    <w:rsid w:val="007824DA"/>
    <w:pPr>
      <w:spacing w:after="100"/>
    </w:pPr>
  </w:style>
  <w:style w:type="paragraph" w:styleId="Rejstk1">
    <w:name w:val="index 1"/>
    <w:basedOn w:val="Normln"/>
    <w:next w:val="Normln"/>
    <w:autoRedefine/>
    <w:uiPriority w:val="99"/>
    <w:semiHidden/>
    <w:unhideWhenUsed/>
    <w:rsid w:val="007824DA"/>
    <w:pPr>
      <w:spacing w:after="0" w:line="240" w:lineRule="auto"/>
      <w:ind w:left="220" w:hanging="220"/>
    </w:pPr>
  </w:style>
  <w:style w:type="character" w:customStyle="1" w:styleId="Nadpis2Char">
    <w:name w:val="Nadpis 2 Char"/>
    <w:basedOn w:val="Standardnpsmoodstavce"/>
    <w:link w:val="Nadpis2"/>
    <w:uiPriority w:val="9"/>
    <w:rsid w:val="00385D98"/>
    <w:rPr>
      <w:rFonts w:asciiTheme="majorHAnsi" w:eastAsiaTheme="majorEastAsia" w:hAnsiTheme="majorHAnsi" w:cstheme="majorBidi"/>
      <w:color w:val="2E74B5" w:themeColor="accent1" w:themeShade="BF"/>
      <w:sz w:val="26"/>
      <w:szCs w:val="26"/>
    </w:rPr>
  </w:style>
  <w:style w:type="character" w:customStyle="1" w:styleId="A5">
    <w:name w:val="A5"/>
    <w:uiPriority w:val="99"/>
    <w:rsid w:val="00C80602"/>
    <w:rPr>
      <w:b/>
      <w:bCs/>
      <w:color w:val="000000"/>
      <w:sz w:val="40"/>
      <w:szCs w:val="40"/>
    </w:rPr>
  </w:style>
  <w:style w:type="paragraph" w:customStyle="1" w:styleId="KPnormalni">
    <w:name w:val="KP_normalni"/>
    <w:basedOn w:val="Normln"/>
    <w:qFormat/>
    <w:rsid w:val="00DA574B"/>
    <w:pPr>
      <w:spacing w:before="60" w:after="60" w:line="240" w:lineRule="auto"/>
      <w:jc w:val="both"/>
    </w:pPr>
    <w:rPr>
      <w:rFonts w:ascii="Calibri" w:hAnsi="Calibri" w:cs="Calibri"/>
      <w:sz w:val="24"/>
      <w:szCs w:val="24"/>
    </w:rPr>
  </w:style>
  <w:style w:type="paragraph" w:customStyle="1" w:styleId="KP-normlntext">
    <w:name w:val="KP-normální text"/>
    <w:basedOn w:val="Normln"/>
    <w:link w:val="KP-normlntextChar"/>
    <w:qFormat/>
    <w:rsid w:val="00D2591D"/>
    <w:pPr>
      <w:spacing w:after="120" w:line="240" w:lineRule="auto"/>
      <w:jc w:val="both"/>
    </w:pPr>
    <w:rPr>
      <w:rFonts w:eastAsia="Times New Roman" w:cs="Calibri"/>
      <w:sz w:val="24"/>
      <w:szCs w:val="24"/>
    </w:rPr>
  </w:style>
  <w:style w:type="character" w:customStyle="1" w:styleId="KP-normlntextChar">
    <w:name w:val="KP-normální text Char"/>
    <w:link w:val="KP-normlntext"/>
    <w:rsid w:val="00D2591D"/>
    <w:rPr>
      <w:rFonts w:eastAsia="Times New Roman" w:cs="Calibri"/>
      <w:sz w:val="24"/>
      <w:szCs w:val="24"/>
    </w:rPr>
  </w:style>
  <w:style w:type="character" w:styleId="Nevyeenzmnka">
    <w:name w:val="Unresolved Mention"/>
    <w:basedOn w:val="Standardnpsmoodstavce"/>
    <w:uiPriority w:val="99"/>
    <w:semiHidden/>
    <w:unhideWhenUsed/>
    <w:rsid w:val="0086659D"/>
    <w:rPr>
      <w:color w:val="605E5C"/>
      <w:shd w:val="clear" w:color="auto" w:fill="E1DFDD"/>
    </w:rPr>
  </w:style>
  <w:style w:type="paragraph" w:customStyle="1" w:styleId="KP-normlnbezodsazen">
    <w:name w:val="KP-normální bez odsazení"/>
    <w:basedOn w:val="KP-normlntext"/>
    <w:qFormat/>
    <w:rsid w:val="00C06C8E"/>
    <w:pPr>
      <w:spacing w:after="0"/>
    </w:pPr>
    <w:rPr>
      <w:rFonts w:cstheme="minorHAnsi"/>
    </w:rPr>
  </w:style>
  <w:style w:type="paragraph" w:customStyle="1" w:styleId="KP-normlntun">
    <w:name w:val="KP-normální tučně"/>
    <w:basedOn w:val="KP-normlntext"/>
    <w:qFormat/>
    <w:rsid w:val="002C41DC"/>
    <w:pPr>
      <w:spacing w:before="120"/>
    </w:pPr>
    <w:rPr>
      <w:rFonts w:cstheme="minorHAnsi"/>
      <w:b/>
    </w:rPr>
  </w:style>
  <w:style w:type="table" w:customStyle="1" w:styleId="Mkatabulky2">
    <w:name w:val="Mřížka tabulky2"/>
    <w:basedOn w:val="Normlntabulka"/>
    <w:next w:val="Mkatabulky"/>
    <w:uiPriority w:val="39"/>
    <w:rsid w:val="00F31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B2986"/>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footnotedescription">
    <w:name w:val="footnote description"/>
    <w:next w:val="Normln"/>
    <w:link w:val="footnotedescriptionChar"/>
    <w:hidden/>
    <w:rsid w:val="0063703B"/>
    <w:pPr>
      <w:spacing w:after="0" w:line="286" w:lineRule="auto"/>
      <w:ind w:left="283" w:firstLine="41"/>
    </w:pPr>
    <w:rPr>
      <w:rFonts w:ascii="Calibri" w:eastAsia="Calibri" w:hAnsi="Calibri" w:cs="Calibri"/>
      <w:color w:val="000000"/>
      <w:sz w:val="18"/>
      <w:lang w:eastAsia="cs-CZ"/>
    </w:rPr>
  </w:style>
  <w:style w:type="character" w:customStyle="1" w:styleId="footnotedescriptionChar">
    <w:name w:val="footnote description Char"/>
    <w:link w:val="footnotedescription"/>
    <w:rsid w:val="0063703B"/>
    <w:rPr>
      <w:rFonts w:ascii="Calibri" w:eastAsia="Calibri" w:hAnsi="Calibri" w:cs="Calibri"/>
      <w:color w:val="000000"/>
      <w:sz w:val="18"/>
      <w:lang w:eastAsia="cs-CZ"/>
    </w:rPr>
  </w:style>
  <w:style w:type="character" w:customStyle="1" w:styleId="footnotemark">
    <w:name w:val="footnote mark"/>
    <w:hidden/>
    <w:rsid w:val="0063703B"/>
    <w:rPr>
      <w:rFonts w:ascii="Calibri" w:eastAsia="Calibri" w:hAnsi="Calibri" w:cs="Calibri"/>
      <w:color w:val="000000"/>
      <w:sz w:val="18"/>
      <w:vertAlign w:val="superscript"/>
    </w:rPr>
  </w:style>
  <w:style w:type="table" w:customStyle="1" w:styleId="TableGrid1">
    <w:name w:val="TableGrid1"/>
    <w:rsid w:val="0063703B"/>
    <w:pPr>
      <w:spacing w:after="0" w:line="240" w:lineRule="auto"/>
    </w:pPr>
    <w:rPr>
      <w:rFonts w:eastAsia="Times New Roman"/>
      <w:lang w:eastAsia="cs-CZ"/>
    </w:rPr>
    <w:tblPr>
      <w:tblCellMar>
        <w:top w:w="0" w:type="dxa"/>
        <w:left w:w="0" w:type="dxa"/>
        <w:bottom w:w="0" w:type="dxa"/>
        <w:right w:w="0" w:type="dxa"/>
      </w:tblCellMar>
    </w:tblPr>
  </w:style>
  <w:style w:type="paragraph" w:customStyle="1" w:styleId="Pa18">
    <w:name w:val="Pa18"/>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paragraph" w:customStyle="1" w:styleId="Pa19">
    <w:name w:val="Pa19"/>
    <w:basedOn w:val="Normln"/>
    <w:next w:val="Normln"/>
    <w:uiPriority w:val="99"/>
    <w:rsid w:val="003B1BC3"/>
    <w:pPr>
      <w:autoSpaceDE w:val="0"/>
      <w:autoSpaceDN w:val="0"/>
      <w:adjustRightInd w:val="0"/>
      <w:spacing w:after="0" w:line="211" w:lineRule="atLeast"/>
    </w:pPr>
    <w:rPr>
      <w:rFonts w:ascii="Calibri" w:eastAsia="Times New Roman" w:hAnsi="Calibri" w:cs="Times New Roman"/>
      <w:sz w:val="24"/>
      <w:szCs w:val="24"/>
      <w:lang w:eastAsia="cs-CZ"/>
    </w:rPr>
  </w:style>
  <w:style w:type="character" w:customStyle="1" w:styleId="A14">
    <w:name w:val="A14"/>
    <w:uiPriority w:val="99"/>
    <w:rsid w:val="003B1BC3"/>
    <w:rPr>
      <w:b/>
      <w:bCs w:val="0"/>
      <w:color w:val="000000"/>
      <w:sz w:val="54"/>
    </w:rPr>
  </w:style>
  <w:style w:type="paragraph" w:customStyle="1" w:styleId="kurzva">
    <w:name w:val="kurzíva"/>
    <w:basedOn w:val="Normln"/>
    <w:qFormat/>
    <w:rsid w:val="00757057"/>
    <w:pPr>
      <w:spacing w:before="240" w:after="60"/>
    </w:pPr>
    <w:rPr>
      <w:b/>
      <w:i/>
    </w:rPr>
  </w:style>
  <w:style w:type="character" w:customStyle="1" w:styleId="A4">
    <w:name w:val="A4"/>
    <w:uiPriority w:val="99"/>
    <w:rsid w:val="000E1B3B"/>
    <w:rPr>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71135">
      <w:bodyDiv w:val="1"/>
      <w:marLeft w:val="0"/>
      <w:marRight w:val="0"/>
      <w:marTop w:val="0"/>
      <w:marBottom w:val="0"/>
      <w:divBdr>
        <w:top w:val="none" w:sz="0" w:space="0" w:color="auto"/>
        <w:left w:val="none" w:sz="0" w:space="0" w:color="auto"/>
        <w:bottom w:val="none" w:sz="0" w:space="0" w:color="auto"/>
        <w:right w:val="none" w:sz="0" w:space="0" w:color="auto"/>
      </w:divBdr>
    </w:div>
    <w:div w:id="194123891">
      <w:bodyDiv w:val="1"/>
      <w:marLeft w:val="0"/>
      <w:marRight w:val="0"/>
      <w:marTop w:val="0"/>
      <w:marBottom w:val="0"/>
      <w:divBdr>
        <w:top w:val="none" w:sz="0" w:space="0" w:color="auto"/>
        <w:left w:val="none" w:sz="0" w:space="0" w:color="auto"/>
        <w:bottom w:val="none" w:sz="0" w:space="0" w:color="auto"/>
        <w:right w:val="none" w:sz="0" w:space="0" w:color="auto"/>
      </w:divBdr>
    </w:div>
    <w:div w:id="302930347">
      <w:bodyDiv w:val="1"/>
      <w:marLeft w:val="0"/>
      <w:marRight w:val="0"/>
      <w:marTop w:val="0"/>
      <w:marBottom w:val="0"/>
      <w:divBdr>
        <w:top w:val="none" w:sz="0" w:space="0" w:color="auto"/>
        <w:left w:val="none" w:sz="0" w:space="0" w:color="auto"/>
        <w:bottom w:val="none" w:sz="0" w:space="0" w:color="auto"/>
        <w:right w:val="none" w:sz="0" w:space="0" w:color="auto"/>
      </w:divBdr>
    </w:div>
    <w:div w:id="445268909">
      <w:bodyDiv w:val="1"/>
      <w:marLeft w:val="0"/>
      <w:marRight w:val="0"/>
      <w:marTop w:val="0"/>
      <w:marBottom w:val="0"/>
      <w:divBdr>
        <w:top w:val="none" w:sz="0" w:space="0" w:color="auto"/>
        <w:left w:val="none" w:sz="0" w:space="0" w:color="auto"/>
        <w:bottom w:val="none" w:sz="0" w:space="0" w:color="auto"/>
        <w:right w:val="none" w:sz="0" w:space="0" w:color="auto"/>
      </w:divBdr>
    </w:div>
    <w:div w:id="499277911">
      <w:bodyDiv w:val="1"/>
      <w:marLeft w:val="0"/>
      <w:marRight w:val="0"/>
      <w:marTop w:val="0"/>
      <w:marBottom w:val="0"/>
      <w:divBdr>
        <w:top w:val="none" w:sz="0" w:space="0" w:color="auto"/>
        <w:left w:val="none" w:sz="0" w:space="0" w:color="auto"/>
        <w:bottom w:val="none" w:sz="0" w:space="0" w:color="auto"/>
        <w:right w:val="none" w:sz="0" w:space="0" w:color="auto"/>
      </w:divBdr>
    </w:div>
    <w:div w:id="645939714">
      <w:bodyDiv w:val="1"/>
      <w:marLeft w:val="0"/>
      <w:marRight w:val="0"/>
      <w:marTop w:val="0"/>
      <w:marBottom w:val="0"/>
      <w:divBdr>
        <w:top w:val="none" w:sz="0" w:space="0" w:color="auto"/>
        <w:left w:val="none" w:sz="0" w:space="0" w:color="auto"/>
        <w:bottom w:val="none" w:sz="0" w:space="0" w:color="auto"/>
        <w:right w:val="none" w:sz="0" w:space="0" w:color="auto"/>
      </w:divBdr>
    </w:div>
    <w:div w:id="672953559">
      <w:bodyDiv w:val="1"/>
      <w:marLeft w:val="0"/>
      <w:marRight w:val="0"/>
      <w:marTop w:val="0"/>
      <w:marBottom w:val="0"/>
      <w:divBdr>
        <w:top w:val="none" w:sz="0" w:space="0" w:color="auto"/>
        <w:left w:val="none" w:sz="0" w:space="0" w:color="auto"/>
        <w:bottom w:val="none" w:sz="0" w:space="0" w:color="auto"/>
        <w:right w:val="none" w:sz="0" w:space="0" w:color="auto"/>
      </w:divBdr>
    </w:div>
    <w:div w:id="962271008">
      <w:bodyDiv w:val="1"/>
      <w:marLeft w:val="0"/>
      <w:marRight w:val="0"/>
      <w:marTop w:val="0"/>
      <w:marBottom w:val="0"/>
      <w:divBdr>
        <w:top w:val="none" w:sz="0" w:space="0" w:color="auto"/>
        <w:left w:val="none" w:sz="0" w:space="0" w:color="auto"/>
        <w:bottom w:val="none" w:sz="0" w:space="0" w:color="auto"/>
        <w:right w:val="none" w:sz="0" w:space="0" w:color="auto"/>
      </w:divBdr>
    </w:div>
    <w:div w:id="972372961">
      <w:bodyDiv w:val="1"/>
      <w:marLeft w:val="0"/>
      <w:marRight w:val="0"/>
      <w:marTop w:val="0"/>
      <w:marBottom w:val="0"/>
      <w:divBdr>
        <w:top w:val="none" w:sz="0" w:space="0" w:color="auto"/>
        <w:left w:val="none" w:sz="0" w:space="0" w:color="auto"/>
        <w:bottom w:val="none" w:sz="0" w:space="0" w:color="auto"/>
        <w:right w:val="none" w:sz="0" w:space="0" w:color="auto"/>
      </w:divBdr>
    </w:div>
    <w:div w:id="1001010837">
      <w:bodyDiv w:val="1"/>
      <w:marLeft w:val="0"/>
      <w:marRight w:val="0"/>
      <w:marTop w:val="0"/>
      <w:marBottom w:val="0"/>
      <w:divBdr>
        <w:top w:val="none" w:sz="0" w:space="0" w:color="auto"/>
        <w:left w:val="none" w:sz="0" w:space="0" w:color="auto"/>
        <w:bottom w:val="none" w:sz="0" w:space="0" w:color="auto"/>
        <w:right w:val="none" w:sz="0" w:space="0" w:color="auto"/>
      </w:divBdr>
    </w:div>
    <w:div w:id="1176306440">
      <w:bodyDiv w:val="1"/>
      <w:marLeft w:val="0"/>
      <w:marRight w:val="0"/>
      <w:marTop w:val="0"/>
      <w:marBottom w:val="0"/>
      <w:divBdr>
        <w:top w:val="none" w:sz="0" w:space="0" w:color="auto"/>
        <w:left w:val="none" w:sz="0" w:space="0" w:color="auto"/>
        <w:bottom w:val="none" w:sz="0" w:space="0" w:color="auto"/>
        <w:right w:val="none" w:sz="0" w:space="0" w:color="auto"/>
      </w:divBdr>
    </w:div>
    <w:div w:id="1396856121">
      <w:bodyDiv w:val="1"/>
      <w:marLeft w:val="0"/>
      <w:marRight w:val="0"/>
      <w:marTop w:val="0"/>
      <w:marBottom w:val="0"/>
      <w:divBdr>
        <w:top w:val="none" w:sz="0" w:space="0" w:color="auto"/>
        <w:left w:val="none" w:sz="0" w:space="0" w:color="auto"/>
        <w:bottom w:val="none" w:sz="0" w:space="0" w:color="auto"/>
        <w:right w:val="none" w:sz="0" w:space="0" w:color="auto"/>
      </w:divBdr>
    </w:div>
    <w:div w:id="1485271753">
      <w:bodyDiv w:val="1"/>
      <w:marLeft w:val="0"/>
      <w:marRight w:val="0"/>
      <w:marTop w:val="0"/>
      <w:marBottom w:val="0"/>
      <w:divBdr>
        <w:top w:val="none" w:sz="0" w:space="0" w:color="auto"/>
        <w:left w:val="none" w:sz="0" w:space="0" w:color="auto"/>
        <w:bottom w:val="none" w:sz="0" w:space="0" w:color="auto"/>
        <w:right w:val="none" w:sz="0" w:space="0" w:color="auto"/>
      </w:divBdr>
    </w:div>
    <w:div w:id="1714888501">
      <w:bodyDiv w:val="1"/>
      <w:marLeft w:val="0"/>
      <w:marRight w:val="0"/>
      <w:marTop w:val="0"/>
      <w:marBottom w:val="0"/>
      <w:divBdr>
        <w:top w:val="none" w:sz="0" w:space="0" w:color="auto"/>
        <w:left w:val="none" w:sz="0" w:space="0" w:color="auto"/>
        <w:bottom w:val="none" w:sz="0" w:space="0" w:color="auto"/>
        <w:right w:val="none" w:sz="0" w:space="0" w:color="auto"/>
      </w:divBdr>
    </w:div>
    <w:div w:id="20170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www.justice.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justice.cz/"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justice.cz/" TargetMode="External"/><Relationship Id="rId25" Type="http://schemas.openxmlformats.org/officeDocument/2006/relationships/hyperlink" Target="http://www.justice.cz/" TargetMode="External"/><Relationship Id="rId2" Type="http://schemas.openxmlformats.org/officeDocument/2006/relationships/customXml" Target="../customXml/item2.xml"/><Relationship Id="rId16" Type="http://schemas.openxmlformats.org/officeDocument/2006/relationships/hyperlink" Target="http://www.justice.cz/" TargetMode="External"/><Relationship Id="rId20" Type="http://schemas.openxmlformats.org/officeDocument/2006/relationships/hyperlink" Target="http://www.justice.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ustice.cz/" TargetMode="External"/><Relationship Id="rId5" Type="http://schemas.openxmlformats.org/officeDocument/2006/relationships/numbering" Target="numbering.xml"/><Relationship Id="rId15" Type="http://schemas.openxmlformats.org/officeDocument/2006/relationships/hyperlink" Target="http://www.justice.cz/" TargetMode="External"/><Relationship Id="rId23" Type="http://schemas.openxmlformats.org/officeDocument/2006/relationships/hyperlink" Target="http://www.justice.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justice.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hyperlink" Target="http://www.justice.cz/"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cs.wikipedia.org/w/index.php?title=%C4%8C%C3%A1ste%C4%8Dn%C3%BD_pracovn%C3%AD_%C3%BAvazek&amp;action=edit&amp;redlink=1" TargetMode="External"/><Relationship Id="rId2" Type="http://schemas.openxmlformats.org/officeDocument/2006/relationships/hyperlink" Target="https://cs.wikipedia.org/wiki/Pln%C3%BD_pracovn%C3%AD_%C3%BAvazek" TargetMode="External"/><Relationship Id="rId1" Type="http://schemas.openxmlformats.org/officeDocument/2006/relationships/hyperlink" Target="https://cs.wikipedia.org/w/index.php?title=Lidsk%C3%A1_pr%C3%A1ce&amp;action=edit&amp;redlink=1" TargetMode="External"/><Relationship Id="rId6" Type="http://schemas.openxmlformats.org/officeDocument/2006/relationships/hyperlink" Target="http://www.tessea.cz" TargetMode="External"/><Relationship Id="rId5" Type="http://schemas.openxmlformats.org/officeDocument/2006/relationships/hyperlink" Target="https://www.nku.cz/scripts/rka/detail.asp?cisloakce=18/33&amp;rok=0&amp;sestava=0" TargetMode="External"/><Relationship Id="rId4" Type="http://schemas.openxmlformats.org/officeDocument/2006/relationships/hyperlink" Target="https://www.nku.cz/scripts/rka/detail.asp?cisloakce=18/33&amp;rok=0&amp;sestava=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92326511959871E-2"/>
          <c:y val="8.5591996787106148E-2"/>
          <c:w val="0.95814649386258433"/>
          <c:h val="0.88686496993432451"/>
        </c:manualLayout>
      </c:layout>
      <c:barChart>
        <c:barDir val="col"/>
        <c:grouping val="clustered"/>
        <c:varyColors val="0"/>
        <c:ser>
          <c:idx val="0"/>
          <c:order val="0"/>
          <c:spPr>
            <a:solidFill>
              <a:srgbClr val="004595"/>
            </a:solidFill>
            <a:ln>
              <a:noFill/>
            </a:ln>
            <a:effectLst/>
          </c:spPr>
          <c:invertIfNegative val="0"/>
          <c:dLbls>
            <c:numFmt formatCode="0.00\ %"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List1!$V$3:$V$13</c:f>
              <c:strCache>
                <c:ptCount val="11"/>
                <c:pt idx="0">
                  <c:v>3366
5738</c:v>
                </c:pt>
                <c:pt idx="1">
                  <c:v>3498</c:v>
                </c:pt>
                <c:pt idx="2">
                  <c:v>9087</c:v>
                </c:pt>
                <c:pt idx="3">
                  <c:v>654
11726</c:v>
                </c:pt>
                <c:pt idx="4">
                  <c:v>3365
9671</c:v>
                </c:pt>
                <c:pt idx="5">
                  <c:v>119</c:v>
                </c:pt>
                <c:pt idx="6">
                  <c:v>3525</c:v>
                </c:pt>
                <c:pt idx="7">
                  <c:v>1445</c:v>
                </c:pt>
                <c:pt idx="8">
                  <c:v>14002</c:v>
                </c:pt>
                <c:pt idx="9">
                  <c:v>151
12055</c:v>
                </c:pt>
                <c:pt idx="10">
                  <c:v>3438</c:v>
                </c:pt>
              </c:strCache>
            </c:strRef>
          </c:cat>
          <c:val>
            <c:numRef>
              <c:f>List1!$U$3:$U$13</c:f>
              <c:numCache>
                <c:formatCode>0.00%</c:formatCode>
                <c:ptCount val="11"/>
                <c:pt idx="0">
                  <c:v>-0.36681439127429505</c:v>
                </c:pt>
                <c:pt idx="1">
                  <c:v>-0.6355154965211891</c:v>
                </c:pt>
                <c:pt idx="2">
                  <c:v>-0.765625</c:v>
                </c:pt>
                <c:pt idx="3">
                  <c:v>-0.57757790368271955</c:v>
                </c:pt>
                <c:pt idx="4">
                  <c:v>-0.47422524565381707</c:v>
                </c:pt>
                <c:pt idx="5">
                  <c:v>6.0917941585535429E-2</c:v>
                </c:pt>
                <c:pt idx="6">
                  <c:v>-0.80217430048119764</c:v>
                </c:pt>
                <c:pt idx="7">
                  <c:v>-0.38666666666666671</c:v>
                </c:pt>
                <c:pt idx="8">
                  <c:v>-0.75705971114464321</c:v>
                </c:pt>
                <c:pt idx="9">
                  <c:v>0.1345829905204794</c:v>
                </c:pt>
                <c:pt idx="10">
                  <c:v>-0.57314814814814818</c:v>
                </c:pt>
              </c:numCache>
            </c:numRef>
          </c:val>
          <c:extLst>
            <c:ext xmlns:c16="http://schemas.microsoft.com/office/drawing/2014/chart" uri="{C3380CC4-5D6E-409C-BE32-E72D297353CC}">
              <c16:uniqueId val="{00000000-7956-44E8-A720-F83FD98B555D}"/>
            </c:ext>
          </c:extLst>
        </c:ser>
        <c:dLbls>
          <c:showLegendKey val="0"/>
          <c:showVal val="0"/>
          <c:showCatName val="0"/>
          <c:showSerName val="0"/>
          <c:showPercent val="0"/>
          <c:showBubbleSize val="0"/>
        </c:dLbls>
        <c:gapWidth val="219"/>
        <c:overlap val="-27"/>
        <c:axId val="72005887"/>
        <c:axId val="302717487"/>
      </c:barChart>
      <c:catAx>
        <c:axId val="72005887"/>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2717487"/>
        <c:crosses val="autoZero"/>
        <c:auto val="1"/>
        <c:lblAlgn val="ctr"/>
        <c:lblOffset val="100"/>
        <c:noMultiLvlLbl val="0"/>
      </c:catAx>
      <c:valAx>
        <c:axId val="302717487"/>
        <c:scaling>
          <c:orientation val="minMax"/>
          <c:max val="0.2"/>
          <c:min val="-0.9"/>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20058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tx>
            <c:strRef>
              <c:f>List1!$B$1</c:f>
              <c:strCache>
                <c:ptCount val="1"/>
                <c:pt idx="0">
                  <c:v>Sloupec1</c:v>
                </c:pt>
              </c:strCache>
            </c:strRef>
          </c:tx>
          <c:dPt>
            <c:idx val="0"/>
            <c:bubble3D val="0"/>
            <c:spPr>
              <a:solidFill>
                <a:srgbClr val="70AD47">
                  <a:lumMod val="75000"/>
                </a:srgbClr>
              </a:solidFill>
              <a:ln w="19050">
                <a:solidFill>
                  <a:schemeClr val="lt1"/>
                </a:solidFill>
              </a:ln>
              <a:effectLst/>
            </c:spPr>
            <c:extLst>
              <c:ext xmlns:c16="http://schemas.microsoft.com/office/drawing/2014/chart" uri="{C3380CC4-5D6E-409C-BE32-E72D297353CC}">
                <c16:uniqueId val="{00000001-6AE2-465F-8B8A-C9C26856C28D}"/>
              </c:ext>
            </c:extLst>
          </c:dPt>
          <c:dPt>
            <c:idx val="1"/>
            <c:bubble3D val="0"/>
            <c:spPr>
              <a:solidFill>
                <a:srgbClr val="70AD47">
                  <a:lumMod val="60000"/>
                  <a:lumOff val="40000"/>
                </a:srgbClr>
              </a:solidFill>
              <a:ln w="19050">
                <a:solidFill>
                  <a:schemeClr val="lt1"/>
                </a:solidFill>
              </a:ln>
              <a:effectLst/>
            </c:spPr>
            <c:extLst>
              <c:ext xmlns:c16="http://schemas.microsoft.com/office/drawing/2014/chart" uri="{C3380CC4-5D6E-409C-BE32-E72D297353CC}">
                <c16:uniqueId val="{00000003-6AE2-465F-8B8A-C9C26856C28D}"/>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6AE2-465F-8B8A-C9C26856C28D}"/>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6AE2-465F-8B8A-C9C26856C28D}"/>
              </c:ext>
            </c:extLst>
          </c:dPt>
          <c:dLbls>
            <c:dLbl>
              <c:idx val="0"/>
              <c:layout>
                <c:manualLayout>
                  <c:x val="4.6296296296296294E-2"/>
                  <c:y val="-5.15873015873015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E2-465F-8B8A-C9C26856C28D}"/>
                </c:ext>
              </c:extLst>
            </c:dLbl>
            <c:dLbl>
              <c:idx val="1"/>
              <c:layout>
                <c:manualLayout>
                  <c:x val="3.2407407407407322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AE2-465F-8B8A-C9C26856C28D}"/>
                </c:ext>
              </c:extLst>
            </c:dLbl>
            <c:dLbl>
              <c:idx val="2"/>
              <c:layout>
                <c:manualLayout>
                  <c:x val="-6.250000000000001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E2-465F-8B8A-C9C26856C28D}"/>
                </c:ext>
              </c:extLst>
            </c:dLbl>
            <c:dLbl>
              <c:idx val="3"/>
              <c:layout>
                <c:manualLayout>
                  <c:x val="-1.3888888888888888E-2"/>
                  <c:y val="-9.1269841269841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AE2-465F-8B8A-C9C26856C28D}"/>
                </c:ext>
              </c:extLst>
            </c:dLbl>
            <c:spPr>
              <a:solidFill>
                <a:sysClr val="window" lastClr="FFFFFF"/>
              </a:solidFill>
              <a:ln>
                <a:solidFill>
                  <a:srgbClr val="E7E6E6">
                    <a:lumMod val="75000"/>
                  </a:srgb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4"/>
                <c:pt idx="0">
                  <c:v>Účelný</c:v>
                </c:pt>
                <c:pt idx="1">
                  <c:v>Účelný s mírnými nedostatky</c:v>
                </c:pt>
                <c:pt idx="2">
                  <c:v>Omezeně účelný</c:v>
                </c:pt>
                <c:pt idx="3">
                  <c:v>Neúčelný</c:v>
                </c:pt>
              </c:strCache>
            </c:strRef>
          </c:cat>
          <c:val>
            <c:numRef>
              <c:f>List1!$B$2:$B$5</c:f>
              <c:numCache>
                <c:formatCode>General</c:formatCode>
                <c:ptCount val="4"/>
                <c:pt idx="0">
                  <c:v>5</c:v>
                </c:pt>
                <c:pt idx="1">
                  <c:v>3</c:v>
                </c:pt>
                <c:pt idx="2">
                  <c:v>7</c:v>
                </c:pt>
                <c:pt idx="3">
                  <c:v>1</c:v>
                </c:pt>
              </c:numCache>
            </c:numRef>
          </c:val>
          <c:extLst>
            <c:ext xmlns:c16="http://schemas.microsoft.com/office/drawing/2014/chart" uri="{C3380CC4-5D6E-409C-BE32-E72D297353CC}">
              <c16:uniqueId val="{00000008-6AE2-465F-8B8A-C9C26856C28D}"/>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605698220452075E-2"/>
          <c:y val="7.5730147843978163E-2"/>
          <c:w val="0.45491327285136057"/>
          <c:h val="0.85294984764170201"/>
        </c:manualLayout>
      </c:layout>
      <c:doughnutChart>
        <c:varyColors val="1"/>
        <c:ser>
          <c:idx val="0"/>
          <c:order val="0"/>
          <c:tx>
            <c:strRef>
              <c:f>List1!$B$1</c:f>
              <c:strCache>
                <c:ptCount val="1"/>
                <c:pt idx="0">
                  <c:v>Sloupec1</c:v>
                </c:pt>
              </c:strCache>
            </c:strRef>
          </c:tx>
          <c:dPt>
            <c:idx val="0"/>
            <c:bubble3D val="0"/>
            <c:spPr>
              <a:solidFill>
                <a:srgbClr val="70AD47">
                  <a:lumMod val="75000"/>
                </a:srgbClr>
              </a:solidFill>
              <a:ln w="19050">
                <a:solidFill>
                  <a:schemeClr val="lt1"/>
                </a:solidFill>
              </a:ln>
              <a:effectLst/>
            </c:spPr>
            <c:extLst>
              <c:ext xmlns:c16="http://schemas.microsoft.com/office/drawing/2014/chart" uri="{C3380CC4-5D6E-409C-BE32-E72D297353CC}">
                <c16:uniqueId val="{00000001-21D9-427A-8A4A-F01A5E4F75BA}"/>
              </c:ext>
            </c:extLst>
          </c:dPt>
          <c:dPt>
            <c:idx val="1"/>
            <c:bubble3D val="0"/>
            <c:spPr>
              <a:solidFill>
                <a:srgbClr val="70AD47">
                  <a:lumMod val="60000"/>
                  <a:lumOff val="40000"/>
                </a:srgbClr>
              </a:solidFill>
              <a:ln w="19050">
                <a:solidFill>
                  <a:schemeClr val="lt1"/>
                </a:solidFill>
              </a:ln>
              <a:effectLst/>
            </c:spPr>
            <c:extLst>
              <c:ext xmlns:c16="http://schemas.microsoft.com/office/drawing/2014/chart" uri="{C3380CC4-5D6E-409C-BE32-E72D297353CC}">
                <c16:uniqueId val="{00000003-21D9-427A-8A4A-F01A5E4F75BA}"/>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5-21D9-427A-8A4A-F01A5E4F75BA}"/>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21D9-427A-8A4A-F01A5E4F75BA}"/>
              </c:ext>
            </c:extLst>
          </c:dPt>
          <c:dLbls>
            <c:dLbl>
              <c:idx val="0"/>
              <c:layout>
                <c:manualLayout>
                  <c:x val="4.8611111111111112E-2"/>
                  <c:y val="-7.14285714285714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D9-427A-8A4A-F01A5E4F75BA}"/>
                </c:ext>
              </c:extLst>
            </c:dLbl>
            <c:dLbl>
              <c:idx val="1"/>
              <c:layout>
                <c:manualLayout>
                  <c:x val="3.7037037037037035E-2"/>
                  <c:y val="9.9206349206349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D9-427A-8A4A-F01A5E4F75BA}"/>
                </c:ext>
              </c:extLst>
            </c:dLbl>
            <c:dLbl>
              <c:idx val="2"/>
              <c:layout>
                <c:manualLayout>
                  <c:x val="-6.2500000000000014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D9-427A-8A4A-F01A5E4F75BA}"/>
                </c:ext>
              </c:extLst>
            </c:dLbl>
            <c:dLbl>
              <c:idx val="3"/>
              <c:layout>
                <c:manualLayout>
                  <c:x val="-1.8518518518518517E-2"/>
                  <c:y val="-9.9206349206349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1D9-427A-8A4A-F01A5E4F75BA}"/>
                </c:ext>
              </c:extLst>
            </c:dLbl>
            <c:spPr>
              <a:solidFill>
                <a:sysClr val="window" lastClr="FFFFFF"/>
              </a:solidFill>
              <a:ln>
                <a:solidFill>
                  <a:srgbClr val="E7E6E6">
                    <a:lumMod val="75000"/>
                  </a:srgb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List1!$A$2:$A$5</c:f>
              <c:strCache>
                <c:ptCount val="4"/>
                <c:pt idx="0">
                  <c:v>Efektivní</c:v>
                </c:pt>
                <c:pt idx="1">
                  <c:v>Efektivní s mírnými nedostatky</c:v>
                </c:pt>
                <c:pt idx="2">
                  <c:v>Omezeně efektivní</c:v>
                </c:pt>
                <c:pt idx="3">
                  <c:v>Neefektivní</c:v>
                </c:pt>
              </c:strCache>
            </c:strRef>
          </c:cat>
          <c:val>
            <c:numRef>
              <c:f>List1!$B$2:$B$5</c:f>
              <c:numCache>
                <c:formatCode>General</c:formatCode>
                <c:ptCount val="4"/>
                <c:pt idx="0">
                  <c:v>2</c:v>
                </c:pt>
                <c:pt idx="1">
                  <c:v>6</c:v>
                </c:pt>
                <c:pt idx="2">
                  <c:v>6</c:v>
                </c:pt>
                <c:pt idx="3">
                  <c:v>2</c:v>
                </c:pt>
              </c:numCache>
            </c:numRef>
          </c:val>
          <c:extLst>
            <c:ext xmlns:c16="http://schemas.microsoft.com/office/drawing/2014/chart" uri="{C3380CC4-5D6E-409C-BE32-E72D297353CC}">
              <c16:uniqueId val="{00000008-21D9-427A-8A4A-F01A5E4F75BA}"/>
            </c:ext>
          </c:extLst>
        </c:ser>
        <c:dLbls>
          <c:showLegendKey val="0"/>
          <c:showVal val="0"/>
          <c:showCatName val="0"/>
          <c:showSerName val="0"/>
          <c:showPercent val="0"/>
          <c:showBubbleSize val="0"/>
          <c:showLeaderLines val="0"/>
        </c:dLbls>
        <c:firstSliceAng val="0"/>
        <c:holeSize val="75"/>
      </c:doughnutChart>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cs-CZ"/>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cs-CZ"/>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cs-CZ"/>
          </a:p>
        </c:txPr>
      </c:legendEntry>
      <c:legendEntry>
        <c:idx val="3"/>
        <c:txPr>
          <a:bodyPr rot="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cs-CZ"/>
          </a:p>
        </c:txPr>
      </c:legendEntry>
      <c:layout>
        <c:manualLayout>
          <c:xMode val="edge"/>
          <c:yMode val="edge"/>
          <c:x val="0.63465326272061451"/>
          <c:y val="0.29348179236001476"/>
          <c:w val="0.34888196014190453"/>
          <c:h val="0.392280915072415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C4EBC3861ED0429E112F4AE85A236D" ma:contentTypeVersion="2" ma:contentTypeDescription="Vytvoří nový dokument" ma:contentTypeScope="" ma:versionID="7cfe40b6dbcfeee1a50e8e7fce8d77e5">
  <xsd:schema xmlns:xsd="http://www.w3.org/2001/XMLSchema" xmlns:xs="http://www.w3.org/2001/XMLSchema" xmlns:p="http://schemas.microsoft.com/office/2006/metadata/properties" xmlns:ns2="b1f49110-4f9d-4986-80a4-49924bff402e" targetNamespace="http://schemas.microsoft.com/office/2006/metadata/properties" ma:root="true" ma:fieldsID="8e2885f3c709994ab6715b8d18d1133b" ns2:_="">
    <xsd:import namespace="b1f49110-4f9d-4986-80a4-49924bff402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49110-4f9d-4986-80a4-49924bff402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C93D-2D84-4E4F-9ABD-A105BA09C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49110-4f9d-4986-80a4-49924bff4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EA464-FFE9-4F0E-967A-38F46429A4E7}">
  <ds:schemaRefs>
    <ds:schemaRef ds:uri="http://schemas.microsoft.com/sharepoint/v3/contenttype/forms"/>
  </ds:schemaRefs>
</ds:datastoreItem>
</file>

<file path=customXml/itemProps3.xml><?xml version="1.0" encoding="utf-8"?>
<ds:datastoreItem xmlns:ds="http://schemas.openxmlformats.org/officeDocument/2006/customXml" ds:itemID="{1430B12F-4A0F-48D5-B368-EF5CF9FBC2FF}">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b1f49110-4f9d-4986-80a4-49924bff402e"/>
  </ds:schemaRefs>
</ds:datastoreItem>
</file>

<file path=customXml/itemProps4.xml><?xml version="1.0" encoding="utf-8"?>
<ds:datastoreItem xmlns:ds="http://schemas.openxmlformats.org/officeDocument/2006/customXml" ds:itemID="{259AA034-0C2A-4E6E-B65F-AF011036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16636</Words>
  <Characters>98153</Characters>
  <Application>Microsoft Office Word</Application>
  <DocSecurity>0</DocSecurity>
  <Lines>817</Lines>
  <Paragraphs>229</Paragraphs>
  <ScaleCrop>false</ScaleCrop>
  <HeadingPairs>
    <vt:vector size="2" baseType="variant">
      <vt:variant>
        <vt:lpstr>Název</vt:lpstr>
      </vt:variant>
      <vt:variant>
        <vt:i4>1</vt:i4>
      </vt:variant>
    </vt:vector>
  </HeadingPairs>
  <TitlesOfParts>
    <vt:vector size="1" baseType="lpstr">
      <vt:lpstr>Kontrolní závěr z kontrolní akce NKÚ č. 21/22 - Peněžní prostředky státního rozpočtu a Evropské unie poskytované na podporu sociálních podniků</vt:lpstr>
    </vt:vector>
  </TitlesOfParts>
  <Company>NKU</Company>
  <LinksUpToDate>false</LinksUpToDate>
  <CharactersWithSpaces>114560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21/22 - Peněžní prostředky státního rozpočtu a Evropské unie poskytované na podporu sociálních podniků</dc:title>
  <dc:subject>Kontrolní závěr z kontrolní akce NKÚ č. 21/22 - Peněžní prostředky státního rozpočtu a Evropské unie poskytované na podporu sociálních podniků</dc:subject>
  <dc:creator>Nejvyšší kontrolní úřad</dc:creator>
  <dc:description/>
  <cp:lastModifiedBy>KOKRDA Daniel</cp:lastModifiedBy>
  <cp:revision>3</cp:revision>
  <cp:lastPrinted>2022-07-11T07:43:00Z</cp:lastPrinted>
  <dcterms:created xsi:type="dcterms:W3CDTF">2022-07-11T07:42:00Z</dcterms:created>
  <dcterms:modified xsi:type="dcterms:W3CDTF">2022-07-11T07:48:00Z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0x0101008AC4EBC3861ED0429E112F4AE85A236D</vt:lpwstr>
  </property>
</Properties>
</file>