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3CB4" w14:textId="77777777" w:rsidR="00B47D21" w:rsidRPr="002F338E" w:rsidRDefault="00781CDD" w:rsidP="00B03E72">
      <w:pPr>
        <w:spacing w:after="0" w:line="280" w:lineRule="atLeast"/>
        <w:jc w:val="center"/>
        <w:rPr>
          <w:rFonts w:cstheme="minorHAnsi"/>
          <w:b/>
          <w:sz w:val="28"/>
          <w:szCs w:val="28"/>
        </w:rPr>
      </w:pPr>
      <w:r w:rsidRPr="002F338E">
        <w:rPr>
          <w:rFonts w:cstheme="minorHAnsi"/>
          <w:noProof/>
          <w:lang w:eastAsia="cs-CZ"/>
        </w:rPr>
        <w:drawing>
          <wp:anchor distT="0" distB="0" distL="114300" distR="114300" simplePos="0" relativeHeight="251658240" behindDoc="0" locked="0" layoutInCell="1" allowOverlap="1" wp14:anchorId="6D773F2A" wp14:editId="6D773F2B">
            <wp:simplePos x="0" y="0"/>
            <wp:positionH relativeFrom="margin">
              <wp:align>center</wp:align>
            </wp:positionH>
            <wp:positionV relativeFrom="paragraph">
              <wp:posOffset>0</wp:posOffset>
            </wp:positionV>
            <wp:extent cx="764949" cy="54000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949" cy="540000"/>
                    </a:xfrm>
                    <a:prstGeom prst="rect">
                      <a:avLst/>
                    </a:prstGeom>
                    <a:noFill/>
                  </pic:spPr>
                </pic:pic>
              </a:graphicData>
            </a:graphic>
            <wp14:sizeRelH relativeFrom="margin">
              <wp14:pctWidth>0</wp14:pctWidth>
            </wp14:sizeRelH>
            <wp14:sizeRelV relativeFrom="margin">
              <wp14:pctHeight>0</wp14:pctHeight>
            </wp14:sizeRelV>
          </wp:anchor>
        </w:drawing>
      </w:r>
    </w:p>
    <w:p w14:paraId="6D773CB5" w14:textId="77777777" w:rsidR="00B47D21" w:rsidRPr="002F338E" w:rsidRDefault="00B47D21" w:rsidP="00B03E72">
      <w:pPr>
        <w:spacing w:after="0" w:line="280" w:lineRule="atLeast"/>
        <w:jc w:val="center"/>
        <w:rPr>
          <w:rFonts w:cstheme="minorHAnsi"/>
          <w:b/>
          <w:sz w:val="28"/>
          <w:szCs w:val="28"/>
        </w:rPr>
      </w:pPr>
      <w:bookmarkStart w:id="0" w:name="_Hlk112766497"/>
    </w:p>
    <w:p w14:paraId="6D773CB6" w14:textId="77777777" w:rsidR="00B47D21" w:rsidRPr="002F338E" w:rsidRDefault="00B47D21" w:rsidP="00B03E72">
      <w:pPr>
        <w:spacing w:after="0" w:line="280" w:lineRule="atLeast"/>
        <w:jc w:val="center"/>
        <w:rPr>
          <w:rFonts w:cstheme="minorHAnsi"/>
          <w:b/>
          <w:sz w:val="28"/>
          <w:szCs w:val="28"/>
        </w:rPr>
      </w:pPr>
    </w:p>
    <w:p w14:paraId="6D773CB7" w14:textId="77777777" w:rsidR="00B47D21" w:rsidRPr="002F338E" w:rsidRDefault="00781CDD" w:rsidP="00B03E72">
      <w:pPr>
        <w:spacing w:after="0" w:line="280" w:lineRule="atLeast"/>
        <w:jc w:val="center"/>
        <w:rPr>
          <w:rFonts w:cstheme="minorHAnsi"/>
          <w:b/>
          <w:sz w:val="32"/>
          <w:szCs w:val="32"/>
        </w:rPr>
      </w:pPr>
      <w:r w:rsidRPr="002F338E">
        <w:rPr>
          <w:rFonts w:cstheme="minorHAnsi"/>
          <w:b/>
          <w:sz w:val="28"/>
          <w:szCs w:val="28"/>
        </w:rPr>
        <w:t>Kontrolní závěr z kontrolní akce</w:t>
      </w:r>
    </w:p>
    <w:p w14:paraId="6D773CB8" w14:textId="77777777" w:rsidR="00B47D21" w:rsidRPr="002F338E" w:rsidRDefault="00B47D21" w:rsidP="00B03E72">
      <w:pPr>
        <w:spacing w:after="0" w:line="280" w:lineRule="atLeast"/>
        <w:jc w:val="center"/>
        <w:rPr>
          <w:rFonts w:cstheme="minorHAnsi"/>
          <w:sz w:val="24"/>
          <w:szCs w:val="24"/>
        </w:rPr>
      </w:pPr>
    </w:p>
    <w:p w14:paraId="6D773CB9" w14:textId="77777777" w:rsidR="00B47D21" w:rsidRPr="002F338E" w:rsidRDefault="00781CDD" w:rsidP="00B03E72">
      <w:pPr>
        <w:spacing w:after="0" w:line="280" w:lineRule="atLeast"/>
        <w:jc w:val="center"/>
        <w:rPr>
          <w:rFonts w:cstheme="minorHAnsi"/>
          <w:b/>
          <w:sz w:val="28"/>
          <w:szCs w:val="28"/>
        </w:rPr>
      </w:pPr>
      <w:r w:rsidRPr="002F338E">
        <w:rPr>
          <w:rFonts w:cstheme="minorHAnsi"/>
          <w:b/>
          <w:sz w:val="28"/>
          <w:szCs w:val="28"/>
        </w:rPr>
        <w:t>22</w:t>
      </w:r>
      <w:r w:rsidR="005372C8" w:rsidRPr="002F338E">
        <w:rPr>
          <w:rFonts w:cstheme="minorHAnsi"/>
          <w:b/>
          <w:sz w:val="28"/>
          <w:szCs w:val="28"/>
        </w:rPr>
        <w:t>/</w:t>
      </w:r>
      <w:r w:rsidRPr="002F338E">
        <w:rPr>
          <w:rFonts w:cstheme="minorHAnsi"/>
          <w:b/>
          <w:sz w:val="28"/>
          <w:szCs w:val="28"/>
        </w:rPr>
        <w:t>05</w:t>
      </w:r>
    </w:p>
    <w:p w14:paraId="6D773CBA" w14:textId="77777777" w:rsidR="00B47D21" w:rsidRPr="002F338E" w:rsidRDefault="00B47D21" w:rsidP="00B03E72">
      <w:pPr>
        <w:spacing w:after="0" w:line="280" w:lineRule="atLeast"/>
        <w:jc w:val="center"/>
        <w:rPr>
          <w:rFonts w:cstheme="minorHAnsi"/>
          <w:sz w:val="24"/>
          <w:szCs w:val="24"/>
        </w:rPr>
      </w:pPr>
    </w:p>
    <w:p w14:paraId="6D773CBB" w14:textId="77777777" w:rsidR="006D3277" w:rsidRDefault="00781CDD" w:rsidP="006D3277">
      <w:pPr>
        <w:spacing w:after="0" w:line="280" w:lineRule="atLeast"/>
        <w:jc w:val="center"/>
        <w:rPr>
          <w:rFonts w:cstheme="minorHAnsi"/>
          <w:b/>
          <w:sz w:val="28"/>
          <w:szCs w:val="28"/>
        </w:rPr>
      </w:pPr>
      <w:r w:rsidRPr="006D3277">
        <w:rPr>
          <w:rFonts w:cstheme="minorHAnsi"/>
          <w:b/>
          <w:sz w:val="28"/>
          <w:szCs w:val="28"/>
        </w:rPr>
        <w:t>Peněžní prostředky státního rozpočtu</w:t>
      </w:r>
    </w:p>
    <w:p w14:paraId="6D773CBC" w14:textId="77777777" w:rsidR="00B47D21" w:rsidRPr="00613574" w:rsidRDefault="00781CDD" w:rsidP="006D3277">
      <w:pPr>
        <w:spacing w:after="0" w:line="280" w:lineRule="atLeast"/>
        <w:jc w:val="center"/>
        <w:rPr>
          <w:rFonts w:cstheme="minorHAnsi"/>
          <w:sz w:val="24"/>
          <w:szCs w:val="24"/>
          <w:highlight w:val="yellow"/>
        </w:rPr>
      </w:pPr>
      <w:r w:rsidRPr="006D3277">
        <w:rPr>
          <w:rFonts w:cstheme="minorHAnsi"/>
          <w:b/>
          <w:sz w:val="28"/>
          <w:szCs w:val="28"/>
        </w:rPr>
        <w:t>poskytované státním příspěvkovým organizacím</w:t>
      </w:r>
    </w:p>
    <w:p w14:paraId="6D773CBD" w14:textId="44114435" w:rsidR="004A54A7" w:rsidRDefault="004A54A7" w:rsidP="00B03E72">
      <w:pPr>
        <w:spacing w:after="0" w:line="280" w:lineRule="atLeast"/>
        <w:jc w:val="both"/>
        <w:rPr>
          <w:rFonts w:cstheme="minorHAnsi"/>
          <w:sz w:val="24"/>
          <w:szCs w:val="24"/>
        </w:rPr>
      </w:pPr>
    </w:p>
    <w:p w14:paraId="65726B4F" w14:textId="77777777" w:rsidR="002C76F1" w:rsidRPr="00517E86" w:rsidRDefault="002C76F1" w:rsidP="00B03E72">
      <w:pPr>
        <w:spacing w:after="0" w:line="280" w:lineRule="atLeast"/>
        <w:jc w:val="both"/>
        <w:rPr>
          <w:rFonts w:cstheme="minorHAnsi"/>
          <w:sz w:val="24"/>
          <w:szCs w:val="24"/>
        </w:rPr>
      </w:pPr>
    </w:p>
    <w:p w14:paraId="6D773CBE" w14:textId="77777777" w:rsidR="00B47D21" w:rsidRPr="003F3547" w:rsidRDefault="00781CDD" w:rsidP="00B03E72">
      <w:pPr>
        <w:spacing w:after="0" w:line="280" w:lineRule="atLeast"/>
        <w:jc w:val="both"/>
        <w:rPr>
          <w:rFonts w:cstheme="minorHAnsi"/>
          <w:sz w:val="24"/>
          <w:szCs w:val="24"/>
        </w:rPr>
      </w:pPr>
      <w:r w:rsidRPr="003F3547">
        <w:rPr>
          <w:rFonts w:cstheme="minorHAnsi"/>
          <w:sz w:val="24"/>
          <w:szCs w:val="24"/>
        </w:rPr>
        <w:t>Kontrolní akce byla zařazena do plánu kontrolní činnosti Nejvyššího kontrolního úřadu (dále také „NKÚ“) na rok 20</w:t>
      </w:r>
      <w:r w:rsidR="006C7772" w:rsidRPr="003F3547">
        <w:rPr>
          <w:rFonts w:cstheme="minorHAnsi"/>
          <w:sz w:val="24"/>
          <w:szCs w:val="24"/>
        </w:rPr>
        <w:t>2</w:t>
      </w:r>
      <w:r w:rsidR="003F3547" w:rsidRPr="003F3547">
        <w:rPr>
          <w:rFonts w:cstheme="minorHAnsi"/>
          <w:sz w:val="24"/>
          <w:szCs w:val="24"/>
        </w:rPr>
        <w:t>2</w:t>
      </w:r>
      <w:r w:rsidRPr="003F3547">
        <w:rPr>
          <w:rFonts w:cstheme="minorHAnsi"/>
          <w:sz w:val="24"/>
          <w:szCs w:val="24"/>
        </w:rPr>
        <w:t xml:space="preserve"> pod číslem </w:t>
      </w:r>
      <w:r w:rsidR="006C7772" w:rsidRPr="003F3547">
        <w:rPr>
          <w:rFonts w:cstheme="minorHAnsi"/>
          <w:sz w:val="24"/>
          <w:szCs w:val="24"/>
        </w:rPr>
        <w:t>2</w:t>
      </w:r>
      <w:r w:rsidR="003F3547" w:rsidRPr="003F3547">
        <w:rPr>
          <w:rFonts w:cstheme="minorHAnsi"/>
          <w:sz w:val="24"/>
          <w:szCs w:val="24"/>
        </w:rPr>
        <w:t>2</w:t>
      </w:r>
      <w:r w:rsidRPr="003F3547">
        <w:rPr>
          <w:rFonts w:cstheme="minorHAnsi"/>
          <w:sz w:val="24"/>
          <w:szCs w:val="24"/>
        </w:rPr>
        <w:t>/</w:t>
      </w:r>
      <w:r w:rsidR="003F3547" w:rsidRPr="003F3547">
        <w:rPr>
          <w:rFonts w:cstheme="minorHAnsi"/>
          <w:sz w:val="24"/>
          <w:szCs w:val="24"/>
        </w:rPr>
        <w:t>05</w:t>
      </w:r>
      <w:r w:rsidRPr="003F3547">
        <w:rPr>
          <w:rFonts w:cstheme="minorHAnsi"/>
          <w:sz w:val="24"/>
          <w:szCs w:val="24"/>
        </w:rPr>
        <w:t xml:space="preserve">. Kontrolní akci řídil a kontrolní závěr vypracoval člen NKÚ </w:t>
      </w:r>
      <w:r w:rsidR="003F3547" w:rsidRPr="003F3547">
        <w:rPr>
          <w:rFonts w:cstheme="minorHAnsi"/>
          <w:sz w:val="24"/>
          <w:szCs w:val="24"/>
        </w:rPr>
        <w:t>RNDr</w:t>
      </w:r>
      <w:r w:rsidRPr="003F3547">
        <w:rPr>
          <w:rFonts w:cstheme="minorHAnsi"/>
          <w:sz w:val="24"/>
          <w:szCs w:val="24"/>
        </w:rPr>
        <w:t>. </w:t>
      </w:r>
      <w:r w:rsidR="003F3547" w:rsidRPr="003F3547">
        <w:rPr>
          <w:rFonts w:cstheme="minorHAnsi"/>
          <w:sz w:val="24"/>
          <w:szCs w:val="24"/>
        </w:rPr>
        <w:t>Vladimír Koníček</w:t>
      </w:r>
      <w:r w:rsidRPr="003F3547">
        <w:rPr>
          <w:rFonts w:cstheme="minorHAnsi"/>
          <w:sz w:val="24"/>
          <w:szCs w:val="24"/>
        </w:rPr>
        <w:t>.</w:t>
      </w:r>
    </w:p>
    <w:p w14:paraId="6D773CBF" w14:textId="77777777" w:rsidR="003F3547" w:rsidRPr="004C5BB4" w:rsidRDefault="003F3547" w:rsidP="003F3547">
      <w:pPr>
        <w:spacing w:after="0" w:line="280" w:lineRule="atLeast"/>
        <w:jc w:val="both"/>
        <w:rPr>
          <w:rFonts w:cstheme="minorHAnsi"/>
          <w:b/>
          <w:sz w:val="24"/>
          <w:szCs w:val="24"/>
        </w:rPr>
      </w:pPr>
    </w:p>
    <w:p w14:paraId="6D773CC0" w14:textId="77777777" w:rsidR="00B47D21" w:rsidRPr="004C5BB4" w:rsidRDefault="00781CDD" w:rsidP="004C5BB4">
      <w:pPr>
        <w:spacing w:after="0" w:line="280" w:lineRule="atLeast"/>
        <w:jc w:val="both"/>
        <w:rPr>
          <w:rFonts w:cstheme="minorHAnsi"/>
          <w:sz w:val="24"/>
          <w:szCs w:val="24"/>
        </w:rPr>
      </w:pPr>
      <w:r w:rsidRPr="004C5BB4">
        <w:rPr>
          <w:rFonts w:cstheme="minorHAnsi"/>
          <w:sz w:val="24"/>
          <w:szCs w:val="24"/>
        </w:rPr>
        <w:t xml:space="preserve">Cílem kontroly bylo </w:t>
      </w:r>
      <w:r w:rsidR="00C36EE9" w:rsidRPr="004C5BB4">
        <w:rPr>
          <w:rFonts w:cstheme="minorHAnsi"/>
          <w:sz w:val="24"/>
          <w:szCs w:val="24"/>
        </w:rPr>
        <w:t>prověřit, zda</w:t>
      </w:r>
      <w:r w:rsidR="004C5BB4" w:rsidRPr="004C5BB4">
        <w:rPr>
          <w:rFonts w:cstheme="minorHAnsi"/>
          <w:sz w:val="24"/>
          <w:szCs w:val="24"/>
        </w:rPr>
        <w:t xml:space="preserve"> byly peněžní prostředky státního rozpočtu poskytované vybraným státním příspěvkovým organizacím vynakládány účelně, hospodárně a v souladu s právními předpisy.</w:t>
      </w:r>
    </w:p>
    <w:p w14:paraId="6D773CC1" w14:textId="77777777" w:rsidR="00B47D21" w:rsidRPr="004C5BB4" w:rsidRDefault="00B47D21" w:rsidP="00B03E72">
      <w:pPr>
        <w:spacing w:after="0" w:line="280" w:lineRule="atLeast"/>
        <w:jc w:val="both"/>
        <w:rPr>
          <w:rFonts w:cstheme="minorHAnsi"/>
          <w:sz w:val="24"/>
          <w:szCs w:val="24"/>
        </w:rPr>
      </w:pPr>
    </w:p>
    <w:p w14:paraId="6D773CC2" w14:textId="77777777" w:rsidR="00B47D21" w:rsidRPr="00E9646E" w:rsidRDefault="00781CDD" w:rsidP="00154E9C">
      <w:pPr>
        <w:spacing w:after="60" w:line="280" w:lineRule="atLeast"/>
        <w:jc w:val="both"/>
        <w:rPr>
          <w:rFonts w:cstheme="minorHAnsi"/>
          <w:b/>
          <w:sz w:val="24"/>
          <w:szCs w:val="24"/>
        </w:rPr>
      </w:pPr>
      <w:r w:rsidRPr="00E9646E">
        <w:rPr>
          <w:rFonts w:cstheme="minorHAnsi"/>
          <w:b/>
          <w:sz w:val="24"/>
          <w:szCs w:val="24"/>
        </w:rPr>
        <w:t>Kontrolované osoby:</w:t>
      </w:r>
    </w:p>
    <w:p w14:paraId="6D773CC3" w14:textId="77777777" w:rsidR="00E9646E" w:rsidRDefault="00781CDD" w:rsidP="00B03E72">
      <w:pPr>
        <w:spacing w:after="0" w:line="280" w:lineRule="atLeast"/>
        <w:jc w:val="both"/>
        <w:rPr>
          <w:rFonts w:cstheme="minorHAnsi"/>
          <w:sz w:val="24"/>
          <w:szCs w:val="24"/>
        </w:rPr>
      </w:pPr>
      <w:r>
        <w:rPr>
          <w:rFonts w:cstheme="minorHAnsi"/>
          <w:sz w:val="24"/>
          <w:szCs w:val="24"/>
        </w:rPr>
        <w:t>Ministerstvo financí (dále také „MF);</w:t>
      </w:r>
    </w:p>
    <w:p w14:paraId="6D773CC4" w14:textId="77777777" w:rsidR="00E9646E" w:rsidRPr="00E9646E" w:rsidRDefault="00781CDD" w:rsidP="00B03E72">
      <w:pPr>
        <w:spacing w:after="0" w:line="280" w:lineRule="atLeast"/>
        <w:jc w:val="both"/>
        <w:rPr>
          <w:rFonts w:cstheme="minorHAnsi"/>
          <w:sz w:val="24"/>
          <w:szCs w:val="24"/>
        </w:rPr>
      </w:pPr>
      <w:r>
        <w:rPr>
          <w:rFonts w:cstheme="minorHAnsi"/>
          <w:sz w:val="24"/>
          <w:szCs w:val="24"/>
        </w:rPr>
        <w:t>Ministerstvo životního prostředí (dále také „MŽP“);</w:t>
      </w:r>
    </w:p>
    <w:p w14:paraId="6D773CC5" w14:textId="77777777" w:rsidR="00E9646E" w:rsidRDefault="00781CDD" w:rsidP="00E9646E">
      <w:pPr>
        <w:spacing w:after="0" w:line="280" w:lineRule="atLeast"/>
        <w:jc w:val="both"/>
        <w:rPr>
          <w:rFonts w:cstheme="minorHAnsi"/>
          <w:sz w:val="24"/>
          <w:szCs w:val="24"/>
        </w:rPr>
      </w:pPr>
      <w:r>
        <w:rPr>
          <w:rFonts w:cstheme="minorHAnsi"/>
          <w:sz w:val="24"/>
          <w:szCs w:val="24"/>
        </w:rPr>
        <w:t>Ministerstvo zemědělství (dále také „MZe“);</w:t>
      </w:r>
    </w:p>
    <w:p w14:paraId="6D773CC6" w14:textId="77777777" w:rsidR="00B107AE" w:rsidRPr="00E9646E" w:rsidRDefault="00781CDD" w:rsidP="00D30816">
      <w:pPr>
        <w:spacing w:after="0" w:line="240" w:lineRule="auto"/>
        <w:jc w:val="both"/>
        <w:rPr>
          <w:rFonts w:cstheme="minorHAnsi"/>
          <w:sz w:val="24"/>
          <w:szCs w:val="24"/>
        </w:rPr>
      </w:pPr>
      <w:r w:rsidRPr="00E9646E">
        <w:rPr>
          <w:rFonts w:cstheme="minorHAnsi"/>
          <w:sz w:val="24"/>
          <w:szCs w:val="24"/>
        </w:rPr>
        <w:t xml:space="preserve">Ministerstvo průmyslu a obchodu </w:t>
      </w:r>
      <w:r w:rsidR="00D62651" w:rsidRPr="00E9646E">
        <w:rPr>
          <w:rFonts w:cstheme="minorHAnsi"/>
          <w:sz w:val="24"/>
          <w:szCs w:val="24"/>
        </w:rPr>
        <w:t>(dále také „M</w:t>
      </w:r>
      <w:r w:rsidRPr="00E9646E">
        <w:rPr>
          <w:rFonts w:cstheme="minorHAnsi"/>
          <w:sz w:val="24"/>
          <w:szCs w:val="24"/>
        </w:rPr>
        <w:t>PO</w:t>
      </w:r>
      <w:r w:rsidR="00D62651" w:rsidRPr="00E9646E">
        <w:rPr>
          <w:rFonts w:cstheme="minorHAnsi"/>
          <w:sz w:val="24"/>
          <w:szCs w:val="24"/>
        </w:rPr>
        <w:t>“)</w:t>
      </w:r>
      <w:r w:rsidR="00F04DCF" w:rsidRPr="00E9646E">
        <w:rPr>
          <w:rFonts w:cstheme="minorHAnsi"/>
          <w:sz w:val="24"/>
          <w:szCs w:val="24"/>
        </w:rPr>
        <w:t>;</w:t>
      </w:r>
    </w:p>
    <w:p w14:paraId="6D773CC7" w14:textId="77777777" w:rsidR="00EF571A" w:rsidRDefault="00781CDD" w:rsidP="00D30816">
      <w:pPr>
        <w:spacing w:after="0" w:line="240" w:lineRule="auto"/>
        <w:jc w:val="both"/>
        <w:rPr>
          <w:rFonts w:cstheme="minorHAnsi"/>
          <w:sz w:val="24"/>
          <w:szCs w:val="24"/>
        </w:rPr>
      </w:pPr>
      <w:r w:rsidRPr="00EF571A">
        <w:rPr>
          <w:rFonts w:cstheme="minorHAnsi"/>
          <w:sz w:val="24"/>
          <w:szCs w:val="24"/>
        </w:rPr>
        <w:t>Úřad pro technickou normalizaci, metrologii a státní zkušebnictví</w:t>
      </w:r>
      <w:r w:rsidR="00A117CD">
        <w:rPr>
          <w:rFonts w:cstheme="minorHAnsi"/>
          <w:sz w:val="24"/>
          <w:szCs w:val="24"/>
        </w:rPr>
        <w:t>, Praha</w:t>
      </w:r>
      <w:r>
        <w:rPr>
          <w:rFonts w:cstheme="minorHAnsi"/>
          <w:sz w:val="24"/>
          <w:szCs w:val="24"/>
        </w:rPr>
        <w:t xml:space="preserve"> </w:t>
      </w:r>
      <w:r w:rsidRPr="00E9646E">
        <w:rPr>
          <w:rFonts w:cstheme="minorHAnsi"/>
          <w:sz w:val="24"/>
          <w:szCs w:val="24"/>
        </w:rPr>
        <w:t>(dále také „</w:t>
      </w:r>
      <w:r>
        <w:rPr>
          <w:rFonts w:cstheme="minorHAnsi"/>
          <w:sz w:val="24"/>
          <w:szCs w:val="24"/>
        </w:rPr>
        <w:t>ÚNMZ</w:t>
      </w:r>
      <w:r w:rsidRPr="00E9646E">
        <w:rPr>
          <w:rFonts w:cstheme="minorHAnsi"/>
          <w:sz w:val="24"/>
          <w:szCs w:val="24"/>
        </w:rPr>
        <w:t>“);</w:t>
      </w:r>
    </w:p>
    <w:p w14:paraId="6D773CC8" w14:textId="77777777" w:rsidR="00B47D21" w:rsidRPr="00E9646E" w:rsidRDefault="00781CDD" w:rsidP="00D30816">
      <w:pPr>
        <w:spacing w:after="0" w:line="240" w:lineRule="auto"/>
        <w:jc w:val="both"/>
        <w:rPr>
          <w:rFonts w:cstheme="minorHAnsi"/>
          <w:sz w:val="24"/>
          <w:szCs w:val="24"/>
        </w:rPr>
      </w:pPr>
      <w:r w:rsidRPr="00E9646E">
        <w:rPr>
          <w:rFonts w:cstheme="minorHAnsi"/>
          <w:sz w:val="24"/>
          <w:szCs w:val="24"/>
        </w:rPr>
        <w:t>vybran</w:t>
      </w:r>
      <w:r w:rsidR="004C5BB4" w:rsidRPr="00E9646E">
        <w:rPr>
          <w:rFonts w:cstheme="minorHAnsi"/>
          <w:sz w:val="24"/>
          <w:szCs w:val="24"/>
        </w:rPr>
        <w:t>é</w:t>
      </w:r>
      <w:r w:rsidRPr="00E9646E">
        <w:rPr>
          <w:rFonts w:cstheme="minorHAnsi"/>
          <w:sz w:val="24"/>
          <w:szCs w:val="24"/>
        </w:rPr>
        <w:t xml:space="preserve"> </w:t>
      </w:r>
      <w:r w:rsidR="004C5BB4" w:rsidRPr="00E9646E">
        <w:rPr>
          <w:rFonts w:cstheme="minorHAnsi"/>
          <w:sz w:val="24"/>
          <w:szCs w:val="24"/>
        </w:rPr>
        <w:t>státní příspěvkové organizace</w:t>
      </w:r>
      <w:r w:rsidRPr="00E9646E">
        <w:rPr>
          <w:rFonts w:cstheme="minorHAnsi"/>
          <w:sz w:val="24"/>
          <w:szCs w:val="24"/>
        </w:rPr>
        <w:t>:</w:t>
      </w:r>
      <w:r w:rsidR="00E9646E" w:rsidRPr="00E9646E">
        <w:rPr>
          <w:rFonts w:cstheme="minorHAnsi"/>
          <w:sz w:val="24"/>
          <w:szCs w:val="24"/>
        </w:rPr>
        <w:t xml:space="preserve"> </w:t>
      </w:r>
      <w:r w:rsidR="0084100F" w:rsidRPr="0084100F">
        <w:rPr>
          <w:rFonts w:cstheme="minorHAnsi"/>
          <w:sz w:val="24"/>
          <w:szCs w:val="24"/>
        </w:rPr>
        <w:t>Česká informační agentura životního prostředí</w:t>
      </w:r>
      <w:r w:rsidR="00A117CD">
        <w:rPr>
          <w:rFonts w:cstheme="minorHAnsi"/>
          <w:sz w:val="24"/>
          <w:szCs w:val="24"/>
        </w:rPr>
        <w:t>, Praha</w:t>
      </w:r>
      <w:r w:rsidR="0084100F">
        <w:rPr>
          <w:rFonts w:cstheme="minorHAnsi"/>
          <w:sz w:val="24"/>
          <w:szCs w:val="24"/>
        </w:rPr>
        <w:t xml:space="preserve"> (</w:t>
      </w:r>
      <w:r w:rsidR="0084100F" w:rsidRPr="00E9646E">
        <w:rPr>
          <w:rFonts w:cstheme="minorHAnsi"/>
          <w:sz w:val="24"/>
          <w:szCs w:val="24"/>
        </w:rPr>
        <w:t>dále také „</w:t>
      </w:r>
      <w:r w:rsidR="0084100F">
        <w:rPr>
          <w:rFonts w:cstheme="minorHAnsi"/>
          <w:sz w:val="24"/>
          <w:szCs w:val="24"/>
        </w:rPr>
        <w:t>CENIA</w:t>
      </w:r>
      <w:r w:rsidR="0084100F" w:rsidRPr="00E9646E">
        <w:rPr>
          <w:rFonts w:cstheme="minorHAnsi"/>
          <w:sz w:val="24"/>
          <w:szCs w:val="24"/>
        </w:rPr>
        <w:t>“</w:t>
      </w:r>
      <w:r w:rsidR="0084100F">
        <w:rPr>
          <w:rFonts w:cstheme="minorHAnsi"/>
          <w:sz w:val="24"/>
          <w:szCs w:val="24"/>
        </w:rPr>
        <w:t xml:space="preserve">); </w:t>
      </w:r>
      <w:r w:rsidR="00112E12">
        <w:rPr>
          <w:rFonts w:ascii="CIDFont+F2" w:hAnsi="CIDFont+F2" w:cs="CIDFont+F2"/>
          <w:sz w:val="24"/>
          <w:szCs w:val="24"/>
        </w:rPr>
        <w:t>Ústav zemědělské ekonomiky a informací</w:t>
      </w:r>
      <w:r w:rsidR="00A117CD">
        <w:rPr>
          <w:rFonts w:ascii="CIDFont+F2" w:hAnsi="CIDFont+F2" w:cs="CIDFont+F2"/>
          <w:sz w:val="24"/>
          <w:szCs w:val="24"/>
        </w:rPr>
        <w:t>, Praha</w:t>
      </w:r>
      <w:r w:rsidR="00112E12">
        <w:rPr>
          <w:rFonts w:ascii="CIDFont+F2" w:hAnsi="CIDFont+F2" w:cs="CIDFont+F2"/>
          <w:sz w:val="24"/>
          <w:szCs w:val="24"/>
        </w:rPr>
        <w:t xml:space="preserve"> </w:t>
      </w:r>
      <w:r w:rsidR="00112E12" w:rsidRPr="00E9646E">
        <w:rPr>
          <w:rFonts w:cstheme="minorHAnsi"/>
          <w:sz w:val="24"/>
          <w:szCs w:val="24"/>
        </w:rPr>
        <w:t>(dále také „</w:t>
      </w:r>
      <w:r w:rsidR="00112E12">
        <w:rPr>
          <w:rFonts w:cstheme="minorHAnsi"/>
          <w:sz w:val="24"/>
          <w:szCs w:val="24"/>
        </w:rPr>
        <w:t>ÚZEI</w:t>
      </w:r>
      <w:r w:rsidR="00112E12" w:rsidRPr="00E9646E">
        <w:rPr>
          <w:rFonts w:cstheme="minorHAnsi"/>
          <w:sz w:val="24"/>
          <w:szCs w:val="24"/>
        </w:rPr>
        <w:t>“);</w:t>
      </w:r>
      <w:r w:rsidR="00112E12">
        <w:rPr>
          <w:rFonts w:ascii="CIDFont+F2" w:hAnsi="CIDFont+F2" w:cs="CIDFont+F2"/>
          <w:sz w:val="24"/>
          <w:szCs w:val="24"/>
        </w:rPr>
        <w:t xml:space="preserve"> </w:t>
      </w:r>
      <w:r w:rsidR="0084100F">
        <w:rPr>
          <w:rFonts w:ascii="CIDFont+F2" w:hAnsi="CIDFont+F2" w:cs="CIDFont+F2"/>
          <w:sz w:val="24"/>
          <w:szCs w:val="24"/>
        </w:rPr>
        <w:t>Správa služeb Ministerstva průmyslu a obchodu</w:t>
      </w:r>
      <w:r w:rsidR="00A117CD">
        <w:rPr>
          <w:rFonts w:ascii="CIDFont+F2" w:hAnsi="CIDFont+F2" w:cs="CIDFont+F2"/>
          <w:sz w:val="24"/>
          <w:szCs w:val="24"/>
        </w:rPr>
        <w:t>, Praha</w:t>
      </w:r>
      <w:r w:rsidR="0084100F">
        <w:rPr>
          <w:rFonts w:ascii="CIDFont+F2" w:hAnsi="CIDFont+F2" w:cs="CIDFont+F2"/>
          <w:sz w:val="24"/>
          <w:szCs w:val="24"/>
        </w:rPr>
        <w:t xml:space="preserve"> (</w:t>
      </w:r>
      <w:r w:rsidR="0084100F">
        <w:rPr>
          <w:rFonts w:cstheme="minorHAnsi"/>
          <w:sz w:val="24"/>
          <w:szCs w:val="24"/>
        </w:rPr>
        <w:t>d</w:t>
      </w:r>
      <w:r w:rsidR="0084100F" w:rsidRPr="00E9646E">
        <w:rPr>
          <w:rFonts w:cstheme="minorHAnsi"/>
          <w:sz w:val="24"/>
          <w:szCs w:val="24"/>
        </w:rPr>
        <w:t>ále také „</w:t>
      </w:r>
      <w:r w:rsidR="0084100F">
        <w:rPr>
          <w:rFonts w:cstheme="minorHAnsi"/>
          <w:sz w:val="24"/>
          <w:szCs w:val="24"/>
        </w:rPr>
        <w:t>SpS MPO</w:t>
      </w:r>
      <w:r w:rsidR="0084100F" w:rsidRPr="00E9646E">
        <w:rPr>
          <w:rFonts w:cstheme="minorHAnsi"/>
          <w:sz w:val="24"/>
          <w:szCs w:val="24"/>
        </w:rPr>
        <w:t>“)</w:t>
      </w:r>
      <w:r w:rsidR="0084100F">
        <w:rPr>
          <w:rFonts w:cstheme="minorHAnsi"/>
          <w:sz w:val="24"/>
          <w:szCs w:val="24"/>
        </w:rPr>
        <w:t xml:space="preserve"> a </w:t>
      </w:r>
      <w:r w:rsidR="0084100F" w:rsidRPr="0084100F">
        <w:rPr>
          <w:rFonts w:cstheme="minorHAnsi"/>
          <w:sz w:val="24"/>
          <w:szCs w:val="24"/>
        </w:rPr>
        <w:t>Česká agentura pro standardizaci</w:t>
      </w:r>
      <w:r w:rsidR="00A117CD">
        <w:rPr>
          <w:rFonts w:cstheme="minorHAnsi"/>
          <w:sz w:val="24"/>
          <w:szCs w:val="24"/>
        </w:rPr>
        <w:t>, Praha</w:t>
      </w:r>
      <w:r w:rsidR="0084100F">
        <w:rPr>
          <w:rFonts w:cstheme="minorHAnsi"/>
          <w:sz w:val="24"/>
          <w:szCs w:val="24"/>
        </w:rPr>
        <w:t xml:space="preserve"> </w:t>
      </w:r>
      <w:r w:rsidR="0084100F">
        <w:rPr>
          <w:rFonts w:ascii="CIDFont+F2" w:hAnsi="CIDFont+F2" w:cs="CIDFont+F2"/>
          <w:sz w:val="24"/>
          <w:szCs w:val="24"/>
        </w:rPr>
        <w:t>(</w:t>
      </w:r>
      <w:r w:rsidR="0084100F">
        <w:rPr>
          <w:rFonts w:cstheme="minorHAnsi"/>
          <w:sz w:val="24"/>
          <w:szCs w:val="24"/>
        </w:rPr>
        <w:t>d</w:t>
      </w:r>
      <w:r w:rsidR="0084100F" w:rsidRPr="00E9646E">
        <w:rPr>
          <w:rFonts w:cstheme="minorHAnsi"/>
          <w:sz w:val="24"/>
          <w:szCs w:val="24"/>
        </w:rPr>
        <w:t>ále také „</w:t>
      </w:r>
      <w:r w:rsidR="0084100F">
        <w:rPr>
          <w:rFonts w:cstheme="minorHAnsi"/>
          <w:sz w:val="24"/>
          <w:szCs w:val="24"/>
        </w:rPr>
        <w:t>ČAS</w:t>
      </w:r>
      <w:r w:rsidR="0084100F" w:rsidRPr="00E9646E">
        <w:rPr>
          <w:rFonts w:cstheme="minorHAnsi"/>
          <w:sz w:val="24"/>
          <w:szCs w:val="24"/>
        </w:rPr>
        <w:t>“)</w:t>
      </w:r>
      <w:r w:rsidR="00D20429" w:rsidRPr="00E9646E">
        <w:rPr>
          <w:rFonts w:cstheme="minorHAnsi"/>
          <w:sz w:val="24"/>
          <w:szCs w:val="24"/>
        </w:rPr>
        <w:t>.</w:t>
      </w:r>
    </w:p>
    <w:p w14:paraId="6D773CC9" w14:textId="77777777" w:rsidR="00D20429" w:rsidRPr="00E9646E" w:rsidRDefault="00D20429" w:rsidP="00D30816">
      <w:pPr>
        <w:spacing w:after="0" w:line="240" w:lineRule="auto"/>
        <w:jc w:val="both"/>
        <w:rPr>
          <w:rFonts w:cstheme="minorHAnsi"/>
          <w:sz w:val="24"/>
          <w:szCs w:val="24"/>
        </w:rPr>
      </w:pPr>
    </w:p>
    <w:p w14:paraId="6D773CCC" w14:textId="38C01203" w:rsidR="002E01C1" w:rsidRDefault="00781CDD" w:rsidP="00D30816">
      <w:pPr>
        <w:pStyle w:val="Text"/>
        <w:spacing w:before="0"/>
      </w:pPr>
      <w:r w:rsidRPr="003F3547">
        <w:t xml:space="preserve">Kontrolováno bylo období </w:t>
      </w:r>
      <w:r w:rsidR="00DE5EC6" w:rsidRPr="003F3547">
        <w:t xml:space="preserve">od roku </w:t>
      </w:r>
      <w:r w:rsidR="003F3547" w:rsidRPr="003F3547">
        <w:t>2019</w:t>
      </w:r>
      <w:r w:rsidR="00C36EE9" w:rsidRPr="003F3547">
        <w:t xml:space="preserve"> do roku 202</w:t>
      </w:r>
      <w:r w:rsidR="00435288" w:rsidRPr="003F3547">
        <w:t>1</w:t>
      </w:r>
      <w:r w:rsidR="00C36EE9" w:rsidRPr="003F3547">
        <w:t xml:space="preserve">. V případě věcných souvislostí i období </w:t>
      </w:r>
      <w:r w:rsidRPr="004E1125">
        <w:t>předcházející a následující.</w:t>
      </w:r>
    </w:p>
    <w:p w14:paraId="3B7FD176" w14:textId="77777777" w:rsidR="00D30816" w:rsidRPr="004E1125" w:rsidRDefault="00D30816" w:rsidP="00D30816">
      <w:pPr>
        <w:pStyle w:val="Text"/>
        <w:spacing w:before="0"/>
      </w:pPr>
    </w:p>
    <w:p w14:paraId="6D773CCD" w14:textId="77777777" w:rsidR="00D72ACC" w:rsidRPr="00292D74" w:rsidRDefault="00781CDD" w:rsidP="00D30816">
      <w:pPr>
        <w:spacing w:after="0" w:line="240" w:lineRule="auto"/>
        <w:jc w:val="both"/>
        <w:rPr>
          <w:rFonts w:cstheme="minorHAnsi"/>
          <w:sz w:val="24"/>
          <w:szCs w:val="24"/>
        </w:rPr>
      </w:pPr>
      <w:r w:rsidRPr="00292D74">
        <w:rPr>
          <w:rFonts w:cstheme="minorHAnsi"/>
          <w:sz w:val="24"/>
          <w:szCs w:val="24"/>
        </w:rPr>
        <w:t>Kontrola byla prováděna u kontrolovaných osob v době od února 2022 do prosince 2022.</w:t>
      </w:r>
    </w:p>
    <w:p w14:paraId="6D773CCE" w14:textId="77777777" w:rsidR="00C36EE9" w:rsidRPr="00292D74" w:rsidRDefault="00C36EE9" w:rsidP="00D30816">
      <w:pPr>
        <w:spacing w:after="0" w:line="240" w:lineRule="auto"/>
        <w:jc w:val="both"/>
        <w:rPr>
          <w:rFonts w:cstheme="minorHAnsi"/>
          <w:sz w:val="24"/>
          <w:szCs w:val="24"/>
        </w:rPr>
      </w:pPr>
    </w:p>
    <w:bookmarkEnd w:id="0"/>
    <w:p w14:paraId="6D773CCF" w14:textId="77777777" w:rsidR="00B47D21" w:rsidRPr="00292D74" w:rsidRDefault="00B47D21" w:rsidP="00B03E72">
      <w:pPr>
        <w:spacing w:after="0" w:line="280" w:lineRule="atLeast"/>
        <w:jc w:val="both"/>
        <w:rPr>
          <w:rFonts w:cstheme="minorHAnsi"/>
          <w:sz w:val="24"/>
          <w:szCs w:val="24"/>
        </w:rPr>
      </w:pPr>
    </w:p>
    <w:p w14:paraId="6D773CD0" w14:textId="77777777" w:rsidR="00B47D21" w:rsidRPr="00292D74" w:rsidRDefault="00B47D21" w:rsidP="00B03E72">
      <w:pPr>
        <w:spacing w:after="0" w:line="280" w:lineRule="atLeast"/>
        <w:jc w:val="both"/>
        <w:rPr>
          <w:rFonts w:cstheme="minorHAnsi"/>
          <w:sz w:val="24"/>
          <w:szCs w:val="24"/>
        </w:rPr>
      </w:pPr>
    </w:p>
    <w:p w14:paraId="6D773CD1" w14:textId="71125BC5" w:rsidR="00B47D21" w:rsidRPr="00E05571" w:rsidRDefault="00781CDD" w:rsidP="009C709B">
      <w:pPr>
        <w:spacing w:after="120" w:line="280" w:lineRule="atLeast"/>
        <w:jc w:val="both"/>
        <w:rPr>
          <w:rFonts w:cstheme="minorHAnsi"/>
          <w:sz w:val="24"/>
          <w:szCs w:val="24"/>
        </w:rPr>
      </w:pPr>
      <w:r w:rsidRPr="00663A22">
        <w:rPr>
          <w:rFonts w:cstheme="minorHAnsi"/>
          <w:b/>
          <w:bCs/>
          <w:i/>
          <w:iCs/>
          <w:spacing w:val="60"/>
          <w:sz w:val="24"/>
          <w:szCs w:val="24"/>
        </w:rPr>
        <w:t>Kolegium</w:t>
      </w:r>
      <w:r w:rsidRPr="00663A22">
        <w:rPr>
          <w:rFonts w:cstheme="minorHAnsi"/>
          <w:b/>
          <w:bCs/>
          <w:i/>
          <w:iCs/>
          <w:sz w:val="24"/>
          <w:szCs w:val="24"/>
        </w:rPr>
        <w:t xml:space="preserve">   </w:t>
      </w:r>
      <w:r w:rsidRPr="00663A22">
        <w:rPr>
          <w:rFonts w:cstheme="minorHAnsi"/>
          <w:b/>
          <w:bCs/>
          <w:i/>
          <w:iCs/>
          <w:spacing w:val="60"/>
          <w:sz w:val="24"/>
          <w:szCs w:val="24"/>
        </w:rPr>
        <w:t>NKÚ</w:t>
      </w:r>
      <w:r w:rsidRPr="00663A22">
        <w:rPr>
          <w:rFonts w:cstheme="minorHAnsi"/>
          <w:sz w:val="24"/>
          <w:szCs w:val="24"/>
        </w:rPr>
        <w:t xml:space="preserve">   </w:t>
      </w:r>
      <w:r w:rsidR="001F10B2" w:rsidRPr="00663A22">
        <w:rPr>
          <w:rFonts w:cstheme="minorHAnsi"/>
          <w:sz w:val="24"/>
          <w:szCs w:val="24"/>
        </w:rPr>
        <w:t xml:space="preserve">na svém </w:t>
      </w:r>
      <w:r w:rsidR="00E05571" w:rsidRPr="00E05571">
        <w:rPr>
          <w:rFonts w:cstheme="minorHAnsi"/>
          <w:sz w:val="24"/>
          <w:szCs w:val="24"/>
        </w:rPr>
        <w:t>XI.</w:t>
      </w:r>
      <w:r w:rsidR="001F10B2" w:rsidRPr="00E05571">
        <w:rPr>
          <w:rFonts w:cstheme="minorHAnsi"/>
          <w:sz w:val="24"/>
          <w:szCs w:val="24"/>
        </w:rPr>
        <w:t xml:space="preserve"> jednání, které se konalo dne </w:t>
      </w:r>
      <w:r w:rsidR="00E05571" w:rsidRPr="00E05571">
        <w:rPr>
          <w:rFonts w:cstheme="minorHAnsi"/>
          <w:sz w:val="24"/>
          <w:szCs w:val="24"/>
        </w:rPr>
        <w:t>31. července</w:t>
      </w:r>
      <w:r w:rsidR="001F10B2" w:rsidRPr="00E05571">
        <w:rPr>
          <w:rFonts w:cstheme="minorHAnsi"/>
          <w:sz w:val="24"/>
          <w:szCs w:val="24"/>
        </w:rPr>
        <w:t xml:space="preserve"> 202</w:t>
      </w:r>
      <w:r w:rsidR="00663A22" w:rsidRPr="00E05571">
        <w:rPr>
          <w:rFonts w:cstheme="minorHAnsi"/>
          <w:sz w:val="24"/>
          <w:szCs w:val="24"/>
        </w:rPr>
        <w:t>3</w:t>
      </w:r>
      <w:r w:rsidR="001F10B2" w:rsidRPr="00E05571">
        <w:rPr>
          <w:rFonts w:cstheme="minorHAnsi"/>
          <w:sz w:val="24"/>
          <w:szCs w:val="24"/>
        </w:rPr>
        <w:t>,</w:t>
      </w:r>
    </w:p>
    <w:p w14:paraId="6D773CD2" w14:textId="2DDD8175" w:rsidR="009C709B" w:rsidRPr="00663A22" w:rsidRDefault="00781CDD" w:rsidP="009C709B">
      <w:pPr>
        <w:pStyle w:val="NormlnKZ"/>
        <w:ind w:firstLine="0"/>
        <w:rPr>
          <w:rFonts w:asciiTheme="minorHAnsi" w:hAnsiTheme="minorHAnsi" w:cstheme="minorHAnsi"/>
        </w:rPr>
      </w:pPr>
      <w:r w:rsidRPr="00E05571">
        <w:rPr>
          <w:rFonts w:asciiTheme="minorHAnsi" w:hAnsiTheme="minorHAnsi" w:cstheme="minorHAnsi"/>
          <w:b/>
          <w:bCs/>
          <w:i/>
          <w:iCs/>
          <w:spacing w:val="60"/>
        </w:rPr>
        <w:t>s</w:t>
      </w:r>
      <w:r w:rsidR="005372C8" w:rsidRPr="00E05571">
        <w:rPr>
          <w:rFonts w:asciiTheme="minorHAnsi" w:hAnsiTheme="minorHAnsi" w:cstheme="minorHAnsi"/>
          <w:b/>
          <w:bCs/>
          <w:i/>
          <w:iCs/>
          <w:spacing w:val="60"/>
        </w:rPr>
        <w:t>chválilo</w:t>
      </w:r>
      <w:r w:rsidRPr="00E05571">
        <w:rPr>
          <w:rFonts w:asciiTheme="minorHAnsi" w:hAnsiTheme="minorHAnsi" w:cstheme="minorHAnsi"/>
          <w:bCs/>
          <w:iCs/>
        </w:rPr>
        <w:t xml:space="preserve"> </w:t>
      </w:r>
      <w:r w:rsidR="001444D1" w:rsidRPr="00E05571">
        <w:rPr>
          <w:rFonts w:asciiTheme="minorHAnsi" w:hAnsiTheme="minorHAnsi" w:cstheme="minorHAnsi"/>
        </w:rPr>
        <w:t xml:space="preserve">  </w:t>
      </w:r>
      <w:r w:rsidRPr="00E05571">
        <w:rPr>
          <w:rFonts w:asciiTheme="minorHAnsi" w:hAnsiTheme="minorHAnsi" w:cstheme="minorHAnsi"/>
        </w:rPr>
        <w:t xml:space="preserve">usnesením č. </w:t>
      </w:r>
      <w:r w:rsidR="007354CC">
        <w:rPr>
          <w:rFonts w:asciiTheme="minorHAnsi" w:hAnsiTheme="minorHAnsi" w:cstheme="minorHAnsi"/>
        </w:rPr>
        <w:t>6</w:t>
      </w:r>
      <w:r w:rsidRPr="00E05571">
        <w:rPr>
          <w:rFonts w:asciiTheme="minorHAnsi" w:hAnsiTheme="minorHAnsi" w:cstheme="minorHAnsi"/>
        </w:rPr>
        <w:t>/</w:t>
      </w:r>
      <w:r w:rsidR="00E05571" w:rsidRPr="00E05571">
        <w:rPr>
          <w:rFonts w:asciiTheme="minorHAnsi" w:hAnsiTheme="minorHAnsi" w:cstheme="minorHAnsi"/>
        </w:rPr>
        <w:t>XI</w:t>
      </w:r>
      <w:r w:rsidRPr="00E05571">
        <w:rPr>
          <w:rFonts w:asciiTheme="minorHAnsi" w:hAnsiTheme="minorHAnsi" w:cstheme="minorHAnsi"/>
        </w:rPr>
        <w:t>/202</w:t>
      </w:r>
      <w:r w:rsidR="00663A22" w:rsidRPr="00E05571">
        <w:rPr>
          <w:rFonts w:asciiTheme="minorHAnsi" w:hAnsiTheme="minorHAnsi" w:cstheme="minorHAnsi"/>
        </w:rPr>
        <w:t>3</w:t>
      </w:r>
    </w:p>
    <w:p w14:paraId="6D773CD4" w14:textId="2FA384A0" w:rsidR="00C36EE9" w:rsidRPr="002C76F1" w:rsidRDefault="00781CDD" w:rsidP="002C76F1">
      <w:pPr>
        <w:pStyle w:val="NormlnKZ"/>
        <w:ind w:firstLine="0"/>
        <w:rPr>
          <w:rStyle w:val="A4"/>
          <w:rFonts w:ascii="Calibri" w:hAnsi="Calibri" w:cs="Calibri"/>
          <w:color w:val="000000" w:themeColor="text1"/>
          <w:sz w:val="24"/>
          <w:szCs w:val="24"/>
        </w:rPr>
      </w:pPr>
      <w:r w:rsidRPr="00663A22">
        <w:rPr>
          <w:rFonts w:asciiTheme="minorHAnsi" w:hAnsiTheme="minorHAnsi" w:cstheme="minorHAnsi"/>
          <w:b/>
          <w:bCs/>
          <w:i/>
          <w:iCs/>
          <w:spacing w:val="60"/>
        </w:rPr>
        <w:t>kontrolní</w:t>
      </w:r>
      <w:r w:rsidRPr="00663A22">
        <w:rPr>
          <w:rFonts w:asciiTheme="minorHAnsi" w:hAnsiTheme="minorHAnsi" w:cstheme="minorHAnsi"/>
          <w:b/>
          <w:bCs/>
          <w:i/>
          <w:iCs/>
        </w:rPr>
        <w:t xml:space="preserve">   </w:t>
      </w:r>
      <w:r w:rsidRPr="00663A22">
        <w:rPr>
          <w:rFonts w:asciiTheme="minorHAnsi" w:hAnsiTheme="minorHAnsi" w:cstheme="minorHAnsi"/>
          <w:b/>
          <w:bCs/>
          <w:i/>
          <w:iCs/>
          <w:spacing w:val="60"/>
        </w:rPr>
        <w:t>závěr</w:t>
      </w:r>
      <w:r w:rsidRPr="00663A22">
        <w:rPr>
          <w:rFonts w:asciiTheme="minorHAnsi" w:hAnsiTheme="minorHAnsi" w:cstheme="minorHAnsi"/>
        </w:rPr>
        <w:t xml:space="preserve">   v tomto znění</w:t>
      </w:r>
      <w:r w:rsidR="009C709B" w:rsidRPr="00663A22">
        <w:rPr>
          <w:rFonts w:asciiTheme="minorHAnsi" w:hAnsiTheme="minorHAnsi" w:cstheme="minorHAnsi"/>
        </w:rPr>
        <w:t>:</w:t>
      </w:r>
      <w:r w:rsidRPr="002C76F1">
        <w:rPr>
          <w:rStyle w:val="A4"/>
          <w:rFonts w:ascii="Calibri" w:hAnsi="Calibri" w:cs="Calibri"/>
          <w:color w:val="000000" w:themeColor="text1"/>
          <w:sz w:val="24"/>
          <w:szCs w:val="24"/>
        </w:rPr>
        <w:br w:type="page"/>
      </w:r>
    </w:p>
    <w:p w14:paraId="6D773CD6" w14:textId="7AB33043" w:rsidR="00B832BB" w:rsidRPr="00D058CD" w:rsidRDefault="00D058CD" w:rsidP="00B832BB">
      <w:pPr>
        <w:spacing w:after="0" w:line="240" w:lineRule="auto"/>
        <w:jc w:val="center"/>
        <w:rPr>
          <w:rStyle w:val="A4"/>
          <w:rFonts w:cstheme="minorHAnsi"/>
          <w:color w:val="0070C0"/>
          <w:sz w:val="32"/>
          <w:szCs w:val="32"/>
        </w:rPr>
      </w:pPr>
      <w:r w:rsidRPr="00D058CD">
        <w:rPr>
          <w:rStyle w:val="A4"/>
          <w:rFonts w:ascii="Calibri" w:hAnsi="Calibri" w:cs="Calibri"/>
          <w:b/>
          <w:color w:val="2E74B5" w:themeColor="accent1" w:themeShade="BF"/>
          <w:sz w:val="32"/>
          <w:szCs w:val="36"/>
        </w:rPr>
        <w:lastRenderedPageBreak/>
        <w:t xml:space="preserve">Peněžní </w:t>
      </w:r>
      <w:r>
        <w:rPr>
          <w:rStyle w:val="A4"/>
          <w:rFonts w:ascii="Calibri" w:hAnsi="Calibri" w:cs="Calibri"/>
          <w:b/>
          <w:color w:val="2E74B5" w:themeColor="accent1" w:themeShade="BF"/>
          <w:sz w:val="32"/>
          <w:szCs w:val="36"/>
        </w:rPr>
        <w:t xml:space="preserve">prostředky státního rozpočtu </w:t>
      </w:r>
      <w:r>
        <w:rPr>
          <w:rStyle w:val="A4"/>
          <w:rFonts w:ascii="Calibri" w:hAnsi="Calibri" w:cs="Calibri"/>
          <w:b/>
          <w:color w:val="2E74B5" w:themeColor="accent1" w:themeShade="BF"/>
          <w:sz w:val="32"/>
          <w:szCs w:val="36"/>
        </w:rPr>
        <w:br/>
      </w:r>
      <w:r w:rsidRPr="00D058CD">
        <w:rPr>
          <w:rStyle w:val="A4"/>
          <w:rFonts w:ascii="Calibri" w:hAnsi="Calibri" w:cs="Calibri"/>
          <w:b/>
          <w:color w:val="2E74B5" w:themeColor="accent1" w:themeShade="BF"/>
          <w:sz w:val="32"/>
          <w:szCs w:val="36"/>
        </w:rPr>
        <w:t>posky</w:t>
      </w:r>
      <w:r>
        <w:rPr>
          <w:rStyle w:val="A4"/>
          <w:rFonts w:ascii="Calibri" w:hAnsi="Calibri" w:cs="Calibri"/>
          <w:b/>
          <w:color w:val="2E74B5" w:themeColor="accent1" w:themeShade="BF"/>
          <w:sz w:val="32"/>
          <w:szCs w:val="36"/>
        </w:rPr>
        <w:t>tované státním příspěvkovým organizacím</w:t>
      </w:r>
    </w:p>
    <w:p w14:paraId="0E223732" w14:textId="08B0E884" w:rsidR="009A53D1" w:rsidRDefault="009A53D1" w:rsidP="00B832BB">
      <w:pPr>
        <w:spacing w:after="0" w:line="240" w:lineRule="auto"/>
        <w:jc w:val="center"/>
        <w:rPr>
          <w:rStyle w:val="A4"/>
          <w:rFonts w:cstheme="minorHAnsi"/>
          <w:color w:val="0070C0"/>
          <w:sz w:val="32"/>
          <w:szCs w:val="32"/>
        </w:rPr>
      </w:pPr>
    </w:p>
    <w:p w14:paraId="05D4CE5F" w14:textId="77777777" w:rsidR="003C3E9F" w:rsidRDefault="003C3E9F" w:rsidP="00B832BB">
      <w:pPr>
        <w:spacing w:after="0" w:line="240" w:lineRule="auto"/>
        <w:jc w:val="center"/>
        <w:rPr>
          <w:rStyle w:val="A4"/>
          <w:rFonts w:cstheme="minorHAnsi"/>
          <w:color w:val="0070C0"/>
          <w:sz w:val="32"/>
          <w:szCs w:val="32"/>
        </w:rPr>
      </w:pPr>
    </w:p>
    <w:tbl>
      <w:tblPr>
        <w:tblStyle w:val="Mkatabulky"/>
        <w:tblW w:w="8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4330"/>
        <w:gridCol w:w="4330"/>
      </w:tblGrid>
      <w:tr w:rsidR="009130B7" w:rsidRPr="00055D3A" w14:paraId="07C2C27B" w14:textId="77777777" w:rsidTr="009130B7">
        <w:trPr>
          <w:trHeight w:val="1384"/>
          <w:jc w:val="center"/>
        </w:trPr>
        <w:tc>
          <w:tcPr>
            <w:tcW w:w="4330" w:type="dxa"/>
          </w:tcPr>
          <w:p w14:paraId="42696B49" w14:textId="714192BB" w:rsidR="009130B7" w:rsidRDefault="002909B9" w:rsidP="009130B7">
            <w:pPr>
              <w:jc w:val="center"/>
              <w:rPr>
                <w:rStyle w:val="A5"/>
              </w:rPr>
            </w:pPr>
            <w:r>
              <w:rPr>
                <w:rStyle w:val="A5"/>
              </w:rPr>
              <w:t>8 548,2</w:t>
            </w:r>
            <w:r w:rsidR="009130B7">
              <w:rPr>
                <w:rStyle w:val="A5"/>
              </w:rPr>
              <w:t xml:space="preserve"> mil. Kč</w:t>
            </w:r>
          </w:p>
          <w:p w14:paraId="4759CD49" w14:textId="14D2B314" w:rsidR="009130B7" w:rsidRPr="009130B7" w:rsidRDefault="009130B7" w:rsidP="009130B7">
            <w:pPr>
              <w:jc w:val="center"/>
              <w:rPr>
                <w:sz w:val="20"/>
                <w:szCs w:val="20"/>
              </w:rPr>
            </w:pPr>
            <w:r w:rsidRPr="00154E9C">
              <w:rPr>
                <w:sz w:val="24"/>
                <w:szCs w:val="20"/>
              </w:rPr>
              <w:t>příspěvek na provoz poskytnutý</w:t>
            </w:r>
            <w:r w:rsidR="00803B4B" w:rsidRPr="00154E9C">
              <w:rPr>
                <w:sz w:val="24"/>
                <w:szCs w:val="20"/>
              </w:rPr>
              <w:t xml:space="preserve"> </w:t>
            </w:r>
            <w:r w:rsidR="00BF29FB" w:rsidRPr="00154E9C">
              <w:rPr>
                <w:sz w:val="24"/>
                <w:szCs w:val="20"/>
              </w:rPr>
              <w:t xml:space="preserve">příspěvkovým organizacím </w:t>
            </w:r>
            <w:r w:rsidR="00154E9C">
              <w:rPr>
                <w:sz w:val="24"/>
                <w:szCs w:val="20"/>
              </w:rPr>
              <w:br/>
            </w:r>
            <w:r w:rsidR="002909B9" w:rsidRPr="00154E9C">
              <w:rPr>
                <w:sz w:val="24"/>
                <w:szCs w:val="20"/>
              </w:rPr>
              <w:t xml:space="preserve">čtyřmi </w:t>
            </w:r>
            <w:r w:rsidRPr="00154E9C">
              <w:rPr>
                <w:sz w:val="24"/>
                <w:szCs w:val="20"/>
              </w:rPr>
              <w:t xml:space="preserve">kontrolovanými zřizovateli </w:t>
            </w:r>
            <w:r w:rsidR="00154E9C">
              <w:rPr>
                <w:sz w:val="24"/>
                <w:szCs w:val="20"/>
              </w:rPr>
              <w:br/>
            </w:r>
            <w:r w:rsidRPr="00154E9C">
              <w:rPr>
                <w:sz w:val="24"/>
                <w:szCs w:val="20"/>
              </w:rPr>
              <w:t>v letech 2019</w:t>
            </w:r>
            <w:r w:rsidR="00882980">
              <w:rPr>
                <w:sz w:val="24"/>
                <w:szCs w:val="20"/>
              </w:rPr>
              <w:t>–</w:t>
            </w:r>
            <w:r w:rsidRPr="00154E9C">
              <w:rPr>
                <w:sz w:val="24"/>
                <w:szCs w:val="20"/>
              </w:rPr>
              <w:t>2021</w:t>
            </w:r>
          </w:p>
        </w:tc>
        <w:tc>
          <w:tcPr>
            <w:tcW w:w="4330" w:type="dxa"/>
          </w:tcPr>
          <w:p w14:paraId="5B254142" w14:textId="70C293E4" w:rsidR="009130B7" w:rsidRDefault="002909B9" w:rsidP="009130B7">
            <w:pPr>
              <w:jc w:val="center"/>
              <w:rPr>
                <w:rStyle w:val="A5"/>
              </w:rPr>
            </w:pPr>
            <w:r>
              <w:rPr>
                <w:rStyle w:val="A5"/>
              </w:rPr>
              <w:t>25</w:t>
            </w:r>
          </w:p>
          <w:p w14:paraId="3302A6B8" w14:textId="722CB073" w:rsidR="009130B7" w:rsidRPr="002909B9" w:rsidRDefault="009130B7" w:rsidP="002909B9">
            <w:pPr>
              <w:jc w:val="center"/>
              <w:rPr>
                <w:rStyle w:val="A1"/>
                <w:color w:val="auto"/>
                <w:sz w:val="20"/>
                <w:szCs w:val="20"/>
              </w:rPr>
            </w:pPr>
            <w:r w:rsidRPr="00154E9C">
              <w:rPr>
                <w:sz w:val="24"/>
                <w:szCs w:val="20"/>
              </w:rPr>
              <w:t xml:space="preserve">příspěvkových organizací, </w:t>
            </w:r>
            <w:r w:rsidR="00154E9C">
              <w:rPr>
                <w:sz w:val="24"/>
                <w:szCs w:val="20"/>
              </w:rPr>
              <w:br/>
            </w:r>
            <w:r w:rsidRPr="00154E9C">
              <w:rPr>
                <w:sz w:val="24"/>
                <w:szCs w:val="20"/>
              </w:rPr>
              <w:t xml:space="preserve">které hospodařily s příspěvkem na provoz </w:t>
            </w:r>
            <w:r w:rsidR="00EE364F" w:rsidRPr="00154E9C">
              <w:rPr>
                <w:sz w:val="24"/>
                <w:szCs w:val="20"/>
              </w:rPr>
              <w:t xml:space="preserve">od kontrolovaných zřizovatelů </w:t>
            </w:r>
            <w:r w:rsidR="00154E9C">
              <w:rPr>
                <w:sz w:val="24"/>
                <w:szCs w:val="20"/>
              </w:rPr>
              <w:br/>
            </w:r>
            <w:r w:rsidRPr="00154E9C">
              <w:rPr>
                <w:sz w:val="24"/>
                <w:szCs w:val="20"/>
              </w:rPr>
              <w:t>v letech 2019</w:t>
            </w:r>
            <w:r w:rsidR="00882980">
              <w:rPr>
                <w:sz w:val="24"/>
                <w:szCs w:val="20"/>
              </w:rPr>
              <w:t>–</w:t>
            </w:r>
            <w:r w:rsidRPr="00154E9C">
              <w:rPr>
                <w:sz w:val="24"/>
                <w:szCs w:val="20"/>
              </w:rPr>
              <w:t>2021</w:t>
            </w:r>
          </w:p>
        </w:tc>
      </w:tr>
    </w:tbl>
    <w:tbl>
      <w:tblPr>
        <w:tblStyle w:val="Mkatabulky3"/>
        <w:tblW w:w="9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9001"/>
      </w:tblGrid>
      <w:tr w:rsidR="003C3E9F" w14:paraId="2CF97141" w14:textId="04CA3A1B" w:rsidTr="003C3E9F">
        <w:trPr>
          <w:trHeight w:val="715"/>
        </w:trPr>
        <w:tc>
          <w:tcPr>
            <w:tcW w:w="9001" w:type="dxa"/>
          </w:tcPr>
          <w:tbl>
            <w:tblPr>
              <w:tblStyle w:val="Mkatabulky"/>
              <w:tblW w:w="8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4330"/>
              <w:gridCol w:w="4330"/>
            </w:tblGrid>
            <w:tr w:rsidR="003C3E9F" w:rsidRPr="00055D3A" w14:paraId="345C021A" w14:textId="77777777" w:rsidTr="00EE364F">
              <w:trPr>
                <w:trHeight w:val="1384"/>
                <w:jc w:val="center"/>
              </w:trPr>
              <w:tc>
                <w:tcPr>
                  <w:tcW w:w="4330" w:type="dxa"/>
                </w:tcPr>
                <w:p w14:paraId="2C707E66" w14:textId="1A5F7E4F" w:rsidR="003C3E9F" w:rsidRDefault="003C3E9F" w:rsidP="002909B9">
                  <w:pPr>
                    <w:jc w:val="center"/>
                    <w:rPr>
                      <w:rStyle w:val="A5"/>
                    </w:rPr>
                  </w:pPr>
                  <w:r>
                    <w:rPr>
                      <w:rStyle w:val="A5"/>
                    </w:rPr>
                    <w:t>791,8 mil. Kč</w:t>
                  </w:r>
                </w:p>
                <w:p w14:paraId="72ADD20A" w14:textId="377A0FBC" w:rsidR="003C3E9F" w:rsidRPr="009130B7" w:rsidRDefault="003C3E9F" w:rsidP="002909B9">
                  <w:pPr>
                    <w:jc w:val="center"/>
                    <w:rPr>
                      <w:sz w:val="20"/>
                      <w:szCs w:val="20"/>
                    </w:rPr>
                  </w:pPr>
                  <w:r w:rsidRPr="00154E9C">
                    <w:rPr>
                      <w:sz w:val="24"/>
                      <w:szCs w:val="20"/>
                    </w:rPr>
                    <w:t xml:space="preserve">příspěvek na provoz poskytnutý </w:t>
                  </w:r>
                  <w:r w:rsidR="00154E9C">
                    <w:rPr>
                      <w:sz w:val="24"/>
                      <w:szCs w:val="20"/>
                    </w:rPr>
                    <w:br/>
                  </w:r>
                  <w:r w:rsidRPr="00154E9C">
                    <w:rPr>
                      <w:sz w:val="24"/>
                      <w:szCs w:val="20"/>
                    </w:rPr>
                    <w:t xml:space="preserve">čtyřem kontrolovaným příspěvkovým organizacím </w:t>
                  </w:r>
                  <w:r w:rsidR="00BF29FB" w:rsidRPr="00154E9C">
                    <w:rPr>
                      <w:sz w:val="24"/>
                      <w:szCs w:val="20"/>
                    </w:rPr>
                    <w:t xml:space="preserve">zřizovateli </w:t>
                  </w:r>
                  <w:r w:rsidR="00154E9C">
                    <w:rPr>
                      <w:sz w:val="24"/>
                      <w:szCs w:val="20"/>
                    </w:rPr>
                    <w:br/>
                  </w:r>
                  <w:r w:rsidRPr="00154E9C">
                    <w:rPr>
                      <w:sz w:val="24"/>
                      <w:szCs w:val="20"/>
                    </w:rPr>
                    <w:t>v letech 2019</w:t>
                  </w:r>
                  <w:r w:rsidR="00882980">
                    <w:rPr>
                      <w:sz w:val="24"/>
                      <w:szCs w:val="20"/>
                    </w:rPr>
                    <w:t>–</w:t>
                  </w:r>
                  <w:r w:rsidRPr="00154E9C">
                    <w:rPr>
                      <w:sz w:val="24"/>
                      <w:szCs w:val="20"/>
                    </w:rPr>
                    <w:t>2021</w:t>
                  </w:r>
                </w:p>
              </w:tc>
              <w:tc>
                <w:tcPr>
                  <w:tcW w:w="4330" w:type="dxa"/>
                </w:tcPr>
                <w:p w14:paraId="115FB250" w14:textId="03793EA5" w:rsidR="003C3E9F" w:rsidRPr="00BF29FB" w:rsidRDefault="003C3E9F" w:rsidP="002909B9">
                  <w:pPr>
                    <w:jc w:val="center"/>
                    <w:rPr>
                      <w:rStyle w:val="A5"/>
                      <w:color w:val="auto"/>
                    </w:rPr>
                  </w:pPr>
                  <w:r w:rsidRPr="00BF29FB">
                    <w:rPr>
                      <w:rStyle w:val="A5"/>
                      <w:color w:val="auto"/>
                    </w:rPr>
                    <w:t>277,5 mil. Kč</w:t>
                  </w:r>
                </w:p>
                <w:p w14:paraId="1F485119" w14:textId="60BA5EC2" w:rsidR="003C3E9F" w:rsidRPr="00EE364F" w:rsidRDefault="003C3E9F" w:rsidP="002909B9">
                  <w:pPr>
                    <w:jc w:val="center"/>
                    <w:rPr>
                      <w:rStyle w:val="A1"/>
                      <w:color w:val="auto"/>
                      <w:sz w:val="20"/>
                      <w:szCs w:val="20"/>
                    </w:rPr>
                  </w:pPr>
                  <w:r w:rsidRPr="00154E9C">
                    <w:rPr>
                      <w:rFonts w:cstheme="minorHAnsi"/>
                      <w:bCs/>
                      <w:sz w:val="24"/>
                      <w:szCs w:val="20"/>
                    </w:rPr>
                    <w:t xml:space="preserve">navýšení </w:t>
                  </w:r>
                  <w:r w:rsidR="00BF29FB" w:rsidRPr="00154E9C">
                    <w:rPr>
                      <w:rFonts w:cstheme="minorHAnsi"/>
                      <w:bCs/>
                      <w:sz w:val="24"/>
                      <w:szCs w:val="20"/>
                    </w:rPr>
                    <w:t xml:space="preserve">původně </w:t>
                  </w:r>
                  <w:r w:rsidRPr="00154E9C">
                    <w:rPr>
                      <w:rFonts w:cstheme="minorHAnsi"/>
                      <w:bCs/>
                      <w:sz w:val="24"/>
                      <w:szCs w:val="20"/>
                    </w:rPr>
                    <w:t>schváleného příspěvku</w:t>
                  </w:r>
                  <w:r w:rsidRPr="00154E9C">
                    <w:rPr>
                      <w:sz w:val="24"/>
                      <w:szCs w:val="20"/>
                    </w:rPr>
                    <w:t xml:space="preserve"> na</w:t>
                  </w:r>
                  <w:r w:rsidR="00154E9C">
                    <w:rPr>
                      <w:sz w:val="24"/>
                      <w:szCs w:val="20"/>
                    </w:rPr>
                    <w:t xml:space="preserve"> </w:t>
                  </w:r>
                  <w:r w:rsidRPr="00154E9C">
                    <w:rPr>
                      <w:rFonts w:cstheme="minorHAnsi"/>
                      <w:bCs/>
                      <w:sz w:val="24"/>
                      <w:szCs w:val="20"/>
                    </w:rPr>
                    <w:t>provoz u</w:t>
                  </w:r>
                  <w:r w:rsidRPr="00154E9C">
                    <w:rPr>
                      <w:sz w:val="24"/>
                      <w:szCs w:val="20"/>
                    </w:rPr>
                    <w:t xml:space="preserve"> kontrolovaných příspěvkových organizací </w:t>
                  </w:r>
                  <w:r w:rsidR="00154E9C">
                    <w:rPr>
                      <w:sz w:val="24"/>
                      <w:szCs w:val="20"/>
                    </w:rPr>
                    <w:br/>
                  </w:r>
                  <w:r w:rsidRPr="00154E9C">
                    <w:rPr>
                      <w:sz w:val="24"/>
                      <w:szCs w:val="20"/>
                    </w:rPr>
                    <w:t>v letech 2019</w:t>
                  </w:r>
                  <w:r w:rsidR="00882980">
                    <w:rPr>
                      <w:sz w:val="24"/>
                      <w:szCs w:val="20"/>
                    </w:rPr>
                    <w:t>–</w:t>
                  </w:r>
                  <w:r w:rsidRPr="00154E9C">
                    <w:rPr>
                      <w:sz w:val="24"/>
                      <w:szCs w:val="20"/>
                    </w:rPr>
                    <w:t>2021</w:t>
                  </w:r>
                </w:p>
              </w:tc>
            </w:tr>
          </w:tbl>
          <w:p w14:paraId="35698AAA" w14:textId="1AE5CB3A" w:rsidR="003C3E9F" w:rsidRDefault="003C3E9F" w:rsidP="00792BC5">
            <w:pPr>
              <w:ind w:left="-142"/>
              <w:jc w:val="center"/>
              <w:rPr>
                <w:rStyle w:val="A5"/>
              </w:rPr>
            </w:pPr>
          </w:p>
        </w:tc>
      </w:tr>
      <w:tr w:rsidR="003C3E9F" w14:paraId="6698D5CD" w14:textId="77777777" w:rsidTr="003C3E9F">
        <w:trPr>
          <w:trHeight w:val="715"/>
        </w:trPr>
        <w:tc>
          <w:tcPr>
            <w:tcW w:w="9001" w:type="dxa"/>
          </w:tcPr>
          <w:p w14:paraId="522E672B" w14:textId="77777777" w:rsidR="003C3E9F" w:rsidRDefault="003C3E9F" w:rsidP="003C3E9F">
            <w:pPr>
              <w:rPr>
                <w:rStyle w:val="A5"/>
              </w:rPr>
            </w:pPr>
          </w:p>
        </w:tc>
      </w:tr>
    </w:tbl>
    <w:p w14:paraId="5FE79695" w14:textId="6A9FFACE" w:rsidR="00CF1FC9" w:rsidRPr="00D760FC" w:rsidRDefault="00CF1FC9" w:rsidP="00CF1FC9">
      <w:pPr>
        <w:jc w:val="center"/>
        <w:rPr>
          <w:b/>
          <w:sz w:val="24"/>
          <w:szCs w:val="24"/>
        </w:rPr>
      </w:pPr>
      <w:r>
        <w:rPr>
          <w:b/>
          <w:bCs/>
          <w:sz w:val="24"/>
          <w:szCs w:val="24"/>
        </w:rPr>
        <w:t xml:space="preserve">Porovnání </w:t>
      </w:r>
      <w:r w:rsidR="00BF29FB">
        <w:rPr>
          <w:b/>
          <w:bCs/>
          <w:sz w:val="24"/>
          <w:szCs w:val="24"/>
        </w:rPr>
        <w:t xml:space="preserve">původně </w:t>
      </w:r>
      <w:r>
        <w:rPr>
          <w:b/>
          <w:bCs/>
          <w:sz w:val="24"/>
          <w:szCs w:val="24"/>
        </w:rPr>
        <w:t>schváleného a skutečně čerpaného</w:t>
      </w:r>
      <w:r w:rsidRPr="009B528C">
        <w:rPr>
          <w:b/>
          <w:bCs/>
          <w:sz w:val="24"/>
          <w:szCs w:val="24"/>
        </w:rPr>
        <w:t xml:space="preserve"> příspěvku na provoz </w:t>
      </w:r>
      <w:r w:rsidR="0065159D">
        <w:rPr>
          <w:b/>
          <w:bCs/>
          <w:sz w:val="24"/>
          <w:szCs w:val="24"/>
        </w:rPr>
        <w:br/>
      </w:r>
      <w:r w:rsidRPr="00D760FC">
        <w:rPr>
          <w:b/>
          <w:bCs/>
          <w:sz w:val="24"/>
          <w:szCs w:val="24"/>
        </w:rPr>
        <w:t>čtyř</w:t>
      </w:r>
      <w:r w:rsidR="00D058CD">
        <w:rPr>
          <w:b/>
          <w:bCs/>
          <w:sz w:val="24"/>
          <w:szCs w:val="24"/>
        </w:rPr>
        <w:t xml:space="preserve"> </w:t>
      </w:r>
      <w:r w:rsidRPr="00D760FC">
        <w:rPr>
          <w:b/>
          <w:bCs/>
          <w:sz w:val="24"/>
          <w:szCs w:val="24"/>
        </w:rPr>
        <w:t>kontrolovaných státních příspěvkových organizací</w:t>
      </w:r>
      <w:r w:rsidRPr="009B528C">
        <w:rPr>
          <w:b/>
          <w:bCs/>
          <w:sz w:val="24"/>
          <w:szCs w:val="24"/>
        </w:rPr>
        <w:t xml:space="preserve"> v letech 2019</w:t>
      </w:r>
      <w:r w:rsidR="00500A84">
        <w:rPr>
          <w:b/>
          <w:bCs/>
          <w:sz w:val="24"/>
          <w:szCs w:val="24"/>
        </w:rPr>
        <w:t>–</w:t>
      </w:r>
      <w:r w:rsidRPr="009B528C">
        <w:rPr>
          <w:b/>
          <w:bCs/>
          <w:sz w:val="24"/>
          <w:szCs w:val="24"/>
        </w:rPr>
        <w:t>2021 v mil. Kč</w:t>
      </w:r>
    </w:p>
    <w:p w14:paraId="5288AE24" w14:textId="030B9A84" w:rsidR="00CF1FC9" w:rsidRPr="006336F7" w:rsidRDefault="0092017B" w:rsidP="00CF1FC9">
      <w:pPr>
        <w:jc w:val="center"/>
        <w:rPr>
          <w:sz w:val="24"/>
          <w:szCs w:val="24"/>
        </w:rPr>
      </w:pPr>
      <w:r>
        <w:rPr>
          <w:noProof/>
        </w:rPr>
        <mc:AlternateContent>
          <mc:Choice Requires="wps">
            <w:drawing>
              <wp:anchor distT="45720" distB="45720" distL="114300" distR="114300" simplePos="0" relativeHeight="251660288" behindDoc="0" locked="0" layoutInCell="1" allowOverlap="1" wp14:anchorId="486BF462" wp14:editId="6018DDAB">
                <wp:simplePos x="0" y="0"/>
                <wp:positionH relativeFrom="column">
                  <wp:posOffset>2944495</wp:posOffset>
                </wp:positionH>
                <wp:positionV relativeFrom="paragraph">
                  <wp:posOffset>3440430</wp:posOffset>
                </wp:positionV>
                <wp:extent cx="1906270" cy="27559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75590"/>
                        </a:xfrm>
                        <a:prstGeom prst="rect">
                          <a:avLst/>
                        </a:prstGeom>
                        <a:solidFill>
                          <a:srgbClr val="FFFFFF"/>
                        </a:solidFill>
                        <a:ln w="9525">
                          <a:noFill/>
                          <a:miter lim="800000"/>
                          <a:headEnd/>
                          <a:tailEnd/>
                        </a:ln>
                      </wps:spPr>
                      <wps:txbx>
                        <w:txbxContent>
                          <w:p w14:paraId="3C5A43C5" w14:textId="77777777" w:rsidR="004B1431" w:rsidRPr="004B1431" w:rsidRDefault="004B1431" w:rsidP="004B1431">
                            <w:pPr>
                              <w:rPr>
                                <w:color w:val="595959" w:themeColor="text1" w:themeTint="A6"/>
                                <w:sz w:val="18"/>
                              </w:rPr>
                            </w:pPr>
                            <w:r w:rsidRPr="004B1431">
                              <w:rPr>
                                <w:color w:val="595959" w:themeColor="text1" w:themeTint="A6"/>
                                <w:sz w:val="18"/>
                              </w:rPr>
                              <w:t>Skutečně čerpáno (po jeho navýšení)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F462" id="_x0000_t202" coordsize="21600,21600" o:spt="202" path="m,l,21600r21600,l21600,xe">
                <v:stroke joinstyle="miter"/>
                <v:path gradientshapeok="t" o:connecttype="rect"/>
              </v:shapetype>
              <v:shape id="Textové pole 2" o:spid="_x0000_s1026" type="#_x0000_t202" style="position:absolute;left:0;text-align:left;margin-left:231.85pt;margin-top:270.9pt;width:150.1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" stroked="f">
                <v:textbox>
                  <w:txbxContent>
                    <w:p w14:paraId="3C5A43C5" w14:textId="77777777" w:rsidR="004B1431" w:rsidRPr="004B1431" w:rsidRDefault="004B1431" w:rsidP="004B1431">
                      <w:pPr>
                        <w:rPr>
                          <w:color w:val="595959" w:themeColor="text1" w:themeTint="A6"/>
                          <w:sz w:val="18"/>
                        </w:rPr>
                      </w:pPr>
                      <w:r w:rsidRPr="004B1431">
                        <w:rPr>
                          <w:color w:val="595959" w:themeColor="text1" w:themeTint="A6"/>
                          <w:sz w:val="18"/>
                        </w:rPr>
                        <w:t>Skutečně čerpáno (po jeho navýšení)</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7A426E9F" wp14:editId="6F33713F">
                <wp:simplePos x="0" y="0"/>
                <wp:positionH relativeFrom="column">
                  <wp:posOffset>1239520</wp:posOffset>
                </wp:positionH>
                <wp:positionV relativeFrom="paragraph">
                  <wp:posOffset>3439795</wp:posOffset>
                </wp:positionV>
                <wp:extent cx="1569720" cy="27559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75590"/>
                        </a:xfrm>
                        <a:prstGeom prst="rect">
                          <a:avLst/>
                        </a:prstGeom>
                        <a:solidFill>
                          <a:srgbClr val="FFFFFF"/>
                        </a:solidFill>
                        <a:ln w="9525">
                          <a:noFill/>
                          <a:miter lim="800000"/>
                          <a:headEnd/>
                          <a:tailEnd/>
                        </a:ln>
                      </wps:spPr>
                      <wps:txbx>
                        <w:txbxContent>
                          <w:p w14:paraId="56D0B5F8" w14:textId="47CF13BA" w:rsidR="004B1431" w:rsidRPr="004B1431" w:rsidRDefault="004B1431" w:rsidP="004B1431">
                            <w:pPr>
                              <w:rPr>
                                <w:color w:val="595959" w:themeColor="text1" w:themeTint="A6"/>
                                <w:sz w:val="18"/>
                              </w:rPr>
                            </w:pPr>
                            <w:r>
                              <w:rPr>
                                <w:color w:val="595959" w:themeColor="text1" w:themeTint="A6"/>
                                <w:sz w:val="18"/>
                              </w:rPr>
                              <w:t>Původně schválený příspěvek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26E9F" id="_x0000_s1027" type="#_x0000_t202" style="position:absolute;left:0;text-align:left;margin-left:97.6pt;margin-top:270.85pt;width:123.6pt;height:2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" stroked="f">
                <v:textbox>
                  <w:txbxContent>
                    <w:p w14:paraId="56D0B5F8" w14:textId="47CF13BA" w:rsidR="004B1431" w:rsidRPr="004B1431" w:rsidRDefault="004B1431" w:rsidP="004B1431">
                      <w:pPr>
                        <w:rPr>
                          <w:color w:val="595959" w:themeColor="text1" w:themeTint="A6"/>
                          <w:sz w:val="18"/>
                        </w:rPr>
                      </w:pPr>
                      <w:r>
                        <w:rPr>
                          <w:color w:val="595959" w:themeColor="text1" w:themeTint="A6"/>
                          <w:sz w:val="18"/>
                        </w:rPr>
                        <w:t>Původně schválený příspěvek</w:t>
                      </w:r>
                    </w:p>
                  </w:txbxContent>
                </v:textbox>
              </v:shape>
            </w:pict>
          </mc:Fallback>
        </mc:AlternateContent>
      </w:r>
      <w:r w:rsidR="000211E1">
        <w:rPr>
          <w:noProof/>
        </w:rPr>
        <w:drawing>
          <wp:inline distT="0" distB="0" distL="0" distR="0" wp14:anchorId="28D469D8" wp14:editId="4F42EB21">
            <wp:extent cx="5760720" cy="3749675"/>
            <wp:effectExtent l="0" t="0" r="0" b="3175"/>
            <wp:docPr id="3" name="Graf 3">
              <a:extLst xmlns:a="http://schemas.openxmlformats.org/drawingml/2006/main">
                <a:ext uri="{FF2B5EF4-FFF2-40B4-BE49-F238E27FC236}">
                  <a16:creationId xmlns:a16="http://schemas.microsoft.com/office/drawing/2014/main" id="{EA6004CA-9047-4BA0-9196-2A65B18A5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 w:name="_GoBack"/>
      <w:bookmarkEnd w:id="1"/>
    </w:p>
    <w:p w14:paraId="6D773CF2" w14:textId="6A760D25" w:rsidR="000610CF" w:rsidRDefault="00CF1FC9" w:rsidP="008A36DA">
      <w:pPr>
        <w:spacing w:after="0" w:line="240" w:lineRule="auto"/>
        <w:ind w:hanging="1"/>
        <w:jc w:val="center"/>
        <w:rPr>
          <w:rFonts w:ascii="Calibri" w:hAnsi="Calibri" w:cs="Calibri"/>
          <w:sz w:val="20"/>
          <w:szCs w:val="18"/>
        </w:rPr>
      </w:pPr>
      <w:r w:rsidRPr="0065159D">
        <w:rPr>
          <w:rFonts w:ascii="Calibri" w:hAnsi="Calibri" w:cs="Calibri"/>
          <w:b/>
          <w:sz w:val="20"/>
          <w:szCs w:val="18"/>
        </w:rPr>
        <w:t>Zdroj:</w:t>
      </w:r>
      <w:r w:rsidRPr="0065159D">
        <w:rPr>
          <w:rFonts w:ascii="Calibri" w:hAnsi="Calibri" w:cs="Calibri"/>
          <w:sz w:val="20"/>
          <w:szCs w:val="18"/>
        </w:rPr>
        <w:t xml:space="preserve"> SPO CENIA, </w:t>
      </w:r>
      <w:proofErr w:type="spellStart"/>
      <w:r w:rsidRPr="0065159D">
        <w:rPr>
          <w:rFonts w:ascii="Calibri" w:hAnsi="Calibri" w:cs="Calibri"/>
          <w:sz w:val="20"/>
          <w:szCs w:val="18"/>
        </w:rPr>
        <w:t>SpS</w:t>
      </w:r>
      <w:proofErr w:type="spellEnd"/>
      <w:r w:rsidRPr="0065159D">
        <w:rPr>
          <w:rFonts w:ascii="Calibri" w:hAnsi="Calibri" w:cs="Calibri"/>
          <w:sz w:val="20"/>
          <w:szCs w:val="18"/>
        </w:rPr>
        <w:t xml:space="preserve"> MPO, ČAS, ÚZEI, podklady ke zpracování </w:t>
      </w:r>
      <w:r w:rsidR="00882980">
        <w:rPr>
          <w:rFonts w:ascii="Calibri" w:hAnsi="Calibri" w:cs="Calibri"/>
          <w:sz w:val="20"/>
          <w:szCs w:val="18"/>
        </w:rPr>
        <w:t>s</w:t>
      </w:r>
      <w:r w:rsidRPr="0065159D">
        <w:rPr>
          <w:rFonts w:ascii="Calibri" w:hAnsi="Calibri" w:cs="Calibri"/>
          <w:sz w:val="20"/>
          <w:szCs w:val="18"/>
        </w:rPr>
        <w:t xml:space="preserve">tátního závěrečného účtu za jednotlivé </w:t>
      </w:r>
      <w:r w:rsidR="005E14A0" w:rsidRPr="0065159D">
        <w:rPr>
          <w:rFonts w:ascii="Calibri" w:hAnsi="Calibri" w:cs="Calibri"/>
          <w:sz w:val="20"/>
          <w:szCs w:val="18"/>
        </w:rPr>
        <w:t>S</w:t>
      </w:r>
      <w:r w:rsidRPr="0065159D">
        <w:rPr>
          <w:rFonts w:ascii="Calibri" w:hAnsi="Calibri" w:cs="Calibri"/>
          <w:sz w:val="20"/>
          <w:szCs w:val="18"/>
        </w:rPr>
        <w:t>PO.</w:t>
      </w:r>
    </w:p>
    <w:p w14:paraId="381654A9" w14:textId="1F298199" w:rsidR="000610CF" w:rsidRDefault="000610CF">
      <w:pPr>
        <w:rPr>
          <w:rFonts w:ascii="Calibri" w:hAnsi="Calibri" w:cs="Calibri"/>
          <w:sz w:val="20"/>
          <w:szCs w:val="18"/>
        </w:rPr>
      </w:pPr>
      <w:r>
        <w:rPr>
          <w:rFonts w:ascii="Calibri" w:hAnsi="Calibri" w:cs="Calibri"/>
          <w:sz w:val="20"/>
          <w:szCs w:val="18"/>
        </w:rPr>
        <w:br w:type="page"/>
      </w:r>
    </w:p>
    <w:p w14:paraId="6D773CF4" w14:textId="760D6AFA" w:rsidR="00E947B9" w:rsidRPr="002B5673" w:rsidRDefault="0065159D" w:rsidP="0065159D">
      <w:pPr>
        <w:pStyle w:val="Nadpis1"/>
        <w:tabs>
          <w:tab w:val="left" w:pos="6379"/>
        </w:tabs>
        <w:spacing w:before="0" w:line="240"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 xml:space="preserve">I. </w:t>
      </w:r>
      <w:r w:rsidR="00781CDD" w:rsidRPr="00547C8C">
        <w:rPr>
          <w:rFonts w:asciiTheme="minorHAnsi" w:hAnsiTheme="minorHAnsi" w:cstheme="minorHAnsi"/>
          <w:b/>
          <w:color w:val="auto"/>
          <w:sz w:val="28"/>
          <w:szCs w:val="28"/>
        </w:rPr>
        <w:t>Shrnutí a vyhodnocení</w:t>
      </w:r>
    </w:p>
    <w:p w14:paraId="1C2B5C10" w14:textId="77777777" w:rsidR="002B5673" w:rsidRPr="002B5673" w:rsidRDefault="002B5673" w:rsidP="002B5673">
      <w:pPr>
        <w:spacing w:after="0" w:line="240" w:lineRule="auto"/>
        <w:jc w:val="both"/>
        <w:rPr>
          <w:rFonts w:cstheme="minorHAnsi"/>
          <w:sz w:val="24"/>
          <w:szCs w:val="24"/>
        </w:rPr>
      </w:pPr>
    </w:p>
    <w:p w14:paraId="586C9806" w14:textId="62F7E6D7" w:rsidR="00F2046C" w:rsidRPr="005F414A" w:rsidRDefault="005F414A" w:rsidP="005F414A">
      <w:pPr>
        <w:tabs>
          <w:tab w:val="left" w:pos="426"/>
        </w:tabs>
        <w:spacing w:after="0" w:line="240" w:lineRule="auto"/>
        <w:jc w:val="both"/>
        <w:rPr>
          <w:rFonts w:cstheme="minorHAnsi"/>
          <w:sz w:val="24"/>
          <w:szCs w:val="24"/>
        </w:rPr>
      </w:pPr>
      <w:r>
        <w:rPr>
          <w:rFonts w:cstheme="minorHAnsi"/>
          <w:sz w:val="24"/>
          <w:szCs w:val="24"/>
        </w:rPr>
        <w:t xml:space="preserve">1.1 </w:t>
      </w:r>
      <w:r>
        <w:rPr>
          <w:rFonts w:cstheme="minorHAnsi"/>
          <w:sz w:val="24"/>
          <w:szCs w:val="24"/>
        </w:rPr>
        <w:tab/>
      </w:r>
      <w:r w:rsidR="00F2046C" w:rsidRPr="005F414A">
        <w:rPr>
          <w:rFonts w:cstheme="minorHAnsi"/>
          <w:sz w:val="24"/>
          <w:szCs w:val="24"/>
        </w:rPr>
        <w:t xml:space="preserve">NKÚ provedl kontrolu peněžních prostředků, které poskytovali zřizovatelé MŽP, MZe, MPO a ÚNMZ ze státního rozpočtu </w:t>
      </w:r>
      <w:bookmarkStart w:id="2" w:name="_Hlk140496835"/>
      <w:r w:rsidR="00F2046C" w:rsidRPr="005F414A">
        <w:rPr>
          <w:rFonts w:cstheme="minorHAnsi"/>
          <w:sz w:val="24"/>
          <w:szCs w:val="24"/>
        </w:rPr>
        <w:t xml:space="preserve">státním příspěvkovým organizacím </w:t>
      </w:r>
      <w:bookmarkEnd w:id="2"/>
      <w:r w:rsidR="00F2046C" w:rsidRPr="005F414A">
        <w:rPr>
          <w:rFonts w:cstheme="minorHAnsi"/>
          <w:sz w:val="24"/>
          <w:szCs w:val="24"/>
        </w:rPr>
        <w:t xml:space="preserve">(dále </w:t>
      </w:r>
      <w:r w:rsidR="00B6723E" w:rsidRPr="005F414A">
        <w:rPr>
          <w:rFonts w:cstheme="minorHAnsi"/>
          <w:sz w:val="24"/>
          <w:szCs w:val="24"/>
        </w:rPr>
        <w:t>také</w:t>
      </w:r>
      <w:r w:rsidR="00F2046C" w:rsidRPr="005F414A">
        <w:rPr>
          <w:rFonts w:cstheme="minorHAnsi"/>
          <w:sz w:val="24"/>
          <w:szCs w:val="24"/>
        </w:rPr>
        <w:t xml:space="preserve"> „SPO“). Cílem kontroly bylo prověřit, zda byly peněžní prostředky ze státního rozpočtu poskytované vybraným SPO vynakládány účelně, hospodárně a v souladu s právními předpisy.</w:t>
      </w:r>
    </w:p>
    <w:p w14:paraId="6D773CF6" w14:textId="77777777" w:rsidR="0061264E" w:rsidRDefault="0061264E" w:rsidP="0061264E">
      <w:pPr>
        <w:pStyle w:val="Odstavecseseznamem"/>
        <w:spacing w:after="0" w:line="240" w:lineRule="auto"/>
        <w:ind w:left="0"/>
        <w:jc w:val="both"/>
        <w:rPr>
          <w:rFonts w:cstheme="minorHAnsi"/>
          <w:sz w:val="24"/>
          <w:szCs w:val="24"/>
        </w:rPr>
      </w:pPr>
    </w:p>
    <w:p w14:paraId="6D773CF7" w14:textId="5B5FA9E9" w:rsidR="0061264E" w:rsidRPr="005F414A" w:rsidRDefault="005F414A" w:rsidP="005F414A">
      <w:pPr>
        <w:tabs>
          <w:tab w:val="left" w:pos="426"/>
        </w:tabs>
        <w:spacing w:after="0" w:line="240" w:lineRule="auto"/>
        <w:jc w:val="both"/>
        <w:rPr>
          <w:rFonts w:cstheme="minorHAnsi"/>
          <w:sz w:val="24"/>
          <w:szCs w:val="24"/>
        </w:rPr>
      </w:pPr>
      <w:r>
        <w:rPr>
          <w:rFonts w:cstheme="minorHAnsi"/>
          <w:sz w:val="24"/>
          <w:szCs w:val="24"/>
        </w:rPr>
        <w:t xml:space="preserve">1.2 </w:t>
      </w:r>
      <w:r>
        <w:rPr>
          <w:rFonts w:cstheme="minorHAnsi"/>
          <w:sz w:val="24"/>
          <w:szCs w:val="24"/>
        </w:rPr>
        <w:tab/>
      </w:r>
      <w:r w:rsidR="00B6723E" w:rsidRPr="005F414A">
        <w:rPr>
          <w:rFonts w:cstheme="minorHAnsi"/>
          <w:sz w:val="24"/>
          <w:szCs w:val="24"/>
        </w:rPr>
        <w:t>NKÚ prověřil systém finančních vztahů, který nastavili zřizovatelé v letech 2019–2021 u</w:t>
      </w:r>
      <w:r w:rsidR="002C1446" w:rsidRPr="005F414A">
        <w:rPr>
          <w:rFonts w:cstheme="minorHAnsi"/>
          <w:sz w:val="24"/>
          <w:szCs w:val="24"/>
        </w:rPr>
        <w:t> </w:t>
      </w:r>
      <w:r w:rsidR="00812243" w:rsidRPr="005F414A">
        <w:rPr>
          <w:rFonts w:cstheme="minorHAnsi"/>
          <w:sz w:val="24"/>
          <w:szCs w:val="24"/>
        </w:rPr>
        <w:t>čtyř</w:t>
      </w:r>
      <w:r w:rsidR="00B6723E" w:rsidRPr="005F414A">
        <w:rPr>
          <w:rFonts w:cstheme="minorHAnsi"/>
          <w:sz w:val="24"/>
          <w:szCs w:val="24"/>
        </w:rPr>
        <w:t xml:space="preserve"> </w:t>
      </w:r>
      <w:r w:rsidR="002B5673" w:rsidRPr="005F414A">
        <w:rPr>
          <w:rFonts w:cstheme="minorHAnsi"/>
          <w:sz w:val="24"/>
          <w:szCs w:val="24"/>
        </w:rPr>
        <w:t>SPO</w:t>
      </w:r>
      <w:r w:rsidR="00B6723E" w:rsidRPr="005F414A">
        <w:rPr>
          <w:rFonts w:cstheme="minorHAnsi"/>
          <w:sz w:val="24"/>
          <w:szCs w:val="24"/>
        </w:rPr>
        <w:t xml:space="preserve">. Celkový objem příspěvku na provoz činil </w:t>
      </w:r>
      <w:r w:rsidR="00804B13" w:rsidRPr="005F414A">
        <w:rPr>
          <w:rFonts w:cstheme="minorHAnsi"/>
          <w:sz w:val="24"/>
          <w:szCs w:val="24"/>
        </w:rPr>
        <w:t>791,8</w:t>
      </w:r>
      <w:r w:rsidR="002C1446" w:rsidRPr="005F414A">
        <w:rPr>
          <w:rFonts w:cstheme="minorHAnsi"/>
          <w:sz w:val="24"/>
          <w:szCs w:val="24"/>
        </w:rPr>
        <w:t> </w:t>
      </w:r>
      <w:r w:rsidR="00B6723E" w:rsidRPr="005F414A">
        <w:rPr>
          <w:rFonts w:cstheme="minorHAnsi"/>
          <w:sz w:val="24"/>
          <w:szCs w:val="24"/>
        </w:rPr>
        <w:t xml:space="preserve">mil. Kč. </w:t>
      </w:r>
    </w:p>
    <w:p w14:paraId="6D773CF8" w14:textId="77777777" w:rsidR="008C5277" w:rsidRPr="007F7479" w:rsidRDefault="008C5277" w:rsidP="00F15585">
      <w:pPr>
        <w:pStyle w:val="Odstavecseseznamem"/>
        <w:spacing w:after="0" w:line="240" w:lineRule="auto"/>
        <w:ind w:left="0"/>
        <w:rPr>
          <w:rFonts w:cstheme="minorHAnsi"/>
          <w:sz w:val="24"/>
          <w:szCs w:val="24"/>
        </w:rPr>
      </w:pPr>
    </w:p>
    <w:p w14:paraId="6D773CFA" w14:textId="00062764" w:rsidR="00C03697" w:rsidRPr="005F414A" w:rsidRDefault="005F414A" w:rsidP="005F414A">
      <w:pPr>
        <w:tabs>
          <w:tab w:val="left" w:pos="426"/>
        </w:tabs>
        <w:spacing w:after="0" w:line="240" w:lineRule="auto"/>
        <w:jc w:val="both"/>
        <w:rPr>
          <w:rFonts w:cstheme="minorHAnsi"/>
          <w:b/>
          <w:sz w:val="24"/>
          <w:szCs w:val="24"/>
        </w:rPr>
      </w:pPr>
      <w:bookmarkStart w:id="3" w:name="_Hlk127426094"/>
      <w:r>
        <w:rPr>
          <w:rFonts w:cstheme="minorHAnsi"/>
          <w:b/>
          <w:sz w:val="24"/>
          <w:szCs w:val="24"/>
        </w:rPr>
        <w:t xml:space="preserve">1.3 </w:t>
      </w:r>
      <w:r>
        <w:rPr>
          <w:rFonts w:cstheme="minorHAnsi"/>
          <w:b/>
          <w:sz w:val="24"/>
          <w:szCs w:val="24"/>
        </w:rPr>
        <w:tab/>
      </w:r>
      <w:r w:rsidR="00781CDD" w:rsidRPr="005F414A">
        <w:rPr>
          <w:rFonts w:cstheme="minorHAnsi"/>
          <w:b/>
          <w:sz w:val="24"/>
          <w:szCs w:val="24"/>
        </w:rPr>
        <w:t xml:space="preserve">NKÚ zjistil, že </w:t>
      </w:r>
      <w:r w:rsidR="00DE5381" w:rsidRPr="005F414A">
        <w:rPr>
          <w:rFonts w:cstheme="minorHAnsi"/>
          <w:b/>
          <w:sz w:val="24"/>
          <w:szCs w:val="24"/>
        </w:rPr>
        <w:t>MŽP</w:t>
      </w:r>
      <w:r w:rsidR="00745944" w:rsidRPr="005F414A">
        <w:rPr>
          <w:rFonts w:cstheme="minorHAnsi"/>
          <w:b/>
          <w:sz w:val="24"/>
          <w:szCs w:val="24"/>
        </w:rPr>
        <w:t xml:space="preserve"> na rozdíl od MZe </w:t>
      </w:r>
      <w:r w:rsidR="006E332F" w:rsidRPr="005F414A">
        <w:rPr>
          <w:rFonts w:cstheme="minorHAnsi"/>
          <w:b/>
          <w:sz w:val="24"/>
          <w:szCs w:val="24"/>
        </w:rPr>
        <w:t xml:space="preserve">a MPO </w:t>
      </w:r>
      <w:r w:rsidR="00745944" w:rsidRPr="005F414A">
        <w:rPr>
          <w:rFonts w:cstheme="minorHAnsi"/>
          <w:b/>
          <w:sz w:val="24"/>
          <w:szCs w:val="24"/>
        </w:rPr>
        <w:t xml:space="preserve">nemělo přehled o výši a potřebě finančních zdrojů jím zřízených SPO. </w:t>
      </w:r>
    </w:p>
    <w:p w14:paraId="47DDB20B" w14:textId="77777777" w:rsidR="00480C91" w:rsidRPr="00F15585" w:rsidRDefault="00480C91" w:rsidP="00F15585">
      <w:pPr>
        <w:pStyle w:val="Odstavecseseznamem"/>
        <w:spacing w:after="0" w:line="240" w:lineRule="auto"/>
        <w:ind w:left="0"/>
        <w:jc w:val="both"/>
        <w:rPr>
          <w:rFonts w:cstheme="minorHAnsi"/>
          <w:sz w:val="24"/>
          <w:szCs w:val="24"/>
        </w:rPr>
      </w:pPr>
    </w:p>
    <w:bookmarkEnd w:id="3"/>
    <w:p w14:paraId="64418462" w14:textId="0721CF58" w:rsidR="005134BF" w:rsidRPr="005F414A" w:rsidRDefault="005F414A" w:rsidP="005F414A">
      <w:pPr>
        <w:tabs>
          <w:tab w:val="left" w:pos="426"/>
        </w:tabs>
        <w:spacing w:after="0" w:line="240" w:lineRule="auto"/>
        <w:jc w:val="both"/>
        <w:rPr>
          <w:rFonts w:cstheme="minorHAnsi"/>
          <w:b/>
          <w:sz w:val="24"/>
          <w:szCs w:val="24"/>
        </w:rPr>
      </w:pPr>
      <w:r>
        <w:rPr>
          <w:rFonts w:cstheme="minorHAnsi"/>
          <w:b/>
          <w:sz w:val="24"/>
          <w:szCs w:val="24"/>
        </w:rPr>
        <w:t xml:space="preserve">1.4 </w:t>
      </w:r>
      <w:r>
        <w:rPr>
          <w:rFonts w:cstheme="minorHAnsi"/>
          <w:b/>
          <w:sz w:val="24"/>
          <w:szCs w:val="24"/>
        </w:rPr>
        <w:tab/>
      </w:r>
      <w:r w:rsidR="005134BF" w:rsidRPr="005F414A">
        <w:rPr>
          <w:rFonts w:cstheme="minorHAnsi"/>
          <w:b/>
          <w:sz w:val="24"/>
          <w:szCs w:val="24"/>
        </w:rPr>
        <w:t xml:space="preserve">ÚZEI vynaložil peněžní prostředky na plnění výzkumných záměrů částečně neúčelně. SPO CENIA, ÚZEI a ČAS </w:t>
      </w:r>
      <w:r w:rsidR="003E7512" w:rsidRPr="005F414A">
        <w:rPr>
          <w:rFonts w:cstheme="minorHAnsi"/>
          <w:b/>
          <w:sz w:val="24"/>
          <w:szCs w:val="24"/>
        </w:rPr>
        <w:t>nehodnotily</w:t>
      </w:r>
      <w:r w:rsidR="005134BF" w:rsidRPr="005F414A">
        <w:rPr>
          <w:rFonts w:cstheme="minorHAnsi"/>
          <w:b/>
          <w:sz w:val="24"/>
          <w:szCs w:val="24"/>
        </w:rPr>
        <w:t xml:space="preserve">, zda </w:t>
      </w:r>
      <w:r w:rsidR="000D4290" w:rsidRPr="005F414A">
        <w:rPr>
          <w:rFonts w:cstheme="minorHAnsi"/>
          <w:b/>
          <w:sz w:val="24"/>
          <w:szCs w:val="24"/>
        </w:rPr>
        <w:t>nákupem služeb od</w:t>
      </w:r>
      <w:r w:rsidR="00DF6D8E" w:rsidRPr="005F414A">
        <w:rPr>
          <w:rFonts w:cstheme="minorHAnsi"/>
          <w:b/>
          <w:sz w:val="24"/>
          <w:szCs w:val="24"/>
        </w:rPr>
        <w:t> </w:t>
      </w:r>
      <w:r w:rsidR="000D4290" w:rsidRPr="005F414A">
        <w:rPr>
          <w:rFonts w:cstheme="minorHAnsi"/>
          <w:b/>
          <w:sz w:val="24"/>
          <w:szCs w:val="24"/>
        </w:rPr>
        <w:t xml:space="preserve">externích dodavatelů </w:t>
      </w:r>
      <w:r w:rsidR="003E7512" w:rsidRPr="005F414A">
        <w:rPr>
          <w:rFonts w:cstheme="minorHAnsi"/>
          <w:b/>
          <w:sz w:val="24"/>
          <w:szCs w:val="24"/>
        </w:rPr>
        <w:t>bude naplněna jejich zákonem stanovená povinnost dbát, aby plnily určené úkoly</w:t>
      </w:r>
      <w:r w:rsidR="005134BF" w:rsidRPr="005F414A">
        <w:rPr>
          <w:rFonts w:cstheme="minorHAnsi"/>
          <w:b/>
          <w:sz w:val="24"/>
          <w:szCs w:val="24"/>
        </w:rPr>
        <w:t xml:space="preserve"> nejhospodárnějším způsobem</w:t>
      </w:r>
      <w:r w:rsidR="005134BF">
        <w:rPr>
          <w:rStyle w:val="Znakapoznpodarou"/>
          <w:rFonts w:cstheme="minorHAnsi"/>
          <w:b/>
          <w:sz w:val="24"/>
          <w:szCs w:val="24"/>
        </w:rPr>
        <w:footnoteReference w:id="2"/>
      </w:r>
      <w:r w:rsidR="005134BF" w:rsidRPr="005F414A">
        <w:rPr>
          <w:rFonts w:cstheme="minorHAnsi"/>
          <w:b/>
          <w:sz w:val="24"/>
          <w:szCs w:val="24"/>
        </w:rPr>
        <w:t xml:space="preserve">.  </w:t>
      </w:r>
    </w:p>
    <w:p w14:paraId="6D773CFC" w14:textId="77777777" w:rsidR="00596447" w:rsidRPr="00F15585" w:rsidRDefault="00596447" w:rsidP="00596447">
      <w:pPr>
        <w:spacing w:after="0" w:line="240" w:lineRule="auto"/>
        <w:jc w:val="both"/>
        <w:rPr>
          <w:rFonts w:cstheme="minorHAnsi"/>
          <w:sz w:val="24"/>
          <w:szCs w:val="24"/>
        </w:rPr>
      </w:pPr>
    </w:p>
    <w:p w14:paraId="6082FE82" w14:textId="4B903300" w:rsidR="00C12A9C" w:rsidRPr="005F414A" w:rsidRDefault="005F414A" w:rsidP="005F414A">
      <w:pPr>
        <w:tabs>
          <w:tab w:val="left" w:pos="426"/>
        </w:tabs>
        <w:spacing w:after="0" w:line="240" w:lineRule="auto"/>
        <w:jc w:val="both"/>
        <w:rPr>
          <w:rFonts w:cstheme="minorHAnsi"/>
          <w:b/>
          <w:sz w:val="24"/>
          <w:szCs w:val="24"/>
        </w:rPr>
      </w:pPr>
      <w:r>
        <w:rPr>
          <w:rFonts w:eastAsia="Calibri" w:cstheme="minorHAnsi"/>
          <w:b/>
          <w:sz w:val="24"/>
          <w:szCs w:val="24"/>
        </w:rPr>
        <w:t xml:space="preserve">1.5 </w:t>
      </w:r>
      <w:r>
        <w:rPr>
          <w:rFonts w:eastAsia="Calibri" w:cstheme="minorHAnsi"/>
          <w:b/>
          <w:sz w:val="24"/>
          <w:szCs w:val="24"/>
        </w:rPr>
        <w:tab/>
      </w:r>
      <w:r w:rsidR="00856BEB" w:rsidRPr="005F414A">
        <w:rPr>
          <w:rFonts w:eastAsia="Calibri" w:cstheme="minorHAnsi"/>
          <w:b/>
          <w:sz w:val="24"/>
          <w:szCs w:val="24"/>
        </w:rPr>
        <w:t>NKÚ kontrolou zjistil, že p</w:t>
      </w:r>
      <w:r w:rsidR="00C93651" w:rsidRPr="005F414A">
        <w:rPr>
          <w:rFonts w:eastAsia="Calibri" w:cstheme="minorHAnsi"/>
          <w:b/>
          <w:sz w:val="24"/>
          <w:szCs w:val="24"/>
        </w:rPr>
        <w:t>očet</w:t>
      </w:r>
      <w:r w:rsidR="004A7F06" w:rsidRPr="005F414A">
        <w:rPr>
          <w:rFonts w:eastAsia="Calibri" w:cstheme="minorHAnsi"/>
          <w:b/>
          <w:sz w:val="24"/>
          <w:szCs w:val="24"/>
        </w:rPr>
        <w:t xml:space="preserve"> koncových</w:t>
      </w:r>
      <w:r w:rsidR="00C93651" w:rsidRPr="005F414A">
        <w:rPr>
          <w:rFonts w:eastAsia="Calibri" w:cstheme="minorHAnsi"/>
          <w:b/>
          <w:sz w:val="24"/>
          <w:szCs w:val="24"/>
        </w:rPr>
        <w:t xml:space="preserve"> uživatelů </w:t>
      </w:r>
      <w:r w:rsidR="004A7F06" w:rsidRPr="005F414A">
        <w:rPr>
          <w:rFonts w:eastAsia="Calibri" w:cstheme="minorHAnsi"/>
          <w:b/>
          <w:sz w:val="24"/>
          <w:szCs w:val="24"/>
        </w:rPr>
        <w:t>českých technických norem (dále také „ČSN</w:t>
      </w:r>
      <w:r w:rsidR="00FB6E49" w:rsidRPr="005F414A">
        <w:rPr>
          <w:rFonts w:eastAsia="Calibri" w:cstheme="minorHAnsi"/>
          <w:b/>
          <w:sz w:val="24"/>
          <w:szCs w:val="24"/>
        </w:rPr>
        <w:t>“</w:t>
      </w:r>
      <w:r w:rsidR="004A7F06" w:rsidRPr="005F414A">
        <w:rPr>
          <w:rFonts w:eastAsia="Calibri" w:cstheme="minorHAnsi"/>
          <w:b/>
          <w:sz w:val="24"/>
          <w:szCs w:val="24"/>
        </w:rPr>
        <w:t xml:space="preserve">) </w:t>
      </w:r>
      <w:r w:rsidR="00FB6E49" w:rsidRPr="005F414A">
        <w:rPr>
          <w:rFonts w:eastAsia="Calibri" w:cstheme="minorHAnsi"/>
          <w:b/>
          <w:sz w:val="24"/>
          <w:szCs w:val="24"/>
        </w:rPr>
        <w:t xml:space="preserve">byl </w:t>
      </w:r>
      <w:r w:rsidR="00C93651" w:rsidRPr="005F414A">
        <w:rPr>
          <w:rFonts w:eastAsia="Calibri" w:cstheme="minorHAnsi"/>
          <w:b/>
          <w:sz w:val="24"/>
          <w:szCs w:val="24"/>
        </w:rPr>
        <w:t>v roce 2021 téměř osminásobně nižší, než byl kvalifikovaný odhad uživatelů sponzorovaného přístupu</w:t>
      </w:r>
      <w:r w:rsidR="004A7F06" w:rsidRPr="005F414A">
        <w:rPr>
          <w:rFonts w:eastAsia="Calibri" w:cstheme="minorHAnsi"/>
          <w:b/>
          <w:sz w:val="24"/>
          <w:szCs w:val="24"/>
        </w:rPr>
        <w:t>.</w:t>
      </w:r>
      <w:r w:rsidR="00B35244" w:rsidRPr="005F414A">
        <w:rPr>
          <w:rFonts w:eastAsia="Calibri" w:cstheme="minorHAnsi"/>
          <w:b/>
          <w:sz w:val="24"/>
          <w:szCs w:val="24"/>
        </w:rPr>
        <w:t xml:space="preserve"> ČAS </w:t>
      </w:r>
      <w:r w:rsidR="004A7F06" w:rsidRPr="005F414A">
        <w:rPr>
          <w:rFonts w:eastAsia="Calibri" w:cstheme="minorHAnsi"/>
          <w:b/>
          <w:sz w:val="24"/>
          <w:szCs w:val="24"/>
        </w:rPr>
        <w:t xml:space="preserve">ale </w:t>
      </w:r>
      <w:r w:rsidR="00B35244" w:rsidRPr="005F414A">
        <w:rPr>
          <w:rFonts w:eastAsia="Calibri" w:cstheme="minorHAnsi"/>
          <w:b/>
          <w:sz w:val="24"/>
          <w:szCs w:val="24"/>
        </w:rPr>
        <w:t xml:space="preserve">neměla přehled o reálném počtu uživatelů ČSN v rámci uzavíraných </w:t>
      </w:r>
      <w:r w:rsidR="00BB42E0">
        <w:rPr>
          <w:rFonts w:eastAsia="Calibri" w:cstheme="minorHAnsi"/>
          <w:b/>
          <w:sz w:val="24"/>
          <w:szCs w:val="24"/>
        </w:rPr>
        <w:t>d</w:t>
      </w:r>
      <w:r w:rsidR="00B35244" w:rsidRPr="005F414A">
        <w:rPr>
          <w:rFonts w:eastAsia="Calibri" w:cstheme="minorHAnsi"/>
          <w:b/>
          <w:sz w:val="24"/>
          <w:szCs w:val="24"/>
        </w:rPr>
        <w:t>ohod o sponzorovaném přístupu a neznala míru využití této služby pro jednotlivé sponzory.</w:t>
      </w:r>
      <w:r w:rsidR="00C93651" w:rsidRPr="005F414A">
        <w:rPr>
          <w:rFonts w:eastAsia="Calibri" w:cstheme="minorHAnsi"/>
          <w:sz w:val="24"/>
          <w:szCs w:val="24"/>
        </w:rPr>
        <w:t xml:space="preserve"> </w:t>
      </w:r>
      <w:r w:rsidR="00C12A9C" w:rsidRPr="005F414A">
        <w:rPr>
          <w:rFonts w:eastAsia="Calibri" w:cstheme="minorHAnsi"/>
          <w:b/>
          <w:sz w:val="24"/>
          <w:szCs w:val="24"/>
        </w:rPr>
        <w:t>Existuje tak riziko, že cena uhrazená sponzor</w:t>
      </w:r>
      <w:r w:rsidR="00035311" w:rsidRPr="005F414A">
        <w:rPr>
          <w:rFonts w:eastAsia="Calibri" w:cstheme="minorHAnsi"/>
          <w:b/>
          <w:sz w:val="24"/>
          <w:szCs w:val="24"/>
        </w:rPr>
        <w:t>y</w:t>
      </w:r>
      <w:r w:rsidR="00C12A9C" w:rsidRPr="005F414A">
        <w:rPr>
          <w:rFonts w:eastAsia="Calibri" w:cstheme="minorHAnsi"/>
          <w:b/>
          <w:sz w:val="24"/>
          <w:szCs w:val="24"/>
        </w:rPr>
        <w:t xml:space="preserve"> neodpovídala skutečnému plnění</w:t>
      </w:r>
      <w:r w:rsidR="00BB42E0">
        <w:rPr>
          <w:rFonts w:eastAsia="Calibri" w:cstheme="minorHAnsi"/>
          <w:b/>
          <w:sz w:val="24"/>
          <w:szCs w:val="24"/>
        </w:rPr>
        <w:t>,</w:t>
      </w:r>
      <w:r w:rsidR="00C12A9C" w:rsidRPr="005F414A">
        <w:rPr>
          <w:rFonts w:eastAsia="Calibri" w:cstheme="minorHAnsi"/>
          <w:b/>
          <w:sz w:val="24"/>
          <w:szCs w:val="24"/>
        </w:rPr>
        <w:t xml:space="preserve"> a</w:t>
      </w:r>
      <w:r w:rsidR="002C1446" w:rsidRPr="005F414A">
        <w:rPr>
          <w:rFonts w:eastAsia="Calibri" w:cstheme="minorHAnsi"/>
          <w:b/>
          <w:sz w:val="24"/>
          <w:szCs w:val="24"/>
        </w:rPr>
        <w:t> </w:t>
      </w:r>
      <w:r w:rsidR="00C12A9C" w:rsidRPr="005F414A">
        <w:rPr>
          <w:rFonts w:eastAsia="Calibri" w:cstheme="minorHAnsi"/>
          <w:b/>
          <w:sz w:val="24"/>
          <w:szCs w:val="24"/>
        </w:rPr>
        <w:t>došlo tak k nehospodárnému vynaložení peněžních prostředků.</w:t>
      </w:r>
      <w:r w:rsidR="00C12A9C" w:rsidRPr="005F414A">
        <w:rPr>
          <w:rFonts w:eastAsia="Calibri" w:cstheme="minorHAnsi"/>
          <w:sz w:val="24"/>
          <w:szCs w:val="24"/>
        </w:rPr>
        <w:t xml:space="preserve"> </w:t>
      </w:r>
    </w:p>
    <w:p w14:paraId="419D8368" w14:textId="77777777" w:rsidR="00C12A9C" w:rsidRPr="00F15585" w:rsidRDefault="00C12A9C" w:rsidP="00F15585">
      <w:pPr>
        <w:pStyle w:val="Odstavecseseznamem"/>
        <w:spacing w:after="0" w:line="240" w:lineRule="auto"/>
        <w:ind w:left="0"/>
        <w:jc w:val="both"/>
        <w:rPr>
          <w:rFonts w:cstheme="minorHAnsi"/>
          <w:sz w:val="24"/>
          <w:szCs w:val="24"/>
        </w:rPr>
      </w:pPr>
    </w:p>
    <w:p w14:paraId="6D773CFD" w14:textId="2E404607" w:rsidR="009F0ADD" w:rsidRPr="005F414A" w:rsidRDefault="005F414A" w:rsidP="005F414A">
      <w:pPr>
        <w:tabs>
          <w:tab w:val="left" w:pos="426"/>
        </w:tabs>
        <w:spacing w:after="0" w:line="240" w:lineRule="auto"/>
        <w:jc w:val="both"/>
        <w:rPr>
          <w:rFonts w:cstheme="minorHAnsi"/>
          <w:b/>
          <w:sz w:val="24"/>
          <w:szCs w:val="24"/>
        </w:rPr>
      </w:pPr>
      <w:r>
        <w:rPr>
          <w:rFonts w:cstheme="minorHAnsi"/>
          <w:b/>
          <w:sz w:val="24"/>
          <w:szCs w:val="24"/>
        </w:rPr>
        <w:t xml:space="preserve">1.6 </w:t>
      </w:r>
      <w:r>
        <w:rPr>
          <w:rFonts w:cstheme="minorHAnsi"/>
          <w:b/>
          <w:sz w:val="24"/>
          <w:szCs w:val="24"/>
        </w:rPr>
        <w:tab/>
      </w:r>
      <w:r w:rsidR="004976D4" w:rsidRPr="005F414A">
        <w:rPr>
          <w:rFonts w:cstheme="minorHAnsi"/>
          <w:b/>
          <w:sz w:val="24"/>
          <w:szCs w:val="24"/>
        </w:rPr>
        <w:t>Z</w:t>
      </w:r>
      <w:r w:rsidR="00781CDD" w:rsidRPr="005F414A">
        <w:rPr>
          <w:rFonts w:cstheme="minorHAnsi"/>
          <w:b/>
          <w:sz w:val="24"/>
          <w:szCs w:val="24"/>
        </w:rPr>
        <w:t xml:space="preserve">řizovatelé </w:t>
      </w:r>
      <w:r w:rsidR="004976D4" w:rsidRPr="005F414A">
        <w:rPr>
          <w:rFonts w:cstheme="minorHAnsi"/>
          <w:b/>
          <w:sz w:val="24"/>
          <w:szCs w:val="24"/>
        </w:rPr>
        <w:t>i</w:t>
      </w:r>
      <w:r w:rsidR="00781CDD" w:rsidRPr="005F414A">
        <w:rPr>
          <w:rFonts w:cstheme="minorHAnsi"/>
          <w:b/>
          <w:sz w:val="24"/>
          <w:szCs w:val="24"/>
        </w:rPr>
        <w:t xml:space="preserve"> </w:t>
      </w:r>
      <w:r w:rsidR="00BC3D93" w:rsidRPr="005F414A">
        <w:rPr>
          <w:rFonts w:cstheme="minorHAnsi"/>
          <w:b/>
          <w:sz w:val="24"/>
          <w:szCs w:val="24"/>
        </w:rPr>
        <w:t>kontrolované SPO v kontrolovaném období porušoval</w:t>
      </w:r>
      <w:r w:rsidR="00480C91" w:rsidRPr="005F414A">
        <w:rPr>
          <w:rFonts w:cstheme="minorHAnsi"/>
          <w:b/>
          <w:sz w:val="24"/>
          <w:szCs w:val="24"/>
        </w:rPr>
        <w:t>i</w:t>
      </w:r>
      <w:r w:rsidR="00BC3D93" w:rsidRPr="005F414A">
        <w:rPr>
          <w:rFonts w:cstheme="minorHAnsi"/>
          <w:b/>
          <w:sz w:val="24"/>
          <w:szCs w:val="24"/>
        </w:rPr>
        <w:t xml:space="preserve"> právní předpisy. U</w:t>
      </w:r>
      <w:r w:rsidR="001017CA" w:rsidRPr="005F414A">
        <w:rPr>
          <w:rFonts w:cstheme="minorHAnsi"/>
          <w:b/>
          <w:sz w:val="24"/>
          <w:szCs w:val="24"/>
        </w:rPr>
        <w:t> </w:t>
      </w:r>
      <w:r w:rsidR="00BC3D93" w:rsidRPr="005F414A">
        <w:rPr>
          <w:rFonts w:cstheme="minorHAnsi"/>
          <w:b/>
          <w:sz w:val="24"/>
          <w:szCs w:val="24"/>
        </w:rPr>
        <w:t>S</w:t>
      </w:r>
      <w:r w:rsidR="00D60CA8" w:rsidRPr="005F414A">
        <w:rPr>
          <w:rFonts w:cstheme="minorHAnsi"/>
          <w:b/>
          <w:sz w:val="24"/>
          <w:szCs w:val="24"/>
        </w:rPr>
        <w:t>PO ČAS</w:t>
      </w:r>
      <w:r w:rsidR="00D60CA8" w:rsidRPr="00867F1F">
        <w:t xml:space="preserve"> </w:t>
      </w:r>
      <w:r w:rsidR="00D60CA8" w:rsidRPr="005F414A">
        <w:rPr>
          <w:rFonts w:cstheme="minorHAnsi"/>
          <w:b/>
          <w:sz w:val="24"/>
          <w:szCs w:val="24"/>
        </w:rPr>
        <w:t xml:space="preserve">byly zjištěny skutečnosti nasvědčující porušení rozpočtové kázně ve výši </w:t>
      </w:r>
      <w:r w:rsidR="00BC3D93" w:rsidRPr="005F414A">
        <w:rPr>
          <w:rFonts w:cstheme="minorHAnsi"/>
          <w:b/>
          <w:sz w:val="24"/>
          <w:szCs w:val="24"/>
        </w:rPr>
        <w:t>2,1</w:t>
      </w:r>
      <w:r>
        <w:rPr>
          <w:rFonts w:cstheme="minorHAnsi"/>
          <w:b/>
          <w:sz w:val="24"/>
          <w:szCs w:val="24"/>
        </w:rPr>
        <w:t> </w:t>
      </w:r>
      <w:r w:rsidR="00BC3D93" w:rsidRPr="005F414A">
        <w:rPr>
          <w:rFonts w:cstheme="minorHAnsi"/>
          <w:b/>
          <w:sz w:val="24"/>
          <w:szCs w:val="24"/>
        </w:rPr>
        <w:t>mil.</w:t>
      </w:r>
      <w:r w:rsidR="00596447" w:rsidRPr="005F414A">
        <w:rPr>
          <w:rFonts w:cstheme="minorHAnsi"/>
          <w:b/>
          <w:sz w:val="24"/>
          <w:szCs w:val="24"/>
        </w:rPr>
        <w:t> </w:t>
      </w:r>
      <w:r w:rsidR="00D60CA8" w:rsidRPr="005F414A">
        <w:rPr>
          <w:rFonts w:cstheme="minorHAnsi"/>
          <w:b/>
          <w:sz w:val="24"/>
          <w:szCs w:val="24"/>
        </w:rPr>
        <w:t>Kč bez DPH.</w:t>
      </w:r>
      <w:bookmarkStart w:id="4" w:name="_Hlk127368269"/>
    </w:p>
    <w:p w14:paraId="6D773D02" w14:textId="77777777" w:rsidR="007605CA" w:rsidRDefault="007605CA" w:rsidP="00A95A6F">
      <w:pPr>
        <w:spacing w:after="0" w:line="240" w:lineRule="auto"/>
        <w:jc w:val="both"/>
        <w:rPr>
          <w:rFonts w:cstheme="minorHAnsi"/>
          <w:sz w:val="24"/>
          <w:szCs w:val="24"/>
        </w:rPr>
      </w:pPr>
    </w:p>
    <w:bookmarkEnd w:id="4"/>
    <w:p w14:paraId="6D773D03" w14:textId="72CB4F95" w:rsidR="000E7658" w:rsidRPr="005F414A" w:rsidRDefault="005F414A" w:rsidP="005F414A">
      <w:pPr>
        <w:keepNext/>
        <w:tabs>
          <w:tab w:val="left" w:pos="426"/>
        </w:tabs>
        <w:spacing w:after="0" w:line="240" w:lineRule="auto"/>
        <w:jc w:val="both"/>
        <w:rPr>
          <w:rFonts w:cstheme="minorHAnsi"/>
          <w:sz w:val="24"/>
          <w:szCs w:val="24"/>
        </w:rPr>
      </w:pPr>
      <w:r>
        <w:rPr>
          <w:rFonts w:cstheme="minorHAnsi"/>
          <w:sz w:val="24"/>
          <w:szCs w:val="24"/>
        </w:rPr>
        <w:t xml:space="preserve">1.7 </w:t>
      </w:r>
      <w:r>
        <w:rPr>
          <w:rFonts w:cstheme="minorHAnsi"/>
          <w:sz w:val="24"/>
          <w:szCs w:val="24"/>
        </w:rPr>
        <w:tab/>
      </w:r>
      <w:r w:rsidR="00781CDD" w:rsidRPr="005F414A">
        <w:rPr>
          <w:rFonts w:cstheme="minorHAnsi"/>
          <w:sz w:val="24"/>
          <w:szCs w:val="24"/>
        </w:rPr>
        <w:t>Toto celkové hodnocení se opírá</w:t>
      </w:r>
      <w:r w:rsidR="00F40B80" w:rsidRPr="005F414A">
        <w:rPr>
          <w:rFonts w:cstheme="minorHAnsi"/>
          <w:sz w:val="24"/>
          <w:szCs w:val="24"/>
        </w:rPr>
        <w:t xml:space="preserve"> o následující skutečnosti</w:t>
      </w:r>
      <w:r w:rsidR="00781CDD" w:rsidRPr="005F414A">
        <w:rPr>
          <w:rFonts w:cstheme="minorHAnsi"/>
          <w:sz w:val="24"/>
          <w:szCs w:val="24"/>
        </w:rPr>
        <w:t>:</w:t>
      </w:r>
    </w:p>
    <w:p w14:paraId="6D773D04" w14:textId="77777777" w:rsidR="003818C2" w:rsidRDefault="003818C2" w:rsidP="003818C2">
      <w:pPr>
        <w:pStyle w:val="Odstavecseseznamem"/>
        <w:keepNext/>
        <w:spacing w:after="0" w:line="240" w:lineRule="auto"/>
        <w:ind w:left="0"/>
        <w:jc w:val="both"/>
        <w:rPr>
          <w:rFonts w:cstheme="minorHAnsi"/>
          <w:sz w:val="24"/>
          <w:szCs w:val="24"/>
        </w:rPr>
      </w:pPr>
    </w:p>
    <w:p w14:paraId="6D773D05" w14:textId="596DE4A0" w:rsidR="002C78AB" w:rsidRPr="00600DEF" w:rsidRDefault="00D66DC8" w:rsidP="00F15585">
      <w:pPr>
        <w:pStyle w:val="Textkomente"/>
        <w:keepNext/>
        <w:numPr>
          <w:ilvl w:val="0"/>
          <w:numId w:val="3"/>
        </w:numPr>
        <w:spacing w:after="0"/>
        <w:ind w:left="284" w:hanging="284"/>
        <w:rPr>
          <w:b/>
          <w:sz w:val="24"/>
          <w:szCs w:val="24"/>
        </w:rPr>
      </w:pPr>
      <w:r>
        <w:rPr>
          <w:b/>
          <w:sz w:val="24"/>
          <w:szCs w:val="24"/>
        </w:rPr>
        <w:t xml:space="preserve">Systém řízení příspěvkových organizací </w:t>
      </w:r>
      <w:r w:rsidR="0067303A">
        <w:rPr>
          <w:b/>
          <w:sz w:val="24"/>
          <w:szCs w:val="24"/>
        </w:rPr>
        <w:t>a příspěvku na provoz</w:t>
      </w:r>
    </w:p>
    <w:p w14:paraId="3090EDE3" w14:textId="6249AEF7" w:rsidR="00491382" w:rsidRDefault="00491382" w:rsidP="00C177F4">
      <w:pPr>
        <w:pStyle w:val="Odstavecseseznamem"/>
        <w:numPr>
          <w:ilvl w:val="0"/>
          <w:numId w:val="5"/>
        </w:numPr>
        <w:spacing w:after="0" w:line="240" w:lineRule="auto"/>
        <w:ind w:left="567" w:hanging="283"/>
        <w:jc w:val="both"/>
        <w:rPr>
          <w:rFonts w:cstheme="minorHAnsi"/>
          <w:sz w:val="24"/>
          <w:szCs w:val="24"/>
        </w:rPr>
      </w:pPr>
      <w:r>
        <w:rPr>
          <w:rFonts w:cstheme="minorHAnsi"/>
          <w:sz w:val="24"/>
          <w:szCs w:val="24"/>
        </w:rPr>
        <w:t>Z</w:t>
      </w:r>
      <w:r w:rsidR="00BA4417" w:rsidRPr="00BA4417">
        <w:rPr>
          <w:rFonts w:cstheme="minorHAnsi"/>
          <w:sz w:val="24"/>
          <w:szCs w:val="24"/>
        </w:rPr>
        <w:t xml:space="preserve">řizovatelé </w:t>
      </w:r>
      <w:r w:rsidR="00FC12CD">
        <w:rPr>
          <w:rFonts w:cstheme="minorHAnsi"/>
          <w:sz w:val="24"/>
          <w:szCs w:val="24"/>
        </w:rPr>
        <w:t>schválili</w:t>
      </w:r>
      <w:r w:rsidR="00BA4417" w:rsidRPr="00BA4417">
        <w:rPr>
          <w:rFonts w:cstheme="minorHAnsi"/>
          <w:sz w:val="24"/>
          <w:szCs w:val="24"/>
        </w:rPr>
        <w:t xml:space="preserve"> </w:t>
      </w:r>
      <w:r>
        <w:rPr>
          <w:rFonts w:cstheme="minorHAnsi"/>
          <w:sz w:val="24"/>
          <w:szCs w:val="24"/>
        </w:rPr>
        <w:t>k</w:t>
      </w:r>
      <w:r w:rsidRPr="00BA4417">
        <w:rPr>
          <w:rFonts w:cstheme="minorHAnsi"/>
          <w:sz w:val="24"/>
          <w:szCs w:val="24"/>
        </w:rPr>
        <w:t xml:space="preserve">ontrolovaným </w:t>
      </w:r>
      <w:r>
        <w:rPr>
          <w:rFonts w:cstheme="minorHAnsi"/>
          <w:sz w:val="24"/>
          <w:szCs w:val="24"/>
        </w:rPr>
        <w:t>SPO</w:t>
      </w:r>
      <w:r w:rsidRPr="00BA4417">
        <w:rPr>
          <w:rFonts w:cstheme="minorHAnsi"/>
          <w:sz w:val="24"/>
          <w:szCs w:val="24"/>
        </w:rPr>
        <w:t xml:space="preserve"> </w:t>
      </w:r>
      <w:r w:rsidR="00BA4417" w:rsidRPr="00BA4417">
        <w:rPr>
          <w:rFonts w:cstheme="minorHAnsi"/>
          <w:sz w:val="24"/>
          <w:szCs w:val="24"/>
        </w:rPr>
        <w:t>příspěvek na provoz v roce 2019</w:t>
      </w:r>
      <w:r w:rsidR="00BB42E0">
        <w:rPr>
          <w:rFonts w:cstheme="minorHAnsi"/>
          <w:sz w:val="24"/>
          <w:szCs w:val="24"/>
        </w:rPr>
        <w:t>–</w:t>
      </w:r>
      <w:r w:rsidR="00BA4417" w:rsidRPr="00BA4417">
        <w:rPr>
          <w:rFonts w:cstheme="minorHAnsi"/>
          <w:sz w:val="24"/>
          <w:szCs w:val="24"/>
        </w:rPr>
        <w:t>2021 celkem 901,1 mil. Kč</w:t>
      </w:r>
      <w:r w:rsidR="00BA4417">
        <w:rPr>
          <w:rFonts w:cstheme="minorHAnsi"/>
          <w:sz w:val="24"/>
          <w:szCs w:val="24"/>
        </w:rPr>
        <w:t xml:space="preserve">, ze kterého </w:t>
      </w:r>
      <w:r w:rsidR="00FC12CD">
        <w:rPr>
          <w:rFonts w:cstheme="minorHAnsi"/>
          <w:sz w:val="24"/>
          <w:szCs w:val="24"/>
        </w:rPr>
        <w:t xml:space="preserve">SPO </w:t>
      </w:r>
      <w:r w:rsidR="00BA4417">
        <w:rPr>
          <w:rFonts w:cstheme="minorHAnsi"/>
          <w:sz w:val="24"/>
          <w:szCs w:val="24"/>
        </w:rPr>
        <w:t>vyčerpaly</w:t>
      </w:r>
      <w:r w:rsidR="00BA4417" w:rsidRPr="00BA4417">
        <w:rPr>
          <w:rFonts w:cstheme="minorHAnsi"/>
          <w:sz w:val="24"/>
          <w:szCs w:val="24"/>
        </w:rPr>
        <w:t xml:space="preserve"> celkem 791,8 mil. Kč</w:t>
      </w:r>
      <w:r>
        <w:rPr>
          <w:rFonts w:cstheme="minorHAnsi"/>
          <w:sz w:val="24"/>
          <w:szCs w:val="24"/>
        </w:rPr>
        <w:t xml:space="preserve"> (viz bod 4.2)</w:t>
      </w:r>
      <w:r w:rsidR="00BA4417" w:rsidRPr="00BA4417">
        <w:rPr>
          <w:rFonts w:cstheme="minorHAnsi"/>
          <w:sz w:val="24"/>
          <w:szCs w:val="24"/>
        </w:rPr>
        <w:t>.</w:t>
      </w:r>
      <w:r w:rsidR="00BA4417">
        <w:rPr>
          <w:rFonts w:cstheme="minorHAnsi"/>
          <w:sz w:val="24"/>
          <w:szCs w:val="24"/>
        </w:rPr>
        <w:t xml:space="preserve"> </w:t>
      </w:r>
    </w:p>
    <w:p w14:paraId="5DE5139E" w14:textId="4C71A1D6" w:rsidR="009152BE" w:rsidRDefault="009152BE" w:rsidP="00C177F4">
      <w:pPr>
        <w:pStyle w:val="Odstavecseseznamem"/>
        <w:numPr>
          <w:ilvl w:val="0"/>
          <w:numId w:val="5"/>
        </w:numPr>
        <w:spacing w:after="0" w:line="240" w:lineRule="auto"/>
        <w:ind w:left="567" w:hanging="283"/>
        <w:jc w:val="both"/>
        <w:rPr>
          <w:rFonts w:cstheme="minorHAnsi"/>
          <w:bCs/>
          <w:sz w:val="24"/>
          <w:szCs w:val="24"/>
        </w:rPr>
      </w:pPr>
      <w:r w:rsidRPr="00BA4417">
        <w:rPr>
          <w:rFonts w:cstheme="minorHAnsi"/>
          <w:bCs/>
          <w:sz w:val="24"/>
          <w:szCs w:val="24"/>
        </w:rPr>
        <w:t xml:space="preserve">MŽP </w:t>
      </w:r>
      <w:r w:rsidR="00A55C0C" w:rsidRPr="00BA4417">
        <w:rPr>
          <w:rFonts w:cstheme="minorHAnsi"/>
          <w:bCs/>
          <w:sz w:val="24"/>
          <w:szCs w:val="24"/>
        </w:rPr>
        <w:t>nemělo přehled o výši a potřebě finančních zdrojů jím zřízených SPO. Odborné útvary MŽP řešily s SPO věcný obsah činnosti, finanční stránka byla řešena pro všechny SPO společně</w:t>
      </w:r>
      <w:r w:rsidR="005715D9" w:rsidRPr="00BA4417">
        <w:rPr>
          <w:rFonts w:cstheme="minorHAnsi"/>
          <w:bCs/>
          <w:sz w:val="24"/>
          <w:szCs w:val="24"/>
        </w:rPr>
        <w:t xml:space="preserve"> (viz body </w:t>
      </w:r>
      <w:r w:rsidR="00BA4417">
        <w:rPr>
          <w:rFonts w:cstheme="minorHAnsi"/>
          <w:bCs/>
          <w:sz w:val="24"/>
          <w:szCs w:val="24"/>
        </w:rPr>
        <w:t>4.</w:t>
      </w:r>
      <w:r w:rsidR="005B1DFD">
        <w:rPr>
          <w:rFonts w:cstheme="minorHAnsi"/>
          <w:bCs/>
          <w:sz w:val="24"/>
          <w:szCs w:val="24"/>
        </w:rPr>
        <w:t>4</w:t>
      </w:r>
      <w:r w:rsidR="00BA4417">
        <w:rPr>
          <w:rFonts w:cstheme="minorHAnsi"/>
          <w:bCs/>
          <w:sz w:val="24"/>
          <w:szCs w:val="24"/>
        </w:rPr>
        <w:t xml:space="preserve"> až 4.</w:t>
      </w:r>
      <w:r w:rsidR="005B1DFD">
        <w:rPr>
          <w:rFonts w:cstheme="minorHAnsi"/>
          <w:bCs/>
          <w:sz w:val="24"/>
          <w:szCs w:val="24"/>
        </w:rPr>
        <w:t>6</w:t>
      </w:r>
      <w:r w:rsidR="005715D9" w:rsidRPr="00BA4417">
        <w:rPr>
          <w:rFonts w:cstheme="minorHAnsi"/>
          <w:bCs/>
          <w:sz w:val="24"/>
          <w:szCs w:val="24"/>
        </w:rPr>
        <w:t>)</w:t>
      </w:r>
      <w:r w:rsidR="00491382">
        <w:rPr>
          <w:rFonts w:cstheme="minorHAnsi"/>
          <w:bCs/>
          <w:sz w:val="24"/>
          <w:szCs w:val="24"/>
        </w:rPr>
        <w:t>.</w:t>
      </w:r>
    </w:p>
    <w:p w14:paraId="2EA7990D" w14:textId="679D7EF2" w:rsidR="003F5000" w:rsidRPr="003F5000" w:rsidRDefault="003F5000" w:rsidP="00C177F4">
      <w:pPr>
        <w:pStyle w:val="Odstavecseseznamem"/>
        <w:numPr>
          <w:ilvl w:val="0"/>
          <w:numId w:val="5"/>
        </w:numPr>
        <w:spacing w:after="0" w:line="240" w:lineRule="auto"/>
        <w:ind w:left="567" w:hanging="283"/>
        <w:jc w:val="both"/>
        <w:rPr>
          <w:rFonts w:cstheme="minorHAnsi"/>
          <w:bCs/>
          <w:sz w:val="24"/>
          <w:szCs w:val="24"/>
        </w:rPr>
      </w:pPr>
      <w:r>
        <w:rPr>
          <w:rFonts w:cstheme="minorHAnsi"/>
          <w:bCs/>
          <w:sz w:val="24"/>
          <w:szCs w:val="24"/>
        </w:rPr>
        <w:t>ÚZEI na plnění výzkumných záměrů vynaložil v letech 201</w:t>
      </w:r>
      <w:r w:rsidR="002E3BF6">
        <w:rPr>
          <w:rFonts w:cstheme="minorHAnsi"/>
          <w:bCs/>
          <w:sz w:val="24"/>
          <w:szCs w:val="24"/>
        </w:rPr>
        <w:t>9</w:t>
      </w:r>
      <w:r w:rsidR="00BB42E0">
        <w:rPr>
          <w:rFonts w:cstheme="minorHAnsi"/>
          <w:sz w:val="24"/>
          <w:szCs w:val="24"/>
        </w:rPr>
        <w:t>–</w:t>
      </w:r>
      <w:r>
        <w:rPr>
          <w:rFonts w:cstheme="minorHAnsi"/>
          <w:bCs/>
          <w:sz w:val="24"/>
          <w:szCs w:val="24"/>
        </w:rPr>
        <w:t xml:space="preserve">2021 částečně neúčelně peněžní prostředky ve výši 29,6 mil. Kč, </w:t>
      </w:r>
      <w:r w:rsidR="006D5EC9">
        <w:rPr>
          <w:rFonts w:cstheme="minorHAnsi"/>
          <w:bCs/>
          <w:sz w:val="24"/>
          <w:szCs w:val="24"/>
        </w:rPr>
        <w:t>když</w:t>
      </w:r>
      <w:r>
        <w:rPr>
          <w:rFonts w:cstheme="minorHAnsi"/>
          <w:bCs/>
          <w:sz w:val="24"/>
          <w:szCs w:val="24"/>
        </w:rPr>
        <w:t xml:space="preserve"> </w:t>
      </w:r>
      <w:r w:rsidR="00A41AC6">
        <w:rPr>
          <w:rFonts w:cstheme="minorHAnsi"/>
          <w:bCs/>
          <w:sz w:val="24"/>
          <w:szCs w:val="24"/>
        </w:rPr>
        <w:t xml:space="preserve">ani v jednom roce </w:t>
      </w:r>
      <w:r>
        <w:rPr>
          <w:rFonts w:cstheme="minorHAnsi"/>
          <w:bCs/>
          <w:sz w:val="24"/>
          <w:szCs w:val="24"/>
        </w:rPr>
        <w:t>ne</w:t>
      </w:r>
      <w:r w:rsidR="00A41AC6">
        <w:rPr>
          <w:rFonts w:cstheme="minorHAnsi"/>
          <w:bCs/>
          <w:sz w:val="24"/>
          <w:szCs w:val="24"/>
        </w:rPr>
        <w:t>na</w:t>
      </w:r>
      <w:r>
        <w:rPr>
          <w:rFonts w:cstheme="minorHAnsi"/>
          <w:bCs/>
          <w:sz w:val="24"/>
          <w:szCs w:val="24"/>
        </w:rPr>
        <w:t>plnil jeden ze tří výzkumných cílů při plnění stanovených úkolů</w:t>
      </w:r>
      <w:r w:rsidR="0000191B">
        <w:rPr>
          <w:rFonts w:cstheme="minorHAnsi"/>
          <w:bCs/>
          <w:sz w:val="24"/>
          <w:szCs w:val="24"/>
        </w:rPr>
        <w:t xml:space="preserve"> (viz bod 4.</w:t>
      </w:r>
      <w:r w:rsidR="005B1DFD">
        <w:rPr>
          <w:rFonts w:cstheme="minorHAnsi"/>
          <w:bCs/>
          <w:sz w:val="24"/>
          <w:szCs w:val="24"/>
        </w:rPr>
        <w:t>9</w:t>
      </w:r>
      <w:r w:rsidR="0000191B">
        <w:rPr>
          <w:rFonts w:cstheme="minorHAnsi"/>
          <w:bCs/>
          <w:sz w:val="24"/>
          <w:szCs w:val="24"/>
        </w:rPr>
        <w:t>).</w:t>
      </w:r>
    </w:p>
    <w:p w14:paraId="14C1C622" w14:textId="7119A7ED" w:rsidR="00F44933" w:rsidRDefault="00F44933" w:rsidP="002C78AB">
      <w:pPr>
        <w:pStyle w:val="Textkomente"/>
        <w:spacing w:after="0"/>
        <w:rPr>
          <w:sz w:val="24"/>
          <w:szCs w:val="24"/>
        </w:rPr>
      </w:pPr>
    </w:p>
    <w:p w14:paraId="6D773D0B" w14:textId="7621B490" w:rsidR="002C78AB" w:rsidRPr="00600DEF" w:rsidRDefault="00162C95" w:rsidP="00F15585">
      <w:pPr>
        <w:pStyle w:val="Textkomente"/>
        <w:keepNext/>
        <w:numPr>
          <w:ilvl w:val="0"/>
          <w:numId w:val="3"/>
        </w:numPr>
        <w:spacing w:after="0"/>
        <w:ind w:left="284" w:hanging="284"/>
        <w:rPr>
          <w:b/>
          <w:sz w:val="24"/>
          <w:szCs w:val="24"/>
        </w:rPr>
      </w:pPr>
      <w:r>
        <w:rPr>
          <w:b/>
          <w:sz w:val="24"/>
          <w:szCs w:val="24"/>
        </w:rPr>
        <w:t xml:space="preserve">Nákup </w:t>
      </w:r>
      <w:r w:rsidR="00781CDD">
        <w:rPr>
          <w:b/>
          <w:sz w:val="24"/>
          <w:szCs w:val="24"/>
        </w:rPr>
        <w:t xml:space="preserve">služeb, pro které byly </w:t>
      </w:r>
      <w:r w:rsidR="008A7D51">
        <w:rPr>
          <w:b/>
          <w:sz w:val="24"/>
          <w:szCs w:val="24"/>
        </w:rPr>
        <w:t>státní příspěvkové organizace</w:t>
      </w:r>
      <w:r w:rsidR="00781CDD">
        <w:rPr>
          <w:b/>
          <w:sz w:val="24"/>
          <w:szCs w:val="24"/>
        </w:rPr>
        <w:t xml:space="preserve"> zřízeny</w:t>
      </w:r>
    </w:p>
    <w:p w14:paraId="2CC5F07C" w14:textId="6BAF15BF" w:rsidR="00F44933" w:rsidRPr="00AE2328" w:rsidRDefault="00F44933" w:rsidP="00F15585">
      <w:pPr>
        <w:pStyle w:val="Odstavecseseznamem"/>
        <w:numPr>
          <w:ilvl w:val="0"/>
          <w:numId w:val="12"/>
        </w:numPr>
        <w:spacing w:after="0" w:line="240" w:lineRule="auto"/>
        <w:ind w:left="567" w:hanging="283"/>
        <w:jc w:val="both"/>
        <w:rPr>
          <w:rFonts w:cstheme="minorHAnsi"/>
          <w:bCs/>
          <w:sz w:val="24"/>
          <w:szCs w:val="24"/>
        </w:rPr>
      </w:pPr>
      <w:r w:rsidRPr="00AE2328">
        <w:rPr>
          <w:rFonts w:cstheme="minorHAnsi"/>
          <w:bCs/>
          <w:sz w:val="24"/>
          <w:szCs w:val="24"/>
        </w:rPr>
        <w:t>Podíl dodavatelských služeb na celkových nákladech CENIA v kontrolovaném období rostl. V roce 2021 představoval objem nákladů vynaložených na nákup služeb od</w:t>
      </w:r>
      <w:r w:rsidR="005C52E8" w:rsidRPr="00AE2328">
        <w:rPr>
          <w:rFonts w:cstheme="minorHAnsi"/>
          <w:bCs/>
          <w:sz w:val="24"/>
          <w:szCs w:val="24"/>
        </w:rPr>
        <w:t> </w:t>
      </w:r>
      <w:r w:rsidRPr="00AE2328">
        <w:rPr>
          <w:rFonts w:cstheme="minorHAnsi"/>
          <w:bCs/>
          <w:sz w:val="24"/>
          <w:szCs w:val="24"/>
        </w:rPr>
        <w:t>externích dodavatelů téměř 44 % z celkových nákladů této SPO (viz bod 4.1</w:t>
      </w:r>
      <w:r w:rsidR="005B1DFD">
        <w:rPr>
          <w:rFonts w:cstheme="minorHAnsi"/>
          <w:bCs/>
          <w:sz w:val="24"/>
          <w:szCs w:val="24"/>
        </w:rPr>
        <w:t>1</w:t>
      </w:r>
      <w:r w:rsidRPr="00AE2328">
        <w:rPr>
          <w:rFonts w:cstheme="minorHAnsi"/>
          <w:bCs/>
          <w:sz w:val="24"/>
          <w:szCs w:val="24"/>
        </w:rPr>
        <w:t>).</w:t>
      </w:r>
    </w:p>
    <w:p w14:paraId="394500A2" w14:textId="46556027" w:rsidR="00132EDD" w:rsidRPr="00132EDD" w:rsidRDefault="005134BF" w:rsidP="00F15585">
      <w:pPr>
        <w:pStyle w:val="Odstavecseseznamem"/>
        <w:numPr>
          <w:ilvl w:val="0"/>
          <w:numId w:val="12"/>
        </w:numPr>
        <w:spacing w:after="0" w:line="240" w:lineRule="auto"/>
        <w:ind w:left="567" w:hanging="283"/>
        <w:jc w:val="both"/>
        <w:rPr>
          <w:rFonts w:cstheme="minorHAnsi"/>
          <w:b/>
          <w:sz w:val="24"/>
          <w:szCs w:val="24"/>
        </w:rPr>
      </w:pPr>
      <w:r w:rsidRPr="00132EDD">
        <w:rPr>
          <w:rFonts w:cstheme="minorHAnsi"/>
          <w:bCs/>
          <w:sz w:val="24"/>
          <w:szCs w:val="24"/>
        </w:rPr>
        <w:lastRenderedPageBreak/>
        <w:t>CENIA</w:t>
      </w:r>
      <w:r w:rsidR="00476D75" w:rsidRPr="00132EDD">
        <w:rPr>
          <w:rFonts w:cstheme="minorHAnsi"/>
          <w:bCs/>
          <w:sz w:val="24"/>
          <w:szCs w:val="24"/>
        </w:rPr>
        <w:t xml:space="preserve"> a </w:t>
      </w:r>
      <w:r w:rsidRPr="00132EDD">
        <w:rPr>
          <w:rFonts w:cstheme="minorHAnsi"/>
          <w:bCs/>
          <w:sz w:val="24"/>
          <w:szCs w:val="24"/>
        </w:rPr>
        <w:t xml:space="preserve">ÚZEI nakupovaly služby od externích dodavatelů, aniž by provedly </w:t>
      </w:r>
      <w:r w:rsidR="00CC623D">
        <w:rPr>
          <w:rFonts w:cstheme="minorHAnsi"/>
          <w:bCs/>
          <w:sz w:val="24"/>
          <w:szCs w:val="24"/>
        </w:rPr>
        <w:t>posouzení</w:t>
      </w:r>
      <w:r w:rsidRPr="00132EDD">
        <w:rPr>
          <w:rFonts w:cstheme="minorHAnsi"/>
          <w:bCs/>
          <w:sz w:val="24"/>
          <w:szCs w:val="24"/>
        </w:rPr>
        <w:t xml:space="preserve">, </w:t>
      </w:r>
      <w:r w:rsidR="00BB42E0">
        <w:rPr>
          <w:rFonts w:cstheme="minorHAnsi"/>
          <w:bCs/>
          <w:sz w:val="24"/>
          <w:szCs w:val="24"/>
        </w:rPr>
        <w:t>zda</w:t>
      </w:r>
      <w:r w:rsidRPr="00132EDD">
        <w:rPr>
          <w:rFonts w:cstheme="minorHAnsi"/>
          <w:bCs/>
          <w:sz w:val="24"/>
          <w:szCs w:val="24"/>
        </w:rPr>
        <w:t xml:space="preserve"> se jedná o ekonomicky nejvýhodnější řešení</w:t>
      </w:r>
      <w:r w:rsidR="00F44933">
        <w:rPr>
          <w:rFonts w:cstheme="minorHAnsi"/>
          <w:bCs/>
          <w:sz w:val="24"/>
          <w:szCs w:val="24"/>
        </w:rPr>
        <w:t xml:space="preserve"> (viz body 4.1</w:t>
      </w:r>
      <w:r w:rsidR="005B1DFD">
        <w:rPr>
          <w:rFonts w:cstheme="minorHAnsi"/>
          <w:bCs/>
          <w:sz w:val="24"/>
          <w:szCs w:val="24"/>
        </w:rPr>
        <w:t>2</w:t>
      </w:r>
      <w:r w:rsidR="00F44933">
        <w:rPr>
          <w:rFonts w:cstheme="minorHAnsi"/>
          <w:bCs/>
          <w:sz w:val="24"/>
          <w:szCs w:val="24"/>
        </w:rPr>
        <w:t xml:space="preserve"> – 4.</w:t>
      </w:r>
      <w:r w:rsidR="00D629DA">
        <w:rPr>
          <w:rFonts w:cstheme="minorHAnsi"/>
          <w:bCs/>
          <w:sz w:val="24"/>
          <w:szCs w:val="24"/>
        </w:rPr>
        <w:t>1</w:t>
      </w:r>
      <w:r w:rsidR="005B1DFD">
        <w:rPr>
          <w:rFonts w:cstheme="minorHAnsi"/>
          <w:bCs/>
          <w:sz w:val="24"/>
          <w:szCs w:val="24"/>
        </w:rPr>
        <w:t>3</w:t>
      </w:r>
      <w:r w:rsidR="00F44933">
        <w:rPr>
          <w:rFonts w:cstheme="minorHAnsi"/>
          <w:bCs/>
          <w:sz w:val="24"/>
          <w:szCs w:val="24"/>
        </w:rPr>
        <w:t>)</w:t>
      </w:r>
      <w:r w:rsidRPr="00132EDD">
        <w:rPr>
          <w:rFonts w:cstheme="minorHAnsi"/>
          <w:bCs/>
          <w:sz w:val="24"/>
          <w:szCs w:val="24"/>
        </w:rPr>
        <w:t>.</w:t>
      </w:r>
      <w:r w:rsidR="00132EDD" w:rsidRPr="00132EDD">
        <w:rPr>
          <w:rFonts w:cstheme="minorHAnsi"/>
          <w:bCs/>
          <w:sz w:val="24"/>
          <w:szCs w:val="24"/>
        </w:rPr>
        <w:t xml:space="preserve"> </w:t>
      </w:r>
    </w:p>
    <w:p w14:paraId="673EF6BD" w14:textId="1729740A" w:rsidR="00F44933" w:rsidRPr="008A7D51" w:rsidRDefault="00F44933" w:rsidP="00F15585">
      <w:pPr>
        <w:pStyle w:val="Odstavecseseznamem"/>
        <w:numPr>
          <w:ilvl w:val="0"/>
          <w:numId w:val="8"/>
        </w:numPr>
        <w:spacing w:after="0" w:line="240" w:lineRule="auto"/>
        <w:ind w:left="567" w:hanging="283"/>
        <w:jc w:val="both"/>
        <w:rPr>
          <w:rFonts w:cstheme="minorHAnsi"/>
          <w:bCs/>
          <w:sz w:val="24"/>
          <w:szCs w:val="24"/>
        </w:rPr>
      </w:pPr>
      <w:r>
        <w:rPr>
          <w:rFonts w:ascii="Calibri" w:eastAsia="Calibri" w:hAnsi="Calibri" w:cs="Calibri"/>
          <w:sz w:val="24"/>
          <w:szCs w:val="24"/>
        </w:rPr>
        <w:t>P</w:t>
      </w:r>
      <w:r w:rsidRPr="00104598">
        <w:rPr>
          <w:rFonts w:ascii="Calibri" w:eastAsia="Calibri" w:hAnsi="Calibri" w:cs="Calibri"/>
          <w:sz w:val="24"/>
          <w:szCs w:val="24"/>
        </w:rPr>
        <w:t>odíl nakupovaných služeb na celkových nákladech ČAS se v letech 201</w:t>
      </w:r>
      <w:r w:rsidR="00D629DA">
        <w:rPr>
          <w:rFonts w:ascii="Calibri" w:eastAsia="Calibri" w:hAnsi="Calibri" w:cs="Calibri"/>
          <w:sz w:val="24"/>
          <w:szCs w:val="24"/>
        </w:rPr>
        <w:t>9</w:t>
      </w:r>
      <w:r w:rsidRPr="00104598">
        <w:rPr>
          <w:rFonts w:ascii="Calibri" w:eastAsia="Calibri" w:hAnsi="Calibri" w:cs="Calibri"/>
          <w:sz w:val="24"/>
          <w:szCs w:val="24"/>
        </w:rPr>
        <w:t xml:space="preserve"> až 2021 pohyboval v rozmezí 3</w:t>
      </w:r>
      <w:r>
        <w:rPr>
          <w:rFonts w:ascii="Calibri" w:eastAsia="Calibri" w:hAnsi="Calibri" w:cs="Calibri"/>
          <w:sz w:val="24"/>
          <w:szCs w:val="24"/>
        </w:rPr>
        <w:t>9</w:t>
      </w:r>
      <w:r w:rsidRPr="00104598">
        <w:rPr>
          <w:rFonts w:ascii="Calibri" w:eastAsia="Calibri" w:hAnsi="Calibri" w:cs="Calibri"/>
          <w:sz w:val="24"/>
          <w:szCs w:val="24"/>
        </w:rPr>
        <w:t xml:space="preserve"> % až 45 %</w:t>
      </w:r>
      <w:r>
        <w:rPr>
          <w:rFonts w:ascii="Calibri" w:eastAsia="Calibri" w:hAnsi="Calibri" w:cs="Calibri"/>
          <w:sz w:val="24"/>
          <w:szCs w:val="24"/>
        </w:rPr>
        <w:t xml:space="preserve"> (viz bod 4.</w:t>
      </w:r>
      <w:r w:rsidR="00D629DA">
        <w:rPr>
          <w:rFonts w:ascii="Calibri" w:eastAsia="Calibri" w:hAnsi="Calibri" w:cs="Calibri"/>
          <w:sz w:val="24"/>
          <w:szCs w:val="24"/>
        </w:rPr>
        <w:t>1</w:t>
      </w:r>
      <w:r w:rsidR="005B1DFD">
        <w:rPr>
          <w:rFonts w:ascii="Calibri" w:eastAsia="Calibri" w:hAnsi="Calibri" w:cs="Calibri"/>
          <w:sz w:val="24"/>
          <w:szCs w:val="24"/>
        </w:rPr>
        <w:t>4</w:t>
      </w:r>
      <w:r>
        <w:rPr>
          <w:rFonts w:ascii="Calibri" w:eastAsia="Calibri" w:hAnsi="Calibri" w:cs="Calibri"/>
          <w:sz w:val="24"/>
          <w:szCs w:val="24"/>
        </w:rPr>
        <w:t>)</w:t>
      </w:r>
      <w:r w:rsidRPr="00104598">
        <w:rPr>
          <w:rFonts w:ascii="Calibri" w:eastAsia="Calibri" w:hAnsi="Calibri" w:cs="Calibri"/>
          <w:sz w:val="24"/>
          <w:szCs w:val="24"/>
        </w:rPr>
        <w:t>.</w:t>
      </w:r>
    </w:p>
    <w:p w14:paraId="6CC21AF2" w14:textId="64C17363" w:rsidR="009D3F44" w:rsidRPr="00132EDD" w:rsidRDefault="009D3F44" w:rsidP="00F15585">
      <w:pPr>
        <w:pStyle w:val="Odstavecseseznamem"/>
        <w:numPr>
          <w:ilvl w:val="0"/>
          <w:numId w:val="8"/>
        </w:numPr>
        <w:spacing w:after="0" w:line="240" w:lineRule="auto"/>
        <w:ind w:left="567" w:hanging="283"/>
        <w:jc w:val="both"/>
        <w:rPr>
          <w:rFonts w:cstheme="minorHAnsi"/>
          <w:b/>
          <w:sz w:val="24"/>
          <w:szCs w:val="24"/>
        </w:rPr>
      </w:pPr>
      <w:r w:rsidRPr="00132EDD">
        <w:rPr>
          <w:rFonts w:cstheme="minorHAnsi"/>
          <w:bCs/>
          <w:sz w:val="24"/>
          <w:szCs w:val="24"/>
        </w:rPr>
        <w:t xml:space="preserve">ČAS </w:t>
      </w:r>
      <w:r w:rsidR="009F3EA3">
        <w:rPr>
          <w:rFonts w:cstheme="minorHAnsi"/>
          <w:bCs/>
          <w:sz w:val="24"/>
          <w:szCs w:val="24"/>
        </w:rPr>
        <w:t>nehodnotila</w:t>
      </w:r>
      <w:r w:rsidRPr="00132EDD">
        <w:rPr>
          <w:rFonts w:cstheme="minorHAnsi"/>
          <w:bCs/>
          <w:sz w:val="24"/>
          <w:szCs w:val="24"/>
        </w:rPr>
        <w:t xml:space="preserve"> ekonomický dopad zadání služeb externímu subjektu s ohledem na</w:t>
      </w:r>
      <w:r w:rsidR="00F15585">
        <w:rPr>
          <w:rFonts w:cstheme="minorHAnsi"/>
          <w:bCs/>
          <w:sz w:val="24"/>
          <w:szCs w:val="24"/>
        </w:rPr>
        <w:t xml:space="preserve"> </w:t>
      </w:r>
      <w:r w:rsidRPr="00132EDD">
        <w:rPr>
          <w:rFonts w:cstheme="minorHAnsi"/>
          <w:bCs/>
          <w:sz w:val="24"/>
          <w:szCs w:val="24"/>
        </w:rPr>
        <w:t>minimalizaci nákladů</w:t>
      </w:r>
      <w:r w:rsidR="00CC623D">
        <w:rPr>
          <w:rFonts w:cstheme="minorHAnsi"/>
          <w:bCs/>
          <w:sz w:val="24"/>
          <w:szCs w:val="24"/>
        </w:rPr>
        <w:t xml:space="preserve"> organizace </w:t>
      </w:r>
      <w:r w:rsidR="00F44933">
        <w:rPr>
          <w:rFonts w:cstheme="minorHAnsi"/>
          <w:bCs/>
          <w:sz w:val="24"/>
          <w:szCs w:val="24"/>
        </w:rPr>
        <w:t>(viz bod 4.</w:t>
      </w:r>
      <w:r w:rsidR="00D629DA">
        <w:rPr>
          <w:rFonts w:cstheme="minorHAnsi"/>
          <w:bCs/>
          <w:sz w:val="24"/>
          <w:szCs w:val="24"/>
        </w:rPr>
        <w:t>1</w:t>
      </w:r>
      <w:r w:rsidR="005B1DFD">
        <w:rPr>
          <w:rFonts w:cstheme="minorHAnsi"/>
          <w:bCs/>
          <w:sz w:val="24"/>
          <w:szCs w:val="24"/>
        </w:rPr>
        <w:t>5</w:t>
      </w:r>
      <w:r w:rsidR="00F44933">
        <w:rPr>
          <w:rFonts w:cstheme="minorHAnsi"/>
          <w:bCs/>
          <w:sz w:val="24"/>
          <w:szCs w:val="24"/>
        </w:rPr>
        <w:t>)</w:t>
      </w:r>
      <w:r w:rsidRPr="00132EDD">
        <w:rPr>
          <w:rFonts w:cstheme="minorHAnsi"/>
          <w:bCs/>
          <w:sz w:val="24"/>
          <w:szCs w:val="24"/>
        </w:rPr>
        <w:t>.</w:t>
      </w:r>
    </w:p>
    <w:p w14:paraId="6D773D16" w14:textId="77777777" w:rsidR="00A3612D" w:rsidRDefault="00A3612D" w:rsidP="00A3612D">
      <w:pPr>
        <w:pStyle w:val="Textkomente"/>
        <w:spacing w:after="0"/>
        <w:rPr>
          <w:sz w:val="24"/>
          <w:szCs w:val="24"/>
        </w:rPr>
      </w:pPr>
    </w:p>
    <w:p w14:paraId="6D773D17" w14:textId="1242A9F1" w:rsidR="00B4537C" w:rsidRDefault="00781CDD" w:rsidP="002E13BF">
      <w:pPr>
        <w:pStyle w:val="Textkomente"/>
        <w:numPr>
          <w:ilvl w:val="0"/>
          <w:numId w:val="3"/>
        </w:numPr>
        <w:spacing w:after="0"/>
        <w:ind w:left="284" w:hanging="284"/>
        <w:rPr>
          <w:b/>
          <w:sz w:val="24"/>
          <w:szCs w:val="24"/>
        </w:rPr>
      </w:pPr>
      <w:r w:rsidRPr="00B4537C">
        <w:rPr>
          <w:b/>
          <w:sz w:val="24"/>
          <w:szCs w:val="24"/>
        </w:rPr>
        <w:t>Sponzorovaný přístup k </w:t>
      </w:r>
      <w:r w:rsidR="00ED25AA">
        <w:rPr>
          <w:b/>
          <w:sz w:val="24"/>
          <w:szCs w:val="24"/>
        </w:rPr>
        <w:t>českým</w:t>
      </w:r>
      <w:r w:rsidRPr="00B4537C">
        <w:rPr>
          <w:b/>
          <w:sz w:val="24"/>
          <w:szCs w:val="24"/>
        </w:rPr>
        <w:t xml:space="preserve"> technickým dokumentům</w:t>
      </w:r>
    </w:p>
    <w:p w14:paraId="7C80651A" w14:textId="50231347" w:rsidR="00DF3D24" w:rsidRPr="00B4537C" w:rsidRDefault="00DF3D24" w:rsidP="00F15585">
      <w:pPr>
        <w:pStyle w:val="Textkomente"/>
        <w:numPr>
          <w:ilvl w:val="0"/>
          <w:numId w:val="9"/>
        </w:numPr>
        <w:spacing w:after="0"/>
        <w:ind w:left="567" w:hanging="283"/>
        <w:jc w:val="both"/>
        <w:rPr>
          <w:b/>
          <w:sz w:val="24"/>
          <w:szCs w:val="24"/>
        </w:rPr>
      </w:pPr>
      <w:r>
        <w:rPr>
          <w:bCs/>
          <w:sz w:val="24"/>
          <w:szCs w:val="24"/>
        </w:rPr>
        <w:t xml:space="preserve">Za přístup veřejnosti k českým technickým normám a jiným technickým dokumentům zaplatili </w:t>
      </w:r>
      <w:r w:rsidR="00C93651">
        <w:rPr>
          <w:bCs/>
          <w:sz w:val="24"/>
          <w:szCs w:val="24"/>
        </w:rPr>
        <w:t xml:space="preserve">tzv. </w:t>
      </w:r>
      <w:r>
        <w:rPr>
          <w:bCs/>
          <w:sz w:val="24"/>
          <w:szCs w:val="24"/>
        </w:rPr>
        <w:t>sponzoři (převážně ministerstva) více než 100 mil. Kč ročně</w:t>
      </w:r>
      <w:r w:rsidR="00CE220A">
        <w:rPr>
          <w:bCs/>
          <w:sz w:val="24"/>
          <w:szCs w:val="24"/>
        </w:rPr>
        <w:t xml:space="preserve"> (viz bod 4.</w:t>
      </w:r>
      <w:r w:rsidR="00B661AF">
        <w:rPr>
          <w:bCs/>
          <w:sz w:val="24"/>
          <w:szCs w:val="24"/>
        </w:rPr>
        <w:t>1</w:t>
      </w:r>
      <w:r w:rsidR="005B1DFD">
        <w:rPr>
          <w:bCs/>
          <w:sz w:val="24"/>
          <w:szCs w:val="24"/>
        </w:rPr>
        <w:t>7</w:t>
      </w:r>
      <w:r w:rsidR="00CE220A">
        <w:rPr>
          <w:bCs/>
          <w:sz w:val="24"/>
          <w:szCs w:val="24"/>
        </w:rPr>
        <w:t>).</w:t>
      </w:r>
    </w:p>
    <w:p w14:paraId="6D773D18" w14:textId="1ED62663" w:rsidR="00A3612D" w:rsidRPr="00DF3D24" w:rsidRDefault="00781CDD" w:rsidP="00F15585">
      <w:pPr>
        <w:pStyle w:val="Odstavecseseznamem"/>
        <w:numPr>
          <w:ilvl w:val="0"/>
          <w:numId w:val="9"/>
        </w:numPr>
        <w:spacing w:after="0" w:line="240" w:lineRule="auto"/>
        <w:ind w:left="567" w:hanging="283"/>
        <w:jc w:val="both"/>
        <w:rPr>
          <w:rFonts w:cstheme="minorHAnsi"/>
          <w:sz w:val="24"/>
          <w:szCs w:val="24"/>
        </w:rPr>
      </w:pPr>
      <w:r w:rsidRPr="00DF3D24">
        <w:rPr>
          <w:rFonts w:cstheme="minorHAnsi"/>
          <w:sz w:val="24"/>
          <w:szCs w:val="24"/>
        </w:rPr>
        <w:t>Příjemcem poplatku za sponzorovaný přístup k českým technickým normám a</w:t>
      </w:r>
      <w:r w:rsidR="00D8703A">
        <w:rPr>
          <w:rFonts w:cstheme="minorHAnsi"/>
          <w:sz w:val="24"/>
          <w:szCs w:val="24"/>
        </w:rPr>
        <w:t> </w:t>
      </w:r>
      <w:r w:rsidRPr="00DF3D24">
        <w:rPr>
          <w:rFonts w:cstheme="minorHAnsi"/>
          <w:sz w:val="24"/>
          <w:szCs w:val="24"/>
        </w:rPr>
        <w:t>jiným</w:t>
      </w:r>
      <w:r w:rsidR="00BB42E0">
        <w:rPr>
          <w:rFonts w:cstheme="minorHAnsi"/>
          <w:sz w:val="24"/>
          <w:szCs w:val="24"/>
        </w:rPr>
        <w:t xml:space="preserve"> </w:t>
      </w:r>
      <w:r w:rsidRPr="00DF3D24">
        <w:rPr>
          <w:rFonts w:cstheme="minorHAnsi"/>
          <w:sz w:val="24"/>
          <w:szCs w:val="24"/>
        </w:rPr>
        <w:t xml:space="preserve">technickým dokumentům je </w:t>
      </w:r>
      <w:r w:rsidR="00B4537C" w:rsidRPr="00DF3D24">
        <w:rPr>
          <w:rFonts w:cstheme="minorHAnsi"/>
          <w:sz w:val="24"/>
          <w:szCs w:val="24"/>
        </w:rPr>
        <w:t>na základě zákona č. 22/1997 Sb. a vyhlášky č.</w:t>
      </w:r>
      <w:r w:rsidR="003909BF">
        <w:rPr>
          <w:rFonts w:cstheme="minorHAnsi"/>
          <w:sz w:val="24"/>
          <w:szCs w:val="24"/>
        </w:rPr>
        <w:t> </w:t>
      </w:r>
      <w:r w:rsidR="00B4537C" w:rsidRPr="00DF3D24">
        <w:rPr>
          <w:rFonts w:cstheme="minorHAnsi"/>
          <w:sz w:val="24"/>
          <w:szCs w:val="24"/>
        </w:rPr>
        <w:t>571/2020</w:t>
      </w:r>
      <w:r w:rsidR="003909BF">
        <w:rPr>
          <w:rFonts w:cstheme="minorHAnsi"/>
          <w:sz w:val="24"/>
          <w:szCs w:val="24"/>
        </w:rPr>
        <w:t> </w:t>
      </w:r>
      <w:r w:rsidR="00B4537C" w:rsidRPr="00DF3D24">
        <w:rPr>
          <w:rFonts w:cstheme="minorHAnsi"/>
          <w:sz w:val="24"/>
          <w:szCs w:val="24"/>
        </w:rPr>
        <w:t>Sb.</w:t>
      </w:r>
      <w:r>
        <w:rPr>
          <w:rStyle w:val="Znakapoznpodarou"/>
          <w:rFonts w:cstheme="minorHAnsi"/>
          <w:sz w:val="24"/>
          <w:szCs w:val="24"/>
        </w:rPr>
        <w:footnoteReference w:id="3"/>
      </w:r>
      <w:r w:rsidR="00B4537C" w:rsidRPr="00DF3D24">
        <w:rPr>
          <w:rFonts w:cstheme="minorHAnsi"/>
          <w:sz w:val="24"/>
          <w:szCs w:val="24"/>
        </w:rPr>
        <w:t xml:space="preserve"> </w:t>
      </w:r>
      <w:r w:rsidR="00DF3D24">
        <w:rPr>
          <w:rFonts w:cstheme="minorHAnsi"/>
          <w:sz w:val="24"/>
          <w:szCs w:val="24"/>
        </w:rPr>
        <w:t>S</w:t>
      </w:r>
      <w:r w:rsidR="00EC130E" w:rsidRPr="00DF3D24">
        <w:rPr>
          <w:rFonts w:cstheme="minorHAnsi"/>
          <w:sz w:val="24"/>
          <w:szCs w:val="24"/>
        </w:rPr>
        <w:t>PO</w:t>
      </w:r>
      <w:r w:rsidR="00B4537C" w:rsidRPr="00DF3D24">
        <w:rPr>
          <w:rFonts w:cstheme="minorHAnsi"/>
          <w:sz w:val="24"/>
          <w:szCs w:val="24"/>
        </w:rPr>
        <w:t xml:space="preserve"> ČAS. Poplatek hradí ministerstva nebo jiné ústřední orgány ze</w:t>
      </w:r>
      <w:r w:rsidR="00F15585">
        <w:rPr>
          <w:rFonts w:cstheme="minorHAnsi"/>
          <w:sz w:val="24"/>
          <w:szCs w:val="24"/>
        </w:rPr>
        <w:t xml:space="preserve"> </w:t>
      </w:r>
      <w:r w:rsidR="00B4537C" w:rsidRPr="00DF3D24">
        <w:rPr>
          <w:rFonts w:cstheme="minorHAnsi"/>
          <w:sz w:val="24"/>
          <w:szCs w:val="24"/>
        </w:rPr>
        <w:t xml:space="preserve">státního rozpočtu. </w:t>
      </w:r>
      <w:r w:rsidR="009B7622" w:rsidRPr="009B7622">
        <w:rPr>
          <w:rFonts w:cstheme="minorHAnsi"/>
          <w:sz w:val="24"/>
          <w:szCs w:val="24"/>
        </w:rPr>
        <w:t>Poplatek</w:t>
      </w:r>
      <w:r w:rsidR="009B7622">
        <w:rPr>
          <w:rFonts w:cstheme="minorHAnsi"/>
          <w:sz w:val="24"/>
          <w:szCs w:val="24"/>
        </w:rPr>
        <w:t xml:space="preserve"> </w:t>
      </w:r>
      <w:r w:rsidR="009B7622" w:rsidRPr="009B7622">
        <w:rPr>
          <w:rFonts w:cstheme="minorHAnsi"/>
          <w:sz w:val="24"/>
          <w:szCs w:val="24"/>
        </w:rPr>
        <w:t>je hrazen na základě odhadu počtu uživatelů, nikoliv na</w:t>
      </w:r>
      <w:r w:rsidR="00F15585">
        <w:rPr>
          <w:rFonts w:cstheme="minorHAnsi"/>
          <w:sz w:val="24"/>
          <w:szCs w:val="24"/>
        </w:rPr>
        <w:t xml:space="preserve"> </w:t>
      </w:r>
      <w:r w:rsidR="009B7622" w:rsidRPr="009B7622">
        <w:rPr>
          <w:rFonts w:cstheme="minorHAnsi"/>
          <w:sz w:val="24"/>
          <w:szCs w:val="24"/>
        </w:rPr>
        <w:t>základě jejich reálného počtu</w:t>
      </w:r>
      <w:r w:rsidR="009C7CF8">
        <w:rPr>
          <w:rStyle w:val="Znakapoznpodarou"/>
          <w:rFonts w:cstheme="minorHAnsi"/>
          <w:sz w:val="24"/>
          <w:szCs w:val="24"/>
        </w:rPr>
        <w:footnoteReference w:id="4"/>
      </w:r>
      <w:r w:rsidR="00B4537C" w:rsidRPr="00DF3D24">
        <w:rPr>
          <w:rFonts w:cstheme="minorHAnsi"/>
          <w:sz w:val="24"/>
          <w:szCs w:val="24"/>
        </w:rPr>
        <w:t>.</w:t>
      </w:r>
      <w:r w:rsidR="00CE220A">
        <w:rPr>
          <w:rFonts w:cstheme="minorHAnsi"/>
          <w:sz w:val="24"/>
          <w:szCs w:val="24"/>
        </w:rPr>
        <w:t xml:space="preserve"> </w:t>
      </w:r>
      <w:r w:rsidR="00CE220A" w:rsidRPr="00720B8E">
        <w:rPr>
          <w:rFonts w:eastAsia="Calibri" w:cstheme="minorHAnsi"/>
          <w:sz w:val="24"/>
          <w:szCs w:val="24"/>
        </w:rPr>
        <w:t>Reálný počet uživatelů v roce 2021 byl téměř osminásobně nižší, než byl kvalifikovaný odhad uživatelů sponzorovaného přístupu</w:t>
      </w:r>
      <w:r w:rsidR="00CE220A">
        <w:rPr>
          <w:rFonts w:eastAsia="Calibri" w:cstheme="minorHAnsi"/>
          <w:sz w:val="24"/>
          <w:szCs w:val="24"/>
        </w:rPr>
        <w:t xml:space="preserve"> (viz bod</w:t>
      </w:r>
      <w:r w:rsidR="00BB42E0">
        <w:rPr>
          <w:rFonts w:eastAsia="Calibri" w:cstheme="minorHAnsi"/>
          <w:sz w:val="24"/>
          <w:szCs w:val="24"/>
        </w:rPr>
        <w:t>y</w:t>
      </w:r>
      <w:r w:rsidR="00CE220A">
        <w:rPr>
          <w:rFonts w:eastAsia="Calibri" w:cstheme="minorHAnsi"/>
          <w:sz w:val="24"/>
          <w:szCs w:val="24"/>
        </w:rPr>
        <w:t xml:space="preserve"> 4.</w:t>
      </w:r>
      <w:r w:rsidR="005B1DFD">
        <w:rPr>
          <w:rFonts w:eastAsia="Calibri" w:cstheme="minorHAnsi"/>
          <w:sz w:val="24"/>
          <w:szCs w:val="24"/>
        </w:rPr>
        <w:t>18</w:t>
      </w:r>
      <w:r w:rsidR="00B661AF">
        <w:rPr>
          <w:rFonts w:eastAsia="Calibri" w:cstheme="minorHAnsi"/>
          <w:sz w:val="24"/>
          <w:szCs w:val="24"/>
        </w:rPr>
        <w:t xml:space="preserve"> až 4.</w:t>
      </w:r>
      <w:r w:rsidR="005B1DFD">
        <w:rPr>
          <w:rFonts w:eastAsia="Calibri" w:cstheme="minorHAnsi"/>
          <w:sz w:val="24"/>
          <w:szCs w:val="24"/>
        </w:rPr>
        <w:t>19</w:t>
      </w:r>
      <w:r w:rsidR="00CE220A">
        <w:rPr>
          <w:rFonts w:eastAsia="Calibri" w:cstheme="minorHAnsi"/>
          <w:sz w:val="24"/>
          <w:szCs w:val="24"/>
        </w:rPr>
        <w:t>).</w:t>
      </w:r>
    </w:p>
    <w:p w14:paraId="44695510" w14:textId="77777777" w:rsidR="00DF3D24" w:rsidRDefault="00DF3D24" w:rsidP="00F15585">
      <w:pPr>
        <w:pStyle w:val="Odstavecseseznamem"/>
        <w:spacing w:after="0" w:line="240" w:lineRule="auto"/>
        <w:ind w:left="0"/>
        <w:jc w:val="both"/>
        <w:rPr>
          <w:rFonts w:cstheme="minorHAnsi"/>
          <w:sz w:val="24"/>
          <w:szCs w:val="24"/>
        </w:rPr>
      </w:pPr>
    </w:p>
    <w:p w14:paraId="4C6D49AD" w14:textId="3FD1913C" w:rsidR="00DF3D24" w:rsidRDefault="00DF3D24" w:rsidP="00F15585">
      <w:pPr>
        <w:pStyle w:val="Textkomente"/>
        <w:keepNext/>
        <w:numPr>
          <w:ilvl w:val="0"/>
          <w:numId w:val="3"/>
        </w:numPr>
        <w:spacing w:after="0"/>
        <w:ind w:left="284" w:hanging="284"/>
        <w:rPr>
          <w:b/>
          <w:sz w:val="24"/>
          <w:szCs w:val="24"/>
        </w:rPr>
      </w:pPr>
      <w:r>
        <w:rPr>
          <w:b/>
          <w:sz w:val="24"/>
          <w:szCs w:val="24"/>
        </w:rPr>
        <w:t>Porušení právních předpisů</w:t>
      </w:r>
    </w:p>
    <w:p w14:paraId="17B059ED" w14:textId="7F5804FC" w:rsidR="00DF3D24" w:rsidRPr="000014B7" w:rsidRDefault="00DF3D24" w:rsidP="00F15585">
      <w:pPr>
        <w:pStyle w:val="Odstavecseseznamem"/>
        <w:numPr>
          <w:ilvl w:val="0"/>
          <w:numId w:val="10"/>
        </w:numPr>
        <w:spacing w:after="0" w:line="240" w:lineRule="auto"/>
        <w:ind w:left="567" w:hanging="283"/>
        <w:jc w:val="both"/>
        <w:rPr>
          <w:sz w:val="24"/>
          <w:szCs w:val="24"/>
        </w:rPr>
      </w:pPr>
      <w:r w:rsidRPr="000014B7">
        <w:rPr>
          <w:rFonts w:cstheme="minorHAnsi"/>
          <w:bCs/>
          <w:sz w:val="24"/>
          <w:szCs w:val="24"/>
        </w:rPr>
        <w:t xml:space="preserve">ČAS zadala jednomu dodavateli formou přímého zadání bez provedeného </w:t>
      </w:r>
      <w:r w:rsidR="007F36FE">
        <w:rPr>
          <w:rFonts w:cstheme="minorHAnsi"/>
          <w:bCs/>
          <w:sz w:val="24"/>
          <w:szCs w:val="24"/>
        </w:rPr>
        <w:t>zadávacího</w:t>
      </w:r>
      <w:r w:rsidRPr="000014B7">
        <w:rPr>
          <w:rFonts w:cstheme="minorHAnsi"/>
          <w:bCs/>
          <w:sz w:val="24"/>
          <w:szCs w:val="24"/>
        </w:rPr>
        <w:t xml:space="preserve"> řízení veškeré kontrolou posuzované právní služby</w:t>
      </w:r>
      <w:r w:rsidR="007F36FE">
        <w:rPr>
          <w:rFonts w:cstheme="minorHAnsi"/>
          <w:bCs/>
          <w:sz w:val="24"/>
          <w:szCs w:val="24"/>
        </w:rPr>
        <w:t>, což</w:t>
      </w:r>
      <w:r w:rsidRPr="000014B7">
        <w:rPr>
          <w:rFonts w:cstheme="minorHAnsi"/>
          <w:sz w:val="24"/>
          <w:szCs w:val="24"/>
        </w:rPr>
        <w:t xml:space="preserve"> NKÚ vyhodnotil jako skutečnosti nasvědčující porušení rozpočtové kázně ve výši 2 144 600 Kč bez DPH</w:t>
      </w:r>
      <w:r w:rsidR="008F1F44">
        <w:rPr>
          <w:rFonts w:cstheme="minorHAnsi"/>
          <w:sz w:val="24"/>
          <w:szCs w:val="24"/>
        </w:rPr>
        <w:t xml:space="preserve"> (viz body 4</w:t>
      </w:r>
      <w:r w:rsidR="00484109">
        <w:rPr>
          <w:rFonts w:cstheme="minorHAnsi"/>
          <w:sz w:val="24"/>
          <w:szCs w:val="24"/>
        </w:rPr>
        <w:t>.2</w:t>
      </w:r>
      <w:r w:rsidR="00352C28">
        <w:rPr>
          <w:rFonts w:cstheme="minorHAnsi"/>
          <w:sz w:val="24"/>
          <w:szCs w:val="24"/>
        </w:rPr>
        <w:t>2</w:t>
      </w:r>
      <w:r w:rsidR="00484109">
        <w:rPr>
          <w:rFonts w:cstheme="minorHAnsi"/>
          <w:sz w:val="24"/>
          <w:szCs w:val="24"/>
        </w:rPr>
        <w:t xml:space="preserve"> a</w:t>
      </w:r>
      <w:r w:rsidR="00F15585">
        <w:rPr>
          <w:rFonts w:cstheme="minorHAnsi"/>
          <w:sz w:val="24"/>
          <w:szCs w:val="24"/>
        </w:rPr>
        <w:t> </w:t>
      </w:r>
      <w:r w:rsidR="00484109">
        <w:rPr>
          <w:rFonts w:cstheme="minorHAnsi"/>
          <w:sz w:val="24"/>
          <w:szCs w:val="24"/>
        </w:rPr>
        <w:t>4.2</w:t>
      </w:r>
      <w:r w:rsidR="00352C28">
        <w:rPr>
          <w:rFonts w:cstheme="minorHAnsi"/>
          <w:sz w:val="24"/>
          <w:szCs w:val="24"/>
        </w:rPr>
        <w:t>4</w:t>
      </w:r>
      <w:r w:rsidR="008F1F44">
        <w:rPr>
          <w:rFonts w:cstheme="minorHAnsi"/>
          <w:sz w:val="24"/>
          <w:szCs w:val="24"/>
        </w:rPr>
        <w:t>).</w:t>
      </w:r>
      <w:r w:rsidRPr="000014B7">
        <w:rPr>
          <w:rFonts w:cstheme="minorHAnsi"/>
          <w:sz w:val="24"/>
          <w:szCs w:val="24"/>
        </w:rPr>
        <w:t xml:space="preserve"> </w:t>
      </w:r>
    </w:p>
    <w:p w14:paraId="69F07EB0" w14:textId="78D50FE8" w:rsidR="00132EDD" w:rsidRPr="00B47DF0" w:rsidRDefault="00132EDD" w:rsidP="00F15585">
      <w:pPr>
        <w:pStyle w:val="Odstavecseseznamem"/>
        <w:numPr>
          <w:ilvl w:val="0"/>
          <w:numId w:val="10"/>
        </w:numPr>
        <w:spacing w:after="0" w:line="240" w:lineRule="auto"/>
        <w:ind w:left="567" w:hanging="283"/>
        <w:jc w:val="both"/>
        <w:rPr>
          <w:sz w:val="24"/>
          <w:szCs w:val="24"/>
        </w:rPr>
      </w:pPr>
      <w:r w:rsidRPr="001D4F55">
        <w:rPr>
          <w:rFonts w:eastAsia="Calibri" w:cstheme="minorHAnsi"/>
          <w:sz w:val="24"/>
          <w:szCs w:val="24"/>
        </w:rPr>
        <w:t xml:space="preserve">ČAS </w:t>
      </w:r>
      <w:r w:rsidR="000758A9">
        <w:rPr>
          <w:rFonts w:eastAsia="Calibri" w:cstheme="minorHAnsi"/>
          <w:sz w:val="24"/>
          <w:szCs w:val="24"/>
        </w:rPr>
        <w:t xml:space="preserve">neposkytovala </w:t>
      </w:r>
      <w:r w:rsidRPr="001D4F55">
        <w:rPr>
          <w:rFonts w:eastAsia="Calibri" w:cstheme="minorHAnsi"/>
          <w:sz w:val="24"/>
          <w:szCs w:val="24"/>
        </w:rPr>
        <w:t xml:space="preserve">v kontrolovaném období svým zaměstnancům plat, </w:t>
      </w:r>
      <w:r w:rsidR="000758A9">
        <w:rPr>
          <w:rFonts w:eastAsia="Calibri" w:cstheme="minorHAnsi"/>
          <w:sz w:val="24"/>
          <w:szCs w:val="24"/>
        </w:rPr>
        <w:t>ale</w:t>
      </w:r>
      <w:r>
        <w:rPr>
          <w:rFonts w:eastAsia="Calibri" w:cstheme="minorHAnsi"/>
          <w:sz w:val="24"/>
          <w:szCs w:val="24"/>
        </w:rPr>
        <w:t xml:space="preserve"> </w:t>
      </w:r>
      <w:r w:rsidRPr="001D4F55">
        <w:rPr>
          <w:rFonts w:eastAsia="Calibri" w:cstheme="minorHAnsi"/>
          <w:sz w:val="24"/>
          <w:szCs w:val="24"/>
        </w:rPr>
        <w:t>mzdu</w:t>
      </w:r>
      <w:r>
        <w:rPr>
          <w:rFonts w:eastAsia="Calibri" w:cstheme="minorHAnsi"/>
          <w:sz w:val="24"/>
          <w:szCs w:val="24"/>
        </w:rPr>
        <w:t>, a t</w:t>
      </w:r>
      <w:r w:rsidR="000758A9">
        <w:rPr>
          <w:rFonts w:eastAsia="Calibri" w:cstheme="minorHAnsi"/>
          <w:sz w:val="24"/>
          <w:szCs w:val="24"/>
        </w:rPr>
        <w:t>ím</w:t>
      </w:r>
      <w:r>
        <w:rPr>
          <w:rFonts w:eastAsia="Calibri" w:cstheme="minorHAnsi"/>
          <w:sz w:val="24"/>
          <w:szCs w:val="24"/>
        </w:rPr>
        <w:t xml:space="preserve"> </w:t>
      </w:r>
      <w:r w:rsidR="000758A9">
        <w:rPr>
          <w:rFonts w:eastAsia="Calibri" w:cstheme="minorHAnsi"/>
          <w:sz w:val="24"/>
          <w:szCs w:val="24"/>
        </w:rPr>
        <w:t xml:space="preserve">nepostupovala </w:t>
      </w:r>
      <w:r w:rsidRPr="001D4F55">
        <w:rPr>
          <w:rFonts w:eastAsia="Calibri" w:cstheme="minorHAnsi"/>
          <w:sz w:val="24"/>
          <w:szCs w:val="24"/>
        </w:rPr>
        <w:t>podle zákona č. 262/2006 Sb.</w:t>
      </w:r>
      <w:r w:rsidRPr="001D4F55">
        <w:rPr>
          <w:rStyle w:val="Znakapoznpodarou"/>
          <w:rFonts w:eastAsia="Calibri" w:cstheme="minorHAnsi"/>
          <w:sz w:val="24"/>
          <w:szCs w:val="24"/>
        </w:rPr>
        <w:footnoteReference w:id="5"/>
      </w:r>
      <w:r w:rsidR="0099636C">
        <w:rPr>
          <w:rFonts w:eastAsia="Calibri" w:cstheme="minorHAnsi"/>
          <w:sz w:val="24"/>
          <w:szCs w:val="24"/>
        </w:rPr>
        <w:t xml:space="preserve"> a</w:t>
      </w:r>
      <w:r w:rsidRPr="001D4F55">
        <w:rPr>
          <w:rFonts w:eastAsia="Calibri" w:cstheme="minorHAnsi"/>
          <w:sz w:val="24"/>
          <w:szCs w:val="24"/>
        </w:rPr>
        <w:t xml:space="preserve"> nařízení vlády č. 341/2017 Sb.</w:t>
      </w:r>
      <w:r w:rsidRPr="001D4F55">
        <w:rPr>
          <w:rStyle w:val="Znakapoznpodarou"/>
          <w:rFonts w:eastAsia="Calibri" w:cstheme="minorHAnsi"/>
          <w:sz w:val="24"/>
          <w:szCs w:val="24"/>
        </w:rPr>
        <w:footnoteReference w:id="6"/>
      </w:r>
      <w:r w:rsidR="008F1F44">
        <w:rPr>
          <w:rFonts w:eastAsia="Calibri" w:cstheme="minorHAnsi"/>
          <w:sz w:val="24"/>
          <w:szCs w:val="24"/>
        </w:rPr>
        <w:t xml:space="preserve"> (viz bod 4.</w:t>
      </w:r>
      <w:r w:rsidR="00484109">
        <w:rPr>
          <w:rFonts w:eastAsia="Calibri" w:cstheme="minorHAnsi"/>
          <w:sz w:val="24"/>
          <w:szCs w:val="24"/>
        </w:rPr>
        <w:t>2</w:t>
      </w:r>
      <w:r w:rsidR="00352C28">
        <w:rPr>
          <w:rFonts w:eastAsia="Calibri" w:cstheme="minorHAnsi"/>
          <w:sz w:val="24"/>
          <w:szCs w:val="24"/>
        </w:rPr>
        <w:t>5</w:t>
      </w:r>
      <w:r w:rsidR="008F1F44">
        <w:rPr>
          <w:rFonts w:eastAsia="Calibri" w:cstheme="minorHAnsi"/>
          <w:sz w:val="24"/>
          <w:szCs w:val="24"/>
        </w:rPr>
        <w:t>).</w:t>
      </w:r>
    </w:p>
    <w:p w14:paraId="689598DA" w14:textId="211F30D5" w:rsidR="00481729" w:rsidRPr="00481729" w:rsidRDefault="00132EDD" w:rsidP="00F15585">
      <w:pPr>
        <w:pStyle w:val="Odstavecseseznamem"/>
        <w:numPr>
          <w:ilvl w:val="0"/>
          <w:numId w:val="10"/>
        </w:numPr>
        <w:spacing w:after="0" w:line="240" w:lineRule="auto"/>
        <w:ind w:left="567" w:hanging="283"/>
        <w:jc w:val="both"/>
        <w:rPr>
          <w:rFonts w:cstheme="minorHAnsi"/>
          <w:b/>
          <w:sz w:val="24"/>
          <w:szCs w:val="24"/>
        </w:rPr>
      </w:pPr>
      <w:r w:rsidRPr="007800AE">
        <w:rPr>
          <w:rFonts w:cstheme="minorHAnsi"/>
          <w:bCs/>
          <w:sz w:val="24"/>
          <w:szCs w:val="24"/>
        </w:rPr>
        <w:t xml:space="preserve">ČAS </w:t>
      </w:r>
      <w:r>
        <w:rPr>
          <w:rFonts w:cstheme="minorHAnsi"/>
          <w:bCs/>
          <w:sz w:val="24"/>
          <w:szCs w:val="24"/>
        </w:rPr>
        <w:t>neprovedla</w:t>
      </w:r>
      <w:r w:rsidRPr="007800AE">
        <w:rPr>
          <w:rFonts w:cstheme="minorHAnsi"/>
          <w:bCs/>
          <w:sz w:val="24"/>
          <w:szCs w:val="24"/>
        </w:rPr>
        <w:t xml:space="preserve"> předběžn</w:t>
      </w:r>
      <w:r>
        <w:rPr>
          <w:rFonts w:cstheme="minorHAnsi"/>
          <w:bCs/>
          <w:sz w:val="24"/>
          <w:szCs w:val="24"/>
        </w:rPr>
        <w:t>ou</w:t>
      </w:r>
      <w:r w:rsidRPr="007800AE">
        <w:rPr>
          <w:rFonts w:cstheme="minorHAnsi"/>
          <w:bCs/>
          <w:sz w:val="24"/>
          <w:szCs w:val="24"/>
        </w:rPr>
        <w:t xml:space="preserve"> říd</w:t>
      </w:r>
      <w:r w:rsidR="00FE0425">
        <w:rPr>
          <w:rFonts w:cstheme="minorHAnsi"/>
          <w:bCs/>
          <w:sz w:val="24"/>
          <w:szCs w:val="24"/>
        </w:rPr>
        <w:t>i</w:t>
      </w:r>
      <w:r w:rsidRPr="007800AE">
        <w:rPr>
          <w:rFonts w:cstheme="minorHAnsi"/>
          <w:bCs/>
          <w:sz w:val="24"/>
          <w:szCs w:val="24"/>
        </w:rPr>
        <w:t>cí kontrol</w:t>
      </w:r>
      <w:r>
        <w:rPr>
          <w:rFonts w:cstheme="minorHAnsi"/>
          <w:bCs/>
          <w:sz w:val="24"/>
          <w:szCs w:val="24"/>
        </w:rPr>
        <w:t>u</w:t>
      </w:r>
      <w:r w:rsidRPr="007800AE">
        <w:rPr>
          <w:rFonts w:cstheme="minorHAnsi"/>
          <w:bCs/>
          <w:sz w:val="24"/>
          <w:szCs w:val="24"/>
        </w:rPr>
        <w:t xml:space="preserve"> před zadáním veřejné zakázky malého rozsahu na administrace veřejných zakázek.</w:t>
      </w:r>
      <w:r w:rsidRPr="00206A4F">
        <w:t xml:space="preserve"> </w:t>
      </w:r>
      <w:r w:rsidR="00410B4F">
        <w:rPr>
          <w:sz w:val="24"/>
          <w:szCs w:val="24"/>
        </w:rPr>
        <w:t>CENIA neprovedla předběžnou říd</w:t>
      </w:r>
      <w:r w:rsidR="00FE0425">
        <w:rPr>
          <w:sz w:val="24"/>
          <w:szCs w:val="24"/>
        </w:rPr>
        <w:t>i</w:t>
      </w:r>
      <w:r w:rsidR="00410B4F">
        <w:rPr>
          <w:sz w:val="24"/>
          <w:szCs w:val="24"/>
        </w:rPr>
        <w:t>cí kontrolu před vznikem závazku</w:t>
      </w:r>
      <w:r w:rsidR="007F36FE">
        <w:rPr>
          <w:sz w:val="24"/>
          <w:szCs w:val="24"/>
        </w:rPr>
        <w:t xml:space="preserve"> </w:t>
      </w:r>
      <w:r w:rsidR="007F36FE">
        <w:rPr>
          <w:rFonts w:cstheme="minorHAnsi"/>
          <w:bCs/>
          <w:sz w:val="24"/>
          <w:szCs w:val="24"/>
        </w:rPr>
        <w:t>v souladu se</w:t>
      </w:r>
      <w:r w:rsidRPr="00206A4F">
        <w:rPr>
          <w:rFonts w:cstheme="minorHAnsi"/>
          <w:bCs/>
          <w:sz w:val="24"/>
          <w:szCs w:val="24"/>
        </w:rPr>
        <w:t xml:space="preserve"> zákon</w:t>
      </w:r>
      <w:r w:rsidR="007F36FE">
        <w:rPr>
          <w:rFonts w:cstheme="minorHAnsi"/>
          <w:bCs/>
          <w:sz w:val="24"/>
          <w:szCs w:val="24"/>
        </w:rPr>
        <w:t>em</w:t>
      </w:r>
      <w:r w:rsidRPr="00206A4F">
        <w:rPr>
          <w:rFonts w:cstheme="minorHAnsi"/>
          <w:bCs/>
          <w:sz w:val="24"/>
          <w:szCs w:val="24"/>
        </w:rPr>
        <w:t xml:space="preserve"> č. 320/2001 Sb.</w:t>
      </w:r>
      <w:r w:rsidR="007F36FE">
        <w:rPr>
          <w:rStyle w:val="Znakapoznpodarou"/>
          <w:rFonts w:cstheme="minorHAnsi"/>
          <w:bCs/>
          <w:sz w:val="24"/>
          <w:szCs w:val="24"/>
        </w:rPr>
        <w:footnoteReference w:id="7"/>
      </w:r>
      <w:r w:rsidR="007F36FE">
        <w:rPr>
          <w:rFonts w:cstheme="minorHAnsi"/>
          <w:bCs/>
          <w:sz w:val="24"/>
          <w:szCs w:val="24"/>
        </w:rPr>
        <w:t xml:space="preserve"> a prováděcí vyhláškou č. 416/2004 Sb.</w:t>
      </w:r>
      <w:r w:rsidR="00DF6D27">
        <w:rPr>
          <w:rStyle w:val="Znakapoznpodarou"/>
          <w:rFonts w:cstheme="minorHAnsi"/>
          <w:bCs/>
          <w:sz w:val="24"/>
          <w:szCs w:val="24"/>
        </w:rPr>
        <w:footnoteReference w:id="8"/>
      </w:r>
      <w:r w:rsidR="008F1F44">
        <w:rPr>
          <w:rFonts w:cstheme="minorHAnsi"/>
          <w:bCs/>
          <w:sz w:val="24"/>
          <w:szCs w:val="24"/>
        </w:rPr>
        <w:t xml:space="preserve"> (viz body 4.</w:t>
      </w:r>
      <w:r w:rsidR="00484109">
        <w:rPr>
          <w:rFonts w:cstheme="minorHAnsi"/>
          <w:bCs/>
          <w:sz w:val="24"/>
          <w:szCs w:val="24"/>
        </w:rPr>
        <w:t>2</w:t>
      </w:r>
      <w:r w:rsidR="00352C28">
        <w:rPr>
          <w:rFonts w:cstheme="minorHAnsi"/>
          <w:bCs/>
          <w:sz w:val="24"/>
          <w:szCs w:val="24"/>
        </w:rPr>
        <w:t>6</w:t>
      </w:r>
      <w:r w:rsidR="008F1F44">
        <w:rPr>
          <w:rFonts w:cstheme="minorHAnsi"/>
          <w:bCs/>
          <w:sz w:val="24"/>
          <w:szCs w:val="24"/>
        </w:rPr>
        <w:t xml:space="preserve"> a 4.</w:t>
      </w:r>
      <w:r w:rsidR="00352C28">
        <w:rPr>
          <w:rFonts w:cstheme="minorHAnsi"/>
          <w:bCs/>
          <w:sz w:val="24"/>
          <w:szCs w:val="24"/>
        </w:rPr>
        <w:t>28</w:t>
      </w:r>
      <w:r w:rsidR="008F1F44">
        <w:rPr>
          <w:rFonts w:cstheme="minorHAnsi"/>
          <w:bCs/>
          <w:sz w:val="24"/>
          <w:szCs w:val="24"/>
        </w:rPr>
        <w:t>).</w:t>
      </w:r>
    </w:p>
    <w:p w14:paraId="7CBF2532" w14:textId="2CE30830" w:rsidR="00DE5B36" w:rsidRPr="008F1F44" w:rsidRDefault="00DE5B36" w:rsidP="00D9351A">
      <w:pPr>
        <w:pStyle w:val="Odstavecseseznamem"/>
        <w:numPr>
          <w:ilvl w:val="0"/>
          <w:numId w:val="11"/>
        </w:numPr>
        <w:spacing w:after="0" w:line="240" w:lineRule="auto"/>
        <w:ind w:left="567" w:hanging="283"/>
        <w:jc w:val="both"/>
        <w:rPr>
          <w:rFonts w:cstheme="minorHAnsi"/>
          <w:sz w:val="24"/>
          <w:szCs w:val="24"/>
        </w:rPr>
      </w:pPr>
      <w:bookmarkStart w:id="5" w:name="_Hlk126660358"/>
      <w:r w:rsidRPr="00132EDD">
        <w:rPr>
          <w:rFonts w:cstheme="minorHAnsi"/>
          <w:bCs/>
          <w:sz w:val="24"/>
          <w:szCs w:val="24"/>
        </w:rPr>
        <w:t xml:space="preserve">ÚNMZ jako </w:t>
      </w:r>
      <w:r w:rsidR="007F36FE">
        <w:rPr>
          <w:rFonts w:cstheme="minorHAnsi"/>
          <w:bCs/>
          <w:sz w:val="24"/>
          <w:szCs w:val="24"/>
        </w:rPr>
        <w:t>poskytovatel veřejné finanční podpory</w:t>
      </w:r>
      <w:r w:rsidRPr="00132EDD">
        <w:rPr>
          <w:rFonts w:cstheme="minorHAnsi"/>
          <w:bCs/>
          <w:sz w:val="24"/>
          <w:szCs w:val="24"/>
        </w:rPr>
        <w:t xml:space="preserve"> neprovedl u ČAS od jejího vzniku žádnou veřejnosprávní kontrolu</w:t>
      </w:r>
      <w:r w:rsidR="00B0575A">
        <w:rPr>
          <w:rFonts w:cstheme="minorHAnsi"/>
          <w:bCs/>
          <w:sz w:val="24"/>
          <w:szCs w:val="24"/>
        </w:rPr>
        <w:t xml:space="preserve">, nepostupoval </w:t>
      </w:r>
      <w:r w:rsidR="004F0DE9">
        <w:rPr>
          <w:rFonts w:cstheme="minorHAnsi"/>
          <w:bCs/>
          <w:sz w:val="24"/>
          <w:szCs w:val="24"/>
        </w:rPr>
        <w:t>tak</w:t>
      </w:r>
      <w:r w:rsidR="00B0575A">
        <w:rPr>
          <w:rFonts w:cstheme="minorHAnsi"/>
          <w:bCs/>
          <w:sz w:val="24"/>
          <w:szCs w:val="24"/>
        </w:rPr>
        <w:t xml:space="preserve"> v souladu </w:t>
      </w:r>
      <w:r w:rsidR="00B0575A" w:rsidRPr="00CD7FC9">
        <w:rPr>
          <w:sz w:val="24"/>
          <w:szCs w:val="24"/>
        </w:rPr>
        <w:t>zákon</w:t>
      </w:r>
      <w:r w:rsidR="007F36FE">
        <w:rPr>
          <w:sz w:val="24"/>
          <w:szCs w:val="24"/>
        </w:rPr>
        <w:t>em</w:t>
      </w:r>
      <w:r w:rsidR="00B0575A" w:rsidRPr="00CD7FC9">
        <w:rPr>
          <w:sz w:val="24"/>
          <w:szCs w:val="24"/>
        </w:rPr>
        <w:t xml:space="preserve"> č.</w:t>
      </w:r>
      <w:r w:rsidR="00883129">
        <w:rPr>
          <w:sz w:val="24"/>
          <w:szCs w:val="24"/>
        </w:rPr>
        <w:t> </w:t>
      </w:r>
      <w:r w:rsidR="00B0575A" w:rsidRPr="00CD7FC9">
        <w:rPr>
          <w:sz w:val="24"/>
          <w:szCs w:val="24"/>
        </w:rPr>
        <w:t>320/2001 Sb</w:t>
      </w:r>
      <w:r w:rsidRPr="00132EDD">
        <w:rPr>
          <w:rFonts w:eastAsia="Calibri" w:cstheme="minorHAnsi"/>
          <w:sz w:val="24"/>
          <w:szCs w:val="24"/>
        </w:rPr>
        <w:t>.</w:t>
      </w:r>
      <w:r w:rsidR="008F1F44">
        <w:rPr>
          <w:sz w:val="24"/>
          <w:szCs w:val="24"/>
        </w:rPr>
        <w:t xml:space="preserve"> (viz bod 4.</w:t>
      </w:r>
      <w:r w:rsidR="00352C28">
        <w:rPr>
          <w:sz w:val="24"/>
          <w:szCs w:val="24"/>
        </w:rPr>
        <w:t>29</w:t>
      </w:r>
      <w:r w:rsidR="008F1F44">
        <w:rPr>
          <w:sz w:val="24"/>
          <w:szCs w:val="24"/>
        </w:rPr>
        <w:t>).</w:t>
      </w:r>
    </w:p>
    <w:p w14:paraId="7DFDA59D" w14:textId="0F63CC31" w:rsidR="008F1F44" w:rsidRDefault="008F1F44" w:rsidP="00D9351A">
      <w:pPr>
        <w:pStyle w:val="Odstavecseseznamem"/>
        <w:numPr>
          <w:ilvl w:val="0"/>
          <w:numId w:val="11"/>
        </w:numPr>
        <w:spacing w:after="0" w:line="240" w:lineRule="auto"/>
        <w:ind w:left="567" w:hanging="283"/>
        <w:jc w:val="both"/>
        <w:rPr>
          <w:sz w:val="24"/>
          <w:szCs w:val="24"/>
        </w:rPr>
      </w:pPr>
      <w:proofErr w:type="spellStart"/>
      <w:r>
        <w:rPr>
          <w:sz w:val="24"/>
          <w:szCs w:val="24"/>
        </w:rPr>
        <w:lastRenderedPageBreak/>
        <w:t>SpS</w:t>
      </w:r>
      <w:proofErr w:type="spellEnd"/>
      <w:r>
        <w:rPr>
          <w:sz w:val="24"/>
          <w:szCs w:val="24"/>
        </w:rPr>
        <w:t xml:space="preserve"> MPO nevytvořila peněžní fond kulturních a sociálních potřeb, čímž nepostupovala v souladu se zákonem č. 218/2000 Sb.</w:t>
      </w:r>
      <w:r>
        <w:rPr>
          <w:rStyle w:val="Znakapoznpodarou"/>
          <w:sz w:val="24"/>
          <w:szCs w:val="24"/>
        </w:rPr>
        <w:footnoteReference w:id="9"/>
      </w:r>
      <w:r>
        <w:rPr>
          <w:sz w:val="24"/>
          <w:szCs w:val="24"/>
        </w:rPr>
        <w:t xml:space="preserve"> a vyhláškou č. 114/2002 Sb.</w:t>
      </w:r>
      <w:r>
        <w:rPr>
          <w:rStyle w:val="Znakapoznpodarou"/>
          <w:sz w:val="24"/>
          <w:szCs w:val="24"/>
        </w:rPr>
        <w:footnoteReference w:id="10"/>
      </w:r>
      <w:r>
        <w:rPr>
          <w:sz w:val="24"/>
          <w:szCs w:val="24"/>
        </w:rPr>
        <w:t xml:space="preserve"> (viz </w:t>
      </w:r>
      <w:r w:rsidR="00FE0425">
        <w:rPr>
          <w:sz w:val="24"/>
          <w:szCs w:val="24"/>
        </w:rPr>
        <w:t xml:space="preserve">body </w:t>
      </w:r>
      <w:r>
        <w:rPr>
          <w:sz w:val="24"/>
          <w:szCs w:val="24"/>
        </w:rPr>
        <w:t>4.3</w:t>
      </w:r>
      <w:r w:rsidR="00352C28">
        <w:rPr>
          <w:sz w:val="24"/>
          <w:szCs w:val="24"/>
        </w:rPr>
        <w:t>0</w:t>
      </w:r>
      <w:r w:rsidR="00484109">
        <w:rPr>
          <w:sz w:val="24"/>
          <w:szCs w:val="24"/>
        </w:rPr>
        <w:t xml:space="preserve"> až</w:t>
      </w:r>
      <w:r>
        <w:rPr>
          <w:sz w:val="24"/>
          <w:szCs w:val="24"/>
        </w:rPr>
        <w:t xml:space="preserve"> 4.3</w:t>
      </w:r>
      <w:r w:rsidR="00352C28">
        <w:rPr>
          <w:sz w:val="24"/>
          <w:szCs w:val="24"/>
        </w:rPr>
        <w:t>2</w:t>
      </w:r>
      <w:r>
        <w:rPr>
          <w:sz w:val="24"/>
          <w:szCs w:val="24"/>
        </w:rPr>
        <w:t>).</w:t>
      </w:r>
    </w:p>
    <w:p w14:paraId="70283605" w14:textId="627DB683" w:rsidR="001E79F2" w:rsidRDefault="001E79F2" w:rsidP="001E79F2">
      <w:pPr>
        <w:spacing w:after="0" w:line="240" w:lineRule="auto"/>
        <w:jc w:val="both"/>
        <w:rPr>
          <w:sz w:val="24"/>
          <w:szCs w:val="24"/>
        </w:rPr>
      </w:pPr>
    </w:p>
    <w:p w14:paraId="0BCFAE30" w14:textId="77777777" w:rsidR="00C177F4" w:rsidRDefault="00C177F4" w:rsidP="001E79F2">
      <w:pPr>
        <w:spacing w:after="0" w:line="240" w:lineRule="auto"/>
        <w:jc w:val="both"/>
        <w:rPr>
          <w:sz w:val="24"/>
          <w:szCs w:val="24"/>
        </w:rPr>
      </w:pPr>
    </w:p>
    <w:p w14:paraId="65A1C570" w14:textId="77777777" w:rsidR="00D9351A" w:rsidRPr="001E79F2" w:rsidRDefault="00D9351A" w:rsidP="001E79F2">
      <w:pPr>
        <w:spacing w:after="0" w:line="240" w:lineRule="auto"/>
        <w:jc w:val="both"/>
        <w:rPr>
          <w:sz w:val="24"/>
          <w:szCs w:val="24"/>
        </w:rPr>
      </w:pPr>
    </w:p>
    <w:bookmarkEnd w:id="5"/>
    <w:p w14:paraId="6D773D24" w14:textId="46F7C8CA" w:rsidR="00785F12" w:rsidRPr="003E09B7" w:rsidRDefault="0065159D" w:rsidP="0065159D">
      <w:pPr>
        <w:pStyle w:val="Nadpis1"/>
        <w:spacing w:before="0" w:line="240" w:lineRule="auto"/>
        <w:jc w:val="center"/>
        <w:rPr>
          <w:rFonts w:asciiTheme="minorHAnsi" w:hAnsiTheme="minorHAnsi" w:cstheme="minorHAnsi"/>
          <w:b/>
          <w:color w:val="auto"/>
          <w:sz w:val="28"/>
          <w:szCs w:val="24"/>
        </w:rPr>
      </w:pPr>
      <w:r>
        <w:rPr>
          <w:rFonts w:asciiTheme="minorHAnsi" w:hAnsiTheme="minorHAnsi" w:cstheme="minorHAnsi"/>
          <w:b/>
          <w:color w:val="auto"/>
          <w:sz w:val="28"/>
          <w:szCs w:val="24"/>
        </w:rPr>
        <w:t xml:space="preserve">II. </w:t>
      </w:r>
      <w:r w:rsidR="00781CDD" w:rsidRPr="003E09B7">
        <w:rPr>
          <w:rFonts w:asciiTheme="minorHAnsi" w:hAnsiTheme="minorHAnsi" w:cstheme="minorHAnsi"/>
          <w:b/>
          <w:color w:val="auto"/>
          <w:sz w:val="28"/>
          <w:szCs w:val="24"/>
        </w:rPr>
        <w:t>Informace o kontrolované oblasti</w:t>
      </w:r>
    </w:p>
    <w:p w14:paraId="6D773D25" w14:textId="77777777" w:rsidR="003D6B5B" w:rsidRPr="002B5673" w:rsidRDefault="003D6B5B" w:rsidP="00F918C0">
      <w:pPr>
        <w:keepNext/>
        <w:spacing w:after="0" w:line="240" w:lineRule="auto"/>
        <w:rPr>
          <w:sz w:val="24"/>
          <w:szCs w:val="24"/>
        </w:rPr>
      </w:pPr>
    </w:p>
    <w:p w14:paraId="49FA6945" w14:textId="485CAA3C" w:rsidR="00560BEB" w:rsidRPr="005F414A" w:rsidRDefault="005F414A" w:rsidP="005F414A">
      <w:pPr>
        <w:tabs>
          <w:tab w:val="left" w:pos="426"/>
        </w:tabs>
        <w:spacing w:after="0" w:line="240" w:lineRule="auto"/>
        <w:jc w:val="both"/>
        <w:rPr>
          <w:rFonts w:cstheme="minorHAnsi"/>
          <w:bCs/>
          <w:sz w:val="24"/>
          <w:szCs w:val="24"/>
        </w:rPr>
      </w:pPr>
      <w:r>
        <w:rPr>
          <w:rFonts w:cstheme="minorHAnsi"/>
          <w:bCs/>
          <w:sz w:val="24"/>
          <w:szCs w:val="24"/>
        </w:rPr>
        <w:t xml:space="preserve">2.1 </w:t>
      </w:r>
      <w:r>
        <w:rPr>
          <w:rFonts w:cstheme="minorHAnsi"/>
          <w:bCs/>
          <w:sz w:val="24"/>
          <w:szCs w:val="24"/>
        </w:rPr>
        <w:tab/>
      </w:r>
      <w:r w:rsidR="00560BEB" w:rsidRPr="005F414A">
        <w:rPr>
          <w:rFonts w:cstheme="minorHAnsi"/>
          <w:bCs/>
          <w:sz w:val="24"/>
          <w:szCs w:val="24"/>
        </w:rPr>
        <w:t xml:space="preserve">Organizační složky státu měly v roce 2021 zřízeno 209 SPO. </w:t>
      </w:r>
      <w:r w:rsidR="00EC6A57" w:rsidRPr="005F414A">
        <w:rPr>
          <w:rFonts w:cstheme="minorHAnsi"/>
          <w:bCs/>
          <w:sz w:val="24"/>
          <w:szCs w:val="24"/>
        </w:rPr>
        <w:t>SPO</w:t>
      </w:r>
      <w:r w:rsidR="00560BEB" w:rsidRPr="005F414A">
        <w:rPr>
          <w:rFonts w:cstheme="minorHAnsi"/>
          <w:bCs/>
          <w:sz w:val="24"/>
          <w:szCs w:val="24"/>
        </w:rPr>
        <w:t xml:space="preserve"> podle zákona č.</w:t>
      </w:r>
      <w:r w:rsidR="00B769A0" w:rsidRPr="005F414A">
        <w:rPr>
          <w:rFonts w:cstheme="minorHAnsi"/>
          <w:bCs/>
          <w:sz w:val="24"/>
          <w:szCs w:val="24"/>
        </w:rPr>
        <w:t> </w:t>
      </w:r>
      <w:r w:rsidR="00560BEB" w:rsidRPr="005F414A">
        <w:rPr>
          <w:rFonts w:cstheme="minorHAnsi"/>
          <w:bCs/>
          <w:sz w:val="24"/>
          <w:szCs w:val="24"/>
        </w:rPr>
        <w:t>218/2000</w:t>
      </w:r>
      <w:r w:rsidR="00B769A0" w:rsidRPr="005F414A">
        <w:rPr>
          <w:rFonts w:cstheme="minorHAnsi"/>
          <w:bCs/>
          <w:sz w:val="24"/>
          <w:szCs w:val="24"/>
        </w:rPr>
        <w:t> </w:t>
      </w:r>
      <w:r w:rsidR="00560BEB" w:rsidRPr="005F414A">
        <w:rPr>
          <w:rFonts w:cstheme="minorHAnsi"/>
          <w:bCs/>
          <w:sz w:val="24"/>
          <w:szCs w:val="24"/>
        </w:rPr>
        <w:t>Sb. hospodaří s peněžními prostředky získanými hlavní činností a s peněžními prostředky přijatými ze státního rozpočtu pouze v rámci finančních vztahů stanovených zřizovatelem. Finanční vztahy stanovené zřizovatelem jsou příspěvek na</w:t>
      </w:r>
      <w:r>
        <w:rPr>
          <w:rFonts w:cstheme="minorHAnsi"/>
          <w:bCs/>
          <w:sz w:val="24"/>
          <w:szCs w:val="24"/>
        </w:rPr>
        <w:t xml:space="preserve"> </w:t>
      </w:r>
      <w:r w:rsidR="00560BEB" w:rsidRPr="005F414A">
        <w:rPr>
          <w:rFonts w:cstheme="minorHAnsi"/>
          <w:bCs/>
          <w:sz w:val="24"/>
          <w:szCs w:val="24"/>
        </w:rPr>
        <w:t>provoz ze</w:t>
      </w:r>
      <w:r>
        <w:rPr>
          <w:rFonts w:cstheme="minorHAnsi"/>
          <w:bCs/>
          <w:sz w:val="24"/>
          <w:szCs w:val="24"/>
        </w:rPr>
        <w:t xml:space="preserve"> </w:t>
      </w:r>
      <w:r w:rsidR="00560BEB" w:rsidRPr="005F414A">
        <w:rPr>
          <w:rFonts w:cstheme="minorHAnsi"/>
          <w:bCs/>
          <w:sz w:val="24"/>
          <w:szCs w:val="24"/>
        </w:rPr>
        <w:t>státního rozpočtu, individuální a systémové dotace na financování dotačních investičních</w:t>
      </w:r>
      <w:r>
        <w:rPr>
          <w:rFonts w:cstheme="minorHAnsi"/>
          <w:bCs/>
          <w:sz w:val="24"/>
          <w:szCs w:val="24"/>
        </w:rPr>
        <w:t xml:space="preserve"> </w:t>
      </w:r>
      <w:r w:rsidR="00560BEB" w:rsidRPr="005F414A">
        <w:rPr>
          <w:rFonts w:cstheme="minorHAnsi"/>
          <w:bCs/>
          <w:sz w:val="24"/>
          <w:szCs w:val="24"/>
        </w:rPr>
        <w:t>akcí, návratná finanční výpomoc, odvod z odpisů, dotace na úhradu výdajů, které mají být kryty z rozpočtu Evropské unie včetně stanoveného podílu státního rozpočtu na financování těchto výdajů</w:t>
      </w:r>
      <w:r w:rsidR="00DA2900">
        <w:rPr>
          <w:rFonts w:cstheme="minorHAnsi"/>
          <w:bCs/>
          <w:sz w:val="24"/>
          <w:szCs w:val="24"/>
        </w:rPr>
        <w:t>,</w:t>
      </w:r>
      <w:r w:rsidR="00560BEB" w:rsidRPr="005F414A">
        <w:rPr>
          <w:rFonts w:cstheme="minorHAnsi"/>
          <w:bCs/>
          <w:sz w:val="24"/>
          <w:szCs w:val="24"/>
        </w:rPr>
        <w:t xml:space="preserve"> a dotace na úhradu výdajů podle mezinárodních smluv, na základě kterých jsou České republice svěřeny peněžní prostředky z finančních mechanismů včetně stanoveného podílu státního rozpočtu na financování těchto výdajů. </w:t>
      </w:r>
    </w:p>
    <w:p w14:paraId="46583599" w14:textId="77777777" w:rsidR="00AD7330" w:rsidRDefault="00AD7330" w:rsidP="00D9351A">
      <w:pPr>
        <w:pStyle w:val="Odstavecseseznamem"/>
        <w:spacing w:after="0" w:line="240" w:lineRule="auto"/>
        <w:ind w:left="0"/>
        <w:jc w:val="both"/>
        <w:rPr>
          <w:rFonts w:cstheme="minorHAnsi"/>
          <w:bCs/>
          <w:sz w:val="24"/>
          <w:szCs w:val="24"/>
        </w:rPr>
      </w:pPr>
    </w:p>
    <w:p w14:paraId="373ED587" w14:textId="47DC3708" w:rsidR="00AD7330" w:rsidRPr="005F414A" w:rsidRDefault="005F414A" w:rsidP="005F414A">
      <w:pPr>
        <w:tabs>
          <w:tab w:val="left" w:pos="426"/>
        </w:tabs>
        <w:spacing w:after="0" w:line="240" w:lineRule="auto"/>
        <w:jc w:val="both"/>
        <w:rPr>
          <w:rFonts w:cstheme="minorHAnsi"/>
          <w:bCs/>
          <w:sz w:val="24"/>
          <w:szCs w:val="24"/>
        </w:rPr>
      </w:pPr>
      <w:r>
        <w:rPr>
          <w:rFonts w:ascii="Calibri" w:hAnsi="Calibri"/>
          <w:color w:val="000000"/>
          <w:sz w:val="24"/>
          <w:szCs w:val="24"/>
        </w:rPr>
        <w:t xml:space="preserve">2.2 </w:t>
      </w:r>
      <w:r>
        <w:rPr>
          <w:rFonts w:ascii="Calibri" w:hAnsi="Calibri"/>
          <w:color w:val="000000"/>
          <w:sz w:val="24"/>
          <w:szCs w:val="24"/>
        </w:rPr>
        <w:tab/>
      </w:r>
      <w:r w:rsidR="003B1E12" w:rsidRPr="005F414A">
        <w:rPr>
          <w:rFonts w:ascii="Calibri" w:hAnsi="Calibri"/>
          <w:color w:val="000000"/>
          <w:sz w:val="24"/>
          <w:szCs w:val="24"/>
        </w:rPr>
        <w:t>Hospodaření SPO se řídí jejím rozpočtem, který po zahrnutí příspěvku ze státního rozpočtu nebo stanovení odvodu do státního rozpočtu musí být sestaven jako vyrovnaný. SPO je povinna dbát, aby plnila určené úkoly nejhospodárnějším způsobem a dodržela stanovené finanční vztahy ke státnímu rozpočtu. Peněžní prostředky, kterými disponuje, může používat jen k účelům, na které jsou určeny. Jestliže skutečná výše nákladů a výnosů v průběhu rozpočtového roku neodpovídá jejich rozpočtované výši a je předpoklad, že může být zhoršen rozpočtovaný hospodářský výsledek, je SPO povinna učinit opatření, která zajistí jeho vyrovnání.</w:t>
      </w:r>
    </w:p>
    <w:p w14:paraId="0DDB0F9D" w14:textId="77777777" w:rsidR="00AD7330" w:rsidRPr="00560BEB" w:rsidRDefault="00AD7330" w:rsidP="00560BEB">
      <w:pPr>
        <w:spacing w:after="0" w:line="240" w:lineRule="auto"/>
        <w:jc w:val="both"/>
        <w:rPr>
          <w:rFonts w:cstheme="minorHAnsi"/>
          <w:bCs/>
          <w:sz w:val="24"/>
          <w:szCs w:val="24"/>
        </w:rPr>
      </w:pPr>
    </w:p>
    <w:p w14:paraId="7DAF98A5" w14:textId="51B780C5" w:rsidR="00AD7330" w:rsidRPr="005F414A" w:rsidRDefault="005F414A" w:rsidP="005F414A">
      <w:pPr>
        <w:tabs>
          <w:tab w:val="left" w:pos="426"/>
        </w:tabs>
        <w:spacing w:after="0" w:line="240" w:lineRule="auto"/>
        <w:jc w:val="both"/>
        <w:rPr>
          <w:rFonts w:cstheme="minorHAnsi"/>
          <w:bCs/>
          <w:sz w:val="24"/>
          <w:szCs w:val="24"/>
        </w:rPr>
      </w:pPr>
      <w:r>
        <w:rPr>
          <w:rFonts w:cstheme="minorHAnsi"/>
          <w:sz w:val="24"/>
          <w:szCs w:val="24"/>
        </w:rPr>
        <w:t xml:space="preserve">2.3 </w:t>
      </w:r>
      <w:r>
        <w:rPr>
          <w:rFonts w:cstheme="minorHAnsi"/>
          <w:sz w:val="24"/>
          <w:szCs w:val="24"/>
        </w:rPr>
        <w:tab/>
      </w:r>
      <w:r w:rsidR="003B1E12" w:rsidRPr="005F414A">
        <w:rPr>
          <w:rFonts w:cstheme="minorHAnsi"/>
          <w:sz w:val="24"/>
          <w:szCs w:val="24"/>
        </w:rPr>
        <w:t xml:space="preserve">Hlavní nákladovou položkou státních příspěvkových organizací jsou náklady z činnosti, jejichž podíl na celkových nákladech SPO se dlouhodobě pohybuje přes 99 %. K vyrovnanému hospodaření </w:t>
      </w:r>
      <w:r w:rsidR="00BE1C9F" w:rsidRPr="005F414A">
        <w:rPr>
          <w:rFonts w:cstheme="minorHAnsi"/>
          <w:sz w:val="24"/>
          <w:szCs w:val="24"/>
        </w:rPr>
        <w:t>čerpají</w:t>
      </w:r>
      <w:r w:rsidR="003B1E12" w:rsidRPr="005F414A">
        <w:rPr>
          <w:rFonts w:cstheme="minorHAnsi"/>
          <w:sz w:val="24"/>
          <w:szCs w:val="24"/>
        </w:rPr>
        <w:t xml:space="preserve"> SPO od zřizovatele příspěvek na provoz ze státního rozpočtu. Z dlouhodobého hlediska výše příspěvku na provoz roste.</w:t>
      </w:r>
    </w:p>
    <w:p w14:paraId="4C2B7F2B" w14:textId="77777777" w:rsidR="00AD7330" w:rsidRPr="00AD7330" w:rsidRDefault="00AD7330" w:rsidP="00AD7330">
      <w:pPr>
        <w:spacing w:after="0" w:line="240" w:lineRule="auto"/>
        <w:jc w:val="both"/>
        <w:rPr>
          <w:rFonts w:cstheme="minorHAnsi"/>
          <w:bCs/>
          <w:sz w:val="24"/>
          <w:szCs w:val="24"/>
        </w:rPr>
      </w:pPr>
    </w:p>
    <w:p w14:paraId="1784D94B" w14:textId="012DDE9A" w:rsidR="00AD7330" w:rsidRPr="00471632" w:rsidRDefault="00471632" w:rsidP="00471632">
      <w:pPr>
        <w:tabs>
          <w:tab w:val="left" w:pos="426"/>
        </w:tabs>
        <w:spacing w:after="0" w:line="240" w:lineRule="auto"/>
        <w:jc w:val="both"/>
        <w:rPr>
          <w:rFonts w:cstheme="minorHAnsi"/>
          <w:bCs/>
          <w:sz w:val="24"/>
          <w:szCs w:val="24"/>
        </w:rPr>
      </w:pPr>
      <w:r>
        <w:rPr>
          <w:rFonts w:ascii="Calibri" w:hAnsi="Calibri"/>
          <w:color w:val="000000"/>
          <w:sz w:val="24"/>
          <w:szCs w:val="24"/>
        </w:rPr>
        <w:t xml:space="preserve">2.4 </w:t>
      </w:r>
      <w:r>
        <w:rPr>
          <w:rFonts w:ascii="Calibri" w:hAnsi="Calibri"/>
          <w:color w:val="000000"/>
          <w:sz w:val="24"/>
          <w:szCs w:val="24"/>
        </w:rPr>
        <w:tab/>
      </w:r>
      <w:r w:rsidR="003B1E12" w:rsidRPr="00471632">
        <w:rPr>
          <w:rFonts w:ascii="Calibri" w:hAnsi="Calibri"/>
          <w:color w:val="000000"/>
          <w:sz w:val="24"/>
          <w:szCs w:val="24"/>
        </w:rPr>
        <w:t xml:space="preserve">Náklady </w:t>
      </w:r>
      <w:r w:rsidR="005F220D" w:rsidRPr="00471632">
        <w:rPr>
          <w:rFonts w:ascii="Calibri" w:hAnsi="Calibri"/>
          <w:color w:val="000000"/>
          <w:sz w:val="24"/>
          <w:szCs w:val="24"/>
        </w:rPr>
        <w:t>čtyř</w:t>
      </w:r>
      <w:r w:rsidR="003B1E12" w:rsidRPr="00471632">
        <w:rPr>
          <w:rFonts w:ascii="Calibri" w:hAnsi="Calibri"/>
          <w:color w:val="000000"/>
          <w:sz w:val="24"/>
          <w:szCs w:val="24"/>
        </w:rPr>
        <w:t xml:space="preserve"> kontrolovaných SPO na hlavní činnost v roce 2021 činily 595,8 mil. Kč. Meziročně tyto náklady oproti roku 2020 vzrostly o 55,6 mil. Kč. Kontrolované SPO v</w:t>
      </w:r>
      <w:r w:rsidR="002C1446" w:rsidRPr="00471632">
        <w:rPr>
          <w:rFonts w:ascii="Calibri" w:hAnsi="Calibri"/>
          <w:color w:val="000000"/>
          <w:sz w:val="24"/>
          <w:szCs w:val="24"/>
        </w:rPr>
        <w:t> </w:t>
      </w:r>
      <w:r w:rsidR="003B1E12" w:rsidRPr="00471632">
        <w:rPr>
          <w:rFonts w:ascii="Calibri" w:hAnsi="Calibri"/>
          <w:color w:val="000000"/>
          <w:sz w:val="24"/>
          <w:szCs w:val="24"/>
        </w:rPr>
        <w:t>roce</w:t>
      </w:r>
      <w:r w:rsidR="002C1446" w:rsidRPr="00471632">
        <w:rPr>
          <w:rFonts w:ascii="Calibri" w:hAnsi="Calibri"/>
          <w:color w:val="000000"/>
          <w:sz w:val="24"/>
          <w:szCs w:val="24"/>
        </w:rPr>
        <w:t> </w:t>
      </w:r>
      <w:r w:rsidR="003B1E12" w:rsidRPr="00471632">
        <w:rPr>
          <w:rFonts w:ascii="Calibri" w:hAnsi="Calibri"/>
          <w:color w:val="000000"/>
          <w:sz w:val="24"/>
          <w:szCs w:val="24"/>
        </w:rPr>
        <w:t>2021 vykázaly příspěvek na provoz od</w:t>
      </w:r>
      <w:r>
        <w:rPr>
          <w:rFonts w:ascii="Calibri" w:hAnsi="Calibri"/>
          <w:color w:val="000000"/>
          <w:sz w:val="24"/>
          <w:szCs w:val="24"/>
        </w:rPr>
        <w:t xml:space="preserve"> </w:t>
      </w:r>
      <w:r w:rsidR="003B1E12" w:rsidRPr="00471632">
        <w:rPr>
          <w:rFonts w:ascii="Calibri" w:hAnsi="Calibri"/>
          <w:color w:val="000000"/>
          <w:sz w:val="24"/>
          <w:szCs w:val="24"/>
        </w:rPr>
        <w:t>zřizovatele ve výši 298,1 mil. Kč, což bylo o</w:t>
      </w:r>
      <w:r w:rsidR="002C1446" w:rsidRPr="00471632">
        <w:rPr>
          <w:rFonts w:ascii="Calibri" w:hAnsi="Calibri"/>
          <w:color w:val="000000"/>
          <w:sz w:val="24"/>
          <w:szCs w:val="24"/>
        </w:rPr>
        <w:t> </w:t>
      </w:r>
      <w:r w:rsidR="003B1E12" w:rsidRPr="00471632">
        <w:rPr>
          <w:rFonts w:ascii="Calibri" w:hAnsi="Calibri"/>
          <w:color w:val="000000"/>
          <w:sz w:val="24"/>
          <w:szCs w:val="24"/>
        </w:rPr>
        <w:t>81,3</w:t>
      </w:r>
      <w:r w:rsidR="002C1446" w:rsidRPr="00471632">
        <w:rPr>
          <w:rFonts w:ascii="Calibri" w:hAnsi="Calibri"/>
          <w:color w:val="000000"/>
          <w:sz w:val="24"/>
          <w:szCs w:val="24"/>
        </w:rPr>
        <w:t> </w:t>
      </w:r>
      <w:r w:rsidR="003B1E12" w:rsidRPr="00471632">
        <w:rPr>
          <w:rFonts w:ascii="Calibri" w:hAnsi="Calibri"/>
          <w:color w:val="000000"/>
          <w:sz w:val="24"/>
          <w:szCs w:val="24"/>
        </w:rPr>
        <w:t>mil.</w:t>
      </w:r>
      <w:r w:rsidR="002C1446" w:rsidRPr="00471632">
        <w:rPr>
          <w:rFonts w:ascii="Calibri" w:hAnsi="Calibri"/>
          <w:color w:val="000000"/>
          <w:sz w:val="24"/>
          <w:szCs w:val="24"/>
        </w:rPr>
        <w:t> </w:t>
      </w:r>
      <w:r w:rsidR="003B1E12" w:rsidRPr="00471632">
        <w:rPr>
          <w:rFonts w:ascii="Calibri" w:hAnsi="Calibri"/>
          <w:color w:val="000000"/>
          <w:sz w:val="24"/>
          <w:szCs w:val="24"/>
        </w:rPr>
        <w:t xml:space="preserve">Kč více, než činil </w:t>
      </w:r>
      <w:r w:rsidR="001726AB" w:rsidRPr="00471632">
        <w:rPr>
          <w:rFonts w:ascii="Calibri" w:hAnsi="Calibri"/>
          <w:color w:val="000000"/>
          <w:sz w:val="24"/>
          <w:szCs w:val="24"/>
        </w:rPr>
        <w:t xml:space="preserve">původně </w:t>
      </w:r>
      <w:r w:rsidR="003B1E12" w:rsidRPr="00471632">
        <w:rPr>
          <w:rFonts w:ascii="Calibri" w:hAnsi="Calibri"/>
          <w:color w:val="000000"/>
          <w:sz w:val="24"/>
          <w:szCs w:val="24"/>
        </w:rPr>
        <w:t>schválený rozpočet příspěvku na provoz na rok</w:t>
      </w:r>
      <w:r w:rsidR="00BB2129" w:rsidRPr="00471632">
        <w:rPr>
          <w:rFonts w:ascii="Calibri" w:hAnsi="Calibri"/>
          <w:color w:val="000000"/>
          <w:sz w:val="24"/>
          <w:szCs w:val="24"/>
        </w:rPr>
        <w:t xml:space="preserve"> 2021</w:t>
      </w:r>
      <w:r w:rsidR="003B1E12" w:rsidRPr="00471632">
        <w:rPr>
          <w:rFonts w:ascii="Calibri" w:hAnsi="Calibri"/>
          <w:color w:val="000000"/>
          <w:sz w:val="24"/>
          <w:szCs w:val="24"/>
        </w:rPr>
        <w:t>. Podrobnější informace jsou</w:t>
      </w:r>
      <w:r w:rsidR="003B1E12" w:rsidRPr="00471632">
        <w:rPr>
          <w:rFonts w:cstheme="minorHAnsi"/>
          <w:sz w:val="24"/>
          <w:szCs w:val="24"/>
        </w:rPr>
        <w:t xml:space="preserve"> uvedeny v příloze č. 1</w:t>
      </w:r>
      <w:r w:rsidR="004E6976">
        <w:rPr>
          <w:rFonts w:cstheme="minorHAnsi"/>
          <w:sz w:val="24"/>
          <w:szCs w:val="24"/>
        </w:rPr>
        <w:t xml:space="preserve"> tohoto kontrolního závěru</w:t>
      </w:r>
      <w:r w:rsidR="003B1E12" w:rsidRPr="00471632">
        <w:rPr>
          <w:rFonts w:cstheme="minorHAnsi"/>
          <w:sz w:val="24"/>
          <w:szCs w:val="24"/>
        </w:rPr>
        <w:t xml:space="preserve">. </w:t>
      </w:r>
      <w:r w:rsidR="003B1E12" w:rsidRPr="00471632">
        <w:rPr>
          <w:rFonts w:ascii="Calibri" w:hAnsi="Calibri"/>
          <w:color w:val="000000"/>
          <w:sz w:val="24"/>
          <w:szCs w:val="24"/>
        </w:rPr>
        <w:t>Ke</w:t>
      </w:r>
      <w:r>
        <w:rPr>
          <w:rFonts w:ascii="Calibri" w:hAnsi="Calibri"/>
          <w:color w:val="000000"/>
          <w:sz w:val="24"/>
          <w:szCs w:val="24"/>
        </w:rPr>
        <w:t xml:space="preserve"> </w:t>
      </w:r>
      <w:r w:rsidR="003B1E12" w:rsidRPr="00471632">
        <w:rPr>
          <w:rFonts w:ascii="Calibri" w:hAnsi="Calibri"/>
          <w:color w:val="000000"/>
          <w:sz w:val="24"/>
          <w:szCs w:val="24"/>
        </w:rPr>
        <w:t>kontrole byly vybrány SPO</w:t>
      </w:r>
      <w:r w:rsidR="00BB2129" w:rsidRPr="00471632">
        <w:rPr>
          <w:rFonts w:ascii="Calibri" w:hAnsi="Calibri"/>
          <w:color w:val="000000"/>
          <w:sz w:val="24"/>
          <w:szCs w:val="24"/>
        </w:rPr>
        <w:t>,</w:t>
      </w:r>
      <w:r w:rsidR="003B1E12" w:rsidRPr="00471632">
        <w:rPr>
          <w:rFonts w:ascii="Calibri" w:hAnsi="Calibri"/>
          <w:color w:val="000000"/>
          <w:sz w:val="24"/>
          <w:szCs w:val="24"/>
        </w:rPr>
        <w:t xml:space="preserve"> </w:t>
      </w:r>
      <w:r w:rsidR="00BB2129" w:rsidRPr="00471632">
        <w:rPr>
          <w:rFonts w:ascii="Calibri" w:hAnsi="Calibri"/>
          <w:color w:val="000000"/>
          <w:sz w:val="24"/>
          <w:szCs w:val="24"/>
        </w:rPr>
        <w:t>jejichž zřizovateli jsou</w:t>
      </w:r>
      <w:r w:rsidR="003B1E12" w:rsidRPr="00471632">
        <w:rPr>
          <w:rFonts w:ascii="Calibri" w:hAnsi="Calibri"/>
          <w:color w:val="000000"/>
          <w:sz w:val="24"/>
          <w:szCs w:val="24"/>
        </w:rPr>
        <w:t xml:space="preserve"> MŽP, MPO</w:t>
      </w:r>
      <w:r w:rsidR="00E127A3" w:rsidRPr="00471632">
        <w:rPr>
          <w:rFonts w:ascii="Calibri" w:hAnsi="Calibri"/>
          <w:color w:val="000000"/>
          <w:sz w:val="24"/>
          <w:szCs w:val="24"/>
        </w:rPr>
        <w:t>, ÚNMZ</w:t>
      </w:r>
      <w:r w:rsidR="003B1E12" w:rsidRPr="00471632">
        <w:rPr>
          <w:rFonts w:ascii="Calibri" w:hAnsi="Calibri"/>
          <w:color w:val="000000"/>
          <w:sz w:val="24"/>
          <w:szCs w:val="24"/>
        </w:rPr>
        <w:t xml:space="preserve"> a MZe.</w:t>
      </w:r>
    </w:p>
    <w:p w14:paraId="75B89C73" w14:textId="77777777" w:rsidR="00AD7330" w:rsidRPr="00AD7330" w:rsidRDefault="00AD7330" w:rsidP="00D9351A">
      <w:pPr>
        <w:pStyle w:val="Odstavecseseznamem"/>
        <w:spacing w:after="0" w:line="240" w:lineRule="auto"/>
        <w:ind w:left="0"/>
        <w:jc w:val="both"/>
        <w:rPr>
          <w:rFonts w:cstheme="minorHAnsi"/>
          <w:bCs/>
          <w:sz w:val="24"/>
          <w:szCs w:val="24"/>
        </w:rPr>
      </w:pPr>
    </w:p>
    <w:p w14:paraId="200AB2D9" w14:textId="04AFC649" w:rsidR="00AD7330" w:rsidRPr="00471632" w:rsidRDefault="00471632" w:rsidP="00471632">
      <w:pPr>
        <w:tabs>
          <w:tab w:val="left" w:pos="426"/>
        </w:tabs>
        <w:spacing w:after="0" w:line="240" w:lineRule="auto"/>
        <w:jc w:val="both"/>
        <w:rPr>
          <w:rFonts w:cstheme="minorHAnsi"/>
          <w:bCs/>
          <w:sz w:val="24"/>
          <w:szCs w:val="24"/>
        </w:rPr>
      </w:pPr>
      <w:r>
        <w:rPr>
          <w:rFonts w:ascii="Calibri" w:hAnsi="Calibri"/>
          <w:color w:val="000000"/>
          <w:sz w:val="24"/>
          <w:szCs w:val="24"/>
        </w:rPr>
        <w:t xml:space="preserve">2.5 </w:t>
      </w:r>
      <w:r>
        <w:rPr>
          <w:rFonts w:ascii="Calibri" w:hAnsi="Calibri"/>
          <w:color w:val="000000"/>
          <w:sz w:val="24"/>
          <w:szCs w:val="24"/>
        </w:rPr>
        <w:tab/>
      </w:r>
      <w:r w:rsidR="003B1E12" w:rsidRPr="00471632">
        <w:rPr>
          <w:rFonts w:ascii="Calibri" w:hAnsi="Calibri"/>
          <w:color w:val="000000"/>
          <w:sz w:val="24"/>
          <w:szCs w:val="24"/>
        </w:rPr>
        <w:t xml:space="preserve">MŽP spravuje </w:t>
      </w:r>
      <w:r w:rsidR="00FB2C8D">
        <w:rPr>
          <w:rFonts w:ascii="Calibri" w:hAnsi="Calibri"/>
          <w:color w:val="000000"/>
          <w:sz w:val="24"/>
          <w:szCs w:val="24"/>
        </w:rPr>
        <w:t>osm</w:t>
      </w:r>
      <w:r w:rsidR="003B1E12" w:rsidRPr="00471632">
        <w:rPr>
          <w:rFonts w:ascii="Calibri" w:hAnsi="Calibri"/>
          <w:color w:val="000000"/>
          <w:sz w:val="24"/>
          <w:szCs w:val="24"/>
        </w:rPr>
        <w:t xml:space="preserve"> SPO – Česk</w:t>
      </w:r>
      <w:r w:rsidR="00FB2C8D">
        <w:rPr>
          <w:rFonts w:ascii="Calibri" w:hAnsi="Calibri"/>
          <w:color w:val="000000"/>
          <w:sz w:val="24"/>
          <w:szCs w:val="24"/>
        </w:rPr>
        <w:t>ou</w:t>
      </w:r>
      <w:r w:rsidR="003B1E12" w:rsidRPr="00471632">
        <w:rPr>
          <w:rFonts w:ascii="Calibri" w:hAnsi="Calibri"/>
          <w:color w:val="000000"/>
          <w:sz w:val="24"/>
          <w:szCs w:val="24"/>
        </w:rPr>
        <w:t xml:space="preserve"> informační agentur</w:t>
      </w:r>
      <w:r w:rsidR="00FB2C8D">
        <w:rPr>
          <w:rFonts w:ascii="Calibri" w:hAnsi="Calibri"/>
          <w:color w:val="000000"/>
          <w:sz w:val="24"/>
          <w:szCs w:val="24"/>
        </w:rPr>
        <w:t>u</w:t>
      </w:r>
      <w:r w:rsidR="003B1E12" w:rsidRPr="00471632">
        <w:rPr>
          <w:rFonts w:ascii="Calibri" w:hAnsi="Calibri"/>
          <w:color w:val="000000"/>
          <w:sz w:val="24"/>
          <w:szCs w:val="24"/>
        </w:rPr>
        <w:t xml:space="preserve"> životního prostředí, Česk</w:t>
      </w:r>
      <w:r w:rsidR="00FB2C8D">
        <w:rPr>
          <w:rFonts w:ascii="Calibri" w:hAnsi="Calibri"/>
          <w:color w:val="000000"/>
          <w:sz w:val="24"/>
          <w:szCs w:val="24"/>
        </w:rPr>
        <w:t>ou</w:t>
      </w:r>
      <w:r w:rsidR="003B1E12" w:rsidRPr="00471632">
        <w:rPr>
          <w:rFonts w:ascii="Calibri" w:hAnsi="Calibri"/>
          <w:color w:val="000000"/>
          <w:sz w:val="24"/>
          <w:szCs w:val="24"/>
        </w:rPr>
        <w:t xml:space="preserve"> geologick</w:t>
      </w:r>
      <w:r w:rsidR="00FB2C8D">
        <w:rPr>
          <w:rFonts w:ascii="Calibri" w:hAnsi="Calibri"/>
          <w:color w:val="000000"/>
          <w:sz w:val="24"/>
          <w:szCs w:val="24"/>
        </w:rPr>
        <w:t>ou</w:t>
      </w:r>
      <w:r w:rsidR="003B1E12" w:rsidRPr="00471632">
        <w:rPr>
          <w:rFonts w:ascii="Calibri" w:hAnsi="Calibri"/>
          <w:color w:val="000000"/>
          <w:sz w:val="24"/>
          <w:szCs w:val="24"/>
        </w:rPr>
        <w:t xml:space="preserve"> služb</w:t>
      </w:r>
      <w:r w:rsidR="00FB2C8D">
        <w:rPr>
          <w:rFonts w:ascii="Calibri" w:hAnsi="Calibri"/>
          <w:color w:val="000000"/>
          <w:sz w:val="24"/>
          <w:szCs w:val="24"/>
        </w:rPr>
        <w:t>u</w:t>
      </w:r>
      <w:r w:rsidR="003B1E12" w:rsidRPr="00471632">
        <w:rPr>
          <w:rFonts w:ascii="Calibri" w:hAnsi="Calibri"/>
          <w:color w:val="000000"/>
          <w:sz w:val="24"/>
          <w:szCs w:val="24"/>
        </w:rPr>
        <w:t>, Český hydrometeorologický ústav, Správ</w:t>
      </w:r>
      <w:r w:rsidR="00FB2C8D">
        <w:rPr>
          <w:rFonts w:ascii="Calibri" w:hAnsi="Calibri"/>
          <w:color w:val="000000"/>
          <w:sz w:val="24"/>
          <w:szCs w:val="24"/>
        </w:rPr>
        <w:t>u</w:t>
      </w:r>
      <w:r w:rsidR="003B1E12" w:rsidRPr="00471632">
        <w:rPr>
          <w:rFonts w:ascii="Calibri" w:hAnsi="Calibri"/>
          <w:color w:val="000000"/>
          <w:sz w:val="24"/>
          <w:szCs w:val="24"/>
        </w:rPr>
        <w:t xml:space="preserve"> jeskyní České republiky, Správ</w:t>
      </w:r>
      <w:r w:rsidR="00FB2C8D">
        <w:rPr>
          <w:rFonts w:ascii="Calibri" w:hAnsi="Calibri"/>
          <w:color w:val="000000"/>
          <w:sz w:val="24"/>
          <w:szCs w:val="24"/>
        </w:rPr>
        <w:t>u</w:t>
      </w:r>
      <w:r w:rsidR="003B1E12" w:rsidRPr="00471632">
        <w:rPr>
          <w:rFonts w:ascii="Calibri" w:hAnsi="Calibri"/>
          <w:color w:val="000000"/>
          <w:sz w:val="24"/>
          <w:szCs w:val="24"/>
        </w:rPr>
        <w:t xml:space="preserve"> Krkonošského národního parku, Správ</w:t>
      </w:r>
      <w:r w:rsidR="00FB2C8D">
        <w:rPr>
          <w:rFonts w:ascii="Calibri" w:hAnsi="Calibri"/>
          <w:color w:val="000000"/>
          <w:sz w:val="24"/>
          <w:szCs w:val="24"/>
        </w:rPr>
        <w:t>u</w:t>
      </w:r>
      <w:r w:rsidR="003B1E12" w:rsidRPr="00471632">
        <w:rPr>
          <w:rFonts w:ascii="Calibri" w:hAnsi="Calibri"/>
          <w:color w:val="000000"/>
          <w:sz w:val="24"/>
          <w:szCs w:val="24"/>
        </w:rPr>
        <w:t xml:space="preserve"> Národního parku České Švýcarsko, Správ</w:t>
      </w:r>
      <w:r w:rsidR="00FB2C8D">
        <w:rPr>
          <w:rFonts w:ascii="Calibri" w:hAnsi="Calibri"/>
          <w:color w:val="000000"/>
          <w:sz w:val="24"/>
          <w:szCs w:val="24"/>
        </w:rPr>
        <w:t>u</w:t>
      </w:r>
      <w:r w:rsidR="003B1E12" w:rsidRPr="00471632">
        <w:rPr>
          <w:rFonts w:ascii="Calibri" w:hAnsi="Calibri"/>
          <w:color w:val="000000"/>
          <w:sz w:val="24"/>
          <w:szCs w:val="24"/>
        </w:rPr>
        <w:t xml:space="preserve"> Národního parku Podyjí a Správ</w:t>
      </w:r>
      <w:r w:rsidR="00FB2C8D">
        <w:rPr>
          <w:rFonts w:ascii="Calibri" w:hAnsi="Calibri"/>
          <w:color w:val="000000"/>
          <w:sz w:val="24"/>
          <w:szCs w:val="24"/>
        </w:rPr>
        <w:t>u</w:t>
      </w:r>
      <w:r w:rsidR="003B1E12" w:rsidRPr="00471632">
        <w:rPr>
          <w:rFonts w:ascii="Calibri" w:hAnsi="Calibri"/>
          <w:color w:val="000000"/>
          <w:sz w:val="24"/>
          <w:szCs w:val="24"/>
        </w:rPr>
        <w:t xml:space="preserve"> Národního parku Šumava.</w:t>
      </w:r>
      <w:r w:rsidR="00CA0D65" w:rsidRPr="00471632">
        <w:rPr>
          <w:rFonts w:ascii="Calibri" w:hAnsi="Calibri"/>
          <w:color w:val="000000"/>
          <w:sz w:val="24"/>
          <w:szCs w:val="24"/>
        </w:rPr>
        <w:t xml:space="preserve"> </w:t>
      </w:r>
      <w:r w:rsidR="00CA0D65" w:rsidRPr="00471632">
        <w:rPr>
          <w:rFonts w:cstheme="minorHAnsi"/>
          <w:bCs/>
          <w:sz w:val="24"/>
          <w:szCs w:val="24"/>
        </w:rPr>
        <w:t>Příspěvek na provoz, který MŽP poskytlo svým SPO</w:t>
      </w:r>
      <w:r w:rsidR="00FB2C8D">
        <w:rPr>
          <w:rFonts w:cstheme="minorHAnsi"/>
          <w:bCs/>
          <w:sz w:val="24"/>
          <w:szCs w:val="24"/>
        </w:rPr>
        <w:t>,</w:t>
      </w:r>
      <w:r w:rsidR="00CA0D65" w:rsidRPr="00471632">
        <w:rPr>
          <w:rFonts w:cstheme="minorHAnsi"/>
          <w:bCs/>
          <w:sz w:val="24"/>
          <w:szCs w:val="24"/>
        </w:rPr>
        <w:t xml:space="preserve"> činil v letech 2019–2021 celkem </w:t>
      </w:r>
      <w:r w:rsidR="00FC3246" w:rsidRPr="00471632">
        <w:rPr>
          <w:rFonts w:cstheme="minorHAnsi"/>
          <w:bCs/>
          <w:sz w:val="24"/>
          <w:szCs w:val="24"/>
        </w:rPr>
        <w:t>4</w:t>
      </w:r>
      <w:r w:rsidR="00CA0D65" w:rsidRPr="00471632">
        <w:rPr>
          <w:rFonts w:cstheme="minorHAnsi"/>
          <w:bCs/>
          <w:sz w:val="24"/>
          <w:szCs w:val="24"/>
        </w:rPr>
        <w:t xml:space="preserve"> </w:t>
      </w:r>
      <w:r w:rsidR="00FC3246" w:rsidRPr="00471632">
        <w:rPr>
          <w:rFonts w:cstheme="minorHAnsi"/>
          <w:bCs/>
          <w:sz w:val="24"/>
          <w:szCs w:val="24"/>
        </w:rPr>
        <w:t>112</w:t>
      </w:r>
      <w:r w:rsidR="00CA0D65" w:rsidRPr="00471632">
        <w:rPr>
          <w:rFonts w:cstheme="minorHAnsi"/>
          <w:bCs/>
          <w:sz w:val="24"/>
          <w:szCs w:val="24"/>
        </w:rPr>
        <w:t>,</w:t>
      </w:r>
      <w:r w:rsidR="00FC3246" w:rsidRPr="00471632">
        <w:rPr>
          <w:rFonts w:cstheme="minorHAnsi"/>
          <w:bCs/>
          <w:sz w:val="24"/>
          <w:szCs w:val="24"/>
        </w:rPr>
        <w:t>0</w:t>
      </w:r>
      <w:r w:rsidR="00CA0D65" w:rsidRPr="00471632">
        <w:rPr>
          <w:rFonts w:cstheme="minorHAnsi"/>
          <w:bCs/>
          <w:sz w:val="24"/>
          <w:szCs w:val="24"/>
        </w:rPr>
        <w:t xml:space="preserve"> mil. Kč.</w:t>
      </w:r>
    </w:p>
    <w:p w14:paraId="0FFB7BF7" w14:textId="77777777" w:rsidR="00AD7330" w:rsidRPr="00294DF1" w:rsidRDefault="00AD7330" w:rsidP="00D9351A">
      <w:pPr>
        <w:pStyle w:val="Odstavecseseznamem"/>
        <w:spacing w:after="0" w:line="240" w:lineRule="auto"/>
        <w:ind w:left="0"/>
        <w:jc w:val="both"/>
        <w:rPr>
          <w:rFonts w:cstheme="minorHAnsi"/>
          <w:bCs/>
          <w:color w:val="FFFFFF" w:themeColor="background1"/>
          <w:sz w:val="24"/>
          <w:szCs w:val="24"/>
        </w:rPr>
      </w:pPr>
    </w:p>
    <w:p w14:paraId="2721BF21" w14:textId="164C4CD5" w:rsidR="00AD7330" w:rsidRPr="00471632" w:rsidRDefault="00471632" w:rsidP="00471632">
      <w:pPr>
        <w:tabs>
          <w:tab w:val="left" w:pos="426"/>
        </w:tabs>
        <w:spacing w:after="0" w:line="240" w:lineRule="auto"/>
        <w:jc w:val="both"/>
        <w:rPr>
          <w:rFonts w:cstheme="minorHAnsi"/>
          <w:bCs/>
          <w:sz w:val="24"/>
          <w:szCs w:val="24"/>
        </w:rPr>
      </w:pPr>
      <w:r>
        <w:rPr>
          <w:rFonts w:ascii="Calibri" w:hAnsi="Calibri"/>
          <w:color w:val="000000"/>
          <w:sz w:val="24"/>
          <w:szCs w:val="24"/>
        </w:rPr>
        <w:t xml:space="preserve">2.6 </w:t>
      </w:r>
      <w:r>
        <w:rPr>
          <w:rFonts w:ascii="Calibri" w:hAnsi="Calibri"/>
          <w:color w:val="000000"/>
          <w:sz w:val="24"/>
          <w:szCs w:val="24"/>
        </w:rPr>
        <w:tab/>
      </w:r>
      <w:r w:rsidR="003B1E12" w:rsidRPr="00471632">
        <w:rPr>
          <w:rFonts w:ascii="Calibri" w:hAnsi="Calibri"/>
          <w:color w:val="000000"/>
          <w:sz w:val="24"/>
          <w:szCs w:val="24"/>
        </w:rPr>
        <w:t xml:space="preserve">MPO spravuje </w:t>
      </w:r>
      <w:r w:rsidR="00FB2C8D">
        <w:rPr>
          <w:rFonts w:ascii="Calibri" w:hAnsi="Calibri"/>
          <w:color w:val="000000"/>
          <w:sz w:val="24"/>
          <w:szCs w:val="24"/>
        </w:rPr>
        <w:t>šest</w:t>
      </w:r>
      <w:r w:rsidR="003B1E12" w:rsidRPr="00471632">
        <w:rPr>
          <w:rFonts w:ascii="Calibri" w:hAnsi="Calibri"/>
          <w:color w:val="000000"/>
          <w:sz w:val="24"/>
          <w:szCs w:val="24"/>
        </w:rPr>
        <w:t xml:space="preserve"> SPO – Agentur</w:t>
      </w:r>
      <w:r w:rsidR="00FB2C8D">
        <w:rPr>
          <w:rFonts w:ascii="Calibri" w:hAnsi="Calibri"/>
          <w:color w:val="000000"/>
          <w:sz w:val="24"/>
          <w:szCs w:val="24"/>
        </w:rPr>
        <w:t>u</w:t>
      </w:r>
      <w:r w:rsidR="003B1E12" w:rsidRPr="00471632">
        <w:rPr>
          <w:rFonts w:ascii="Calibri" w:hAnsi="Calibri"/>
          <w:color w:val="000000"/>
          <w:sz w:val="24"/>
          <w:szCs w:val="24"/>
        </w:rPr>
        <w:t xml:space="preserve"> pro podporu podnikání a investic </w:t>
      </w:r>
      <w:proofErr w:type="spellStart"/>
      <w:r w:rsidR="003B1E12" w:rsidRPr="00471632">
        <w:rPr>
          <w:rFonts w:ascii="Calibri" w:hAnsi="Calibri"/>
          <w:color w:val="000000"/>
          <w:sz w:val="24"/>
          <w:szCs w:val="24"/>
        </w:rPr>
        <w:t>CzechInvest</w:t>
      </w:r>
      <w:proofErr w:type="spellEnd"/>
      <w:r w:rsidR="003B1E12" w:rsidRPr="00471632">
        <w:rPr>
          <w:rFonts w:ascii="Calibri" w:hAnsi="Calibri"/>
          <w:color w:val="000000"/>
          <w:sz w:val="24"/>
          <w:szCs w:val="24"/>
        </w:rPr>
        <w:t xml:space="preserve">, </w:t>
      </w:r>
      <w:r w:rsidR="003B1E12" w:rsidRPr="00471632">
        <w:rPr>
          <w:rFonts w:cstheme="minorHAnsi"/>
          <w:sz w:val="24"/>
          <w:szCs w:val="24"/>
        </w:rPr>
        <w:t>Česk</w:t>
      </w:r>
      <w:r w:rsidR="00FB2C8D">
        <w:rPr>
          <w:rFonts w:cstheme="minorHAnsi"/>
          <w:sz w:val="24"/>
          <w:szCs w:val="24"/>
        </w:rPr>
        <w:t>ou</w:t>
      </w:r>
      <w:r w:rsidR="003B1E12" w:rsidRPr="00471632">
        <w:rPr>
          <w:rFonts w:cstheme="minorHAnsi"/>
          <w:sz w:val="24"/>
          <w:szCs w:val="24"/>
        </w:rPr>
        <w:t xml:space="preserve"> agentur</w:t>
      </w:r>
      <w:r w:rsidR="00FB2C8D">
        <w:rPr>
          <w:rFonts w:cstheme="minorHAnsi"/>
          <w:sz w:val="24"/>
          <w:szCs w:val="24"/>
        </w:rPr>
        <w:t>u</w:t>
      </w:r>
      <w:r w:rsidR="003B1E12" w:rsidRPr="00471632">
        <w:rPr>
          <w:rFonts w:cstheme="minorHAnsi"/>
          <w:sz w:val="24"/>
          <w:szCs w:val="24"/>
        </w:rPr>
        <w:t xml:space="preserve"> na podporu obchodu</w:t>
      </w:r>
      <w:r w:rsidR="003B1E12" w:rsidRPr="00471632">
        <w:rPr>
          <w:rFonts w:ascii="Calibri" w:hAnsi="Calibri"/>
          <w:color w:val="000000"/>
          <w:sz w:val="24"/>
          <w:szCs w:val="24"/>
        </w:rPr>
        <w:t>, Správ</w:t>
      </w:r>
      <w:r w:rsidR="00FB2C8D">
        <w:rPr>
          <w:rFonts w:ascii="Calibri" w:hAnsi="Calibri"/>
          <w:color w:val="000000"/>
          <w:sz w:val="24"/>
          <w:szCs w:val="24"/>
        </w:rPr>
        <w:t>u</w:t>
      </w:r>
      <w:r w:rsidR="003B1E12" w:rsidRPr="00471632">
        <w:rPr>
          <w:rFonts w:ascii="Calibri" w:hAnsi="Calibri"/>
          <w:color w:val="000000"/>
          <w:sz w:val="24"/>
          <w:szCs w:val="24"/>
        </w:rPr>
        <w:t xml:space="preserve"> služeb Ministerstva průmyslu a obchodu, Český metrologický institut, Agentur</w:t>
      </w:r>
      <w:r w:rsidR="00FB2C8D">
        <w:rPr>
          <w:rFonts w:ascii="Calibri" w:hAnsi="Calibri"/>
          <w:color w:val="000000"/>
          <w:sz w:val="24"/>
          <w:szCs w:val="24"/>
        </w:rPr>
        <w:t>u</w:t>
      </w:r>
      <w:r w:rsidR="003B1E12" w:rsidRPr="00471632">
        <w:rPr>
          <w:rFonts w:ascii="Calibri" w:hAnsi="Calibri"/>
          <w:color w:val="000000"/>
          <w:sz w:val="24"/>
          <w:szCs w:val="24"/>
        </w:rPr>
        <w:t xml:space="preserve"> pro podnikání a inovace a Česk</w:t>
      </w:r>
      <w:r w:rsidR="00FB2C8D">
        <w:rPr>
          <w:rFonts w:ascii="Calibri" w:hAnsi="Calibri"/>
          <w:color w:val="000000"/>
          <w:sz w:val="24"/>
          <w:szCs w:val="24"/>
        </w:rPr>
        <w:t>ou</w:t>
      </w:r>
      <w:r w:rsidR="003B1E12" w:rsidRPr="00471632">
        <w:rPr>
          <w:rFonts w:ascii="Calibri" w:hAnsi="Calibri"/>
          <w:color w:val="000000"/>
          <w:sz w:val="24"/>
          <w:szCs w:val="24"/>
        </w:rPr>
        <w:t xml:space="preserve"> agentur</w:t>
      </w:r>
      <w:r w:rsidR="00FB2C8D">
        <w:rPr>
          <w:rFonts w:ascii="Calibri" w:hAnsi="Calibri"/>
          <w:color w:val="000000"/>
          <w:sz w:val="24"/>
          <w:szCs w:val="24"/>
        </w:rPr>
        <w:t>u</w:t>
      </w:r>
      <w:r w:rsidR="003B1E12" w:rsidRPr="00471632">
        <w:rPr>
          <w:rFonts w:ascii="Calibri" w:hAnsi="Calibri"/>
          <w:color w:val="000000"/>
          <w:sz w:val="24"/>
          <w:szCs w:val="24"/>
        </w:rPr>
        <w:t xml:space="preserve"> pro</w:t>
      </w:r>
      <w:r w:rsidR="00D9351A" w:rsidRPr="00471632">
        <w:rPr>
          <w:rFonts w:ascii="Calibri" w:hAnsi="Calibri"/>
          <w:color w:val="000000"/>
          <w:sz w:val="24"/>
          <w:szCs w:val="24"/>
        </w:rPr>
        <w:t xml:space="preserve"> </w:t>
      </w:r>
      <w:r w:rsidR="003B1E12" w:rsidRPr="00471632">
        <w:rPr>
          <w:rFonts w:ascii="Calibri" w:hAnsi="Calibri"/>
          <w:color w:val="000000"/>
          <w:sz w:val="24"/>
          <w:szCs w:val="24"/>
        </w:rPr>
        <w:t>standardizaci.</w:t>
      </w:r>
      <w:r w:rsidR="004974D2" w:rsidRPr="00471632">
        <w:rPr>
          <w:rFonts w:ascii="Calibri" w:hAnsi="Calibri"/>
          <w:color w:val="000000"/>
          <w:sz w:val="24"/>
          <w:szCs w:val="24"/>
        </w:rPr>
        <w:t xml:space="preserve"> Zřizovatelem ČAS není MPO, ale </w:t>
      </w:r>
      <w:r w:rsidR="00B719B4" w:rsidRPr="00471632">
        <w:rPr>
          <w:rFonts w:ascii="Calibri" w:hAnsi="Calibri"/>
          <w:color w:val="000000"/>
          <w:sz w:val="24"/>
          <w:szCs w:val="24"/>
        </w:rPr>
        <w:t xml:space="preserve">jeho organizační složka státu </w:t>
      </w:r>
      <w:r w:rsidR="004974D2" w:rsidRPr="00471632">
        <w:rPr>
          <w:rFonts w:ascii="Calibri" w:hAnsi="Calibri"/>
          <w:color w:val="000000"/>
          <w:sz w:val="24"/>
          <w:szCs w:val="24"/>
        </w:rPr>
        <w:t>ÚNMZ.</w:t>
      </w:r>
      <w:r w:rsidR="00CA0D65" w:rsidRPr="00471632">
        <w:rPr>
          <w:rFonts w:ascii="Calibri" w:hAnsi="Calibri"/>
          <w:color w:val="000000"/>
          <w:sz w:val="24"/>
          <w:szCs w:val="24"/>
        </w:rPr>
        <w:t xml:space="preserve"> </w:t>
      </w:r>
      <w:r w:rsidR="00CA0D65" w:rsidRPr="00471632">
        <w:rPr>
          <w:rFonts w:cstheme="minorHAnsi"/>
          <w:bCs/>
          <w:sz w:val="24"/>
          <w:szCs w:val="24"/>
        </w:rPr>
        <w:t xml:space="preserve">Příspěvek na provoz, který </w:t>
      </w:r>
      <w:r w:rsidR="00C44F5F" w:rsidRPr="00471632">
        <w:rPr>
          <w:rFonts w:cstheme="minorHAnsi"/>
          <w:bCs/>
          <w:sz w:val="24"/>
          <w:szCs w:val="24"/>
        </w:rPr>
        <w:t xml:space="preserve">kapitola </w:t>
      </w:r>
      <w:r w:rsidR="00CA0D65" w:rsidRPr="00471632">
        <w:rPr>
          <w:rFonts w:cstheme="minorHAnsi"/>
          <w:bCs/>
          <w:sz w:val="24"/>
          <w:szCs w:val="24"/>
        </w:rPr>
        <w:t>MPO poskytl</w:t>
      </w:r>
      <w:r w:rsidR="00C44F5F" w:rsidRPr="00471632">
        <w:rPr>
          <w:rFonts w:cstheme="minorHAnsi"/>
          <w:bCs/>
          <w:sz w:val="24"/>
          <w:szCs w:val="24"/>
        </w:rPr>
        <w:t>a</w:t>
      </w:r>
      <w:r w:rsidR="00CA0D65" w:rsidRPr="00471632">
        <w:rPr>
          <w:rFonts w:cstheme="minorHAnsi"/>
          <w:bCs/>
          <w:sz w:val="24"/>
          <w:szCs w:val="24"/>
        </w:rPr>
        <w:t xml:space="preserve"> svým SPO</w:t>
      </w:r>
      <w:r w:rsidR="00FB2C8D">
        <w:rPr>
          <w:rFonts w:cstheme="minorHAnsi"/>
          <w:bCs/>
          <w:sz w:val="24"/>
          <w:szCs w:val="24"/>
        </w:rPr>
        <w:t>,</w:t>
      </w:r>
      <w:r w:rsidR="00CA0D65" w:rsidRPr="00471632">
        <w:rPr>
          <w:rFonts w:cstheme="minorHAnsi"/>
          <w:bCs/>
          <w:sz w:val="24"/>
          <w:szCs w:val="24"/>
        </w:rPr>
        <w:t xml:space="preserve"> činil v letech 2019–2021 celkem </w:t>
      </w:r>
      <w:r w:rsidR="00FC3246" w:rsidRPr="00471632">
        <w:rPr>
          <w:rFonts w:cstheme="minorHAnsi"/>
          <w:bCs/>
          <w:sz w:val="24"/>
          <w:szCs w:val="24"/>
        </w:rPr>
        <w:t>2</w:t>
      </w:r>
      <w:r w:rsidR="0004169D" w:rsidRPr="00471632">
        <w:rPr>
          <w:rFonts w:cstheme="minorHAnsi"/>
          <w:bCs/>
          <w:sz w:val="24"/>
          <w:szCs w:val="24"/>
        </w:rPr>
        <w:t> </w:t>
      </w:r>
      <w:r w:rsidR="00FC3246" w:rsidRPr="00471632">
        <w:rPr>
          <w:rFonts w:cstheme="minorHAnsi"/>
          <w:bCs/>
          <w:sz w:val="24"/>
          <w:szCs w:val="24"/>
        </w:rPr>
        <w:t>163</w:t>
      </w:r>
      <w:r w:rsidR="00CA0D65" w:rsidRPr="00471632">
        <w:rPr>
          <w:rFonts w:cstheme="minorHAnsi"/>
          <w:bCs/>
          <w:sz w:val="24"/>
          <w:szCs w:val="24"/>
        </w:rPr>
        <w:t>,2</w:t>
      </w:r>
      <w:r w:rsidR="00FB2C8D">
        <w:rPr>
          <w:rFonts w:cstheme="minorHAnsi"/>
          <w:bCs/>
          <w:sz w:val="24"/>
          <w:szCs w:val="24"/>
        </w:rPr>
        <w:t> </w:t>
      </w:r>
      <w:r w:rsidR="00CA0D65" w:rsidRPr="00471632">
        <w:rPr>
          <w:rFonts w:cstheme="minorHAnsi"/>
          <w:bCs/>
          <w:sz w:val="24"/>
          <w:szCs w:val="24"/>
        </w:rPr>
        <w:t>mil.</w:t>
      </w:r>
      <w:r w:rsidR="00FB2C8D">
        <w:rPr>
          <w:rFonts w:cstheme="minorHAnsi"/>
          <w:bCs/>
          <w:sz w:val="24"/>
          <w:szCs w:val="24"/>
        </w:rPr>
        <w:t> </w:t>
      </w:r>
      <w:r w:rsidR="00CA0D65" w:rsidRPr="00471632">
        <w:rPr>
          <w:rFonts w:cstheme="minorHAnsi"/>
          <w:bCs/>
          <w:sz w:val="24"/>
          <w:szCs w:val="24"/>
        </w:rPr>
        <w:t>Kč.</w:t>
      </w:r>
      <w:r w:rsidR="00CA0D65" w:rsidRPr="00471632">
        <w:rPr>
          <w:rFonts w:ascii="Calibri" w:hAnsi="Calibri"/>
          <w:color w:val="000000"/>
          <w:sz w:val="24"/>
          <w:szCs w:val="24"/>
        </w:rPr>
        <w:t xml:space="preserve"> </w:t>
      </w:r>
    </w:p>
    <w:p w14:paraId="35DD7401" w14:textId="77777777" w:rsidR="00AD7330" w:rsidRPr="00AD7330" w:rsidRDefault="00AD7330" w:rsidP="00D9351A">
      <w:pPr>
        <w:pStyle w:val="Odstavecseseznamem"/>
        <w:spacing w:after="0" w:line="240" w:lineRule="auto"/>
        <w:ind w:left="0"/>
        <w:jc w:val="both"/>
        <w:rPr>
          <w:rFonts w:cstheme="minorHAnsi"/>
          <w:bCs/>
          <w:sz w:val="24"/>
          <w:szCs w:val="24"/>
        </w:rPr>
      </w:pPr>
    </w:p>
    <w:p w14:paraId="605C652A" w14:textId="7456633D" w:rsidR="00DB22E0" w:rsidRPr="00471632" w:rsidRDefault="00471632" w:rsidP="00471632">
      <w:pPr>
        <w:tabs>
          <w:tab w:val="left" w:pos="426"/>
        </w:tabs>
        <w:spacing w:after="0" w:line="240" w:lineRule="auto"/>
        <w:jc w:val="both"/>
        <w:rPr>
          <w:rFonts w:cstheme="minorHAnsi"/>
          <w:bCs/>
          <w:sz w:val="24"/>
          <w:szCs w:val="24"/>
        </w:rPr>
      </w:pPr>
      <w:r>
        <w:rPr>
          <w:rFonts w:ascii="Calibri" w:hAnsi="Calibri"/>
          <w:color w:val="000000"/>
          <w:sz w:val="24"/>
          <w:szCs w:val="24"/>
        </w:rPr>
        <w:t xml:space="preserve">2.7 </w:t>
      </w:r>
      <w:r>
        <w:rPr>
          <w:rFonts w:ascii="Calibri" w:hAnsi="Calibri"/>
          <w:color w:val="000000"/>
          <w:sz w:val="24"/>
          <w:szCs w:val="24"/>
        </w:rPr>
        <w:tab/>
      </w:r>
      <w:r w:rsidR="003B1E12" w:rsidRPr="00471632">
        <w:rPr>
          <w:rFonts w:ascii="Calibri" w:hAnsi="Calibri"/>
          <w:color w:val="000000"/>
          <w:sz w:val="24"/>
          <w:szCs w:val="24"/>
        </w:rPr>
        <w:t>MZe spravuje 11 SPO – Státní veterinární ústav Praha, Ústav zemědělské ekonomiky a informací, Mateřsk</w:t>
      </w:r>
      <w:r w:rsidR="00FB2C8D">
        <w:rPr>
          <w:rFonts w:ascii="Calibri" w:hAnsi="Calibri"/>
          <w:color w:val="000000"/>
          <w:sz w:val="24"/>
          <w:szCs w:val="24"/>
        </w:rPr>
        <w:t>ou</w:t>
      </w:r>
      <w:r w:rsidR="003B1E12" w:rsidRPr="00471632">
        <w:rPr>
          <w:rFonts w:ascii="Calibri" w:hAnsi="Calibri"/>
          <w:color w:val="000000"/>
          <w:sz w:val="24"/>
          <w:szCs w:val="24"/>
        </w:rPr>
        <w:t xml:space="preserve"> škol</w:t>
      </w:r>
      <w:r w:rsidR="00FB2C8D">
        <w:rPr>
          <w:rFonts w:ascii="Calibri" w:hAnsi="Calibri"/>
          <w:color w:val="000000"/>
          <w:sz w:val="24"/>
          <w:szCs w:val="24"/>
        </w:rPr>
        <w:t>u</w:t>
      </w:r>
      <w:r w:rsidR="003B1E12" w:rsidRPr="00471632">
        <w:rPr>
          <w:rFonts w:ascii="Calibri" w:hAnsi="Calibri"/>
          <w:color w:val="000000"/>
          <w:sz w:val="24"/>
          <w:szCs w:val="24"/>
        </w:rPr>
        <w:t xml:space="preserve"> Klásek </w:t>
      </w:r>
      <w:proofErr w:type="spellStart"/>
      <w:r w:rsidR="003B1E12" w:rsidRPr="00471632">
        <w:rPr>
          <w:rFonts w:ascii="Calibri" w:hAnsi="Calibri"/>
          <w:color w:val="000000"/>
          <w:sz w:val="24"/>
          <w:szCs w:val="24"/>
        </w:rPr>
        <w:t>s.p.o</w:t>
      </w:r>
      <w:proofErr w:type="spellEnd"/>
      <w:r w:rsidR="003B1E12" w:rsidRPr="00471632">
        <w:rPr>
          <w:rFonts w:ascii="Calibri" w:hAnsi="Calibri"/>
          <w:color w:val="000000"/>
          <w:sz w:val="24"/>
          <w:szCs w:val="24"/>
        </w:rPr>
        <w:t>., Státní veterinární ústav Olomouc, Státní veterinární ústav Jihlava, Česk</w:t>
      </w:r>
      <w:r w:rsidR="00FB2C8D">
        <w:rPr>
          <w:rFonts w:ascii="Calibri" w:hAnsi="Calibri"/>
          <w:color w:val="000000"/>
          <w:sz w:val="24"/>
          <w:szCs w:val="24"/>
        </w:rPr>
        <w:t>ou</w:t>
      </w:r>
      <w:r w:rsidR="003B1E12" w:rsidRPr="00471632">
        <w:rPr>
          <w:rFonts w:ascii="Calibri" w:hAnsi="Calibri"/>
          <w:color w:val="000000"/>
          <w:sz w:val="24"/>
          <w:szCs w:val="24"/>
        </w:rPr>
        <w:t xml:space="preserve"> akademi</w:t>
      </w:r>
      <w:r w:rsidR="00FB2C8D">
        <w:rPr>
          <w:rFonts w:ascii="Calibri" w:hAnsi="Calibri"/>
          <w:color w:val="000000"/>
          <w:sz w:val="24"/>
          <w:szCs w:val="24"/>
        </w:rPr>
        <w:t>i</w:t>
      </w:r>
      <w:r w:rsidR="003B1E12" w:rsidRPr="00471632">
        <w:rPr>
          <w:rFonts w:ascii="Calibri" w:hAnsi="Calibri"/>
          <w:color w:val="000000"/>
          <w:sz w:val="24"/>
          <w:szCs w:val="24"/>
        </w:rPr>
        <w:t xml:space="preserve"> zemědělských věd, Zařízení služeb </w:t>
      </w:r>
      <w:proofErr w:type="spellStart"/>
      <w:r w:rsidR="003B1E12" w:rsidRPr="00471632">
        <w:rPr>
          <w:rFonts w:ascii="Calibri" w:hAnsi="Calibri"/>
          <w:color w:val="000000"/>
          <w:sz w:val="24"/>
          <w:szCs w:val="24"/>
        </w:rPr>
        <w:t>MZe</w:t>
      </w:r>
      <w:proofErr w:type="spellEnd"/>
      <w:r w:rsidR="003B1E12" w:rsidRPr="00471632">
        <w:rPr>
          <w:rFonts w:ascii="Calibri" w:hAnsi="Calibri"/>
          <w:color w:val="000000"/>
          <w:sz w:val="24"/>
          <w:szCs w:val="24"/>
        </w:rPr>
        <w:t xml:space="preserve"> </w:t>
      </w:r>
      <w:proofErr w:type="spellStart"/>
      <w:r w:rsidR="003B1E12" w:rsidRPr="00471632">
        <w:rPr>
          <w:rFonts w:ascii="Calibri" w:hAnsi="Calibri"/>
          <w:color w:val="000000"/>
          <w:sz w:val="24"/>
          <w:szCs w:val="24"/>
        </w:rPr>
        <w:t>s.p.o</w:t>
      </w:r>
      <w:proofErr w:type="spellEnd"/>
      <w:r w:rsidR="003B1E12" w:rsidRPr="00471632">
        <w:rPr>
          <w:rFonts w:ascii="Calibri" w:hAnsi="Calibri"/>
          <w:color w:val="000000"/>
          <w:sz w:val="24"/>
          <w:szCs w:val="24"/>
        </w:rPr>
        <w:t xml:space="preserve">., Zemský hřebčinec Písek </w:t>
      </w:r>
      <w:proofErr w:type="spellStart"/>
      <w:r w:rsidR="003B1E12" w:rsidRPr="00471632">
        <w:rPr>
          <w:rFonts w:ascii="Calibri" w:hAnsi="Calibri"/>
          <w:color w:val="000000"/>
          <w:sz w:val="24"/>
          <w:szCs w:val="24"/>
        </w:rPr>
        <w:t>s.p.o</w:t>
      </w:r>
      <w:proofErr w:type="spellEnd"/>
      <w:r w:rsidR="003B1E12" w:rsidRPr="00471632">
        <w:rPr>
          <w:rFonts w:ascii="Calibri" w:hAnsi="Calibri"/>
          <w:color w:val="000000"/>
          <w:sz w:val="24"/>
          <w:szCs w:val="24"/>
        </w:rPr>
        <w:t xml:space="preserve">., Zemský hřebčinec Tlumačov </w:t>
      </w:r>
      <w:proofErr w:type="spellStart"/>
      <w:r w:rsidR="003B1E12" w:rsidRPr="00471632">
        <w:rPr>
          <w:rFonts w:ascii="Calibri" w:hAnsi="Calibri"/>
          <w:color w:val="000000"/>
          <w:sz w:val="24"/>
          <w:szCs w:val="24"/>
        </w:rPr>
        <w:t>s.p.o</w:t>
      </w:r>
      <w:proofErr w:type="spellEnd"/>
      <w:r w:rsidR="003B1E12" w:rsidRPr="00471632">
        <w:rPr>
          <w:rFonts w:ascii="Calibri" w:hAnsi="Calibri"/>
          <w:color w:val="000000"/>
          <w:sz w:val="24"/>
          <w:szCs w:val="24"/>
        </w:rPr>
        <w:t xml:space="preserve">., Národní hřebčín Kladruby nad Labem a Národní zemědělské muzeum, </w:t>
      </w:r>
      <w:proofErr w:type="spellStart"/>
      <w:r w:rsidR="003B1E12" w:rsidRPr="00471632">
        <w:rPr>
          <w:rFonts w:ascii="Calibri" w:hAnsi="Calibri"/>
          <w:color w:val="000000"/>
          <w:sz w:val="24"/>
          <w:szCs w:val="24"/>
        </w:rPr>
        <w:t>s.p.o</w:t>
      </w:r>
      <w:proofErr w:type="spellEnd"/>
      <w:r w:rsidR="003B1E12" w:rsidRPr="00471632">
        <w:rPr>
          <w:rFonts w:ascii="Calibri" w:hAnsi="Calibri"/>
          <w:color w:val="000000"/>
          <w:sz w:val="24"/>
          <w:szCs w:val="24"/>
        </w:rPr>
        <w:t>.</w:t>
      </w:r>
      <w:r w:rsidR="00CA0D65" w:rsidRPr="00471632">
        <w:rPr>
          <w:rFonts w:ascii="Calibri" w:hAnsi="Calibri"/>
          <w:color w:val="000000"/>
          <w:sz w:val="24"/>
          <w:szCs w:val="24"/>
        </w:rPr>
        <w:t xml:space="preserve"> </w:t>
      </w:r>
      <w:r w:rsidR="00CA0D65" w:rsidRPr="00471632">
        <w:rPr>
          <w:rFonts w:cstheme="minorHAnsi"/>
          <w:bCs/>
          <w:sz w:val="24"/>
          <w:szCs w:val="24"/>
        </w:rPr>
        <w:t>Příspěvek na provoz, který MZe poskytlo svým SPO</w:t>
      </w:r>
      <w:r w:rsidR="00FB2C8D">
        <w:rPr>
          <w:rFonts w:cstheme="minorHAnsi"/>
          <w:bCs/>
          <w:sz w:val="24"/>
          <w:szCs w:val="24"/>
        </w:rPr>
        <w:t>,</w:t>
      </w:r>
      <w:r w:rsidR="00CA0D65" w:rsidRPr="00471632">
        <w:rPr>
          <w:rFonts w:cstheme="minorHAnsi"/>
          <w:bCs/>
          <w:sz w:val="24"/>
          <w:szCs w:val="24"/>
        </w:rPr>
        <w:t xml:space="preserve"> činil v letech 2019–2021 celkem 2 </w:t>
      </w:r>
      <w:r w:rsidR="00FC3246" w:rsidRPr="00471632">
        <w:rPr>
          <w:rFonts w:cstheme="minorHAnsi"/>
          <w:bCs/>
          <w:sz w:val="24"/>
          <w:szCs w:val="24"/>
        </w:rPr>
        <w:t>273</w:t>
      </w:r>
      <w:r w:rsidR="00CA0D65" w:rsidRPr="00471632">
        <w:rPr>
          <w:rFonts w:cstheme="minorHAnsi"/>
          <w:bCs/>
          <w:sz w:val="24"/>
          <w:szCs w:val="24"/>
        </w:rPr>
        <w:t>,</w:t>
      </w:r>
      <w:r w:rsidR="00FC3246" w:rsidRPr="00471632">
        <w:rPr>
          <w:rFonts w:cstheme="minorHAnsi"/>
          <w:bCs/>
          <w:sz w:val="24"/>
          <w:szCs w:val="24"/>
        </w:rPr>
        <w:t>0</w:t>
      </w:r>
      <w:r w:rsidR="00CA0D65" w:rsidRPr="00471632">
        <w:rPr>
          <w:rFonts w:cstheme="minorHAnsi"/>
          <w:bCs/>
          <w:sz w:val="24"/>
          <w:szCs w:val="24"/>
        </w:rPr>
        <w:t xml:space="preserve"> mil. Kč</w:t>
      </w:r>
      <w:r w:rsidR="003752E0" w:rsidRPr="00471632">
        <w:rPr>
          <w:rFonts w:cstheme="minorHAnsi"/>
          <w:bCs/>
          <w:sz w:val="24"/>
          <w:szCs w:val="24"/>
        </w:rPr>
        <w:t>.</w:t>
      </w:r>
    </w:p>
    <w:p w14:paraId="37FAED00" w14:textId="43A125ED" w:rsidR="00DB22E0" w:rsidRDefault="00DB22E0" w:rsidP="00D9351A">
      <w:pPr>
        <w:pStyle w:val="Odstavecseseznamem"/>
        <w:spacing w:after="0"/>
        <w:ind w:left="0"/>
        <w:rPr>
          <w:rFonts w:cstheme="minorHAnsi"/>
          <w:bCs/>
          <w:sz w:val="24"/>
          <w:szCs w:val="24"/>
        </w:rPr>
      </w:pPr>
    </w:p>
    <w:p w14:paraId="1838C6D9" w14:textId="05E3A992" w:rsidR="0065001B" w:rsidRDefault="0065001B" w:rsidP="00D9351A">
      <w:pPr>
        <w:pStyle w:val="Odstavecseseznamem"/>
        <w:spacing w:after="0"/>
        <w:ind w:left="0"/>
        <w:rPr>
          <w:rFonts w:cstheme="minorHAnsi"/>
          <w:bCs/>
          <w:sz w:val="24"/>
          <w:szCs w:val="24"/>
        </w:rPr>
      </w:pPr>
    </w:p>
    <w:p w14:paraId="09ECF4F3" w14:textId="77777777" w:rsidR="00C177F4" w:rsidRDefault="00C177F4" w:rsidP="00D9351A">
      <w:pPr>
        <w:pStyle w:val="Odstavecseseznamem"/>
        <w:spacing w:after="0"/>
        <w:ind w:left="0"/>
        <w:rPr>
          <w:rFonts w:cstheme="minorHAnsi"/>
          <w:bCs/>
          <w:sz w:val="24"/>
          <w:szCs w:val="24"/>
        </w:rPr>
      </w:pPr>
    </w:p>
    <w:p w14:paraId="6D773D64" w14:textId="236EB217" w:rsidR="00D20AAA" w:rsidRPr="003D6B5B" w:rsidRDefault="0065159D" w:rsidP="0065159D">
      <w:pPr>
        <w:pStyle w:val="Nadpis1"/>
        <w:spacing w:before="0" w:line="240"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III. </w:t>
      </w:r>
      <w:r w:rsidR="00781CDD" w:rsidRPr="003E09B7">
        <w:rPr>
          <w:rFonts w:asciiTheme="minorHAnsi" w:hAnsiTheme="minorHAnsi" w:cstheme="minorHAnsi"/>
          <w:b/>
          <w:color w:val="auto"/>
          <w:sz w:val="28"/>
          <w:szCs w:val="28"/>
        </w:rPr>
        <w:t>Rozsah kontroly</w:t>
      </w:r>
    </w:p>
    <w:p w14:paraId="6D773D65" w14:textId="77777777" w:rsidR="003D6B5B" w:rsidRPr="002B5673" w:rsidRDefault="003D6B5B" w:rsidP="0065159D">
      <w:pPr>
        <w:keepNext/>
        <w:spacing w:after="0" w:line="240" w:lineRule="auto"/>
        <w:rPr>
          <w:sz w:val="24"/>
          <w:szCs w:val="24"/>
        </w:rPr>
      </w:pPr>
    </w:p>
    <w:p w14:paraId="3ED50885" w14:textId="312A17C4" w:rsidR="003B1E12" w:rsidRPr="00471632" w:rsidRDefault="00471632" w:rsidP="00471632">
      <w:pPr>
        <w:tabs>
          <w:tab w:val="left" w:pos="426"/>
        </w:tabs>
        <w:autoSpaceDE w:val="0"/>
        <w:autoSpaceDN w:val="0"/>
        <w:adjustRightInd w:val="0"/>
        <w:spacing w:after="0" w:line="240" w:lineRule="auto"/>
        <w:jc w:val="both"/>
        <w:rPr>
          <w:rFonts w:cstheme="minorHAnsi"/>
          <w:sz w:val="24"/>
          <w:szCs w:val="24"/>
        </w:rPr>
      </w:pPr>
      <w:r>
        <w:rPr>
          <w:rFonts w:ascii="Calibri" w:hAnsi="Calibri"/>
          <w:color w:val="000000"/>
          <w:sz w:val="24"/>
          <w:szCs w:val="24"/>
        </w:rPr>
        <w:t xml:space="preserve">3.1 </w:t>
      </w:r>
      <w:r>
        <w:rPr>
          <w:rFonts w:ascii="Calibri" w:hAnsi="Calibri"/>
          <w:color w:val="000000"/>
          <w:sz w:val="24"/>
          <w:szCs w:val="24"/>
        </w:rPr>
        <w:tab/>
      </w:r>
      <w:r w:rsidR="003B1E12" w:rsidRPr="00471632">
        <w:rPr>
          <w:rFonts w:ascii="Calibri" w:hAnsi="Calibri"/>
          <w:color w:val="000000"/>
          <w:sz w:val="24"/>
          <w:szCs w:val="24"/>
        </w:rPr>
        <w:t xml:space="preserve">Kontrola NKÚ byla provedena u Ministerstva financí a u čtyř zřizovatelů SPO, konkrétně u Ministerstva životního prostředí, Ministerstva zemědělství, Ministerstva průmyslu a obchodu a Úřadu pro technickou normalizaci, metrologii a státní zkušebnictví. </w:t>
      </w:r>
      <w:r w:rsidR="00283A74" w:rsidRPr="00471632">
        <w:rPr>
          <w:rFonts w:ascii="Calibri" w:hAnsi="Calibri"/>
          <w:color w:val="000000"/>
          <w:sz w:val="24"/>
          <w:szCs w:val="24"/>
        </w:rPr>
        <w:t>NKÚ u</w:t>
      </w:r>
      <w:r w:rsidR="003B1E12" w:rsidRPr="00471632">
        <w:rPr>
          <w:rFonts w:ascii="Calibri" w:hAnsi="Calibri"/>
          <w:color w:val="000000"/>
          <w:sz w:val="24"/>
          <w:szCs w:val="24"/>
        </w:rPr>
        <w:t xml:space="preserve"> MF kontroloval vykazování údajů potřebných pro průběžné hodnocení plnění rozpočtu SPO a</w:t>
      </w:r>
      <w:r w:rsidR="000E0EAC" w:rsidRPr="00471632">
        <w:rPr>
          <w:rFonts w:ascii="Calibri" w:hAnsi="Calibri"/>
          <w:color w:val="000000"/>
          <w:sz w:val="24"/>
          <w:szCs w:val="24"/>
        </w:rPr>
        <w:t> </w:t>
      </w:r>
      <w:r w:rsidR="003B1E12" w:rsidRPr="00471632">
        <w:rPr>
          <w:rFonts w:ascii="Calibri" w:hAnsi="Calibri"/>
          <w:color w:val="000000"/>
          <w:sz w:val="24"/>
          <w:szCs w:val="24"/>
        </w:rPr>
        <w:t xml:space="preserve">přehled závazků za SPO </w:t>
      </w:r>
      <w:r w:rsidR="00283A74" w:rsidRPr="00471632">
        <w:rPr>
          <w:rFonts w:ascii="Calibri" w:hAnsi="Calibri"/>
          <w:color w:val="000000"/>
          <w:sz w:val="24"/>
          <w:szCs w:val="24"/>
        </w:rPr>
        <w:t xml:space="preserve">dle </w:t>
      </w:r>
      <w:r w:rsidR="003B1E12" w:rsidRPr="00471632">
        <w:rPr>
          <w:rFonts w:ascii="Calibri" w:hAnsi="Calibri"/>
          <w:color w:val="000000"/>
          <w:sz w:val="24"/>
          <w:szCs w:val="24"/>
        </w:rPr>
        <w:t xml:space="preserve">jednotlivých kapitol státního rozpočtu. </w:t>
      </w:r>
      <w:r w:rsidR="00283A74" w:rsidRPr="00471632">
        <w:rPr>
          <w:rFonts w:ascii="Calibri" w:hAnsi="Calibri"/>
          <w:color w:val="000000"/>
          <w:sz w:val="24"/>
          <w:szCs w:val="24"/>
        </w:rPr>
        <w:t>V</w:t>
      </w:r>
      <w:r w:rsidR="003B1E12" w:rsidRPr="00471632">
        <w:rPr>
          <w:rFonts w:ascii="Calibri" w:hAnsi="Calibri"/>
          <w:color w:val="000000"/>
          <w:sz w:val="24"/>
          <w:szCs w:val="24"/>
        </w:rPr>
        <w:t> případě zřizovatelů posuzoval</w:t>
      </w:r>
      <w:r w:rsidR="00A5515F" w:rsidRPr="00A5515F">
        <w:rPr>
          <w:rFonts w:ascii="Calibri" w:hAnsi="Calibri"/>
          <w:color w:val="000000"/>
          <w:sz w:val="24"/>
          <w:szCs w:val="24"/>
        </w:rPr>
        <w:t xml:space="preserve"> </w:t>
      </w:r>
      <w:r w:rsidR="00A5515F" w:rsidRPr="00471632">
        <w:rPr>
          <w:rFonts w:ascii="Calibri" w:hAnsi="Calibri"/>
          <w:color w:val="000000"/>
          <w:sz w:val="24"/>
          <w:szCs w:val="24"/>
        </w:rPr>
        <w:t>NKÚ</w:t>
      </w:r>
      <w:r w:rsidR="003B1E12" w:rsidRPr="00471632">
        <w:rPr>
          <w:rFonts w:ascii="Calibri" w:hAnsi="Calibri"/>
          <w:color w:val="000000"/>
          <w:sz w:val="24"/>
          <w:szCs w:val="24"/>
        </w:rPr>
        <w:t xml:space="preserve"> kontrolu a hodnocení poskytnutých peněžních prostředků ze státního rozpočtu SPO, vyhodnocování výsledku rozpočtového hospodaření, kontrolu plnění úkolů SPO ze strany zřizovatele definovaných ve zřizovacích dokume</w:t>
      </w:r>
      <w:r w:rsidR="00735F22" w:rsidRPr="00471632">
        <w:rPr>
          <w:rFonts w:ascii="Calibri" w:hAnsi="Calibri"/>
          <w:color w:val="000000"/>
          <w:sz w:val="24"/>
          <w:szCs w:val="24"/>
        </w:rPr>
        <w:t>n</w:t>
      </w:r>
      <w:r w:rsidR="003B1E12" w:rsidRPr="00471632">
        <w:rPr>
          <w:rFonts w:ascii="Calibri" w:hAnsi="Calibri"/>
          <w:color w:val="000000"/>
          <w:sz w:val="24"/>
          <w:szCs w:val="24"/>
        </w:rPr>
        <w:t>tech, úplnost informací o hospodaření jimi zřízených SPO uvedených mj. v závěrečných účtech a finančních</w:t>
      </w:r>
      <w:r w:rsidR="00220F23" w:rsidRPr="00471632">
        <w:rPr>
          <w:rFonts w:ascii="Calibri" w:hAnsi="Calibri"/>
          <w:color w:val="000000"/>
          <w:sz w:val="24"/>
          <w:szCs w:val="24"/>
        </w:rPr>
        <w:t xml:space="preserve"> </w:t>
      </w:r>
      <w:r w:rsidR="003B1E12" w:rsidRPr="00471632">
        <w:rPr>
          <w:rFonts w:ascii="Calibri" w:hAnsi="Calibri"/>
          <w:color w:val="000000"/>
          <w:sz w:val="24"/>
          <w:szCs w:val="24"/>
        </w:rPr>
        <w:t xml:space="preserve">a účetních výkazech. </w:t>
      </w:r>
    </w:p>
    <w:p w14:paraId="28103FF8" w14:textId="77777777" w:rsidR="001E3548" w:rsidRPr="001E3548" w:rsidRDefault="001E3548" w:rsidP="00D9351A">
      <w:pPr>
        <w:pStyle w:val="Odstavecseseznamem"/>
        <w:autoSpaceDE w:val="0"/>
        <w:autoSpaceDN w:val="0"/>
        <w:adjustRightInd w:val="0"/>
        <w:spacing w:after="0" w:line="240" w:lineRule="auto"/>
        <w:ind w:left="0"/>
        <w:jc w:val="both"/>
        <w:rPr>
          <w:rFonts w:cstheme="minorHAnsi"/>
          <w:sz w:val="24"/>
          <w:szCs w:val="24"/>
        </w:rPr>
      </w:pPr>
    </w:p>
    <w:p w14:paraId="0DB4B1CF" w14:textId="2B647A27" w:rsidR="003B1E12" w:rsidRPr="00471632" w:rsidRDefault="00471632" w:rsidP="00471632">
      <w:pPr>
        <w:tabs>
          <w:tab w:val="left" w:pos="426"/>
        </w:tabs>
        <w:spacing w:after="0" w:line="240" w:lineRule="auto"/>
        <w:jc w:val="both"/>
        <w:rPr>
          <w:rFonts w:cstheme="minorHAnsi"/>
          <w:sz w:val="24"/>
          <w:szCs w:val="24"/>
        </w:rPr>
      </w:pPr>
      <w:r>
        <w:rPr>
          <w:rFonts w:cstheme="minorHAnsi"/>
          <w:sz w:val="24"/>
          <w:szCs w:val="24"/>
        </w:rPr>
        <w:t xml:space="preserve">3.2 </w:t>
      </w:r>
      <w:r>
        <w:rPr>
          <w:rFonts w:cstheme="minorHAnsi"/>
          <w:sz w:val="24"/>
          <w:szCs w:val="24"/>
        </w:rPr>
        <w:tab/>
      </w:r>
      <w:r w:rsidR="003B1E12" w:rsidRPr="00471632">
        <w:rPr>
          <w:rFonts w:cstheme="minorHAnsi"/>
          <w:sz w:val="24"/>
          <w:szCs w:val="24"/>
        </w:rPr>
        <w:t xml:space="preserve">Ke kontrole byly </w:t>
      </w:r>
      <w:r w:rsidR="003B1E12" w:rsidRPr="00471632">
        <w:rPr>
          <w:rFonts w:ascii="Calibri" w:hAnsi="Calibri"/>
          <w:color w:val="000000"/>
          <w:sz w:val="24"/>
          <w:szCs w:val="24"/>
        </w:rPr>
        <w:t>vybrány</w:t>
      </w:r>
      <w:r w:rsidR="003B1E12" w:rsidRPr="00471632">
        <w:rPr>
          <w:rFonts w:cstheme="minorHAnsi"/>
          <w:sz w:val="24"/>
          <w:szCs w:val="24"/>
        </w:rPr>
        <w:t xml:space="preserve"> čtyři SPO – Česká informační agentura životního prostředí, Česká agentura pro standardizaci, Správa služeb Ministerstva průmyslu a obchodu, Ústav zemědělské ekonomiky a informací, v jejichž případě NKÚ </w:t>
      </w:r>
      <w:r w:rsidR="003B1E12" w:rsidRPr="00471632">
        <w:rPr>
          <w:rFonts w:ascii="Calibri" w:hAnsi="Calibri"/>
          <w:color w:val="000000"/>
          <w:sz w:val="24"/>
          <w:szCs w:val="24"/>
        </w:rPr>
        <w:t>posuzoval činnosti spojené s tvorbou, změnami a čerpáním rozpočtu, účelnost a hospodárnost při nákupu vybraných služeb, pořízení majetku a nastavení vnitřního kontrolního systému.</w:t>
      </w:r>
    </w:p>
    <w:p w14:paraId="6815FD5B" w14:textId="77777777" w:rsidR="003B1E12" w:rsidRPr="00593D81" w:rsidRDefault="003B1E12" w:rsidP="003B1E12">
      <w:pPr>
        <w:spacing w:after="0" w:line="240" w:lineRule="auto"/>
        <w:jc w:val="both"/>
        <w:rPr>
          <w:rFonts w:cstheme="minorHAnsi"/>
          <w:sz w:val="24"/>
          <w:szCs w:val="24"/>
        </w:rPr>
      </w:pPr>
    </w:p>
    <w:p w14:paraId="1DDAD0D8" w14:textId="48AEF83E" w:rsidR="003B1E12" w:rsidRPr="00471632" w:rsidRDefault="00471632" w:rsidP="00471632">
      <w:pPr>
        <w:tabs>
          <w:tab w:val="left" w:pos="426"/>
        </w:tabs>
        <w:spacing w:after="0" w:line="240" w:lineRule="auto"/>
        <w:jc w:val="both"/>
        <w:rPr>
          <w:rFonts w:cstheme="minorHAnsi"/>
          <w:sz w:val="24"/>
          <w:szCs w:val="24"/>
        </w:rPr>
      </w:pPr>
      <w:r>
        <w:rPr>
          <w:rFonts w:ascii="Calibri" w:hAnsi="Calibri"/>
          <w:color w:val="000000"/>
          <w:sz w:val="24"/>
          <w:szCs w:val="24"/>
        </w:rPr>
        <w:t xml:space="preserve">3.3 </w:t>
      </w:r>
      <w:r>
        <w:rPr>
          <w:rFonts w:ascii="Calibri" w:hAnsi="Calibri"/>
          <w:color w:val="000000"/>
          <w:sz w:val="24"/>
          <w:szCs w:val="24"/>
        </w:rPr>
        <w:tab/>
      </w:r>
      <w:r w:rsidR="003B1E12" w:rsidRPr="00471632">
        <w:rPr>
          <w:rFonts w:ascii="Calibri" w:hAnsi="Calibri"/>
          <w:color w:val="000000"/>
          <w:sz w:val="24"/>
          <w:szCs w:val="24"/>
        </w:rPr>
        <w:t xml:space="preserve">Kontrolovány byly příspěvky na provoz, které obdržely vybrané SPO od svého zřizovatele v letech 2019 až 2021 v souhrnné výši </w:t>
      </w:r>
      <w:r w:rsidR="000F2CC6" w:rsidRPr="00471632">
        <w:rPr>
          <w:rFonts w:ascii="Calibri" w:hAnsi="Calibri"/>
          <w:color w:val="000000"/>
          <w:sz w:val="24"/>
          <w:szCs w:val="24"/>
        </w:rPr>
        <w:t>791,8</w:t>
      </w:r>
      <w:r w:rsidR="003B1E12" w:rsidRPr="00471632">
        <w:rPr>
          <w:rFonts w:ascii="Calibri" w:hAnsi="Calibri"/>
          <w:color w:val="000000"/>
          <w:sz w:val="24"/>
          <w:szCs w:val="24"/>
        </w:rPr>
        <w:t xml:space="preserve"> mil. Kč. </w:t>
      </w:r>
    </w:p>
    <w:p w14:paraId="387D1143" w14:textId="77777777" w:rsidR="006431CD" w:rsidRPr="000E029D" w:rsidRDefault="006431CD" w:rsidP="00D9351A">
      <w:pPr>
        <w:pStyle w:val="Odstavecseseznamem"/>
        <w:spacing w:after="0" w:line="240" w:lineRule="auto"/>
        <w:ind w:left="0"/>
        <w:jc w:val="both"/>
        <w:rPr>
          <w:rFonts w:cstheme="minorHAnsi"/>
          <w:sz w:val="24"/>
          <w:szCs w:val="24"/>
        </w:rPr>
      </w:pPr>
    </w:p>
    <w:p w14:paraId="5F8EB01D" w14:textId="7B7646B3" w:rsidR="00EB0BC0" w:rsidRPr="00471632" w:rsidRDefault="00471632" w:rsidP="00471632">
      <w:pPr>
        <w:tabs>
          <w:tab w:val="left" w:pos="426"/>
        </w:tabs>
        <w:spacing w:after="0" w:line="240" w:lineRule="auto"/>
        <w:jc w:val="both"/>
        <w:rPr>
          <w:sz w:val="24"/>
          <w:szCs w:val="24"/>
        </w:rPr>
      </w:pPr>
      <w:r>
        <w:rPr>
          <w:rFonts w:cstheme="minorHAnsi"/>
          <w:sz w:val="24"/>
          <w:szCs w:val="24"/>
        </w:rPr>
        <w:t xml:space="preserve">3.4 </w:t>
      </w:r>
      <w:r>
        <w:rPr>
          <w:rFonts w:cstheme="minorHAnsi"/>
          <w:sz w:val="24"/>
          <w:szCs w:val="24"/>
        </w:rPr>
        <w:tab/>
      </w:r>
      <w:r w:rsidR="00EB0BC0" w:rsidRPr="00471632">
        <w:rPr>
          <w:rFonts w:cstheme="minorHAnsi"/>
          <w:sz w:val="24"/>
          <w:szCs w:val="24"/>
        </w:rPr>
        <w:t>Hospodárností se rozumí takové použití veřejných prostředků, které zajistí plnění stanovených úkolů s co nejnižším vynaložením těchto prostředků při zajištění odpovídající kvality plnění úkolů</w:t>
      </w:r>
      <w:r w:rsidR="00EB0BC0" w:rsidRPr="005430D2">
        <w:rPr>
          <w:vertAlign w:val="superscript"/>
        </w:rPr>
        <w:footnoteReference w:id="11"/>
      </w:r>
      <w:r w:rsidR="00EB0BC0" w:rsidRPr="00471632">
        <w:rPr>
          <w:rFonts w:cstheme="minorHAnsi"/>
          <w:sz w:val="24"/>
          <w:szCs w:val="24"/>
        </w:rPr>
        <w:t>. Pro účely kontroly bylo za hospodárné považováno vynaložení peněžních prostředků v souladu s ekonomicky nejvýhodnější variantou zabezpečení vybraných úkolů a služeb jednotlivých SPO. Za účelné se považuje takové použití veřejných prostředků, které zajistí optimální míru dosažení cílů při plnění stanovených úkolů</w:t>
      </w:r>
      <w:r w:rsidR="00EB0BC0" w:rsidRPr="008142C5">
        <w:rPr>
          <w:rStyle w:val="Znakapoznpodarou"/>
          <w:rFonts w:cstheme="minorHAnsi"/>
          <w:sz w:val="24"/>
          <w:szCs w:val="24"/>
        </w:rPr>
        <w:footnoteReference w:id="12"/>
      </w:r>
      <w:r w:rsidR="00EB0BC0" w:rsidRPr="00471632">
        <w:rPr>
          <w:rFonts w:cstheme="minorHAnsi"/>
          <w:sz w:val="24"/>
          <w:szCs w:val="24"/>
        </w:rPr>
        <w:t>. Pro účely kontroly NKÚ bylo za účelné považováno vynaložení peněžních prostředků na</w:t>
      </w:r>
      <w:r w:rsidR="00D9351A" w:rsidRPr="00471632">
        <w:rPr>
          <w:rFonts w:cstheme="minorHAnsi"/>
          <w:sz w:val="24"/>
          <w:szCs w:val="24"/>
        </w:rPr>
        <w:t xml:space="preserve"> </w:t>
      </w:r>
      <w:r w:rsidR="00EB0BC0" w:rsidRPr="00471632">
        <w:rPr>
          <w:rFonts w:cstheme="minorHAnsi"/>
          <w:sz w:val="24"/>
          <w:szCs w:val="24"/>
        </w:rPr>
        <w:t xml:space="preserve">zajištění </w:t>
      </w:r>
      <w:r w:rsidR="00EB0BC0" w:rsidRPr="00471632">
        <w:rPr>
          <w:rFonts w:cstheme="minorHAnsi"/>
          <w:sz w:val="24"/>
          <w:szCs w:val="24"/>
        </w:rPr>
        <w:lastRenderedPageBreak/>
        <w:t>optimálního splnění cílů, které pro</w:t>
      </w:r>
      <w:r w:rsidR="00D9351A" w:rsidRPr="00471632">
        <w:rPr>
          <w:rFonts w:cstheme="minorHAnsi"/>
          <w:sz w:val="24"/>
          <w:szCs w:val="24"/>
        </w:rPr>
        <w:t xml:space="preserve"> </w:t>
      </w:r>
      <w:r w:rsidR="00EB0BC0" w:rsidRPr="00471632">
        <w:rPr>
          <w:rFonts w:cstheme="minorHAnsi"/>
          <w:sz w:val="24"/>
          <w:szCs w:val="24"/>
        </w:rPr>
        <w:t>zřizovatele zabezpečovala SPO.</w:t>
      </w:r>
      <w:r w:rsidR="00EB0BC0" w:rsidRPr="00471632" w:rsidDel="00F77E38">
        <w:rPr>
          <w:rFonts w:cstheme="minorHAnsi"/>
          <w:sz w:val="24"/>
          <w:szCs w:val="24"/>
        </w:rPr>
        <w:t xml:space="preserve"> </w:t>
      </w:r>
      <w:r w:rsidR="00EB0BC0" w:rsidRPr="00471632">
        <w:rPr>
          <w:rFonts w:cstheme="minorHAnsi"/>
          <w:sz w:val="24"/>
          <w:szCs w:val="24"/>
        </w:rPr>
        <w:t xml:space="preserve">Kontrolou NKÚ bylo posuzováno i </w:t>
      </w:r>
      <w:r w:rsidR="00EB0BC0" w:rsidRPr="00471632">
        <w:rPr>
          <w:rFonts w:cstheme="minorHAnsi"/>
          <w:sz w:val="24"/>
          <w:szCs w:val="24"/>
          <w:lang w:eastAsia="cs-CZ"/>
        </w:rPr>
        <w:t>hodnocení plnění cílů SPO zřizovatelem.</w:t>
      </w:r>
    </w:p>
    <w:p w14:paraId="5AFA29FA" w14:textId="22D39505" w:rsidR="003B1E12" w:rsidRDefault="003B1E12" w:rsidP="003B1E12">
      <w:pPr>
        <w:spacing w:after="0" w:line="240" w:lineRule="auto"/>
        <w:rPr>
          <w:sz w:val="24"/>
          <w:szCs w:val="24"/>
        </w:rPr>
      </w:pPr>
    </w:p>
    <w:p w14:paraId="2A089651" w14:textId="267B6F6E" w:rsidR="00F94C91" w:rsidRDefault="00F94C91" w:rsidP="003B1E12">
      <w:pPr>
        <w:spacing w:after="0" w:line="240" w:lineRule="auto"/>
        <w:rPr>
          <w:sz w:val="24"/>
          <w:szCs w:val="24"/>
        </w:rPr>
      </w:pPr>
    </w:p>
    <w:p w14:paraId="59B13A59" w14:textId="36DE96BE" w:rsidR="00EB0BC0" w:rsidRDefault="003B1E12" w:rsidP="00F94C91">
      <w:pPr>
        <w:spacing w:after="0" w:line="240" w:lineRule="auto"/>
        <w:ind w:left="567" w:hanging="567"/>
        <w:jc w:val="both"/>
        <w:rPr>
          <w:sz w:val="20"/>
          <w:szCs w:val="20"/>
        </w:rPr>
      </w:pPr>
      <w:r>
        <w:rPr>
          <w:b/>
          <w:bCs/>
          <w:sz w:val="20"/>
          <w:szCs w:val="20"/>
        </w:rPr>
        <w:t>Pozn</w:t>
      </w:r>
      <w:r w:rsidR="00860BBD">
        <w:rPr>
          <w:b/>
          <w:bCs/>
          <w:sz w:val="20"/>
          <w:szCs w:val="20"/>
        </w:rPr>
        <w:t>.</w:t>
      </w:r>
      <w:r>
        <w:rPr>
          <w:b/>
          <w:bCs/>
          <w:sz w:val="20"/>
          <w:szCs w:val="20"/>
        </w:rPr>
        <w:t xml:space="preserve">: </w:t>
      </w:r>
      <w:r w:rsidR="00F94C91">
        <w:rPr>
          <w:b/>
          <w:bCs/>
          <w:sz w:val="20"/>
          <w:szCs w:val="20"/>
        </w:rPr>
        <w:tab/>
      </w:r>
      <w:r>
        <w:rPr>
          <w:sz w:val="20"/>
          <w:szCs w:val="20"/>
        </w:rPr>
        <w:t>Právní předpisy uvedené v tomto kontrolním závěru jsou aplikovány ve znění účinném pro kontrolované období.</w:t>
      </w:r>
    </w:p>
    <w:p w14:paraId="278AB1D8" w14:textId="77777777" w:rsidR="00711554" w:rsidRDefault="00711554" w:rsidP="00711554">
      <w:pPr>
        <w:spacing w:after="0" w:line="240" w:lineRule="auto"/>
        <w:rPr>
          <w:sz w:val="24"/>
          <w:szCs w:val="24"/>
        </w:rPr>
      </w:pPr>
    </w:p>
    <w:p w14:paraId="0ED56D56" w14:textId="2CD022C2" w:rsidR="00711554" w:rsidRDefault="00711554" w:rsidP="00711554">
      <w:pPr>
        <w:spacing w:after="0" w:line="240" w:lineRule="auto"/>
        <w:rPr>
          <w:sz w:val="24"/>
          <w:szCs w:val="24"/>
        </w:rPr>
      </w:pPr>
    </w:p>
    <w:p w14:paraId="47D22DE4" w14:textId="77777777" w:rsidR="00711554" w:rsidRDefault="00711554" w:rsidP="00711554">
      <w:pPr>
        <w:spacing w:after="0" w:line="240" w:lineRule="auto"/>
        <w:rPr>
          <w:sz w:val="24"/>
          <w:szCs w:val="24"/>
        </w:rPr>
      </w:pPr>
    </w:p>
    <w:p w14:paraId="6D773D6B" w14:textId="0953777C" w:rsidR="00B47D21" w:rsidRPr="003E09B7" w:rsidRDefault="00781CDD" w:rsidP="001F448D">
      <w:pPr>
        <w:pStyle w:val="Nadpis1"/>
        <w:spacing w:before="0" w:line="240"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I</w:t>
      </w:r>
      <w:r w:rsidR="005372C8" w:rsidRPr="003E09B7">
        <w:rPr>
          <w:rFonts w:asciiTheme="minorHAnsi" w:hAnsiTheme="minorHAnsi" w:cstheme="minorHAnsi"/>
          <w:b/>
          <w:color w:val="auto"/>
          <w:sz w:val="28"/>
          <w:szCs w:val="28"/>
        </w:rPr>
        <w:t>V. Podrobné skutečnosti zjištěné kontrolou</w:t>
      </w:r>
    </w:p>
    <w:p w14:paraId="6D773D6C" w14:textId="77777777" w:rsidR="003D6B5B" w:rsidRPr="002B5673" w:rsidRDefault="003D6B5B" w:rsidP="001F448D">
      <w:pPr>
        <w:spacing w:after="0" w:line="240" w:lineRule="auto"/>
        <w:rPr>
          <w:sz w:val="24"/>
          <w:szCs w:val="24"/>
        </w:rPr>
      </w:pPr>
    </w:p>
    <w:tbl>
      <w:tblPr>
        <w:tblStyle w:val="Mkatabulky"/>
        <w:tblW w:w="0" w:type="auto"/>
        <w:tblLook w:val="04A0" w:firstRow="1" w:lastRow="0" w:firstColumn="1" w:lastColumn="0" w:noHBand="0" w:noVBand="1"/>
      </w:tblPr>
      <w:tblGrid>
        <w:gridCol w:w="9062"/>
      </w:tblGrid>
      <w:tr w:rsidR="000434E5" w14:paraId="6D773D6E" w14:textId="77777777" w:rsidTr="001F5E57">
        <w:trPr>
          <w:trHeight w:val="389"/>
        </w:trPr>
        <w:tc>
          <w:tcPr>
            <w:tcW w:w="906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D773D6D" w14:textId="03F02967" w:rsidR="00677202" w:rsidRPr="00897944" w:rsidRDefault="000432C9" w:rsidP="00E127D7">
            <w:pPr>
              <w:pStyle w:val="Nadpis2"/>
              <w:numPr>
                <w:ilvl w:val="0"/>
                <w:numId w:val="7"/>
              </w:numPr>
              <w:spacing w:before="0"/>
              <w:ind w:left="319" w:hanging="284"/>
              <w:outlineLvl w:val="1"/>
              <w:rPr>
                <w:rFonts w:asciiTheme="minorHAnsi" w:hAnsiTheme="minorHAnsi" w:cstheme="minorHAnsi"/>
                <w:b/>
                <w:color w:val="1F4E79" w:themeColor="accent1" w:themeShade="80"/>
                <w:sz w:val="24"/>
                <w:szCs w:val="24"/>
              </w:rPr>
            </w:pPr>
            <w:r>
              <w:rPr>
                <w:rFonts w:asciiTheme="minorHAnsi" w:hAnsiTheme="minorHAnsi" w:cstheme="minorHAnsi"/>
                <w:b/>
                <w:color w:val="1F4E79" w:themeColor="accent1" w:themeShade="80"/>
                <w:sz w:val="24"/>
                <w:szCs w:val="24"/>
              </w:rPr>
              <w:t>Systém řízení</w:t>
            </w:r>
            <w:r w:rsidR="00D1642F">
              <w:rPr>
                <w:rFonts w:asciiTheme="minorHAnsi" w:hAnsiTheme="minorHAnsi" w:cstheme="minorHAnsi"/>
                <w:b/>
                <w:color w:val="1F4E79" w:themeColor="accent1" w:themeShade="80"/>
                <w:sz w:val="24"/>
                <w:szCs w:val="24"/>
              </w:rPr>
              <w:t xml:space="preserve"> příspěvkových organizací a </w:t>
            </w:r>
            <w:r w:rsidR="00973995">
              <w:rPr>
                <w:rFonts w:asciiTheme="minorHAnsi" w:hAnsiTheme="minorHAnsi" w:cstheme="minorHAnsi"/>
                <w:b/>
                <w:color w:val="1F4E79" w:themeColor="accent1" w:themeShade="80"/>
                <w:sz w:val="24"/>
                <w:szCs w:val="24"/>
              </w:rPr>
              <w:t>příspěvku na provoz</w:t>
            </w:r>
          </w:p>
        </w:tc>
      </w:tr>
    </w:tbl>
    <w:p w14:paraId="6D773D6F" w14:textId="77777777" w:rsidR="00A57487" w:rsidRDefault="00A57487" w:rsidP="001F448D">
      <w:pPr>
        <w:spacing w:after="0" w:line="240" w:lineRule="auto"/>
        <w:jc w:val="both"/>
        <w:rPr>
          <w:rFonts w:eastAsia="Calibri" w:cstheme="minorHAnsi"/>
          <w:sz w:val="24"/>
          <w:szCs w:val="24"/>
        </w:rPr>
      </w:pPr>
    </w:p>
    <w:p w14:paraId="6D773D70" w14:textId="6781311F" w:rsidR="002B6A75" w:rsidRPr="00471632" w:rsidRDefault="005F30CB" w:rsidP="00860BBD">
      <w:pPr>
        <w:spacing w:after="0" w:line="240" w:lineRule="auto"/>
        <w:rPr>
          <w:rFonts w:eastAsia="Calibri" w:cstheme="minorHAnsi"/>
          <w:b/>
          <w:sz w:val="24"/>
          <w:szCs w:val="24"/>
        </w:rPr>
      </w:pPr>
      <w:r w:rsidRPr="00471632">
        <w:rPr>
          <w:rFonts w:eastAsia="Calibri" w:cstheme="minorHAnsi"/>
          <w:b/>
          <w:sz w:val="24"/>
          <w:szCs w:val="24"/>
        </w:rPr>
        <w:t xml:space="preserve">Zřizovatelé </w:t>
      </w:r>
      <w:r w:rsidR="0059362A" w:rsidRPr="00471632">
        <w:rPr>
          <w:rFonts w:eastAsia="Calibri" w:cstheme="minorHAnsi"/>
          <w:b/>
          <w:sz w:val="24"/>
          <w:szCs w:val="24"/>
        </w:rPr>
        <w:t>navýšili</w:t>
      </w:r>
      <w:r w:rsidRPr="00471632">
        <w:rPr>
          <w:rFonts w:eastAsia="Calibri" w:cstheme="minorHAnsi"/>
          <w:b/>
          <w:sz w:val="24"/>
          <w:szCs w:val="24"/>
        </w:rPr>
        <w:t xml:space="preserve"> pro kontrolované SPO ve všech třech letech kontrolovaného období </w:t>
      </w:r>
      <w:r w:rsidR="00626B29" w:rsidRPr="00471632">
        <w:rPr>
          <w:rFonts w:eastAsia="Calibri" w:cstheme="minorHAnsi"/>
          <w:b/>
          <w:sz w:val="24"/>
          <w:szCs w:val="24"/>
        </w:rPr>
        <w:t xml:space="preserve">původně </w:t>
      </w:r>
      <w:r w:rsidRPr="00471632">
        <w:rPr>
          <w:rFonts w:eastAsia="Calibri" w:cstheme="minorHAnsi"/>
          <w:b/>
          <w:sz w:val="24"/>
          <w:szCs w:val="24"/>
        </w:rPr>
        <w:t xml:space="preserve">schválený </w:t>
      </w:r>
      <w:r w:rsidR="00983399" w:rsidRPr="00471632">
        <w:rPr>
          <w:rFonts w:eastAsia="Calibri" w:cstheme="minorHAnsi"/>
          <w:b/>
          <w:sz w:val="24"/>
          <w:szCs w:val="24"/>
        </w:rPr>
        <w:t>příspěv</w:t>
      </w:r>
      <w:r w:rsidR="003A51AA" w:rsidRPr="00471632">
        <w:rPr>
          <w:rFonts w:eastAsia="Calibri" w:cstheme="minorHAnsi"/>
          <w:b/>
          <w:sz w:val="24"/>
          <w:szCs w:val="24"/>
        </w:rPr>
        <w:t>e</w:t>
      </w:r>
      <w:r w:rsidR="00983399" w:rsidRPr="00471632">
        <w:rPr>
          <w:rFonts w:eastAsia="Calibri" w:cstheme="minorHAnsi"/>
          <w:b/>
          <w:sz w:val="24"/>
          <w:szCs w:val="24"/>
        </w:rPr>
        <w:t>k na provoz</w:t>
      </w:r>
    </w:p>
    <w:p w14:paraId="6D773D71" w14:textId="77777777" w:rsidR="002B6A75" w:rsidRPr="00807870" w:rsidRDefault="002B6A75" w:rsidP="001F448D">
      <w:pPr>
        <w:spacing w:after="0" w:line="240" w:lineRule="auto"/>
        <w:jc w:val="both"/>
        <w:rPr>
          <w:rFonts w:eastAsia="Calibri" w:cstheme="minorHAnsi"/>
          <w:sz w:val="24"/>
          <w:szCs w:val="24"/>
        </w:rPr>
      </w:pPr>
    </w:p>
    <w:p w14:paraId="3495F8AB" w14:textId="1449B704" w:rsidR="00116892" w:rsidRPr="00471632" w:rsidRDefault="00471632" w:rsidP="00C177F4">
      <w:pPr>
        <w:tabs>
          <w:tab w:val="left" w:pos="426"/>
        </w:tabs>
        <w:spacing w:after="0" w:line="240" w:lineRule="auto"/>
        <w:jc w:val="both"/>
        <w:rPr>
          <w:rFonts w:eastAsia="Calibri" w:cstheme="minorHAnsi"/>
          <w:sz w:val="24"/>
          <w:szCs w:val="24"/>
        </w:rPr>
      </w:pPr>
      <w:r>
        <w:rPr>
          <w:rFonts w:eastAsia="Calibri" w:cstheme="minorHAnsi"/>
          <w:sz w:val="24"/>
          <w:szCs w:val="24"/>
        </w:rPr>
        <w:t xml:space="preserve">4.1 </w:t>
      </w:r>
      <w:r w:rsidR="00C177F4">
        <w:rPr>
          <w:rFonts w:eastAsia="Calibri" w:cstheme="minorHAnsi"/>
          <w:sz w:val="24"/>
          <w:szCs w:val="24"/>
        </w:rPr>
        <w:tab/>
      </w:r>
      <w:r w:rsidR="00116892" w:rsidRPr="00471632">
        <w:rPr>
          <w:rFonts w:eastAsia="Calibri" w:cstheme="minorHAnsi"/>
          <w:sz w:val="24"/>
          <w:szCs w:val="24"/>
        </w:rPr>
        <w:t>Příspěvek na provoz se stanoví v případě, že rozpočtované náklady bez příspěvku ze státního rozpočtu překračují rozpočtované výnosy. Výše příspěvku na provoz nebo výše odvodu z provozu se stanoví jako rozdíl objemu rozpočtovaných nákladů a výnosů hlavní činnosti. Výši příspěvku na provoz a jeho čerpání během roku může zřizovatel vázat na předem stanovené ukazatele, a to zpravidla na jednotku výkonů zabezpečovaných příspěvkovou organizací. Pokud není příspěvek vázán na jednotku výkonů, je SPO oprávněna čerpat příspěvek na činnost do výše závazně stanovené zřizovatelem</w:t>
      </w:r>
      <w:r w:rsidR="00116892">
        <w:rPr>
          <w:rStyle w:val="Znakapoznpodarou"/>
          <w:rFonts w:eastAsia="Calibri" w:cstheme="minorHAnsi"/>
          <w:sz w:val="24"/>
          <w:szCs w:val="24"/>
        </w:rPr>
        <w:footnoteReference w:id="13"/>
      </w:r>
      <w:r w:rsidR="00116892" w:rsidRPr="00471632">
        <w:rPr>
          <w:rFonts w:eastAsia="Calibri" w:cstheme="minorHAnsi"/>
          <w:sz w:val="24"/>
          <w:szCs w:val="24"/>
        </w:rPr>
        <w:t>.</w:t>
      </w:r>
    </w:p>
    <w:p w14:paraId="08A7EDEA" w14:textId="77777777" w:rsidR="00116892" w:rsidRDefault="00116892" w:rsidP="00F94C91">
      <w:pPr>
        <w:pStyle w:val="Odstavecseseznamem"/>
        <w:spacing w:after="0" w:line="240" w:lineRule="auto"/>
        <w:ind w:left="426" w:hanging="426"/>
        <w:jc w:val="both"/>
        <w:rPr>
          <w:rFonts w:eastAsia="Calibri" w:cstheme="minorHAnsi"/>
          <w:sz w:val="24"/>
          <w:szCs w:val="24"/>
        </w:rPr>
      </w:pPr>
    </w:p>
    <w:p w14:paraId="3F6A241D" w14:textId="7719E1F6" w:rsidR="00983399" w:rsidRPr="00471632" w:rsidRDefault="00471632" w:rsidP="00C177F4">
      <w:pPr>
        <w:tabs>
          <w:tab w:val="left" w:pos="426"/>
        </w:tabs>
        <w:spacing w:after="0" w:line="240" w:lineRule="auto"/>
        <w:jc w:val="both"/>
        <w:rPr>
          <w:rFonts w:cstheme="minorHAnsi"/>
          <w:sz w:val="24"/>
          <w:szCs w:val="24"/>
        </w:rPr>
      </w:pPr>
      <w:r>
        <w:rPr>
          <w:rFonts w:cstheme="minorHAnsi"/>
          <w:sz w:val="24"/>
          <w:szCs w:val="24"/>
        </w:rPr>
        <w:t xml:space="preserve">4.2 </w:t>
      </w:r>
      <w:r w:rsidR="00C177F4">
        <w:rPr>
          <w:rFonts w:cstheme="minorHAnsi"/>
          <w:sz w:val="24"/>
          <w:szCs w:val="24"/>
        </w:rPr>
        <w:tab/>
      </w:r>
      <w:r w:rsidR="00983399" w:rsidRPr="00471632">
        <w:rPr>
          <w:rFonts w:cstheme="minorHAnsi"/>
          <w:sz w:val="24"/>
          <w:szCs w:val="24"/>
        </w:rPr>
        <w:t xml:space="preserve">Kontrolovaným příspěvkovým organizacím (CENIA, ČAS, </w:t>
      </w:r>
      <w:proofErr w:type="spellStart"/>
      <w:r w:rsidR="00983399" w:rsidRPr="00471632">
        <w:rPr>
          <w:rFonts w:cstheme="minorHAnsi"/>
          <w:sz w:val="24"/>
          <w:szCs w:val="24"/>
        </w:rPr>
        <w:t>SpS</w:t>
      </w:r>
      <w:proofErr w:type="spellEnd"/>
      <w:r w:rsidR="00983399" w:rsidRPr="00471632">
        <w:rPr>
          <w:rFonts w:cstheme="minorHAnsi"/>
          <w:sz w:val="24"/>
          <w:szCs w:val="24"/>
        </w:rPr>
        <w:t xml:space="preserve"> MPO a ÚZEI) </w:t>
      </w:r>
      <w:r w:rsidR="00FC6E5A" w:rsidRPr="00471632">
        <w:rPr>
          <w:rFonts w:cstheme="minorHAnsi"/>
          <w:sz w:val="24"/>
          <w:szCs w:val="24"/>
        </w:rPr>
        <w:t>zřizovatelé schválili a následně navýšili příspěv</w:t>
      </w:r>
      <w:r w:rsidR="003A51AA" w:rsidRPr="00471632">
        <w:rPr>
          <w:rFonts w:cstheme="minorHAnsi"/>
          <w:sz w:val="24"/>
          <w:szCs w:val="24"/>
        </w:rPr>
        <w:t>e</w:t>
      </w:r>
      <w:r w:rsidR="00FC6E5A" w:rsidRPr="00471632">
        <w:rPr>
          <w:rFonts w:cstheme="minorHAnsi"/>
          <w:sz w:val="24"/>
          <w:szCs w:val="24"/>
        </w:rPr>
        <w:t xml:space="preserve">k na provoz </w:t>
      </w:r>
      <w:r w:rsidR="00983399" w:rsidRPr="00471632">
        <w:rPr>
          <w:rFonts w:cstheme="minorHAnsi"/>
          <w:sz w:val="24"/>
          <w:szCs w:val="24"/>
        </w:rPr>
        <w:t>v </w:t>
      </w:r>
      <w:r w:rsidR="00860BBD">
        <w:rPr>
          <w:rFonts w:cstheme="minorHAnsi"/>
          <w:sz w:val="24"/>
          <w:szCs w:val="24"/>
        </w:rPr>
        <w:t>letech</w:t>
      </w:r>
      <w:r w:rsidR="00983399" w:rsidRPr="00471632">
        <w:rPr>
          <w:rFonts w:cstheme="minorHAnsi"/>
          <w:sz w:val="24"/>
          <w:szCs w:val="24"/>
        </w:rPr>
        <w:t xml:space="preserve"> </w:t>
      </w:r>
      <w:r w:rsidR="0047355E" w:rsidRPr="00471632">
        <w:rPr>
          <w:rFonts w:cstheme="minorHAnsi"/>
          <w:sz w:val="24"/>
          <w:szCs w:val="24"/>
        </w:rPr>
        <w:t>2019</w:t>
      </w:r>
      <w:r w:rsidR="00860BBD">
        <w:rPr>
          <w:rFonts w:cstheme="minorHAnsi"/>
          <w:sz w:val="24"/>
          <w:szCs w:val="24"/>
        </w:rPr>
        <w:t>–</w:t>
      </w:r>
      <w:r w:rsidR="00983399" w:rsidRPr="00471632">
        <w:rPr>
          <w:rFonts w:cstheme="minorHAnsi"/>
          <w:sz w:val="24"/>
          <w:szCs w:val="24"/>
        </w:rPr>
        <w:t xml:space="preserve">2021 </w:t>
      </w:r>
      <w:r w:rsidR="00376D68" w:rsidRPr="00471632">
        <w:rPr>
          <w:rFonts w:cstheme="minorHAnsi"/>
          <w:sz w:val="24"/>
          <w:szCs w:val="24"/>
        </w:rPr>
        <w:t>na celkem</w:t>
      </w:r>
      <w:r w:rsidR="00983399" w:rsidRPr="00471632">
        <w:rPr>
          <w:rFonts w:cstheme="minorHAnsi"/>
          <w:sz w:val="24"/>
          <w:szCs w:val="24"/>
        </w:rPr>
        <w:t xml:space="preserve"> </w:t>
      </w:r>
      <w:r w:rsidR="00FC6E5A" w:rsidRPr="00471632">
        <w:rPr>
          <w:rFonts w:cstheme="minorHAnsi"/>
          <w:sz w:val="24"/>
          <w:szCs w:val="24"/>
        </w:rPr>
        <w:t>901,1</w:t>
      </w:r>
      <w:r w:rsidR="00711554" w:rsidRPr="00471632">
        <w:rPr>
          <w:rFonts w:cstheme="minorHAnsi"/>
          <w:sz w:val="24"/>
          <w:szCs w:val="24"/>
        </w:rPr>
        <w:t> </w:t>
      </w:r>
      <w:r w:rsidR="00983399" w:rsidRPr="00471632">
        <w:rPr>
          <w:rFonts w:cstheme="minorHAnsi"/>
          <w:sz w:val="24"/>
          <w:szCs w:val="24"/>
        </w:rPr>
        <w:t>mil.</w:t>
      </w:r>
      <w:r w:rsidR="00711554" w:rsidRPr="00471632">
        <w:rPr>
          <w:rFonts w:cstheme="minorHAnsi"/>
          <w:sz w:val="24"/>
          <w:szCs w:val="24"/>
        </w:rPr>
        <w:t> </w:t>
      </w:r>
      <w:r w:rsidR="00983399" w:rsidRPr="00471632">
        <w:rPr>
          <w:rFonts w:cstheme="minorHAnsi"/>
          <w:sz w:val="24"/>
          <w:szCs w:val="24"/>
        </w:rPr>
        <w:t xml:space="preserve">Kč. </w:t>
      </w:r>
      <w:r w:rsidR="000C55B6" w:rsidRPr="00471632">
        <w:rPr>
          <w:rFonts w:cstheme="minorHAnsi"/>
          <w:sz w:val="24"/>
          <w:szCs w:val="24"/>
        </w:rPr>
        <w:t xml:space="preserve">Z této částky </w:t>
      </w:r>
      <w:r w:rsidR="00376D68" w:rsidRPr="00471632">
        <w:rPr>
          <w:rFonts w:cstheme="minorHAnsi"/>
          <w:sz w:val="24"/>
          <w:szCs w:val="24"/>
        </w:rPr>
        <w:t>SPO</w:t>
      </w:r>
      <w:r w:rsidR="000C55B6" w:rsidRPr="00471632">
        <w:rPr>
          <w:rFonts w:cstheme="minorHAnsi"/>
          <w:sz w:val="24"/>
          <w:szCs w:val="24"/>
        </w:rPr>
        <w:t xml:space="preserve"> vyčerpal</w:t>
      </w:r>
      <w:r w:rsidR="00376D68" w:rsidRPr="00471632">
        <w:rPr>
          <w:rFonts w:cstheme="minorHAnsi"/>
          <w:sz w:val="24"/>
          <w:szCs w:val="24"/>
        </w:rPr>
        <w:t>y</w:t>
      </w:r>
      <w:r w:rsidR="000C55B6" w:rsidRPr="00471632">
        <w:rPr>
          <w:rFonts w:cstheme="minorHAnsi"/>
          <w:sz w:val="24"/>
          <w:szCs w:val="24"/>
        </w:rPr>
        <w:t xml:space="preserve"> celkem 791,8 mil. Kč.</w:t>
      </w:r>
    </w:p>
    <w:p w14:paraId="310ABB15" w14:textId="65F850DD" w:rsidR="00983399" w:rsidRDefault="00983399" w:rsidP="00F94C91">
      <w:pPr>
        <w:pStyle w:val="Odstavecseseznamem"/>
        <w:spacing w:after="0" w:line="240" w:lineRule="auto"/>
        <w:ind w:left="426" w:hanging="426"/>
        <w:jc w:val="both"/>
        <w:rPr>
          <w:rFonts w:eastAsia="Calibri" w:cstheme="minorHAnsi"/>
          <w:sz w:val="24"/>
          <w:szCs w:val="24"/>
        </w:rPr>
      </w:pPr>
    </w:p>
    <w:p w14:paraId="19DD77DE" w14:textId="36FE7FD2" w:rsidR="00983399" w:rsidRPr="00711554" w:rsidRDefault="00983399" w:rsidP="00711554">
      <w:pPr>
        <w:pStyle w:val="Textkomente"/>
        <w:keepNext/>
        <w:tabs>
          <w:tab w:val="right" w:pos="9072"/>
        </w:tabs>
        <w:spacing w:after="40"/>
        <w:jc w:val="both"/>
        <w:rPr>
          <w:b/>
          <w:sz w:val="22"/>
          <w:szCs w:val="22"/>
        </w:rPr>
      </w:pPr>
      <w:r w:rsidRPr="00711554">
        <w:rPr>
          <w:rFonts w:cstheme="minorHAnsi"/>
          <w:b/>
          <w:color w:val="000000"/>
          <w:sz w:val="24"/>
          <w:szCs w:val="22"/>
        </w:rPr>
        <w:t>Tabulka č. 1</w:t>
      </w:r>
      <w:r w:rsidR="00860BBD">
        <w:rPr>
          <w:rFonts w:cstheme="minorHAnsi"/>
          <w:b/>
          <w:color w:val="000000"/>
          <w:sz w:val="24"/>
          <w:szCs w:val="22"/>
        </w:rPr>
        <w:t>:</w:t>
      </w:r>
      <w:r w:rsidRPr="00711554">
        <w:rPr>
          <w:rFonts w:cstheme="minorHAnsi"/>
          <w:b/>
          <w:color w:val="000000"/>
          <w:sz w:val="24"/>
          <w:szCs w:val="22"/>
        </w:rPr>
        <w:t xml:space="preserve"> Navýšení schváleného příspěvku na provoz</w:t>
      </w:r>
      <w:r w:rsidRPr="00711554">
        <w:rPr>
          <w:rFonts w:cstheme="minorHAnsi"/>
          <w:b/>
          <w:color w:val="000000"/>
          <w:sz w:val="24"/>
          <w:szCs w:val="22"/>
        </w:rPr>
        <w:tab/>
        <w:t>(v mil.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345"/>
        <w:gridCol w:w="1348"/>
        <w:gridCol w:w="1345"/>
        <w:gridCol w:w="1348"/>
        <w:gridCol w:w="1347"/>
        <w:gridCol w:w="1341"/>
      </w:tblGrid>
      <w:tr w:rsidR="00983399" w:rsidRPr="00711554" w14:paraId="5C11C91F" w14:textId="77777777" w:rsidTr="00711554">
        <w:trPr>
          <w:trHeight w:val="255"/>
        </w:trPr>
        <w:tc>
          <w:tcPr>
            <w:tcW w:w="545" w:type="pct"/>
            <w:vMerge w:val="restart"/>
            <w:shd w:val="clear" w:color="000000" w:fill="D9D9D9"/>
            <w:noWrap/>
            <w:vAlign w:val="center"/>
            <w:hideMark/>
          </w:tcPr>
          <w:p w14:paraId="6670048C" w14:textId="77777777"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SPO</w:t>
            </w:r>
          </w:p>
        </w:tc>
        <w:tc>
          <w:tcPr>
            <w:tcW w:w="1486" w:type="pct"/>
            <w:gridSpan w:val="2"/>
            <w:shd w:val="clear" w:color="000000" w:fill="D9D9D9"/>
            <w:noWrap/>
            <w:vAlign w:val="center"/>
            <w:hideMark/>
          </w:tcPr>
          <w:p w14:paraId="726B525D" w14:textId="77777777"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2019</w:t>
            </w:r>
          </w:p>
        </w:tc>
        <w:tc>
          <w:tcPr>
            <w:tcW w:w="1486" w:type="pct"/>
            <w:gridSpan w:val="2"/>
            <w:shd w:val="clear" w:color="000000" w:fill="D9D9D9"/>
            <w:vAlign w:val="center"/>
          </w:tcPr>
          <w:p w14:paraId="1A439C05" w14:textId="77777777"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2020</w:t>
            </w:r>
          </w:p>
        </w:tc>
        <w:tc>
          <w:tcPr>
            <w:tcW w:w="1483" w:type="pct"/>
            <w:gridSpan w:val="2"/>
            <w:shd w:val="clear" w:color="000000" w:fill="D9D9D9"/>
            <w:vAlign w:val="center"/>
          </w:tcPr>
          <w:p w14:paraId="2EC52463" w14:textId="77777777"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2021</w:t>
            </w:r>
          </w:p>
        </w:tc>
      </w:tr>
      <w:tr w:rsidR="00983399" w:rsidRPr="00711554" w14:paraId="11020617" w14:textId="77777777" w:rsidTr="00711554">
        <w:trPr>
          <w:trHeight w:val="255"/>
        </w:trPr>
        <w:tc>
          <w:tcPr>
            <w:tcW w:w="545" w:type="pct"/>
            <w:vMerge/>
            <w:shd w:val="clear" w:color="000000" w:fill="D9D9D9"/>
            <w:noWrap/>
            <w:vAlign w:val="center"/>
          </w:tcPr>
          <w:p w14:paraId="315D9E54" w14:textId="77777777"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p>
        </w:tc>
        <w:tc>
          <w:tcPr>
            <w:tcW w:w="742" w:type="pct"/>
            <w:shd w:val="clear" w:color="000000" w:fill="D9D9D9"/>
            <w:noWrap/>
            <w:vAlign w:val="center"/>
          </w:tcPr>
          <w:p w14:paraId="6F8FBDDA" w14:textId="630901B2"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Schválený </w:t>
            </w:r>
            <w:r w:rsidR="003A51AA" w:rsidRPr="00711554">
              <w:rPr>
                <w:rFonts w:ascii="Calibri" w:eastAsia="Times New Roman" w:hAnsi="Calibri" w:cs="Calibri"/>
                <w:b/>
                <w:color w:val="000000"/>
                <w:sz w:val="20"/>
                <w:szCs w:val="20"/>
                <w:lang w:eastAsia="cs-CZ"/>
              </w:rPr>
              <w:t>příspěvek</w:t>
            </w:r>
          </w:p>
        </w:tc>
        <w:tc>
          <w:tcPr>
            <w:tcW w:w="744" w:type="pct"/>
            <w:shd w:val="clear" w:color="000000" w:fill="D9D9D9"/>
            <w:vAlign w:val="center"/>
          </w:tcPr>
          <w:p w14:paraId="78733D04" w14:textId="4B079979"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Navýšení </w:t>
            </w:r>
            <w:r w:rsidR="003A51AA" w:rsidRPr="00711554">
              <w:rPr>
                <w:rFonts w:ascii="Calibri" w:eastAsia="Times New Roman" w:hAnsi="Calibri" w:cs="Calibri"/>
                <w:b/>
                <w:color w:val="000000"/>
                <w:sz w:val="20"/>
                <w:szCs w:val="20"/>
                <w:lang w:eastAsia="cs-CZ"/>
              </w:rPr>
              <w:t xml:space="preserve">příspěvku </w:t>
            </w:r>
          </w:p>
        </w:tc>
        <w:tc>
          <w:tcPr>
            <w:tcW w:w="742" w:type="pct"/>
            <w:shd w:val="clear" w:color="000000" w:fill="D9D9D9"/>
            <w:vAlign w:val="center"/>
          </w:tcPr>
          <w:p w14:paraId="77F8C726" w14:textId="17AD8F81"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Schválený </w:t>
            </w:r>
            <w:r w:rsidR="003A51AA" w:rsidRPr="00711554">
              <w:rPr>
                <w:rFonts w:ascii="Calibri" w:eastAsia="Times New Roman" w:hAnsi="Calibri" w:cs="Calibri"/>
                <w:b/>
                <w:color w:val="000000"/>
                <w:sz w:val="20"/>
                <w:szCs w:val="20"/>
                <w:lang w:eastAsia="cs-CZ"/>
              </w:rPr>
              <w:t>příspěvek</w:t>
            </w:r>
          </w:p>
        </w:tc>
        <w:tc>
          <w:tcPr>
            <w:tcW w:w="744" w:type="pct"/>
            <w:shd w:val="clear" w:color="000000" w:fill="D9D9D9"/>
            <w:vAlign w:val="center"/>
          </w:tcPr>
          <w:p w14:paraId="1DFCF105" w14:textId="78371460"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Navýšení </w:t>
            </w:r>
            <w:r w:rsidR="003A51AA" w:rsidRPr="00711554">
              <w:rPr>
                <w:rFonts w:ascii="Calibri" w:eastAsia="Times New Roman" w:hAnsi="Calibri" w:cs="Calibri"/>
                <w:b/>
                <w:color w:val="000000"/>
                <w:sz w:val="20"/>
                <w:szCs w:val="20"/>
                <w:lang w:eastAsia="cs-CZ"/>
              </w:rPr>
              <w:t>příspěvku</w:t>
            </w:r>
          </w:p>
        </w:tc>
        <w:tc>
          <w:tcPr>
            <w:tcW w:w="743" w:type="pct"/>
            <w:shd w:val="clear" w:color="000000" w:fill="D9D9D9"/>
            <w:vAlign w:val="center"/>
          </w:tcPr>
          <w:p w14:paraId="0BB71C2B" w14:textId="26095923"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Schválený </w:t>
            </w:r>
            <w:r w:rsidR="003A51AA" w:rsidRPr="00711554">
              <w:rPr>
                <w:rFonts w:ascii="Calibri" w:eastAsia="Times New Roman" w:hAnsi="Calibri" w:cs="Calibri"/>
                <w:b/>
                <w:color w:val="000000"/>
                <w:sz w:val="20"/>
                <w:szCs w:val="20"/>
                <w:lang w:eastAsia="cs-CZ"/>
              </w:rPr>
              <w:t>příspěvek</w:t>
            </w:r>
          </w:p>
        </w:tc>
        <w:tc>
          <w:tcPr>
            <w:tcW w:w="740" w:type="pct"/>
            <w:shd w:val="clear" w:color="000000" w:fill="D9D9D9"/>
            <w:vAlign w:val="center"/>
          </w:tcPr>
          <w:p w14:paraId="0AC05ED0" w14:textId="7B3958B8" w:rsidR="00983399" w:rsidRPr="00711554" w:rsidRDefault="00983399" w:rsidP="00D36197">
            <w:pPr>
              <w:keepNext/>
              <w:spacing w:after="0" w:line="240" w:lineRule="auto"/>
              <w:jc w:val="center"/>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 xml:space="preserve">Navýšení </w:t>
            </w:r>
            <w:r w:rsidR="003A51AA" w:rsidRPr="00711554">
              <w:rPr>
                <w:rFonts w:ascii="Calibri" w:eastAsia="Times New Roman" w:hAnsi="Calibri" w:cs="Calibri"/>
                <w:b/>
                <w:color w:val="000000"/>
                <w:sz w:val="20"/>
                <w:szCs w:val="20"/>
                <w:lang w:eastAsia="cs-CZ"/>
              </w:rPr>
              <w:t>příspěvku</w:t>
            </w:r>
          </w:p>
        </w:tc>
      </w:tr>
      <w:tr w:rsidR="00983399" w:rsidRPr="00711554" w14:paraId="201EF0E3" w14:textId="77777777" w:rsidTr="00711554">
        <w:trPr>
          <w:trHeight w:val="255"/>
        </w:trPr>
        <w:tc>
          <w:tcPr>
            <w:tcW w:w="545" w:type="pct"/>
            <w:shd w:val="clear" w:color="auto" w:fill="auto"/>
            <w:noWrap/>
            <w:vAlign w:val="bottom"/>
            <w:hideMark/>
          </w:tcPr>
          <w:p w14:paraId="15B0607F" w14:textId="77777777" w:rsidR="00983399" w:rsidRPr="00711554" w:rsidRDefault="00983399" w:rsidP="00D36197">
            <w:pPr>
              <w:keepNext/>
              <w:spacing w:after="0" w:line="240" w:lineRule="auto"/>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CENIA</w:t>
            </w:r>
          </w:p>
        </w:tc>
        <w:tc>
          <w:tcPr>
            <w:tcW w:w="742" w:type="pct"/>
            <w:shd w:val="clear" w:color="auto" w:fill="auto"/>
            <w:noWrap/>
            <w:vAlign w:val="center"/>
          </w:tcPr>
          <w:p w14:paraId="2A72AE32"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57,2</w:t>
            </w:r>
          </w:p>
        </w:tc>
        <w:tc>
          <w:tcPr>
            <w:tcW w:w="744" w:type="pct"/>
            <w:vAlign w:val="center"/>
          </w:tcPr>
          <w:p w14:paraId="0C9187A3"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1,9</w:t>
            </w:r>
          </w:p>
        </w:tc>
        <w:tc>
          <w:tcPr>
            <w:tcW w:w="742" w:type="pct"/>
            <w:shd w:val="clear" w:color="auto" w:fill="auto"/>
            <w:vAlign w:val="center"/>
          </w:tcPr>
          <w:p w14:paraId="460D3907" w14:textId="4CD0F7CA"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59,8</w:t>
            </w:r>
          </w:p>
        </w:tc>
        <w:tc>
          <w:tcPr>
            <w:tcW w:w="744" w:type="pct"/>
            <w:vAlign w:val="center"/>
          </w:tcPr>
          <w:p w14:paraId="04519FF5"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1,3</w:t>
            </w:r>
          </w:p>
        </w:tc>
        <w:tc>
          <w:tcPr>
            <w:tcW w:w="743" w:type="pct"/>
            <w:shd w:val="clear" w:color="auto" w:fill="auto"/>
            <w:vAlign w:val="center"/>
          </w:tcPr>
          <w:p w14:paraId="4A722862" w14:textId="5CD57A3B"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59,8</w:t>
            </w:r>
          </w:p>
        </w:tc>
        <w:tc>
          <w:tcPr>
            <w:tcW w:w="740" w:type="pct"/>
            <w:shd w:val="clear" w:color="auto" w:fill="auto"/>
            <w:vAlign w:val="center"/>
          </w:tcPr>
          <w:p w14:paraId="18842227" w14:textId="3ECF9A81" w:rsidR="00983399" w:rsidRPr="00711554" w:rsidRDefault="00983399" w:rsidP="00711554">
            <w:pPr>
              <w:keepNext/>
              <w:spacing w:after="0" w:line="240" w:lineRule="auto"/>
              <w:ind w:right="285"/>
              <w:jc w:val="right"/>
              <w:rPr>
                <w:rFonts w:ascii="Calibri" w:hAnsi="Calibri" w:cs="Calibri"/>
                <w:color w:val="000000"/>
                <w:sz w:val="20"/>
                <w:szCs w:val="20"/>
              </w:rPr>
            </w:pPr>
            <w:r w:rsidRPr="00711554">
              <w:rPr>
                <w:rFonts w:ascii="Calibri" w:hAnsi="Calibri" w:cs="Calibri"/>
                <w:color w:val="000000"/>
                <w:sz w:val="20"/>
                <w:szCs w:val="20"/>
              </w:rPr>
              <w:t>1,3</w:t>
            </w:r>
          </w:p>
        </w:tc>
      </w:tr>
      <w:tr w:rsidR="00983399" w:rsidRPr="00711554" w14:paraId="4B080EDE" w14:textId="77777777" w:rsidTr="00711554">
        <w:trPr>
          <w:trHeight w:val="255"/>
        </w:trPr>
        <w:tc>
          <w:tcPr>
            <w:tcW w:w="545" w:type="pct"/>
            <w:shd w:val="clear" w:color="auto" w:fill="auto"/>
            <w:noWrap/>
            <w:vAlign w:val="bottom"/>
            <w:hideMark/>
          </w:tcPr>
          <w:p w14:paraId="5E0BE936" w14:textId="77777777" w:rsidR="00983399" w:rsidRPr="00711554" w:rsidRDefault="00983399" w:rsidP="00D36197">
            <w:pPr>
              <w:keepNext/>
              <w:spacing w:after="0" w:line="240" w:lineRule="auto"/>
              <w:rPr>
                <w:rFonts w:ascii="Calibri" w:eastAsia="Times New Roman" w:hAnsi="Calibri" w:cs="Calibri"/>
                <w:color w:val="000000"/>
                <w:sz w:val="20"/>
                <w:szCs w:val="20"/>
                <w:lang w:eastAsia="cs-CZ"/>
              </w:rPr>
            </w:pPr>
            <w:proofErr w:type="spellStart"/>
            <w:r w:rsidRPr="00711554">
              <w:rPr>
                <w:rFonts w:ascii="Calibri" w:eastAsia="Times New Roman" w:hAnsi="Calibri" w:cs="Calibri"/>
                <w:color w:val="000000"/>
                <w:sz w:val="20"/>
                <w:szCs w:val="20"/>
                <w:lang w:eastAsia="cs-CZ"/>
              </w:rPr>
              <w:t>SpS</w:t>
            </w:r>
            <w:proofErr w:type="spellEnd"/>
            <w:r w:rsidRPr="00711554">
              <w:rPr>
                <w:rFonts w:ascii="Calibri" w:eastAsia="Times New Roman" w:hAnsi="Calibri" w:cs="Calibri"/>
                <w:color w:val="000000"/>
                <w:sz w:val="20"/>
                <w:szCs w:val="20"/>
                <w:lang w:eastAsia="cs-CZ"/>
              </w:rPr>
              <w:t xml:space="preserve"> MPO</w:t>
            </w:r>
          </w:p>
        </w:tc>
        <w:tc>
          <w:tcPr>
            <w:tcW w:w="742" w:type="pct"/>
            <w:shd w:val="clear" w:color="auto" w:fill="auto"/>
            <w:noWrap/>
            <w:vAlign w:val="center"/>
          </w:tcPr>
          <w:p w14:paraId="09FEB807"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24,3</w:t>
            </w:r>
          </w:p>
        </w:tc>
        <w:tc>
          <w:tcPr>
            <w:tcW w:w="744" w:type="pct"/>
            <w:vAlign w:val="center"/>
          </w:tcPr>
          <w:p w14:paraId="0BE69E3E"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3,3</w:t>
            </w:r>
          </w:p>
        </w:tc>
        <w:tc>
          <w:tcPr>
            <w:tcW w:w="742" w:type="pct"/>
            <w:shd w:val="clear" w:color="auto" w:fill="auto"/>
            <w:vAlign w:val="center"/>
          </w:tcPr>
          <w:p w14:paraId="29515EC2" w14:textId="07BED20F"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27,6</w:t>
            </w:r>
          </w:p>
        </w:tc>
        <w:tc>
          <w:tcPr>
            <w:tcW w:w="744" w:type="pct"/>
            <w:vAlign w:val="center"/>
          </w:tcPr>
          <w:p w14:paraId="31ACEEBA" w14:textId="77777777"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15,0</w:t>
            </w:r>
          </w:p>
        </w:tc>
        <w:tc>
          <w:tcPr>
            <w:tcW w:w="743" w:type="pct"/>
            <w:shd w:val="clear" w:color="auto" w:fill="auto"/>
            <w:vAlign w:val="center"/>
          </w:tcPr>
          <w:p w14:paraId="524F1C87" w14:textId="04BEFFC1" w:rsidR="00983399" w:rsidRPr="00711554" w:rsidRDefault="00983399" w:rsidP="00711554">
            <w:pPr>
              <w:keepNext/>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35,0</w:t>
            </w:r>
          </w:p>
        </w:tc>
        <w:tc>
          <w:tcPr>
            <w:tcW w:w="740" w:type="pct"/>
            <w:shd w:val="clear" w:color="auto" w:fill="auto"/>
            <w:vAlign w:val="center"/>
          </w:tcPr>
          <w:p w14:paraId="40064168" w14:textId="3D671C35" w:rsidR="00983399" w:rsidRPr="00711554" w:rsidRDefault="00983399" w:rsidP="00711554">
            <w:pPr>
              <w:keepNext/>
              <w:spacing w:after="0" w:line="240" w:lineRule="auto"/>
              <w:ind w:right="285"/>
              <w:jc w:val="right"/>
              <w:rPr>
                <w:rFonts w:ascii="Calibri" w:hAnsi="Calibri" w:cs="Calibri"/>
                <w:color w:val="000000"/>
                <w:sz w:val="20"/>
                <w:szCs w:val="20"/>
              </w:rPr>
            </w:pPr>
            <w:r w:rsidRPr="00711554">
              <w:rPr>
                <w:rFonts w:ascii="Calibri" w:hAnsi="Calibri" w:cs="Calibri"/>
                <w:color w:val="000000"/>
                <w:sz w:val="20"/>
                <w:szCs w:val="20"/>
              </w:rPr>
              <w:t>11,6</w:t>
            </w:r>
          </w:p>
        </w:tc>
      </w:tr>
      <w:tr w:rsidR="00983399" w:rsidRPr="00711554" w14:paraId="67EACA5A" w14:textId="77777777" w:rsidTr="00711554">
        <w:trPr>
          <w:trHeight w:val="255"/>
        </w:trPr>
        <w:tc>
          <w:tcPr>
            <w:tcW w:w="545" w:type="pct"/>
            <w:shd w:val="clear" w:color="auto" w:fill="auto"/>
            <w:noWrap/>
            <w:vAlign w:val="bottom"/>
            <w:hideMark/>
          </w:tcPr>
          <w:p w14:paraId="0F2F3D8F" w14:textId="77777777" w:rsidR="00983399" w:rsidRPr="00711554" w:rsidRDefault="00983399" w:rsidP="00983399">
            <w:pPr>
              <w:spacing w:after="0" w:line="240" w:lineRule="auto"/>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ČAS</w:t>
            </w:r>
          </w:p>
        </w:tc>
        <w:tc>
          <w:tcPr>
            <w:tcW w:w="742" w:type="pct"/>
            <w:shd w:val="clear" w:color="auto" w:fill="auto"/>
            <w:noWrap/>
            <w:vAlign w:val="center"/>
          </w:tcPr>
          <w:p w14:paraId="22594170"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0,0</w:t>
            </w:r>
          </w:p>
        </w:tc>
        <w:tc>
          <w:tcPr>
            <w:tcW w:w="744" w:type="pct"/>
            <w:vAlign w:val="center"/>
          </w:tcPr>
          <w:p w14:paraId="553018CA"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52,4</w:t>
            </w:r>
          </w:p>
        </w:tc>
        <w:tc>
          <w:tcPr>
            <w:tcW w:w="742" w:type="pct"/>
            <w:shd w:val="clear" w:color="auto" w:fill="auto"/>
            <w:vAlign w:val="center"/>
          </w:tcPr>
          <w:p w14:paraId="3133D294" w14:textId="3E8D3C7A"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0,0</w:t>
            </w:r>
          </w:p>
        </w:tc>
        <w:tc>
          <w:tcPr>
            <w:tcW w:w="744" w:type="pct"/>
            <w:vAlign w:val="center"/>
          </w:tcPr>
          <w:p w14:paraId="2C223F66"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50,9</w:t>
            </w:r>
          </w:p>
        </w:tc>
        <w:tc>
          <w:tcPr>
            <w:tcW w:w="743" w:type="pct"/>
            <w:shd w:val="clear" w:color="auto" w:fill="auto"/>
            <w:vAlign w:val="center"/>
          </w:tcPr>
          <w:p w14:paraId="38E6F868" w14:textId="2E664C2E"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0,0</w:t>
            </w:r>
          </w:p>
        </w:tc>
        <w:tc>
          <w:tcPr>
            <w:tcW w:w="740" w:type="pct"/>
            <w:shd w:val="clear" w:color="auto" w:fill="auto"/>
            <w:vAlign w:val="center"/>
          </w:tcPr>
          <w:p w14:paraId="0FD48B25" w14:textId="37B1F2D3" w:rsidR="00983399" w:rsidRPr="00711554" w:rsidRDefault="00983399" w:rsidP="00711554">
            <w:pPr>
              <w:spacing w:after="0" w:line="240" w:lineRule="auto"/>
              <w:ind w:right="285"/>
              <w:jc w:val="right"/>
              <w:rPr>
                <w:rFonts w:ascii="Calibri" w:hAnsi="Calibri" w:cs="Calibri"/>
                <w:color w:val="000000"/>
                <w:sz w:val="20"/>
                <w:szCs w:val="20"/>
              </w:rPr>
            </w:pPr>
            <w:r w:rsidRPr="00711554">
              <w:rPr>
                <w:rFonts w:ascii="Calibri" w:hAnsi="Calibri" w:cs="Calibri"/>
                <w:color w:val="000000"/>
                <w:sz w:val="20"/>
                <w:szCs w:val="20"/>
              </w:rPr>
              <w:t>34,8</w:t>
            </w:r>
          </w:p>
        </w:tc>
      </w:tr>
      <w:tr w:rsidR="00983399" w:rsidRPr="00711554" w14:paraId="126D39C1" w14:textId="77777777" w:rsidTr="00711554">
        <w:trPr>
          <w:trHeight w:val="255"/>
        </w:trPr>
        <w:tc>
          <w:tcPr>
            <w:tcW w:w="545" w:type="pct"/>
            <w:shd w:val="clear" w:color="auto" w:fill="auto"/>
            <w:noWrap/>
            <w:vAlign w:val="bottom"/>
            <w:hideMark/>
          </w:tcPr>
          <w:p w14:paraId="3561DC93" w14:textId="77777777" w:rsidR="00983399" w:rsidRPr="00711554" w:rsidRDefault="00983399" w:rsidP="00983399">
            <w:pPr>
              <w:spacing w:after="0" w:line="240" w:lineRule="auto"/>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ÚZEI</w:t>
            </w:r>
          </w:p>
        </w:tc>
        <w:tc>
          <w:tcPr>
            <w:tcW w:w="742" w:type="pct"/>
            <w:shd w:val="clear" w:color="auto" w:fill="auto"/>
            <w:noWrap/>
            <w:vAlign w:val="center"/>
          </w:tcPr>
          <w:p w14:paraId="0657D33D"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115,5</w:t>
            </w:r>
          </w:p>
        </w:tc>
        <w:tc>
          <w:tcPr>
            <w:tcW w:w="744" w:type="pct"/>
            <w:vAlign w:val="center"/>
          </w:tcPr>
          <w:p w14:paraId="724F8AD9"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37,8</w:t>
            </w:r>
          </w:p>
        </w:tc>
        <w:tc>
          <w:tcPr>
            <w:tcW w:w="742" w:type="pct"/>
            <w:shd w:val="clear" w:color="auto" w:fill="auto"/>
            <w:vAlign w:val="center"/>
          </w:tcPr>
          <w:p w14:paraId="708E8FCE" w14:textId="4B55E28C"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122,4</w:t>
            </w:r>
          </w:p>
        </w:tc>
        <w:tc>
          <w:tcPr>
            <w:tcW w:w="744" w:type="pct"/>
            <w:vAlign w:val="center"/>
          </w:tcPr>
          <w:p w14:paraId="282FBE1C" w14:textId="77777777"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eastAsia="Times New Roman" w:hAnsi="Calibri" w:cs="Calibri"/>
                <w:color w:val="000000"/>
                <w:sz w:val="20"/>
                <w:szCs w:val="20"/>
                <w:lang w:eastAsia="cs-CZ"/>
              </w:rPr>
              <w:t>33,6</w:t>
            </w:r>
          </w:p>
        </w:tc>
        <w:tc>
          <w:tcPr>
            <w:tcW w:w="743" w:type="pct"/>
            <w:shd w:val="clear" w:color="auto" w:fill="auto"/>
            <w:vAlign w:val="center"/>
          </w:tcPr>
          <w:p w14:paraId="4A9CFDC8" w14:textId="25855BFA" w:rsidR="00983399" w:rsidRPr="00711554" w:rsidRDefault="00983399" w:rsidP="00711554">
            <w:pPr>
              <w:spacing w:after="0" w:line="240" w:lineRule="auto"/>
              <w:ind w:right="285"/>
              <w:jc w:val="right"/>
              <w:rPr>
                <w:rFonts w:ascii="Calibri" w:eastAsia="Times New Roman" w:hAnsi="Calibri" w:cs="Calibri"/>
                <w:color w:val="000000"/>
                <w:sz w:val="20"/>
                <w:szCs w:val="20"/>
                <w:lang w:eastAsia="cs-CZ"/>
              </w:rPr>
            </w:pPr>
            <w:r w:rsidRPr="00711554">
              <w:rPr>
                <w:rFonts w:ascii="Calibri" w:hAnsi="Calibri" w:cs="Calibri"/>
                <w:color w:val="000000"/>
                <w:sz w:val="20"/>
                <w:szCs w:val="20"/>
              </w:rPr>
              <w:t>122,0</w:t>
            </w:r>
          </w:p>
        </w:tc>
        <w:tc>
          <w:tcPr>
            <w:tcW w:w="740" w:type="pct"/>
            <w:shd w:val="clear" w:color="auto" w:fill="auto"/>
            <w:vAlign w:val="center"/>
          </w:tcPr>
          <w:p w14:paraId="03C0B1AF" w14:textId="40BD4CC3" w:rsidR="00983399" w:rsidRPr="00711554" w:rsidRDefault="00983399" w:rsidP="00711554">
            <w:pPr>
              <w:spacing w:after="0" w:line="240" w:lineRule="auto"/>
              <w:ind w:right="285"/>
              <w:jc w:val="right"/>
              <w:rPr>
                <w:rFonts w:ascii="Calibri" w:hAnsi="Calibri" w:cs="Calibri"/>
                <w:color w:val="000000"/>
                <w:sz w:val="20"/>
                <w:szCs w:val="20"/>
              </w:rPr>
            </w:pPr>
            <w:r w:rsidRPr="00711554">
              <w:rPr>
                <w:rFonts w:ascii="Calibri" w:hAnsi="Calibri" w:cs="Calibri"/>
                <w:color w:val="000000"/>
                <w:sz w:val="20"/>
                <w:szCs w:val="20"/>
              </w:rPr>
              <w:t>33,6</w:t>
            </w:r>
          </w:p>
        </w:tc>
      </w:tr>
      <w:tr w:rsidR="00983399" w:rsidRPr="00711554" w14:paraId="07438E1A" w14:textId="77777777" w:rsidTr="00711554">
        <w:trPr>
          <w:trHeight w:val="255"/>
        </w:trPr>
        <w:tc>
          <w:tcPr>
            <w:tcW w:w="545" w:type="pct"/>
            <w:shd w:val="clear" w:color="auto" w:fill="auto"/>
            <w:noWrap/>
            <w:vAlign w:val="bottom"/>
          </w:tcPr>
          <w:p w14:paraId="034D56EA" w14:textId="77777777" w:rsidR="00983399" w:rsidRPr="00711554" w:rsidRDefault="00983399" w:rsidP="00983399">
            <w:pPr>
              <w:spacing w:after="0" w:line="240" w:lineRule="auto"/>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Celkem</w:t>
            </w:r>
          </w:p>
        </w:tc>
        <w:tc>
          <w:tcPr>
            <w:tcW w:w="742" w:type="pct"/>
            <w:shd w:val="clear" w:color="auto" w:fill="auto"/>
            <w:noWrap/>
            <w:vAlign w:val="center"/>
          </w:tcPr>
          <w:p w14:paraId="490C1285" w14:textId="0F842D96" w:rsidR="00983399" w:rsidRPr="00711554" w:rsidRDefault="00983399" w:rsidP="00711554">
            <w:pPr>
              <w:spacing w:after="0" w:line="240" w:lineRule="auto"/>
              <w:ind w:right="285"/>
              <w:jc w:val="right"/>
              <w:rPr>
                <w:rFonts w:ascii="Calibri" w:eastAsia="Times New Roman" w:hAnsi="Calibri" w:cs="Calibri"/>
                <w:b/>
                <w:color w:val="000000"/>
                <w:sz w:val="20"/>
                <w:szCs w:val="20"/>
                <w:lang w:eastAsia="cs-CZ"/>
              </w:rPr>
            </w:pPr>
            <w:r w:rsidRPr="00711554">
              <w:rPr>
                <w:rFonts w:ascii="Calibri" w:hAnsi="Calibri" w:cs="Calibri"/>
                <w:b/>
                <w:color w:val="000000"/>
                <w:sz w:val="20"/>
                <w:szCs w:val="20"/>
              </w:rPr>
              <w:t>197,0</w:t>
            </w:r>
          </w:p>
        </w:tc>
        <w:tc>
          <w:tcPr>
            <w:tcW w:w="744" w:type="pct"/>
            <w:shd w:val="clear" w:color="auto" w:fill="auto"/>
            <w:vAlign w:val="center"/>
          </w:tcPr>
          <w:p w14:paraId="6F2F450B" w14:textId="77777777" w:rsidR="00983399" w:rsidRPr="00711554" w:rsidRDefault="00983399" w:rsidP="00711554">
            <w:pPr>
              <w:spacing w:after="0" w:line="240" w:lineRule="auto"/>
              <w:ind w:right="285"/>
              <w:jc w:val="right"/>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95,4</w:t>
            </w:r>
          </w:p>
        </w:tc>
        <w:tc>
          <w:tcPr>
            <w:tcW w:w="742" w:type="pct"/>
            <w:shd w:val="clear" w:color="auto" w:fill="auto"/>
            <w:vAlign w:val="center"/>
          </w:tcPr>
          <w:p w14:paraId="0378A7D8" w14:textId="38E0E09D" w:rsidR="00983399" w:rsidRPr="00711554" w:rsidRDefault="00983399" w:rsidP="00711554">
            <w:pPr>
              <w:spacing w:after="0" w:line="240" w:lineRule="auto"/>
              <w:ind w:right="285"/>
              <w:jc w:val="right"/>
              <w:rPr>
                <w:rFonts w:ascii="Calibri" w:hAnsi="Calibri" w:cs="Calibri"/>
                <w:b/>
                <w:color w:val="000000"/>
                <w:sz w:val="20"/>
                <w:szCs w:val="20"/>
              </w:rPr>
            </w:pPr>
            <w:r w:rsidRPr="00711554">
              <w:rPr>
                <w:rFonts w:ascii="Calibri" w:hAnsi="Calibri" w:cs="Calibri"/>
                <w:b/>
                <w:color w:val="000000"/>
                <w:sz w:val="20"/>
                <w:szCs w:val="20"/>
              </w:rPr>
              <w:t>209,8</w:t>
            </w:r>
          </w:p>
        </w:tc>
        <w:tc>
          <w:tcPr>
            <w:tcW w:w="744" w:type="pct"/>
            <w:shd w:val="clear" w:color="auto" w:fill="auto"/>
            <w:vAlign w:val="center"/>
          </w:tcPr>
          <w:p w14:paraId="46CBABDC" w14:textId="77777777" w:rsidR="00983399" w:rsidRPr="00711554" w:rsidRDefault="00983399" w:rsidP="00711554">
            <w:pPr>
              <w:spacing w:after="0" w:line="240" w:lineRule="auto"/>
              <w:ind w:right="285"/>
              <w:jc w:val="right"/>
              <w:rPr>
                <w:rFonts w:ascii="Calibri" w:eastAsia="Times New Roman" w:hAnsi="Calibri" w:cs="Calibri"/>
                <w:b/>
                <w:color w:val="000000"/>
                <w:sz w:val="20"/>
                <w:szCs w:val="20"/>
                <w:lang w:eastAsia="cs-CZ"/>
              </w:rPr>
            </w:pPr>
            <w:r w:rsidRPr="00711554">
              <w:rPr>
                <w:rFonts w:ascii="Calibri" w:eastAsia="Times New Roman" w:hAnsi="Calibri" w:cs="Calibri"/>
                <w:b/>
                <w:color w:val="000000"/>
                <w:sz w:val="20"/>
                <w:szCs w:val="20"/>
                <w:lang w:eastAsia="cs-CZ"/>
              </w:rPr>
              <w:t>100,8</w:t>
            </w:r>
          </w:p>
        </w:tc>
        <w:tc>
          <w:tcPr>
            <w:tcW w:w="743" w:type="pct"/>
            <w:shd w:val="clear" w:color="auto" w:fill="auto"/>
            <w:vAlign w:val="center"/>
          </w:tcPr>
          <w:p w14:paraId="0E8CFF13" w14:textId="08264271" w:rsidR="00983399" w:rsidRPr="00711554" w:rsidRDefault="00983399" w:rsidP="00711554">
            <w:pPr>
              <w:spacing w:after="0" w:line="240" w:lineRule="auto"/>
              <w:ind w:right="285"/>
              <w:jc w:val="right"/>
              <w:rPr>
                <w:rFonts w:ascii="Calibri" w:hAnsi="Calibri" w:cs="Calibri"/>
                <w:b/>
                <w:color w:val="000000"/>
                <w:sz w:val="20"/>
                <w:szCs w:val="20"/>
              </w:rPr>
            </w:pPr>
            <w:r w:rsidRPr="00711554">
              <w:rPr>
                <w:rFonts w:ascii="Calibri" w:hAnsi="Calibri" w:cs="Calibri"/>
                <w:b/>
                <w:color w:val="000000"/>
                <w:sz w:val="20"/>
                <w:szCs w:val="20"/>
              </w:rPr>
              <w:t>216,8</w:t>
            </w:r>
          </w:p>
        </w:tc>
        <w:tc>
          <w:tcPr>
            <w:tcW w:w="740" w:type="pct"/>
            <w:shd w:val="clear" w:color="auto" w:fill="auto"/>
            <w:vAlign w:val="center"/>
          </w:tcPr>
          <w:p w14:paraId="522241CF" w14:textId="77777777" w:rsidR="00983399" w:rsidRPr="00711554" w:rsidRDefault="00983399" w:rsidP="00711554">
            <w:pPr>
              <w:spacing w:after="0" w:line="240" w:lineRule="auto"/>
              <w:ind w:right="285"/>
              <w:jc w:val="right"/>
              <w:rPr>
                <w:rFonts w:ascii="Calibri" w:hAnsi="Calibri" w:cs="Calibri"/>
                <w:b/>
                <w:color w:val="000000"/>
                <w:sz w:val="20"/>
                <w:szCs w:val="20"/>
              </w:rPr>
            </w:pPr>
            <w:r w:rsidRPr="00711554">
              <w:rPr>
                <w:rFonts w:ascii="Calibri" w:hAnsi="Calibri" w:cs="Calibri"/>
                <w:b/>
                <w:color w:val="000000"/>
                <w:sz w:val="20"/>
                <w:szCs w:val="20"/>
              </w:rPr>
              <w:t>81,3</w:t>
            </w:r>
          </w:p>
        </w:tc>
      </w:tr>
    </w:tbl>
    <w:p w14:paraId="11F4B2FF" w14:textId="4C44BE92" w:rsidR="00983399" w:rsidRPr="00711554" w:rsidRDefault="00983399" w:rsidP="00711554">
      <w:pPr>
        <w:pStyle w:val="Textkomente"/>
        <w:spacing w:before="40" w:after="0"/>
        <w:jc w:val="both"/>
        <w:rPr>
          <w:szCs w:val="18"/>
        </w:rPr>
      </w:pPr>
      <w:r w:rsidRPr="00711554">
        <w:rPr>
          <w:b/>
          <w:szCs w:val="18"/>
        </w:rPr>
        <w:t>Zdroj:</w:t>
      </w:r>
      <w:r w:rsidRPr="00711554">
        <w:rPr>
          <w:szCs w:val="18"/>
        </w:rPr>
        <w:t xml:space="preserve"> SPO CENIA, </w:t>
      </w:r>
      <w:proofErr w:type="spellStart"/>
      <w:r w:rsidRPr="00711554">
        <w:rPr>
          <w:szCs w:val="18"/>
        </w:rPr>
        <w:t>SpS</w:t>
      </w:r>
      <w:proofErr w:type="spellEnd"/>
      <w:r w:rsidRPr="00711554">
        <w:rPr>
          <w:szCs w:val="18"/>
        </w:rPr>
        <w:t xml:space="preserve"> MPO, ČAS, ÚZEI.</w:t>
      </w:r>
    </w:p>
    <w:p w14:paraId="5B8A43F6" w14:textId="77777777" w:rsidR="009F01F1" w:rsidRPr="00BE1856" w:rsidRDefault="009F01F1" w:rsidP="00BE1856">
      <w:pPr>
        <w:spacing w:after="0" w:line="240" w:lineRule="auto"/>
        <w:jc w:val="both"/>
        <w:rPr>
          <w:rFonts w:eastAsia="Calibri" w:cstheme="minorHAnsi"/>
          <w:sz w:val="24"/>
          <w:szCs w:val="24"/>
        </w:rPr>
      </w:pPr>
    </w:p>
    <w:p w14:paraId="181904AE" w14:textId="5C7A7307" w:rsidR="00203197" w:rsidRPr="00471632" w:rsidRDefault="00471632" w:rsidP="00C177F4">
      <w:pPr>
        <w:tabs>
          <w:tab w:val="left" w:pos="426"/>
        </w:tabs>
        <w:spacing w:after="0" w:line="240" w:lineRule="auto"/>
        <w:jc w:val="both"/>
        <w:rPr>
          <w:rFonts w:eastAsia="Calibri" w:cstheme="minorHAnsi"/>
          <w:sz w:val="24"/>
          <w:szCs w:val="24"/>
        </w:rPr>
      </w:pPr>
      <w:r>
        <w:rPr>
          <w:rFonts w:eastAsia="Calibri" w:cstheme="minorHAnsi"/>
          <w:sz w:val="24"/>
          <w:szCs w:val="24"/>
        </w:rPr>
        <w:t xml:space="preserve">4.3 </w:t>
      </w:r>
      <w:r w:rsidR="00C177F4">
        <w:rPr>
          <w:rFonts w:eastAsia="Calibri" w:cstheme="minorHAnsi"/>
          <w:sz w:val="24"/>
          <w:szCs w:val="24"/>
        </w:rPr>
        <w:tab/>
      </w:r>
      <w:r w:rsidR="00203197" w:rsidRPr="00471632">
        <w:rPr>
          <w:rFonts w:eastAsia="Calibri" w:cstheme="minorHAnsi"/>
          <w:sz w:val="24"/>
          <w:szCs w:val="24"/>
        </w:rPr>
        <w:t>Z jednání mezi ÚNMZ a ČAS při projednávání příspěvku na provoz nebyly vedeny žádné písemné záznamy. Z materiálů předložených ÚNMZ a ČAS nebylo možné ověřit proces stanovení a úprav příspěvku na provoz.</w:t>
      </w:r>
    </w:p>
    <w:p w14:paraId="01EB9A93" w14:textId="77777777" w:rsidR="009118FA" w:rsidRDefault="009118FA" w:rsidP="00DA1344">
      <w:pPr>
        <w:spacing w:after="0" w:line="240" w:lineRule="auto"/>
        <w:jc w:val="both"/>
        <w:rPr>
          <w:rFonts w:eastAsia="Calibri" w:cstheme="minorHAnsi"/>
          <w:sz w:val="24"/>
          <w:szCs w:val="24"/>
        </w:rPr>
      </w:pPr>
    </w:p>
    <w:p w14:paraId="23D180AA" w14:textId="7CBC2919" w:rsidR="008E6CA4" w:rsidRPr="00471632" w:rsidRDefault="00DE6BEB" w:rsidP="00DA1344">
      <w:pPr>
        <w:keepNext/>
        <w:spacing w:after="0" w:line="240" w:lineRule="auto"/>
        <w:jc w:val="both"/>
        <w:rPr>
          <w:rFonts w:eastAsia="Calibri" w:cstheme="minorHAnsi"/>
          <w:b/>
          <w:sz w:val="24"/>
          <w:szCs w:val="24"/>
        </w:rPr>
      </w:pPr>
      <w:r w:rsidRPr="00471632">
        <w:rPr>
          <w:rFonts w:eastAsia="Calibri" w:cstheme="minorHAnsi"/>
          <w:b/>
          <w:sz w:val="24"/>
          <w:szCs w:val="24"/>
        </w:rPr>
        <w:lastRenderedPageBreak/>
        <w:t>MŽP</w:t>
      </w:r>
      <w:r w:rsidR="000E5F90" w:rsidRPr="00471632">
        <w:rPr>
          <w:rFonts w:eastAsia="Calibri" w:cstheme="minorHAnsi"/>
          <w:b/>
          <w:sz w:val="24"/>
          <w:szCs w:val="24"/>
        </w:rPr>
        <w:t xml:space="preserve"> nemělo na rozdíl od </w:t>
      </w:r>
      <w:r w:rsidRPr="00471632">
        <w:rPr>
          <w:rFonts w:eastAsia="Calibri" w:cstheme="minorHAnsi"/>
          <w:b/>
          <w:sz w:val="24"/>
          <w:szCs w:val="24"/>
        </w:rPr>
        <w:t xml:space="preserve">MPO a </w:t>
      </w:r>
      <w:r w:rsidR="000E5F90" w:rsidRPr="00471632">
        <w:rPr>
          <w:rFonts w:eastAsia="Calibri" w:cstheme="minorHAnsi"/>
          <w:b/>
          <w:sz w:val="24"/>
          <w:szCs w:val="24"/>
        </w:rPr>
        <w:t>MZe přehled o výši a potřebě finančních zdrojů SPO</w:t>
      </w:r>
    </w:p>
    <w:p w14:paraId="2FA1A15E" w14:textId="77777777" w:rsidR="008E6CA4" w:rsidRPr="00471632" w:rsidRDefault="008E6CA4" w:rsidP="00DA1344">
      <w:pPr>
        <w:keepNext/>
        <w:spacing w:after="0" w:line="240" w:lineRule="auto"/>
        <w:jc w:val="both"/>
        <w:rPr>
          <w:rFonts w:eastAsia="Calibri" w:cstheme="minorHAnsi"/>
          <w:b/>
          <w:sz w:val="24"/>
          <w:szCs w:val="24"/>
        </w:rPr>
      </w:pPr>
    </w:p>
    <w:p w14:paraId="45B7C43A" w14:textId="609BC848" w:rsidR="00EE497E" w:rsidRPr="00471632" w:rsidRDefault="00471632" w:rsidP="00C177F4">
      <w:pPr>
        <w:tabs>
          <w:tab w:val="left" w:pos="426"/>
        </w:tabs>
        <w:spacing w:after="0" w:line="240" w:lineRule="auto"/>
        <w:jc w:val="both"/>
        <w:rPr>
          <w:rFonts w:cstheme="minorHAnsi"/>
          <w:sz w:val="24"/>
          <w:szCs w:val="24"/>
        </w:rPr>
      </w:pPr>
      <w:r>
        <w:rPr>
          <w:rFonts w:cstheme="minorHAnsi"/>
          <w:sz w:val="24"/>
          <w:szCs w:val="24"/>
        </w:rPr>
        <w:t xml:space="preserve">4.4 </w:t>
      </w:r>
      <w:r w:rsidR="00C177F4">
        <w:rPr>
          <w:rFonts w:cstheme="minorHAnsi"/>
          <w:sz w:val="24"/>
          <w:szCs w:val="24"/>
        </w:rPr>
        <w:tab/>
      </w:r>
      <w:r w:rsidR="008F72CD" w:rsidRPr="00471632">
        <w:rPr>
          <w:rFonts w:cstheme="minorHAnsi"/>
          <w:sz w:val="24"/>
          <w:szCs w:val="24"/>
        </w:rPr>
        <w:t>Správce kapitoly soustavně sleduje a vyhodnocuje hospodárnost, efektivnost a</w:t>
      </w:r>
      <w:r w:rsidR="00721C36" w:rsidRPr="00471632">
        <w:rPr>
          <w:rFonts w:cstheme="minorHAnsi"/>
          <w:sz w:val="24"/>
          <w:szCs w:val="24"/>
        </w:rPr>
        <w:t> </w:t>
      </w:r>
      <w:r w:rsidR="008F72CD" w:rsidRPr="00471632">
        <w:rPr>
          <w:rFonts w:cstheme="minorHAnsi"/>
          <w:sz w:val="24"/>
          <w:szCs w:val="24"/>
        </w:rPr>
        <w:t>účelnost vynakládání výdajů ve své kapitole. Je-li zřizovatelem organizační složky státu nebo příspěvkové organizace nebo funkci zřizovatele vykonává, působí při jejím řízení k tomu, aby vynakládání výdajů bylo co nejhospodárnější, nejefektivnější a nejúčelnější</w:t>
      </w:r>
      <w:r w:rsidR="00471D48">
        <w:rPr>
          <w:rStyle w:val="Znakapoznpodarou"/>
          <w:rFonts w:cstheme="minorHAnsi"/>
          <w:sz w:val="24"/>
          <w:szCs w:val="24"/>
        </w:rPr>
        <w:footnoteReference w:id="14"/>
      </w:r>
      <w:r w:rsidR="008F72CD" w:rsidRPr="00471632">
        <w:rPr>
          <w:rFonts w:cstheme="minorHAnsi"/>
          <w:sz w:val="24"/>
          <w:szCs w:val="24"/>
        </w:rPr>
        <w:t>.</w:t>
      </w:r>
    </w:p>
    <w:p w14:paraId="485F2F1F" w14:textId="77777777" w:rsidR="00EE497E" w:rsidRPr="00EE497E" w:rsidRDefault="00EE497E" w:rsidP="00F94C91">
      <w:pPr>
        <w:pStyle w:val="Odstavecseseznamem"/>
        <w:spacing w:after="0" w:line="240" w:lineRule="auto"/>
        <w:ind w:left="426" w:hanging="426"/>
        <w:jc w:val="both"/>
        <w:rPr>
          <w:rFonts w:cstheme="minorHAnsi"/>
          <w:sz w:val="24"/>
          <w:szCs w:val="24"/>
        </w:rPr>
      </w:pPr>
    </w:p>
    <w:p w14:paraId="4FCEF942" w14:textId="535F4BD8" w:rsidR="008479D2" w:rsidRPr="0072619F" w:rsidRDefault="0072619F" w:rsidP="00C177F4">
      <w:pPr>
        <w:tabs>
          <w:tab w:val="left" w:pos="426"/>
        </w:tabs>
        <w:spacing w:after="0" w:line="240" w:lineRule="auto"/>
        <w:jc w:val="both"/>
        <w:rPr>
          <w:rFonts w:cstheme="minorHAnsi"/>
          <w:sz w:val="24"/>
          <w:szCs w:val="24"/>
        </w:rPr>
      </w:pPr>
      <w:r>
        <w:rPr>
          <w:rFonts w:eastAsia="Calibri" w:cstheme="minorHAnsi"/>
          <w:sz w:val="24"/>
          <w:szCs w:val="24"/>
        </w:rPr>
        <w:t xml:space="preserve">4.5 </w:t>
      </w:r>
      <w:r w:rsidR="00C177F4">
        <w:rPr>
          <w:rFonts w:eastAsia="Calibri" w:cstheme="minorHAnsi"/>
          <w:sz w:val="24"/>
          <w:szCs w:val="24"/>
        </w:rPr>
        <w:tab/>
      </w:r>
      <w:r w:rsidR="00764D6F" w:rsidRPr="0072619F">
        <w:rPr>
          <w:rFonts w:eastAsia="Calibri" w:cstheme="minorHAnsi"/>
          <w:sz w:val="24"/>
          <w:szCs w:val="24"/>
        </w:rPr>
        <w:t>MŽP neměl</w:t>
      </w:r>
      <w:r w:rsidR="00514065" w:rsidRPr="0072619F">
        <w:rPr>
          <w:rFonts w:eastAsia="Calibri" w:cstheme="minorHAnsi"/>
          <w:sz w:val="24"/>
          <w:szCs w:val="24"/>
        </w:rPr>
        <w:t>o</w:t>
      </w:r>
      <w:r w:rsidR="00764D6F" w:rsidRPr="0072619F">
        <w:rPr>
          <w:rFonts w:eastAsia="Calibri" w:cstheme="minorHAnsi"/>
          <w:sz w:val="24"/>
          <w:szCs w:val="24"/>
        </w:rPr>
        <w:t xml:space="preserve"> přehled o výši a potřebě finančních zdrojů</w:t>
      </w:r>
      <w:r w:rsidR="00514065" w:rsidRPr="0072619F">
        <w:rPr>
          <w:rFonts w:eastAsia="Calibri" w:cstheme="minorHAnsi"/>
          <w:sz w:val="24"/>
          <w:szCs w:val="24"/>
        </w:rPr>
        <w:t xml:space="preserve"> jím zřízených</w:t>
      </w:r>
      <w:r w:rsidR="00764D6F" w:rsidRPr="0072619F">
        <w:rPr>
          <w:rFonts w:eastAsia="Calibri" w:cstheme="minorHAnsi"/>
          <w:sz w:val="24"/>
          <w:szCs w:val="24"/>
        </w:rPr>
        <w:t xml:space="preserve"> </w:t>
      </w:r>
      <w:r w:rsidR="005E14A0" w:rsidRPr="0072619F">
        <w:rPr>
          <w:rFonts w:eastAsia="Calibri" w:cstheme="minorHAnsi"/>
          <w:sz w:val="24"/>
          <w:szCs w:val="24"/>
        </w:rPr>
        <w:t>S</w:t>
      </w:r>
      <w:r w:rsidR="00764D6F" w:rsidRPr="0072619F">
        <w:rPr>
          <w:rFonts w:eastAsia="Calibri" w:cstheme="minorHAnsi"/>
          <w:sz w:val="24"/>
          <w:szCs w:val="24"/>
        </w:rPr>
        <w:t>PO</w:t>
      </w:r>
      <w:r w:rsidR="00514065" w:rsidRPr="0072619F">
        <w:rPr>
          <w:rFonts w:eastAsia="Calibri" w:cstheme="minorHAnsi"/>
          <w:sz w:val="24"/>
          <w:szCs w:val="24"/>
        </w:rPr>
        <w:t>.</w:t>
      </w:r>
      <w:r w:rsidR="00764D6F" w:rsidRPr="0072619F">
        <w:rPr>
          <w:rFonts w:eastAsia="Calibri" w:cstheme="minorHAnsi"/>
          <w:sz w:val="24"/>
          <w:szCs w:val="24"/>
        </w:rPr>
        <w:t xml:space="preserve"> Odborné útvary řešily s příslušnou </w:t>
      </w:r>
      <w:r w:rsidR="00514065" w:rsidRPr="0072619F">
        <w:rPr>
          <w:rFonts w:eastAsia="Calibri" w:cstheme="minorHAnsi"/>
          <w:sz w:val="24"/>
          <w:szCs w:val="24"/>
        </w:rPr>
        <w:t>S</w:t>
      </w:r>
      <w:r w:rsidR="00764D6F" w:rsidRPr="0072619F">
        <w:rPr>
          <w:rFonts w:eastAsia="Calibri" w:cstheme="minorHAnsi"/>
          <w:sz w:val="24"/>
          <w:szCs w:val="24"/>
        </w:rPr>
        <w:t>PO věcný obsah její činnosti, zatímco finanční stránka byla v</w:t>
      </w:r>
      <w:r w:rsidR="000E0EAC" w:rsidRPr="0072619F">
        <w:rPr>
          <w:rFonts w:eastAsia="Calibri" w:cstheme="minorHAnsi"/>
          <w:sz w:val="24"/>
          <w:szCs w:val="24"/>
        </w:rPr>
        <w:t> </w:t>
      </w:r>
      <w:r w:rsidR="00764D6F" w:rsidRPr="0072619F">
        <w:rPr>
          <w:rFonts w:eastAsia="Calibri" w:cstheme="minorHAnsi"/>
          <w:sz w:val="24"/>
          <w:szCs w:val="24"/>
        </w:rPr>
        <w:t xml:space="preserve">kontrolovaném období řešena centrálně, pro všechny </w:t>
      </w:r>
      <w:r w:rsidR="00514065" w:rsidRPr="0072619F">
        <w:rPr>
          <w:rFonts w:eastAsia="Calibri" w:cstheme="minorHAnsi"/>
          <w:sz w:val="24"/>
          <w:szCs w:val="24"/>
        </w:rPr>
        <w:t>S</w:t>
      </w:r>
      <w:r w:rsidR="00764D6F" w:rsidRPr="0072619F">
        <w:rPr>
          <w:rFonts w:eastAsia="Calibri" w:cstheme="minorHAnsi"/>
          <w:sz w:val="24"/>
          <w:szCs w:val="24"/>
        </w:rPr>
        <w:t xml:space="preserve">PO společně, v rámci odboru ekonomiky MŽP formou předběžných návrhů rozpočtů a čtvrtletních rozborů hospodaření. </w:t>
      </w:r>
    </w:p>
    <w:p w14:paraId="273BC9B8" w14:textId="396D2E2F" w:rsidR="008E6CA4" w:rsidRPr="004416B7" w:rsidRDefault="008E6CA4" w:rsidP="00F94C91">
      <w:pPr>
        <w:spacing w:after="0" w:line="240" w:lineRule="auto"/>
        <w:ind w:left="426" w:hanging="426"/>
        <w:jc w:val="both"/>
        <w:rPr>
          <w:rFonts w:eastAsia="Calibri" w:cstheme="minorHAnsi"/>
          <w:sz w:val="24"/>
          <w:szCs w:val="24"/>
        </w:rPr>
      </w:pPr>
    </w:p>
    <w:p w14:paraId="1E65E3B5" w14:textId="5DEFCE15" w:rsidR="003431B4" w:rsidRPr="0072619F" w:rsidRDefault="0072619F" w:rsidP="00C177F4">
      <w:pPr>
        <w:tabs>
          <w:tab w:val="left" w:pos="426"/>
        </w:tabs>
        <w:spacing w:after="0" w:line="240" w:lineRule="auto"/>
        <w:jc w:val="both"/>
        <w:rPr>
          <w:rFonts w:cstheme="minorHAnsi"/>
          <w:sz w:val="24"/>
          <w:szCs w:val="24"/>
        </w:rPr>
      </w:pPr>
      <w:r>
        <w:rPr>
          <w:rFonts w:eastAsia="Calibri" w:cstheme="minorHAnsi"/>
          <w:sz w:val="24"/>
          <w:szCs w:val="24"/>
        </w:rPr>
        <w:t xml:space="preserve">4.6 </w:t>
      </w:r>
      <w:r w:rsidR="00C177F4">
        <w:rPr>
          <w:rFonts w:eastAsia="Calibri" w:cstheme="minorHAnsi"/>
          <w:sz w:val="24"/>
          <w:szCs w:val="24"/>
        </w:rPr>
        <w:tab/>
      </w:r>
      <w:r w:rsidR="003431B4" w:rsidRPr="0072619F">
        <w:rPr>
          <w:rFonts w:eastAsia="Calibri" w:cstheme="minorHAnsi"/>
          <w:sz w:val="24"/>
          <w:szCs w:val="24"/>
        </w:rPr>
        <w:t xml:space="preserve">MPO nastavilo systém řízení </w:t>
      </w:r>
      <w:r w:rsidR="001F212B" w:rsidRPr="0072619F">
        <w:rPr>
          <w:rFonts w:eastAsia="Calibri" w:cstheme="minorHAnsi"/>
          <w:sz w:val="24"/>
          <w:szCs w:val="24"/>
        </w:rPr>
        <w:t>S</w:t>
      </w:r>
      <w:r w:rsidR="003431B4" w:rsidRPr="0072619F">
        <w:rPr>
          <w:rFonts w:eastAsia="Calibri" w:cstheme="minorHAnsi"/>
          <w:sz w:val="24"/>
          <w:szCs w:val="24"/>
        </w:rPr>
        <w:t xml:space="preserve">PO tak, že gestor </w:t>
      </w:r>
      <w:r w:rsidR="001F212B" w:rsidRPr="0072619F">
        <w:rPr>
          <w:rFonts w:eastAsia="Calibri" w:cstheme="minorHAnsi"/>
          <w:sz w:val="24"/>
          <w:szCs w:val="24"/>
        </w:rPr>
        <w:t>S</w:t>
      </w:r>
      <w:r w:rsidR="003431B4" w:rsidRPr="0072619F">
        <w:rPr>
          <w:rFonts w:eastAsia="Calibri" w:cstheme="minorHAnsi"/>
          <w:sz w:val="24"/>
          <w:szCs w:val="24"/>
        </w:rPr>
        <w:t>PO zodpovídal jak za věcnou stránku</w:t>
      </w:r>
      <w:r w:rsidR="00D91CDE">
        <w:rPr>
          <w:rFonts w:eastAsia="Calibri" w:cstheme="minorHAnsi"/>
          <w:sz w:val="24"/>
          <w:szCs w:val="24"/>
        </w:rPr>
        <w:t>, tj.</w:t>
      </w:r>
      <w:r w:rsidR="003431B4" w:rsidRPr="0072619F">
        <w:rPr>
          <w:rFonts w:eastAsia="Calibri" w:cstheme="minorHAnsi"/>
          <w:sz w:val="24"/>
          <w:szCs w:val="24"/>
        </w:rPr>
        <w:t xml:space="preserve"> </w:t>
      </w:r>
      <w:r w:rsidR="00D91CDE">
        <w:rPr>
          <w:rFonts w:eastAsia="Calibri" w:cstheme="minorHAnsi"/>
          <w:sz w:val="24"/>
          <w:szCs w:val="24"/>
        </w:rPr>
        <w:t xml:space="preserve">za </w:t>
      </w:r>
      <w:r w:rsidR="003431B4" w:rsidRPr="0072619F">
        <w:rPr>
          <w:rFonts w:eastAsia="Calibri" w:cstheme="minorHAnsi"/>
          <w:sz w:val="24"/>
          <w:szCs w:val="24"/>
        </w:rPr>
        <w:t xml:space="preserve">stanovení úkolů, které má </w:t>
      </w:r>
      <w:r w:rsidR="001F212B" w:rsidRPr="0072619F">
        <w:rPr>
          <w:rFonts w:eastAsia="Calibri" w:cstheme="minorHAnsi"/>
          <w:sz w:val="24"/>
          <w:szCs w:val="24"/>
        </w:rPr>
        <w:t>S</w:t>
      </w:r>
      <w:r w:rsidR="003431B4" w:rsidRPr="0072619F">
        <w:rPr>
          <w:rFonts w:eastAsia="Calibri" w:cstheme="minorHAnsi"/>
          <w:sz w:val="24"/>
          <w:szCs w:val="24"/>
        </w:rPr>
        <w:t>PO zajišťovat a plnit, tak za finanční stránku</w:t>
      </w:r>
      <w:r w:rsidR="00D91CDE">
        <w:rPr>
          <w:rFonts w:eastAsia="Calibri" w:cstheme="minorHAnsi"/>
          <w:sz w:val="24"/>
          <w:szCs w:val="24"/>
        </w:rPr>
        <w:t>, tj.</w:t>
      </w:r>
      <w:r w:rsidR="003431B4" w:rsidRPr="0072619F">
        <w:rPr>
          <w:rFonts w:eastAsia="Calibri" w:cstheme="minorHAnsi"/>
          <w:sz w:val="24"/>
          <w:szCs w:val="24"/>
        </w:rPr>
        <w:t xml:space="preserve"> rozpočet </w:t>
      </w:r>
      <w:r w:rsidR="001F212B" w:rsidRPr="0072619F">
        <w:rPr>
          <w:rFonts w:eastAsia="Calibri" w:cstheme="minorHAnsi"/>
          <w:sz w:val="24"/>
          <w:szCs w:val="24"/>
        </w:rPr>
        <w:t>S</w:t>
      </w:r>
      <w:r w:rsidR="003431B4" w:rsidRPr="0072619F">
        <w:rPr>
          <w:rFonts w:eastAsia="Calibri" w:cstheme="minorHAnsi"/>
          <w:sz w:val="24"/>
          <w:szCs w:val="24"/>
        </w:rPr>
        <w:t xml:space="preserve">PO, výši příspěvku na provoz, změny rozpočtu, plnění rozpočtu. MPO, resp. příslušní gestoři měli vzhledem k nastavenému systému výkonu funkce zřizovatele vůči </w:t>
      </w:r>
      <w:r w:rsidR="001F212B" w:rsidRPr="0072619F">
        <w:rPr>
          <w:rFonts w:eastAsia="Calibri" w:cstheme="minorHAnsi"/>
          <w:sz w:val="24"/>
          <w:szCs w:val="24"/>
        </w:rPr>
        <w:t>S</w:t>
      </w:r>
      <w:r w:rsidR="003431B4" w:rsidRPr="0072619F">
        <w:rPr>
          <w:rFonts w:eastAsia="Calibri" w:cstheme="minorHAnsi"/>
          <w:sz w:val="24"/>
          <w:szCs w:val="24"/>
        </w:rPr>
        <w:t>PO dostatečný přehled o</w:t>
      </w:r>
      <w:r>
        <w:rPr>
          <w:rFonts w:eastAsia="Calibri" w:cstheme="minorHAnsi"/>
          <w:sz w:val="24"/>
          <w:szCs w:val="24"/>
        </w:rPr>
        <w:t> </w:t>
      </w:r>
      <w:r w:rsidR="003431B4" w:rsidRPr="0072619F">
        <w:rPr>
          <w:rFonts w:eastAsia="Calibri" w:cstheme="minorHAnsi"/>
          <w:sz w:val="24"/>
          <w:szCs w:val="24"/>
        </w:rPr>
        <w:t>stavu finančních prostředků, které byly vynakládány na provoz a</w:t>
      </w:r>
      <w:r w:rsidR="009B1AD4" w:rsidRPr="0072619F">
        <w:rPr>
          <w:rFonts w:eastAsia="Calibri" w:cstheme="minorHAnsi"/>
          <w:sz w:val="24"/>
          <w:szCs w:val="24"/>
        </w:rPr>
        <w:t> </w:t>
      </w:r>
      <w:r w:rsidR="003431B4" w:rsidRPr="0072619F">
        <w:rPr>
          <w:rFonts w:eastAsia="Calibri" w:cstheme="minorHAnsi"/>
          <w:sz w:val="24"/>
          <w:szCs w:val="24"/>
        </w:rPr>
        <w:t>zajištění úkolů a</w:t>
      </w:r>
      <w:r w:rsidR="00D91CDE">
        <w:rPr>
          <w:rFonts w:eastAsia="Calibri" w:cstheme="minorHAnsi"/>
          <w:sz w:val="24"/>
          <w:szCs w:val="24"/>
        </w:rPr>
        <w:t> </w:t>
      </w:r>
      <w:r w:rsidR="003431B4" w:rsidRPr="0072619F">
        <w:rPr>
          <w:rFonts w:eastAsia="Calibri" w:cstheme="minorHAnsi"/>
          <w:sz w:val="24"/>
          <w:szCs w:val="24"/>
        </w:rPr>
        <w:t xml:space="preserve">činností </w:t>
      </w:r>
      <w:r w:rsidR="001F212B" w:rsidRPr="0072619F">
        <w:rPr>
          <w:rFonts w:eastAsia="Calibri" w:cstheme="minorHAnsi"/>
          <w:sz w:val="24"/>
          <w:szCs w:val="24"/>
        </w:rPr>
        <w:t>S</w:t>
      </w:r>
      <w:r w:rsidR="003431B4" w:rsidRPr="0072619F">
        <w:rPr>
          <w:rFonts w:eastAsia="Calibri" w:cstheme="minorHAnsi"/>
          <w:sz w:val="24"/>
          <w:szCs w:val="24"/>
        </w:rPr>
        <w:t>PO.</w:t>
      </w:r>
    </w:p>
    <w:p w14:paraId="4895A44A" w14:textId="77777777" w:rsidR="008051DD" w:rsidRPr="0072619F" w:rsidRDefault="008051DD" w:rsidP="00711554">
      <w:pPr>
        <w:spacing w:after="0" w:line="240" w:lineRule="auto"/>
        <w:jc w:val="both"/>
        <w:rPr>
          <w:rFonts w:eastAsia="Calibri" w:cstheme="minorHAnsi"/>
          <w:b/>
          <w:sz w:val="24"/>
          <w:szCs w:val="24"/>
        </w:rPr>
      </w:pPr>
    </w:p>
    <w:p w14:paraId="2DEDF9E4" w14:textId="70E1F57A" w:rsidR="00FA3BD7" w:rsidRPr="0072619F" w:rsidRDefault="00FA3BD7" w:rsidP="00711554">
      <w:pPr>
        <w:keepNext/>
        <w:spacing w:after="0" w:line="240" w:lineRule="auto"/>
        <w:rPr>
          <w:rFonts w:eastAsia="Calibri" w:cstheme="minorHAnsi"/>
          <w:b/>
          <w:bCs/>
          <w:iCs/>
          <w:sz w:val="24"/>
          <w:szCs w:val="24"/>
        </w:rPr>
      </w:pPr>
      <w:r w:rsidRPr="0072619F">
        <w:rPr>
          <w:rFonts w:eastAsia="Calibri" w:cstheme="minorHAnsi"/>
          <w:b/>
          <w:bCs/>
          <w:iCs/>
          <w:sz w:val="24"/>
          <w:szCs w:val="24"/>
        </w:rPr>
        <w:t xml:space="preserve">MŽP, MPO ani ÚNMZ (na rozdíl od MZe) nestanovily koncepce, </w:t>
      </w:r>
      <w:r w:rsidRPr="0072619F">
        <w:rPr>
          <w:rFonts w:cstheme="minorHAnsi"/>
          <w:b/>
          <w:sz w:val="24"/>
          <w:szCs w:val="24"/>
          <w:lang w:eastAsia="cs-CZ"/>
        </w:rPr>
        <w:t xml:space="preserve">které by zahrnovaly </w:t>
      </w:r>
      <w:r w:rsidRPr="0072619F">
        <w:rPr>
          <w:rFonts w:cstheme="minorHAnsi"/>
          <w:b/>
          <w:sz w:val="24"/>
          <w:szCs w:val="24"/>
        </w:rPr>
        <w:t xml:space="preserve">směřování a rozvoj SPO, včetně </w:t>
      </w:r>
      <w:r w:rsidR="009258FB" w:rsidRPr="0072619F">
        <w:rPr>
          <w:rFonts w:cstheme="minorHAnsi"/>
          <w:b/>
          <w:sz w:val="24"/>
          <w:szCs w:val="24"/>
        </w:rPr>
        <w:t xml:space="preserve">peněžních </w:t>
      </w:r>
      <w:r w:rsidRPr="0072619F">
        <w:rPr>
          <w:rFonts w:cstheme="minorHAnsi"/>
          <w:b/>
          <w:sz w:val="24"/>
          <w:szCs w:val="24"/>
        </w:rPr>
        <w:t>prostředků potřebných pro jejich provoz</w:t>
      </w:r>
    </w:p>
    <w:p w14:paraId="1D985CBF" w14:textId="77777777" w:rsidR="00FA3BD7" w:rsidRPr="0072619F" w:rsidRDefault="00FA3BD7" w:rsidP="00711554">
      <w:pPr>
        <w:keepNext/>
        <w:spacing w:after="0" w:line="240" w:lineRule="auto"/>
        <w:rPr>
          <w:rFonts w:eastAsia="Calibri" w:cstheme="minorHAnsi"/>
          <w:b/>
          <w:bCs/>
          <w:iCs/>
          <w:sz w:val="24"/>
          <w:szCs w:val="24"/>
        </w:rPr>
      </w:pPr>
    </w:p>
    <w:p w14:paraId="792AD8B6" w14:textId="53C1D77D" w:rsidR="00FA3BD7" w:rsidRPr="0072619F" w:rsidRDefault="0072619F" w:rsidP="00C177F4">
      <w:pPr>
        <w:tabs>
          <w:tab w:val="left" w:pos="426"/>
        </w:tabs>
        <w:spacing w:after="0" w:line="240" w:lineRule="auto"/>
        <w:jc w:val="both"/>
        <w:rPr>
          <w:rFonts w:cstheme="minorHAnsi"/>
          <w:sz w:val="24"/>
          <w:szCs w:val="24"/>
        </w:rPr>
      </w:pPr>
      <w:r>
        <w:rPr>
          <w:rFonts w:cstheme="minorHAnsi"/>
          <w:sz w:val="24"/>
          <w:szCs w:val="24"/>
        </w:rPr>
        <w:t xml:space="preserve">4.7 </w:t>
      </w:r>
      <w:r w:rsidR="00C177F4">
        <w:rPr>
          <w:rFonts w:cstheme="minorHAnsi"/>
          <w:sz w:val="24"/>
          <w:szCs w:val="24"/>
        </w:rPr>
        <w:tab/>
      </w:r>
      <w:r w:rsidR="00FA3BD7" w:rsidRPr="0072619F">
        <w:rPr>
          <w:rFonts w:cstheme="minorHAnsi"/>
          <w:sz w:val="24"/>
          <w:szCs w:val="24"/>
        </w:rPr>
        <w:t>Jednotlivé resorty zpracovávají strategické dokumenty (koncepce)</w:t>
      </w:r>
      <w:r w:rsidR="00FA3BD7">
        <w:rPr>
          <w:rStyle w:val="Znakapoznpodarou"/>
          <w:rFonts w:cstheme="minorHAnsi"/>
          <w:sz w:val="24"/>
          <w:szCs w:val="24"/>
        </w:rPr>
        <w:footnoteReference w:id="15"/>
      </w:r>
      <w:r w:rsidR="00FA3BD7" w:rsidRPr="0072619F">
        <w:rPr>
          <w:rFonts w:cstheme="minorHAnsi"/>
          <w:sz w:val="24"/>
          <w:szCs w:val="24"/>
        </w:rPr>
        <w:t xml:space="preserve">, ve kterých jsou definovány cíle a úkoly resortu. </w:t>
      </w:r>
    </w:p>
    <w:p w14:paraId="7BC8A956" w14:textId="77777777" w:rsidR="00FA3BD7" w:rsidRPr="00EB7451" w:rsidRDefault="00FA3BD7" w:rsidP="00F94C91">
      <w:pPr>
        <w:pStyle w:val="Odstavecseseznamem"/>
        <w:spacing w:after="0" w:line="240" w:lineRule="auto"/>
        <w:ind w:left="426" w:hanging="426"/>
        <w:jc w:val="both"/>
        <w:rPr>
          <w:rFonts w:cstheme="minorHAnsi"/>
          <w:sz w:val="24"/>
          <w:szCs w:val="24"/>
        </w:rPr>
      </w:pPr>
    </w:p>
    <w:p w14:paraId="5C1545BF" w14:textId="4E74CAC6" w:rsidR="00FA3BD7" w:rsidRPr="0072619F" w:rsidRDefault="0072619F" w:rsidP="00C177F4">
      <w:pPr>
        <w:tabs>
          <w:tab w:val="left" w:pos="426"/>
        </w:tabs>
        <w:spacing w:after="0" w:line="240" w:lineRule="auto"/>
        <w:jc w:val="both"/>
        <w:rPr>
          <w:rFonts w:cstheme="minorHAnsi"/>
          <w:sz w:val="24"/>
          <w:szCs w:val="24"/>
        </w:rPr>
      </w:pPr>
      <w:r>
        <w:rPr>
          <w:rFonts w:cstheme="minorHAnsi"/>
          <w:sz w:val="24"/>
          <w:szCs w:val="24"/>
        </w:rPr>
        <w:t xml:space="preserve">4.8 </w:t>
      </w:r>
      <w:r w:rsidR="00C177F4">
        <w:rPr>
          <w:rFonts w:cstheme="minorHAnsi"/>
          <w:sz w:val="24"/>
          <w:szCs w:val="24"/>
        </w:rPr>
        <w:tab/>
      </w:r>
      <w:r w:rsidR="00FA3BD7" w:rsidRPr="0072619F">
        <w:rPr>
          <w:rFonts w:cstheme="minorHAnsi"/>
          <w:sz w:val="24"/>
          <w:szCs w:val="24"/>
        </w:rPr>
        <w:t>SPO zřízené MZe zpracovávaly koncepce rozvoje, které stanovují základní a dílčí strategické cíle, vize a předpoklad peněžních prostředků k plnění úkolů těchto SPO. MŽP, MPO ani ÚNMZ obdobné strategické dokumenty k zabezpečování cílů a úkolů příspěvkových organizací a jejich aktualizaci včetně vývoje finančních nároků na jejich provoz nezpracovaly.</w:t>
      </w:r>
    </w:p>
    <w:p w14:paraId="7CAC3DA7" w14:textId="77777777" w:rsidR="00F94C91" w:rsidRPr="00F94C91" w:rsidRDefault="00F94C91" w:rsidP="00F94C91">
      <w:pPr>
        <w:spacing w:after="0" w:line="240" w:lineRule="auto"/>
        <w:jc w:val="both"/>
        <w:rPr>
          <w:rFonts w:cstheme="minorHAnsi"/>
          <w:sz w:val="24"/>
          <w:szCs w:val="24"/>
        </w:rPr>
      </w:pPr>
    </w:p>
    <w:p w14:paraId="1E309431" w14:textId="7193EB23" w:rsidR="00FA3BD7" w:rsidRPr="0072619F" w:rsidRDefault="00FA3BD7" w:rsidP="00FA3BD7">
      <w:pPr>
        <w:spacing w:after="0" w:line="240" w:lineRule="auto"/>
        <w:jc w:val="both"/>
        <w:rPr>
          <w:rFonts w:eastAsia="Calibri" w:cstheme="minorHAnsi"/>
          <w:b/>
          <w:bCs/>
          <w:iCs/>
          <w:sz w:val="24"/>
          <w:szCs w:val="24"/>
        </w:rPr>
      </w:pPr>
      <w:r w:rsidRPr="0072619F">
        <w:rPr>
          <w:rFonts w:eastAsia="Calibri" w:cstheme="minorHAnsi"/>
          <w:b/>
          <w:bCs/>
          <w:iCs/>
          <w:sz w:val="24"/>
          <w:szCs w:val="24"/>
        </w:rPr>
        <w:t xml:space="preserve">Příklad č. </w:t>
      </w:r>
      <w:r w:rsidR="005F4299" w:rsidRPr="0072619F">
        <w:rPr>
          <w:rFonts w:eastAsia="Calibri" w:cstheme="minorHAnsi"/>
          <w:b/>
          <w:bCs/>
          <w:iCs/>
          <w:sz w:val="24"/>
          <w:szCs w:val="24"/>
        </w:rPr>
        <w:t>1</w:t>
      </w:r>
    </w:p>
    <w:tbl>
      <w:tblPr>
        <w:tblStyle w:val="Mkatabulky"/>
        <w:tblW w:w="0" w:type="auto"/>
        <w:tblLook w:val="04A0" w:firstRow="1" w:lastRow="0" w:firstColumn="1" w:lastColumn="0" w:noHBand="0" w:noVBand="1"/>
      </w:tblPr>
      <w:tblGrid>
        <w:gridCol w:w="9062"/>
      </w:tblGrid>
      <w:tr w:rsidR="00FA3BD7" w:rsidRPr="005D18CC" w14:paraId="282EE053" w14:textId="77777777" w:rsidTr="00576CF3">
        <w:tc>
          <w:tcPr>
            <w:tcW w:w="9062" w:type="dxa"/>
          </w:tcPr>
          <w:p w14:paraId="69C858AF" w14:textId="53B7ECC6" w:rsidR="00FA3BD7" w:rsidRPr="009F669D" w:rsidRDefault="00FA3BD7" w:rsidP="00215F0A">
            <w:pPr>
              <w:jc w:val="both"/>
              <w:rPr>
                <w:rFonts w:eastAsia="Calibri" w:cstheme="minorHAnsi"/>
                <w:i/>
              </w:rPr>
            </w:pPr>
            <w:r w:rsidRPr="009F669D">
              <w:rPr>
                <w:rFonts w:eastAsia="Calibri" w:cstheme="minorHAnsi"/>
                <w:i/>
              </w:rPr>
              <w:t>SPO MZe dispon</w:t>
            </w:r>
            <w:r w:rsidR="00F17F9C">
              <w:rPr>
                <w:rFonts w:eastAsia="Calibri" w:cstheme="minorHAnsi"/>
                <w:i/>
              </w:rPr>
              <w:t>ovaly</w:t>
            </w:r>
            <w:r w:rsidRPr="009F669D">
              <w:rPr>
                <w:rFonts w:eastAsia="Calibri" w:cstheme="minorHAnsi"/>
                <w:i/>
              </w:rPr>
              <w:t xml:space="preserve"> strategiemi, příp. koncepcemi příspěvkových organizací</w:t>
            </w:r>
            <w:r w:rsidR="00DA7D24" w:rsidRPr="009F669D">
              <w:rPr>
                <w:rFonts w:eastAsia="Calibri" w:cstheme="minorHAnsi"/>
                <w:i/>
              </w:rPr>
              <w:t>, např.</w:t>
            </w:r>
            <w:r w:rsidRPr="009F669D">
              <w:rPr>
                <w:rFonts w:eastAsia="Calibri" w:cstheme="minorHAnsi"/>
                <w:i/>
              </w:rPr>
              <w:t>:</w:t>
            </w:r>
          </w:p>
          <w:p w14:paraId="45FF2D48" w14:textId="62DB2045" w:rsidR="00FA3BD7" w:rsidRPr="009F669D" w:rsidRDefault="00FA3BD7" w:rsidP="00A0698F">
            <w:pPr>
              <w:pStyle w:val="Odstavecseseznamem"/>
              <w:numPr>
                <w:ilvl w:val="0"/>
                <w:numId w:val="16"/>
              </w:numPr>
              <w:ind w:left="284" w:hanging="284"/>
              <w:jc w:val="both"/>
              <w:rPr>
                <w:rFonts w:eastAsia="Calibri" w:cstheme="minorHAnsi"/>
                <w:i/>
              </w:rPr>
            </w:pPr>
            <w:r w:rsidRPr="009F669D">
              <w:rPr>
                <w:rFonts w:eastAsia="Calibri" w:cstheme="minorHAnsi"/>
                <w:i/>
              </w:rPr>
              <w:t xml:space="preserve">SPO Národní zemědělské muzeum Praha se řídilo </w:t>
            </w:r>
            <w:r w:rsidR="00D91CDE">
              <w:rPr>
                <w:rFonts w:eastAsia="Calibri" w:cstheme="minorHAnsi"/>
                <w:i/>
              </w:rPr>
              <w:t>„</w:t>
            </w:r>
            <w:r w:rsidRPr="009F669D">
              <w:rPr>
                <w:rFonts w:eastAsia="Calibri" w:cstheme="minorHAnsi"/>
                <w:i/>
              </w:rPr>
              <w:t>Strategií rozvoje Národního zemědělského muzea na</w:t>
            </w:r>
            <w:r w:rsidR="00A0698F">
              <w:rPr>
                <w:rFonts w:eastAsia="Calibri" w:cstheme="minorHAnsi"/>
                <w:i/>
              </w:rPr>
              <w:t xml:space="preserve"> </w:t>
            </w:r>
            <w:r w:rsidRPr="009F669D">
              <w:rPr>
                <w:rFonts w:eastAsia="Calibri" w:cstheme="minorHAnsi"/>
                <w:i/>
              </w:rPr>
              <w:t>roky 2015–2020</w:t>
            </w:r>
            <w:r w:rsidR="00D91CDE">
              <w:rPr>
                <w:rFonts w:eastAsia="Calibri" w:cstheme="minorHAnsi"/>
                <w:i/>
              </w:rPr>
              <w:t>“</w:t>
            </w:r>
            <w:r w:rsidRPr="009F669D">
              <w:rPr>
                <w:rFonts w:eastAsia="Calibri" w:cstheme="minorHAnsi"/>
                <w:i/>
              </w:rPr>
              <w:t>.</w:t>
            </w:r>
          </w:p>
          <w:p w14:paraId="6978F8B9" w14:textId="44957BDA" w:rsidR="00FA3BD7" w:rsidRPr="009F669D" w:rsidRDefault="00FA3BD7" w:rsidP="00A0698F">
            <w:pPr>
              <w:pStyle w:val="Odstavecseseznamem"/>
              <w:numPr>
                <w:ilvl w:val="0"/>
                <w:numId w:val="16"/>
              </w:numPr>
              <w:ind w:left="284" w:hanging="284"/>
              <w:jc w:val="both"/>
              <w:rPr>
                <w:rFonts w:eastAsia="Calibri" w:cstheme="minorHAnsi"/>
                <w:i/>
              </w:rPr>
            </w:pPr>
            <w:r w:rsidRPr="009F669D">
              <w:rPr>
                <w:rFonts w:eastAsia="Calibri" w:cstheme="minorHAnsi"/>
                <w:i/>
              </w:rPr>
              <w:t xml:space="preserve">SPO ÚZEI mělo </w:t>
            </w:r>
            <w:r w:rsidR="00D91CDE">
              <w:rPr>
                <w:rFonts w:eastAsia="Calibri" w:cstheme="minorHAnsi"/>
                <w:i/>
              </w:rPr>
              <w:t>„</w:t>
            </w:r>
            <w:r w:rsidRPr="009F669D">
              <w:rPr>
                <w:rFonts w:eastAsia="Calibri" w:cstheme="minorHAnsi"/>
                <w:i/>
              </w:rPr>
              <w:t xml:space="preserve">Koncepci rozvoje Ústavu zemědělské ekonomiky a informací pro období </w:t>
            </w:r>
            <w:r w:rsidR="00F94C91">
              <w:rPr>
                <w:rFonts w:eastAsia="Calibri" w:cstheme="minorHAnsi"/>
                <w:i/>
              </w:rPr>
              <w:br/>
            </w:r>
            <w:r w:rsidRPr="009F669D">
              <w:rPr>
                <w:rFonts w:eastAsia="Calibri" w:cstheme="minorHAnsi"/>
                <w:i/>
              </w:rPr>
              <w:t>2017–2022</w:t>
            </w:r>
            <w:r w:rsidR="00D91CDE">
              <w:rPr>
                <w:rFonts w:eastAsia="Calibri" w:cstheme="minorHAnsi"/>
                <w:i/>
              </w:rPr>
              <w:t>“</w:t>
            </w:r>
            <w:r w:rsidRPr="009F669D">
              <w:rPr>
                <w:rFonts w:eastAsia="Calibri" w:cstheme="minorHAnsi"/>
                <w:i/>
              </w:rPr>
              <w:t>.</w:t>
            </w:r>
          </w:p>
          <w:p w14:paraId="60EABBAE" w14:textId="4206C286" w:rsidR="00FA3BD7" w:rsidRPr="00B16953" w:rsidRDefault="00FA3BD7" w:rsidP="00A0698F">
            <w:pPr>
              <w:pStyle w:val="Odstavecseseznamem"/>
              <w:numPr>
                <w:ilvl w:val="0"/>
                <w:numId w:val="16"/>
              </w:numPr>
              <w:ind w:left="284" w:hanging="284"/>
              <w:jc w:val="both"/>
              <w:rPr>
                <w:rFonts w:eastAsia="Calibri" w:cstheme="minorHAnsi"/>
                <w:i/>
              </w:rPr>
            </w:pPr>
            <w:r w:rsidRPr="009F669D">
              <w:rPr>
                <w:rFonts w:eastAsia="Calibri" w:cstheme="minorHAnsi"/>
                <w:i/>
              </w:rPr>
              <w:t xml:space="preserve">SPO Zařízení služeb </w:t>
            </w:r>
            <w:proofErr w:type="spellStart"/>
            <w:r w:rsidRPr="009F669D">
              <w:rPr>
                <w:rFonts w:eastAsia="Calibri" w:cstheme="minorHAnsi"/>
                <w:i/>
              </w:rPr>
              <w:t>MZe</w:t>
            </w:r>
            <w:proofErr w:type="spellEnd"/>
            <w:r w:rsidR="00D91CDE">
              <w:rPr>
                <w:rFonts w:eastAsia="Calibri" w:cstheme="minorHAnsi"/>
                <w:i/>
              </w:rPr>
              <w:t xml:space="preserve"> </w:t>
            </w:r>
            <w:proofErr w:type="spellStart"/>
            <w:r w:rsidR="00D91CDE" w:rsidRPr="00D91CDE">
              <w:rPr>
                <w:rFonts w:eastAsia="Calibri" w:cstheme="minorHAnsi"/>
                <w:i/>
              </w:rPr>
              <w:t>s.p.o</w:t>
            </w:r>
            <w:proofErr w:type="spellEnd"/>
            <w:r w:rsidR="00D91CDE" w:rsidRPr="00D91CDE">
              <w:rPr>
                <w:rFonts w:eastAsia="Calibri" w:cstheme="minorHAnsi"/>
                <w:i/>
              </w:rPr>
              <w:t>.</w:t>
            </w:r>
            <w:r w:rsidRPr="009F669D">
              <w:rPr>
                <w:rFonts w:eastAsia="Calibri" w:cstheme="minorHAnsi"/>
                <w:i/>
              </w:rPr>
              <w:t xml:space="preserve"> disponovalo </w:t>
            </w:r>
            <w:r w:rsidR="00D91CDE">
              <w:rPr>
                <w:rFonts w:eastAsia="Calibri" w:cstheme="minorHAnsi"/>
                <w:i/>
              </w:rPr>
              <w:t>„</w:t>
            </w:r>
            <w:r w:rsidRPr="009F669D">
              <w:rPr>
                <w:rFonts w:eastAsia="Calibri" w:cstheme="minorHAnsi"/>
                <w:i/>
              </w:rPr>
              <w:t>Koncepcí rozvoje Zařízení služeb MZe 2020–2023</w:t>
            </w:r>
            <w:r w:rsidR="00D91CDE">
              <w:rPr>
                <w:rFonts w:eastAsia="Calibri" w:cstheme="minorHAnsi"/>
                <w:i/>
              </w:rPr>
              <w:t>“</w:t>
            </w:r>
            <w:r w:rsidRPr="009F669D">
              <w:rPr>
                <w:rFonts w:eastAsia="Calibri" w:cstheme="minorHAnsi"/>
                <w:i/>
              </w:rPr>
              <w:t>.</w:t>
            </w:r>
            <w:r w:rsidRPr="00B16953">
              <w:rPr>
                <w:rFonts w:eastAsia="Calibri" w:cstheme="minorHAnsi"/>
                <w:i/>
              </w:rPr>
              <w:t xml:space="preserve"> </w:t>
            </w:r>
          </w:p>
        </w:tc>
      </w:tr>
    </w:tbl>
    <w:p w14:paraId="5D1FED84" w14:textId="77777777" w:rsidR="00F94C91" w:rsidRPr="00A0698F" w:rsidRDefault="00F94C91" w:rsidP="00F94C91">
      <w:pPr>
        <w:spacing w:after="0" w:line="240" w:lineRule="auto"/>
        <w:jc w:val="both"/>
        <w:rPr>
          <w:rFonts w:eastAsia="Calibri" w:cstheme="minorHAnsi"/>
          <w:color w:val="FFFFFF" w:themeColor="background1"/>
          <w:sz w:val="24"/>
          <w:szCs w:val="24"/>
        </w:rPr>
      </w:pPr>
    </w:p>
    <w:p w14:paraId="45459871" w14:textId="38DB889D" w:rsidR="00DA1344" w:rsidRPr="0072619F" w:rsidRDefault="00DA1344" w:rsidP="0072619F">
      <w:pPr>
        <w:keepNext/>
        <w:spacing w:after="0" w:line="240" w:lineRule="auto"/>
        <w:rPr>
          <w:rFonts w:eastAsia="Calibri" w:cstheme="minorHAnsi"/>
          <w:b/>
          <w:sz w:val="24"/>
          <w:szCs w:val="24"/>
        </w:rPr>
      </w:pPr>
      <w:r w:rsidRPr="0072619F">
        <w:rPr>
          <w:rFonts w:eastAsia="Calibri" w:cstheme="minorHAnsi"/>
          <w:b/>
          <w:sz w:val="24"/>
          <w:szCs w:val="24"/>
        </w:rPr>
        <w:lastRenderedPageBreak/>
        <w:t xml:space="preserve">Institucionální podpora MZe na koncepční rozvoj výzkumné organizace ÚZEI byla částečně neúčelná, protože ÚZEI nenaplnil všechny plánované cíle </w:t>
      </w:r>
      <w:r w:rsidR="00B30E66" w:rsidRPr="0072619F">
        <w:rPr>
          <w:rFonts w:eastAsia="Calibri" w:cstheme="minorHAnsi"/>
          <w:b/>
          <w:sz w:val="24"/>
          <w:szCs w:val="24"/>
        </w:rPr>
        <w:t>d</w:t>
      </w:r>
      <w:r w:rsidR="000322B6" w:rsidRPr="0072619F">
        <w:rPr>
          <w:rFonts w:eastAsia="Calibri" w:cstheme="minorHAnsi"/>
          <w:b/>
          <w:sz w:val="24"/>
          <w:szCs w:val="24"/>
        </w:rPr>
        <w:t>louhodobé koncepce rozvoje výzkumné organizace</w:t>
      </w:r>
    </w:p>
    <w:p w14:paraId="37C35D4F" w14:textId="77777777" w:rsidR="00DA1344" w:rsidRPr="00DA1344" w:rsidRDefault="00DA1344" w:rsidP="00CD1EB7">
      <w:pPr>
        <w:keepNext/>
        <w:spacing w:after="0" w:line="240" w:lineRule="auto"/>
        <w:jc w:val="both"/>
        <w:rPr>
          <w:rFonts w:eastAsia="Calibri" w:cstheme="minorHAnsi"/>
          <w:sz w:val="24"/>
          <w:szCs w:val="24"/>
        </w:rPr>
      </w:pPr>
    </w:p>
    <w:p w14:paraId="694924FD" w14:textId="72EEA371" w:rsidR="00DA1344" w:rsidRPr="0072619F" w:rsidRDefault="0072619F" w:rsidP="00C177F4">
      <w:pPr>
        <w:tabs>
          <w:tab w:val="left" w:pos="426"/>
        </w:tabs>
        <w:spacing w:after="0" w:line="240" w:lineRule="auto"/>
        <w:jc w:val="both"/>
        <w:rPr>
          <w:rFonts w:eastAsia="Calibri" w:cstheme="minorHAnsi"/>
          <w:sz w:val="24"/>
          <w:szCs w:val="24"/>
        </w:rPr>
      </w:pPr>
      <w:r>
        <w:rPr>
          <w:rFonts w:eastAsia="Calibri" w:cstheme="minorHAnsi"/>
          <w:sz w:val="24"/>
          <w:szCs w:val="24"/>
        </w:rPr>
        <w:t xml:space="preserve">4.9 </w:t>
      </w:r>
      <w:r w:rsidR="00C177F4">
        <w:rPr>
          <w:rFonts w:eastAsia="Calibri" w:cstheme="minorHAnsi"/>
          <w:sz w:val="24"/>
          <w:szCs w:val="24"/>
        </w:rPr>
        <w:tab/>
      </w:r>
      <w:r w:rsidR="00DA1344" w:rsidRPr="0072619F">
        <w:rPr>
          <w:rFonts w:eastAsia="Calibri" w:cstheme="minorHAnsi"/>
          <w:sz w:val="24"/>
          <w:szCs w:val="24"/>
        </w:rPr>
        <w:t>ÚZEI plnil povinnost vyplývající z rozhodnutí o poskytnutí institucionální podpory na DKRVO</w:t>
      </w:r>
      <w:r w:rsidR="00EC7E74" w:rsidRPr="00EC7E74">
        <w:rPr>
          <w:rStyle w:val="Znakapoznpodarou"/>
          <w:rFonts w:eastAsia="Calibri" w:cstheme="minorHAnsi"/>
          <w:bCs/>
          <w:iCs/>
          <w:sz w:val="24"/>
          <w:szCs w:val="24"/>
        </w:rPr>
        <w:footnoteReference w:id="16"/>
      </w:r>
      <w:r w:rsidR="00DA1344" w:rsidRPr="0072619F">
        <w:rPr>
          <w:rFonts w:eastAsia="Calibri" w:cstheme="minorHAnsi"/>
          <w:sz w:val="24"/>
          <w:szCs w:val="24"/>
        </w:rPr>
        <w:t xml:space="preserve"> tím, že každoročně předkládal MZe (poskytovateli dotace) periodické zprávy, ve kterých ho informoval o dosažených výsledcích.</w:t>
      </w:r>
      <w:r w:rsidR="00DA1344" w:rsidRPr="0072619F">
        <w:rPr>
          <w:sz w:val="24"/>
          <w:szCs w:val="24"/>
        </w:rPr>
        <w:t xml:space="preserve"> Skutečné čerpání institucionální podpory na DKRVO v letech 2019 až 202</w:t>
      </w:r>
      <w:r w:rsidR="004719C1" w:rsidRPr="0072619F">
        <w:rPr>
          <w:sz w:val="24"/>
          <w:szCs w:val="24"/>
        </w:rPr>
        <w:t>1</w:t>
      </w:r>
      <w:r w:rsidR="00DA1344" w:rsidRPr="0072619F">
        <w:rPr>
          <w:sz w:val="24"/>
          <w:szCs w:val="24"/>
        </w:rPr>
        <w:t xml:space="preserve"> bylo 29,6 mil. Kč</w:t>
      </w:r>
      <w:r w:rsidR="00DA1344" w:rsidRPr="00284449">
        <w:rPr>
          <w:rStyle w:val="Znakapoznpodarou"/>
          <w:sz w:val="24"/>
          <w:szCs w:val="24"/>
        </w:rPr>
        <w:footnoteReference w:id="17"/>
      </w:r>
      <w:r w:rsidR="00DA1344" w:rsidRPr="0072619F">
        <w:rPr>
          <w:sz w:val="24"/>
          <w:szCs w:val="24"/>
        </w:rPr>
        <w:t>.</w:t>
      </w:r>
      <w:r w:rsidR="00DA1344" w:rsidRPr="0072619F">
        <w:rPr>
          <w:rFonts w:eastAsia="Calibri" w:cstheme="minorHAnsi"/>
          <w:sz w:val="24"/>
          <w:szCs w:val="24"/>
        </w:rPr>
        <w:t xml:space="preserve"> Tyto peněžní prostředky na</w:t>
      </w:r>
      <w:r>
        <w:rPr>
          <w:rFonts w:eastAsia="Calibri" w:cstheme="minorHAnsi"/>
          <w:sz w:val="24"/>
          <w:szCs w:val="24"/>
        </w:rPr>
        <w:t xml:space="preserve"> </w:t>
      </w:r>
      <w:r w:rsidR="00DA1344" w:rsidRPr="0072619F">
        <w:rPr>
          <w:rFonts w:eastAsia="Calibri" w:cstheme="minorHAnsi"/>
          <w:sz w:val="24"/>
          <w:szCs w:val="24"/>
        </w:rPr>
        <w:t>institucionální podporu na DKRVO v letech 201</w:t>
      </w:r>
      <w:r w:rsidR="00282C73" w:rsidRPr="0072619F">
        <w:rPr>
          <w:rFonts w:eastAsia="Calibri" w:cstheme="minorHAnsi"/>
          <w:sz w:val="24"/>
          <w:szCs w:val="24"/>
        </w:rPr>
        <w:t>9</w:t>
      </w:r>
      <w:r w:rsidR="00DA1344" w:rsidRPr="0072619F">
        <w:rPr>
          <w:rFonts w:eastAsia="Calibri" w:cstheme="minorHAnsi"/>
          <w:sz w:val="24"/>
          <w:szCs w:val="24"/>
        </w:rPr>
        <w:t xml:space="preserve"> až 2021 vynaložil</w:t>
      </w:r>
      <w:r w:rsidR="00013E11" w:rsidRPr="00013E11">
        <w:rPr>
          <w:rFonts w:eastAsia="Calibri" w:cstheme="minorHAnsi"/>
          <w:sz w:val="24"/>
          <w:szCs w:val="24"/>
        </w:rPr>
        <w:t xml:space="preserve"> </w:t>
      </w:r>
      <w:r w:rsidR="00013E11" w:rsidRPr="0072619F">
        <w:rPr>
          <w:rFonts w:eastAsia="Calibri" w:cstheme="minorHAnsi"/>
          <w:sz w:val="24"/>
          <w:szCs w:val="24"/>
        </w:rPr>
        <w:t>ÚZEI</w:t>
      </w:r>
      <w:r w:rsidR="00DA1344" w:rsidRPr="0072619F">
        <w:rPr>
          <w:rFonts w:eastAsia="Calibri" w:cstheme="minorHAnsi"/>
          <w:sz w:val="24"/>
          <w:szCs w:val="24"/>
        </w:rPr>
        <w:t xml:space="preserve"> částečně neúčelně, protože nenaplnil všechny plánované cíle uvedené v DKRVO. ÚZEI ani v jednom roce nenaplnil cíl v oblasti aplikovaných výsledků.</w:t>
      </w:r>
    </w:p>
    <w:p w14:paraId="07E6F9A6" w14:textId="77777777" w:rsidR="001C1916" w:rsidRDefault="001C1916" w:rsidP="00995246">
      <w:pPr>
        <w:spacing w:after="0" w:line="240" w:lineRule="auto"/>
        <w:jc w:val="both"/>
        <w:rPr>
          <w:rFonts w:eastAsia="Calibri" w:cstheme="minorHAnsi"/>
          <w:sz w:val="24"/>
          <w:szCs w:val="24"/>
        </w:rPr>
      </w:pPr>
    </w:p>
    <w:p w14:paraId="2C341749" w14:textId="48010F06" w:rsidR="00576CF3" w:rsidRPr="00035790" w:rsidRDefault="00576CF3" w:rsidP="00035790">
      <w:pPr>
        <w:keepNext/>
        <w:spacing w:after="40" w:line="240" w:lineRule="auto"/>
        <w:jc w:val="both"/>
        <w:rPr>
          <w:b/>
          <w:sz w:val="24"/>
        </w:rPr>
      </w:pPr>
      <w:r w:rsidRPr="00035790">
        <w:rPr>
          <w:b/>
          <w:sz w:val="24"/>
        </w:rPr>
        <w:t>Tabulka č. 2</w:t>
      </w:r>
      <w:r w:rsidR="00013E11">
        <w:rPr>
          <w:b/>
          <w:sz w:val="24"/>
        </w:rPr>
        <w:t>:</w:t>
      </w:r>
      <w:r w:rsidRPr="00035790">
        <w:rPr>
          <w:b/>
          <w:sz w:val="24"/>
        </w:rPr>
        <w:t xml:space="preserve"> Výstupy DKRVO – dle RIV</w:t>
      </w:r>
      <w:r w:rsidRPr="00035790">
        <w:rPr>
          <w:rStyle w:val="Znakapoznpodarou"/>
          <w:b/>
          <w:sz w:val="24"/>
        </w:rPr>
        <w:footnoteReference w:id="18"/>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846"/>
        <w:gridCol w:w="1231"/>
        <w:gridCol w:w="895"/>
        <w:gridCol w:w="1182"/>
        <w:gridCol w:w="803"/>
        <w:gridCol w:w="1275"/>
      </w:tblGrid>
      <w:tr w:rsidR="00035790" w:rsidRPr="00576CF3" w14:paraId="71505D26" w14:textId="77777777" w:rsidTr="00035790">
        <w:trPr>
          <w:trHeight w:val="255"/>
        </w:trPr>
        <w:tc>
          <w:tcPr>
            <w:tcW w:w="2835" w:type="dxa"/>
            <w:vMerge w:val="restart"/>
            <w:shd w:val="clear" w:color="auto" w:fill="D9D9D9" w:themeFill="background1" w:themeFillShade="D9"/>
            <w:vAlign w:val="center"/>
            <w:hideMark/>
          </w:tcPr>
          <w:p w14:paraId="656E28E1" w14:textId="77777777" w:rsidR="00576CF3" w:rsidRPr="00587388" w:rsidRDefault="00576CF3" w:rsidP="00576CF3">
            <w:pPr>
              <w:keepNext/>
              <w:spacing w:after="0" w:line="240" w:lineRule="auto"/>
              <w:jc w:val="center"/>
              <w:rPr>
                <w:rFonts w:ascii="Calibri" w:eastAsia="Times New Roman" w:hAnsi="Calibri" w:cs="Calibri"/>
                <w:b/>
                <w:color w:val="000000"/>
                <w:sz w:val="20"/>
                <w:szCs w:val="20"/>
                <w:lang w:eastAsia="cs-CZ"/>
              </w:rPr>
            </w:pPr>
            <w:r w:rsidRPr="00587388">
              <w:rPr>
                <w:rFonts w:ascii="Calibri" w:eastAsia="Times New Roman" w:hAnsi="Calibri" w:cs="Calibri"/>
                <w:b/>
                <w:color w:val="000000"/>
                <w:sz w:val="20"/>
                <w:szCs w:val="20"/>
                <w:lang w:eastAsia="cs-CZ"/>
              </w:rPr>
              <w:t>Druh výstupu</w:t>
            </w:r>
          </w:p>
        </w:tc>
        <w:tc>
          <w:tcPr>
            <w:tcW w:w="2077" w:type="dxa"/>
            <w:gridSpan w:val="2"/>
            <w:shd w:val="clear" w:color="auto" w:fill="D9D9D9" w:themeFill="background1" w:themeFillShade="D9"/>
            <w:noWrap/>
            <w:hideMark/>
          </w:tcPr>
          <w:p w14:paraId="4E232604" w14:textId="77777777" w:rsidR="00576CF3" w:rsidRPr="00587388" w:rsidRDefault="00576CF3" w:rsidP="00576CF3">
            <w:pPr>
              <w:keepNext/>
              <w:spacing w:after="0" w:line="240" w:lineRule="auto"/>
              <w:jc w:val="center"/>
              <w:rPr>
                <w:rFonts w:ascii="Calibri" w:eastAsia="Times New Roman" w:hAnsi="Calibri" w:cs="Calibri"/>
                <w:b/>
                <w:color w:val="000000"/>
                <w:sz w:val="20"/>
                <w:szCs w:val="20"/>
                <w:lang w:eastAsia="cs-CZ"/>
              </w:rPr>
            </w:pPr>
            <w:r w:rsidRPr="00587388">
              <w:rPr>
                <w:rFonts w:ascii="Calibri" w:eastAsia="Times New Roman" w:hAnsi="Calibri" w:cs="Calibri"/>
                <w:b/>
                <w:color w:val="000000"/>
                <w:sz w:val="20"/>
                <w:szCs w:val="20"/>
                <w:lang w:eastAsia="cs-CZ"/>
              </w:rPr>
              <w:t>2019</w:t>
            </w:r>
          </w:p>
        </w:tc>
        <w:tc>
          <w:tcPr>
            <w:tcW w:w="2077" w:type="dxa"/>
            <w:gridSpan w:val="2"/>
            <w:shd w:val="clear" w:color="auto" w:fill="D9D9D9" w:themeFill="background1" w:themeFillShade="D9"/>
            <w:noWrap/>
            <w:hideMark/>
          </w:tcPr>
          <w:p w14:paraId="35763EF8" w14:textId="77777777" w:rsidR="00576CF3" w:rsidRPr="00587388" w:rsidRDefault="00576CF3" w:rsidP="00576CF3">
            <w:pPr>
              <w:keepNext/>
              <w:spacing w:after="0" w:line="240" w:lineRule="auto"/>
              <w:jc w:val="center"/>
              <w:rPr>
                <w:rFonts w:ascii="Calibri" w:eastAsia="Times New Roman" w:hAnsi="Calibri" w:cs="Calibri"/>
                <w:b/>
                <w:color w:val="000000"/>
                <w:sz w:val="20"/>
                <w:szCs w:val="20"/>
                <w:lang w:eastAsia="cs-CZ"/>
              </w:rPr>
            </w:pPr>
            <w:r w:rsidRPr="00587388">
              <w:rPr>
                <w:rFonts w:ascii="Calibri" w:eastAsia="Times New Roman" w:hAnsi="Calibri" w:cs="Calibri"/>
                <w:b/>
                <w:color w:val="000000"/>
                <w:sz w:val="20"/>
                <w:szCs w:val="20"/>
                <w:lang w:eastAsia="cs-CZ"/>
              </w:rPr>
              <w:t>2020</w:t>
            </w:r>
          </w:p>
        </w:tc>
        <w:tc>
          <w:tcPr>
            <w:tcW w:w="2078" w:type="dxa"/>
            <w:gridSpan w:val="2"/>
            <w:shd w:val="clear" w:color="auto" w:fill="D9D9D9" w:themeFill="background1" w:themeFillShade="D9"/>
            <w:noWrap/>
            <w:hideMark/>
          </w:tcPr>
          <w:p w14:paraId="145A8FEE" w14:textId="77777777" w:rsidR="00576CF3" w:rsidRPr="00587388" w:rsidRDefault="00576CF3" w:rsidP="00576CF3">
            <w:pPr>
              <w:keepNext/>
              <w:spacing w:after="0" w:line="240" w:lineRule="auto"/>
              <w:jc w:val="center"/>
              <w:rPr>
                <w:rFonts w:ascii="Calibri" w:eastAsia="Times New Roman" w:hAnsi="Calibri" w:cs="Calibri"/>
                <w:b/>
                <w:color w:val="000000"/>
                <w:sz w:val="20"/>
                <w:szCs w:val="20"/>
                <w:lang w:eastAsia="cs-CZ"/>
              </w:rPr>
            </w:pPr>
            <w:r w:rsidRPr="00587388">
              <w:rPr>
                <w:rFonts w:ascii="Calibri" w:eastAsia="Times New Roman" w:hAnsi="Calibri" w:cs="Calibri"/>
                <w:b/>
                <w:color w:val="000000"/>
                <w:sz w:val="20"/>
                <w:szCs w:val="20"/>
                <w:lang w:eastAsia="cs-CZ"/>
              </w:rPr>
              <w:t>2021</w:t>
            </w:r>
          </w:p>
        </w:tc>
      </w:tr>
      <w:tr w:rsidR="00035790" w:rsidRPr="00576CF3" w14:paraId="27833C90" w14:textId="77777777" w:rsidTr="00970A11">
        <w:trPr>
          <w:trHeight w:val="255"/>
        </w:trPr>
        <w:tc>
          <w:tcPr>
            <w:tcW w:w="2835" w:type="dxa"/>
            <w:vMerge/>
            <w:shd w:val="clear" w:color="auto" w:fill="D9D9D9" w:themeFill="background1" w:themeFillShade="D9"/>
            <w:hideMark/>
          </w:tcPr>
          <w:p w14:paraId="331263C8" w14:textId="77777777" w:rsidR="00576CF3" w:rsidRPr="00587388" w:rsidRDefault="00576CF3" w:rsidP="00576CF3">
            <w:pPr>
              <w:keepNext/>
              <w:spacing w:after="0" w:line="240" w:lineRule="auto"/>
              <w:jc w:val="center"/>
              <w:rPr>
                <w:rFonts w:ascii="Calibri" w:eastAsia="Times New Roman" w:hAnsi="Calibri" w:cs="Calibri"/>
                <w:b/>
                <w:color w:val="000000"/>
                <w:sz w:val="20"/>
                <w:szCs w:val="20"/>
                <w:lang w:eastAsia="cs-CZ"/>
              </w:rPr>
            </w:pPr>
          </w:p>
        </w:tc>
        <w:tc>
          <w:tcPr>
            <w:tcW w:w="846" w:type="dxa"/>
            <w:shd w:val="clear" w:color="auto" w:fill="D9D9D9" w:themeFill="background1" w:themeFillShade="D9"/>
            <w:noWrap/>
            <w:hideMark/>
          </w:tcPr>
          <w:p w14:paraId="638AB590" w14:textId="6BAA4573"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P</w:t>
            </w:r>
            <w:r w:rsidR="00576CF3" w:rsidRPr="00587388">
              <w:rPr>
                <w:rFonts w:ascii="Calibri" w:eastAsia="Times New Roman" w:hAnsi="Calibri" w:cs="Calibri"/>
                <w:b/>
                <w:color w:val="000000"/>
                <w:sz w:val="20"/>
                <w:szCs w:val="20"/>
                <w:lang w:eastAsia="cs-CZ"/>
              </w:rPr>
              <w:t>lán</w:t>
            </w:r>
          </w:p>
        </w:tc>
        <w:tc>
          <w:tcPr>
            <w:tcW w:w="1231" w:type="dxa"/>
            <w:shd w:val="clear" w:color="auto" w:fill="D9D9D9" w:themeFill="background1" w:themeFillShade="D9"/>
            <w:noWrap/>
            <w:hideMark/>
          </w:tcPr>
          <w:p w14:paraId="5B644135" w14:textId="7E3738AC"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S</w:t>
            </w:r>
            <w:r w:rsidR="00576CF3" w:rsidRPr="00587388">
              <w:rPr>
                <w:rFonts w:ascii="Calibri" w:eastAsia="Times New Roman" w:hAnsi="Calibri" w:cs="Calibri"/>
                <w:b/>
                <w:color w:val="000000"/>
                <w:sz w:val="20"/>
                <w:szCs w:val="20"/>
                <w:lang w:eastAsia="cs-CZ"/>
              </w:rPr>
              <w:t>k</w:t>
            </w:r>
            <w:r w:rsidR="00EC7E74">
              <w:rPr>
                <w:rFonts w:ascii="Calibri" w:eastAsia="Times New Roman" w:hAnsi="Calibri" w:cs="Calibri"/>
                <w:b/>
                <w:color w:val="000000"/>
                <w:sz w:val="20"/>
                <w:szCs w:val="20"/>
                <w:lang w:eastAsia="cs-CZ"/>
              </w:rPr>
              <w:t>utečnost</w:t>
            </w:r>
          </w:p>
        </w:tc>
        <w:tc>
          <w:tcPr>
            <w:tcW w:w="895" w:type="dxa"/>
            <w:shd w:val="clear" w:color="auto" w:fill="D9D9D9" w:themeFill="background1" w:themeFillShade="D9"/>
            <w:noWrap/>
            <w:hideMark/>
          </w:tcPr>
          <w:p w14:paraId="30267DAC" w14:textId="27860DE8"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P</w:t>
            </w:r>
            <w:r w:rsidR="00576CF3" w:rsidRPr="00587388">
              <w:rPr>
                <w:rFonts w:ascii="Calibri" w:eastAsia="Times New Roman" w:hAnsi="Calibri" w:cs="Calibri"/>
                <w:b/>
                <w:color w:val="000000"/>
                <w:sz w:val="20"/>
                <w:szCs w:val="20"/>
                <w:lang w:eastAsia="cs-CZ"/>
              </w:rPr>
              <w:t>lán</w:t>
            </w:r>
          </w:p>
        </w:tc>
        <w:tc>
          <w:tcPr>
            <w:tcW w:w="1182" w:type="dxa"/>
            <w:shd w:val="clear" w:color="auto" w:fill="D9D9D9" w:themeFill="background1" w:themeFillShade="D9"/>
            <w:noWrap/>
            <w:hideMark/>
          </w:tcPr>
          <w:p w14:paraId="4FB00D25" w14:textId="5CD034A7"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S</w:t>
            </w:r>
            <w:r w:rsidR="00576CF3" w:rsidRPr="00587388">
              <w:rPr>
                <w:rFonts w:ascii="Calibri" w:eastAsia="Times New Roman" w:hAnsi="Calibri" w:cs="Calibri"/>
                <w:b/>
                <w:color w:val="000000"/>
                <w:sz w:val="20"/>
                <w:szCs w:val="20"/>
                <w:lang w:eastAsia="cs-CZ"/>
              </w:rPr>
              <w:t>k</w:t>
            </w:r>
            <w:r w:rsidR="00EC7E74">
              <w:rPr>
                <w:rFonts w:ascii="Calibri" w:eastAsia="Times New Roman" w:hAnsi="Calibri" w:cs="Calibri"/>
                <w:b/>
                <w:color w:val="000000"/>
                <w:sz w:val="20"/>
                <w:szCs w:val="20"/>
                <w:lang w:eastAsia="cs-CZ"/>
              </w:rPr>
              <w:t>utečnost</w:t>
            </w:r>
          </w:p>
        </w:tc>
        <w:tc>
          <w:tcPr>
            <w:tcW w:w="803" w:type="dxa"/>
            <w:shd w:val="clear" w:color="auto" w:fill="D9D9D9" w:themeFill="background1" w:themeFillShade="D9"/>
            <w:noWrap/>
            <w:hideMark/>
          </w:tcPr>
          <w:p w14:paraId="2FF5203B" w14:textId="3A80CD6D"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P</w:t>
            </w:r>
            <w:r w:rsidR="00576CF3" w:rsidRPr="00587388">
              <w:rPr>
                <w:rFonts w:ascii="Calibri" w:eastAsia="Times New Roman" w:hAnsi="Calibri" w:cs="Calibri"/>
                <w:b/>
                <w:color w:val="000000"/>
                <w:sz w:val="20"/>
                <w:szCs w:val="20"/>
                <w:lang w:eastAsia="cs-CZ"/>
              </w:rPr>
              <w:t>lán</w:t>
            </w:r>
          </w:p>
        </w:tc>
        <w:tc>
          <w:tcPr>
            <w:tcW w:w="1275" w:type="dxa"/>
            <w:shd w:val="clear" w:color="auto" w:fill="D9D9D9" w:themeFill="background1" w:themeFillShade="D9"/>
            <w:noWrap/>
            <w:hideMark/>
          </w:tcPr>
          <w:p w14:paraId="69E23E77" w14:textId="7A559181" w:rsidR="00576CF3" w:rsidRPr="00587388" w:rsidRDefault="00013E11" w:rsidP="00C87031">
            <w:pPr>
              <w:keepNext/>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S</w:t>
            </w:r>
            <w:r w:rsidR="00576CF3" w:rsidRPr="00587388">
              <w:rPr>
                <w:rFonts w:ascii="Calibri" w:eastAsia="Times New Roman" w:hAnsi="Calibri" w:cs="Calibri"/>
                <w:b/>
                <w:color w:val="000000"/>
                <w:sz w:val="20"/>
                <w:szCs w:val="20"/>
                <w:lang w:eastAsia="cs-CZ"/>
              </w:rPr>
              <w:t>k</w:t>
            </w:r>
            <w:r w:rsidR="00EC7E74">
              <w:rPr>
                <w:rFonts w:ascii="Calibri" w:eastAsia="Times New Roman" w:hAnsi="Calibri" w:cs="Calibri"/>
                <w:b/>
                <w:color w:val="000000"/>
                <w:sz w:val="20"/>
                <w:szCs w:val="20"/>
                <w:lang w:eastAsia="cs-CZ"/>
              </w:rPr>
              <w:t>utečnost</w:t>
            </w:r>
          </w:p>
        </w:tc>
      </w:tr>
      <w:tr w:rsidR="00035790" w:rsidRPr="00576CF3" w14:paraId="6A485B6F" w14:textId="77777777" w:rsidTr="00970A11">
        <w:trPr>
          <w:trHeight w:val="255"/>
        </w:trPr>
        <w:tc>
          <w:tcPr>
            <w:tcW w:w="2835" w:type="dxa"/>
            <w:shd w:val="clear" w:color="auto" w:fill="auto"/>
            <w:noWrap/>
            <w:hideMark/>
          </w:tcPr>
          <w:p w14:paraId="70B73847" w14:textId="024CC4A5" w:rsidR="00576CF3" w:rsidRPr="00587388" w:rsidRDefault="00576CF3" w:rsidP="00576CF3">
            <w:pPr>
              <w:spacing w:after="0"/>
              <w:rPr>
                <w:rFonts w:ascii="Calibri" w:hAnsi="Calibri" w:cs="Calibri"/>
                <w:color w:val="000000"/>
                <w:sz w:val="20"/>
                <w:szCs w:val="20"/>
              </w:rPr>
            </w:pPr>
            <w:r w:rsidRPr="00587388">
              <w:rPr>
                <w:rFonts w:ascii="Calibri" w:hAnsi="Calibri" w:cs="Calibri"/>
                <w:color w:val="000000"/>
                <w:sz w:val="20"/>
                <w:szCs w:val="20"/>
              </w:rPr>
              <w:t xml:space="preserve">Počet aplikovaných výsledků </w:t>
            </w:r>
            <w:r w:rsidR="00035790">
              <w:rPr>
                <w:rFonts w:ascii="Calibri" w:hAnsi="Calibri" w:cs="Calibri"/>
                <w:color w:val="000000"/>
                <w:sz w:val="20"/>
                <w:szCs w:val="20"/>
              </w:rPr>
              <w:br/>
            </w:r>
            <w:r w:rsidRPr="00587388">
              <w:rPr>
                <w:rFonts w:ascii="Calibri" w:hAnsi="Calibri" w:cs="Calibri"/>
                <w:color w:val="000000"/>
                <w:sz w:val="20"/>
                <w:szCs w:val="20"/>
              </w:rPr>
              <w:t>(F, Z, G, H, N, R, V, S)</w:t>
            </w:r>
            <w:r w:rsidRPr="00587388">
              <w:rPr>
                <w:rStyle w:val="Znakapoznpodarou"/>
                <w:rFonts w:ascii="Calibri" w:hAnsi="Calibri" w:cs="Calibri"/>
                <w:color w:val="000000"/>
                <w:sz w:val="20"/>
                <w:szCs w:val="20"/>
              </w:rPr>
              <w:footnoteReference w:id="19"/>
            </w:r>
          </w:p>
        </w:tc>
        <w:tc>
          <w:tcPr>
            <w:tcW w:w="846" w:type="dxa"/>
            <w:shd w:val="clear" w:color="auto" w:fill="auto"/>
            <w:noWrap/>
            <w:vAlign w:val="center"/>
            <w:hideMark/>
          </w:tcPr>
          <w:p w14:paraId="3FF6DF13"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4</w:t>
            </w:r>
          </w:p>
        </w:tc>
        <w:tc>
          <w:tcPr>
            <w:tcW w:w="1231" w:type="dxa"/>
            <w:shd w:val="clear" w:color="auto" w:fill="auto"/>
            <w:noWrap/>
            <w:vAlign w:val="center"/>
            <w:hideMark/>
          </w:tcPr>
          <w:p w14:paraId="7CD8A94D"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1</w:t>
            </w:r>
          </w:p>
        </w:tc>
        <w:tc>
          <w:tcPr>
            <w:tcW w:w="895" w:type="dxa"/>
            <w:shd w:val="clear" w:color="auto" w:fill="auto"/>
            <w:noWrap/>
            <w:vAlign w:val="center"/>
            <w:hideMark/>
          </w:tcPr>
          <w:p w14:paraId="1EE3E12A"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4</w:t>
            </w:r>
          </w:p>
        </w:tc>
        <w:tc>
          <w:tcPr>
            <w:tcW w:w="1182" w:type="dxa"/>
            <w:shd w:val="clear" w:color="auto" w:fill="auto"/>
            <w:noWrap/>
            <w:vAlign w:val="center"/>
            <w:hideMark/>
          </w:tcPr>
          <w:p w14:paraId="2741DB35"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0</w:t>
            </w:r>
          </w:p>
        </w:tc>
        <w:tc>
          <w:tcPr>
            <w:tcW w:w="803" w:type="dxa"/>
            <w:shd w:val="clear" w:color="auto" w:fill="auto"/>
            <w:noWrap/>
            <w:vAlign w:val="center"/>
            <w:hideMark/>
          </w:tcPr>
          <w:p w14:paraId="248336A7"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4</w:t>
            </w:r>
          </w:p>
        </w:tc>
        <w:tc>
          <w:tcPr>
            <w:tcW w:w="1275" w:type="dxa"/>
            <w:shd w:val="clear" w:color="auto" w:fill="auto"/>
            <w:noWrap/>
            <w:vAlign w:val="center"/>
            <w:hideMark/>
          </w:tcPr>
          <w:p w14:paraId="58D4798F" w14:textId="77777777" w:rsidR="00576CF3" w:rsidRPr="00587388" w:rsidRDefault="00576CF3" w:rsidP="00C87031">
            <w:pPr>
              <w:spacing w:after="0"/>
              <w:jc w:val="center"/>
              <w:rPr>
                <w:rFonts w:ascii="Calibri" w:hAnsi="Calibri" w:cs="Calibri"/>
                <w:color w:val="000000"/>
                <w:sz w:val="20"/>
                <w:szCs w:val="20"/>
              </w:rPr>
            </w:pPr>
            <w:r w:rsidRPr="00587388">
              <w:rPr>
                <w:rFonts w:ascii="Calibri" w:hAnsi="Calibri" w:cs="Calibri"/>
                <w:color w:val="000000"/>
                <w:sz w:val="20"/>
                <w:szCs w:val="20"/>
              </w:rPr>
              <w:t>1</w:t>
            </w:r>
          </w:p>
        </w:tc>
      </w:tr>
    </w:tbl>
    <w:p w14:paraId="74E88E28" w14:textId="3FBC09EF" w:rsidR="00576CF3" w:rsidRPr="00035790" w:rsidRDefault="00576CF3" w:rsidP="00035790">
      <w:pPr>
        <w:spacing w:before="40" w:after="0" w:line="240" w:lineRule="auto"/>
        <w:jc w:val="both"/>
        <w:rPr>
          <w:rFonts w:eastAsia="Calibri" w:cstheme="minorHAnsi"/>
          <w:sz w:val="20"/>
          <w:szCs w:val="18"/>
        </w:rPr>
      </w:pPr>
      <w:r w:rsidRPr="00035790">
        <w:rPr>
          <w:rFonts w:eastAsia="Calibri" w:cstheme="minorHAnsi"/>
          <w:b/>
          <w:sz w:val="20"/>
          <w:szCs w:val="18"/>
        </w:rPr>
        <w:t>Zdroj:</w:t>
      </w:r>
      <w:r w:rsidRPr="00035790">
        <w:rPr>
          <w:rFonts w:eastAsia="Calibri" w:cstheme="minorHAnsi"/>
          <w:sz w:val="20"/>
          <w:szCs w:val="18"/>
        </w:rPr>
        <w:t xml:space="preserve"> DKRVO, </w:t>
      </w:r>
      <w:r w:rsidR="00013E11">
        <w:rPr>
          <w:rFonts w:eastAsia="Calibri" w:cstheme="minorHAnsi"/>
          <w:sz w:val="20"/>
          <w:szCs w:val="18"/>
        </w:rPr>
        <w:t>p</w:t>
      </w:r>
      <w:r w:rsidRPr="00035790">
        <w:rPr>
          <w:rFonts w:eastAsia="Calibri" w:cstheme="minorHAnsi"/>
          <w:sz w:val="20"/>
          <w:szCs w:val="18"/>
        </w:rPr>
        <w:t>eriodická zpráva za rok 2021</w:t>
      </w:r>
      <w:r w:rsidR="00CA3075" w:rsidRPr="00035790">
        <w:rPr>
          <w:rFonts w:eastAsia="Calibri" w:cstheme="minorHAnsi"/>
          <w:sz w:val="20"/>
          <w:szCs w:val="18"/>
        </w:rPr>
        <w:t>.</w:t>
      </w:r>
    </w:p>
    <w:p w14:paraId="5D048EB0" w14:textId="77777777" w:rsidR="00F94C91" w:rsidRDefault="00F94C91" w:rsidP="00F94C91">
      <w:pPr>
        <w:spacing w:after="0" w:line="240" w:lineRule="auto"/>
        <w:jc w:val="both"/>
        <w:rPr>
          <w:rFonts w:eastAsia="Calibri" w:cstheme="minorHAnsi"/>
          <w:sz w:val="24"/>
          <w:szCs w:val="24"/>
        </w:rPr>
      </w:pPr>
    </w:p>
    <w:p w14:paraId="12E2DF11" w14:textId="77777777" w:rsidR="00F94C91" w:rsidRDefault="00F94C91" w:rsidP="00F94C91">
      <w:pPr>
        <w:spacing w:after="0" w:line="240" w:lineRule="auto"/>
        <w:jc w:val="both"/>
        <w:rPr>
          <w:rFonts w:eastAsia="Calibri" w:cstheme="minorHAnsi"/>
          <w:sz w:val="24"/>
          <w:szCs w:val="24"/>
        </w:rPr>
      </w:pPr>
    </w:p>
    <w:tbl>
      <w:tblPr>
        <w:tblStyle w:val="Mkatabulky"/>
        <w:tblW w:w="0" w:type="auto"/>
        <w:tblLook w:val="04A0" w:firstRow="1" w:lastRow="0" w:firstColumn="1" w:lastColumn="0" w:noHBand="0" w:noVBand="1"/>
      </w:tblPr>
      <w:tblGrid>
        <w:gridCol w:w="9062"/>
      </w:tblGrid>
      <w:tr w:rsidR="000434E5" w:rsidRPr="00753C79" w14:paraId="6D773D90" w14:textId="77777777" w:rsidTr="001F5E57">
        <w:trPr>
          <w:trHeight w:val="389"/>
        </w:trPr>
        <w:tc>
          <w:tcPr>
            <w:tcW w:w="906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D773D8F" w14:textId="16E8CB7D" w:rsidR="00A57487" w:rsidRPr="00753C79" w:rsidRDefault="00781CDD" w:rsidP="006D7856">
            <w:pPr>
              <w:pStyle w:val="Nadpis2"/>
              <w:spacing w:before="0"/>
              <w:outlineLvl w:val="1"/>
              <w:rPr>
                <w:rFonts w:asciiTheme="minorHAnsi" w:hAnsiTheme="minorHAnsi" w:cstheme="minorHAnsi"/>
                <w:b/>
                <w:color w:val="FF0000"/>
                <w:sz w:val="24"/>
                <w:szCs w:val="24"/>
              </w:rPr>
            </w:pPr>
            <w:r w:rsidRPr="006D7856">
              <w:rPr>
                <w:rFonts w:asciiTheme="minorHAnsi" w:hAnsiTheme="minorHAnsi" w:cstheme="minorHAnsi"/>
                <w:b/>
                <w:color w:val="1F4E79" w:themeColor="accent1" w:themeShade="80"/>
                <w:sz w:val="24"/>
                <w:szCs w:val="24"/>
              </w:rPr>
              <w:t xml:space="preserve">B. </w:t>
            </w:r>
            <w:r w:rsidR="006D7856" w:rsidRPr="006D7856">
              <w:rPr>
                <w:rFonts w:asciiTheme="minorHAnsi" w:hAnsiTheme="minorHAnsi" w:cstheme="minorHAnsi"/>
                <w:b/>
                <w:color w:val="1F4E79" w:themeColor="accent1" w:themeShade="80"/>
                <w:sz w:val="24"/>
                <w:szCs w:val="24"/>
              </w:rPr>
              <w:t>Nákup služeb, pro které byly příspěvkové organizace zřízeny</w:t>
            </w:r>
            <w:r w:rsidR="00007A1B" w:rsidRPr="00970A11">
              <w:rPr>
                <w:rFonts w:asciiTheme="minorHAnsi" w:hAnsiTheme="minorHAnsi" w:cstheme="minorHAnsi"/>
                <w:b/>
                <w:color w:val="000000" w:themeColor="text1"/>
                <w:sz w:val="24"/>
                <w:szCs w:val="24"/>
              </w:rPr>
              <w:t xml:space="preserve"> </w:t>
            </w:r>
          </w:p>
        </w:tc>
      </w:tr>
    </w:tbl>
    <w:p w14:paraId="6D773DC7" w14:textId="77777777" w:rsidR="006D210C" w:rsidRPr="0072619F" w:rsidRDefault="006D210C" w:rsidP="00871AE1">
      <w:pPr>
        <w:keepNext/>
        <w:spacing w:after="0" w:line="240" w:lineRule="auto"/>
        <w:jc w:val="both"/>
        <w:rPr>
          <w:rFonts w:eastAsia="Calibri" w:cstheme="minorHAnsi"/>
          <w:b/>
          <w:sz w:val="24"/>
          <w:szCs w:val="24"/>
        </w:rPr>
      </w:pPr>
    </w:p>
    <w:p w14:paraId="6D773DC8" w14:textId="49EDCF7A" w:rsidR="00B30782" w:rsidRPr="0072619F" w:rsidRDefault="00781CDD" w:rsidP="00970A11">
      <w:pPr>
        <w:keepNext/>
        <w:spacing w:after="0" w:line="240" w:lineRule="auto"/>
        <w:rPr>
          <w:rFonts w:eastAsia="Calibri" w:cstheme="minorHAnsi"/>
          <w:b/>
          <w:sz w:val="24"/>
          <w:szCs w:val="24"/>
        </w:rPr>
      </w:pPr>
      <w:r w:rsidRPr="0072619F">
        <w:rPr>
          <w:rFonts w:eastAsia="Calibri" w:cstheme="minorHAnsi"/>
          <w:b/>
          <w:sz w:val="24"/>
          <w:szCs w:val="24"/>
        </w:rPr>
        <w:t>K</w:t>
      </w:r>
      <w:r w:rsidR="00E00A58" w:rsidRPr="0072619F">
        <w:rPr>
          <w:rFonts w:eastAsia="Calibri" w:cstheme="minorHAnsi"/>
          <w:b/>
          <w:sz w:val="24"/>
          <w:szCs w:val="24"/>
        </w:rPr>
        <w:t>ontrolované osoby</w:t>
      </w:r>
      <w:r w:rsidRPr="0072619F">
        <w:rPr>
          <w:rFonts w:eastAsia="Calibri" w:cstheme="minorHAnsi"/>
          <w:b/>
          <w:sz w:val="24"/>
          <w:szCs w:val="24"/>
        </w:rPr>
        <w:t xml:space="preserve"> nakupovaly služby </w:t>
      </w:r>
      <w:r w:rsidR="006D7856" w:rsidRPr="0072619F">
        <w:rPr>
          <w:rFonts w:eastAsia="Calibri" w:cstheme="minorHAnsi"/>
          <w:b/>
          <w:sz w:val="24"/>
          <w:szCs w:val="24"/>
        </w:rPr>
        <w:t>externě</w:t>
      </w:r>
      <w:r w:rsidRPr="0072619F">
        <w:rPr>
          <w:rFonts w:eastAsia="Calibri" w:cstheme="minorHAnsi"/>
          <w:b/>
          <w:sz w:val="24"/>
          <w:szCs w:val="24"/>
        </w:rPr>
        <w:t xml:space="preserve">, aniž by hodnotily </w:t>
      </w:r>
      <w:r w:rsidR="00463380" w:rsidRPr="0072619F">
        <w:rPr>
          <w:rFonts w:eastAsia="Calibri" w:cstheme="minorHAnsi"/>
          <w:b/>
          <w:sz w:val="24"/>
          <w:szCs w:val="24"/>
        </w:rPr>
        <w:t>hospodárnost</w:t>
      </w:r>
      <w:r w:rsidRPr="0072619F">
        <w:rPr>
          <w:rFonts w:eastAsia="Calibri" w:cstheme="minorHAnsi"/>
          <w:b/>
          <w:sz w:val="24"/>
          <w:szCs w:val="24"/>
        </w:rPr>
        <w:t xml:space="preserve"> nakupovaných služeb</w:t>
      </w:r>
    </w:p>
    <w:p w14:paraId="6D773DC9" w14:textId="77777777" w:rsidR="00546400" w:rsidRPr="00F94C91" w:rsidRDefault="00546400" w:rsidP="00B30782">
      <w:pPr>
        <w:spacing w:after="0" w:line="240" w:lineRule="auto"/>
        <w:jc w:val="both"/>
        <w:rPr>
          <w:rFonts w:eastAsia="Calibri" w:cstheme="minorHAnsi"/>
          <w:color w:val="000000" w:themeColor="text1"/>
          <w:sz w:val="24"/>
          <w:szCs w:val="24"/>
        </w:rPr>
      </w:pPr>
    </w:p>
    <w:p w14:paraId="1DD69FA1" w14:textId="2BD5EA45" w:rsidR="006D210C" w:rsidRPr="004516BA" w:rsidRDefault="0072619F" w:rsidP="00C177F4">
      <w:pPr>
        <w:tabs>
          <w:tab w:val="left" w:pos="567"/>
        </w:tabs>
        <w:spacing w:after="0" w:line="240" w:lineRule="auto"/>
        <w:jc w:val="both"/>
        <w:rPr>
          <w:rFonts w:cstheme="minorHAnsi"/>
          <w:sz w:val="24"/>
          <w:szCs w:val="24"/>
        </w:rPr>
      </w:pPr>
      <w:r>
        <w:rPr>
          <w:rFonts w:cstheme="minorHAnsi"/>
          <w:sz w:val="24"/>
          <w:szCs w:val="24"/>
        </w:rPr>
        <w:t>4.10</w:t>
      </w:r>
      <w:r w:rsidR="004516BA">
        <w:rPr>
          <w:rFonts w:cstheme="minorHAnsi"/>
          <w:sz w:val="24"/>
          <w:szCs w:val="24"/>
        </w:rPr>
        <w:t xml:space="preserve"> </w:t>
      </w:r>
      <w:r w:rsidR="00C177F4">
        <w:rPr>
          <w:rFonts w:cstheme="minorHAnsi"/>
          <w:sz w:val="24"/>
          <w:szCs w:val="24"/>
        </w:rPr>
        <w:tab/>
      </w:r>
      <w:r w:rsidR="006D210C" w:rsidRPr="004516BA">
        <w:rPr>
          <w:rFonts w:cstheme="minorHAnsi"/>
          <w:sz w:val="24"/>
          <w:szCs w:val="24"/>
        </w:rPr>
        <w:t>Příspěvková organizace je povinna dbát, aby plnila určené úkoly nejhospodárnějším způsobem a dodržela stanovené finanční vztahy ke státnímu rozpočtu</w:t>
      </w:r>
      <w:r w:rsidR="006D210C">
        <w:rPr>
          <w:rStyle w:val="Znakapoznpodarou"/>
          <w:rFonts w:cstheme="minorHAnsi"/>
          <w:sz w:val="24"/>
          <w:szCs w:val="24"/>
        </w:rPr>
        <w:footnoteReference w:id="20"/>
      </w:r>
      <w:r w:rsidR="006D210C" w:rsidRPr="004516BA">
        <w:rPr>
          <w:rFonts w:cstheme="minorHAnsi"/>
          <w:sz w:val="24"/>
          <w:szCs w:val="24"/>
        </w:rPr>
        <w:t xml:space="preserve">. </w:t>
      </w:r>
    </w:p>
    <w:p w14:paraId="2FA128A5" w14:textId="77777777" w:rsidR="006D210C" w:rsidRPr="006D210C" w:rsidRDefault="006D210C" w:rsidP="004516BA">
      <w:pPr>
        <w:pStyle w:val="Odstavecseseznamem"/>
        <w:spacing w:after="0" w:line="240" w:lineRule="auto"/>
        <w:ind w:left="0"/>
        <w:jc w:val="both"/>
        <w:rPr>
          <w:rFonts w:eastAsia="Calibri" w:cstheme="minorHAnsi"/>
          <w:sz w:val="24"/>
          <w:szCs w:val="24"/>
        </w:rPr>
      </w:pPr>
    </w:p>
    <w:p w14:paraId="10BCF4EF" w14:textId="488927BE" w:rsidR="006D210C" w:rsidRPr="004516BA" w:rsidRDefault="004516BA" w:rsidP="00C177F4">
      <w:pPr>
        <w:tabs>
          <w:tab w:val="left" w:pos="567"/>
        </w:tabs>
        <w:spacing w:after="0" w:line="240" w:lineRule="auto"/>
        <w:jc w:val="both"/>
        <w:rPr>
          <w:rFonts w:eastAsia="Calibri" w:cstheme="minorHAnsi"/>
          <w:sz w:val="24"/>
          <w:szCs w:val="24"/>
        </w:rPr>
      </w:pPr>
      <w:r>
        <w:rPr>
          <w:rFonts w:cstheme="minorHAnsi"/>
          <w:color w:val="000000"/>
          <w:sz w:val="24"/>
          <w:szCs w:val="24"/>
        </w:rPr>
        <w:t xml:space="preserve">4.11 </w:t>
      </w:r>
      <w:r w:rsidR="00C177F4">
        <w:rPr>
          <w:rFonts w:cstheme="minorHAnsi"/>
          <w:color w:val="000000"/>
          <w:sz w:val="24"/>
          <w:szCs w:val="24"/>
        </w:rPr>
        <w:tab/>
      </w:r>
      <w:r w:rsidR="006D210C" w:rsidRPr="004516BA">
        <w:rPr>
          <w:rFonts w:cstheme="minorHAnsi"/>
          <w:color w:val="000000"/>
          <w:sz w:val="24"/>
          <w:szCs w:val="24"/>
        </w:rPr>
        <w:t>P</w:t>
      </w:r>
      <w:r w:rsidR="006D210C" w:rsidRPr="004516BA">
        <w:rPr>
          <w:rFonts w:eastAsia="Calibri" w:cstheme="minorHAnsi"/>
          <w:color w:val="000000"/>
          <w:sz w:val="24"/>
          <w:szCs w:val="24"/>
        </w:rPr>
        <w:t>odíl dodavatelských služeb na celkových nákladech CENIA v kontrolovaném období rostl. Objem nákladů vynaložených na nákup služeb od externích dodavatelů v letech 2019 až 2021 představuje přibližně 29 % až 44 % z celkových nákladů této SPO.</w:t>
      </w:r>
    </w:p>
    <w:p w14:paraId="3C0D3543" w14:textId="77777777" w:rsidR="006D210C" w:rsidRPr="00704151" w:rsidRDefault="006D210C" w:rsidP="006D210C">
      <w:pPr>
        <w:spacing w:after="0" w:line="240" w:lineRule="auto"/>
        <w:jc w:val="both"/>
        <w:rPr>
          <w:rFonts w:eastAsia="Calibri" w:cstheme="minorHAnsi"/>
          <w:color w:val="000000"/>
        </w:rPr>
      </w:pPr>
    </w:p>
    <w:p w14:paraId="61C12D45" w14:textId="50C67339" w:rsidR="006D210C" w:rsidRPr="00A0698F" w:rsidRDefault="006D210C" w:rsidP="00A0698F">
      <w:pPr>
        <w:keepNext/>
        <w:spacing w:after="40" w:line="240" w:lineRule="auto"/>
        <w:rPr>
          <w:rFonts w:cstheme="minorHAnsi"/>
          <w:b/>
          <w:i/>
          <w:sz w:val="24"/>
        </w:rPr>
      </w:pPr>
      <w:bookmarkStart w:id="6" w:name="_Hlk108529452"/>
      <w:r w:rsidRPr="00A0698F">
        <w:rPr>
          <w:rFonts w:cstheme="minorHAnsi"/>
          <w:b/>
          <w:color w:val="000000"/>
          <w:sz w:val="24"/>
        </w:rPr>
        <w:lastRenderedPageBreak/>
        <w:t xml:space="preserve">Tabulka č. </w:t>
      </w:r>
      <w:r w:rsidR="00DB6D7A" w:rsidRPr="00A0698F">
        <w:rPr>
          <w:rFonts w:cstheme="minorHAnsi"/>
          <w:b/>
          <w:color w:val="000000"/>
          <w:sz w:val="24"/>
        </w:rPr>
        <w:t>3</w:t>
      </w:r>
      <w:r w:rsidR="00013E11">
        <w:rPr>
          <w:rFonts w:cstheme="minorHAnsi"/>
          <w:b/>
          <w:color w:val="000000"/>
          <w:sz w:val="24"/>
        </w:rPr>
        <w:t>:</w:t>
      </w:r>
      <w:r w:rsidRPr="00A0698F">
        <w:rPr>
          <w:rFonts w:cstheme="minorHAnsi"/>
          <w:b/>
          <w:color w:val="000000"/>
          <w:sz w:val="24"/>
        </w:rPr>
        <w:t xml:space="preserve"> Podíl nákladů na outsourcing na celkových nákladech CENIA</w:t>
      </w:r>
    </w:p>
    <w:tbl>
      <w:tblPr>
        <w:tblW w:w="9184" w:type="dxa"/>
        <w:tblCellMar>
          <w:left w:w="70" w:type="dxa"/>
          <w:right w:w="70" w:type="dxa"/>
        </w:tblCellMar>
        <w:tblLook w:val="04A0" w:firstRow="1" w:lastRow="0" w:firstColumn="1" w:lastColumn="0" w:noHBand="0" w:noVBand="1"/>
      </w:tblPr>
      <w:tblGrid>
        <w:gridCol w:w="737"/>
        <w:gridCol w:w="2551"/>
        <w:gridCol w:w="1984"/>
        <w:gridCol w:w="3912"/>
      </w:tblGrid>
      <w:tr w:rsidR="00A0698F" w:rsidRPr="00502645" w14:paraId="0B8C1A93" w14:textId="77777777" w:rsidTr="00A0698F">
        <w:trPr>
          <w:trHeight w:val="255"/>
        </w:trPr>
        <w:tc>
          <w:tcPr>
            <w:tcW w:w="73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AF2996A" w14:textId="77777777" w:rsidR="006D210C" w:rsidRPr="00502645" w:rsidRDefault="006D210C" w:rsidP="00A0698F">
            <w:pPr>
              <w:keepNext/>
              <w:spacing w:after="0" w:line="240" w:lineRule="auto"/>
              <w:jc w:val="center"/>
              <w:rPr>
                <w:rFonts w:cstheme="minorHAnsi"/>
                <w:b/>
                <w:color w:val="000000"/>
                <w:sz w:val="20"/>
                <w:szCs w:val="20"/>
                <w:lang w:eastAsia="cs-CZ"/>
              </w:rPr>
            </w:pPr>
            <w:r w:rsidRPr="00502645">
              <w:rPr>
                <w:rFonts w:cstheme="minorHAnsi"/>
                <w:b/>
                <w:color w:val="000000"/>
                <w:sz w:val="20"/>
                <w:szCs w:val="20"/>
              </w:rPr>
              <w:t>Rok</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F4602E" w14:textId="77777777" w:rsidR="006D210C" w:rsidRPr="00502645" w:rsidRDefault="006D210C" w:rsidP="00A0698F">
            <w:pPr>
              <w:keepNext/>
              <w:spacing w:after="0" w:line="240" w:lineRule="auto"/>
              <w:jc w:val="center"/>
              <w:rPr>
                <w:rFonts w:cstheme="minorHAnsi"/>
                <w:b/>
                <w:color w:val="000000"/>
                <w:sz w:val="20"/>
                <w:szCs w:val="20"/>
              </w:rPr>
            </w:pPr>
            <w:r w:rsidRPr="00502645">
              <w:rPr>
                <w:rFonts w:cstheme="minorHAnsi"/>
                <w:b/>
                <w:color w:val="000000"/>
                <w:sz w:val="20"/>
                <w:szCs w:val="20"/>
              </w:rPr>
              <w:t>Náklady na outsourcing v Kč</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94071A" w14:textId="517E0D89" w:rsidR="006D210C" w:rsidRPr="00502645" w:rsidRDefault="006D210C" w:rsidP="00A0698F">
            <w:pPr>
              <w:keepNext/>
              <w:spacing w:after="0" w:line="240" w:lineRule="auto"/>
              <w:jc w:val="center"/>
              <w:rPr>
                <w:rFonts w:cstheme="minorHAnsi"/>
                <w:b/>
                <w:color w:val="000000"/>
                <w:sz w:val="20"/>
                <w:szCs w:val="20"/>
              </w:rPr>
            </w:pPr>
            <w:r w:rsidRPr="00502645">
              <w:rPr>
                <w:rFonts w:cstheme="minorHAnsi"/>
                <w:b/>
                <w:color w:val="000000"/>
                <w:sz w:val="20"/>
                <w:szCs w:val="20"/>
              </w:rPr>
              <w:t>Celkové náklady</w:t>
            </w:r>
            <w:r w:rsidR="00A0698F">
              <w:rPr>
                <w:rFonts w:cstheme="minorHAnsi"/>
                <w:b/>
                <w:color w:val="000000"/>
                <w:sz w:val="20"/>
                <w:szCs w:val="20"/>
              </w:rPr>
              <w:t xml:space="preserve"> </w:t>
            </w:r>
            <w:r w:rsidRPr="00502645">
              <w:rPr>
                <w:rFonts w:cstheme="minorHAnsi"/>
                <w:b/>
                <w:color w:val="000000"/>
                <w:sz w:val="20"/>
                <w:szCs w:val="20"/>
              </w:rPr>
              <w:t>v Kč</w:t>
            </w:r>
          </w:p>
        </w:tc>
        <w:tc>
          <w:tcPr>
            <w:tcW w:w="39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E1627D" w14:textId="2DE20BAF" w:rsidR="006D210C" w:rsidRPr="00502645" w:rsidRDefault="006D210C" w:rsidP="00A0698F">
            <w:pPr>
              <w:keepNext/>
              <w:spacing w:after="0" w:line="240" w:lineRule="auto"/>
              <w:jc w:val="center"/>
              <w:rPr>
                <w:rFonts w:cstheme="minorHAnsi"/>
                <w:b/>
                <w:color w:val="000000"/>
                <w:sz w:val="20"/>
                <w:szCs w:val="20"/>
              </w:rPr>
            </w:pPr>
            <w:r w:rsidRPr="00502645">
              <w:rPr>
                <w:rFonts w:cstheme="minorHAnsi"/>
                <w:b/>
                <w:color w:val="000000"/>
                <w:sz w:val="20"/>
                <w:szCs w:val="20"/>
              </w:rPr>
              <w:t>Podíl outsourcingu na</w:t>
            </w:r>
            <w:r w:rsidR="00A0698F">
              <w:rPr>
                <w:rFonts w:cstheme="minorHAnsi"/>
                <w:b/>
                <w:color w:val="000000"/>
                <w:sz w:val="20"/>
                <w:szCs w:val="20"/>
              </w:rPr>
              <w:t xml:space="preserve"> </w:t>
            </w:r>
            <w:r w:rsidRPr="00502645">
              <w:rPr>
                <w:rFonts w:cstheme="minorHAnsi"/>
                <w:b/>
                <w:color w:val="000000"/>
                <w:sz w:val="20"/>
                <w:szCs w:val="20"/>
              </w:rPr>
              <w:t>celkových</w:t>
            </w:r>
            <w:r w:rsidR="00A0698F">
              <w:rPr>
                <w:rFonts w:cstheme="minorHAnsi"/>
                <w:b/>
                <w:color w:val="000000"/>
                <w:sz w:val="20"/>
                <w:szCs w:val="20"/>
              </w:rPr>
              <w:t xml:space="preserve"> n</w:t>
            </w:r>
            <w:r w:rsidRPr="00502645">
              <w:rPr>
                <w:rFonts w:cstheme="minorHAnsi"/>
                <w:b/>
                <w:color w:val="000000"/>
                <w:sz w:val="20"/>
                <w:szCs w:val="20"/>
              </w:rPr>
              <w:t>ákladech</w:t>
            </w:r>
          </w:p>
        </w:tc>
      </w:tr>
      <w:tr w:rsidR="00A0698F" w:rsidRPr="00502645" w14:paraId="55DDA54E" w14:textId="77777777" w:rsidTr="00A0698F">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2B74" w14:textId="77777777"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2019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E08D91B" w14:textId="6239BEA1"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44 513 340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47DC416" w14:textId="5C530353"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151 931 709</w:t>
            </w:r>
          </w:p>
        </w:tc>
        <w:tc>
          <w:tcPr>
            <w:tcW w:w="3912" w:type="dxa"/>
            <w:tcBorders>
              <w:top w:val="single" w:sz="4" w:space="0" w:color="auto"/>
              <w:left w:val="nil"/>
              <w:bottom w:val="single" w:sz="4" w:space="0" w:color="auto"/>
              <w:right w:val="single" w:sz="4" w:space="0" w:color="auto"/>
            </w:tcBorders>
            <w:shd w:val="clear" w:color="auto" w:fill="auto"/>
            <w:noWrap/>
            <w:vAlign w:val="center"/>
            <w:hideMark/>
          </w:tcPr>
          <w:p w14:paraId="47D873C2" w14:textId="77777777"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29,30 %</w:t>
            </w:r>
          </w:p>
        </w:tc>
      </w:tr>
      <w:tr w:rsidR="00A0698F" w:rsidRPr="00502645" w14:paraId="3AA5937D" w14:textId="77777777" w:rsidTr="00A0698F">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B7448" w14:textId="77777777"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2020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F48CAEB" w14:textId="77B36303"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49 621 761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69D6E43" w14:textId="37EA5E74"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169 784 878</w:t>
            </w:r>
          </w:p>
        </w:tc>
        <w:tc>
          <w:tcPr>
            <w:tcW w:w="3912" w:type="dxa"/>
            <w:tcBorders>
              <w:top w:val="single" w:sz="4" w:space="0" w:color="auto"/>
              <w:left w:val="nil"/>
              <w:bottom w:val="single" w:sz="4" w:space="0" w:color="auto"/>
              <w:right w:val="single" w:sz="4" w:space="0" w:color="auto"/>
            </w:tcBorders>
            <w:shd w:val="clear" w:color="auto" w:fill="auto"/>
            <w:noWrap/>
            <w:vAlign w:val="center"/>
          </w:tcPr>
          <w:p w14:paraId="409BF8D3" w14:textId="77777777" w:rsidR="006D210C" w:rsidRPr="00502645" w:rsidRDefault="006D210C" w:rsidP="00A0698F">
            <w:pPr>
              <w:keepNext/>
              <w:spacing w:after="0" w:line="240" w:lineRule="auto"/>
              <w:jc w:val="center"/>
              <w:rPr>
                <w:rFonts w:cstheme="minorHAnsi"/>
                <w:color w:val="000000"/>
                <w:sz w:val="20"/>
                <w:szCs w:val="20"/>
              </w:rPr>
            </w:pPr>
            <w:r w:rsidRPr="00502645">
              <w:rPr>
                <w:rFonts w:cstheme="minorHAnsi"/>
                <w:color w:val="000000"/>
                <w:sz w:val="20"/>
                <w:szCs w:val="20"/>
              </w:rPr>
              <w:t>29,23 %</w:t>
            </w:r>
          </w:p>
        </w:tc>
      </w:tr>
      <w:tr w:rsidR="00A0698F" w:rsidRPr="00502645" w14:paraId="30A41FCD" w14:textId="77777777" w:rsidTr="00A0698F">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FE45" w14:textId="77777777" w:rsidR="006D210C" w:rsidRPr="00502645" w:rsidRDefault="006D210C" w:rsidP="00A0698F">
            <w:pPr>
              <w:keepNext/>
              <w:spacing w:after="0" w:line="240" w:lineRule="auto"/>
              <w:jc w:val="center"/>
              <w:rPr>
                <w:rFonts w:cstheme="minorHAnsi"/>
                <w:color w:val="000000"/>
                <w:sz w:val="20"/>
                <w:szCs w:val="20"/>
                <w:highlight w:val="yellow"/>
              </w:rPr>
            </w:pPr>
            <w:r w:rsidRPr="00502645">
              <w:rPr>
                <w:rFonts w:cstheme="minorHAnsi"/>
                <w:color w:val="000000"/>
                <w:sz w:val="20"/>
                <w:szCs w:val="20"/>
              </w:rPr>
              <w:t>2021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82916F" w14:textId="3536656D" w:rsidR="006D210C" w:rsidRPr="00502645" w:rsidRDefault="006D210C" w:rsidP="00A0698F">
            <w:pPr>
              <w:keepNext/>
              <w:spacing w:after="0" w:line="240" w:lineRule="auto"/>
              <w:jc w:val="center"/>
              <w:rPr>
                <w:rFonts w:cstheme="minorHAnsi"/>
                <w:color w:val="000000"/>
                <w:sz w:val="20"/>
                <w:szCs w:val="20"/>
                <w:highlight w:val="yellow"/>
              </w:rPr>
            </w:pPr>
            <w:r w:rsidRPr="00502645">
              <w:rPr>
                <w:rFonts w:cstheme="minorHAnsi"/>
                <w:color w:val="000000"/>
                <w:sz w:val="20"/>
                <w:szCs w:val="20"/>
              </w:rPr>
              <w:t>66 039 265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12063F" w14:textId="02DDE5E9" w:rsidR="006D210C" w:rsidRPr="00502645" w:rsidRDefault="006D210C" w:rsidP="00A0698F">
            <w:pPr>
              <w:keepNext/>
              <w:spacing w:after="0" w:line="240" w:lineRule="auto"/>
              <w:jc w:val="center"/>
              <w:rPr>
                <w:rFonts w:cstheme="minorHAnsi"/>
                <w:color w:val="000000"/>
                <w:sz w:val="20"/>
                <w:szCs w:val="20"/>
                <w:highlight w:val="yellow"/>
              </w:rPr>
            </w:pPr>
            <w:r w:rsidRPr="00502645">
              <w:rPr>
                <w:rFonts w:cstheme="minorHAnsi"/>
                <w:color w:val="000000"/>
                <w:sz w:val="20"/>
                <w:szCs w:val="20"/>
              </w:rPr>
              <w:t>150 423 514</w:t>
            </w:r>
          </w:p>
        </w:tc>
        <w:tc>
          <w:tcPr>
            <w:tcW w:w="3912" w:type="dxa"/>
            <w:tcBorders>
              <w:top w:val="single" w:sz="4" w:space="0" w:color="auto"/>
              <w:left w:val="nil"/>
              <w:bottom w:val="single" w:sz="4" w:space="0" w:color="auto"/>
              <w:right w:val="single" w:sz="4" w:space="0" w:color="auto"/>
            </w:tcBorders>
            <w:shd w:val="clear" w:color="auto" w:fill="auto"/>
            <w:noWrap/>
            <w:vAlign w:val="center"/>
            <w:hideMark/>
          </w:tcPr>
          <w:p w14:paraId="46867E32" w14:textId="77777777" w:rsidR="006D210C" w:rsidRPr="00502645" w:rsidRDefault="006D210C" w:rsidP="00A0698F">
            <w:pPr>
              <w:keepNext/>
              <w:spacing w:after="0" w:line="240" w:lineRule="auto"/>
              <w:jc w:val="center"/>
              <w:rPr>
                <w:rFonts w:cstheme="minorHAnsi"/>
                <w:color w:val="000000"/>
                <w:sz w:val="20"/>
                <w:szCs w:val="20"/>
                <w:highlight w:val="yellow"/>
              </w:rPr>
            </w:pPr>
            <w:r w:rsidRPr="00502645">
              <w:rPr>
                <w:rFonts w:cstheme="minorHAnsi"/>
                <w:color w:val="000000"/>
                <w:sz w:val="20"/>
                <w:szCs w:val="20"/>
              </w:rPr>
              <w:t>43,90 %</w:t>
            </w:r>
          </w:p>
        </w:tc>
      </w:tr>
    </w:tbl>
    <w:p w14:paraId="2364DAEF" w14:textId="2803C81E" w:rsidR="006D210C" w:rsidRPr="00A0698F" w:rsidRDefault="006D210C" w:rsidP="00A0698F">
      <w:pPr>
        <w:spacing w:before="40" w:after="0" w:line="240" w:lineRule="auto"/>
        <w:jc w:val="both"/>
        <w:rPr>
          <w:sz w:val="20"/>
          <w:szCs w:val="18"/>
        </w:rPr>
      </w:pPr>
      <w:r w:rsidRPr="00A0698F">
        <w:rPr>
          <w:rFonts w:cstheme="minorHAnsi"/>
          <w:b/>
          <w:color w:val="000000"/>
          <w:sz w:val="20"/>
          <w:szCs w:val="18"/>
        </w:rPr>
        <w:t>Zdroj</w:t>
      </w:r>
      <w:r w:rsidRPr="00A0698F">
        <w:rPr>
          <w:b/>
          <w:sz w:val="20"/>
          <w:szCs w:val="18"/>
        </w:rPr>
        <w:t>:</w:t>
      </w:r>
      <w:r w:rsidRPr="00A0698F">
        <w:rPr>
          <w:sz w:val="20"/>
          <w:szCs w:val="18"/>
        </w:rPr>
        <w:t xml:space="preserve"> SPO CENIA</w:t>
      </w:r>
      <w:bookmarkEnd w:id="6"/>
      <w:r w:rsidRPr="00A0698F">
        <w:rPr>
          <w:sz w:val="20"/>
          <w:szCs w:val="18"/>
        </w:rPr>
        <w:t>.</w:t>
      </w:r>
    </w:p>
    <w:p w14:paraId="3420EA2F" w14:textId="77777777" w:rsidR="00CA3075" w:rsidRPr="00A0698F" w:rsidRDefault="00CA3075" w:rsidP="006D210C">
      <w:pPr>
        <w:spacing w:after="0" w:line="240" w:lineRule="auto"/>
        <w:jc w:val="both"/>
        <w:rPr>
          <w:rFonts w:cstheme="minorHAnsi"/>
          <w:color w:val="000000"/>
          <w:sz w:val="24"/>
          <w:szCs w:val="18"/>
        </w:rPr>
      </w:pPr>
    </w:p>
    <w:p w14:paraId="499B8703" w14:textId="683F2B52" w:rsidR="004D6A95" w:rsidRPr="004516BA" w:rsidRDefault="004516BA" w:rsidP="00C177F4">
      <w:pPr>
        <w:tabs>
          <w:tab w:val="left" w:pos="567"/>
        </w:tabs>
        <w:spacing w:after="0" w:line="240" w:lineRule="auto"/>
        <w:jc w:val="both"/>
        <w:rPr>
          <w:rFonts w:eastAsia="Calibri" w:cstheme="minorHAnsi"/>
          <w:sz w:val="24"/>
          <w:szCs w:val="24"/>
        </w:rPr>
      </w:pPr>
      <w:r>
        <w:rPr>
          <w:rFonts w:eastAsia="Calibri" w:cstheme="minorHAnsi"/>
          <w:sz w:val="24"/>
          <w:szCs w:val="24"/>
        </w:rPr>
        <w:t xml:space="preserve">4.12 </w:t>
      </w:r>
      <w:r w:rsidR="00C177F4">
        <w:rPr>
          <w:rFonts w:eastAsia="Calibri" w:cstheme="minorHAnsi"/>
          <w:sz w:val="24"/>
          <w:szCs w:val="24"/>
        </w:rPr>
        <w:tab/>
      </w:r>
      <w:r w:rsidR="006C1042" w:rsidRPr="004516BA">
        <w:rPr>
          <w:rFonts w:eastAsia="Calibri" w:cstheme="minorHAnsi"/>
          <w:sz w:val="24"/>
          <w:szCs w:val="24"/>
        </w:rPr>
        <w:t xml:space="preserve">CENIA u projektu </w:t>
      </w:r>
      <w:r w:rsidR="0041633F" w:rsidRPr="0056380C">
        <w:rPr>
          <w:rFonts w:eastAsia="Calibri" w:cstheme="minorHAnsi"/>
          <w:i/>
          <w:sz w:val="24"/>
          <w:szCs w:val="24"/>
        </w:rPr>
        <w:t>Národní inventarizace kontaminovaných míst II. etapa</w:t>
      </w:r>
      <w:r w:rsidR="0041633F" w:rsidRPr="004516BA">
        <w:rPr>
          <w:rFonts w:eastAsia="Calibri" w:cstheme="minorHAnsi"/>
          <w:sz w:val="24"/>
          <w:szCs w:val="24"/>
        </w:rPr>
        <w:t xml:space="preserve"> (dále také „NIKM II“) </w:t>
      </w:r>
      <w:r w:rsidR="006C1042" w:rsidRPr="004516BA">
        <w:rPr>
          <w:rFonts w:eastAsia="Calibri" w:cstheme="minorHAnsi"/>
          <w:sz w:val="24"/>
          <w:szCs w:val="24"/>
        </w:rPr>
        <w:t xml:space="preserve">zajišťovala služby </w:t>
      </w:r>
      <w:r w:rsidR="0041633F" w:rsidRPr="004516BA">
        <w:rPr>
          <w:rFonts w:eastAsia="Calibri" w:cstheme="minorHAnsi"/>
          <w:sz w:val="24"/>
          <w:szCs w:val="24"/>
        </w:rPr>
        <w:t xml:space="preserve">prostřednictvím </w:t>
      </w:r>
      <w:r w:rsidR="00E17569" w:rsidRPr="004516BA">
        <w:rPr>
          <w:rFonts w:eastAsia="Calibri" w:cstheme="minorHAnsi"/>
          <w:sz w:val="24"/>
          <w:szCs w:val="24"/>
        </w:rPr>
        <w:t>nákupu od externího dodavatele</w:t>
      </w:r>
      <w:r w:rsidR="0041633F" w:rsidRPr="004516BA">
        <w:rPr>
          <w:rFonts w:eastAsia="Calibri" w:cstheme="minorHAnsi"/>
          <w:sz w:val="24"/>
          <w:szCs w:val="24"/>
        </w:rPr>
        <w:t xml:space="preserve">, aniž by před tímto rozhodnutím provedla analýzu ekonomické výhodnosti </w:t>
      </w:r>
      <w:r w:rsidR="00D73A97" w:rsidRPr="004516BA">
        <w:rPr>
          <w:rFonts w:eastAsia="Calibri" w:cstheme="minorHAnsi"/>
          <w:sz w:val="24"/>
          <w:szCs w:val="24"/>
        </w:rPr>
        <w:t xml:space="preserve">tohoto </w:t>
      </w:r>
      <w:r w:rsidR="0041633F" w:rsidRPr="004516BA">
        <w:rPr>
          <w:rFonts w:eastAsia="Calibri" w:cstheme="minorHAnsi"/>
          <w:sz w:val="24"/>
          <w:szCs w:val="24"/>
        </w:rPr>
        <w:t>nákupu. Záměr projektu NIKM II ani další dokumenty předložené ke schválení projektu zabývající se evidencí kontaminovaných míst neobsahují varianty předpokládaných výdajů např.</w:t>
      </w:r>
      <w:r w:rsidR="0003326E" w:rsidRPr="004516BA">
        <w:rPr>
          <w:rFonts w:eastAsia="Calibri" w:cstheme="minorHAnsi"/>
          <w:sz w:val="24"/>
          <w:szCs w:val="24"/>
        </w:rPr>
        <w:t> </w:t>
      </w:r>
      <w:r w:rsidR="0041633F" w:rsidRPr="004516BA">
        <w:rPr>
          <w:rFonts w:eastAsia="Calibri" w:cstheme="minorHAnsi"/>
          <w:sz w:val="24"/>
          <w:szCs w:val="24"/>
        </w:rPr>
        <w:t>s</w:t>
      </w:r>
      <w:r w:rsidR="0003326E" w:rsidRPr="004516BA">
        <w:rPr>
          <w:rFonts w:eastAsia="Calibri" w:cstheme="minorHAnsi"/>
          <w:sz w:val="24"/>
          <w:szCs w:val="24"/>
        </w:rPr>
        <w:t> </w:t>
      </w:r>
      <w:r w:rsidR="0041633F" w:rsidRPr="004516BA">
        <w:rPr>
          <w:rFonts w:eastAsia="Calibri" w:cstheme="minorHAnsi"/>
          <w:sz w:val="24"/>
          <w:szCs w:val="24"/>
        </w:rPr>
        <w:t>využitím vlastních kapacit či kapacit jiných SPO v rámci MŽP. Na tento projekt v letech 2019 až 2021 vynaložila CENIA celkem 116,6 mil. Kč.</w:t>
      </w:r>
    </w:p>
    <w:p w14:paraId="7D03128B" w14:textId="77777777" w:rsidR="004D6A95" w:rsidRPr="004D6A95" w:rsidRDefault="004D6A95" w:rsidP="00F25DD9">
      <w:pPr>
        <w:pStyle w:val="Odstavecseseznamem"/>
        <w:spacing w:after="0" w:line="240" w:lineRule="auto"/>
        <w:ind w:left="0"/>
        <w:jc w:val="both"/>
        <w:rPr>
          <w:rFonts w:eastAsia="Calibri" w:cstheme="minorHAnsi"/>
          <w:sz w:val="24"/>
          <w:szCs w:val="24"/>
        </w:rPr>
      </w:pPr>
    </w:p>
    <w:p w14:paraId="6D773DCC" w14:textId="5A6DCBEB" w:rsidR="00320982" w:rsidRPr="004516BA" w:rsidRDefault="004516BA" w:rsidP="00C177F4">
      <w:pPr>
        <w:tabs>
          <w:tab w:val="left" w:pos="567"/>
        </w:tabs>
        <w:spacing w:after="0" w:line="240" w:lineRule="auto"/>
        <w:jc w:val="both"/>
        <w:rPr>
          <w:rFonts w:eastAsia="Calibri" w:cstheme="minorHAnsi"/>
          <w:sz w:val="24"/>
          <w:szCs w:val="24"/>
        </w:rPr>
      </w:pPr>
      <w:r>
        <w:rPr>
          <w:rFonts w:eastAsia="Calibri" w:cstheme="minorHAnsi"/>
          <w:bCs/>
          <w:sz w:val="24"/>
          <w:szCs w:val="24"/>
        </w:rPr>
        <w:t xml:space="preserve">4.13 </w:t>
      </w:r>
      <w:r w:rsidR="00C177F4">
        <w:rPr>
          <w:rFonts w:eastAsia="Calibri" w:cstheme="minorHAnsi"/>
          <w:bCs/>
          <w:sz w:val="24"/>
          <w:szCs w:val="24"/>
        </w:rPr>
        <w:tab/>
      </w:r>
      <w:r w:rsidR="00E76BE1" w:rsidRPr="004516BA">
        <w:rPr>
          <w:rFonts w:eastAsia="Calibri" w:cstheme="minorHAnsi"/>
          <w:bCs/>
          <w:sz w:val="24"/>
          <w:szCs w:val="24"/>
        </w:rPr>
        <w:t>ÚZEI</w:t>
      </w:r>
      <w:r w:rsidR="009A3891">
        <w:rPr>
          <w:rStyle w:val="Znakapoznpodarou"/>
          <w:rFonts w:eastAsia="Calibri" w:cstheme="minorHAnsi"/>
          <w:bCs/>
          <w:sz w:val="24"/>
          <w:szCs w:val="24"/>
        </w:rPr>
        <w:footnoteReference w:id="21"/>
      </w:r>
      <w:r w:rsidR="00E76BE1" w:rsidRPr="004516BA">
        <w:rPr>
          <w:rFonts w:eastAsia="Calibri" w:cstheme="minorHAnsi"/>
          <w:bCs/>
          <w:sz w:val="24"/>
          <w:szCs w:val="24"/>
        </w:rPr>
        <w:t xml:space="preserve"> zajišť</w:t>
      </w:r>
      <w:r w:rsidR="005F4299" w:rsidRPr="004516BA">
        <w:rPr>
          <w:rFonts w:eastAsia="Calibri" w:cstheme="minorHAnsi"/>
          <w:bCs/>
          <w:sz w:val="24"/>
          <w:szCs w:val="24"/>
        </w:rPr>
        <w:t>oval</w:t>
      </w:r>
      <w:r w:rsidR="00E76BE1" w:rsidRPr="004516BA">
        <w:rPr>
          <w:rFonts w:eastAsia="Calibri" w:cstheme="minorHAnsi"/>
          <w:bCs/>
          <w:sz w:val="24"/>
          <w:szCs w:val="24"/>
        </w:rPr>
        <w:t xml:space="preserve"> sběr dat v průběhu šetření FADN</w:t>
      </w:r>
      <w:r w:rsidR="00F92D38">
        <w:rPr>
          <w:rStyle w:val="Znakapoznpodarou"/>
          <w:rFonts w:cstheme="minorHAnsi"/>
          <w:sz w:val="24"/>
          <w:szCs w:val="24"/>
        </w:rPr>
        <w:footnoteReference w:id="22"/>
      </w:r>
      <w:r w:rsidR="00E76BE1" w:rsidRPr="004516BA">
        <w:rPr>
          <w:rFonts w:eastAsia="Calibri" w:cstheme="minorHAnsi"/>
          <w:bCs/>
          <w:sz w:val="24"/>
          <w:szCs w:val="24"/>
        </w:rPr>
        <w:t xml:space="preserve"> prostřednictvím externích dodavatelských firem. </w:t>
      </w:r>
      <w:r w:rsidR="00781CDD" w:rsidRPr="004516BA">
        <w:rPr>
          <w:rFonts w:eastAsia="Calibri" w:cstheme="minorHAnsi"/>
          <w:bCs/>
          <w:sz w:val="24"/>
          <w:szCs w:val="24"/>
        </w:rPr>
        <w:t>ÚZEI</w:t>
      </w:r>
      <w:r w:rsidR="00781CDD" w:rsidRPr="004516BA">
        <w:rPr>
          <w:rFonts w:eastAsia="Calibri" w:cstheme="minorHAnsi"/>
          <w:sz w:val="24"/>
          <w:szCs w:val="24"/>
        </w:rPr>
        <w:t xml:space="preserve"> nezpracoval ekonomickou analýzu výhodnosti nákupu dotazníkových šetření FADN u třetích osob</w:t>
      </w:r>
      <w:r w:rsidR="002166AC" w:rsidRPr="004516BA">
        <w:rPr>
          <w:rFonts w:eastAsia="Calibri" w:cstheme="minorHAnsi"/>
          <w:sz w:val="24"/>
          <w:szCs w:val="24"/>
        </w:rPr>
        <w:t>.</w:t>
      </w:r>
      <w:r w:rsidR="004D6A95" w:rsidRPr="004516BA">
        <w:rPr>
          <w:rFonts w:eastAsia="Calibri" w:cstheme="minorHAnsi"/>
          <w:sz w:val="24"/>
          <w:szCs w:val="24"/>
        </w:rPr>
        <w:t xml:space="preserve"> </w:t>
      </w:r>
      <w:r w:rsidR="004D6A95" w:rsidRPr="004516BA">
        <w:rPr>
          <w:rFonts w:cstheme="minorHAnsi"/>
          <w:sz w:val="24"/>
          <w:szCs w:val="24"/>
        </w:rPr>
        <w:t>Na sběr dat následně vynaložil externím dodavatelským firmám prostřednictvím nadlimitní veřejné zakázky v letech 2019 až 2021 celkem 62,6</w:t>
      </w:r>
      <w:r w:rsidR="0003326E" w:rsidRPr="004516BA">
        <w:rPr>
          <w:rFonts w:cstheme="minorHAnsi"/>
          <w:sz w:val="24"/>
          <w:szCs w:val="24"/>
        </w:rPr>
        <w:t> </w:t>
      </w:r>
      <w:r w:rsidR="004D6A95" w:rsidRPr="004516BA">
        <w:rPr>
          <w:rFonts w:cstheme="minorHAnsi"/>
          <w:sz w:val="24"/>
          <w:szCs w:val="24"/>
        </w:rPr>
        <w:t>mil. Kč.</w:t>
      </w:r>
    </w:p>
    <w:p w14:paraId="1CE65511" w14:textId="77777777" w:rsidR="002166AC" w:rsidRPr="00CE6A6E" w:rsidRDefault="002166AC" w:rsidP="002166AC">
      <w:pPr>
        <w:spacing w:after="0" w:line="240" w:lineRule="auto"/>
        <w:jc w:val="both"/>
        <w:rPr>
          <w:rFonts w:eastAsia="Calibri" w:cstheme="minorHAnsi"/>
          <w:sz w:val="24"/>
          <w:szCs w:val="16"/>
        </w:rPr>
      </w:pPr>
    </w:p>
    <w:p w14:paraId="2D648D18" w14:textId="4134DC20" w:rsidR="002166AC" w:rsidRPr="0072619F" w:rsidRDefault="002166AC" w:rsidP="005B1A41">
      <w:pPr>
        <w:keepNext/>
        <w:spacing w:after="0" w:line="240" w:lineRule="auto"/>
        <w:jc w:val="both"/>
        <w:rPr>
          <w:rFonts w:ascii="Calibri" w:eastAsia="Calibri" w:hAnsi="Calibri" w:cs="Calibri"/>
          <w:b/>
          <w:bCs/>
          <w:iCs/>
          <w:sz w:val="24"/>
          <w:szCs w:val="24"/>
        </w:rPr>
      </w:pPr>
      <w:r w:rsidRPr="0072619F">
        <w:rPr>
          <w:rFonts w:ascii="Calibri" w:eastAsia="Calibri" w:hAnsi="Calibri" w:cs="Calibri"/>
          <w:b/>
          <w:bCs/>
          <w:iCs/>
          <w:sz w:val="24"/>
          <w:szCs w:val="24"/>
        </w:rPr>
        <w:t xml:space="preserve">Příklad č. </w:t>
      </w:r>
      <w:r w:rsidR="005F4299" w:rsidRPr="0072619F">
        <w:rPr>
          <w:rFonts w:ascii="Calibri" w:eastAsia="Calibri" w:hAnsi="Calibri" w:cs="Calibri"/>
          <w:b/>
          <w:bCs/>
          <w:iCs/>
          <w:sz w:val="24"/>
          <w:szCs w:val="24"/>
        </w:rPr>
        <w:t>2</w:t>
      </w:r>
    </w:p>
    <w:tbl>
      <w:tblPr>
        <w:tblStyle w:val="Mkatabulky"/>
        <w:tblW w:w="0" w:type="auto"/>
        <w:tblLook w:val="04A0" w:firstRow="1" w:lastRow="0" w:firstColumn="1" w:lastColumn="0" w:noHBand="0" w:noVBand="1"/>
      </w:tblPr>
      <w:tblGrid>
        <w:gridCol w:w="9062"/>
      </w:tblGrid>
      <w:tr w:rsidR="002166AC" w:rsidRPr="004516BA" w14:paraId="22732822" w14:textId="77777777" w:rsidTr="00D55AA8">
        <w:tc>
          <w:tcPr>
            <w:tcW w:w="9062" w:type="dxa"/>
          </w:tcPr>
          <w:p w14:paraId="72899056" w14:textId="6A09A9E3" w:rsidR="002166AC" w:rsidRPr="004516BA" w:rsidRDefault="002166AC" w:rsidP="005B1A41">
            <w:pPr>
              <w:keepNext/>
              <w:jc w:val="both"/>
              <w:rPr>
                <w:rFonts w:ascii="Calibri" w:eastAsia="Calibri" w:hAnsi="Calibri" w:cs="Calibri"/>
                <w:i/>
                <w:sz w:val="24"/>
                <w:szCs w:val="24"/>
              </w:rPr>
            </w:pPr>
            <w:r w:rsidRPr="004516BA">
              <w:rPr>
                <w:rFonts w:ascii="Calibri" w:eastAsia="Calibri" w:hAnsi="Calibri" w:cs="Calibri"/>
                <w:i/>
                <w:sz w:val="24"/>
                <w:szCs w:val="24"/>
              </w:rPr>
              <w:t>V</w:t>
            </w:r>
            <w:r w:rsidR="00506CE7" w:rsidRPr="004516BA">
              <w:rPr>
                <w:rFonts w:ascii="Calibri" w:eastAsia="Calibri" w:hAnsi="Calibri" w:cs="Calibri"/>
                <w:i/>
                <w:sz w:val="24"/>
                <w:szCs w:val="24"/>
              </w:rPr>
              <w:t> </w:t>
            </w:r>
            <w:r w:rsidRPr="004516BA">
              <w:rPr>
                <w:rFonts w:ascii="Calibri" w:eastAsia="Calibri" w:hAnsi="Calibri" w:cs="Calibri"/>
                <w:i/>
                <w:sz w:val="24"/>
                <w:szCs w:val="24"/>
              </w:rPr>
              <w:t>kontrolovaném období zadal ÚZEI sběr dat prostřednictvím nadlimitní veřejné zakázky. Předmětem veřejné zakázky je zabezpečení sledování výrobně-ekonomických informací v</w:t>
            </w:r>
            <w:r w:rsidR="004516BA">
              <w:rPr>
                <w:rFonts w:ascii="Calibri" w:eastAsia="Calibri" w:hAnsi="Calibri" w:cs="Calibri"/>
                <w:i/>
                <w:sz w:val="24"/>
                <w:szCs w:val="24"/>
              </w:rPr>
              <w:t> </w:t>
            </w:r>
            <w:r w:rsidRPr="004516BA">
              <w:rPr>
                <w:rFonts w:ascii="Calibri" w:eastAsia="Calibri" w:hAnsi="Calibri" w:cs="Calibri"/>
                <w:i/>
                <w:sz w:val="24"/>
                <w:szCs w:val="24"/>
              </w:rPr>
              <w:t>souboru zemědělských podniků podle jednotné metodiky zemědělské účetní datové sítě, pravidelné každoroční šetření a</w:t>
            </w:r>
            <w:r w:rsidR="00506CE7" w:rsidRPr="004516BA">
              <w:rPr>
                <w:rFonts w:ascii="Calibri" w:eastAsia="Calibri" w:hAnsi="Calibri" w:cs="Calibri"/>
                <w:i/>
                <w:sz w:val="24"/>
                <w:szCs w:val="24"/>
              </w:rPr>
              <w:t> </w:t>
            </w:r>
            <w:r w:rsidRPr="004516BA">
              <w:rPr>
                <w:rFonts w:ascii="Calibri" w:eastAsia="Calibri" w:hAnsi="Calibri" w:cs="Calibri"/>
                <w:i/>
                <w:sz w:val="24"/>
                <w:szCs w:val="24"/>
              </w:rPr>
              <w:t xml:space="preserve">předávání těchto podnikových informací ÚZEI, </w:t>
            </w:r>
            <w:r w:rsidR="00013E11">
              <w:rPr>
                <w:rFonts w:ascii="Calibri" w:eastAsia="Calibri" w:hAnsi="Calibri" w:cs="Calibri"/>
                <w:i/>
                <w:sz w:val="24"/>
                <w:szCs w:val="24"/>
              </w:rPr>
              <w:t xml:space="preserve">a to </w:t>
            </w:r>
            <w:r w:rsidRPr="004516BA">
              <w:rPr>
                <w:rFonts w:ascii="Calibri" w:eastAsia="Calibri" w:hAnsi="Calibri" w:cs="Calibri"/>
                <w:i/>
                <w:sz w:val="24"/>
                <w:szCs w:val="24"/>
              </w:rPr>
              <w:t>v</w:t>
            </w:r>
            <w:r w:rsidR="00013E11">
              <w:rPr>
                <w:rFonts w:ascii="Calibri" w:eastAsia="Calibri" w:hAnsi="Calibri" w:cs="Calibri"/>
                <w:i/>
                <w:sz w:val="24"/>
                <w:szCs w:val="24"/>
              </w:rPr>
              <w:t> </w:t>
            </w:r>
            <w:r w:rsidRPr="004516BA">
              <w:rPr>
                <w:rFonts w:ascii="Calibri" w:eastAsia="Calibri" w:hAnsi="Calibri" w:cs="Calibri"/>
                <w:i/>
                <w:sz w:val="24"/>
                <w:szCs w:val="24"/>
              </w:rPr>
              <w:t>předepsané formě a v požadovaných termínech</w:t>
            </w:r>
            <w:r w:rsidR="00013E11">
              <w:rPr>
                <w:rFonts w:ascii="Calibri" w:eastAsia="Calibri" w:hAnsi="Calibri" w:cs="Calibri"/>
                <w:i/>
                <w:sz w:val="24"/>
                <w:szCs w:val="24"/>
              </w:rPr>
              <w:t>,</w:t>
            </w:r>
            <w:r w:rsidRPr="004516BA">
              <w:rPr>
                <w:rFonts w:ascii="Calibri" w:eastAsia="Calibri" w:hAnsi="Calibri" w:cs="Calibri"/>
                <w:i/>
                <w:sz w:val="24"/>
                <w:szCs w:val="24"/>
              </w:rPr>
              <w:t xml:space="preserve"> včetně zabezpečení kontrol a oprav předávaných dat podle požadavků ÚZEI. </w:t>
            </w:r>
            <w:r w:rsidR="00F92D38" w:rsidRPr="004516BA">
              <w:rPr>
                <w:rFonts w:ascii="Calibri" w:eastAsia="Calibri" w:hAnsi="Calibri" w:cs="Calibri"/>
                <w:i/>
                <w:sz w:val="24"/>
                <w:szCs w:val="24"/>
              </w:rPr>
              <w:t>P</w:t>
            </w:r>
            <w:r w:rsidRPr="004516BA">
              <w:rPr>
                <w:rFonts w:ascii="Calibri" w:eastAsia="Calibri" w:hAnsi="Calibri" w:cs="Calibri"/>
                <w:i/>
                <w:sz w:val="24"/>
                <w:szCs w:val="24"/>
              </w:rPr>
              <w:t>roces zpracování a</w:t>
            </w:r>
            <w:r w:rsidR="00A61BC0" w:rsidRPr="004516BA">
              <w:rPr>
                <w:rFonts w:ascii="Calibri" w:eastAsia="Calibri" w:hAnsi="Calibri" w:cs="Calibri"/>
                <w:i/>
                <w:sz w:val="24"/>
                <w:szCs w:val="24"/>
              </w:rPr>
              <w:t> </w:t>
            </w:r>
            <w:r w:rsidRPr="004516BA">
              <w:rPr>
                <w:rFonts w:ascii="Calibri" w:eastAsia="Calibri" w:hAnsi="Calibri" w:cs="Calibri"/>
                <w:i/>
                <w:sz w:val="24"/>
                <w:szCs w:val="24"/>
              </w:rPr>
              <w:t xml:space="preserve">kontroly dat </w:t>
            </w:r>
            <w:r w:rsidR="005F4299" w:rsidRPr="004516BA">
              <w:rPr>
                <w:rFonts w:ascii="Calibri" w:eastAsia="Calibri" w:hAnsi="Calibri" w:cs="Calibri"/>
                <w:i/>
                <w:sz w:val="24"/>
                <w:szCs w:val="24"/>
              </w:rPr>
              <w:t>byl</w:t>
            </w:r>
            <w:r w:rsidRPr="004516BA">
              <w:rPr>
                <w:rFonts w:ascii="Calibri" w:eastAsia="Calibri" w:hAnsi="Calibri" w:cs="Calibri"/>
                <w:i/>
                <w:sz w:val="24"/>
                <w:szCs w:val="24"/>
              </w:rPr>
              <w:t xml:space="preserve"> následně prováděn centrálně pracovníky </w:t>
            </w:r>
            <w:r w:rsidR="00757315">
              <w:rPr>
                <w:rFonts w:ascii="Calibri" w:eastAsia="Calibri" w:hAnsi="Calibri" w:cs="Calibri"/>
                <w:i/>
                <w:sz w:val="24"/>
                <w:szCs w:val="24"/>
              </w:rPr>
              <w:t>k</w:t>
            </w:r>
            <w:r w:rsidRPr="004516BA">
              <w:rPr>
                <w:rFonts w:ascii="Calibri" w:eastAsia="Calibri" w:hAnsi="Calibri" w:cs="Calibri"/>
                <w:i/>
                <w:sz w:val="24"/>
                <w:szCs w:val="24"/>
              </w:rPr>
              <w:t xml:space="preserve">ontaktního pracoviště FADN </w:t>
            </w:r>
            <w:r w:rsidR="00757315">
              <w:rPr>
                <w:rFonts w:ascii="Calibri" w:eastAsia="Calibri" w:hAnsi="Calibri" w:cs="Calibri"/>
                <w:i/>
                <w:sz w:val="24"/>
                <w:szCs w:val="24"/>
              </w:rPr>
              <w:t>v </w:t>
            </w:r>
            <w:r w:rsidRPr="004516BA">
              <w:rPr>
                <w:rFonts w:ascii="Calibri" w:eastAsia="Calibri" w:hAnsi="Calibri" w:cs="Calibri"/>
                <w:i/>
                <w:sz w:val="24"/>
                <w:szCs w:val="24"/>
              </w:rPr>
              <w:t>ČR</w:t>
            </w:r>
            <w:r w:rsidR="00F92D38" w:rsidRPr="004516BA">
              <w:rPr>
                <w:rFonts w:ascii="Calibri" w:eastAsia="Calibri" w:hAnsi="Calibri" w:cs="Calibri"/>
                <w:i/>
                <w:sz w:val="24"/>
                <w:szCs w:val="24"/>
              </w:rPr>
              <w:t xml:space="preserve">. </w:t>
            </w:r>
          </w:p>
        </w:tc>
      </w:tr>
    </w:tbl>
    <w:p w14:paraId="6D773DCD" w14:textId="51F23C54" w:rsidR="00320982" w:rsidRPr="004516BA" w:rsidRDefault="00320982" w:rsidP="00B30782">
      <w:pPr>
        <w:spacing w:after="0" w:line="240" w:lineRule="auto"/>
        <w:jc w:val="both"/>
        <w:rPr>
          <w:rFonts w:ascii="Calibri" w:eastAsia="Calibri" w:hAnsi="Calibri" w:cs="Calibri"/>
          <w:color w:val="000000" w:themeColor="text1"/>
          <w:sz w:val="24"/>
          <w:szCs w:val="24"/>
        </w:rPr>
      </w:pPr>
    </w:p>
    <w:p w14:paraId="2A950AD2" w14:textId="25BC2E2F" w:rsidR="00D032D1" w:rsidRPr="0072619F" w:rsidRDefault="00D032D1" w:rsidP="00CE6A6E">
      <w:pPr>
        <w:keepNext/>
        <w:spacing w:after="0" w:line="240" w:lineRule="auto"/>
        <w:jc w:val="both"/>
        <w:rPr>
          <w:rFonts w:eastAsia="Calibri" w:cstheme="minorHAnsi"/>
          <w:b/>
          <w:sz w:val="24"/>
          <w:szCs w:val="24"/>
        </w:rPr>
      </w:pPr>
      <w:r w:rsidRPr="0072619F">
        <w:rPr>
          <w:rFonts w:eastAsia="Calibri" w:cstheme="minorHAnsi"/>
          <w:b/>
          <w:sz w:val="24"/>
          <w:szCs w:val="24"/>
        </w:rPr>
        <w:t xml:space="preserve">ČAS </w:t>
      </w:r>
      <w:r w:rsidR="00831236" w:rsidRPr="0072619F">
        <w:rPr>
          <w:rFonts w:eastAsia="Calibri" w:cstheme="minorHAnsi"/>
          <w:b/>
          <w:sz w:val="24"/>
          <w:szCs w:val="24"/>
        </w:rPr>
        <w:t xml:space="preserve">nakupovala </w:t>
      </w:r>
      <w:r w:rsidR="00417C30" w:rsidRPr="0072619F">
        <w:rPr>
          <w:rFonts w:eastAsia="Calibri" w:cstheme="minorHAnsi"/>
          <w:b/>
          <w:sz w:val="24"/>
          <w:szCs w:val="24"/>
        </w:rPr>
        <w:t>služb</w:t>
      </w:r>
      <w:r w:rsidR="00831236" w:rsidRPr="0072619F">
        <w:rPr>
          <w:rFonts w:eastAsia="Calibri" w:cstheme="minorHAnsi"/>
          <w:b/>
          <w:sz w:val="24"/>
          <w:szCs w:val="24"/>
        </w:rPr>
        <w:t>y</w:t>
      </w:r>
      <w:r w:rsidR="00417C30" w:rsidRPr="0072619F">
        <w:rPr>
          <w:rFonts w:eastAsia="Calibri" w:cstheme="minorHAnsi"/>
          <w:b/>
          <w:sz w:val="24"/>
          <w:szCs w:val="24"/>
        </w:rPr>
        <w:t xml:space="preserve"> od externích dodavatelů</w:t>
      </w:r>
    </w:p>
    <w:p w14:paraId="55013682" w14:textId="77777777" w:rsidR="00D032D1" w:rsidRPr="00CE6A6E" w:rsidRDefault="00D032D1" w:rsidP="00CE6A6E">
      <w:pPr>
        <w:keepNext/>
        <w:spacing w:after="0" w:line="240" w:lineRule="auto"/>
        <w:jc w:val="both"/>
        <w:rPr>
          <w:rFonts w:eastAsia="Calibri" w:cstheme="minorHAnsi"/>
          <w:color w:val="000000" w:themeColor="text1"/>
          <w:sz w:val="24"/>
          <w:szCs w:val="24"/>
        </w:rPr>
      </w:pPr>
    </w:p>
    <w:p w14:paraId="0D2D8680" w14:textId="0FC74CE6" w:rsidR="00D032D1" w:rsidRPr="004516BA" w:rsidRDefault="004516BA" w:rsidP="00C177F4">
      <w:pPr>
        <w:tabs>
          <w:tab w:val="left" w:pos="567"/>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4.14 </w:t>
      </w:r>
      <w:r w:rsidR="00C177F4">
        <w:rPr>
          <w:rFonts w:ascii="Calibri" w:eastAsia="Calibri" w:hAnsi="Calibri" w:cs="Calibri"/>
          <w:sz w:val="24"/>
          <w:szCs w:val="24"/>
        </w:rPr>
        <w:tab/>
      </w:r>
      <w:r w:rsidR="00A74B21" w:rsidRPr="004516BA">
        <w:rPr>
          <w:rFonts w:ascii="Calibri" w:eastAsia="Calibri" w:hAnsi="Calibri" w:cs="Calibri"/>
          <w:sz w:val="24"/>
          <w:szCs w:val="24"/>
        </w:rPr>
        <w:t>P</w:t>
      </w:r>
      <w:r w:rsidR="00A82E13" w:rsidRPr="004516BA">
        <w:rPr>
          <w:rFonts w:ascii="Calibri" w:eastAsia="Calibri" w:hAnsi="Calibri" w:cs="Calibri"/>
          <w:sz w:val="24"/>
          <w:szCs w:val="24"/>
        </w:rPr>
        <w:t>odíl nakupovaných služeb od externích dodavatelů na celkových nákladech ČAS se v letech 2018 až 2021 pohyboval v rozmezí 38,7 % až 45,1 %. Jednalo se zejména o služby spojené se zajišťováním úkolů technické normalizace, o právní a poradenské služby a</w:t>
      </w:r>
      <w:r w:rsidR="0003326E" w:rsidRPr="004516BA">
        <w:rPr>
          <w:rFonts w:ascii="Calibri" w:eastAsia="Calibri" w:hAnsi="Calibri" w:cs="Calibri"/>
          <w:sz w:val="24"/>
          <w:szCs w:val="24"/>
        </w:rPr>
        <w:t> </w:t>
      </w:r>
      <w:r w:rsidR="00A82E13" w:rsidRPr="004516BA">
        <w:rPr>
          <w:rFonts w:ascii="Calibri" w:eastAsia="Calibri" w:hAnsi="Calibri" w:cs="Calibri"/>
          <w:sz w:val="24"/>
          <w:szCs w:val="24"/>
        </w:rPr>
        <w:t>služby IT.</w:t>
      </w:r>
    </w:p>
    <w:p w14:paraId="12B3939E" w14:textId="77777777" w:rsidR="00DB4280" w:rsidRPr="00F25DD9" w:rsidRDefault="00DB4280" w:rsidP="00F25DD9">
      <w:pPr>
        <w:pStyle w:val="Odstavecseseznamem"/>
        <w:spacing w:after="0" w:line="240" w:lineRule="auto"/>
        <w:ind w:left="0"/>
        <w:jc w:val="both"/>
        <w:rPr>
          <w:rFonts w:ascii="Calibri" w:eastAsia="Calibri" w:hAnsi="Calibri" w:cs="Calibri"/>
          <w:sz w:val="24"/>
          <w:szCs w:val="16"/>
        </w:rPr>
      </w:pPr>
    </w:p>
    <w:p w14:paraId="573680E3" w14:textId="6BDDC874" w:rsidR="00A82E13" w:rsidRPr="00F25DD9" w:rsidRDefault="00A82E13" w:rsidP="00D44ED3">
      <w:pPr>
        <w:keepNext/>
        <w:spacing w:after="40" w:line="240" w:lineRule="auto"/>
        <w:rPr>
          <w:b/>
          <w:sz w:val="24"/>
        </w:rPr>
      </w:pPr>
      <w:r w:rsidRPr="00F25DD9">
        <w:rPr>
          <w:rFonts w:ascii="Calibri" w:eastAsia="Calibri" w:hAnsi="Calibri" w:cs="Calibri"/>
          <w:b/>
          <w:bCs/>
          <w:sz w:val="24"/>
        </w:rPr>
        <w:t xml:space="preserve">Tabulka č. </w:t>
      </w:r>
      <w:r w:rsidR="00895D40" w:rsidRPr="00F25DD9">
        <w:rPr>
          <w:rFonts w:ascii="Calibri" w:eastAsia="Calibri" w:hAnsi="Calibri" w:cs="Calibri"/>
          <w:b/>
          <w:bCs/>
          <w:sz w:val="24"/>
        </w:rPr>
        <w:t>4</w:t>
      </w:r>
      <w:r w:rsidR="00757315">
        <w:rPr>
          <w:rFonts w:ascii="Calibri" w:eastAsia="Calibri" w:hAnsi="Calibri" w:cs="Calibri"/>
          <w:b/>
          <w:bCs/>
          <w:sz w:val="24"/>
        </w:rPr>
        <w:t>:</w:t>
      </w:r>
      <w:r w:rsidRPr="00F25DD9">
        <w:rPr>
          <w:rFonts w:ascii="Calibri" w:eastAsia="Calibri" w:hAnsi="Calibri" w:cs="Calibri"/>
          <w:b/>
          <w:bCs/>
          <w:sz w:val="24"/>
        </w:rPr>
        <w:t xml:space="preserve"> Podíl nákladů na </w:t>
      </w:r>
      <w:r w:rsidR="003C2DF4" w:rsidRPr="00F25DD9">
        <w:rPr>
          <w:rFonts w:ascii="Calibri" w:eastAsia="Calibri" w:hAnsi="Calibri" w:cs="Calibri"/>
          <w:b/>
          <w:bCs/>
          <w:sz w:val="24"/>
        </w:rPr>
        <w:t>nákup služeb</w:t>
      </w:r>
      <w:r w:rsidRPr="00F25DD9">
        <w:rPr>
          <w:rFonts w:ascii="Calibri" w:eastAsia="Calibri" w:hAnsi="Calibri" w:cs="Calibri"/>
          <w:b/>
          <w:bCs/>
          <w:sz w:val="24"/>
        </w:rPr>
        <w:t xml:space="preserve"> na celkových nákladech ČAS</w:t>
      </w:r>
    </w:p>
    <w:tbl>
      <w:tblPr>
        <w:tblStyle w:val="Mkatabulky"/>
        <w:tblW w:w="9070" w:type="dxa"/>
        <w:jc w:val="center"/>
        <w:tblLook w:val="04A0" w:firstRow="1" w:lastRow="0" w:firstColumn="1" w:lastColumn="0" w:noHBand="0" w:noVBand="1"/>
      </w:tblPr>
      <w:tblGrid>
        <w:gridCol w:w="737"/>
        <w:gridCol w:w="2891"/>
        <w:gridCol w:w="2211"/>
        <w:gridCol w:w="3231"/>
      </w:tblGrid>
      <w:tr w:rsidR="00F25DD9" w:rsidRPr="00502645" w14:paraId="049AF868" w14:textId="77777777" w:rsidTr="00D44ED3">
        <w:trPr>
          <w:trHeight w:val="255"/>
          <w:jc w:val="center"/>
        </w:trPr>
        <w:tc>
          <w:tcPr>
            <w:tcW w:w="737" w:type="dxa"/>
            <w:shd w:val="clear" w:color="auto" w:fill="D9D9D9" w:themeFill="background1" w:themeFillShade="D9"/>
            <w:vAlign w:val="center"/>
          </w:tcPr>
          <w:p w14:paraId="60FB6F29" w14:textId="77777777" w:rsidR="00A82E13" w:rsidRPr="00502645" w:rsidRDefault="00A82E13" w:rsidP="00D44ED3">
            <w:pPr>
              <w:keepNext/>
              <w:jc w:val="center"/>
              <w:rPr>
                <w:rFonts w:ascii="Calibri" w:eastAsia="Calibri" w:hAnsi="Calibri" w:cs="Calibri"/>
                <w:b/>
                <w:bCs/>
                <w:sz w:val="20"/>
                <w:szCs w:val="20"/>
              </w:rPr>
            </w:pPr>
            <w:r w:rsidRPr="00502645">
              <w:rPr>
                <w:rFonts w:ascii="Calibri" w:eastAsia="Calibri" w:hAnsi="Calibri" w:cs="Calibri"/>
                <w:b/>
                <w:bCs/>
                <w:sz w:val="20"/>
                <w:szCs w:val="20"/>
              </w:rPr>
              <w:t>Rok</w:t>
            </w:r>
          </w:p>
        </w:tc>
        <w:tc>
          <w:tcPr>
            <w:tcW w:w="2891" w:type="dxa"/>
            <w:shd w:val="clear" w:color="auto" w:fill="D9D9D9" w:themeFill="background1" w:themeFillShade="D9"/>
            <w:vAlign w:val="center"/>
          </w:tcPr>
          <w:p w14:paraId="28E46AE9" w14:textId="2181A088" w:rsidR="00A82E13" w:rsidRPr="00502645" w:rsidRDefault="00A82E13" w:rsidP="00D44ED3">
            <w:pPr>
              <w:keepNext/>
              <w:ind w:left="-57" w:right="-57"/>
              <w:jc w:val="center"/>
              <w:rPr>
                <w:rFonts w:ascii="Calibri" w:eastAsia="Calibri" w:hAnsi="Calibri" w:cs="Calibri"/>
                <w:bCs/>
                <w:sz w:val="20"/>
                <w:szCs w:val="20"/>
              </w:rPr>
            </w:pPr>
            <w:r w:rsidRPr="00502645">
              <w:rPr>
                <w:rFonts w:ascii="Calibri" w:eastAsia="Calibri" w:hAnsi="Calibri" w:cs="Calibri"/>
                <w:b/>
                <w:bCs/>
                <w:sz w:val="20"/>
                <w:szCs w:val="20"/>
              </w:rPr>
              <w:t xml:space="preserve">Náklady na </w:t>
            </w:r>
            <w:r w:rsidR="003C2DF4">
              <w:rPr>
                <w:rFonts w:ascii="Calibri" w:eastAsia="Calibri" w:hAnsi="Calibri" w:cs="Calibri"/>
                <w:b/>
                <w:bCs/>
                <w:sz w:val="20"/>
                <w:szCs w:val="20"/>
              </w:rPr>
              <w:t>nákup služeb</w:t>
            </w:r>
            <w:r w:rsidRPr="00502645">
              <w:rPr>
                <w:rFonts w:ascii="Calibri" w:eastAsia="Calibri" w:hAnsi="Calibri" w:cs="Calibri"/>
                <w:b/>
                <w:bCs/>
                <w:sz w:val="20"/>
                <w:szCs w:val="20"/>
              </w:rPr>
              <w:t xml:space="preserve"> </w:t>
            </w:r>
            <w:r w:rsidRPr="0056380C">
              <w:rPr>
                <w:rFonts w:ascii="Calibri" w:eastAsia="Calibri" w:hAnsi="Calibri" w:cs="Calibri"/>
                <w:b/>
                <w:bCs/>
                <w:sz w:val="20"/>
                <w:szCs w:val="20"/>
              </w:rPr>
              <w:t>(v Kč)</w:t>
            </w:r>
          </w:p>
        </w:tc>
        <w:tc>
          <w:tcPr>
            <w:tcW w:w="2211" w:type="dxa"/>
            <w:shd w:val="clear" w:color="auto" w:fill="D9D9D9" w:themeFill="background1" w:themeFillShade="D9"/>
            <w:vAlign w:val="center"/>
          </w:tcPr>
          <w:p w14:paraId="5DE63F84" w14:textId="77777777" w:rsidR="00A82E13" w:rsidRPr="00502645" w:rsidRDefault="00A82E13" w:rsidP="00D44ED3">
            <w:pPr>
              <w:keepNext/>
              <w:ind w:left="-57" w:right="-57"/>
              <w:jc w:val="center"/>
              <w:rPr>
                <w:rFonts w:ascii="Calibri" w:eastAsia="Calibri" w:hAnsi="Calibri" w:cs="Calibri"/>
                <w:bCs/>
                <w:sz w:val="20"/>
                <w:szCs w:val="20"/>
              </w:rPr>
            </w:pPr>
            <w:r w:rsidRPr="00502645">
              <w:rPr>
                <w:rFonts w:ascii="Calibri" w:eastAsia="Calibri" w:hAnsi="Calibri" w:cs="Calibri"/>
                <w:b/>
                <w:bCs/>
                <w:sz w:val="20"/>
                <w:szCs w:val="20"/>
              </w:rPr>
              <w:t>Celkové náklady</w:t>
            </w:r>
            <w:r w:rsidRPr="00757315">
              <w:rPr>
                <w:rFonts w:ascii="Calibri" w:eastAsia="Calibri" w:hAnsi="Calibri" w:cs="Calibri"/>
                <w:b/>
                <w:bCs/>
                <w:sz w:val="20"/>
                <w:szCs w:val="20"/>
              </w:rPr>
              <w:t xml:space="preserve"> </w:t>
            </w:r>
            <w:r w:rsidRPr="0056380C">
              <w:rPr>
                <w:rFonts w:ascii="Calibri" w:eastAsia="Calibri" w:hAnsi="Calibri" w:cs="Calibri"/>
                <w:b/>
                <w:bCs/>
                <w:sz w:val="20"/>
                <w:szCs w:val="20"/>
              </w:rPr>
              <w:t>(v Kč)</w:t>
            </w:r>
          </w:p>
        </w:tc>
        <w:tc>
          <w:tcPr>
            <w:tcW w:w="3231" w:type="dxa"/>
            <w:shd w:val="clear" w:color="auto" w:fill="D9D9D9" w:themeFill="background1" w:themeFillShade="D9"/>
            <w:vAlign w:val="center"/>
          </w:tcPr>
          <w:p w14:paraId="651F80BE" w14:textId="3A0EA5BC" w:rsidR="00A82E13" w:rsidRPr="00502645" w:rsidRDefault="00A82E13" w:rsidP="00D44ED3">
            <w:pPr>
              <w:keepNext/>
              <w:jc w:val="center"/>
              <w:rPr>
                <w:rFonts w:ascii="Calibri" w:eastAsia="Calibri" w:hAnsi="Calibri" w:cs="Calibri"/>
                <w:b/>
                <w:bCs/>
                <w:sz w:val="20"/>
                <w:szCs w:val="20"/>
              </w:rPr>
            </w:pPr>
            <w:r w:rsidRPr="00502645">
              <w:rPr>
                <w:rFonts w:ascii="Calibri" w:eastAsia="Calibri" w:hAnsi="Calibri" w:cs="Calibri"/>
                <w:b/>
                <w:bCs/>
                <w:sz w:val="20"/>
                <w:szCs w:val="20"/>
              </w:rPr>
              <w:t xml:space="preserve">Podíl </w:t>
            </w:r>
            <w:r w:rsidR="00213527">
              <w:rPr>
                <w:rFonts w:ascii="Calibri" w:eastAsia="Calibri" w:hAnsi="Calibri" w:cs="Calibri"/>
                <w:b/>
                <w:bCs/>
                <w:sz w:val="20"/>
                <w:szCs w:val="20"/>
              </w:rPr>
              <w:t>nakoupených služeb</w:t>
            </w:r>
            <w:r w:rsidRPr="00502645">
              <w:rPr>
                <w:rFonts w:ascii="Calibri" w:eastAsia="Calibri" w:hAnsi="Calibri" w:cs="Calibri"/>
                <w:b/>
                <w:bCs/>
                <w:sz w:val="20"/>
                <w:szCs w:val="20"/>
              </w:rPr>
              <w:t xml:space="preserve"> na</w:t>
            </w:r>
            <w:r w:rsidR="000E0EAC">
              <w:rPr>
                <w:rFonts w:ascii="Calibri" w:eastAsia="Calibri" w:hAnsi="Calibri" w:cs="Calibri"/>
                <w:b/>
                <w:bCs/>
                <w:sz w:val="20"/>
                <w:szCs w:val="20"/>
              </w:rPr>
              <w:t> </w:t>
            </w:r>
            <w:r w:rsidRPr="00502645">
              <w:rPr>
                <w:rFonts w:ascii="Calibri" w:eastAsia="Calibri" w:hAnsi="Calibri" w:cs="Calibri"/>
                <w:b/>
                <w:bCs/>
                <w:sz w:val="20"/>
                <w:szCs w:val="20"/>
              </w:rPr>
              <w:t>celkových nákladech</w:t>
            </w:r>
          </w:p>
        </w:tc>
      </w:tr>
      <w:tr w:rsidR="00F25DD9" w:rsidRPr="00502645" w14:paraId="10DFC8DC" w14:textId="77777777" w:rsidTr="00D44ED3">
        <w:trPr>
          <w:trHeight w:val="255"/>
          <w:jc w:val="center"/>
        </w:trPr>
        <w:tc>
          <w:tcPr>
            <w:tcW w:w="737" w:type="dxa"/>
          </w:tcPr>
          <w:p w14:paraId="72B23D35"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2019</w:t>
            </w:r>
          </w:p>
        </w:tc>
        <w:tc>
          <w:tcPr>
            <w:tcW w:w="2891" w:type="dxa"/>
          </w:tcPr>
          <w:p w14:paraId="3AE31729"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65 183 495,65</w:t>
            </w:r>
          </w:p>
        </w:tc>
        <w:tc>
          <w:tcPr>
            <w:tcW w:w="2211" w:type="dxa"/>
          </w:tcPr>
          <w:p w14:paraId="34FC51F1"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153 591 557,03</w:t>
            </w:r>
          </w:p>
        </w:tc>
        <w:tc>
          <w:tcPr>
            <w:tcW w:w="3231" w:type="dxa"/>
          </w:tcPr>
          <w:p w14:paraId="4EE0606B"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42,4 %</w:t>
            </w:r>
          </w:p>
        </w:tc>
      </w:tr>
      <w:tr w:rsidR="00F25DD9" w:rsidRPr="00502645" w14:paraId="7C3F9795" w14:textId="77777777" w:rsidTr="00D44ED3">
        <w:trPr>
          <w:trHeight w:val="255"/>
          <w:jc w:val="center"/>
        </w:trPr>
        <w:tc>
          <w:tcPr>
            <w:tcW w:w="737" w:type="dxa"/>
          </w:tcPr>
          <w:p w14:paraId="7429472E"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2020</w:t>
            </w:r>
          </w:p>
        </w:tc>
        <w:tc>
          <w:tcPr>
            <w:tcW w:w="2891" w:type="dxa"/>
          </w:tcPr>
          <w:p w14:paraId="6E9CB6CE"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58 469 309,98</w:t>
            </w:r>
          </w:p>
        </w:tc>
        <w:tc>
          <w:tcPr>
            <w:tcW w:w="2211" w:type="dxa"/>
          </w:tcPr>
          <w:p w14:paraId="0D1DE9DC"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150 985 288,19</w:t>
            </w:r>
          </w:p>
        </w:tc>
        <w:tc>
          <w:tcPr>
            <w:tcW w:w="3231" w:type="dxa"/>
          </w:tcPr>
          <w:p w14:paraId="4FA15B7D"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38,7 %</w:t>
            </w:r>
          </w:p>
        </w:tc>
      </w:tr>
      <w:tr w:rsidR="00F25DD9" w:rsidRPr="00502645" w14:paraId="3C302945" w14:textId="77777777" w:rsidTr="00D44ED3">
        <w:trPr>
          <w:trHeight w:val="255"/>
          <w:jc w:val="center"/>
        </w:trPr>
        <w:tc>
          <w:tcPr>
            <w:tcW w:w="737" w:type="dxa"/>
          </w:tcPr>
          <w:p w14:paraId="2EA732C8"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2021</w:t>
            </w:r>
          </w:p>
        </w:tc>
        <w:tc>
          <w:tcPr>
            <w:tcW w:w="2891" w:type="dxa"/>
          </w:tcPr>
          <w:p w14:paraId="5F53DBAD"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101 521 922,71</w:t>
            </w:r>
          </w:p>
        </w:tc>
        <w:tc>
          <w:tcPr>
            <w:tcW w:w="2211" w:type="dxa"/>
          </w:tcPr>
          <w:p w14:paraId="2F1F5E74" w14:textId="77777777" w:rsidR="00A82E13" w:rsidRPr="00502645" w:rsidRDefault="00A82E13" w:rsidP="00D44ED3">
            <w:pPr>
              <w:keepNext/>
              <w:jc w:val="right"/>
              <w:rPr>
                <w:rFonts w:ascii="Calibri" w:eastAsia="Calibri" w:hAnsi="Calibri" w:cs="Calibri"/>
                <w:bCs/>
                <w:sz w:val="20"/>
                <w:szCs w:val="20"/>
              </w:rPr>
            </w:pPr>
            <w:r w:rsidRPr="00502645">
              <w:rPr>
                <w:rFonts w:ascii="Calibri" w:eastAsia="Calibri" w:hAnsi="Calibri" w:cs="Calibri"/>
                <w:bCs/>
                <w:sz w:val="20"/>
                <w:szCs w:val="20"/>
              </w:rPr>
              <w:t>225 234 201,03</w:t>
            </w:r>
          </w:p>
        </w:tc>
        <w:tc>
          <w:tcPr>
            <w:tcW w:w="3231" w:type="dxa"/>
          </w:tcPr>
          <w:p w14:paraId="6177637A" w14:textId="77777777" w:rsidR="00A82E13" w:rsidRPr="00502645" w:rsidRDefault="00A82E13" w:rsidP="00D44ED3">
            <w:pPr>
              <w:keepNext/>
              <w:jc w:val="center"/>
              <w:rPr>
                <w:rFonts w:ascii="Calibri" w:eastAsia="Calibri" w:hAnsi="Calibri" w:cs="Calibri"/>
                <w:bCs/>
                <w:sz w:val="20"/>
                <w:szCs w:val="20"/>
              </w:rPr>
            </w:pPr>
            <w:r w:rsidRPr="00502645">
              <w:rPr>
                <w:rFonts w:ascii="Calibri" w:eastAsia="Calibri" w:hAnsi="Calibri" w:cs="Calibri"/>
                <w:bCs/>
                <w:sz w:val="20"/>
                <w:szCs w:val="20"/>
              </w:rPr>
              <w:t>45,1 %</w:t>
            </w:r>
          </w:p>
        </w:tc>
      </w:tr>
    </w:tbl>
    <w:p w14:paraId="615BDF9B" w14:textId="77777777" w:rsidR="00D44ED3" w:rsidRDefault="00A82E13" w:rsidP="00D44ED3">
      <w:pPr>
        <w:keepNext/>
        <w:spacing w:before="40" w:after="0" w:line="240" w:lineRule="auto"/>
        <w:rPr>
          <w:rFonts w:ascii="Calibri" w:eastAsia="Calibri" w:hAnsi="Calibri" w:cs="Calibri"/>
          <w:bCs/>
          <w:sz w:val="20"/>
          <w:szCs w:val="18"/>
        </w:rPr>
      </w:pPr>
      <w:r w:rsidRPr="00F25DD9">
        <w:rPr>
          <w:rFonts w:ascii="Calibri" w:eastAsia="Calibri" w:hAnsi="Calibri" w:cs="Calibri"/>
          <w:b/>
          <w:sz w:val="20"/>
          <w:szCs w:val="18"/>
        </w:rPr>
        <w:t>Zdroj:</w:t>
      </w:r>
      <w:r w:rsidRPr="00F25DD9">
        <w:rPr>
          <w:rFonts w:ascii="Calibri" w:eastAsia="Calibri" w:hAnsi="Calibri" w:cs="Calibri"/>
          <w:sz w:val="20"/>
          <w:szCs w:val="18"/>
        </w:rPr>
        <w:t xml:space="preserve"> </w:t>
      </w:r>
      <w:r w:rsidRPr="00F25DD9">
        <w:rPr>
          <w:rFonts w:ascii="Calibri" w:eastAsia="Calibri" w:hAnsi="Calibri" w:cs="Calibri"/>
          <w:bCs/>
          <w:sz w:val="20"/>
          <w:szCs w:val="18"/>
        </w:rPr>
        <w:t xml:space="preserve">SPO </w:t>
      </w:r>
      <w:r w:rsidRPr="00F25DD9">
        <w:rPr>
          <w:rFonts w:ascii="Calibri" w:eastAsia="Calibri" w:hAnsi="Calibri" w:cs="Calibri"/>
          <w:sz w:val="20"/>
          <w:szCs w:val="18"/>
        </w:rPr>
        <w:t>ČAS</w:t>
      </w:r>
      <w:r w:rsidRPr="00F25DD9">
        <w:rPr>
          <w:rFonts w:ascii="Calibri" w:eastAsia="Calibri" w:hAnsi="Calibri" w:cs="Calibri"/>
          <w:bCs/>
          <w:sz w:val="20"/>
          <w:szCs w:val="18"/>
        </w:rPr>
        <w:t>.</w:t>
      </w:r>
      <w:r w:rsidR="00DB4280" w:rsidRPr="00F25DD9">
        <w:rPr>
          <w:rFonts w:ascii="Calibri" w:eastAsia="Calibri" w:hAnsi="Calibri" w:cs="Calibri"/>
          <w:bCs/>
          <w:sz w:val="20"/>
          <w:szCs w:val="18"/>
        </w:rPr>
        <w:t xml:space="preserve"> </w:t>
      </w:r>
    </w:p>
    <w:p w14:paraId="49E5818F" w14:textId="395A898E" w:rsidR="00A82E13" w:rsidRPr="00F25DD9" w:rsidRDefault="00A82E13" w:rsidP="00D44ED3">
      <w:pPr>
        <w:spacing w:after="0" w:line="240" w:lineRule="auto"/>
        <w:rPr>
          <w:rFonts w:ascii="Calibri" w:eastAsia="Calibri" w:hAnsi="Calibri" w:cs="Calibri"/>
          <w:sz w:val="20"/>
          <w:szCs w:val="18"/>
        </w:rPr>
      </w:pPr>
      <w:r w:rsidRPr="00F25DD9">
        <w:rPr>
          <w:rFonts w:ascii="Calibri" w:eastAsia="Calibri" w:hAnsi="Calibri" w:cs="Calibri"/>
          <w:b/>
          <w:bCs/>
          <w:sz w:val="20"/>
          <w:szCs w:val="18"/>
        </w:rPr>
        <w:t>Pozn</w:t>
      </w:r>
      <w:r w:rsidR="00323379" w:rsidRPr="00F25DD9">
        <w:rPr>
          <w:rFonts w:ascii="Calibri" w:eastAsia="Calibri" w:hAnsi="Calibri" w:cs="Calibri"/>
          <w:b/>
          <w:bCs/>
          <w:sz w:val="20"/>
          <w:szCs w:val="18"/>
        </w:rPr>
        <w:t>.</w:t>
      </w:r>
      <w:r w:rsidRPr="00F25DD9">
        <w:rPr>
          <w:rFonts w:ascii="Calibri" w:eastAsia="Calibri" w:hAnsi="Calibri" w:cs="Calibri"/>
          <w:b/>
          <w:bCs/>
          <w:sz w:val="20"/>
          <w:szCs w:val="18"/>
        </w:rPr>
        <w:t>:</w:t>
      </w:r>
      <w:r w:rsidRPr="00F25DD9">
        <w:rPr>
          <w:rFonts w:ascii="Calibri" w:eastAsia="Calibri" w:hAnsi="Calibri" w:cs="Calibri"/>
          <w:b/>
          <w:sz w:val="20"/>
          <w:szCs w:val="18"/>
        </w:rPr>
        <w:t xml:space="preserve"> </w:t>
      </w:r>
      <w:r w:rsidRPr="00F25DD9">
        <w:rPr>
          <w:rFonts w:ascii="Calibri" w:eastAsia="Calibri" w:hAnsi="Calibri" w:cs="Calibri"/>
          <w:sz w:val="20"/>
          <w:szCs w:val="18"/>
        </w:rPr>
        <w:t>Údaje v tabulce jsou uvedeny v součtu za hlavní i hospodářskou činnost ČAS.</w:t>
      </w:r>
    </w:p>
    <w:p w14:paraId="04A81D00" w14:textId="77777777" w:rsidR="00A82E13" w:rsidRPr="003E74DE" w:rsidRDefault="00A82E13" w:rsidP="00A82E13">
      <w:pPr>
        <w:spacing w:after="0" w:line="240" w:lineRule="auto"/>
        <w:jc w:val="both"/>
        <w:rPr>
          <w:rFonts w:ascii="Calibri" w:eastAsia="Calibri" w:hAnsi="Calibri" w:cs="Calibri"/>
          <w:bCs/>
          <w:sz w:val="24"/>
          <w:szCs w:val="24"/>
        </w:rPr>
      </w:pPr>
    </w:p>
    <w:p w14:paraId="4AEFD95D" w14:textId="19189628" w:rsidR="007A1261" w:rsidRPr="004516BA" w:rsidRDefault="004516BA" w:rsidP="00C177F4">
      <w:pPr>
        <w:tabs>
          <w:tab w:val="left" w:pos="567"/>
        </w:tabs>
        <w:spacing w:after="0" w:line="240" w:lineRule="auto"/>
        <w:jc w:val="both"/>
        <w:rPr>
          <w:sz w:val="24"/>
          <w:szCs w:val="24"/>
        </w:rPr>
      </w:pPr>
      <w:bookmarkStart w:id="7" w:name="_Hlk141703220"/>
      <w:r>
        <w:rPr>
          <w:sz w:val="24"/>
          <w:szCs w:val="24"/>
        </w:rPr>
        <w:lastRenderedPageBreak/>
        <w:t xml:space="preserve">4.15 </w:t>
      </w:r>
      <w:r w:rsidR="00C177F4">
        <w:rPr>
          <w:sz w:val="24"/>
          <w:szCs w:val="24"/>
        </w:rPr>
        <w:tab/>
      </w:r>
      <w:r w:rsidR="00A82E13" w:rsidRPr="004516BA">
        <w:rPr>
          <w:sz w:val="24"/>
          <w:szCs w:val="24"/>
        </w:rPr>
        <w:t>ČAS</w:t>
      </w:r>
      <w:r w:rsidR="009A3891" w:rsidRPr="004516BA">
        <w:rPr>
          <w:sz w:val="24"/>
          <w:szCs w:val="24"/>
        </w:rPr>
        <w:t xml:space="preserve"> nakupovala </w:t>
      </w:r>
      <w:r w:rsidR="00A82E13" w:rsidRPr="004516BA">
        <w:rPr>
          <w:sz w:val="24"/>
          <w:szCs w:val="24"/>
        </w:rPr>
        <w:t>právní služb</w:t>
      </w:r>
      <w:r w:rsidR="009A3891" w:rsidRPr="004516BA">
        <w:rPr>
          <w:sz w:val="24"/>
          <w:szCs w:val="24"/>
        </w:rPr>
        <w:t>y, přestože</w:t>
      </w:r>
      <w:r w:rsidR="00831236" w:rsidRPr="004516BA">
        <w:rPr>
          <w:sz w:val="24"/>
          <w:szCs w:val="24"/>
        </w:rPr>
        <w:t xml:space="preserve"> </w:t>
      </w:r>
      <w:r w:rsidR="00A82E13" w:rsidRPr="004516BA">
        <w:rPr>
          <w:sz w:val="24"/>
          <w:szCs w:val="24"/>
        </w:rPr>
        <w:t>má v organizační</w:t>
      </w:r>
      <w:r w:rsidR="00831236" w:rsidRPr="004516BA">
        <w:rPr>
          <w:sz w:val="24"/>
          <w:szCs w:val="24"/>
        </w:rPr>
        <w:t>m</w:t>
      </w:r>
      <w:r w:rsidR="00A82E13" w:rsidRPr="004516BA">
        <w:rPr>
          <w:sz w:val="24"/>
          <w:szCs w:val="24"/>
        </w:rPr>
        <w:t xml:space="preserve"> řád</w:t>
      </w:r>
      <w:r w:rsidR="00831236" w:rsidRPr="004516BA">
        <w:rPr>
          <w:sz w:val="24"/>
          <w:szCs w:val="24"/>
        </w:rPr>
        <w:t>u</w:t>
      </w:r>
      <w:r w:rsidR="00A82E13" w:rsidRPr="004516BA">
        <w:rPr>
          <w:sz w:val="24"/>
          <w:szCs w:val="24"/>
        </w:rPr>
        <w:t xml:space="preserve"> zakotvenou existenci vlastního právního oddělení vč. vymezení jeho hlavních činností</w:t>
      </w:r>
      <w:r w:rsidR="00831236" w:rsidRPr="004516BA">
        <w:rPr>
          <w:sz w:val="24"/>
          <w:szCs w:val="24"/>
        </w:rPr>
        <w:t xml:space="preserve">. ČAS </w:t>
      </w:r>
      <w:r w:rsidR="00A82E13" w:rsidRPr="004516BA">
        <w:rPr>
          <w:sz w:val="24"/>
          <w:szCs w:val="24"/>
        </w:rPr>
        <w:t xml:space="preserve">však výběrová řízení na pozice </w:t>
      </w:r>
      <w:r w:rsidR="003E099F" w:rsidRPr="004516BA">
        <w:rPr>
          <w:sz w:val="24"/>
          <w:szCs w:val="24"/>
        </w:rPr>
        <w:t xml:space="preserve">zaměstnanců </w:t>
      </w:r>
      <w:r w:rsidR="00A82E13" w:rsidRPr="004516BA">
        <w:rPr>
          <w:sz w:val="24"/>
          <w:szCs w:val="24"/>
        </w:rPr>
        <w:t xml:space="preserve">právního oddělení nikdy nevypsala. </w:t>
      </w:r>
      <w:bookmarkEnd w:id="7"/>
      <w:r w:rsidR="006C26FB" w:rsidRPr="004516BA">
        <w:rPr>
          <w:sz w:val="24"/>
          <w:szCs w:val="24"/>
        </w:rPr>
        <w:t>V rámci právního oddělení je od 1.</w:t>
      </w:r>
      <w:r>
        <w:rPr>
          <w:sz w:val="24"/>
          <w:szCs w:val="24"/>
        </w:rPr>
        <w:t> </w:t>
      </w:r>
      <w:r w:rsidR="006C26FB" w:rsidRPr="004516BA">
        <w:rPr>
          <w:sz w:val="24"/>
          <w:szCs w:val="24"/>
        </w:rPr>
        <w:t>4.</w:t>
      </w:r>
      <w:r>
        <w:rPr>
          <w:sz w:val="24"/>
          <w:szCs w:val="24"/>
        </w:rPr>
        <w:t> </w:t>
      </w:r>
      <w:r w:rsidR="006C26FB" w:rsidRPr="004516BA">
        <w:rPr>
          <w:sz w:val="24"/>
          <w:szCs w:val="24"/>
        </w:rPr>
        <w:t xml:space="preserve">2018 zařazen </w:t>
      </w:r>
      <w:r w:rsidR="00757315">
        <w:rPr>
          <w:sz w:val="24"/>
          <w:szCs w:val="24"/>
        </w:rPr>
        <w:t>jeden</w:t>
      </w:r>
      <w:r w:rsidR="006C26FB" w:rsidRPr="004516BA">
        <w:rPr>
          <w:sz w:val="24"/>
          <w:szCs w:val="24"/>
        </w:rPr>
        <w:t xml:space="preserve"> zaměstnanec na 0,75 úvazku. Fakticky tak ČAS disponuje právním oddělením dle organizačního řádu, jeho činnost se však týk</w:t>
      </w:r>
      <w:r w:rsidR="003E099F" w:rsidRPr="004516BA">
        <w:rPr>
          <w:sz w:val="24"/>
          <w:szCs w:val="24"/>
        </w:rPr>
        <w:t>á</w:t>
      </w:r>
      <w:r w:rsidR="006C26FB" w:rsidRPr="004516BA">
        <w:rPr>
          <w:sz w:val="24"/>
          <w:szCs w:val="24"/>
        </w:rPr>
        <w:t xml:space="preserve"> pouze pracovního práva, vyřizování žádostí o informace dle zákona č.</w:t>
      </w:r>
      <w:r w:rsidR="000E0EAC" w:rsidRPr="004516BA">
        <w:rPr>
          <w:sz w:val="24"/>
          <w:szCs w:val="24"/>
        </w:rPr>
        <w:t> </w:t>
      </w:r>
      <w:r w:rsidR="006C26FB" w:rsidRPr="004516BA">
        <w:rPr>
          <w:sz w:val="24"/>
          <w:szCs w:val="24"/>
        </w:rPr>
        <w:t>106/1999 Sb.</w:t>
      </w:r>
      <w:r w:rsidR="00757315">
        <w:rPr>
          <w:sz w:val="24"/>
          <w:szCs w:val="24"/>
        </w:rPr>
        <w:t>,</w:t>
      </w:r>
      <w:r w:rsidR="006C26FB" w:rsidRPr="004516BA">
        <w:rPr>
          <w:sz w:val="24"/>
          <w:szCs w:val="24"/>
        </w:rPr>
        <w:t xml:space="preserve"> o</w:t>
      </w:r>
      <w:r w:rsidR="00506CE7" w:rsidRPr="004516BA">
        <w:rPr>
          <w:sz w:val="24"/>
          <w:szCs w:val="24"/>
        </w:rPr>
        <w:t> </w:t>
      </w:r>
      <w:r w:rsidR="006C26FB" w:rsidRPr="004516BA">
        <w:rPr>
          <w:sz w:val="24"/>
          <w:szCs w:val="24"/>
        </w:rPr>
        <w:t>svobodném přístupu k</w:t>
      </w:r>
      <w:r w:rsidR="00757315">
        <w:rPr>
          <w:sz w:val="24"/>
          <w:szCs w:val="24"/>
        </w:rPr>
        <w:t> </w:t>
      </w:r>
      <w:r w:rsidR="006C26FB" w:rsidRPr="004516BA">
        <w:rPr>
          <w:sz w:val="24"/>
          <w:szCs w:val="24"/>
        </w:rPr>
        <w:t>informacím</w:t>
      </w:r>
      <w:r w:rsidR="00757315">
        <w:rPr>
          <w:sz w:val="24"/>
          <w:szCs w:val="24"/>
        </w:rPr>
        <w:t>,</w:t>
      </w:r>
      <w:r w:rsidR="006C26FB" w:rsidRPr="004516BA">
        <w:rPr>
          <w:sz w:val="24"/>
          <w:szCs w:val="24"/>
        </w:rPr>
        <w:t xml:space="preserve"> a výkonu funkce správce rozpočtu ČAS. </w:t>
      </w:r>
      <w:r w:rsidR="00A82E13" w:rsidRPr="004516BA">
        <w:rPr>
          <w:sz w:val="24"/>
          <w:szCs w:val="24"/>
        </w:rPr>
        <w:t xml:space="preserve">ČAS </w:t>
      </w:r>
      <w:r w:rsidR="006C26FB" w:rsidRPr="004516BA">
        <w:rPr>
          <w:sz w:val="24"/>
          <w:szCs w:val="24"/>
        </w:rPr>
        <w:t>tak nezajišťovala vlastními zaměstnanci činnosti uvedené v organizační</w:t>
      </w:r>
      <w:r w:rsidR="003E099F" w:rsidRPr="004516BA">
        <w:rPr>
          <w:sz w:val="24"/>
          <w:szCs w:val="24"/>
        </w:rPr>
        <w:t>m</w:t>
      </w:r>
      <w:r w:rsidR="006C26FB" w:rsidRPr="004516BA">
        <w:rPr>
          <w:sz w:val="24"/>
          <w:szCs w:val="24"/>
        </w:rPr>
        <w:t xml:space="preserve"> řád</w:t>
      </w:r>
      <w:r w:rsidR="003E099F" w:rsidRPr="004516BA">
        <w:rPr>
          <w:sz w:val="24"/>
          <w:szCs w:val="24"/>
        </w:rPr>
        <w:t>u</w:t>
      </w:r>
      <w:r w:rsidR="006C26FB" w:rsidRPr="004516BA">
        <w:rPr>
          <w:sz w:val="24"/>
          <w:szCs w:val="24"/>
        </w:rPr>
        <w:t xml:space="preserve"> ČAS</w:t>
      </w:r>
      <w:r w:rsidR="00A74B21" w:rsidRPr="004516BA">
        <w:rPr>
          <w:sz w:val="24"/>
          <w:szCs w:val="24"/>
        </w:rPr>
        <w:t>.</w:t>
      </w:r>
    </w:p>
    <w:p w14:paraId="6D773DCE" w14:textId="24209D28" w:rsidR="000368DF" w:rsidRPr="00CE6A6E" w:rsidRDefault="000368DF" w:rsidP="00B30782">
      <w:pPr>
        <w:spacing w:after="0" w:line="240" w:lineRule="auto"/>
        <w:jc w:val="both"/>
        <w:rPr>
          <w:rFonts w:eastAsia="Calibri" w:cstheme="minorHAnsi"/>
          <w:color w:val="000000" w:themeColor="text1"/>
          <w:sz w:val="24"/>
          <w:szCs w:val="24"/>
        </w:rPr>
      </w:pPr>
    </w:p>
    <w:p w14:paraId="5AF17C5B" w14:textId="5F45327A" w:rsidR="00680AD1" w:rsidRPr="0072619F" w:rsidRDefault="00680AD1" w:rsidP="00680AD1">
      <w:pPr>
        <w:spacing w:after="0" w:line="240" w:lineRule="auto"/>
        <w:jc w:val="both"/>
        <w:rPr>
          <w:rFonts w:eastAsia="Calibri" w:cstheme="minorHAnsi"/>
          <w:b/>
          <w:bCs/>
          <w:iCs/>
          <w:color w:val="000000" w:themeColor="text1"/>
          <w:sz w:val="24"/>
          <w:szCs w:val="24"/>
        </w:rPr>
      </w:pPr>
      <w:r w:rsidRPr="0072619F">
        <w:rPr>
          <w:rFonts w:eastAsia="Calibri" w:cstheme="minorHAnsi"/>
          <w:b/>
          <w:bCs/>
          <w:iCs/>
          <w:color w:val="000000" w:themeColor="text1"/>
          <w:sz w:val="24"/>
          <w:szCs w:val="24"/>
        </w:rPr>
        <w:t xml:space="preserve">Příklad č. </w:t>
      </w:r>
      <w:r w:rsidR="005F4299" w:rsidRPr="0072619F">
        <w:rPr>
          <w:rFonts w:eastAsia="Calibri" w:cstheme="minorHAnsi"/>
          <w:b/>
          <w:bCs/>
          <w:iCs/>
          <w:color w:val="000000" w:themeColor="text1"/>
          <w:sz w:val="24"/>
          <w:szCs w:val="24"/>
        </w:rPr>
        <w:t>3</w:t>
      </w:r>
    </w:p>
    <w:tbl>
      <w:tblPr>
        <w:tblStyle w:val="Mkatabulky"/>
        <w:tblW w:w="0" w:type="auto"/>
        <w:tblLook w:val="04A0" w:firstRow="1" w:lastRow="0" w:firstColumn="1" w:lastColumn="0" w:noHBand="0" w:noVBand="1"/>
      </w:tblPr>
      <w:tblGrid>
        <w:gridCol w:w="9062"/>
      </w:tblGrid>
      <w:tr w:rsidR="00680AD1" w:rsidRPr="00CE6A6E" w14:paraId="160C34DA" w14:textId="77777777" w:rsidTr="00B21C58">
        <w:tc>
          <w:tcPr>
            <w:tcW w:w="9062" w:type="dxa"/>
          </w:tcPr>
          <w:p w14:paraId="7D3C86CC" w14:textId="674FB1DF" w:rsidR="00680AD1" w:rsidRPr="00CE6A6E" w:rsidRDefault="0040152F" w:rsidP="00B21C58">
            <w:pPr>
              <w:jc w:val="both"/>
              <w:rPr>
                <w:rFonts w:eastAsia="Calibri" w:cstheme="minorHAnsi"/>
                <w:i/>
                <w:color w:val="000000" w:themeColor="text1"/>
                <w:sz w:val="24"/>
                <w:szCs w:val="24"/>
              </w:rPr>
            </w:pPr>
            <w:r w:rsidRPr="00CE6A6E">
              <w:rPr>
                <w:rFonts w:eastAsia="Calibri" w:cstheme="minorHAnsi"/>
                <w:i/>
                <w:color w:val="000000" w:themeColor="text1"/>
                <w:sz w:val="24"/>
                <w:szCs w:val="24"/>
              </w:rPr>
              <w:t xml:space="preserve">Právní oddělení ČAS nezajišťovalo </w:t>
            </w:r>
            <w:r w:rsidR="00323379" w:rsidRPr="00CE6A6E">
              <w:rPr>
                <w:rFonts w:eastAsia="Calibri" w:cstheme="minorHAnsi"/>
                <w:i/>
                <w:color w:val="000000" w:themeColor="text1"/>
                <w:sz w:val="24"/>
                <w:szCs w:val="24"/>
              </w:rPr>
              <w:t xml:space="preserve">vlastními zaměstnanci </w:t>
            </w:r>
            <w:r w:rsidRPr="00CE6A6E">
              <w:rPr>
                <w:rFonts w:eastAsia="Calibri" w:cstheme="minorHAnsi"/>
                <w:i/>
                <w:color w:val="000000" w:themeColor="text1"/>
                <w:sz w:val="24"/>
                <w:szCs w:val="24"/>
              </w:rPr>
              <w:t>posuzování důležitých smluv a</w:t>
            </w:r>
            <w:r w:rsidR="00CE6A6E">
              <w:rPr>
                <w:rFonts w:eastAsia="Calibri" w:cstheme="minorHAnsi"/>
                <w:i/>
                <w:color w:val="000000" w:themeColor="text1"/>
                <w:sz w:val="24"/>
                <w:szCs w:val="24"/>
              </w:rPr>
              <w:t> </w:t>
            </w:r>
            <w:r w:rsidRPr="00CE6A6E">
              <w:rPr>
                <w:rFonts w:eastAsia="Calibri" w:cstheme="minorHAnsi"/>
                <w:i/>
                <w:color w:val="000000" w:themeColor="text1"/>
                <w:sz w:val="24"/>
                <w:szCs w:val="24"/>
              </w:rPr>
              <w:t>jiných právních dokumentů z hlediska jejich souladu s obecně závaznými právními předpisy, neposkytovalo právní poradenství vedoucím útvarů, konzultace a informace o</w:t>
            </w:r>
            <w:r w:rsidR="00CE6A6E">
              <w:rPr>
                <w:rFonts w:eastAsia="Calibri" w:cstheme="minorHAnsi"/>
                <w:i/>
                <w:color w:val="000000" w:themeColor="text1"/>
                <w:sz w:val="24"/>
                <w:szCs w:val="24"/>
              </w:rPr>
              <w:t> </w:t>
            </w:r>
            <w:r w:rsidRPr="00CE6A6E">
              <w:rPr>
                <w:rFonts w:eastAsia="Calibri" w:cstheme="minorHAnsi"/>
                <w:i/>
                <w:color w:val="000000" w:themeColor="text1"/>
                <w:sz w:val="24"/>
                <w:szCs w:val="24"/>
              </w:rPr>
              <w:t>právních předpisech, soudních rozhodnutích a jiných právně významných aktech, nezpracovávalo právní stanoviska potřebná pro řešení úkolů ČAS, nezabezpečovalo instruktáže, semináře o českém právním řádu pro zaměstnance ČAS a nezabezpečovalo právní poradenství tak, jak bylo uvedeno v organizační</w:t>
            </w:r>
            <w:r w:rsidR="0083012E" w:rsidRPr="00CE6A6E">
              <w:rPr>
                <w:rFonts w:eastAsia="Calibri" w:cstheme="minorHAnsi"/>
                <w:i/>
                <w:color w:val="000000" w:themeColor="text1"/>
                <w:sz w:val="24"/>
                <w:szCs w:val="24"/>
              </w:rPr>
              <w:t>m</w:t>
            </w:r>
            <w:r w:rsidRPr="00CE6A6E">
              <w:rPr>
                <w:rFonts w:eastAsia="Calibri" w:cstheme="minorHAnsi"/>
                <w:i/>
                <w:color w:val="000000" w:themeColor="text1"/>
                <w:sz w:val="24"/>
                <w:szCs w:val="24"/>
              </w:rPr>
              <w:t xml:space="preserve"> řád</w:t>
            </w:r>
            <w:r w:rsidR="0083012E" w:rsidRPr="00CE6A6E">
              <w:rPr>
                <w:rFonts w:eastAsia="Calibri" w:cstheme="minorHAnsi"/>
                <w:i/>
                <w:color w:val="000000" w:themeColor="text1"/>
                <w:sz w:val="24"/>
                <w:szCs w:val="24"/>
              </w:rPr>
              <w:t>u</w:t>
            </w:r>
            <w:r w:rsidRPr="00CE6A6E">
              <w:rPr>
                <w:rFonts w:eastAsia="Calibri" w:cstheme="minorHAnsi"/>
                <w:i/>
                <w:color w:val="000000" w:themeColor="text1"/>
                <w:sz w:val="24"/>
                <w:szCs w:val="24"/>
              </w:rPr>
              <w:t xml:space="preserve"> ČAS</w:t>
            </w:r>
            <w:r w:rsidR="00680AD1" w:rsidRPr="00CE6A6E">
              <w:rPr>
                <w:rFonts w:eastAsia="Calibri" w:cstheme="minorHAnsi"/>
                <w:i/>
                <w:color w:val="000000" w:themeColor="text1"/>
                <w:sz w:val="24"/>
                <w:szCs w:val="24"/>
              </w:rPr>
              <w:t xml:space="preserve">. </w:t>
            </w:r>
          </w:p>
        </w:tc>
      </w:tr>
    </w:tbl>
    <w:p w14:paraId="2EE056BC" w14:textId="7873F70A" w:rsidR="00545CB7" w:rsidRPr="00CE6A6E" w:rsidRDefault="00545CB7" w:rsidP="00B30782">
      <w:pPr>
        <w:spacing w:after="0" w:line="240" w:lineRule="auto"/>
        <w:jc w:val="both"/>
        <w:rPr>
          <w:rFonts w:eastAsia="Calibri" w:cstheme="minorHAnsi"/>
          <w:color w:val="000000" w:themeColor="text1"/>
          <w:sz w:val="24"/>
          <w:szCs w:val="24"/>
        </w:rPr>
      </w:pPr>
    </w:p>
    <w:p w14:paraId="13D93CA3" w14:textId="77777777" w:rsidR="006A6D0E" w:rsidRPr="00CE6A6E" w:rsidRDefault="006A6D0E" w:rsidP="00B30782">
      <w:pPr>
        <w:spacing w:after="0" w:line="240" w:lineRule="auto"/>
        <w:jc w:val="both"/>
        <w:rPr>
          <w:rFonts w:eastAsia="Calibri" w:cstheme="minorHAnsi"/>
          <w:color w:val="000000" w:themeColor="text1"/>
          <w:sz w:val="24"/>
          <w:szCs w:val="24"/>
        </w:rPr>
      </w:pPr>
    </w:p>
    <w:tbl>
      <w:tblPr>
        <w:tblStyle w:val="Mkatabulky"/>
        <w:tblW w:w="0" w:type="auto"/>
        <w:tblLook w:val="04A0" w:firstRow="1" w:lastRow="0" w:firstColumn="1" w:lastColumn="0" w:noHBand="0" w:noVBand="1"/>
      </w:tblPr>
      <w:tblGrid>
        <w:gridCol w:w="9062"/>
      </w:tblGrid>
      <w:tr w:rsidR="000434E5" w:rsidRPr="00753C79" w14:paraId="6D773DD0" w14:textId="77777777" w:rsidTr="001F5E57">
        <w:trPr>
          <w:trHeight w:val="389"/>
        </w:trPr>
        <w:tc>
          <w:tcPr>
            <w:tcW w:w="906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D773DCF" w14:textId="798AE4BF" w:rsidR="00A57487" w:rsidRPr="00753C79" w:rsidRDefault="00ED25AA" w:rsidP="005B1A41">
            <w:pPr>
              <w:pStyle w:val="Nadpis2"/>
              <w:spacing w:before="0"/>
              <w:outlineLvl w:val="1"/>
              <w:rPr>
                <w:rFonts w:asciiTheme="minorHAnsi" w:hAnsiTheme="minorHAnsi" w:cstheme="minorHAnsi"/>
                <w:b/>
                <w:color w:val="FF0000"/>
                <w:sz w:val="24"/>
                <w:szCs w:val="24"/>
              </w:rPr>
            </w:pPr>
            <w:r>
              <w:rPr>
                <w:rFonts w:asciiTheme="minorHAnsi" w:hAnsiTheme="minorHAnsi" w:cstheme="minorHAnsi"/>
                <w:b/>
                <w:color w:val="1F4E79" w:themeColor="accent1" w:themeShade="80"/>
                <w:sz w:val="24"/>
                <w:szCs w:val="24"/>
              </w:rPr>
              <w:t>C</w:t>
            </w:r>
            <w:r w:rsidR="00781CDD" w:rsidRPr="00ED25AA">
              <w:rPr>
                <w:rFonts w:asciiTheme="minorHAnsi" w:hAnsiTheme="minorHAnsi" w:cstheme="minorHAnsi"/>
                <w:b/>
                <w:color w:val="1F4E79" w:themeColor="accent1" w:themeShade="80"/>
                <w:sz w:val="24"/>
                <w:szCs w:val="24"/>
              </w:rPr>
              <w:t>. Sponzorovaný přístup</w:t>
            </w:r>
            <w:r w:rsidR="009B7564" w:rsidRPr="00ED25AA">
              <w:rPr>
                <w:rFonts w:asciiTheme="minorHAnsi" w:hAnsiTheme="minorHAnsi" w:cstheme="minorHAnsi"/>
                <w:b/>
                <w:color w:val="1F4E79" w:themeColor="accent1" w:themeShade="80"/>
                <w:sz w:val="24"/>
                <w:szCs w:val="24"/>
              </w:rPr>
              <w:t xml:space="preserve"> k českým technickým normám</w:t>
            </w:r>
          </w:p>
        </w:tc>
      </w:tr>
    </w:tbl>
    <w:p w14:paraId="6D773DD1" w14:textId="77777777" w:rsidR="00A57487" w:rsidRPr="00CE6A6E" w:rsidRDefault="00A57487" w:rsidP="005B1A41">
      <w:pPr>
        <w:keepNext/>
        <w:spacing w:after="0" w:line="240" w:lineRule="auto"/>
        <w:jc w:val="both"/>
        <w:rPr>
          <w:rFonts w:eastAsia="Calibri" w:cstheme="minorHAnsi"/>
          <w:color w:val="000000" w:themeColor="text1"/>
          <w:sz w:val="24"/>
          <w:szCs w:val="24"/>
        </w:rPr>
      </w:pPr>
    </w:p>
    <w:p w14:paraId="4592E6E0" w14:textId="729EC6A6" w:rsidR="00B64E23" w:rsidRPr="0072619F" w:rsidRDefault="00B64E23" w:rsidP="00165ACA">
      <w:pPr>
        <w:keepNext/>
        <w:spacing w:after="0" w:line="240" w:lineRule="auto"/>
        <w:rPr>
          <w:rFonts w:eastAsia="Calibri" w:cstheme="minorHAnsi"/>
          <w:b/>
          <w:sz w:val="24"/>
          <w:szCs w:val="24"/>
        </w:rPr>
      </w:pPr>
      <w:r w:rsidRPr="0072619F">
        <w:rPr>
          <w:rFonts w:eastAsia="Calibri" w:cstheme="minorHAnsi"/>
          <w:b/>
          <w:sz w:val="24"/>
          <w:szCs w:val="24"/>
        </w:rPr>
        <w:t xml:space="preserve">Poplatek, který je příjmem ČAS, je hrazen </w:t>
      </w:r>
      <w:r w:rsidR="00F23509" w:rsidRPr="0072619F">
        <w:rPr>
          <w:rFonts w:eastAsia="Calibri" w:cstheme="minorHAnsi"/>
          <w:b/>
          <w:sz w:val="24"/>
          <w:szCs w:val="24"/>
        </w:rPr>
        <w:t xml:space="preserve">ze státního rozpočtu na základě odhadu </w:t>
      </w:r>
      <w:r w:rsidR="00E30E29" w:rsidRPr="0072619F">
        <w:rPr>
          <w:rFonts w:eastAsia="Calibri" w:cstheme="minorHAnsi"/>
          <w:b/>
          <w:sz w:val="24"/>
          <w:szCs w:val="24"/>
        </w:rPr>
        <w:t>počtu uživatelů, nikoliv na základě jejich reálného počtu</w:t>
      </w:r>
    </w:p>
    <w:p w14:paraId="2FB00C19" w14:textId="77777777" w:rsidR="001F5E57" w:rsidRPr="00A31E8F" w:rsidRDefault="001F5E57" w:rsidP="00B64E23">
      <w:pPr>
        <w:keepNext/>
        <w:spacing w:after="0" w:line="240" w:lineRule="auto"/>
        <w:jc w:val="both"/>
        <w:rPr>
          <w:rFonts w:eastAsia="Calibri" w:cstheme="minorHAnsi"/>
          <w:sz w:val="24"/>
          <w:szCs w:val="24"/>
        </w:rPr>
      </w:pPr>
    </w:p>
    <w:p w14:paraId="0FCCE411" w14:textId="7CAE6A21" w:rsidR="00B64E23" w:rsidRPr="00165ACA" w:rsidRDefault="00165ACA" w:rsidP="00F45579">
      <w:pPr>
        <w:tabs>
          <w:tab w:val="left" w:pos="567"/>
        </w:tabs>
        <w:spacing w:after="0" w:line="240" w:lineRule="auto"/>
        <w:jc w:val="both"/>
        <w:rPr>
          <w:rFonts w:eastAsia="Calibri" w:cstheme="minorHAnsi"/>
          <w:sz w:val="24"/>
          <w:szCs w:val="24"/>
        </w:rPr>
      </w:pPr>
      <w:r>
        <w:rPr>
          <w:rFonts w:eastAsia="Calibri" w:cstheme="minorHAnsi"/>
          <w:sz w:val="24"/>
          <w:szCs w:val="24"/>
        </w:rPr>
        <w:t xml:space="preserve">4.16 </w:t>
      </w:r>
      <w:r w:rsidR="00F45579">
        <w:rPr>
          <w:rFonts w:eastAsia="Calibri" w:cstheme="minorHAnsi"/>
          <w:sz w:val="24"/>
          <w:szCs w:val="24"/>
        </w:rPr>
        <w:tab/>
      </w:r>
      <w:r w:rsidR="00781CDD" w:rsidRPr="00165ACA">
        <w:rPr>
          <w:rFonts w:eastAsia="Calibri" w:cstheme="minorHAnsi"/>
          <w:sz w:val="24"/>
          <w:szCs w:val="24"/>
        </w:rPr>
        <w:t>Sponzorovaný přístup k technickým normám byl zaveden zákonem č. 526/2020 Sb.</w:t>
      </w:r>
      <w:r w:rsidR="00781CDD" w:rsidRPr="00A31E8F">
        <w:rPr>
          <w:rStyle w:val="Znakapoznpodarou"/>
          <w:rFonts w:eastAsia="Calibri" w:cstheme="minorHAnsi"/>
          <w:sz w:val="24"/>
          <w:szCs w:val="24"/>
        </w:rPr>
        <w:footnoteReference w:id="23"/>
      </w:r>
      <w:r w:rsidR="00781CDD" w:rsidRPr="00165ACA">
        <w:rPr>
          <w:rFonts w:eastAsia="Calibri" w:cstheme="minorHAnsi"/>
          <w:sz w:val="24"/>
          <w:szCs w:val="24"/>
        </w:rPr>
        <w:t xml:space="preserve">, </w:t>
      </w:r>
      <w:r w:rsidR="00B64E23" w:rsidRPr="00165ACA">
        <w:rPr>
          <w:rFonts w:eastAsia="Calibri" w:cstheme="minorHAnsi"/>
          <w:sz w:val="24"/>
          <w:szCs w:val="24"/>
        </w:rPr>
        <w:t xml:space="preserve">který </w:t>
      </w:r>
      <w:r w:rsidR="00781CDD" w:rsidRPr="00165ACA">
        <w:rPr>
          <w:rFonts w:eastAsia="Calibri" w:cstheme="minorHAnsi"/>
          <w:sz w:val="24"/>
          <w:szCs w:val="24"/>
        </w:rPr>
        <w:t xml:space="preserve">zajišťuje bezplatný přístup veřejnosti k závazným normám. Norma je pro uživatele zakoupena státním orgánem, který stanovil, že je závazná. </w:t>
      </w:r>
      <w:r w:rsidR="009B7564" w:rsidRPr="00165ACA">
        <w:rPr>
          <w:rFonts w:eastAsia="Calibri" w:cstheme="minorHAnsi"/>
          <w:sz w:val="24"/>
          <w:szCs w:val="24"/>
        </w:rPr>
        <w:t>Správcem poplatku za</w:t>
      </w:r>
      <w:r w:rsidR="00757315">
        <w:rPr>
          <w:rFonts w:eastAsia="Calibri" w:cstheme="minorHAnsi"/>
          <w:sz w:val="24"/>
          <w:szCs w:val="24"/>
        </w:rPr>
        <w:t xml:space="preserve"> </w:t>
      </w:r>
      <w:r w:rsidR="009B7564" w:rsidRPr="00165ACA">
        <w:rPr>
          <w:rFonts w:eastAsia="Calibri" w:cstheme="minorHAnsi"/>
          <w:sz w:val="24"/>
          <w:szCs w:val="24"/>
        </w:rPr>
        <w:t xml:space="preserve">sponzorovaný přístup k českým technickým normám a jiným technickým dokumentům je ČAS. </w:t>
      </w:r>
      <w:r w:rsidR="00781CDD" w:rsidRPr="00165ACA">
        <w:rPr>
          <w:rFonts w:eastAsia="Calibri" w:cstheme="minorHAnsi"/>
          <w:sz w:val="24"/>
          <w:szCs w:val="24"/>
        </w:rPr>
        <w:t>Výše poplatku je stanovena vyhláškou č. 571/2020 Sb.</w:t>
      </w:r>
      <w:r w:rsidR="00B64E23">
        <w:rPr>
          <w:rStyle w:val="Znakapoznpodarou"/>
          <w:rFonts w:eastAsia="Calibri" w:cstheme="minorHAnsi"/>
          <w:sz w:val="24"/>
          <w:szCs w:val="24"/>
        </w:rPr>
        <w:footnoteReference w:id="24"/>
      </w:r>
      <w:r w:rsidR="00C53065" w:rsidRPr="00165ACA">
        <w:rPr>
          <w:rFonts w:eastAsia="Calibri" w:cstheme="minorHAnsi"/>
          <w:sz w:val="24"/>
          <w:szCs w:val="24"/>
        </w:rPr>
        <w:t>,</w:t>
      </w:r>
      <w:r w:rsidR="00781CDD" w:rsidRPr="00A31E8F">
        <w:rPr>
          <w:rStyle w:val="Znakapoznpodarou"/>
        </w:rPr>
        <w:t xml:space="preserve"> </w:t>
      </w:r>
      <w:r w:rsidR="00781CDD" w:rsidRPr="00165ACA">
        <w:rPr>
          <w:rFonts w:eastAsia="Calibri" w:cstheme="minorHAnsi"/>
          <w:sz w:val="24"/>
          <w:szCs w:val="24"/>
        </w:rPr>
        <w:t>a to podle předpokládaného počtu koncových uživatelů a</w:t>
      </w:r>
      <w:r w:rsidR="007C670F" w:rsidRPr="00165ACA">
        <w:rPr>
          <w:rFonts w:eastAsia="Calibri" w:cstheme="minorHAnsi"/>
          <w:sz w:val="24"/>
          <w:szCs w:val="24"/>
        </w:rPr>
        <w:t> </w:t>
      </w:r>
      <w:r w:rsidR="00781CDD" w:rsidRPr="00165ACA">
        <w:rPr>
          <w:rFonts w:eastAsia="Calibri" w:cstheme="minorHAnsi"/>
          <w:sz w:val="24"/>
          <w:szCs w:val="24"/>
        </w:rPr>
        <w:t xml:space="preserve">počtu stran zpřístupňovaných norem. </w:t>
      </w:r>
    </w:p>
    <w:p w14:paraId="46B820B0" w14:textId="77777777" w:rsidR="008E75EC" w:rsidRPr="00661E2C" w:rsidRDefault="008E75EC" w:rsidP="00165ACA">
      <w:pPr>
        <w:pStyle w:val="Odstavecseseznamem"/>
        <w:spacing w:after="0" w:line="240" w:lineRule="auto"/>
        <w:ind w:left="0"/>
        <w:jc w:val="both"/>
        <w:rPr>
          <w:rFonts w:eastAsia="Calibri" w:cstheme="minorHAnsi"/>
          <w:sz w:val="24"/>
          <w:szCs w:val="24"/>
        </w:rPr>
      </w:pPr>
    </w:p>
    <w:p w14:paraId="42561081" w14:textId="4A22D140" w:rsidR="001F5E57" w:rsidRPr="00165ACA" w:rsidRDefault="00165ACA" w:rsidP="00631D63">
      <w:pPr>
        <w:tabs>
          <w:tab w:val="left" w:pos="567"/>
        </w:tabs>
        <w:spacing w:after="0" w:line="240" w:lineRule="auto"/>
        <w:jc w:val="both"/>
        <w:rPr>
          <w:rFonts w:eastAsia="Calibri" w:cstheme="minorHAnsi"/>
          <w:sz w:val="24"/>
          <w:szCs w:val="24"/>
        </w:rPr>
      </w:pPr>
      <w:r>
        <w:rPr>
          <w:rFonts w:eastAsia="Calibri" w:cstheme="minorHAnsi"/>
          <w:sz w:val="24"/>
          <w:szCs w:val="24"/>
        </w:rPr>
        <w:t xml:space="preserve">4.17 </w:t>
      </w:r>
      <w:r w:rsidR="00631D63">
        <w:rPr>
          <w:rFonts w:eastAsia="Calibri" w:cstheme="minorHAnsi"/>
          <w:sz w:val="24"/>
          <w:szCs w:val="24"/>
        </w:rPr>
        <w:tab/>
      </w:r>
      <w:r w:rsidR="00B64E23" w:rsidRPr="00165ACA">
        <w:rPr>
          <w:rFonts w:eastAsia="Calibri" w:cstheme="minorHAnsi"/>
          <w:sz w:val="24"/>
          <w:szCs w:val="24"/>
        </w:rPr>
        <w:t>ČAS</w:t>
      </w:r>
      <w:r w:rsidR="00781CDD" w:rsidRPr="00165ACA">
        <w:rPr>
          <w:rFonts w:eastAsia="Calibri" w:cstheme="minorHAnsi"/>
          <w:sz w:val="24"/>
          <w:szCs w:val="24"/>
        </w:rPr>
        <w:t xml:space="preserve"> v</w:t>
      </w:r>
      <w:r w:rsidR="00B64E23" w:rsidRPr="00165ACA">
        <w:rPr>
          <w:rFonts w:eastAsia="Calibri" w:cstheme="minorHAnsi"/>
          <w:sz w:val="24"/>
          <w:szCs w:val="24"/>
        </w:rPr>
        <w:t> roce 2021</w:t>
      </w:r>
      <w:r w:rsidR="00781CDD" w:rsidRPr="00165ACA">
        <w:rPr>
          <w:rFonts w:eastAsia="Calibri" w:cstheme="minorHAnsi"/>
          <w:sz w:val="24"/>
          <w:szCs w:val="24"/>
        </w:rPr>
        <w:t xml:space="preserve"> uzavřela s žadateli o sponzorovaný přístup 11 </w:t>
      </w:r>
      <w:r w:rsidR="00047491">
        <w:rPr>
          <w:rFonts w:eastAsia="Calibri" w:cstheme="minorHAnsi"/>
          <w:sz w:val="24"/>
          <w:szCs w:val="24"/>
        </w:rPr>
        <w:t>d</w:t>
      </w:r>
      <w:r w:rsidR="00781CDD" w:rsidRPr="00165ACA">
        <w:rPr>
          <w:rFonts w:eastAsia="Calibri" w:cstheme="minorHAnsi"/>
          <w:sz w:val="24"/>
          <w:szCs w:val="24"/>
        </w:rPr>
        <w:t>ohod s celkovou výš</w:t>
      </w:r>
      <w:r w:rsidR="00047491">
        <w:rPr>
          <w:rFonts w:eastAsia="Calibri" w:cstheme="minorHAnsi"/>
          <w:sz w:val="24"/>
          <w:szCs w:val="24"/>
        </w:rPr>
        <w:t>í</w:t>
      </w:r>
      <w:r w:rsidR="00781CDD" w:rsidRPr="00165ACA">
        <w:rPr>
          <w:rFonts w:eastAsia="Calibri" w:cstheme="minorHAnsi"/>
          <w:sz w:val="24"/>
          <w:szCs w:val="24"/>
        </w:rPr>
        <w:t xml:space="preserve"> poplatku 113</w:t>
      </w:r>
      <w:r w:rsidR="009E2B49" w:rsidRPr="00165ACA">
        <w:rPr>
          <w:rFonts w:eastAsia="Calibri" w:cstheme="minorHAnsi"/>
          <w:sz w:val="24"/>
          <w:szCs w:val="24"/>
        </w:rPr>
        <w:t> </w:t>
      </w:r>
      <w:r w:rsidR="00781CDD" w:rsidRPr="00165ACA">
        <w:rPr>
          <w:rFonts w:eastAsia="Calibri" w:cstheme="minorHAnsi"/>
          <w:sz w:val="24"/>
          <w:szCs w:val="24"/>
        </w:rPr>
        <w:t>070</w:t>
      </w:r>
      <w:r w:rsidR="009E2B49" w:rsidRPr="00165ACA">
        <w:rPr>
          <w:rFonts w:eastAsia="Calibri" w:cstheme="minorHAnsi"/>
          <w:sz w:val="24"/>
          <w:szCs w:val="24"/>
        </w:rPr>
        <w:t> </w:t>
      </w:r>
      <w:r w:rsidR="00781CDD" w:rsidRPr="00165ACA">
        <w:rPr>
          <w:rFonts w:eastAsia="Calibri" w:cstheme="minorHAnsi"/>
          <w:sz w:val="24"/>
          <w:szCs w:val="24"/>
        </w:rPr>
        <w:t>000</w:t>
      </w:r>
      <w:r w:rsidR="009E2B49" w:rsidRPr="00165ACA">
        <w:rPr>
          <w:rFonts w:eastAsia="Calibri" w:cstheme="minorHAnsi"/>
          <w:sz w:val="24"/>
          <w:szCs w:val="24"/>
        </w:rPr>
        <w:t> </w:t>
      </w:r>
      <w:r w:rsidR="00781CDD" w:rsidRPr="00165ACA">
        <w:rPr>
          <w:rFonts w:eastAsia="Calibri" w:cstheme="minorHAnsi"/>
          <w:sz w:val="24"/>
          <w:szCs w:val="24"/>
        </w:rPr>
        <w:t xml:space="preserve">Kč. </w:t>
      </w:r>
      <w:r w:rsidR="005D46A2" w:rsidRPr="00165ACA">
        <w:rPr>
          <w:rFonts w:eastAsia="Calibri" w:cstheme="minorHAnsi"/>
          <w:sz w:val="24"/>
          <w:szCs w:val="24"/>
        </w:rPr>
        <w:t>P</w:t>
      </w:r>
      <w:r w:rsidR="00781CDD" w:rsidRPr="00165ACA">
        <w:rPr>
          <w:rFonts w:eastAsia="Calibri" w:cstheme="minorHAnsi"/>
          <w:sz w:val="24"/>
          <w:szCs w:val="24"/>
        </w:rPr>
        <w:t xml:space="preserve">oplatek byl hrazen z jiných kapitol státního rozpočtu – viz tabulka č. </w:t>
      </w:r>
      <w:r w:rsidR="001912C1" w:rsidRPr="00165ACA">
        <w:rPr>
          <w:rFonts w:eastAsia="Calibri" w:cstheme="minorHAnsi"/>
          <w:sz w:val="24"/>
          <w:szCs w:val="24"/>
        </w:rPr>
        <w:t>5</w:t>
      </w:r>
      <w:r w:rsidR="00781CDD" w:rsidRPr="00165ACA">
        <w:rPr>
          <w:rFonts w:eastAsia="Calibri" w:cstheme="minorHAnsi"/>
          <w:sz w:val="24"/>
          <w:szCs w:val="24"/>
        </w:rPr>
        <w:t>.</w:t>
      </w:r>
    </w:p>
    <w:p w14:paraId="7AC404C5" w14:textId="77777777" w:rsidR="00B64E23" w:rsidRPr="00A31E8F" w:rsidRDefault="00B64E23" w:rsidP="00B64E23">
      <w:pPr>
        <w:spacing w:after="0" w:line="240" w:lineRule="auto"/>
        <w:jc w:val="both"/>
        <w:rPr>
          <w:rFonts w:eastAsia="Calibri" w:cstheme="minorHAnsi"/>
          <w:sz w:val="24"/>
          <w:szCs w:val="24"/>
        </w:rPr>
      </w:pPr>
    </w:p>
    <w:p w14:paraId="4CF7E696" w14:textId="34C2528D" w:rsidR="00B64E23" w:rsidRPr="00D44ED3" w:rsidRDefault="00B64E23" w:rsidP="00D44ED3">
      <w:pPr>
        <w:keepNext/>
        <w:spacing w:after="40" w:line="240" w:lineRule="auto"/>
        <w:jc w:val="both"/>
        <w:rPr>
          <w:rFonts w:ascii="Calibri" w:eastAsia="Times New Roman" w:hAnsi="Calibri" w:cs="Calibri"/>
          <w:b/>
          <w:color w:val="000000" w:themeColor="text1"/>
          <w:sz w:val="24"/>
        </w:rPr>
      </w:pPr>
      <w:r w:rsidRPr="00D44ED3">
        <w:rPr>
          <w:b/>
          <w:color w:val="000000" w:themeColor="text1"/>
          <w:sz w:val="24"/>
        </w:rPr>
        <w:lastRenderedPageBreak/>
        <w:t xml:space="preserve">Tabulka č. </w:t>
      </w:r>
      <w:r w:rsidR="001912C1" w:rsidRPr="00D44ED3">
        <w:rPr>
          <w:b/>
          <w:color w:val="000000" w:themeColor="text1"/>
          <w:sz w:val="24"/>
        </w:rPr>
        <w:t>5</w:t>
      </w:r>
      <w:r w:rsidR="00047491">
        <w:rPr>
          <w:b/>
          <w:color w:val="000000" w:themeColor="text1"/>
          <w:sz w:val="24"/>
        </w:rPr>
        <w:t>:</w:t>
      </w:r>
      <w:r w:rsidRPr="00D44ED3">
        <w:rPr>
          <w:rFonts w:ascii="Calibri" w:eastAsia="Times New Roman" w:hAnsi="Calibri" w:cs="Calibri"/>
          <w:b/>
          <w:color w:val="000000" w:themeColor="text1"/>
          <w:sz w:val="24"/>
        </w:rPr>
        <w:t xml:space="preserve"> Sponzorovaný přístup v roce 2021</w:t>
      </w:r>
    </w:p>
    <w:tbl>
      <w:tblPr>
        <w:tblW w:w="0" w:type="auto"/>
        <w:jc w:val="center"/>
        <w:tblLayout w:type="fixed"/>
        <w:tblCellMar>
          <w:left w:w="70" w:type="dxa"/>
          <w:right w:w="70" w:type="dxa"/>
        </w:tblCellMar>
        <w:tblLook w:val="04A0" w:firstRow="1" w:lastRow="0" w:firstColumn="1" w:lastColumn="0" w:noHBand="0" w:noVBand="1"/>
      </w:tblPr>
      <w:tblGrid>
        <w:gridCol w:w="3118"/>
        <w:gridCol w:w="1052"/>
        <w:gridCol w:w="1176"/>
        <w:gridCol w:w="992"/>
        <w:gridCol w:w="1843"/>
        <w:gridCol w:w="851"/>
      </w:tblGrid>
      <w:tr w:rsidR="00B64E23" w:rsidRPr="00D44ED3" w14:paraId="31DA6D45" w14:textId="77777777" w:rsidTr="00165ACA">
        <w:trPr>
          <w:trHeight w:val="255"/>
          <w:jc w:val="center"/>
        </w:trPr>
        <w:tc>
          <w:tcPr>
            <w:tcW w:w="31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55ED6B" w14:textId="77777777"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Žadatel</w:t>
            </w:r>
          </w:p>
        </w:tc>
        <w:tc>
          <w:tcPr>
            <w:tcW w:w="591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7C3A6E" w14:textId="5587B62D"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Dohoda o sponzorovaném přístupu k českým technickým normám</w:t>
            </w:r>
            <w:r w:rsidR="00D44ED3">
              <w:rPr>
                <w:rFonts w:ascii="Calibri" w:eastAsia="Times New Roman" w:hAnsi="Calibri" w:cs="Calibri"/>
                <w:b/>
                <w:sz w:val="20"/>
                <w:szCs w:val="20"/>
                <w:lang w:eastAsia="cs-CZ"/>
              </w:rPr>
              <w:t xml:space="preserve"> </w:t>
            </w:r>
            <w:r w:rsidRPr="00D44ED3">
              <w:rPr>
                <w:rFonts w:ascii="Calibri" w:eastAsia="Times New Roman" w:hAnsi="Calibri" w:cs="Calibri"/>
                <w:b/>
                <w:sz w:val="20"/>
                <w:szCs w:val="20"/>
                <w:lang w:eastAsia="cs-CZ"/>
              </w:rPr>
              <w:t>a</w:t>
            </w:r>
            <w:r w:rsidR="00D44ED3">
              <w:rPr>
                <w:rFonts w:ascii="Calibri" w:eastAsia="Times New Roman" w:hAnsi="Calibri" w:cs="Calibri"/>
                <w:b/>
                <w:sz w:val="20"/>
                <w:szCs w:val="20"/>
                <w:lang w:eastAsia="cs-CZ"/>
              </w:rPr>
              <w:t> </w:t>
            </w:r>
            <w:r w:rsidRPr="00D44ED3">
              <w:rPr>
                <w:rFonts w:ascii="Calibri" w:eastAsia="Times New Roman" w:hAnsi="Calibri" w:cs="Calibri"/>
                <w:b/>
                <w:sz w:val="20"/>
                <w:szCs w:val="20"/>
                <w:lang w:eastAsia="cs-CZ"/>
              </w:rPr>
              <w:t>jiným technickým dokumentům</w:t>
            </w:r>
          </w:p>
        </w:tc>
      </w:tr>
      <w:tr w:rsidR="00B64E23" w:rsidRPr="00D44ED3" w14:paraId="79DB439B" w14:textId="77777777" w:rsidTr="00165ACA">
        <w:trPr>
          <w:trHeight w:val="255"/>
          <w:jc w:val="center"/>
        </w:trPr>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ECBB5" w14:textId="77777777" w:rsidR="00B64E23" w:rsidRPr="00D44ED3" w:rsidRDefault="00B64E23" w:rsidP="00D44ED3">
            <w:pPr>
              <w:keepNext/>
              <w:spacing w:after="0" w:line="240" w:lineRule="auto"/>
              <w:jc w:val="center"/>
              <w:rPr>
                <w:rFonts w:ascii="Calibri" w:eastAsia="Times New Roman" w:hAnsi="Calibri" w:cs="Calibri"/>
                <w:b/>
                <w:sz w:val="20"/>
                <w:szCs w:val="20"/>
                <w:lang w:eastAsia="cs-CZ"/>
              </w:rPr>
            </w:pPr>
          </w:p>
        </w:tc>
        <w:tc>
          <w:tcPr>
            <w:tcW w:w="1052" w:type="dxa"/>
            <w:tcBorders>
              <w:top w:val="nil"/>
              <w:left w:val="nil"/>
              <w:bottom w:val="single" w:sz="4" w:space="0" w:color="auto"/>
              <w:right w:val="single" w:sz="4" w:space="0" w:color="auto"/>
            </w:tcBorders>
            <w:shd w:val="clear" w:color="auto" w:fill="F2F2F2" w:themeFill="background1" w:themeFillShade="F2"/>
            <w:vAlign w:val="center"/>
            <w:hideMark/>
          </w:tcPr>
          <w:p w14:paraId="1DF997DA" w14:textId="014D53F7"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Datum uzavření</w:t>
            </w:r>
          </w:p>
        </w:tc>
        <w:tc>
          <w:tcPr>
            <w:tcW w:w="1176" w:type="dxa"/>
            <w:tcBorders>
              <w:top w:val="nil"/>
              <w:left w:val="nil"/>
              <w:bottom w:val="single" w:sz="4" w:space="0" w:color="auto"/>
              <w:right w:val="single" w:sz="4" w:space="0" w:color="auto"/>
            </w:tcBorders>
            <w:shd w:val="clear" w:color="auto" w:fill="F2F2F2" w:themeFill="background1" w:themeFillShade="F2"/>
            <w:vAlign w:val="center"/>
            <w:hideMark/>
          </w:tcPr>
          <w:p w14:paraId="0B434969" w14:textId="5BB0D3EC"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 xml:space="preserve">Poplatek </w:t>
            </w:r>
            <w:r w:rsidR="00A533FB">
              <w:rPr>
                <w:rFonts w:ascii="Calibri" w:eastAsia="Times New Roman" w:hAnsi="Calibri" w:cs="Calibri"/>
                <w:b/>
                <w:sz w:val="20"/>
                <w:szCs w:val="20"/>
                <w:lang w:eastAsia="cs-CZ"/>
              </w:rPr>
              <w:br/>
            </w:r>
            <w:r w:rsidRPr="00D44ED3">
              <w:rPr>
                <w:rFonts w:ascii="Calibri" w:eastAsia="Times New Roman" w:hAnsi="Calibri" w:cs="Calibri"/>
                <w:b/>
                <w:sz w:val="20"/>
                <w:szCs w:val="20"/>
                <w:lang w:eastAsia="cs-CZ"/>
              </w:rPr>
              <w:t>v Kč</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2F63F200" w14:textId="77777777"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Počet stran ČSN</w:t>
            </w:r>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2847ADF6" w14:textId="77777777"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Kvalifikovaný odhad počtu uživatelů</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0E9868A" w14:textId="77777777" w:rsidR="00B64E23" w:rsidRPr="00D44ED3" w:rsidRDefault="00B64E23" w:rsidP="00D44ED3">
            <w:pPr>
              <w:keepNext/>
              <w:spacing w:after="0" w:line="240" w:lineRule="auto"/>
              <w:jc w:val="center"/>
              <w:rPr>
                <w:rFonts w:ascii="Calibri" w:eastAsia="Times New Roman" w:hAnsi="Calibri" w:cs="Calibri"/>
                <w:b/>
                <w:sz w:val="20"/>
                <w:szCs w:val="20"/>
                <w:lang w:eastAsia="cs-CZ"/>
              </w:rPr>
            </w:pPr>
            <w:r w:rsidRPr="00D44ED3">
              <w:rPr>
                <w:rFonts w:ascii="Calibri" w:eastAsia="Times New Roman" w:hAnsi="Calibri" w:cs="Calibri"/>
                <w:b/>
                <w:sz w:val="20"/>
                <w:szCs w:val="20"/>
                <w:lang w:eastAsia="cs-CZ"/>
              </w:rPr>
              <w:t>Počet ČSN</w:t>
            </w:r>
          </w:p>
        </w:tc>
      </w:tr>
      <w:tr w:rsidR="00B64E23" w:rsidRPr="00D44ED3" w14:paraId="1C660D24"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BBD8B97"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průmyslu a obchodu</w:t>
            </w:r>
          </w:p>
        </w:tc>
        <w:tc>
          <w:tcPr>
            <w:tcW w:w="1052" w:type="dxa"/>
            <w:tcBorders>
              <w:top w:val="nil"/>
              <w:left w:val="nil"/>
              <w:bottom w:val="single" w:sz="4" w:space="0" w:color="auto"/>
              <w:right w:val="single" w:sz="4" w:space="0" w:color="auto"/>
            </w:tcBorders>
            <w:shd w:val="clear" w:color="auto" w:fill="auto"/>
            <w:vAlign w:val="center"/>
            <w:hideMark/>
          </w:tcPr>
          <w:p w14:paraId="61A10A7A"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12.04.2021</w:t>
            </w:r>
          </w:p>
        </w:tc>
        <w:tc>
          <w:tcPr>
            <w:tcW w:w="1176" w:type="dxa"/>
            <w:tcBorders>
              <w:top w:val="nil"/>
              <w:left w:val="nil"/>
              <w:bottom w:val="single" w:sz="4" w:space="0" w:color="auto"/>
              <w:right w:val="single" w:sz="4" w:space="0" w:color="auto"/>
            </w:tcBorders>
            <w:shd w:val="clear" w:color="auto" w:fill="auto"/>
            <w:vAlign w:val="center"/>
            <w:hideMark/>
          </w:tcPr>
          <w:p w14:paraId="7A1BD670"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20 520 000</w:t>
            </w:r>
          </w:p>
        </w:tc>
        <w:tc>
          <w:tcPr>
            <w:tcW w:w="992" w:type="dxa"/>
            <w:tcBorders>
              <w:top w:val="nil"/>
              <w:left w:val="nil"/>
              <w:bottom w:val="single" w:sz="4" w:space="0" w:color="auto"/>
              <w:right w:val="single" w:sz="4" w:space="0" w:color="auto"/>
            </w:tcBorders>
            <w:shd w:val="clear" w:color="auto" w:fill="auto"/>
            <w:vAlign w:val="center"/>
            <w:hideMark/>
          </w:tcPr>
          <w:p w14:paraId="18FE8B03" w14:textId="5DB7106E"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8</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492</w:t>
            </w:r>
          </w:p>
        </w:tc>
        <w:tc>
          <w:tcPr>
            <w:tcW w:w="1843" w:type="dxa"/>
            <w:tcBorders>
              <w:top w:val="nil"/>
              <w:left w:val="nil"/>
              <w:bottom w:val="single" w:sz="4" w:space="0" w:color="auto"/>
              <w:right w:val="single" w:sz="4" w:space="0" w:color="auto"/>
            </w:tcBorders>
            <w:shd w:val="clear" w:color="auto" w:fill="auto"/>
            <w:vAlign w:val="center"/>
            <w:hideMark/>
          </w:tcPr>
          <w:p w14:paraId="7827C389" w14:textId="4D138184"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2885499E"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197</w:t>
            </w:r>
          </w:p>
        </w:tc>
      </w:tr>
      <w:tr w:rsidR="00B64E23" w:rsidRPr="00D44ED3" w14:paraId="14521C7D"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212D049"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Energetický regulační úřad</w:t>
            </w:r>
          </w:p>
        </w:tc>
        <w:tc>
          <w:tcPr>
            <w:tcW w:w="1052" w:type="dxa"/>
            <w:tcBorders>
              <w:top w:val="nil"/>
              <w:left w:val="nil"/>
              <w:bottom w:val="single" w:sz="4" w:space="0" w:color="auto"/>
              <w:right w:val="single" w:sz="4" w:space="0" w:color="auto"/>
            </w:tcBorders>
            <w:shd w:val="clear" w:color="auto" w:fill="auto"/>
            <w:vAlign w:val="center"/>
            <w:hideMark/>
          </w:tcPr>
          <w:p w14:paraId="76CD2874"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15.04.2021</w:t>
            </w:r>
          </w:p>
        </w:tc>
        <w:tc>
          <w:tcPr>
            <w:tcW w:w="1176" w:type="dxa"/>
            <w:tcBorders>
              <w:top w:val="nil"/>
              <w:left w:val="nil"/>
              <w:bottom w:val="single" w:sz="4" w:space="0" w:color="auto"/>
              <w:right w:val="single" w:sz="4" w:space="0" w:color="auto"/>
            </w:tcBorders>
            <w:shd w:val="clear" w:color="auto" w:fill="auto"/>
            <w:vAlign w:val="center"/>
            <w:hideMark/>
          </w:tcPr>
          <w:p w14:paraId="3795E33A"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150 000</w:t>
            </w:r>
          </w:p>
        </w:tc>
        <w:tc>
          <w:tcPr>
            <w:tcW w:w="992" w:type="dxa"/>
            <w:tcBorders>
              <w:top w:val="nil"/>
              <w:left w:val="nil"/>
              <w:bottom w:val="single" w:sz="4" w:space="0" w:color="auto"/>
              <w:right w:val="single" w:sz="4" w:space="0" w:color="auto"/>
            </w:tcBorders>
            <w:shd w:val="clear" w:color="auto" w:fill="auto"/>
            <w:vAlign w:val="center"/>
            <w:hideMark/>
          </w:tcPr>
          <w:p w14:paraId="0C3AEFEE"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88</w:t>
            </w:r>
          </w:p>
        </w:tc>
        <w:tc>
          <w:tcPr>
            <w:tcW w:w="1843" w:type="dxa"/>
            <w:tcBorders>
              <w:top w:val="nil"/>
              <w:left w:val="nil"/>
              <w:bottom w:val="single" w:sz="4" w:space="0" w:color="auto"/>
              <w:right w:val="single" w:sz="4" w:space="0" w:color="auto"/>
            </w:tcBorders>
            <w:shd w:val="clear" w:color="auto" w:fill="auto"/>
            <w:vAlign w:val="center"/>
            <w:hideMark/>
          </w:tcPr>
          <w:p w14:paraId="4C13385B"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od 1 do 500</w:t>
            </w:r>
          </w:p>
        </w:tc>
        <w:tc>
          <w:tcPr>
            <w:tcW w:w="851" w:type="dxa"/>
            <w:tcBorders>
              <w:top w:val="nil"/>
              <w:left w:val="nil"/>
              <w:bottom w:val="single" w:sz="4" w:space="0" w:color="auto"/>
              <w:right w:val="single" w:sz="4" w:space="0" w:color="auto"/>
            </w:tcBorders>
            <w:shd w:val="clear" w:color="auto" w:fill="auto"/>
            <w:vAlign w:val="center"/>
            <w:hideMark/>
          </w:tcPr>
          <w:p w14:paraId="1865CC0F"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3</w:t>
            </w:r>
          </w:p>
        </w:tc>
      </w:tr>
      <w:tr w:rsidR="00B64E23" w:rsidRPr="00D44ED3" w14:paraId="54DEACE0"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2D1BB45D"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Český báňský úřad</w:t>
            </w:r>
          </w:p>
        </w:tc>
        <w:tc>
          <w:tcPr>
            <w:tcW w:w="1052" w:type="dxa"/>
            <w:tcBorders>
              <w:top w:val="nil"/>
              <w:left w:val="nil"/>
              <w:bottom w:val="single" w:sz="4" w:space="0" w:color="auto"/>
              <w:right w:val="single" w:sz="4" w:space="0" w:color="auto"/>
            </w:tcBorders>
            <w:shd w:val="clear" w:color="auto" w:fill="auto"/>
            <w:vAlign w:val="center"/>
            <w:hideMark/>
          </w:tcPr>
          <w:p w14:paraId="1AE31C2B"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21.04.2021</w:t>
            </w:r>
          </w:p>
        </w:tc>
        <w:tc>
          <w:tcPr>
            <w:tcW w:w="1176" w:type="dxa"/>
            <w:tcBorders>
              <w:top w:val="nil"/>
              <w:left w:val="nil"/>
              <w:bottom w:val="single" w:sz="4" w:space="0" w:color="auto"/>
              <w:right w:val="single" w:sz="4" w:space="0" w:color="auto"/>
            </w:tcBorders>
            <w:shd w:val="clear" w:color="auto" w:fill="auto"/>
            <w:vAlign w:val="center"/>
            <w:hideMark/>
          </w:tcPr>
          <w:p w14:paraId="15BC62EF"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150 000</w:t>
            </w:r>
          </w:p>
        </w:tc>
        <w:tc>
          <w:tcPr>
            <w:tcW w:w="992" w:type="dxa"/>
            <w:tcBorders>
              <w:top w:val="nil"/>
              <w:left w:val="nil"/>
              <w:bottom w:val="single" w:sz="4" w:space="0" w:color="auto"/>
              <w:right w:val="single" w:sz="4" w:space="0" w:color="auto"/>
            </w:tcBorders>
            <w:shd w:val="clear" w:color="auto" w:fill="auto"/>
            <w:vAlign w:val="center"/>
            <w:hideMark/>
          </w:tcPr>
          <w:p w14:paraId="772C1EF9"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240</w:t>
            </w:r>
          </w:p>
        </w:tc>
        <w:tc>
          <w:tcPr>
            <w:tcW w:w="1843" w:type="dxa"/>
            <w:tcBorders>
              <w:top w:val="nil"/>
              <w:left w:val="nil"/>
              <w:bottom w:val="single" w:sz="4" w:space="0" w:color="auto"/>
              <w:right w:val="single" w:sz="4" w:space="0" w:color="auto"/>
            </w:tcBorders>
            <w:shd w:val="clear" w:color="auto" w:fill="auto"/>
            <w:vAlign w:val="center"/>
            <w:hideMark/>
          </w:tcPr>
          <w:p w14:paraId="72AD207A"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od 1 do 500</w:t>
            </w:r>
          </w:p>
        </w:tc>
        <w:tc>
          <w:tcPr>
            <w:tcW w:w="851" w:type="dxa"/>
            <w:tcBorders>
              <w:top w:val="nil"/>
              <w:left w:val="nil"/>
              <w:bottom w:val="single" w:sz="4" w:space="0" w:color="auto"/>
              <w:right w:val="single" w:sz="4" w:space="0" w:color="auto"/>
            </w:tcBorders>
            <w:shd w:val="clear" w:color="auto" w:fill="auto"/>
            <w:vAlign w:val="center"/>
            <w:hideMark/>
          </w:tcPr>
          <w:p w14:paraId="76C3E96B"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6</w:t>
            </w:r>
          </w:p>
        </w:tc>
      </w:tr>
      <w:tr w:rsidR="00B64E23" w:rsidRPr="00D44ED3" w14:paraId="73C7F216"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D9AE2B7"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práce a sociálních věcí</w:t>
            </w:r>
          </w:p>
        </w:tc>
        <w:tc>
          <w:tcPr>
            <w:tcW w:w="1052" w:type="dxa"/>
            <w:tcBorders>
              <w:top w:val="nil"/>
              <w:left w:val="nil"/>
              <w:bottom w:val="single" w:sz="4" w:space="0" w:color="auto"/>
              <w:right w:val="single" w:sz="4" w:space="0" w:color="auto"/>
            </w:tcBorders>
            <w:shd w:val="clear" w:color="auto" w:fill="auto"/>
            <w:vAlign w:val="center"/>
            <w:hideMark/>
          </w:tcPr>
          <w:p w14:paraId="39F8826A"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26.04.2021</w:t>
            </w:r>
          </w:p>
        </w:tc>
        <w:tc>
          <w:tcPr>
            <w:tcW w:w="1176" w:type="dxa"/>
            <w:tcBorders>
              <w:top w:val="nil"/>
              <w:left w:val="nil"/>
              <w:bottom w:val="single" w:sz="4" w:space="0" w:color="auto"/>
              <w:right w:val="single" w:sz="4" w:space="0" w:color="auto"/>
            </w:tcBorders>
            <w:shd w:val="clear" w:color="auto" w:fill="auto"/>
            <w:vAlign w:val="center"/>
            <w:hideMark/>
          </w:tcPr>
          <w:p w14:paraId="0DAFE0C5"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4 590 000</w:t>
            </w:r>
          </w:p>
        </w:tc>
        <w:tc>
          <w:tcPr>
            <w:tcW w:w="992" w:type="dxa"/>
            <w:tcBorders>
              <w:top w:val="nil"/>
              <w:left w:val="nil"/>
              <w:bottom w:val="single" w:sz="4" w:space="0" w:color="auto"/>
              <w:right w:val="single" w:sz="4" w:space="0" w:color="auto"/>
            </w:tcBorders>
            <w:shd w:val="clear" w:color="auto" w:fill="auto"/>
            <w:vAlign w:val="center"/>
            <w:hideMark/>
          </w:tcPr>
          <w:p w14:paraId="2F4EAB40"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884</w:t>
            </w:r>
          </w:p>
        </w:tc>
        <w:tc>
          <w:tcPr>
            <w:tcW w:w="1843" w:type="dxa"/>
            <w:tcBorders>
              <w:top w:val="nil"/>
              <w:left w:val="nil"/>
              <w:bottom w:val="single" w:sz="4" w:space="0" w:color="auto"/>
              <w:right w:val="single" w:sz="4" w:space="0" w:color="auto"/>
            </w:tcBorders>
            <w:shd w:val="clear" w:color="auto" w:fill="auto"/>
            <w:vAlign w:val="center"/>
            <w:hideMark/>
          </w:tcPr>
          <w:p w14:paraId="780C8D3D" w14:textId="6C41D521"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149358F2"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19</w:t>
            </w:r>
          </w:p>
        </w:tc>
      </w:tr>
      <w:tr w:rsidR="00B64E23" w:rsidRPr="00D44ED3" w14:paraId="67D0240F"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89F1C58"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vnitra</w:t>
            </w:r>
          </w:p>
        </w:tc>
        <w:tc>
          <w:tcPr>
            <w:tcW w:w="1052" w:type="dxa"/>
            <w:tcBorders>
              <w:top w:val="nil"/>
              <w:left w:val="nil"/>
              <w:bottom w:val="single" w:sz="4" w:space="0" w:color="auto"/>
              <w:right w:val="single" w:sz="4" w:space="0" w:color="auto"/>
            </w:tcBorders>
            <w:shd w:val="clear" w:color="auto" w:fill="auto"/>
            <w:vAlign w:val="center"/>
            <w:hideMark/>
          </w:tcPr>
          <w:p w14:paraId="6B0F3A9A"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12.05.2021</w:t>
            </w:r>
          </w:p>
        </w:tc>
        <w:tc>
          <w:tcPr>
            <w:tcW w:w="1176" w:type="dxa"/>
            <w:tcBorders>
              <w:top w:val="nil"/>
              <w:left w:val="nil"/>
              <w:bottom w:val="single" w:sz="4" w:space="0" w:color="auto"/>
              <w:right w:val="single" w:sz="4" w:space="0" w:color="auto"/>
            </w:tcBorders>
            <w:shd w:val="clear" w:color="auto" w:fill="auto"/>
            <w:vAlign w:val="center"/>
            <w:hideMark/>
          </w:tcPr>
          <w:p w14:paraId="42480F98"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15 390 000</w:t>
            </w:r>
          </w:p>
        </w:tc>
        <w:tc>
          <w:tcPr>
            <w:tcW w:w="992" w:type="dxa"/>
            <w:tcBorders>
              <w:top w:val="nil"/>
              <w:left w:val="nil"/>
              <w:bottom w:val="single" w:sz="4" w:space="0" w:color="auto"/>
              <w:right w:val="single" w:sz="4" w:space="0" w:color="auto"/>
            </w:tcBorders>
            <w:shd w:val="clear" w:color="auto" w:fill="auto"/>
            <w:vAlign w:val="center"/>
            <w:hideMark/>
          </w:tcPr>
          <w:p w14:paraId="618B188D" w14:textId="52FE2B0B"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3</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844</w:t>
            </w:r>
          </w:p>
        </w:tc>
        <w:tc>
          <w:tcPr>
            <w:tcW w:w="1843" w:type="dxa"/>
            <w:tcBorders>
              <w:top w:val="nil"/>
              <w:left w:val="nil"/>
              <w:bottom w:val="single" w:sz="4" w:space="0" w:color="auto"/>
              <w:right w:val="single" w:sz="4" w:space="0" w:color="auto"/>
            </w:tcBorders>
            <w:shd w:val="clear" w:color="auto" w:fill="auto"/>
            <w:vAlign w:val="center"/>
            <w:hideMark/>
          </w:tcPr>
          <w:p w14:paraId="3039CD5D" w14:textId="349A3C6A"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34883118"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80</w:t>
            </w:r>
          </w:p>
        </w:tc>
      </w:tr>
      <w:tr w:rsidR="00B64E23" w:rsidRPr="00D44ED3" w14:paraId="34A99E5C"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37043216"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pro místní rozvoj</w:t>
            </w:r>
          </w:p>
        </w:tc>
        <w:tc>
          <w:tcPr>
            <w:tcW w:w="1052" w:type="dxa"/>
            <w:tcBorders>
              <w:top w:val="nil"/>
              <w:left w:val="nil"/>
              <w:bottom w:val="single" w:sz="4" w:space="0" w:color="auto"/>
              <w:right w:val="single" w:sz="4" w:space="0" w:color="auto"/>
            </w:tcBorders>
            <w:shd w:val="clear" w:color="auto" w:fill="auto"/>
            <w:vAlign w:val="center"/>
            <w:hideMark/>
          </w:tcPr>
          <w:p w14:paraId="37023947"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31.05.2021</w:t>
            </w:r>
          </w:p>
        </w:tc>
        <w:tc>
          <w:tcPr>
            <w:tcW w:w="1176" w:type="dxa"/>
            <w:tcBorders>
              <w:top w:val="nil"/>
              <w:left w:val="nil"/>
              <w:bottom w:val="single" w:sz="4" w:space="0" w:color="auto"/>
              <w:right w:val="single" w:sz="4" w:space="0" w:color="auto"/>
            </w:tcBorders>
            <w:shd w:val="clear" w:color="auto" w:fill="auto"/>
            <w:vAlign w:val="center"/>
            <w:hideMark/>
          </w:tcPr>
          <w:p w14:paraId="6B5C36FA"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20 520 000</w:t>
            </w:r>
          </w:p>
        </w:tc>
        <w:tc>
          <w:tcPr>
            <w:tcW w:w="992" w:type="dxa"/>
            <w:tcBorders>
              <w:top w:val="nil"/>
              <w:left w:val="nil"/>
              <w:bottom w:val="single" w:sz="4" w:space="0" w:color="auto"/>
              <w:right w:val="single" w:sz="4" w:space="0" w:color="auto"/>
            </w:tcBorders>
            <w:shd w:val="clear" w:color="auto" w:fill="auto"/>
            <w:vAlign w:val="center"/>
            <w:hideMark/>
          </w:tcPr>
          <w:p w14:paraId="4BB5FB06" w14:textId="7BC6321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9</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652</w:t>
            </w:r>
          </w:p>
        </w:tc>
        <w:tc>
          <w:tcPr>
            <w:tcW w:w="1843" w:type="dxa"/>
            <w:tcBorders>
              <w:top w:val="nil"/>
              <w:left w:val="nil"/>
              <w:bottom w:val="single" w:sz="4" w:space="0" w:color="auto"/>
              <w:right w:val="single" w:sz="4" w:space="0" w:color="auto"/>
            </w:tcBorders>
            <w:shd w:val="clear" w:color="auto" w:fill="auto"/>
            <w:vAlign w:val="center"/>
            <w:hideMark/>
          </w:tcPr>
          <w:p w14:paraId="1F6BE5BB" w14:textId="1C0C77DD"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0958F487"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177</w:t>
            </w:r>
          </w:p>
        </w:tc>
      </w:tr>
      <w:tr w:rsidR="00B64E23" w:rsidRPr="00D44ED3" w14:paraId="633CF72A"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A2CF58D"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zdravotnictví</w:t>
            </w:r>
          </w:p>
        </w:tc>
        <w:tc>
          <w:tcPr>
            <w:tcW w:w="1052" w:type="dxa"/>
            <w:tcBorders>
              <w:top w:val="nil"/>
              <w:left w:val="nil"/>
              <w:bottom w:val="single" w:sz="4" w:space="0" w:color="auto"/>
              <w:right w:val="single" w:sz="4" w:space="0" w:color="auto"/>
            </w:tcBorders>
            <w:shd w:val="clear" w:color="auto" w:fill="auto"/>
            <w:vAlign w:val="center"/>
            <w:hideMark/>
          </w:tcPr>
          <w:p w14:paraId="59D52306"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03.09.2021</w:t>
            </w:r>
          </w:p>
        </w:tc>
        <w:tc>
          <w:tcPr>
            <w:tcW w:w="1176" w:type="dxa"/>
            <w:tcBorders>
              <w:top w:val="nil"/>
              <w:left w:val="nil"/>
              <w:bottom w:val="single" w:sz="4" w:space="0" w:color="auto"/>
              <w:right w:val="single" w:sz="4" w:space="0" w:color="auto"/>
            </w:tcBorders>
            <w:shd w:val="clear" w:color="auto" w:fill="auto"/>
            <w:vAlign w:val="center"/>
            <w:hideMark/>
          </w:tcPr>
          <w:p w14:paraId="60AD803C"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15 390 000</w:t>
            </w:r>
          </w:p>
        </w:tc>
        <w:tc>
          <w:tcPr>
            <w:tcW w:w="992" w:type="dxa"/>
            <w:tcBorders>
              <w:top w:val="nil"/>
              <w:left w:val="nil"/>
              <w:bottom w:val="single" w:sz="4" w:space="0" w:color="auto"/>
              <w:right w:val="single" w:sz="4" w:space="0" w:color="auto"/>
            </w:tcBorders>
            <w:shd w:val="clear" w:color="auto" w:fill="auto"/>
            <w:vAlign w:val="center"/>
            <w:hideMark/>
          </w:tcPr>
          <w:p w14:paraId="7B1D5C94" w14:textId="7D7C882D"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566</w:t>
            </w:r>
          </w:p>
        </w:tc>
        <w:tc>
          <w:tcPr>
            <w:tcW w:w="1843" w:type="dxa"/>
            <w:tcBorders>
              <w:top w:val="nil"/>
              <w:left w:val="nil"/>
              <w:bottom w:val="single" w:sz="4" w:space="0" w:color="auto"/>
              <w:right w:val="single" w:sz="4" w:space="0" w:color="auto"/>
            </w:tcBorders>
            <w:shd w:val="clear" w:color="auto" w:fill="auto"/>
            <w:vAlign w:val="center"/>
            <w:hideMark/>
          </w:tcPr>
          <w:p w14:paraId="3075915A" w14:textId="255F2C75"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2955FFA4"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63</w:t>
            </w:r>
          </w:p>
        </w:tc>
      </w:tr>
      <w:tr w:rsidR="00B64E23" w:rsidRPr="00D44ED3" w14:paraId="1D51E489"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34E2F620"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dopravy</w:t>
            </w:r>
          </w:p>
        </w:tc>
        <w:tc>
          <w:tcPr>
            <w:tcW w:w="1052" w:type="dxa"/>
            <w:tcBorders>
              <w:top w:val="nil"/>
              <w:left w:val="nil"/>
              <w:bottom w:val="single" w:sz="4" w:space="0" w:color="auto"/>
              <w:right w:val="single" w:sz="4" w:space="0" w:color="auto"/>
            </w:tcBorders>
            <w:shd w:val="clear" w:color="auto" w:fill="auto"/>
            <w:vAlign w:val="center"/>
            <w:hideMark/>
          </w:tcPr>
          <w:p w14:paraId="02090ABC"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27.08.2021</w:t>
            </w:r>
          </w:p>
        </w:tc>
        <w:tc>
          <w:tcPr>
            <w:tcW w:w="1176" w:type="dxa"/>
            <w:tcBorders>
              <w:top w:val="nil"/>
              <w:left w:val="nil"/>
              <w:bottom w:val="single" w:sz="4" w:space="0" w:color="auto"/>
              <w:right w:val="single" w:sz="4" w:space="0" w:color="auto"/>
            </w:tcBorders>
            <w:shd w:val="clear" w:color="auto" w:fill="auto"/>
            <w:vAlign w:val="center"/>
            <w:hideMark/>
          </w:tcPr>
          <w:p w14:paraId="2FED915C"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15 300 000</w:t>
            </w:r>
          </w:p>
        </w:tc>
        <w:tc>
          <w:tcPr>
            <w:tcW w:w="992" w:type="dxa"/>
            <w:tcBorders>
              <w:top w:val="nil"/>
              <w:left w:val="nil"/>
              <w:bottom w:val="single" w:sz="4" w:space="0" w:color="auto"/>
              <w:right w:val="single" w:sz="4" w:space="0" w:color="auto"/>
            </w:tcBorders>
            <w:shd w:val="clear" w:color="auto" w:fill="auto"/>
            <w:vAlign w:val="center"/>
            <w:hideMark/>
          </w:tcPr>
          <w:p w14:paraId="47EE3FB4" w14:textId="2D810EE0"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465</w:t>
            </w:r>
          </w:p>
        </w:tc>
        <w:tc>
          <w:tcPr>
            <w:tcW w:w="1843" w:type="dxa"/>
            <w:tcBorders>
              <w:top w:val="nil"/>
              <w:left w:val="nil"/>
              <w:bottom w:val="single" w:sz="4" w:space="0" w:color="auto"/>
              <w:right w:val="single" w:sz="4" w:space="0" w:color="auto"/>
            </w:tcBorders>
            <w:shd w:val="clear" w:color="auto" w:fill="auto"/>
            <w:vAlign w:val="center"/>
            <w:hideMark/>
          </w:tcPr>
          <w:p w14:paraId="1A0EBF99" w14:textId="64B780BA"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od 2</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501 do 5</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2D916F1"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270</w:t>
            </w:r>
          </w:p>
        </w:tc>
      </w:tr>
      <w:tr w:rsidR="00B64E23" w:rsidRPr="00D44ED3" w14:paraId="3B31C8E0"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9B90C19"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Národní bezpečnostní úřad</w:t>
            </w:r>
          </w:p>
        </w:tc>
        <w:tc>
          <w:tcPr>
            <w:tcW w:w="1052" w:type="dxa"/>
            <w:tcBorders>
              <w:top w:val="nil"/>
              <w:left w:val="nil"/>
              <w:bottom w:val="single" w:sz="4" w:space="0" w:color="auto"/>
              <w:right w:val="single" w:sz="4" w:space="0" w:color="auto"/>
            </w:tcBorders>
            <w:shd w:val="clear" w:color="auto" w:fill="auto"/>
            <w:vAlign w:val="center"/>
            <w:hideMark/>
          </w:tcPr>
          <w:p w14:paraId="7B11FAFD"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10.09.2021</w:t>
            </w:r>
          </w:p>
        </w:tc>
        <w:tc>
          <w:tcPr>
            <w:tcW w:w="1176" w:type="dxa"/>
            <w:tcBorders>
              <w:top w:val="nil"/>
              <w:left w:val="nil"/>
              <w:bottom w:val="single" w:sz="4" w:space="0" w:color="auto"/>
              <w:right w:val="single" w:sz="4" w:space="0" w:color="auto"/>
            </w:tcBorders>
            <w:shd w:val="clear" w:color="auto" w:fill="auto"/>
            <w:vAlign w:val="center"/>
            <w:hideMark/>
          </w:tcPr>
          <w:p w14:paraId="7BD6A8ED"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1 080 000</w:t>
            </w:r>
          </w:p>
        </w:tc>
        <w:tc>
          <w:tcPr>
            <w:tcW w:w="992" w:type="dxa"/>
            <w:tcBorders>
              <w:top w:val="nil"/>
              <w:left w:val="nil"/>
              <w:bottom w:val="single" w:sz="4" w:space="0" w:color="auto"/>
              <w:right w:val="single" w:sz="4" w:space="0" w:color="auto"/>
            </w:tcBorders>
            <w:shd w:val="clear" w:color="auto" w:fill="auto"/>
            <w:vAlign w:val="center"/>
            <w:hideMark/>
          </w:tcPr>
          <w:p w14:paraId="751B9763" w14:textId="4B2469D6"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684</w:t>
            </w:r>
          </w:p>
        </w:tc>
        <w:tc>
          <w:tcPr>
            <w:tcW w:w="1843" w:type="dxa"/>
            <w:tcBorders>
              <w:top w:val="nil"/>
              <w:left w:val="nil"/>
              <w:bottom w:val="single" w:sz="4" w:space="0" w:color="auto"/>
              <w:right w:val="single" w:sz="4" w:space="0" w:color="auto"/>
            </w:tcBorders>
            <w:shd w:val="clear" w:color="auto" w:fill="auto"/>
            <w:vAlign w:val="center"/>
            <w:hideMark/>
          </w:tcPr>
          <w:p w14:paraId="3E8BA494"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od 1 do 500</w:t>
            </w:r>
          </w:p>
        </w:tc>
        <w:tc>
          <w:tcPr>
            <w:tcW w:w="851" w:type="dxa"/>
            <w:tcBorders>
              <w:top w:val="nil"/>
              <w:left w:val="nil"/>
              <w:bottom w:val="single" w:sz="4" w:space="0" w:color="auto"/>
              <w:right w:val="single" w:sz="4" w:space="0" w:color="auto"/>
            </w:tcBorders>
            <w:shd w:val="clear" w:color="auto" w:fill="auto"/>
            <w:vAlign w:val="center"/>
            <w:hideMark/>
          </w:tcPr>
          <w:p w14:paraId="0E35A619"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33</w:t>
            </w:r>
          </w:p>
        </w:tc>
      </w:tr>
      <w:tr w:rsidR="00B64E23" w:rsidRPr="00D44ED3" w14:paraId="49BD149A"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FF41143"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životního prostředí</w:t>
            </w:r>
          </w:p>
        </w:tc>
        <w:tc>
          <w:tcPr>
            <w:tcW w:w="1052" w:type="dxa"/>
            <w:tcBorders>
              <w:top w:val="nil"/>
              <w:left w:val="nil"/>
              <w:bottom w:val="single" w:sz="4" w:space="0" w:color="auto"/>
              <w:right w:val="single" w:sz="4" w:space="0" w:color="auto"/>
            </w:tcBorders>
            <w:shd w:val="clear" w:color="auto" w:fill="auto"/>
            <w:vAlign w:val="center"/>
            <w:hideMark/>
          </w:tcPr>
          <w:p w14:paraId="51473A04"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02.12.2021</w:t>
            </w:r>
          </w:p>
        </w:tc>
        <w:tc>
          <w:tcPr>
            <w:tcW w:w="1176" w:type="dxa"/>
            <w:tcBorders>
              <w:top w:val="nil"/>
              <w:left w:val="nil"/>
              <w:bottom w:val="single" w:sz="4" w:space="0" w:color="auto"/>
              <w:right w:val="single" w:sz="4" w:space="0" w:color="auto"/>
            </w:tcBorders>
            <w:shd w:val="clear" w:color="auto" w:fill="auto"/>
            <w:vAlign w:val="center"/>
            <w:hideMark/>
          </w:tcPr>
          <w:p w14:paraId="34897CE7"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9 720 000</w:t>
            </w:r>
          </w:p>
        </w:tc>
        <w:tc>
          <w:tcPr>
            <w:tcW w:w="992" w:type="dxa"/>
            <w:tcBorders>
              <w:top w:val="nil"/>
              <w:left w:val="nil"/>
              <w:bottom w:val="single" w:sz="4" w:space="0" w:color="auto"/>
              <w:right w:val="single" w:sz="4" w:space="0" w:color="auto"/>
            </w:tcBorders>
            <w:shd w:val="clear" w:color="auto" w:fill="auto"/>
            <w:vAlign w:val="center"/>
            <w:hideMark/>
          </w:tcPr>
          <w:p w14:paraId="19896E68" w14:textId="4EFD1500"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498</w:t>
            </w:r>
          </w:p>
        </w:tc>
        <w:tc>
          <w:tcPr>
            <w:tcW w:w="1843" w:type="dxa"/>
            <w:tcBorders>
              <w:top w:val="nil"/>
              <w:left w:val="nil"/>
              <w:bottom w:val="single" w:sz="4" w:space="0" w:color="auto"/>
              <w:right w:val="single" w:sz="4" w:space="0" w:color="auto"/>
            </w:tcBorders>
            <w:shd w:val="clear" w:color="auto" w:fill="auto"/>
            <w:vAlign w:val="center"/>
            <w:hideMark/>
          </w:tcPr>
          <w:p w14:paraId="485D4002" w14:textId="3D7A32E0"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10</w:t>
            </w:r>
            <w:r w:rsidR="00A83739"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001 a více</w:t>
            </w:r>
          </w:p>
        </w:tc>
        <w:tc>
          <w:tcPr>
            <w:tcW w:w="851" w:type="dxa"/>
            <w:tcBorders>
              <w:top w:val="nil"/>
              <w:left w:val="nil"/>
              <w:bottom w:val="single" w:sz="4" w:space="0" w:color="auto"/>
              <w:right w:val="single" w:sz="4" w:space="0" w:color="auto"/>
            </w:tcBorders>
            <w:shd w:val="clear" w:color="auto" w:fill="auto"/>
            <w:vAlign w:val="center"/>
            <w:hideMark/>
          </w:tcPr>
          <w:p w14:paraId="3C6D575B"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166</w:t>
            </w:r>
          </w:p>
        </w:tc>
      </w:tr>
      <w:tr w:rsidR="00B64E23" w:rsidRPr="00D44ED3" w14:paraId="29C23C07"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5CC29EA" w14:textId="77777777" w:rsidR="00B64E23" w:rsidRPr="00D44ED3" w:rsidRDefault="00B64E23" w:rsidP="00D44ED3">
            <w:pPr>
              <w:keepNext/>
              <w:spacing w:after="0" w:line="240" w:lineRule="auto"/>
              <w:rPr>
                <w:rFonts w:ascii="Calibri" w:eastAsia="Times New Roman" w:hAnsi="Calibri" w:cs="Calibri"/>
                <w:color w:val="000000"/>
                <w:sz w:val="20"/>
                <w:szCs w:val="20"/>
              </w:rPr>
            </w:pPr>
            <w:r w:rsidRPr="00D44ED3">
              <w:rPr>
                <w:rFonts w:ascii="Calibri" w:eastAsia="Times New Roman" w:hAnsi="Calibri" w:cs="Calibri"/>
                <w:color w:val="000000"/>
                <w:sz w:val="20"/>
                <w:szCs w:val="20"/>
              </w:rPr>
              <w:t>Ministerstvo zemědělství</w:t>
            </w:r>
          </w:p>
        </w:tc>
        <w:tc>
          <w:tcPr>
            <w:tcW w:w="1052" w:type="dxa"/>
            <w:tcBorders>
              <w:top w:val="nil"/>
              <w:left w:val="nil"/>
              <w:bottom w:val="single" w:sz="4" w:space="0" w:color="auto"/>
              <w:right w:val="single" w:sz="4" w:space="0" w:color="auto"/>
            </w:tcBorders>
            <w:shd w:val="clear" w:color="auto" w:fill="auto"/>
            <w:vAlign w:val="center"/>
            <w:hideMark/>
          </w:tcPr>
          <w:p w14:paraId="3470EB46" w14:textId="77777777"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13.12.2021</w:t>
            </w:r>
          </w:p>
        </w:tc>
        <w:tc>
          <w:tcPr>
            <w:tcW w:w="1176" w:type="dxa"/>
            <w:tcBorders>
              <w:top w:val="nil"/>
              <w:left w:val="nil"/>
              <w:bottom w:val="single" w:sz="4" w:space="0" w:color="auto"/>
              <w:right w:val="single" w:sz="4" w:space="0" w:color="auto"/>
            </w:tcBorders>
            <w:shd w:val="clear" w:color="auto" w:fill="auto"/>
            <w:vAlign w:val="center"/>
            <w:hideMark/>
          </w:tcPr>
          <w:p w14:paraId="6AFE9A3E" w14:textId="77777777" w:rsidR="00B64E23" w:rsidRPr="00D44ED3" w:rsidRDefault="00B64E23" w:rsidP="00D44ED3">
            <w:pPr>
              <w:keepNext/>
              <w:spacing w:after="0" w:line="240" w:lineRule="auto"/>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10 260 000</w:t>
            </w:r>
          </w:p>
        </w:tc>
        <w:tc>
          <w:tcPr>
            <w:tcW w:w="992" w:type="dxa"/>
            <w:tcBorders>
              <w:top w:val="nil"/>
              <w:left w:val="nil"/>
              <w:bottom w:val="single" w:sz="4" w:space="0" w:color="auto"/>
              <w:right w:val="single" w:sz="4" w:space="0" w:color="auto"/>
            </w:tcBorders>
            <w:shd w:val="clear" w:color="auto" w:fill="auto"/>
            <w:vAlign w:val="center"/>
            <w:hideMark/>
          </w:tcPr>
          <w:p w14:paraId="4470371B" w14:textId="5E1B8E2B"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2</w:t>
            </w:r>
            <w:r w:rsidR="00414410"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791</w:t>
            </w:r>
          </w:p>
        </w:tc>
        <w:tc>
          <w:tcPr>
            <w:tcW w:w="1843" w:type="dxa"/>
            <w:tcBorders>
              <w:top w:val="nil"/>
              <w:left w:val="nil"/>
              <w:bottom w:val="single" w:sz="4" w:space="0" w:color="auto"/>
              <w:right w:val="single" w:sz="4" w:space="0" w:color="auto"/>
            </w:tcBorders>
            <w:shd w:val="clear" w:color="auto" w:fill="auto"/>
            <w:vAlign w:val="center"/>
            <w:hideMark/>
          </w:tcPr>
          <w:p w14:paraId="1FFEE6F2" w14:textId="143C871C" w:rsidR="00B64E23" w:rsidRPr="00D44ED3" w:rsidRDefault="00B64E23" w:rsidP="00D44ED3">
            <w:pPr>
              <w:keepNext/>
              <w:spacing w:after="0" w:line="240" w:lineRule="auto"/>
              <w:jc w:val="center"/>
              <w:rPr>
                <w:rFonts w:ascii="Calibri" w:eastAsia="Times New Roman" w:hAnsi="Calibri" w:cs="Calibri"/>
                <w:color w:val="000000"/>
                <w:sz w:val="20"/>
                <w:szCs w:val="20"/>
              </w:rPr>
            </w:pPr>
            <w:r w:rsidRPr="00D44ED3">
              <w:rPr>
                <w:rFonts w:ascii="Calibri" w:eastAsia="Times New Roman" w:hAnsi="Calibri" w:cs="Calibri"/>
                <w:color w:val="000000"/>
                <w:sz w:val="20"/>
                <w:szCs w:val="20"/>
              </w:rPr>
              <w:t>od 2</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501 do 5</w:t>
            </w:r>
            <w:r w:rsidR="0079080B" w:rsidRPr="00D44ED3">
              <w:rPr>
                <w:rFonts w:ascii="Calibri" w:eastAsia="Times New Roman" w:hAnsi="Calibri" w:cs="Calibri"/>
                <w:color w:val="000000"/>
                <w:sz w:val="20"/>
                <w:szCs w:val="20"/>
              </w:rPr>
              <w:t xml:space="preserve"> </w:t>
            </w:r>
            <w:r w:rsidRPr="00D44ED3">
              <w:rPr>
                <w:rFonts w:ascii="Calibri" w:eastAsia="Times New Roman"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EE871E" w14:textId="77777777" w:rsidR="00B64E23" w:rsidRPr="00D44ED3" w:rsidRDefault="00B64E23" w:rsidP="00A533FB">
            <w:pPr>
              <w:keepNext/>
              <w:spacing w:after="0" w:line="240" w:lineRule="auto"/>
              <w:ind w:right="57"/>
              <w:jc w:val="right"/>
              <w:rPr>
                <w:rFonts w:ascii="Calibri" w:eastAsia="Times New Roman" w:hAnsi="Calibri" w:cs="Calibri"/>
                <w:color w:val="000000"/>
                <w:sz w:val="20"/>
                <w:szCs w:val="20"/>
              </w:rPr>
            </w:pPr>
            <w:r w:rsidRPr="00D44ED3">
              <w:rPr>
                <w:rFonts w:ascii="Calibri" w:eastAsia="Times New Roman" w:hAnsi="Calibri" w:cs="Calibri"/>
                <w:color w:val="000000"/>
                <w:sz w:val="20"/>
                <w:szCs w:val="20"/>
              </w:rPr>
              <w:t>123</w:t>
            </w:r>
          </w:p>
        </w:tc>
      </w:tr>
      <w:tr w:rsidR="00B64E23" w:rsidRPr="00D44ED3" w14:paraId="074E4E13" w14:textId="77777777" w:rsidTr="00165ACA">
        <w:trPr>
          <w:trHeight w:val="255"/>
          <w:jc w:val="center"/>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B859FE1" w14:textId="77777777" w:rsidR="00B64E23" w:rsidRPr="00D44ED3" w:rsidRDefault="00B64E23" w:rsidP="00D44ED3">
            <w:pPr>
              <w:keepNext/>
              <w:spacing w:after="0" w:line="240" w:lineRule="auto"/>
              <w:rPr>
                <w:rFonts w:ascii="Calibri" w:eastAsia="Times New Roman" w:hAnsi="Calibri" w:cs="Calibri"/>
                <w:b/>
                <w:color w:val="000000"/>
                <w:sz w:val="20"/>
                <w:szCs w:val="20"/>
              </w:rPr>
            </w:pPr>
            <w:r w:rsidRPr="00D44ED3">
              <w:rPr>
                <w:rFonts w:ascii="Calibri" w:eastAsia="Times New Roman" w:hAnsi="Calibri" w:cs="Calibri"/>
                <w:b/>
                <w:color w:val="000000"/>
                <w:sz w:val="20"/>
                <w:szCs w:val="20"/>
              </w:rPr>
              <w:t>CELKEM</w:t>
            </w:r>
          </w:p>
        </w:tc>
        <w:tc>
          <w:tcPr>
            <w:tcW w:w="1052" w:type="dxa"/>
            <w:tcBorders>
              <w:top w:val="nil"/>
              <w:left w:val="nil"/>
              <w:bottom w:val="single" w:sz="4" w:space="0" w:color="auto"/>
              <w:right w:val="single" w:sz="4" w:space="0" w:color="auto"/>
            </w:tcBorders>
            <w:shd w:val="clear" w:color="auto" w:fill="auto"/>
            <w:vAlign w:val="center"/>
            <w:hideMark/>
          </w:tcPr>
          <w:p w14:paraId="70532B37" w14:textId="5264BD74" w:rsidR="00B64E23" w:rsidRPr="00D44ED3" w:rsidRDefault="00B64E23" w:rsidP="00D44ED3">
            <w:pPr>
              <w:keepNext/>
              <w:spacing w:after="0" w:line="240" w:lineRule="auto"/>
              <w:jc w:val="center"/>
              <w:rPr>
                <w:rFonts w:ascii="Calibri" w:eastAsia="Times New Roman" w:hAnsi="Calibri" w:cs="Calibri"/>
                <w:color w:val="000000"/>
                <w:sz w:val="20"/>
                <w:szCs w:val="20"/>
              </w:rPr>
            </w:pPr>
          </w:p>
        </w:tc>
        <w:tc>
          <w:tcPr>
            <w:tcW w:w="1176" w:type="dxa"/>
            <w:tcBorders>
              <w:top w:val="nil"/>
              <w:left w:val="nil"/>
              <w:bottom w:val="single" w:sz="4" w:space="0" w:color="auto"/>
              <w:right w:val="single" w:sz="4" w:space="0" w:color="auto"/>
            </w:tcBorders>
            <w:shd w:val="clear" w:color="auto" w:fill="auto"/>
            <w:vAlign w:val="center"/>
            <w:hideMark/>
          </w:tcPr>
          <w:p w14:paraId="41ADCAD3" w14:textId="77777777" w:rsidR="00B64E23" w:rsidRPr="00D44ED3" w:rsidRDefault="00B64E23" w:rsidP="00D44ED3">
            <w:pPr>
              <w:keepNext/>
              <w:spacing w:after="0" w:line="240" w:lineRule="auto"/>
              <w:jc w:val="right"/>
              <w:rPr>
                <w:rFonts w:ascii="Calibri" w:eastAsia="Times New Roman" w:hAnsi="Calibri" w:cs="Calibri"/>
                <w:b/>
                <w:color w:val="000000"/>
                <w:sz w:val="20"/>
                <w:szCs w:val="20"/>
              </w:rPr>
            </w:pPr>
            <w:r w:rsidRPr="00D44ED3">
              <w:rPr>
                <w:rFonts w:ascii="Calibri" w:eastAsia="Times New Roman" w:hAnsi="Calibri" w:cs="Calibri"/>
                <w:b/>
                <w:color w:val="000000"/>
                <w:sz w:val="20"/>
                <w:szCs w:val="20"/>
              </w:rPr>
              <w:t>113 070 000</w:t>
            </w:r>
          </w:p>
        </w:tc>
        <w:tc>
          <w:tcPr>
            <w:tcW w:w="992" w:type="dxa"/>
            <w:tcBorders>
              <w:top w:val="nil"/>
              <w:left w:val="nil"/>
              <w:bottom w:val="single" w:sz="4" w:space="0" w:color="auto"/>
              <w:right w:val="single" w:sz="4" w:space="0" w:color="auto"/>
            </w:tcBorders>
            <w:shd w:val="clear" w:color="auto" w:fill="auto"/>
            <w:vAlign w:val="center"/>
            <w:hideMark/>
          </w:tcPr>
          <w:p w14:paraId="434AE595" w14:textId="7E49E3F9" w:rsidR="00B64E23" w:rsidRPr="00D44ED3" w:rsidRDefault="00B64E23" w:rsidP="00A533FB">
            <w:pPr>
              <w:keepNext/>
              <w:spacing w:after="0" w:line="240" w:lineRule="auto"/>
              <w:ind w:right="57"/>
              <w:jc w:val="right"/>
              <w:rPr>
                <w:rFonts w:ascii="Calibri" w:eastAsia="Times New Roman" w:hAnsi="Calibri" w:cs="Calibri"/>
                <w:b/>
                <w:color w:val="000000"/>
                <w:sz w:val="20"/>
                <w:szCs w:val="20"/>
              </w:rPr>
            </w:pPr>
            <w:r w:rsidRPr="00D44ED3">
              <w:rPr>
                <w:rFonts w:ascii="Calibri" w:eastAsia="Times New Roman" w:hAnsi="Calibri" w:cs="Calibri"/>
                <w:b/>
                <w:color w:val="000000"/>
                <w:sz w:val="20"/>
                <w:szCs w:val="20"/>
              </w:rPr>
              <w:t>43</w:t>
            </w:r>
            <w:r w:rsidR="00414410" w:rsidRPr="00D44ED3">
              <w:rPr>
                <w:rFonts w:ascii="Calibri" w:eastAsia="Times New Roman" w:hAnsi="Calibri" w:cs="Calibri"/>
                <w:b/>
                <w:color w:val="000000"/>
                <w:sz w:val="20"/>
                <w:szCs w:val="20"/>
              </w:rPr>
              <w:t xml:space="preserve"> </w:t>
            </w:r>
            <w:r w:rsidRPr="00D44ED3">
              <w:rPr>
                <w:rFonts w:ascii="Calibri" w:eastAsia="Times New Roman" w:hAnsi="Calibri" w:cs="Calibri"/>
                <w:b/>
                <w:color w:val="000000"/>
                <w:sz w:val="20"/>
                <w:szCs w:val="20"/>
              </w:rPr>
              <w:t>204</w:t>
            </w:r>
          </w:p>
        </w:tc>
        <w:tc>
          <w:tcPr>
            <w:tcW w:w="1843" w:type="dxa"/>
            <w:tcBorders>
              <w:top w:val="nil"/>
              <w:left w:val="nil"/>
              <w:bottom w:val="single" w:sz="4" w:space="0" w:color="auto"/>
              <w:right w:val="single" w:sz="4" w:space="0" w:color="auto"/>
            </w:tcBorders>
            <w:shd w:val="clear" w:color="auto" w:fill="auto"/>
            <w:vAlign w:val="center"/>
            <w:hideMark/>
          </w:tcPr>
          <w:p w14:paraId="2B56524E" w14:textId="1579607E" w:rsidR="00B64E23" w:rsidRPr="00D44ED3" w:rsidRDefault="00B64E23" w:rsidP="00D44ED3">
            <w:pPr>
              <w:keepNext/>
              <w:spacing w:after="0" w:line="240" w:lineRule="auto"/>
              <w:jc w:val="center"/>
              <w:rPr>
                <w:rFonts w:ascii="Calibri" w:eastAsia="Times New Roman" w:hAnsi="Calibri" w:cs="Calibri"/>
                <w:b/>
                <w:color w:val="000000"/>
                <w:sz w:val="20"/>
                <w:szCs w:val="20"/>
              </w:rPr>
            </w:pPr>
            <w:r w:rsidRPr="00D44ED3">
              <w:rPr>
                <w:rFonts w:ascii="Calibri" w:eastAsia="Times New Roman" w:hAnsi="Calibri" w:cs="Calibri"/>
                <w:b/>
                <w:color w:val="000000"/>
                <w:sz w:val="20"/>
                <w:szCs w:val="20"/>
              </w:rPr>
              <w:t>65</w:t>
            </w:r>
            <w:r w:rsidR="00452413" w:rsidRPr="00D44ED3">
              <w:rPr>
                <w:rFonts w:ascii="Calibri" w:eastAsia="Times New Roman" w:hAnsi="Calibri" w:cs="Calibri"/>
                <w:b/>
                <w:color w:val="000000"/>
                <w:sz w:val="20"/>
                <w:szCs w:val="20"/>
              </w:rPr>
              <w:t> </w:t>
            </w:r>
            <w:r w:rsidRPr="00D44ED3">
              <w:rPr>
                <w:rFonts w:ascii="Calibri" w:eastAsia="Times New Roman" w:hAnsi="Calibri" w:cs="Calibri"/>
                <w:b/>
                <w:color w:val="000000"/>
                <w:sz w:val="20"/>
                <w:szCs w:val="20"/>
              </w:rPr>
              <w:t>011</w:t>
            </w:r>
            <w:r w:rsidR="00452413" w:rsidRPr="00D44ED3">
              <w:rPr>
                <w:rFonts w:ascii="Calibri" w:eastAsia="Times New Roman" w:hAnsi="Calibri" w:cs="Calibri"/>
                <w:b/>
                <w:color w:val="000000"/>
                <w:sz w:val="20"/>
                <w:szCs w:val="20"/>
              </w:rPr>
              <w:t xml:space="preserve"> a více</w:t>
            </w:r>
          </w:p>
        </w:tc>
        <w:tc>
          <w:tcPr>
            <w:tcW w:w="851" w:type="dxa"/>
            <w:tcBorders>
              <w:top w:val="nil"/>
              <w:left w:val="nil"/>
              <w:bottom w:val="single" w:sz="4" w:space="0" w:color="auto"/>
              <w:right w:val="single" w:sz="4" w:space="0" w:color="auto"/>
            </w:tcBorders>
            <w:shd w:val="clear" w:color="auto" w:fill="auto"/>
            <w:vAlign w:val="center"/>
            <w:hideMark/>
          </w:tcPr>
          <w:p w14:paraId="29A057A0" w14:textId="1313EBCD" w:rsidR="00B64E23" w:rsidRPr="00D44ED3" w:rsidRDefault="00B64E23" w:rsidP="00A533FB">
            <w:pPr>
              <w:keepNext/>
              <w:spacing w:after="0" w:line="240" w:lineRule="auto"/>
              <w:ind w:right="57"/>
              <w:jc w:val="right"/>
              <w:rPr>
                <w:rFonts w:ascii="Calibri" w:eastAsia="Times New Roman" w:hAnsi="Calibri" w:cs="Calibri"/>
                <w:b/>
                <w:color w:val="000000"/>
                <w:sz w:val="20"/>
                <w:szCs w:val="20"/>
              </w:rPr>
            </w:pPr>
            <w:r w:rsidRPr="00D44ED3">
              <w:rPr>
                <w:rFonts w:ascii="Calibri" w:eastAsia="Times New Roman" w:hAnsi="Calibri" w:cs="Calibri"/>
                <w:b/>
                <w:color w:val="000000"/>
                <w:sz w:val="20"/>
                <w:szCs w:val="20"/>
              </w:rPr>
              <w:t>1</w:t>
            </w:r>
            <w:r w:rsidR="001D365F" w:rsidRPr="00D44ED3">
              <w:rPr>
                <w:rFonts w:ascii="Calibri" w:eastAsia="Times New Roman" w:hAnsi="Calibri" w:cs="Calibri"/>
                <w:b/>
                <w:color w:val="000000"/>
                <w:sz w:val="20"/>
                <w:szCs w:val="20"/>
              </w:rPr>
              <w:t xml:space="preserve"> </w:t>
            </w:r>
            <w:r w:rsidRPr="00D44ED3">
              <w:rPr>
                <w:rFonts w:ascii="Calibri" w:eastAsia="Times New Roman" w:hAnsi="Calibri" w:cs="Calibri"/>
                <w:b/>
                <w:color w:val="000000"/>
                <w:sz w:val="20"/>
                <w:szCs w:val="20"/>
              </w:rPr>
              <w:t>137</w:t>
            </w:r>
          </w:p>
        </w:tc>
      </w:tr>
    </w:tbl>
    <w:p w14:paraId="6215E42D" w14:textId="11B4B4C6" w:rsidR="00B64E23" w:rsidRPr="00D44ED3" w:rsidRDefault="00B64E23" w:rsidP="00D44ED3">
      <w:pPr>
        <w:spacing w:before="40" w:after="0" w:line="240" w:lineRule="auto"/>
        <w:jc w:val="both"/>
        <w:rPr>
          <w:rFonts w:ascii="Calibri" w:eastAsia="Times New Roman" w:hAnsi="Calibri" w:cs="Calibri"/>
          <w:sz w:val="20"/>
          <w:szCs w:val="18"/>
        </w:rPr>
      </w:pPr>
      <w:r w:rsidRPr="00D44ED3">
        <w:rPr>
          <w:rFonts w:ascii="Calibri" w:eastAsia="Times New Roman" w:hAnsi="Calibri" w:cs="Calibri"/>
          <w:b/>
          <w:sz w:val="20"/>
          <w:szCs w:val="18"/>
        </w:rPr>
        <w:t>Zdroj:</w:t>
      </w:r>
      <w:r w:rsidRPr="00D44ED3">
        <w:rPr>
          <w:rFonts w:ascii="Calibri" w:eastAsia="Times New Roman" w:hAnsi="Calibri" w:cs="Calibri"/>
          <w:sz w:val="20"/>
          <w:szCs w:val="18"/>
        </w:rPr>
        <w:t xml:space="preserve"> </w:t>
      </w:r>
      <w:r w:rsidR="00047491">
        <w:rPr>
          <w:rFonts w:ascii="Calibri" w:eastAsia="Times New Roman" w:hAnsi="Calibri" w:cs="Calibri"/>
          <w:sz w:val="20"/>
          <w:szCs w:val="18"/>
        </w:rPr>
        <w:t>d</w:t>
      </w:r>
      <w:r w:rsidRPr="00D44ED3">
        <w:rPr>
          <w:rFonts w:ascii="Calibri" w:eastAsia="Times New Roman" w:hAnsi="Calibri" w:cs="Calibri"/>
          <w:sz w:val="20"/>
          <w:szCs w:val="18"/>
        </w:rPr>
        <w:t xml:space="preserve">ohody o sponzorovaném přístupu </w:t>
      </w:r>
      <w:r w:rsidR="00047491" w:rsidRPr="00D44ED3">
        <w:rPr>
          <w:rFonts w:ascii="Calibri" w:eastAsia="Times New Roman" w:hAnsi="Calibri" w:cs="Calibri"/>
          <w:sz w:val="20"/>
          <w:szCs w:val="18"/>
        </w:rPr>
        <w:t xml:space="preserve">uzavřené </w:t>
      </w:r>
      <w:r w:rsidRPr="00D44ED3">
        <w:rPr>
          <w:rFonts w:ascii="Calibri" w:eastAsia="Times New Roman" w:hAnsi="Calibri" w:cs="Calibri"/>
          <w:sz w:val="20"/>
          <w:szCs w:val="18"/>
        </w:rPr>
        <w:t>v roce 2021.</w:t>
      </w:r>
    </w:p>
    <w:p w14:paraId="257B5144" w14:textId="79403680" w:rsidR="00B17DE6" w:rsidRPr="00CE6A6E" w:rsidRDefault="00B17DE6" w:rsidP="00631A57">
      <w:pPr>
        <w:spacing w:after="0" w:line="240" w:lineRule="auto"/>
        <w:jc w:val="both"/>
        <w:rPr>
          <w:rFonts w:eastAsia="Calibri" w:cstheme="minorHAnsi"/>
          <w:color w:val="000000" w:themeColor="text1"/>
          <w:sz w:val="24"/>
          <w:szCs w:val="24"/>
        </w:rPr>
      </w:pPr>
    </w:p>
    <w:p w14:paraId="11E86749" w14:textId="5C87CAD2" w:rsidR="001F5E57" w:rsidRPr="0072619F" w:rsidRDefault="00781CDD" w:rsidP="00A533FB">
      <w:pPr>
        <w:keepNext/>
        <w:spacing w:after="0" w:line="240" w:lineRule="auto"/>
        <w:rPr>
          <w:rFonts w:eastAsia="Calibri" w:cstheme="minorHAnsi"/>
          <w:b/>
          <w:sz w:val="24"/>
          <w:szCs w:val="24"/>
        </w:rPr>
      </w:pPr>
      <w:r w:rsidRPr="0072619F">
        <w:rPr>
          <w:rFonts w:eastAsia="Calibri" w:cstheme="minorHAnsi"/>
          <w:b/>
          <w:sz w:val="24"/>
          <w:szCs w:val="24"/>
        </w:rPr>
        <w:t xml:space="preserve">ČAS </w:t>
      </w:r>
      <w:r w:rsidR="00196261" w:rsidRPr="0072619F">
        <w:rPr>
          <w:rFonts w:eastAsia="Calibri" w:cstheme="minorHAnsi"/>
          <w:b/>
          <w:sz w:val="24"/>
          <w:szCs w:val="24"/>
        </w:rPr>
        <w:t>neměla</w:t>
      </w:r>
      <w:r w:rsidRPr="0072619F">
        <w:rPr>
          <w:rFonts w:eastAsia="Calibri" w:cstheme="minorHAnsi"/>
          <w:b/>
          <w:sz w:val="24"/>
          <w:szCs w:val="24"/>
        </w:rPr>
        <w:t xml:space="preserve"> přehled o reálném počtu koncových uživatelů ČSN v rámci uzavíraných </w:t>
      </w:r>
      <w:r w:rsidR="00047491">
        <w:rPr>
          <w:rFonts w:eastAsia="Calibri" w:cstheme="minorHAnsi"/>
          <w:b/>
          <w:sz w:val="24"/>
          <w:szCs w:val="24"/>
        </w:rPr>
        <w:t>d</w:t>
      </w:r>
      <w:r w:rsidRPr="0072619F">
        <w:rPr>
          <w:rFonts w:eastAsia="Calibri" w:cstheme="minorHAnsi"/>
          <w:b/>
          <w:sz w:val="24"/>
          <w:szCs w:val="24"/>
        </w:rPr>
        <w:t xml:space="preserve">ohod o sponzorovaném přístupu a </w:t>
      </w:r>
      <w:r w:rsidR="00196261" w:rsidRPr="0072619F">
        <w:rPr>
          <w:rFonts w:eastAsia="Calibri" w:cstheme="minorHAnsi"/>
          <w:b/>
          <w:sz w:val="24"/>
          <w:szCs w:val="24"/>
        </w:rPr>
        <w:t>neznala</w:t>
      </w:r>
      <w:r w:rsidRPr="0072619F">
        <w:rPr>
          <w:rFonts w:eastAsia="Calibri" w:cstheme="minorHAnsi"/>
          <w:b/>
          <w:sz w:val="24"/>
          <w:szCs w:val="24"/>
        </w:rPr>
        <w:t xml:space="preserve"> míru využití této služby</w:t>
      </w:r>
      <w:r w:rsidR="00B35244" w:rsidRPr="0072619F">
        <w:rPr>
          <w:rFonts w:eastAsia="Calibri" w:cstheme="minorHAnsi"/>
          <w:b/>
          <w:sz w:val="24"/>
          <w:szCs w:val="24"/>
        </w:rPr>
        <w:t xml:space="preserve"> pro jednotlivé sponzory</w:t>
      </w:r>
    </w:p>
    <w:p w14:paraId="1BCF0542" w14:textId="77777777" w:rsidR="001F5E57" w:rsidRPr="0072619F" w:rsidRDefault="001F5E57" w:rsidP="00CE6A6E">
      <w:pPr>
        <w:keepNext/>
        <w:spacing w:after="0" w:line="240" w:lineRule="auto"/>
        <w:jc w:val="both"/>
        <w:rPr>
          <w:rFonts w:eastAsia="Calibri" w:cstheme="minorHAnsi"/>
          <w:sz w:val="24"/>
          <w:szCs w:val="24"/>
        </w:rPr>
      </w:pPr>
    </w:p>
    <w:p w14:paraId="70096F1E" w14:textId="2F83B4B5" w:rsidR="008E75EC" w:rsidRPr="00165ACA" w:rsidRDefault="00165ACA" w:rsidP="00631D63">
      <w:pPr>
        <w:tabs>
          <w:tab w:val="left" w:pos="567"/>
        </w:tabs>
        <w:spacing w:after="0" w:line="240" w:lineRule="auto"/>
        <w:jc w:val="both"/>
        <w:rPr>
          <w:rFonts w:eastAsia="Calibri" w:cstheme="minorHAnsi"/>
          <w:sz w:val="24"/>
          <w:szCs w:val="24"/>
        </w:rPr>
      </w:pPr>
      <w:r>
        <w:rPr>
          <w:rFonts w:eastAsia="Calibri" w:cstheme="minorHAnsi"/>
          <w:sz w:val="24"/>
          <w:szCs w:val="24"/>
        </w:rPr>
        <w:t xml:space="preserve">4.18 </w:t>
      </w:r>
      <w:r w:rsidR="00631D63">
        <w:rPr>
          <w:rFonts w:eastAsia="Calibri" w:cstheme="minorHAnsi"/>
          <w:sz w:val="24"/>
          <w:szCs w:val="24"/>
        </w:rPr>
        <w:tab/>
      </w:r>
      <w:r w:rsidR="008E75EC" w:rsidRPr="00165ACA">
        <w:rPr>
          <w:rFonts w:eastAsia="Calibri" w:cstheme="minorHAnsi"/>
          <w:sz w:val="24"/>
          <w:szCs w:val="24"/>
        </w:rPr>
        <w:t xml:space="preserve">Z tabulky č. </w:t>
      </w:r>
      <w:r w:rsidR="00EC6A14" w:rsidRPr="00165ACA">
        <w:rPr>
          <w:rFonts w:eastAsia="Calibri" w:cstheme="minorHAnsi"/>
          <w:sz w:val="24"/>
          <w:szCs w:val="24"/>
        </w:rPr>
        <w:t>5</w:t>
      </w:r>
      <w:r w:rsidR="008E75EC" w:rsidRPr="00165ACA">
        <w:rPr>
          <w:rFonts w:eastAsia="Calibri" w:cstheme="minorHAnsi"/>
          <w:sz w:val="24"/>
          <w:szCs w:val="24"/>
        </w:rPr>
        <w:t xml:space="preserve"> vyplývá, že minimální kvalifikovaný odhad počtu uživatelů byl 65 011. V roce 2021 byl počet zaregistrovaných uživatelů sponzorovaného přístupu 8 512. Reálný počet uživatelů v roce 2021 tak byl téměř osminásobně nižší, než byl kvalifikovaný odhad uživatelů sponzorovaného přístupu. Uživatelé sponzorovaného přístupu v roce 2021 zobrazili 69 381 norem, ministerstva tak za </w:t>
      </w:r>
      <w:r w:rsidR="00264F3E" w:rsidRPr="00165ACA">
        <w:rPr>
          <w:rFonts w:eastAsia="Calibri" w:cstheme="minorHAnsi"/>
          <w:sz w:val="24"/>
          <w:szCs w:val="24"/>
        </w:rPr>
        <w:t xml:space="preserve">jedno </w:t>
      </w:r>
      <w:r w:rsidR="008E75EC" w:rsidRPr="00165ACA">
        <w:rPr>
          <w:rFonts w:eastAsia="Calibri" w:cstheme="minorHAnsi"/>
          <w:sz w:val="24"/>
          <w:szCs w:val="24"/>
        </w:rPr>
        <w:t>zobrazení normy zaplatil</w:t>
      </w:r>
      <w:r w:rsidR="00BD5DA0" w:rsidRPr="00165ACA">
        <w:rPr>
          <w:rFonts w:eastAsia="Calibri" w:cstheme="minorHAnsi"/>
          <w:sz w:val="24"/>
          <w:szCs w:val="24"/>
        </w:rPr>
        <w:t>a</w:t>
      </w:r>
      <w:r w:rsidR="008E75EC" w:rsidRPr="00165ACA">
        <w:rPr>
          <w:rFonts w:eastAsia="Calibri" w:cstheme="minorHAnsi"/>
          <w:sz w:val="24"/>
          <w:szCs w:val="24"/>
        </w:rPr>
        <w:t xml:space="preserve"> více než 1 800 Kč, což podle vyhlášky č. 571/2020 Sb. odpovídá nákupu normy o více než 388 stranách. Průměrný počet stran zobrazované normy v roce 2021 byl 38</w:t>
      </w:r>
      <w:r w:rsidR="008E75EC">
        <w:rPr>
          <w:rStyle w:val="Znakapoznpodarou"/>
          <w:rFonts w:eastAsia="Calibri" w:cstheme="minorHAnsi"/>
          <w:sz w:val="24"/>
          <w:szCs w:val="24"/>
        </w:rPr>
        <w:footnoteReference w:id="25"/>
      </w:r>
      <w:r w:rsidR="008E75EC" w:rsidRPr="00165ACA">
        <w:rPr>
          <w:rFonts w:eastAsia="Calibri" w:cstheme="minorHAnsi"/>
          <w:sz w:val="24"/>
          <w:szCs w:val="24"/>
        </w:rPr>
        <w:t xml:space="preserve">. Norma o 38 stranách je poskytována bez sponzorovaného přístupu za 405 Kč. Poplatek podle vyhlášky č. 571/2020 Sb. za </w:t>
      </w:r>
      <w:r w:rsidR="00952F4F" w:rsidRPr="00165ACA">
        <w:rPr>
          <w:rFonts w:eastAsia="Calibri" w:cstheme="minorHAnsi"/>
          <w:sz w:val="24"/>
          <w:szCs w:val="24"/>
        </w:rPr>
        <w:t xml:space="preserve">přístup </w:t>
      </w:r>
      <w:r w:rsidR="006574C3" w:rsidRPr="00165ACA">
        <w:rPr>
          <w:rFonts w:eastAsia="Calibri" w:cstheme="minorHAnsi"/>
          <w:sz w:val="24"/>
          <w:szCs w:val="24"/>
        </w:rPr>
        <w:t>do databáze norem pro jednoho uživatele</w:t>
      </w:r>
      <w:r w:rsidR="00952F4F" w:rsidRPr="00165ACA">
        <w:rPr>
          <w:rFonts w:eastAsia="Calibri" w:cstheme="minorHAnsi"/>
          <w:sz w:val="24"/>
          <w:szCs w:val="24"/>
        </w:rPr>
        <w:t xml:space="preserve"> za</w:t>
      </w:r>
      <w:r w:rsidR="000E0EAC" w:rsidRPr="00165ACA">
        <w:rPr>
          <w:rFonts w:eastAsia="Calibri" w:cstheme="minorHAnsi"/>
          <w:sz w:val="24"/>
          <w:szCs w:val="24"/>
        </w:rPr>
        <w:t> </w:t>
      </w:r>
      <w:r w:rsidR="00952F4F" w:rsidRPr="00165ACA">
        <w:rPr>
          <w:rFonts w:eastAsia="Calibri" w:cstheme="minorHAnsi"/>
          <w:sz w:val="24"/>
          <w:szCs w:val="24"/>
        </w:rPr>
        <w:t>12 po sobě jdoucích kalendářních měsíců (</w:t>
      </w:r>
      <w:r w:rsidR="008E75EC" w:rsidRPr="00165ACA">
        <w:rPr>
          <w:rFonts w:eastAsia="Calibri" w:cstheme="minorHAnsi"/>
          <w:sz w:val="24"/>
          <w:szCs w:val="24"/>
        </w:rPr>
        <w:t>bez možnosti tisku</w:t>
      </w:r>
      <w:r w:rsidR="00952F4F" w:rsidRPr="00165ACA">
        <w:rPr>
          <w:rFonts w:eastAsia="Calibri" w:cstheme="minorHAnsi"/>
          <w:sz w:val="24"/>
          <w:szCs w:val="24"/>
        </w:rPr>
        <w:t>)</w:t>
      </w:r>
      <w:r w:rsidR="008E75EC" w:rsidRPr="00165ACA">
        <w:rPr>
          <w:rFonts w:eastAsia="Calibri" w:cstheme="minorHAnsi"/>
          <w:sz w:val="24"/>
          <w:szCs w:val="24"/>
        </w:rPr>
        <w:t xml:space="preserve"> je 2 000 Kč</w:t>
      </w:r>
      <w:r w:rsidR="00023F9B" w:rsidRPr="00264F3E">
        <w:rPr>
          <w:rStyle w:val="Znakapoznpodarou"/>
          <w:rFonts w:eastAsia="Calibri" w:cstheme="minorHAnsi"/>
          <w:sz w:val="24"/>
          <w:szCs w:val="24"/>
        </w:rPr>
        <w:footnoteReference w:id="26"/>
      </w:r>
      <w:r w:rsidR="008E75EC" w:rsidRPr="00165ACA">
        <w:rPr>
          <w:rFonts w:eastAsia="Calibri" w:cstheme="minorHAnsi"/>
          <w:sz w:val="24"/>
          <w:szCs w:val="24"/>
        </w:rPr>
        <w:t>, při</w:t>
      </w:r>
      <w:r w:rsidR="00047491">
        <w:rPr>
          <w:rFonts w:eastAsia="Calibri" w:cstheme="minorHAnsi"/>
          <w:sz w:val="24"/>
          <w:szCs w:val="24"/>
        </w:rPr>
        <w:t xml:space="preserve"> </w:t>
      </w:r>
      <w:r w:rsidR="008E75EC" w:rsidRPr="00165ACA">
        <w:rPr>
          <w:rFonts w:eastAsia="Calibri" w:cstheme="minorHAnsi"/>
          <w:sz w:val="24"/>
          <w:szCs w:val="24"/>
        </w:rPr>
        <w:t>sponzorovaném přístupu zaplatili sponzoři</w:t>
      </w:r>
      <w:r w:rsidR="008E75EC" w:rsidRPr="00264F3E">
        <w:rPr>
          <w:rStyle w:val="Znakapoznpodarou"/>
          <w:rFonts w:eastAsia="Calibri" w:cstheme="minorHAnsi"/>
          <w:sz w:val="24"/>
          <w:szCs w:val="24"/>
        </w:rPr>
        <w:footnoteReference w:id="27"/>
      </w:r>
      <w:r w:rsidR="008E75EC" w:rsidRPr="00165ACA">
        <w:rPr>
          <w:rFonts w:eastAsia="Calibri" w:cstheme="minorHAnsi"/>
          <w:sz w:val="24"/>
          <w:szCs w:val="24"/>
        </w:rPr>
        <w:t xml:space="preserve"> za roční přístup pro jednoho uživatele 13 283 Kč.</w:t>
      </w:r>
      <w:r w:rsidR="008E75EC" w:rsidRPr="00264F3E">
        <w:rPr>
          <w:rStyle w:val="Znakapoznpodarou"/>
          <w:rFonts w:eastAsia="Calibri" w:cstheme="minorHAnsi"/>
          <w:sz w:val="24"/>
          <w:szCs w:val="24"/>
        </w:rPr>
        <w:footnoteReference w:id="28"/>
      </w:r>
    </w:p>
    <w:p w14:paraId="23CBF98A" w14:textId="77777777" w:rsidR="008E75EC" w:rsidRDefault="008E75EC" w:rsidP="00165ACA">
      <w:pPr>
        <w:pStyle w:val="Odstavecseseznamem"/>
        <w:spacing w:after="0" w:line="240" w:lineRule="auto"/>
        <w:ind w:left="0"/>
        <w:jc w:val="both"/>
        <w:rPr>
          <w:rFonts w:eastAsia="Calibri" w:cstheme="minorHAnsi"/>
          <w:sz w:val="24"/>
          <w:szCs w:val="24"/>
        </w:rPr>
      </w:pPr>
    </w:p>
    <w:p w14:paraId="34F8D04E" w14:textId="72C81C05" w:rsidR="008E75EC" w:rsidRPr="00165ACA" w:rsidRDefault="00165ACA" w:rsidP="00631D63">
      <w:pPr>
        <w:tabs>
          <w:tab w:val="left" w:pos="567"/>
        </w:tabs>
        <w:spacing w:after="0" w:line="240" w:lineRule="auto"/>
        <w:jc w:val="both"/>
        <w:rPr>
          <w:rFonts w:eastAsia="Calibri" w:cstheme="minorHAnsi"/>
          <w:sz w:val="24"/>
          <w:szCs w:val="24"/>
        </w:rPr>
      </w:pPr>
      <w:r>
        <w:rPr>
          <w:rFonts w:eastAsia="Calibri" w:cstheme="minorHAnsi"/>
          <w:sz w:val="24"/>
          <w:szCs w:val="24"/>
        </w:rPr>
        <w:t xml:space="preserve">4.19 </w:t>
      </w:r>
      <w:r w:rsidR="00631D63">
        <w:rPr>
          <w:rFonts w:eastAsia="Calibri" w:cstheme="minorHAnsi"/>
          <w:sz w:val="24"/>
          <w:szCs w:val="24"/>
        </w:rPr>
        <w:tab/>
      </w:r>
      <w:r w:rsidR="008E75EC" w:rsidRPr="00165ACA">
        <w:rPr>
          <w:rFonts w:eastAsia="Calibri" w:cstheme="minorHAnsi"/>
          <w:sz w:val="24"/>
          <w:szCs w:val="24"/>
        </w:rPr>
        <w:t xml:space="preserve">ČAS nesledovala vazbu konkrétního zaregistrovaného uživatele ČSN na konkrétního sponzora, se kterým byla uzavřena </w:t>
      </w:r>
      <w:r w:rsidR="00047491">
        <w:rPr>
          <w:rFonts w:eastAsia="Calibri" w:cstheme="minorHAnsi"/>
          <w:sz w:val="24"/>
          <w:szCs w:val="24"/>
        </w:rPr>
        <w:t>d</w:t>
      </w:r>
      <w:r w:rsidR="008E75EC" w:rsidRPr="00165ACA">
        <w:rPr>
          <w:rFonts w:eastAsia="Calibri" w:cstheme="minorHAnsi"/>
          <w:sz w:val="24"/>
          <w:szCs w:val="24"/>
        </w:rPr>
        <w:t>ohoda o sponzorovaném přístupu, a tak nevyhodnocovala rozdíly mezi odhadovaným a skutečným počtem uživatelů ČSN. Jednotliví sponzoři, hradící příspěvek za</w:t>
      </w:r>
      <w:r w:rsidR="00047491">
        <w:rPr>
          <w:rFonts w:eastAsia="Calibri" w:cstheme="minorHAnsi"/>
          <w:sz w:val="24"/>
          <w:szCs w:val="24"/>
        </w:rPr>
        <w:t xml:space="preserve"> </w:t>
      </w:r>
      <w:r w:rsidR="008E75EC" w:rsidRPr="00165ACA">
        <w:rPr>
          <w:rFonts w:eastAsia="Calibri" w:cstheme="minorHAnsi"/>
          <w:sz w:val="24"/>
          <w:szCs w:val="24"/>
        </w:rPr>
        <w:t>sponzorovaný přístup k ČSN, nemají k dispozici kontrolní mechanismus, resp. neměli možnost skutečné počty koncových uživatelů ČSN zjistit. ČAS neměla přehled o</w:t>
      </w:r>
      <w:r>
        <w:rPr>
          <w:rFonts w:eastAsia="Calibri" w:cstheme="minorHAnsi"/>
          <w:sz w:val="24"/>
          <w:szCs w:val="24"/>
        </w:rPr>
        <w:t> </w:t>
      </w:r>
      <w:r w:rsidR="008E75EC" w:rsidRPr="00165ACA">
        <w:rPr>
          <w:rFonts w:eastAsia="Calibri" w:cstheme="minorHAnsi"/>
          <w:sz w:val="24"/>
          <w:szCs w:val="24"/>
        </w:rPr>
        <w:t xml:space="preserve">reálném počtu koncových uživatelů ČSN v rámci uzavíraných </w:t>
      </w:r>
      <w:r w:rsidR="00047491">
        <w:rPr>
          <w:rFonts w:eastAsia="Calibri" w:cstheme="minorHAnsi"/>
          <w:sz w:val="24"/>
          <w:szCs w:val="24"/>
        </w:rPr>
        <w:t>d</w:t>
      </w:r>
      <w:r w:rsidR="008E75EC" w:rsidRPr="00165ACA">
        <w:rPr>
          <w:rFonts w:eastAsia="Calibri" w:cstheme="minorHAnsi"/>
          <w:sz w:val="24"/>
          <w:szCs w:val="24"/>
        </w:rPr>
        <w:t>ohod o</w:t>
      </w:r>
      <w:r w:rsidR="00047491">
        <w:rPr>
          <w:rFonts w:eastAsia="Calibri" w:cstheme="minorHAnsi"/>
          <w:sz w:val="24"/>
          <w:szCs w:val="24"/>
        </w:rPr>
        <w:t> </w:t>
      </w:r>
      <w:r w:rsidR="008E75EC" w:rsidRPr="00165ACA">
        <w:rPr>
          <w:rFonts w:eastAsia="Calibri" w:cstheme="minorHAnsi"/>
          <w:sz w:val="24"/>
          <w:szCs w:val="24"/>
        </w:rPr>
        <w:t>sponzorovaném přístupu a nezn</w:t>
      </w:r>
      <w:r w:rsidR="00897286" w:rsidRPr="00165ACA">
        <w:rPr>
          <w:rFonts w:eastAsia="Calibri" w:cstheme="minorHAnsi"/>
          <w:sz w:val="24"/>
          <w:szCs w:val="24"/>
        </w:rPr>
        <w:t>ala</w:t>
      </w:r>
      <w:r w:rsidR="008E75EC" w:rsidRPr="00165ACA">
        <w:rPr>
          <w:rFonts w:eastAsia="Calibri" w:cstheme="minorHAnsi"/>
          <w:sz w:val="24"/>
          <w:szCs w:val="24"/>
        </w:rPr>
        <w:t xml:space="preserve"> míru využití této služby</w:t>
      </w:r>
      <w:r w:rsidR="00E7763A" w:rsidRPr="00165ACA">
        <w:rPr>
          <w:rFonts w:eastAsia="Calibri" w:cstheme="minorHAnsi"/>
          <w:sz w:val="24"/>
          <w:szCs w:val="24"/>
        </w:rPr>
        <w:t xml:space="preserve"> pro jednotlivé sponzory</w:t>
      </w:r>
      <w:r w:rsidR="008E75EC" w:rsidRPr="00165ACA">
        <w:rPr>
          <w:rFonts w:eastAsia="Calibri" w:cstheme="minorHAnsi"/>
          <w:sz w:val="24"/>
          <w:szCs w:val="24"/>
        </w:rPr>
        <w:t>. Existuje tak riziko, že cena za sponzorovaný přístup, uhrazená sponzorem, neodpovídala skutečnému plnění, resp. neodpovídala skutečné míře využití dané služby.</w:t>
      </w:r>
    </w:p>
    <w:p w14:paraId="6D773E61" w14:textId="3FF20C81" w:rsidR="00CB292D" w:rsidRPr="00A533FB" w:rsidRDefault="00CB292D" w:rsidP="00631A57">
      <w:pPr>
        <w:spacing w:after="0" w:line="240" w:lineRule="auto"/>
        <w:jc w:val="both"/>
        <w:rPr>
          <w:rFonts w:cstheme="minorHAnsi"/>
          <w:color w:val="FFFFFF" w:themeColor="background1"/>
          <w:sz w:val="24"/>
          <w:szCs w:val="24"/>
        </w:rPr>
      </w:pPr>
    </w:p>
    <w:p w14:paraId="43D68CCD" w14:textId="77777777" w:rsidR="00B97FC7" w:rsidRPr="00A533FB" w:rsidRDefault="00B97FC7" w:rsidP="00631A57">
      <w:pPr>
        <w:spacing w:after="0" w:line="240" w:lineRule="auto"/>
        <w:jc w:val="both"/>
        <w:rPr>
          <w:rFonts w:cstheme="minorHAnsi"/>
          <w:color w:val="FFFFFF" w:themeColor="background1"/>
          <w:sz w:val="24"/>
          <w:szCs w:val="24"/>
        </w:rPr>
      </w:pPr>
    </w:p>
    <w:tbl>
      <w:tblPr>
        <w:tblStyle w:val="Mkatabulky"/>
        <w:tblW w:w="0" w:type="auto"/>
        <w:tblLook w:val="04A0" w:firstRow="1" w:lastRow="0" w:firstColumn="1" w:lastColumn="0" w:noHBand="0" w:noVBand="1"/>
      </w:tblPr>
      <w:tblGrid>
        <w:gridCol w:w="9062"/>
      </w:tblGrid>
      <w:tr w:rsidR="000434E5" w:rsidRPr="00753C79" w14:paraId="6D773E63" w14:textId="77777777" w:rsidTr="0010526A">
        <w:trPr>
          <w:trHeight w:val="389"/>
        </w:trPr>
        <w:tc>
          <w:tcPr>
            <w:tcW w:w="906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D773E62" w14:textId="456D6DF3" w:rsidR="00CB292D" w:rsidRPr="00753C79" w:rsidRDefault="009A7659" w:rsidP="00B83D58">
            <w:pPr>
              <w:pStyle w:val="Nadpis2"/>
              <w:spacing w:before="0"/>
              <w:outlineLvl w:val="1"/>
              <w:rPr>
                <w:rFonts w:asciiTheme="minorHAnsi" w:hAnsiTheme="minorHAnsi" w:cstheme="minorHAnsi"/>
                <w:b/>
                <w:color w:val="FF0000"/>
                <w:sz w:val="24"/>
                <w:szCs w:val="24"/>
              </w:rPr>
            </w:pPr>
            <w:bookmarkStart w:id="8" w:name="_Hlk126926407"/>
            <w:r>
              <w:rPr>
                <w:rFonts w:asciiTheme="minorHAnsi" w:hAnsiTheme="minorHAnsi" w:cstheme="minorHAnsi"/>
                <w:b/>
                <w:color w:val="1F4E79" w:themeColor="accent1" w:themeShade="80"/>
                <w:sz w:val="24"/>
                <w:szCs w:val="24"/>
              </w:rPr>
              <w:lastRenderedPageBreak/>
              <w:t>D</w:t>
            </w:r>
            <w:r w:rsidR="00781CDD" w:rsidRPr="009A7659">
              <w:rPr>
                <w:rFonts w:asciiTheme="minorHAnsi" w:hAnsiTheme="minorHAnsi" w:cstheme="minorHAnsi"/>
                <w:b/>
                <w:color w:val="1F4E79" w:themeColor="accent1" w:themeShade="80"/>
                <w:sz w:val="24"/>
                <w:szCs w:val="24"/>
              </w:rPr>
              <w:t xml:space="preserve">. </w:t>
            </w:r>
            <w:r w:rsidR="00D54ED0" w:rsidRPr="009A7659">
              <w:rPr>
                <w:rFonts w:asciiTheme="minorHAnsi" w:hAnsiTheme="minorHAnsi" w:cstheme="minorHAnsi"/>
                <w:b/>
                <w:color w:val="1F4E79" w:themeColor="accent1" w:themeShade="80"/>
                <w:sz w:val="24"/>
                <w:szCs w:val="24"/>
              </w:rPr>
              <w:t>P</w:t>
            </w:r>
            <w:r>
              <w:rPr>
                <w:rFonts w:asciiTheme="minorHAnsi" w:hAnsiTheme="minorHAnsi" w:cstheme="minorHAnsi"/>
                <w:b/>
                <w:color w:val="1F4E79" w:themeColor="accent1" w:themeShade="80"/>
                <w:sz w:val="24"/>
                <w:szCs w:val="24"/>
              </w:rPr>
              <w:t>orušení právních předpisů</w:t>
            </w:r>
          </w:p>
        </w:tc>
      </w:tr>
      <w:bookmarkEnd w:id="8"/>
    </w:tbl>
    <w:p w14:paraId="00244A56" w14:textId="77777777" w:rsidR="0019150B" w:rsidRPr="0072619F" w:rsidRDefault="0019150B" w:rsidP="00B83D58">
      <w:pPr>
        <w:keepNext/>
        <w:spacing w:after="0" w:line="240" w:lineRule="auto"/>
        <w:jc w:val="both"/>
        <w:rPr>
          <w:rFonts w:eastAsia="Calibri" w:cstheme="minorHAnsi"/>
          <w:b/>
          <w:sz w:val="24"/>
          <w:szCs w:val="24"/>
        </w:rPr>
      </w:pPr>
    </w:p>
    <w:p w14:paraId="0B446D7B" w14:textId="77777777" w:rsidR="0019150B" w:rsidRPr="0072619F" w:rsidRDefault="0019150B" w:rsidP="0072619F">
      <w:pPr>
        <w:keepNext/>
        <w:spacing w:after="0" w:line="240" w:lineRule="auto"/>
        <w:jc w:val="both"/>
        <w:rPr>
          <w:rFonts w:eastAsia="Calibri" w:cstheme="minorHAnsi"/>
          <w:b/>
          <w:sz w:val="24"/>
          <w:szCs w:val="24"/>
        </w:rPr>
      </w:pPr>
      <w:r w:rsidRPr="0072619F">
        <w:rPr>
          <w:rFonts w:eastAsia="Calibri" w:cstheme="minorHAnsi"/>
          <w:b/>
          <w:sz w:val="24"/>
          <w:szCs w:val="24"/>
        </w:rPr>
        <w:t>ČAS neoprávněně použila jiné peněžní prostředky státu v celkové výši 2 144 600 Kč bez DPH</w:t>
      </w:r>
    </w:p>
    <w:p w14:paraId="5B28CFEA" w14:textId="77777777" w:rsidR="0019150B" w:rsidRPr="0072619F" w:rsidRDefault="0019150B" w:rsidP="00B83D58">
      <w:pPr>
        <w:keepNext/>
        <w:spacing w:after="0" w:line="240" w:lineRule="auto"/>
        <w:jc w:val="both"/>
        <w:rPr>
          <w:rFonts w:eastAsia="Calibri" w:cstheme="minorHAnsi"/>
          <w:sz w:val="24"/>
          <w:szCs w:val="24"/>
        </w:rPr>
      </w:pPr>
    </w:p>
    <w:p w14:paraId="47BD301F" w14:textId="01E7ECB2" w:rsidR="0019150B" w:rsidRPr="00165ACA" w:rsidRDefault="00165ACA" w:rsidP="00631D63">
      <w:pPr>
        <w:tabs>
          <w:tab w:val="left" w:pos="567"/>
        </w:tabs>
        <w:spacing w:after="0" w:line="240" w:lineRule="auto"/>
        <w:jc w:val="both"/>
        <w:rPr>
          <w:sz w:val="24"/>
          <w:szCs w:val="24"/>
        </w:rPr>
      </w:pPr>
      <w:r>
        <w:rPr>
          <w:sz w:val="24"/>
          <w:szCs w:val="24"/>
        </w:rPr>
        <w:t xml:space="preserve">4.20 </w:t>
      </w:r>
      <w:r w:rsidR="00631D63">
        <w:rPr>
          <w:sz w:val="24"/>
          <w:szCs w:val="24"/>
        </w:rPr>
        <w:tab/>
      </w:r>
      <w:r w:rsidR="0019150B" w:rsidRPr="00165ACA">
        <w:rPr>
          <w:sz w:val="24"/>
          <w:szCs w:val="24"/>
        </w:rPr>
        <w:t>Kontrola NKÚ na vzorku příkazních smluv, uzavřených formou přímého zadání</w:t>
      </w:r>
      <w:r w:rsidR="000F50E6">
        <w:rPr>
          <w:sz w:val="24"/>
          <w:szCs w:val="24"/>
        </w:rPr>
        <w:t>,</w:t>
      </w:r>
      <w:r w:rsidR="0019150B" w:rsidRPr="00165ACA">
        <w:rPr>
          <w:sz w:val="24"/>
          <w:szCs w:val="24"/>
        </w:rPr>
        <w:t xml:space="preserve"> zjistila, že v případě veřejné zakázky malého rozsahu (dále také „VZMR“) ČAS </w:t>
      </w:r>
      <w:r w:rsidR="00DD3AC2" w:rsidRPr="00165ACA">
        <w:rPr>
          <w:sz w:val="24"/>
          <w:szCs w:val="24"/>
        </w:rPr>
        <w:t>neposuzovala</w:t>
      </w:r>
      <w:r w:rsidR="0019150B" w:rsidRPr="00165ACA">
        <w:rPr>
          <w:sz w:val="24"/>
          <w:szCs w:val="24"/>
        </w:rPr>
        <w:t xml:space="preserve"> cenové nabídky.</w:t>
      </w:r>
    </w:p>
    <w:p w14:paraId="0D2F2A5D" w14:textId="77777777" w:rsidR="0019150B" w:rsidRPr="00B229EB" w:rsidRDefault="0019150B" w:rsidP="00165ACA">
      <w:pPr>
        <w:pStyle w:val="Odstavecseseznamem"/>
        <w:spacing w:after="0" w:line="240" w:lineRule="auto"/>
        <w:ind w:left="0"/>
        <w:jc w:val="both"/>
        <w:rPr>
          <w:sz w:val="24"/>
          <w:szCs w:val="24"/>
        </w:rPr>
      </w:pPr>
    </w:p>
    <w:p w14:paraId="24713240" w14:textId="39702C53" w:rsidR="0014583D" w:rsidRPr="00165ACA" w:rsidRDefault="00165ACA" w:rsidP="00631D63">
      <w:pPr>
        <w:tabs>
          <w:tab w:val="left" w:pos="567"/>
        </w:tabs>
        <w:spacing w:after="0" w:line="240" w:lineRule="auto"/>
        <w:jc w:val="both"/>
        <w:rPr>
          <w:sz w:val="24"/>
          <w:szCs w:val="24"/>
        </w:rPr>
      </w:pPr>
      <w:r>
        <w:rPr>
          <w:sz w:val="24"/>
          <w:szCs w:val="24"/>
        </w:rPr>
        <w:t xml:space="preserve">4.21 </w:t>
      </w:r>
      <w:r w:rsidR="00631D63">
        <w:rPr>
          <w:sz w:val="24"/>
          <w:szCs w:val="24"/>
        </w:rPr>
        <w:tab/>
      </w:r>
      <w:r w:rsidR="0019150B" w:rsidRPr="00165ACA">
        <w:rPr>
          <w:sz w:val="24"/>
          <w:szCs w:val="24"/>
        </w:rPr>
        <w:t>ČAS v roce 2021 zadala jedné společnosti celkem 12 VZMR, jejichž předmětem byla ve</w:t>
      </w:r>
      <w:r>
        <w:rPr>
          <w:sz w:val="24"/>
          <w:szCs w:val="24"/>
        </w:rPr>
        <w:t xml:space="preserve"> </w:t>
      </w:r>
      <w:r w:rsidR="0019150B" w:rsidRPr="00165ACA">
        <w:rPr>
          <w:sz w:val="24"/>
          <w:szCs w:val="24"/>
        </w:rPr>
        <w:t xml:space="preserve">všech případech administrace </w:t>
      </w:r>
      <w:r w:rsidR="00EF7DD7" w:rsidRPr="00165ACA">
        <w:rPr>
          <w:sz w:val="24"/>
          <w:szCs w:val="24"/>
        </w:rPr>
        <w:t>veřejných zakázek (dále také „VZ“)</w:t>
      </w:r>
      <w:r w:rsidR="0019150B" w:rsidRPr="00165ACA">
        <w:rPr>
          <w:sz w:val="24"/>
          <w:szCs w:val="24"/>
        </w:rPr>
        <w:t>, resp. zadavatelské činnosti. Celková hodnota těchto VZMR činila 2 230 000 Kč bez DPH. Vzhledem k předmětu uvedených VZMR a době jejich zadání se jednalo o VZ pravidelné povahy, neboť se jednalo o</w:t>
      </w:r>
      <w:r w:rsidR="00506CE7" w:rsidRPr="00165ACA">
        <w:rPr>
          <w:sz w:val="24"/>
          <w:szCs w:val="24"/>
        </w:rPr>
        <w:t> </w:t>
      </w:r>
      <w:r w:rsidR="0019150B" w:rsidRPr="00165ACA">
        <w:rPr>
          <w:sz w:val="24"/>
          <w:szCs w:val="24"/>
        </w:rPr>
        <w:t xml:space="preserve">pravidelně pořizované služby. </w:t>
      </w:r>
    </w:p>
    <w:p w14:paraId="42DBDDA2" w14:textId="77777777" w:rsidR="0014583D" w:rsidRPr="0014583D" w:rsidRDefault="0014583D" w:rsidP="00165ACA">
      <w:pPr>
        <w:pStyle w:val="Odstavecseseznamem"/>
        <w:spacing w:after="0" w:line="240" w:lineRule="auto"/>
        <w:ind w:left="0"/>
        <w:jc w:val="both"/>
        <w:rPr>
          <w:sz w:val="24"/>
          <w:szCs w:val="24"/>
        </w:rPr>
      </w:pPr>
    </w:p>
    <w:p w14:paraId="3FEBE3F0" w14:textId="1F6146D2" w:rsidR="0019150B" w:rsidRPr="00165ACA" w:rsidRDefault="00165ACA" w:rsidP="00631D63">
      <w:pPr>
        <w:tabs>
          <w:tab w:val="left" w:pos="567"/>
        </w:tabs>
        <w:spacing w:after="0" w:line="240" w:lineRule="auto"/>
        <w:jc w:val="both"/>
        <w:rPr>
          <w:sz w:val="24"/>
          <w:szCs w:val="24"/>
        </w:rPr>
      </w:pPr>
      <w:r>
        <w:rPr>
          <w:sz w:val="24"/>
          <w:szCs w:val="24"/>
        </w:rPr>
        <w:t xml:space="preserve">4.22 </w:t>
      </w:r>
      <w:r w:rsidR="00631D63">
        <w:rPr>
          <w:sz w:val="24"/>
          <w:szCs w:val="24"/>
        </w:rPr>
        <w:tab/>
      </w:r>
      <w:r w:rsidR="0019150B" w:rsidRPr="00165ACA">
        <w:rPr>
          <w:sz w:val="24"/>
          <w:szCs w:val="24"/>
        </w:rPr>
        <w:t xml:space="preserve">ČAS v roce 2022 zadávala VZMR se stejným předmětem plnění (administrace VZ, resp. zadavatelské činnosti) bez provedeného </w:t>
      </w:r>
      <w:r w:rsidR="00B97FC7" w:rsidRPr="00165ACA">
        <w:rPr>
          <w:sz w:val="24"/>
          <w:szCs w:val="24"/>
        </w:rPr>
        <w:t>zadávacího</w:t>
      </w:r>
      <w:r w:rsidR="0019150B" w:rsidRPr="00165ACA">
        <w:rPr>
          <w:sz w:val="24"/>
          <w:szCs w:val="24"/>
        </w:rPr>
        <w:t xml:space="preserve"> řízení (tzv. přímým zadáním). Ke dni 19.</w:t>
      </w:r>
      <w:r>
        <w:rPr>
          <w:sz w:val="24"/>
          <w:szCs w:val="24"/>
        </w:rPr>
        <w:t> </w:t>
      </w:r>
      <w:r w:rsidR="0019150B" w:rsidRPr="00165ACA">
        <w:rPr>
          <w:sz w:val="24"/>
          <w:szCs w:val="24"/>
        </w:rPr>
        <w:t>9.</w:t>
      </w:r>
      <w:r>
        <w:rPr>
          <w:sz w:val="24"/>
          <w:szCs w:val="24"/>
        </w:rPr>
        <w:t> </w:t>
      </w:r>
      <w:r w:rsidR="0019150B" w:rsidRPr="00165ACA">
        <w:rPr>
          <w:sz w:val="24"/>
          <w:szCs w:val="24"/>
        </w:rPr>
        <w:t>2022 bylo takto proplaceno celkem 15 VZMR v celkové hodnotě 1 294 600 Kč bez</w:t>
      </w:r>
      <w:r w:rsidRPr="00165ACA">
        <w:rPr>
          <w:sz w:val="24"/>
          <w:szCs w:val="24"/>
        </w:rPr>
        <w:t xml:space="preserve"> </w:t>
      </w:r>
      <w:r w:rsidR="0019150B" w:rsidRPr="00165ACA">
        <w:rPr>
          <w:sz w:val="24"/>
          <w:szCs w:val="24"/>
        </w:rPr>
        <w:t>DPH. ČAS výše uvedeným postupem neoprávněně použila jiné peněžní prostředky státu ve smyslu ustanovení § 3 písm. e) zákona č. 218/2000 Sb., když nerealizovala zadávací řízení na</w:t>
      </w:r>
      <w:r w:rsidR="00117E63" w:rsidRPr="00165ACA">
        <w:rPr>
          <w:sz w:val="24"/>
          <w:szCs w:val="24"/>
        </w:rPr>
        <w:t xml:space="preserve"> </w:t>
      </w:r>
      <w:r w:rsidR="0019150B" w:rsidRPr="00165ACA">
        <w:rPr>
          <w:sz w:val="24"/>
          <w:szCs w:val="24"/>
        </w:rPr>
        <w:t>opakované zajišťování zadavatelských činností v roce 2022 jako VZ na</w:t>
      </w:r>
      <w:r w:rsidRPr="00165ACA">
        <w:rPr>
          <w:sz w:val="24"/>
          <w:szCs w:val="24"/>
        </w:rPr>
        <w:t xml:space="preserve"> </w:t>
      </w:r>
      <w:r w:rsidR="0019150B" w:rsidRPr="00165ACA">
        <w:rPr>
          <w:sz w:val="24"/>
          <w:szCs w:val="24"/>
        </w:rPr>
        <w:t>služby v souladu se</w:t>
      </w:r>
      <w:r w:rsidR="00117E63" w:rsidRPr="00165ACA">
        <w:rPr>
          <w:sz w:val="24"/>
          <w:szCs w:val="24"/>
        </w:rPr>
        <w:t xml:space="preserve"> </w:t>
      </w:r>
      <w:r w:rsidR="0019150B" w:rsidRPr="00165ACA">
        <w:rPr>
          <w:sz w:val="24"/>
          <w:szCs w:val="24"/>
        </w:rPr>
        <w:t>zákonem č. 134/2016 Sb</w:t>
      </w:r>
      <w:r w:rsidR="007B030D" w:rsidRPr="00165ACA">
        <w:rPr>
          <w:sz w:val="24"/>
          <w:szCs w:val="24"/>
        </w:rPr>
        <w:t>.</w:t>
      </w:r>
      <w:r w:rsidR="00743332" w:rsidRPr="0014583D">
        <w:rPr>
          <w:rStyle w:val="Znakapoznpodarou"/>
          <w:sz w:val="24"/>
          <w:szCs w:val="24"/>
        </w:rPr>
        <w:footnoteReference w:id="29"/>
      </w:r>
    </w:p>
    <w:p w14:paraId="4D783073" w14:textId="77777777" w:rsidR="0019150B" w:rsidRPr="00B229EB" w:rsidRDefault="0019150B" w:rsidP="0072619F">
      <w:pPr>
        <w:pStyle w:val="Odstavecseseznamem"/>
        <w:spacing w:after="0" w:line="240" w:lineRule="auto"/>
        <w:ind w:left="0"/>
        <w:jc w:val="both"/>
        <w:rPr>
          <w:sz w:val="24"/>
          <w:szCs w:val="24"/>
        </w:rPr>
      </w:pPr>
    </w:p>
    <w:p w14:paraId="4C9EA8C8" w14:textId="38DC0C66" w:rsidR="00A766A5" w:rsidRPr="00117E63" w:rsidRDefault="00117E63" w:rsidP="00631D63">
      <w:pPr>
        <w:tabs>
          <w:tab w:val="left" w:pos="567"/>
        </w:tabs>
        <w:spacing w:after="0" w:line="240" w:lineRule="auto"/>
        <w:jc w:val="both"/>
        <w:rPr>
          <w:sz w:val="24"/>
          <w:szCs w:val="24"/>
        </w:rPr>
      </w:pPr>
      <w:r>
        <w:rPr>
          <w:sz w:val="24"/>
          <w:szCs w:val="24"/>
        </w:rPr>
        <w:t xml:space="preserve">4.23 </w:t>
      </w:r>
      <w:r w:rsidR="00631D63">
        <w:rPr>
          <w:sz w:val="24"/>
          <w:szCs w:val="24"/>
        </w:rPr>
        <w:tab/>
      </w:r>
      <w:r w:rsidR="0019150B" w:rsidRPr="00117E63">
        <w:rPr>
          <w:sz w:val="24"/>
          <w:szCs w:val="24"/>
        </w:rPr>
        <w:t xml:space="preserve">ČAS před zadáním VZMR na administrace veřejných zakázek neprovedla žádné hodnocení variantních řešení a ekonomických dopadů </w:t>
      </w:r>
      <w:r w:rsidR="0019150B" w:rsidRPr="00117E63" w:rsidDel="00C537D8">
        <w:rPr>
          <w:sz w:val="24"/>
          <w:szCs w:val="24"/>
        </w:rPr>
        <w:t xml:space="preserve">na </w:t>
      </w:r>
      <w:r w:rsidR="0019150B" w:rsidRPr="00117E63">
        <w:rPr>
          <w:sz w:val="24"/>
          <w:szCs w:val="24"/>
        </w:rPr>
        <w:t xml:space="preserve">její rozpočet. </w:t>
      </w:r>
      <w:bookmarkStart w:id="9" w:name="_Hlk141703629"/>
      <w:r w:rsidR="0019150B" w:rsidRPr="00117E63">
        <w:rPr>
          <w:sz w:val="24"/>
          <w:szCs w:val="24"/>
        </w:rPr>
        <w:t xml:space="preserve">ČAS tímto postupem porušila </w:t>
      </w:r>
      <w:r w:rsidR="007841E9" w:rsidRPr="00117E63">
        <w:rPr>
          <w:sz w:val="24"/>
          <w:szCs w:val="24"/>
        </w:rPr>
        <w:t xml:space="preserve">zákon č. 320/2001 Sb. </w:t>
      </w:r>
      <w:r w:rsidR="00B439CB" w:rsidRPr="00117E63">
        <w:rPr>
          <w:sz w:val="24"/>
          <w:szCs w:val="24"/>
        </w:rPr>
        <w:t xml:space="preserve">a </w:t>
      </w:r>
      <w:r w:rsidR="0019150B" w:rsidRPr="00117E63">
        <w:rPr>
          <w:sz w:val="24"/>
          <w:szCs w:val="24"/>
        </w:rPr>
        <w:t>vyhlášk</w:t>
      </w:r>
      <w:r w:rsidR="006214DE" w:rsidRPr="00117E63">
        <w:rPr>
          <w:sz w:val="24"/>
          <w:szCs w:val="24"/>
        </w:rPr>
        <w:t>u</w:t>
      </w:r>
      <w:r w:rsidR="0019150B" w:rsidRPr="00117E63">
        <w:rPr>
          <w:sz w:val="24"/>
          <w:szCs w:val="24"/>
        </w:rPr>
        <w:t xml:space="preserve"> č. 416/2004 Sb., když řádným způsobem </w:t>
      </w:r>
      <w:r w:rsidR="007841E9" w:rsidRPr="00117E63">
        <w:rPr>
          <w:sz w:val="24"/>
          <w:szCs w:val="24"/>
        </w:rPr>
        <w:t>neprověřila nezbytnost a</w:t>
      </w:r>
      <w:r w:rsidR="00536C0A" w:rsidRPr="00117E63">
        <w:rPr>
          <w:sz w:val="24"/>
          <w:szCs w:val="24"/>
        </w:rPr>
        <w:t> </w:t>
      </w:r>
      <w:r w:rsidR="0019150B" w:rsidRPr="00117E63">
        <w:rPr>
          <w:sz w:val="24"/>
          <w:szCs w:val="24"/>
        </w:rPr>
        <w:t>správnost připravované operace a nezajistila provedení předběžné říd</w:t>
      </w:r>
      <w:r w:rsidR="0002304F">
        <w:rPr>
          <w:sz w:val="24"/>
          <w:szCs w:val="24"/>
        </w:rPr>
        <w:t>i</w:t>
      </w:r>
      <w:r w:rsidR="0019150B" w:rsidRPr="00117E63">
        <w:rPr>
          <w:sz w:val="24"/>
          <w:szCs w:val="24"/>
        </w:rPr>
        <w:t>cí kontroly před</w:t>
      </w:r>
      <w:r w:rsidR="0002304F">
        <w:rPr>
          <w:sz w:val="24"/>
          <w:szCs w:val="24"/>
        </w:rPr>
        <w:t xml:space="preserve"> </w:t>
      </w:r>
      <w:r w:rsidR="0019150B" w:rsidRPr="00117E63">
        <w:rPr>
          <w:sz w:val="24"/>
          <w:szCs w:val="24"/>
        </w:rPr>
        <w:t>zadáním VZMR na</w:t>
      </w:r>
      <w:r w:rsidR="0003326E" w:rsidRPr="00117E63">
        <w:rPr>
          <w:sz w:val="24"/>
          <w:szCs w:val="24"/>
        </w:rPr>
        <w:t> </w:t>
      </w:r>
      <w:r w:rsidR="0019150B" w:rsidRPr="00117E63">
        <w:rPr>
          <w:sz w:val="24"/>
          <w:szCs w:val="24"/>
        </w:rPr>
        <w:t xml:space="preserve">administrace veřejných </w:t>
      </w:r>
      <w:bookmarkEnd w:id="9"/>
      <w:r w:rsidR="0019150B" w:rsidRPr="00117E63">
        <w:rPr>
          <w:sz w:val="24"/>
          <w:szCs w:val="24"/>
        </w:rPr>
        <w:t xml:space="preserve">zakázek. </w:t>
      </w:r>
    </w:p>
    <w:p w14:paraId="7946CF2B" w14:textId="77777777" w:rsidR="00601BBC" w:rsidRPr="00601BBC" w:rsidRDefault="00601BBC" w:rsidP="00117E63">
      <w:pPr>
        <w:pStyle w:val="Odstavecseseznamem"/>
        <w:spacing w:after="0" w:line="240" w:lineRule="auto"/>
        <w:ind w:left="0"/>
        <w:jc w:val="both"/>
        <w:rPr>
          <w:sz w:val="24"/>
          <w:szCs w:val="24"/>
        </w:rPr>
      </w:pPr>
    </w:p>
    <w:p w14:paraId="5D328B72" w14:textId="6CD4784C" w:rsidR="00A766A5" w:rsidRPr="00117E63" w:rsidRDefault="00117E63" w:rsidP="00631D63">
      <w:pPr>
        <w:tabs>
          <w:tab w:val="left" w:pos="567"/>
        </w:tabs>
        <w:spacing w:after="0" w:line="240" w:lineRule="auto"/>
        <w:jc w:val="both"/>
        <w:rPr>
          <w:sz w:val="24"/>
          <w:szCs w:val="24"/>
        </w:rPr>
      </w:pPr>
      <w:bookmarkStart w:id="10" w:name="_Hlk141703864"/>
      <w:r>
        <w:rPr>
          <w:sz w:val="24"/>
          <w:szCs w:val="24"/>
        </w:rPr>
        <w:t xml:space="preserve">4.24 </w:t>
      </w:r>
      <w:r w:rsidR="00631D63">
        <w:rPr>
          <w:sz w:val="24"/>
          <w:szCs w:val="24"/>
        </w:rPr>
        <w:tab/>
      </w:r>
      <w:r w:rsidR="00A766A5" w:rsidRPr="00117E63">
        <w:rPr>
          <w:sz w:val="24"/>
          <w:szCs w:val="24"/>
        </w:rPr>
        <w:t xml:space="preserve">ČAS </w:t>
      </w:r>
      <w:r w:rsidR="006214DE" w:rsidRPr="00117E63">
        <w:rPr>
          <w:sz w:val="24"/>
          <w:szCs w:val="24"/>
        </w:rPr>
        <w:t xml:space="preserve">uzavřela s podnikající fyzickou osobou </w:t>
      </w:r>
      <w:r w:rsidR="00D005A5" w:rsidRPr="00117E63">
        <w:rPr>
          <w:sz w:val="24"/>
          <w:szCs w:val="24"/>
        </w:rPr>
        <w:t>p</w:t>
      </w:r>
      <w:r w:rsidR="00A766A5" w:rsidRPr="00117E63">
        <w:rPr>
          <w:sz w:val="24"/>
          <w:szCs w:val="24"/>
        </w:rPr>
        <w:t>říkazní smlouv</w:t>
      </w:r>
      <w:r w:rsidR="006214DE" w:rsidRPr="00117E63">
        <w:rPr>
          <w:sz w:val="24"/>
          <w:szCs w:val="24"/>
        </w:rPr>
        <w:t>u</w:t>
      </w:r>
      <w:r w:rsidR="00CE0947" w:rsidRPr="00117E63">
        <w:rPr>
          <w:sz w:val="24"/>
          <w:szCs w:val="24"/>
        </w:rPr>
        <w:t xml:space="preserve"> </w:t>
      </w:r>
      <w:r w:rsidR="00A766A5" w:rsidRPr="00117E63">
        <w:rPr>
          <w:sz w:val="24"/>
          <w:szCs w:val="24"/>
        </w:rPr>
        <w:t>na dobu neurčitou</w:t>
      </w:r>
      <w:r w:rsidR="006214DE" w:rsidRPr="00117E63">
        <w:rPr>
          <w:sz w:val="24"/>
          <w:szCs w:val="24"/>
        </w:rPr>
        <w:t xml:space="preserve"> </w:t>
      </w:r>
      <w:r w:rsidR="00A766A5" w:rsidRPr="00117E63">
        <w:rPr>
          <w:sz w:val="24"/>
          <w:szCs w:val="24"/>
        </w:rPr>
        <w:t>na základě přímého zadání</w:t>
      </w:r>
      <w:r w:rsidR="0002304F">
        <w:rPr>
          <w:sz w:val="24"/>
          <w:szCs w:val="24"/>
        </w:rPr>
        <w:t>,</w:t>
      </w:r>
      <w:r w:rsidR="00A766A5" w:rsidRPr="00117E63">
        <w:rPr>
          <w:sz w:val="24"/>
          <w:szCs w:val="24"/>
        </w:rPr>
        <w:t xml:space="preserve"> </w:t>
      </w:r>
      <w:r w:rsidR="00A90522" w:rsidRPr="00117E63">
        <w:rPr>
          <w:sz w:val="24"/>
          <w:szCs w:val="24"/>
        </w:rPr>
        <w:t xml:space="preserve">a </w:t>
      </w:r>
      <w:r w:rsidR="00A766A5" w:rsidRPr="00117E63">
        <w:rPr>
          <w:sz w:val="24"/>
          <w:szCs w:val="24"/>
        </w:rPr>
        <w:t xml:space="preserve">nepostupovala </w:t>
      </w:r>
      <w:r w:rsidR="00A90522" w:rsidRPr="00117E63">
        <w:rPr>
          <w:sz w:val="24"/>
          <w:szCs w:val="24"/>
        </w:rPr>
        <w:t xml:space="preserve">tak </w:t>
      </w:r>
      <w:r w:rsidR="00A766A5" w:rsidRPr="00117E63">
        <w:rPr>
          <w:sz w:val="24"/>
          <w:szCs w:val="24"/>
        </w:rPr>
        <w:t>v souladu se zákonem č.</w:t>
      </w:r>
      <w:r w:rsidR="0003326E" w:rsidRPr="00117E63">
        <w:rPr>
          <w:sz w:val="24"/>
          <w:szCs w:val="24"/>
        </w:rPr>
        <w:t> </w:t>
      </w:r>
      <w:r w:rsidR="00A766A5" w:rsidRPr="00117E63">
        <w:rPr>
          <w:sz w:val="24"/>
          <w:szCs w:val="24"/>
        </w:rPr>
        <w:t>134/2016</w:t>
      </w:r>
      <w:r w:rsidR="0003326E" w:rsidRPr="00117E63">
        <w:rPr>
          <w:sz w:val="24"/>
          <w:szCs w:val="24"/>
        </w:rPr>
        <w:t> </w:t>
      </w:r>
      <w:r w:rsidR="00A766A5" w:rsidRPr="00117E63">
        <w:rPr>
          <w:sz w:val="24"/>
          <w:szCs w:val="24"/>
        </w:rPr>
        <w:t>Sb.</w:t>
      </w:r>
      <w:bookmarkEnd w:id="10"/>
      <w:r w:rsidR="00A766A5" w:rsidRPr="00117E63">
        <w:rPr>
          <w:sz w:val="24"/>
          <w:szCs w:val="24"/>
        </w:rPr>
        <w:t xml:space="preserve"> </w:t>
      </w:r>
      <w:r w:rsidR="00324FB3" w:rsidRPr="00117E63">
        <w:rPr>
          <w:sz w:val="24"/>
          <w:szCs w:val="24"/>
        </w:rPr>
        <w:t>ČAS</w:t>
      </w:r>
      <w:r w:rsidR="00A766A5" w:rsidRPr="00117E63">
        <w:rPr>
          <w:sz w:val="24"/>
          <w:szCs w:val="24"/>
        </w:rPr>
        <w:t xml:space="preserve"> nestanovila předpokládanou hodnotu zakázky ve výši 8 160 000 Kč bez DPH a</w:t>
      </w:r>
      <w:r w:rsidR="000E0EAC" w:rsidRPr="00117E63">
        <w:rPr>
          <w:sz w:val="24"/>
          <w:szCs w:val="24"/>
        </w:rPr>
        <w:t> </w:t>
      </w:r>
      <w:r w:rsidR="00A766A5" w:rsidRPr="00117E63">
        <w:rPr>
          <w:sz w:val="24"/>
          <w:szCs w:val="24"/>
        </w:rPr>
        <w:t xml:space="preserve">zakázku </w:t>
      </w:r>
      <w:r w:rsidR="00324FB3" w:rsidRPr="00117E63">
        <w:rPr>
          <w:sz w:val="24"/>
          <w:szCs w:val="24"/>
        </w:rPr>
        <w:t>nezadala</w:t>
      </w:r>
      <w:r w:rsidR="00A766A5" w:rsidRPr="00117E63">
        <w:rPr>
          <w:sz w:val="24"/>
          <w:szCs w:val="24"/>
        </w:rPr>
        <w:t xml:space="preserve"> jako nadlimitní</w:t>
      </w:r>
      <w:r w:rsidR="00BC0CD1" w:rsidRPr="00117E63">
        <w:rPr>
          <w:sz w:val="24"/>
          <w:szCs w:val="24"/>
        </w:rPr>
        <w:t xml:space="preserve"> veřejnou zakázku na služby</w:t>
      </w:r>
      <w:r w:rsidR="00324FB3" w:rsidRPr="00117E63">
        <w:rPr>
          <w:sz w:val="24"/>
          <w:szCs w:val="24"/>
        </w:rPr>
        <w:t>.</w:t>
      </w:r>
      <w:r w:rsidR="00A766A5" w:rsidRPr="00117E63">
        <w:rPr>
          <w:sz w:val="24"/>
          <w:szCs w:val="24"/>
        </w:rPr>
        <w:t xml:space="preserve"> </w:t>
      </w:r>
      <w:r w:rsidR="00D25CDA" w:rsidRPr="00117E63">
        <w:rPr>
          <w:sz w:val="24"/>
          <w:szCs w:val="24"/>
        </w:rPr>
        <w:t xml:space="preserve">Tím, že ČAS </w:t>
      </w:r>
      <w:r w:rsidR="002C25B0" w:rsidRPr="00117E63">
        <w:rPr>
          <w:sz w:val="24"/>
          <w:szCs w:val="24"/>
        </w:rPr>
        <w:t>za</w:t>
      </w:r>
      <w:r w:rsidR="00D91212" w:rsidRPr="00117E63">
        <w:rPr>
          <w:sz w:val="24"/>
          <w:szCs w:val="24"/>
        </w:rPr>
        <w:t> období duben až srpen 2022</w:t>
      </w:r>
      <w:r w:rsidR="00A90522" w:rsidRPr="00117E63">
        <w:rPr>
          <w:sz w:val="24"/>
          <w:szCs w:val="24"/>
        </w:rPr>
        <w:t xml:space="preserve"> </w:t>
      </w:r>
      <w:bookmarkStart w:id="11" w:name="_Hlk141704018"/>
      <w:r w:rsidR="00A90522" w:rsidRPr="00117E63">
        <w:rPr>
          <w:sz w:val="24"/>
          <w:szCs w:val="24"/>
        </w:rPr>
        <w:t xml:space="preserve">uhradila na základě příkazní smlouvy částku </w:t>
      </w:r>
      <w:bookmarkEnd w:id="11"/>
      <w:r w:rsidR="00D25CDA" w:rsidRPr="00117E63">
        <w:rPr>
          <w:sz w:val="24"/>
          <w:szCs w:val="24"/>
        </w:rPr>
        <w:t>850 000 Kč bez DPH,</w:t>
      </w:r>
      <w:r w:rsidR="00A766A5" w:rsidRPr="00117E63">
        <w:rPr>
          <w:sz w:val="24"/>
          <w:szCs w:val="24"/>
        </w:rPr>
        <w:t xml:space="preserve"> neoprávněně použila </w:t>
      </w:r>
      <w:r w:rsidR="00294803" w:rsidRPr="00117E63">
        <w:rPr>
          <w:sz w:val="24"/>
          <w:szCs w:val="24"/>
        </w:rPr>
        <w:t xml:space="preserve">jiné </w:t>
      </w:r>
      <w:r w:rsidR="00A766A5" w:rsidRPr="00117E63">
        <w:rPr>
          <w:sz w:val="24"/>
          <w:szCs w:val="24"/>
        </w:rPr>
        <w:t xml:space="preserve">peněžní prostředky státu </w:t>
      </w:r>
      <w:r w:rsidR="00324FB3" w:rsidRPr="00117E63">
        <w:rPr>
          <w:sz w:val="24"/>
          <w:szCs w:val="24"/>
        </w:rPr>
        <w:t xml:space="preserve">ve </w:t>
      </w:r>
      <w:r w:rsidR="00A766A5" w:rsidRPr="00117E63">
        <w:rPr>
          <w:sz w:val="24"/>
          <w:szCs w:val="24"/>
        </w:rPr>
        <w:t>smyslu ustanovení § 3 písm. e) zákona č. 218/2000 Sb.</w:t>
      </w:r>
    </w:p>
    <w:p w14:paraId="479888E5" w14:textId="77777777" w:rsidR="0019150B" w:rsidRDefault="0019150B" w:rsidP="0019150B">
      <w:pPr>
        <w:spacing w:after="0" w:line="240" w:lineRule="auto"/>
        <w:jc w:val="both"/>
        <w:rPr>
          <w:rFonts w:eastAsia="Calibri" w:cstheme="minorHAnsi"/>
          <w:sz w:val="24"/>
          <w:szCs w:val="24"/>
        </w:rPr>
      </w:pPr>
    </w:p>
    <w:p w14:paraId="41C89F05" w14:textId="7ECD2938" w:rsidR="0019150B" w:rsidRPr="0072619F" w:rsidRDefault="00EB4851" w:rsidP="00117E63">
      <w:pPr>
        <w:keepNext/>
        <w:spacing w:after="0" w:line="240" w:lineRule="auto"/>
        <w:rPr>
          <w:rFonts w:eastAsia="Calibri" w:cstheme="minorHAnsi"/>
          <w:b/>
          <w:sz w:val="24"/>
          <w:szCs w:val="24"/>
        </w:rPr>
      </w:pPr>
      <w:r w:rsidRPr="0072619F">
        <w:rPr>
          <w:rFonts w:eastAsia="Calibri" w:cstheme="minorHAnsi"/>
          <w:b/>
          <w:sz w:val="24"/>
          <w:szCs w:val="24"/>
        </w:rPr>
        <w:t>ČAS nepostupovala v souladu se zákonem č. 262/2006 Sb., když zaměstnancům poskytovala mzdu, a nikoliv plat</w:t>
      </w:r>
    </w:p>
    <w:p w14:paraId="488956E3" w14:textId="77777777" w:rsidR="0019150B" w:rsidRPr="00E846E2" w:rsidDel="00A721FB" w:rsidRDefault="0019150B" w:rsidP="00E93165">
      <w:pPr>
        <w:keepNext/>
        <w:spacing w:after="0" w:line="240" w:lineRule="auto"/>
        <w:jc w:val="both"/>
        <w:rPr>
          <w:rFonts w:eastAsia="Calibri" w:cstheme="minorHAnsi"/>
          <w:sz w:val="24"/>
          <w:szCs w:val="24"/>
        </w:rPr>
      </w:pPr>
    </w:p>
    <w:p w14:paraId="57D714A9" w14:textId="6801D972" w:rsidR="0019150B" w:rsidRPr="00117E63" w:rsidDel="00A721FB" w:rsidRDefault="00117E63" w:rsidP="00631D63">
      <w:pPr>
        <w:tabs>
          <w:tab w:val="left" w:pos="567"/>
        </w:tabs>
        <w:spacing w:after="0" w:line="240" w:lineRule="auto"/>
        <w:jc w:val="both"/>
        <w:rPr>
          <w:rFonts w:eastAsia="Calibri" w:cstheme="minorHAnsi"/>
          <w:sz w:val="24"/>
          <w:szCs w:val="24"/>
        </w:rPr>
      </w:pPr>
      <w:bookmarkStart w:id="12" w:name="_Hlk141704263"/>
      <w:r>
        <w:rPr>
          <w:rFonts w:eastAsia="Calibri" w:cstheme="minorHAnsi"/>
          <w:sz w:val="24"/>
          <w:szCs w:val="24"/>
        </w:rPr>
        <w:t xml:space="preserve">4.25 </w:t>
      </w:r>
      <w:r w:rsidR="00631D63">
        <w:rPr>
          <w:rFonts w:eastAsia="Calibri" w:cstheme="minorHAnsi"/>
          <w:sz w:val="24"/>
          <w:szCs w:val="24"/>
        </w:rPr>
        <w:tab/>
      </w:r>
      <w:r w:rsidR="0019150B" w:rsidRPr="00117E63">
        <w:rPr>
          <w:rFonts w:eastAsia="Calibri" w:cstheme="minorHAnsi"/>
          <w:sz w:val="24"/>
          <w:szCs w:val="24"/>
        </w:rPr>
        <w:t xml:space="preserve">ČAS poskytovala v kontrolovaném období svým zaměstnancům mzdu, a nikoliv plat </w:t>
      </w:r>
      <w:r w:rsidR="00B95336" w:rsidRPr="00117E63">
        <w:rPr>
          <w:rFonts w:eastAsia="Calibri" w:cstheme="minorHAnsi"/>
          <w:sz w:val="24"/>
          <w:szCs w:val="24"/>
        </w:rPr>
        <w:t xml:space="preserve">ve smyslu </w:t>
      </w:r>
      <w:r w:rsidR="0019150B" w:rsidRPr="00117E63">
        <w:rPr>
          <w:rFonts w:eastAsia="Calibri" w:cstheme="minorHAnsi"/>
          <w:sz w:val="24"/>
          <w:szCs w:val="24"/>
        </w:rPr>
        <w:t>ustanovení § 109 odst. 3 písm. d) zákona č. 262/2006 Sb.</w:t>
      </w:r>
      <w:r w:rsidR="0019150B" w:rsidRPr="00E846E2">
        <w:rPr>
          <w:rStyle w:val="Znakapoznpodarou"/>
          <w:rFonts w:eastAsia="Calibri" w:cstheme="minorHAnsi"/>
          <w:sz w:val="24"/>
          <w:szCs w:val="24"/>
        </w:rPr>
        <w:footnoteReference w:id="30"/>
      </w:r>
      <w:r w:rsidR="0019150B" w:rsidRPr="00117E63">
        <w:rPr>
          <w:rFonts w:eastAsia="Calibri" w:cstheme="minorHAnsi"/>
          <w:sz w:val="24"/>
          <w:szCs w:val="24"/>
        </w:rPr>
        <w:t>, v souladu s</w:t>
      </w:r>
      <w:r w:rsidR="003860A1" w:rsidRPr="00117E63">
        <w:rPr>
          <w:rFonts w:eastAsia="Calibri" w:cstheme="minorHAnsi"/>
          <w:sz w:val="24"/>
          <w:szCs w:val="24"/>
        </w:rPr>
        <w:t> </w:t>
      </w:r>
      <w:r w:rsidR="0019150B" w:rsidRPr="00117E63">
        <w:rPr>
          <w:rFonts w:eastAsia="Calibri" w:cstheme="minorHAnsi"/>
          <w:sz w:val="24"/>
          <w:szCs w:val="24"/>
        </w:rPr>
        <w:t>ustanovením § 122 zákona č. 262/2006 Sb. a nařízením vlády č. 341/2017 Sb.</w:t>
      </w:r>
      <w:r w:rsidR="0019150B" w:rsidRPr="00E846E2">
        <w:rPr>
          <w:rStyle w:val="Znakapoznpodarou"/>
          <w:rFonts w:eastAsia="Calibri" w:cstheme="minorHAnsi"/>
          <w:sz w:val="24"/>
          <w:szCs w:val="24"/>
        </w:rPr>
        <w:footnoteReference w:id="31"/>
      </w:r>
      <w:r w:rsidR="0019150B" w:rsidRPr="00117E63">
        <w:rPr>
          <w:rFonts w:eastAsia="Calibri" w:cstheme="minorHAnsi"/>
          <w:sz w:val="24"/>
          <w:szCs w:val="24"/>
        </w:rPr>
        <w:t xml:space="preserve"> </w:t>
      </w:r>
      <w:r w:rsidR="00026A59" w:rsidRPr="00117E63">
        <w:rPr>
          <w:rFonts w:eastAsia="Calibri" w:cstheme="minorHAnsi"/>
          <w:sz w:val="24"/>
          <w:szCs w:val="24"/>
        </w:rPr>
        <w:t xml:space="preserve">Např. </w:t>
      </w:r>
      <w:r w:rsidR="0019150B" w:rsidRPr="00117E63">
        <w:rPr>
          <w:rFonts w:eastAsia="Calibri" w:cstheme="minorHAnsi"/>
          <w:sz w:val="24"/>
          <w:szCs w:val="24"/>
        </w:rPr>
        <w:t xml:space="preserve">průměrná </w:t>
      </w:r>
      <w:r w:rsidR="00B95336" w:rsidRPr="00117E63">
        <w:rPr>
          <w:rFonts w:eastAsia="Calibri" w:cstheme="minorHAnsi"/>
          <w:sz w:val="24"/>
          <w:szCs w:val="24"/>
        </w:rPr>
        <w:t xml:space="preserve">měsíční </w:t>
      </w:r>
      <w:r w:rsidR="0019150B" w:rsidRPr="00117E63">
        <w:rPr>
          <w:rFonts w:eastAsia="Calibri" w:cstheme="minorHAnsi"/>
          <w:sz w:val="24"/>
          <w:szCs w:val="24"/>
        </w:rPr>
        <w:t>mzda</w:t>
      </w:r>
      <w:r w:rsidR="00B95336" w:rsidRPr="00117E63">
        <w:rPr>
          <w:rFonts w:eastAsia="Calibri" w:cstheme="minorHAnsi"/>
          <w:sz w:val="24"/>
          <w:szCs w:val="24"/>
        </w:rPr>
        <w:t xml:space="preserve"> jednoho z vedoucích zaměstnanců ČAS </w:t>
      </w:r>
      <w:r w:rsidR="0019150B" w:rsidRPr="00117E63">
        <w:rPr>
          <w:rFonts w:eastAsia="Calibri" w:cstheme="minorHAnsi"/>
          <w:sz w:val="24"/>
          <w:szCs w:val="24"/>
        </w:rPr>
        <w:t xml:space="preserve">byla </w:t>
      </w:r>
      <w:r w:rsidR="001F7691" w:rsidRPr="00117E63">
        <w:rPr>
          <w:rFonts w:eastAsia="Calibri" w:cstheme="minorHAnsi"/>
          <w:sz w:val="24"/>
          <w:szCs w:val="24"/>
        </w:rPr>
        <w:t xml:space="preserve">v roce 2021 </w:t>
      </w:r>
      <w:r w:rsidR="0019150B" w:rsidRPr="00117E63">
        <w:rPr>
          <w:rFonts w:eastAsia="Calibri" w:cstheme="minorHAnsi"/>
          <w:sz w:val="24"/>
          <w:szCs w:val="24"/>
        </w:rPr>
        <w:t xml:space="preserve">čtyřnásobně vyšší, než kolik činil průměrný plat </w:t>
      </w:r>
      <w:r w:rsidR="001F7691" w:rsidRPr="00117E63">
        <w:rPr>
          <w:rFonts w:eastAsia="Calibri" w:cstheme="minorHAnsi"/>
          <w:sz w:val="24"/>
          <w:szCs w:val="24"/>
        </w:rPr>
        <w:t>vedoucích zaměstnanců na téže pozici u</w:t>
      </w:r>
      <w:r w:rsidR="003860A1" w:rsidRPr="00117E63">
        <w:rPr>
          <w:rFonts w:eastAsia="Calibri" w:cstheme="minorHAnsi"/>
          <w:sz w:val="24"/>
          <w:szCs w:val="24"/>
        </w:rPr>
        <w:t> </w:t>
      </w:r>
      <w:r w:rsidR="0019150B" w:rsidRPr="00117E63">
        <w:rPr>
          <w:rFonts w:eastAsia="Calibri" w:cstheme="minorHAnsi"/>
          <w:sz w:val="24"/>
          <w:szCs w:val="24"/>
        </w:rPr>
        <w:t>ostatních kontrolovaných SPO.</w:t>
      </w:r>
    </w:p>
    <w:bookmarkEnd w:id="12"/>
    <w:p w14:paraId="71407B32" w14:textId="50105F2B" w:rsidR="0019150B" w:rsidRPr="0072619F" w:rsidRDefault="0019150B" w:rsidP="0019150B">
      <w:pPr>
        <w:spacing w:after="0" w:line="240" w:lineRule="auto"/>
        <w:rPr>
          <w:color w:val="FFFFFF" w:themeColor="background1"/>
          <w:sz w:val="24"/>
          <w:szCs w:val="28"/>
        </w:rPr>
      </w:pPr>
    </w:p>
    <w:p w14:paraId="2400C25E" w14:textId="29FFCBF9" w:rsidR="002F1A75" w:rsidRPr="0072619F" w:rsidRDefault="002F1A75" w:rsidP="00A533FB">
      <w:pPr>
        <w:keepNext/>
        <w:spacing w:after="0" w:line="240" w:lineRule="auto"/>
        <w:rPr>
          <w:rFonts w:eastAsia="Calibri" w:cstheme="minorHAnsi"/>
          <w:b/>
          <w:sz w:val="24"/>
          <w:szCs w:val="24"/>
        </w:rPr>
      </w:pPr>
      <w:r w:rsidRPr="0072619F">
        <w:rPr>
          <w:rFonts w:eastAsia="Calibri" w:cstheme="minorHAnsi"/>
          <w:b/>
          <w:sz w:val="24"/>
          <w:szCs w:val="24"/>
        </w:rPr>
        <w:t>CENIA, MPO ani ČAS nezajistily provedení předběžné říd</w:t>
      </w:r>
      <w:r w:rsidR="0002304F">
        <w:rPr>
          <w:rFonts w:eastAsia="Calibri" w:cstheme="minorHAnsi"/>
          <w:b/>
          <w:sz w:val="24"/>
          <w:szCs w:val="24"/>
        </w:rPr>
        <w:t>i</w:t>
      </w:r>
      <w:r w:rsidRPr="0072619F">
        <w:rPr>
          <w:rFonts w:eastAsia="Calibri" w:cstheme="minorHAnsi"/>
          <w:b/>
          <w:sz w:val="24"/>
          <w:szCs w:val="24"/>
        </w:rPr>
        <w:t>cí kontroly před vznikem závazku</w:t>
      </w:r>
    </w:p>
    <w:p w14:paraId="4C2D4C77" w14:textId="77777777" w:rsidR="002F1A75" w:rsidRPr="009A7659" w:rsidRDefault="002F1A75" w:rsidP="00B83D58">
      <w:pPr>
        <w:keepNext/>
        <w:spacing w:after="0" w:line="240" w:lineRule="auto"/>
        <w:jc w:val="both"/>
        <w:rPr>
          <w:rFonts w:eastAsia="Calibri" w:cstheme="minorHAnsi"/>
          <w:sz w:val="24"/>
          <w:szCs w:val="24"/>
        </w:rPr>
      </w:pPr>
    </w:p>
    <w:p w14:paraId="00DB538A" w14:textId="335D3BA6" w:rsidR="002F1A75" w:rsidRPr="00117E63" w:rsidRDefault="00117E63" w:rsidP="00631D63">
      <w:pPr>
        <w:tabs>
          <w:tab w:val="left" w:pos="567"/>
        </w:tabs>
        <w:spacing w:after="0" w:line="240" w:lineRule="auto"/>
        <w:jc w:val="both"/>
        <w:rPr>
          <w:sz w:val="24"/>
          <w:szCs w:val="24"/>
        </w:rPr>
      </w:pPr>
      <w:bookmarkStart w:id="13" w:name="_Hlk141705081"/>
      <w:r>
        <w:rPr>
          <w:sz w:val="24"/>
          <w:szCs w:val="24"/>
        </w:rPr>
        <w:t xml:space="preserve">4.26 </w:t>
      </w:r>
      <w:r w:rsidR="00631D63">
        <w:rPr>
          <w:sz w:val="24"/>
          <w:szCs w:val="24"/>
        </w:rPr>
        <w:tab/>
      </w:r>
      <w:r w:rsidR="002F1A75" w:rsidRPr="00117E63">
        <w:rPr>
          <w:sz w:val="24"/>
          <w:szCs w:val="24"/>
        </w:rPr>
        <w:t>CENIA nepostupovala v souladu s</w:t>
      </w:r>
      <w:r w:rsidR="005128AC" w:rsidRPr="00117E63">
        <w:rPr>
          <w:sz w:val="24"/>
          <w:szCs w:val="24"/>
        </w:rPr>
        <w:t>e</w:t>
      </w:r>
      <w:r w:rsidR="002F1A75" w:rsidRPr="00117E63">
        <w:rPr>
          <w:sz w:val="24"/>
          <w:szCs w:val="24"/>
        </w:rPr>
        <w:t xml:space="preserve"> zákon</w:t>
      </w:r>
      <w:r w:rsidR="005128AC" w:rsidRPr="00117E63">
        <w:rPr>
          <w:sz w:val="24"/>
          <w:szCs w:val="24"/>
        </w:rPr>
        <w:t>em</w:t>
      </w:r>
      <w:r w:rsidR="002F1A75" w:rsidRPr="00117E63">
        <w:rPr>
          <w:sz w:val="24"/>
          <w:szCs w:val="24"/>
        </w:rPr>
        <w:t xml:space="preserve"> č. 320/2001 Sb.</w:t>
      </w:r>
      <w:r w:rsidR="005128AC" w:rsidRPr="00117E63">
        <w:rPr>
          <w:sz w:val="24"/>
          <w:szCs w:val="24"/>
        </w:rPr>
        <w:t>,</w:t>
      </w:r>
      <w:r w:rsidR="002E273E" w:rsidRPr="00117E63">
        <w:rPr>
          <w:sz w:val="24"/>
          <w:szCs w:val="24"/>
        </w:rPr>
        <w:t xml:space="preserve"> a</w:t>
      </w:r>
      <w:r w:rsidR="002F1A75" w:rsidRPr="00117E63">
        <w:rPr>
          <w:sz w:val="24"/>
          <w:szCs w:val="24"/>
        </w:rPr>
        <w:t xml:space="preserve"> </w:t>
      </w:r>
      <w:r w:rsidR="005128AC" w:rsidRPr="00117E63">
        <w:rPr>
          <w:sz w:val="24"/>
          <w:szCs w:val="24"/>
        </w:rPr>
        <w:t xml:space="preserve">s </w:t>
      </w:r>
      <w:r w:rsidR="002F1A75" w:rsidRPr="00117E63">
        <w:rPr>
          <w:sz w:val="24"/>
          <w:szCs w:val="24"/>
        </w:rPr>
        <w:t>vyhlášk</w:t>
      </w:r>
      <w:r w:rsidR="005128AC" w:rsidRPr="00117E63">
        <w:rPr>
          <w:sz w:val="24"/>
          <w:szCs w:val="24"/>
        </w:rPr>
        <w:t>ou</w:t>
      </w:r>
      <w:r w:rsidR="002F1A75" w:rsidRPr="00117E63">
        <w:rPr>
          <w:sz w:val="24"/>
          <w:szCs w:val="24"/>
        </w:rPr>
        <w:t xml:space="preserve"> č. 416/2004</w:t>
      </w:r>
      <w:r w:rsidR="00A533FB" w:rsidRPr="00117E63">
        <w:rPr>
          <w:sz w:val="24"/>
          <w:szCs w:val="24"/>
        </w:rPr>
        <w:t> </w:t>
      </w:r>
      <w:r w:rsidR="002F1A75" w:rsidRPr="00117E63">
        <w:rPr>
          <w:sz w:val="24"/>
          <w:szCs w:val="24"/>
        </w:rPr>
        <w:t>Sb., když neprovedla předběžnou říd</w:t>
      </w:r>
      <w:r w:rsidR="0002304F">
        <w:rPr>
          <w:sz w:val="24"/>
          <w:szCs w:val="24"/>
        </w:rPr>
        <w:t>i</w:t>
      </w:r>
      <w:r w:rsidR="002F1A75" w:rsidRPr="00117E63">
        <w:rPr>
          <w:sz w:val="24"/>
          <w:szCs w:val="24"/>
        </w:rPr>
        <w:t>cí kontrolu před vznikem závazku.</w:t>
      </w:r>
    </w:p>
    <w:bookmarkEnd w:id="13"/>
    <w:p w14:paraId="79209498" w14:textId="663340F1" w:rsidR="002F1A75" w:rsidRDefault="002F1A75" w:rsidP="0036458C">
      <w:pPr>
        <w:spacing w:after="0" w:line="240" w:lineRule="auto"/>
        <w:jc w:val="both"/>
        <w:rPr>
          <w:sz w:val="24"/>
          <w:szCs w:val="24"/>
        </w:rPr>
      </w:pPr>
    </w:p>
    <w:p w14:paraId="3992C0ED" w14:textId="1AC61DC2" w:rsidR="0036458C" w:rsidRPr="0072619F" w:rsidRDefault="0036458C" w:rsidP="0036458C">
      <w:pPr>
        <w:spacing w:after="0" w:line="240" w:lineRule="auto"/>
        <w:jc w:val="both"/>
        <w:rPr>
          <w:rFonts w:eastAsia="Calibri" w:cstheme="minorHAnsi"/>
          <w:b/>
          <w:bCs/>
          <w:iCs/>
          <w:sz w:val="24"/>
          <w:szCs w:val="24"/>
        </w:rPr>
      </w:pPr>
      <w:r w:rsidRPr="0072619F">
        <w:rPr>
          <w:rFonts w:eastAsia="Calibri" w:cstheme="minorHAnsi"/>
          <w:b/>
          <w:bCs/>
          <w:iCs/>
          <w:sz w:val="24"/>
          <w:szCs w:val="24"/>
        </w:rPr>
        <w:t xml:space="preserve">Příklad č. </w:t>
      </w:r>
      <w:r w:rsidR="00A73C77" w:rsidRPr="0072619F">
        <w:rPr>
          <w:rFonts w:eastAsia="Calibri" w:cstheme="minorHAnsi"/>
          <w:b/>
          <w:bCs/>
          <w:iCs/>
          <w:sz w:val="24"/>
          <w:szCs w:val="24"/>
        </w:rPr>
        <w:t>4</w:t>
      </w:r>
    </w:p>
    <w:tbl>
      <w:tblPr>
        <w:tblStyle w:val="Mkatabulky"/>
        <w:tblW w:w="0" w:type="auto"/>
        <w:tblLook w:val="04A0" w:firstRow="1" w:lastRow="0" w:firstColumn="1" w:lastColumn="0" w:noHBand="0" w:noVBand="1"/>
      </w:tblPr>
      <w:tblGrid>
        <w:gridCol w:w="9062"/>
      </w:tblGrid>
      <w:tr w:rsidR="0036458C" w:rsidRPr="005D18CC" w14:paraId="76134BA6" w14:textId="77777777" w:rsidTr="00545CB7">
        <w:tc>
          <w:tcPr>
            <w:tcW w:w="9062" w:type="dxa"/>
          </w:tcPr>
          <w:p w14:paraId="4E002188" w14:textId="19974C8C" w:rsidR="0036458C" w:rsidRPr="005D18CC" w:rsidRDefault="003E23EE" w:rsidP="00545CB7">
            <w:pPr>
              <w:jc w:val="both"/>
              <w:rPr>
                <w:rFonts w:eastAsia="Calibri" w:cstheme="minorHAnsi"/>
                <w:i/>
              </w:rPr>
            </w:pPr>
            <w:r w:rsidRPr="003E23EE">
              <w:rPr>
                <w:rFonts w:eastAsia="Calibri" w:cstheme="minorHAnsi"/>
                <w:i/>
              </w:rPr>
              <w:t xml:space="preserve">Dne 21. 10. 2019 na základě výsledků výběrového řízení na dodávku HW „Servery pro CENIA“ uzavřela CENIA kupní smlouvu </w:t>
            </w:r>
            <w:r w:rsidR="00412641">
              <w:rPr>
                <w:rFonts w:eastAsia="Calibri" w:cstheme="minorHAnsi"/>
                <w:i/>
              </w:rPr>
              <w:t>s dodavatelem</w:t>
            </w:r>
            <w:r w:rsidRPr="003E23EE">
              <w:rPr>
                <w:rFonts w:eastAsia="Calibri" w:cstheme="minorHAnsi"/>
                <w:i/>
              </w:rPr>
              <w:t xml:space="preserve"> v ceně 298 098 Kč včetně DPH. CENIA vyhotovila dokument o provedení předběžné říd</w:t>
            </w:r>
            <w:r w:rsidR="0002304F">
              <w:rPr>
                <w:rFonts w:eastAsia="Calibri" w:cstheme="minorHAnsi"/>
                <w:i/>
              </w:rPr>
              <w:t>i</w:t>
            </w:r>
            <w:r w:rsidRPr="003E23EE">
              <w:rPr>
                <w:rFonts w:eastAsia="Calibri" w:cstheme="minorHAnsi"/>
                <w:i/>
              </w:rPr>
              <w:t>cí kontroly před vznikem závazku s předpokládanou úhradou nákladů ve výši 298 098 Kč, který zadavatel, příkazce operace a správce rozpočtu podepsali shodně téhož dne 29. 10. 2019, avšak až po uzavření kupní smlouvy.</w:t>
            </w:r>
            <w:r w:rsidR="00D858F0">
              <w:rPr>
                <w:rFonts w:eastAsia="Calibri" w:cstheme="minorHAnsi"/>
                <w:i/>
              </w:rPr>
              <w:t xml:space="preserve"> CENIA tak neprovedla předběžnou říd</w:t>
            </w:r>
            <w:r w:rsidR="0002304F">
              <w:rPr>
                <w:rFonts w:eastAsia="Calibri" w:cstheme="minorHAnsi"/>
                <w:i/>
              </w:rPr>
              <w:t>i</w:t>
            </w:r>
            <w:r w:rsidR="00D858F0">
              <w:rPr>
                <w:rFonts w:eastAsia="Calibri" w:cstheme="minorHAnsi"/>
                <w:i/>
              </w:rPr>
              <w:t xml:space="preserve">cí kontrolu </w:t>
            </w:r>
            <w:r w:rsidR="00D858F0" w:rsidRPr="00D858F0">
              <w:rPr>
                <w:rFonts w:eastAsia="Calibri" w:cstheme="minorHAnsi"/>
                <w:i/>
              </w:rPr>
              <w:t>před podpisem smlouvy s</w:t>
            </w:r>
            <w:r w:rsidR="00693BB7">
              <w:rPr>
                <w:rFonts w:eastAsia="Calibri" w:cstheme="minorHAnsi"/>
                <w:i/>
              </w:rPr>
              <w:t xml:space="preserve"> dodavatelem</w:t>
            </w:r>
            <w:r w:rsidR="0036458C" w:rsidRPr="002166AC">
              <w:rPr>
                <w:rFonts w:eastAsia="Calibri" w:cstheme="minorHAnsi"/>
                <w:i/>
              </w:rPr>
              <w:t xml:space="preserve">. </w:t>
            </w:r>
          </w:p>
        </w:tc>
      </w:tr>
    </w:tbl>
    <w:p w14:paraId="574F525D" w14:textId="77777777" w:rsidR="0036458C" w:rsidRPr="0036458C" w:rsidRDefault="0036458C" w:rsidP="0036458C">
      <w:pPr>
        <w:spacing w:after="0" w:line="240" w:lineRule="auto"/>
        <w:jc w:val="both"/>
        <w:rPr>
          <w:sz w:val="24"/>
          <w:szCs w:val="24"/>
        </w:rPr>
      </w:pPr>
    </w:p>
    <w:p w14:paraId="71F185A6" w14:textId="7649E8D1" w:rsidR="002F1A75" w:rsidRPr="00117E63" w:rsidRDefault="00117E63" w:rsidP="00631D63">
      <w:pPr>
        <w:tabs>
          <w:tab w:val="left" w:pos="567"/>
        </w:tabs>
        <w:spacing w:after="0" w:line="240" w:lineRule="auto"/>
        <w:jc w:val="both"/>
        <w:rPr>
          <w:sz w:val="24"/>
          <w:szCs w:val="24"/>
        </w:rPr>
      </w:pPr>
      <w:bookmarkStart w:id="14" w:name="_Hlk141705335"/>
      <w:r>
        <w:rPr>
          <w:sz w:val="24"/>
          <w:szCs w:val="24"/>
        </w:rPr>
        <w:t xml:space="preserve">4.27 </w:t>
      </w:r>
      <w:r w:rsidR="00631D63">
        <w:rPr>
          <w:sz w:val="24"/>
          <w:szCs w:val="24"/>
        </w:rPr>
        <w:tab/>
      </w:r>
      <w:r w:rsidR="002F1A75" w:rsidRPr="00117E63">
        <w:rPr>
          <w:sz w:val="24"/>
          <w:szCs w:val="24"/>
        </w:rPr>
        <w:t>MPO porušilo</w:t>
      </w:r>
      <w:r w:rsidR="00492C32" w:rsidRPr="00117E63">
        <w:rPr>
          <w:sz w:val="24"/>
          <w:szCs w:val="24"/>
        </w:rPr>
        <w:t xml:space="preserve"> </w:t>
      </w:r>
      <w:r w:rsidR="00EE2EB1" w:rsidRPr="00117E63">
        <w:rPr>
          <w:sz w:val="24"/>
          <w:szCs w:val="24"/>
        </w:rPr>
        <w:t xml:space="preserve">zákon č. 320/2001 Sb. a </w:t>
      </w:r>
      <w:r w:rsidR="002F1A75" w:rsidRPr="00117E63">
        <w:rPr>
          <w:sz w:val="24"/>
          <w:szCs w:val="24"/>
        </w:rPr>
        <w:t>vyhlášk</w:t>
      </w:r>
      <w:r w:rsidR="00B26401" w:rsidRPr="00117E63">
        <w:rPr>
          <w:sz w:val="24"/>
          <w:szCs w:val="24"/>
        </w:rPr>
        <w:t>u</w:t>
      </w:r>
      <w:r w:rsidR="002F1A75" w:rsidRPr="00117E63">
        <w:rPr>
          <w:sz w:val="24"/>
          <w:szCs w:val="24"/>
        </w:rPr>
        <w:t xml:space="preserve"> č.</w:t>
      </w:r>
      <w:r w:rsidR="00536C0A" w:rsidRPr="00117E63">
        <w:rPr>
          <w:sz w:val="24"/>
          <w:szCs w:val="24"/>
        </w:rPr>
        <w:t> </w:t>
      </w:r>
      <w:r w:rsidR="002F1A75" w:rsidRPr="00117E63">
        <w:rPr>
          <w:sz w:val="24"/>
          <w:szCs w:val="24"/>
        </w:rPr>
        <w:t>416/2004 Sb., když nezajistilo provedení předběžné říd</w:t>
      </w:r>
      <w:r w:rsidR="0002304F">
        <w:rPr>
          <w:sz w:val="24"/>
          <w:szCs w:val="24"/>
        </w:rPr>
        <w:t>i</w:t>
      </w:r>
      <w:r w:rsidR="002F1A75" w:rsidRPr="00117E63">
        <w:rPr>
          <w:sz w:val="24"/>
          <w:szCs w:val="24"/>
        </w:rPr>
        <w:t xml:space="preserve">cí kontroly před přijetím rozhodnutí o převedení části agendy účtárny MPO na </w:t>
      </w:r>
      <w:proofErr w:type="spellStart"/>
      <w:r w:rsidR="002F1A75" w:rsidRPr="00117E63">
        <w:rPr>
          <w:sz w:val="24"/>
          <w:szCs w:val="24"/>
        </w:rPr>
        <w:t>SpS</w:t>
      </w:r>
      <w:proofErr w:type="spellEnd"/>
      <w:r w:rsidR="002F1A75" w:rsidRPr="00117E63">
        <w:rPr>
          <w:sz w:val="24"/>
          <w:szCs w:val="24"/>
        </w:rPr>
        <w:t xml:space="preserve"> MPO</w:t>
      </w:r>
      <w:r w:rsidR="00C65646" w:rsidRPr="00117E63">
        <w:rPr>
          <w:sz w:val="24"/>
          <w:szCs w:val="24"/>
        </w:rPr>
        <w:t>.</w:t>
      </w:r>
      <w:r w:rsidR="002F1A75" w:rsidRPr="00117E63">
        <w:rPr>
          <w:sz w:val="24"/>
          <w:szCs w:val="24"/>
        </w:rPr>
        <w:t xml:space="preserve"> </w:t>
      </w:r>
      <w:bookmarkEnd w:id="14"/>
      <w:r w:rsidR="00C65646" w:rsidRPr="00117E63">
        <w:rPr>
          <w:sz w:val="24"/>
          <w:szCs w:val="24"/>
        </w:rPr>
        <w:t>MPO</w:t>
      </w:r>
      <w:r w:rsidR="002F1A75" w:rsidRPr="00117E63">
        <w:rPr>
          <w:sz w:val="24"/>
          <w:szCs w:val="24"/>
        </w:rPr>
        <w:t> neprověřilo a nevyhodnotilo ekonomický dopad tohoto převodu na výdaje státního rozpočtu v</w:t>
      </w:r>
      <w:r w:rsidR="00536C0A" w:rsidRPr="00117E63">
        <w:rPr>
          <w:sz w:val="24"/>
          <w:szCs w:val="24"/>
        </w:rPr>
        <w:t> </w:t>
      </w:r>
      <w:r w:rsidR="002F1A75" w:rsidRPr="00117E63">
        <w:rPr>
          <w:sz w:val="24"/>
          <w:szCs w:val="24"/>
        </w:rPr>
        <w:t>kapitole MPO v souladu s ustanovením § 11 odst.</w:t>
      </w:r>
      <w:r w:rsidR="00B83D58" w:rsidRPr="00117E63">
        <w:rPr>
          <w:sz w:val="24"/>
          <w:szCs w:val="24"/>
        </w:rPr>
        <w:t> </w:t>
      </w:r>
      <w:r w:rsidR="002F1A75" w:rsidRPr="00117E63">
        <w:rPr>
          <w:sz w:val="24"/>
          <w:szCs w:val="24"/>
        </w:rPr>
        <w:t>1 zákona 320/2001 Sb. MPO ani</w:t>
      </w:r>
      <w:r w:rsidR="0002304F">
        <w:rPr>
          <w:sz w:val="24"/>
          <w:szCs w:val="24"/>
        </w:rPr>
        <w:t xml:space="preserve"> </w:t>
      </w:r>
      <w:r w:rsidR="002F1A75" w:rsidRPr="00117E63">
        <w:rPr>
          <w:sz w:val="24"/>
          <w:szCs w:val="24"/>
        </w:rPr>
        <w:t>po</w:t>
      </w:r>
      <w:r w:rsidR="0002304F">
        <w:rPr>
          <w:sz w:val="24"/>
          <w:szCs w:val="24"/>
        </w:rPr>
        <w:t xml:space="preserve"> </w:t>
      </w:r>
      <w:r w:rsidR="002F1A75" w:rsidRPr="00117E63">
        <w:rPr>
          <w:sz w:val="24"/>
          <w:szCs w:val="24"/>
        </w:rPr>
        <w:t xml:space="preserve">realizaci </w:t>
      </w:r>
      <w:r w:rsidR="00C65646" w:rsidRPr="00117E63">
        <w:rPr>
          <w:sz w:val="24"/>
          <w:szCs w:val="24"/>
        </w:rPr>
        <w:t>této změny</w:t>
      </w:r>
      <w:r w:rsidR="002F1A75" w:rsidRPr="00117E63">
        <w:rPr>
          <w:sz w:val="24"/>
          <w:szCs w:val="24"/>
        </w:rPr>
        <w:t xml:space="preserve"> nevyhodnotilo ekonomický dopad převodu účtárny z MPO na </w:t>
      </w:r>
      <w:proofErr w:type="spellStart"/>
      <w:r w:rsidR="002F1A75" w:rsidRPr="00117E63">
        <w:rPr>
          <w:sz w:val="24"/>
          <w:szCs w:val="24"/>
        </w:rPr>
        <w:t>SpS</w:t>
      </w:r>
      <w:proofErr w:type="spellEnd"/>
      <w:r w:rsidR="002F1A75" w:rsidRPr="00117E63">
        <w:rPr>
          <w:sz w:val="24"/>
          <w:szCs w:val="24"/>
        </w:rPr>
        <w:t xml:space="preserve"> MPO. Ani </w:t>
      </w:r>
      <w:proofErr w:type="spellStart"/>
      <w:r w:rsidR="002F1A75" w:rsidRPr="00117E63">
        <w:rPr>
          <w:sz w:val="24"/>
          <w:szCs w:val="24"/>
        </w:rPr>
        <w:t>SpS</w:t>
      </w:r>
      <w:proofErr w:type="spellEnd"/>
      <w:r w:rsidR="002F1A75" w:rsidRPr="00117E63">
        <w:rPr>
          <w:sz w:val="24"/>
          <w:szCs w:val="24"/>
        </w:rPr>
        <w:t xml:space="preserve"> MPO nedisponuje potřebnými dokumenty</w:t>
      </w:r>
      <w:r w:rsidR="005F613C" w:rsidRPr="00117E63">
        <w:rPr>
          <w:sz w:val="24"/>
          <w:szCs w:val="24"/>
        </w:rPr>
        <w:t>, které se týkají</w:t>
      </w:r>
      <w:r w:rsidR="002F1A75" w:rsidRPr="00117E63">
        <w:rPr>
          <w:sz w:val="24"/>
          <w:szCs w:val="24"/>
        </w:rPr>
        <w:t xml:space="preserve"> kalkulace výhodnosti převodu některých služeb.</w:t>
      </w:r>
    </w:p>
    <w:p w14:paraId="59A13567" w14:textId="77777777" w:rsidR="002F1A75" w:rsidRPr="00B65C73" w:rsidRDefault="002F1A75" w:rsidP="00117E63">
      <w:pPr>
        <w:pStyle w:val="Odstavecseseznamem"/>
        <w:spacing w:after="0" w:line="240" w:lineRule="auto"/>
        <w:ind w:left="0"/>
        <w:jc w:val="both"/>
        <w:rPr>
          <w:sz w:val="24"/>
          <w:szCs w:val="24"/>
        </w:rPr>
      </w:pPr>
    </w:p>
    <w:p w14:paraId="188A9340" w14:textId="211B0BDF" w:rsidR="002F1A75" w:rsidRPr="00117E63" w:rsidRDefault="00117E63" w:rsidP="00631D63">
      <w:pPr>
        <w:tabs>
          <w:tab w:val="left" w:pos="567"/>
        </w:tabs>
        <w:spacing w:after="0" w:line="240" w:lineRule="auto"/>
        <w:jc w:val="both"/>
        <w:rPr>
          <w:sz w:val="24"/>
          <w:szCs w:val="24"/>
        </w:rPr>
      </w:pPr>
      <w:r>
        <w:rPr>
          <w:sz w:val="24"/>
          <w:szCs w:val="24"/>
        </w:rPr>
        <w:t xml:space="preserve">4.28 </w:t>
      </w:r>
      <w:r w:rsidR="00631D63">
        <w:rPr>
          <w:sz w:val="24"/>
          <w:szCs w:val="24"/>
        </w:rPr>
        <w:tab/>
      </w:r>
      <w:r w:rsidR="002F1A75" w:rsidRPr="00117E63">
        <w:rPr>
          <w:sz w:val="24"/>
          <w:szCs w:val="24"/>
        </w:rPr>
        <w:t>NKÚ zjistil nedostatky při provádění předběžné říd</w:t>
      </w:r>
      <w:r w:rsidR="0002304F">
        <w:rPr>
          <w:sz w:val="24"/>
          <w:szCs w:val="24"/>
        </w:rPr>
        <w:t>i</w:t>
      </w:r>
      <w:r w:rsidR="002F1A75" w:rsidRPr="00117E63">
        <w:rPr>
          <w:sz w:val="24"/>
          <w:szCs w:val="24"/>
        </w:rPr>
        <w:t>cí kontroly i u nákladů ČAS na právní služby. Kontrola NKÚ zjistila, že ČAS neprováděla předběžnou říd</w:t>
      </w:r>
      <w:r w:rsidR="0002304F">
        <w:rPr>
          <w:sz w:val="24"/>
          <w:szCs w:val="24"/>
        </w:rPr>
        <w:t>i</w:t>
      </w:r>
      <w:r w:rsidR="002F1A75" w:rsidRPr="00117E63">
        <w:rPr>
          <w:sz w:val="24"/>
          <w:szCs w:val="24"/>
        </w:rPr>
        <w:t>cí kontrolu v souladu se zákonem č. 320/2001 Sb.</w:t>
      </w:r>
    </w:p>
    <w:p w14:paraId="1F1FDA27" w14:textId="77777777" w:rsidR="002F1A75" w:rsidRDefault="002F1A75" w:rsidP="0019150B">
      <w:pPr>
        <w:spacing w:after="0" w:line="240" w:lineRule="auto"/>
        <w:rPr>
          <w:sz w:val="28"/>
          <w:szCs w:val="28"/>
        </w:rPr>
      </w:pPr>
    </w:p>
    <w:p w14:paraId="51C32B45" w14:textId="77777777" w:rsidR="0019150B" w:rsidRPr="0072619F" w:rsidRDefault="0019150B" w:rsidP="00A533FB">
      <w:pPr>
        <w:keepNext/>
        <w:spacing w:after="0" w:line="240" w:lineRule="auto"/>
        <w:rPr>
          <w:rFonts w:eastAsia="Calibri" w:cstheme="minorHAnsi"/>
          <w:b/>
          <w:sz w:val="24"/>
          <w:szCs w:val="24"/>
        </w:rPr>
      </w:pPr>
      <w:r w:rsidRPr="0072619F">
        <w:rPr>
          <w:rFonts w:eastAsia="Calibri" w:cstheme="minorHAnsi"/>
          <w:b/>
          <w:sz w:val="24"/>
          <w:szCs w:val="24"/>
        </w:rPr>
        <w:t xml:space="preserve">Od vzniku SPO ČAS nebyla provedena žádná kontrola ze strany zřizovatele (ÚNMZ) ani správce kapitoly (MPO) </w:t>
      </w:r>
    </w:p>
    <w:p w14:paraId="475FC484" w14:textId="77777777" w:rsidR="0019150B" w:rsidRPr="00B65C73" w:rsidRDefault="0019150B" w:rsidP="00B83D58">
      <w:pPr>
        <w:keepNext/>
        <w:spacing w:after="0" w:line="240" w:lineRule="auto"/>
        <w:jc w:val="both"/>
        <w:rPr>
          <w:rFonts w:eastAsia="Calibri" w:cstheme="minorHAnsi"/>
          <w:sz w:val="24"/>
          <w:szCs w:val="24"/>
        </w:rPr>
      </w:pPr>
    </w:p>
    <w:p w14:paraId="4002DC9C" w14:textId="25A33F35" w:rsidR="0019150B" w:rsidRPr="00355CD5" w:rsidRDefault="00355CD5" w:rsidP="00631D63">
      <w:pPr>
        <w:tabs>
          <w:tab w:val="left" w:pos="567"/>
        </w:tabs>
        <w:spacing w:after="0" w:line="240" w:lineRule="auto"/>
        <w:jc w:val="both"/>
        <w:rPr>
          <w:sz w:val="24"/>
          <w:szCs w:val="24"/>
        </w:rPr>
      </w:pPr>
      <w:r>
        <w:rPr>
          <w:sz w:val="24"/>
          <w:szCs w:val="24"/>
        </w:rPr>
        <w:t>4.2</w:t>
      </w:r>
      <w:r w:rsidR="00117E63">
        <w:rPr>
          <w:sz w:val="24"/>
          <w:szCs w:val="24"/>
        </w:rPr>
        <w:t>9</w:t>
      </w:r>
      <w:r>
        <w:rPr>
          <w:sz w:val="24"/>
          <w:szCs w:val="24"/>
        </w:rPr>
        <w:t xml:space="preserve"> </w:t>
      </w:r>
      <w:r w:rsidR="00631D63">
        <w:rPr>
          <w:sz w:val="24"/>
          <w:szCs w:val="24"/>
        </w:rPr>
        <w:tab/>
      </w:r>
      <w:r w:rsidR="0019150B" w:rsidRPr="00355CD5">
        <w:rPr>
          <w:sz w:val="24"/>
          <w:szCs w:val="24"/>
        </w:rPr>
        <w:t>ÚNMZ</w:t>
      </w:r>
      <w:r w:rsidR="00017EE5" w:rsidRPr="00355CD5">
        <w:rPr>
          <w:sz w:val="24"/>
          <w:szCs w:val="24"/>
        </w:rPr>
        <w:t xml:space="preserve"> je</w:t>
      </w:r>
      <w:r w:rsidR="0019150B" w:rsidRPr="00355CD5">
        <w:rPr>
          <w:sz w:val="24"/>
          <w:szCs w:val="24"/>
        </w:rPr>
        <w:t xml:space="preserve"> poskytovatelem veřejné finanční podpory – příspěvku na provoz SPO ČAS</w:t>
      </w:r>
      <w:r w:rsidR="00017EE5" w:rsidRPr="00355CD5">
        <w:rPr>
          <w:sz w:val="24"/>
          <w:szCs w:val="24"/>
        </w:rPr>
        <w:t xml:space="preserve"> </w:t>
      </w:r>
      <w:r w:rsidR="0002304F" w:rsidRPr="00355CD5">
        <w:rPr>
          <w:sz w:val="24"/>
          <w:szCs w:val="24"/>
        </w:rPr>
        <w:t>–</w:t>
      </w:r>
      <w:r w:rsidR="00017EE5" w:rsidRPr="00355CD5">
        <w:rPr>
          <w:sz w:val="24"/>
          <w:szCs w:val="24"/>
        </w:rPr>
        <w:t>ve</w:t>
      </w:r>
      <w:r w:rsidR="00536C0A" w:rsidRPr="00355CD5">
        <w:rPr>
          <w:sz w:val="24"/>
          <w:szCs w:val="24"/>
        </w:rPr>
        <w:t> </w:t>
      </w:r>
      <w:r w:rsidR="00017EE5" w:rsidRPr="00355CD5">
        <w:rPr>
          <w:sz w:val="24"/>
          <w:szCs w:val="24"/>
        </w:rPr>
        <w:t>smyslu ustanovení § 2 písm. k) zákona č. 320/2001 Sb</w:t>
      </w:r>
      <w:r w:rsidR="0019150B" w:rsidRPr="00355CD5">
        <w:rPr>
          <w:sz w:val="24"/>
          <w:szCs w:val="24"/>
        </w:rPr>
        <w:t>. ÚNMZ je dle ustanovení §</w:t>
      </w:r>
      <w:r w:rsidR="00536C0A" w:rsidRPr="00355CD5">
        <w:rPr>
          <w:sz w:val="24"/>
          <w:szCs w:val="24"/>
        </w:rPr>
        <w:t> </w:t>
      </w:r>
      <w:r w:rsidR="0019150B" w:rsidRPr="00355CD5">
        <w:rPr>
          <w:sz w:val="24"/>
          <w:szCs w:val="24"/>
        </w:rPr>
        <w:t>8</w:t>
      </w:r>
      <w:r w:rsidR="00536C0A" w:rsidRPr="00355CD5">
        <w:rPr>
          <w:sz w:val="24"/>
          <w:szCs w:val="24"/>
        </w:rPr>
        <w:t> </w:t>
      </w:r>
      <w:r w:rsidR="0019150B" w:rsidRPr="00355CD5">
        <w:rPr>
          <w:sz w:val="24"/>
          <w:szCs w:val="24"/>
        </w:rPr>
        <w:t>odst. 2 téhož zákona č. 320/2001 Sb. povinen vykonávat veřejnosprávní kontrolu jako poskytovatel veřejné finanční podpory SPO ČAS. Od vzniku ČAS nebyla provedena ze strany ÚNMZ žádná veřejnosprávní kontrola zaměřen</w:t>
      </w:r>
      <w:r w:rsidR="00017EE5" w:rsidRPr="00355CD5">
        <w:rPr>
          <w:sz w:val="24"/>
          <w:szCs w:val="24"/>
        </w:rPr>
        <w:t>á</w:t>
      </w:r>
      <w:r w:rsidR="0019150B" w:rsidRPr="00355CD5">
        <w:rPr>
          <w:sz w:val="24"/>
          <w:szCs w:val="24"/>
        </w:rPr>
        <w:t xml:space="preserve"> na hospodaření </w:t>
      </w:r>
      <w:r w:rsidR="00017EE5" w:rsidRPr="00355CD5">
        <w:rPr>
          <w:sz w:val="24"/>
          <w:szCs w:val="24"/>
        </w:rPr>
        <w:t>s veřejnou finanční podporou</w:t>
      </w:r>
      <w:r w:rsidR="0019150B" w:rsidRPr="00355CD5">
        <w:rPr>
          <w:sz w:val="24"/>
          <w:szCs w:val="24"/>
        </w:rPr>
        <w:t>, kter</w:t>
      </w:r>
      <w:r w:rsidR="00017EE5" w:rsidRPr="00355CD5">
        <w:rPr>
          <w:sz w:val="24"/>
          <w:szCs w:val="24"/>
        </w:rPr>
        <w:t>ou</w:t>
      </w:r>
      <w:r w:rsidR="0019150B" w:rsidRPr="00355CD5">
        <w:rPr>
          <w:sz w:val="24"/>
          <w:szCs w:val="24"/>
        </w:rPr>
        <w:t xml:space="preserve"> ÚNMZ poskytoval ČAS v letech 2019 až 2021.</w:t>
      </w:r>
    </w:p>
    <w:p w14:paraId="5C61EC4F" w14:textId="77777777" w:rsidR="00B936EA" w:rsidRPr="00B65C73" w:rsidRDefault="00B936EA" w:rsidP="00631A57">
      <w:pPr>
        <w:spacing w:after="0" w:line="240" w:lineRule="auto"/>
        <w:jc w:val="both"/>
        <w:rPr>
          <w:rFonts w:eastAsia="Calibri" w:cstheme="minorHAnsi"/>
          <w:sz w:val="24"/>
          <w:szCs w:val="24"/>
        </w:rPr>
      </w:pPr>
    </w:p>
    <w:p w14:paraId="33B38305" w14:textId="6830BC04" w:rsidR="00B936EA" w:rsidRPr="0072619F" w:rsidRDefault="00781CDD" w:rsidP="00034891">
      <w:pPr>
        <w:keepNext/>
        <w:spacing w:after="0" w:line="240" w:lineRule="auto"/>
        <w:jc w:val="both"/>
        <w:rPr>
          <w:rFonts w:eastAsia="Calibri" w:cstheme="minorHAnsi"/>
          <w:b/>
          <w:sz w:val="24"/>
          <w:szCs w:val="24"/>
        </w:rPr>
      </w:pPr>
      <w:r w:rsidRPr="0072619F">
        <w:rPr>
          <w:rFonts w:eastAsia="Calibri" w:cstheme="minorHAnsi"/>
          <w:b/>
          <w:sz w:val="24"/>
          <w:szCs w:val="24"/>
        </w:rPr>
        <w:t xml:space="preserve">MPO a </w:t>
      </w:r>
      <w:proofErr w:type="spellStart"/>
      <w:r w:rsidRPr="0072619F">
        <w:rPr>
          <w:rFonts w:eastAsia="Calibri" w:cstheme="minorHAnsi"/>
          <w:b/>
          <w:sz w:val="24"/>
          <w:szCs w:val="24"/>
        </w:rPr>
        <w:t>SpS</w:t>
      </w:r>
      <w:proofErr w:type="spellEnd"/>
      <w:r w:rsidRPr="0072619F">
        <w:rPr>
          <w:rFonts w:eastAsia="Calibri" w:cstheme="minorHAnsi"/>
          <w:b/>
          <w:sz w:val="24"/>
          <w:szCs w:val="24"/>
        </w:rPr>
        <w:t xml:space="preserve"> MPO </w:t>
      </w:r>
      <w:r w:rsidR="00CC7685" w:rsidRPr="0072619F">
        <w:rPr>
          <w:rFonts w:eastAsia="Calibri" w:cstheme="minorHAnsi"/>
          <w:b/>
          <w:sz w:val="24"/>
          <w:szCs w:val="24"/>
        </w:rPr>
        <w:t>nezřídily</w:t>
      </w:r>
      <w:r w:rsidRPr="0072619F">
        <w:rPr>
          <w:rFonts w:eastAsia="Calibri" w:cstheme="minorHAnsi"/>
          <w:b/>
          <w:sz w:val="24"/>
          <w:szCs w:val="24"/>
        </w:rPr>
        <w:t xml:space="preserve"> oddělený účet fondu kulturních a sociálních potřeb</w:t>
      </w:r>
    </w:p>
    <w:p w14:paraId="08B61503" w14:textId="77777777" w:rsidR="00B936EA" w:rsidRPr="00B65C73" w:rsidRDefault="00B936EA" w:rsidP="00034891">
      <w:pPr>
        <w:keepNext/>
        <w:spacing w:after="0" w:line="240" w:lineRule="auto"/>
        <w:jc w:val="both"/>
        <w:rPr>
          <w:rFonts w:eastAsia="Calibri" w:cstheme="minorHAnsi"/>
          <w:sz w:val="24"/>
          <w:szCs w:val="24"/>
        </w:rPr>
      </w:pPr>
    </w:p>
    <w:p w14:paraId="4C50BE6D" w14:textId="18B51FD2" w:rsidR="00B936EA" w:rsidRPr="004F5FA5" w:rsidRDefault="004F5FA5" w:rsidP="00631D63">
      <w:pPr>
        <w:tabs>
          <w:tab w:val="left" w:pos="567"/>
        </w:tabs>
        <w:spacing w:after="0" w:line="240" w:lineRule="auto"/>
        <w:jc w:val="both"/>
        <w:rPr>
          <w:sz w:val="24"/>
          <w:szCs w:val="24"/>
        </w:rPr>
      </w:pPr>
      <w:r>
        <w:rPr>
          <w:sz w:val="24"/>
          <w:szCs w:val="24"/>
        </w:rPr>
        <w:t xml:space="preserve">4.30 </w:t>
      </w:r>
      <w:r w:rsidR="00631D63">
        <w:rPr>
          <w:sz w:val="24"/>
          <w:szCs w:val="24"/>
        </w:rPr>
        <w:tab/>
      </w:r>
      <w:proofErr w:type="spellStart"/>
      <w:r w:rsidR="00781CDD" w:rsidRPr="004F5FA5">
        <w:rPr>
          <w:sz w:val="24"/>
          <w:szCs w:val="24"/>
        </w:rPr>
        <w:t>SpS</w:t>
      </w:r>
      <w:proofErr w:type="spellEnd"/>
      <w:r w:rsidR="00781CDD" w:rsidRPr="004F5FA5">
        <w:rPr>
          <w:sz w:val="24"/>
          <w:szCs w:val="24"/>
        </w:rPr>
        <w:t xml:space="preserve"> MPO uzavřela s MPO dne 19. 12. 2018 </w:t>
      </w:r>
      <w:r w:rsidR="00BA5BDD">
        <w:rPr>
          <w:sz w:val="24"/>
          <w:szCs w:val="24"/>
        </w:rPr>
        <w:t>s</w:t>
      </w:r>
      <w:r w:rsidR="00781CDD" w:rsidRPr="004F5FA5">
        <w:rPr>
          <w:sz w:val="24"/>
          <w:szCs w:val="24"/>
        </w:rPr>
        <w:t>mlouvu o sdružení finančních prostředků za</w:t>
      </w:r>
      <w:r w:rsidR="007C670F" w:rsidRPr="004F5FA5">
        <w:rPr>
          <w:sz w:val="24"/>
          <w:szCs w:val="24"/>
        </w:rPr>
        <w:t> </w:t>
      </w:r>
      <w:r w:rsidR="00781CDD" w:rsidRPr="004F5FA5">
        <w:rPr>
          <w:sz w:val="24"/>
          <w:szCs w:val="24"/>
        </w:rPr>
        <w:t xml:space="preserve">účelem společné tvorby a použití </w:t>
      </w:r>
      <w:r w:rsidR="00547E75" w:rsidRPr="004F5FA5">
        <w:rPr>
          <w:sz w:val="24"/>
          <w:szCs w:val="24"/>
        </w:rPr>
        <w:t>fondu kulturních a sociálních potřeb (dále také „</w:t>
      </w:r>
      <w:r w:rsidR="00781CDD" w:rsidRPr="004F5FA5">
        <w:rPr>
          <w:sz w:val="24"/>
          <w:szCs w:val="24"/>
        </w:rPr>
        <w:t>FKSP</w:t>
      </w:r>
      <w:r w:rsidR="00547E75" w:rsidRPr="004F5FA5">
        <w:rPr>
          <w:sz w:val="24"/>
          <w:szCs w:val="24"/>
        </w:rPr>
        <w:t>“)</w:t>
      </w:r>
      <w:r w:rsidR="00781CDD" w:rsidRPr="004F5FA5">
        <w:rPr>
          <w:sz w:val="24"/>
          <w:szCs w:val="24"/>
        </w:rPr>
        <w:t xml:space="preserve">. </w:t>
      </w:r>
      <w:r w:rsidR="007F3BE9" w:rsidRPr="004F5FA5">
        <w:rPr>
          <w:sz w:val="24"/>
          <w:szCs w:val="24"/>
        </w:rPr>
        <w:t xml:space="preserve">V souladu s touto smlouvou </w:t>
      </w:r>
      <w:proofErr w:type="spellStart"/>
      <w:r w:rsidR="00781CDD" w:rsidRPr="004F5FA5">
        <w:rPr>
          <w:sz w:val="24"/>
          <w:szCs w:val="24"/>
        </w:rPr>
        <w:t>SpS</w:t>
      </w:r>
      <w:proofErr w:type="spellEnd"/>
      <w:r w:rsidR="00781CDD" w:rsidRPr="004F5FA5">
        <w:rPr>
          <w:sz w:val="24"/>
          <w:szCs w:val="24"/>
        </w:rPr>
        <w:t xml:space="preserve"> MPO a MPO </w:t>
      </w:r>
      <w:r w:rsidR="007F3BE9" w:rsidRPr="004F5FA5">
        <w:rPr>
          <w:sz w:val="24"/>
          <w:szCs w:val="24"/>
        </w:rPr>
        <w:t>přispívaly</w:t>
      </w:r>
      <w:r w:rsidR="00781CDD" w:rsidRPr="004F5FA5">
        <w:rPr>
          <w:sz w:val="24"/>
          <w:szCs w:val="24"/>
        </w:rPr>
        <w:t xml:space="preserve"> pravidelně měsíčně na</w:t>
      </w:r>
      <w:r w:rsidR="00E41E29" w:rsidRPr="004F5FA5">
        <w:rPr>
          <w:sz w:val="24"/>
          <w:szCs w:val="24"/>
        </w:rPr>
        <w:t> </w:t>
      </w:r>
      <w:r w:rsidR="00781CDD" w:rsidRPr="004F5FA5">
        <w:rPr>
          <w:sz w:val="24"/>
          <w:szCs w:val="24"/>
        </w:rPr>
        <w:t>společný účet FKSP finanční částkou tvořenou ve smyslu</w:t>
      </w:r>
      <w:r w:rsidR="00755BA2" w:rsidRPr="004F5FA5">
        <w:rPr>
          <w:sz w:val="24"/>
          <w:szCs w:val="24"/>
        </w:rPr>
        <w:t xml:space="preserve"> ustanovení</w:t>
      </w:r>
      <w:r w:rsidR="00781CDD" w:rsidRPr="004F5FA5">
        <w:rPr>
          <w:sz w:val="24"/>
          <w:szCs w:val="24"/>
        </w:rPr>
        <w:t xml:space="preserve"> § 2 vyhlášky č.</w:t>
      </w:r>
      <w:r w:rsidR="007C670F" w:rsidRPr="004F5FA5">
        <w:rPr>
          <w:sz w:val="24"/>
          <w:szCs w:val="24"/>
        </w:rPr>
        <w:t> </w:t>
      </w:r>
      <w:r w:rsidR="00781CDD" w:rsidRPr="004F5FA5">
        <w:rPr>
          <w:sz w:val="24"/>
          <w:szCs w:val="24"/>
        </w:rPr>
        <w:t>114/2002 Sb., o fondu kulturních a sociálních potřeb.</w:t>
      </w:r>
      <w:r w:rsidR="00CB0F2E" w:rsidRPr="004F5FA5">
        <w:rPr>
          <w:sz w:val="24"/>
          <w:szCs w:val="24"/>
        </w:rPr>
        <w:t xml:space="preserve"> </w:t>
      </w:r>
      <w:r w:rsidR="00781CDD" w:rsidRPr="004F5FA5">
        <w:rPr>
          <w:sz w:val="24"/>
          <w:szCs w:val="24"/>
        </w:rPr>
        <w:t>Smlouva byla uzavřena na</w:t>
      </w:r>
      <w:r w:rsidR="00C72C2E" w:rsidRPr="004F5FA5">
        <w:rPr>
          <w:sz w:val="24"/>
          <w:szCs w:val="24"/>
        </w:rPr>
        <w:t> </w:t>
      </w:r>
      <w:r w:rsidR="00781CDD" w:rsidRPr="004F5FA5">
        <w:rPr>
          <w:sz w:val="24"/>
          <w:szCs w:val="24"/>
        </w:rPr>
        <w:t>období od 1. 1. 2019 do 31. 12. 2020. Od 20. 1. 2021 má SpS MPO uzavřenou novou smlouvu o sdružení finančních prostředků platnou do 31. 12. 2023.</w:t>
      </w:r>
    </w:p>
    <w:p w14:paraId="68A0634C" w14:textId="77777777" w:rsidR="0019150B" w:rsidRPr="00B65C73" w:rsidRDefault="0019150B" w:rsidP="004F5FA5">
      <w:pPr>
        <w:pStyle w:val="Odstavecseseznamem"/>
        <w:spacing w:after="0" w:line="240" w:lineRule="auto"/>
        <w:ind w:left="0"/>
        <w:jc w:val="both"/>
        <w:rPr>
          <w:sz w:val="24"/>
          <w:szCs w:val="24"/>
        </w:rPr>
      </w:pPr>
    </w:p>
    <w:p w14:paraId="50A62720" w14:textId="77927249" w:rsidR="0019150B" w:rsidRPr="004F5FA5" w:rsidRDefault="004F5FA5" w:rsidP="00631D63">
      <w:pPr>
        <w:tabs>
          <w:tab w:val="left" w:pos="567"/>
        </w:tabs>
        <w:spacing w:after="0" w:line="240" w:lineRule="auto"/>
        <w:jc w:val="both"/>
        <w:rPr>
          <w:sz w:val="24"/>
          <w:szCs w:val="24"/>
        </w:rPr>
      </w:pPr>
      <w:r>
        <w:rPr>
          <w:sz w:val="24"/>
          <w:szCs w:val="24"/>
        </w:rPr>
        <w:t xml:space="preserve">4.31 </w:t>
      </w:r>
      <w:r w:rsidR="00631D63">
        <w:rPr>
          <w:sz w:val="24"/>
          <w:szCs w:val="24"/>
        </w:rPr>
        <w:tab/>
      </w:r>
      <w:proofErr w:type="spellStart"/>
      <w:r w:rsidR="00781CDD" w:rsidRPr="004F5FA5">
        <w:rPr>
          <w:sz w:val="24"/>
          <w:szCs w:val="24"/>
        </w:rPr>
        <w:t>SpS</w:t>
      </w:r>
      <w:proofErr w:type="spellEnd"/>
      <w:r w:rsidR="00781CDD" w:rsidRPr="004F5FA5">
        <w:rPr>
          <w:sz w:val="24"/>
          <w:szCs w:val="24"/>
        </w:rPr>
        <w:t xml:space="preserve"> MPO účtovala na nákladový účet 527 100 „Zákonné sociální náklady – FKSP“ základní příděl ve výši 2 % z ročního objemu nákladů zúčtovaných na platy a náhrady platů a</w:t>
      </w:r>
      <w:r w:rsidR="007C670F" w:rsidRPr="004F5FA5">
        <w:rPr>
          <w:sz w:val="24"/>
          <w:szCs w:val="24"/>
        </w:rPr>
        <w:t> </w:t>
      </w:r>
      <w:r w:rsidR="00781CDD" w:rsidRPr="004F5FA5">
        <w:rPr>
          <w:sz w:val="24"/>
          <w:szCs w:val="24"/>
        </w:rPr>
        <w:t xml:space="preserve">odvedla </w:t>
      </w:r>
      <w:r w:rsidR="0019150B" w:rsidRPr="004F5FA5">
        <w:rPr>
          <w:sz w:val="24"/>
          <w:szCs w:val="24"/>
        </w:rPr>
        <w:lastRenderedPageBreak/>
        <w:t>peněžní</w:t>
      </w:r>
      <w:r w:rsidR="00781CDD" w:rsidRPr="004F5FA5">
        <w:rPr>
          <w:sz w:val="24"/>
          <w:szCs w:val="24"/>
        </w:rPr>
        <w:t xml:space="preserve"> prostředky na společný účet s MPO, avšak FKSP jako takový na účtu 412 – </w:t>
      </w:r>
      <w:r w:rsidR="00781CDD" w:rsidRPr="0056380C">
        <w:rPr>
          <w:i/>
          <w:sz w:val="24"/>
          <w:szCs w:val="24"/>
        </w:rPr>
        <w:t>Fond kulturních a sociálních potřeb</w:t>
      </w:r>
      <w:r w:rsidR="00781CDD" w:rsidRPr="004F5FA5">
        <w:rPr>
          <w:sz w:val="24"/>
          <w:szCs w:val="24"/>
        </w:rPr>
        <w:t xml:space="preserve"> netvořila.</w:t>
      </w:r>
      <w:r w:rsidR="00CB0F2E" w:rsidRPr="004F5FA5">
        <w:rPr>
          <w:sz w:val="24"/>
          <w:szCs w:val="24"/>
        </w:rPr>
        <w:t xml:space="preserve"> </w:t>
      </w:r>
      <w:r w:rsidR="000D2A3D" w:rsidRPr="004F5FA5">
        <w:rPr>
          <w:sz w:val="24"/>
          <w:szCs w:val="24"/>
        </w:rPr>
        <w:t xml:space="preserve">Tím </w:t>
      </w:r>
      <w:proofErr w:type="spellStart"/>
      <w:r w:rsidR="00781CDD" w:rsidRPr="004F5FA5">
        <w:rPr>
          <w:sz w:val="24"/>
          <w:szCs w:val="24"/>
        </w:rPr>
        <w:t>SpS</w:t>
      </w:r>
      <w:proofErr w:type="spellEnd"/>
      <w:r w:rsidR="00781CDD" w:rsidRPr="004F5FA5">
        <w:rPr>
          <w:sz w:val="24"/>
          <w:szCs w:val="24"/>
        </w:rPr>
        <w:t xml:space="preserve"> MPO porušila </w:t>
      </w:r>
      <w:r w:rsidR="0019150B" w:rsidRPr="004F5FA5">
        <w:rPr>
          <w:sz w:val="24"/>
          <w:szCs w:val="24"/>
        </w:rPr>
        <w:t>ustanovení §</w:t>
      </w:r>
      <w:r w:rsidR="00B83D58" w:rsidRPr="004F5FA5">
        <w:rPr>
          <w:sz w:val="24"/>
          <w:szCs w:val="24"/>
        </w:rPr>
        <w:t> </w:t>
      </w:r>
      <w:r w:rsidR="0019150B" w:rsidRPr="004F5FA5">
        <w:rPr>
          <w:sz w:val="24"/>
          <w:szCs w:val="24"/>
        </w:rPr>
        <w:t>56 odst.</w:t>
      </w:r>
      <w:r w:rsidR="00B83D58" w:rsidRPr="004F5FA5">
        <w:rPr>
          <w:sz w:val="24"/>
          <w:szCs w:val="24"/>
        </w:rPr>
        <w:t> </w:t>
      </w:r>
      <w:r w:rsidR="00781CDD" w:rsidRPr="004F5FA5">
        <w:rPr>
          <w:sz w:val="24"/>
          <w:szCs w:val="24"/>
        </w:rPr>
        <w:t>1 písm.</w:t>
      </w:r>
      <w:r w:rsidR="00CB0F2E" w:rsidRPr="004F5FA5">
        <w:rPr>
          <w:sz w:val="24"/>
          <w:szCs w:val="24"/>
        </w:rPr>
        <w:t> </w:t>
      </w:r>
      <w:r w:rsidR="00781CDD" w:rsidRPr="004F5FA5">
        <w:rPr>
          <w:sz w:val="24"/>
          <w:szCs w:val="24"/>
        </w:rPr>
        <w:t xml:space="preserve">d) zákona č. 218/2000 Sb. </w:t>
      </w:r>
      <w:proofErr w:type="spellStart"/>
      <w:r w:rsidR="00781CDD" w:rsidRPr="004F5FA5">
        <w:rPr>
          <w:sz w:val="24"/>
          <w:szCs w:val="24"/>
        </w:rPr>
        <w:t>SpS</w:t>
      </w:r>
      <w:proofErr w:type="spellEnd"/>
      <w:r w:rsidR="00781CDD" w:rsidRPr="004F5FA5">
        <w:rPr>
          <w:sz w:val="24"/>
          <w:szCs w:val="24"/>
        </w:rPr>
        <w:t xml:space="preserve"> MPO nesestavila rozpočet fondu a</w:t>
      </w:r>
      <w:r w:rsidR="00536C0A" w:rsidRPr="004F5FA5">
        <w:rPr>
          <w:sz w:val="24"/>
          <w:szCs w:val="24"/>
        </w:rPr>
        <w:t> </w:t>
      </w:r>
      <w:r w:rsidR="00781CDD" w:rsidRPr="004F5FA5">
        <w:rPr>
          <w:sz w:val="24"/>
          <w:szCs w:val="24"/>
        </w:rPr>
        <w:t xml:space="preserve">způsob jeho čerpání ve smyslu </w:t>
      </w:r>
      <w:r w:rsidR="0019150B" w:rsidRPr="004F5FA5">
        <w:rPr>
          <w:sz w:val="24"/>
          <w:szCs w:val="24"/>
        </w:rPr>
        <w:t>ustanovení § 60 zákona č. </w:t>
      </w:r>
      <w:r w:rsidR="00781CDD" w:rsidRPr="004F5FA5">
        <w:rPr>
          <w:sz w:val="24"/>
          <w:szCs w:val="24"/>
        </w:rPr>
        <w:t xml:space="preserve">218/2000 Sb. </w:t>
      </w:r>
      <w:r w:rsidR="0019150B" w:rsidRPr="004F5FA5">
        <w:rPr>
          <w:sz w:val="24"/>
          <w:szCs w:val="24"/>
        </w:rPr>
        <w:t>a dle ustanovení § 3 odst. 1 vyhlášky č. 114/2002 Sb.</w:t>
      </w:r>
    </w:p>
    <w:p w14:paraId="790485AD" w14:textId="77777777" w:rsidR="00B936EA" w:rsidRPr="00B65C73" w:rsidRDefault="00B936EA" w:rsidP="004F5FA5">
      <w:pPr>
        <w:pStyle w:val="Odstavecseseznamem"/>
        <w:spacing w:after="0" w:line="240" w:lineRule="auto"/>
        <w:ind w:left="0"/>
        <w:jc w:val="both"/>
        <w:rPr>
          <w:sz w:val="24"/>
          <w:szCs w:val="24"/>
        </w:rPr>
      </w:pPr>
    </w:p>
    <w:p w14:paraId="1137D410" w14:textId="483757CD" w:rsidR="00B936EA" w:rsidRPr="004F5FA5" w:rsidRDefault="004F5FA5" w:rsidP="00631D63">
      <w:pPr>
        <w:tabs>
          <w:tab w:val="left" w:pos="567"/>
        </w:tabs>
        <w:spacing w:after="0" w:line="240" w:lineRule="auto"/>
        <w:jc w:val="both"/>
        <w:rPr>
          <w:sz w:val="24"/>
          <w:szCs w:val="24"/>
        </w:rPr>
      </w:pPr>
      <w:r>
        <w:rPr>
          <w:sz w:val="24"/>
          <w:szCs w:val="24"/>
        </w:rPr>
        <w:t xml:space="preserve">4.32 </w:t>
      </w:r>
      <w:r w:rsidR="00631D63">
        <w:rPr>
          <w:sz w:val="24"/>
          <w:szCs w:val="24"/>
        </w:rPr>
        <w:tab/>
      </w:r>
      <w:r w:rsidR="00781CDD" w:rsidRPr="004F5FA5">
        <w:rPr>
          <w:sz w:val="24"/>
          <w:szCs w:val="24"/>
        </w:rPr>
        <w:t xml:space="preserve">MPO tak </w:t>
      </w:r>
      <w:r w:rsidR="00125A9D" w:rsidRPr="004F5FA5">
        <w:rPr>
          <w:sz w:val="24"/>
          <w:szCs w:val="24"/>
        </w:rPr>
        <w:t>účtovalo</w:t>
      </w:r>
      <w:r w:rsidR="00781CDD" w:rsidRPr="004F5FA5">
        <w:rPr>
          <w:sz w:val="24"/>
          <w:szCs w:val="24"/>
        </w:rPr>
        <w:t xml:space="preserve"> v letech 2017 až 2021 čerpání z FKSP společně za zaměstnance MPO a SpS MPO. MPO nemělo přehled o tom, jaké peněžní prostředky byly čerpány z FKSP zvlášť za zaměstnance MPO a zvlášť za zaměstnance SpS MPO. MPO v současnosti připravuje úpravu v oblasti tvorby a čerpání FKSP tak, aby byl FKSP veden odděleně zvlášť za MPO a zvlášť za SpS MPO.</w:t>
      </w:r>
    </w:p>
    <w:p w14:paraId="25CF30B2" w14:textId="77777777" w:rsidR="00B936EA" w:rsidRPr="00B65C73" w:rsidRDefault="00B936EA" w:rsidP="00631A57">
      <w:pPr>
        <w:spacing w:after="0" w:line="240" w:lineRule="auto"/>
        <w:jc w:val="both"/>
        <w:rPr>
          <w:rFonts w:eastAsia="Calibri" w:cstheme="minorHAnsi"/>
          <w:b/>
          <w:i/>
          <w:sz w:val="24"/>
          <w:szCs w:val="24"/>
        </w:rPr>
      </w:pPr>
    </w:p>
    <w:p w14:paraId="188BF010" w14:textId="77777777" w:rsidR="00DF5453" w:rsidRPr="0072619F" w:rsidRDefault="00781CDD" w:rsidP="000B37EC">
      <w:pPr>
        <w:keepNext/>
        <w:spacing w:after="0" w:line="240" w:lineRule="auto"/>
        <w:jc w:val="both"/>
        <w:rPr>
          <w:rFonts w:eastAsia="Calibri" w:cstheme="minorHAnsi"/>
          <w:b/>
          <w:sz w:val="24"/>
          <w:szCs w:val="24"/>
        </w:rPr>
      </w:pPr>
      <w:r w:rsidRPr="0072619F">
        <w:rPr>
          <w:rFonts w:eastAsia="Calibri" w:cstheme="minorHAnsi"/>
          <w:b/>
          <w:sz w:val="24"/>
          <w:szCs w:val="24"/>
        </w:rPr>
        <w:t>ÚZEI nesledoval některé náklady na jinou činnost odděleně od hlavní činnosti</w:t>
      </w:r>
    </w:p>
    <w:p w14:paraId="4B854FA8" w14:textId="77777777" w:rsidR="00D77FDC" w:rsidRPr="00B65C73" w:rsidRDefault="00D77FDC" w:rsidP="000B37EC">
      <w:pPr>
        <w:keepNext/>
        <w:spacing w:after="0" w:line="240" w:lineRule="auto"/>
        <w:jc w:val="both"/>
        <w:rPr>
          <w:rFonts w:eastAsia="Calibri" w:cstheme="minorHAnsi"/>
          <w:sz w:val="24"/>
          <w:szCs w:val="24"/>
        </w:rPr>
      </w:pPr>
    </w:p>
    <w:p w14:paraId="544DC290" w14:textId="0E3021ED" w:rsidR="00DF5453" w:rsidRPr="00B75838" w:rsidRDefault="00B75838" w:rsidP="00631D63">
      <w:pPr>
        <w:tabs>
          <w:tab w:val="left" w:pos="567"/>
        </w:tabs>
        <w:spacing w:after="0" w:line="240" w:lineRule="auto"/>
        <w:jc w:val="both"/>
        <w:rPr>
          <w:sz w:val="24"/>
          <w:szCs w:val="24"/>
        </w:rPr>
      </w:pPr>
      <w:r>
        <w:rPr>
          <w:sz w:val="24"/>
          <w:szCs w:val="24"/>
        </w:rPr>
        <w:t>4.</w:t>
      </w:r>
      <w:r w:rsidR="004F5FA5">
        <w:rPr>
          <w:sz w:val="24"/>
          <w:szCs w:val="24"/>
        </w:rPr>
        <w:t>33</w:t>
      </w:r>
      <w:r>
        <w:rPr>
          <w:sz w:val="24"/>
          <w:szCs w:val="24"/>
        </w:rPr>
        <w:t xml:space="preserve"> </w:t>
      </w:r>
      <w:r w:rsidR="00631D63">
        <w:rPr>
          <w:sz w:val="24"/>
          <w:szCs w:val="24"/>
        </w:rPr>
        <w:tab/>
      </w:r>
      <w:r w:rsidR="00781CDD" w:rsidRPr="00B75838">
        <w:rPr>
          <w:sz w:val="24"/>
          <w:szCs w:val="24"/>
        </w:rPr>
        <w:t xml:space="preserve">ÚZEI měl v kontrolovaném období stanovený systém výpočtu nákladů na jinou činnost poměrem výnosů z jiné činnosti a celkových výnosů organizace. ÚZEI </w:t>
      </w:r>
      <w:r w:rsidR="001425DE" w:rsidRPr="00B75838">
        <w:rPr>
          <w:sz w:val="24"/>
          <w:szCs w:val="24"/>
        </w:rPr>
        <w:t xml:space="preserve">v letech 2019–2021 nepřeúčtoval režijní náklady z hlavní činnosti </w:t>
      </w:r>
      <w:r w:rsidR="00781CDD" w:rsidRPr="00B75838">
        <w:rPr>
          <w:sz w:val="24"/>
          <w:szCs w:val="24"/>
        </w:rPr>
        <w:t>do jiné činnosti. V roce 2019 nebyly přeúčtovány rovněž mzdové náklady.</w:t>
      </w:r>
      <w:r w:rsidR="00BD6B80" w:rsidRPr="00B75838">
        <w:rPr>
          <w:sz w:val="24"/>
          <w:szCs w:val="24"/>
        </w:rPr>
        <w:t xml:space="preserve"> </w:t>
      </w:r>
      <w:r w:rsidR="00781CDD" w:rsidRPr="00B75838">
        <w:rPr>
          <w:sz w:val="24"/>
          <w:szCs w:val="24"/>
        </w:rPr>
        <w:t>ÚZEI porušil ustanovení § 63 odst. 1 zákona č.</w:t>
      </w:r>
      <w:r w:rsidR="00B83D58" w:rsidRPr="00B75838">
        <w:rPr>
          <w:sz w:val="24"/>
          <w:szCs w:val="24"/>
        </w:rPr>
        <w:t> </w:t>
      </w:r>
      <w:r w:rsidR="00781CDD" w:rsidRPr="00B75838">
        <w:rPr>
          <w:sz w:val="24"/>
          <w:szCs w:val="24"/>
        </w:rPr>
        <w:t>218/2000</w:t>
      </w:r>
      <w:r w:rsidR="00B83D58" w:rsidRPr="00B75838">
        <w:rPr>
          <w:sz w:val="24"/>
          <w:szCs w:val="24"/>
        </w:rPr>
        <w:t> </w:t>
      </w:r>
      <w:r w:rsidR="00781CDD" w:rsidRPr="00B75838">
        <w:rPr>
          <w:sz w:val="24"/>
          <w:szCs w:val="24"/>
        </w:rPr>
        <w:t>Sb., když nesledoval mzdové náklady (v roce 2019) a režijní náklady na jinou činnost odděleně od hlavní činnosti.</w:t>
      </w:r>
    </w:p>
    <w:p w14:paraId="0A61D0B9" w14:textId="044C2D7E" w:rsidR="00B17DE6" w:rsidRDefault="00B17DE6" w:rsidP="00B83D58">
      <w:pPr>
        <w:pStyle w:val="Odstavecseseznamem"/>
        <w:spacing w:after="0" w:line="240" w:lineRule="auto"/>
        <w:ind w:left="0"/>
        <w:jc w:val="both"/>
        <w:rPr>
          <w:sz w:val="24"/>
          <w:szCs w:val="24"/>
        </w:rPr>
      </w:pPr>
    </w:p>
    <w:p w14:paraId="797A0014" w14:textId="58620024" w:rsidR="00B17DE6" w:rsidRDefault="00B17DE6" w:rsidP="00B83D58">
      <w:pPr>
        <w:pStyle w:val="Odstavecseseznamem"/>
        <w:spacing w:after="0" w:line="240" w:lineRule="auto"/>
        <w:ind w:left="0"/>
        <w:jc w:val="both"/>
        <w:rPr>
          <w:sz w:val="24"/>
          <w:szCs w:val="24"/>
        </w:rPr>
      </w:pPr>
    </w:p>
    <w:p w14:paraId="42AC4F1A" w14:textId="6763731B" w:rsidR="00B17DE6" w:rsidRDefault="00B17DE6" w:rsidP="00B83D58">
      <w:pPr>
        <w:pStyle w:val="Odstavecseseznamem"/>
        <w:spacing w:after="0" w:line="240" w:lineRule="auto"/>
        <w:ind w:left="0"/>
        <w:jc w:val="both"/>
        <w:rPr>
          <w:sz w:val="24"/>
          <w:szCs w:val="24"/>
        </w:rPr>
      </w:pPr>
    </w:p>
    <w:p w14:paraId="6D773EAC" w14:textId="6590EFCB" w:rsidR="009C69F8" w:rsidRPr="00B83D58" w:rsidRDefault="00781CDD" w:rsidP="008E7AC2">
      <w:pPr>
        <w:keepNext/>
        <w:spacing w:after="120" w:line="240" w:lineRule="auto"/>
        <w:rPr>
          <w:rFonts w:eastAsiaTheme="majorEastAsia" w:cstheme="minorHAnsi"/>
          <w:b/>
          <w:sz w:val="24"/>
          <w:szCs w:val="28"/>
        </w:rPr>
      </w:pPr>
      <w:r w:rsidRPr="00B83D58">
        <w:rPr>
          <w:rFonts w:eastAsiaTheme="majorEastAsia" w:cstheme="minorHAnsi"/>
          <w:b/>
          <w:sz w:val="24"/>
          <w:szCs w:val="28"/>
        </w:rPr>
        <w:lastRenderedPageBreak/>
        <w:t>Seznam zkratek</w:t>
      </w:r>
    </w:p>
    <w:p w14:paraId="6D773EB0" w14:textId="247DB71C" w:rsidR="00563DD8" w:rsidRDefault="00781CDD" w:rsidP="008E7AC2">
      <w:pPr>
        <w:keepNext/>
        <w:spacing w:after="60" w:line="240" w:lineRule="auto"/>
        <w:ind w:left="1418" w:hanging="1418"/>
        <w:rPr>
          <w:rFonts w:cstheme="minorHAnsi"/>
          <w:sz w:val="24"/>
          <w:szCs w:val="24"/>
        </w:rPr>
      </w:pPr>
      <w:r>
        <w:rPr>
          <w:rFonts w:cstheme="minorHAnsi"/>
          <w:sz w:val="24"/>
          <w:szCs w:val="24"/>
        </w:rPr>
        <w:t>CENIA</w:t>
      </w:r>
      <w:r>
        <w:rPr>
          <w:rFonts w:cstheme="minorHAnsi"/>
          <w:sz w:val="24"/>
          <w:szCs w:val="24"/>
        </w:rPr>
        <w:tab/>
      </w:r>
      <w:r>
        <w:rPr>
          <w:rFonts w:cstheme="minorHAnsi"/>
          <w:sz w:val="24"/>
          <w:szCs w:val="24"/>
        </w:rPr>
        <w:tab/>
      </w:r>
      <w:r w:rsidRPr="0084100F">
        <w:rPr>
          <w:rFonts w:cstheme="minorHAnsi"/>
          <w:sz w:val="24"/>
          <w:szCs w:val="24"/>
        </w:rPr>
        <w:t>Česká informační agentura životního prostředí</w:t>
      </w:r>
      <w:r>
        <w:rPr>
          <w:rFonts w:cstheme="minorHAnsi"/>
          <w:sz w:val="24"/>
          <w:szCs w:val="24"/>
        </w:rPr>
        <w:t xml:space="preserve"> </w:t>
      </w:r>
    </w:p>
    <w:p w14:paraId="6D773EB3" w14:textId="74DC9208" w:rsidR="00BE430B" w:rsidRDefault="00781CDD" w:rsidP="008E7AC2">
      <w:pPr>
        <w:keepNext/>
        <w:spacing w:after="60" w:line="240" w:lineRule="auto"/>
        <w:ind w:left="1418" w:hanging="1418"/>
        <w:rPr>
          <w:rFonts w:cstheme="minorHAnsi"/>
          <w:sz w:val="24"/>
          <w:szCs w:val="24"/>
        </w:rPr>
      </w:pPr>
      <w:r w:rsidRPr="00E40B1B">
        <w:rPr>
          <w:rFonts w:cstheme="minorHAnsi"/>
          <w:sz w:val="24"/>
          <w:szCs w:val="24"/>
        </w:rPr>
        <w:t>ČAS</w:t>
      </w:r>
      <w:r w:rsidRPr="00E40B1B">
        <w:rPr>
          <w:rFonts w:cstheme="minorHAnsi"/>
          <w:sz w:val="24"/>
          <w:szCs w:val="24"/>
        </w:rPr>
        <w:tab/>
      </w:r>
      <w:r w:rsidRPr="00E40B1B">
        <w:rPr>
          <w:rFonts w:cstheme="minorHAnsi"/>
          <w:sz w:val="24"/>
          <w:szCs w:val="24"/>
        </w:rPr>
        <w:tab/>
      </w:r>
      <w:r w:rsidRPr="0084100F">
        <w:rPr>
          <w:rFonts w:cstheme="minorHAnsi"/>
          <w:sz w:val="24"/>
          <w:szCs w:val="24"/>
        </w:rPr>
        <w:t>Česká agentura pro standardizaci</w:t>
      </w:r>
    </w:p>
    <w:p w14:paraId="6D773EB4" w14:textId="67923B64" w:rsidR="00BD6EDF" w:rsidRDefault="00781CDD" w:rsidP="008E7AC2">
      <w:pPr>
        <w:keepNext/>
        <w:spacing w:after="60" w:line="240" w:lineRule="auto"/>
        <w:ind w:left="1418" w:hanging="1418"/>
        <w:rPr>
          <w:rFonts w:cstheme="minorHAnsi"/>
          <w:sz w:val="24"/>
          <w:szCs w:val="24"/>
        </w:rPr>
      </w:pPr>
      <w:r>
        <w:rPr>
          <w:rFonts w:cstheme="minorHAnsi"/>
          <w:sz w:val="24"/>
          <w:szCs w:val="24"/>
        </w:rPr>
        <w:t>ČSN</w:t>
      </w:r>
      <w:r>
        <w:rPr>
          <w:rFonts w:cstheme="minorHAnsi"/>
          <w:sz w:val="24"/>
          <w:szCs w:val="24"/>
        </w:rPr>
        <w:tab/>
      </w:r>
      <w:r w:rsidR="00BA5BDD">
        <w:rPr>
          <w:rFonts w:cstheme="minorHAnsi"/>
          <w:sz w:val="24"/>
          <w:szCs w:val="24"/>
        </w:rPr>
        <w:t>č</w:t>
      </w:r>
      <w:r>
        <w:rPr>
          <w:rFonts w:cstheme="minorHAnsi"/>
          <w:sz w:val="24"/>
          <w:szCs w:val="24"/>
        </w:rPr>
        <w:t>eské technické normy</w:t>
      </w:r>
    </w:p>
    <w:p w14:paraId="6D773EB8" w14:textId="6FFD514E" w:rsidR="001750D2" w:rsidRDefault="00781CDD" w:rsidP="008E7AC2">
      <w:pPr>
        <w:keepNext/>
        <w:spacing w:after="60" w:line="240" w:lineRule="auto"/>
        <w:ind w:left="1418" w:hanging="1418"/>
        <w:rPr>
          <w:rFonts w:cstheme="minorHAnsi"/>
          <w:sz w:val="24"/>
          <w:szCs w:val="24"/>
        </w:rPr>
      </w:pPr>
      <w:r>
        <w:rPr>
          <w:rFonts w:cstheme="minorHAnsi"/>
          <w:sz w:val="24"/>
          <w:szCs w:val="24"/>
        </w:rPr>
        <w:t>DKRVO</w:t>
      </w:r>
      <w:r w:rsidRPr="008261DF">
        <w:rPr>
          <w:rFonts w:cstheme="minorHAnsi"/>
          <w:sz w:val="24"/>
          <w:szCs w:val="24"/>
        </w:rPr>
        <w:tab/>
      </w:r>
      <w:r>
        <w:rPr>
          <w:rFonts w:cstheme="minorHAnsi"/>
          <w:sz w:val="24"/>
          <w:szCs w:val="24"/>
        </w:rPr>
        <w:tab/>
      </w:r>
      <w:r w:rsidR="00BA5BDD">
        <w:rPr>
          <w:rFonts w:cstheme="minorHAnsi"/>
          <w:sz w:val="24"/>
          <w:szCs w:val="24"/>
        </w:rPr>
        <w:t>d</w:t>
      </w:r>
      <w:r w:rsidRPr="001750D2">
        <w:rPr>
          <w:rFonts w:cstheme="minorHAnsi"/>
          <w:sz w:val="24"/>
          <w:szCs w:val="24"/>
        </w:rPr>
        <w:t>louhodob</w:t>
      </w:r>
      <w:r>
        <w:rPr>
          <w:rFonts w:cstheme="minorHAnsi"/>
          <w:sz w:val="24"/>
          <w:szCs w:val="24"/>
        </w:rPr>
        <w:t>á</w:t>
      </w:r>
      <w:r w:rsidRPr="001750D2">
        <w:rPr>
          <w:rFonts w:cstheme="minorHAnsi"/>
          <w:sz w:val="24"/>
          <w:szCs w:val="24"/>
        </w:rPr>
        <w:t xml:space="preserve"> koncepc</w:t>
      </w:r>
      <w:r>
        <w:rPr>
          <w:rFonts w:cstheme="minorHAnsi"/>
          <w:sz w:val="24"/>
          <w:szCs w:val="24"/>
        </w:rPr>
        <w:t>e</w:t>
      </w:r>
      <w:r w:rsidRPr="001750D2">
        <w:rPr>
          <w:rFonts w:cstheme="minorHAnsi"/>
          <w:sz w:val="24"/>
          <w:szCs w:val="24"/>
        </w:rPr>
        <w:t xml:space="preserve"> rozvoje výzkumné organizace na období let 2018–2022</w:t>
      </w:r>
    </w:p>
    <w:p w14:paraId="6D773EB9" w14:textId="2D1CBEAF" w:rsidR="008405DC" w:rsidRDefault="00781CDD" w:rsidP="008E7AC2">
      <w:pPr>
        <w:keepNext/>
        <w:spacing w:after="60" w:line="240" w:lineRule="auto"/>
        <w:ind w:left="1418" w:hanging="1418"/>
        <w:rPr>
          <w:rFonts w:cstheme="minorHAnsi"/>
          <w:sz w:val="24"/>
          <w:szCs w:val="24"/>
        </w:rPr>
      </w:pPr>
      <w:r>
        <w:rPr>
          <w:rFonts w:cstheme="minorHAnsi"/>
          <w:sz w:val="24"/>
          <w:szCs w:val="24"/>
        </w:rPr>
        <w:t>DPH</w:t>
      </w:r>
      <w:r>
        <w:rPr>
          <w:rFonts w:cstheme="minorHAnsi"/>
          <w:sz w:val="24"/>
          <w:szCs w:val="24"/>
        </w:rPr>
        <w:tab/>
      </w:r>
      <w:r>
        <w:rPr>
          <w:rFonts w:cstheme="minorHAnsi"/>
          <w:sz w:val="24"/>
          <w:szCs w:val="24"/>
        </w:rPr>
        <w:tab/>
        <w:t>daň z přidané hodnoty</w:t>
      </w:r>
    </w:p>
    <w:p w14:paraId="6D773EBA" w14:textId="6424FF57" w:rsidR="008D66C9" w:rsidRPr="00E9646E" w:rsidRDefault="00781CDD" w:rsidP="008E7AC2">
      <w:pPr>
        <w:keepNext/>
        <w:spacing w:after="60" w:line="240" w:lineRule="auto"/>
        <w:ind w:left="1418" w:hanging="1418"/>
        <w:rPr>
          <w:rFonts w:cstheme="minorHAnsi"/>
          <w:sz w:val="24"/>
          <w:szCs w:val="24"/>
        </w:rPr>
      </w:pPr>
      <w:r>
        <w:rPr>
          <w:rFonts w:cstheme="minorHAnsi"/>
          <w:sz w:val="24"/>
          <w:szCs w:val="24"/>
        </w:rPr>
        <w:t>FKSP</w:t>
      </w:r>
      <w:r>
        <w:rPr>
          <w:rFonts w:cstheme="minorHAnsi"/>
          <w:sz w:val="24"/>
          <w:szCs w:val="24"/>
        </w:rPr>
        <w:tab/>
      </w:r>
      <w:r>
        <w:rPr>
          <w:rFonts w:cstheme="minorHAnsi"/>
          <w:sz w:val="24"/>
          <w:szCs w:val="24"/>
        </w:rPr>
        <w:tab/>
      </w:r>
      <w:r w:rsidR="00BA5BDD">
        <w:rPr>
          <w:rFonts w:cstheme="minorHAnsi"/>
          <w:sz w:val="24"/>
          <w:szCs w:val="24"/>
        </w:rPr>
        <w:t>f</w:t>
      </w:r>
      <w:r w:rsidRPr="002753B0">
        <w:rPr>
          <w:rFonts w:eastAsia="Calibri" w:cstheme="minorHAnsi"/>
          <w:sz w:val="24"/>
          <w:szCs w:val="24"/>
        </w:rPr>
        <w:t>ond kulturních a sociálních potřeb</w:t>
      </w:r>
    </w:p>
    <w:p w14:paraId="6D773EBB" w14:textId="5B9A38CF" w:rsidR="00BE430B" w:rsidRDefault="00781CDD" w:rsidP="008E7AC2">
      <w:pPr>
        <w:keepNext/>
        <w:spacing w:after="60" w:line="240" w:lineRule="auto"/>
        <w:ind w:left="1418" w:hanging="1418"/>
        <w:rPr>
          <w:rFonts w:cstheme="minorHAnsi"/>
          <w:sz w:val="24"/>
          <w:szCs w:val="24"/>
        </w:rPr>
      </w:pPr>
      <w:r>
        <w:rPr>
          <w:rFonts w:cstheme="minorHAnsi"/>
          <w:sz w:val="24"/>
          <w:szCs w:val="24"/>
        </w:rPr>
        <w:t>MF</w:t>
      </w:r>
      <w:r>
        <w:rPr>
          <w:rFonts w:cstheme="minorHAnsi"/>
          <w:sz w:val="24"/>
          <w:szCs w:val="24"/>
        </w:rPr>
        <w:tab/>
      </w:r>
      <w:r>
        <w:rPr>
          <w:rFonts w:cstheme="minorHAnsi"/>
          <w:sz w:val="24"/>
          <w:szCs w:val="24"/>
        </w:rPr>
        <w:tab/>
        <w:t xml:space="preserve">Ministerstvo financí </w:t>
      </w:r>
    </w:p>
    <w:p w14:paraId="6D773EBC" w14:textId="0C4FAEC4" w:rsidR="00BE430B" w:rsidRPr="00E9646E" w:rsidRDefault="00781CDD" w:rsidP="008E7AC2">
      <w:pPr>
        <w:keepNext/>
        <w:spacing w:after="60" w:line="240" w:lineRule="auto"/>
        <w:ind w:left="1418" w:hanging="1418"/>
        <w:rPr>
          <w:rFonts w:cstheme="minorHAnsi"/>
          <w:sz w:val="24"/>
          <w:szCs w:val="24"/>
        </w:rPr>
      </w:pPr>
      <w:r>
        <w:rPr>
          <w:rFonts w:cstheme="minorHAnsi"/>
          <w:sz w:val="24"/>
          <w:szCs w:val="24"/>
        </w:rPr>
        <w:t>MPO</w:t>
      </w:r>
      <w:r>
        <w:rPr>
          <w:rFonts w:cstheme="minorHAnsi"/>
          <w:sz w:val="24"/>
          <w:szCs w:val="24"/>
        </w:rPr>
        <w:tab/>
      </w:r>
      <w:r>
        <w:rPr>
          <w:rFonts w:cstheme="minorHAnsi"/>
          <w:sz w:val="24"/>
          <w:szCs w:val="24"/>
        </w:rPr>
        <w:tab/>
      </w:r>
      <w:r w:rsidRPr="00E9646E">
        <w:rPr>
          <w:rFonts w:cstheme="minorHAnsi"/>
          <w:sz w:val="24"/>
          <w:szCs w:val="24"/>
        </w:rPr>
        <w:t>Ministerstvo průmyslu a obchodu</w:t>
      </w:r>
    </w:p>
    <w:p w14:paraId="6D773EBD" w14:textId="084C2AF2" w:rsidR="00BE430B" w:rsidRDefault="00781CDD" w:rsidP="008E7AC2">
      <w:pPr>
        <w:keepNext/>
        <w:spacing w:after="60" w:line="240" w:lineRule="auto"/>
        <w:ind w:left="1418" w:hanging="1418"/>
        <w:rPr>
          <w:rFonts w:cstheme="minorHAnsi"/>
          <w:sz w:val="24"/>
          <w:szCs w:val="24"/>
        </w:rPr>
      </w:pPr>
      <w:r>
        <w:rPr>
          <w:rFonts w:cstheme="minorHAnsi"/>
          <w:sz w:val="24"/>
          <w:szCs w:val="24"/>
        </w:rPr>
        <w:t>MZe</w:t>
      </w:r>
      <w:r>
        <w:rPr>
          <w:rFonts w:cstheme="minorHAnsi"/>
          <w:sz w:val="24"/>
          <w:szCs w:val="24"/>
        </w:rPr>
        <w:tab/>
      </w:r>
      <w:r>
        <w:rPr>
          <w:rFonts w:cstheme="minorHAnsi"/>
          <w:sz w:val="24"/>
          <w:szCs w:val="24"/>
        </w:rPr>
        <w:tab/>
        <w:t>Ministerstvo zemědělství</w:t>
      </w:r>
    </w:p>
    <w:p w14:paraId="6D773EBE" w14:textId="57894A0A" w:rsidR="00BE430B" w:rsidRDefault="00781CDD" w:rsidP="008E7AC2">
      <w:pPr>
        <w:keepNext/>
        <w:spacing w:after="60" w:line="240" w:lineRule="auto"/>
        <w:ind w:left="1418" w:hanging="1418"/>
        <w:rPr>
          <w:rFonts w:cstheme="minorHAnsi"/>
          <w:sz w:val="24"/>
          <w:szCs w:val="24"/>
        </w:rPr>
      </w:pPr>
      <w:r>
        <w:rPr>
          <w:rFonts w:cstheme="minorHAnsi"/>
          <w:sz w:val="24"/>
          <w:szCs w:val="24"/>
        </w:rPr>
        <w:t>MŽP</w:t>
      </w:r>
      <w:r>
        <w:rPr>
          <w:rFonts w:cstheme="minorHAnsi"/>
          <w:sz w:val="24"/>
          <w:szCs w:val="24"/>
        </w:rPr>
        <w:tab/>
      </w:r>
      <w:r>
        <w:rPr>
          <w:rFonts w:cstheme="minorHAnsi"/>
          <w:sz w:val="24"/>
          <w:szCs w:val="24"/>
        </w:rPr>
        <w:tab/>
        <w:t>Ministerstvo životního prostředí</w:t>
      </w:r>
    </w:p>
    <w:p w14:paraId="6D773EC0" w14:textId="7A649CEB" w:rsidR="00215AD1" w:rsidRDefault="00781CDD" w:rsidP="008E7AC2">
      <w:pPr>
        <w:keepNext/>
        <w:spacing w:after="60" w:line="240" w:lineRule="auto"/>
        <w:ind w:left="1418" w:hanging="1418"/>
        <w:rPr>
          <w:rFonts w:cstheme="minorHAnsi"/>
          <w:sz w:val="24"/>
          <w:szCs w:val="24"/>
        </w:rPr>
      </w:pPr>
      <w:r>
        <w:rPr>
          <w:rFonts w:cstheme="minorHAnsi"/>
          <w:sz w:val="24"/>
          <w:szCs w:val="24"/>
        </w:rPr>
        <w:t>NIKM II</w:t>
      </w:r>
      <w:r>
        <w:rPr>
          <w:rFonts w:cstheme="minorHAnsi"/>
          <w:sz w:val="24"/>
          <w:szCs w:val="24"/>
        </w:rPr>
        <w:tab/>
      </w:r>
      <w:r w:rsidRPr="0056380C">
        <w:rPr>
          <w:rFonts w:cstheme="minorHAnsi"/>
          <w:i/>
          <w:sz w:val="24"/>
          <w:szCs w:val="24"/>
        </w:rPr>
        <w:tab/>
        <w:t xml:space="preserve">Národní inventarizace kontaminovaných míst II. </w:t>
      </w:r>
      <w:r w:rsidR="00BA5BDD" w:rsidRPr="0056380C">
        <w:rPr>
          <w:rFonts w:cstheme="minorHAnsi"/>
          <w:i/>
          <w:sz w:val="24"/>
          <w:szCs w:val="24"/>
        </w:rPr>
        <w:t>e</w:t>
      </w:r>
      <w:r w:rsidRPr="0056380C">
        <w:rPr>
          <w:rFonts w:cstheme="minorHAnsi"/>
          <w:i/>
          <w:sz w:val="24"/>
          <w:szCs w:val="24"/>
        </w:rPr>
        <w:t>tapa</w:t>
      </w:r>
    </w:p>
    <w:p w14:paraId="6D773EC1" w14:textId="63953B73" w:rsidR="00215AD1" w:rsidRDefault="00781CDD" w:rsidP="008E7AC2">
      <w:pPr>
        <w:keepNext/>
        <w:spacing w:after="60" w:line="240" w:lineRule="auto"/>
        <w:ind w:left="1418" w:hanging="1418"/>
        <w:rPr>
          <w:rFonts w:cstheme="minorHAnsi"/>
          <w:sz w:val="24"/>
          <w:szCs w:val="24"/>
        </w:rPr>
      </w:pPr>
      <w:r>
        <w:rPr>
          <w:rFonts w:cstheme="minorHAnsi"/>
          <w:sz w:val="24"/>
          <w:szCs w:val="24"/>
        </w:rPr>
        <w:t>NKÚ</w:t>
      </w:r>
      <w:r>
        <w:rPr>
          <w:rFonts w:cstheme="minorHAnsi"/>
          <w:sz w:val="24"/>
          <w:szCs w:val="24"/>
        </w:rPr>
        <w:tab/>
      </w:r>
      <w:r>
        <w:rPr>
          <w:rFonts w:cstheme="minorHAnsi"/>
          <w:sz w:val="24"/>
          <w:szCs w:val="24"/>
        </w:rPr>
        <w:tab/>
        <w:t>Nejvyšší kontrolní úřad</w:t>
      </w:r>
    </w:p>
    <w:p w14:paraId="6D773EC4" w14:textId="207E4F26" w:rsidR="00ED0F71" w:rsidRPr="00E40B1B" w:rsidRDefault="008143CC" w:rsidP="008E7AC2">
      <w:pPr>
        <w:keepNext/>
        <w:spacing w:after="60" w:line="240" w:lineRule="auto"/>
        <w:ind w:left="1418" w:hanging="1418"/>
        <w:rPr>
          <w:rFonts w:cstheme="minorHAnsi"/>
          <w:sz w:val="24"/>
          <w:szCs w:val="24"/>
        </w:rPr>
      </w:pPr>
      <w:r>
        <w:rPr>
          <w:rFonts w:cstheme="minorHAnsi"/>
          <w:sz w:val="24"/>
          <w:szCs w:val="24"/>
        </w:rPr>
        <w:t>S</w:t>
      </w:r>
      <w:r w:rsidR="00781CDD" w:rsidRPr="00E40B1B">
        <w:rPr>
          <w:rFonts w:cstheme="minorHAnsi"/>
          <w:sz w:val="24"/>
          <w:szCs w:val="24"/>
        </w:rPr>
        <w:t>PO</w:t>
      </w:r>
      <w:r w:rsidR="00781CDD" w:rsidRPr="00E40B1B">
        <w:rPr>
          <w:rFonts w:cstheme="minorHAnsi"/>
          <w:sz w:val="24"/>
          <w:szCs w:val="24"/>
        </w:rPr>
        <w:tab/>
      </w:r>
      <w:r w:rsidR="00781CDD" w:rsidRPr="00E40B1B">
        <w:rPr>
          <w:rFonts w:cstheme="minorHAnsi"/>
          <w:sz w:val="24"/>
          <w:szCs w:val="24"/>
        </w:rPr>
        <w:tab/>
      </w:r>
      <w:r w:rsidR="008E7AC2">
        <w:rPr>
          <w:rFonts w:cstheme="minorHAnsi"/>
          <w:sz w:val="24"/>
          <w:szCs w:val="24"/>
        </w:rPr>
        <w:t>s</w:t>
      </w:r>
      <w:r>
        <w:rPr>
          <w:rFonts w:cstheme="minorHAnsi"/>
          <w:sz w:val="24"/>
          <w:szCs w:val="24"/>
        </w:rPr>
        <w:t xml:space="preserve">tátní </w:t>
      </w:r>
      <w:r w:rsidR="00781CDD" w:rsidRPr="00E40B1B">
        <w:rPr>
          <w:rFonts w:cstheme="minorHAnsi"/>
          <w:sz w:val="24"/>
          <w:szCs w:val="24"/>
        </w:rPr>
        <w:t>příspěvková organizace</w:t>
      </w:r>
    </w:p>
    <w:p w14:paraId="1CB12949" w14:textId="00E4EE4B" w:rsidR="00BD5DA0" w:rsidRPr="00E40B1B" w:rsidRDefault="00BD5DA0" w:rsidP="008E7AC2">
      <w:pPr>
        <w:keepNext/>
        <w:spacing w:after="60" w:line="240" w:lineRule="auto"/>
        <w:ind w:left="1418" w:hanging="1418"/>
        <w:rPr>
          <w:rFonts w:cstheme="minorHAnsi"/>
          <w:sz w:val="24"/>
          <w:szCs w:val="24"/>
        </w:rPr>
      </w:pPr>
      <w:r>
        <w:rPr>
          <w:rFonts w:cstheme="minorHAnsi"/>
          <w:sz w:val="24"/>
          <w:szCs w:val="24"/>
        </w:rPr>
        <w:t>RIV</w:t>
      </w:r>
      <w:r>
        <w:rPr>
          <w:rFonts w:cstheme="minorHAnsi"/>
          <w:sz w:val="24"/>
          <w:szCs w:val="24"/>
        </w:rPr>
        <w:tab/>
      </w:r>
      <w:r>
        <w:rPr>
          <w:rFonts w:cstheme="minorHAnsi"/>
          <w:sz w:val="24"/>
          <w:szCs w:val="24"/>
        </w:rPr>
        <w:tab/>
      </w:r>
      <w:r w:rsidR="00BA5BDD">
        <w:rPr>
          <w:rFonts w:cstheme="minorHAnsi"/>
          <w:sz w:val="24"/>
          <w:szCs w:val="24"/>
        </w:rPr>
        <w:t>r</w:t>
      </w:r>
      <w:r>
        <w:rPr>
          <w:rFonts w:cstheme="minorHAnsi"/>
          <w:sz w:val="24"/>
          <w:szCs w:val="24"/>
        </w:rPr>
        <w:t>ejstřík informací o výsledcích</w:t>
      </w:r>
    </w:p>
    <w:p w14:paraId="6D773EC9" w14:textId="77777777" w:rsidR="00BE430B" w:rsidRPr="00E40B1B" w:rsidRDefault="00781CDD" w:rsidP="008E7AC2">
      <w:pPr>
        <w:keepNext/>
        <w:spacing w:after="60" w:line="240" w:lineRule="auto"/>
        <w:ind w:left="1418" w:hanging="1418"/>
        <w:rPr>
          <w:rFonts w:cstheme="minorHAnsi"/>
          <w:sz w:val="24"/>
          <w:szCs w:val="24"/>
        </w:rPr>
      </w:pPr>
      <w:proofErr w:type="spellStart"/>
      <w:r w:rsidRPr="00E40B1B">
        <w:rPr>
          <w:rFonts w:cstheme="minorHAnsi"/>
          <w:sz w:val="24"/>
          <w:szCs w:val="24"/>
        </w:rPr>
        <w:t>SpS</w:t>
      </w:r>
      <w:proofErr w:type="spellEnd"/>
      <w:r w:rsidRPr="00E40B1B">
        <w:rPr>
          <w:rFonts w:cstheme="minorHAnsi"/>
          <w:sz w:val="24"/>
          <w:szCs w:val="24"/>
        </w:rPr>
        <w:t xml:space="preserve"> MPO</w:t>
      </w:r>
      <w:r w:rsidRPr="00E40B1B">
        <w:rPr>
          <w:rFonts w:cstheme="minorHAnsi"/>
          <w:sz w:val="24"/>
          <w:szCs w:val="24"/>
        </w:rPr>
        <w:tab/>
      </w:r>
      <w:r w:rsidR="00891D65">
        <w:rPr>
          <w:rFonts w:cstheme="minorHAnsi"/>
          <w:sz w:val="24"/>
          <w:szCs w:val="24"/>
        </w:rPr>
        <w:tab/>
      </w:r>
      <w:r w:rsidRPr="00E40B1B">
        <w:rPr>
          <w:rFonts w:cstheme="minorHAnsi"/>
          <w:sz w:val="24"/>
          <w:szCs w:val="24"/>
        </w:rPr>
        <w:t>Správa služeb Ministerstva průmyslu a obchodu</w:t>
      </w:r>
    </w:p>
    <w:p w14:paraId="6D773ECA" w14:textId="4C77DC9B" w:rsidR="00BE430B" w:rsidRDefault="00781CDD" w:rsidP="008E7AC2">
      <w:pPr>
        <w:keepNext/>
        <w:spacing w:after="60" w:line="240" w:lineRule="auto"/>
        <w:ind w:left="1418" w:hanging="1418"/>
        <w:rPr>
          <w:rFonts w:cstheme="minorHAnsi"/>
          <w:sz w:val="24"/>
          <w:szCs w:val="24"/>
        </w:rPr>
      </w:pPr>
      <w:r>
        <w:rPr>
          <w:rFonts w:cstheme="minorHAnsi"/>
          <w:sz w:val="24"/>
          <w:szCs w:val="24"/>
        </w:rPr>
        <w:t>ÚNMZ</w:t>
      </w:r>
      <w:r w:rsidRPr="00E40B1B">
        <w:rPr>
          <w:rFonts w:cstheme="minorHAnsi"/>
          <w:sz w:val="24"/>
          <w:szCs w:val="24"/>
        </w:rPr>
        <w:tab/>
      </w:r>
      <w:r>
        <w:rPr>
          <w:rFonts w:cstheme="minorHAnsi"/>
          <w:sz w:val="24"/>
          <w:szCs w:val="24"/>
        </w:rPr>
        <w:tab/>
      </w:r>
      <w:r w:rsidRPr="00EF571A">
        <w:rPr>
          <w:rFonts w:cstheme="minorHAnsi"/>
          <w:sz w:val="24"/>
          <w:szCs w:val="24"/>
        </w:rPr>
        <w:t>Úřad pro technickou normalizaci, metrologii a státní zkušebnictví</w:t>
      </w:r>
    </w:p>
    <w:p w14:paraId="6D773ECB" w14:textId="7B887C2D" w:rsidR="00563DD8" w:rsidRPr="00E40B1B" w:rsidRDefault="00781CDD" w:rsidP="008E7AC2">
      <w:pPr>
        <w:keepNext/>
        <w:spacing w:after="60" w:line="240" w:lineRule="auto"/>
        <w:ind w:left="1418" w:hanging="1418"/>
        <w:rPr>
          <w:rFonts w:cstheme="minorHAnsi"/>
          <w:sz w:val="24"/>
          <w:szCs w:val="24"/>
        </w:rPr>
      </w:pPr>
      <w:r>
        <w:rPr>
          <w:rFonts w:cstheme="minorHAnsi"/>
          <w:sz w:val="24"/>
          <w:szCs w:val="24"/>
        </w:rPr>
        <w:t>ÚZEI</w:t>
      </w:r>
      <w:r>
        <w:rPr>
          <w:rFonts w:cstheme="minorHAnsi"/>
          <w:sz w:val="24"/>
          <w:szCs w:val="24"/>
        </w:rPr>
        <w:tab/>
      </w:r>
      <w:r>
        <w:rPr>
          <w:rFonts w:cstheme="minorHAnsi"/>
          <w:sz w:val="24"/>
          <w:szCs w:val="24"/>
        </w:rPr>
        <w:tab/>
      </w:r>
      <w:r w:rsidRPr="00E40B1B">
        <w:rPr>
          <w:rFonts w:cstheme="minorHAnsi"/>
          <w:sz w:val="24"/>
          <w:szCs w:val="24"/>
        </w:rPr>
        <w:t>Ústav zemědělské ekonomiky a informací</w:t>
      </w:r>
    </w:p>
    <w:p w14:paraId="3F585C2B" w14:textId="5B2FC7FC" w:rsidR="00D537F5" w:rsidRPr="00E40B1B" w:rsidRDefault="00D537F5" w:rsidP="008E7AC2">
      <w:pPr>
        <w:keepNext/>
        <w:spacing w:after="60" w:line="240" w:lineRule="auto"/>
        <w:ind w:left="1418" w:hanging="1418"/>
        <w:rPr>
          <w:rFonts w:cstheme="minorHAnsi"/>
          <w:sz w:val="24"/>
          <w:szCs w:val="24"/>
        </w:rPr>
      </w:pPr>
      <w:r>
        <w:rPr>
          <w:rFonts w:cstheme="minorHAnsi"/>
          <w:sz w:val="24"/>
          <w:szCs w:val="24"/>
        </w:rPr>
        <w:t>VZ</w:t>
      </w:r>
      <w:r>
        <w:rPr>
          <w:rFonts w:cstheme="minorHAnsi"/>
          <w:sz w:val="24"/>
          <w:szCs w:val="24"/>
        </w:rPr>
        <w:tab/>
      </w:r>
      <w:r>
        <w:rPr>
          <w:rFonts w:cstheme="minorHAnsi"/>
          <w:sz w:val="24"/>
          <w:szCs w:val="24"/>
        </w:rPr>
        <w:tab/>
        <w:t>veřejná zakázka</w:t>
      </w:r>
    </w:p>
    <w:p w14:paraId="6D773ECC" w14:textId="5317E8D6" w:rsidR="000A36B7" w:rsidRDefault="00781CDD" w:rsidP="008E7AC2">
      <w:pPr>
        <w:keepNext/>
        <w:spacing w:after="60" w:line="240" w:lineRule="auto"/>
        <w:ind w:left="1418" w:hanging="1418"/>
        <w:rPr>
          <w:rFonts w:cstheme="minorHAnsi"/>
          <w:sz w:val="24"/>
          <w:szCs w:val="24"/>
        </w:rPr>
      </w:pPr>
      <w:r>
        <w:rPr>
          <w:rFonts w:cstheme="minorHAnsi"/>
          <w:sz w:val="24"/>
          <w:szCs w:val="24"/>
        </w:rPr>
        <w:t>VZMR</w:t>
      </w:r>
      <w:r>
        <w:rPr>
          <w:rFonts w:cstheme="minorHAnsi"/>
          <w:sz w:val="24"/>
          <w:szCs w:val="24"/>
        </w:rPr>
        <w:tab/>
      </w:r>
      <w:r>
        <w:rPr>
          <w:rFonts w:cstheme="minorHAnsi"/>
          <w:sz w:val="24"/>
          <w:szCs w:val="24"/>
        </w:rPr>
        <w:tab/>
        <w:t>veřejná zakázka malého rozsahu</w:t>
      </w:r>
    </w:p>
    <w:p w14:paraId="6D773ECD" w14:textId="574C2EDC" w:rsidR="00251927" w:rsidRDefault="00781CDD" w:rsidP="008E7AC2">
      <w:pPr>
        <w:keepNext/>
        <w:spacing w:after="60" w:line="240" w:lineRule="auto"/>
        <w:ind w:left="1418" w:hanging="1418"/>
        <w:rPr>
          <w:rFonts w:ascii="Calibri" w:hAnsi="Calibri"/>
          <w:color w:val="000000"/>
          <w:sz w:val="24"/>
          <w:szCs w:val="24"/>
        </w:rPr>
      </w:pPr>
      <w:r w:rsidRPr="00E40B1B">
        <w:rPr>
          <w:rFonts w:eastAsia="Calibri" w:cstheme="minorHAnsi"/>
          <w:sz w:val="24"/>
          <w:szCs w:val="24"/>
        </w:rPr>
        <w:t>ZS MZe</w:t>
      </w:r>
      <w:r w:rsidR="00650891">
        <w:rPr>
          <w:rFonts w:eastAsia="Calibri" w:cstheme="minorHAnsi"/>
          <w:sz w:val="24"/>
          <w:szCs w:val="24"/>
        </w:rPr>
        <w:tab/>
      </w:r>
      <w:r w:rsidR="00650891">
        <w:rPr>
          <w:rFonts w:eastAsia="Calibri" w:cstheme="minorHAnsi"/>
          <w:sz w:val="24"/>
          <w:szCs w:val="24"/>
        </w:rPr>
        <w:tab/>
      </w:r>
      <w:r w:rsidR="00650891" w:rsidRPr="004B4763">
        <w:rPr>
          <w:rFonts w:ascii="Calibri" w:hAnsi="Calibri"/>
          <w:color w:val="000000"/>
          <w:sz w:val="24"/>
          <w:szCs w:val="24"/>
        </w:rPr>
        <w:t xml:space="preserve">Zařízení služeb </w:t>
      </w:r>
      <w:proofErr w:type="spellStart"/>
      <w:r w:rsidR="00650891" w:rsidRPr="004B4763">
        <w:rPr>
          <w:rFonts w:ascii="Calibri" w:hAnsi="Calibri"/>
          <w:color w:val="000000"/>
          <w:sz w:val="24"/>
          <w:szCs w:val="24"/>
        </w:rPr>
        <w:t>MZe</w:t>
      </w:r>
      <w:proofErr w:type="spellEnd"/>
      <w:r w:rsidR="00650891" w:rsidRPr="004B4763">
        <w:rPr>
          <w:rFonts w:ascii="Calibri" w:hAnsi="Calibri"/>
          <w:color w:val="000000"/>
          <w:sz w:val="24"/>
          <w:szCs w:val="24"/>
        </w:rPr>
        <w:t xml:space="preserve"> </w:t>
      </w:r>
      <w:proofErr w:type="spellStart"/>
      <w:r w:rsidR="00650891" w:rsidRPr="004B4763">
        <w:rPr>
          <w:rFonts w:ascii="Calibri" w:hAnsi="Calibri"/>
          <w:color w:val="000000"/>
          <w:sz w:val="24"/>
          <w:szCs w:val="24"/>
        </w:rPr>
        <w:t>s.p.o</w:t>
      </w:r>
      <w:proofErr w:type="spellEnd"/>
      <w:r w:rsidR="00650891" w:rsidRPr="004B4763">
        <w:rPr>
          <w:rFonts w:ascii="Calibri" w:hAnsi="Calibri"/>
          <w:color w:val="000000"/>
          <w:sz w:val="24"/>
          <w:szCs w:val="24"/>
        </w:rPr>
        <w:t>.</w:t>
      </w:r>
    </w:p>
    <w:p w14:paraId="3163E189" w14:textId="5FD00368" w:rsidR="00506CE7" w:rsidRDefault="00506CE7" w:rsidP="00E40B1B">
      <w:pPr>
        <w:spacing w:after="0" w:line="240" w:lineRule="auto"/>
        <w:jc w:val="both"/>
        <w:rPr>
          <w:rFonts w:ascii="Calibri" w:hAnsi="Calibri"/>
          <w:color w:val="000000"/>
          <w:sz w:val="24"/>
          <w:szCs w:val="24"/>
        </w:rPr>
      </w:pPr>
    </w:p>
    <w:p w14:paraId="4EDB3C04" w14:textId="4B9A34F4" w:rsidR="00D719A2" w:rsidRPr="008433E7" w:rsidRDefault="00D719A2" w:rsidP="00E40B1B">
      <w:pPr>
        <w:spacing w:after="0" w:line="240" w:lineRule="auto"/>
        <w:jc w:val="both"/>
        <w:rPr>
          <w:rFonts w:ascii="Calibri" w:hAnsi="Calibri"/>
          <w:color w:val="000000"/>
          <w:sz w:val="24"/>
          <w:szCs w:val="24"/>
        </w:rPr>
      </w:pPr>
      <w:r>
        <w:rPr>
          <w:rFonts w:eastAsia="Calibri" w:cstheme="minorHAnsi"/>
          <w:sz w:val="24"/>
          <w:szCs w:val="24"/>
        </w:rPr>
        <w:br w:type="page"/>
      </w:r>
    </w:p>
    <w:p w14:paraId="6D773ECF" w14:textId="77777777" w:rsidR="00E6424B" w:rsidRPr="008E7AC2" w:rsidRDefault="00781CDD" w:rsidP="00EC130E">
      <w:pPr>
        <w:spacing w:after="0" w:line="240" w:lineRule="auto"/>
        <w:jc w:val="right"/>
        <w:rPr>
          <w:rFonts w:eastAsia="Calibri" w:cstheme="minorHAnsi"/>
          <w:b/>
          <w:sz w:val="24"/>
          <w:szCs w:val="24"/>
        </w:rPr>
      </w:pPr>
      <w:r w:rsidRPr="008E7AC2">
        <w:rPr>
          <w:rFonts w:eastAsia="Calibri" w:cstheme="minorHAnsi"/>
          <w:b/>
          <w:sz w:val="24"/>
          <w:szCs w:val="24"/>
        </w:rPr>
        <w:lastRenderedPageBreak/>
        <w:t>Příloha č. 1</w:t>
      </w:r>
    </w:p>
    <w:p w14:paraId="6D773ED0" w14:textId="77777777" w:rsidR="00E6424B" w:rsidRPr="008E7AC2" w:rsidRDefault="00E6424B" w:rsidP="00EC130E">
      <w:pPr>
        <w:spacing w:after="0" w:line="240" w:lineRule="auto"/>
        <w:jc w:val="both"/>
        <w:rPr>
          <w:rFonts w:eastAsia="Calibri" w:cstheme="minorHAnsi"/>
          <w:b/>
          <w:sz w:val="24"/>
          <w:szCs w:val="24"/>
        </w:rPr>
      </w:pPr>
    </w:p>
    <w:p w14:paraId="6D773ED1" w14:textId="14405B41" w:rsidR="006A0890" w:rsidRPr="008E7AC2" w:rsidRDefault="00781CDD" w:rsidP="00EC130E">
      <w:pPr>
        <w:spacing w:after="0" w:line="240" w:lineRule="auto"/>
        <w:jc w:val="both"/>
        <w:rPr>
          <w:rFonts w:eastAsia="Calibri" w:cstheme="minorHAnsi"/>
          <w:b/>
          <w:sz w:val="24"/>
          <w:szCs w:val="24"/>
        </w:rPr>
      </w:pPr>
      <w:r w:rsidRPr="008E7AC2">
        <w:rPr>
          <w:rFonts w:eastAsia="Calibri" w:cstheme="minorHAnsi"/>
          <w:b/>
          <w:sz w:val="24"/>
          <w:szCs w:val="24"/>
        </w:rPr>
        <w:t xml:space="preserve">Vývoj nákladů </w:t>
      </w:r>
      <w:r w:rsidR="005E14A0" w:rsidRPr="008E7AC2">
        <w:rPr>
          <w:rFonts w:eastAsia="Calibri" w:cstheme="minorHAnsi"/>
          <w:b/>
          <w:sz w:val="24"/>
          <w:szCs w:val="24"/>
        </w:rPr>
        <w:t>S</w:t>
      </w:r>
      <w:r w:rsidRPr="008E7AC2">
        <w:rPr>
          <w:rFonts w:eastAsia="Calibri" w:cstheme="minorHAnsi"/>
          <w:b/>
          <w:sz w:val="24"/>
          <w:szCs w:val="24"/>
        </w:rPr>
        <w:t>PO a jejich příspěvku na provoz</w:t>
      </w:r>
    </w:p>
    <w:p w14:paraId="6D773ED2" w14:textId="77777777" w:rsidR="006A0890" w:rsidRDefault="006A0890" w:rsidP="00EC130E">
      <w:pPr>
        <w:spacing w:after="0" w:line="240" w:lineRule="auto"/>
        <w:jc w:val="both"/>
        <w:rPr>
          <w:sz w:val="24"/>
          <w:szCs w:val="24"/>
        </w:rPr>
      </w:pPr>
    </w:p>
    <w:p w14:paraId="6D773ED3" w14:textId="37E4AAD7" w:rsidR="006A0890" w:rsidRDefault="00781CDD" w:rsidP="00EC130E">
      <w:pPr>
        <w:spacing w:after="0" w:line="240" w:lineRule="auto"/>
        <w:jc w:val="both"/>
        <w:rPr>
          <w:sz w:val="24"/>
          <w:szCs w:val="24"/>
        </w:rPr>
      </w:pPr>
      <w:r w:rsidRPr="002F00F6">
        <w:rPr>
          <w:sz w:val="24"/>
          <w:szCs w:val="24"/>
        </w:rPr>
        <w:t xml:space="preserve">Náklady </w:t>
      </w:r>
      <w:r w:rsidR="00735C70">
        <w:rPr>
          <w:sz w:val="24"/>
          <w:szCs w:val="24"/>
        </w:rPr>
        <w:t>SPO</w:t>
      </w:r>
      <w:r w:rsidRPr="002F00F6">
        <w:rPr>
          <w:sz w:val="24"/>
          <w:szCs w:val="24"/>
        </w:rPr>
        <w:t xml:space="preserve"> na úrovni systému</w:t>
      </w:r>
      <w:r w:rsidR="00FD3B46">
        <w:rPr>
          <w:rStyle w:val="Znakapoznpodarou"/>
          <w:sz w:val="24"/>
          <w:szCs w:val="24"/>
        </w:rPr>
        <w:footnoteReference w:id="32"/>
      </w:r>
      <w:r w:rsidRPr="002F00F6">
        <w:rPr>
          <w:sz w:val="24"/>
          <w:szCs w:val="24"/>
        </w:rPr>
        <w:t xml:space="preserve"> na hlavní činnost v roce 2021 dosáhly </w:t>
      </w:r>
      <w:r w:rsidR="00735C70">
        <w:rPr>
          <w:sz w:val="24"/>
          <w:szCs w:val="24"/>
        </w:rPr>
        <w:t>5 933</w:t>
      </w:r>
      <w:r w:rsidRPr="002F00F6">
        <w:rPr>
          <w:sz w:val="24"/>
          <w:szCs w:val="24"/>
        </w:rPr>
        <w:t xml:space="preserve"> mil. Kč, což bylo o </w:t>
      </w:r>
      <w:r w:rsidR="00735C70">
        <w:rPr>
          <w:sz w:val="24"/>
          <w:szCs w:val="24"/>
        </w:rPr>
        <w:t>476,5</w:t>
      </w:r>
      <w:r w:rsidR="002F00F6" w:rsidRPr="002F00F6">
        <w:rPr>
          <w:sz w:val="24"/>
          <w:szCs w:val="24"/>
        </w:rPr>
        <w:t xml:space="preserve"> </w:t>
      </w:r>
      <w:r w:rsidRPr="002F00F6">
        <w:rPr>
          <w:sz w:val="24"/>
          <w:szCs w:val="24"/>
        </w:rPr>
        <w:t xml:space="preserve">mil. Kč, tj. o </w:t>
      </w:r>
      <w:r w:rsidR="002F00F6" w:rsidRPr="002F00F6">
        <w:rPr>
          <w:sz w:val="24"/>
          <w:szCs w:val="24"/>
        </w:rPr>
        <w:t>8,</w:t>
      </w:r>
      <w:r w:rsidR="00735C70">
        <w:rPr>
          <w:sz w:val="24"/>
          <w:szCs w:val="24"/>
        </w:rPr>
        <w:t>7</w:t>
      </w:r>
      <w:r w:rsidRPr="002F00F6">
        <w:rPr>
          <w:sz w:val="24"/>
          <w:szCs w:val="24"/>
        </w:rPr>
        <w:t xml:space="preserve"> </w:t>
      </w:r>
      <w:r w:rsidRPr="002F00F6">
        <w:rPr>
          <w:rFonts w:cstheme="minorHAnsi"/>
          <w:sz w:val="24"/>
          <w:szCs w:val="24"/>
        </w:rPr>
        <w:t>%</w:t>
      </w:r>
      <w:r w:rsidR="00CA1B18">
        <w:rPr>
          <w:rFonts w:cstheme="minorHAnsi"/>
          <w:sz w:val="24"/>
          <w:szCs w:val="24"/>
        </w:rPr>
        <w:t>,</w:t>
      </w:r>
      <w:r w:rsidRPr="002F00F6">
        <w:rPr>
          <w:sz w:val="24"/>
          <w:szCs w:val="24"/>
        </w:rPr>
        <w:t xml:space="preserve"> více než v roce 2019. K růstu celkových nákladů docházelo každoročně.</w:t>
      </w:r>
      <w:r w:rsidRPr="00B917B1">
        <w:rPr>
          <w:sz w:val="24"/>
          <w:szCs w:val="24"/>
        </w:rPr>
        <w:t xml:space="preserve"> </w:t>
      </w:r>
    </w:p>
    <w:p w14:paraId="5A7AD810" w14:textId="77777777" w:rsidR="008E7AC2" w:rsidRPr="00B917B1" w:rsidRDefault="008E7AC2" w:rsidP="00EC130E">
      <w:pPr>
        <w:spacing w:after="0" w:line="240" w:lineRule="auto"/>
        <w:jc w:val="both"/>
        <w:rPr>
          <w:sz w:val="24"/>
          <w:szCs w:val="24"/>
        </w:rPr>
      </w:pPr>
    </w:p>
    <w:p w14:paraId="6D773ED4" w14:textId="77777777" w:rsidR="006A0890" w:rsidRDefault="00781CDD" w:rsidP="00EC130E">
      <w:pPr>
        <w:spacing w:after="0" w:line="240" w:lineRule="auto"/>
        <w:jc w:val="both"/>
        <w:rPr>
          <w:sz w:val="24"/>
          <w:szCs w:val="24"/>
        </w:rPr>
      </w:pPr>
      <w:r w:rsidRPr="00B917B1">
        <w:rPr>
          <w:sz w:val="24"/>
          <w:szCs w:val="24"/>
        </w:rPr>
        <w:t>Náklady kontrolovaných příspěvkových organizací (CENIA, ČAS, SpS MPO a ÚZEI) na hlavní činnost v roce 2021 činily 595,8 mil. Kč a vzrostly oproti roku 201</w:t>
      </w:r>
      <w:r>
        <w:rPr>
          <w:sz w:val="24"/>
          <w:szCs w:val="24"/>
        </w:rPr>
        <w:t>9</w:t>
      </w:r>
      <w:r w:rsidRPr="00B917B1">
        <w:rPr>
          <w:sz w:val="24"/>
          <w:szCs w:val="24"/>
        </w:rPr>
        <w:t xml:space="preserve"> o </w:t>
      </w:r>
      <w:r w:rsidR="00BE1FC5">
        <w:rPr>
          <w:sz w:val="24"/>
          <w:szCs w:val="24"/>
        </w:rPr>
        <w:t>77,0</w:t>
      </w:r>
      <w:r w:rsidRPr="00B917B1">
        <w:rPr>
          <w:sz w:val="24"/>
          <w:szCs w:val="24"/>
        </w:rPr>
        <w:t xml:space="preserve"> mil. Kč, tj. o </w:t>
      </w:r>
      <w:r w:rsidR="00BE1FC5">
        <w:rPr>
          <w:sz w:val="24"/>
          <w:szCs w:val="24"/>
        </w:rPr>
        <w:t xml:space="preserve">14,8 </w:t>
      </w:r>
      <w:r w:rsidR="00BE1FC5">
        <w:rPr>
          <w:rFonts w:cstheme="minorHAnsi"/>
          <w:sz w:val="24"/>
          <w:szCs w:val="24"/>
        </w:rPr>
        <w:t>%</w:t>
      </w:r>
      <w:r>
        <w:rPr>
          <w:sz w:val="24"/>
          <w:szCs w:val="24"/>
        </w:rPr>
        <w:t>.</w:t>
      </w:r>
      <w:r w:rsidRPr="00B917B1">
        <w:rPr>
          <w:sz w:val="24"/>
          <w:szCs w:val="24"/>
        </w:rPr>
        <w:t xml:space="preserve"> K růstu nákladů docházelo každoročně.</w:t>
      </w:r>
    </w:p>
    <w:p w14:paraId="6D773ED5" w14:textId="77777777" w:rsidR="006A0890" w:rsidRPr="005D18CC" w:rsidRDefault="006A0890" w:rsidP="00EC130E">
      <w:pPr>
        <w:spacing w:after="0" w:line="240" w:lineRule="auto"/>
      </w:pPr>
    </w:p>
    <w:p w14:paraId="6D773ED6" w14:textId="4FD286BA" w:rsidR="006A0890" w:rsidRPr="008E7AC2" w:rsidRDefault="00781CDD" w:rsidP="008E7AC2">
      <w:pPr>
        <w:tabs>
          <w:tab w:val="right" w:pos="9072"/>
        </w:tabs>
        <w:spacing w:after="40" w:line="240" w:lineRule="auto"/>
        <w:rPr>
          <w:b/>
        </w:rPr>
      </w:pPr>
      <w:r w:rsidRPr="008E7AC2">
        <w:rPr>
          <w:b/>
          <w:sz w:val="24"/>
        </w:rPr>
        <w:t xml:space="preserve">Tabulka č. </w:t>
      </w:r>
      <w:r w:rsidR="002C76F1" w:rsidRPr="008E7AC2">
        <w:rPr>
          <w:b/>
          <w:sz w:val="24"/>
        </w:rPr>
        <w:fldChar w:fldCharType="begin"/>
      </w:r>
      <w:r w:rsidR="002C76F1" w:rsidRPr="008E7AC2">
        <w:rPr>
          <w:b/>
          <w:sz w:val="24"/>
        </w:rPr>
        <w:instrText xml:space="preserve"> SEQ tabulka_č. \* ARABIC </w:instrText>
      </w:r>
      <w:r w:rsidR="002C76F1" w:rsidRPr="008E7AC2">
        <w:rPr>
          <w:b/>
          <w:sz w:val="24"/>
        </w:rPr>
        <w:fldChar w:fldCharType="separate"/>
      </w:r>
      <w:r w:rsidR="00A170DB">
        <w:rPr>
          <w:b/>
          <w:noProof/>
          <w:sz w:val="24"/>
        </w:rPr>
        <w:t>1</w:t>
      </w:r>
      <w:r w:rsidR="002C76F1" w:rsidRPr="008E7AC2">
        <w:rPr>
          <w:b/>
          <w:noProof/>
          <w:sz w:val="24"/>
        </w:rPr>
        <w:fldChar w:fldCharType="end"/>
      </w:r>
      <w:r w:rsidR="00BA5BDD">
        <w:rPr>
          <w:b/>
          <w:noProof/>
          <w:sz w:val="24"/>
        </w:rPr>
        <w:t>:</w:t>
      </w:r>
      <w:r w:rsidRPr="008E7AC2">
        <w:rPr>
          <w:b/>
          <w:sz w:val="24"/>
        </w:rPr>
        <w:t xml:space="preserve"> Vývoj nákladů na hlavní činnost </w:t>
      </w:r>
      <w:r w:rsidRPr="008E7AC2">
        <w:rPr>
          <w:b/>
          <w:sz w:val="24"/>
        </w:rPr>
        <w:tab/>
        <w:t>(v mil. Kč)</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9"/>
        <w:gridCol w:w="1019"/>
        <w:gridCol w:w="1020"/>
        <w:gridCol w:w="1020"/>
        <w:gridCol w:w="1416"/>
        <w:gridCol w:w="1416"/>
      </w:tblGrid>
      <w:tr w:rsidR="009D409F" w14:paraId="6D773EDD" w14:textId="77777777" w:rsidTr="009D409F">
        <w:trPr>
          <w:trHeight w:val="255"/>
        </w:trPr>
        <w:tc>
          <w:tcPr>
            <w:tcW w:w="1742" w:type="pct"/>
            <w:shd w:val="clear" w:color="auto" w:fill="E5F1FF"/>
            <w:noWrap/>
            <w:vAlign w:val="center"/>
            <w:hideMark/>
          </w:tcPr>
          <w:p w14:paraId="6D773ED7" w14:textId="77777777" w:rsidR="00C0757B" w:rsidRPr="009D409F" w:rsidRDefault="00781CDD" w:rsidP="009D409F">
            <w:pPr>
              <w:spacing w:after="0" w:line="240" w:lineRule="auto"/>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Náklady</w:t>
            </w:r>
          </w:p>
        </w:tc>
        <w:tc>
          <w:tcPr>
            <w:tcW w:w="564" w:type="pct"/>
            <w:shd w:val="clear" w:color="auto" w:fill="E5F1FF"/>
            <w:noWrap/>
            <w:vAlign w:val="center"/>
            <w:hideMark/>
          </w:tcPr>
          <w:p w14:paraId="6D773ED8" w14:textId="77777777" w:rsidR="00C0757B" w:rsidRPr="009D409F" w:rsidRDefault="00781CDD" w:rsidP="009D409F">
            <w:pPr>
              <w:spacing w:after="0" w:line="240" w:lineRule="auto"/>
              <w:jc w:val="center"/>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2019</w:t>
            </w:r>
          </w:p>
        </w:tc>
        <w:tc>
          <w:tcPr>
            <w:tcW w:w="564" w:type="pct"/>
            <w:shd w:val="clear" w:color="auto" w:fill="E5F1FF"/>
            <w:noWrap/>
            <w:vAlign w:val="center"/>
            <w:hideMark/>
          </w:tcPr>
          <w:p w14:paraId="6D773ED9" w14:textId="77777777" w:rsidR="00C0757B" w:rsidRPr="009D409F" w:rsidRDefault="00781CDD" w:rsidP="009D409F">
            <w:pPr>
              <w:spacing w:after="0" w:line="240" w:lineRule="auto"/>
              <w:jc w:val="center"/>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2020</w:t>
            </w:r>
          </w:p>
        </w:tc>
        <w:tc>
          <w:tcPr>
            <w:tcW w:w="564" w:type="pct"/>
            <w:shd w:val="clear" w:color="auto" w:fill="E5F1FF"/>
            <w:noWrap/>
            <w:vAlign w:val="center"/>
            <w:hideMark/>
          </w:tcPr>
          <w:p w14:paraId="6D773EDA" w14:textId="77777777" w:rsidR="00C0757B" w:rsidRPr="009D409F" w:rsidRDefault="00781CDD" w:rsidP="009D409F">
            <w:pPr>
              <w:spacing w:after="0" w:line="240" w:lineRule="auto"/>
              <w:jc w:val="center"/>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2021</w:t>
            </w:r>
          </w:p>
        </w:tc>
        <w:tc>
          <w:tcPr>
            <w:tcW w:w="783" w:type="pct"/>
            <w:shd w:val="clear" w:color="auto" w:fill="E5F1FF"/>
            <w:noWrap/>
            <w:vAlign w:val="center"/>
            <w:hideMark/>
          </w:tcPr>
          <w:p w14:paraId="6D773EDB" w14:textId="56C731B6" w:rsidR="00C0757B" w:rsidRPr="009D409F" w:rsidRDefault="00781CDD" w:rsidP="009D409F">
            <w:pPr>
              <w:spacing w:after="0" w:line="240" w:lineRule="auto"/>
              <w:jc w:val="center"/>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2021</w:t>
            </w:r>
            <w:r w:rsidR="000C1384">
              <w:rPr>
                <w:rFonts w:ascii="Calibri" w:eastAsia="Times New Roman" w:hAnsi="Calibri" w:cs="Calibri"/>
                <w:b/>
                <w:color w:val="000000" w:themeColor="text1"/>
                <w:sz w:val="20"/>
                <w:szCs w:val="20"/>
                <w:lang w:eastAsia="cs-CZ"/>
              </w:rPr>
              <w:t>–</w:t>
            </w:r>
            <w:r w:rsidRPr="009D409F">
              <w:rPr>
                <w:rFonts w:eastAsia="Times New Roman" w:cstheme="minorHAnsi"/>
                <w:b/>
                <w:color w:val="000000" w:themeColor="text1"/>
                <w:sz w:val="20"/>
                <w:szCs w:val="20"/>
                <w:lang w:eastAsia="cs-CZ"/>
              </w:rPr>
              <w:t>201</w:t>
            </w:r>
            <w:r w:rsidR="00413F03" w:rsidRPr="009D409F">
              <w:rPr>
                <w:rFonts w:eastAsia="Times New Roman" w:cstheme="minorHAnsi"/>
                <w:b/>
                <w:color w:val="000000" w:themeColor="text1"/>
                <w:sz w:val="20"/>
                <w:szCs w:val="20"/>
                <w:lang w:eastAsia="cs-CZ"/>
              </w:rPr>
              <w:t>9</w:t>
            </w:r>
          </w:p>
        </w:tc>
        <w:tc>
          <w:tcPr>
            <w:tcW w:w="783" w:type="pct"/>
            <w:shd w:val="clear" w:color="auto" w:fill="E5F1FF"/>
            <w:noWrap/>
            <w:vAlign w:val="center"/>
            <w:hideMark/>
          </w:tcPr>
          <w:p w14:paraId="6D773EDC" w14:textId="77777777" w:rsidR="00C0757B" w:rsidRPr="009D409F" w:rsidRDefault="00781CDD" w:rsidP="009D409F">
            <w:pPr>
              <w:spacing w:after="0" w:line="240" w:lineRule="auto"/>
              <w:jc w:val="center"/>
              <w:rPr>
                <w:rFonts w:eastAsia="Times New Roman" w:cstheme="minorHAnsi"/>
                <w:b/>
                <w:color w:val="000000" w:themeColor="text1"/>
                <w:sz w:val="20"/>
                <w:szCs w:val="20"/>
                <w:lang w:eastAsia="cs-CZ"/>
              </w:rPr>
            </w:pPr>
            <w:r w:rsidRPr="009D409F">
              <w:rPr>
                <w:rFonts w:eastAsia="Times New Roman" w:cstheme="minorHAnsi"/>
                <w:b/>
                <w:color w:val="000000" w:themeColor="text1"/>
                <w:sz w:val="20"/>
                <w:szCs w:val="20"/>
                <w:lang w:eastAsia="cs-CZ"/>
              </w:rPr>
              <w:t>2021/201</w:t>
            </w:r>
            <w:r w:rsidR="00413F03" w:rsidRPr="009D409F">
              <w:rPr>
                <w:rFonts w:eastAsia="Times New Roman" w:cstheme="minorHAnsi"/>
                <w:b/>
                <w:color w:val="000000" w:themeColor="text1"/>
                <w:sz w:val="20"/>
                <w:szCs w:val="20"/>
                <w:lang w:eastAsia="cs-CZ"/>
              </w:rPr>
              <w:t>9</w:t>
            </w:r>
          </w:p>
        </w:tc>
      </w:tr>
      <w:tr w:rsidR="009D409F" w14:paraId="6D773EE4" w14:textId="77777777" w:rsidTr="009D409F">
        <w:trPr>
          <w:trHeight w:val="255"/>
        </w:trPr>
        <w:tc>
          <w:tcPr>
            <w:tcW w:w="1742" w:type="pct"/>
            <w:shd w:val="clear" w:color="auto" w:fill="auto"/>
            <w:noWrap/>
            <w:vAlign w:val="center"/>
            <w:hideMark/>
          </w:tcPr>
          <w:p w14:paraId="6D773EDE" w14:textId="60A3267E" w:rsidR="00C0757B" w:rsidRPr="005D18CC" w:rsidRDefault="005E14A0" w:rsidP="009D409F">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S</w:t>
            </w:r>
            <w:r w:rsidR="00781CDD" w:rsidRPr="005D18CC">
              <w:rPr>
                <w:rFonts w:eastAsia="Times New Roman" w:cstheme="minorHAnsi"/>
                <w:color w:val="000000"/>
                <w:sz w:val="20"/>
                <w:szCs w:val="20"/>
                <w:lang w:eastAsia="cs-CZ"/>
              </w:rPr>
              <w:t>PO</w:t>
            </w:r>
            <w:r w:rsidR="00781CDD">
              <w:rPr>
                <w:rFonts w:eastAsia="Times New Roman" w:cstheme="minorHAnsi"/>
                <w:color w:val="000000"/>
                <w:sz w:val="20"/>
                <w:szCs w:val="20"/>
                <w:lang w:eastAsia="cs-CZ"/>
              </w:rPr>
              <w:t xml:space="preserve"> na úrovni systému</w:t>
            </w:r>
          </w:p>
        </w:tc>
        <w:tc>
          <w:tcPr>
            <w:tcW w:w="564" w:type="pct"/>
            <w:shd w:val="clear" w:color="auto" w:fill="auto"/>
            <w:noWrap/>
            <w:vAlign w:val="center"/>
          </w:tcPr>
          <w:p w14:paraId="6D773EDF" w14:textId="0EBF84C9" w:rsidR="00C0757B" w:rsidRPr="005D18CC" w:rsidRDefault="006A0BF6" w:rsidP="009D409F">
            <w:pPr>
              <w:spacing w:after="0" w:line="240" w:lineRule="auto"/>
              <w:ind w:right="113"/>
              <w:jc w:val="right"/>
              <w:rPr>
                <w:rFonts w:eastAsia="Times New Roman" w:cstheme="minorHAnsi"/>
                <w:color w:val="000000"/>
                <w:sz w:val="20"/>
                <w:szCs w:val="20"/>
                <w:lang w:eastAsia="cs-CZ"/>
              </w:rPr>
            </w:pPr>
            <w:r w:rsidRPr="006A0BF6">
              <w:rPr>
                <w:rFonts w:eastAsia="Times New Roman" w:cstheme="minorHAnsi"/>
                <w:color w:val="000000"/>
                <w:sz w:val="20"/>
                <w:szCs w:val="20"/>
                <w:lang w:eastAsia="cs-CZ"/>
              </w:rPr>
              <w:t>5</w:t>
            </w:r>
            <w:r>
              <w:rPr>
                <w:rFonts w:eastAsia="Times New Roman" w:cstheme="minorHAnsi"/>
                <w:color w:val="000000"/>
                <w:sz w:val="20"/>
                <w:szCs w:val="20"/>
                <w:lang w:eastAsia="cs-CZ"/>
              </w:rPr>
              <w:t> </w:t>
            </w:r>
            <w:r w:rsidRPr="006A0BF6">
              <w:rPr>
                <w:rFonts w:eastAsia="Times New Roman" w:cstheme="minorHAnsi"/>
                <w:color w:val="000000"/>
                <w:sz w:val="20"/>
                <w:szCs w:val="20"/>
                <w:lang w:eastAsia="cs-CZ"/>
              </w:rPr>
              <w:t>456</w:t>
            </w:r>
            <w:r>
              <w:rPr>
                <w:rFonts w:eastAsia="Times New Roman" w:cstheme="minorHAnsi"/>
                <w:color w:val="000000"/>
                <w:sz w:val="20"/>
                <w:szCs w:val="20"/>
                <w:lang w:eastAsia="cs-CZ"/>
              </w:rPr>
              <w:t>,</w:t>
            </w:r>
            <w:r w:rsidRPr="006A0BF6">
              <w:rPr>
                <w:rFonts w:eastAsia="Times New Roman" w:cstheme="minorHAnsi"/>
                <w:color w:val="000000"/>
                <w:sz w:val="20"/>
                <w:szCs w:val="20"/>
                <w:lang w:eastAsia="cs-CZ"/>
              </w:rPr>
              <w:t>5</w:t>
            </w:r>
          </w:p>
        </w:tc>
        <w:tc>
          <w:tcPr>
            <w:tcW w:w="564" w:type="pct"/>
            <w:shd w:val="clear" w:color="auto" w:fill="auto"/>
            <w:noWrap/>
            <w:vAlign w:val="center"/>
          </w:tcPr>
          <w:p w14:paraId="6D773EE0" w14:textId="6605FCC8" w:rsidR="00C0757B" w:rsidRPr="005D18CC" w:rsidRDefault="006A0BF6" w:rsidP="009D409F">
            <w:pPr>
              <w:spacing w:after="0" w:line="240" w:lineRule="auto"/>
              <w:ind w:right="113"/>
              <w:jc w:val="right"/>
              <w:rPr>
                <w:rFonts w:eastAsia="Times New Roman" w:cstheme="minorHAnsi"/>
                <w:color w:val="000000"/>
                <w:sz w:val="20"/>
                <w:szCs w:val="20"/>
                <w:lang w:eastAsia="cs-CZ"/>
              </w:rPr>
            </w:pPr>
            <w:r w:rsidRPr="006A0BF6">
              <w:rPr>
                <w:rFonts w:eastAsia="Times New Roman" w:cstheme="minorHAnsi"/>
                <w:color w:val="000000"/>
                <w:sz w:val="20"/>
                <w:szCs w:val="20"/>
                <w:lang w:eastAsia="cs-CZ"/>
              </w:rPr>
              <w:t>5</w:t>
            </w:r>
            <w:r>
              <w:rPr>
                <w:rFonts w:eastAsia="Times New Roman" w:cstheme="minorHAnsi"/>
                <w:color w:val="000000"/>
                <w:sz w:val="20"/>
                <w:szCs w:val="20"/>
                <w:lang w:eastAsia="cs-CZ"/>
              </w:rPr>
              <w:t> </w:t>
            </w:r>
            <w:r w:rsidRPr="006A0BF6">
              <w:rPr>
                <w:rFonts w:eastAsia="Times New Roman" w:cstheme="minorHAnsi"/>
                <w:color w:val="000000"/>
                <w:sz w:val="20"/>
                <w:szCs w:val="20"/>
                <w:lang w:eastAsia="cs-CZ"/>
              </w:rPr>
              <w:t>55</w:t>
            </w:r>
            <w:r>
              <w:rPr>
                <w:rFonts w:eastAsia="Times New Roman" w:cstheme="minorHAnsi"/>
                <w:color w:val="000000"/>
                <w:sz w:val="20"/>
                <w:szCs w:val="20"/>
                <w:lang w:eastAsia="cs-CZ"/>
              </w:rPr>
              <w:t>8,0</w:t>
            </w:r>
          </w:p>
        </w:tc>
        <w:tc>
          <w:tcPr>
            <w:tcW w:w="564" w:type="pct"/>
            <w:shd w:val="clear" w:color="auto" w:fill="auto"/>
            <w:noWrap/>
            <w:vAlign w:val="center"/>
          </w:tcPr>
          <w:p w14:paraId="6D773EE1" w14:textId="77E91C4C" w:rsidR="00C0757B" w:rsidRPr="005D18CC" w:rsidRDefault="006A0BF6" w:rsidP="009D409F">
            <w:pPr>
              <w:spacing w:after="0" w:line="240" w:lineRule="auto"/>
              <w:ind w:right="113"/>
              <w:jc w:val="right"/>
              <w:rPr>
                <w:rFonts w:eastAsia="Times New Roman" w:cstheme="minorHAnsi"/>
                <w:color w:val="000000"/>
                <w:sz w:val="20"/>
                <w:szCs w:val="20"/>
                <w:lang w:eastAsia="cs-CZ"/>
              </w:rPr>
            </w:pPr>
            <w:r w:rsidRPr="006A0BF6">
              <w:rPr>
                <w:rFonts w:eastAsia="Times New Roman" w:cstheme="minorHAnsi"/>
                <w:color w:val="000000"/>
                <w:sz w:val="20"/>
                <w:szCs w:val="20"/>
                <w:lang w:eastAsia="cs-CZ"/>
              </w:rPr>
              <w:t>5</w:t>
            </w:r>
            <w:r>
              <w:rPr>
                <w:rFonts w:eastAsia="Times New Roman" w:cstheme="minorHAnsi"/>
                <w:color w:val="000000"/>
                <w:sz w:val="20"/>
                <w:szCs w:val="20"/>
                <w:lang w:eastAsia="cs-CZ"/>
              </w:rPr>
              <w:t> </w:t>
            </w:r>
            <w:r w:rsidRPr="006A0BF6">
              <w:rPr>
                <w:rFonts w:eastAsia="Times New Roman" w:cstheme="minorHAnsi"/>
                <w:color w:val="000000"/>
                <w:sz w:val="20"/>
                <w:szCs w:val="20"/>
                <w:lang w:eastAsia="cs-CZ"/>
              </w:rPr>
              <w:t>93</w:t>
            </w:r>
            <w:r>
              <w:rPr>
                <w:rFonts w:eastAsia="Times New Roman" w:cstheme="minorHAnsi"/>
                <w:color w:val="000000"/>
                <w:sz w:val="20"/>
                <w:szCs w:val="20"/>
                <w:lang w:eastAsia="cs-CZ"/>
              </w:rPr>
              <w:t>3,0</w:t>
            </w:r>
          </w:p>
        </w:tc>
        <w:tc>
          <w:tcPr>
            <w:tcW w:w="783" w:type="pct"/>
            <w:shd w:val="clear" w:color="auto" w:fill="auto"/>
            <w:noWrap/>
            <w:vAlign w:val="center"/>
          </w:tcPr>
          <w:p w14:paraId="6D773EE2" w14:textId="6203225B" w:rsidR="00C0757B" w:rsidRPr="005D18CC" w:rsidRDefault="006A0BF6" w:rsidP="009D409F">
            <w:pPr>
              <w:spacing w:after="0" w:line="240" w:lineRule="auto"/>
              <w:ind w:right="113"/>
              <w:jc w:val="right"/>
              <w:rPr>
                <w:rFonts w:eastAsia="Times New Roman" w:cstheme="minorHAnsi"/>
                <w:color w:val="000000"/>
                <w:sz w:val="20"/>
                <w:szCs w:val="20"/>
                <w:lang w:eastAsia="cs-CZ"/>
              </w:rPr>
            </w:pPr>
            <w:r>
              <w:rPr>
                <w:rFonts w:eastAsia="Times New Roman" w:cstheme="minorHAnsi"/>
                <w:color w:val="000000"/>
                <w:sz w:val="20"/>
                <w:szCs w:val="20"/>
                <w:lang w:eastAsia="cs-CZ"/>
              </w:rPr>
              <w:t>476,5</w:t>
            </w:r>
          </w:p>
        </w:tc>
        <w:tc>
          <w:tcPr>
            <w:tcW w:w="783" w:type="pct"/>
            <w:shd w:val="clear" w:color="auto" w:fill="auto"/>
            <w:noWrap/>
            <w:vAlign w:val="bottom"/>
          </w:tcPr>
          <w:p w14:paraId="6D773EE3" w14:textId="50D9161E" w:rsidR="00C0757B" w:rsidRPr="005D18CC" w:rsidRDefault="00781CDD" w:rsidP="009D409F">
            <w:pPr>
              <w:spacing w:after="0" w:line="240" w:lineRule="auto"/>
              <w:ind w:right="113"/>
              <w:jc w:val="right"/>
              <w:rPr>
                <w:rFonts w:eastAsia="Times New Roman" w:cstheme="minorHAnsi"/>
                <w:color w:val="000000"/>
                <w:sz w:val="20"/>
                <w:szCs w:val="20"/>
                <w:lang w:eastAsia="cs-CZ"/>
              </w:rPr>
            </w:pPr>
            <w:r>
              <w:rPr>
                <w:rFonts w:eastAsia="Times New Roman" w:cstheme="minorHAnsi"/>
                <w:color w:val="000000"/>
                <w:sz w:val="20"/>
                <w:szCs w:val="20"/>
                <w:lang w:eastAsia="cs-CZ"/>
              </w:rPr>
              <w:t>10</w:t>
            </w:r>
            <w:r w:rsidR="002F00F6">
              <w:rPr>
                <w:rFonts w:eastAsia="Times New Roman" w:cstheme="minorHAnsi"/>
                <w:color w:val="000000"/>
                <w:sz w:val="20"/>
                <w:szCs w:val="20"/>
                <w:lang w:eastAsia="cs-CZ"/>
              </w:rPr>
              <w:t>8,</w:t>
            </w:r>
            <w:r w:rsidR="006A0BF6">
              <w:rPr>
                <w:rFonts w:eastAsia="Times New Roman" w:cstheme="minorHAnsi"/>
                <w:color w:val="000000"/>
                <w:sz w:val="20"/>
                <w:szCs w:val="20"/>
                <w:lang w:eastAsia="cs-CZ"/>
              </w:rPr>
              <w:t>7</w:t>
            </w:r>
            <w:r w:rsidR="002F00F6">
              <w:rPr>
                <w:rFonts w:eastAsia="Times New Roman" w:cstheme="minorHAnsi"/>
                <w:color w:val="000000"/>
                <w:sz w:val="20"/>
                <w:szCs w:val="20"/>
                <w:lang w:eastAsia="cs-CZ"/>
              </w:rPr>
              <w:t xml:space="preserve"> </w:t>
            </w:r>
            <w:r w:rsidR="002F00F6">
              <w:rPr>
                <w:rFonts w:ascii="Calibri" w:eastAsia="Times New Roman" w:hAnsi="Calibri" w:cs="Calibri"/>
                <w:color w:val="000000"/>
                <w:sz w:val="20"/>
                <w:szCs w:val="20"/>
                <w:lang w:eastAsia="cs-CZ"/>
              </w:rPr>
              <w:t>%</w:t>
            </w:r>
          </w:p>
        </w:tc>
      </w:tr>
      <w:tr w:rsidR="009D409F" w14:paraId="6D773EEB" w14:textId="77777777" w:rsidTr="009D409F">
        <w:trPr>
          <w:trHeight w:val="255"/>
        </w:trPr>
        <w:tc>
          <w:tcPr>
            <w:tcW w:w="1742" w:type="pct"/>
            <w:shd w:val="clear" w:color="auto" w:fill="auto"/>
            <w:noWrap/>
            <w:vAlign w:val="center"/>
            <w:hideMark/>
          </w:tcPr>
          <w:p w14:paraId="6D773EE5" w14:textId="32CAF919" w:rsidR="00C0757B" w:rsidRPr="005D18CC" w:rsidRDefault="00BA5BDD" w:rsidP="009D409F">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K</w:t>
            </w:r>
            <w:r w:rsidR="00781CDD" w:rsidRPr="005D18CC">
              <w:rPr>
                <w:rFonts w:eastAsia="Times New Roman" w:cstheme="minorHAnsi"/>
                <w:color w:val="000000"/>
                <w:sz w:val="20"/>
                <w:szCs w:val="20"/>
                <w:lang w:eastAsia="cs-CZ"/>
              </w:rPr>
              <w:t xml:space="preserve">ontrolované </w:t>
            </w:r>
            <w:r w:rsidR="005E14A0">
              <w:rPr>
                <w:rFonts w:eastAsia="Times New Roman" w:cstheme="minorHAnsi"/>
                <w:color w:val="000000"/>
                <w:sz w:val="20"/>
                <w:szCs w:val="20"/>
                <w:lang w:eastAsia="cs-CZ"/>
              </w:rPr>
              <w:t>S</w:t>
            </w:r>
            <w:r w:rsidR="00781CDD" w:rsidRPr="005D18CC">
              <w:rPr>
                <w:rFonts w:eastAsia="Times New Roman" w:cstheme="minorHAnsi"/>
                <w:color w:val="000000"/>
                <w:sz w:val="20"/>
                <w:szCs w:val="20"/>
                <w:lang w:eastAsia="cs-CZ"/>
              </w:rPr>
              <w:t>PO</w:t>
            </w:r>
          </w:p>
        </w:tc>
        <w:tc>
          <w:tcPr>
            <w:tcW w:w="564" w:type="pct"/>
            <w:shd w:val="clear" w:color="auto" w:fill="auto"/>
            <w:noWrap/>
            <w:vAlign w:val="center"/>
            <w:hideMark/>
          </w:tcPr>
          <w:p w14:paraId="6D773EE6" w14:textId="2A948E7C" w:rsidR="00C0757B" w:rsidRPr="005D18CC" w:rsidRDefault="00781CDD" w:rsidP="009D409F">
            <w:pPr>
              <w:spacing w:after="0" w:line="240" w:lineRule="auto"/>
              <w:ind w:right="113"/>
              <w:jc w:val="right"/>
              <w:rPr>
                <w:rFonts w:eastAsia="Times New Roman" w:cstheme="minorHAnsi"/>
                <w:color w:val="000000"/>
                <w:sz w:val="20"/>
                <w:szCs w:val="20"/>
                <w:lang w:eastAsia="cs-CZ"/>
              </w:rPr>
            </w:pPr>
            <w:r w:rsidRPr="005D18CC">
              <w:rPr>
                <w:rFonts w:eastAsia="Times New Roman" w:cstheme="minorHAnsi"/>
                <w:color w:val="000000"/>
                <w:sz w:val="20"/>
                <w:szCs w:val="20"/>
                <w:lang w:eastAsia="cs-CZ"/>
              </w:rPr>
              <w:t>518,8</w:t>
            </w:r>
          </w:p>
        </w:tc>
        <w:tc>
          <w:tcPr>
            <w:tcW w:w="564" w:type="pct"/>
            <w:shd w:val="clear" w:color="auto" w:fill="auto"/>
            <w:noWrap/>
            <w:vAlign w:val="center"/>
            <w:hideMark/>
          </w:tcPr>
          <w:p w14:paraId="6D773EE7" w14:textId="202AEE56" w:rsidR="00C0757B" w:rsidRPr="005D18CC" w:rsidRDefault="00781CDD" w:rsidP="009D409F">
            <w:pPr>
              <w:spacing w:after="0" w:line="240" w:lineRule="auto"/>
              <w:ind w:right="113"/>
              <w:jc w:val="right"/>
              <w:rPr>
                <w:rFonts w:eastAsia="Times New Roman" w:cstheme="minorHAnsi"/>
                <w:color w:val="000000"/>
                <w:sz w:val="20"/>
                <w:szCs w:val="20"/>
                <w:lang w:eastAsia="cs-CZ"/>
              </w:rPr>
            </w:pPr>
            <w:r w:rsidRPr="005D18CC">
              <w:rPr>
                <w:rFonts w:eastAsia="Times New Roman" w:cstheme="minorHAnsi"/>
                <w:color w:val="000000"/>
                <w:sz w:val="20"/>
                <w:szCs w:val="20"/>
                <w:lang w:eastAsia="cs-CZ"/>
              </w:rPr>
              <w:t>540,2</w:t>
            </w:r>
          </w:p>
        </w:tc>
        <w:tc>
          <w:tcPr>
            <w:tcW w:w="564" w:type="pct"/>
            <w:shd w:val="clear" w:color="auto" w:fill="auto"/>
            <w:noWrap/>
            <w:vAlign w:val="center"/>
            <w:hideMark/>
          </w:tcPr>
          <w:p w14:paraId="6D773EE8" w14:textId="2A061111" w:rsidR="00C0757B" w:rsidRPr="005D18CC" w:rsidRDefault="00781CDD" w:rsidP="009D409F">
            <w:pPr>
              <w:spacing w:after="0" w:line="240" w:lineRule="auto"/>
              <w:ind w:right="113"/>
              <w:jc w:val="right"/>
              <w:rPr>
                <w:rFonts w:eastAsia="Times New Roman" w:cstheme="minorHAnsi"/>
                <w:color w:val="000000"/>
                <w:sz w:val="20"/>
                <w:szCs w:val="20"/>
                <w:lang w:eastAsia="cs-CZ"/>
              </w:rPr>
            </w:pPr>
            <w:r w:rsidRPr="005D18CC">
              <w:rPr>
                <w:rFonts w:eastAsia="Times New Roman" w:cstheme="minorHAnsi"/>
                <w:color w:val="000000"/>
                <w:sz w:val="20"/>
                <w:szCs w:val="20"/>
                <w:lang w:eastAsia="cs-CZ"/>
              </w:rPr>
              <w:t>595,8</w:t>
            </w:r>
          </w:p>
        </w:tc>
        <w:tc>
          <w:tcPr>
            <w:tcW w:w="783" w:type="pct"/>
            <w:shd w:val="clear" w:color="auto" w:fill="auto"/>
            <w:noWrap/>
            <w:vAlign w:val="center"/>
          </w:tcPr>
          <w:p w14:paraId="6D773EE9" w14:textId="77777777" w:rsidR="00C0757B" w:rsidRPr="005D18CC" w:rsidRDefault="00781CDD" w:rsidP="009D409F">
            <w:pPr>
              <w:spacing w:after="0" w:line="240" w:lineRule="auto"/>
              <w:ind w:right="113"/>
              <w:jc w:val="right"/>
              <w:rPr>
                <w:rFonts w:eastAsia="Times New Roman" w:cstheme="minorHAnsi"/>
                <w:color w:val="000000"/>
                <w:sz w:val="20"/>
                <w:szCs w:val="20"/>
                <w:lang w:eastAsia="cs-CZ"/>
              </w:rPr>
            </w:pPr>
            <w:r>
              <w:rPr>
                <w:rFonts w:eastAsia="Times New Roman" w:cstheme="minorHAnsi"/>
                <w:color w:val="000000"/>
                <w:sz w:val="20"/>
                <w:szCs w:val="20"/>
                <w:lang w:eastAsia="cs-CZ"/>
              </w:rPr>
              <w:t>77,0</w:t>
            </w:r>
          </w:p>
        </w:tc>
        <w:tc>
          <w:tcPr>
            <w:tcW w:w="783" w:type="pct"/>
            <w:shd w:val="clear" w:color="auto" w:fill="auto"/>
            <w:noWrap/>
            <w:vAlign w:val="bottom"/>
          </w:tcPr>
          <w:p w14:paraId="6D773EEA" w14:textId="77777777" w:rsidR="00C0757B" w:rsidRPr="005D18CC" w:rsidRDefault="00781CDD" w:rsidP="009D409F">
            <w:pPr>
              <w:spacing w:after="0" w:line="240" w:lineRule="auto"/>
              <w:ind w:right="113"/>
              <w:jc w:val="right"/>
              <w:rPr>
                <w:rFonts w:eastAsia="Times New Roman" w:cstheme="minorHAnsi"/>
                <w:color w:val="000000"/>
                <w:sz w:val="20"/>
                <w:szCs w:val="20"/>
                <w:lang w:eastAsia="cs-CZ"/>
              </w:rPr>
            </w:pPr>
            <w:r>
              <w:rPr>
                <w:rFonts w:eastAsia="Times New Roman" w:cstheme="minorHAnsi"/>
                <w:color w:val="000000"/>
                <w:sz w:val="20"/>
                <w:szCs w:val="20"/>
                <w:lang w:eastAsia="cs-CZ"/>
              </w:rPr>
              <w:t>1</w:t>
            </w:r>
            <w:r w:rsidR="00E26593">
              <w:rPr>
                <w:rFonts w:eastAsia="Times New Roman" w:cstheme="minorHAnsi"/>
                <w:color w:val="000000"/>
                <w:sz w:val="20"/>
                <w:szCs w:val="20"/>
                <w:lang w:eastAsia="cs-CZ"/>
              </w:rPr>
              <w:t>14,8 %</w:t>
            </w:r>
          </w:p>
        </w:tc>
      </w:tr>
    </w:tbl>
    <w:p w14:paraId="6D773EEC" w14:textId="2FC2EFBA" w:rsidR="006A0890" w:rsidRPr="00B81A0E" w:rsidRDefault="00781CDD" w:rsidP="009D409F">
      <w:pPr>
        <w:spacing w:before="40" w:after="0" w:line="240" w:lineRule="auto"/>
        <w:rPr>
          <w:sz w:val="20"/>
          <w:szCs w:val="20"/>
        </w:rPr>
      </w:pPr>
      <w:r w:rsidRPr="00014133">
        <w:rPr>
          <w:b/>
          <w:sz w:val="20"/>
          <w:szCs w:val="20"/>
        </w:rPr>
        <w:t>Zdroj:</w:t>
      </w:r>
      <w:r w:rsidRPr="00B81A0E">
        <w:rPr>
          <w:sz w:val="20"/>
          <w:szCs w:val="20"/>
        </w:rPr>
        <w:t xml:space="preserve"> </w:t>
      </w:r>
      <w:r w:rsidR="003817CA">
        <w:rPr>
          <w:sz w:val="20"/>
          <w:szCs w:val="20"/>
        </w:rPr>
        <w:t xml:space="preserve">podklady ke zpracování </w:t>
      </w:r>
      <w:r w:rsidR="00BA5BDD">
        <w:rPr>
          <w:sz w:val="20"/>
          <w:szCs w:val="20"/>
        </w:rPr>
        <w:t>s</w:t>
      </w:r>
      <w:r w:rsidR="003817CA">
        <w:rPr>
          <w:sz w:val="20"/>
          <w:szCs w:val="20"/>
        </w:rPr>
        <w:t xml:space="preserve">tátního závěrečného účtu za jednotlivé </w:t>
      </w:r>
      <w:r w:rsidR="005E14A0">
        <w:rPr>
          <w:sz w:val="20"/>
          <w:szCs w:val="20"/>
        </w:rPr>
        <w:t>S</w:t>
      </w:r>
      <w:r w:rsidR="003817CA">
        <w:rPr>
          <w:sz w:val="20"/>
          <w:szCs w:val="20"/>
        </w:rPr>
        <w:t>PO</w:t>
      </w:r>
      <w:r w:rsidR="00BA5BDD">
        <w:rPr>
          <w:sz w:val="20"/>
          <w:szCs w:val="20"/>
        </w:rPr>
        <w:t xml:space="preserve"> pro roky 2019 až 2021</w:t>
      </w:r>
      <w:r w:rsidR="003817CA">
        <w:rPr>
          <w:sz w:val="20"/>
          <w:szCs w:val="20"/>
        </w:rPr>
        <w:t>.</w:t>
      </w:r>
    </w:p>
    <w:p w14:paraId="6D773EED" w14:textId="77777777" w:rsidR="006A0890" w:rsidRPr="005D18CC" w:rsidRDefault="006A0890" w:rsidP="00EC130E">
      <w:pPr>
        <w:spacing w:after="0" w:line="240" w:lineRule="auto"/>
        <w:jc w:val="both"/>
      </w:pPr>
    </w:p>
    <w:p w14:paraId="6D773EEE" w14:textId="669A8822" w:rsidR="006A0890" w:rsidRDefault="00781CDD" w:rsidP="00EC130E">
      <w:pPr>
        <w:spacing w:after="0" w:line="240" w:lineRule="auto"/>
        <w:jc w:val="both"/>
        <w:rPr>
          <w:sz w:val="24"/>
          <w:szCs w:val="24"/>
        </w:rPr>
      </w:pPr>
      <w:r w:rsidRPr="00117BFC">
        <w:rPr>
          <w:sz w:val="24"/>
          <w:szCs w:val="24"/>
        </w:rPr>
        <w:t xml:space="preserve">Příspěvek na provoz od zřizovatele pro </w:t>
      </w:r>
      <w:r w:rsidR="005E14A0">
        <w:rPr>
          <w:sz w:val="24"/>
          <w:szCs w:val="24"/>
        </w:rPr>
        <w:t>S</w:t>
      </w:r>
      <w:r w:rsidR="00117BFC" w:rsidRPr="00117BFC">
        <w:rPr>
          <w:sz w:val="24"/>
          <w:szCs w:val="24"/>
        </w:rPr>
        <w:t>PO na úrovni systému</w:t>
      </w:r>
      <w:r w:rsidRPr="00117BFC">
        <w:rPr>
          <w:sz w:val="24"/>
          <w:szCs w:val="24"/>
        </w:rPr>
        <w:t xml:space="preserve"> vzrostl v roce 2021 oproti roku 201</w:t>
      </w:r>
      <w:r w:rsidR="00117BFC" w:rsidRPr="00117BFC">
        <w:rPr>
          <w:sz w:val="24"/>
          <w:szCs w:val="24"/>
        </w:rPr>
        <w:t>9</w:t>
      </w:r>
      <w:r w:rsidRPr="00117BFC">
        <w:rPr>
          <w:sz w:val="24"/>
          <w:szCs w:val="24"/>
        </w:rPr>
        <w:t xml:space="preserve"> o </w:t>
      </w:r>
      <w:r w:rsidR="007B2C47">
        <w:rPr>
          <w:sz w:val="24"/>
          <w:szCs w:val="24"/>
        </w:rPr>
        <w:t>321</w:t>
      </w:r>
      <w:r w:rsidRPr="00117BFC">
        <w:rPr>
          <w:sz w:val="24"/>
          <w:szCs w:val="24"/>
        </w:rPr>
        <w:t xml:space="preserve"> mil. Kč, tj. o </w:t>
      </w:r>
      <w:r w:rsidR="007B2C47">
        <w:rPr>
          <w:sz w:val="24"/>
          <w:szCs w:val="24"/>
        </w:rPr>
        <w:t>11</w:t>
      </w:r>
      <w:r w:rsidRPr="00117BFC">
        <w:rPr>
          <w:sz w:val="24"/>
          <w:szCs w:val="24"/>
        </w:rPr>
        <w:t>,</w:t>
      </w:r>
      <w:r w:rsidR="00535940">
        <w:rPr>
          <w:sz w:val="24"/>
          <w:szCs w:val="24"/>
        </w:rPr>
        <w:t>9</w:t>
      </w:r>
      <w:r w:rsidRPr="00117BFC">
        <w:rPr>
          <w:sz w:val="24"/>
          <w:szCs w:val="24"/>
        </w:rPr>
        <w:t xml:space="preserve"> </w:t>
      </w:r>
      <w:r w:rsidRPr="00117BFC">
        <w:rPr>
          <w:rFonts w:cstheme="minorHAnsi"/>
          <w:sz w:val="24"/>
          <w:szCs w:val="24"/>
        </w:rPr>
        <w:t>%</w:t>
      </w:r>
      <w:r w:rsidRPr="00117BFC">
        <w:rPr>
          <w:sz w:val="24"/>
          <w:szCs w:val="24"/>
        </w:rPr>
        <w:t>. Ze sledovaných let 201</w:t>
      </w:r>
      <w:r w:rsidR="00117BFC" w:rsidRPr="00117BFC">
        <w:rPr>
          <w:sz w:val="24"/>
          <w:szCs w:val="24"/>
        </w:rPr>
        <w:t>9</w:t>
      </w:r>
      <w:r w:rsidRPr="00117BFC">
        <w:rPr>
          <w:sz w:val="24"/>
          <w:szCs w:val="24"/>
        </w:rPr>
        <w:t>–2021 byl tento příspěvek nejvyšší v roce 202</w:t>
      </w:r>
      <w:r w:rsidR="007B2C47">
        <w:rPr>
          <w:sz w:val="24"/>
          <w:szCs w:val="24"/>
        </w:rPr>
        <w:t>1</w:t>
      </w:r>
      <w:r w:rsidRPr="00117BFC">
        <w:rPr>
          <w:sz w:val="24"/>
          <w:szCs w:val="24"/>
        </w:rPr>
        <w:t xml:space="preserve">, kdy činil </w:t>
      </w:r>
      <w:r w:rsidR="007B2C47">
        <w:rPr>
          <w:sz w:val="24"/>
          <w:szCs w:val="24"/>
        </w:rPr>
        <w:t>3 010,5</w:t>
      </w:r>
      <w:r w:rsidRPr="00117BFC">
        <w:rPr>
          <w:sz w:val="24"/>
          <w:szCs w:val="24"/>
        </w:rPr>
        <w:t xml:space="preserve"> mil. Kč. </w:t>
      </w:r>
    </w:p>
    <w:p w14:paraId="5165649B" w14:textId="77777777" w:rsidR="009D409F" w:rsidRPr="00B917B1" w:rsidRDefault="009D409F" w:rsidP="00EC130E">
      <w:pPr>
        <w:spacing w:after="0" w:line="240" w:lineRule="auto"/>
        <w:jc w:val="both"/>
        <w:rPr>
          <w:sz w:val="24"/>
          <w:szCs w:val="24"/>
        </w:rPr>
      </w:pPr>
    </w:p>
    <w:p w14:paraId="6D773EEF" w14:textId="77777777" w:rsidR="006A0890" w:rsidRDefault="00781CDD" w:rsidP="00EC130E">
      <w:pPr>
        <w:spacing w:after="0" w:line="240" w:lineRule="auto"/>
        <w:jc w:val="both"/>
        <w:rPr>
          <w:rFonts w:cstheme="minorHAnsi"/>
          <w:sz w:val="24"/>
          <w:szCs w:val="24"/>
        </w:rPr>
      </w:pPr>
      <w:r w:rsidRPr="00117BFC">
        <w:rPr>
          <w:sz w:val="24"/>
          <w:szCs w:val="24"/>
        </w:rPr>
        <w:t>Kontrolovan</w:t>
      </w:r>
      <w:r w:rsidR="00117BFC">
        <w:rPr>
          <w:sz w:val="24"/>
          <w:szCs w:val="24"/>
        </w:rPr>
        <w:t>ým</w:t>
      </w:r>
      <w:r w:rsidRPr="00117BFC">
        <w:rPr>
          <w:sz w:val="24"/>
          <w:szCs w:val="24"/>
        </w:rPr>
        <w:t xml:space="preserve"> příspěvkov</w:t>
      </w:r>
      <w:r w:rsidR="00117BFC">
        <w:rPr>
          <w:sz w:val="24"/>
          <w:szCs w:val="24"/>
        </w:rPr>
        <w:t>ým</w:t>
      </w:r>
      <w:r w:rsidRPr="00117BFC">
        <w:rPr>
          <w:sz w:val="24"/>
          <w:szCs w:val="24"/>
        </w:rPr>
        <w:t xml:space="preserve"> organizac</w:t>
      </w:r>
      <w:r w:rsidR="00117BFC">
        <w:rPr>
          <w:sz w:val="24"/>
          <w:szCs w:val="24"/>
        </w:rPr>
        <w:t>ím</w:t>
      </w:r>
      <w:r w:rsidRPr="00B917B1">
        <w:rPr>
          <w:sz w:val="24"/>
          <w:szCs w:val="24"/>
        </w:rPr>
        <w:t xml:space="preserve"> (CENIA, ČAS, SpS MPO a ÚZEI) </w:t>
      </w:r>
      <w:r w:rsidR="00117BFC">
        <w:rPr>
          <w:sz w:val="24"/>
          <w:szCs w:val="24"/>
        </w:rPr>
        <w:t>poskytli</w:t>
      </w:r>
      <w:r w:rsidRPr="00B917B1">
        <w:rPr>
          <w:sz w:val="24"/>
          <w:szCs w:val="24"/>
        </w:rPr>
        <w:t xml:space="preserve"> v roce 2021 </w:t>
      </w:r>
      <w:r w:rsidR="00117BFC">
        <w:rPr>
          <w:sz w:val="24"/>
          <w:szCs w:val="24"/>
        </w:rPr>
        <w:t xml:space="preserve">zřizovatelé </w:t>
      </w:r>
      <w:r w:rsidRPr="00B917B1">
        <w:rPr>
          <w:sz w:val="24"/>
          <w:szCs w:val="24"/>
        </w:rPr>
        <w:t xml:space="preserve">příspěvek na provoz ve výši </w:t>
      </w:r>
      <w:r w:rsidR="00117BFC">
        <w:rPr>
          <w:sz w:val="24"/>
          <w:szCs w:val="24"/>
        </w:rPr>
        <w:t>263</w:t>
      </w:r>
      <w:r w:rsidRPr="00B917B1">
        <w:rPr>
          <w:sz w:val="24"/>
          <w:szCs w:val="24"/>
        </w:rPr>
        <w:t>,</w:t>
      </w:r>
      <w:r w:rsidR="00117BFC">
        <w:rPr>
          <w:sz w:val="24"/>
          <w:szCs w:val="24"/>
        </w:rPr>
        <w:t>2</w:t>
      </w:r>
      <w:r w:rsidR="001E5A93">
        <w:rPr>
          <w:sz w:val="24"/>
          <w:szCs w:val="24"/>
        </w:rPr>
        <w:t xml:space="preserve"> </w:t>
      </w:r>
      <w:r w:rsidRPr="00B917B1">
        <w:rPr>
          <w:sz w:val="24"/>
          <w:szCs w:val="24"/>
        </w:rPr>
        <w:t xml:space="preserve">mil. Kč. Oproti roku </w:t>
      </w:r>
      <w:r>
        <w:rPr>
          <w:sz w:val="24"/>
          <w:szCs w:val="24"/>
        </w:rPr>
        <w:t>2019</w:t>
      </w:r>
      <w:r w:rsidRPr="00B917B1">
        <w:rPr>
          <w:sz w:val="24"/>
          <w:szCs w:val="24"/>
        </w:rPr>
        <w:t xml:space="preserve"> vzrostl tento příspěvek o </w:t>
      </w:r>
      <w:r w:rsidR="00117BFC">
        <w:rPr>
          <w:sz w:val="24"/>
          <w:szCs w:val="24"/>
        </w:rPr>
        <w:t>10,4</w:t>
      </w:r>
      <w:r w:rsidRPr="00B917B1">
        <w:rPr>
          <w:sz w:val="24"/>
          <w:szCs w:val="24"/>
        </w:rPr>
        <w:t xml:space="preserve"> mil. Kč, tj. o </w:t>
      </w:r>
      <w:r w:rsidR="00535940">
        <w:rPr>
          <w:sz w:val="24"/>
          <w:szCs w:val="24"/>
        </w:rPr>
        <w:t xml:space="preserve">4,1 </w:t>
      </w:r>
      <w:r w:rsidRPr="00B917B1">
        <w:rPr>
          <w:rFonts w:cstheme="minorHAnsi"/>
          <w:sz w:val="24"/>
          <w:szCs w:val="24"/>
        </w:rPr>
        <w:t xml:space="preserve">%. </w:t>
      </w:r>
    </w:p>
    <w:p w14:paraId="6D773EF0" w14:textId="77777777" w:rsidR="006A0890" w:rsidRPr="005D18CC" w:rsidRDefault="006A0890" w:rsidP="00EC130E">
      <w:pPr>
        <w:spacing w:after="0" w:line="240" w:lineRule="auto"/>
        <w:jc w:val="both"/>
        <w:rPr>
          <w:rFonts w:cstheme="minorHAnsi"/>
        </w:rPr>
      </w:pPr>
    </w:p>
    <w:p w14:paraId="6D773EF1" w14:textId="055A18D2" w:rsidR="006A0890" w:rsidRPr="009D409F" w:rsidRDefault="00781CDD" w:rsidP="009D409F">
      <w:pPr>
        <w:tabs>
          <w:tab w:val="right" w:pos="9072"/>
        </w:tabs>
        <w:spacing w:after="40" w:line="240" w:lineRule="auto"/>
        <w:rPr>
          <w:b/>
        </w:rPr>
      </w:pPr>
      <w:r w:rsidRPr="009D409F">
        <w:rPr>
          <w:b/>
          <w:sz w:val="24"/>
        </w:rPr>
        <w:t xml:space="preserve">Tabulka č. </w:t>
      </w:r>
      <w:r w:rsidR="002C76F1" w:rsidRPr="009D409F">
        <w:rPr>
          <w:b/>
          <w:sz w:val="24"/>
        </w:rPr>
        <w:fldChar w:fldCharType="begin"/>
      </w:r>
      <w:r w:rsidR="002C76F1" w:rsidRPr="009D409F">
        <w:rPr>
          <w:b/>
          <w:sz w:val="24"/>
        </w:rPr>
        <w:instrText xml:space="preserve"> SEQ tabulka_č. \* ARABIC </w:instrText>
      </w:r>
      <w:r w:rsidR="002C76F1" w:rsidRPr="009D409F">
        <w:rPr>
          <w:b/>
          <w:sz w:val="24"/>
        </w:rPr>
        <w:fldChar w:fldCharType="separate"/>
      </w:r>
      <w:r w:rsidR="00A170DB">
        <w:rPr>
          <w:b/>
          <w:noProof/>
          <w:sz w:val="24"/>
        </w:rPr>
        <w:t>2</w:t>
      </w:r>
      <w:r w:rsidR="002C76F1" w:rsidRPr="009D409F">
        <w:rPr>
          <w:b/>
          <w:noProof/>
          <w:sz w:val="24"/>
        </w:rPr>
        <w:fldChar w:fldCharType="end"/>
      </w:r>
      <w:r w:rsidR="00BA5BDD">
        <w:rPr>
          <w:b/>
          <w:noProof/>
          <w:sz w:val="24"/>
        </w:rPr>
        <w:t>:</w:t>
      </w:r>
      <w:r w:rsidRPr="009D409F">
        <w:rPr>
          <w:b/>
          <w:sz w:val="24"/>
        </w:rPr>
        <w:t xml:space="preserve"> Vývoj příspěvku na provoz od zřizovatele</w:t>
      </w:r>
      <w:r w:rsidRPr="009D409F">
        <w:rPr>
          <w:b/>
          <w:sz w:val="24"/>
        </w:rPr>
        <w:tab/>
        <w:t>(v mil. Kč)</w:t>
      </w:r>
    </w:p>
    <w:tbl>
      <w:tblPr>
        <w:tblW w:w="0" w:type="auto"/>
        <w:tblLayout w:type="fixed"/>
        <w:tblCellMar>
          <w:left w:w="70" w:type="dxa"/>
          <w:right w:w="70" w:type="dxa"/>
        </w:tblCellMar>
        <w:tblLook w:val="04A0" w:firstRow="1" w:lastRow="0" w:firstColumn="1" w:lastColumn="0" w:noHBand="0" w:noVBand="1"/>
      </w:tblPr>
      <w:tblGrid>
        <w:gridCol w:w="3164"/>
        <w:gridCol w:w="1020"/>
        <w:gridCol w:w="1020"/>
        <w:gridCol w:w="1020"/>
        <w:gridCol w:w="1417"/>
        <w:gridCol w:w="1417"/>
      </w:tblGrid>
      <w:tr w:rsidR="009D409F" w:rsidRPr="009D409F" w14:paraId="6D773EF8" w14:textId="77777777" w:rsidTr="00522A31">
        <w:trPr>
          <w:trHeight w:val="57"/>
        </w:trPr>
        <w:tc>
          <w:tcPr>
            <w:tcW w:w="316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D773EF2" w14:textId="77777777" w:rsidR="00C0757B" w:rsidRPr="009D409F" w:rsidRDefault="00781CDD" w:rsidP="009D409F">
            <w:pPr>
              <w:spacing w:after="0" w:line="240" w:lineRule="auto"/>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Příspěvek na provoz</w:t>
            </w:r>
          </w:p>
        </w:tc>
        <w:tc>
          <w:tcPr>
            <w:tcW w:w="1020" w:type="dxa"/>
            <w:tcBorders>
              <w:top w:val="single" w:sz="4" w:space="0" w:color="auto"/>
              <w:left w:val="nil"/>
              <w:bottom w:val="single" w:sz="4" w:space="0" w:color="auto"/>
              <w:right w:val="single" w:sz="4" w:space="0" w:color="auto"/>
            </w:tcBorders>
            <w:shd w:val="clear" w:color="auto" w:fill="E5F1FF"/>
            <w:noWrap/>
            <w:vAlign w:val="center"/>
            <w:hideMark/>
          </w:tcPr>
          <w:p w14:paraId="6D773EF3" w14:textId="77777777" w:rsidR="00C0757B" w:rsidRPr="009D409F" w:rsidRDefault="00781CDD" w:rsidP="009D409F">
            <w:pPr>
              <w:spacing w:after="0" w:line="240" w:lineRule="auto"/>
              <w:jc w:val="center"/>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2019</w:t>
            </w:r>
          </w:p>
        </w:tc>
        <w:tc>
          <w:tcPr>
            <w:tcW w:w="1020" w:type="dxa"/>
            <w:tcBorders>
              <w:top w:val="single" w:sz="4" w:space="0" w:color="auto"/>
              <w:left w:val="nil"/>
              <w:bottom w:val="single" w:sz="4" w:space="0" w:color="auto"/>
              <w:right w:val="single" w:sz="4" w:space="0" w:color="auto"/>
            </w:tcBorders>
            <w:shd w:val="clear" w:color="auto" w:fill="E5F1FF"/>
            <w:noWrap/>
            <w:vAlign w:val="center"/>
            <w:hideMark/>
          </w:tcPr>
          <w:p w14:paraId="6D773EF4" w14:textId="77777777" w:rsidR="00C0757B" w:rsidRPr="009D409F" w:rsidRDefault="00781CDD" w:rsidP="009D409F">
            <w:pPr>
              <w:spacing w:after="0" w:line="240" w:lineRule="auto"/>
              <w:jc w:val="center"/>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2020</w:t>
            </w:r>
          </w:p>
        </w:tc>
        <w:tc>
          <w:tcPr>
            <w:tcW w:w="1020" w:type="dxa"/>
            <w:tcBorders>
              <w:top w:val="single" w:sz="4" w:space="0" w:color="auto"/>
              <w:left w:val="nil"/>
              <w:bottom w:val="single" w:sz="4" w:space="0" w:color="auto"/>
              <w:right w:val="single" w:sz="4" w:space="0" w:color="auto"/>
            </w:tcBorders>
            <w:shd w:val="clear" w:color="auto" w:fill="E5F1FF"/>
            <w:noWrap/>
            <w:vAlign w:val="center"/>
            <w:hideMark/>
          </w:tcPr>
          <w:p w14:paraId="6D773EF5" w14:textId="77777777" w:rsidR="00C0757B" w:rsidRPr="009D409F" w:rsidRDefault="00781CDD" w:rsidP="009D409F">
            <w:pPr>
              <w:spacing w:after="0" w:line="240" w:lineRule="auto"/>
              <w:jc w:val="center"/>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2021</w:t>
            </w:r>
          </w:p>
        </w:tc>
        <w:tc>
          <w:tcPr>
            <w:tcW w:w="1417" w:type="dxa"/>
            <w:tcBorders>
              <w:top w:val="single" w:sz="4" w:space="0" w:color="auto"/>
              <w:left w:val="nil"/>
              <w:bottom w:val="single" w:sz="4" w:space="0" w:color="auto"/>
              <w:right w:val="single" w:sz="4" w:space="0" w:color="auto"/>
            </w:tcBorders>
            <w:shd w:val="clear" w:color="auto" w:fill="E5F1FF"/>
            <w:noWrap/>
            <w:vAlign w:val="center"/>
            <w:hideMark/>
          </w:tcPr>
          <w:p w14:paraId="6D773EF6" w14:textId="003E9F80" w:rsidR="00C0757B" w:rsidRPr="009D409F" w:rsidRDefault="00781CDD" w:rsidP="009D409F">
            <w:pPr>
              <w:spacing w:after="0" w:line="240" w:lineRule="auto"/>
              <w:jc w:val="center"/>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2021</w:t>
            </w:r>
            <w:r w:rsidR="000C1384">
              <w:rPr>
                <w:rFonts w:ascii="Calibri" w:eastAsia="Times New Roman" w:hAnsi="Calibri" w:cs="Calibri"/>
                <w:b/>
                <w:color w:val="000000" w:themeColor="text1"/>
                <w:sz w:val="20"/>
                <w:szCs w:val="20"/>
                <w:lang w:eastAsia="cs-CZ"/>
              </w:rPr>
              <w:t>–</w:t>
            </w:r>
            <w:r w:rsidRPr="009D409F">
              <w:rPr>
                <w:rFonts w:ascii="Calibri" w:eastAsia="Times New Roman" w:hAnsi="Calibri" w:cs="Calibri"/>
                <w:b/>
                <w:color w:val="000000" w:themeColor="text1"/>
                <w:sz w:val="20"/>
                <w:szCs w:val="20"/>
                <w:lang w:eastAsia="cs-CZ"/>
              </w:rPr>
              <w:t>201</w:t>
            </w:r>
            <w:r w:rsidR="00413F03" w:rsidRPr="009D409F">
              <w:rPr>
                <w:rFonts w:ascii="Calibri" w:eastAsia="Times New Roman" w:hAnsi="Calibri" w:cs="Calibri"/>
                <w:b/>
                <w:color w:val="000000" w:themeColor="text1"/>
                <w:sz w:val="20"/>
                <w:szCs w:val="20"/>
                <w:lang w:eastAsia="cs-CZ"/>
              </w:rPr>
              <w:t>9</w:t>
            </w:r>
          </w:p>
        </w:tc>
        <w:tc>
          <w:tcPr>
            <w:tcW w:w="1417" w:type="dxa"/>
            <w:tcBorders>
              <w:top w:val="single" w:sz="4" w:space="0" w:color="auto"/>
              <w:left w:val="nil"/>
              <w:bottom w:val="single" w:sz="4" w:space="0" w:color="auto"/>
              <w:right w:val="single" w:sz="4" w:space="0" w:color="auto"/>
            </w:tcBorders>
            <w:shd w:val="clear" w:color="auto" w:fill="E5F1FF"/>
            <w:noWrap/>
            <w:vAlign w:val="center"/>
            <w:hideMark/>
          </w:tcPr>
          <w:p w14:paraId="6D773EF7" w14:textId="77777777" w:rsidR="00C0757B" w:rsidRPr="009D409F" w:rsidRDefault="00781CDD" w:rsidP="009D409F">
            <w:pPr>
              <w:spacing w:after="0" w:line="240" w:lineRule="auto"/>
              <w:jc w:val="center"/>
              <w:rPr>
                <w:rFonts w:ascii="Calibri" w:eastAsia="Times New Roman" w:hAnsi="Calibri" w:cs="Calibri"/>
                <w:b/>
                <w:color w:val="000000" w:themeColor="text1"/>
                <w:sz w:val="20"/>
                <w:szCs w:val="20"/>
                <w:lang w:eastAsia="cs-CZ"/>
              </w:rPr>
            </w:pPr>
            <w:r w:rsidRPr="009D409F">
              <w:rPr>
                <w:rFonts w:ascii="Calibri" w:eastAsia="Times New Roman" w:hAnsi="Calibri" w:cs="Calibri"/>
                <w:b/>
                <w:color w:val="000000" w:themeColor="text1"/>
                <w:sz w:val="20"/>
                <w:szCs w:val="20"/>
                <w:lang w:eastAsia="cs-CZ"/>
              </w:rPr>
              <w:t>2021/201</w:t>
            </w:r>
            <w:r w:rsidR="00413F03" w:rsidRPr="009D409F">
              <w:rPr>
                <w:rFonts w:ascii="Calibri" w:eastAsia="Times New Roman" w:hAnsi="Calibri" w:cs="Calibri"/>
                <w:b/>
                <w:color w:val="000000" w:themeColor="text1"/>
                <w:sz w:val="20"/>
                <w:szCs w:val="20"/>
                <w:lang w:eastAsia="cs-CZ"/>
              </w:rPr>
              <w:t>9</w:t>
            </w:r>
          </w:p>
        </w:tc>
      </w:tr>
      <w:tr w:rsidR="009D409F" w:rsidRPr="009D409F" w14:paraId="6D773EFF" w14:textId="77777777" w:rsidTr="00522A31">
        <w:trPr>
          <w:trHeight w:val="57"/>
        </w:trPr>
        <w:tc>
          <w:tcPr>
            <w:tcW w:w="3164" w:type="dxa"/>
            <w:tcBorders>
              <w:top w:val="nil"/>
              <w:left w:val="single" w:sz="4" w:space="0" w:color="auto"/>
              <w:bottom w:val="single" w:sz="4" w:space="0" w:color="auto"/>
              <w:right w:val="single" w:sz="4" w:space="0" w:color="auto"/>
            </w:tcBorders>
            <w:shd w:val="clear" w:color="auto" w:fill="auto"/>
            <w:noWrap/>
            <w:vAlign w:val="center"/>
            <w:hideMark/>
          </w:tcPr>
          <w:p w14:paraId="6D773EF9" w14:textId="05434698" w:rsidR="00C0757B" w:rsidRPr="009D409F" w:rsidRDefault="005E14A0" w:rsidP="009D409F">
            <w:pPr>
              <w:spacing w:after="0" w:line="240" w:lineRule="auto"/>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S</w:t>
            </w:r>
            <w:r w:rsidR="00781CDD" w:rsidRPr="009D409F">
              <w:rPr>
                <w:rFonts w:ascii="Calibri" w:eastAsia="Times New Roman" w:hAnsi="Calibri" w:cs="Calibri"/>
                <w:color w:val="000000" w:themeColor="text1"/>
                <w:sz w:val="20"/>
                <w:szCs w:val="20"/>
                <w:lang w:eastAsia="cs-CZ"/>
              </w:rPr>
              <w:t>PO na úrovni systému</w:t>
            </w:r>
          </w:p>
        </w:tc>
        <w:tc>
          <w:tcPr>
            <w:tcW w:w="1020" w:type="dxa"/>
            <w:tcBorders>
              <w:top w:val="nil"/>
              <w:left w:val="nil"/>
              <w:bottom w:val="single" w:sz="4" w:space="0" w:color="auto"/>
              <w:right w:val="single" w:sz="4" w:space="0" w:color="auto"/>
            </w:tcBorders>
            <w:shd w:val="clear" w:color="auto" w:fill="auto"/>
            <w:noWrap/>
            <w:vAlign w:val="center"/>
          </w:tcPr>
          <w:p w14:paraId="6D773EFA" w14:textId="6455DDB9" w:rsidR="00C0757B" w:rsidRPr="009D409F" w:rsidRDefault="00D23BC0"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Style w:val="urtxtstd11"/>
                <w:rFonts w:ascii="Calibri" w:hAnsi="Calibri" w:cs="Calibri"/>
                <w:color w:val="000000" w:themeColor="text1"/>
                <w:sz w:val="20"/>
                <w:szCs w:val="20"/>
              </w:rPr>
              <w:t>2 689,5</w:t>
            </w:r>
          </w:p>
        </w:tc>
        <w:tc>
          <w:tcPr>
            <w:tcW w:w="1020" w:type="dxa"/>
            <w:tcBorders>
              <w:top w:val="nil"/>
              <w:left w:val="nil"/>
              <w:bottom w:val="single" w:sz="4" w:space="0" w:color="auto"/>
              <w:right w:val="single" w:sz="4" w:space="0" w:color="auto"/>
            </w:tcBorders>
            <w:shd w:val="clear" w:color="auto" w:fill="auto"/>
            <w:noWrap/>
            <w:vAlign w:val="center"/>
          </w:tcPr>
          <w:p w14:paraId="6D773EFB" w14:textId="5C0372F0" w:rsidR="00C0757B" w:rsidRPr="009D409F" w:rsidRDefault="00D23BC0" w:rsidP="00522A31">
            <w:pPr>
              <w:spacing w:after="0" w:line="240" w:lineRule="auto"/>
              <w:ind w:right="113"/>
              <w:jc w:val="right"/>
              <w:rPr>
                <w:rStyle w:val="urtxtstd11"/>
                <w:rFonts w:ascii="Calibri" w:hAnsi="Calibri" w:cs="Calibri"/>
                <w:color w:val="000000" w:themeColor="text1"/>
                <w:sz w:val="20"/>
                <w:szCs w:val="20"/>
              </w:rPr>
            </w:pPr>
            <w:r w:rsidRPr="009D409F">
              <w:rPr>
                <w:rStyle w:val="urtxtstd11"/>
                <w:rFonts w:ascii="Calibri" w:hAnsi="Calibri" w:cs="Calibri"/>
                <w:color w:val="000000" w:themeColor="text1"/>
                <w:sz w:val="20"/>
                <w:szCs w:val="20"/>
              </w:rPr>
              <w:t>2 848,</w:t>
            </w:r>
            <w:r w:rsidR="006A0BF6" w:rsidRPr="009D409F">
              <w:rPr>
                <w:rStyle w:val="urtxtstd11"/>
                <w:rFonts w:ascii="Calibri" w:hAnsi="Calibri" w:cs="Calibri"/>
                <w:color w:val="000000" w:themeColor="text1"/>
                <w:sz w:val="20"/>
                <w:szCs w:val="20"/>
              </w:rPr>
              <w:t>2</w:t>
            </w:r>
          </w:p>
        </w:tc>
        <w:tc>
          <w:tcPr>
            <w:tcW w:w="1020" w:type="dxa"/>
            <w:tcBorders>
              <w:top w:val="nil"/>
              <w:left w:val="nil"/>
              <w:bottom w:val="single" w:sz="4" w:space="0" w:color="auto"/>
              <w:right w:val="single" w:sz="4" w:space="0" w:color="auto"/>
            </w:tcBorders>
            <w:shd w:val="clear" w:color="auto" w:fill="auto"/>
            <w:noWrap/>
            <w:vAlign w:val="center"/>
          </w:tcPr>
          <w:p w14:paraId="6D773EFC" w14:textId="0B5D41C6" w:rsidR="00C0757B" w:rsidRPr="009D409F" w:rsidRDefault="00D23BC0"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3 010,5</w:t>
            </w:r>
          </w:p>
        </w:tc>
        <w:tc>
          <w:tcPr>
            <w:tcW w:w="1417" w:type="dxa"/>
            <w:tcBorders>
              <w:top w:val="nil"/>
              <w:left w:val="nil"/>
              <w:bottom w:val="single" w:sz="4" w:space="0" w:color="auto"/>
              <w:right w:val="single" w:sz="4" w:space="0" w:color="auto"/>
            </w:tcBorders>
            <w:shd w:val="clear" w:color="auto" w:fill="auto"/>
            <w:noWrap/>
            <w:vAlign w:val="center"/>
          </w:tcPr>
          <w:p w14:paraId="6D773EFD" w14:textId="13B10194" w:rsidR="00C0757B" w:rsidRPr="009D409F" w:rsidRDefault="00D23BC0"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321,0</w:t>
            </w:r>
          </w:p>
        </w:tc>
        <w:tc>
          <w:tcPr>
            <w:tcW w:w="1417" w:type="dxa"/>
            <w:tcBorders>
              <w:top w:val="nil"/>
              <w:left w:val="nil"/>
              <w:bottom w:val="single" w:sz="4" w:space="0" w:color="auto"/>
              <w:right w:val="single" w:sz="4" w:space="0" w:color="auto"/>
            </w:tcBorders>
            <w:shd w:val="clear" w:color="auto" w:fill="auto"/>
            <w:noWrap/>
            <w:vAlign w:val="center"/>
          </w:tcPr>
          <w:p w14:paraId="6D773EFE" w14:textId="53CEAE60" w:rsidR="00C0757B" w:rsidRPr="009D409F" w:rsidRDefault="00D23BC0"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111</w:t>
            </w:r>
            <w:r w:rsidR="00556C15" w:rsidRPr="009D409F">
              <w:rPr>
                <w:rFonts w:ascii="Calibri" w:eastAsia="Times New Roman" w:hAnsi="Calibri" w:cs="Calibri"/>
                <w:color w:val="000000" w:themeColor="text1"/>
                <w:sz w:val="20"/>
                <w:szCs w:val="20"/>
                <w:lang w:eastAsia="cs-CZ"/>
              </w:rPr>
              <w:t>,</w:t>
            </w:r>
            <w:r w:rsidR="00535940" w:rsidRPr="009D409F">
              <w:rPr>
                <w:rFonts w:ascii="Calibri" w:eastAsia="Times New Roman" w:hAnsi="Calibri" w:cs="Calibri"/>
                <w:color w:val="000000" w:themeColor="text1"/>
                <w:sz w:val="20"/>
                <w:szCs w:val="20"/>
                <w:lang w:eastAsia="cs-CZ"/>
              </w:rPr>
              <w:t>9</w:t>
            </w:r>
            <w:r w:rsidR="00556C15" w:rsidRPr="009D409F">
              <w:rPr>
                <w:rFonts w:ascii="Calibri" w:eastAsia="Times New Roman" w:hAnsi="Calibri" w:cs="Calibri"/>
                <w:color w:val="000000" w:themeColor="text1"/>
                <w:sz w:val="20"/>
                <w:szCs w:val="20"/>
                <w:lang w:eastAsia="cs-CZ"/>
              </w:rPr>
              <w:t xml:space="preserve"> %</w:t>
            </w:r>
          </w:p>
        </w:tc>
      </w:tr>
      <w:tr w:rsidR="009D409F" w:rsidRPr="009D409F" w14:paraId="6D773F06" w14:textId="77777777" w:rsidTr="00522A31">
        <w:trPr>
          <w:trHeight w:val="57"/>
        </w:trPr>
        <w:tc>
          <w:tcPr>
            <w:tcW w:w="3164" w:type="dxa"/>
            <w:tcBorders>
              <w:top w:val="nil"/>
              <w:left w:val="single" w:sz="4" w:space="0" w:color="auto"/>
              <w:bottom w:val="single" w:sz="4" w:space="0" w:color="auto"/>
              <w:right w:val="single" w:sz="4" w:space="0" w:color="auto"/>
            </w:tcBorders>
            <w:shd w:val="clear" w:color="auto" w:fill="auto"/>
            <w:noWrap/>
            <w:vAlign w:val="center"/>
            <w:hideMark/>
          </w:tcPr>
          <w:p w14:paraId="6D773F00" w14:textId="7D7996A9" w:rsidR="00C0757B" w:rsidRPr="009D409F" w:rsidRDefault="00BA5BDD" w:rsidP="009D409F">
            <w:pPr>
              <w:spacing w:after="0" w:line="240" w:lineRule="auto"/>
              <w:rPr>
                <w:rFonts w:ascii="Calibri" w:eastAsia="Times New Roman" w:hAnsi="Calibri" w:cs="Calibri"/>
                <w:color w:val="000000" w:themeColor="text1"/>
                <w:sz w:val="20"/>
                <w:szCs w:val="20"/>
                <w:lang w:eastAsia="cs-CZ"/>
              </w:rPr>
            </w:pPr>
            <w:r>
              <w:rPr>
                <w:rFonts w:ascii="Calibri" w:eastAsia="Times New Roman" w:hAnsi="Calibri" w:cs="Calibri"/>
                <w:color w:val="000000" w:themeColor="text1"/>
                <w:sz w:val="20"/>
                <w:szCs w:val="20"/>
                <w:lang w:eastAsia="cs-CZ"/>
              </w:rPr>
              <w:t>K</w:t>
            </w:r>
            <w:r w:rsidR="00781CDD" w:rsidRPr="009D409F">
              <w:rPr>
                <w:rFonts w:ascii="Calibri" w:eastAsia="Times New Roman" w:hAnsi="Calibri" w:cs="Calibri"/>
                <w:color w:val="000000" w:themeColor="text1"/>
                <w:sz w:val="20"/>
                <w:szCs w:val="20"/>
                <w:lang w:eastAsia="cs-CZ"/>
              </w:rPr>
              <w:t xml:space="preserve">ontrolované </w:t>
            </w:r>
            <w:r w:rsidR="005E14A0" w:rsidRPr="009D409F">
              <w:rPr>
                <w:rFonts w:ascii="Calibri" w:eastAsia="Times New Roman" w:hAnsi="Calibri" w:cs="Calibri"/>
                <w:color w:val="000000" w:themeColor="text1"/>
                <w:sz w:val="20"/>
                <w:szCs w:val="20"/>
                <w:lang w:eastAsia="cs-CZ"/>
              </w:rPr>
              <w:t>S</w:t>
            </w:r>
            <w:r w:rsidR="00781CDD" w:rsidRPr="009D409F">
              <w:rPr>
                <w:rFonts w:ascii="Calibri" w:eastAsia="Times New Roman" w:hAnsi="Calibri" w:cs="Calibri"/>
                <w:color w:val="000000" w:themeColor="text1"/>
                <w:sz w:val="20"/>
                <w:szCs w:val="20"/>
                <w:lang w:eastAsia="cs-CZ"/>
              </w:rPr>
              <w:t>PO</w:t>
            </w:r>
          </w:p>
        </w:tc>
        <w:tc>
          <w:tcPr>
            <w:tcW w:w="1020" w:type="dxa"/>
            <w:tcBorders>
              <w:top w:val="nil"/>
              <w:left w:val="nil"/>
              <w:bottom w:val="single" w:sz="4" w:space="0" w:color="auto"/>
              <w:right w:val="single" w:sz="4" w:space="0" w:color="auto"/>
            </w:tcBorders>
            <w:shd w:val="clear" w:color="auto" w:fill="auto"/>
            <w:noWrap/>
            <w:vAlign w:val="center"/>
            <w:hideMark/>
          </w:tcPr>
          <w:p w14:paraId="6D773F01" w14:textId="22B4E515" w:rsidR="00C0757B" w:rsidRPr="009D409F"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25</w:t>
            </w:r>
            <w:r w:rsidR="00E862B3" w:rsidRPr="009D409F">
              <w:rPr>
                <w:rFonts w:ascii="Calibri" w:eastAsia="Times New Roman" w:hAnsi="Calibri" w:cs="Calibri"/>
                <w:color w:val="000000" w:themeColor="text1"/>
                <w:sz w:val="20"/>
                <w:szCs w:val="20"/>
                <w:lang w:eastAsia="cs-CZ"/>
              </w:rPr>
              <w:t>2</w:t>
            </w:r>
            <w:r w:rsidRPr="009D409F">
              <w:rPr>
                <w:rFonts w:ascii="Calibri" w:eastAsia="Times New Roman" w:hAnsi="Calibri" w:cs="Calibri"/>
                <w:color w:val="000000" w:themeColor="text1"/>
                <w:sz w:val="20"/>
                <w:szCs w:val="20"/>
                <w:lang w:eastAsia="cs-CZ"/>
              </w:rPr>
              <w:t>,</w:t>
            </w:r>
            <w:r w:rsidR="00E862B3" w:rsidRPr="009D409F">
              <w:rPr>
                <w:rFonts w:ascii="Calibri" w:eastAsia="Times New Roman" w:hAnsi="Calibri" w:cs="Calibri"/>
                <w:color w:val="000000" w:themeColor="text1"/>
                <w:sz w:val="20"/>
                <w:szCs w:val="20"/>
                <w:lang w:eastAsia="cs-CZ"/>
              </w:rPr>
              <w:t>8</w:t>
            </w:r>
          </w:p>
        </w:tc>
        <w:tc>
          <w:tcPr>
            <w:tcW w:w="1020" w:type="dxa"/>
            <w:tcBorders>
              <w:top w:val="nil"/>
              <w:left w:val="nil"/>
              <w:bottom w:val="single" w:sz="4" w:space="0" w:color="auto"/>
              <w:right w:val="single" w:sz="4" w:space="0" w:color="auto"/>
            </w:tcBorders>
            <w:shd w:val="clear" w:color="auto" w:fill="auto"/>
            <w:noWrap/>
            <w:vAlign w:val="center"/>
            <w:hideMark/>
          </w:tcPr>
          <w:p w14:paraId="6D773F02" w14:textId="10C50949" w:rsidR="00C0757B" w:rsidRPr="009D409F"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2</w:t>
            </w:r>
            <w:r w:rsidR="0044340D" w:rsidRPr="009D409F">
              <w:rPr>
                <w:rFonts w:ascii="Calibri" w:eastAsia="Times New Roman" w:hAnsi="Calibri" w:cs="Calibri"/>
                <w:color w:val="000000" w:themeColor="text1"/>
                <w:sz w:val="20"/>
                <w:szCs w:val="20"/>
                <w:lang w:eastAsia="cs-CZ"/>
              </w:rPr>
              <w:t>7</w:t>
            </w:r>
            <w:r w:rsidRPr="009D409F">
              <w:rPr>
                <w:rFonts w:ascii="Calibri" w:eastAsia="Times New Roman" w:hAnsi="Calibri" w:cs="Calibri"/>
                <w:color w:val="000000" w:themeColor="text1"/>
                <w:sz w:val="20"/>
                <w:szCs w:val="20"/>
                <w:lang w:eastAsia="cs-CZ"/>
              </w:rPr>
              <w:t>5,</w:t>
            </w:r>
            <w:r w:rsidR="0044340D" w:rsidRPr="009D409F">
              <w:rPr>
                <w:rFonts w:ascii="Calibri" w:eastAsia="Times New Roman" w:hAnsi="Calibri" w:cs="Calibri"/>
                <w:color w:val="000000" w:themeColor="text1"/>
                <w:sz w:val="20"/>
                <w:szCs w:val="20"/>
                <w:lang w:eastAsia="cs-CZ"/>
              </w:rPr>
              <w:t>8</w:t>
            </w:r>
          </w:p>
        </w:tc>
        <w:tc>
          <w:tcPr>
            <w:tcW w:w="1020" w:type="dxa"/>
            <w:tcBorders>
              <w:top w:val="nil"/>
              <w:left w:val="nil"/>
              <w:bottom w:val="single" w:sz="4" w:space="0" w:color="auto"/>
              <w:right w:val="single" w:sz="4" w:space="0" w:color="auto"/>
            </w:tcBorders>
            <w:shd w:val="clear" w:color="auto" w:fill="auto"/>
            <w:noWrap/>
            <w:vAlign w:val="center"/>
            <w:hideMark/>
          </w:tcPr>
          <w:p w14:paraId="6D773F03" w14:textId="7201F7E7" w:rsidR="00C0757B" w:rsidRPr="009D409F"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263,2</w:t>
            </w:r>
          </w:p>
        </w:tc>
        <w:tc>
          <w:tcPr>
            <w:tcW w:w="1417" w:type="dxa"/>
            <w:tcBorders>
              <w:top w:val="nil"/>
              <w:left w:val="nil"/>
              <w:bottom w:val="single" w:sz="4" w:space="0" w:color="auto"/>
              <w:right w:val="single" w:sz="4" w:space="0" w:color="auto"/>
            </w:tcBorders>
            <w:shd w:val="clear" w:color="auto" w:fill="auto"/>
            <w:noWrap/>
            <w:vAlign w:val="center"/>
          </w:tcPr>
          <w:p w14:paraId="6D773F04" w14:textId="77777777" w:rsidR="00C0757B" w:rsidRPr="009D409F"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10,4</w:t>
            </w:r>
          </w:p>
        </w:tc>
        <w:tc>
          <w:tcPr>
            <w:tcW w:w="1417" w:type="dxa"/>
            <w:tcBorders>
              <w:top w:val="nil"/>
              <w:left w:val="nil"/>
              <w:bottom w:val="single" w:sz="4" w:space="0" w:color="auto"/>
              <w:right w:val="single" w:sz="4" w:space="0" w:color="auto"/>
            </w:tcBorders>
            <w:shd w:val="clear" w:color="auto" w:fill="auto"/>
            <w:noWrap/>
            <w:vAlign w:val="center"/>
          </w:tcPr>
          <w:p w14:paraId="6D773F05" w14:textId="77777777" w:rsidR="00C0757B" w:rsidRPr="009D409F"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9D409F">
              <w:rPr>
                <w:rFonts w:ascii="Calibri" w:eastAsia="Times New Roman" w:hAnsi="Calibri" w:cs="Calibri"/>
                <w:color w:val="000000" w:themeColor="text1"/>
                <w:sz w:val="20"/>
                <w:szCs w:val="20"/>
                <w:lang w:eastAsia="cs-CZ"/>
              </w:rPr>
              <w:t>10</w:t>
            </w:r>
            <w:r w:rsidR="00535940" w:rsidRPr="009D409F">
              <w:rPr>
                <w:rFonts w:ascii="Calibri" w:eastAsia="Times New Roman" w:hAnsi="Calibri" w:cs="Calibri"/>
                <w:color w:val="000000" w:themeColor="text1"/>
                <w:sz w:val="20"/>
                <w:szCs w:val="20"/>
                <w:lang w:eastAsia="cs-CZ"/>
              </w:rPr>
              <w:t>4,1 %</w:t>
            </w:r>
          </w:p>
        </w:tc>
      </w:tr>
    </w:tbl>
    <w:p w14:paraId="4A3D80FD" w14:textId="3C95D532" w:rsidR="00506CE7" w:rsidRPr="00522A31" w:rsidRDefault="00781CDD" w:rsidP="00522A31">
      <w:pPr>
        <w:spacing w:before="40" w:after="0" w:line="240" w:lineRule="auto"/>
        <w:rPr>
          <w:rFonts w:ascii="Calibri" w:hAnsi="Calibri" w:cs="Calibri"/>
          <w:sz w:val="20"/>
          <w:szCs w:val="20"/>
        </w:rPr>
      </w:pPr>
      <w:r w:rsidRPr="00522A31">
        <w:rPr>
          <w:rFonts w:ascii="Calibri" w:hAnsi="Calibri" w:cs="Calibri"/>
          <w:b/>
          <w:sz w:val="20"/>
          <w:szCs w:val="20"/>
        </w:rPr>
        <w:t>Zdroj:</w:t>
      </w:r>
      <w:r w:rsidRPr="00522A31">
        <w:rPr>
          <w:rFonts w:ascii="Calibri" w:hAnsi="Calibri" w:cs="Calibri"/>
          <w:sz w:val="20"/>
          <w:szCs w:val="20"/>
        </w:rPr>
        <w:t xml:space="preserve"> </w:t>
      </w:r>
      <w:r w:rsidR="003817CA" w:rsidRPr="00522A31">
        <w:rPr>
          <w:rFonts w:ascii="Calibri" w:hAnsi="Calibri" w:cs="Calibri"/>
          <w:sz w:val="20"/>
          <w:szCs w:val="20"/>
        </w:rPr>
        <w:t xml:space="preserve">podklady ke zpracování </w:t>
      </w:r>
      <w:r w:rsidR="00BA5BDD">
        <w:rPr>
          <w:rFonts w:ascii="Calibri" w:hAnsi="Calibri" w:cs="Calibri"/>
          <w:sz w:val="20"/>
          <w:szCs w:val="20"/>
        </w:rPr>
        <w:t>s</w:t>
      </w:r>
      <w:r w:rsidR="003817CA" w:rsidRPr="00522A31">
        <w:rPr>
          <w:rFonts w:ascii="Calibri" w:hAnsi="Calibri" w:cs="Calibri"/>
          <w:sz w:val="20"/>
          <w:szCs w:val="20"/>
        </w:rPr>
        <w:t xml:space="preserve">tátního závěrečného účtu za jednotlivé </w:t>
      </w:r>
      <w:r w:rsidR="005E14A0" w:rsidRPr="00522A31">
        <w:rPr>
          <w:rFonts w:ascii="Calibri" w:hAnsi="Calibri" w:cs="Calibri"/>
          <w:sz w:val="20"/>
          <w:szCs w:val="20"/>
        </w:rPr>
        <w:t>S</w:t>
      </w:r>
      <w:r w:rsidR="003817CA" w:rsidRPr="00522A31">
        <w:rPr>
          <w:rFonts w:ascii="Calibri" w:hAnsi="Calibri" w:cs="Calibri"/>
          <w:sz w:val="20"/>
          <w:szCs w:val="20"/>
        </w:rPr>
        <w:t>PO</w:t>
      </w:r>
      <w:r w:rsidR="00BA5BDD">
        <w:rPr>
          <w:rFonts w:ascii="Calibri" w:hAnsi="Calibri" w:cs="Calibri"/>
          <w:sz w:val="20"/>
          <w:szCs w:val="20"/>
        </w:rPr>
        <w:t xml:space="preserve"> pro roky </w:t>
      </w:r>
      <w:r w:rsidR="00BA5BDD">
        <w:rPr>
          <w:sz w:val="20"/>
          <w:szCs w:val="20"/>
        </w:rPr>
        <w:t>2019 až 2021</w:t>
      </w:r>
      <w:r w:rsidR="003817CA" w:rsidRPr="00522A31">
        <w:rPr>
          <w:rFonts w:ascii="Calibri" w:hAnsi="Calibri" w:cs="Calibri"/>
          <w:sz w:val="20"/>
          <w:szCs w:val="20"/>
        </w:rPr>
        <w:t>.</w:t>
      </w:r>
    </w:p>
    <w:p w14:paraId="725D5E7A" w14:textId="77777777" w:rsidR="00506CE7" w:rsidRDefault="00506CE7" w:rsidP="00EC130E">
      <w:pPr>
        <w:spacing w:after="0" w:line="240" w:lineRule="auto"/>
        <w:rPr>
          <w:rFonts w:eastAsia="Calibri" w:cstheme="minorHAnsi"/>
          <w:sz w:val="24"/>
          <w:szCs w:val="24"/>
        </w:rPr>
      </w:pPr>
    </w:p>
    <w:p w14:paraId="6D773F07" w14:textId="02FE6B74" w:rsidR="000008BA" w:rsidRDefault="00781CDD" w:rsidP="00EC130E">
      <w:pPr>
        <w:spacing w:after="0" w:line="240" w:lineRule="auto"/>
        <w:rPr>
          <w:rFonts w:eastAsia="Calibri" w:cstheme="minorHAnsi"/>
          <w:sz w:val="24"/>
          <w:szCs w:val="24"/>
        </w:rPr>
      </w:pPr>
      <w:r>
        <w:rPr>
          <w:rFonts w:eastAsia="Calibri" w:cstheme="minorHAnsi"/>
          <w:sz w:val="24"/>
          <w:szCs w:val="24"/>
        </w:rPr>
        <w:br w:type="page"/>
      </w:r>
    </w:p>
    <w:p w14:paraId="6D773F08" w14:textId="77777777" w:rsidR="000008BA" w:rsidRPr="00522A31" w:rsidRDefault="00781CDD" w:rsidP="00EC130E">
      <w:pPr>
        <w:spacing w:after="0" w:line="240" w:lineRule="auto"/>
        <w:jc w:val="right"/>
        <w:rPr>
          <w:rFonts w:eastAsia="Calibri" w:cstheme="minorHAnsi"/>
          <w:b/>
          <w:sz w:val="24"/>
          <w:szCs w:val="24"/>
        </w:rPr>
      </w:pPr>
      <w:r w:rsidRPr="00522A31">
        <w:rPr>
          <w:rFonts w:eastAsia="Calibri" w:cstheme="minorHAnsi"/>
          <w:b/>
          <w:sz w:val="24"/>
          <w:szCs w:val="24"/>
        </w:rPr>
        <w:lastRenderedPageBreak/>
        <w:t>Příloha č. 2</w:t>
      </w:r>
    </w:p>
    <w:p w14:paraId="6D773F09" w14:textId="77777777" w:rsidR="000008BA" w:rsidRPr="008E7AC2" w:rsidRDefault="000008BA" w:rsidP="00EC130E">
      <w:pPr>
        <w:spacing w:after="0" w:line="240" w:lineRule="auto"/>
        <w:jc w:val="both"/>
        <w:rPr>
          <w:rFonts w:eastAsia="Calibri" w:cstheme="minorHAnsi"/>
          <w:b/>
          <w:sz w:val="24"/>
          <w:szCs w:val="24"/>
        </w:rPr>
      </w:pPr>
    </w:p>
    <w:p w14:paraId="6D773F0A" w14:textId="38D2CB4E" w:rsidR="000008BA" w:rsidRPr="008E7AC2" w:rsidRDefault="00781CDD" w:rsidP="00EC130E">
      <w:pPr>
        <w:spacing w:after="0" w:line="240" w:lineRule="auto"/>
        <w:jc w:val="both"/>
        <w:rPr>
          <w:rFonts w:eastAsia="Calibri" w:cstheme="minorHAnsi"/>
          <w:b/>
          <w:sz w:val="24"/>
          <w:szCs w:val="24"/>
        </w:rPr>
      </w:pPr>
      <w:r w:rsidRPr="008E7AC2">
        <w:rPr>
          <w:rFonts w:eastAsia="Calibri" w:cstheme="minorHAnsi"/>
          <w:b/>
          <w:sz w:val="24"/>
          <w:szCs w:val="24"/>
        </w:rPr>
        <w:t xml:space="preserve">Vývoj počtu zaměstnanců v </w:t>
      </w:r>
      <w:r w:rsidR="005E14A0" w:rsidRPr="008E7AC2">
        <w:rPr>
          <w:rFonts w:eastAsia="Calibri" w:cstheme="minorHAnsi"/>
          <w:b/>
          <w:sz w:val="24"/>
          <w:szCs w:val="24"/>
        </w:rPr>
        <w:t>S</w:t>
      </w:r>
      <w:r w:rsidRPr="008E7AC2">
        <w:rPr>
          <w:rFonts w:eastAsia="Calibri" w:cstheme="minorHAnsi"/>
          <w:b/>
          <w:sz w:val="24"/>
          <w:szCs w:val="24"/>
        </w:rPr>
        <w:t>PO</w:t>
      </w:r>
    </w:p>
    <w:p w14:paraId="6D773F0B" w14:textId="77777777" w:rsidR="000008BA" w:rsidRDefault="000008BA" w:rsidP="00EC130E">
      <w:pPr>
        <w:spacing w:after="0" w:line="240" w:lineRule="auto"/>
        <w:jc w:val="both"/>
        <w:rPr>
          <w:sz w:val="24"/>
          <w:szCs w:val="24"/>
        </w:rPr>
      </w:pPr>
    </w:p>
    <w:p w14:paraId="6D773F0C" w14:textId="5B20B482" w:rsidR="000008BA" w:rsidRDefault="00781CDD" w:rsidP="00EC130E">
      <w:pPr>
        <w:spacing w:after="0" w:line="240" w:lineRule="auto"/>
        <w:jc w:val="both"/>
        <w:rPr>
          <w:rFonts w:eastAsia="Calibri" w:cstheme="minorHAnsi"/>
          <w:sz w:val="24"/>
          <w:szCs w:val="24"/>
        </w:rPr>
      </w:pPr>
      <w:r w:rsidRPr="00E6424B">
        <w:rPr>
          <w:rFonts w:eastAsia="Calibri" w:cstheme="minorHAnsi"/>
          <w:sz w:val="24"/>
          <w:szCs w:val="24"/>
        </w:rPr>
        <w:t xml:space="preserve">Počet zaměstnanců v </w:t>
      </w:r>
      <w:r w:rsidR="005E14A0">
        <w:rPr>
          <w:rFonts w:eastAsia="Calibri" w:cstheme="minorHAnsi"/>
          <w:sz w:val="24"/>
          <w:szCs w:val="24"/>
        </w:rPr>
        <w:t>S</w:t>
      </w:r>
      <w:r w:rsidRPr="00E6424B">
        <w:rPr>
          <w:rFonts w:eastAsia="Calibri" w:cstheme="minorHAnsi"/>
          <w:sz w:val="24"/>
          <w:szCs w:val="24"/>
        </w:rPr>
        <w:t>PO na úrovni systému se snížil v roce 2021 oproti roku 2019 o </w:t>
      </w:r>
      <w:r w:rsidR="000C31CD">
        <w:rPr>
          <w:rFonts w:eastAsia="Calibri" w:cstheme="minorHAnsi"/>
          <w:sz w:val="24"/>
          <w:szCs w:val="24"/>
        </w:rPr>
        <w:t>11</w:t>
      </w:r>
      <w:r w:rsidRPr="00E6424B">
        <w:rPr>
          <w:rFonts w:eastAsia="Calibri" w:cstheme="minorHAnsi"/>
          <w:sz w:val="24"/>
          <w:szCs w:val="24"/>
        </w:rPr>
        <w:t>, tj.</w:t>
      </w:r>
      <w:r w:rsidR="00B47085">
        <w:rPr>
          <w:rFonts w:eastAsia="Calibri" w:cstheme="minorHAnsi"/>
          <w:sz w:val="24"/>
          <w:szCs w:val="24"/>
        </w:rPr>
        <w:t> </w:t>
      </w:r>
      <w:r w:rsidRPr="00E6424B">
        <w:rPr>
          <w:rFonts w:eastAsia="Calibri" w:cstheme="minorHAnsi"/>
          <w:sz w:val="24"/>
          <w:szCs w:val="24"/>
        </w:rPr>
        <w:t>o</w:t>
      </w:r>
      <w:r w:rsidR="00B47085">
        <w:rPr>
          <w:rFonts w:eastAsia="Calibri" w:cstheme="minorHAnsi"/>
          <w:sz w:val="24"/>
          <w:szCs w:val="24"/>
        </w:rPr>
        <w:t> </w:t>
      </w:r>
      <w:r w:rsidR="000C31CD">
        <w:rPr>
          <w:rFonts w:eastAsia="Calibri" w:cstheme="minorHAnsi"/>
          <w:sz w:val="24"/>
          <w:szCs w:val="24"/>
        </w:rPr>
        <w:t>0</w:t>
      </w:r>
      <w:r w:rsidRPr="00E6424B">
        <w:rPr>
          <w:rFonts w:eastAsia="Calibri" w:cstheme="minorHAnsi"/>
          <w:sz w:val="24"/>
          <w:szCs w:val="24"/>
        </w:rPr>
        <w:t>,</w:t>
      </w:r>
      <w:r w:rsidR="000C31CD">
        <w:rPr>
          <w:rFonts w:eastAsia="Calibri" w:cstheme="minorHAnsi"/>
          <w:sz w:val="24"/>
          <w:szCs w:val="24"/>
        </w:rPr>
        <w:t>4</w:t>
      </w:r>
      <w:r w:rsidRPr="00E6424B">
        <w:rPr>
          <w:rFonts w:eastAsia="Calibri" w:cstheme="minorHAnsi"/>
          <w:sz w:val="24"/>
          <w:szCs w:val="24"/>
        </w:rPr>
        <w:t xml:space="preserve"> %. V těchto </w:t>
      </w:r>
      <w:r w:rsidR="005E14A0">
        <w:rPr>
          <w:rFonts w:eastAsia="Calibri" w:cstheme="minorHAnsi"/>
          <w:sz w:val="24"/>
          <w:szCs w:val="24"/>
        </w:rPr>
        <w:t>S</w:t>
      </w:r>
      <w:r w:rsidRPr="00E6424B">
        <w:rPr>
          <w:rFonts w:eastAsia="Calibri" w:cstheme="minorHAnsi"/>
          <w:sz w:val="24"/>
          <w:szCs w:val="24"/>
        </w:rPr>
        <w:t xml:space="preserve">PO tak v roce 2021 pracovalo 2 </w:t>
      </w:r>
      <w:r w:rsidR="00B30867">
        <w:rPr>
          <w:rFonts w:eastAsia="Calibri" w:cstheme="minorHAnsi"/>
          <w:sz w:val="24"/>
          <w:szCs w:val="24"/>
        </w:rPr>
        <w:t>721</w:t>
      </w:r>
      <w:r w:rsidRPr="00E6424B">
        <w:rPr>
          <w:rFonts w:eastAsia="Calibri" w:cstheme="minorHAnsi"/>
          <w:sz w:val="24"/>
          <w:szCs w:val="24"/>
        </w:rPr>
        <w:t xml:space="preserve"> zaměstnanců. Ve </w:t>
      </w:r>
      <w:r w:rsidR="00170410">
        <w:rPr>
          <w:rFonts w:eastAsia="Calibri" w:cstheme="minorHAnsi"/>
          <w:sz w:val="24"/>
          <w:szCs w:val="24"/>
        </w:rPr>
        <w:t xml:space="preserve">čtyřech </w:t>
      </w:r>
      <w:r w:rsidRPr="00E6424B">
        <w:rPr>
          <w:rFonts w:eastAsia="Calibri" w:cstheme="minorHAnsi"/>
          <w:sz w:val="24"/>
          <w:szCs w:val="24"/>
        </w:rPr>
        <w:t xml:space="preserve">kontrolovaných </w:t>
      </w:r>
      <w:r w:rsidR="005E14A0">
        <w:rPr>
          <w:rFonts w:eastAsia="Calibri" w:cstheme="minorHAnsi"/>
          <w:sz w:val="24"/>
          <w:szCs w:val="24"/>
        </w:rPr>
        <w:t>S</w:t>
      </w:r>
      <w:r w:rsidRPr="00E6424B">
        <w:rPr>
          <w:rFonts w:eastAsia="Calibri" w:cstheme="minorHAnsi"/>
          <w:sz w:val="24"/>
          <w:szCs w:val="24"/>
        </w:rPr>
        <w:t>PO vzrostl počet zaměstnanců v roce 2021 oproti roku 2019 o 22, tj. o 6,6 %. K růstu počtu zaměstnanců docházelo každoročně.</w:t>
      </w:r>
    </w:p>
    <w:p w14:paraId="6D773F0D" w14:textId="77777777" w:rsidR="00EC130E" w:rsidRDefault="00EC130E" w:rsidP="00EC130E">
      <w:pPr>
        <w:spacing w:after="0" w:line="240" w:lineRule="auto"/>
      </w:pPr>
    </w:p>
    <w:p w14:paraId="6D773F0E" w14:textId="3F59BA38" w:rsidR="000008BA" w:rsidRPr="00522A31" w:rsidRDefault="00781CDD" w:rsidP="00522A31">
      <w:pPr>
        <w:spacing w:after="40" w:line="240" w:lineRule="auto"/>
        <w:rPr>
          <w:b/>
          <w:sz w:val="24"/>
        </w:rPr>
      </w:pPr>
      <w:r w:rsidRPr="00522A31">
        <w:rPr>
          <w:b/>
          <w:sz w:val="24"/>
        </w:rPr>
        <w:t xml:space="preserve">Tabulka č. </w:t>
      </w:r>
      <w:r w:rsidR="00363B1D" w:rsidRPr="00522A31">
        <w:rPr>
          <w:b/>
          <w:sz w:val="24"/>
        </w:rPr>
        <w:t>1</w:t>
      </w:r>
      <w:r w:rsidR="00BA5BDD">
        <w:rPr>
          <w:b/>
          <w:sz w:val="24"/>
        </w:rPr>
        <w:t>:</w:t>
      </w:r>
      <w:r w:rsidRPr="00522A31">
        <w:rPr>
          <w:b/>
          <w:sz w:val="24"/>
        </w:rPr>
        <w:t xml:space="preserve"> Vývoj počtu zaměstnanců </w:t>
      </w:r>
    </w:p>
    <w:tbl>
      <w:tblPr>
        <w:tblW w:w="5000" w:type="pct"/>
        <w:tblLayout w:type="fixed"/>
        <w:tblCellMar>
          <w:left w:w="70" w:type="dxa"/>
          <w:right w:w="70" w:type="dxa"/>
        </w:tblCellMar>
        <w:tblLook w:val="04A0" w:firstRow="1" w:lastRow="0" w:firstColumn="1" w:lastColumn="0" w:noHBand="0" w:noVBand="1"/>
      </w:tblPr>
      <w:tblGrid>
        <w:gridCol w:w="3336"/>
        <w:gridCol w:w="1146"/>
        <w:gridCol w:w="1145"/>
        <w:gridCol w:w="1145"/>
        <w:gridCol w:w="1145"/>
        <w:gridCol w:w="1145"/>
      </w:tblGrid>
      <w:tr w:rsidR="00522A31" w:rsidRPr="00522A31" w14:paraId="6D773F15" w14:textId="77777777" w:rsidTr="00522A31">
        <w:trPr>
          <w:trHeight w:val="255"/>
        </w:trPr>
        <w:tc>
          <w:tcPr>
            <w:tcW w:w="184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D773F0F" w14:textId="77777777" w:rsidR="000008BA" w:rsidRPr="00522A31" w:rsidRDefault="00781CDD" w:rsidP="00522A31">
            <w:pPr>
              <w:spacing w:after="0" w:line="240" w:lineRule="auto"/>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Počet zaměstnanců</w:t>
            </w:r>
          </w:p>
        </w:tc>
        <w:tc>
          <w:tcPr>
            <w:tcW w:w="632" w:type="pct"/>
            <w:tcBorders>
              <w:top w:val="single" w:sz="4" w:space="0" w:color="auto"/>
              <w:left w:val="nil"/>
              <w:bottom w:val="single" w:sz="4" w:space="0" w:color="auto"/>
              <w:right w:val="single" w:sz="4" w:space="0" w:color="auto"/>
            </w:tcBorders>
            <w:shd w:val="clear" w:color="auto" w:fill="E5F1FF"/>
            <w:noWrap/>
            <w:vAlign w:val="center"/>
            <w:hideMark/>
          </w:tcPr>
          <w:p w14:paraId="6D773F10" w14:textId="77777777" w:rsidR="000008BA" w:rsidRPr="00522A31" w:rsidRDefault="00781CDD" w:rsidP="00522A31">
            <w:pPr>
              <w:spacing w:after="0" w:line="240" w:lineRule="auto"/>
              <w:jc w:val="center"/>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2019</w:t>
            </w:r>
          </w:p>
        </w:tc>
        <w:tc>
          <w:tcPr>
            <w:tcW w:w="632" w:type="pct"/>
            <w:tcBorders>
              <w:top w:val="single" w:sz="4" w:space="0" w:color="auto"/>
              <w:left w:val="nil"/>
              <w:bottom w:val="single" w:sz="4" w:space="0" w:color="auto"/>
              <w:right w:val="single" w:sz="4" w:space="0" w:color="auto"/>
            </w:tcBorders>
            <w:shd w:val="clear" w:color="auto" w:fill="E5F1FF"/>
            <w:noWrap/>
            <w:vAlign w:val="center"/>
            <w:hideMark/>
          </w:tcPr>
          <w:p w14:paraId="6D773F11" w14:textId="77777777" w:rsidR="000008BA" w:rsidRPr="00522A31" w:rsidRDefault="00781CDD" w:rsidP="00522A31">
            <w:pPr>
              <w:spacing w:after="0" w:line="240" w:lineRule="auto"/>
              <w:jc w:val="center"/>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2020</w:t>
            </w:r>
          </w:p>
        </w:tc>
        <w:tc>
          <w:tcPr>
            <w:tcW w:w="632" w:type="pct"/>
            <w:tcBorders>
              <w:top w:val="single" w:sz="4" w:space="0" w:color="auto"/>
              <w:left w:val="nil"/>
              <w:bottom w:val="single" w:sz="4" w:space="0" w:color="auto"/>
              <w:right w:val="single" w:sz="4" w:space="0" w:color="auto"/>
            </w:tcBorders>
            <w:shd w:val="clear" w:color="auto" w:fill="E5F1FF"/>
            <w:noWrap/>
            <w:vAlign w:val="center"/>
            <w:hideMark/>
          </w:tcPr>
          <w:p w14:paraId="6D773F12" w14:textId="77777777" w:rsidR="000008BA" w:rsidRPr="00522A31" w:rsidRDefault="00781CDD" w:rsidP="00522A31">
            <w:pPr>
              <w:spacing w:after="0" w:line="240" w:lineRule="auto"/>
              <w:jc w:val="center"/>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2021</w:t>
            </w:r>
          </w:p>
        </w:tc>
        <w:tc>
          <w:tcPr>
            <w:tcW w:w="632" w:type="pct"/>
            <w:tcBorders>
              <w:top w:val="single" w:sz="4" w:space="0" w:color="auto"/>
              <w:left w:val="nil"/>
              <w:bottom w:val="single" w:sz="4" w:space="0" w:color="auto"/>
              <w:right w:val="single" w:sz="4" w:space="0" w:color="auto"/>
            </w:tcBorders>
            <w:shd w:val="clear" w:color="auto" w:fill="E5F1FF"/>
            <w:noWrap/>
            <w:vAlign w:val="center"/>
            <w:hideMark/>
          </w:tcPr>
          <w:p w14:paraId="6D773F13" w14:textId="7049D473" w:rsidR="000008BA" w:rsidRPr="00522A31" w:rsidRDefault="00781CDD" w:rsidP="00522A31">
            <w:pPr>
              <w:spacing w:after="0" w:line="240" w:lineRule="auto"/>
              <w:jc w:val="center"/>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2021</w:t>
            </w:r>
            <w:r w:rsidR="000C1384">
              <w:rPr>
                <w:rFonts w:ascii="Calibri" w:eastAsia="Times New Roman" w:hAnsi="Calibri" w:cs="Calibri"/>
                <w:b/>
                <w:color w:val="000000" w:themeColor="text1"/>
                <w:sz w:val="20"/>
                <w:szCs w:val="20"/>
                <w:lang w:eastAsia="cs-CZ"/>
              </w:rPr>
              <w:t>–</w:t>
            </w:r>
            <w:r w:rsidRPr="00522A31">
              <w:rPr>
                <w:rFonts w:ascii="Calibri" w:eastAsia="Times New Roman" w:hAnsi="Calibri" w:cs="Calibri"/>
                <w:b/>
                <w:color w:val="000000" w:themeColor="text1"/>
                <w:sz w:val="20"/>
                <w:szCs w:val="20"/>
                <w:lang w:eastAsia="cs-CZ"/>
              </w:rPr>
              <w:t>2019</w:t>
            </w:r>
          </w:p>
        </w:tc>
        <w:tc>
          <w:tcPr>
            <w:tcW w:w="632" w:type="pct"/>
            <w:tcBorders>
              <w:top w:val="single" w:sz="4" w:space="0" w:color="auto"/>
              <w:left w:val="nil"/>
              <w:bottom w:val="single" w:sz="4" w:space="0" w:color="auto"/>
              <w:right w:val="single" w:sz="4" w:space="0" w:color="auto"/>
            </w:tcBorders>
            <w:shd w:val="clear" w:color="auto" w:fill="E5F1FF"/>
            <w:noWrap/>
            <w:vAlign w:val="center"/>
            <w:hideMark/>
          </w:tcPr>
          <w:p w14:paraId="6D773F14" w14:textId="77777777" w:rsidR="000008BA" w:rsidRPr="00522A31" w:rsidRDefault="00781CDD" w:rsidP="00522A31">
            <w:pPr>
              <w:spacing w:after="0" w:line="240" w:lineRule="auto"/>
              <w:jc w:val="center"/>
              <w:rPr>
                <w:rFonts w:ascii="Calibri" w:eastAsia="Times New Roman" w:hAnsi="Calibri" w:cs="Calibri"/>
                <w:b/>
                <w:color w:val="000000" w:themeColor="text1"/>
                <w:sz w:val="20"/>
                <w:szCs w:val="20"/>
                <w:lang w:eastAsia="cs-CZ"/>
              </w:rPr>
            </w:pPr>
            <w:r w:rsidRPr="00522A31">
              <w:rPr>
                <w:rFonts w:ascii="Calibri" w:eastAsia="Times New Roman" w:hAnsi="Calibri" w:cs="Calibri"/>
                <w:b/>
                <w:color w:val="000000" w:themeColor="text1"/>
                <w:sz w:val="20"/>
                <w:szCs w:val="20"/>
                <w:lang w:eastAsia="cs-CZ"/>
              </w:rPr>
              <w:t>2021/2019</w:t>
            </w:r>
          </w:p>
        </w:tc>
      </w:tr>
      <w:tr w:rsidR="00522A31" w:rsidRPr="00522A31" w14:paraId="6D773F1C" w14:textId="77777777" w:rsidTr="00522A31">
        <w:trPr>
          <w:trHeight w:val="255"/>
        </w:trPr>
        <w:tc>
          <w:tcPr>
            <w:tcW w:w="1840" w:type="pct"/>
            <w:tcBorders>
              <w:top w:val="nil"/>
              <w:left w:val="single" w:sz="4" w:space="0" w:color="auto"/>
              <w:bottom w:val="single" w:sz="4" w:space="0" w:color="auto"/>
              <w:right w:val="single" w:sz="4" w:space="0" w:color="auto"/>
            </w:tcBorders>
            <w:shd w:val="clear" w:color="auto" w:fill="auto"/>
            <w:noWrap/>
            <w:vAlign w:val="center"/>
            <w:hideMark/>
          </w:tcPr>
          <w:p w14:paraId="6D773F16" w14:textId="47335052" w:rsidR="000008BA" w:rsidRPr="00522A31" w:rsidRDefault="005E14A0" w:rsidP="00522A31">
            <w:pPr>
              <w:spacing w:after="0" w:line="240" w:lineRule="auto"/>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S</w:t>
            </w:r>
            <w:r w:rsidR="00781CDD" w:rsidRPr="00522A31">
              <w:rPr>
                <w:rFonts w:ascii="Calibri" w:eastAsia="Times New Roman" w:hAnsi="Calibri" w:cs="Calibri"/>
                <w:color w:val="000000" w:themeColor="text1"/>
                <w:sz w:val="20"/>
                <w:szCs w:val="20"/>
                <w:lang w:eastAsia="cs-CZ"/>
              </w:rPr>
              <w:t>PO na úrovni systému</w:t>
            </w:r>
          </w:p>
        </w:tc>
        <w:tc>
          <w:tcPr>
            <w:tcW w:w="632" w:type="pct"/>
            <w:tcBorders>
              <w:top w:val="nil"/>
              <w:left w:val="nil"/>
              <w:bottom w:val="single" w:sz="4" w:space="0" w:color="auto"/>
              <w:right w:val="single" w:sz="4" w:space="0" w:color="auto"/>
            </w:tcBorders>
            <w:shd w:val="clear" w:color="auto" w:fill="auto"/>
            <w:noWrap/>
            <w:vAlign w:val="center"/>
          </w:tcPr>
          <w:p w14:paraId="6D773F17" w14:textId="0726FB97" w:rsidR="000008BA" w:rsidRPr="00522A31"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 xml:space="preserve">2 </w:t>
            </w:r>
            <w:r w:rsidR="004F776F" w:rsidRPr="00522A31">
              <w:rPr>
                <w:rFonts w:ascii="Calibri" w:eastAsia="Times New Roman" w:hAnsi="Calibri" w:cs="Calibri"/>
                <w:color w:val="000000" w:themeColor="text1"/>
                <w:sz w:val="20"/>
                <w:szCs w:val="20"/>
                <w:lang w:eastAsia="cs-CZ"/>
              </w:rPr>
              <w:t>731,7</w:t>
            </w:r>
          </w:p>
        </w:tc>
        <w:tc>
          <w:tcPr>
            <w:tcW w:w="632" w:type="pct"/>
            <w:tcBorders>
              <w:top w:val="nil"/>
              <w:left w:val="nil"/>
              <w:bottom w:val="single" w:sz="4" w:space="0" w:color="auto"/>
              <w:right w:val="single" w:sz="4" w:space="0" w:color="auto"/>
            </w:tcBorders>
            <w:shd w:val="clear" w:color="auto" w:fill="auto"/>
            <w:noWrap/>
            <w:vAlign w:val="center"/>
          </w:tcPr>
          <w:p w14:paraId="6D773F18" w14:textId="6854D8F1" w:rsidR="000008BA" w:rsidRPr="00522A31"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 xml:space="preserve">2 </w:t>
            </w:r>
            <w:r w:rsidR="004F776F" w:rsidRPr="00522A31">
              <w:rPr>
                <w:rFonts w:ascii="Calibri" w:eastAsia="Times New Roman" w:hAnsi="Calibri" w:cs="Calibri"/>
                <w:color w:val="000000" w:themeColor="text1"/>
                <w:sz w:val="20"/>
                <w:szCs w:val="20"/>
                <w:lang w:eastAsia="cs-CZ"/>
              </w:rPr>
              <w:t>703,0</w:t>
            </w:r>
          </w:p>
        </w:tc>
        <w:tc>
          <w:tcPr>
            <w:tcW w:w="632" w:type="pct"/>
            <w:tcBorders>
              <w:top w:val="nil"/>
              <w:left w:val="nil"/>
              <w:bottom w:val="single" w:sz="4" w:space="0" w:color="auto"/>
              <w:right w:val="single" w:sz="4" w:space="0" w:color="auto"/>
            </w:tcBorders>
            <w:shd w:val="clear" w:color="auto" w:fill="auto"/>
            <w:noWrap/>
            <w:vAlign w:val="center"/>
          </w:tcPr>
          <w:p w14:paraId="6D773F19" w14:textId="751E3629" w:rsidR="000008BA" w:rsidRPr="00522A31" w:rsidRDefault="00D834D8" w:rsidP="00522A31">
            <w:pPr>
              <w:spacing w:after="0" w:line="240" w:lineRule="auto"/>
              <w:ind w:right="113"/>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2 720,6</w:t>
            </w:r>
          </w:p>
        </w:tc>
        <w:tc>
          <w:tcPr>
            <w:tcW w:w="632" w:type="pct"/>
            <w:tcBorders>
              <w:top w:val="nil"/>
              <w:left w:val="nil"/>
              <w:bottom w:val="single" w:sz="4" w:space="0" w:color="auto"/>
              <w:right w:val="single" w:sz="4" w:space="0" w:color="auto"/>
            </w:tcBorders>
            <w:shd w:val="clear" w:color="auto" w:fill="auto"/>
            <w:noWrap/>
            <w:vAlign w:val="center"/>
          </w:tcPr>
          <w:p w14:paraId="6D773F1A" w14:textId="5B684560" w:rsidR="000008BA" w:rsidRPr="00522A31" w:rsidRDefault="000C1384" w:rsidP="00522A31">
            <w:pPr>
              <w:spacing w:after="0" w:line="240" w:lineRule="auto"/>
              <w:ind w:right="113"/>
              <w:jc w:val="right"/>
              <w:rPr>
                <w:rFonts w:ascii="Calibri" w:eastAsia="Times New Roman" w:hAnsi="Calibri" w:cs="Calibri"/>
                <w:color w:val="000000" w:themeColor="text1"/>
                <w:sz w:val="20"/>
                <w:szCs w:val="20"/>
                <w:lang w:eastAsia="cs-CZ"/>
              </w:rPr>
            </w:pPr>
            <w:r>
              <w:rPr>
                <w:rFonts w:ascii="Calibri" w:eastAsia="Times New Roman" w:hAnsi="Calibri" w:cs="Calibri"/>
                <w:color w:val="000000" w:themeColor="text1"/>
                <w:sz w:val="20"/>
                <w:szCs w:val="20"/>
                <w:lang w:eastAsia="cs-CZ"/>
              </w:rPr>
              <w:t>−</w:t>
            </w:r>
            <w:r w:rsidR="00D834D8" w:rsidRPr="00522A31">
              <w:rPr>
                <w:rFonts w:ascii="Calibri" w:eastAsia="Times New Roman" w:hAnsi="Calibri" w:cs="Calibri"/>
                <w:color w:val="000000" w:themeColor="text1"/>
                <w:sz w:val="20"/>
                <w:szCs w:val="20"/>
                <w:lang w:eastAsia="cs-CZ"/>
              </w:rPr>
              <w:t>11,1</w:t>
            </w:r>
          </w:p>
        </w:tc>
        <w:tc>
          <w:tcPr>
            <w:tcW w:w="632" w:type="pct"/>
            <w:tcBorders>
              <w:top w:val="nil"/>
              <w:left w:val="nil"/>
              <w:bottom w:val="single" w:sz="4" w:space="0" w:color="auto"/>
              <w:right w:val="single" w:sz="4" w:space="0" w:color="auto"/>
            </w:tcBorders>
            <w:shd w:val="clear" w:color="auto" w:fill="auto"/>
            <w:noWrap/>
            <w:vAlign w:val="center"/>
          </w:tcPr>
          <w:p w14:paraId="6D773F1B" w14:textId="0B8497EC" w:rsidR="000008BA" w:rsidRPr="00522A31"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9</w:t>
            </w:r>
            <w:r w:rsidR="00D834D8" w:rsidRPr="00522A31">
              <w:rPr>
                <w:rFonts w:ascii="Calibri" w:eastAsia="Times New Roman" w:hAnsi="Calibri" w:cs="Calibri"/>
                <w:color w:val="000000" w:themeColor="text1"/>
                <w:sz w:val="20"/>
                <w:szCs w:val="20"/>
                <w:lang w:eastAsia="cs-CZ"/>
              </w:rPr>
              <w:t>9,6</w:t>
            </w:r>
            <w:r w:rsidRPr="00522A31">
              <w:rPr>
                <w:rFonts w:ascii="Calibri" w:eastAsia="Times New Roman" w:hAnsi="Calibri" w:cs="Calibri"/>
                <w:color w:val="000000" w:themeColor="text1"/>
                <w:sz w:val="20"/>
                <w:szCs w:val="20"/>
                <w:lang w:eastAsia="cs-CZ"/>
              </w:rPr>
              <w:t xml:space="preserve"> %</w:t>
            </w:r>
          </w:p>
        </w:tc>
      </w:tr>
      <w:tr w:rsidR="00522A31" w:rsidRPr="00522A31" w14:paraId="6D773F23" w14:textId="77777777" w:rsidTr="00522A31">
        <w:trPr>
          <w:trHeight w:val="255"/>
        </w:trPr>
        <w:tc>
          <w:tcPr>
            <w:tcW w:w="1840" w:type="pct"/>
            <w:tcBorders>
              <w:top w:val="nil"/>
              <w:left w:val="single" w:sz="4" w:space="0" w:color="auto"/>
              <w:bottom w:val="single" w:sz="4" w:space="0" w:color="auto"/>
              <w:right w:val="single" w:sz="4" w:space="0" w:color="auto"/>
            </w:tcBorders>
            <w:shd w:val="clear" w:color="auto" w:fill="auto"/>
            <w:noWrap/>
            <w:vAlign w:val="center"/>
            <w:hideMark/>
          </w:tcPr>
          <w:p w14:paraId="6D773F1D" w14:textId="4A3A489E" w:rsidR="000008BA" w:rsidRPr="00522A31" w:rsidRDefault="000C1384" w:rsidP="00522A31">
            <w:pPr>
              <w:spacing w:after="0" w:line="240" w:lineRule="auto"/>
              <w:rPr>
                <w:rFonts w:ascii="Calibri" w:eastAsia="Times New Roman" w:hAnsi="Calibri" w:cs="Calibri"/>
                <w:color w:val="000000" w:themeColor="text1"/>
                <w:sz w:val="20"/>
                <w:szCs w:val="20"/>
                <w:lang w:eastAsia="cs-CZ"/>
              </w:rPr>
            </w:pPr>
            <w:r>
              <w:rPr>
                <w:rFonts w:ascii="Calibri" w:eastAsia="Times New Roman" w:hAnsi="Calibri" w:cs="Calibri"/>
                <w:color w:val="000000" w:themeColor="text1"/>
                <w:sz w:val="20"/>
                <w:szCs w:val="20"/>
                <w:lang w:eastAsia="cs-CZ"/>
              </w:rPr>
              <w:t>K</w:t>
            </w:r>
            <w:r w:rsidR="00781CDD" w:rsidRPr="00522A31">
              <w:rPr>
                <w:rFonts w:ascii="Calibri" w:eastAsia="Times New Roman" w:hAnsi="Calibri" w:cs="Calibri"/>
                <w:color w:val="000000" w:themeColor="text1"/>
                <w:sz w:val="20"/>
                <w:szCs w:val="20"/>
                <w:lang w:eastAsia="cs-CZ"/>
              </w:rPr>
              <w:t xml:space="preserve">ontrolované </w:t>
            </w:r>
            <w:r w:rsidR="005E14A0" w:rsidRPr="00522A31">
              <w:rPr>
                <w:rFonts w:ascii="Calibri" w:eastAsia="Times New Roman" w:hAnsi="Calibri" w:cs="Calibri"/>
                <w:color w:val="000000" w:themeColor="text1"/>
                <w:sz w:val="20"/>
                <w:szCs w:val="20"/>
                <w:lang w:eastAsia="cs-CZ"/>
              </w:rPr>
              <w:t>S</w:t>
            </w:r>
            <w:r w:rsidR="00781CDD" w:rsidRPr="00522A31">
              <w:rPr>
                <w:rFonts w:ascii="Calibri" w:eastAsia="Times New Roman" w:hAnsi="Calibri" w:cs="Calibri"/>
                <w:color w:val="000000" w:themeColor="text1"/>
                <w:sz w:val="20"/>
                <w:szCs w:val="20"/>
                <w:lang w:eastAsia="cs-CZ"/>
              </w:rPr>
              <w:t>PO</w:t>
            </w:r>
          </w:p>
        </w:tc>
        <w:tc>
          <w:tcPr>
            <w:tcW w:w="632" w:type="pct"/>
            <w:tcBorders>
              <w:top w:val="nil"/>
              <w:left w:val="nil"/>
              <w:bottom w:val="single" w:sz="4" w:space="0" w:color="auto"/>
              <w:right w:val="single" w:sz="4" w:space="0" w:color="auto"/>
            </w:tcBorders>
            <w:shd w:val="clear" w:color="auto" w:fill="auto"/>
            <w:noWrap/>
            <w:vAlign w:val="center"/>
            <w:hideMark/>
          </w:tcPr>
          <w:p w14:paraId="6D773F1E" w14:textId="32D2F7AE" w:rsidR="000008BA" w:rsidRPr="00522A31" w:rsidRDefault="00781CDD" w:rsidP="00522A31">
            <w:pPr>
              <w:spacing w:after="0" w:line="240" w:lineRule="auto"/>
              <w:ind w:right="255"/>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335</w:t>
            </w:r>
          </w:p>
        </w:tc>
        <w:tc>
          <w:tcPr>
            <w:tcW w:w="632" w:type="pct"/>
            <w:tcBorders>
              <w:top w:val="nil"/>
              <w:left w:val="nil"/>
              <w:bottom w:val="single" w:sz="4" w:space="0" w:color="auto"/>
              <w:right w:val="single" w:sz="4" w:space="0" w:color="auto"/>
            </w:tcBorders>
            <w:shd w:val="clear" w:color="auto" w:fill="auto"/>
            <w:noWrap/>
            <w:vAlign w:val="center"/>
            <w:hideMark/>
          </w:tcPr>
          <w:p w14:paraId="6D773F1F" w14:textId="6274952B" w:rsidR="000008BA" w:rsidRPr="00522A31" w:rsidRDefault="00781CDD" w:rsidP="00522A31">
            <w:pPr>
              <w:spacing w:after="0" w:line="240" w:lineRule="auto"/>
              <w:ind w:right="255"/>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355</w:t>
            </w:r>
          </w:p>
        </w:tc>
        <w:tc>
          <w:tcPr>
            <w:tcW w:w="632" w:type="pct"/>
            <w:tcBorders>
              <w:top w:val="nil"/>
              <w:left w:val="nil"/>
              <w:bottom w:val="single" w:sz="4" w:space="0" w:color="auto"/>
              <w:right w:val="single" w:sz="4" w:space="0" w:color="auto"/>
            </w:tcBorders>
            <w:shd w:val="clear" w:color="auto" w:fill="auto"/>
            <w:noWrap/>
            <w:vAlign w:val="center"/>
            <w:hideMark/>
          </w:tcPr>
          <w:p w14:paraId="6D773F20" w14:textId="2D8B6CFC" w:rsidR="000008BA" w:rsidRPr="00522A31" w:rsidRDefault="00781CDD" w:rsidP="00522A31">
            <w:pPr>
              <w:spacing w:after="0" w:line="240" w:lineRule="auto"/>
              <w:ind w:right="255"/>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357</w:t>
            </w:r>
          </w:p>
        </w:tc>
        <w:tc>
          <w:tcPr>
            <w:tcW w:w="632" w:type="pct"/>
            <w:tcBorders>
              <w:top w:val="nil"/>
              <w:left w:val="nil"/>
              <w:bottom w:val="single" w:sz="4" w:space="0" w:color="auto"/>
              <w:right w:val="single" w:sz="4" w:space="0" w:color="auto"/>
            </w:tcBorders>
            <w:shd w:val="clear" w:color="auto" w:fill="auto"/>
            <w:noWrap/>
            <w:vAlign w:val="center"/>
          </w:tcPr>
          <w:p w14:paraId="6D773F21" w14:textId="77777777" w:rsidR="000008BA" w:rsidRPr="00522A31" w:rsidRDefault="00781CDD" w:rsidP="00522A31">
            <w:pPr>
              <w:spacing w:after="0" w:line="240" w:lineRule="auto"/>
              <w:ind w:right="255"/>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22</w:t>
            </w:r>
          </w:p>
        </w:tc>
        <w:tc>
          <w:tcPr>
            <w:tcW w:w="632" w:type="pct"/>
            <w:tcBorders>
              <w:top w:val="nil"/>
              <w:left w:val="nil"/>
              <w:bottom w:val="single" w:sz="4" w:space="0" w:color="auto"/>
              <w:right w:val="single" w:sz="4" w:space="0" w:color="auto"/>
            </w:tcBorders>
            <w:shd w:val="clear" w:color="auto" w:fill="auto"/>
            <w:noWrap/>
            <w:vAlign w:val="center"/>
          </w:tcPr>
          <w:p w14:paraId="6D773F22" w14:textId="77777777" w:rsidR="000008BA" w:rsidRPr="00522A31" w:rsidRDefault="00781CDD" w:rsidP="00522A31">
            <w:pPr>
              <w:spacing w:after="0" w:line="240" w:lineRule="auto"/>
              <w:ind w:right="113"/>
              <w:jc w:val="right"/>
              <w:rPr>
                <w:rFonts w:ascii="Calibri" w:eastAsia="Times New Roman" w:hAnsi="Calibri" w:cs="Calibri"/>
                <w:color w:val="000000" w:themeColor="text1"/>
                <w:sz w:val="20"/>
                <w:szCs w:val="20"/>
                <w:lang w:eastAsia="cs-CZ"/>
              </w:rPr>
            </w:pPr>
            <w:r w:rsidRPr="00522A31">
              <w:rPr>
                <w:rFonts w:ascii="Calibri" w:eastAsia="Times New Roman" w:hAnsi="Calibri" w:cs="Calibri"/>
                <w:color w:val="000000" w:themeColor="text1"/>
                <w:sz w:val="20"/>
                <w:szCs w:val="20"/>
                <w:lang w:eastAsia="cs-CZ"/>
              </w:rPr>
              <w:t>106,6 %</w:t>
            </w:r>
          </w:p>
        </w:tc>
      </w:tr>
    </w:tbl>
    <w:p w14:paraId="6D773F24" w14:textId="3900BFF2" w:rsidR="000008BA" w:rsidRPr="00522A31" w:rsidRDefault="00781CDD" w:rsidP="00522A31">
      <w:pPr>
        <w:spacing w:before="40" w:after="0" w:line="240" w:lineRule="auto"/>
        <w:jc w:val="both"/>
        <w:rPr>
          <w:rFonts w:ascii="Calibri" w:hAnsi="Calibri" w:cs="Calibri"/>
          <w:sz w:val="20"/>
          <w:szCs w:val="20"/>
        </w:rPr>
      </w:pPr>
      <w:r w:rsidRPr="00522A31">
        <w:rPr>
          <w:rFonts w:ascii="Calibri" w:hAnsi="Calibri" w:cs="Calibri"/>
          <w:b/>
          <w:sz w:val="20"/>
          <w:szCs w:val="20"/>
        </w:rPr>
        <w:t>Zdroj:</w:t>
      </w:r>
      <w:r w:rsidR="003817CA" w:rsidRPr="00522A31">
        <w:rPr>
          <w:rFonts w:ascii="Calibri" w:hAnsi="Calibri" w:cs="Calibri"/>
          <w:sz w:val="20"/>
          <w:szCs w:val="20"/>
        </w:rPr>
        <w:t xml:space="preserve"> podklady ke zpracování </w:t>
      </w:r>
      <w:r w:rsidR="000C1384">
        <w:rPr>
          <w:rFonts w:ascii="Calibri" w:hAnsi="Calibri" w:cs="Calibri"/>
          <w:sz w:val="20"/>
          <w:szCs w:val="20"/>
        </w:rPr>
        <w:t>s</w:t>
      </w:r>
      <w:r w:rsidR="003817CA" w:rsidRPr="00522A31">
        <w:rPr>
          <w:rFonts w:ascii="Calibri" w:hAnsi="Calibri" w:cs="Calibri"/>
          <w:sz w:val="20"/>
          <w:szCs w:val="20"/>
        </w:rPr>
        <w:t xml:space="preserve">tátního závěrečného účtu za jednotlivé </w:t>
      </w:r>
      <w:r w:rsidR="005E14A0" w:rsidRPr="00522A31">
        <w:rPr>
          <w:rFonts w:ascii="Calibri" w:hAnsi="Calibri" w:cs="Calibri"/>
          <w:sz w:val="20"/>
          <w:szCs w:val="20"/>
        </w:rPr>
        <w:t>S</w:t>
      </w:r>
      <w:r w:rsidR="003817CA" w:rsidRPr="00522A31">
        <w:rPr>
          <w:rFonts w:ascii="Calibri" w:hAnsi="Calibri" w:cs="Calibri"/>
          <w:sz w:val="20"/>
          <w:szCs w:val="20"/>
        </w:rPr>
        <w:t>PO</w:t>
      </w:r>
      <w:r w:rsidR="000C1384">
        <w:rPr>
          <w:rFonts w:ascii="Calibri" w:hAnsi="Calibri" w:cs="Calibri"/>
          <w:sz w:val="20"/>
          <w:szCs w:val="20"/>
        </w:rPr>
        <w:t xml:space="preserve"> pro roky </w:t>
      </w:r>
      <w:r w:rsidR="000C1384">
        <w:rPr>
          <w:sz w:val="20"/>
          <w:szCs w:val="20"/>
        </w:rPr>
        <w:t>2019 až 2021</w:t>
      </w:r>
      <w:r w:rsidR="003817CA" w:rsidRPr="00522A31">
        <w:rPr>
          <w:rFonts w:ascii="Calibri" w:hAnsi="Calibri" w:cs="Calibri"/>
          <w:sz w:val="20"/>
          <w:szCs w:val="20"/>
        </w:rPr>
        <w:t>.</w:t>
      </w:r>
    </w:p>
    <w:p w14:paraId="6D773F25" w14:textId="77777777" w:rsidR="000008BA" w:rsidRDefault="000008BA" w:rsidP="00EC130E">
      <w:pPr>
        <w:spacing w:after="0" w:line="240" w:lineRule="auto"/>
        <w:jc w:val="both"/>
        <w:rPr>
          <w:sz w:val="24"/>
          <w:szCs w:val="24"/>
        </w:rPr>
      </w:pPr>
    </w:p>
    <w:p w14:paraId="6D773F26" w14:textId="102A130A" w:rsidR="00EC130E" w:rsidRPr="00522A31" w:rsidRDefault="00781CDD" w:rsidP="00EC130E">
      <w:pPr>
        <w:spacing w:after="0" w:line="240" w:lineRule="auto"/>
        <w:rPr>
          <w:b/>
          <w:sz w:val="24"/>
        </w:rPr>
      </w:pPr>
      <w:r w:rsidRPr="00522A31">
        <w:rPr>
          <w:b/>
          <w:sz w:val="24"/>
        </w:rPr>
        <w:t xml:space="preserve">Graf č. </w:t>
      </w:r>
      <w:r w:rsidR="002C76F1" w:rsidRPr="00522A31">
        <w:rPr>
          <w:b/>
          <w:sz w:val="24"/>
        </w:rPr>
        <w:fldChar w:fldCharType="begin"/>
      </w:r>
      <w:r w:rsidR="002C76F1" w:rsidRPr="00522A31">
        <w:rPr>
          <w:b/>
          <w:sz w:val="24"/>
        </w:rPr>
        <w:instrText xml:space="preserve"> SEQ Graf_č. \* ARABIC </w:instrText>
      </w:r>
      <w:r w:rsidR="002C76F1" w:rsidRPr="00522A31">
        <w:rPr>
          <w:b/>
          <w:sz w:val="24"/>
        </w:rPr>
        <w:fldChar w:fldCharType="separate"/>
      </w:r>
      <w:r w:rsidR="00A170DB">
        <w:rPr>
          <w:b/>
          <w:noProof/>
          <w:sz w:val="24"/>
        </w:rPr>
        <w:t>1</w:t>
      </w:r>
      <w:r w:rsidR="002C76F1" w:rsidRPr="00522A31">
        <w:rPr>
          <w:b/>
          <w:noProof/>
          <w:sz w:val="24"/>
        </w:rPr>
        <w:fldChar w:fldCharType="end"/>
      </w:r>
      <w:r w:rsidR="000C1384">
        <w:rPr>
          <w:b/>
          <w:noProof/>
          <w:sz w:val="24"/>
        </w:rPr>
        <w:t>:</w:t>
      </w:r>
      <w:r w:rsidRPr="00522A31">
        <w:rPr>
          <w:b/>
          <w:sz w:val="24"/>
        </w:rPr>
        <w:t xml:space="preserve"> Vývoj počtu zaměstnanců v kontrolovaných </w:t>
      </w:r>
      <w:r w:rsidR="005E14A0" w:rsidRPr="00522A31">
        <w:rPr>
          <w:b/>
          <w:sz w:val="24"/>
        </w:rPr>
        <w:t>S</w:t>
      </w:r>
      <w:r w:rsidRPr="00522A31">
        <w:rPr>
          <w:b/>
          <w:sz w:val="24"/>
        </w:rPr>
        <w:t>PO v letech 2019–2021</w:t>
      </w:r>
    </w:p>
    <w:p w14:paraId="6D773F27" w14:textId="77777777" w:rsidR="000008BA" w:rsidRDefault="00781CDD" w:rsidP="00EC130E">
      <w:pPr>
        <w:spacing w:after="0" w:line="240" w:lineRule="auto"/>
      </w:pPr>
      <w:r>
        <w:rPr>
          <w:noProof/>
        </w:rPr>
        <w:drawing>
          <wp:inline distT="0" distB="0" distL="0" distR="0" wp14:anchorId="6D773F52" wp14:editId="166ED0FB">
            <wp:extent cx="5762625" cy="2571750"/>
            <wp:effectExtent l="0" t="0" r="0" b="0"/>
            <wp:docPr id="1" name="Graf 1">
              <a:extLst xmlns:a="http://schemas.openxmlformats.org/drawingml/2006/main">
                <a:ext uri="{FF2B5EF4-FFF2-40B4-BE49-F238E27FC236}">
                  <a16:creationId xmlns:a16="http://schemas.microsoft.com/office/drawing/2014/main" id="{AE1B7789-FBE5-4643-A276-BF8D847DDE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773F29" w14:textId="26D92D03" w:rsidR="00EC130E" w:rsidRPr="00EC130E" w:rsidRDefault="00781CDD" w:rsidP="00EC130E">
      <w:pPr>
        <w:spacing w:after="0" w:line="240" w:lineRule="auto"/>
        <w:jc w:val="both"/>
        <w:rPr>
          <w:sz w:val="20"/>
          <w:szCs w:val="20"/>
        </w:rPr>
      </w:pPr>
      <w:r w:rsidRPr="00522A31">
        <w:rPr>
          <w:rFonts w:ascii="Calibri" w:hAnsi="Calibri" w:cs="Calibri"/>
          <w:b/>
          <w:sz w:val="20"/>
          <w:szCs w:val="20"/>
        </w:rPr>
        <w:t>Zdroj:</w:t>
      </w:r>
      <w:r w:rsidR="003817CA" w:rsidRPr="00522A31">
        <w:rPr>
          <w:rFonts w:ascii="Calibri" w:hAnsi="Calibri" w:cs="Calibri"/>
          <w:sz w:val="20"/>
          <w:szCs w:val="20"/>
        </w:rPr>
        <w:t xml:space="preserve"> podklady ke zpracování </w:t>
      </w:r>
      <w:r w:rsidR="000C1384">
        <w:rPr>
          <w:rFonts w:ascii="Calibri" w:hAnsi="Calibri" w:cs="Calibri"/>
          <w:sz w:val="20"/>
          <w:szCs w:val="20"/>
        </w:rPr>
        <w:t>s</w:t>
      </w:r>
      <w:r w:rsidR="003817CA" w:rsidRPr="00522A31">
        <w:rPr>
          <w:rFonts w:ascii="Calibri" w:hAnsi="Calibri" w:cs="Calibri"/>
          <w:sz w:val="20"/>
          <w:szCs w:val="20"/>
        </w:rPr>
        <w:t xml:space="preserve">tátního závěrečného účtu za jednotlivé </w:t>
      </w:r>
      <w:r w:rsidR="005E14A0" w:rsidRPr="00522A31">
        <w:rPr>
          <w:rFonts w:ascii="Calibri" w:hAnsi="Calibri" w:cs="Calibri"/>
          <w:sz w:val="20"/>
          <w:szCs w:val="20"/>
        </w:rPr>
        <w:t>S</w:t>
      </w:r>
      <w:r w:rsidR="003817CA" w:rsidRPr="00522A31">
        <w:rPr>
          <w:rFonts w:ascii="Calibri" w:hAnsi="Calibri" w:cs="Calibri"/>
          <w:sz w:val="20"/>
          <w:szCs w:val="20"/>
        </w:rPr>
        <w:t>PO</w:t>
      </w:r>
      <w:r w:rsidR="000C1384">
        <w:rPr>
          <w:rFonts w:ascii="Calibri" w:hAnsi="Calibri" w:cs="Calibri"/>
          <w:sz w:val="20"/>
          <w:szCs w:val="20"/>
        </w:rPr>
        <w:t xml:space="preserve"> pro roky 2019 až 2021</w:t>
      </w:r>
      <w:r w:rsidR="003817CA" w:rsidRPr="00522A31">
        <w:rPr>
          <w:rFonts w:ascii="Calibri" w:hAnsi="Calibri" w:cs="Calibri"/>
          <w:sz w:val="20"/>
          <w:szCs w:val="20"/>
        </w:rPr>
        <w:t>.</w:t>
      </w:r>
    </w:p>
    <w:sectPr w:rsidR="00EC130E" w:rsidRPr="00EC130E" w:rsidSect="008F4610">
      <w:footerReference w:type="default" r:id="rId14"/>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FA9E" w14:textId="77777777" w:rsidR="004B1431" w:rsidRDefault="004B1431">
      <w:pPr>
        <w:spacing w:after="0" w:line="240" w:lineRule="auto"/>
      </w:pPr>
      <w:r>
        <w:separator/>
      </w:r>
    </w:p>
  </w:endnote>
  <w:endnote w:type="continuationSeparator" w:id="0">
    <w:p w14:paraId="0FC817F8" w14:textId="77777777" w:rsidR="004B1431" w:rsidRDefault="004B1431">
      <w:pPr>
        <w:spacing w:after="0" w:line="240" w:lineRule="auto"/>
      </w:pPr>
      <w:r>
        <w:continuationSeparator/>
      </w:r>
    </w:p>
  </w:endnote>
  <w:endnote w:type="continuationNotice" w:id="1">
    <w:p w14:paraId="2BE62AE6" w14:textId="77777777" w:rsidR="004B1431" w:rsidRDefault="004B1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995841"/>
      <w:docPartObj>
        <w:docPartGallery w:val="Page Numbers (Bottom of Page)"/>
        <w:docPartUnique/>
      </w:docPartObj>
    </w:sdtPr>
    <w:sdtEndPr/>
    <w:sdtContent>
      <w:p w14:paraId="6D773F59" w14:textId="77777777" w:rsidR="004B1431" w:rsidRDefault="004B1431" w:rsidP="00BE748F">
        <w:pPr>
          <w:pStyle w:val="Zpat"/>
          <w:jc w:val="center"/>
        </w:pPr>
        <w:r w:rsidRPr="00406D2B">
          <w:rPr>
            <w:sz w:val="24"/>
            <w:szCs w:val="24"/>
          </w:rPr>
          <w:fldChar w:fldCharType="begin"/>
        </w:r>
        <w:r w:rsidRPr="00193C64">
          <w:instrText>PAGE   \* MERGEFORMAT</w:instrText>
        </w:r>
        <w:r w:rsidRPr="00406D2B">
          <w:rPr>
            <w:sz w:val="24"/>
            <w:szCs w:val="24"/>
          </w:rPr>
          <w:fldChar w:fldCharType="separate"/>
        </w:r>
        <w:r w:rsidRPr="008641F9">
          <w:rPr>
            <w:noProof/>
            <w:sz w:val="24"/>
            <w:szCs w:val="24"/>
          </w:rPr>
          <w:t>23</w:t>
        </w:r>
        <w:r w:rsidRPr="00406D2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02D1E" w14:textId="77777777" w:rsidR="004B1431" w:rsidRDefault="004B1431" w:rsidP="00B47D21">
      <w:pPr>
        <w:spacing w:after="0" w:line="240" w:lineRule="auto"/>
      </w:pPr>
      <w:r>
        <w:separator/>
      </w:r>
    </w:p>
  </w:footnote>
  <w:footnote w:type="continuationSeparator" w:id="0">
    <w:p w14:paraId="169832FA" w14:textId="77777777" w:rsidR="004B1431" w:rsidRDefault="004B1431" w:rsidP="00B47D21">
      <w:pPr>
        <w:spacing w:after="0" w:line="240" w:lineRule="auto"/>
      </w:pPr>
      <w:r>
        <w:continuationSeparator/>
      </w:r>
    </w:p>
  </w:footnote>
  <w:footnote w:type="continuationNotice" w:id="1">
    <w:p w14:paraId="577DD334" w14:textId="77777777" w:rsidR="004B1431" w:rsidRDefault="004B1431">
      <w:pPr>
        <w:spacing w:after="0" w:line="240" w:lineRule="auto"/>
      </w:pPr>
    </w:p>
  </w:footnote>
  <w:footnote w:id="2">
    <w:p w14:paraId="7F84A5A4" w14:textId="6F701CF8" w:rsidR="004B1431" w:rsidRPr="00500A84" w:rsidRDefault="004B1431" w:rsidP="00F15585">
      <w:pPr>
        <w:pStyle w:val="Textpoznpodarou"/>
        <w:ind w:left="284" w:hanging="284"/>
        <w:jc w:val="both"/>
      </w:pPr>
      <w:r w:rsidRPr="00500A84">
        <w:rPr>
          <w:rStyle w:val="Znakapoznpodarou"/>
        </w:rPr>
        <w:footnoteRef/>
      </w:r>
      <w:r w:rsidRPr="00500A84">
        <w:t xml:space="preserve"> </w:t>
      </w:r>
      <w:r>
        <w:tab/>
      </w:r>
      <w:r w:rsidRPr="00500A84">
        <w:t>Ustanovení § 53 odst. 4 zákona č. 218/2000 Sb., o rozpočtových pravidlech a o změně některých souvisejících zákonů (rozpočtová pravidla).</w:t>
      </w:r>
    </w:p>
  </w:footnote>
  <w:footnote w:id="3">
    <w:p w14:paraId="6D773F5F" w14:textId="44BC8341"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Zákon č. 22/1997 Sb., o technických požadavcích na výrobky a o změně a doplnění některých zákonů</w:t>
      </w:r>
      <w:r>
        <w:t>,</w:t>
      </w:r>
      <w:r w:rsidRPr="0055155C">
        <w:t xml:space="preserve"> a</w:t>
      </w:r>
      <w:r>
        <w:t> v</w:t>
      </w:r>
      <w:r w:rsidRPr="0055155C">
        <w:t>yhláška č. 571/2020 Sb., kterou se stanoví poplatky za poskytování a přístup k českým technickým normám a jiným technickým dokumentům.</w:t>
      </w:r>
    </w:p>
  </w:footnote>
  <w:footnote w:id="4">
    <w:p w14:paraId="502A0453" w14:textId="5D2958DD"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Poplatek je vypočítán z počtu zpřístupněných stran technické normy nebo jiného technického dokumentu a</w:t>
      </w:r>
      <w:r>
        <w:t> </w:t>
      </w:r>
      <w:r w:rsidRPr="0055155C">
        <w:t>předpokládaného počtu koncových uživatelů.</w:t>
      </w:r>
    </w:p>
  </w:footnote>
  <w:footnote w:id="5">
    <w:p w14:paraId="0C6DB0C8" w14:textId="20F5FE3F"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Ustanovení § 109 odst. 3 písm. d) a ustanovení § 122 zákona č. 262/2006 Sb., zákoník práce.</w:t>
      </w:r>
    </w:p>
  </w:footnote>
  <w:footnote w:id="6">
    <w:p w14:paraId="67239B4E" w14:textId="18278BB5"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Nařízení vlády č. 341/2017 Sb., o platových poměrech zaměstnanců ve veřejných službách a správě.</w:t>
      </w:r>
    </w:p>
  </w:footnote>
  <w:footnote w:id="7">
    <w:p w14:paraId="300EA4BD" w14:textId="402769E8"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Zákon č. 320/2001 Sb., o finanční kontrole ve veřejné správě a o změně některých zákonů (zákon o finanční kontrole).</w:t>
      </w:r>
    </w:p>
  </w:footnote>
  <w:footnote w:id="8">
    <w:p w14:paraId="29D02358" w14:textId="32059F5A" w:rsidR="004B1431" w:rsidRPr="0055155C" w:rsidRDefault="004B1431" w:rsidP="00F15585">
      <w:pPr>
        <w:pStyle w:val="Textpoznpodarou"/>
        <w:ind w:left="284" w:hanging="284"/>
        <w:jc w:val="both"/>
      </w:pPr>
      <w:r w:rsidRPr="0055155C">
        <w:rPr>
          <w:rStyle w:val="Znakapoznpodarou"/>
        </w:rPr>
        <w:footnoteRef/>
      </w:r>
      <w:r w:rsidRPr="0055155C">
        <w:t xml:space="preserve"> </w:t>
      </w:r>
      <w:r>
        <w:tab/>
      </w:r>
      <w:r w:rsidRPr="0055155C">
        <w:t>Vyhláška č. 416/2004 Sb., kterou se provádí zákon č. 320/2001 Sb., o finanční kontrole ve veřejné správě a</w:t>
      </w:r>
      <w:r>
        <w:t> </w:t>
      </w:r>
      <w:r w:rsidRPr="0055155C">
        <w:t>o</w:t>
      </w:r>
      <w:r>
        <w:t> z</w:t>
      </w:r>
      <w:r w:rsidRPr="0055155C">
        <w:t>měně některých zákonů (zákon o finanční kontrole), ve znění zákona č. 309/2002 Sb., zákona č.</w:t>
      </w:r>
      <w:r>
        <w:t> </w:t>
      </w:r>
      <w:r w:rsidRPr="0055155C">
        <w:t>320/2002</w:t>
      </w:r>
      <w:r>
        <w:t> </w:t>
      </w:r>
      <w:r w:rsidRPr="0055155C">
        <w:t>Sb. a zákona č. 123/2003 Sb.</w:t>
      </w:r>
    </w:p>
  </w:footnote>
  <w:footnote w:id="9">
    <w:p w14:paraId="2F6D761D" w14:textId="2C80F483" w:rsidR="004B1431" w:rsidRPr="0055155C" w:rsidRDefault="004B1431" w:rsidP="00D9351A">
      <w:pPr>
        <w:pStyle w:val="Textpoznpodarou"/>
        <w:ind w:left="284" w:hanging="284"/>
        <w:jc w:val="both"/>
      </w:pPr>
      <w:r w:rsidRPr="0055155C">
        <w:rPr>
          <w:rStyle w:val="Znakapoznpodarou"/>
        </w:rPr>
        <w:footnoteRef/>
      </w:r>
      <w:r w:rsidRPr="0055155C">
        <w:t xml:space="preserve"> </w:t>
      </w:r>
      <w:r>
        <w:tab/>
      </w:r>
      <w:r w:rsidRPr="0055155C">
        <w:t>Ustanovení § 60 zákona č. 218/2000 Sb.</w:t>
      </w:r>
    </w:p>
  </w:footnote>
  <w:footnote w:id="10">
    <w:p w14:paraId="1558F986" w14:textId="6A310E7E" w:rsidR="004B1431" w:rsidRPr="0055155C" w:rsidRDefault="004B1431" w:rsidP="00D9351A">
      <w:pPr>
        <w:pStyle w:val="Textpoznpodarou"/>
        <w:ind w:left="284" w:hanging="284"/>
        <w:jc w:val="both"/>
      </w:pPr>
      <w:r w:rsidRPr="0055155C">
        <w:rPr>
          <w:rStyle w:val="Znakapoznpodarou"/>
        </w:rPr>
        <w:footnoteRef/>
      </w:r>
      <w:r w:rsidRPr="0055155C">
        <w:t xml:space="preserve"> </w:t>
      </w:r>
      <w:r>
        <w:tab/>
      </w:r>
      <w:r w:rsidRPr="0055155C">
        <w:t>Ustanovení § 3 odst. 1 vyhlášky č. 114/2002 Sb., o fondu kulturních a sociálních potřeb.</w:t>
      </w:r>
    </w:p>
  </w:footnote>
  <w:footnote w:id="11">
    <w:p w14:paraId="00071EEF" w14:textId="25900CEE" w:rsidR="004B1431" w:rsidRPr="008940BC" w:rsidRDefault="004B1431" w:rsidP="00D9351A">
      <w:pPr>
        <w:pStyle w:val="Textpoznpodarou"/>
        <w:ind w:left="284" w:hanging="284"/>
      </w:pPr>
      <w:r w:rsidRPr="008940BC">
        <w:rPr>
          <w:rStyle w:val="Znakapoznpodarou"/>
        </w:rPr>
        <w:footnoteRef/>
      </w:r>
      <w:r w:rsidRPr="008940BC">
        <w:t xml:space="preserve"> </w:t>
      </w:r>
      <w:r>
        <w:tab/>
      </w:r>
      <w:r w:rsidRPr="008940BC">
        <w:t xml:space="preserve">Ustanovení § 2 písm. m) zákona č. 320/2001 Sb. </w:t>
      </w:r>
    </w:p>
  </w:footnote>
  <w:footnote w:id="12">
    <w:p w14:paraId="2C3A547F" w14:textId="3FA7D4AA" w:rsidR="004B1431" w:rsidRPr="008940BC" w:rsidRDefault="004B1431" w:rsidP="00711554">
      <w:pPr>
        <w:pStyle w:val="Textpoznpodarou"/>
        <w:ind w:left="284" w:hanging="284"/>
      </w:pPr>
      <w:r w:rsidRPr="008940BC">
        <w:rPr>
          <w:rStyle w:val="Znakapoznpodarou"/>
        </w:rPr>
        <w:footnoteRef/>
      </w:r>
      <w:r w:rsidRPr="008940BC">
        <w:t xml:space="preserve"> </w:t>
      </w:r>
      <w:r>
        <w:tab/>
      </w:r>
      <w:r w:rsidRPr="008940BC">
        <w:t>Ustanovení § 2 písm. o) zákona č. 320/2001 Sb.</w:t>
      </w:r>
    </w:p>
  </w:footnote>
  <w:footnote w:id="13">
    <w:p w14:paraId="7871775C" w14:textId="24964F48" w:rsidR="004B1431" w:rsidRPr="00721C36" w:rsidRDefault="004B1431" w:rsidP="00711554">
      <w:pPr>
        <w:pStyle w:val="Textpoznpodarou"/>
        <w:ind w:left="284" w:hanging="284"/>
        <w:jc w:val="both"/>
      </w:pPr>
      <w:r w:rsidRPr="00721C36">
        <w:rPr>
          <w:rStyle w:val="Znakapoznpodarou"/>
        </w:rPr>
        <w:footnoteRef/>
      </w:r>
      <w:r w:rsidRPr="00721C36">
        <w:t xml:space="preserve"> </w:t>
      </w:r>
      <w:r>
        <w:tab/>
      </w:r>
      <w:r w:rsidRPr="00721C36">
        <w:t>Ustanovení § 54 odst. 2 zákona č. 218/2000 Sb.</w:t>
      </w:r>
    </w:p>
  </w:footnote>
  <w:footnote w:id="14">
    <w:p w14:paraId="30FD9A3C" w14:textId="42FA29D5" w:rsidR="004B1431" w:rsidRPr="00721C36" w:rsidRDefault="004B1431" w:rsidP="00F94C91">
      <w:pPr>
        <w:pStyle w:val="Textpoznpodarou"/>
        <w:ind w:left="284" w:hanging="284"/>
        <w:jc w:val="both"/>
      </w:pPr>
      <w:r w:rsidRPr="00721C36">
        <w:rPr>
          <w:rStyle w:val="Znakapoznpodarou"/>
        </w:rPr>
        <w:footnoteRef/>
      </w:r>
      <w:r w:rsidRPr="00721C36">
        <w:t xml:space="preserve"> </w:t>
      </w:r>
      <w:r>
        <w:tab/>
      </w:r>
      <w:r w:rsidRPr="00721C36">
        <w:t>Ustanovení § 39 odst. 3 zákona č. 218/2000 Sb.</w:t>
      </w:r>
    </w:p>
  </w:footnote>
  <w:footnote w:id="15">
    <w:p w14:paraId="29608906" w14:textId="2B9CCAAA" w:rsidR="004B1431" w:rsidRPr="009B5666" w:rsidRDefault="004B1431" w:rsidP="00F94C91">
      <w:pPr>
        <w:pStyle w:val="Textpoznpodarou"/>
        <w:ind w:left="284" w:hanging="284"/>
        <w:jc w:val="both"/>
      </w:pPr>
      <w:r w:rsidRPr="009B5666">
        <w:rPr>
          <w:rStyle w:val="Znakapoznpodarou"/>
        </w:rPr>
        <w:footnoteRef/>
      </w:r>
      <w:r w:rsidRPr="009B5666">
        <w:t xml:space="preserve"> </w:t>
      </w:r>
      <w:r>
        <w:tab/>
      </w:r>
      <w:r w:rsidRPr="009B5666">
        <w:t>Např. „</w:t>
      </w:r>
      <w:r w:rsidRPr="0056380C">
        <w:rPr>
          <w:i/>
        </w:rPr>
        <w:t>Strategie resortu Ministerstva zemědělství České republiky s výhledem do roku 2030</w:t>
      </w:r>
      <w:r w:rsidRPr="009B5666">
        <w:t>“ schválená usnesením vlády ČR ze dne 2. května 2016 č. 392; „</w:t>
      </w:r>
      <w:r w:rsidRPr="0056380C">
        <w:rPr>
          <w:i/>
        </w:rPr>
        <w:t>Koncepce podpory malých a středních podnikatelů na období let 2014–2020</w:t>
      </w:r>
      <w:r w:rsidRPr="009B5666">
        <w:t>“ schválená usnesením vlády ČR ze dne 12. prosince 2012 č. 923; „</w:t>
      </w:r>
      <w:r w:rsidRPr="0056380C">
        <w:rPr>
          <w:i/>
        </w:rPr>
        <w:t>Exportní strategie České republiky 2012–2020</w:t>
      </w:r>
      <w:r w:rsidRPr="009B5666">
        <w:t>“ schválená usnesením vlády ze dne 14. března 2012 č. 154 atd.</w:t>
      </w:r>
    </w:p>
  </w:footnote>
  <w:footnote w:id="16">
    <w:p w14:paraId="4D7E0047" w14:textId="391799B9" w:rsidR="004B1431" w:rsidRPr="009B5666" w:rsidRDefault="004B1431" w:rsidP="00F94C91">
      <w:pPr>
        <w:pStyle w:val="Textpoznpodarou"/>
        <w:ind w:left="284" w:hanging="284"/>
        <w:jc w:val="both"/>
      </w:pPr>
      <w:r w:rsidRPr="009B5666">
        <w:rPr>
          <w:rStyle w:val="Znakapoznpodarou"/>
        </w:rPr>
        <w:footnoteRef/>
      </w:r>
      <w:r w:rsidRPr="009B5666">
        <w:t xml:space="preserve"> </w:t>
      </w:r>
      <w:r>
        <w:tab/>
      </w:r>
      <w:r w:rsidRPr="009B5666">
        <w:t xml:space="preserve">DKRVO – </w:t>
      </w:r>
      <w:r>
        <w:t>d</w:t>
      </w:r>
      <w:r w:rsidRPr="009B5666">
        <w:t>louhodobá koncepce rozvoje výzkumné organizace na období let 2018–2022.</w:t>
      </w:r>
    </w:p>
  </w:footnote>
  <w:footnote w:id="17">
    <w:p w14:paraId="361CEE14" w14:textId="39AAD43A" w:rsidR="004B1431" w:rsidRPr="009B5666" w:rsidRDefault="004B1431" w:rsidP="00F94C91">
      <w:pPr>
        <w:pStyle w:val="Textpoznpodarou"/>
        <w:ind w:left="284" w:hanging="284"/>
        <w:jc w:val="both"/>
      </w:pPr>
      <w:r w:rsidRPr="009B5666">
        <w:rPr>
          <w:rStyle w:val="Znakapoznpodarou"/>
        </w:rPr>
        <w:footnoteRef/>
      </w:r>
      <w:r w:rsidRPr="009B5666">
        <w:t xml:space="preserve"> </w:t>
      </w:r>
      <w:r>
        <w:tab/>
      </w:r>
      <w:r w:rsidRPr="009B5666">
        <w:t>Institucionální podpora na DKRVO dosáhla v roce 2019 celkem 9 869 tis. Kč, v roce 2020 celkem 9 799 tis. Kč a</w:t>
      </w:r>
      <w:r>
        <w:t> </w:t>
      </w:r>
      <w:r w:rsidRPr="009B5666">
        <w:t>v roce 2021 celkem 9 939 tis. Kč.</w:t>
      </w:r>
    </w:p>
  </w:footnote>
  <w:footnote w:id="18">
    <w:p w14:paraId="307E5EA1" w14:textId="5971305D" w:rsidR="004B1431" w:rsidRPr="00725994" w:rsidRDefault="004B1431" w:rsidP="00F94C91">
      <w:pPr>
        <w:pStyle w:val="Textpoznpodarou"/>
        <w:ind w:left="284" w:hanging="284"/>
        <w:jc w:val="both"/>
      </w:pPr>
      <w:r w:rsidRPr="00725994">
        <w:rPr>
          <w:rStyle w:val="Znakapoznpodarou"/>
        </w:rPr>
        <w:footnoteRef/>
      </w:r>
      <w:r>
        <w:t> </w:t>
      </w:r>
      <w:r>
        <w:tab/>
      </w:r>
      <w:r w:rsidRPr="00725994">
        <w:t xml:space="preserve">RIV = </w:t>
      </w:r>
      <w:r>
        <w:t>r</w:t>
      </w:r>
      <w:r w:rsidRPr="00725994">
        <w:t>ejstřík informací o výsledcích, jedná se o jednu ze čtyř částí informačního systému výzkumu, vývoje a inovací dle zákona č. 130/2002 Sb., o podpoře výzkumu, experimentálního vývoje a inovací z veřejných prostředků a o změně některých souvisejících zákonů.</w:t>
      </w:r>
    </w:p>
  </w:footnote>
  <w:footnote w:id="19">
    <w:p w14:paraId="7B010B45" w14:textId="57E0C7AC" w:rsidR="004B1431" w:rsidRPr="00725994" w:rsidRDefault="004B1431" w:rsidP="00F94C91">
      <w:pPr>
        <w:pStyle w:val="Textpoznpodarou"/>
        <w:ind w:left="284" w:hanging="284"/>
        <w:jc w:val="both"/>
      </w:pPr>
      <w:r w:rsidRPr="00725994">
        <w:rPr>
          <w:rStyle w:val="Znakapoznpodarou"/>
        </w:rPr>
        <w:footnoteRef/>
      </w:r>
      <w:r w:rsidRPr="00725994">
        <w:t xml:space="preserve"> </w:t>
      </w:r>
      <w:r>
        <w:tab/>
      </w:r>
      <w:r w:rsidRPr="00725994">
        <w:t xml:space="preserve">F – užitný vzor, průmyslový vzor, Z – poloprovoz, ověřená technologie, odrůda, plemeno, G – prototyp, funkční vzorek, H – výsledky promítnuté do právních předpisů a norem, výsledky promítnuté do směrnic a předpisů nelegislativní povahy závazných v rámci kompetence příslušného poskytovatele, výsledky promítnuté do schválených strategických a koncepčních dokumentů </w:t>
      </w:r>
      <w:proofErr w:type="spellStart"/>
      <w:r w:rsidRPr="00725994">
        <w:t>VaVaI</w:t>
      </w:r>
      <w:proofErr w:type="spellEnd"/>
      <w:r w:rsidRPr="00725994">
        <w:t xml:space="preserve"> orgánů státní nebo veřejné správy,</w:t>
      </w:r>
      <w:r>
        <w:t xml:space="preserve"> </w:t>
      </w:r>
      <w:r>
        <w:br/>
      </w:r>
      <w:r w:rsidRPr="00725994">
        <w:t xml:space="preserve">N – certifikovaná metodika, léčebný postup, specializovaná mapa s odborným obsahem, R – software, </w:t>
      </w:r>
      <w:r>
        <w:br/>
      </w:r>
      <w:r w:rsidRPr="00725994">
        <w:t>V – výzkumná zpráva, souhrnná výzkumná zpráva, S – specializovaná veřejná databáze.</w:t>
      </w:r>
    </w:p>
  </w:footnote>
  <w:footnote w:id="20">
    <w:p w14:paraId="4DB6B05D" w14:textId="2954B9FE" w:rsidR="004B1431" w:rsidRPr="00725994" w:rsidRDefault="004B1431" w:rsidP="00F94C91">
      <w:pPr>
        <w:pStyle w:val="Textpoznpodarou"/>
        <w:ind w:left="284" w:hanging="284"/>
        <w:jc w:val="both"/>
      </w:pPr>
      <w:r w:rsidRPr="00725994">
        <w:rPr>
          <w:rStyle w:val="Znakapoznpodarou"/>
        </w:rPr>
        <w:footnoteRef/>
      </w:r>
      <w:r w:rsidRPr="00725994">
        <w:t xml:space="preserve"> </w:t>
      </w:r>
      <w:r>
        <w:tab/>
      </w:r>
      <w:r w:rsidRPr="00725994">
        <w:t>Ustanovení § 53 odst. 4 zákona č. 218/2000 Sb.</w:t>
      </w:r>
    </w:p>
  </w:footnote>
  <w:footnote w:id="21">
    <w:p w14:paraId="71B5FEA2" w14:textId="67FC2EE1" w:rsidR="004B1431" w:rsidRDefault="004B1431" w:rsidP="00CE6A6E">
      <w:pPr>
        <w:pStyle w:val="Textpoznpodarou"/>
        <w:ind w:left="284" w:hanging="284"/>
      </w:pPr>
      <w:r>
        <w:rPr>
          <w:rStyle w:val="Znakapoznpodarou"/>
        </w:rPr>
        <w:footnoteRef/>
      </w:r>
      <w:r>
        <w:t xml:space="preserve"> </w:t>
      </w:r>
      <w:r>
        <w:tab/>
        <w:t xml:space="preserve">ÚZEI je pověřen výkonem funkce kontaktního pracoviště FADN od svého vzniku. </w:t>
      </w:r>
    </w:p>
  </w:footnote>
  <w:footnote w:id="22">
    <w:p w14:paraId="3861AA12" w14:textId="509F4A0D" w:rsidR="004B1431" w:rsidRPr="002E6913" w:rsidRDefault="004B1431" w:rsidP="00CE6A6E">
      <w:pPr>
        <w:pStyle w:val="Textpoznpodarou"/>
        <w:ind w:left="284" w:hanging="284"/>
        <w:jc w:val="both"/>
      </w:pPr>
      <w:r w:rsidRPr="002E6913">
        <w:rPr>
          <w:rStyle w:val="Znakapoznpodarou"/>
        </w:rPr>
        <w:footnoteRef/>
      </w:r>
      <w:r w:rsidRPr="002E6913">
        <w:t xml:space="preserve"> </w:t>
      </w:r>
      <w:r>
        <w:tab/>
      </w:r>
      <w:proofErr w:type="spellStart"/>
      <w:r w:rsidRPr="002E6913">
        <w:t>Farm</w:t>
      </w:r>
      <w:proofErr w:type="spellEnd"/>
      <w:r w:rsidRPr="002E6913">
        <w:t xml:space="preserve"> </w:t>
      </w:r>
      <w:proofErr w:type="spellStart"/>
      <w:r w:rsidRPr="002E6913">
        <w:t>Accountancy</w:t>
      </w:r>
      <w:proofErr w:type="spellEnd"/>
      <w:r w:rsidRPr="002E6913">
        <w:t xml:space="preserve"> Data Network = systém zemědělské účetní datové sítě.</w:t>
      </w:r>
    </w:p>
  </w:footnote>
  <w:footnote w:id="23">
    <w:p w14:paraId="7CDF71CE" w14:textId="780266DF" w:rsidR="004B1431" w:rsidRPr="00A53F8C" w:rsidRDefault="004B1431" w:rsidP="00CE6A6E">
      <w:pPr>
        <w:pStyle w:val="Textpoznpodarou"/>
        <w:ind w:left="284" w:hanging="284"/>
        <w:jc w:val="both"/>
      </w:pPr>
      <w:r w:rsidRPr="00A53F8C">
        <w:rPr>
          <w:rStyle w:val="Znakapoznpodarou"/>
        </w:rPr>
        <w:footnoteRef/>
      </w:r>
      <w:r w:rsidRPr="00A53F8C">
        <w:t xml:space="preserve"> </w:t>
      </w:r>
      <w:r>
        <w:tab/>
      </w:r>
      <w:r w:rsidRPr="00A53F8C">
        <w:t>Zákon č. 526/2020 Sb., kterým se mění zákon č. 22/1997 Sb., o technických požadavcích na výrobky a o změně a doplnění některých zákonů, ve znění pozdějších předpisů, a zákon č. 90/2016 Sb., o posuzování shody stanovených výrobků při jejich dodávání na trh, ve znění pozdějších předpisů.</w:t>
      </w:r>
    </w:p>
  </w:footnote>
  <w:footnote w:id="24">
    <w:p w14:paraId="231DD569" w14:textId="0F318176" w:rsidR="004B1431" w:rsidRPr="00A53F8C" w:rsidRDefault="004B1431" w:rsidP="00CE6A6E">
      <w:pPr>
        <w:pStyle w:val="Textpoznpodarou"/>
        <w:ind w:left="284" w:hanging="284"/>
        <w:jc w:val="both"/>
      </w:pPr>
      <w:r w:rsidRPr="00A53F8C">
        <w:rPr>
          <w:rStyle w:val="Znakapoznpodarou"/>
        </w:rPr>
        <w:footnoteRef/>
      </w:r>
      <w:r w:rsidRPr="00A53F8C">
        <w:t xml:space="preserve"> </w:t>
      </w:r>
      <w:r>
        <w:tab/>
      </w:r>
      <w:r w:rsidRPr="00A53F8C">
        <w:t>Vyhláška č. 571/2020 Sb., kterou se stanoví poplatky za poskytování a přístup k českým technickým normám a</w:t>
      </w:r>
      <w:r>
        <w:t> </w:t>
      </w:r>
      <w:r w:rsidRPr="00A53F8C">
        <w:t>jiným technickým dokumentům.</w:t>
      </w:r>
    </w:p>
  </w:footnote>
  <w:footnote w:id="25">
    <w:p w14:paraId="485C044C" w14:textId="644E6126" w:rsidR="004B1431" w:rsidRPr="00BF50F6" w:rsidRDefault="004B1431" w:rsidP="00CE6A6E">
      <w:pPr>
        <w:pStyle w:val="Textpoznpodarou"/>
        <w:ind w:left="284" w:hanging="284"/>
        <w:jc w:val="both"/>
      </w:pPr>
      <w:r w:rsidRPr="00BF50F6">
        <w:rPr>
          <w:rStyle w:val="Znakapoznpodarou"/>
        </w:rPr>
        <w:footnoteRef/>
      </w:r>
      <w:r w:rsidRPr="00BF50F6">
        <w:t xml:space="preserve"> </w:t>
      </w:r>
      <w:r>
        <w:tab/>
      </w:r>
      <w:r w:rsidRPr="00BF50F6">
        <w:t xml:space="preserve">V roce 2021 byl počet stran norem sponzorovaného přístupu 43 204, počet norem 1 137. </w:t>
      </w:r>
    </w:p>
  </w:footnote>
  <w:footnote w:id="26">
    <w:p w14:paraId="48944444" w14:textId="07AD3329" w:rsidR="004B1431" w:rsidRPr="00BF50F6" w:rsidRDefault="004B1431" w:rsidP="00CE6A6E">
      <w:pPr>
        <w:pStyle w:val="Textpoznpodarou"/>
        <w:ind w:left="284" w:hanging="284"/>
      </w:pPr>
      <w:r w:rsidRPr="00BF50F6">
        <w:rPr>
          <w:rStyle w:val="Znakapoznpodarou"/>
        </w:rPr>
        <w:footnoteRef/>
      </w:r>
      <w:r w:rsidRPr="00BF50F6">
        <w:t xml:space="preserve"> </w:t>
      </w:r>
      <w:r>
        <w:tab/>
      </w:r>
      <w:r w:rsidRPr="00BF50F6">
        <w:t>Příloha č. 2 vyhlášky č. 571/2020 Sb.</w:t>
      </w:r>
    </w:p>
  </w:footnote>
  <w:footnote w:id="27">
    <w:p w14:paraId="0D1DA7C9" w14:textId="1A906F42" w:rsidR="004B1431" w:rsidRPr="00BF50F6" w:rsidRDefault="004B1431" w:rsidP="00CE6A6E">
      <w:pPr>
        <w:pStyle w:val="Textpoznpodarou"/>
        <w:ind w:left="284" w:hanging="284"/>
        <w:jc w:val="both"/>
      </w:pPr>
      <w:r w:rsidRPr="00BF50F6">
        <w:rPr>
          <w:rStyle w:val="Znakapoznpodarou"/>
        </w:rPr>
        <w:footnoteRef/>
      </w:r>
      <w:r w:rsidRPr="00BF50F6">
        <w:t xml:space="preserve"> </w:t>
      </w:r>
      <w:r>
        <w:tab/>
      </w:r>
      <w:r w:rsidRPr="00BF50F6">
        <w:t>Ministerstvo nebo jiný ústřední správní úřad – viz tabulka č. 4.</w:t>
      </w:r>
    </w:p>
  </w:footnote>
  <w:footnote w:id="28">
    <w:p w14:paraId="45BA8B22" w14:textId="3208F5C5" w:rsidR="004B1431" w:rsidRPr="00BF50F6" w:rsidRDefault="004B1431" w:rsidP="00CE6A6E">
      <w:pPr>
        <w:pStyle w:val="Textpoznpodarou"/>
        <w:ind w:left="284" w:hanging="284"/>
        <w:jc w:val="both"/>
      </w:pPr>
      <w:r w:rsidRPr="00BF50F6">
        <w:rPr>
          <w:rStyle w:val="Znakapoznpodarou"/>
        </w:rPr>
        <w:footnoteRef/>
      </w:r>
      <w:r w:rsidRPr="00BF50F6">
        <w:t xml:space="preserve"> </w:t>
      </w:r>
      <w:r>
        <w:tab/>
      </w:r>
      <w:r w:rsidRPr="00BF50F6">
        <w:t>Za přístup 8 512 uživatelů bylo zaplaceno 113 070 000 Kč.</w:t>
      </w:r>
    </w:p>
  </w:footnote>
  <w:footnote w:id="29">
    <w:p w14:paraId="59425985" w14:textId="770EF5EF" w:rsidR="004B1431" w:rsidRPr="00EB5D75" w:rsidRDefault="004B1431" w:rsidP="00B83D58">
      <w:pPr>
        <w:pStyle w:val="Textpoznpodarou"/>
        <w:ind w:left="284" w:hanging="284"/>
      </w:pPr>
      <w:r w:rsidRPr="00EB5D75">
        <w:rPr>
          <w:rStyle w:val="Znakapoznpodarou"/>
        </w:rPr>
        <w:footnoteRef/>
      </w:r>
      <w:r w:rsidRPr="00EB5D75">
        <w:t xml:space="preserve"> </w:t>
      </w:r>
      <w:r>
        <w:tab/>
      </w:r>
      <w:r w:rsidRPr="00EB5D75">
        <w:t>Zákon č. 134/2016 Sb., o zadávání veřejných zakázek.</w:t>
      </w:r>
    </w:p>
  </w:footnote>
  <w:footnote w:id="30">
    <w:p w14:paraId="462DE2AF" w14:textId="13FDC0F2" w:rsidR="004B1431" w:rsidRPr="00EB5D75" w:rsidDel="00AF7B91" w:rsidRDefault="004B1431" w:rsidP="00B83D58">
      <w:pPr>
        <w:pStyle w:val="Textpoznpodarou"/>
        <w:ind w:left="284" w:hanging="284"/>
        <w:jc w:val="both"/>
      </w:pPr>
      <w:r w:rsidRPr="00EB5D75" w:rsidDel="00AF7B91">
        <w:rPr>
          <w:rStyle w:val="Znakapoznpodarou"/>
        </w:rPr>
        <w:footnoteRef/>
      </w:r>
      <w:r w:rsidRPr="00EB5D75" w:rsidDel="00AF7B91">
        <w:t xml:space="preserve"> </w:t>
      </w:r>
      <w:r>
        <w:tab/>
      </w:r>
      <w:r w:rsidRPr="00EB5D75" w:rsidDel="00AF7B91">
        <w:t>Zákon č. 262/2006 Sb., zákoník práce</w:t>
      </w:r>
      <w:r w:rsidRPr="00EB5D75">
        <w:t>.</w:t>
      </w:r>
    </w:p>
  </w:footnote>
  <w:footnote w:id="31">
    <w:p w14:paraId="695E1B47" w14:textId="230B6A9E" w:rsidR="004B1431" w:rsidRPr="00EB5D75" w:rsidDel="00AF7B91" w:rsidRDefault="004B1431" w:rsidP="00B83D58">
      <w:pPr>
        <w:pStyle w:val="Textpoznpodarou"/>
        <w:ind w:left="284" w:hanging="284"/>
        <w:jc w:val="both"/>
      </w:pPr>
      <w:r w:rsidRPr="00EB5D75" w:rsidDel="00AF7B91">
        <w:rPr>
          <w:rStyle w:val="Znakapoznpodarou"/>
        </w:rPr>
        <w:footnoteRef/>
      </w:r>
      <w:r w:rsidRPr="00EB5D75" w:rsidDel="00AF7B91">
        <w:t xml:space="preserve"> </w:t>
      </w:r>
      <w:r>
        <w:tab/>
      </w:r>
      <w:r w:rsidRPr="00EB5D75" w:rsidDel="00AF7B91">
        <w:t>Nařízení vlády č. 341/2017 Sb.</w:t>
      </w:r>
      <w:r>
        <w:t>,</w:t>
      </w:r>
      <w:r w:rsidRPr="00EB5D75" w:rsidDel="00AF7B91">
        <w:t xml:space="preserve"> o platových poměrech zaměstnanců ve veřejných službách a správě</w:t>
      </w:r>
      <w:r w:rsidRPr="00EB5D75">
        <w:t>.</w:t>
      </w:r>
    </w:p>
  </w:footnote>
  <w:footnote w:id="32">
    <w:p w14:paraId="06BA7BFE" w14:textId="1F144F44" w:rsidR="004B1431" w:rsidRPr="00522A31" w:rsidRDefault="004B1431" w:rsidP="00522A31">
      <w:pPr>
        <w:pStyle w:val="Textpoznpodarou"/>
        <w:ind w:left="284" w:hanging="284"/>
        <w:rPr>
          <w:rFonts w:ascii="Calibri" w:hAnsi="Calibri" w:cs="Calibri"/>
          <w:szCs w:val="16"/>
        </w:rPr>
      </w:pPr>
      <w:r w:rsidRPr="00522A31">
        <w:rPr>
          <w:rStyle w:val="Znakapoznpodarou"/>
          <w:rFonts w:ascii="Calibri" w:hAnsi="Calibri" w:cs="Calibri"/>
          <w:szCs w:val="16"/>
        </w:rPr>
        <w:footnoteRef/>
      </w:r>
      <w:r w:rsidRPr="00522A31">
        <w:rPr>
          <w:rFonts w:ascii="Calibri" w:hAnsi="Calibri" w:cs="Calibri"/>
          <w:szCs w:val="16"/>
        </w:rPr>
        <w:t xml:space="preserve"> </w:t>
      </w:r>
      <w:r>
        <w:rPr>
          <w:rFonts w:ascii="Calibri" w:hAnsi="Calibri" w:cs="Calibri"/>
          <w:szCs w:val="16"/>
        </w:rPr>
        <w:tab/>
      </w:r>
      <w:r w:rsidRPr="00522A31">
        <w:rPr>
          <w:rFonts w:ascii="Calibri" w:hAnsi="Calibri" w:cs="Calibri"/>
          <w:szCs w:val="16"/>
        </w:rPr>
        <w:t xml:space="preserve">Jedná se o státní příspěvkové organizace zřízené kontrolovanými zřizovateli.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7A5E"/>
    <w:multiLevelType w:val="hybridMultilevel"/>
    <w:tmpl w:val="F6BC4A52"/>
    <w:lvl w:ilvl="0" w:tplc="636459E2">
      <w:start w:val="1"/>
      <w:numFmt w:val="upperRoman"/>
      <w:lvlText w:val="%1."/>
      <w:lvlJc w:val="left"/>
      <w:pPr>
        <w:ind w:left="1080" w:hanging="720"/>
      </w:pPr>
      <w:rPr>
        <w:rFonts w:hint="default"/>
      </w:rPr>
    </w:lvl>
    <w:lvl w:ilvl="1" w:tplc="CA20BE98" w:tentative="1">
      <w:start w:val="1"/>
      <w:numFmt w:val="lowerLetter"/>
      <w:lvlText w:val="%2."/>
      <w:lvlJc w:val="left"/>
      <w:pPr>
        <w:ind w:left="1440" w:hanging="360"/>
      </w:pPr>
    </w:lvl>
    <w:lvl w:ilvl="2" w:tplc="6C7A1FBE" w:tentative="1">
      <w:start w:val="1"/>
      <w:numFmt w:val="lowerRoman"/>
      <w:lvlText w:val="%3."/>
      <w:lvlJc w:val="right"/>
      <w:pPr>
        <w:ind w:left="2160" w:hanging="180"/>
      </w:pPr>
    </w:lvl>
    <w:lvl w:ilvl="3" w:tplc="26CCD8EC" w:tentative="1">
      <w:start w:val="1"/>
      <w:numFmt w:val="decimal"/>
      <w:lvlText w:val="%4."/>
      <w:lvlJc w:val="left"/>
      <w:pPr>
        <w:ind w:left="2880" w:hanging="360"/>
      </w:pPr>
    </w:lvl>
    <w:lvl w:ilvl="4" w:tplc="7B32D32A" w:tentative="1">
      <w:start w:val="1"/>
      <w:numFmt w:val="lowerLetter"/>
      <w:lvlText w:val="%5."/>
      <w:lvlJc w:val="left"/>
      <w:pPr>
        <w:ind w:left="3600" w:hanging="360"/>
      </w:pPr>
    </w:lvl>
    <w:lvl w:ilvl="5" w:tplc="9C18BA5E" w:tentative="1">
      <w:start w:val="1"/>
      <w:numFmt w:val="lowerRoman"/>
      <w:lvlText w:val="%6."/>
      <w:lvlJc w:val="right"/>
      <w:pPr>
        <w:ind w:left="4320" w:hanging="180"/>
      </w:pPr>
    </w:lvl>
    <w:lvl w:ilvl="6" w:tplc="3786614C" w:tentative="1">
      <w:start w:val="1"/>
      <w:numFmt w:val="decimal"/>
      <w:lvlText w:val="%7."/>
      <w:lvlJc w:val="left"/>
      <w:pPr>
        <w:ind w:left="5040" w:hanging="360"/>
      </w:pPr>
    </w:lvl>
    <w:lvl w:ilvl="7" w:tplc="0A245064" w:tentative="1">
      <w:start w:val="1"/>
      <w:numFmt w:val="lowerLetter"/>
      <w:lvlText w:val="%8."/>
      <w:lvlJc w:val="left"/>
      <w:pPr>
        <w:ind w:left="5760" w:hanging="360"/>
      </w:pPr>
    </w:lvl>
    <w:lvl w:ilvl="8" w:tplc="5BA0A4C2" w:tentative="1">
      <w:start w:val="1"/>
      <w:numFmt w:val="lowerRoman"/>
      <w:lvlText w:val="%9."/>
      <w:lvlJc w:val="right"/>
      <w:pPr>
        <w:ind w:left="6480" w:hanging="180"/>
      </w:pPr>
    </w:lvl>
  </w:abstractNum>
  <w:abstractNum w:abstractNumId="1" w15:restartNumberingAfterBreak="0">
    <w:nsid w:val="10053B5D"/>
    <w:multiLevelType w:val="hybridMultilevel"/>
    <w:tmpl w:val="1E98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75755B"/>
    <w:multiLevelType w:val="multilevel"/>
    <w:tmpl w:val="CCDC8E4C"/>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A0318"/>
    <w:multiLevelType w:val="hybridMultilevel"/>
    <w:tmpl w:val="C5747A14"/>
    <w:lvl w:ilvl="0" w:tplc="7DCA445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5A51D3"/>
    <w:multiLevelType w:val="hybridMultilevel"/>
    <w:tmpl w:val="6D5E479A"/>
    <w:lvl w:ilvl="0" w:tplc="175EB4FC">
      <w:start w:val="1"/>
      <w:numFmt w:val="upperLetter"/>
      <w:lvlText w:val="%1."/>
      <w:lvlJc w:val="left"/>
      <w:pPr>
        <w:ind w:left="720" w:hanging="360"/>
      </w:pPr>
      <w:rPr>
        <w:rFonts w:hint="default"/>
      </w:rPr>
    </w:lvl>
    <w:lvl w:ilvl="1" w:tplc="D718332A" w:tentative="1">
      <w:start w:val="1"/>
      <w:numFmt w:val="lowerLetter"/>
      <w:lvlText w:val="%2."/>
      <w:lvlJc w:val="left"/>
      <w:pPr>
        <w:ind w:left="1440" w:hanging="360"/>
      </w:pPr>
    </w:lvl>
    <w:lvl w:ilvl="2" w:tplc="4AC6F214" w:tentative="1">
      <w:start w:val="1"/>
      <w:numFmt w:val="lowerRoman"/>
      <w:lvlText w:val="%3."/>
      <w:lvlJc w:val="right"/>
      <w:pPr>
        <w:ind w:left="2160" w:hanging="180"/>
      </w:pPr>
    </w:lvl>
    <w:lvl w:ilvl="3" w:tplc="B06A5224" w:tentative="1">
      <w:start w:val="1"/>
      <w:numFmt w:val="decimal"/>
      <w:lvlText w:val="%4."/>
      <w:lvlJc w:val="left"/>
      <w:pPr>
        <w:ind w:left="2880" w:hanging="360"/>
      </w:pPr>
    </w:lvl>
    <w:lvl w:ilvl="4" w:tplc="A8AEB33A" w:tentative="1">
      <w:start w:val="1"/>
      <w:numFmt w:val="lowerLetter"/>
      <w:lvlText w:val="%5."/>
      <w:lvlJc w:val="left"/>
      <w:pPr>
        <w:ind w:left="3600" w:hanging="360"/>
      </w:pPr>
    </w:lvl>
    <w:lvl w:ilvl="5" w:tplc="6F7C5BDE" w:tentative="1">
      <w:start w:val="1"/>
      <w:numFmt w:val="lowerRoman"/>
      <w:lvlText w:val="%6."/>
      <w:lvlJc w:val="right"/>
      <w:pPr>
        <w:ind w:left="4320" w:hanging="180"/>
      </w:pPr>
    </w:lvl>
    <w:lvl w:ilvl="6" w:tplc="E3E2D5C8" w:tentative="1">
      <w:start w:val="1"/>
      <w:numFmt w:val="decimal"/>
      <w:lvlText w:val="%7."/>
      <w:lvlJc w:val="left"/>
      <w:pPr>
        <w:ind w:left="5040" w:hanging="360"/>
      </w:pPr>
    </w:lvl>
    <w:lvl w:ilvl="7" w:tplc="03005A18" w:tentative="1">
      <w:start w:val="1"/>
      <w:numFmt w:val="lowerLetter"/>
      <w:lvlText w:val="%8."/>
      <w:lvlJc w:val="left"/>
      <w:pPr>
        <w:ind w:left="5760" w:hanging="360"/>
      </w:pPr>
    </w:lvl>
    <w:lvl w:ilvl="8" w:tplc="DA1AD5A6" w:tentative="1">
      <w:start w:val="1"/>
      <w:numFmt w:val="lowerRoman"/>
      <w:lvlText w:val="%9."/>
      <w:lvlJc w:val="right"/>
      <w:pPr>
        <w:ind w:left="6480" w:hanging="180"/>
      </w:pPr>
    </w:lvl>
  </w:abstractNum>
  <w:abstractNum w:abstractNumId="5" w15:restartNumberingAfterBreak="0">
    <w:nsid w:val="35A54072"/>
    <w:multiLevelType w:val="hybridMultilevel"/>
    <w:tmpl w:val="05468C8C"/>
    <w:lvl w:ilvl="0" w:tplc="04050001">
      <w:start w:val="1"/>
      <w:numFmt w:val="bullet"/>
      <w:lvlText w:val=""/>
      <w:lvlJc w:val="left"/>
      <w:pPr>
        <w:ind w:left="717" w:hanging="360"/>
      </w:pPr>
      <w:rPr>
        <w:rFonts w:ascii="Symbol" w:hAnsi="Symbol" w:hint="default"/>
        <w:b w:val="0"/>
        <w:sz w:val="22"/>
      </w:rPr>
    </w:lvl>
    <w:lvl w:ilvl="1" w:tplc="63C27A7E" w:tentative="1">
      <w:start w:val="1"/>
      <w:numFmt w:val="bullet"/>
      <w:lvlText w:val="o"/>
      <w:lvlJc w:val="left"/>
      <w:pPr>
        <w:ind w:left="1437" w:hanging="360"/>
      </w:pPr>
      <w:rPr>
        <w:rFonts w:ascii="Courier New" w:hAnsi="Courier New" w:cs="Courier New" w:hint="default"/>
      </w:rPr>
    </w:lvl>
    <w:lvl w:ilvl="2" w:tplc="CE30BA3C" w:tentative="1">
      <w:start w:val="1"/>
      <w:numFmt w:val="bullet"/>
      <w:lvlText w:val=""/>
      <w:lvlJc w:val="left"/>
      <w:pPr>
        <w:ind w:left="2157" w:hanging="360"/>
      </w:pPr>
      <w:rPr>
        <w:rFonts w:ascii="Wingdings" w:hAnsi="Wingdings" w:hint="default"/>
      </w:rPr>
    </w:lvl>
    <w:lvl w:ilvl="3" w:tplc="44B2DBBE" w:tentative="1">
      <w:start w:val="1"/>
      <w:numFmt w:val="bullet"/>
      <w:lvlText w:val=""/>
      <w:lvlJc w:val="left"/>
      <w:pPr>
        <w:ind w:left="2877" w:hanging="360"/>
      </w:pPr>
      <w:rPr>
        <w:rFonts w:ascii="Symbol" w:hAnsi="Symbol" w:hint="default"/>
      </w:rPr>
    </w:lvl>
    <w:lvl w:ilvl="4" w:tplc="B3A8E930" w:tentative="1">
      <w:start w:val="1"/>
      <w:numFmt w:val="bullet"/>
      <w:lvlText w:val="o"/>
      <w:lvlJc w:val="left"/>
      <w:pPr>
        <w:ind w:left="3597" w:hanging="360"/>
      </w:pPr>
      <w:rPr>
        <w:rFonts w:ascii="Courier New" w:hAnsi="Courier New" w:cs="Courier New" w:hint="default"/>
      </w:rPr>
    </w:lvl>
    <w:lvl w:ilvl="5" w:tplc="59C43812" w:tentative="1">
      <w:start w:val="1"/>
      <w:numFmt w:val="bullet"/>
      <w:lvlText w:val=""/>
      <w:lvlJc w:val="left"/>
      <w:pPr>
        <w:ind w:left="4317" w:hanging="360"/>
      </w:pPr>
      <w:rPr>
        <w:rFonts w:ascii="Wingdings" w:hAnsi="Wingdings" w:hint="default"/>
      </w:rPr>
    </w:lvl>
    <w:lvl w:ilvl="6" w:tplc="8F4CC902" w:tentative="1">
      <w:start w:val="1"/>
      <w:numFmt w:val="bullet"/>
      <w:lvlText w:val=""/>
      <w:lvlJc w:val="left"/>
      <w:pPr>
        <w:ind w:left="5037" w:hanging="360"/>
      </w:pPr>
      <w:rPr>
        <w:rFonts w:ascii="Symbol" w:hAnsi="Symbol" w:hint="default"/>
      </w:rPr>
    </w:lvl>
    <w:lvl w:ilvl="7" w:tplc="D92E79F8" w:tentative="1">
      <w:start w:val="1"/>
      <w:numFmt w:val="bullet"/>
      <w:lvlText w:val="o"/>
      <w:lvlJc w:val="left"/>
      <w:pPr>
        <w:ind w:left="5757" w:hanging="360"/>
      </w:pPr>
      <w:rPr>
        <w:rFonts w:ascii="Courier New" w:hAnsi="Courier New" w:cs="Courier New" w:hint="default"/>
      </w:rPr>
    </w:lvl>
    <w:lvl w:ilvl="8" w:tplc="82823F26" w:tentative="1">
      <w:start w:val="1"/>
      <w:numFmt w:val="bullet"/>
      <w:lvlText w:val=""/>
      <w:lvlJc w:val="left"/>
      <w:pPr>
        <w:ind w:left="6477" w:hanging="360"/>
      </w:pPr>
      <w:rPr>
        <w:rFonts w:ascii="Wingdings" w:hAnsi="Wingdings" w:hint="default"/>
      </w:rPr>
    </w:lvl>
  </w:abstractNum>
  <w:abstractNum w:abstractNumId="6" w15:restartNumberingAfterBreak="0">
    <w:nsid w:val="3DB50C6F"/>
    <w:multiLevelType w:val="multilevel"/>
    <w:tmpl w:val="203E75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823F18"/>
    <w:multiLevelType w:val="hybridMultilevel"/>
    <w:tmpl w:val="9230E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05114C"/>
    <w:multiLevelType w:val="multilevel"/>
    <w:tmpl w:val="FDF8C070"/>
    <w:lvl w:ilvl="0">
      <w:start w:val="1"/>
      <w:numFmt w:val="decimal"/>
      <w:lvlText w:val="%1.1."/>
      <w:lvlJc w:val="left"/>
      <w:pPr>
        <w:ind w:left="360" w:hanging="360"/>
      </w:pPr>
      <w:rPr>
        <w:rFonts w:hint="default"/>
      </w:rPr>
    </w:lvl>
    <w:lvl w:ilvl="1">
      <w:start w:val="1"/>
      <w:numFmt w:val="decimal"/>
      <w:lvlText w:val="2.%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497565"/>
    <w:multiLevelType w:val="hybridMultilevel"/>
    <w:tmpl w:val="CD6639D0"/>
    <w:lvl w:ilvl="0" w:tplc="E4B0C322">
      <w:start w:val="1"/>
      <w:numFmt w:val="lowerLetter"/>
      <w:lvlText w:val="%1)"/>
      <w:lvlJc w:val="left"/>
      <w:pPr>
        <w:ind w:left="720" w:hanging="360"/>
      </w:pPr>
      <w:rPr>
        <w:rFonts w:hint="default"/>
        <w:b/>
      </w:rPr>
    </w:lvl>
    <w:lvl w:ilvl="1" w:tplc="8314FCC6">
      <w:start w:val="1"/>
      <w:numFmt w:val="lowerLetter"/>
      <w:lvlText w:val="%2."/>
      <w:lvlJc w:val="left"/>
      <w:pPr>
        <w:ind w:left="1440" w:hanging="360"/>
      </w:pPr>
    </w:lvl>
    <w:lvl w:ilvl="2" w:tplc="F022F4E8" w:tentative="1">
      <w:start w:val="1"/>
      <w:numFmt w:val="lowerRoman"/>
      <w:lvlText w:val="%3."/>
      <w:lvlJc w:val="right"/>
      <w:pPr>
        <w:ind w:left="2160" w:hanging="180"/>
      </w:pPr>
    </w:lvl>
    <w:lvl w:ilvl="3" w:tplc="FA508BBA" w:tentative="1">
      <w:start w:val="1"/>
      <w:numFmt w:val="decimal"/>
      <w:lvlText w:val="%4."/>
      <w:lvlJc w:val="left"/>
      <w:pPr>
        <w:ind w:left="2880" w:hanging="360"/>
      </w:pPr>
    </w:lvl>
    <w:lvl w:ilvl="4" w:tplc="E528B30E" w:tentative="1">
      <w:start w:val="1"/>
      <w:numFmt w:val="lowerLetter"/>
      <w:lvlText w:val="%5."/>
      <w:lvlJc w:val="left"/>
      <w:pPr>
        <w:ind w:left="3600" w:hanging="360"/>
      </w:pPr>
    </w:lvl>
    <w:lvl w:ilvl="5" w:tplc="9C90D974" w:tentative="1">
      <w:start w:val="1"/>
      <w:numFmt w:val="lowerRoman"/>
      <w:lvlText w:val="%6."/>
      <w:lvlJc w:val="right"/>
      <w:pPr>
        <w:ind w:left="4320" w:hanging="180"/>
      </w:pPr>
    </w:lvl>
    <w:lvl w:ilvl="6" w:tplc="E9723D52" w:tentative="1">
      <w:start w:val="1"/>
      <w:numFmt w:val="decimal"/>
      <w:lvlText w:val="%7."/>
      <w:lvlJc w:val="left"/>
      <w:pPr>
        <w:ind w:left="5040" w:hanging="360"/>
      </w:pPr>
    </w:lvl>
    <w:lvl w:ilvl="7" w:tplc="E354A678" w:tentative="1">
      <w:start w:val="1"/>
      <w:numFmt w:val="lowerLetter"/>
      <w:lvlText w:val="%8."/>
      <w:lvlJc w:val="left"/>
      <w:pPr>
        <w:ind w:left="5760" w:hanging="360"/>
      </w:pPr>
    </w:lvl>
    <w:lvl w:ilvl="8" w:tplc="B4F2192E" w:tentative="1">
      <w:start w:val="1"/>
      <w:numFmt w:val="lowerRoman"/>
      <w:lvlText w:val="%9."/>
      <w:lvlJc w:val="right"/>
      <w:pPr>
        <w:ind w:left="6480" w:hanging="180"/>
      </w:pPr>
    </w:lvl>
  </w:abstractNum>
  <w:abstractNum w:abstractNumId="10" w15:restartNumberingAfterBreak="0">
    <w:nsid w:val="4F8564A8"/>
    <w:multiLevelType w:val="multilevel"/>
    <w:tmpl w:val="68920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A037CA"/>
    <w:multiLevelType w:val="multilevel"/>
    <w:tmpl w:val="91726FC4"/>
    <w:lvl w:ilvl="0">
      <w:start w:val="1"/>
      <w:numFmt w:val="upperRoman"/>
      <w:lvlText w:val="%1."/>
      <w:lvlJc w:val="left"/>
      <w:pPr>
        <w:ind w:left="720" w:hanging="360"/>
      </w:pPr>
      <w:rPr>
        <w:rFonts w:hint="default"/>
      </w:rPr>
    </w:lvl>
    <w:lvl w:ilvl="1">
      <w:start w:val="1"/>
      <w:numFmt w:val="decimal"/>
      <w:isLgl/>
      <w:lvlText w:val="%1.%2"/>
      <w:lvlJc w:val="left"/>
      <w:pPr>
        <w:ind w:left="644" w:hanging="360"/>
      </w:pPr>
      <w:rPr>
        <w:rFonts w:hint="default"/>
        <w:b w:val="0"/>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9B4676"/>
    <w:multiLevelType w:val="hybridMultilevel"/>
    <w:tmpl w:val="B3287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414EFC"/>
    <w:multiLevelType w:val="hybridMultilevel"/>
    <w:tmpl w:val="AD484344"/>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415104"/>
    <w:multiLevelType w:val="hybridMultilevel"/>
    <w:tmpl w:val="28304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36A90"/>
    <w:multiLevelType w:val="hybridMultilevel"/>
    <w:tmpl w:val="C1D22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0"/>
  </w:num>
  <w:num w:numId="5">
    <w:abstractNumId w:val="5"/>
  </w:num>
  <w:num w:numId="6">
    <w:abstractNumId w:val="6"/>
  </w:num>
  <w:num w:numId="7">
    <w:abstractNumId w:val="4"/>
  </w:num>
  <w:num w:numId="8">
    <w:abstractNumId w:val="1"/>
  </w:num>
  <w:num w:numId="9">
    <w:abstractNumId w:val="12"/>
  </w:num>
  <w:num w:numId="10">
    <w:abstractNumId w:val="15"/>
  </w:num>
  <w:num w:numId="11">
    <w:abstractNumId w:val="14"/>
  </w:num>
  <w:num w:numId="12">
    <w:abstractNumId w:val="7"/>
  </w:num>
  <w:num w:numId="13">
    <w:abstractNumId w:val="8"/>
  </w:num>
  <w:num w:numId="14">
    <w:abstractNumId w:val="11"/>
  </w:num>
  <w:num w:numId="15">
    <w:abstractNumId w:val="3"/>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21"/>
    <w:rsid w:val="000000B3"/>
    <w:rsid w:val="00000508"/>
    <w:rsid w:val="0000072A"/>
    <w:rsid w:val="000008BA"/>
    <w:rsid w:val="00000F29"/>
    <w:rsid w:val="000014B7"/>
    <w:rsid w:val="0000191B"/>
    <w:rsid w:val="00001B73"/>
    <w:rsid w:val="00001D7D"/>
    <w:rsid w:val="00002030"/>
    <w:rsid w:val="000021D6"/>
    <w:rsid w:val="00002329"/>
    <w:rsid w:val="00002445"/>
    <w:rsid w:val="00002985"/>
    <w:rsid w:val="00002D7E"/>
    <w:rsid w:val="00002F64"/>
    <w:rsid w:val="00003107"/>
    <w:rsid w:val="000036F3"/>
    <w:rsid w:val="000037B4"/>
    <w:rsid w:val="00003868"/>
    <w:rsid w:val="00003AA4"/>
    <w:rsid w:val="000043DE"/>
    <w:rsid w:val="00004456"/>
    <w:rsid w:val="000046B2"/>
    <w:rsid w:val="00004746"/>
    <w:rsid w:val="00004A27"/>
    <w:rsid w:val="00004AB7"/>
    <w:rsid w:val="00004AC4"/>
    <w:rsid w:val="0000544F"/>
    <w:rsid w:val="00005AE5"/>
    <w:rsid w:val="00005B6F"/>
    <w:rsid w:val="00005D6F"/>
    <w:rsid w:val="00005D73"/>
    <w:rsid w:val="000061F0"/>
    <w:rsid w:val="00007073"/>
    <w:rsid w:val="000074FE"/>
    <w:rsid w:val="000077E9"/>
    <w:rsid w:val="00007855"/>
    <w:rsid w:val="000079C2"/>
    <w:rsid w:val="00007A1B"/>
    <w:rsid w:val="0001048B"/>
    <w:rsid w:val="00010C9E"/>
    <w:rsid w:val="0001122E"/>
    <w:rsid w:val="00011766"/>
    <w:rsid w:val="00012764"/>
    <w:rsid w:val="000129A3"/>
    <w:rsid w:val="00012A5E"/>
    <w:rsid w:val="00012AB5"/>
    <w:rsid w:val="00012D18"/>
    <w:rsid w:val="00012DA8"/>
    <w:rsid w:val="000133F0"/>
    <w:rsid w:val="0001345B"/>
    <w:rsid w:val="000139EF"/>
    <w:rsid w:val="00013AA7"/>
    <w:rsid w:val="00013E11"/>
    <w:rsid w:val="00013E37"/>
    <w:rsid w:val="00013E68"/>
    <w:rsid w:val="00014133"/>
    <w:rsid w:val="00014241"/>
    <w:rsid w:val="000142DC"/>
    <w:rsid w:val="000149D5"/>
    <w:rsid w:val="00014ADB"/>
    <w:rsid w:val="00014F35"/>
    <w:rsid w:val="00015172"/>
    <w:rsid w:val="000159DB"/>
    <w:rsid w:val="000166E2"/>
    <w:rsid w:val="00016EBA"/>
    <w:rsid w:val="00016F2F"/>
    <w:rsid w:val="00017109"/>
    <w:rsid w:val="0001770A"/>
    <w:rsid w:val="00017BCE"/>
    <w:rsid w:val="00017EE5"/>
    <w:rsid w:val="00017F62"/>
    <w:rsid w:val="00017FFB"/>
    <w:rsid w:val="0002033C"/>
    <w:rsid w:val="00020EA9"/>
    <w:rsid w:val="000211E1"/>
    <w:rsid w:val="00021594"/>
    <w:rsid w:val="000219CE"/>
    <w:rsid w:val="00022469"/>
    <w:rsid w:val="0002254A"/>
    <w:rsid w:val="000226E9"/>
    <w:rsid w:val="00022D31"/>
    <w:rsid w:val="0002304F"/>
    <w:rsid w:val="00023175"/>
    <w:rsid w:val="00023467"/>
    <w:rsid w:val="00023595"/>
    <w:rsid w:val="00023C92"/>
    <w:rsid w:val="00023EDB"/>
    <w:rsid w:val="00023F9B"/>
    <w:rsid w:val="0002473B"/>
    <w:rsid w:val="00024D67"/>
    <w:rsid w:val="000253AB"/>
    <w:rsid w:val="000263B2"/>
    <w:rsid w:val="00026744"/>
    <w:rsid w:val="00026868"/>
    <w:rsid w:val="00026A59"/>
    <w:rsid w:val="00026B6C"/>
    <w:rsid w:val="00027046"/>
    <w:rsid w:val="0002748D"/>
    <w:rsid w:val="00027751"/>
    <w:rsid w:val="00027786"/>
    <w:rsid w:val="00030427"/>
    <w:rsid w:val="00030FBF"/>
    <w:rsid w:val="000313E5"/>
    <w:rsid w:val="00031841"/>
    <w:rsid w:val="0003197C"/>
    <w:rsid w:val="00031A9C"/>
    <w:rsid w:val="000322B6"/>
    <w:rsid w:val="000324FD"/>
    <w:rsid w:val="00032509"/>
    <w:rsid w:val="00032753"/>
    <w:rsid w:val="00032941"/>
    <w:rsid w:val="00032EA4"/>
    <w:rsid w:val="00032F71"/>
    <w:rsid w:val="0003326E"/>
    <w:rsid w:val="0003337F"/>
    <w:rsid w:val="0003350F"/>
    <w:rsid w:val="0003423C"/>
    <w:rsid w:val="00034891"/>
    <w:rsid w:val="00034A5F"/>
    <w:rsid w:val="00034ADB"/>
    <w:rsid w:val="00034AF2"/>
    <w:rsid w:val="00034EAD"/>
    <w:rsid w:val="00034F27"/>
    <w:rsid w:val="00035311"/>
    <w:rsid w:val="00035361"/>
    <w:rsid w:val="00035790"/>
    <w:rsid w:val="00035908"/>
    <w:rsid w:val="000360DF"/>
    <w:rsid w:val="000360E0"/>
    <w:rsid w:val="0003653C"/>
    <w:rsid w:val="000368DF"/>
    <w:rsid w:val="00037E32"/>
    <w:rsid w:val="00037F76"/>
    <w:rsid w:val="00040089"/>
    <w:rsid w:val="00040359"/>
    <w:rsid w:val="0004070E"/>
    <w:rsid w:val="00040725"/>
    <w:rsid w:val="00040B1C"/>
    <w:rsid w:val="00040B6B"/>
    <w:rsid w:val="00040FBA"/>
    <w:rsid w:val="000411B4"/>
    <w:rsid w:val="0004169D"/>
    <w:rsid w:val="000417F7"/>
    <w:rsid w:val="000419CE"/>
    <w:rsid w:val="000424C6"/>
    <w:rsid w:val="00042C9E"/>
    <w:rsid w:val="0004304F"/>
    <w:rsid w:val="0004322E"/>
    <w:rsid w:val="000432C9"/>
    <w:rsid w:val="000434E5"/>
    <w:rsid w:val="00043D9D"/>
    <w:rsid w:val="00043E94"/>
    <w:rsid w:val="00043F0D"/>
    <w:rsid w:val="00044170"/>
    <w:rsid w:val="000445AD"/>
    <w:rsid w:val="00045110"/>
    <w:rsid w:val="00045264"/>
    <w:rsid w:val="0004528A"/>
    <w:rsid w:val="000458CF"/>
    <w:rsid w:val="00046187"/>
    <w:rsid w:val="00046357"/>
    <w:rsid w:val="00046998"/>
    <w:rsid w:val="00047120"/>
    <w:rsid w:val="000471C5"/>
    <w:rsid w:val="000473BC"/>
    <w:rsid w:val="00047491"/>
    <w:rsid w:val="00050E03"/>
    <w:rsid w:val="00051331"/>
    <w:rsid w:val="00051661"/>
    <w:rsid w:val="00051A69"/>
    <w:rsid w:val="000520D8"/>
    <w:rsid w:val="00052118"/>
    <w:rsid w:val="000528B3"/>
    <w:rsid w:val="00053087"/>
    <w:rsid w:val="00053791"/>
    <w:rsid w:val="000537B7"/>
    <w:rsid w:val="000544F7"/>
    <w:rsid w:val="00054529"/>
    <w:rsid w:val="00054A41"/>
    <w:rsid w:val="0005585E"/>
    <w:rsid w:val="00056599"/>
    <w:rsid w:val="000568D6"/>
    <w:rsid w:val="00057168"/>
    <w:rsid w:val="00057174"/>
    <w:rsid w:val="00057EA8"/>
    <w:rsid w:val="0006004F"/>
    <w:rsid w:val="00060DCE"/>
    <w:rsid w:val="000610CF"/>
    <w:rsid w:val="000613DB"/>
    <w:rsid w:val="0006150C"/>
    <w:rsid w:val="0006196C"/>
    <w:rsid w:val="00063169"/>
    <w:rsid w:val="000632C7"/>
    <w:rsid w:val="00063512"/>
    <w:rsid w:val="00064BCA"/>
    <w:rsid w:val="00064D33"/>
    <w:rsid w:val="00064EC2"/>
    <w:rsid w:val="000655D5"/>
    <w:rsid w:val="00065E7C"/>
    <w:rsid w:val="00066292"/>
    <w:rsid w:val="0006682E"/>
    <w:rsid w:val="000676B9"/>
    <w:rsid w:val="000678F6"/>
    <w:rsid w:val="00067DFF"/>
    <w:rsid w:val="00070630"/>
    <w:rsid w:val="000707F5"/>
    <w:rsid w:val="00070BE2"/>
    <w:rsid w:val="00071972"/>
    <w:rsid w:val="00071A0D"/>
    <w:rsid w:val="00072851"/>
    <w:rsid w:val="00072DEE"/>
    <w:rsid w:val="0007334E"/>
    <w:rsid w:val="00074375"/>
    <w:rsid w:val="000743C4"/>
    <w:rsid w:val="00074B77"/>
    <w:rsid w:val="000758A9"/>
    <w:rsid w:val="0007602B"/>
    <w:rsid w:val="000763FC"/>
    <w:rsid w:val="000765D3"/>
    <w:rsid w:val="00076A8A"/>
    <w:rsid w:val="00076B0F"/>
    <w:rsid w:val="00076FB6"/>
    <w:rsid w:val="0007742C"/>
    <w:rsid w:val="000777CA"/>
    <w:rsid w:val="00077882"/>
    <w:rsid w:val="00077938"/>
    <w:rsid w:val="00077BCD"/>
    <w:rsid w:val="00077E03"/>
    <w:rsid w:val="000805BF"/>
    <w:rsid w:val="00080702"/>
    <w:rsid w:val="000821BA"/>
    <w:rsid w:val="00082821"/>
    <w:rsid w:val="00082BF0"/>
    <w:rsid w:val="00083437"/>
    <w:rsid w:val="0008413E"/>
    <w:rsid w:val="0008417B"/>
    <w:rsid w:val="00084289"/>
    <w:rsid w:val="00084512"/>
    <w:rsid w:val="0008459A"/>
    <w:rsid w:val="00084617"/>
    <w:rsid w:val="00084619"/>
    <w:rsid w:val="000846BB"/>
    <w:rsid w:val="00084824"/>
    <w:rsid w:val="00084D8A"/>
    <w:rsid w:val="00084DA8"/>
    <w:rsid w:val="0008546A"/>
    <w:rsid w:val="0008560F"/>
    <w:rsid w:val="00085857"/>
    <w:rsid w:val="00085F06"/>
    <w:rsid w:val="00085F25"/>
    <w:rsid w:val="00086464"/>
    <w:rsid w:val="00086701"/>
    <w:rsid w:val="00086845"/>
    <w:rsid w:val="00086E4C"/>
    <w:rsid w:val="000870FF"/>
    <w:rsid w:val="0008750C"/>
    <w:rsid w:val="000875E2"/>
    <w:rsid w:val="000876CB"/>
    <w:rsid w:val="0009033C"/>
    <w:rsid w:val="00090D2D"/>
    <w:rsid w:val="00090D37"/>
    <w:rsid w:val="00090F96"/>
    <w:rsid w:val="00090FBC"/>
    <w:rsid w:val="00090FDC"/>
    <w:rsid w:val="00091605"/>
    <w:rsid w:val="00091670"/>
    <w:rsid w:val="0009210B"/>
    <w:rsid w:val="00092628"/>
    <w:rsid w:val="000929AC"/>
    <w:rsid w:val="00092E23"/>
    <w:rsid w:val="000931E7"/>
    <w:rsid w:val="0009346E"/>
    <w:rsid w:val="00093B06"/>
    <w:rsid w:val="00093B83"/>
    <w:rsid w:val="00094254"/>
    <w:rsid w:val="000942B0"/>
    <w:rsid w:val="00094837"/>
    <w:rsid w:val="00094864"/>
    <w:rsid w:val="000949C6"/>
    <w:rsid w:val="00094C98"/>
    <w:rsid w:val="00095408"/>
    <w:rsid w:val="00095948"/>
    <w:rsid w:val="00095DF5"/>
    <w:rsid w:val="00095ECB"/>
    <w:rsid w:val="00096385"/>
    <w:rsid w:val="00096D52"/>
    <w:rsid w:val="00097DCC"/>
    <w:rsid w:val="000A01A8"/>
    <w:rsid w:val="000A0475"/>
    <w:rsid w:val="000A065C"/>
    <w:rsid w:val="000A0710"/>
    <w:rsid w:val="000A078E"/>
    <w:rsid w:val="000A18B1"/>
    <w:rsid w:val="000A1F0C"/>
    <w:rsid w:val="000A2754"/>
    <w:rsid w:val="000A33BB"/>
    <w:rsid w:val="000A36B7"/>
    <w:rsid w:val="000A3908"/>
    <w:rsid w:val="000A3981"/>
    <w:rsid w:val="000A3C48"/>
    <w:rsid w:val="000A45C9"/>
    <w:rsid w:val="000A466A"/>
    <w:rsid w:val="000A5D13"/>
    <w:rsid w:val="000A615F"/>
    <w:rsid w:val="000A6687"/>
    <w:rsid w:val="000A6809"/>
    <w:rsid w:val="000A6B29"/>
    <w:rsid w:val="000A6BDA"/>
    <w:rsid w:val="000A6F41"/>
    <w:rsid w:val="000A6F4A"/>
    <w:rsid w:val="000A71AE"/>
    <w:rsid w:val="000A73BE"/>
    <w:rsid w:val="000A7545"/>
    <w:rsid w:val="000B006A"/>
    <w:rsid w:val="000B03B8"/>
    <w:rsid w:val="000B0D12"/>
    <w:rsid w:val="000B1625"/>
    <w:rsid w:val="000B1C84"/>
    <w:rsid w:val="000B1E0C"/>
    <w:rsid w:val="000B1EF1"/>
    <w:rsid w:val="000B27F7"/>
    <w:rsid w:val="000B3146"/>
    <w:rsid w:val="000B32E7"/>
    <w:rsid w:val="000B3306"/>
    <w:rsid w:val="000B37EC"/>
    <w:rsid w:val="000B3E9B"/>
    <w:rsid w:val="000B4C0B"/>
    <w:rsid w:val="000B4E7E"/>
    <w:rsid w:val="000B5AEB"/>
    <w:rsid w:val="000B700D"/>
    <w:rsid w:val="000B70EE"/>
    <w:rsid w:val="000B77C3"/>
    <w:rsid w:val="000B7DBE"/>
    <w:rsid w:val="000B7E3F"/>
    <w:rsid w:val="000B7F9C"/>
    <w:rsid w:val="000C0035"/>
    <w:rsid w:val="000C0307"/>
    <w:rsid w:val="000C0365"/>
    <w:rsid w:val="000C0685"/>
    <w:rsid w:val="000C089C"/>
    <w:rsid w:val="000C0987"/>
    <w:rsid w:val="000C0CA0"/>
    <w:rsid w:val="000C1064"/>
    <w:rsid w:val="000C1384"/>
    <w:rsid w:val="000C13E2"/>
    <w:rsid w:val="000C1B9D"/>
    <w:rsid w:val="000C23F8"/>
    <w:rsid w:val="000C2FC1"/>
    <w:rsid w:val="000C3175"/>
    <w:rsid w:val="000C31CD"/>
    <w:rsid w:val="000C3967"/>
    <w:rsid w:val="000C3A80"/>
    <w:rsid w:val="000C404F"/>
    <w:rsid w:val="000C418C"/>
    <w:rsid w:val="000C5071"/>
    <w:rsid w:val="000C5112"/>
    <w:rsid w:val="000C5356"/>
    <w:rsid w:val="000C558C"/>
    <w:rsid w:val="000C55B6"/>
    <w:rsid w:val="000C5D8E"/>
    <w:rsid w:val="000C5EB9"/>
    <w:rsid w:val="000C616A"/>
    <w:rsid w:val="000C65D0"/>
    <w:rsid w:val="000C6EC8"/>
    <w:rsid w:val="000C7004"/>
    <w:rsid w:val="000D01D4"/>
    <w:rsid w:val="000D03C2"/>
    <w:rsid w:val="000D03CF"/>
    <w:rsid w:val="000D09DB"/>
    <w:rsid w:val="000D19B0"/>
    <w:rsid w:val="000D26E0"/>
    <w:rsid w:val="000D29E7"/>
    <w:rsid w:val="000D2A3D"/>
    <w:rsid w:val="000D3052"/>
    <w:rsid w:val="000D38E8"/>
    <w:rsid w:val="000D3AD3"/>
    <w:rsid w:val="000D3C6A"/>
    <w:rsid w:val="000D4290"/>
    <w:rsid w:val="000D4455"/>
    <w:rsid w:val="000D44C8"/>
    <w:rsid w:val="000D4D7F"/>
    <w:rsid w:val="000D5068"/>
    <w:rsid w:val="000D5408"/>
    <w:rsid w:val="000D5481"/>
    <w:rsid w:val="000D55AB"/>
    <w:rsid w:val="000D5B58"/>
    <w:rsid w:val="000D62AF"/>
    <w:rsid w:val="000D6C43"/>
    <w:rsid w:val="000D6FED"/>
    <w:rsid w:val="000D7844"/>
    <w:rsid w:val="000D7A85"/>
    <w:rsid w:val="000D7BB6"/>
    <w:rsid w:val="000D7E91"/>
    <w:rsid w:val="000E00F4"/>
    <w:rsid w:val="000E029D"/>
    <w:rsid w:val="000E06AF"/>
    <w:rsid w:val="000E0A44"/>
    <w:rsid w:val="000E0EAC"/>
    <w:rsid w:val="000E0EF8"/>
    <w:rsid w:val="000E13F8"/>
    <w:rsid w:val="000E1AD1"/>
    <w:rsid w:val="000E1B65"/>
    <w:rsid w:val="000E1E13"/>
    <w:rsid w:val="000E1E29"/>
    <w:rsid w:val="000E228F"/>
    <w:rsid w:val="000E2C29"/>
    <w:rsid w:val="000E2DC6"/>
    <w:rsid w:val="000E2DE6"/>
    <w:rsid w:val="000E36B4"/>
    <w:rsid w:val="000E4171"/>
    <w:rsid w:val="000E42C2"/>
    <w:rsid w:val="000E49CB"/>
    <w:rsid w:val="000E4FF9"/>
    <w:rsid w:val="000E5C67"/>
    <w:rsid w:val="000E5F90"/>
    <w:rsid w:val="000E6089"/>
    <w:rsid w:val="000E6456"/>
    <w:rsid w:val="000E64F8"/>
    <w:rsid w:val="000E7568"/>
    <w:rsid w:val="000E7658"/>
    <w:rsid w:val="000F02A2"/>
    <w:rsid w:val="000F0DD4"/>
    <w:rsid w:val="000F12A2"/>
    <w:rsid w:val="000F13C7"/>
    <w:rsid w:val="000F1559"/>
    <w:rsid w:val="000F1ACA"/>
    <w:rsid w:val="000F2737"/>
    <w:rsid w:val="000F2766"/>
    <w:rsid w:val="000F2CC6"/>
    <w:rsid w:val="000F2CE2"/>
    <w:rsid w:val="000F4AC2"/>
    <w:rsid w:val="000F50E6"/>
    <w:rsid w:val="000F5205"/>
    <w:rsid w:val="000F532C"/>
    <w:rsid w:val="000F5D8D"/>
    <w:rsid w:val="000F66E1"/>
    <w:rsid w:val="000F6C37"/>
    <w:rsid w:val="000F6F9D"/>
    <w:rsid w:val="000F7549"/>
    <w:rsid w:val="000F7A8F"/>
    <w:rsid w:val="000F7CE4"/>
    <w:rsid w:val="000F7EF2"/>
    <w:rsid w:val="00100109"/>
    <w:rsid w:val="0010097D"/>
    <w:rsid w:val="00100EA2"/>
    <w:rsid w:val="00101460"/>
    <w:rsid w:val="001017CA"/>
    <w:rsid w:val="00101873"/>
    <w:rsid w:val="00101A29"/>
    <w:rsid w:val="00101A2B"/>
    <w:rsid w:val="00102E0D"/>
    <w:rsid w:val="001035D9"/>
    <w:rsid w:val="00103BFA"/>
    <w:rsid w:val="0010413D"/>
    <w:rsid w:val="001041EB"/>
    <w:rsid w:val="00104228"/>
    <w:rsid w:val="00104AC7"/>
    <w:rsid w:val="0010526A"/>
    <w:rsid w:val="00105366"/>
    <w:rsid w:val="001055FA"/>
    <w:rsid w:val="00106168"/>
    <w:rsid w:val="00106647"/>
    <w:rsid w:val="00106CB1"/>
    <w:rsid w:val="00106DFD"/>
    <w:rsid w:val="0010791F"/>
    <w:rsid w:val="00110386"/>
    <w:rsid w:val="001105A7"/>
    <w:rsid w:val="001105AD"/>
    <w:rsid w:val="0011084F"/>
    <w:rsid w:val="00111837"/>
    <w:rsid w:val="00111D8C"/>
    <w:rsid w:val="001120E9"/>
    <w:rsid w:val="001121B9"/>
    <w:rsid w:val="001128D9"/>
    <w:rsid w:val="00112E12"/>
    <w:rsid w:val="0011318E"/>
    <w:rsid w:val="00113868"/>
    <w:rsid w:val="00113D56"/>
    <w:rsid w:val="00114095"/>
    <w:rsid w:val="00114B27"/>
    <w:rsid w:val="00115090"/>
    <w:rsid w:val="001151A1"/>
    <w:rsid w:val="00115329"/>
    <w:rsid w:val="0011552C"/>
    <w:rsid w:val="00115ECA"/>
    <w:rsid w:val="00115FAA"/>
    <w:rsid w:val="00116892"/>
    <w:rsid w:val="00116BFF"/>
    <w:rsid w:val="001170A5"/>
    <w:rsid w:val="00117207"/>
    <w:rsid w:val="00117439"/>
    <w:rsid w:val="00117634"/>
    <w:rsid w:val="00117BFC"/>
    <w:rsid w:val="00117E63"/>
    <w:rsid w:val="0012035A"/>
    <w:rsid w:val="0012077D"/>
    <w:rsid w:val="00120BB3"/>
    <w:rsid w:val="00120BCA"/>
    <w:rsid w:val="001211DA"/>
    <w:rsid w:val="00121C9F"/>
    <w:rsid w:val="00122247"/>
    <w:rsid w:val="001222E5"/>
    <w:rsid w:val="0012239E"/>
    <w:rsid w:val="0012240B"/>
    <w:rsid w:val="00122762"/>
    <w:rsid w:val="00122B6C"/>
    <w:rsid w:val="00122F60"/>
    <w:rsid w:val="001238FE"/>
    <w:rsid w:val="00123A37"/>
    <w:rsid w:val="00123AC2"/>
    <w:rsid w:val="00124103"/>
    <w:rsid w:val="00124BB6"/>
    <w:rsid w:val="00125A9D"/>
    <w:rsid w:val="00126449"/>
    <w:rsid w:val="00126897"/>
    <w:rsid w:val="00126961"/>
    <w:rsid w:val="00127031"/>
    <w:rsid w:val="001275A9"/>
    <w:rsid w:val="00127881"/>
    <w:rsid w:val="00127B12"/>
    <w:rsid w:val="00127C7D"/>
    <w:rsid w:val="0013018F"/>
    <w:rsid w:val="001302D7"/>
    <w:rsid w:val="0013080E"/>
    <w:rsid w:val="00130816"/>
    <w:rsid w:val="00130E35"/>
    <w:rsid w:val="00131B0B"/>
    <w:rsid w:val="00131BD7"/>
    <w:rsid w:val="00131F7C"/>
    <w:rsid w:val="00132150"/>
    <w:rsid w:val="0013224D"/>
    <w:rsid w:val="001325F0"/>
    <w:rsid w:val="00132EDD"/>
    <w:rsid w:val="00133026"/>
    <w:rsid w:val="00133292"/>
    <w:rsid w:val="00133966"/>
    <w:rsid w:val="00133AEC"/>
    <w:rsid w:val="0013451A"/>
    <w:rsid w:val="00134D20"/>
    <w:rsid w:val="00135A1D"/>
    <w:rsid w:val="001360C0"/>
    <w:rsid w:val="001363A8"/>
    <w:rsid w:val="00136609"/>
    <w:rsid w:val="001368AF"/>
    <w:rsid w:val="00136988"/>
    <w:rsid w:val="00136A02"/>
    <w:rsid w:val="0013759A"/>
    <w:rsid w:val="00137A2F"/>
    <w:rsid w:val="00137ED6"/>
    <w:rsid w:val="00140051"/>
    <w:rsid w:val="00140707"/>
    <w:rsid w:val="00140C15"/>
    <w:rsid w:val="00140CD3"/>
    <w:rsid w:val="00140E64"/>
    <w:rsid w:val="001413A9"/>
    <w:rsid w:val="00142270"/>
    <w:rsid w:val="001425DE"/>
    <w:rsid w:val="001425FB"/>
    <w:rsid w:val="001426EA"/>
    <w:rsid w:val="00142E70"/>
    <w:rsid w:val="00143010"/>
    <w:rsid w:val="00143366"/>
    <w:rsid w:val="00143770"/>
    <w:rsid w:val="001438CD"/>
    <w:rsid w:val="00143EF6"/>
    <w:rsid w:val="00144146"/>
    <w:rsid w:val="00144215"/>
    <w:rsid w:val="001443E3"/>
    <w:rsid w:val="001444D1"/>
    <w:rsid w:val="0014472A"/>
    <w:rsid w:val="00144730"/>
    <w:rsid w:val="001448D8"/>
    <w:rsid w:val="001450D5"/>
    <w:rsid w:val="0014512D"/>
    <w:rsid w:val="00145180"/>
    <w:rsid w:val="001457DC"/>
    <w:rsid w:val="0014583D"/>
    <w:rsid w:val="00145B46"/>
    <w:rsid w:val="00145CB4"/>
    <w:rsid w:val="001468AE"/>
    <w:rsid w:val="001469EF"/>
    <w:rsid w:val="00146D5F"/>
    <w:rsid w:val="00146D92"/>
    <w:rsid w:val="001477EF"/>
    <w:rsid w:val="00147940"/>
    <w:rsid w:val="0015003E"/>
    <w:rsid w:val="00150380"/>
    <w:rsid w:val="0015099C"/>
    <w:rsid w:val="00150A31"/>
    <w:rsid w:val="00151181"/>
    <w:rsid w:val="0015136B"/>
    <w:rsid w:val="001516B6"/>
    <w:rsid w:val="001518E2"/>
    <w:rsid w:val="00151E1E"/>
    <w:rsid w:val="001520C1"/>
    <w:rsid w:val="001526BD"/>
    <w:rsid w:val="00153578"/>
    <w:rsid w:val="0015368A"/>
    <w:rsid w:val="00153AE0"/>
    <w:rsid w:val="00153D4D"/>
    <w:rsid w:val="00154162"/>
    <w:rsid w:val="001541D8"/>
    <w:rsid w:val="00154E9C"/>
    <w:rsid w:val="00154EC7"/>
    <w:rsid w:val="0015502E"/>
    <w:rsid w:val="001554D2"/>
    <w:rsid w:val="00155B3A"/>
    <w:rsid w:val="00155B49"/>
    <w:rsid w:val="0015690E"/>
    <w:rsid w:val="00156983"/>
    <w:rsid w:val="00156FAB"/>
    <w:rsid w:val="001570EB"/>
    <w:rsid w:val="00160334"/>
    <w:rsid w:val="001604AE"/>
    <w:rsid w:val="00160EB2"/>
    <w:rsid w:val="001611C5"/>
    <w:rsid w:val="001614FB"/>
    <w:rsid w:val="00161649"/>
    <w:rsid w:val="00162098"/>
    <w:rsid w:val="00162C31"/>
    <w:rsid w:val="00162C95"/>
    <w:rsid w:val="00162F00"/>
    <w:rsid w:val="0016304A"/>
    <w:rsid w:val="00163BC7"/>
    <w:rsid w:val="00163CC8"/>
    <w:rsid w:val="00165ACA"/>
    <w:rsid w:val="00166745"/>
    <w:rsid w:val="00166C7B"/>
    <w:rsid w:val="00166D55"/>
    <w:rsid w:val="00166FA1"/>
    <w:rsid w:val="00167583"/>
    <w:rsid w:val="00167E41"/>
    <w:rsid w:val="00170243"/>
    <w:rsid w:val="00170410"/>
    <w:rsid w:val="0017062E"/>
    <w:rsid w:val="00170FDC"/>
    <w:rsid w:val="0017104D"/>
    <w:rsid w:val="00171437"/>
    <w:rsid w:val="00171A2A"/>
    <w:rsid w:val="001725E6"/>
    <w:rsid w:val="001726AB"/>
    <w:rsid w:val="001726EE"/>
    <w:rsid w:val="00172886"/>
    <w:rsid w:val="0017292B"/>
    <w:rsid w:val="00173070"/>
    <w:rsid w:val="00173255"/>
    <w:rsid w:val="001734CC"/>
    <w:rsid w:val="00173F70"/>
    <w:rsid w:val="00174111"/>
    <w:rsid w:val="00174A0B"/>
    <w:rsid w:val="001750D2"/>
    <w:rsid w:val="0017596C"/>
    <w:rsid w:val="00175CA7"/>
    <w:rsid w:val="00175FB4"/>
    <w:rsid w:val="00176177"/>
    <w:rsid w:val="0017709B"/>
    <w:rsid w:val="00177631"/>
    <w:rsid w:val="001777D7"/>
    <w:rsid w:val="00177B30"/>
    <w:rsid w:val="001800D8"/>
    <w:rsid w:val="001806A3"/>
    <w:rsid w:val="00180704"/>
    <w:rsid w:val="0018088D"/>
    <w:rsid w:val="00180F03"/>
    <w:rsid w:val="00181294"/>
    <w:rsid w:val="0018143F"/>
    <w:rsid w:val="001815F2"/>
    <w:rsid w:val="00182206"/>
    <w:rsid w:val="001822E2"/>
    <w:rsid w:val="00182D62"/>
    <w:rsid w:val="001830B5"/>
    <w:rsid w:val="001831C1"/>
    <w:rsid w:val="0018336A"/>
    <w:rsid w:val="00183462"/>
    <w:rsid w:val="00183BDA"/>
    <w:rsid w:val="00184257"/>
    <w:rsid w:val="001842F3"/>
    <w:rsid w:val="001845DF"/>
    <w:rsid w:val="00184792"/>
    <w:rsid w:val="00185033"/>
    <w:rsid w:val="001851EC"/>
    <w:rsid w:val="001860D6"/>
    <w:rsid w:val="00186B32"/>
    <w:rsid w:val="00186B47"/>
    <w:rsid w:val="0018778A"/>
    <w:rsid w:val="00187880"/>
    <w:rsid w:val="00187A4E"/>
    <w:rsid w:val="00187CB2"/>
    <w:rsid w:val="00187EE3"/>
    <w:rsid w:val="0019001E"/>
    <w:rsid w:val="00190E37"/>
    <w:rsid w:val="00190EC7"/>
    <w:rsid w:val="00191096"/>
    <w:rsid w:val="0019109F"/>
    <w:rsid w:val="001912A8"/>
    <w:rsid w:val="001912C1"/>
    <w:rsid w:val="001914C4"/>
    <w:rsid w:val="0019150B"/>
    <w:rsid w:val="00191BBA"/>
    <w:rsid w:val="001920D4"/>
    <w:rsid w:val="001932B7"/>
    <w:rsid w:val="00193C64"/>
    <w:rsid w:val="00193F3D"/>
    <w:rsid w:val="001941A3"/>
    <w:rsid w:val="00194696"/>
    <w:rsid w:val="00194DCC"/>
    <w:rsid w:val="00195028"/>
    <w:rsid w:val="00195342"/>
    <w:rsid w:val="0019581E"/>
    <w:rsid w:val="00195A07"/>
    <w:rsid w:val="00195BC6"/>
    <w:rsid w:val="00195FAE"/>
    <w:rsid w:val="00196261"/>
    <w:rsid w:val="00196669"/>
    <w:rsid w:val="001966DD"/>
    <w:rsid w:val="0019675A"/>
    <w:rsid w:val="00196A2F"/>
    <w:rsid w:val="00196A62"/>
    <w:rsid w:val="00196C30"/>
    <w:rsid w:val="00196CAD"/>
    <w:rsid w:val="00196F11"/>
    <w:rsid w:val="0019759E"/>
    <w:rsid w:val="00197B44"/>
    <w:rsid w:val="001A0738"/>
    <w:rsid w:val="001A0A65"/>
    <w:rsid w:val="001A0AE0"/>
    <w:rsid w:val="001A133F"/>
    <w:rsid w:val="001A160C"/>
    <w:rsid w:val="001A1716"/>
    <w:rsid w:val="001A1A5D"/>
    <w:rsid w:val="001A1A94"/>
    <w:rsid w:val="001A1F30"/>
    <w:rsid w:val="001A21F4"/>
    <w:rsid w:val="001A23EF"/>
    <w:rsid w:val="001A2C6F"/>
    <w:rsid w:val="001A2D24"/>
    <w:rsid w:val="001A322D"/>
    <w:rsid w:val="001A35A2"/>
    <w:rsid w:val="001A3839"/>
    <w:rsid w:val="001A39C8"/>
    <w:rsid w:val="001A3A5A"/>
    <w:rsid w:val="001A42CA"/>
    <w:rsid w:val="001A47EC"/>
    <w:rsid w:val="001A5187"/>
    <w:rsid w:val="001A52D8"/>
    <w:rsid w:val="001A5863"/>
    <w:rsid w:val="001A5C22"/>
    <w:rsid w:val="001A6320"/>
    <w:rsid w:val="001A682D"/>
    <w:rsid w:val="001A6D96"/>
    <w:rsid w:val="001A6F85"/>
    <w:rsid w:val="001A72C5"/>
    <w:rsid w:val="001A7375"/>
    <w:rsid w:val="001A7D88"/>
    <w:rsid w:val="001A7F57"/>
    <w:rsid w:val="001B008D"/>
    <w:rsid w:val="001B0780"/>
    <w:rsid w:val="001B0819"/>
    <w:rsid w:val="001B08D7"/>
    <w:rsid w:val="001B10D6"/>
    <w:rsid w:val="001B1817"/>
    <w:rsid w:val="001B1B09"/>
    <w:rsid w:val="001B1CC6"/>
    <w:rsid w:val="001B2218"/>
    <w:rsid w:val="001B27FC"/>
    <w:rsid w:val="001B2B7D"/>
    <w:rsid w:val="001B2F17"/>
    <w:rsid w:val="001B3386"/>
    <w:rsid w:val="001B33A9"/>
    <w:rsid w:val="001B3674"/>
    <w:rsid w:val="001B36D7"/>
    <w:rsid w:val="001B3EF7"/>
    <w:rsid w:val="001B4035"/>
    <w:rsid w:val="001B4237"/>
    <w:rsid w:val="001B4786"/>
    <w:rsid w:val="001B4A5E"/>
    <w:rsid w:val="001B4D97"/>
    <w:rsid w:val="001B501C"/>
    <w:rsid w:val="001B5469"/>
    <w:rsid w:val="001B603B"/>
    <w:rsid w:val="001B6608"/>
    <w:rsid w:val="001B682D"/>
    <w:rsid w:val="001B69CD"/>
    <w:rsid w:val="001B6C81"/>
    <w:rsid w:val="001B6E0D"/>
    <w:rsid w:val="001B6E12"/>
    <w:rsid w:val="001B70EA"/>
    <w:rsid w:val="001B760A"/>
    <w:rsid w:val="001B7A16"/>
    <w:rsid w:val="001B7C28"/>
    <w:rsid w:val="001C0110"/>
    <w:rsid w:val="001C01AE"/>
    <w:rsid w:val="001C0293"/>
    <w:rsid w:val="001C0448"/>
    <w:rsid w:val="001C0739"/>
    <w:rsid w:val="001C0A23"/>
    <w:rsid w:val="001C0A39"/>
    <w:rsid w:val="001C0D0E"/>
    <w:rsid w:val="001C0D72"/>
    <w:rsid w:val="001C12E2"/>
    <w:rsid w:val="001C18C0"/>
    <w:rsid w:val="001C1916"/>
    <w:rsid w:val="001C2942"/>
    <w:rsid w:val="001C2B31"/>
    <w:rsid w:val="001C2F97"/>
    <w:rsid w:val="001C2FDE"/>
    <w:rsid w:val="001C31B7"/>
    <w:rsid w:val="001C31B9"/>
    <w:rsid w:val="001C36FF"/>
    <w:rsid w:val="001C45A9"/>
    <w:rsid w:val="001C494D"/>
    <w:rsid w:val="001C5BB3"/>
    <w:rsid w:val="001C5CBC"/>
    <w:rsid w:val="001C5DC0"/>
    <w:rsid w:val="001C6071"/>
    <w:rsid w:val="001C6581"/>
    <w:rsid w:val="001C676D"/>
    <w:rsid w:val="001C6C8A"/>
    <w:rsid w:val="001C7406"/>
    <w:rsid w:val="001C7572"/>
    <w:rsid w:val="001C75CC"/>
    <w:rsid w:val="001C79F8"/>
    <w:rsid w:val="001C7C8B"/>
    <w:rsid w:val="001C7CC5"/>
    <w:rsid w:val="001D04F3"/>
    <w:rsid w:val="001D0D35"/>
    <w:rsid w:val="001D0E4B"/>
    <w:rsid w:val="001D1213"/>
    <w:rsid w:val="001D13ED"/>
    <w:rsid w:val="001D1464"/>
    <w:rsid w:val="001D1D6C"/>
    <w:rsid w:val="001D27FB"/>
    <w:rsid w:val="001D2865"/>
    <w:rsid w:val="001D2FE5"/>
    <w:rsid w:val="001D3117"/>
    <w:rsid w:val="001D3500"/>
    <w:rsid w:val="001D365F"/>
    <w:rsid w:val="001D36F5"/>
    <w:rsid w:val="001D3BEB"/>
    <w:rsid w:val="001D3C4B"/>
    <w:rsid w:val="001D4430"/>
    <w:rsid w:val="001D4494"/>
    <w:rsid w:val="001D4BFA"/>
    <w:rsid w:val="001D4D8E"/>
    <w:rsid w:val="001D5AC0"/>
    <w:rsid w:val="001D5B51"/>
    <w:rsid w:val="001D5BEE"/>
    <w:rsid w:val="001D5D00"/>
    <w:rsid w:val="001D5D8F"/>
    <w:rsid w:val="001D5EF7"/>
    <w:rsid w:val="001D633B"/>
    <w:rsid w:val="001D6409"/>
    <w:rsid w:val="001D6C38"/>
    <w:rsid w:val="001D70F7"/>
    <w:rsid w:val="001D7103"/>
    <w:rsid w:val="001D74D2"/>
    <w:rsid w:val="001E0071"/>
    <w:rsid w:val="001E05C1"/>
    <w:rsid w:val="001E07DF"/>
    <w:rsid w:val="001E0DF9"/>
    <w:rsid w:val="001E12C5"/>
    <w:rsid w:val="001E13BD"/>
    <w:rsid w:val="001E192F"/>
    <w:rsid w:val="001E1A41"/>
    <w:rsid w:val="001E26CA"/>
    <w:rsid w:val="001E2952"/>
    <w:rsid w:val="001E2CFE"/>
    <w:rsid w:val="001E2DCF"/>
    <w:rsid w:val="001E3548"/>
    <w:rsid w:val="001E359B"/>
    <w:rsid w:val="001E3669"/>
    <w:rsid w:val="001E3EE5"/>
    <w:rsid w:val="001E45B6"/>
    <w:rsid w:val="001E4B20"/>
    <w:rsid w:val="001E4D65"/>
    <w:rsid w:val="001E4E97"/>
    <w:rsid w:val="001E5A93"/>
    <w:rsid w:val="001E5AD7"/>
    <w:rsid w:val="001E5E51"/>
    <w:rsid w:val="001E5F4E"/>
    <w:rsid w:val="001E651F"/>
    <w:rsid w:val="001E6B89"/>
    <w:rsid w:val="001E6FC3"/>
    <w:rsid w:val="001E7332"/>
    <w:rsid w:val="001E79F2"/>
    <w:rsid w:val="001E7AD0"/>
    <w:rsid w:val="001F04B7"/>
    <w:rsid w:val="001F0ABF"/>
    <w:rsid w:val="001F10B2"/>
    <w:rsid w:val="001F1145"/>
    <w:rsid w:val="001F11FD"/>
    <w:rsid w:val="001F13CE"/>
    <w:rsid w:val="001F1D09"/>
    <w:rsid w:val="001F1E97"/>
    <w:rsid w:val="001F212B"/>
    <w:rsid w:val="001F2EC3"/>
    <w:rsid w:val="001F3160"/>
    <w:rsid w:val="001F39EE"/>
    <w:rsid w:val="001F448D"/>
    <w:rsid w:val="001F532C"/>
    <w:rsid w:val="001F5674"/>
    <w:rsid w:val="001F5678"/>
    <w:rsid w:val="001F5E57"/>
    <w:rsid w:val="001F5FD1"/>
    <w:rsid w:val="001F68C1"/>
    <w:rsid w:val="001F6A37"/>
    <w:rsid w:val="001F6EE6"/>
    <w:rsid w:val="001F739F"/>
    <w:rsid w:val="001F741D"/>
    <w:rsid w:val="001F7522"/>
    <w:rsid w:val="001F7691"/>
    <w:rsid w:val="001F77AA"/>
    <w:rsid w:val="001F78E3"/>
    <w:rsid w:val="001F7F23"/>
    <w:rsid w:val="00200667"/>
    <w:rsid w:val="0020085E"/>
    <w:rsid w:val="00200F41"/>
    <w:rsid w:val="00200FC4"/>
    <w:rsid w:val="0020143D"/>
    <w:rsid w:val="00201482"/>
    <w:rsid w:val="00201609"/>
    <w:rsid w:val="00201985"/>
    <w:rsid w:val="0020238B"/>
    <w:rsid w:val="00202553"/>
    <w:rsid w:val="00202CE9"/>
    <w:rsid w:val="00202EE7"/>
    <w:rsid w:val="00202FBF"/>
    <w:rsid w:val="00203197"/>
    <w:rsid w:val="00203451"/>
    <w:rsid w:val="00204AEF"/>
    <w:rsid w:val="00205BEA"/>
    <w:rsid w:val="00205D31"/>
    <w:rsid w:val="00205FE6"/>
    <w:rsid w:val="002062B5"/>
    <w:rsid w:val="00206A80"/>
    <w:rsid w:val="00206B49"/>
    <w:rsid w:val="002073D1"/>
    <w:rsid w:val="002076B8"/>
    <w:rsid w:val="00207A9F"/>
    <w:rsid w:val="002100A6"/>
    <w:rsid w:val="002101F6"/>
    <w:rsid w:val="00210CB6"/>
    <w:rsid w:val="0021107B"/>
    <w:rsid w:val="00211427"/>
    <w:rsid w:val="002119BD"/>
    <w:rsid w:val="002128AE"/>
    <w:rsid w:val="002130BF"/>
    <w:rsid w:val="00213337"/>
    <w:rsid w:val="00213494"/>
    <w:rsid w:val="00213527"/>
    <w:rsid w:val="00213549"/>
    <w:rsid w:val="00213BFC"/>
    <w:rsid w:val="00214146"/>
    <w:rsid w:val="002144A5"/>
    <w:rsid w:val="00214DCB"/>
    <w:rsid w:val="00215243"/>
    <w:rsid w:val="002155B1"/>
    <w:rsid w:val="00215A08"/>
    <w:rsid w:val="00215AD1"/>
    <w:rsid w:val="00215F0A"/>
    <w:rsid w:val="00215F8E"/>
    <w:rsid w:val="002162AD"/>
    <w:rsid w:val="002165F9"/>
    <w:rsid w:val="002166AC"/>
    <w:rsid w:val="0021689F"/>
    <w:rsid w:val="00216CBC"/>
    <w:rsid w:val="0021701F"/>
    <w:rsid w:val="002175C0"/>
    <w:rsid w:val="00217C22"/>
    <w:rsid w:val="0022098F"/>
    <w:rsid w:val="00220EC5"/>
    <w:rsid w:val="00220F23"/>
    <w:rsid w:val="00220FC5"/>
    <w:rsid w:val="002210CA"/>
    <w:rsid w:val="002210E0"/>
    <w:rsid w:val="002215BC"/>
    <w:rsid w:val="00222517"/>
    <w:rsid w:val="00222605"/>
    <w:rsid w:val="00222F8D"/>
    <w:rsid w:val="002232D5"/>
    <w:rsid w:val="002233F2"/>
    <w:rsid w:val="0022361F"/>
    <w:rsid w:val="002236D8"/>
    <w:rsid w:val="002237CD"/>
    <w:rsid w:val="002239FC"/>
    <w:rsid w:val="00223AA8"/>
    <w:rsid w:val="00223D83"/>
    <w:rsid w:val="0022428D"/>
    <w:rsid w:val="002246A2"/>
    <w:rsid w:val="00224A8B"/>
    <w:rsid w:val="00224DD1"/>
    <w:rsid w:val="002251AA"/>
    <w:rsid w:val="00226106"/>
    <w:rsid w:val="00226157"/>
    <w:rsid w:val="002263E3"/>
    <w:rsid w:val="002268F0"/>
    <w:rsid w:val="0022697F"/>
    <w:rsid w:val="00226D9A"/>
    <w:rsid w:val="00227314"/>
    <w:rsid w:val="00227C86"/>
    <w:rsid w:val="00230678"/>
    <w:rsid w:val="002312C8"/>
    <w:rsid w:val="002314F4"/>
    <w:rsid w:val="00231F6F"/>
    <w:rsid w:val="002321B6"/>
    <w:rsid w:val="00232587"/>
    <w:rsid w:val="00232B1E"/>
    <w:rsid w:val="00232FDC"/>
    <w:rsid w:val="0023345E"/>
    <w:rsid w:val="00233BBD"/>
    <w:rsid w:val="002341D8"/>
    <w:rsid w:val="00235051"/>
    <w:rsid w:val="00235C66"/>
    <w:rsid w:val="00235CD8"/>
    <w:rsid w:val="0023607A"/>
    <w:rsid w:val="00236126"/>
    <w:rsid w:val="00236757"/>
    <w:rsid w:val="0024005E"/>
    <w:rsid w:val="00240A67"/>
    <w:rsid w:val="00240CB8"/>
    <w:rsid w:val="00241324"/>
    <w:rsid w:val="00241E04"/>
    <w:rsid w:val="00241EA8"/>
    <w:rsid w:val="002431B9"/>
    <w:rsid w:val="002438B8"/>
    <w:rsid w:val="00244009"/>
    <w:rsid w:val="002440EA"/>
    <w:rsid w:val="0024439B"/>
    <w:rsid w:val="002444FD"/>
    <w:rsid w:val="00244AEF"/>
    <w:rsid w:val="00244DB9"/>
    <w:rsid w:val="002452CA"/>
    <w:rsid w:val="002453B9"/>
    <w:rsid w:val="00245AE0"/>
    <w:rsid w:val="00245E9E"/>
    <w:rsid w:val="0024603D"/>
    <w:rsid w:val="00246211"/>
    <w:rsid w:val="00246363"/>
    <w:rsid w:val="002463B9"/>
    <w:rsid w:val="00247025"/>
    <w:rsid w:val="00247AA4"/>
    <w:rsid w:val="00247D5F"/>
    <w:rsid w:val="00250062"/>
    <w:rsid w:val="002500E2"/>
    <w:rsid w:val="0025093A"/>
    <w:rsid w:val="00250A1A"/>
    <w:rsid w:val="00250C8C"/>
    <w:rsid w:val="00251642"/>
    <w:rsid w:val="00251927"/>
    <w:rsid w:val="002519D2"/>
    <w:rsid w:val="00251F1C"/>
    <w:rsid w:val="0025216D"/>
    <w:rsid w:val="00252324"/>
    <w:rsid w:val="002526E0"/>
    <w:rsid w:val="002527A9"/>
    <w:rsid w:val="0025309A"/>
    <w:rsid w:val="002536D5"/>
    <w:rsid w:val="002538E5"/>
    <w:rsid w:val="00253921"/>
    <w:rsid w:val="00253D78"/>
    <w:rsid w:val="0025411B"/>
    <w:rsid w:val="00254BC5"/>
    <w:rsid w:val="002551F2"/>
    <w:rsid w:val="002557DF"/>
    <w:rsid w:val="002560BE"/>
    <w:rsid w:val="0025703E"/>
    <w:rsid w:val="00257383"/>
    <w:rsid w:val="00257867"/>
    <w:rsid w:val="00257AD9"/>
    <w:rsid w:val="00257E16"/>
    <w:rsid w:val="002601E9"/>
    <w:rsid w:val="00261444"/>
    <w:rsid w:val="002614C9"/>
    <w:rsid w:val="0026335E"/>
    <w:rsid w:val="00263569"/>
    <w:rsid w:val="002635E5"/>
    <w:rsid w:val="00263801"/>
    <w:rsid w:val="00263870"/>
    <w:rsid w:val="002647D6"/>
    <w:rsid w:val="00264820"/>
    <w:rsid w:val="00264955"/>
    <w:rsid w:val="00264F3E"/>
    <w:rsid w:val="002651DD"/>
    <w:rsid w:val="002651FC"/>
    <w:rsid w:val="00265C6D"/>
    <w:rsid w:val="00265FF1"/>
    <w:rsid w:val="002665A4"/>
    <w:rsid w:val="002667BE"/>
    <w:rsid w:val="002678A2"/>
    <w:rsid w:val="00267949"/>
    <w:rsid w:val="00267BBD"/>
    <w:rsid w:val="00270300"/>
    <w:rsid w:val="0027092E"/>
    <w:rsid w:val="00271105"/>
    <w:rsid w:val="00271624"/>
    <w:rsid w:val="00271A12"/>
    <w:rsid w:val="00271A66"/>
    <w:rsid w:val="00271C1E"/>
    <w:rsid w:val="00271F7C"/>
    <w:rsid w:val="00272554"/>
    <w:rsid w:val="00272900"/>
    <w:rsid w:val="00272BA4"/>
    <w:rsid w:val="00273105"/>
    <w:rsid w:val="00273C3C"/>
    <w:rsid w:val="00273E3A"/>
    <w:rsid w:val="00274102"/>
    <w:rsid w:val="00274389"/>
    <w:rsid w:val="002743BB"/>
    <w:rsid w:val="00274505"/>
    <w:rsid w:val="002745DF"/>
    <w:rsid w:val="00274A3F"/>
    <w:rsid w:val="00274AF7"/>
    <w:rsid w:val="00274C9F"/>
    <w:rsid w:val="002753B0"/>
    <w:rsid w:val="00275D67"/>
    <w:rsid w:val="00275F19"/>
    <w:rsid w:val="002760EC"/>
    <w:rsid w:val="00276412"/>
    <w:rsid w:val="00276834"/>
    <w:rsid w:val="00276986"/>
    <w:rsid w:val="00276F46"/>
    <w:rsid w:val="00277A91"/>
    <w:rsid w:val="00277C19"/>
    <w:rsid w:val="0028049C"/>
    <w:rsid w:val="0028056C"/>
    <w:rsid w:val="002805FF"/>
    <w:rsid w:val="00280914"/>
    <w:rsid w:val="00280A93"/>
    <w:rsid w:val="00280D60"/>
    <w:rsid w:val="00280DE2"/>
    <w:rsid w:val="0028136A"/>
    <w:rsid w:val="00281611"/>
    <w:rsid w:val="002817A7"/>
    <w:rsid w:val="002819C8"/>
    <w:rsid w:val="00281F8D"/>
    <w:rsid w:val="00281F96"/>
    <w:rsid w:val="002820B0"/>
    <w:rsid w:val="002826CF"/>
    <w:rsid w:val="0028297F"/>
    <w:rsid w:val="00282C18"/>
    <w:rsid w:val="00282C73"/>
    <w:rsid w:val="00282DC3"/>
    <w:rsid w:val="0028336C"/>
    <w:rsid w:val="0028348C"/>
    <w:rsid w:val="002839A5"/>
    <w:rsid w:val="00283A74"/>
    <w:rsid w:val="00284378"/>
    <w:rsid w:val="002844E3"/>
    <w:rsid w:val="00284616"/>
    <w:rsid w:val="0028469F"/>
    <w:rsid w:val="00285360"/>
    <w:rsid w:val="00285522"/>
    <w:rsid w:val="002857D2"/>
    <w:rsid w:val="00286E13"/>
    <w:rsid w:val="00287735"/>
    <w:rsid w:val="00287BE2"/>
    <w:rsid w:val="00287DDD"/>
    <w:rsid w:val="00287F03"/>
    <w:rsid w:val="00290836"/>
    <w:rsid w:val="002909B9"/>
    <w:rsid w:val="00290CF6"/>
    <w:rsid w:val="00290FCB"/>
    <w:rsid w:val="00291002"/>
    <w:rsid w:val="002911DF"/>
    <w:rsid w:val="002912A0"/>
    <w:rsid w:val="00291357"/>
    <w:rsid w:val="002915B9"/>
    <w:rsid w:val="00291EE1"/>
    <w:rsid w:val="0029204F"/>
    <w:rsid w:val="00292327"/>
    <w:rsid w:val="002923BD"/>
    <w:rsid w:val="002923F0"/>
    <w:rsid w:val="00292939"/>
    <w:rsid w:val="00292D74"/>
    <w:rsid w:val="0029301D"/>
    <w:rsid w:val="00293430"/>
    <w:rsid w:val="002934F7"/>
    <w:rsid w:val="00293A9F"/>
    <w:rsid w:val="00293BF3"/>
    <w:rsid w:val="00293E2C"/>
    <w:rsid w:val="00294249"/>
    <w:rsid w:val="00294803"/>
    <w:rsid w:val="002948B7"/>
    <w:rsid w:val="002948B9"/>
    <w:rsid w:val="00294DF1"/>
    <w:rsid w:val="002950D5"/>
    <w:rsid w:val="00295457"/>
    <w:rsid w:val="00295DFC"/>
    <w:rsid w:val="00296017"/>
    <w:rsid w:val="00296158"/>
    <w:rsid w:val="0029644F"/>
    <w:rsid w:val="00296964"/>
    <w:rsid w:val="00297371"/>
    <w:rsid w:val="002A01E0"/>
    <w:rsid w:val="002A08BF"/>
    <w:rsid w:val="002A08C7"/>
    <w:rsid w:val="002A2011"/>
    <w:rsid w:val="002A2610"/>
    <w:rsid w:val="002A2B6C"/>
    <w:rsid w:val="002A33B2"/>
    <w:rsid w:val="002A36E0"/>
    <w:rsid w:val="002A373A"/>
    <w:rsid w:val="002A3DDA"/>
    <w:rsid w:val="002A450E"/>
    <w:rsid w:val="002A4A2F"/>
    <w:rsid w:val="002A4E5F"/>
    <w:rsid w:val="002A5344"/>
    <w:rsid w:val="002A5A6B"/>
    <w:rsid w:val="002A6240"/>
    <w:rsid w:val="002A7E5C"/>
    <w:rsid w:val="002B0098"/>
    <w:rsid w:val="002B0879"/>
    <w:rsid w:val="002B092D"/>
    <w:rsid w:val="002B0981"/>
    <w:rsid w:val="002B16CF"/>
    <w:rsid w:val="002B1CA3"/>
    <w:rsid w:val="002B1EAB"/>
    <w:rsid w:val="002B208C"/>
    <w:rsid w:val="002B26B5"/>
    <w:rsid w:val="002B276D"/>
    <w:rsid w:val="002B2C31"/>
    <w:rsid w:val="002B2F09"/>
    <w:rsid w:val="002B313B"/>
    <w:rsid w:val="002B350C"/>
    <w:rsid w:val="002B36AC"/>
    <w:rsid w:val="002B3AE0"/>
    <w:rsid w:val="002B3C15"/>
    <w:rsid w:val="002B40FD"/>
    <w:rsid w:val="002B4849"/>
    <w:rsid w:val="002B4B4E"/>
    <w:rsid w:val="002B4E81"/>
    <w:rsid w:val="002B5673"/>
    <w:rsid w:val="002B5FFD"/>
    <w:rsid w:val="002B69BC"/>
    <w:rsid w:val="002B6A75"/>
    <w:rsid w:val="002B6AEE"/>
    <w:rsid w:val="002B6B91"/>
    <w:rsid w:val="002B6F73"/>
    <w:rsid w:val="002B7A82"/>
    <w:rsid w:val="002C08BA"/>
    <w:rsid w:val="002C0B4C"/>
    <w:rsid w:val="002C1422"/>
    <w:rsid w:val="002C1446"/>
    <w:rsid w:val="002C1536"/>
    <w:rsid w:val="002C15ED"/>
    <w:rsid w:val="002C17AB"/>
    <w:rsid w:val="002C1840"/>
    <w:rsid w:val="002C1851"/>
    <w:rsid w:val="002C1D1C"/>
    <w:rsid w:val="002C1E89"/>
    <w:rsid w:val="002C25B0"/>
    <w:rsid w:val="002C2757"/>
    <w:rsid w:val="002C2AFB"/>
    <w:rsid w:val="002C310E"/>
    <w:rsid w:val="002C319F"/>
    <w:rsid w:val="002C3D2B"/>
    <w:rsid w:val="002C49B3"/>
    <w:rsid w:val="002C5948"/>
    <w:rsid w:val="002C6134"/>
    <w:rsid w:val="002C67C4"/>
    <w:rsid w:val="002C68DF"/>
    <w:rsid w:val="002C6ECD"/>
    <w:rsid w:val="002C7108"/>
    <w:rsid w:val="002C723F"/>
    <w:rsid w:val="002C72F5"/>
    <w:rsid w:val="002C76F1"/>
    <w:rsid w:val="002C78AB"/>
    <w:rsid w:val="002C7A39"/>
    <w:rsid w:val="002D009E"/>
    <w:rsid w:val="002D05C9"/>
    <w:rsid w:val="002D05FD"/>
    <w:rsid w:val="002D0A9D"/>
    <w:rsid w:val="002D1237"/>
    <w:rsid w:val="002D2790"/>
    <w:rsid w:val="002D2854"/>
    <w:rsid w:val="002D29B8"/>
    <w:rsid w:val="002D2B36"/>
    <w:rsid w:val="002D2FEA"/>
    <w:rsid w:val="002D4118"/>
    <w:rsid w:val="002D433D"/>
    <w:rsid w:val="002D46FB"/>
    <w:rsid w:val="002D4FB6"/>
    <w:rsid w:val="002D51A1"/>
    <w:rsid w:val="002D5231"/>
    <w:rsid w:val="002D54B1"/>
    <w:rsid w:val="002D5C3D"/>
    <w:rsid w:val="002D60DC"/>
    <w:rsid w:val="002D6C52"/>
    <w:rsid w:val="002D6EF6"/>
    <w:rsid w:val="002D6FA9"/>
    <w:rsid w:val="002D73BA"/>
    <w:rsid w:val="002D74E4"/>
    <w:rsid w:val="002D7743"/>
    <w:rsid w:val="002E0170"/>
    <w:rsid w:val="002E01C1"/>
    <w:rsid w:val="002E05BB"/>
    <w:rsid w:val="002E0B9B"/>
    <w:rsid w:val="002E0D66"/>
    <w:rsid w:val="002E0D6E"/>
    <w:rsid w:val="002E0E16"/>
    <w:rsid w:val="002E13BF"/>
    <w:rsid w:val="002E1536"/>
    <w:rsid w:val="002E1796"/>
    <w:rsid w:val="002E17B6"/>
    <w:rsid w:val="002E1EF2"/>
    <w:rsid w:val="002E258E"/>
    <w:rsid w:val="002E273E"/>
    <w:rsid w:val="002E3304"/>
    <w:rsid w:val="002E33CC"/>
    <w:rsid w:val="002E345E"/>
    <w:rsid w:val="002E3779"/>
    <w:rsid w:val="002E3BF6"/>
    <w:rsid w:val="002E3D1E"/>
    <w:rsid w:val="002E3D7A"/>
    <w:rsid w:val="002E3E20"/>
    <w:rsid w:val="002E495C"/>
    <w:rsid w:val="002E4BED"/>
    <w:rsid w:val="002E527D"/>
    <w:rsid w:val="002E5774"/>
    <w:rsid w:val="002E60B5"/>
    <w:rsid w:val="002E6451"/>
    <w:rsid w:val="002E6913"/>
    <w:rsid w:val="002E6A3D"/>
    <w:rsid w:val="002E7F8E"/>
    <w:rsid w:val="002F00F6"/>
    <w:rsid w:val="002F05C3"/>
    <w:rsid w:val="002F097A"/>
    <w:rsid w:val="002F0BAD"/>
    <w:rsid w:val="002F0E93"/>
    <w:rsid w:val="002F1796"/>
    <w:rsid w:val="002F1A75"/>
    <w:rsid w:val="002F1F94"/>
    <w:rsid w:val="002F2619"/>
    <w:rsid w:val="002F26FC"/>
    <w:rsid w:val="002F28EC"/>
    <w:rsid w:val="002F2FCF"/>
    <w:rsid w:val="002F32CD"/>
    <w:rsid w:val="002F338E"/>
    <w:rsid w:val="002F33BE"/>
    <w:rsid w:val="002F381E"/>
    <w:rsid w:val="002F3F0B"/>
    <w:rsid w:val="002F4882"/>
    <w:rsid w:val="002F5C60"/>
    <w:rsid w:val="002F638B"/>
    <w:rsid w:val="002F696D"/>
    <w:rsid w:val="002F6B55"/>
    <w:rsid w:val="00300889"/>
    <w:rsid w:val="0030108C"/>
    <w:rsid w:val="00301A20"/>
    <w:rsid w:val="00301D81"/>
    <w:rsid w:val="00303048"/>
    <w:rsid w:val="003038AA"/>
    <w:rsid w:val="003038AB"/>
    <w:rsid w:val="00304463"/>
    <w:rsid w:val="00304795"/>
    <w:rsid w:val="00304E36"/>
    <w:rsid w:val="00304F85"/>
    <w:rsid w:val="00304FEA"/>
    <w:rsid w:val="00305205"/>
    <w:rsid w:val="00305FBF"/>
    <w:rsid w:val="00306B93"/>
    <w:rsid w:val="00306BAD"/>
    <w:rsid w:val="003073C5"/>
    <w:rsid w:val="00307A7D"/>
    <w:rsid w:val="00307EDA"/>
    <w:rsid w:val="0031036D"/>
    <w:rsid w:val="00310DBC"/>
    <w:rsid w:val="003115AE"/>
    <w:rsid w:val="003118E3"/>
    <w:rsid w:val="00311A45"/>
    <w:rsid w:val="0031233D"/>
    <w:rsid w:val="00312691"/>
    <w:rsid w:val="00312806"/>
    <w:rsid w:val="003133A9"/>
    <w:rsid w:val="00313BF2"/>
    <w:rsid w:val="00313F7D"/>
    <w:rsid w:val="00314035"/>
    <w:rsid w:val="00314BD2"/>
    <w:rsid w:val="0031527B"/>
    <w:rsid w:val="0031566D"/>
    <w:rsid w:val="00315C96"/>
    <w:rsid w:val="00316657"/>
    <w:rsid w:val="00316BA5"/>
    <w:rsid w:val="00316BCA"/>
    <w:rsid w:val="00316E5A"/>
    <w:rsid w:val="00316FBB"/>
    <w:rsid w:val="0031754E"/>
    <w:rsid w:val="003175CE"/>
    <w:rsid w:val="00317845"/>
    <w:rsid w:val="0032064B"/>
    <w:rsid w:val="0032082B"/>
    <w:rsid w:val="00320982"/>
    <w:rsid w:val="0032130B"/>
    <w:rsid w:val="0032170E"/>
    <w:rsid w:val="00321770"/>
    <w:rsid w:val="003217F8"/>
    <w:rsid w:val="00322203"/>
    <w:rsid w:val="0032273B"/>
    <w:rsid w:val="00322BF6"/>
    <w:rsid w:val="00323379"/>
    <w:rsid w:val="00323EEF"/>
    <w:rsid w:val="003248F6"/>
    <w:rsid w:val="00324FB3"/>
    <w:rsid w:val="0032536C"/>
    <w:rsid w:val="00325ACB"/>
    <w:rsid w:val="00325ADF"/>
    <w:rsid w:val="00326493"/>
    <w:rsid w:val="00326EB7"/>
    <w:rsid w:val="003276E1"/>
    <w:rsid w:val="003279FC"/>
    <w:rsid w:val="00330015"/>
    <w:rsid w:val="0033086A"/>
    <w:rsid w:val="0033117B"/>
    <w:rsid w:val="00331D98"/>
    <w:rsid w:val="0033212A"/>
    <w:rsid w:val="003326F8"/>
    <w:rsid w:val="003328A0"/>
    <w:rsid w:val="00332B6F"/>
    <w:rsid w:val="00333AC0"/>
    <w:rsid w:val="00333FE9"/>
    <w:rsid w:val="003341DC"/>
    <w:rsid w:val="0033486A"/>
    <w:rsid w:val="00334AB8"/>
    <w:rsid w:val="00334D07"/>
    <w:rsid w:val="00334D23"/>
    <w:rsid w:val="00335129"/>
    <w:rsid w:val="00335253"/>
    <w:rsid w:val="00335A6D"/>
    <w:rsid w:val="00336367"/>
    <w:rsid w:val="003366ED"/>
    <w:rsid w:val="00336AC8"/>
    <w:rsid w:val="0033704A"/>
    <w:rsid w:val="00337A54"/>
    <w:rsid w:val="00340846"/>
    <w:rsid w:val="00340854"/>
    <w:rsid w:val="00340CBF"/>
    <w:rsid w:val="003411CB"/>
    <w:rsid w:val="0034231F"/>
    <w:rsid w:val="003423EA"/>
    <w:rsid w:val="00342424"/>
    <w:rsid w:val="00342AB3"/>
    <w:rsid w:val="003431B4"/>
    <w:rsid w:val="003431F1"/>
    <w:rsid w:val="003435AD"/>
    <w:rsid w:val="00343A8D"/>
    <w:rsid w:val="00343AAA"/>
    <w:rsid w:val="003450EE"/>
    <w:rsid w:val="00345327"/>
    <w:rsid w:val="00345C37"/>
    <w:rsid w:val="00345D93"/>
    <w:rsid w:val="00345E0D"/>
    <w:rsid w:val="003463DF"/>
    <w:rsid w:val="00346B38"/>
    <w:rsid w:val="00346DA6"/>
    <w:rsid w:val="00346E11"/>
    <w:rsid w:val="0034720A"/>
    <w:rsid w:val="00347292"/>
    <w:rsid w:val="003473C0"/>
    <w:rsid w:val="00347444"/>
    <w:rsid w:val="003502EA"/>
    <w:rsid w:val="00350816"/>
    <w:rsid w:val="00351156"/>
    <w:rsid w:val="003513EA"/>
    <w:rsid w:val="00351705"/>
    <w:rsid w:val="00351D73"/>
    <w:rsid w:val="003527D0"/>
    <w:rsid w:val="00352A2F"/>
    <w:rsid w:val="00352C28"/>
    <w:rsid w:val="003531F1"/>
    <w:rsid w:val="00353DAF"/>
    <w:rsid w:val="00354287"/>
    <w:rsid w:val="0035434A"/>
    <w:rsid w:val="00354544"/>
    <w:rsid w:val="003545BD"/>
    <w:rsid w:val="0035477D"/>
    <w:rsid w:val="003547D6"/>
    <w:rsid w:val="00354CC3"/>
    <w:rsid w:val="00354CDE"/>
    <w:rsid w:val="00354DDA"/>
    <w:rsid w:val="00355362"/>
    <w:rsid w:val="00355AEF"/>
    <w:rsid w:val="00355B56"/>
    <w:rsid w:val="00355CD5"/>
    <w:rsid w:val="00355F4F"/>
    <w:rsid w:val="0035647E"/>
    <w:rsid w:val="00356543"/>
    <w:rsid w:val="003566E0"/>
    <w:rsid w:val="0035699F"/>
    <w:rsid w:val="00356C86"/>
    <w:rsid w:val="00356EEB"/>
    <w:rsid w:val="003573D9"/>
    <w:rsid w:val="00357951"/>
    <w:rsid w:val="00357CED"/>
    <w:rsid w:val="003602D2"/>
    <w:rsid w:val="00360927"/>
    <w:rsid w:val="00360A92"/>
    <w:rsid w:val="00360DB1"/>
    <w:rsid w:val="00360FA9"/>
    <w:rsid w:val="0036121A"/>
    <w:rsid w:val="00361D04"/>
    <w:rsid w:val="00362393"/>
    <w:rsid w:val="003627E1"/>
    <w:rsid w:val="0036300D"/>
    <w:rsid w:val="00363B1D"/>
    <w:rsid w:val="00363D2C"/>
    <w:rsid w:val="0036458C"/>
    <w:rsid w:val="003654AA"/>
    <w:rsid w:val="00365679"/>
    <w:rsid w:val="003657BF"/>
    <w:rsid w:val="0036580F"/>
    <w:rsid w:val="00365D02"/>
    <w:rsid w:val="00365F46"/>
    <w:rsid w:val="0036669F"/>
    <w:rsid w:val="00366836"/>
    <w:rsid w:val="00366884"/>
    <w:rsid w:val="00367367"/>
    <w:rsid w:val="003674BB"/>
    <w:rsid w:val="003679F7"/>
    <w:rsid w:val="00370437"/>
    <w:rsid w:val="003707C7"/>
    <w:rsid w:val="00370C1C"/>
    <w:rsid w:val="00371272"/>
    <w:rsid w:val="003716EA"/>
    <w:rsid w:val="00371AAF"/>
    <w:rsid w:val="00371F2C"/>
    <w:rsid w:val="003721E0"/>
    <w:rsid w:val="0037279E"/>
    <w:rsid w:val="0037282B"/>
    <w:rsid w:val="00372C54"/>
    <w:rsid w:val="0037312D"/>
    <w:rsid w:val="0037376D"/>
    <w:rsid w:val="0037397B"/>
    <w:rsid w:val="003746B9"/>
    <w:rsid w:val="003749F5"/>
    <w:rsid w:val="00374CDC"/>
    <w:rsid w:val="003752E0"/>
    <w:rsid w:val="00376192"/>
    <w:rsid w:val="003761A8"/>
    <w:rsid w:val="00376385"/>
    <w:rsid w:val="003766A5"/>
    <w:rsid w:val="00376CA8"/>
    <w:rsid w:val="00376D68"/>
    <w:rsid w:val="00377393"/>
    <w:rsid w:val="0037740E"/>
    <w:rsid w:val="00377C79"/>
    <w:rsid w:val="0038005A"/>
    <w:rsid w:val="0038066B"/>
    <w:rsid w:val="003809D5"/>
    <w:rsid w:val="00380B75"/>
    <w:rsid w:val="00380F7F"/>
    <w:rsid w:val="003817CA"/>
    <w:rsid w:val="003817E6"/>
    <w:rsid w:val="003818C2"/>
    <w:rsid w:val="00381EEB"/>
    <w:rsid w:val="00382DFC"/>
    <w:rsid w:val="0038347F"/>
    <w:rsid w:val="003837A5"/>
    <w:rsid w:val="0038380A"/>
    <w:rsid w:val="003839B2"/>
    <w:rsid w:val="00384C45"/>
    <w:rsid w:val="00384CB7"/>
    <w:rsid w:val="003850D6"/>
    <w:rsid w:val="00385162"/>
    <w:rsid w:val="003855BE"/>
    <w:rsid w:val="003860A1"/>
    <w:rsid w:val="00386EF3"/>
    <w:rsid w:val="00387027"/>
    <w:rsid w:val="00387271"/>
    <w:rsid w:val="00387AD4"/>
    <w:rsid w:val="0039021B"/>
    <w:rsid w:val="0039042E"/>
    <w:rsid w:val="0039057A"/>
    <w:rsid w:val="003909BF"/>
    <w:rsid w:val="00390DC1"/>
    <w:rsid w:val="00391230"/>
    <w:rsid w:val="003916EA"/>
    <w:rsid w:val="0039195C"/>
    <w:rsid w:val="00391ED5"/>
    <w:rsid w:val="003920D6"/>
    <w:rsid w:val="003925A8"/>
    <w:rsid w:val="00392C2F"/>
    <w:rsid w:val="003935FA"/>
    <w:rsid w:val="003937D8"/>
    <w:rsid w:val="003944C2"/>
    <w:rsid w:val="00394B65"/>
    <w:rsid w:val="003951B4"/>
    <w:rsid w:val="00395378"/>
    <w:rsid w:val="00395EBF"/>
    <w:rsid w:val="00395FDB"/>
    <w:rsid w:val="00396225"/>
    <w:rsid w:val="003963F1"/>
    <w:rsid w:val="0039684F"/>
    <w:rsid w:val="00396D63"/>
    <w:rsid w:val="00396FAF"/>
    <w:rsid w:val="00397378"/>
    <w:rsid w:val="0039799D"/>
    <w:rsid w:val="003979CC"/>
    <w:rsid w:val="00397AA5"/>
    <w:rsid w:val="00397DFD"/>
    <w:rsid w:val="003A0E94"/>
    <w:rsid w:val="003A0F4D"/>
    <w:rsid w:val="003A10FF"/>
    <w:rsid w:val="003A1386"/>
    <w:rsid w:val="003A198E"/>
    <w:rsid w:val="003A1B92"/>
    <w:rsid w:val="003A1FF7"/>
    <w:rsid w:val="003A22C5"/>
    <w:rsid w:val="003A28DC"/>
    <w:rsid w:val="003A2C6C"/>
    <w:rsid w:val="003A2F66"/>
    <w:rsid w:val="003A367D"/>
    <w:rsid w:val="003A37CB"/>
    <w:rsid w:val="003A3822"/>
    <w:rsid w:val="003A3981"/>
    <w:rsid w:val="003A3B2F"/>
    <w:rsid w:val="003A3BCB"/>
    <w:rsid w:val="003A3E9E"/>
    <w:rsid w:val="003A40D4"/>
    <w:rsid w:val="003A4150"/>
    <w:rsid w:val="003A4239"/>
    <w:rsid w:val="003A4F95"/>
    <w:rsid w:val="003A51AA"/>
    <w:rsid w:val="003A5270"/>
    <w:rsid w:val="003A52D7"/>
    <w:rsid w:val="003A53D3"/>
    <w:rsid w:val="003A5DE4"/>
    <w:rsid w:val="003A5F41"/>
    <w:rsid w:val="003A5FE3"/>
    <w:rsid w:val="003A6A1C"/>
    <w:rsid w:val="003A6ADA"/>
    <w:rsid w:val="003A7099"/>
    <w:rsid w:val="003A716E"/>
    <w:rsid w:val="003A75A0"/>
    <w:rsid w:val="003A791C"/>
    <w:rsid w:val="003A79F8"/>
    <w:rsid w:val="003A7EEC"/>
    <w:rsid w:val="003B046E"/>
    <w:rsid w:val="003B077C"/>
    <w:rsid w:val="003B10C0"/>
    <w:rsid w:val="003B130A"/>
    <w:rsid w:val="003B1424"/>
    <w:rsid w:val="003B1519"/>
    <w:rsid w:val="003B1E12"/>
    <w:rsid w:val="003B2242"/>
    <w:rsid w:val="003B25FC"/>
    <w:rsid w:val="003B266E"/>
    <w:rsid w:val="003B381F"/>
    <w:rsid w:val="003B3EAA"/>
    <w:rsid w:val="003B4112"/>
    <w:rsid w:val="003B4323"/>
    <w:rsid w:val="003B47B6"/>
    <w:rsid w:val="003B4D7B"/>
    <w:rsid w:val="003B5C65"/>
    <w:rsid w:val="003B61EF"/>
    <w:rsid w:val="003B620F"/>
    <w:rsid w:val="003B66ED"/>
    <w:rsid w:val="003B676D"/>
    <w:rsid w:val="003B6FC9"/>
    <w:rsid w:val="003B734C"/>
    <w:rsid w:val="003B7844"/>
    <w:rsid w:val="003C0F46"/>
    <w:rsid w:val="003C1638"/>
    <w:rsid w:val="003C2590"/>
    <w:rsid w:val="003C271C"/>
    <w:rsid w:val="003C288A"/>
    <w:rsid w:val="003C2B78"/>
    <w:rsid w:val="003C2DF4"/>
    <w:rsid w:val="003C3313"/>
    <w:rsid w:val="003C356E"/>
    <w:rsid w:val="003C37AC"/>
    <w:rsid w:val="003C38F2"/>
    <w:rsid w:val="003C3AF8"/>
    <w:rsid w:val="003C3DF4"/>
    <w:rsid w:val="003C3E9F"/>
    <w:rsid w:val="003C3F9B"/>
    <w:rsid w:val="003C4B74"/>
    <w:rsid w:val="003C4F9B"/>
    <w:rsid w:val="003C53ED"/>
    <w:rsid w:val="003C6B5A"/>
    <w:rsid w:val="003C7184"/>
    <w:rsid w:val="003C7B07"/>
    <w:rsid w:val="003C7F98"/>
    <w:rsid w:val="003D0333"/>
    <w:rsid w:val="003D085A"/>
    <w:rsid w:val="003D0BED"/>
    <w:rsid w:val="003D12ED"/>
    <w:rsid w:val="003D16AF"/>
    <w:rsid w:val="003D1CB6"/>
    <w:rsid w:val="003D1E6A"/>
    <w:rsid w:val="003D1FAD"/>
    <w:rsid w:val="003D2875"/>
    <w:rsid w:val="003D31AD"/>
    <w:rsid w:val="003D35BC"/>
    <w:rsid w:val="003D3C9C"/>
    <w:rsid w:val="003D3F59"/>
    <w:rsid w:val="003D43BA"/>
    <w:rsid w:val="003D4793"/>
    <w:rsid w:val="003D496B"/>
    <w:rsid w:val="003D50EB"/>
    <w:rsid w:val="003D5278"/>
    <w:rsid w:val="003D5784"/>
    <w:rsid w:val="003D5808"/>
    <w:rsid w:val="003D5C95"/>
    <w:rsid w:val="003D6175"/>
    <w:rsid w:val="003D6790"/>
    <w:rsid w:val="003D6B5B"/>
    <w:rsid w:val="003D6BAD"/>
    <w:rsid w:val="003D6D63"/>
    <w:rsid w:val="003D6FFB"/>
    <w:rsid w:val="003D7220"/>
    <w:rsid w:val="003D7936"/>
    <w:rsid w:val="003D7D1E"/>
    <w:rsid w:val="003E099F"/>
    <w:rsid w:val="003E09B7"/>
    <w:rsid w:val="003E0D54"/>
    <w:rsid w:val="003E1072"/>
    <w:rsid w:val="003E1225"/>
    <w:rsid w:val="003E1FC8"/>
    <w:rsid w:val="003E22BA"/>
    <w:rsid w:val="003E23EE"/>
    <w:rsid w:val="003E2D89"/>
    <w:rsid w:val="003E37C8"/>
    <w:rsid w:val="003E4210"/>
    <w:rsid w:val="003E4647"/>
    <w:rsid w:val="003E483F"/>
    <w:rsid w:val="003E4FA2"/>
    <w:rsid w:val="003E5202"/>
    <w:rsid w:val="003E527D"/>
    <w:rsid w:val="003E5479"/>
    <w:rsid w:val="003E54DE"/>
    <w:rsid w:val="003E57CF"/>
    <w:rsid w:val="003E6081"/>
    <w:rsid w:val="003E60EE"/>
    <w:rsid w:val="003E6132"/>
    <w:rsid w:val="003E6466"/>
    <w:rsid w:val="003E694C"/>
    <w:rsid w:val="003E6D32"/>
    <w:rsid w:val="003E6F0A"/>
    <w:rsid w:val="003E7312"/>
    <w:rsid w:val="003E7512"/>
    <w:rsid w:val="003E7A12"/>
    <w:rsid w:val="003F00C3"/>
    <w:rsid w:val="003F0188"/>
    <w:rsid w:val="003F0416"/>
    <w:rsid w:val="003F0962"/>
    <w:rsid w:val="003F0E7E"/>
    <w:rsid w:val="003F0FF9"/>
    <w:rsid w:val="003F1037"/>
    <w:rsid w:val="003F140E"/>
    <w:rsid w:val="003F14E2"/>
    <w:rsid w:val="003F15E0"/>
    <w:rsid w:val="003F197C"/>
    <w:rsid w:val="003F1BB6"/>
    <w:rsid w:val="003F1FA2"/>
    <w:rsid w:val="003F2EF9"/>
    <w:rsid w:val="003F3284"/>
    <w:rsid w:val="003F3547"/>
    <w:rsid w:val="003F4071"/>
    <w:rsid w:val="003F4120"/>
    <w:rsid w:val="003F46B6"/>
    <w:rsid w:val="003F4807"/>
    <w:rsid w:val="003F5000"/>
    <w:rsid w:val="003F5317"/>
    <w:rsid w:val="003F5762"/>
    <w:rsid w:val="003F5AA8"/>
    <w:rsid w:val="003F647E"/>
    <w:rsid w:val="003F7533"/>
    <w:rsid w:val="003F76D7"/>
    <w:rsid w:val="0040003E"/>
    <w:rsid w:val="00400C32"/>
    <w:rsid w:val="0040106D"/>
    <w:rsid w:val="004012B9"/>
    <w:rsid w:val="0040152F"/>
    <w:rsid w:val="00401535"/>
    <w:rsid w:val="0040182A"/>
    <w:rsid w:val="0040189B"/>
    <w:rsid w:val="00401A9F"/>
    <w:rsid w:val="00401D20"/>
    <w:rsid w:val="00401FD2"/>
    <w:rsid w:val="0040279C"/>
    <w:rsid w:val="00402971"/>
    <w:rsid w:val="00402C06"/>
    <w:rsid w:val="00402DEB"/>
    <w:rsid w:val="00404863"/>
    <w:rsid w:val="00404FF4"/>
    <w:rsid w:val="00405D32"/>
    <w:rsid w:val="00406726"/>
    <w:rsid w:val="00406BA7"/>
    <w:rsid w:val="00406D2B"/>
    <w:rsid w:val="00407127"/>
    <w:rsid w:val="0040728C"/>
    <w:rsid w:val="00407934"/>
    <w:rsid w:val="004104A4"/>
    <w:rsid w:val="00410B4F"/>
    <w:rsid w:val="00410CE4"/>
    <w:rsid w:val="00411172"/>
    <w:rsid w:val="0041138D"/>
    <w:rsid w:val="00411567"/>
    <w:rsid w:val="0041184E"/>
    <w:rsid w:val="00412507"/>
    <w:rsid w:val="00412590"/>
    <w:rsid w:val="00412641"/>
    <w:rsid w:val="004129DF"/>
    <w:rsid w:val="004132E8"/>
    <w:rsid w:val="00413421"/>
    <w:rsid w:val="004135CB"/>
    <w:rsid w:val="00413F03"/>
    <w:rsid w:val="00414410"/>
    <w:rsid w:val="004144E0"/>
    <w:rsid w:val="00414522"/>
    <w:rsid w:val="004145F7"/>
    <w:rsid w:val="004146D5"/>
    <w:rsid w:val="00414E08"/>
    <w:rsid w:val="00415D43"/>
    <w:rsid w:val="00415FFD"/>
    <w:rsid w:val="00416071"/>
    <w:rsid w:val="0041633F"/>
    <w:rsid w:val="0041640B"/>
    <w:rsid w:val="004166DF"/>
    <w:rsid w:val="00416700"/>
    <w:rsid w:val="004169BA"/>
    <w:rsid w:val="00416D1B"/>
    <w:rsid w:val="004176A9"/>
    <w:rsid w:val="00417C30"/>
    <w:rsid w:val="00417F1B"/>
    <w:rsid w:val="004203A5"/>
    <w:rsid w:val="00420FDB"/>
    <w:rsid w:val="004214AD"/>
    <w:rsid w:val="00421764"/>
    <w:rsid w:val="00421D3B"/>
    <w:rsid w:val="0042214B"/>
    <w:rsid w:val="0042234E"/>
    <w:rsid w:val="00422DC6"/>
    <w:rsid w:val="004234EC"/>
    <w:rsid w:val="00423727"/>
    <w:rsid w:val="00423BED"/>
    <w:rsid w:val="00424183"/>
    <w:rsid w:val="00424C18"/>
    <w:rsid w:val="0042530D"/>
    <w:rsid w:val="0042551B"/>
    <w:rsid w:val="004259DC"/>
    <w:rsid w:val="00425DA2"/>
    <w:rsid w:val="00426032"/>
    <w:rsid w:val="00426060"/>
    <w:rsid w:val="0042650B"/>
    <w:rsid w:val="00426D67"/>
    <w:rsid w:val="004279F2"/>
    <w:rsid w:val="00427C58"/>
    <w:rsid w:val="00427F27"/>
    <w:rsid w:val="004306D2"/>
    <w:rsid w:val="004309ED"/>
    <w:rsid w:val="00430D42"/>
    <w:rsid w:val="00431009"/>
    <w:rsid w:val="004317B6"/>
    <w:rsid w:val="00431989"/>
    <w:rsid w:val="00431AA9"/>
    <w:rsid w:val="00431B46"/>
    <w:rsid w:val="0043234D"/>
    <w:rsid w:val="004326A8"/>
    <w:rsid w:val="00432B47"/>
    <w:rsid w:val="00432E2E"/>
    <w:rsid w:val="00433285"/>
    <w:rsid w:val="00433377"/>
    <w:rsid w:val="004335A8"/>
    <w:rsid w:val="004335DC"/>
    <w:rsid w:val="00433A15"/>
    <w:rsid w:val="004341EF"/>
    <w:rsid w:val="00434B3C"/>
    <w:rsid w:val="00434BBA"/>
    <w:rsid w:val="00434E55"/>
    <w:rsid w:val="00435288"/>
    <w:rsid w:val="00435617"/>
    <w:rsid w:val="00435C06"/>
    <w:rsid w:val="00436C8D"/>
    <w:rsid w:val="00436F26"/>
    <w:rsid w:val="00436FF1"/>
    <w:rsid w:val="00437399"/>
    <w:rsid w:val="00440364"/>
    <w:rsid w:val="00440775"/>
    <w:rsid w:val="004416B7"/>
    <w:rsid w:val="00441FB6"/>
    <w:rsid w:val="004420A6"/>
    <w:rsid w:val="004421C6"/>
    <w:rsid w:val="0044239F"/>
    <w:rsid w:val="0044262D"/>
    <w:rsid w:val="004426B2"/>
    <w:rsid w:val="00443111"/>
    <w:rsid w:val="0044340D"/>
    <w:rsid w:val="00443687"/>
    <w:rsid w:val="00444C56"/>
    <w:rsid w:val="00444D39"/>
    <w:rsid w:val="0044565C"/>
    <w:rsid w:val="00445B4D"/>
    <w:rsid w:val="00445BB1"/>
    <w:rsid w:val="00445E29"/>
    <w:rsid w:val="004462C5"/>
    <w:rsid w:val="00446634"/>
    <w:rsid w:val="00446749"/>
    <w:rsid w:val="00446D4B"/>
    <w:rsid w:val="00446F53"/>
    <w:rsid w:val="0045010C"/>
    <w:rsid w:val="0045108A"/>
    <w:rsid w:val="004516BA"/>
    <w:rsid w:val="00451B9A"/>
    <w:rsid w:val="00451FB5"/>
    <w:rsid w:val="00452031"/>
    <w:rsid w:val="00452105"/>
    <w:rsid w:val="004521A6"/>
    <w:rsid w:val="0045220B"/>
    <w:rsid w:val="00452413"/>
    <w:rsid w:val="00452E9A"/>
    <w:rsid w:val="00453381"/>
    <w:rsid w:val="0045367F"/>
    <w:rsid w:val="004539F9"/>
    <w:rsid w:val="00453EB2"/>
    <w:rsid w:val="00454070"/>
    <w:rsid w:val="004547F7"/>
    <w:rsid w:val="00454EFD"/>
    <w:rsid w:val="00454F87"/>
    <w:rsid w:val="0045592B"/>
    <w:rsid w:val="00455AF8"/>
    <w:rsid w:val="00455C73"/>
    <w:rsid w:val="00455FA0"/>
    <w:rsid w:val="00455FFD"/>
    <w:rsid w:val="004563D4"/>
    <w:rsid w:val="00456906"/>
    <w:rsid w:val="00456C6D"/>
    <w:rsid w:val="00457427"/>
    <w:rsid w:val="00457BDB"/>
    <w:rsid w:val="00457E1C"/>
    <w:rsid w:val="00457E71"/>
    <w:rsid w:val="00460072"/>
    <w:rsid w:val="00460670"/>
    <w:rsid w:val="00460E7C"/>
    <w:rsid w:val="0046103A"/>
    <w:rsid w:val="00461314"/>
    <w:rsid w:val="004619BF"/>
    <w:rsid w:val="00462311"/>
    <w:rsid w:val="00462492"/>
    <w:rsid w:val="00462863"/>
    <w:rsid w:val="00462BF2"/>
    <w:rsid w:val="00463380"/>
    <w:rsid w:val="0046377D"/>
    <w:rsid w:val="004638D5"/>
    <w:rsid w:val="00463A91"/>
    <w:rsid w:val="004641B2"/>
    <w:rsid w:val="0046422A"/>
    <w:rsid w:val="0046423B"/>
    <w:rsid w:val="0046429B"/>
    <w:rsid w:val="00464545"/>
    <w:rsid w:val="00464905"/>
    <w:rsid w:val="00464E88"/>
    <w:rsid w:val="0046568A"/>
    <w:rsid w:val="004656C6"/>
    <w:rsid w:val="004659E5"/>
    <w:rsid w:val="00465F73"/>
    <w:rsid w:val="0046627B"/>
    <w:rsid w:val="00466709"/>
    <w:rsid w:val="004669F3"/>
    <w:rsid w:val="0046708A"/>
    <w:rsid w:val="004677F7"/>
    <w:rsid w:val="00467A83"/>
    <w:rsid w:val="00467BF2"/>
    <w:rsid w:val="00467DFE"/>
    <w:rsid w:val="00470DC3"/>
    <w:rsid w:val="00470E0C"/>
    <w:rsid w:val="004710C3"/>
    <w:rsid w:val="00471632"/>
    <w:rsid w:val="00471657"/>
    <w:rsid w:val="004716B0"/>
    <w:rsid w:val="004719C1"/>
    <w:rsid w:val="00471D48"/>
    <w:rsid w:val="00471F73"/>
    <w:rsid w:val="00472385"/>
    <w:rsid w:val="00472466"/>
    <w:rsid w:val="00472E85"/>
    <w:rsid w:val="0047355E"/>
    <w:rsid w:val="0047356B"/>
    <w:rsid w:val="0047360A"/>
    <w:rsid w:val="00473839"/>
    <w:rsid w:val="00473C50"/>
    <w:rsid w:val="00473E66"/>
    <w:rsid w:val="00474522"/>
    <w:rsid w:val="00474C7D"/>
    <w:rsid w:val="004752A9"/>
    <w:rsid w:val="004754BE"/>
    <w:rsid w:val="0047581A"/>
    <w:rsid w:val="00475A6C"/>
    <w:rsid w:val="00476137"/>
    <w:rsid w:val="00476549"/>
    <w:rsid w:val="00476C38"/>
    <w:rsid w:val="00476D75"/>
    <w:rsid w:val="00477C31"/>
    <w:rsid w:val="00477DB0"/>
    <w:rsid w:val="0048039B"/>
    <w:rsid w:val="00480C91"/>
    <w:rsid w:val="00481176"/>
    <w:rsid w:val="00481729"/>
    <w:rsid w:val="0048174C"/>
    <w:rsid w:val="00481810"/>
    <w:rsid w:val="00481864"/>
    <w:rsid w:val="00481FE8"/>
    <w:rsid w:val="00482148"/>
    <w:rsid w:val="00482420"/>
    <w:rsid w:val="0048243A"/>
    <w:rsid w:val="00483A9B"/>
    <w:rsid w:val="00484109"/>
    <w:rsid w:val="00484F10"/>
    <w:rsid w:val="004852E6"/>
    <w:rsid w:val="00485709"/>
    <w:rsid w:val="0048584B"/>
    <w:rsid w:val="004858B1"/>
    <w:rsid w:val="00485FEF"/>
    <w:rsid w:val="004861FD"/>
    <w:rsid w:val="004862E0"/>
    <w:rsid w:val="00486767"/>
    <w:rsid w:val="00486DF6"/>
    <w:rsid w:val="00486EFD"/>
    <w:rsid w:val="004902A1"/>
    <w:rsid w:val="004902D6"/>
    <w:rsid w:val="00490518"/>
    <w:rsid w:val="00490C0E"/>
    <w:rsid w:val="00491003"/>
    <w:rsid w:val="00491382"/>
    <w:rsid w:val="00491FCA"/>
    <w:rsid w:val="00492650"/>
    <w:rsid w:val="004929FA"/>
    <w:rsid w:val="00492C32"/>
    <w:rsid w:val="00492EC3"/>
    <w:rsid w:val="00493550"/>
    <w:rsid w:val="0049501C"/>
    <w:rsid w:val="004958EC"/>
    <w:rsid w:val="00496A62"/>
    <w:rsid w:val="00497351"/>
    <w:rsid w:val="004974D2"/>
    <w:rsid w:val="004976D4"/>
    <w:rsid w:val="00497763"/>
    <w:rsid w:val="00497795"/>
    <w:rsid w:val="004A016A"/>
    <w:rsid w:val="004A0BFD"/>
    <w:rsid w:val="004A0D57"/>
    <w:rsid w:val="004A1626"/>
    <w:rsid w:val="004A1A6A"/>
    <w:rsid w:val="004A1AAF"/>
    <w:rsid w:val="004A1BC2"/>
    <w:rsid w:val="004A21BB"/>
    <w:rsid w:val="004A25D4"/>
    <w:rsid w:val="004A2740"/>
    <w:rsid w:val="004A2B6E"/>
    <w:rsid w:val="004A2BD0"/>
    <w:rsid w:val="004A2DE1"/>
    <w:rsid w:val="004A345C"/>
    <w:rsid w:val="004A4CD9"/>
    <w:rsid w:val="004A4E70"/>
    <w:rsid w:val="004A5293"/>
    <w:rsid w:val="004A53B2"/>
    <w:rsid w:val="004A54A7"/>
    <w:rsid w:val="004A5804"/>
    <w:rsid w:val="004A5E45"/>
    <w:rsid w:val="004A6B12"/>
    <w:rsid w:val="004A6CCC"/>
    <w:rsid w:val="004A7086"/>
    <w:rsid w:val="004A70E0"/>
    <w:rsid w:val="004A7280"/>
    <w:rsid w:val="004A738C"/>
    <w:rsid w:val="004A771B"/>
    <w:rsid w:val="004A7EAB"/>
    <w:rsid w:val="004A7F06"/>
    <w:rsid w:val="004B0871"/>
    <w:rsid w:val="004B1431"/>
    <w:rsid w:val="004B14F9"/>
    <w:rsid w:val="004B189A"/>
    <w:rsid w:val="004B2332"/>
    <w:rsid w:val="004B234F"/>
    <w:rsid w:val="004B245A"/>
    <w:rsid w:val="004B2925"/>
    <w:rsid w:val="004B2DF5"/>
    <w:rsid w:val="004B32D9"/>
    <w:rsid w:val="004B3531"/>
    <w:rsid w:val="004B4028"/>
    <w:rsid w:val="004B45E7"/>
    <w:rsid w:val="004B4763"/>
    <w:rsid w:val="004B4BE7"/>
    <w:rsid w:val="004B4C3F"/>
    <w:rsid w:val="004B4FF2"/>
    <w:rsid w:val="004B5504"/>
    <w:rsid w:val="004B55E2"/>
    <w:rsid w:val="004B58E9"/>
    <w:rsid w:val="004B5E4F"/>
    <w:rsid w:val="004B6110"/>
    <w:rsid w:val="004B6530"/>
    <w:rsid w:val="004B68DF"/>
    <w:rsid w:val="004B6C73"/>
    <w:rsid w:val="004B6DA4"/>
    <w:rsid w:val="004B7719"/>
    <w:rsid w:val="004B7B04"/>
    <w:rsid w:val="004B7D52"/>
    <w:rsid w:val="004C041C"/>
    <w:rsid w:val="004C07E7"/>
    <w:rsid w:val="004C0990"/>
    <w:rsid w:val="004C1368"/>
    <w:rsid w:val="004C1800"/>
    <w:rsid w:val="004C2556"/>
    <w:rsid w:val="004C3314"/>
    <w:rsid w:val="004C476D"/>
    <w:rsid w:val="004C4D88"/>
    <w:rsid w:val="004C55B9"/>
    <w:rsid w:val="004C5664"/>
    <w:rsid w:val="004C5762"/>
    <w:rsid w:val="004C5BB4"/>
    <w:rsid w:val="004C5BD2"/>
    <w:rsid w:val="004C5E26"/>
    <w:rsid w:val="004C66E6"/>
    <w:rsid w:val="004C6D33"/>
    <w:rsid w:val="004C6DD3"/>
    <w:rsid w:val="004C700A"/>
    <w:rsid w:val="004C7C95"/>
    <w:rsid w:val="004D0716"/>
    <w:rsid w:val="004D09A3"/>
    <w:rsid w:val="004D0AC8"/>
    <w:rsid w:val="004D0D24"/>
    <w:rsid w:val="004D0EDA"/>
    <w:rsid w:val="004D1130"/>
    <w:rsid w:val="004D166B"/>
    <w:rsid w:val="004D1EEE"/>
    <w:rsid w:val="004D2565"/>
    <w:rsid w:val="004D2817"/>
    <w:rsid w:val="004D32C2"/>
    <w:rsid w:val="004D33C3"/>
    <w:rsid w:val="004D3508"/>
    <w:rsid w:val="004D357B"/>
    <w:rsid w:val="004D3A12"/>
    <w:rsid w:val="004D4599"/>
    <w:rsid w:val="004D472D"/>
    <w:rsid w:val="004D4C5F"/>
    <w:rsid w:val="004D4FDA"/>
    <w:rsid w:val="004D52E6"/>
    <w:rsid w:val="004D549A"/>
    <w:rsid w:val="004D6A95"/>
    <w:rsid w:val="004D742A"/>
    <w:rsid w:val="004E0386"/>
    <w:rsid w:val="004E08AC"/>
    <w:rsid w:val="004E08AF"/>
    <w:rsid w:val="004E0960"/>
    <w:rsid w:val="004E1125"/>
    <w:rsid w:val="004E112E"/>
    <w:rsid w:val="004E3493"/>
    <w:rsid w:val="004E3AB8"/>
    <w:rsid w:val="004E3B81"/>
    <w:rsid w:val="004E433C"/>
    <w:rsid w:val="004E4885"/>
    <w:rsid w:val="004E4926"/>
    <w:rsid w:val="004E65B3"/>
    <w:rsid w:val="004E6976"/>
    <w:rsid w:val="004E730E"/>
    <w:rsid w:val="004E743D"/>
    <w:rsid w:val="004E7C9C"/>
    <w:rsid w:val="004E7D6F"/>
    <w:rsid w:val="004F0124"/>
    <w:rsid w:val="004F08D2"/>
    <w:rsid w:val="004F0AF8"/>
    <w:rsid w:val="004F0DE9"/>
    <w:rsid w:val="004F0F17"/>
    <w:rsid w:val="004F0F67"/>
    <w:rsid w:val="004F1ADB"/>
    <w:rsid w:val="004F1E3C"/>
    <w:rsid w:val="004F277A"/>
    <w:rsid w:val="004F294B"/>
    <w:rsid w:val="004F2B64"/>
    <w:rsid w:val="004F2E4E"/>
    <w:rsid w:val="004F2EB4"/>
    <w:rsid w:val="004F3281"/>
    <w:rsid w:val="004F3294"/>
    <w:rsid w:val="004F3864"/>
    <w:rsid w:val="004F4363"/>
    <w:rsid w:val="004F4471"/>
    <w:rsid w:val="004F455D"/>
    <w:rsid w:val="004F5024"/>
    <w:rsid w:val="004F5125"/>
    <w:rsid w:val="004F5FA5"/>
    <w:rsid w:val="004F6752"/>
    <w:rsid w:val="004F6783"/>
    <w:rsid w:val="004F67A3"/>
    <w:rsid w:val="004F766B"/>
    <w:rsid w:val="004F776F"/>
    <w:rsid w:val="004F7F83"/>
    <w:rsid w:val="005000F4"/>
    <w:rsid w:val="005008B3"/>
    <w:rsid w:val="00500A84"/>
    <w:rsid w:val="00500E84"/>
    <w:rsid w:val="0050112D"/>
    <w:rsid w:val="00501294"/>
    <w:rsid w:val="005012A1"/>
    <w:rsid w:val="0050176D"/>
    <w:rsid w:val="005019D0"/>
    <w:rsid w:val="00501B76"/>
    <w:rsid w:val="00501D98"/>
    <w:rsid w:val="0050242C"/>
    <w:rsid w:val="00502AA9"/>
    <w:rsid w:val="00503D3F"/>
    <w:rsid w:val="00503F45"/>
    <w:rsid w:val="005047F5"/>
    <w:rsid w:val="00504CB4"/>
    <w:rsid w:val="00505260"/>
    <w:rsid w:val="00505502"/>
    <w:rsid w:val="0050600B"/>
    <w:rsid w:val="0050602C"/>
    <w:rsid w:val="00506161"/>
    <w:rsid w:val="005061FC"/>
    <w:rsid w:val="005068C9"/>
    <w:rsid w:val="00506A92"/>
    <w:rsid w:val="00506CE7"/>
    <w:rsid w:val="00507701"/>
    <w:rsid w:val="00507B32"/>
    <w:rsid w:val="00507D42"/>
    <w:rsid w:val="00510093"/>
    <w:rsid w:val="00510E82"/>
    <w:rsid w:val="00511293"/>
    <w:rsid w:val="005112ED"/>
    <w:rsid w:val="00511FCE"/>
    <w:rsid w:val="0051204A"/>
    <w:rsid w:val="005121FF"/>
    <w:rsid w:val="005122FF"/>
    <w:rsid w:val="005126CB"/>
    <w:rsid w:val="005128AC"/>
    <w:rsid w:val="00512A25"/>
    <w:rsid w:val="00512A92"/>
    <w:rsid w:val="00512E7B"/>
    <w:rsid w:val="0051338C"/>
    <w:rsid w:val="005134BF"/>
    <w:rsid w:val="0051393E"/>
    <w:rsid w:val="00514065"/>
    <w:rsid w:val="005149E7"/>
    <w:rsid w:val="00515331"/>
    <w:rsid w:val="0051595F"/>
    <w:rsid w:val="00515B29"/>
    <w:rsid w:val="00515F0E"/>
    <w:rsid w:val="00516147"/>
    <w:rsid w:val="005169D1"/>
    <w:rsid w:val="00516AC2"/>
    <w:rsid w:val="00516DF9"/>
    <w:rsid w:val="00516FCE"/>
    <w:rsid w:val="00517709"/>
    <w:rsid w:val="00517E86"/>
    <w:rsid w:val="0052027F"/>
    <w:rsid w:val="0052044A"/>
    <w:rsid w:val="005206EC"/>
    <w:rsid w:val="00520979"/>
    <w:rsid w:val="005209D4"/>
    <w:rsid w:val="00520B75"/>
    <w:rsid w:val="00521299"/>
    <w:rsid w:val="00521431"/>
    <w:rsid w:val="00521831"/>
    <w:rsid w:val="005222A3"/>
    <w:rsid w:val="005224FE"/>
    <w:rsid w:val="00522A31"/>
    <w:rsid w:val="00522D38"/>
    <w:rsid w:val="00522F13"/>
    <w:rsid w:val="00523457"/>
    <w:rsid w:val="00523B75"/>
    <w:rsid w:val="0052409F"/>
    <w:rsid w:val="005243C9"/>
    <w:rsid w:val="005249C1"/>
    <w:rsid w:val="00524AB9"/>
    <w:rsid w:val="00524D5B"/>
    <w:rsid w:val="00525518"/>
    <w:rsid w:val="00526115"/>
    <w:rsid w:val="00526475"/>
    <w:rsid w:val="005277D3"/>
    <w:rsid w:val="00527C28"/>
    <w:rsid w:val="00527ECE"/>
    <w:rsid w:val="00530F86"/>
    <w:rsid w:val="00531637"/>
    <w:rsid w:val="00531A8C"/>
    <w:rsid w:val="00531DBB"/>
    <w:rsid w:val="00532E1B"/>
    <w:rsid w:val="00532FD7"/>
    <w:rsid w:val="00533102"/>
    <w:rsid w:val="0053342D"/>
    <w:rsid w:val="00533B21"/>
    <w:rsid w:val="00534137"/>
    <w:rsid w:val="00534378"/>
    <w:rsid w:val="0053451A"/>
    <w:rsid w:val="00534637"/>
    <w:rsid w:val="005349C1"/>
    <w:rsid w:val="00534A48"/>
    <w:rsid w:val="00534C1A"/>
    <w:rsid w:val="00535474"/>
    <w:rsid w:val="005354F7"/>
    <w:rsid w:val="00535546"/>
    <w:rsid w:val="00535738"/>
    <w:rsid w:val="00535825"/>
    <w:rsid w:val="00535940"/>
    <w:rsid w:val="005359C5"/>
    <w:rsid w:val="00535AD3"/>
    <w:rsid w:val="00535D4F"/>
    <w:rsid w:val="00536C0A"/>
    <w:rsid w:val="005372C8"/>
    <w:rsid w:val="0053785E"/>
    <w:rsid w:val="005379F7"/>
    <w:rsid w:val="00540AFF"/>
    <w:rsid w:val="00540CA1"/>
    <w:rsid w:val="005412FC"/>
    <w:rsid w:val="00542C46"/>
    <w:rsid w:val="00543B06"/>
    <w:rsid w:val="0054469B"/>
    <w:rsid w:val="00544B4E"/>
    <w:rsid w:val="00544D3E"/>
    <w:rsid w:val="00545649"/>
    <w:rsid w:val="00545661"/>
    <w:rsid w:val="00545B0C"/>
    <w:rsid w:val="00545CB7"/>
    <w:rsid w:val="00545E30"/>
    <w:rsid w:val="00545EC1"/>
    <w:rsid w:val="00545FCE"/>
    <w:rsid w:val="0054632E"/>
    <w:rsid w:val="00546400"/>
    <w:rsid w:val="00546665"/>
    <w:rsid w:val="0054758D"/>
    <w:rsid w:val="005477F6"/>
    <w:rsid w:val="00547821"/>
    <w:rsid w:val="00547C8C"/>
    <w:rsid w:val="00547E75"/>
    <w:rsid w:val="00550177"/>
    <w:rsid w:val="00550C86"/>
    <w:rsid w:val="00550FD6"/>
    <w:rsid w:val="005510CD"/>
    <w:rsid w:val="0055155C"/>
    <w:rsid w:val="0055172F"/>
    <w:rsid w:val="00551ACE"/>
    <w:rsid w:val="00551E9D"/>
    <w:rsid w:val="005526B2"/>
    <w:rsid w:val="00552ECD"/>
    <w:rsid w:val="0055324A"/>
    <w:rsid w:val="0055325C"/>
    <w:rsid w:val="0055388B"/>
    <w:rsid w:val="00553ABC"/>
    <w:rsid w:val="00553DF3"/>
    <w:rsid w:val="00553EE9"/>
    <w:rsid w:val="00554083"/>
    <w:rsid w:val="00554301"/>
    <w:rsid w:val="0055456B"/>
    <w:rsid w:val="00554C8D"/>
    <w:rsid w:val="00554EE3"/>
    <w:rsid w:val="005558C2"/>
    <w:rsid w:val="00556592"/>
    <w:rsid w:val="00556C15"/>
    <w:rsid w:val="0055785D"/>
    <w:rsid w:val="00557961"/>
    <w:rsid w:val="00557AC6"/>
    <w:rsid w:val="00557EAE"/>
    <w:rsid w:val="00557FF1"/>
    <w:rsid w:val="0056042B"/>
    <w:rsid w:val="005608A9"/>
    <w:rsid w:val="00560B40"/>
    <w:rsid w:val="00560BEB"/>
    <w:rsid w:val="00561333"/>
    <w:rsid w:val="005614F6"/>
    <w:rsid w:val="0056155B"/>
    <w:rsid w:val="00561B3A"/>
    <w:rsid w:val="00561FBD"/>
    <w:rsid w:val="005622A0"/>
    <w:rsid w:val="005629F9"/>
    <w:rsid w:val="00562E65"/>
    <w:rsid w:val="00563147"/>
    <w:rsid w:val="0056352A"/>
    <w:rsid w:val="00563559"/>
    <w:rsid w:val="0056380C"/>
    <w:rsid w:val="005638C8"/>
    <w:rsid w:val="00563DD8"/>
    <w:rsid w:val="00564615"/>
    <w:rsid w:val="005655D1"/>
    <w:rsid w:val="00565A99"/>
    <w:rsid w:val="005667D3"/>
    <w:rsid w:val="005667F4"/>
    <w:rsid w:val="00566CCE"/>
    <w:rsid w:val="00566D6A"/>
    <w:rsid w:val="0056701D"/>
    <w:rsid w:val="005672F8"/>
    <w:rsid w:val="00567580"/>
    <w:rsid w:val="00567839"/>
    <w:rsid w:val="005702BA"/>
    <w:rsid w:val="00570559"/>
    <w:rsid w:val="0057058C"/>
    <w:rsid w:val="00570A58"/>
    <w:rsid w:val="00570B2F"/>
    <w:rsid w:val="0057114D"/>
    <w:rsid w:val="00571207"/>
    <w:rsid w:val="005715D9"/>
    <w:rsid w:val="00571BB7"/>
    <w:rsid w:val="005723C8"/>
    <w:rsid w:val="005726E7"/>
    <w:rsid w:val="00572800"/>
    <w:rsid w:val="005728EB"/>
    <w:rsid w:val="00572996"/>
    <w:rsid w:val="00573903"/>
    <w:rsid w:val="00573E7F"/>
    <w:rsid w:val="005746AD"/>
    <w:rsid w:val="0057499B"/>
    <w:rsid w:val="00574CB5"/>
    <w:rsid w:val="00574D62"/>
    <w:rsid w:val="0057503F"/>
    <w:rsid w:val="005759D6"/>
    <w:rsid w:val="00576A29"/>
    <w:rsid w:val="00576CF3"/>
    <w:rsid w:val="00576CFC"/>
    <w:rsid w:val="005770EE"/>
    <w:rsid w:val="005773BA"/>
    <w:rsid w:val="00577F74"/>
    <w:rsid w:val="00580C4A"/>
    <w:rsid w:val="00580FF8"/>
    <w:rsid w:val="00581078"/>
    <w:rsid w:val="00581415"/>
    <w:rsid w:val="00581D34"/>
    <w:rsid w:val="0058305D"/>
    <w:rsid w:val="005837EC"/>
    <w:rsid w:val="00583A2A"/>
    <w:rsid w:val="00583C20"/>
    <w:rsid w:val="00584903"/>
    <w:rsid w:val="0058509F"/>
    <w:rsid w:val="0058511B"/>
    <w:rsid w:val="0058522A"/>
    <w:rsid w:val="00585B86"/>
    <w:rsid w:val="005869D8"/>
    <w:rsid w:val="00587388"/>
    <w:rsid w:val="005873B0"/>
    <w:rsid w:val="00587431"/>
    <w:rsid w:val="00587466"/>
    <w:rsid w:val="0058785F"/>
    <w:rsid w:val="00587A3D"/>
    <w:rsid w:val="00587B9C"/>
    <w:rsid w:val="00590003"/>
    <w:rsid w:val="00590209"/>
    <w:rsid w:val="00591805"/>
    <w:rsid w:val="00591D1A"/>
    <w:rsid w:val="00592091"/>
    <w:rsid w:val="005923CA"/>
    <w:rsid w:val="005927F5"/>
    <w:rsid w:val="00592A7E"/>
    <w:rsid w:val="00592BA2"/>
    <w:rsid w:val="00592EE8"/>
    <w:rsid w:val="0059362A"/>
    <w:rsid w:val="00593810"/>
    <w:rsid w:val="00593B83"/>
    <w:rsid w:val="00594275"/>
    <w:rsid w:val="00594693"/>
    <w:rsid w:val="00594FD6"/>
    <w:rsid w:val="005953C2"/>
    <w:rsid w:val="00595B5E"/>
    <w:rsid w:val="00596447"/>
    <w:rsid w:val="005966F6"/>
    <w:rsid w:val="005970C8"/>
    <w:rsid w:val="005A0172"/>
    <w:rsid w:val="005A0256"/>
    <w:rsid w:val="005A03B6"/>
    <w:rsid w:val="005A16EA"/>
    <w:rsid w:val="005A17E7"/>
    <w:rsid w:val="005A1A8A"/>
    <w:rsid w:val="005A1EC4"/>
    <w:rsid w:val="005A1FBD"/>
    <w:rsid w:val="005A249C"/>
    <w:rsid w:val="005A26CF"/>
    <w:rsid w:val="005A27BB"/>
    <w:rsid w:val="005A3605"/>
    <w:rsid w:val="005A3A77"/>
    <w:rsid w:val="005A3CD2"/>
    <w:rsid w:val="005A3D96"/>
    <w:rsid w:val="005A4CB9"/>
    <w:rsid w:val="005A54AC"/>
    <w:rsid w:val="005A5EBC"/>
    <w:rsid w:val="005A6092"/>
    <w:rsid w:val="005A6527"/>
    <w:rsid w:val="005A6C8D"/>
    <w:rsid w:val="005A6C8E"/>
    <w:rsid w:val="005A71B4"/>
    <w:rsid w:val="005A7AEA"/>
    <w:rsid w:val="005B12FA"/>
    <w:rsid w:val="005B1482"/>
    <w:rsid w:val="005B1A41"/>
    <w:rsid w:val="005B1DFD"/>
    <w:rsid w:val="005B1E20"/>
    <w:rsid w:val="005B2A86"/>
    <w:rsid w:val="005B2AFD"/>
    <w:rsid w:val="005B2CA4"/>
    <w:rsid w:val="005B3061"/>
    <w:rsid w:val="005B34C3"/>
    <w:rsid w:val="005B35E4"/>
    <w:rsid w:val="005B3BE8"/>
    <w:rsid w:val="005B3F9D"/>
    <w:rsid w:val="005B4CA8"/>
    <w:rsid w:val="005B5921"/>
    <w:rsid w:val="005B5A92"/>
    <w:rsid w:val="005B5B67"/>
    <w:rsid w:val="005B6055"/>
    <w:rsid w:val="005B68BF"/>
    <w:rsid w:val="005B7352"/>
    <w:rsid w:val="005B73B7"/>
    <w:rsid w:val="005B7991"/>
    <w:rsid w:val="005C0954"/>
    <w:rsid w:val="005C141B"/>
    <w:rsid w:val="005C154E"/>
    <w:rsid w:val="005C1AD3"/>
    <w:rsid w:val="005C299A"/>
    <w:rsid w:val="005C3760"/>
    <w:rsid w:val="005C3ECC"/>
    <w:rsid w:val="005C460A"/>
    <w:rsid w:val="005C481D"/>
    <w:rsid w:val="005C48B3"/>
    <w:rsid w:val="005C52E8"/>
    <w:rsid w:val="005C52FA"/>
    <w:rsid w:val="005C58F9"/>
    <w:rsid w:val="005C5D27"/>
    <w:rsid w:val="005C5D81"/>
    <w:rsid w:val="005C60B9"/>
    <w:rsid w:val="005C6135"/>
    <w:rsid w:val="005C657A"/>
    <w:rsid w:val="005C70E8"/>
    <w:rsid w:val="005C72EE"/>
    <w:rsid w:val="005C73A3"/>
    <w:rsid w:val="005C77E2"/>
    <w:rsid w:val="005D0020"/>
    <w:rsid w:val="005D02D4"/>
    <w:rsid w:val="005D13EB"/>
    <w:rsid w:val="005D15E3"/>
    <w:rsid w:val="005D18CC"/>
    <w:rsid w:val="005D18E9"/>
    <w:rsid w:val="005D2423"/>
    <w:rsid w:val="005D2968"/>
    <w:rsid w:val="005D2A7F"/>
    <w:rsid w:val="005D2B2A"/>
    <w:rsid w:val="005D2BB0"/>
    <w:rsid w:val="005D3442"/>
    <w:rsid w:val="005D43EF"/>
    <w:rsid w:val="005D46A2"/>
    <w:rsid w:val="005D49FA"/>
    <w:rsid w:val="005D4CB9"/>
    <w:rsid w:val="005D5860"/>
    <w:rsid w:val="005D5F7A"/>
    <w:rsid w:val="005D60A5"/>
    <w:rsid w:val="005D63D4"/>
    <w:rsid w:val="005D6EF0"/>
    <w:rsid w:val="005D71F2"/>
    <w:rsid w:val="005D72D2"/>
    <w:rsid w:val="005D7966"/>
    <w:rsid w:val="005E01AD"/>
    <w:rsid w:val="005E03E1"/>
    <w:rsid w:val="005E14A0"/>
    <w:rsid w:val="005E17D7"/>
    <w:rsid w:val="005E1E84"/>
    <w:rsid w:val="005E23A9"/>
    <w:rsid w:val="005E2823"/>
    <w:rsid w:val="005E39D3"/>
    <w:rsid w:val="005E41DB"/>
    <w:rsid w:val="005E4FFE"/>
    <w:rsid w:val="005E5340"/>
    <w:rsid w:val="005E53A2"/>
    <w:rsid w:val="005E6D46"/>
    <w:rsid w:val="005E754F"/>
    <w:rsid w:val="005E7639"/>
    <w:rsid w:val="005E7D19"/>
    <w:rsid w:val="005F00F4"/>
    <w:rsid w:val="005F0329"/>
    <w:rsid w:val="005F0983"/>
    <w:rsid w:val="005F0C87"/>
    <w:rsid w:val="005F0E16"/>
    <w:rsid w:val="005F12F5"/>
    <w:rsid w:val="005F165F"/>
    <w:rsid w:val="005F1B5A"/>
    <w:rsid w:val="005F1DFA"/>
    <w:rsid w:val="005F21DA"/>
    <w:rsid w:val="005F220D"/>
    <w:rsid w:val="005F2A05"/>
    <w:rsid w:val="005F2A68"/>
    <w:rsid w:val="005F2D7B"/>
    <w:rsid w:val="005F30CB"/>
    <w:rsid w:val="005F3303"/>
    <w:rsid w:val="005F349D"/>
    <w:rsid w:val="005F39DE"/>
    <w:rsid w:val="005F3A56"/>
    <w:rsid w:val="005F3A9D"/>
    <w:rsid w:val="005F414A"/>
    <w:rsid w:val="005F4299"/>
    <w:rsid w:val="005F44A5"/>
    <w:rsid w:val="005F47C6"/>
    <w:rsid w:val="005F4808"/>
    <w:rsid w:val="005F50B1"/>
    <w:rsid w:val="005F51BD"/>
    <w:rsid w:val="005F573F"/>
    <w:rsid w:val="005F5910"/>
    <w:rsid w:val="005F613C"/>
    <w:rsid w:val="005F6BFD"/>
    <w:rsid w:val="005F73D2"/>
    <w:rsid w:val="005F7841"/>
    <w:rsid w:val="005F7F95"/>
    <w:rsid w:val="0060099E"/>
    <w:rsid w:val="00600B33"/>
    <w:rsid w:val="00600D2C"/>
    <w:rsid w:val="00600D4F"/>
    <w:rsid w:val="00600DEF"/>
    <w:rsid w:val="0060136C"/>
    <w:rsid w:val="006013BD"/>
    <w:rsid w:val="00601BBC"/>
    <w:rsid w:val="00601CE0"/>
    <w:rsid w:val="00601EDB"/>
    <w:rsid w:val="00601F14"/>
    <w:rsid w:val="006020E3"/>
    <w:rsid w:val="0060211A"/>
    <w:rsid w:val="00602147"/>
    <w:rsid w:val="0060228E"/>
    <w:rsid w:val="006026EA"/>
    <w:rsid w:val="00602DD8"/>
    <w:rsid w:val="00603391"/>
    <w:rsid w:val="00603629"/>
    <w:rsid w:val="0060418C"/>
    <w:rsid w:val="006041BA"/>
    <w:rsid w:val="0060441A"/>
    <w:rsid w:val="00604518"/>
    <w:rsid w:val="00604547"/>
    <w:rsid w:val="00604B50"/>
    <w:rsid w:val="00604B88"/>
    <w:rsid w:val="006050F6"/>
    <w:rsid w:val="006053F2"/>
    <w:rsid w:val="0060568B"/>
    <w:rsid w:val="00605C00"/>
    <w:rsid w:val="00605FDC"/>
    <w:rsid w:val="00606603"/>
    <w:rsid w:val="006066CD"/>
    <w:rsid w:val="00606715"/>
    <w:rsid w:val="00607281"/>
    <w:rsid w:val="00607283"/>
    <w:rsid w:val="0060743A"/>
    <w:rsid w:val="00607A4E"/>
    <w:rsid w:val="00607B3A"/>
    <w:rsid w:val="00610564"/>
    <w:rsid w:val="00610751"/>
    <w:rsid w:val="0061098A"/>
    <w:rsid w:val="00610AF0"/>
    <w:rsid w:val="006112BE"/>
    <w:rsid w:val="00611408"/>
    <w:rsid w:val="0061187B"/>
    <w:rsid w:val="00612102"/>
    <w:rsid w:val="00612210"/>
    <w:rsid w:val="00612268"/>
    <w:rsid w:val="0061264E"/>
    <w:rsid w:val="006126C8"/>
    <w:rsid w:val="00612758"/>
    <w:rsid w:val="00613574"/>
    <w:rsid w:val="006139C5"/>
    <w:rsid w:val="00613BDA"/>
    <w:rsid w:val="00613DE7"/>
    <w:rsid w:val="00613ED4"/>
    <w:rsid w:val="00614048"/>
    <w:rsid w:val="00614558"/>
    <w:rsid w:val="00614622"/>
    <w:rsid w:val="006146FE"/>
    <w:rsid w:val="006147E5"/>
    <w:rsid w:val="00614817"/>
    <w:rsid w:val="0061483A"/>
    <w:rsid w:val="00615912"/>
    <w:rsid w:val="00615F1C"/>
    <w:rsid w:val="0061602B"/>
    <w:rsid w:val="006161FE"/>
    <w:rsid w:val="006167DB"/>
    <w:rsid w:val="00616B0A"/>
    <w:rsid w:val="00617652"/>
    <w:rsid w:val="0061789A"/>
    <w:rsid w:val="00617E18"/>
    <w:rsid w:val="00620518"/>
    <w:rsid w:val="00620763"/>
    <w:rsid w:val="00620C17"/>
    <w:rsid w:val="00620ED6"/>
    <w:rsid w:val="00620FCD"/>
    <w:rsid w:val="006214DE"/>
    <w:rsid w:val="00621FD0"/>
    <w:rsid w:val="00622079"/>
    <w:rsid w:val="00622342"/>
    <w:rsid w:val="006223D2"/>
    <w:rsid w:val="006229B7"/>
    <w:rsid w:val="00623467"/>
    <w:rsid w:val="0062383A"/>
    <w:rsid w:val="00623A2F"/>
    <w:rsid w:val="00623D78"/>
    <w:rsid w:val="00624267"/>
    <w:rsid w:val="0062442B"/>
    <w:rsid w:val="0062470A"/>
    <w:rsid w:val="006268A2"/>
    <w:rsid w:val="00626B29"/>
    <w:rsid w:val="00627759"/>
    <w:rsid w:val="0062785B"/>
    <w:rsid w:val="00627ABB"/>
    <w:rsid w:val="00627ADA"/>
    <w:rsid w:val="0063040E"/>
    <w:rsid w:val="0063115A"/>
    <w:rsid w:val="00631A57"/>
    <w:rsid w:val="00631B52"/>
    <w:rsid w:val="00631D63"/>
    <w:rsid w:val="00632574"/>
    <w:rsid w:val="00632A4A"/>
    <w:rsid w:val="006333F7"/>
    <w:rsid w:val="006333FE"/>
    <w:rsid w:val="006336EE"/>
    <w:rsid w:val="006336F7"/>
    <w:rsid w:val="00633758"/>
    <w:rsid w:val="00633BA3"/>
    <w:rsid w:val="00633E4F"/>
    <w:rsid w:val="006344D3"/>
    <w:rsid w:val="00634A9C"/>
    <w:rsid w:val="00634CC3"/>
    <w:rsid w:val="00634D94"/>
    <w:rsid w:val="006352BB"/>
    <w:rsid w:val="00635377"/>
    <w:rsid w:val="0063537C"/>
    <w:rsid w:val="0063554B"/>
    <w:rsid w:val="0063562D"/>
    <w:rsid w:val="00636CD0"/>
    <w:rsid w:val="00637094"/>
    <w:rsid w:val="0063712F"/>
    <w:rsid w:val="006372D4"/>
    <w:rsid w:val="00637C0A"/>
    <w:rsid w:val="0064001C"/>
    <w:rsid w:val="006401DC"/>
    <w:rsid w:val="00640A4D"/>
    <w:rsid w:val="00640B7E"/>
    <w:rsid w:val="00640EAF"/>
    <w:rsid w:val="00641544"/>
    <w:rsid w:val="00641CE2"/>
    <w:rsid w:val="00641EE0"/>
    <w:rsid w:val="006420B0"/>
    <w:rsid w:val="00642181"/>
    <w:rsid w:val="00642230"/>
    <w:rsid w:val="006424B2"/>
    <w:rsid w:val="0064254F"/>
    <w:rsid w:val="00642785"/>
    <w:rsid w:val="006429FE"/>
    <w:rsid w:val="00642DAE"/>
    <w:rsid w:val="006431CD"/>
    <w:rsid w:val="006431F4"/>
    <w:rsid w:val="006435E8"/>
    <w:rsid w:val="00643700"/>
    <w:rsid w:val="00643948"/>
    <w:rsid w:val="00643A79"/>
    <w:rsid w:val="00643D50"/>
    <w:rsid w:val="00643DF4"/>
    <w:rsid w:val="00643E23"/>
    <w:rsid w:val="00644017"/>
    <w:rsid w:val="006451E9"/>
    <w:rsid w:val="006468D1"/>
    <w:rsid w:val="00646A5C"/>
    <w:rsid w:val="00646B87"/>
    <w:rsid w:val="00646D2F"/>
    <w:rsid w:val="006471B2"/>
    <w:rsid w:val="00647621"/>
    <w:rsid w:val="006477B7"/>
    <w:rsid w:val="00647BFB"/>
    <w:rsid w:val="00647D09"/>
    <w:rsid w:val="00650002"/>
    <w:rsid w:val="0065001B"/>
    <w:rsid w:val="00650891"/>
    <w:rsid w:val="006514A4"/>
    <w:rsid w:val="0065155A"/>
    <w:rsid w:val="0065159D"/>
    <w:rsid w:val="0065196E"/>
    <w:rsid w:val="00651E1B"/>
    <w:rsid w:val="00651ED5"/>
    <w:rsid w:val="00652206"/>
    <w:rsid w:val="00652826"/>
    <w:rsid w:val="00652E31"/>
    <w:rsid w:val="006533E4"/>
    <w:rsid w:val="0065406A"/>
    <w:rsid w:val="00655026"/>
    <w:rsid w:val="006561E1"/>
    <w:rsid w:val="00656769"/>
    <w:rsid w:val="00656C03"/>
    <w:rsid w:val="00656D0A"/>
    <w:rsid w:val="00657000"/>
    <w:rsid w:val="006570F5"/>
    <w:rsid w:val="006574C3"/>
    <w:rsid w:val="00657869"/>
    <w:rsid w:val="00657CB3"/>
    <w:rsid w:val="00657CCF"/>
    <w:rsid w:val="00657FA9"/>
    <w:rsid w:val="0066008F"/>
    <w:rsid w:val="0066068D"/>
    <w:rsid w:val="00660C3C"/>
    <w:rsid w:val="0066166F"/>
    <w:rsid w:val="006617E3"/>
    <w:rsid w:val="006618E3"/>
    <w:rsid w:val="0066206F"/>
    <w:rsid w:val="00662367"/>
    <w:rsid w:val="00662D0F"/>
    <w:rsid w:val="00662F61"/>
    <w:rsid w:val="00663A22"/>
    <w:rsid w:val="00663C55"/>
    <w:rsid w:val="00663C7E"/>
    <w:rsid w:val="0066438D"/>
    <w:rsid w:val="00664448"/>
    <w:rsid w:val="006644AC"/>
    <w:rsid w:val="00664C4A"/>
    <w:rsid w:val="00664C8F"/>
    <w:rsid w:val="00664FFA"/>
    <w:rsid w:val="00665B23"/>
    <w:rsid w:val="00665C69"/>
    <w:rsid w:val="00665FFE"/>
    <w:rsid w:val="00666269"/>
    <w:rsid w:val="00666586"/>
    <w:rsid w:val="00666668"/>
    <w:rsid w:val="006668D1"/>
    <w:rsid w:val="006669E3"/>
    <w:rsid w:val="006671D7"/>
    <w:rsid w:val="0066772A"/>
    <w:rsid w:val="00667CAB"/>
    <w:rsid w:val="0067056F"/>
    <w:rsid w:val="006709E7"/>
    <w:rsid w:val="00670BB5"/>
    <w:rsid w:val="00670DBF"/>
    <w:rsid w:val="00672044"/>
    <w:rsid w:val="00672057"/>
    <w:rsid w:val="006726E0"/>
    <w:rsid w:val="006728D9"/>
    <w:rsid w:val="00672E77"/>
    <w:rsid w:val="0067303A"/>
    <w:rsid w:val="0067311F"/>
    <w:rsid w:val="0067322D"/>
    <w:rsid w:val="006740A7"/>
    <w:rsid w:val="006740DA"/>
    <w:rsid w:val="00674732"/>
    <w:rsid w:val="0067475E"/>
    <w:rsid w:val="00675712"/>
    <w:rsid w:val="0067582E"/>
    <w:rsid w:val="0067591A"/>
    <w:rsid w:val="00675ABF"/>
    <w:rsid w:val="00675E32"/>
    <w:rsid w:val="0067693E"/>
    <w:rsid w:val="00676D94"/>
    <w:rsid w:val="00677184"/>
    <w:rsid w:val="00677202"/>
    <w:rsid w:val="0067720C"/>
    <w:rsid w:val="0067737D"/>
    <w:rsid w:val="00677542"/>
    <w:rsid w:val="006777C3"/>
    <w:rsid w:val="0068094B"/>
    <w:rsid w:val="00680AD1"/>
    <w:rsid w:val="00681105"/>
    <w:rsid w:val="00681B4D"/>
    <w:rsid w:val="00681CC4"/>
    <w:rsid w:val="00682135"/>
    <w:rsid w:val="006821BF"/>
    <w:rsid w:val="006823C2"/>
    <w:rsid w:val="0068243F"/>
    <w:rsid w:val="0068267D"/>
    <w:rsid w:val="00682864"/>
    <w:rsid w:val="00682BAD"/>
    <w:rsid w:val="00682FCC"/>
    <w:rsid w:val="00683DBA"/>
    <w:rsid w:val="0068409D"/>
    <w:rsid w:val="006840F4"/>
    <w:rsid w:val="006843A9"/>
    <w:rsid w:val="006848FD"/>
    <w:rsid w:val="0068499A"/>
    <w:rsid w:val="00684B89"/>
    <w:rsid w:val="00684C17"/>
    <w:rsid w:val="00684C28"/>
    <w:rsid w:val="00685074"/>
    <w:rsid w:val="006851DF"/>
    <w:rsid w:val="006857E4"/>
    <w:rsid w:val="00685AA2"/>
    <w:rsid w:val="006867AB"/>
    <w:rsid w:val="00686E3F"/>
    <w:rsid w:val="0068759B"/>
    <w:rsid w:val="00687A75"/>
    <w:rsid w:val="00690476"/>
    <w:rsid w:val="0069068E"/>
    <w:rsid w:val="00690E03"/>
    <w:rsid w:val="00691006"/>
    <w:rsid w:val="0069140A"/>
    <w:rsid w:val="00691CFC"/>
    <w:rsid w:val="00692298"/>
    <w:rsid w:val="00692840"/>
    <w:rsid w:val="00693420"/>
    <w:rsid w:val="00693BB7"/>
    <w:rsid w:val="00694095"/>
    <w:rsid w:val="00694155"/>
    <w:rsid w:val="00694B3F"/>
    <w:rsid w:val="00694B63"/>
    <w:rsid w:val="00694E60"/>
    <w:rsid w:val="00694ED6"/>
    <w:rsid w:val="006955E7"/>
    <w:rsid w:val="00695A34"/>
    <w:rsid w:val="00695E9A"/>
    <w:rsid w:val="00696249"/>
    <w:rsid w:val="00696467"/>
    <w:rsid w:val="0069666A"/>
    <w:rsid w:val="00696D7F"/>
    <w:rsid w:val="0069713B"/>
    <w:rsid w:val="0069736C"/>
    <w:rsid w:val="006974E6"/>
    <w:rsid w:val="006979BF"/>
    <w:rsid w:val="00697A15"/>
    <w:rsid w:val="00697ACE"/>
    <w:rsid w:val="00697D16"/>
    <w:rsid w:val="00697D4A"/>
    <w:rsid w:val="006A012B"/>
    <w:rsid w:val="006A020D"/>
    <w:rsid w:val="006A0536"/>
    <w:rsid w:val="006A074C"/>
    <w:rsid w:val="006A0890"/>
    <w:rsid w:val="006A09DA"/>
    <w:rsid w:val="006A0A3A"/>
    <w:rsid w:val="006A0BF6"/>
    <w:rsid w:val="006A15CC"/>
    <w:rsid w:val="006A166D"/>
    <w:rsid w:val="006A1715"/>
    <w:rsid w:val="006A1727"/>
    <w:rsid w:val="006A1F32"/>
    <w:rsid w:val="006A22D7"/>
    <w:rsid w:val="006A2A02"/>
    <w:rsid w:val="006A2C0A"/>
    <w:rsid w:val="006A3741"/>
    <w:rsid w:val="006A377E"/>
    <w:rsid w:val="006A37BB"/>
    <w:rsid w:val="006A45A5"/>
    <w:rsid w:val="006A51DF"/>
    <w:rsid w:val="006A5A71"/>
    <w:rsid w:val="006A5DA1"/>
    <w:rsid w:val="006A64F9"/>
    <w:rsid w:val="006A6569"/>
    <w:rsid w:val="006A6AD3"/>
    <w:rsid w:val="006A6D0E"/>
    <w:rsid w:val="006A6EF3"/>
    <w:rsid w:val="006A70F8"/>
    <w:rsid w:val="006A7120"/>
    <w:rsid w:val="006A7150"/>
    <w:rsid w:val="006A71B4"/>
    <w:rsid w:val="006A7213"/>
    <w:rsid w:val="006A7457"/>
    <w:rsid w:val="006A769E"/>
    <w:rsid w:val="006A77E2"/>
    <w:rsid w:val="006A78EB"/>
    <w:rsid w:val="006A7C42"/>
    <w:rsid w:val="006A7F28"/>
    <w:rsid w:val="006B0379"/>
    <w:rsid w:val="006B06B7"/>
    <w:rsid w:val="006B089D"/>
    <w:rsid w:val="006B1388"/>
    <w:rsid w:val="006B13A1"/>
    <w:rsid w:val="006B1923"/>
    <w:rsid w:val="006B2659"/>
    <w:rsid w:val="006B26F1"/>
    <w:rsid w:val="006B2AE9"/>
    <w:rsid w:val="006B2D1C"/>
    <w:rsid w:val="006B2F97"/>
    <w:rsid w:val="006B32DB"/>
    <w:rsid w:val="006B358B"/>
    <w:rsid w:val="006B3719"/>
    <w:rsid w:val="006B3C1D"/>
    <w:rsid w:val="006B3D58"/>
    <w:rsid w:val="006B40E6"/>
    <w:rsid w:val="006B4B50"/>
    <w:rsid w:val="006B4E77"/>
    <w:rsid w:val="006B50BB"/>
    <w:rsid w:val="006B53F7"/>
    <w:rsid w:val="006B5831"/>
    <w:rsid w:val="006B6373"/>
    <w:rsid w:val="006B6522"/>
    <w:rsid w:val="006B6735"/>
    <w:rsid w:val="006B74D7"/>
    <w:rsid w:val="006C0372"/>
    <w:rsid w:val="006C05E1"/>
    <w:rsid w:val="006C05E4"/>
    <w:rsid w:val="006C0E80"/>
    <w:rsid w:val="006C0F1A"/>
    <w:rsid w:val="006C1042"/>
    <w:rsid w:val="006C13BA"/>
    <w:rsid w:val="006C168A"/>
    <w:rsid w:val="006C1957"/>
    <w:rsid w:val="006C1B08"/>
    <w:rsid w:val="006C2500"/>
    <w:rsid w:val="006C265E"/>
    <w:rsid w:val="006C26FB"/>
    <w:rsid w:val="006C27F6"/>
    <w:rsid w:val="006C2E4C"/>
    <w:rsid w:val="006C374B"/>
    <w:rsid w:val="006C37EC"/>
    <w:rsid w:val="006C39BE"/>
    <w:rsid w:val="006C3A14"/>
    <w:rsid w:val="006C417C"/>
    <w:rsid w:val="006C5606"/>
    <w:rsid w:val="006C56CD"/>
    <w:rsid w:val="006C5B15"/>
    <w:rsid w:val="006C6C81"/>
    <w:rsid w:val="006C6D6B"/>
    <w:rsid w:val="006C75A7"/>
    <w:rsid w:val="006C7687"/>
    <w:rsid w:val="006C7772"/>
    <w:rsid w:val="006C7A9C"/>
    <w:rsid w:val="006D06DF"/>
    <w:rsid w:val="006D0F81"/>
    <w:rsid w:val="006D1A34"/>
    <w:rsid w:val="006D1D89"/>
    <w:rsid w:val="006D210C"/>
    <w:rsid w:val="006D21B1"/>
    <w:rsid w:val="006D24BC"/>
    <w:rsid w:val="006D305D"/>
    <w:rsid w:val="006D3277"/>
    <w:rsid w:val="006D347E"/>
    <w:rsid w:val="006D3643"/>
    <w:rsid w:val="006D446B"/>
    <w:rsid w:val="006D4538"/>
    <w:rsid w:val="006D52C6"/>
    <w:rsid w:val="006D58DE"/>
    <w:rsid w:val="006D5EC9"/>
    <w:rsid w:val="006D6130"/>
    <w:rsid w:val="006D6DE9"/>
    <w:rsid w:val="006D73C2"/>
    <w:rsid w:val="006D7638"/>
    <w:rsid w:val="006D7856"/>
    <w:rsid w:val="006D7FBF"/>
    <w:rsid w:val="006E06FD"/>
    <w:rsid w:val="006E075B"/>
    <w:rsid w:val="006E0B27"/>
    <w:rsid w:val="006E0EA9"/>
    <w:rsid w:val="006E145A"/>
    <w:rsid w:val="006E1B1E"/>
    <w:rsid w:val="006E2539"/>
    <w:rsid w:val="006E2951"/>
    <w:rsid w:val="006E2BA2"/>
    <w:rsid w:val="006E30E2"/>
    <w:rsid w:val="006E332F"/>
    <w:rsid w:val="006E3615"/>
    <w:rsid w:val="006E3A04"/>
    <w:rsid w:val="006E3D24"/>
    <w:rsid w:val="006E3F43"/>
    <w:rsid w:val="006E428C"/>
    <w:rsid w:val="006E490C"/>
    <w:rsid w:val="006E49A5"/>
    <w:rsid w:val="006E5421"/>
    <w:rsid w:val="006E5B5A"/>
    <w:rsid w:val="006E62BA"/>
    <w:rsid w:val="006E6C37"/>
    <w:rsid w:val="006E7579"/>
    <w:rsid w:val="006E7800"/>
    <w:rsid w:val="006F0781"/>
    <w:rsid w:val="006F0817"/>
    <w:rsid w:val="006F0912"/>
    <w:rsid w:val="006F0E23"/>
    <w:rsid w:val="006F1299"/>
    <w:rsid w:val="006F18D7"/>
    <w:rsid w:val="006F19AA"/>
    <w:rsid w:val="006F1F22"/>
    <w:rsid w:val="006F2D86"/>
    <w:rsid w:val="006F31C3"/>
    <w:rsid w:val="006F3BFD"/>
    <w:rsid w:val="006F3C9B"/>
    <w:rsid w:val="006F3E58"/>
    <w:rsid w:val="006F471E"/>
    <w:rsid w:val="006F49CB"/>
    <w:rsid w:val="006F4AAB"/>
    <w:rsid w:val="006F4FB9"/>
    <w:rsid w:val="006F513E"/>
    <w:rsid w:val="006F5A7F"/>
    <w:rsid w:val="006F6012"/>
    <w:rsid w:val="006F640E"/>
    <w:rsid w:val="006F6873"/>
    <w:rsid w:val="006F6892"/>
    <w:rsid w:val="006F6BFC"/>
    <w:rsid w:val="006F6E98"/>
    <w:rsid w:val="006F77FA"/>
    <w:rsid w:val="006F7D69"/>
    <w:rsid w:val="007002CE"/>
    <w:rsid w:val="00701DCB"/>
    <w:rsid w:val="007026BB"/>
    <w:rsid w:val="007026CF"/>
    <w:rsid w:val="0070277E"/>
    <w:rsid w:val="00702934"/>
    <w:rsid w:val="00702FCE"/>
    <w:rsid w:val="007038E2"/>
    <w:rsid w:val="00703FEF"/>
    <w:rsid w:val="007043A0"/>
    <w:rsid w:val="007048A0"/>
    <w:rsid w:val="00704A24"/>
    <w:rsid w:val="00704BE1"/>
    <w:rsid w:val="007052C3"/>
    <w:rsid w:val="007058D1"/>
    <w:rsid w:val="007059C3"/>
    <w:rsid w:val="007059CA"/>
    <w:rsid w:val="007062FF"/>
    <w:rsid w:val="0070683D"/>
    <w:rsid w:val="00706AF6"/>
    <w:rsid w:val="0070707D"/>
    <w:rsid w:val="00707B12"/>
    <w:rsid w:val="00710475"/>
    <w:rsid w:val="00710DC0"/>
    <w:rsid w:val="00710E3B"/>
    <w:rsid w:val="00711105"/>
    <w:rsid w:val="0071120E"/>
    <w:rsid w:val="00711554"/>
    <w:rsid w:val="00711B5C"/>
    <w:rsid w:val="007121FD"/>
    <w:rsid w:val="00712997"/>
    <w:rsid w:val="00712B39"/>
    <w:rsid w:val="00712E2C"/>
    <w:rsid w:val="007131CE"/>
    <w:rsid w:val="007133F8"/>
    <w:rsid w:val="007134F0"/>
    <w:rsid w:val="00713E47"/>
    <w:rsid w:val="00714A7A"/>
    <w:rsid w:val="00714AF2"/>
    <w:rsid w:val="00715567"/>
    <w:rsid w:val="00715712"/>
    <w:rsid w:val="0071596F"/>
    <w:rsid w:val="00715B4B"/>
    <w:rsid w:val="00716596"/>
    <w:rsid w:val="00716B19"/>
    <w:rsid w:val="00716D54"/>
    <w:rsid w:val="00717999"/>
    <w:rsid w:val="007179B7"/>
    <w:rsid w:val="00717F8A"/>
    <w:rsid w:val="007200B5"/>
    <w:rsid w:val="007203B2"/>
    <w:rsid w:val="00720B1D"/>
    <w:rsid w:val="00720B8E"/>
    <w:rsid w:val="00720EB3"/>
    <w:rsid w:val="00721634"/>
    <w:rsid w:val="00721666"/>
    <w:rsid w:val="007216B2"/>
    <w:rsid w:val="00721827"/>
    <w:rsid w:val="00721848"/>
    <w:rsid w:val="00721B4D"/>
    <w:rsid w:val="00721C36"/>
    <w:rsid w:val="007220B0"/>
    <w:rsid w:val="00722307"/>
    <w:rsid w:val="007228F7"/>
    <w:rsid w:val="00722DA1"/>
    <w:rsid w:val="00722F4E"/>
    <w:rsid w:val="007231FB"/>
    <w:rsid w:val="00723406"/>
    <w:rsid w:val="007239D3"/>
    <w:rsid w:val="00724FA7"/>
    <w:rsid w:val="00725100"/>
    <w:rsid w:val="0072525E"/>
    <w:rsid w:val="007254A3"/>
    <w:rsid w:val="00725994"/>
    <w:rsid w:val="0072619F"/>
    <w:rsid w:val="00726284"/>
    <w:rsid w:val="0072667B"/>
    <w:rsid w:val="00726D13"/>
    <w:rsid w:val="00727145"/>
    <w:rsid w:val="00727F2F"/>
    <w:rsid w:val="00730BBD"/>
    <w:rsid w:val="00731224"/>
    <w:rsid w:val="00731263"/>
    <w:rsid w:val="00731EB9"/>
    <w:rsid w:val="00733CE8"/>
    <w:rsid w:val="00733FC4"/>
    <w:rsid w:val="00734377"/>
    <w:rsid w:val="007346DB"/>
    <w:rsid w:val="007346F5"/>
    <w:rsid w:val="0073489E"/>
    <w:rsid w:val="007354CC"/>
    <w:rsid w:val="007355EC"/>
    <w:rsid w:val="0073574A"/>
    <w:rsid w:val="0073578F"/>
    <w:rsid w:val="00735824"/>
    <w:rsid w:val="00735843"/>
    <w:rsid w:val="00735C70"/>
    <w:rsid w:val="00735CF5"/>
    <w:rsid w:val="00735D79"/>
    <w:rsid w:val="00735F22"/>
    <w:rsid w:val="00736FCE"/>
    <w:rsid w:val="00737626"/>
    <w:rsid w:val="007377D4"/>
    <w:rsid w:val="00740036"/>
    <w:rsid w:val="007408BB"/>
    <w:rsid w:val="00740BE0"/>
    <w:rsid w:val="00740C4F"/>
    <w:rsid w:val="0074171D"/>
    <w:rsid w:val="0074172D"/>
    <w:rsid w:val="00741A8D"/>
    <w:rsid w:val="00741FBB"/>
    <w:rsid w:val="0074211A"/>
    <w:rsid w:val="0074239D"/>
    <w:rsid w:val="007427AD"/>
    <w:rsid w:val="00742FB5"/>
    <w:rsid w:val="00743148"/>
    <w:rsid w:val="00743332"/>
    <w:rsid w:val="00743335"/>
    <w:rsid w:val="007433BA"/>
    <w:rsid w:val="007434B7"/>
    <w:rsid w:val="00743746"/>
    <w:rsid w:val="00743CBC"/>
    <w:rsid w:val="00743F0A"/>
    <w:rsid w:val="00744480"/>
    <w:rsid w:val="007444F2"/>
    <w:rsid w:val="00745825"/>
    <w:rsid w:val="00745944"/>
    <w:rsid w:val="00745FC6"/>
    <w:rsid w:val="007460E2"/>
    <w:rsid w:val="0074685A"/>
    <w:rsid w:val="007470CD"/>
    <w:rsid w:val="007471B6"/>
    <w:rsid w:val="0074753B"/>
    <w:rsid w:val="00750D63"/>
    <w:rsid w:val="00751041"/>
    <w:rsid w:val="00751306"/>
    <w:rsid w:val="00751794"/>
    <w:rsid w:val="00751963"/>
    <w:rsid w:val="00751AAF"/>
    <w:rsid w:val="00752520"/>
    <w:rsid w:val="00752D81"/>
    <w:rsid w:val="00752F46"/>
    <w:rsid w:val="00753266"/>
    <w:rsid w:val="007537A7"/>
    <w:rsid w:val="00753AEA"/>
    <w:rsid w:val="00753C79"/>
    <w:rsid w:val="007544ED"/>
    <w:rsid w:val="00754591"/>
    <w:rsid w:val="007546F9"/>
    <w:rsid w:val="007552CF"/>
    <w:rsid w:val="00755343"/>
    <w:rsid w:val="0075593B"/>
    <w:rsid w:val="00755996"/>
    <w:rsid w:val="00755A6A"/>
    <w:rsid w:val="00755BA2"/>
    <w:rsid w:val="00755D2E"/>
    <w:rsid w:val="007566FA"/>
    <w:rsid w:val="007567C9"/>
    <w:rsid w:val="00756D29"/>
    <w:rsid w:val="00756F80"/>
    <w:rsid w:val="00757315"/>
    <w:rsid w:val="0075732C"/>
    <w:rsid w:val="00757560"/>
    <w:rsid w:val="00757EEE"/>
    <w:rsid w:val="0076031F"/>
    <w:rsid w:val="007605CA"/>
    <w:rsid w:val="007607C7"/>
    <w:rsid w:val="00761040"/>
    <w:rsid w:val="0076161E"/>
    <w:rsid w:val="007617BF"/>
    <w:rsid w:val="00761BCE"/>
    <w:rsid w:val="0076215C"/>
    <w:rsid w:val="0076226D"/>
    <w:rsid w:val="0076260D"/>
    <w:rsid w:val="00762F01"/>
    <w:rsid w:val="00763044"/>
    <w:rsid w:val="00763EFD"/>
    <w:rsid w:val="00764214"/>
    <w:rsid w:val="007642B0"/>
    <w:rsid w:val="0076453F"/>
    <w:rsid w:val="007645B4"/>
    <w:rsid w:val="00764954"/>
    <w:rsid w:val="007649D7"/>
    <w:rsid w:val="00764C19"/>
    <w:rsid w:val="00764D2E"/>
    <w:rsid w:val="00764D6F"/>
    <w:rsid w:val="0076505E"/>
    <w:rsid w:val="007652A5"/>
    <w:rsid w:val="007652DF"/>
    <w:rsid w:val="007656C3"/>
    <w:rsid w:val="00765906"/>
    <w:rsid w:val="0076646E"/>
    <w:rsid w:val="00766875"/>
    <w:rsid w:val="00766ED8"/>
    <w:rsid w:val="00766EED"/>
    <w:rsid w:val="00767323"/>
    <w:rsid w:val="00767522"/>
    <w:rsid w:val="00767E1C"/>
    <w:rsid w:val="00770009"/>
    <w:rsid w:val="00770047"/>
    <w:rsid w:val="00770226"/>
    <w:rsid w:val="007712ED"/>
    <w:rsid w:val="00771321"/>
    <w:rsid w:val="007719FC"/>
    <w:rsid w:val="00772749"/>
    <w:rsid w:val="007727D7"/>
    <w:rsid w:val="00772803"/>
    <w:rsid w:val="00772808"/>
    <w:rsid w:val="00772C84"/>
    <w:rsid w:val="00772EBC"/>
    <w:rsid w:val="0077345A"/>
    <w:rsid w:val="0077406A"/>
    <w:rsid w:val="00774687"/>
    <w:rsid w:val="00774A6F"/>
    <w:rsid w:val="00774DBA"/>
    <w:rsid w:val="00774DE6"/>
    <w:rsid w:val="007751B3"/>
    <w:rsid w:val="0077538F"/>
    <w:rsid w:val="007756CE"/>
    <w:rsid w:val="00775798"/>
    <w:rsid w:val="00775955"/>
    <w:rsid w:val="007761E8"/>
    <w:rsid w:val="00776350"/>
    <w:rsid w:val="007766FB"/>
    <w:rsid w:val="0077689A"/>
    <w:rsid w:val="00776BAD"/>
    <w:rsid w:val="00777156"/>
    <w:rsid w:val="00777171"/>
    <w:rsid w:val="0077763A"/>
    <w:rsid w:val="007777CA"/>
    <w:rsid w:val="00777C67"/>
    <w:rsid w:val="00780E60"/>
    <w:rsid w:val="00781947"/>
    <w:rsid w:val="00781CDD"/>
    <w:rsid w:val="00782437"/>
    <w:rsid w:val="007825A8"/>
    <w:rsid w:val="00782711"/>
    <w:rsid w:val="007828E3"/>
    <w:rsid w:val="00782CFD"/>
    <w:rsid w:val="0078337A"/>
    <w:rsid w:val="00783827"/>
    <w:rsid w:val="007840D4"/>
    <w:rsid w:val="007841E9"/>
    <w:rsid w:val="007844F9"/>
    <w:rsid w:val="00784D63"/>
    <w:rsid w:val="00784DA3"/>
    <w:rsid w:val="00784FA6"/>
    <w:rsid w:val="00785F12"/>
    <w:rsid w:val="00785F8C"/>
    <w:rsid w:val="00786061"/>
    <w:rsid w:val="00786883"/>
    <w:rsid w:val="00786B0E"/>
    <w:rsid w:val="007870EB"/>
    <w:rsid w:val="0078789D"/>
    <w:rsid w:val="00790173"/>
    <w:rsid w:val="0079080B"/>
    <w:rsid w:val="00790FE2"/>
    <w:rsid w:val="00791C95"/>
    <w:rsid w:val="0079237D"/>
    <w:rsid w:val="00792B42"/>
    <w:rsid w:val="00792BC5"/>
    <w:rsid w:val="00792D93"/>
    <w:rsid w:val="007933DB"/>
    <w:rsid w:val="00793496"/>
    <w:rsid w:val="0079358A"/>
    <w:rsid w:val="0079360D"/>
    <w:rsid w:val="007936EC"/>
    <w:rsid w:val="00793BB2"/>
    <w:rsid w:val="00794199"/>
    <w:rsid w:val="00794385"/>
    <w:rsid w:val="00794798"/>
    <w:rsid w:val="00794EB9"/>
    <w:rsid w:val="00795184"/>
    <w:rsid w:val="00795260"/>
    <w:rsid w:val="0079582F"/>
    <w:rsid w:val="00795953"/>
    <w:rsid w:val="007960CC"/>
    <w:rsid w:val="00796317"/>
    <w:rsid w:val="00796761"/>
    <w:rsid w:val="00796CC1"/>
    <w:rsid w:val="00797470"/>
    <w:rsid w:val="007977E7"/>
    <w:rsid w:val="00797B11"/>
    <w:rsid w:val="00797B1E"/>
    <w:rsid w:val="00797B49"/>
    <w:rsid w:val="00797BF2"/>
    <w:rsid w:val="00797F2C"/>
    <w:rsid w:val="007A01CF"/>
    <w:rsid w:val="007A0369"/>
    <w:rsid w:val="007A06A8"/>
    <w:rsid w:val="007A0935"/>
    <w:rsid w:val="007A0BD0"/>
    <w:rsid w:val="007A0DB1"/>
    <w:rsid w:val="007A11DA"/>
    <w:rsid w:val="007A1261"/>
    <w:rsid w:val="007A1DD0"/>
    <w:rsid w:val="007A2AA9"/>
    <w:rsid w:val="007A2AB9"/>
    <w:rsid w:val="007A2BE3"/>
    <w:rsid w:val="007A3137"/>
    <w:rsid w:val="007A32FD"/>
    <w:rsid w:val="007A3369"/>
    <w:rsid w:val="007A37DA"/>
    <w:rsid w:val="007A3A88"/>
    <w:rsid w:val="007A3B06"/>
    <w:rsid w:val="007A3B7C"/>
    <w:rsid w:val="007A3BAB"/>
    <w:rsid w:val="007A4E6E"/>
    <w:rsid w:val="007A5B9A"/>
    <w:rsid w:val="007A5D66"/>
    <w:rsid w:val="007A62A3"/>
    <w:rsid w:val="007A6380"/>
    <w:rsid w:val="007A6FB2"/>
    <w:rsid w:val="007A719B"/>
    <w:rsid w:val="007A725B"/>
    <w:rsid w:val="007A7595"/>
    <w:rsid w:val="007B030D"/>
    <w:rsid w:val="007B0837"/>
    <w:rsid w:val="007B13E5"/>
    <w:rsid w:val="007B1505"/>
    <w:rsid w:val="007B2421"/>
    <w:rsid w:val="007B24CB"/>
    <w:rsid w:val="007B25F1"/>
    <w:rsid w:val="007B26E3"/>
    <w:rsid w:val="007B2942"/>
    <w:rsid w:val="007B2C47"/>
    <w:rsid w:val="007B36F4"/>
    <w:rsid w:val="007B395A"/>
    <w:rsid w:val="007B39A9"/>
    <w:rsid w:val="007B3A97"/>
    <w:rsid w:val="007B45D1"/>
    <w:rsid w:val="007B483E"/>
    <w:rsid w:val="007B4B86"/>
    <w:rsid w:val="007B4C77"/>
    <w:rsid w:val="007B54B4"/>
    <w:rsid w:val="007B55AC"/>
    <w:rsid w:val="007B588D"/>
    <w:rsid w:val="007B5915"/>
    <w:rsid w:val="007B6BDC"/>
    <w:rsid w:val="007B6DFA"/>
    <w:rsid w:val="007B7926"/>
    <w:rsid w:val="007B79FE"/>
    <w:rsid w:val="007B7D0D"/>
    <w:rsid w:val="007B7D9D"/>
    <w:rsid w:val="007C04F4"/>
    <w:rsid w:val="007C07CA"/>
    <w:rsid w:val="007C08C9"/>
    <w:rsid w:val="007C0994"/>
    <w:rsid w:val="007C0B05"/>
    <w:rsid w:val="007C1AF6"/>
    <w:rsid w:val="007C1DB7"/>
    <w:rsid w:val="007C2909"/>
    <w:rsid w:val="007C2D9F"/>
    <w:rsid w:val="007C324B"/>
    <w:rsid w:val="007C3260"/>
    <w:rsid w:val="007C32C7"/>
    <w:rsid w:val="007C3415"/>
    <w:rsid w:val="007C36FC"/>
    <w:rsid w:val="007C3D8F"/>
    <w:rsid w:val="007C408C"/>
    <w:rsid w:val="007C41AF"/>
    <w:rsid w:val="007C4375"/>
    <w:rsid w:val="007C4490"/>
    <w:rsid w:val="007C4894"/>
    <w:rsid w:val="007C4A7F"/>
    <w:rsid w:val="007C4F2A"/>
    <w:rsid w:val="007C5B66"/>
    <w:rsid w:val="007C5B9E"/>
    <w:rsid w:val="007C670F"/>
    <w:rsid w:val="007C6841"/>
    <w:rsid w:val="007C750E"/>
    <w:rsid w:val="007C7FDD"/>
    <w:rsid w:val="007D0C5E"/>
    <w:rsid w:val="007D1336"/>
    <w:rsid w:val="007D1338"/>
    <w:rsid w:val="007D1484"/>
    <w:rsid w:val="007D18F3"/>
    <w:rsid w:val="007D1D86"/>
    <w:rsid w:val="007D1E09"/>
    <w:rsid w:val="007D1F1F"/>
    <w:rsid w:val="007D1FAE"/>
    <w:rsid w:val="007D2277"/>
    <w:rsid w:val="007D2439"/>
    <w:rsid w:val="007D2490"/>
    <w:rsid w:val="007D2A3A"/>
    <w:rsid w:val="007D2F3B"/>
    <w:rsid w:val="007D36F2"/>
    <w:rsid w:val="007D4180"/>
    <w:rsid w:val="007D466A"/>
    <w:rsid w:val="007D4828"/>
    <w:rsid w:val="007D4A2D"/>
    <w:rsid w:val="007D54A7"/>
    <w:rsid w:val="007D6012"/>
    <w:rsid w:val="007D6273"/>
    <w:rsid w:val="007D7489"/>
    <w:rsid w:val="007D78BF"/>
    <w:rsid w:val="007D7DD8"/>
    <w:rsid w:val="007E0956"/>
    <w:rsid w:val="007E0BFB"/>
    <w:rsid w:val="007E0D49"/>
    <w:rsid w:val="007E1774"/>
    <w:rsid w:val="007E24CE"/>
    <w:rsid w:val="007E26DC"/>
    <w:rsid w:val="007E2718"/>
    <w:rsid w:val="007E2838"/>
    <w:rsid w:val="007E2AD4"/>
    <w:rsid w:val="007E304D"/>
    <w:rsid w:val="007E3247"/>
    <w:rsid w:val="007E353B"/>
    <w:rsid w:val="007E3ADF"/>
    <w:rsid w:val="007E51FE"/>
    <w:rsid w:val="007E5E1E"/>
    <w:rsid w:val="007E664F"/>
    <w:rsid w:val="007E67E9"/>
    <w:rsid w:val="007E6AF6"/>
    <w:rsid w:val="007E6B9C"/>
    <w:rsid w:val="007E6DC9"/>
    <w:rsid w:val="007E70C5"/>
    <w:rsid w:val="007E7526"/>
    <w:rsid w:val="007E77DD"/>
    <w:rsid w:val="007F02B0"/>
    <w:rsid w:val="007F07C3"/>
    <w:rsid w:val="007F0A99"/>
    <w:rsid w:val="007F19E3"/>
    <w:rsid w:val="007F22E8"/>
    <w:rsid w:val="007F2D20"/>
    <w:rsid w:val="007F313A"/>
    <w:rsid w:val="007F35CE"/>
    <w:rsid w:val="007F36FE"/>
    <w:rsid w:val="007F3BE9"/>
    <w:rsid w:val="007F3BF2"/>
    <w:rsid w:val="007F4107"/>
    <w:rsid w:val="007F532F"/>
    <w:rsid w:val="007F6347"/>
    <w:rsid w:val="007F6645"/>
    <w:rsid w:val="007F6E46"/>
    <w:rsid w:val="007F7479"/>
    <w:rsid w:val="007F7AA7"/>
    <w:rsid w:val="007F7F37"/>
    <w:rsid w:val="007F7FD4"/>
    <w:rsid w:val="00800667"/>
    <w:rsid w:val="00800675"/>
    <w:rsid w:val="00800B4B"/>
    <w:rsid w:val="00800C88"/>
    <w:rsid w:val="00800D4C"/>
    <w:rsid w:val="00800EA7"/>
    <w:rsid w:val="00801F0D"/>
    <w:rsid w:val="008022AA"/>
    <w:rsid w:val="00803780"/>
    <w:rsid w:val="00803B4B"/>
    <w:rsid w:val="008044B2"/>
    <w:rsid w:val="008049B6"/>
    <w:rsid w:val="00804B13"/>
    <w:rsid w:val="008051DD"/>
    <w:rsid w:val="00805322"/>
    <w:rsid w:val="00805487"/>
    <w:rsid w:val="008055F4"/>
    <w:rsid w:val="0080587E"/>
    <w:rsid w:val="00805BFE"/>
    <w:rsid w:val="00805D85"/>
    <w:rsid w:val="008062F0"/>
    <w:rsid w:val="008067D3"/>
    <w:rsid w:val="00806A19"/>
    <w:rsid w:val="00806F43"/>
    <w:rsid w:val="00807009"/>
    <w:rsid w:val="00807870"/>
    <w:rsid w:val="00807A7A"/>
    <w:rsid w:val="00807DF5"/>
    <w:rsid w:val="00810E1B"/>
    <w:rsid w:val="0081138F"/>
    <w:rsid w:val="00811F2F"/>
    <w:rsid w:val="008120B4"/>
    <w:rsid w:val="00812243"/>
    <w:rsid w:val="00812431"/>
    <w:rsid w:val="00812458"/>
    <w:rsid w:val="008125E6"/>
    <w:rsid w:val="008134CD"/>
    <w:rsid w:val="0081396B"/>
    <w:rsid w:val="008143CC"/>
    <w:rsid w:val="0081443C"/>
    <w:rsid w:val="00814FD1"/>
    <w:rsid w:val="00815099"/>
    <w:rsid w:val="0081511B"/>
    <w:rsid w:val="008151C6"/>
    <w:rsid w:val="0081534A"/>
    <w:rsid w:val="00815557"/>
    <w:rsid w:val="00816033"/>
    <w:rsid w:val="0081708B"/>
    <w:rsid w:val="00817962"/>
    <w:rsid w:val="00817D98"/>
    <w:rsid w:val="0082024D"/>
    <w:rsid w:val="008203E9"/>
    <w:rsid w:val="00820A54"/>
    <w:rsid w:val="00820ADB"/>
    <w:rsid w:val="0082100C"/>
    <w:rsid w:val="008212EC"/>
    <w:rsid w:val="0082154A"/>
    <w:rsid w:val="0082194F"/>
    <w:rsid w:val="00821B5F"/>
    <w:rsid w:val="00821B98"/>
    <w:rsid w:val="00821FD1"/>
    <w:rsid w:val="0082216C"/>
    <w:rsid w:val="00822D2E"/>
    <w:rsid w:val="008232DA"/>
    <w:rsid w:val="00823850"/>
    <w:rsid w:val="008243A1"/>
    <w:rsid w:val="00824449"/>
    <w:rsid w:val="00824C7E"/>
    <w:rsid w:val="00824DCB"/>
    <w:rsid w:val="0082502C"/>
    <w:rsid w:val="00825246"/>
    <w:rsid w:val="00825559"/>
    <w:rsid w:val="0082556C"/>
    <w:rsid w:val="00825C63"/>
    <w:rsid w:val="008261DF"/>
    <w:rsid w:val="00826641"/>
    <w:rsid w:val="008268BA"/>
    <w:rsid w:val="00826E53"/>
    <w:rsid w:val="00827007"/>
    <w:rsid w:val="00827703"/>
    <w:rsid w:val="00827DE1"/>
    <w:rsid w:val="00827E21"/>
    <w:rsid w:val="00827F44"/>
    <w:rsid w:val="0083012E"/>
    <w:rsid w:val="00830510"/>
    <w:rsid w:val="00830831"/>
    <w:rsid w:val="00830BC9"/>
    <w:rsid w:val="00830D9D"/>
    <w:rsid w:val="00830E80"/>
    <w:rsid w:val="00830FB2"/>
    <w:rsid w:val="00831036"/>
    <w:rsid w:val="008311DD"/>
    <w:rsid w:val="00831236"/>
    <w:rsid w:val="008321A9"/>
    <w:rsid w:val="0083249C"/>
    <w:rsid w:val="00832C95"/>
    <w:rsid w:val="00833E1A"/>
    <w:rsid w:val="008348A7"/>
    <w:rsid w:val="00834CAA"/>
    <w:rsid w:val="008359AF"/>
    <w:rsid w:val="00835D3C"/>
    <w:rsid w:val="0083727F"/>
    <w:rsid w:val="008372A5"/>
    <w:rsid w:val="0083751E"/>
    <w:rsid w:val="008377A7"/>
    <w:rsid w:val="008378AE"/>
    <w:rsid w:val="0083793D"/>
    <w:rsid w:val="008379B5"/>
    <w:rsid w:val="008401BD"/>
    <w:rsid w:val="008402A5"/>
    <w:rsid w:val="008405CD"/>
    <w:rsid w:val="008405DC"/>
    <w:rsid w:val="00840628"/>
    <w:rsid w:val="0084094E"/>
    <w:rsid w:val="00840FFD"/>
    <w:rsid w:val="0084100F"/>
    <w:rsid w:val="008411BA"/>
    <w:rsid w:val="00841587"/>
    <w:rsid w:val="00841750"/>
    <w:rsid w:val="008417A4"/>
    <w:rsid w:val="00841874"/>
    <w:rsid w:val="00841C30"/>
    <w:rsid w:val="00841CAC"/>
    <w:rsid w:val="00842083"/>
    <w:rsid w:val="008425D4"/>
    <w:rsid w:val="00842783"/>
    <w:rsid w:val="008433E7"/>
    <w:rsid w:val="0084347D"/>
    <w:rsid w:val="008434DC"/>
    <w:rsid w:val="00843723"/>
    <w:rsid w:val="008439D5"/>
    <w:rsid w:val="00843A39"/>
    <w:rsid w:val="00843B33"/>
    <w:rsid w:val="00843B45"/>
    <w:rsid w:val="00844870"/>
    <w:rsid w:val="00844F69"/>
    <w:rsid w:val="008450C1"/>
    <w:rsid w:val="00846288"/>
    <w:rsid w:val="0084649E"/>
    <w:rsid w:val="00846797"/>
    <w:rsid w:val="00846C3D"/>
    <w:rsid w:val="008478CD"/>
    <w:rsid w:val="008479D2"/>
    <w:rsid w:val="00847AE8"/>
    <w:rsid w:val="00847C9B"/>
    <w:rsid w:val="00847EDA"/>
    <w:rsid w:val="00847EF0"/>
    <w:rsid w:val="0085009B"/>
    <w:rsid w:val="00850444"/>
    <w:rsid w:val="00850908"/>
    <w:rsid w:val="008520C6"/>
    <w:rsid w:val="00852ADD"/>
    <w:rsid w:val="0085330C"/>
    <w:rsid w:val="00854751"/>
    <w:rsid w:val="00854D3D"/>
    <w:rsid w:val="008550F0"/>
    <w:rsid w:val="008558AA"/>
    <w:rsid w:val="00855943"/>
    <w:rsid w:val="0085612B"/>
    <w:rsid w:val="008562B0"/>
    <w:rsid w:val="00856BEB"/>
    <w:rsid w:val="00857093"/>
    <w:rsid w:val="0085781F"/>
    <w:rsid w:val="00857DE3"/>
    <w:rsid w:val="008600D5"/>
    <w:rsid w:val="00860791"/>
    <w:rsid w:val="00860BBD"/>
    <w:rsid w:val="00860CFE"/>
    <w:rsid w:val="008614D5"/>
    <w:rsid w:val="00861582"/>
    <w:rsid w:val="0086165F"/>
    <w:rsid w:val="00861A64"/>
    <w:rsid w:val="00862990"/>
    <w:rsid w:val="00862AFD"/>
    <w:rsid w:val="00862F0B"/>
    <w:rsid w:val="00862F1B"/>
    <w:rsid w:val="00863325"/>
    <w:rsid w:val="0086372A"/>
    <w:rsid w:val="008641F9"/>
    <w:rsid w:val="00864759"/>
    <w:rsid w:val="00864794"/>
    <w:rsid w:val="008647E3"/>
    <w:rsid w:val="008648E5"/>
    <w:rsid w:val="008649F3"/>
    <w:rsid w:val="00864BD3"/>
    <w:rsid w:val="0086547D"/>
    <w:rsid w:val="00865516"/>
    <w:rsid w:val="00865557"/>
    <w:rsid w:val="0086586C"/>
    <w:rsid w:val="00865AA1"/>
    <w:rsid w:val="00865E78"/>
    <w:rsid w:val="00866135"/>
    <w:rsid w:val="008661C0"/>
    <w:rsid w:val="0086692D"/>
    <w:rsid w:val="00866BCC"/>
    <w:rsid w:val="00866CE1"/>
    <w:rsid w:val="00866F07"/>
    <w:rsid w:val="00867458"/>
    <w:rsid w:val="008676A3"/>
    <w:rsid w:val="00867917"/>
    <w:rsid w:val="00867B27"/>
    <w:rsid w:val="00867D01"/>
    <w:rsid w:val="00867F1F"/>
    <w:rsid w:val="0087002E"/>
    <w:rsid w:val="00870068"/>
    <w:rsid w:val="008700D1"/>
    <w:rsid w:val="0087067D"/>
    <w:rsid w:val="00870AD5"/>
    <w:rsid w:val="00871A8B"/>
    <w:rsid w:val="00871AE1"/>
    <w:rsid w:val="00871DF8"/>
    <w:rsid w:val="008731CA"/>
    <w:rsid w:val="00873306"/>
    <w:rsid w:val="008736B3"/>
    <w:rsid w:val="00873793"/>
    <w:rsid w:val="00873CF7"/>
    <w:rsid w:val="0087443E"/>
    <w:rsid w:val="008745A7"/>
    <w:rsid w:val="008748B1"/>
    <w:rsid w:val="00874CAA"/>
    <w:rsid w:val="008751C9"/>
    <w:rsid w:val="00877313"/>
    <w:rsid w:val="00877543"/>
    <w:rsid w:val="00877F2D"/>
    <w:rsid w:val="00880143"/>
    <w:rsid w:val="0088030F"/>
    <w:rsid w:val="00880F0D"/>
    <w:rsid w:val="0088159D"/>
    <w:rsid w:val="00881815"/>
    <w:rsid w:val="00882677"/>
    <w:rsid w:val="00882711"/>
    <w:rsid w:val="00882980"/>
    <w:rsid w:val="00882B7E"/>
    <w:rsid w:val="00882EC8"/>
    <w:rsid w:val="00883129"/>
    <w:rsid w:val="00883171"/>
    <w:rsid w:val="00883488"/>
    <w:rsid w:val="00883EA4"/>
    <w:rsid w:val="0088432B"/>
    <w:rsid w:val="00884775"/>
    <w:rsid w:val="008850B9"/>
    <w:rsid w:val="0088557C"/>
    <w:rsid w:val="00885994"/>
    <w:rsid w:val="00885CDA"/>
    <w:rsid w:val="00885F5B"/>
    <w:rsid w:val="008864EA"/>
    <w:rsid w:val="00886AF5"/>
    <w:rsid w:val="00887072"/>
    <w:rsid w:val="00887238"/>
    <w:rsid w:val="00887423"/>
    <w:rsid w:val="008875E6"/>
    <w:rsid w:val="0089028A"/>
    <w:rsid w:val="00890994"/>
    <w:rsid w:val="00890F1D"/>
    <w:rsid w:val="00890F28"/>
    <w:rsid w:val="008915B4"/>
    <w:rsid w:val="00891D65"/>
    <w:rsid w:val="0089229C"/>
    <w:rsid w:val="008923D5"/>
    <w:rsid w:val="00892514"/>
    <w:rsid w:val="00892B1E"/>
    <w:rsid w:val="00892CF6"/>
    <w:rsid w:val="00892E51"/>
    <w:rsid w:val="0089302A"/>
    <w:rsid w:val="0089331C"/>
    <w:rsid w:val="00893836"/>
    <w:rsid w:val="00893DC3"/>
    <w:rsid w:val="008940BC"/>
    <w:rsid w:val="00894207"/>
    <w:rsid w:val="008948E8"/>
    <w:rsid w:val="00894DC4"/>
    <w:rsid w:val="008953BE"/>
    <w:rsid w:val="008957FC"/>
    <w:rsid w:val="00895822"/>
    <w:rsid w:val="00895B24"/>
    <w:rsid w:val="00895CB1"/>
    <w:rsid w:val="00895D40"/>
    <w:rsid w:val="00895ECD"/>
    <w:rsid w:val="00896EC7"/>
    <w:rsid w:val="00897286"/>
    <w:rsid w:val="0089783F"/>
    <w:rsid w:val="00897944"/>
    <w:rsid w:val="00897EF2"/>
    <w:rsid w:val="008A052B"/>
    <w:rsid w:val="008A0A51"/>
    <w:rsid w:val="008A1D36"/>
    <w:rsid w:val="008A1F97"/>
    <w:rsid w:val="008A2226"/>
    <w:rsid w:val="008A242F"/>
    <w:rsid w:val="008A273B"/>
    <w:rsid w:val="008A36DA"/>
    <w:rsid w:val="008A39E6"/>
    <w:rsid w:val="008A3A52"/>
    <w:rsid w:val="008A3B1F"/>
    <w:rsid w:val="008A43EA"/>
    <w:rsid w:val="008A485A"/>
    <w:rsid w:val="008A4F02"/>
    <w:rsid w:val="008A5469"/>
    <w:rsid w:val="008A55D9"/>
    <w:rsid w:val="008A5AC0"/>
    <w:rsid w:val="008A5FD9"/>
    <w:rsid w:val="008A634F"/>
    <w:rsid w:val="008A649F"/>
    <w:rsid w:val="008A64A6"/>
    <w:rsid w:val="008A6560"/>
    <w:rsid w:val="008A68F5"/>
    <w:rsid w:val="008A71F4"/>
    <w:rsid w:val="008A7D11"/>
    <w:rsid w:val="008A7D51"/>
    <w:rsid w:val="008B0AE5"/>
    <w:rsid w:val="008B0BD2"/>
    <w:rsid w:val="008B1064"/>
    <w:rsid w:val="008B10C7"/>
    <w:rsid w:val="008B1789"/>
    <w:rsid w:val="008B1BB6"/>
    <w:rsid w:val="008B263D"/>
    <w:rsid w:val="008B26D0"/>
    <w:rsid w:val="008B273E"/>
    <w:rsid w:val="008B2DCE"/>
    <w:rsid w:val="008B2FB4"/>
    <w:rsid w:val="008B32CA"/>
    <w:rsid w:val="008B372C"/>
    <w:rsid w:val="008B3804"/>
    <w:rsid w:val="008B4412"/>
    <w:rsid w:val="008B44E5"/>
    <w:rsid w:val="008B471C"/>
    <w:rsid w:val="008B4AA0"/>
    <w:rsid w:val="008B4F81"/>
    <w:rsid w:val="008B537C"/>
    <w:rsid w:val="008B53BA"/>
    <w:rsid w:val="008B573A"/>
    <w:rsid w:val="008B585E"/>
    <w:rsid w:val="008B5BBD"/>
    <w:rsid w:val="008B5CF0"/>
    <w:rsid w:val="008B5D6A"/>
    <w:rsid w:val="008B607E"/>
    <w:rsid w:val="008B611C"/>
    <w:rsid w:val="008B63B6"/>
    <w:rsid w:val="008B677F"/>
    <w:rsid w:val="008B6A41"/>
    <w:rsid w:val="008B7003"/>
    <w:rsid w:val="008B718D"/>
    <w:rsid w:val="008B72EA"/>
    <w:rsid w:val="008B73B8"/>
    <w:rsid w:val="008B74FB"/>
    <w:rsid w:val="008C15C7"/>
    <w:rsid w:val="008C1912"/>
    <w:rsid w:val="008C229E"/>
    <w:rsid w:val="008C272B"/>
    <w:rsid w:val="008C30FC"/>
    <w:rsid w:val="008C3186"/>
    <w:rsid w:val="008C35A0"/>
    <w:rsid w:val="008C42D5"/>
    <w:rsid w:val="008C489D"/>
    <w:rsid w:val="008C4FCC"/>
    <w:rsid w:val="008C5083"/>
    <w:rsid w:val="008C5277"/>
    <w:rsid w:val="008C575E"/>
    <w:rsid w:val="008C5F2B"/>
    <w:rsid w:val="008C6B97"/>
    <w:rsid w:val="008C70AD"/>
    <w:rsid w:val="008C754A"/>
    <w:rsid w:val="008C79E9"/>
    <w:rsid w:val="008C7D2D"/>
    <w:rsid w:val="008D02DF"/>
    <w:rsid w:val="008D032F"/>
    <w:rsid w:val="008D0732"/>
    <w:rsid w:val="008D0F2E"/>
    <w:rsid w:val="008D20E9"/>
    <w:rsid w:val="008D2513"/>
    <w:rsid w:val="008D304B"/>
    <w:rsid w:val="008D3120"/>
    <w:rsid w:val="008D3C57"/>
    <w:rsid w:val="008D3FE6"/>
    <w:rsid w:val="008D4418"/>
    <w:rsid w:val="008D4A5B"/>
    <w:rsid w:val="008D5207"/>
    <w:rsid w:val="008D6162"/>
    <w:rsid w:val="008D6252"/>
    <w:rsid w:val="008D66C9"/>
    <w:rsid w:val="008D6B0E"/>
    <w:rsid w:val="008D6D1B"/>
    <w:rsid w:val="008D755F"/>
    <w:rsid w:val="008D7884"/>
    <w:rsid w:val="008E0173"/>
    <w:rsid w:val="008E05DE"/>
    <w:rsid w:val="008E0AAC"/>
    <w:rsid w:val="008E0E7B"/>
    <w:rsid w:val="008E2080"/>
    <w:rsid w:val="008E398A"/>
    <w:rsid w:val="008E3C52"/>
    <w:rsid w:val="008E4697"/>
    <w:rsid w:val="008E51BF"/>
    <w:rsid w:val="008E5BEE"/>
    <w:rsid w:val="008E5C11"/>
    <w:rsid w:val="008E6445"/>
    <w:rsid w:val="008E6471"/>
    <w:rsid w:val="008E6CA4"/>
    <w:rsid w:val="008E75EC"/>
    <w:rsid w:val="008E796C"/>
    <w:rsid w:val="008E7AC2"/>
    <w:rsid w:val="008E7F25"/>
    <w:rsid w:val="008F0291"/>
    <w:rsid w:val="008F02D3"/>
    <w:rsid w:val="008F1B13"/>
    <w:rsid w:val="008F1CED"/>
    <w:rsid w:val="008F1CF3"/>
    <w:rsid w:val="008F1DE3"/>
    <w:rsid w:val="008F1F44"/>
    <w:rsid w:val="008F2797"/>
    <w:rsid w:val="008F2FF2"/>
    <w:rsid w:val="008F3563"/>
    <w:rsid w:val="008F4610"/>
    <w:rsid w:val="008F4738"/>
    <w:rsid w:val="008F4847"/>
    <w:rsid w:val="008F49BE"/>
    <w:rsid w:val="008F4F6E"/>
    <w:rsid w:val="008F54FA"/>
    <w:rsid w:val="008F5526"/>
    <w:rsid w:val="008F553B"/>
    <w:rsid w:val="008F6E6D"/>
    <w:rsid w:val="008F718C"/>
    <w:rsid w:val="008F72CD"/>
    <w:rsid w:val="008F7882"/>
    <w:rsid w:val="008F78CC"/>
    <w:rsid w:val="008F7C36"/>
    <w:rsid w:val="009001DC"/>
    <w:rsid w:val="00900475"/>
    <w:rsid w:val="009011BE"/>
    <w:rsid w:val="009018BA"/>
    <w:rsid w:val="00901A03"/>
    <w:rsid w:val="00901ECD"/>
    <w:rsid w:val="00902167"/>
    <w:rsid w:val="00902544"/>
    <w:rsid w:val="009028C9"/>
    <w:rsid w:val="009032CA"/>
    <w:rsid w:val="009035F2"/>
    <w:rsid w:val="00903800"/>
    <w:rsid w:val="00904335"/>
    <w:rsid w:val="00904698"/>
    <w:rsid w:val="00904943"/>
    <w:rsid w:val="00904C8C"/>
    <w:rsid w:val="0090514D"/>
    <w:rsid w:val="0090582A"/>
    <w:rsid w:val="00905C19"/>
    <w:rsid w:val="0090649C"/>
    <w:rsid w:val="0090736B"/>
    <w:rsid w:val="009076B0"/>
    <w:rsid w:val="00907875"/>
    <w:rsid w:val="009078D1"/>
    <w:rsid w:val="00907CFD"/>
    <w:rsid w:val="00910242"/>
    <w:rsid w:val="0091029B"/>
    <w:rsid w:val="00910797"/>
    <w:rsid w:val="009111B3"/>
    <w:rsid w:val="009118FA"/>
    <w:rsid w:val="0091227F"/>
    <w:rsid w:val="00912570"/>
    <w:rsid w:val="00912E0F"/>
    <w:rsid w:val="00912E56"/>
    <w:rsid w:val="00912EDA"/>
    <w:rsid w:val="009130B7"/>
    <w:rsid w:val="009130C2"/>
    <w:rsid w:val="0091388B"/>
    <w:rsid w:val="00913A1F"/>
    <w:rsid w:val="00913D8B"/>
    <w:rsid w:val="00913DB8"/>
    <w:rsid w:val="00913F5F"/>
    <w:rsid w:val="00914202"/>
    <w:rsid w:val="009145C7"/>
    <w:rsid w:val="009147BC"/>
    <w:rsid w:val="00914BD3"/>
    <w:rsid w:val="00915089"/>
    <w:rsid w:val="009150D2"/>
    <w:rsid w:val="00915200"/>
    <w:rsid w:val="009152BE"/>
    <w:rsid w:val="0091544F"/>
    <w:rsid w:val="009161AB"/>
    <w:rsid w:val="00916ACF"/>
    <w:rsid w:val="009175F0"/>
    <w:rsid w:val="00917DD7"/>
    <w:rsid w:val="0092009E"/>
    <w:rsid w:val="0092017B"/>
    <w:rsid w:val="00920B1E"/>
    <w:rsid w:val="0092105C"/>
    <w:rsid w:val="0092229C"/>
    <w:rsid w:val="0092243E"/>
    <w:rsid w:val="00922621"/>
    <w:rsid w:val="00922750"/>
    <w:rsid w:val="00922B92"/>
    <w:rsid w:val="00922E5A"/>
    <w:rsid w:val="009232BD"/>
    <w:rsid w:val="00925056"/>
    <w:rsid w:val="009252AF"/>
    <w:rsid w:val="009258FB"/>
    <w:rsid w:val="0092602D"/>
    <w:rsid w:val="009261DF"/>
    <w:rsid w:val="00926A92"/>
    <w:rsid w:val="00926C73"/>
    <w:rsid w:val="009275E4"/>
    <w:rsid w:val="00927605"/>
    <w:rsid w:val="00927C63"/>
    <w:rsid w:val="0093078C"/>
    <w:rsid w:val="009307A8"/>
    <w:rsid w:val="00931714"/>
    <w:rsid w:val="00931F71"/>
    <w:rsid w:val="00932278"/>
    <w:rsid w:val="0093257E"/>
    <w:rsid w:val="00932BAD"/>
    <w:rsid w:val="009338F0"/>
    <w:rsid w:val="009339AE"/>
    <w:rsid w:val="00933CF6"/>
    <w:rsid w:val="009342B0"/>
    <w:rsid w:val="00934408"/>
    <w:rsid w:val="009351BD"/>
    <w:rsid w:val="00935CD5"/>
    <w:rsid w:val="0093614C"/>
    <w:rsid w:val="009361A2"/>
    <w:rsid w:val="009362F2"/>
    <w:rsid w:val="009369EA"/>
    <w:rsid w:val="009375F1"/>
    <w:rsid w:val="00937888"/>
    <w:rsid w:val="009400D0"/>
    <w:rsid w:val="00940782"/>
    <w:rsid w:val="0094087D"/>
    <w:rsid w:val="00940E2C"/>
    <w:rsid w:val="009418CE"/>
    <w:rsid w:val="009421A7"/>
    <w:rsid w:val="009423A6"/>
    <w:rsid w:val="009423B5"/>
    <w:rsid w:val="009424EA"/>
    <w:rsid w:val="00942B59"/>
    <w:rsid w:val="00942B66"/>
    <w:rsid w:val="00942EE4"/>
    <w:rsid w:val="00942EF5"/>
    <w:rsid w:val="00943B94"/>
    <w:rsid w:val="00943EE7"/>
    <w:rsid w:val="0094438A"/>
    <w:rsid w:val="0094488C"/>
    <w:rsid w:val="00944941"/>
    <w:rsid w:val="00944EAF"/>
    <w:rsid w:val="00944EEE"/>
    <w:rsid w:val="00944EF8"/>
    <w:rsid w:val="0094545E"/>
    <w:rsid w:val="00945692"/>
    <w:rsid w:val="009458B7"/>
    <w:rsid w:val="00945B88"/>
    <w:rsid w:val="00945BC2"/>
    <w:rsid w:val="009467EB"/>
    <w:rsid w:val="00946E57"/>
    <w:rsid w:val="00946E59"/>
    <w:rsid w:val="009475BF"/>
    <w:rsid w:val="009477A3"/>
    <w:rsid w:val="00947C2B"/>
    <w:rsid w:val="00947E5A"/>
    <w:rsid w:val="0095014D"/>
    <w:rsid w:val="009506E0"/>
    <w:rsid w:val="0095079C"/>
    <w:rsid w:val="00950E7A"/>
    <w:rsid w:val="00950FD7"/>
    <w:rsid w:val="00951235"/>
    <w:rsid w:val="009518D1"/>
    <w:rsid w:val="00951A14"/>
    <w:rsid w:val="00951C5C"/>
    <w:rsid w:val="00952020"/>
    <w:rsid w:val="0095207E"/>
    <w:rsid w:val="00952302"/>
    <w:rsid w:val="009526A3"/>
    <w:rsid w:val="00952C0B"/>
    <w:rsid w:val="00952F4F"/>
    <w:rsid w:val="00953F0A"/>
    <w:rsid w:val="009542C5"/>
    <w:rsid w:val="00954508"/>
    <w:rsid w:val="0095465D"/>
    <w:rsid w:val="00954675"/>
    <w:rsid w:val="00954777"/>
    <w:rsid w:val="00954AAC"/>
    <w:rsid w:val="00955B2E"/>
    <w:rsid w:val="0095689B"/>
    <w:rsid w:val="00957239"/>
    <w:rsid w:val="009577C4"/>
    <w:rsid w:val="009600DA"/>
    <w:rsid w:val="00960445"/>
    <w:rsid w:val="0096094E"/>
    <w:rsid w:val="00960F03"/>
    <w:rsid w:val="0096148E"/>
    <w:rsid w:val="00961B0D"/>
    <w:rsid w:val="00962DBD"/>
    <w:rsid w:val="009630E3"/>
    <w:rsid w:val="0096342B"/>
    <w:rsid w:val="00963499"/>
    <w:rsid w:val="0096376A"/>
    <w:rsid w:val="00963969"/>
    <w:rsid w:val="00963AD7"/>
    <w:rsid w:val="00963B08"/>
    <w:rsid w:val="009646FA"/>
    <w:rsid w:val="00964753"/>
    <w:rsid w:val="00964D52"/>
    <w:rsid w:val="009657DC"/>
    <w:rsid w:val="0096599A"/>
    <w:rsid w:val="00965BC7"/>
    <w:rsid w:val="00965C3B"/>
    <w:rsid w:val="00965CFE"/>
    <w:rsid w:val="00965E18"/>
    <w:rsid w:val="009667AB"/>
    <w:rsid w:val="00966F39"/>
    <w:rsid w:val="0096723B"/>
    <w:rsid w:val="00967745"/>
    <w:rsid w:val="0097000B"/>
    <w:rsid w:val="009702C4"/>
    <w:rsid w:val="009705AB"/>
    <w:rsid w:val="009705FC"/>
    <w:rsid w:val="009706C5"/>
    <w:rsid w:val="00970A11"/>
    <w:rsid w:val="00970F47"/>
    <w:rsid w:val="009712BA"/>
    <w:rsid w:val="009717FF"/>
    <w:rsid w:val="00972128"/>
    <w:rsid w:val="00972401"/>
    <w:rsid w:val="00973265"/>
    <w:rsid w:val="00973995"/>
    <w:rsid w:val="009741DB"/>
    <w:rsid w:val="00974A04"/>
    <w:rsid w:val="00974B72"/>
    <w:rsid w:val="00974C16"/>
    <w:rsid w:val="00974FD9"/>
    <w:rsid w:val="009757DD"/>
    <w:rsid w:val="00975C76"/>
    <w:rsid w:val="00976441"/>
    <w:rsid w:val="00976525"/>
    <w:rsid w:val="009765B4"/>
    <w:rsid w:val="00976CAF"/>
    <w:rsid w:val="0097718D"/>
    <w:rsid w:val="00977568"/>
    <w:rsid w:val="00977F02"/>
    <w:rsid w:val="00981027"/>
    <w:rsid w:val="0098180F"/>
    <w:rsid w:val="00981A88"/>
    <w:rsid w:val="009821F8"/>
    <w:rsid w:val="00982EAD"/>
    <w:rsid w:val="00983145"/>
    <w:rsid w:val="00983399"/>
    <w:rsid w:val="00983752"/>
    <w:rsid w:val="009838AD"/>
    <w:rsid w:val="00983B1C"/>
    <w:rsid w:val="00983B8A"/>
    <w:rsid w:val="009844A1"/>
    <w:rsid w:val="00984697"/>
    <w:rsid w:val="00984E0C"/>
    <w:rsid w:val="0098591B"/>
    <w:rsid w:val="0098596A"/>
    <w:rsid w:val="009859B2"/>
    <w:rsid w:val="00985B5A"/>
    <w:rsid w:val="009865E7"/>
    <w:rsid w:val="00986886"/>
    <w:rsid w:val="00986E62"/>
    <w:rsid w:val="009878B8"/>
    <w:rsid w:val="00987A5F"/>
    <w:rsid w:val="00987E8D"/>
    <w:rsid w:val="00987FE5"/>
    <w:rsid w:val="00990028"/>
    <w:rsid w:val="0099017F"/>
    <w:rsid w:val="009901EB"/>
    <w:rsid w:val="009903CC"/>
    <w:rsid w:val="0099040B"/>
    <w:rsid w:val="00990680"/>
    <w:rsid w:val="00990C4B"/>
    <w:rsid w:val="009913D8"/>
    <w:rsid w:val="00991450"/>
    <w:rsid w:val="00991B14"/>
    <w:rsid w:val="00992539"/>
    <w:rsid w:val="00992748"/>
    <w:rsid w:val="009929DD"/>
    <w:rsid w:val="009930C8"/>
    <w:rsid w:val="009935BD"/>
    <w:rsid w:val="00993682"/>
    <w:rsid w:val="009938F6"/>
    <w:rsid w:val="00993AE2"/>
    <w:rsid w:val="009940F8"/>
    <w:rsid w:val="00994A15"/>
    <w:rsid w:val="00994B87"/>
    <w:rsid w:val="00995246"/>
    <w:rsid w:val="00995544"/>
    <w:rsid w:val="009956A6"/>
    <w:rsid w:val="00995F69"/>
    <w:rsid w:val="00996279"/>
    <w:rsid w:val="0099636C"/>
    <w:rsid w:val="009968FD"/>
    <w:rsid w:val="00996CA6"/>
    <w:rsid w:val="0099763E"/>
    <w:rsid w:val="009977F8"/>
    <w:rsid w:val="009A02E3"/>
    <w:rsid w:val="009A03A2"/>
    <w:rsid w:val="009A07A6"/>
    <w:rsid w:val="009A0ACD"/>
    <w:rsid w:val="009A193F"/>
    <w:rsid w:val="009A1E86"/>
    <w:rsid w:val="009A251C"/>
    <w:rsid w:val="009A25AA"/>
    <w:rsid w:val="009A36A9"/>
    <w:rsid w:val="009A3770"/>
    <w:rsid w:val="009A3891"/>
    <w:rsid w:val="009A3AB5"/>
    <w:rsid w:val="009A3EC1"/>
    <w:rsid w:val="009A3FBF"/>
    <w:rsid w:val="009A43D4"/>
    <w:rsid w:val="009A53D1"/>
    <w:rsid w:val="009A5BC9"/>
    <w:rsid w:val="009A62C0"/>
    <w:rsid w:val="009A6374"/>
    <w:rsid w:val="009A6E4F"/>
    <w:rsid w:val="009A6FE6"/>
    <w:rsid w:val="009A7280"/>
    <w:rsid w:val="009A730C"/>
    <w:rsid w:val="009A7642"/>
    <w:rsid w:val="009A7659"/>
    <w:rsid w:val="009A797D"/>
    <w:rsid w:val="009B0B14"/>
    <w:rsid w:val="009B1812"/>
    <w:rsid w:val="009B1AD4"/>
    <w:rsid w:val="009B1B13"/>
    <w:rsid w:val="009B1ED2"/>
    <w:rsid w:val="009B202F"/>
    <w:rsid w:val="009B2041"/>
    <w:rsid w:val="009B20DB"/>
    <w:rsid w:val="009B2BE0"/>
    <w:rsid w:val="009B2EDF"/>
    <w:rsid w:val="009B3410"/>
    <w:rsid w:val="009B37D5"/>
    <w:rsid w:val="009B443C"/>
    <w:rsid w:val="009B4565"/>
    <w:rsid w:val="009B4E1A"/>
    <w:rsid w:val="009B528C"/>
    <w:rsid w:val="009B5666"/>
    <w:rsid w:val="009B5BDF"/>
    <w:rsid w:val="009B5D95"/>
    <w:rsid w:val="009B61E6"/>
    <w:rsid w:val="009B64DD"/>
    <w:rsid w:val="009B693F"/>
    <w:rsid w:val="009B6AB3"/>
    <w:rsid w:val="009B6CF7"/>
    <w:rsid w:val="009B718E"/>
    <w:rsid w:val="009B7564"/>
    <w:rsid w:val="009B7622"/>
    <w:rsid w:val="009B7D90"/>
    <w:rsid w:val="009C076A"/>
    <w:rsid w:val="009C08BF"/>
    <w:rsid w:val="009C0CF2"/>
    <w:rsid w:val="009C134E"/>
    <w:rsid w:val="009C17B9"/>
    <w:rsid w:val="009C1829"/>
    <w:rsid w:val="009C1C45"/>
    <w:rsid w:val="009C1DD3"/>
    <w:rsid w:val="009C2C67"/>
    <w:rsid w:val="009C3899"/>
    <w:rsid w:val="009C3DF0"/>
    <w:rsid w:val="009C3FDB"/>
    <w:rsid w:val="009C403D"/>
    <w:rsid w:val="009C406C"/>
    <w:rsid w:val="009C478D"/>
    <w:rsid w:val="009C48EA"/>
    <w:rsid w:val="009C4BF7"/>
    <w:rsid w:val="009C4DA9"/>
    <w:rsid w:val="009C4FA9"/>
    <w:rsid w:val="009C542A"/>
    <w:rsid w:val="009C56C1"/>
    <w:rsid w:val="009C5C53"/>
    <w:rsid w:val="009C5C80"/>
    <w:rsid w:val="009C63C4"/>
    <w:rsid w:val="009C653E"/>
    <w:rsid w:val="009C69F8"/>
    <w:rsid w:val="009C6E1D"/>
    <w:rsid w:val="009C709B"/>
    <w:rsid w:val="009C7B91"/>
    <w:rsid w:val="009C7CF8"/>
    <w:rsid w:val="009D0023"/>
    <w:rsid w:val="009D0363"/>
    <w:rsid w:val="009D0642"/>
    <w:rsid w:val="009D12CD"/>
    <w:rsid w:val="009D158F"/>
    <w:rsid w:val="009D2245"/>
    <w:rsid w:val="009D2E2E"/>
    <w:rsid w:val="009D31A8"/>
    <w:rsid w:val="009D387E"/>
    <w:rsid w:val="009D3AEE"/>
    <w:rsid w:val="009D3EB8"/>
    <w:rsid w:val="009D3F44"/>
    <w:rsid w:val="009D409F"/>
    <w:rsid w:val="009D4C45"/>
    <w:rsid w:val="009D4D1C"/>
    <w:rsid w:val="009D5795"/>
    <w:rsid w:val="009D592C"/>
    <w:rsid w:val="009D6456"/>
    <w:rsid w:val="009D6A0A"/>
    <w:rsid w:val="009D6A46"/>
    <w:rsid w:val="009D6AC7"/>
    <w:rsid w:val="009D6C30"/>
    <w:rsid w:val="009D6F1A"/>
    <w:rsid w:val="009D74BF"/>
    <w:rsid w:val="009D7668"/>
    <w:rsid w:val="009D7729"/>
    <w:rsid w:val="009D77F7"/>
    <w:rsid w:val="009D7E40"/>
    <w:rsid w:val="009D7FAF"/>
    <w:rsid w:val="009E00A9"/>
    <w:rsid w:val="009E0256"/>
    <w:rsid w:val="009E050F"/>
    <w:rsid w:val="009E054E"/>
    <w:rsid w:val="009E0AD2"/>
    <w:rsid w:val="009E12C6"/>
    <w:rsid w:val="009E1958"/>
    <w:rsid w:val="009E2B0F"/>
    <w:rsid w:val="009E2B49"/>
    <w:rsid w:val="009E2F82"/>
    <w:rsid w:val="009E30C1"/>
    <w:rsid w:val="009E30DE"/>
    <w:rsid w:val="009E3DFB"/>
    <w:rsid w:val="009E3E41"/>
    <w:rsid w:val="009E3F34"/>
    <w:rsid w:val="009E4A22"/>
    <w:rsid w:val="009E5077"/>
    <w:rsid w:val="009E64F2"/>
    <w:rsid w:val="009E7019"/>
    <w:rsid w:val="009E73E1"/>
    <w:rsid w:val="009E743B"/>
    <w:rsid w:val="009E7785"/>
    <w:rsid w:val="009E7806"/>
    <w:rsid w:val="009E7992"/>
    <w:rsid w:val="009E7B9B"/>
    <w:rsid w:val="009E7D12"/>
    <w:rsid w:val="009F01F1"/>
    <w:rsid w:val="009F05B4"/>
    <w:rsid w:val="009F071B"/>
    <w:rsid w:val="009F0ADD"/>
    <w:rsid w:val="009F0DCE"/>
    <w:rsid w:val="009F1452"/>
    <w:rsid w:val="009F1637"/>
    <w:rsid w:val="009F216B"/>
    <w:rsid w:val="009F2E3F"/>
    <w:rsid w:val="009F2F4C"/>
    <w:rsid w:val="009F3052"/>
    <w:rsid w:val="009F3796"/>
    <w:rsid w:val="009F3BDB"/>
    <w:rsid w:val="009F3DEF"/>
    <w:rsid w:val="009F3EA3"/>
    <w:rsid w:val="009F4752"/>
    <w:rsid w:val="009F4821"/>
    <w:rsid w:val="009F4907"/>
    <w:rsid w:val="009F4914"/>
    <w:rsid w:val="009F4F69"/>
    <w:rsid w:val="009F50AB"/>
    <w:rsid w:val="009F5711"/>
    <w:rsid w:val="009F5A23"/>
    <w:rsid w:val="009F5CA1"/>
    <w:rsid w:val="009F5FB7"/>
    <w:rsid w:val="009F669D"/>
    <w:rsid w:val="009F6922"/>
    <w:rsid w:val="009F6B3D"/>
    <w:rsid w:val="009F7224"/>
    <w:rsid w:val="009F7656"/>
    <w:rsid w:val="009F7CC6"/>
    <w:rsid w:val="00A00775"/>
    <w:rsid w:val="00A00B89"/>
    <w:rsid w:val="00A012CC"/>
    <w:rsid w:val="00A01F0B"/>
    <w:rsid w:val="00A0221E"/>
    <w:rsid w:val="00A025E0"/>
    <w:rsid w:val="00A02F4C"/>
    <w:rsid w:val="00A030A7"/>
    <w:rsid w:val="00A034A0"/>
    <w:rsid w:val="00A0373C"/>
    <w:rsid w:val="00A04103"/>
    <w:rsid w:val="00A04998"/>
    <w:rsid w:val="00A04D46"/>
    <w:rsid w:val="00A04DEC"/>
    <w:rsid w:val="00A050FF"/>
    <w:rsid w:val="00A05A6A"/>
    <w:rsid w:val="00A05B95"/>
    <w:rsid w:val="00A06173"/>
    <w:rsid w:val="00A06562"/>
    <w:rsid w:val="00A0698F"/>
    <w:rsid w:val="00A0734F"/>
    <w:rsid w:val="00A07594"/>
    <w:rsid w:val="00A07647"/>
    <w:rsid w:val="00A077A1"/>
    <w:rsid w:val="00A10A22"/>
    <w:rsid w:val="00A10CAB"/>
    <w:rsid w:val="00A10E0F"/>
    <w:rsid w:val="00A10FDC"/>
    <w:rsid w:val="00A112F4"/>
    <w:rsid w:val="00A11330"/>
    <w:rsid w:val="00A117CD"/>
    <w:rsid w:val="00A11CB3"/>
    <w:rsid w:val="00A1267E"/>
    <w:rsid w:val="00A1310D"/>
    <w:rsid w:val="00A14490"/>
    <w:rsid w:val="00A146BE"/>
    <w:rsid w:val="00A147DB"/>
    <w:rsid w:val="00A14ACC"/>
    <w:rsid w:val="00A14AF2"/>
    <w:rsid w:val="00A151A5"/>
    <w:rsid w:val="00A159C0"/>
    <w:rsid w:val="00A15CDE"/>
    <w:rsid w:val="00A15DDE"/>
    <w:rsid w:val="00A166D7"/>
    <w:rsid w:val="00A16810"/>
    <w:rsid w:val="00A170DB"/>
    <w:rsid w:val="00A172CD"/>
    <w:rsid w:val="00A174FB"/>
    <w:rsid w:val="00A20636"/>
    <w:rsid w:val="00A2076F"/>
    <w:rsid w:val="00A20856"/>
    <w:rsid w:val="00A20D89"/>
    <w:rsid w:val="00A20E91"/>
    <w:rsid w:val="00A21E14"/>
    <w:rsid w:val="00A22EF6"/>
    <w:rsid w:val="00A23BA6"/>
    <w:rsid w:val="00A24DE2"/>
    <w:rsid w:val="00A24EE4"/>
    <w:rsid w:val="00A2568C"/>
    <w:rsid w:val="00A26095"/>
    <w:rsid w:val="00A261C7"/>
    <w:rsid w:val="00A261EE"/>
    <w:rsid w:val="00A26587"/>
    <w:rsid w:val="00A26C02"/>
    <w:rsid w:val="00A26DC7"/>
    <w:rsid w:val="00A26E6F"/>
    <w:rsid w:val="00A270B5"/>
    <w:rsid w:val="00A27390"/>
    <w:rsid w:val="00A27956"/>
    <w:rsid w:val="00A30514"/>
    <w:rsid w:val="00A309E0"/>
    <w:rsid w:val="00A31247"/>
    <w:rsid w:val="00A3165E"/>
    <w:rsid w:val="00A316DD"/>
    <w:rsid w:val="00A31A4C"/>
    <w:rsid w:val="00A3215B"/>
    <w:rsid w:val="00A324B1"/>
    <w:rsid w:val="00A32763"/>
    <w:rsid w:val="00A33C5A"/>
    <w:rsid w:val="00A34253"/>
    <w:rsid w:val="00A34548"/>
    <w:rsid w:val="00A34AB6"/>
    <w:rsid w:val="00A35241"/>
    <w:rsid w:val="00A355F5"/>
    <w:rsid w:val="00A3612D"/>
    <w:rsid w:val="00A3619D"/>
    <w:rsid w:val="00A36ABE"/>
    <w:rsid w:val="00A376D4"/>
    <w:rsid w:val="00A37C2B"/>
    <w:rsid w:val="00A37D74"/>
    <w:rsid w:val="00A37D88"/>
    <w:rsid w:val="00A402C5"/>
    <w:rsid w:val="00A405AA"/>
    <w:rsid w:val="00A40756"/>
    <w:rsid w:val="00A408B6"/>
    <w:rsid w:val="00A40F8D"/>
    <w:rsid w:val="00A41113"/>
    <w:rsid w:val="00A41AC6"/>
    <w:rsid w:val="00A41B4E"/>
    <w:rsid w:val="00A41C67"/>
    <w:rsid w:val="00A42607"/>
    <w:rsid w:val="00A42B9F"/>
    <w:rsid w:val="00A42D1E"/>
    <w:rsid w:val="00A42D75"/>
    <w:rsid w:val="00A42ECA"/>
    <w:rsid w:val="00A43734"/>
    <w:rsid w:val="00A4409B"/>
    <w:rsid w:val="00A4424F"/>
    <w:rsid w:val="00A4485F"/>
    <w:rsid w:val="00A449D8"/>
    <w:rsid w:val="00A44B06"/>
    <w:rsid w:val="00A44B38"/>
    <w:rsid w:val="00A44CCE"/>
    <w:rsid w:val="00A4551F"/>
    <w:rsid w:val="00A46035"/>
    <w:rsid w:val="00A465CB"/>
    <w:rsid w:val="00A46663"/>
    <w:rsid w:val="00A46C19"/>
    <w:rsid w:val="00A46C21"/>
    <w:rsid w:val="00A47077"/>
    <w:rsid w:val="00A47784"/>
    <w:rsid w:val="00A479F2"/>
    <w:rsid w:val="00A47E59"/>
    <w:rsid w:val="00A47F42"/>
    <w:rsid w:val="00A47FB1"/>
    <w:rsid w:val="00A5012B"/>
    <w:rsid w:val="00A5029E"/>
    <w:rsid w:val="00A50334"/>
    <w:rsid w:val="00A50600"/>
    <w:rsid w:val="00A50A51"/>
    <w:rsid w:val="00A50C78"/>
    <w:rsid w:val="00A510E3"/>
    <w:rsid w:val="00A516AB"/>
    <w:rsid w:val="00A51E2D"/>
    <w:rsid w:val="00A529B7"/>
    <w:rsid w:val="00A531CB"/>
    <w:rsid w:val="00A532F5"/>
    <w:rsid w:val="00A533FB"/>
    <w:rsid w:val="00A53F8C"/>
    <w:rsid w:val="00A54C1E"/>
    <w:rsid w:val="00A55011"/>
    <w:rsid w:val="00A5515F"/>
    <w:rsid w:val="00A55471"/>
    <w:rsid w:val="00A55556"/>
    <w:rsid w:val="00A5594F"/>
    <w:rsid w:val="00A55C0C"/>
    <w:rsid w:val="00A5619F"/>
    <w:rsid w:val="00A561E8"/>
    <w:rsid w:val="00A5649E"/>
    <w:rsid w:val="00A57047"/>
    <w:rsid w:val="00A57168"/>
    <w:rsid w:val="00A57487"/>
    <w:rsid w:val="00A576FC"/>
    <w:rsid w:val="00A57722"/>
    <w:rsid w:val="00A578B3"/>
    <w:rsid w:val="00A57DC5"/>
    <w:rsid w:val="00A57E05"/>
    <w:rsid w:val="00A57EB2"/>
    <w:rsid w:val="00A600ED"/>
    <w:rsid w:val="00A602A6"/>
    <w:rsid w:val="00A60707"/>
    <w:rsid w:val="00A6128D"/>
    <w:rsid w:val="00A61516"/>
    <w:rsid w:val="00A616F8"/>
    <w:rsid w:val="00A619E2"/>
    <w:rsid w:val="00A61BC0"/>
    <w:rsid w:val="00A6230F"/>
    <w:rsid w:val="00A627AB"/>
    <w:rsid w:val="00A63259"/>
    <w:rsid w:val="00A634C7"/>
    <w:rsid w:val="00A6386E"/>
    <w:rsid w:val="00A63CC0"/>
    <w:rsid w:val="00A63D63"/>
    <w:rsid w:val="00A64922"/>
    <w:rsid w:val="00A64F98"/>
    <w:rsid w:val="00A654D3"/>
    <w:rsid w:val="00A657B6"/>
    <w:rsid w:val="00A65F88"/>
    <w:rsid w:val="00A662B9"/>
    <w:rsid w:val="00A66760"/>
    <w:rsid w:val="00A66E83"/>
    <w:rsid w:val="00A67274"/>
    <w:rsid w:val="00A67BE3"/>
    <w:rsid w:val="00A67D78"/>
    <w:rsid w:val="00A70074"/>
    <w:rsid w:val="00A700E3"/>
    <w:rsid w:val="00A704BD"/>
    <w:rsid w:val="00A705F6"/>
    <w:rsid w:val="00A70AE3"/>
    <w:rsid w:val="00A70B82"/>
    <w:rsid w:val="00A711FE"/>
    <w:rsid w:val="00A71629"/>
    <w:rsid w:val="00A7164A"/>
    <w:rsid w:val="00A71696"/>
    <w:rsid w:val="00A71CE8"/>
    <w:rsid w:val="00A721A0"/>
    <w:rsid w:val="00A72524"/>
    <w:rsid w:val="00A72886"/>
    <w:rsid w:val="00A72DA0"/>
    <w:rsid w:val="00A73C77"/>
    <w:rsid w:val="00A74B21"/>
    <w:rsid w:val="00A7535A"/>
    <w:rsid w:val="00A758FF"/>
    <w:rsid w:val="00A766A5"/>
    <w:rsid w:val="00A766B3"/>
    <w:rsid w:val="00A774A0"/>
    <w:rsid w:val="00A7751A"/>
    <w:rsid w:val="00A77886"/>
    <w:rsid w:val="00A77E3A"/>
    <w:rsid w:val="00A77F35"/>
    <w:rsid w:val="00A77F72"/>
    <w:rsid w:val="00A80B55"/>
    <w:rsid w:val="00A80D0D"/>
    <w:rsid w:val="00A810D4"/>
    <w:rsid w:val="00A811EC"/>
    <w:rsid w:val="00A818CD"/>
    <w:rsid w:val="00A81E40"/>
    <w:rsid w:val="00A82E13"/>
    <w:rsid w:val="00A82F47"/>
    <w:rsid w:val="00A831D2"/>
    <w:rsid w:val="00A833B6"/>
    <w:rsid w:val="00A834AF"/>
    <w:rsid w:val="00A83739"/>
    <w:rsid w:val="00A83AD3"/>
    <w:rsid w:val="00A83F8D"/>
    <w:rsid w:val="00A843FA"/>
    <w:rsid w:val="00A8478D"/>
    <w:rsid w:val="00A847E6"/>
    <w:rsid w:val="00A84E0D"/>
    <w:rsid w:val="00A85AB9"/>
    <w:rsid w:val="00A85E1F"/>
    <w:rsid w:val="00A86109"/>
    <w:rsid w:val="00A864C7"/>
    <w:rsid w:val="00A869B4"/>
    <w:rsid w:val="00A86F1C"/>
    <w:rsid w:val="00A87050"/>
    <w:rsid w:val="00A870CC"/>
    <w:rsid w:val="00A87686"/>
    <w:rsid w:val="00A87E06"/>
    <w:rsid w:val="00A90106"/>
    <w:rsid w:val="00A903E8"/>
    <w:rsid w:val="00A9048D"/>
    <w:rsid w:val="00A90522"/>
    <w:rsid w:val="00A90894"/>
    <w:rsid w:val="00A90FD3"/>
    <w:rsid w:val="00A912C7"/>
    <w:rsid w:val="00A91368"/>
    <w:rsid w:val="00A91942"/>
    <w:rsid w:val="00A91C76"/>
    <w:rsid w:val="00A91D60"/>
    <w:rsid w:val="00A91D71"/>
    <w:rsid w:val="00A9240B"/>
    <w:rsid w:val="00A9244F"/>
    <w:rsid w:val="00A925F9"/>
    <w:rsid w:val="00A92AB0"/>
    <w:rsid w:val="00A938E5"/>
    <w:rsid w:val="00A9391D"/>
    <w:rsid w:val="00A93D44"/>
    <w:rsid w:val="00A9426A"/>
    <w:rsid w:val="00A944B0"/>
    <w:rsid w:val="00A94600"/>
    <w:rsid w:val="00A9496D"/>
    <w:rsid w:val="00A94EB9"/>
    <w:rsid w:val="00A95196"/>
    <w:rsid w:val="00A95284"/>
    <w:rsid w:val="00A95450"/>
    <w:rsid w:val="00A9554D"/>
    <w:rsid w:val="00A95578"/>
    <w:rsid w:val="00A95A6F"/>
    <w:rsid w:val="00A96136"/>
    <w:rsid w:val="00A96170"/>
    <w:rsid w:val="00A96DF4"/>
    <w:rsid w:val="00A96EB1"/>
    <w:rsid w:val="00A9706F"/>
    <w:rsid w:val="00A97740"/>
    <w:rsid w:val="00A97B14"/>
    <w:rsid w:val="00AA026A"/>
    <w:rsid w:val="00AA084D"/>
    <w:rsid w:val="00AA0E6B"/>
    <w:rsid w:val="00AA1F3D"/>
    <w:rsid w:val="00AA209E"/>
    <w:rsid w:val="00AA21CC"/>
    <w:rsid w:val="00AA27D2"/>
    <w:rsid w:val="00AA302F"/>
    <w:rsid w:val="00AA3587"/>
    <w:rsid w:val="00AA3B88"/>
    <w:rsid w:val="00AA55A1"/>
    <w:rsid w:val="00AA5819"/>
    <w:rsid w:val="00AA6004"/>
    <w:rsid w:val="00AA621E"/>
    <w:rsid w:val="00AA6302"/>
    <w:rsid w:val="00AA63CC"/>
    <w:rsid w:val="00AA65DD"/>
    <w:rsid w:val="00AA666D"/>
    <w:rsid w:val="00AA67D8"/>
    <w:rsid w:val="00AA7884"/>
    <w:rsid w:val="00AA7960"/>
    <w:rsid w:val="00AB00D4"/>
    <w:rsid w:val="00AB02C9"/>
    <w:rsid w:val="00AB0363"/>
    <w:rsid w:val="00AB0777"/>
    <w:rsid w:val="00AB0BE1"/>
    <w:rsid w:val="00AB0E26"/>
    <w:rsid w:val="00AB0F5E"/>
    <w:rsid w:val="00AB1252"/>
    <w:rsid w:val="00AB12EF"/>
    <w:rsid w:val="00AB18B6"/>
    <w:rsid w:val="00AB1A79"/>
    <w:rsid w:val="00AB1B6D"/>
    <w:rsid w:val="00AB1D9C"/>
    <w:rsid w:val="00AB1EA0"/>
    <w:rsid w:val="00AB26ED"/>
    <w:rsid w:val="00AB27CC"/>
    <w:rsid w:val="00AB284B"/>
    <w:rsid w:val="00AB366D"/>
    <w:rsid w:val="00AB37DB"/>
    <w:rsid w:val="00AB3972"/>
    <w:rsid w:val="00AB3E1B"/>
    <w:rsid w:val="00AB4A85"/>
    <w:rsid w:val="00AB4AAE"/>
    <w:rsid w:val="00AB5DA6"/>
    <w:rsid w:val="00AB5F8F"/>
    <w:rsid w:val="00AB65CF"/>
    <w:rsid w:val="00AB6D97"/>
    <w:rsid w:val="00AB6F54"/>
    <w:rsid w:val="00AB6FF3"/>
    <w:rsid w:val="00AB7788"/>
    <w:rsid w:val="00AB77BB"/>
    <w:rsid w:val="00AB7F41"/>
    <w:rsid w:val="00AC0AD1"/>
    <w:rsid w:val="00AC0C9E"/>
    <w:rsid w:val="00AC0E3A"/>
    <w:rsid w:val="00AC141D"/>
    <w:rsid w:val="00AC155E"/>
    <w:rsid w:val="00AC160A"/>
    <w:rsid w:val="00AC1943"/>
    <w:rsid w:val="00AC19E2"/>
    <w:rsid w:val="00AC219A"/>
    <w:rsid w:val="00AC22A7"/>
    <w:rsid w:val="00AC240D"/>
    <w:rsid w:val="00AC295C"/>
    <w:rsid w:val="00AC2B48"/>
    <w:rsid w:val="00AC3F6A"/>
    <w:rsid w:val="00AC41BB"/>
    <w:rsid w:val="00AC4682"/>
    <w:rsid w:val="00AC4CEF"/>
    <w:rsid w:val="00AC57AD"/>
    <w:rsid w:val="00AC58DF"/>
    <w:rsid w:val="00AC5A31"/>
    <w:rsid w:val="00AC6467"/>
    <w:rsid w:val="00AC6823"/>
    <w:rsid w:val="00AC6B8D"/>
    <w:rsid w:val="00AC7DF4"/>
    <w:rsid w:val="00AD002D"/>
    <w:rsid w:val="00AD0271"/>
    <w:rsid w:val="00AD0A18"/>
    <w:rsid w:val="00AD0D6B"/>
    <w:rsid w:val="00AD11D1"/>
    <w:rsid w:val="00AD1509"/>
    <w:rsid w:val="00AD16EC"/>
    <w:rsid w:val="00AD1C96"/>
    <w:rsid w:val="00AD1D30"/>
    <w:rsid w:val="00AD20EA"/>
    <w:rsid w:val="00AD23E8"/>
    <w:rsid w:val="00AD2676"/>
    <w:rsid w:val="00AD2724"/>
    <w:rsid w:val="00AD2B51"/>
    <w:rsid w:val="00AD2E52"/>
    <w:rsid w:val="00AD3073"/>
    <w:rsid w:val="00AD3924"/>
    <w:rsid w:val="00AD3A56"/>
    <w:rsid w:val="00AD4613"/>
    <w:rsid w:val="00AD4A1A"/>
    <w:rsid w:val="00AD4BBD"/>
    <w:rsid w:val="00AD4EC1"/>
    <w:rsid w:val="00AD5A80"/>
    <w:rsid w:val="00AD67B1"/>
    <w:rsid w:val="00AD6B0A"/>
    <w:rsid w:val="00AD7003"/>
    <w:rsid w:val="00AD7330"/>
    <w:rsid w:val="00AD790D"/>
    <w:rsid w:val="00AD7A92"/>
    <w:rsid w:val="00AD7F69"/>
    <w:rsid w:val="00AD7F6E"/>
    <w:rsid w:val="00AE0C27"/>
    <w:rsid w:val="00AE194D"/>
    <w:rsid w:val="00AE2328"/>
    <w:rsid w:val="00AE242B"/>
    <w:rsid w:val="00AE2732"/>
    <w:rsid w:val="00AE27A0"/>
    <w:rsid w:val="00AE294F"/>
    <w:rsid w:val="00AE2B78"/>
    <w:rsid w:val="00AE2E0C"/>
    <w:rsid w:val="00AE3D55"/>
    <w:rsid w:val="00AE4312"/>
    <w:rsid w:val="00AE483F"/>
    <w:rsid w:val="00AE4F87"/>
    <w:rsid w:val="00AE53C2"/>
    <w:rsid w:val="00AE55CB"/>
    <w:rsid w:val="00AE55E6"/>
    <w:rsid w:val="00AE5695"/>
    <w:rsid w:val="00AE5994"/>
    <w:rsid w:val="00AE5B0A"/>
    <w:rsid w:val="00AE5F42"/>
    <w:rsid w:val="00AE6018"/>
    <w:rsid w:val="00AE6753"/>
    <w:rsid w:val="00AE6764"/>
    <w:rsid w:val="00AE6AF1"/>
    <w:rsid w:val="00AE6D3E"/>
    <w:rsid w:val="00AE6DD4"/>
    <w:rsid w:val="00AE7176"/>
    <w:rsid w:val="00AE7220"/>
    <w:rsid w:val="00AE7681"/>
    <w:rsid w:val="00AE7BCA"/>
    <w:rsid w:val="00AE7E42"/>
    <w:rsid w:val="00AF03AA"/>
    <w:rsid w:val="00AF03C9"/>
    <w:rsid w:val="00AF04D7"/>
    <w:rsid w:val="00AF05A7"/>
    <w:rsid w:val="00AF085C"/>
    <w:rsid w:val="00AF098E"/>
    <w:rsid w:val="00AF0A3D"/>
    <w:rsid w:val="00AF0DF3"/>
    <w:rsid w:val="00AF12F4"/>
    <w:rsid w:val="00AF1EA9"/>
    <w:rsid w:val="00AF2426"/>
    <w:rsid w:val="00AF2905"/>
    <w:rsid w:val="00AF33BA"/>
    <w:rsid w:val="00AF378E"/>
    <w:rsid w:val="00AF3D00"/>
    <w:rsid w:val="00AF3D34"/>
    <w:rsid w:val="00AF40CA"/>
    <w:rsid w:val="00AF4259"/>
    <w:rsid w:val="00AF4573"/>
    <w:rsid w:val="00AF4A5D"/>
    <w:rsid w:val="00AF5301"/>
    <w:rsid w:val="00AF55B9"/>
    <w:rsid w:val="00AF58C2"/>
    <w:rsid w:val="00AF5A5D"/>
    <w:rsid w:val="00AF633D"/>
    <w:rsid w:val="00AF67DB"/>
    <w:rsid w:val="00AF6F9D"/>
    <w:rsid w:val="00AF70D3"/>
    <w:rsid w:val="00AF738B"/>
    <w:rsid w:val="00B000D7"/>
    <w:rsid w:val="00B02338"/>
    <w:rsid w:val="00B0238D"/>
    <w:rsid w:val="00B0260F"/>
    <w:rsid w:val="00B02999"/>
    <w:rsid w:val="00B037D2"/>
    <w:rsid w:val="00B03C50"/>
    <w:rsid w:val="00B03E72"/>
    <w:rsid w:val="00B04E93"/>
    <w:rsid w:val="00B05269"/>
    <w:rsid w:val="00B052C0"/>
    <w:rsid w:val="00B0575A"/>
    <w:rsid w:val="00B05DAB"/>
    <w:rsid w:val="00B0650A"/>
    <w:rsid w:val="00B06E8D"/>
    <w:rsid w:val="00B07611"/>
    <w:rsid w:val="00B07F9B"/>
    <w:rsid w:val="00B1022B"/>
    <w:rsid w:val="00B10449"/>
    <w:rsid w:val="00B1076D"/>
    <w:rsid w:val="00B107AE"/>
    <w:rsid w:val="00B107B2"/>
    <w:rsid w:val="00B10B1B"/>
    <w:rsid w:val="00B10C5D"/>
    <w:rsid w:val="00B10FD9"/>
    <w:rsid w:val="00B1251B"/>
    <w:rsid w:val="00B12B7C"/>
    <w:rsid w:val="00B13684"/>
    <w:rsid w:val="00B13D52"/>
    <w:rsid w:val="00B140C6"/>
    <w:rsid w:val="00B14154"/>
    <w:rsid w:val="00B146D6"/>
    <w:rsid w:val="00B14E58"/>
    <w:rsid w:val="00B154EE"/>
    <w:rsid w:val="00B15CF5"/>
    <w:rsid w:val="00B16198"/>
    <w:rsid w:val="00B163F1"/>
    <w:rsid w:val="00B1647B"/>
    <w:rsid w:val="00B166E5"/>
    <w:rsid w:val="00B16953"/>
    <w:rsid w:val="00B16E64"/>
    <w:rsid w:val="00B16E72"/>
    <w:rsid w:val="00B17DBC"/>
    <w:rsid w:val="00B17DE6"/>
    <w:rsid w:val="00B206DF"/>
    <w:rsid w:val="00B20BF6"/>
    <w:rsid w:val="00B20FDA"/>
    <w:rsid w:val="00B21487"/>
    <w:rsid w:val="00B21C58"/>
    <w:rsid w:val="00B22B6B"/>
    <w:rsid w:val="00B22EE7"/>
    <w:rsid w:val="00B2328D"/>
    <w:rsid w:val="00B236D8"/>
    <w:rsid w:val="00B23C5F"/>
    <w:rsid w:val="00B24AC7"/>
    <w:rsid w:val="00B24B40"/>
    <w:rsid w:val="00B24C0E"/>
    <w:rsid w:val="00B24DC1"/>
    <w:rsid w:val="00B24FA9"/>
    <w:rsid w:val="00B25ADA"/>
    <w:rsid w:val="00B25C8D"/>
    <w:rsid w:val="00B25EDF"/>
    <w:rsid w:val="00B26401"/>
    <w:rsid w:val="00B26936"/>
    <w:rsid w:val="00B2695E"/>
    <w:rsid w:val="00B26984"/>
    <w:rsid w:val="00B26C8B"/>
    <w:rsid w:val="00B306FB"/>
    <w:rsid w:val="00B30782"/>
    <w:rsid w:val="00B30867"/>
    <w:rsid w:val="00B30E66"/>
    <w:rsid w:val="00B31306"/>
    <w:rsid w:val="00B3246C"/>
    <w:rsid w:val="00B324FF"/>
    <w:rsid w:val="00B325FB"/>
    <w:rsid w:val="00B32825"/>
    <w:rsid w:val="00B32A3A"/>
    <w:rsid w:val="00B32A51"/>
    <w:rsid w:val="00B32CF9"/>
    <w:rsid w:val="00B32FA4"/>
    <w:rsid w:val="00B33421"/>
    <w:rsid w:val="00B35244"/>
    <w:rsid w:val="00B3528E"/>
    <w:rsid w:val="00B354C3"/>
    <w:rsid w:val="00B3718C"/>
    <w:rsid w:val="00B37196"/>
    <w:rsid w:val="00B37379"/>
    <w:rsid w:val="00B37483"/>
    <w:rsid w:val="00B40746"/>
    <w:rsid w:val="00B40CA3"/>
    <w:rsid w:val="00B41468"/>
    <w:rsid w:val="00B414E3"/>
    <w:rsid w:val="00B41B38"/>
    <w:rsid w:val="00B41E93"/>
    <w:rsid w:val="00B425E3"/>
    <w:rsid w:val="00B42639"/>
    <w:rsid w:val="00B42C29"/>
    <w:rsid w:val="00B42DB8"/>
    <w:rsid w:val="00B43598"/>
    <w:rsid w:val="00B439CB"/>
    <w:rsid w:val="00B43ADC"/>
    <w:rsid w:val="00B44113"/>
    <w:rsid w:val="00B44234"/>
    <w:rsid w:val="00B44655"/>
    <w:rsid w:val="00B44948"/>
    <w:rsid w:val="00B44E3A"/>
    <w:rsid w:val="00B4537C"/>
    <w:rsid w:val="00B457A0"/>
    <w:rsid w:val="00B45811"/>
    <w:rsid w:val="00B45A34"/>
    <w:rsid w:val="00B45B80"/>
    <w:rsid w:val="00B45C6E"/>
    <w:rsid w:val="00B45DF1"/>
    <w:rsid w:val="00B45DF6"/>
    <w:rsid w:val="00B45FEE"/>
    <w:rsid w:val="00B46014"/>
    <w:rsid w:val="00B46F0C"/>
    <w:rsid w:val="00B47085"/>
    <w:rsid w:val="00B4745D"/>
    <w:rsid w:val="00B479A4"/>
    <w:rsid w:val="00B47D21"/>
    <w:rsid w:val="00B47DF0"/>
    <w:rsid w:val="00B50B5A"/>
    <w:rsid w:val="00B50F3B"/>
    <w:rsid w:val="00B51824"/>
    <w:rsid w:val="00B51918"/>
    <w:rsid w:val="00B51982"/>
    <w:rsid w:val="00B51DDF"/>
    <w:rsid w:val="00B520A8"/>
    <w:rsid w:val="00B521DC"/>
    <w:rsid w:val="00B537CB"/>
    <w:rsid w:val="00B53B47"/>
    <w:rsid w:val="00B542C2"/>
    <w:rsid w:val="00B54894"/>
    <w:rsid w:val="00B549DD"/>
    <w:rsid w:val="00B54B41"/>
    <w:rsid w:val="00B554C5"/>
    <w:rsid w:val="00B554D7"/>
    <w:rsid w:val="00B55C14"/>
    <w:rsid w:val="00B55CC5"/>
    <w:rsid w:val="00B5604F"/>
    <w:rsid w:val="00B56B52"/>
    <w:rsid w:val="00B57826"/>
    <w:rsid w:val="00B57AC4"/>
    <w:rsid w:val="00B57C03"/>
    <w:rsid w:val="00B6017B"/>
    <w:rsid w:val="00B602DE"/>
    <w:rsid w:val="00B60332"/>
    <w:rsid w:val="00B60361"/>
    <w:rsid w:val="00B603F0"/>
    <w:rsid w:val="00B60E79"/>
    <w:rsid w:val="00B60EA5"/>
    <w:rsid w:val="00B61396"/>
    <w:rsid w:val="00B61B92"/>
    <w:rsid w:val="00B61BD9"/>
    <w:rsid w:val="00B62044"/>
    <w:rsid w:val="00B625F2"/>
    <w:rsid w:val="00B63260"/>
    <w:rsid w:val="00B6378B"/>
    <w:rsid w:val="00B64CD5"/>
    <w:rsid w:val="00B64E23"/>
    <w:rsid w:val="00B65C1A"/>
    <w:rsid w:val="00B65FC2"/>
    <w:rsid w:val="00B66009"/>
    <w:rsid w:val="00B661AF"/>
    <w:rsid w:val="00B66AB5"/>
    <w:rsid w:val="00B66CF5"/>
    <w:rsid w:val="00B67070"/>
    <w:rsid w:val="00B6723E"/>
    <w:rsid w:val="00B67288"/>
    <w:rsid w:val="00B6781F"/>
    <w:rsid w:val="00B67CF2"/>
    <w:rsid w:val="00B67E41"/>
    <w:rsid w:val="00B700DE"/>
    <w:rsid w:val="00B7012E"/>
    <w:rsid w:val="00B70488"/>
    <w:rsid w:val="00B705A3"/>
    <w:rsid w:val="00B7068F"/>
    <w:rsid w:val="00B709CB"/>
    <w:rsid w:val="00B70DDB"/>
    <w:rsid w:val="00B70F9E"/>
    <w:rsid w:val="00B71417"/>
    <w:rsid w:val="00B719B4"/>
    <w:rsid w:val="00B71AD4"/>
    <w:rsid w:val="00B71CD7"/>
    <w:rsid w:val="00B72283"/>
    <w:rsid w:val="00B72396"/>
    <w:rsid w:val="00B724F2"/>
    <w:rsid w:val="00B725C9"/>
    <w:rsid w:val="00B72926"/>
    <w:rsid w:val="00B7361E"/>
    <w:rsid w:val="00B7365E"/>
    <w:rsid w:val="00B736E9"/>
    <w:rsid w:val="00B73B26"/>
    <w:rsid w:val="00B73DF5"/>
    <w:rsid w:val="00B7400D"/>
    <w:rsid w:val="00B74542"/>
    <w:rsid w:val="00B746E5"/>
    <w:rsid w:val="00B747B5"/>
    <w:rsid w:val="00B74E87"/>
    <w:rsid w:val="00B7511D"/>
    <w:rsid w:val="00B754AC"/>
    <w:rsid w:val="00B75838"/>
    <w:rsid w:val="00B7594E"/>
    <w:rsid w:val="00B75B4F"/>
    <w:rsid w:val="00B764C3"/>
    <w:rsid w:val="00B765C4"/>
    <w:rsid w:val="00B769A0"/>
    <w:rsid w:val="00B77001"/>
    <w:rsid w:val="00B77C2F"/>
    <w:rsid w:val="00B80029"/>
    <w:rsid w:val="00B80120"/>
    <w:rsid w:val="00B801E6"/>
    <w:rsid w:val="00B8108E"/>
    <w:rsid w:val="00B8109B"/>
    <w:rsid w:val="00B81A0E"/>
    <w:rsid w:val="00B81C23"/>
    <w:rsid w:val="00B820FB"/>
    <w:rsid w:val="00B826AD"/>
    <w:rsid w:val="00B82BD4"/>
    <w:rsid w:val="00B82C62"/>
    <w:rsid w:val="00B82CE9"/>
    <w:rsid w:val="00B82DE5"/>
    <w:rsid w:val="00B82F0F"/>
    <w:rsid w:val="00B83201"/>
    <w:rsid w:val="00B832BB"/>
    <w:rsid w:val="00B8334B"/>
    <w:rsid w:val="00B8383B"/>
    <w:rsid w:val="00B83D58"/>
    <w:rsid w:val="00B83F4D"/>
    <w:rsid w:val="00B8473C"/>
    <w:rsid w:val="00B84AAB"/>
    <w:rsid w:val="00B84F10"/>
    <w:rsid w:val="00B84F4E"/>
    <w:rsid w:val="00B85820"/>
    <w:rsid w:val="00B858C6"/>
    <w:rsid w:val="00B85ECD"/>
    <w:rsid w:val="00B865B5"/>
    <w:rsid w:val="00B87159"/>
    <w:rsid w:val="00B87216"/>
    <w:rsid w:val="00B8721F"/>
    <w:rsid w:val="00B873DD"/>
    <w:rsid w:val="00B87694"/>
    <w:rsid w:val="00B877AD"/>
    <w:rsid w:val="00B87849"/>
    <w:rsid w:val="00B8796A"/>
    <w:rsid w:val="00B87A35"/>
    <w:rsid w:val="00B87BA2"/>
    <w:rsid w:val="00B901D7"/>
    <w:rsid w:val="00B90A84"/>
    <w:rsid w:val="00B90C69"/>
    <w:rsid w:val="00B91040"/>
    <w:rsid w:val="00B915C6"/>
    <w:rsid w:val="00B91793"/>
    <w:rsid w:val="00B917B1"/>
    <w:rsid w:val="00B91FE5"/>
    <w:rsid w:val="00B92231"/>
    <w:rsid w:val="00B92927"/>
    <w:rsid w:val="00B9332D"/>
    <w:rsid w:val="00B93551"/>
    <w:rsid w:val="00B936DB"/>
    <w:rsid w:val="00B936EA"/>
    <w:rsid w:val="00B93738"/>
    <w:rsid w:val="00B93A3B"/>
    <w:rsid w:val="00B943F6"/>
    <w:rsid w:val="00B95336"/>
    <w:rsid w:val="00B95754"/>
    <w:rsid w:val="00B959DF"/>
    <w:rsid w:val="00B95BEF"/>
    <w:rsid w:val="00B95CF6"/>
    <w:rsid w:val="00B96090"/>
    <w:rsid w:val="00B96466"/>
    <w:rsid w:val="00B966F6"/>
    <w:rsid w:val="00B969E9"/>
    <w:rsid w:val="00B96B14"/>
    <w:rsid w:val="00B97413"/>
    <w:rsid w:val="00B974A4"/>
    <w:rsid w:val="00B979C8"/>
    <w:rsid w:val="00B97A0B"/>
    <w:rsid w:val="00B97AAC"/>
    <w:rsid w:val="00B97CEF"/>
    <w:rsid w:val="00B97FC7"/>
    <w:rsid w:val="00BA01F9"/>
    <w:rsid w:val="00BA0410"/>
    <w:rsid w:val="00BA100F"/>
    <w:rsid w:val="00BA1A4A"/>
    <w:rsid w:val="00BA1CE0"/>
    <w:rsid w:val="00BA26FC"/>
    <w:rsid w:val="00BA282D"/>
    <w:rsid w:val="00BA2B5A"/>
    <w:rsid w:val="00BA2D3D"/>
    <w:rsid w:val="00BA2D6D"/>
    <w:rsid w:val="00BA32DD"/>
    <w:rsid w:val="00BA3659"/>
    <w:rsid w:val="00BA3781"/>
    <w:rsid w:val="00BA3AC8"/>
    <w:rsid w:val="00BA43A0"/>
    <w:rsid w:val="00BA4417"/>
    <w:rsid w:val="00BA46C1"/>
    <w:rsid w:val="00BA54A8"/>
    <w:rsid w:val="00BA54C6"/>
    <w:rsid w:val="00BA5508"/>
    <w:rsid w:val="00BA5BDD"/>
    <w:rsid w:val="00BA5CF5"/>
    <w:rsid w:val="00BA66F4"/>
    <w:rsid w:val="00BA6957"/>
    <w:rsid w:val="00BA6993"/>
    <w:rsid w:val="00BA6E6D"/>
    <w:rsid w:val="00BA7315"/>
    <w:rsid w:val="00BA7618"/>
    <w:rsid w:val="00BA7850"/>
    <w:rsid w:val="00BB0105"/>
    <w:rsid w:val="00BB0A48"/>
    <w:rsid w:val="00BB103A"/>
    <w:rsid w:val="00BB2085"/>
    <w:rsid w:val="00BB209F"/>
    <w:rsid w:val="00BB2129"/>
    <w:rsid w:val="00BB237D"/>
    <w:rsid w:val="00BB2E0A"/>
    <w:rsid w:val="00BB35BF"/>
    <w:rsid w:val="00BB3E41"/>
    <w:rsid w:val="00BB4069"/>
    <w:rsid w:val="00BB41DC"/>
    <w:rsid w:val="00BB42E0"/>
    <w:rsid w:val="00BB44A7"/>
    <w:rsid w:val="00BB468C"/>
    <w:rsid w:val="00BB4732"/>
    <w:rsid w:val="00BB4D49"/>
    <w:rsid w:val="00BB51B3"/>
    <w:rsid w:val="00BB55AD"/>
    <w:rsid w:val="00BB5A74"/>
    <w:rsid w:val="00BB5CFD"/>
    <w:rsid w:val="00BB5EC1"/>
    <w:rsid w:val="00BB5F06"/>
    <w:rsid w:val="00BB5F6E"/>
    <w:rsid w:val="00BB62FD"/>
    <w:rsid w:val="00BB6B5A"/>
    <w:rsid w:val="00BB6FAD"/>
    <w:rsid w:val="00BB72B2"/>
    <w:rsid w:val="00BB737A"/>
    <w:rsid w:val="00BC015E"/>
    <w:rsid w:val="00BC0CD1"/>
    <w:rsid w:val="00BC0D47"/>
    <w:rsid w:val="00BC0E65"/>
    <w:rsid w:val="00BC0F16"/>
    <w:rsid w:val="00BC1420"/>
    <w:rsid w:val="00BC1650"/>
    <w:rsid w:val="00BC17B8"/>
    <w:rsid w:val="00BC2445"/>
    <w:rsid w:val="00BC2B37"/>
    <w:rsid w:val="00BC2B65"/>
    <w:rsid w:val="00BC3B5D"/>
    <w:rsid w:val="00BC3D8E"/>
    <w:rsid w:val="00BC3D93"/>
    <w:rsid w:val="00BC463D"/>
    <w:rsid w:val="00BC4C71"/>
    <w:rsid w:val="00BC50E9"/>
    <w:rsid w:val="00BC538C"/>
    <w:rsid w:val="00BC54B7"/>
    <w:rsid w:val="00BC56EA"/>
    <w:rsid w:val="00BC57CA"/>
    <w:rsid w:val="00BC5F0D"/>
    <w:rsid w:val="00BC6B21"/>
    <w:rsid w:val="00BC6CF0"/>
    <w:rsid w:val="00BC7817"/>
    <w:rsid w:val="00BC7B97"/>
    <w:rsid w:val="00BC7C73"/>
    <w:rsid w:val="00BD007E"/>
    <w:rsid w:val="00BD06E5"/>
    <w:rsid w:val="00BD0B8A"/>
    <w:rsid w:val="00BD1898"/>
    <w:rsid w:val="00BD19DF"/>
    <w:rsid w:val="00BD21DF"/>
    <w:rsid w:val="00BD24AD"/>
    <w:rsid w:val="00BD2B33"/>
    <w:rsid w:val="00BD38DE"/>
    <w:rsid w:val="00BD40A8"/>
    <w:rsid w:val="00BD4518"/>
    <w:rsid w:val="00BD4708"/>
    <w:rsid w:val="00BD4B30"/>
    <w:rsid w:val="00BD4CA3"/>
    <w:rsid w:val="00BD5004"/>
    <w:rsid w:val="00BD52C8"/>
    <w:rsid w:val="00BD535A"/>
    <w:rsid w:val="00BD58B9"/>
    <w:rsid w:val="00BD5BBB"/>
    <w:rsid w:val="00BD5DA0"/>
    <w:rsid w:val="00BD62C7"/>
    <w:rsid w:val="00BD6B80"/>
    <w:rsid w:val="00BD6CB5"/>
    <w:rsid w:val="00BD6EDF"/>
    <w:rsid w:val="00BD78C6"/>
    <w:rsid w:val="00BD7C6C"/>
    <w:rsid w:val="00BE0B46"/>
    <w:rsid w:val="00BE0B9B"/>
    <w:rsid w:val="00BE0F54"/>
    <w:rsid w:val="00BE15AC"/>
    <w:rsid w:val="00BE1856"/>
    <w:rsid w:val="00BE188A"/>
    <w:rsid w:val="00BE1C47"/>
    <w:rsid w:val="00BE1C9F"/>
    <w:rsid w:val="00BE1DA2"/>
    <w:rsid w:val="00BE1FC5"/>
    <w:rsid w:val="00BE2725"/>
    <w:rsid w:val="00BE2CAB"/>
    <w:rsid w:val="00BE2DB5"/>
    <w:rsid w:val="00BE2F61"/>
    <w:rsid w:val="00BE2FF3"/>
    <w:rsid w:val="00BE382F"/>
    <w:rsid w:val="00BE3F8F"/>
    <w:rsid w:val="00BE4013"/>
    <w:rsid w:val="00BE42E5"/>
    <w:rsid w:val="00BE430B"/>
    <w:rsid w:val="00BE4CD1"/>
    <w:rsid w:val="00BE4FDE"/>
    <w:rsid w:val="00BE518E"/>
    <w:rsid w:val="00BE56D0"/>
    <w:rsid w:val="00BE5D6B"/>
    <w:rsid w:val="00BE5D98"/>
    <w:rsid w:val="00BE6B85"/>
    <w:rsid w:val="00BE6E03"/>
    <w:rsid w:val="00BE7167"/>
    <w:rsid w:val="00BE748F"/>
    <w:rsid w:val="00BE7A52"/>
    <w:rsid w:val="00BE7DB5"/>
    <w:rsid w:val="00BF0102"/>
    <w:rsid w:val="00BF0193"/>
    <w:rsid w:val="00BF037D"/>
    <w:rsid w:val="00BF096E"/>
    <w:rsid w:val="00BF11EE"/>
    <w:rsid w:val="00BF1FEA"/>
    <w:rsid w:val="00BF2195"/>
    <w:rsid w:val="00BF2233"/>
    <w:rsid w:val="00BF256F"/>
    <w:rsid w:val="00BF2720"/>
    <w:rsid w:val="00BF2950"/>
    <w:rsid w:val="00BF2982"/>
    <w:rsid w:val="00BF29FB"/>
    <w:rsid w:val="00BF2AE7"/>
    <w:rsid w:val="00BF3825"/>
    <w:rsid w:val="00BF388C"/>
    <w:rsid w:val="00BF4009"/>
    <w:rsid w:val="00BF50F6"/>
    <w:rsid w:val="00BF542A"/>
    <w:rsid w:val="00BF5629"/>
    <w:rsid w:val="00BF574B"/>
    <w:rsid w:val="00BF578D"/>
    <w:rsid w:val="00BF6B6C"/>
    <w:rsid w:val="00BF6E1B"/>
    <w:rsid w:val="00BF7267"/>
    <w:rsid w:val="00BF7803"/>
    <w:rsid w:val="00BF7F06"/>
    <w:rsid w:val="00C00185"/>
    <w:rsid w:val="00C00274"/>
    <w:rsid w:val="00C004B3"/>
    <w:rsid w:val="00C0051E"/>
    <w:rsid w:val="00C0057E"/>
    <w:rsid w:val="00C00C23"/>
    <w:rsid w:val="00C00F88"/>
    <w:rsid w:val="00C01561"/>
    <w:rsid w:val="00C01C7C"/>
    <w:rsid w:val="00C02466"/>
    <w:rsid w:val="00C02A26"/>
    <w:rsid w:val="00C030C7"/>
    <w:rsid w:val="00C031BC"/>
    <w:rsid w:val="00C03697"/>
    <w:rsid w:val="00C03D5A"/>
    <w:rsid w:val="00C04745"/>
    <w:rsid w:val="00C04C71"/>
    <w:rsid w:val="00C04C8E"/>
    <w:rsid w:val="00C04F66"/>
    <w:rsid w:val="00C05D71"/>
    <w:rsid w:val="00C0601F"/>
    <w:rsid w:val="00C06211"/>
    <w:rsid w:val="00C063FC"/>
    <w:rsid w:val="00C068D5"/>
    <w:rsid w:val="00C06B6C"/>
    <w:rsid w:val="00C0757B"/>
    <w:rsid w:val="00C10075"/>
    <w:rsid w:val="00C101D3"/>
    <w:rsid w:val="00C10AD8"/>
    <w:rsid w:val="00C10C27"/>
    <w:rsid w:val="00C11112"/>
    <w:rsid w:val="00C1237B"/>
    <w:rsid w:val="00C129F6"/>
    <w:rsid w:val="00C12A9C"/>
    <w:rsid w:val="00C12CC4"/>
    <w:rsid w:val="00C12E92"/>
    <w:rsid w:val="00C12FA9"/>
    <w:rsid w:val="00C13407"/>
    <w:rsid w:val="00C13FE2"/>
    <w:rsid w:val="00C142DF"/>
    <w:rsid w:val="00C14915"/>
    <w:rsid w:val="00C14BCC"/>
    <w:rsid w:val="00C14F80"/>
    <w:rsid w:val="00C150BB"/>
    <w:rsid w:val="00C15129"/>
    <w:rsid w:val="00C15461"/>
    <w:rsid w:val="00C15AC2"/>
    <w:rsid w:val="00C16BBA"/>
    <w:rsid w:val="00C16D3E"/>
    <w:rsid w:val="00C16D40"/>
    <w:rsid w:val="00C171F4"/>
    <w:rsid w:val="00C174AE"/>
    <w:rsid w:val="00C177F4"/>
    <w:rsid w:val="00C17BE5"/>
    <w:rsid w:val="00C20720"/>
    <w:rsid w:val="00C20D5F"/>
    <w:rsid w:val="00C21A0B"/>
    <w:rsid w:val="00C21BE4"/>
    <w:rsid w:val="00C21CCC"/>
    <w:rsid w:val="00C2226F"/>
    <w:rsid w:val="00C23192"/>
    <w:rsid w:val="00C2365E"/>
    <w:rsid w:val="00C23823"/>
    <w:rsid w:val="00C23C8F"/>
    <w:rsid w:val="00C23E47"/>
    <w:rsid w:val="00C2406E"/>
    <w:rsid w:val="00C24287"/>
    <w:rsid w:val="00C24289"/>
    <w:rsid w:val="00C243FD"/>
    <w:rsid w:val="00C244F8"/>
    <w:rsid w:val="00C24807"/>
    <w:rsid w:val="00C24836"/>
    <w:rsid w:val="00C24B33"/>
    <w:rsid w:val="00C24EFE"/>
    <w:rsid w:val="00C25231"/>
    <w:rsid w:val="00C26033"/>
    <w:rsid w:val="00C266FE"/>
    <w:rsid w:val="00C26C91"/>
    <w:rsid w:val="00C26E44"/>
    <w:rsid w:val="00C2708C"/>
    <w:rsid w:val="00C27A83"/>
    <w:rsid w:val="00C27B82"/>
    <w:rsid w:val="00C27DA7"/>
    <w:rsid w:val="00C27F9E"/>
    <w:rsid w:val="00C30B9D"/>
    <w:rsid w:val="00C31444"/>
    <w:rsid w:val="00C31679"/>
    <w:rsid w:val="00C31D4D"/>
    <w:rsid w:val="00C32114"/>
    <w:rsid w:val="00C3269E"/>
    <w:rsid w:val="00C32FAA"/>
    <w:rsid w:val="00C333A3"/>
    <w:rsid w:val="00C333AD"/>
    <w:rsid w:val="00C335A1"/>
    <w:rsid w:val="00C33603"/>
    <w:rsid w:val="00C3388F"/>
    <w:rsid w:val="00C344D7"/>
    <w:rsid w:val="00C34B23"/>
    <w:rsid w:val="00C34F3C"/>
    <w:rsid w:val="00C350CB"/>
    <w:rsid w:val="00C35321"/>
    <w:rsid w:val="00C356FA"/>
    <w:rsid w:val="00C35B6E"/>
    <w:rsid w:val="00C35DAB"/>
    <w:rsid w:val="00C35DF8"/>
    <w:rsid w:val="00C360B2"/>
    <w:rsid w:val="00C3612C"/>
    <w:rsid w:val="00C36E68"/>
    <w:rsid w:val="00C36EE9"/>
    <w:rsid w:val="00C36FCE"/>
    <w:rsid w:val="00C37369"/>
    <w:rsid w:val="00C37425"/>
    <w:rsid w:val="00C374D1"/>
    <w:rsid w:val="00C37981"/>
    <w:rsid w:val="00C40268"/>
    <w:rsid w:val="00C40390"/>
    <w:rsid w:val="00C405F2"/>
    <w:rsid w:val="00C40D2C"/>
    <w:rsid w:val="00C41683"/>
    <w:rsid w:val="00C419FD"/>
    <w:rsid w:val="00C427C5"/>
    <w:rsid w:val="00C437B7"/>
    <w:rsid w:val="00C43982"/>
    <w:rsid w:val="00C44375"/>
    <w:rsid w:val="00C449EE"/>
    <w:rsid w:val="00C44AD2"/>
    <w:rsid w:val="00C44F5F"/>
    <w:rsid w:val="00C45631"/>
    <w:rsid w:val="00C458CD"/>
    <w:rsid w:val="00C45CD3"/>
    <w:rsid w:val="00C45DE1"/>
    <w:rsid w:val="00C45E2B"/>
    <w:rsid w:val="00C462CD"/>
    <w:rsid w:val="00C473BD"/>
    <w:rsid w:val="00C476FC"/>
    <w:rsid w:val="00C477C2"/>
    <w:rsid w:val="00C47FEA"/>
    <w:rsid w:val="00C500E7"/>
    <w:rsid w:val="00C50D21"/>
    <w:rsid w:val="00C510B6"/>
    <w:rsid w:val="00C51597"/>
    <w:rsid w:val="00C51A2E"/>
    <w:rsid w:val="00C525D4"/>
    <w:rsid w:val="00C529E5"/>
    <w:rsid w:val="00C53065"/>
    <w:rsid w:val="00C53536"/>
    <w:rsid w:val="00C53B56"/>
    <w:rsid w:val="00C53F93"/>
    <w:rsid w:val="00C5417C"/>
    <w:rsid w:val="00C54EDF"/>
    <w:rsid w:val="00C54F30"/>
    <w:rsid w:val="00C55644"/>
    <w:rsid w:val="00C55B2C"/>
    <w:rsid w:val="00C56A4A"/>
    <w:rsid w:val="00C56B7D"/>
    <w:rsid w:val="00C56DBA"/>
    <w:rsid w:val="00C57A57"/>
    <w:rsid w:val="00C605A5"/>
    <w:rsid w:val="00C60C24"/>
    <w:rsid w:val="00C60F5D"/>
    <w:rsid w:val="00C610A9"/>
    <w:rsid w:val="00C618FB"/>
    <w:rsid w:val="00C61D43"/>
    <w:rsid w:val="00C61FEC"/>
    <w:rsid w:val="00C6205B"/>
    <w:rsid w:val="00C6210F"/>
    <w:rsid w:val="00C62146"/>
    <w:rsid w:val="00C626CB"/>
    <w:rsid w:val="00C62705"/>
    <w:rsid w:val="00C63193"/>
    <w:rsid w:val="00C63284"/>
    <w:rsid w:val="00C63428"/>
    <w:rsid w:val="00C63DE0"/>
    <w:rsid w:val="00C643C5"/>
    <w:rsid w:val="00C643EC"/>
    <w:rsid w:val="00C64785"/>
    <w:rsid w:val="00C64F3A"/>
    <w:rsid w:val="00C65536"/>
    <w:rsid w:val="00C65646"/>
    <w:rsid w:val="00C65C43"/>
    <w:rsid w:val="00C6687A"/>
    <w:rsid w:val="00C70022"/>
    <w:rsid w:val="00C7046C"/>
    <w:rsid w:val="00C71487"/>
    <w:rsid w:val="00C717FC"/>
    <w:rsid w:val="00C71DDD"/>
    <w:rsid w:val="00C720B0"/>
    <w:rsid w:val="00C722D6"/>
    <w:rsid w:val="00C72381"/>
    <w:rsid w:val="00C72BED"/>
    <w:rsid w:val="00C72C2E"/>
    <w:rsid w:val="00C72C9E"/>
    <w:rsid w:val="00C73486"/>
    <w:rsid w:val="00C7392F"/>
    <w:rsid w:val="00C73D2D"/>
    <w:rsid w:val="00C74244"/>
    <w:rsid w:val="00C743FB"/>
    <w:rsid w:val="00C744D3"/>
    <w:rsid w:val="00C747D9"/>
    <w:rsid w:val="00C74F3B"/>
    <w:rsid w:val="00C7523C"/>
    <w:rsid w:val="00C754EE"/>
    <w:rsid w:val="00C774A3"/>
    <w:rsid w:val="00C77AE8"/>
    <w:rsid w:val="00C77FF0"/>
    <w:rsid w:val="00C800A8"/>
    <w:rsid w:val="00C8066A"/>
    <w:rsid w:val="00C80744"/>
    <w:rsid w:val="00C80C42"/>
    <w:rsid w:val="00C8105D"/>
    <w:rsid w:val="00C8144D"/>
    <w:rsid w:val="00C81E9A"/>
    <w:rsid w:val="00C82116"/>
    <w:rsid w:val="00C82547"/>
    <w:rsid w:val="00C82550"/>
    <w:rsid w:val="00C82670"/>
    <w:rsid w:val="00C82CD5"/>
    <w:rsid w:val="00C831C1"/>
    <w:rsid w:val="00C8377A"/>
    <w:rsid w:val="00C84284"/>
    <w:rsid w:val="00C84BF8"/>
    <w:rsid w:val="00C84C6E"/>
    <w:rsid w:val="00C84CB2"/>
    <w:rsid w:val="00C85660"/>
    <w:rsid w:val="00C85D1B"/>
    <w:rsid w:val="00C8617A"/>
    <w:rsid w:val="00C86984"/>
    <w:rsid w:val="00C86E22"/>
    <w:rsid w:val="00C86E67"/>
    <w:rsid w:val="00C87031"/>
    <w:rsid w:val="00C8723F"/>
    <w:rsid w:val="00C8741C"/>
    <w:rsid w:val="00C87720"/>
    <w:rsid w:val="00C87C50"/>
    <w:rsid w:val="00C87D4F"/>
    <w:rsid w:val="00C90202"/>
    <w:rsid w:val="00C90CC2"/>
    <w:rsid w:val="00C91A38"/>
    <w:rsid w:val="00C91E1B"/>
    <w:rsid w:val="00C91E7C"/>
    <w:rsid w:val="00C92414"/>
    <w:rsid w:val="00C930C0"/>
    <w:rsid w:val="00C93651"/>
    <w:rsid w:val="00C9389F"/>
    <w:rsid w:val="00C9394D"/>
    <w:rsid w:val="00C93A9E"/>
    <w:rsid w:val="00C93F6F"/>
    <w:rsid w:val="00C9400F"/>
    <w:rsid w:val="00C958B6"/>
    <w:rsid w:val="00C95E55"/>
    <w:rsid w:val="00C964FB"/>
    <w:rsid w:val="00C96C2F"/>
    <w:rsid w:val="00C96DBD"/>
    <w:rsid w:val="00C977A3"/>
    <w:rsid w:val="00C97928"/>
    <w:rsid w:val="00CA01D8"/>
    <w:rsid w:val="00CA02E5"/>
    <w:rsid w:val="00CA0334"/>
    <w:rsid w:val="00CA0337"/>
    <w:rsid w:val="00CA04C0"/>
    <w:rsid w:val="00CA0625"/>
    <w:rsid w:val="00CA06F3"/>
    <w:rsid w:val="00CA0969"/>
    <w:rsid w:val="00CA0D65"/>
    <w:rsid w:val="00CA156F"/>
    <w:rsid w:val="00CA1B18"/>
    <w:rsid w:val="00CA22B2"/>
    <w:rsid w:val="00CA3075"/>
    <w:rsid w:val="00CA3D82"/>
    <w:rsid w:val="00CA41D8"/>
    <w:rsid w:val="00CA4658"/>
    <w:rsid w:val="00CA4701"/>
    <w:rsid w:val="00CA52FC"/>
    <w:rsid w:val="00CA56E8"/>
    <w:rsid w:val="00CA5C98"/>
    <w:rsid w:val="00CA6653"/>
    <w:rsid w:val="00CA6867"/>
    <w:rsid w:val="00CA6BCB"/>
    <w:rsid w:val="00CA726F"/>
    <w:rsid w:val="00CA7F5C"/>
    <w:rsid w:val="00CB046F"/>
    <w:rsid w:val="00CB07B0"/>
    <w:rsid w:val="00CB0F2E"/>
    <w:rsid w:val="00CB0FC1"/>
    <w:rsid w:val="00CB15D2"/>
    <w:rsid w:val="00CB1733"/>
    <w:rsid w:val="00CB1792"/>
    <w:rsid w:val="00CB1D99"/>
    <w:rsid w:val="00CB292D"/>
    <w:rsid w:val="00CB2AAA"/>
    <w:rsid w:val="00CB3277"/>
    <w:rsid w:val="00CB3469"/>
    <w:rsid w:val="00CB35F2"/>
    <w:rsid w:val="00CB3700"/>
    <w:rsid w:val="00CB378E"/>
    <w:rsid w:val="00CB3925"/>
    <w:rsid w:val="00CB4472"/>
    <w:rsid w:val="00CB49C4"/>
    <w:rsid w:val="00CB4C17"/>
    <w:rsid w:val="00CB4E99"/>
    <w:rsid w:val="00CB5950"/>
    <w:rsid w:val="00CB5F8A"/>
    <w:rsid w:val="00CB5FCB"/>
    <w:rsid w:val="00CB63F9"/>
    <w:rsid w:val="00CB6688"/>
    <w:rsid w:val="00CB6857"/>
    <w:rsid w:val="00CB7D96"/>
    <w:rsid w:val="00CC003D"/>
    <w:rsid w:val="00CC0334"/>
    <w:rsid w:val="00CC03FF"/>
    <w:rsid w:val="00CC1422"/>
    <w:rsid w:val="00CC1578"/>
    <w:rsid w:val="00CC1917"/>
    <w:rsid w:val="00CC258A"/>
    <w:rsid w:val="00CC2E8B"/>
    <w:rsid w:val="00CC33BC"/>
    <w:rsid w:val="00CC362C"/>
    <w:rsid w:val="00CC3767"/>
    <w:rsid w:val="00CC3B1C"/>
    <w:rsid w:val="00CC3BFF"/>
    <w:rsid w:val="00CC495A"/>
    <w:rsid w:val="00CC4C1F"/>
    <w:rsid w:val="00CC4C77"/>
    <w:rsid w:val="00CC4FC4"/>
    <w:rsid w:val="00CC522B"/>
    <w:rsid w:val="00CC5B93"/>
    <w:rsid w:val="00CC623D"/>
    <w:rsid w:val="00CC668B"/>
    <w:rsid w:val="00CC6992"/>
    <w:rsid w:val="00CC69B1"/>
    <w:rsid w:val="00CC6A4A"/>
    <w:rsid w:val="00CC6A7D"/>
    <w:rsid w:val="00CC6C87"/>
    <w:rsid w:val="00CC7685"/>
    <w:rsid w:val="00CC76F0"/>
    <w:rsid w:val="00CC77D7"/>
    <w:rsid w:val="00CD0202"/>
    <w:rsid w:val="00CD0709"/>
    <w:rsid w:val="00CD0AED"/>
    <w:rsid w:val="00CD0CAC"/>
    <w:rsid w:val="00CD0CBA"/>
    <w:rsid w:val="00CD0D53"/>
    <w:rsid w:val="00CD0E51"/>
    <w:rsid w:val="00CD121B"/>
    <w:rsid w:val="00CD1377"/>
    <w:rsid w:val="00CD1EB7"/>
    <w:rsid w:val="00CD232D"/>
    <w:rsid w:val="00CD292A"/>
    <w:rsid w:val="00CD2D8C"/>
    <w:rsid w:val="00CD2E4C"/>
    <w:rsid w:val="00CD368C"/>
    <w:rsid w:val="00CD398B"/>
    <w:rsid w:val="00CD40EE"/>
    <w:rsid w:val="00CD43B6"/>
    <w:rsid w:val="00CD4569"/>
    <w:rsid w:val="00CD4646"/>
    <w:rsid w:val="00CD47DA"/>
    <w:rsid w:val="00CD4806"/>
    <w:rsid w:val="00CD4A86"/>
    <w:rsid w:val="00CD4B76"/>
    <w:rsid w:val="00CD4C90"/>
    <w:rsid w:val="00CD547A"/>
    <w:rsid w:val="00CD5D37"/>
    <w:rsid w:val="00CD5D73"/>
    <w:rsid w:val="00CD6F61"/>
    <w:rsid w:val="00CD719B"/>
    <w:rsid w:val="00CD735B"/>
    <w:rsid w:val="00CD7450"/>
    <w:rsid w:val="00CD7684"/>
    <w:rsid w:val="00CD7FC9"/>
    <w:rsid w:val="00CE077D"/>
    <w:rsid w:val="00CE07D2"/>
    <w:rsid w:val="00CE0837"/>
    <w:rsid w:val="00CE0947"/>
    <w:rsid w:val="00CE0A5C"/>
    <w:rsid w:val="00CE0C90"/>
    <w:rsid w:val="00CE0D69"/>
    <w:rsid w:val="00CE14FD"/>
    <w:rsid w:val="00CE15B1"/>
    <w:rsid w:val="00CE1895"/>
    <w:rsid w:val="00CE1957"/>
    <w:rsid w:val="00CE1C25"/>
    <w:rsid w:val="00CE1FDB"/>
    <w:rsid w:val="00CE220A"/>
    <w:rsid w:val="00CE243F"/>
    <w:rsid w:val="00CE270F"/>
    <w:rsid w:val="00CE2A8B"/>
    <w:rsid w:val="00CE33FB"/>
    <w:rsid w:val="00CE3786"/>
    <w:rsid w:val="00CE3816"/>
    <w:rsid w:val="00CE3A4E"/>
    <w:rsid w:val="00CE3F6F"/>
    <w:rsid w:val="00CE4009"/>
    <w:rsid w:val="00CE40D9"/>
    <w:rsid w:val="00CE413E"/>
    <w:rsid w:val="00CE447C"/>
    <w:rsid w:val="00CE460F"/>
    <w:rsid w:val="00CE4753"/>
    <w:rsid w:val="00CE5A6D"/>
    <w:rsid w:val="00CE5C6E"/>
    <w:rsid w:val="00CE5EF2"/>
    <w:rsid w:val="00CE606B"/>
    <w:rsid w:val="00CE61C3"/>
    <w:rsid w:val="00CE63B1"/>
    <w:rsid w:val="00CE6A41"/>
    <w:rsid w:val="00CE6A6E"/>
    <w:rsid w:val="00CE6F90"/>
    <w:rsid w:val="00CE7880"/>
    <w:rsid w:val="00CE7F9D"/>
    <w:rsid w:val="00CE7FAC"/>
    <w:rsid w:val="00CF06E5"/>
    <w:rsid w:val="00CF082D"/>
    <w:rsid w:val="00CF0DAA"/>
    <w:rsid w:val="00CF0F71"/>
    <w:rsid w:val="00CF1BF8"/>
    <w:rsid w:val="00CF1DB7"/>
    <w:rsid w:val="00CF1DC5"/>
    <w:rsid w:val="00CF1FC9"/>
    <w:rsid w:val="00CF20DB"/>
    <w:rsid w:val="00CF2933"/>
    <w:rsid w:val="00CF2994"/>
    <w:rsid w:val="00CF2D12"/>
    <w:rsid w:val="00CF3363"/>
    <w:rsid w:val="00CF45DB"/>
    <w:rsid w:val="00CF5516"/>
    <w:rsid w:val="00CF5C3E"/>
    <w:rsid w:val="00CF5E3A"/>
    <w:rsid w:val="00CF5E77"/>
    <w:rsid w:val="00CF62D2"/>
    <w:rsid w:val="00CF660B"/>
    <w:rsid w:val="00CF70A3"/>
    <w:rsid w:val="00CF70F4"/>
    <w:rsid w:val="00CF72F5"/>
    <w:rsid w:val="00CF7583"/>
    <w:rsid w:val="00D005A5"/>
    <w:rsid w:val="00D007AB"/>
    <w:rsid w:val="00D00CDC"/>
    <w:rsid w:val="00D02105"/>
    <w:rsid w:val="00D0259C"/>
    <w:rsid w:val="00D032D1"/>
    <w:rsid w:val="00D033DC"/>
    <w:rsid w:val="00D03845"/>
    <w:rsid w:val="00D03EE9"/>
    <w:rsid w:val="00D04732"/>
    <w:rsid w:val="00D04BB0"/>
    <w:rsid w:val="00D051D8"/>
    <w:rsid w:val="00D0548B"/>
    <w:rsid w:val="00D05532"/>
    <w:rsid w:val="00D058CD"/>
    <w:rsid w:val="00D05BC4"/>
    <w:rsid w:val="00D063A8"/>
    <w:rsid w:val="00D064D5"/>
    <w:rsid w:val="00D0715F"/>
    <w:rsid w:val="00D07193"/>
    <w:rsid w:val="00D1033D"/>
    <w:rsid w:val="00D106CF"/>
    <w:rsid w:val="00D107C4"/>
    <w:rsid w:val="00D10DCB"/>
    <w:rsid w:val="00D10E78"/>
    <w:rsid w:val="00D11A93"/>
    <w:rsid w:val="00D11F98"/>
    <w:rsid w:val="00D12213"/>
    <w:rsid w:val="00D124B4"/>
    <w:rsid w:val="00D12699"/>
    <w:rsid w:val="00D12BD0"/>
    <w:rsid w:val="00D12C42"/>
    <w:rsid w:val="00D13287"/>
    <w:rsid w:val="00D13385"/>
    <w:rsid w:val="00D13AEE"/>
    <w:rsid w:val="00D146B1"/>
    <w:rsid w:val="00D14711"/>
    <w:rsid w:val="00D156DC"/>
    <w:rsid w:val="00D15D45"/>
    <w:rsid w:val="00D1642F"/>
    <w:rsid w:val="00D165E7"/>
    <w:rsid w:val="00D1666A"/>
    <w:rsid w:val="00D16676"/>
    <w:rsid w:val="00D16C08"/>
    <w:rsid w:val="00D16E19"/>
    <w:rsid w:val="00D16F69"/>
    <w:rsid w:val="00D170A2"/>
    <w:rsid w:val="00D17167"/>
    <w:rsid w:val="00D171DD"/>
    <w:rsid w:val="00D178E6"/>
    <w:rsid w:val="00D17B09"/>
    <w:rsid w:val="00D17E11"/>
    <w:rsid w:val="00D20429"/>
    <w:rsid w:val="00D20514"/>
    <w:rsid w:val="00D20AAA"/>
    <w:rsid w:val="00D20FEF"/>
    <w:rsid w:val="00D2195B"/>
    <w:rsid w:val="00D22871"/>
    <w:rsid w:val="00D234D9"/>
    <w:rsid w:val="00D23BC0"/>
    <w:rsid w:val="00D241AB"/>
    <w:rsid w:val="00D243E9"/>
    <w:rsid w:val="00D247C4"/>
    <w:rsid w:val="00D24851"/>
    <w:rsid w:val="00D248E7"/>
    <w:rsid w:val="00D250C8"/>
    <w:rsid w:val="00D252F0"/>
    <w:rsid w:val="00D256F2"/>
    <w:rsid w:val="00D25895"/>
    <w:rsid w:val="00D25CDA"/>
    <w:rsid w:val="00D25E6D"/>
    <w:rsid w:val="00D2666F"/>
    <w:rsid w:val="00D275BC"/>
    <w:rsid w:val="00D275E3"/>
    <w:rsid w:val="00D279BD"/>
    <w:rsid w:val="00D30727"/>
    <w:rsid w:val="00D30816"/>
    <w:rsid w:val="00D3099E"/>
    <w:rsid w:val="00D31047"/>
    <w:rsid w:val="00D31462"/>
    <w:rsid w:val="00D319CE"/>
    <w:rsid w:val="00D31C18"/>
    <w:rsid w:val="00D31C28"/>
    <w:rsid w:val="00D31F69"/>
    <w:rsid w:val="00D31F70"/>
    <w:rsid w:val="00D330EA"/>
    <w:rsid w:val="00D33101"/>
    <w:rsid w:val="00D33478"/>
    <w:rsid w:val="00D33526"/>
    <w:rsid w:val="00D33D00"/>
    <w:rsid w:val="00D33D5F"/>
    <w:rsid w:val="00D33D9F"/>
    <w:rsid w:val="00D34883"/>
    <w:rsid w:val="00D35540"/>
    <w:rsid w:val="00D36197"/>
    <w:rsid w:val="00D36BE7"/>
    <w:rsid w:val="00D37430"/>
    <w:rsid w:val="00D37FCD"/>
    <w:rsid w:val="00D403E9"/>
    <w:rsid w:val="00D405A9"/>
    <w:rsid w:val="00D407D6"/>
    <w:rsid w:val="00D40917"/>
    <w:rsid w:val="00D40BD0"/>
    <w:rsid w:val="00D40D9B"/>
    <w:rsid w:val="00D41D02"/>
    <w:rsid w:val="00D41D9F"/>
    <w:rsid w:val="00D41E4E"/>
    <w:rsid w:val="00D42276"/>
    <w:rsid w:val="00D42727"/>
    <w:rsid w:val="00D428E8"/>
    <w:rsid w:val="00D436CC"/>
    <w:rsid w:val="00D4374F"/>
    <w:rsid w:val="00D438F7"/>
    <w:rsid w:val="00D4393C"/>
    <w:rsid w:val="00D44ED3"/>
    <w:rsid w:val="00D45029"/>
    <w:rsid w:val="00D458C1"/>
    <w:rsid w:val="00D45BB6"/>
    <w:rsid w:val="00D45F6C"/>
    <w:rsid w:val="00D46737"/>
    <w:rsid w:val="00D47191"/>
    <w:rsid w:val="00D4730A"/>
    <w:rsid w:val="00D47476"/>
    <w:rsid w:val="00D476F5"/>
    <w:rsid w:val="00D478B5"/>
    <w:rsid w:val="00D47D41"/>
    <w:rsid w:val="00D47EF9"/>
    <w:rsid w:val="00D5069C"/>
    <w:rsid w:val="00D5073E"/>
    <w:rsid w:val="00D50DCC"/>
    <w:rsid w:val="00D512FE"/>
    <w:rsid w:val="00D517B3"/>
    <w:rsid w:val="00D51BAE"/>
    <w:rsid w:val="00D51F6B"/>
    <w:rsid w:val="00D5216A"/>
    <w:rsid w:val="00D530EF"/>
    <w:rsid w:val="00D5311D"/>
    <w:rsid w:val="00D53382"/>
    <w:rsid w:val="00D53617"/>
    <w:rsid w:val="00D537F5"/>
    <w:rsid w:val="00D53BA2"/>
    <w:rsid w:val="00D54669"/>
    <w:rsid w:val="00D54942"/>
    <w:rsid w:val="00D5495F"/>
    <w:rsid w:val="00D54A0E"/>
    <w:rsid w:val="00D54B16"/>
    <w:rsid w:val="00D54BA7"/>
    <w:rsid w:val="00D54ED0"/>
    <w:rsid w:val="00D54EE7"/>
    <w:rsid w:val="00D5500A"/>
    <w:rsid w:val="00D551F2"/>
    <w:rsid w:val="00D55AA8"/>
    <w:rsid w:val="00D56180"/>
    <w:rsid w:val="00D564AB"/>
    <w:rsid w:val="00D568B9"/>
    <w:rsid w:val="00D5693F"/>
    <w:rsid w:val="00D56EE4"/>
    <w:rsid w:val="00D577F1"/>
    <w:rsid w:val="00D57C5F"/>
    <w:rsid w:val="00D57DA2"/>
    <w:rsid w:val="00D602F5"/>
    <w:rsid w:val="00D605AC"/>
    <w:rsid w:val="00D60CA8"/>
    <w:rsid w:val="00D60E64"/>
    <w:rsid w:val="00D6109B"/>
    <w:rsid w:val="00D61BCF"/>
    <w:rsid w:val="00D624A2"/>
    <w:rsid w:val="00D62651"/>
    <w:rsid w:val="00D6283B"/>
    <w:rsid w:val="00D62965"/>
    <w:rsid w:val="00D629DA"/>
    <w:rsid w:val="00D62E59"/>
    <w:rsid w:val="00D63213"/>
    <w:rsid w:val="00D6350E"/>
    <w:rsid w:val="00D6374B"/>
    <w:rsid w:val="00D64409"/>
    <w:rsid w:val="00D64A47"/>
    <w:rsid w:val="00D64D69"/>
    <w:rsid w:val="00D65135"/>
    <w:rsid w:val="00D6538A"/>
    <w:rsid w:val="00D65516"/>
    <w:rsid w:val="00D65608"/>
    <w:rsid w:val="00D656E2"/>
    <w:rsid w:val="00D65C63"/>
    <w:rsid w:val="00D65D32"/>
    <w:rsid w:val="00D660BB"/>
    <w:rsid w:val="00D665BB"/>
    <w:rsid w:val="00D6661A"/>
    <w:rsid w:val="00D66AFA"/>
    <w:rsid w:val="00D66B43"/>
    <w:rsid w:val="00D66DC8"/>
    <w:rsid w:val="00D67506"/>
    <w:rsid w:val="00D67B61"/>
    <w:rsid w:val="00D67EC2"/>
    <w:rsid w:val="00D67EF4"/>
    <w:rsid w:val="00D703D8"/>
    <w:rsid w:val="00D70587"/>
    <w:rsid w:val="00D7070B"/>
    <w:rsid w:val="00D70997"/>
    <w:rsid w:val="00D71233"/>
    <w:rsid w:val="00D712AF"/>
    <w:rsid w:val="00D714BF"/>
    <w:rsid w:val="00D719A2"/>
    <w:rsid w:val="00D7249E"/>
    <w:rsid w:val="00D72526"/>
    <w:rsid w:val="00D72ACC"/>
    <w:rsid w:val="00D73542"/>
    <w:rsid w:val="00D7363F"/>
    <w:rsid w:val="00D73A97"/>
    <w:rsid w:val="00D73FE8"/>
    <w:rsid w:val="00D74698"/>
    <w:rsid w:val="00D746C2"/>
    <w:rsid w:val="00D74748"/>
    <w:rsid w:val="00D74C6C"/>
    <w:rsid w:val="00D74C76"/>
    <w:rsid w:val="00D74CC7"/>
    <w:rsid w:val="00D7571F"/>
    <w:rsid w:val="00D75AAB"/>
    <w:rsid w:val="00D75E98"/>
    <w:rsid w:val="00D760C0"/>
    <w:rsid w:val="00D760FC"/>
    <w:rsid w:val="00D7654B"/>
    <w:rsid w:val="00D765E4"/>
    <w:rsid w:val="00D7676B"/>
    <w:rsid w:val="00D76CBF"/>
    <w:rsid w:val="00D770F1"/>
    <w:rsid w:val="00D77541"/>
    <w:rsid w:val="00D7789A"/>
    <w:rsid w:val="00D77AB3"/>
    <w:rsid w:val="00D77BBA"/>
    <w:rsid w:val="00D77BD5"/>
    <w:rsid w:val="00D77FDC"/>
    <w:rsid w:val="00D802B1"/>
    <w:rsid w:val="00D80C78"/>
    <w:rsid w:val="00D80DA0"/>
    <w:rsid w:val="00D81069"/>
    <w:rsid w:val="00D812F8"/>
    <w:rsid w:val="00D819D5"/>
    <w:rsid w:val="00D82806"/>
    <w:rsid w:val="00D82F6B"/>
    <w:rsid w:val="00D834D8"/>
    <w:rsid w:val="00D83C96"/>
    <w:rsid w:val="00D85204"/>
    <w:rsid w:val="00D858F0"/>
    <w:rsid w:val="00D86AA8"/>
    <w:rsid w:val="00D86C7A"/>
    <w:rsid w:val="00D8703A"/>
    <w:rsid w:val="00D87980"/>
    <w:rsid w:val="00D87AB3"/>
    <w:rsid w:val="00D90F80"/>
    <w:rsid w:val="00D91212"/>
    <w:rsid w:val="00D9162D"/>
    <w:rsid w:val="00D91CDE"/>
    <w:rsid w:val="00D92A3C"/>
    <w:rsid w:val="00D92E6D"/>
    <w:rsid w:val="00D9351A"/>
    <w:rsid w:val="00D9394E"/>
    <w:rsid w:val="00D94093"/>
    <w:rsid w:val="00D955C1"/>
    <w:rsid w:val="00D9564B"/>
    <w:rsid w:val="00D95771"/>
    <w:rsid w:val="00D96D0C"/>
    <w:rsid w:val="00D97075"/>
    <w:rsid w:val="00D971CE"/>
    <w:rsid w:val="00D97B30"/>
    <w:rsid w:val="00D97CBB"/>
    <w:rsid w:val="00DA011B"/>
    <w:rsid w:val="00DA03FD"/>
    <w:rsid w:val="00DA1337"/>
    <w:rsid w:val="00DA1344"/>
    <w:rsid w:val="00DA14FB"/>
    <w:rsid w:val="00DA1594"/>
    <w:rsid w:val="00DA1C09"/>
    <w:rsid w:val="00DA1D58"/>
    <w:rsid w:val="00DA1D5F"/>
    <w:rsid w:val="00DA20D7"/>
    <w:rsid w:val="00DA28AD"/>
    <w:rsid w:val="00DA2900"/>
    <w:rsid w:val="00DA3290"/>
    <w:rsid w:val="00DA38E9"/>
    <w:rsid w:val="00DA3F34"/>
    <w:rsid w:val="00DA3F86"/>
    <w:rsid w:val="00DA4618"/>
    <w:rsid w:val="00DA4669"/>
    <w:rsid w:val="00DA4878"/>
    <w:rsid w:val="00DA4951"/>
    <w:rsid w:val="00DA540D"/>
    <w:rsid w:val="00DA55C2"/>
    <w:rsid w:val="00DA57A2"/>
    <w:rsid w:val="00DA6324"/>
    <w:rsid w:val="00DA696D"/>
    <w:rsid w:val="00DA6F1A"/>
    <w:rsid w:val="00DA6F2B"/>
    <w:rsid w:val="00DA716F"/>
    <w:rsid w:val="00DA727A"/>
    <w:rsid w:val="00DA7296"/>
    <w:rsid w:val="00DA7303"/>
    <w:rsid w:val="00DA7D24"/>
    <w:rsid w:val="00DB041B"/>
    <w:rsid w:val="00DB10B4"/>
    <w:rsid w:val="00DB1552"/>
    <w:rsid w:val="00DB22A9"/>
    <w:rsid w:val="00DB22E0"/>
    <w:rsid w:val="00DB2489"/>
    <w:rsid w:val="00DB2869"/>
    <w:rsid w:val="00DB2D6E"/>
    <w:rsid w:val="00DB3DED"/>
    <w:rsid w:val="00DB4280"/>
    <w:rsid w:val="00DB440A"/>
    <w:rsid w:val="00DB447A"/>
    <w:rsid w:val="00DB4524"/>
    <w:rsid w:val="00DB4F88"/>
    <w:rsid w:val="00DB5045"/>
    <w:rsid w:val="00DB5265"/>
    <w:rsid w:val="00DB52EE"/>
    <w:rsid w:val="00DB5950"/>
    <w:rsid w:val="00DB5BC8"/>
    <w:rsid w:val="00DB6165"/>
    <w:rsid w:val="00DB6A54"/>
    <w:rsid w:val="00DB6D7A"/>
    <w:rsid w:val="00DB758E"/>
    <w:rsid w:val="00DB7DAD"/>
    <w:rsid w:val="00DC0063"/>
    <w:rsid w:val="00DC00DB"/>
    <w:rsid w:val="00DC025A"/>
    <w:rsid w:val="00DC05B6"/>
    <w:rsid w:val="00DC10E3"/>
    <w:rsid w:val="00DC1295"/>
    <w:rsid w:val="00DC1C8D"/>
    <w:rsid w:val="00DC2AA5"/>
    <w:rsid w:val="00DC2DDF"/>
    <w:rsid w:val="00DC3558"/>
    <w:rsid w:val="00DC395F"/>
    <w:rsid w:val="00DC3B5F"/>
    <w:rsid w:val="00DC40C0"/>
    <w:rsid w:val="00DC42B6"/>
    <w:rsid w:val="00DC44F7"/>
    <w:rsid w:val="00DC4C77"/>
    <w:rsid w:val="00DC521C"/>
    <w:rsid w:val="00DC52E9"/>
    <w:rsid w:val="00DC5463"/>
    <w:rsid w:val="00DC5611"/>
    <w:rsid w:val="00DC608E"/>
    <w:rsid w:val="00DC62CC"/>
    <w:rsid w:val="00DC63D8"/>
    <w:rsid w:val="00DC65CA"/>
    <w:rsid w:val="00DC65FC"/>
    <w:rsid w:val="00DC66A2"/>
    <w:rsid w:val="00DC74FC"/>
    <w:rsid w:val="00DC786F"/>
    <w:rsid w:val="00DC79CC"/>
    <w:rsid w:val="00DD01C0"/>
    <w:rsid w:val="00DD01C2"/>
    <w:rsid w:val="00DD03DA"/>
    <w:rsid w:val="00DD05FC"/>
    <w:rsid w:val="00DD07D8"/>
    <w:rsid w:val="00DD0E5B"/>
    <w:rsid w:val="00DD1566"/>
    <w:rsid w:val="00DD15D4"/>
    <w:rsid w:val="00DD1C6A"/>
    <w:rsid w:val="00DD2A29"/>
    <w:rsid w:val="00DD2F69"/>
    <w:rsid w:val="00DD339A"/>
    <w:rsid w:val="00DD354D"/>
    <w:rsid w:val="00DD360D"/>
    <w:rsid w:val="00DD3718"/>
    <w:rsid w:val="00DD38EA"/>
    <w:rsid w:val="00DD3A03"/>
    <w:rsid w:val="00DD3AA8"/>
    <w:rsid w:val="00DD3AC2"/>
    <w:rsid w:val="00DD3DB9"/>
    <w:rsid w:val="00DD43F6"/>
    <w:rsid w:val="00DD4733"/>
    <w:rsid w:val="00DD4AB2"/>
    <w:rsid w:val="00DD4BCF"/>
    <w:rsid w:val="00DD4D31"/>
    <w:rsid w:val="00DD4FF5"/>
    <w:rsid w:val="00DD567F"/>
    <w:rsid w:val="00DD71A8"/>
    <w:rsid w:val="00DD7386"/>
    <w:rsid w:val="00DD75C5"/>
    <w:rsid w:val="00DD7950"/>
    <w:rsid w:val="00DD7FA8"/>
    <w:rsid w:val="00DE03EB"/>
    <w:rsid w:val="00DE077A"/>
    <w:rsid w:val="00DE0829"/>
    <w:rsid w:val="00DE136F"/>
    <w:rsid w:val="00DE24CB"/>
    <w:rsid w:val="00DE2524"/>
    <w:rsid w:val="00DE326B"/>
    <w:rsid w:val="00DE331F"/>
    <w:rsid w:val="00DE3448"/>
    <w:rsid w:val="00DE3A87"/>
    <w:rsid w:val="00DE3C37"/>
    <w:rsid w:val="00DE4006"/>
    <w:rsid w:val="00DE48EF"/>
    <w:rsid w:val="00DE4B45"/>
    <w:rsid w:val="00DE5381"/>
    <w:rsid w:val="00DE5472"/>
    <w:rsid w:val="00DE55FA"/>
    <w:rsid w:val="00DE5AAA"/>
    <w:rsid w:val="00DE5B36"/>
    <w:rsid w:val="00DE5E87"/>
    <w:rsid w:val="00DE5EC6"/>
    <w:rsid w:val="00DE60ED"/>
    <w:rsid w:val="00DE61E6"/>
    <w:rsid w:val="00DE6305"/>
    <w:rsid w:val="00DE6372"/>
    <w:rsid w:val="00DE6637"/>
    <w:rsid w:val="00DE6AB4"/>
    <w:rsid w:val="00DE6BEB"/>
    <w:rsid w:val="00DE7F62"/>
    <w:rsid w:val="00DF0027"/>
    <w:rsid w:val="00DF06D9"/>
    <w:rsid w:val="00DF0C5F"/>
    <w:rsid w:val="00DF0C9A"/>
    <w:rsid w:val="00DF1082"/>
    <w:rsid w:val="00DF10AF"/>
    <w:rsid w:val="00DF1643"/>
    <w:rsid w:val="00DF267F"/>
    <w:rsid w:val="00DF2F4B"/>
    <w:rsid w:val="00DF33AB"/>
    <w:rsid w:val="00DF3607"/>
    <w:rsid w:val="00DF39B2"/>
    <w:rsid w:val="00DF3D11"/>
    <w:rsid w:val="00DF3D24"/>
    <w:rsid w:val="00DF4135"/>
    <w:rsid w:val="00DF4F2A"/>
    <w:rsid w:val="00DF5453"/>
    <w:rsid w:val="00DF5B32"/>
    <w:rsid w:val="00DF6903"/>
    <w:rsid w:val="00DF6BC9"/>
    <w:rsid w:val="00DF6D27"/>
    <w:rsid w:val="00DF6D8E"/>
    <w:rsid w:val="00DF6F9A"/>
    <w:rsid w:val="00DF71F6"/>
    <w:rsid w:val="00DF7519"/>
    <w:rsid w:val="00DF79B9"/>
    <w:rsid w:val="00DF7B89"/>
    <w:rsid w:val="00DF7BE6"/>
    <w:rsid w:val="00DF7CA7"/>
    <w:rsid w:val="00E0009D"/>
    <w:rsid w:val="00E00543"/>
    <w:rsid w:val="00E00A58"/>
    <w:rsid w:val="00E01172"/>
    <w:rsid w:val="00E017E0"/>
    <w:rsid w:val="00E02C25"/>
    <w:rsid w:val="00E03384"/>
    <w:rsid w:val="00E03641"/>
    <w:rsid w:val="00E03993"/>
    <w:rsid w:val="00E03A45"/>
    <w:rsid w:val="00E04480"/>
    <w:rsid w:val="00E04680"/>
    <w:rsid w:val="00E05571"/>
    <w:rsid w:val="00E06403"/>
    <w:rsid w:val="00E06895"/>
    <w:rsid w:val="00E06FFC"/>
    <w:rsid w:val="00E0711B"/>
    <w:rsid w:val="00E07181"/>
    <w:rsid w:val="00E0730B"/>
    <w:rsid w:val="00E07319"/>
    <w:rsid w:val="00E07819"/>
    <w:rsid w:val="00E0787A"/>
    <w:rsid w:val="00E107B3"/>
    <w:rsid w:val="00E10CE6"/>
    <w:rsid w:val="00E112E7"/>
    <w:rsid w:val="00E11686"/>
    <w:rsid w:val="00E11EE3"/>
    <w:rsid w:val="00E121E4"/>
    <w:rsid w:val="00E127A3"/>
    <w:rsid w:val="00E127D7"/>
    <w:rsid w:val="00E12E17"/>
    <w:rsid w:val="00E12E61"/>
    <w:rsid w:val="00E141D7"/>
    <w:rsid w:val="00E145F7"/>
    <w:rsid w:val="00E14875"/>
    <w:rsid w:val="00E14905"/>
    <w:rsid w:val="00E150CD"/>
    <w:rsid w:val="00E15364"/>
    <w:rsid w:val="00E15813"/>
    <w:rsid w:val="00E15BA6"/>
    <w:rsid w:val="00E15C1C"/>
    <w:rsid w:val="00E16D9A"/>
    <w:rsid w:val="00E16FF9"/>
    <w:rsid w:val="00E17569"/>
    <w:rsid w:val="00E17684"/>
    <w:rsid w:val="00E179D5"/>
    <w:rsid w:val="00E17A1C"/>
    <w:rsid w:val="00E17BE7"/>
    <w:rsid w:val="00E17CEE"/>
    <w:rsid w:val="00E20730"/>
    <w:rsid w:val="00E20741"/>
    <w:rsid w:val="00E20893"/>
    <w:rsid w:val="00E20CE3"/>
    <w:rsid w:val="00E20E63"/>
    <w:rsid w:val="00E217EC"/>
    <w:rsid w:val="00E21890"/>
    <w:rsid w:val="00E21D6A"/>
    <w:rsid w:val="00E221DA"/>
    <w:rsid w:val="00E22314"/>
    <w:rsid w:val="00E227EC"/>
    <w:rsid w:val="00E2355E"/>
    <w:rsid w:val="00E23664"/>
    <w:rsid w:val="00E23BF7"/>
    <w:rsid w:val="00E23D4E"/>
    <w:rsid w:val="00E24668"/>
    <w:rsid w:val="00E246AF"/>
    <w:rsid w:val="00E24FB7"/>
    <w:rsid w:val="00E250C5"/>
    <w:rsid w:val="00E2535B"/>
    <w:rsid w:val="00E25844"/>
    <w:rsid w:val="00E25BD1"/>
    <w:rsid w:val="00E25ED1"/>
    <w:rsid w:val="00E26531"/>
    <w:rsid w:val="00E26593"/>
    <w:rsid w:val="00E2671A"/>
    <w:rsid w:val="00E26AA2"/>
    <w:rsid w:val="00E26B15"/>
    <w:rsid w:val="00E26F16"/>
    <w:rsid w:val="00E2737F"/>
    <w:rsid w:val="00E274A5"/>
    <w:rsid w:val="00E30E29"/>
    <w:rsid w:val="00E30E9F"/>
    <w:rsid w:val="00E310A1"/>
    <w:rsid w:val="00E312F6"/>
    <w:rsid w:val="00E31346"/>
    <w:rsid w:val="00E31A20"/>
    <w:rsid w:val="00E31AE8"/>
    <w:rsid w:val="00E31C02"/>
    <w:rsid w:val="00E340E7"/>
    <w:rsid w:val="00E3425C"/>
    <w:rsid w:val="00E34B6B"/>
    <w:rsid w:val="00E358F8"/>
    <w:rsid w:val="00E35CA9"/>
    <w:rsid w:val="00E36495"/>
    <w:rsid w:val="00E36B7A"/>
    <w:rsid w:val="00E37359"/>
    <w:rsid w:val="00E40038"/>
    <w:rsid w:val="00E40240"/>
    <w:rsid w:val="00E402F3"/>
    <w:rsid w:val="00E40609"/>
    <w:rsid w:val="00E40B1B"/>
    <w:rsid w:val="00E40D7F"/>
    <w:rsid w:val="00E40DBA"/>
    <w:rsid w:val="00E40F73"/>
    <w:rsid w:val="00E4144D"/>
    <w:rsid w:val="00E41579"/>
    <w:rsid w:val="00E41756"/>
    <w:rsid w:val="00E419D6"/>
    <w:rsid w:val="00E41E29"/>
    <w:rsid w:val="00E41EEC"/>
    <w:rsid w:val="00E42890"/>
    <w:rsid w:val="00E42E32"/>
    <w:rsid w:val="00E43A7A"/>
    <w:rsid w:val="00E43B83"/>
    <w:rsid w:val="00E43CBE"/>
    <w:rsid w:val="00E4466E"/>
    <w:rsid w:val="00E44673"/>
    <w:rsid w:val="00E4486F"/>
    <w:rsid w:val="00E44889"/>
    <w:rsid w:val="00E44DB0"/>
    <w:rsid w:val="00E452A1"/>
    <w:rsid w:val="00E45818"/>
    <w:rsid w:val="00E459E1"/>
    <w:rsid w:val="00E45A53"/>
    <w:rsid w:val="00E45F48"/>
    <w:rsid w:val="00E46542"/>
    <w:rsid w:val="00E466A0"/>
    <w:rsid w:val="00E46B4A"/>
    <w:rsid w:val="00E4762D"/>
    <w:rsid w:val="00E47AE4"/>
    <w:rsid w:val="00E50179"/>
    <w:rsid w:val="00E506FF"/>
    <w:rsid w:val="00E50756"/>
    <w:rsid w:val="00E508FD"/>
    <w:rsid w:val="00E50CB4"/>
    <w:rsid w:val="00E50E1C"/>
    <w:rsid w:val="00E511F4"/>
    <w:rsid w:val="00E51885"/>
    <w:rsid w:val="00E5204D"/>
    <w:rsid w:val="00E5252F"/>
    <w:rsid w:val="00E52C17"/>
    <w:rsid w:val="00E52EB2"/>
    <w:rsid w:val="00E5438B"/>
    <w:rsid w:val="00E5439E"/>
    <w:rsid w:val="00E544A2"/>
    <w:rsid w:val="00E5491C"/>
    <w:rsid w:val="00E56077"/>
    <w:rsid w:val="00E567BE"/>
    <w:rsid w:val="00E569BA"/>
    <w:rsid w:val="00E56B1C"/>
    <w:rsid w:val="00E56FA0"/>
    <w:rsid w:val="00E57458"/>
    <w:rsid w:val="00E57B9F"/>
    <w:rsid w:val="00E57D9D"/>
    <w:rsid w:val="00E605FA"/>
    <w:rsid w:val="00E61EA6"/>
    <w:rsid w:val="00E62B9A"/>
    <w:rsid w:val="00E630D9"/>
    <w:rsid w:val="00E63436"/>
    <w:rsid w:val="00E634D0"/>
    <w:rsid w:val="00E6424B"/>
    <w:rsid w:val="00E64DBC"/>
    <w:rsid w:val="00E64DC6"/>
    <w:rsid w:val="00E64F1E"/>
    <w:rsid w:val="00E6528E"/>
    <w:rsid w:val="00E654A0"/>
    <w:rsid w:val="00E65771"/>
    <w:rsid w:val="00E6585B"/>
    <w:rsid w:val="00E65DF7"/>
    <w:rsid w:val="00E65ED3"/>
    <w:rsid w:val="00E6789D"/>
    <w:rsid w:val="00E67F0F"/>
    <w:rsid w:val="00E702DD"/>
    <w:rsid w:val="00E702FF"/>
    <w:rsid w:val="00E70506"/>
    <w:rsid w:val="00E70A12"/>
    <w:rsid w:val="00E70CF5"/>
    <w:rsid w:val="00E7139B"/>
    <w:rsid w:val="00E71611"/>
    <w:rsid w:val="00E717AE"/>
    <w:rsid w:val="00E71CD0"/>
    <w:rsid w:val="00E71E15"/>
    <w:rsid w:val="00E72A26"/>
    <w:rsid w:val="00E72CD8"/>
    <w:rsid w:val="00E7357A"/>
    <w:rsid w:val="00E746D7"/>
    <w:rsid w:val="00E74D98"/>
    <w:rsid w:val="00E74DB6"/>
    <w:rsid w:val="00E74EB4"/>
    <w:rsid w:val="00E75132"/>
    <w:rsid w:val="00E75281"/>
    <w:rsid w:val="00E753C4"/>
    <w:rsid w:val="00E75CB7"/>
    <w:rsid w:val="00E7608A"/>
    <w:rsid w:val="00E7614A"/>
    <w:rsid w:val="00E76378"/>
    <w:rsid w:val="00E76A63"/>
    <w:rsid w:val="00E76BE1"/>
    <w:rsid w:val="00E76FF0"/>
    <w:rsid w:val="00E7716A"/>
    <w:rsid w:val="00E7747D"/>
    <w:rsid w:val="00E7763A"/>
    <w:rsid w:val="00E7766B"/>
    <w:rsid w:val="00E77935"/>
    <w:rsid w:val="00E803E7"/>
    <w:rsid w:val="00E8048E"/>
    <w:rsid w:val="00E805C0"/>
    <w:rsid w:val="00E808A9"/>
    <w:rsid w:val="00E80BF6"/>
    <w:rsid w:val="00E80C72"/>
    <w:rsid w:val="00E810A0"/>
    <w:rsid w:val="00E813EC"/>
    <w:rsid w:val="00E81449"/>
    <w:rsid w:val="00E815BE"/>
    <w:rsid w:val="00E81EFC"/>
    <w:rsid w:val="00E82190"/>
    <w:rsid w:val="00E82244"/>
    <w:rsid w:val="00E82747"/>
    <w:rsid w:val="00E82D50"/>
    <w:rsid w:val="00E8349D"/>
    <w:rsid w:val="00E83AB4"/>
    <w:rsid w:val="00E844E0"/>
    <w:rsid w:val="00E851B9"/>
    <w:rsid w:val="00E85856"/>
    <w:rsid w:val="00E8592C"/>
    <w:rsid w:val="00E862B3"/>
    <w:rsid w:val="00E8665F"/>
    <w:rsid w:val="00E86A77"/>
    <w:rsid w:val="00E86C44"/>
    <w:rsid w:val="00E86F8E"/>
    <w:rsid w:val="00E87014"/>
    <w:rsid w:val="00E873A5"/>
    <w:rsid w:val="00E87625"/>
    <w:rsid w:val="00E877C7"/>
    <w:rsid w:val="00E87AB6"/>
    <w:rsid w:val="00E87B98"/>
    <w:rsid w:val="00E87CA4"/>
    <w:rsid w:val="00E87FEB"/>
    <w:rsid w:val="00E9003F"/>
    <w:rsid w:val="00E90269"/>
    <w:rsid w:val="00E9037C"/>
    <w:rsid w:val="00E903C4"/>
    <w:rsid w:val="00E903C8"/>
    <w:rsid w:val="00E906CA"/>
    <w:rsid w:val="00E90B61"/>
    <w:rsid w:val="00E91324"/>
    <w:rsid w:val="00E91355"/>
    <w:rsid w:val="00E91384"/>
    <w:rsid w:val="00E9155B"/>
    <w:rsid w:val="00E917EE"/>
    <w:rsid w:val="00E91F69"/>
    <w:rsid w:val="00E92501"/>
    <w:rsid w:val="00E92EFF"/>
    <w:rsid w:val="00E92F24"/>
    <w:rsid w:val="00E930D8"/>
    <w:rsid w:val="00E93165"/>
    <w:rsid w:val="00E93339"/>
    <w:rsid w:val="00E935D8"/>
    <w:rsid w:val="00E93776"/>
    <w:rsid w:val="00E94596"/>
    <w:rsid w:val="00E9479F"/>
    <w:rsid w:val="00E947B9"/>
    <w:rsid w:val="00E94B89"/>
    <w:rsid w:val="00E95F12"/>
    <w:rsid w:val="00E962FE"/>
    <w:rsid w:val="00E9646E"/>
    <w:rsid w:val="00E966AC"/>
    <w:rsid w:val="00E96892"/>
    <w:rsid w:val="00E96B45"/>
    <w:rsid w:val="00E96E69"/>
    <w:rsid w:val="00E9718E"/>
    <w:rsid w:val="00E9762B"/>
    <w:rsid w:val="00E97BCB"/>
    <w:rsid w:val="00E97E50"/>
    <w:rsid w:val="00EA086C"/>
    <w:rsid w:val="00EA0CA8"/>
    <w:rsid w:val="00EA175C"/>
    <w:rsid w:val="00EA2221"/>
    <w:rsid w:val="00EA2236"/>
    <w:rsid w:val="00EA2334"/>
    <w:rsid w:val="00EA27F2"/>
    <w:rsid w:val="00EA2965"/>
    <w:rsid w:val="00EA2B6B"/>
    <w:rsid w:val="00EA2F2A"/>
    <w:rsid w:val="00EA4422"/>
    <w:rsid w:val="00EA4CCC"/>
    <w:rsid w:val="00EA4DB5"/>
    <w:rsid w:val="00EA4E09"/>
    <w:rsid w:val="00EA4EA8"/>
    <w:rsid w:val="00EA5043"/>
    <w:rsid w:val="00EA57F3"/>
    <w:rsid w:val="00EA61ED"/>
    <w:rsid w:val="00EA66FB"/>
    <w:rsid w:val="00EA71B1"/>
    <w:rsid w:val="00EA7692"/>
    <w:rsid w:val="00EA78DD"/>
    <w:rsid w:val="00EA7EFC"/>
    <w:rsid w:val="00EB0BC0"/>
    <w:rsid w:val="00EB0CA8"/>
    <w:rsid w:val="00EB1A12"/>
    <w:rsid w:val="00EB2A17"/>
    <w:rsid w:val="00EB2C94"/>
    <w:rsid w:val="00EB2E9D"/>
    <w:rsid w:val="00EB3621"/>
    <w:rsid w:val="00EB3638"/>
    <w:rsid w:val="00EB3912"/>
    <w:rsid w:val="00EB3B3F"/>
    <w:rsid w:val="00EB3C77"/>
    <w:rsid w:val="00EB46E7"/>
    <w:rsid w:val="00EB4851"/>
    <w:rsid w:val="00EB49E1"/>
    <w:rsid w:val="00EB4E5A"/>
    <w:rsid w:val="00EB527A"/>
    <w:rsid w:val="00EB5BF9"/>
    <w:rsid w:val="00EB5CBC"/>
    <w:rsid w:val="00EB5D27"/>
    <w:rsid w:val="00EB5D75"/>
    <w:rsid w:val="00EB5E74"/>
    <w:rsid w:val="00EB6617"/>
    <w:rsid w:val="00EB66C7"/>
    <w:rsid w:val="00EB6CB5"/>
    <w:rsid w:val="00EB728A"/>
    <w:rsid w:val="00EB7451"/>
    <w:rsid w:val="00EB762C"/>
    <w:rsid w:val="00EB7A8A"/>
    <w:rsid w:val="00EB7CA9"/>
    <w:rsid w:val="00EC0028"/>
    <w:rsid w:val="00EC0ADD"/>
    <w:rsid w:val="00EC1145"/>
    <w:rsid w:val="00EC130E"/>
    <w:rsid w:val="00EC1896"/>
    <w:rsid w:val="00EC1E70"/>
    <w:rsid w:val="00EC21A1"/>
    <w:rsid w:val="00EC2639"/>
    <w:rsid w:val="00EC283C"/>
    <w:rsid w:val="00EC2CEE"/>
    <w:rsid w:val="00EC2E34"/>
    <w:rsid w:val="00EC3086"/>
    <w:rsid w:val="00EC33D7"/>
    <w:rsid w:val="00EC36A4"/>
    <w:rsid w:val="00EC3A37"/>
    <w:rsid w:val="00EC3D46"/>
    <w:rsid w:val="00EC3F95"/>
    <w:rsid w:val="00EC47CC"/>
    <w:rsid w:val="00EC4FAE"/>
    <w:rsid w:val="00EC515E"/>
    <w:rsid w:val="00EC5592"/>
    <w:rsid w:val="00EC5625"/>
    <w:rsid w:val="00EC56C9"/>
    <w:rsid w:val="00EC5A62"/>
    <w:rsid w:val="00EC5BA7"/>
    <w:rsid w:val="00EC68EE"/>
    <w:rsid w:val="00EC6A14"/>
    <w:rsid w:val="00EC6A57"/>
    <w:rsid w:val="00EC6A89"/>
    <w:rsid w:val="00EC72B8"/>
    <w:rsid w:val="00EC763A"/>
    <w:rsid w:val="00EC79ED"/>
    <w:rsid w:val="00EC7E74"/>
    <w:rsid w:val="00EC7F72"/>
    <w:rsid w:val="00ED033B"/>
    <w:rsid w:val="00ED0F71"/>
    <w:rsid w:val="00ED1155"/>
    <w:rsid w:val="00ED206C"/>
    <w:rsid w:val="00ED25AA"/>
    <w:rsid w:val="00ED28A2"/>
    <w:rsid w:val="00ED33BD"/>
    <w:rsid w:val="00ED341D"/>
    <w:rsid w:val="00ED36F2"/>
    <w:rsid w:val="00ED37BD"/>
    <w:rsid w:val="00ED38EB"/>
    <w:rsid w:val="00ED469A"/>
    <w:rsid w:val="00ED4CE9"/>
    <w:rsid w:val="00ED5256"/>
    <w:rsid w:val="00ED5321"/>
    <w:rsid w:val="00ED5542"/>
    <w:rsid w:val="00ED5D79"/>
    <w:rsid w:val="00ED611E"/>
    <w:rsid w:val="00ED6500"/>
    <w:rsid w:val="00ED6D91"/>
    <w:rsid w:val="00ED7061"/>
    <w:rsid w:val="00ED77ED"/>
    <w:rsid w:val="00EE0178"/>
    <w:rsid w:val="00EE0992"/>
    <w:rsid w:val="00EE15C2"/>
    <w:rsid w:val="00EE1C07"/>
    <w:rsid w:val="00EE1C1B"/>
    <w:rsid w:val="00EE28BA"/>
    <w:rsid w:val="00EE2EB1"/>
    <w:rsid w:val="00EE33CD"/>
    <w:rsid w:val="00EE364F"/>
    <w:rsid w:val="00EE36CF"/>
    <w:rsid w:val="00EE4163"/>
    <w:rsid w:val="00EE42D5"/>
    <w:rsid w:val="00EE4585"/>
    <w:rsid w:val="00EE497E"/>
    <w:rsid w:val="00EE499B"/>
    <w:rsid w:val="00EE5869"/>
    <w:rsid w:val="00EE598B"/>
    <w:rsid w:val="00EE6353"/>
    <w:rsid w:val="00EE63B6"/>
    <w:rsid w:val="00EE6599"/>
    <w:rsid w:val="00EE6CC9"/>
    <w:rsid w:val="00EE7038"/>
    <w:rsid w:val="00EE7456"/>
    <w:rsid w:val="00EE767D"/>
    <w:rsid w:val="00EE7797"/>
    <w:rsid w:val="00EE7918"/>
    <w:rsid w:val="00EF0CF5"/>
    <w:rsid w:val="00EF10F7"/>
    <w:rsid w:val="00EF1219"/>
    <w:rsid w:val="00EF125B"/>
    <w:rsid w:val="00EF13EE"/>
    <w:rsid w:val="00EF18F6"/>
    <w:rsid w:val="00EF1902"/>
    <w:rsid w:val="00EF1C26"/>
    <w:rsid w:val="00EF301E"/>
    <w:rsid w:val="00EF318C"/>
    <w:rsid w:val="00EF388D"/>
    <w:rsid w:val="00EF3A81"/>
    <w:rsid w:val="00EF3C09"/>
    <w:rsid w:val="00EF3F4E"/>
    <w:rsid w:val="00EF412C"/>
    <w:rsid w:val="00EF44EC"/>
    <w:rsid w:val="00EF470A"/>
    <w:rsid w:val="00EF48A6"/>
    <w:rsid w:val="00EF4E00"/>
    <w:rsid w:val="00EF50BE"/>
    <w:rsid w:val="00EF53F5"/>
    <w:rsid w:val="00EF547D"/>
    <w:rsid w:val="00EF560E"/>
    <w:rsid w:val="00EF571A"/>
    <w:rsid w:val="00EF5DC2"/>
    <w:rsid w:val="00EF5DED"/>
    <w:rsid w:val="00EF652F"/>
    <w:rsid w:val="00EF662A"/>
    <w:rsid w:val="00EF68F9"/>
    <w:rsid w:val="00EF6FEF"/>
    <w:rsid w:val="00EF704B"/>
    <w:rsid w:val="00EF7950"/>
    <w:rsid w:val="00EF7DD7"/>
    <w:rsid w:val="00F00306"/>
    <w:rsid w:val="00F00925"/>
    <w:rsid w:val="00F00A74"/>
    <w:rsid w:val="00F01B2D"/>
    <w:rsid w:val="00F023B9"/>
    <w:rsid w:val="00F02B7D"/>
    <w:rsid w:val="00F02D81"/>
    <w:rsid w:val="00F02DE7"/>
    <w:rsid w:val="00F03DFA"/>
    <w:rsid w:val="00F041E5"/>
    <w:rsid w:val="00F0475D"/>
    <w:rsid w:val="00F04DBC"/>
    <w:rsid w:val="00F04DCF"/>
    <w:rsid w:val="00F067C4"/>
    <w:rsid w:val="00F06D40"/>
    <w:rsid w:val="00F06D8F"/>
    <w:rsid w:val="00F07896"/>
    <w:rsid w:val="00F07F4A"/>
    <w:rsid w:val="00F10350"/>
    <w:rsid w:val="00F10A0E"/>
    <w:rsid w:val="00F10E50"/>
    <w:rsid w:val="00F11209"/>
    <w:rsid w:val="00F11A76"/>
    <w:rsid w:val="00F11AFC"/>
    <w:rsid w:val="00F11F2E"/>
    <w:rsid w:val="00F120B0"/>
    <w:rsid w:val="00F12312"/>
    <w:rsid w:val="00F123D4"/>
    <w:rsid w:val="00F12428"/>
    <w:rsid w:val="00F125CB"/>
    <w:rsid w:val="00F12867"/>
    <w:rsid w:val="00F1349C"/>
    <w:rsid w:val="00F13518"/>
    <w:rsid w:val="00F13A31"/>
    <w:rsid w:val="00F13F18"/>
    <w:rsid w:val="00F1472A"/>
    <w:rsid w:val="00F14CFA"/>
    <w:rsid w:val="00F14D05"/>
    <w:rsid w:val="00F14E64"/>
    <w:rsid w:val="00F14FB9"/>
    <w:rsid w:val="00F15056"/>
    <w:rsid w:val="00F15585"/>
    <w:rsid w:val="00F157A1"/>
    <w:rsid w:val="00F157DF"/>
    <w:rsid w:val="00F15E02"/>
    <w:rsid w:val="00F16522"/>
    <w:rsid w:val="00F16936"/>
    <w:rsid w:val="00F16EC8"/>
    <w:rsid w:val="00F17014"/>
    <w:rsid w:val="00F171BA"/>
    <w:rsid w:val="00F17F9C"/>
    <w:rsid w:val="00F17FBC"/>
    <w:rsid w:val="00F200A3"/>
    <w:rsid w:val="00F2046C"/>
    <w:rsid w:val="00F208DA"/>
    <w:rsid w:val="00F21260"/>
    <w:rsid w:val="00F212DE"/>
    <w:rsid w:val="00F2157A"/>
    <w:rsid w:val="00F2162D"/>
    <w:rsid w:val="00F21B14"/>
    <w:rsid w:val="00F22007"/>
    <w:rsid w:val="00F22080"/>
    <w:rsid w:val="00F2261F"/>
    <w:rsid w:val="00F2297D"/>
    <w:rsid w:val="00F22AE3"/>
    <w:rsid w:val="00F233D5"/>
    <w:rsid w:val="00F23509"/>
    <w:rsid w:val="00F23662"/>
    <w:rsid w:val="00F237FA"/>
    <w:rsid w:val="00F24B75"/>
    <w:rsid w:val="00F25076"/>
    <w:rsid w:val="00F252D1"/>
    <w:rsid w:val="00F253E1"/>
    <w:rsid w:val="00F25B7A"/>
    <w:rsid w:val="00F25DD9"/>
    <w:rsid w:val="00F26655"/>
    <w:rsid w:val="00F26A3F"/>
    <w:rsid w:val="00F26C1A"/>
    <w:rsid w:val="00F27C4A"/>
    <w:rsid w:val="00F308C6"/>
    <w:rsid w:val="00F31389"/>
    <w:rsid w:val="00F317F5"/>
    <w:rsid w:val="00F31B78"/>
    <w:rsid w:val="00F31DE6"/>
    <w:rsid w:val="00F31FB0"/>
    <w:rsid w:val="00F32786"/>
    <w:rsid w:val="00F327A9"/>
    <w:rsid w:val="00F32AFC"/>
    <w:rsid w:val="00F32E15"/>
    <w:rsid w:val="00F3301C"/>
    <w:rsid w:val="00F333A7"/>
    <w:rsid w:val="00F33C9D"/>
    <w:rsid w:val="00F34414"/>
    <w:rsid w:val="00F34547"/>
    <w:rsid w:val="00F34CD6"/>
    <w:rsid w:val="00F34F04"/>
    <w:rsid w:val="00F353C8"/>
    <w:rsid w:val="00F3586B"/>
    <w:rsid w:val="00F36EE7"/>
    <w:rsid w:val="00F37386"/>
    <w:rsid w:val="00F37500"/>
    <w:rsid w:val="00F37A75"/>
    <w:rsid w:val="00F408CC"/>
    <w:rsid w:val="00F40B80"/>
    <w:rsid w:val="00F40D70"/>
    <w:rsid w:val="00F40E8B"/>
    <w:rsid w:val="00F415AB"/>
    <w:rsid w:val="00F41BC8"/>
    <w:rsid w:val="00F4221F"/>
    <w:rsid w:val="00F42AF0"/>
    <w:rsid w:val="00F43384"/>
    <w:rsid w:val="00F43517"/>
    <w:rsid w:val="00F4434A"/>
    <w:rsid w:val="00F44640"/>
    <w:rsid w:val="00F446FE"/>
    <w:rsid w:val="00F44933"/>
    <w:rsid w:val="00F45579"/>
    <w:rsid w:val="00F4560E"/>
    <w:rsid w:val="00F45685"/>
    <w:rsid w:val="00F45AD8"/>
    <w:rsid w:val="00F45B65"/>
    <w:rsid w:val="00F45D53"/>
    <w:rsid w:val="00F45F9B"/>
    <w:rsid w:val="00F46A9E"/>
    <w:rsid w:val="00F47410"/>
    <w:rsid w:val="00F47A59"/>
    <w:rsid w:val="00F50F16"/>
    <w:rsid w:val="00F51C28"/>
    <w:rsid w:val="00F527EB"/>
    <w:rsid w:val="00F52A43"/>
    <w:rsid w:val="00F532FF"/>
    <w:rsid w:val="00F53950"/>
    <w:rsid w:val="00F54008"/>
    <w:rsid w:val="00F5432C"/>
    <w:rsid w:val="00F54460"/>
    <w:rsid w:val="00F552BF"/>
    <w:rsid w:val="00F55348"/>
    <w:rsid w:val="00F554B0"/>
    <w:rsid w:val="00F557D4"/>
    <w:rsid w:val="00F55917"/>
    <w:rsid w:val="00F55F43"/>
    <w:rsid w:val="00F56851"/>
    <w:rsid w:val="00F56C5F"/>
    <w:rsid w:val="00F57718"/>
    <w:rsid w:val="00F5780A"/>
    <w:rsid w:val="00F60392"/>
    <w:rsid w:val="00F603FD"/>
    <w:rsid w:val="00F6175E"/>
    <w:rsid w:val="00F618DB"/>
    <w:rsid w:val="00F61C82"/>
    <w:rsid w:val="00F62A8A"/>
    <w:rsid w:val="00F62FBB"/>
    <w:rsid w:val="00F6318F"/>
    <w:rsid w:val="00F63328"/>
    <w:rsid w:val="00F63B3D"/>
    <w:rsid w:val="00F63D1C"/>
    <w:rsid w:val="00F64090"/>
    <w:rsid w:val="00F64171"/>
    <w:rsid w:val="00F644E3"/>
    <w:rsid w:val="00F6481C"/>
    <w:rsid w:val="00F64BFD"/>
    <w:rsid w:val="00F65808"/>
    <w:rsid w:val="00F66228"/>
    <w:rsid w:val="00F676D5"/>
    <w:rsid w:val="00F67BCC"/>
    <w:rsid w:val="00F7048A"/>
    <w:rsid w:val="00F705B4"/>
    <w:rsid w:val="00F70651"/>
    <w:rsid w:val="00F706DF"/>
    <w:rsid w:val="00F70E8A"/>
    <w:rsid w:val="00F711DC"/>
    <w:rsid w:val="00F71683"/>
    <w:rsid w:val="00F726F9"/>
    <w:rsid w:val="00F73ABA"/>
    <w:rsid w:val="00F73B3C"/>
    <w:rsid w:val="00F73FA3"/>
    <w:rsid w:val="00F74069"/>
    <w:rsid w:val="00F7439A"/>
    <w:rsid w:val="00F74EFD"/>
    <w:rsid w:val="00F75543"/>
    <w:rsid w:val="00F7569D"/>
    <w:rsid w:val="00F75701"/>
    <w:rsid w:val="00F75DFB"/>
    <w:rsid w:val="00F75EA7"/>
    <w:rsid w:val="00F760B0"/>
    <w:rsid w:val="00F7615A"/>
    <w:rsid w:val="00F766DA"/>
    <w:rsid w:val="00F76E66"/>
    <w:rsid w:val="00F771D4"/>
    <w:rsid w:val="00F77676"/>
    <w:rsid w:val="00F802D2"/>
    <w:rsid w:val="00F80DC6"/>
    <w:rsid w:val="00F80E45"/>
    <w:rsid w:val="00F80F64"/>
    <w:rsid w:val="00F81735"/>
    <w:rsid w:val="00F818CF"/>
    <w:rsid w:val="00F81EEA"/>
    <w:rsid w:val="00F824AA"/>
    <w:rsid w:val="00F8278A"/>
    <w:rsid w:val="00F8298E"/>
    <w:rsid w:val="00F82D01"/>
    <w:rsid w:val="00F830C3"/>
    <w:rsid w:val="00F832DB"/>
    <w:rsid w:val="00F83494"/>
    <w:rsid w:val="00F83D8C"/>
    <w:rsid w:val="00F8415F"/>
    <w:rsid w:val="00F843A0"/>
    <w:rsid w:val="00F843A7"/>
    <w:rsid w:val="00F848A1"/>
    <w:rsid w:val="00F8518D"/>
    <w:rsid w:val="00F85696"/>
    <w:rsid w:val="00F85828"/>
    <w:rsid w:val="00F85BCF"/>
    <w:rsid w:val="00F86360"/>
    <w:rsid w:val="00F86B4A"/>
    <w:rsid w:val="00F87251"/>
    <w:rsid w:val="00F87B22"/>
    <w:rsid w:val="00F90416"/>
    <w:rsid w:val="00F906D6"/>
    <w:rsid w:val="00F9144C"/>
    <w:rsid w:val="00F918C0"/>
    <w:rsid w:val="00F91BD9"/>
    <w:rsid w:val="00F91F54"/>
    <w:rsid w:val="00F9275E"/>
    <w:rsid w:val="00F92D38"/>
    <w:rsid w:val="00F92E01"/>
    <w:rsid w:val="00F93258"/>
    <w:rsid w:val="00F93499"/>
    <w:rsid w:val="00F938EC"/>
    <w:rsid w:val="00F94274"/>
    <w:rsid w:val="00F94C91"/>
    <w:rsid w:val="00F95029"/>
    <w:rsid w:val="00F95117"/>
    <w:rsid w:val="00F954C9"/>
    <w:rsid w:val="00F95570"/>
    <w:rsid w:val="00F95EB7"/>
    <w:rsid w:val="00F96041"/>
    <w:rsid w:val="00F965D6"/>
    <w:rsid w:val="00F96769"/>
    <w:rsid w:val="00F970F0"/>
    <w:rsid w:val="00F97224"/>
    <w:rsid w:val="00F97326"/>
    <w:rsid w:val="00F976DC"/>
    <w:rsid w:val="00F97778"/>
    <w:rsid w:val="00FA0049"/>
    <w:rsid w:val="00FA028A"/>
    <w:rsid w:val="00FA02AF"/>
    <w:rsid w:val="00FA0447"/>
    <w:rsid w:val="00FA0573"/>
    <w:rsid w:val="00FA0B9A"/>
    <w:rsid w:val="00FA0E38"/>
    <w:rsid w:val="00FA1660"/>
    <w:rsid w:val="00FA1783"/>
    <w:rsid w:val="00FA191F"/>
    <w:rsid w:val="00FA237B"/>
    <w:rsid w:val="00FA330B"/>
    <w:rsid w:val="00FA35F1"/>
    <w:rsid w:val="00FA3635"/>
    <w:rsid w:val="00FA3BD7"/>
    <w:rsid w:val="00FA3E37"/>
    <w:rsid w:val="00FA4212"/>
    <w:rsid w:val="00FA4349"/>
    <w:rsid w:val="00FA553D"/>
    <w:rsid w:val="00FA6D9A"/>
    <w:rsid w:val="00FA70A6"/>
    <w:rsid w:val="00FA7793"/>
    <w:rsid w:val="00FA7AB0"/>
    <w:rsid w:val="00FB0210"/>
    <w:rsid w:val="00FB038F"/>
    <w:rsid w:val="00FB0693"/>
    <w:rsid w:val="00FB09DA"/>
    <w:rsid w:val="00FB12B5"/>
    <w:rsid w:val="00FB1B1A"/>
    <w:rsid w:val="00FB230A"/>
    <w:rsid w:val="00FB2C8D"/>
    <w:rsid w:val="00FB3020"/>
    <w:rsid w:val="00FB388C"/>
    <w:rsid w:val="00FB4786"/>
    <w:rsid w:val="00FB48CF"/>
    <w:rsid w:val="00FB4B41"/>
    <w:rsid w:val="00FB5538"/>
    <w:rsid w:val="00FB579F"/>
    <w:rsid w:val="00FB631D"/>
    <w:rsid w:val="00FB67BE"/>
    <w:rsid w:val="00FB6A97"/>
    <w:rsid w:val="00FB6E49"/>
    <w:rsid w:val="00FC0ACF"/>
    <w:rsid w:val="00FC12CC"/>
    <w:rsid w:val="00FC12CD"/>
    <w:rsid w:val="00FC13E2"/>
    <w:rsid w:val="00FC18A8"/>
    <w:rsid w:val="00FC1976"/>
    <w:rsid w:val="00FC1EE9"/>
    <w:rsid w:val="00FC2572"/>
    <w:rsid w:val="00FC261B"/>
    <w:rsid w:val="00FC3246"/>
    <w:rsid w:val="00FC365E"/>
    <w:rsid w:val="00FC3AAC"/>
    <w:rsid w:val="00FC4040"/>
    <w:rsid w:val="00FC445A"/>
    <w:rsid w:val="00FC5315"/>
    <w:rsid w:val="00FC53EA"/>
    <w:rsid w:val="00FC5892"/>
    <w:rsid w:val="00FC58E4"/>
    <w:rsid w:val="00FC5D02"/>
    <w:rsid w:val="00FC60F7"/>
    <w:rsid w:val="00FC6211"/>
    <w:rsid w:val="00FC6DB6"/>
    <w:rsid w:val="00FC6E5A"/>
    <w:rsid w:val="00FC70AD"/>
    <w:rsid w:val="00FC739F"/>
    <w:rsid w:val="00FC798E"/>
    <w:rsid w:val="00FD0116"/>
    <w:rsid w:val="00FD0525"/>
    <w:rsid w:val="00FD07CB"/>
    <w:rsid w:val="00FD0B0B"/>
    <w:rsid w:val="00FD155A"/>
    <w:rsid w:val="00FD21B0"/>
    <w:rsid w:val="00FD242F"/>
    <w:rsid w:val="00FD2A0A"/>
    <w:rsid w:val="00FD2B66"/>
    <w:rsid w:val="00FD2CC4"/>
    <w:rsid w:val="00FD37DF"/>
    <w:rsid w:val="00FD3A32"/>
    <w:rsid w:val="00FD3B46"/>
    <w:rsid w:val="00FD3BB7"/>
    <w:rsid w:val="00FD3C77"/>
    <w:rsid w:val="00FD3E37"/>
    <w:rsid w:val="00FD478B"/>
    <w:rsid w:val="00FD4B14"/>
    <w:rsid w:val="00FD4BDD"/>
    <w:rsid w:val="00FD4CAB"/>
    <w:rsid w:val="00FD4F64"/>
    <w:rsid w:val="00FD560D"/>
    <w:rsid w:val="00FD5BDF"/>
    <w:rsid w:val="00FD62A5"/>
    <w:rsid w:val="00FD633F"/>
    <w:rsid w:val="00FD66D1"/>
    <w:rsid w:val="00FD6746"/>
    <w:rsid w:val="00FD6CB9"/>
    <w:rsid w:val="00FE00F7"/>
    <w:rsid w:val="00FE0177"/>
    <w:rsid w:val="00FE0425"/>
    <w:rsid w:val="00FE04AD"/>
    <w:rsid w:val="00FE04D0"/>
    <w:rsid w:val="00FE08F4"/>
    <w:rsid w:val="00FE1402"/>
    <w:rsid w:val="00FE1780"/>
    <w:rsid w:val="00FE2B6E"/>
    <w:rsid w:val="00FE2B9C"/>
    <w:rsid w:val="00FE2C5D"/>
    <w:rsid w:val="00FE2EC5"/>
    <w:rsid w:val="00FE3F85"/>
    <w:rsid w:val="00FE4915"/>
    <w:rsid w:val="00FE621D"/>
    <w:rsid w:val="00FE628A"/>
    <w:rsid w:val="00FE62B8"/>
    <w:rsid w:val="00FE65F2"/>
    <w:rsid w:val="00FE69E1"/>
    <w:rsid w:val="00FE70F0"/>
    <w:rsid w:val="00FE7227"/>
    <w:rsid w:val="00FE78D7"/>
    <w:rsid w:val="00FE7B1B"/>
    <w:rsid w:val="00FE7BCC"/>
    <w:rsid w:val="00FE7D44"/>
    <w:rsid w:val="00FE7E0B"/>
    <w:rsid w:val="00FF0206"/>
    <w:rsid w:val="00FF06DF"/>
    <w:rsid w:val="00FF15DD"/>
    <w:rsid w:val="00FF163B"/>
    <w:rsid w:val="00FF193A"/>
    <w:rsid w:val="00FF1976"/>
    <w:rsid w:val="00FF1DBE"/>
    <w:rsid w:val="00FF1DD8"/>
    <w:rsid w:val="00FF2AD0"/>
    <w:rsid w:val="00FF3331"/>
    <w:rsid w:val="00FF3560"/>
    <w:rsid w:val="00FF3B17"/>
    <w:rsid w:val="00FF3B50"/>
    <w:rsid w:val="00FF3D2F"/>
    <w:rsid w:val="00FF4440"/>
    <w:rsid w:val="00FF4CF0"/>
    <w:rsid w:val="00FF5A0A"/>
    <w:rsid w:val="00FF5D16"/>
    <w:rsid w:val="00FF60A6"/>
    <w:rsid w:val="00FF60DF"/>
    <w:rsid w:val="00FF631C"/>
    <w:rsid w:val="00FF6967"/>
    <w:rsid w:val="00FF6C21"/>
    <w:rsid w:val="00FF6C38"/>
    <w:rsid w:val="00FF704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73CB4"/>
  <w15:chartTrackingRefBased/>
  <w15:docId w15:val="{FE139927-50CB-4F13-A0A2-B319B99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346"/>
  </w:style>
  <w:style w:type="paragraph" w:styleId="Nadpis1">
    <w:name w:val="heading 1"/>
    <w:basedOn w:val="Normln"/>
    <w:next w:val="Normln"/>
    <w:link w:val="Nadpis1Char"/>
    <w:uiPriority w:val="9"/>
    <w:qFormat/>
    <w:rsid w:val="00604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04B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47D21"/>
    <w:pPr>
      <w:spacing w:after="120" w:line="240" w:lineRule="auto"/>
      <w:outlineLvl w:val="2"/>
    </w:pPr>
    <w:rPr>
      <w:rFonts w:eastAsia="Times New Roman" w:cstheme="minorHAns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47D21"/>
    <w:rPr>
      <w:rFonts w:eastAsia="Times New Roman" w:cstheme="minorHAnsi"/>
      <w:b/>
      <w:sz w:val="24"/>
      <w:szCs w:val="24"/>
    </w:rPr>
  </w:style>
  <w:style w:type="paragraph" w:styleId="Odstavecseseznamem">
    <w:name w:val="List Paragraph"/>
    <w:aliases w:val="List Paragraph1,List Paragraph2,List Paragraph_0,Nad,Nad1,Nad2,Nadpis pro KZ,Odstavec_muj,Odstavec_muj1,Odstavec_muj10,Odstavec_muj2,Odstavec_muj3,Odstavec_muj4,Odstavec_muj5,Odstavec_muj6,Odstavec_muj7,Odstavec_muj8,odrážky,tab obr"/>
    <w:basedOn w:val="Normln"/>
    <w:link w:val="OdstavecseseznamemChar"/>
    <w:uiPriority w:val="34"/>
    <w:qFormat/>
    <w:rsid w:val="00B47D21"/>
    <w:pPr>
      <w:ind w:left="720"/>
      <w:contextualSpacing/>
    </w:p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uiPriority w:val="99"/>
    <w:unhideWhenUsed/>
    <w:qFormat/>
    <w:rsid w:val="00B47D21"/>
    <w:pPr>
      <w:spacing w:after="0" w:line="240" w:lineRule="auto"/>
    </w:pPr>
    <w:rPr>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basedOn w:val="Standardnpsmoodstavce"/>
    <w:link w:val="Textpoznpodarou"/>
    <w:uiPriority w:val="99"/>
    <w:rsid w:val="00B47D21"/>
    <w:rPr>
      <w:sz w:val="20"/>
      <w:szCs w:val="20"/>
    </w:rPr>
  </w:style>
  <w:style w:type="character" w:styleId="Znakapoznpodarou">
    <w:name w:val="footnote reference"/>
    <w:aliases w:val="12 b.,Appel note de bas de p,Appel note de bas de page,BVI fnr,Char Car Car Car Car,FR,Footnote Reference Superscript,Footnote symbol,Légende,PGI Fußnote Ziffer,PGI Fußnote Ziffer + Times New Roman,Voetnootverwijzing,Zúžené o ..."/>
    <w:basedOn w:val="Standardnpsmoodstavce"/>
    <w:uiPriority w:val="99"/>
    <w:unhideWhenUsed/>
    <w:qFormat/>
    <w:rsid w:val="00B47D21"/>
    <w:rPr>
      <w:vertAlign w:val="superscript"/>
    </w:rPr>
  </w:style>
  <w:style w:type="character" w:customStyle="1" w:styleId="OdstavecseseznamemChar">
    <w:name w:val="Odstavec se seznamem Char"/>
    <w:aliases w:val="List Paragraph1 Char,List Paragraph2 Char,List Paragraph_0 Char,Nad Char,Nad1 Char,Nad2 Char,Nadpis pro KZ Char,Odstavec_muj Char,Odstavec_muj1 Char,Odstavec_muj10 Char,Odstavec_muj2 Char,Odstavec_muj3 Char,Odstavec_muj4 Char"/>
    <w:basedOn w:val="Standardnpsmoodstavce"/>
    <w:link w:val="Odstavecseseznamem"/>
    <w:uiPriority w:val="34"/>
    <w:qFormat/>
    <w:locked/>
    <w:rsid w:val="00B47D21"/>
  </w:style>
  <w:style w:type="character" w:styleId="Hypertextovodkaz">
    <w:name w:val="Hyperlink"/>
    <w:basedOn w:val="Standardnpsmoodstavce"/>
    <w:uiPriority w:val="99"/>
    <w:unhideWhenUsed/>
    <w:rsid w:val="00B47D21"/>
    <w:rPr>
      <w:color w:val="0563C1" w:themeColor="hyperlink"/>
      <w:u w:val="single"/>
    </w:rPr>
  </w:style>
  <w:style w:type="paragraph" w:styleId="Normlnweb">
    <w:name w:val="Normal (Web)"/>
    <w:basedOn w:val="Normln"/>
    <w:uiPriority w:val="99"/>
    <w:semiHidden/>
    <w:rsid w:val="00B47D21"/>
    <w:pPr>
      <w:spacing w:after="0"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25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A3587"/>
    <w:rPr>
      <w:sz w:val="16"/>
      <w:szCs w:val="16"/>
    </w:rPr>
  </w:style>
  <w:style w:type="paragraph" w:styleId="Textkomente">
    <w:name w:val="annotation text"/>
    <w:basedOn w:val="Normln"/>
    <w:link w:val="TextkomenteChar"/>
    <w:uiPriority w:val="99"/>
    <w:unhideWhenUsed/>
    <w:rsid w:val="00AA3587"/>
    <w:pPr>
      <w:spacing w:line="240" w:lineRule="auto"/>
    </w:pPr>
    <w:rPr>
      <w:sz w:val="20"/>
      <w:szCs w:val="20"/>
    </w:rPr>
  </w:style>
  <w:style w:type="character" w:customStyle="1" w:styleId="TextkomenteChar">
    <w:name w:val="Text komentáře Char"/>
    <w:basedOn w:val="Standardnpsmoodstavce"/>
    <w:link w:val="Textkomente"/>
    <w:uiPriority w:val="99"/>
    <w:rsid w:val="00AA3587"/>
    <w:rPr>
      <w:sz w:val="20"/>
      <w:szCs w:val="20"/>
    </w:rPr>
  </w:style>
  <w:style w:type="paragraph" w:styleId="Pedmtkomente">
    <w:name w:val="annotation subject"/>
    <w:basedOn w:val="Textkomente"/>
    <w:next w:val="Textkomente"/>
    <w:link w:val="PedmtkomenteChar"/>
    <w:uiPriority w:val="99"/>
    <w:semiHidden/>
    <w:unhideWhenUsed/>
    <w:rsid w:val="00AA3587"/>
    <w:rPr>
      <w:b/>
      <w:bCs/>
    </w:rPr>
  </w:style>
  <w:style w:type="character" w:customStyle="1" w:styleId="PedmtkomenteChar">
    <w:name w:val="Předmět komentáře Char"/>
    <w:basedOn w:val="TextkomenteChar"/>
    <w:link w:val="Pedmtkomente"/>
    <w:uiPriority w:val="99"/>
    <w:semiHidden/>
    <w:rsid w:val="00AA3587"/>
    <w:rPr>
      <w:b/>
      <w:bCs/>
      <w:sz w:val="20"/>
      <w:szCs w:val="20"/>
    </w:rPr>
  </w:style>
  <w:style w:type="paragraph" w:styleId="Textbubliny">
    <w:name w:val="Balloon Text"/>
    <w:basedOn w:val="Normln"/>
    <w:link w:val="TextbublinyChar"/>
    <w:uiPriority w:val="99"/>
    <w:semiHidden/>
    <w:unhideWhenUsed/>
    <w:rsid w:val="00AA35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587"/>
    <w:rPr>
      <w:rFonts w:ascii="Segoe UI" w:hAnsi="Segoe UI" w:cs="Segoe UI"/>
      <w:sz w:val="18"/>
      <w:szCs w:val="18"/>
    </w:rPr>
  </w:style>
  <w:style w:type="paragraph" w:styleId="Revize">
    <w:name w:val="Revision"/>
    <w:hidden/>
    <w:uiPriority w:val="99"/>
    <w:semiHidden/>
    <w:rsid w:val="003D35BC"/>
    <w:pPr>
      <w:spacing w:after="0" w:line="240" w:lineRule="auto"/>
    </w:pPr>
  </w:style>
  <w:style w:type="table" w:customStyle="1" w:styleId="Mkatabulky1">
    <w:name w:val="Mřížka tabulky1"/>
    <w:basedOn w:val="Normlntabulka"/>
    <w:next w:val="Mkatabulky"/>
    <w:uiPriority w:val="39"/>
    <w:rsid w:val="003F412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E6018"/>
  </w:style>
  <w:style w:type="paragraph" w:customStyle="1" w:styleId="l4">
    <w:name w:val="l4"/>
    <w:basedOn w:val="Normln"/>
    <w:rsid w:val="000360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25D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DA2"/>
  </w:style>
  <w:style w:type="paragraph" w:styleId="Zpat">
    <w:name w:val="footer"/>
    <w:basedOn w:val="Normln"/>
    <w:link w:val="ZpatChar"/>
    <w:uiPriority w:val="99"/>
    <w:unhideWhenUsed/>
    <w:rsid w:val="00425DA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DA2"/>
  </w:style>
  <w:style w:type="character" w:customStyle="1" w:styleId="A1">
    <w:name w:val="A1"/>
    <w:uiPriority w:val="99"/>
    <w:rsid w:val="00646B87"/>
    <w:rPr>
      <w:color w:val="000000"/>
      <w:sz w:val="28"/>
      <w:szCs w:val="28"/>
    </w:rPr>
  </w:style>
  <w:style w:type="character" w:customStyle="1" w:styleId="A4">
    <w:name w:val="A4"/>
    <w:uiPriority w:val="99"/>
    <w:rsid w:val="00646B87"/>
    <w:rPr>
      <w:color w:val="000000"/>
      <w:sz w:val="60"/>
      <w:szCs w:val="60"/>
    </w:rPr>
  </w:style>
  <w:style w:type="character" w:customStyle="1" w:styleId="A5">
    <w:name w:val="A5"/>
    <w:uiPriority w:val="99"/>
    <w:rsid w:val="00646B87"/>
    <w:rPr>
      <w:b/>
      <w:bCs/>
      <w:color w:val="000000"/>
      <w:sz w:val="40"/>
      <w:szCs w:val="40"/>
    </w:rPr>
  </w:style>
  <w:style w:type="character" w:customStyle="1" w:styleId="Nadpis1Char">
    <w:name w:val="Nadpis 1 Char"/>
    <w:basedOn w:val="Standardnpsmoodstavce"/>
    <w:link w:val="Nadpis1"/>
    <w:uiPriority w:val="9"/>
    <w:rsid w:val="00604B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604B88"/>
    <w:rPr>
      <w:rFonts w:asciiTheme="majorHAnsi" w:eastAsiaTheme="majorEastAsia" w:hAnsiTheme="majorHAnsi" w:cstheme="majorBidi"/>
      <w:color w:val="2E74B5" w:themeColor="accent1" w:themeShade="BF"/>
      <w:sz w:val="26"/>
      <w:szCs w:val="26"/>
    </w:rPr>
  </w:style>
  <w:style w:type="paragraph" w:customStyle="1" w:styleId="Default">
    <w:name w:val="Default"/>
    <w:rsid w:val="005953C2"/>
    <w:pPr>
      <w:autoSpaceDE w:val="0"/>
      <w:autoSpaceDN w:val="0"/>
      <w:adjustRightInd w:val="0"/>
      <w:spacing w:after="0" w:line="240" w:lineRule="auto"/>
    </w:pPr>
    <w:rPr>
      <w:rFonts w:ascii="Tahoma" w:hAnsi="Tahoma" w:cs="Tahoma"/>
      <w:color w:val="000000"/>
      <w:sz w:val="24"/>
      <w:szCs w:val="24"/>
    </w:rPr>
  </w:style>
  <w:style w:type="character" w:styleId="Sledovanodkaz">
    <w:name w:val="FollowedHyperlink"/>
    <w:basedOn w:val="Standardnpsmoodstavce"/>
    <w:uiPriority w:val="99"/>
    <w:semiHidden/>
    <w:unhideWhenUsed/>
    <w:rsid w:val="00D70997"/>
    <w:rPr>
      <w:color w:val="954F72" w:themeColor="followedHyperlink"/>
      <w:u w:val="single"/>
    </w:rPr>
  </w:style>
  <w:style w:type="table" w:customStyle="1" w:styleId="Mkatabulky2">
    <w:name w:val="Mřížka tabulky2"/>
    <w:basedOn w:val="Normlntabulka"/>
    <w:next w:val="Mkatabulky"/>
    <w:rsid w:val="004638D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topodporu">
    <w:name w:val="Žádost o podporu"/>
    <w:basedOn w:val="Normln"/>
    <w:autoRedefine/>
    <w:qFormat/>
    <w:rsid w:val="008F4847"/>
    <w:pPr>
      <w:spacing w:after="0" w:line="240" w:lineRule="auto"/>
      <w:jc w:val="both"/>
    </w:pPr>
    <w:rPr>
      <w:rFonts w:eastAsiaTheme="minorEastAsia" w:cstheme="minorHAnsi"/>
      <w:b/>
      <w:spacing w:val="-1"/>
      <w:kern w:val="24"/>
      <w:sz w:val="24"/>
      <w:szCs w:val="24"/>
      <w:lang w:eastAsia="cs-CZ"/>
    </w:rPr>
  </w:style>
  <w:style w:type="paragraph" w:customStyle="1" w:styleId="Nadpis">
    <w:name w:val="Nadpis"/>
    <w:basedOn w:val="Odstavecseseznamem"/>
    <w:link w:val="NadpisChar"/>
    <w:qFormat/>
    <w:rsid w:val="007D2F3B"/>
    <w:pPr>
      <w:spacing w:after="0" w:line="240" w:lineRule="auto"/>
      <w:ind w:left="0"/>
      <w:jc w:val="both"/>
    </w:pPr>
    <w:rPr>
      <w:b/>
      <w:bCs/>
      <w:sz w:val="24"/>
      <w:szCs w:val="24"/>
    </w:rPr>
  </w:style>
  <w:style w:type="character" w:customStyle="1" w:styleId="NadpisChar">
    <w:name w:val="Nadpis Char"/>
    <w:basedOn w:val="OdstavecseseznamemChar"/>
    <w:link w:val="Nadpis"/>
    <w:rsid w:val="007D2F3B"/>
    <w:rPr>
      <w:b/>
      <w:bCs/>
      <w:sz w:val="24"/>
      <w:szCs w:val="24"/>
    </w:rPr>
  </w:style>
  <w:style w:type="character" w:styleId="Siln">
    <w:name w:val="Strong"/>
    <w:basedOn w:val="Standardnpsmoodstavce"/>
    <w:uiPriority w:val="22"/>
    <w:qFormat/>
    <w:rsid w:val="003A0F4D"/>
    <w:rPr>
      <w:b/>
      <w:bCs/>
    </w:rPr>
  </w:style>
  <w:style w:type="paragraph" w:customStyle="1" w:styleId="NormlnKZ">
    <w:name w:val="Normální KZ"/>
    <w:basedOn w:val="Normln"/>
    <w:rsid w:val="009C709B"/>
    <w:pPr>
      <w:spacing w:after="120" w:line="240" w:lineRule="auto"/>
      <w:ind w:firstLine="425"/>
      <w:jc w:val="both"/>
    </w:pPr>
    <w:rPr>
      <w:rFonts w:ascii="Arial" w:eastAsia="Times New Roman" w:hAnsi="Arial" w:cs="Times New Roman"/>
      <w:sz w:val="24"/>
      <w:szCs w:val="24"/>
      <w:lang w:eastAsia="cs-CZ"/>
    </w:rPr>
  </w:style>
  <w:style w:type="character" w:customStyle="1" w:styleId="urtxtstd">
    <w:name w:val="urtxtstd"/>
    <w:basedOn w:val="Standardnpsmoodstavce"/>
    <w:rsid w:val="005B5A92"/>
  </w:style>
  <w:style w:type="paragraph" w:customStyle="1" w:styleId="TextKP">
    <w:name w:val="Text KP"/>
    <w:basedOn w:val="Normln"/>
    <w:link w:val="TextKPChar"/>
    <w:qFormat/>
    <w:rsid w:val="00F26655"/>
    <w:pPr>
      <w:spacing w:before="120" w:after="0" w:line="240" w:lineRule="auto"/>
      <w:jc w:val="both"/>
    </w:pPr>
    <w:rPr>
      <w:rFonts w:eastAsia="Times New Roman" w:cstheme="minorHAnsi"/>
      <w:sz w:val="24"/>
      <w:szCs w:val="24"/>
    </w:rPr>
  </w:style>
  <w:style w:type="character" w:customStyle="1" w:styleId="TextKPChar">
    <w:name w:val="Text KP Char"/>
    <w:basedOn w:val="Standardnpsmoodstavce"/>
    <w:link w:val="TextKP"/>
    <w:rsid w:val="00F26655"/>
    <w:rPr>
      <w:rFonts w:eastAsia="Times New Roman" w:cstheme="minorHAnsi"/>
      <w:sz w:val="24"/>
      <w:szCs w:val="24"/>
    </w:rPr>
  </w:style>
  <w:style w:type="paragraph" w:customStyle="1" w:styleId="Text">
    <w:name w:val="Text"/>
    <w:basedOn w:val="Normln"/>
    <w:link w:val="TextChar"/>
    <w:qFormat/>
    <w:rsid w:val="00DD01C2"/>
    <w:pPr>
      <w:spacing w:before="120" w:after="0" w:line="240" w:lineRule="auto"/>
      <w:jc w:val="both"/>
    </w:pPr>
    <w:rPr>
      <w:rFonts w:cstheme="minorHAnsi"/>
      <w:sz w:val="24"/>
      <w:szCs w:val="24"/>
    </w:rPr>
  </w:style>
  <w:style w:type="character" w:customStyle="1" w:styleId="TextChar">
    <w:name w:val="Text Char"/>
    <w:basedOn w:val="Standardnpsmoodstavce"/>
    <w:link w:val="Text"/>
    <w:rsid w:val="00DD01C2"/>
    <w:rPr>
      <w:rFonts w:cstheme="minorHAnsi"/>
      <w:sz w:val="24"/>
      <w:szCs w:val="24"/>
    </w:rPr>
  </w:style>
  <w:style w:type="table" w:customStyle="1" w:styleId="Mkatabulky3">
    <w:name w:val="Mřížka tabulky3"/>
    <w:basedOn w:val="Normlntabulka"/>
    <w:next w:val="Mkatabulky"/>
    <w:uiPriority w:val="39"/>
    <w:rsid w:val="00CD4A86"/>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rtxtstd11">
    <w:name w:val="urtxtstd11"/>
    <w:basedOn w:val="Standardnpsmoodstavce"/>
    <w:rsid w:val="009A25AA"/>
    <w:rPr>
      <w:rFonts w:ascii="Arial" w:hAnsi="Arial" w:cs="Arial"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2\035\KOLEGIUM\&#268;LENOV&#201;\KON&#205;CEK\KZ\22-05\Kopie%20-%2022_05_str2%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Původně schválený příspěvek</c:v>
                </c:pt>
              </c:strCache>
            </c:strRef>
          </c:tx>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List1!$A$2:$A$4</c:f>
              <c:numCache>
                <c:formatCode>General</c:formatCode>
                <c:ptCount val="3"/>
                <c:pt idx="0">
                  <c:v>2019</c:v>
                </c:pt>
                <c:pt idx="1">
                  <c:v>2020</c:v>
                </c:pt>
                <c:pt idx="2">
                  <c:v>2021</c:v>
                </c:pt>
              </c:numCache>
            </c:numRef>
          </c:cat>
          <c:val>
            <c:numRef>
              <c:f>List1!$B$2:$B$4</c:f>
              <c:numCache>
                <c:formatCode>0.0</c:formatCode>
                <c:ptCount val="3"/>
                <c:pt idx="0">
                  <c:v>197</c:v>
                </c:pt>
                <c:pt idx="1">
                  <c:v>209.8</c:v>
                </c:pt>
                <c:pt idx="2">
                  <c:v>216.8</c:v>
                </c:pt>
              </c:numCache>
            </c:numRef>
          </c:val>
          <c:extLst>
            <c:ext xmlns:c16="http://schemas.microsoft.com/office/drawing/2014/chart" uri="{C3380CC4-5D6E-409C-BE32-E72D297353CC}">
              <c16:uniqueId val="{00000000-E258-482B-BF88-E5E9214A276C}"/>
            </c:ext>
          </c:extLst>
        </c:ser>
        <c:ser>
          <c:idx val="1"/>
          <c:order val="1"/>
          <c:tx>
            <c:strRef>
              <c:f>List1!$C$1</c:f>
              <c:strCache>
                <c:ptCount val="1"/>
                <c:pt idx="0">
                  <c:v>Skutečně čerpáno (po jeho nyvýšení)</c:v>
                </c:pt>
              </c:strCache>
            </c:strRef>
          </c:tx>
          <c:spPr>
            <a:solidFill>
              <a:srgbClr val="BD2A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List1!$A$2:$A$4</c:f>
              <c:numCache>
                <c:formatCode>General</c:formatCode>
                <c:ptCount val="3"/>
                <c:pt idx="0">
                  <c:v>2019</c:v>
                </c:pt>
                <c:pt idx="1">
                  <c:v>2020</c:v>
                </c:pt>
                <c:pt idx="2">
                  <c:v>2021</c:v>
                </c:pt>
              </c:numCache>
            </c:numRef>
          </c:cat>
          <c:val>
            <c:numRef>
              <c:f>List1!$C$2:$C$4</c:f>
              <c:numCache>
                <c:formatCode>0.0</c:formatCode>
                <c:ptCount val="3"/>
                <c:pt idx="0">
                  <c:v>252.8</c:v>
                </c:pt>
                <c:pt idx="1">
                  <c:v>275.8</c:v>
                </c:pt>
                <c:pt idx="2">
                  <c:v>263.2</c:v>
                </c:pt>
              </c:numCache>
            </c:numRef>
          </c:val>
          <c:extLst>
            <c:ext xmlns:c16="http://schemas.microsoft.com/office/drawing/2014/chart" uri="{C3380CC4-5D6E-409C-BE32-E72D297353CC}">
              <c16:uniqueId val="{00000001-E258-482B-BF88-E5E9214A276C}"/>
            </c:ext>
          </c:extLst>
        </c:ser>
        <c:dLbls>
          <c:dLblPos val="outEnd"/>
          <c:showLegendKey val="0"/>
          <c:showVal val="1"/>
          <c:showCatName val="0"/>
          <c:showSerName val="0"/>
          <c:showPercent val="0"/>
          <c:showBubbleSize val="0"/>
        </c:dLbls>
        <c:gapWidth val="150"/>
        <c:axId val="1548653951"/>
        <c:axId val="1540999871"/>
      </c:barChart>
      <c:catAx>
        <c:axId val="154865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540999871"/>
        <c:crosses val="autoZero"/>
        <c:auto val="1"/>
        <c:lblAlgn val="ctr"/>
        <c:lblOffset val="100"/>
        <c:noMultiLvlLbl val="0"/>
      </c:catAx>
      <c:valAx>
        <c:axId val="154099987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48653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440359211296936E-2"/>
          <c:y val="2.7534558180227466E-2"/>
          <c:w val="0.97573085182534014"/>
          <c:h val="0.74899776416836783"/>
        </c:manualLayout>
      </c:layout>
      <c:barChart>
        <c:barDir val="col"/>
        <c:grouping val="clustered"/>
        <c:varyColors val="0"/>
        <c:ser>
          <c:idx val="0"/>
          <c:order val="0"/>
          <c:tx>
            <c:strRef>
              <c:f>List1!$C$3</c:f>
              <c:strCache>
                <c:ptCount val="1"/>
                <c:pt idx="0">
                  <c:v>2019</c:v>
                </c:pt>
              </c:strCache>
            </c:strRef>
          </c:tx>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List1!$B$4:$B$7</c:f>
              <c:strCache>
                <c:ptCount val="4"/>
                <c:pt idx="0">
                  <c:v>Cenia</c:v>
                </c:pt>
                <c:pt idx="1">
                  <c:v>SpS MPO</c:v>
                </c:pt>
                <c:pt idx="2">
                  <c:v>ČAS</c:v>
                </c:pt>
                <c:pt idx="3">
                  <c:v>ÚZEI</c:v>
                </c:pt>
              </c:strCache>
            </c:strRef>
          </c:cat>
          <c:val>
            <c:numRef>
              <c:f>List1!$C$4:$C$7</c:f>
              <c:numCache>
                <c:formatCode>#\ ##0.0_ ;[Red]\-#\ ##0.0\ </c:formatCode>
                <c:ptCount val="4"/>
                <c:pt idx="0">
                  <c:v>79.2</c:v>
                </c:pt>
                <c:pt idx="1">
                  <c:v>32</c:v>
                </c:pt>
                <c:pt idx="2">
                  <c:v>71.045599999999993</c:v>
                </c:pt>
                <c:pt idx="3">
                  <c:v>152.74</c:v>
                </c:pt>
              </c:numCache>
            </c:numRef>
          </c:val>
          <c:extLst>
            <c:ext xmlns:c16="http://schemas.microsoft.com/office/drawing/2014/chart" uri="{C3380CC4-5D6E-409C-BE32-E72D297353CC}">
              <c16:uniqueId val="{00000000-095B-4515-AEB7-F76B13EEAC0B}"/>
            </c:ext>
          </c:extLst>
        </c:ser>
        <c:ser>
          <c:idx val="1"/>
          <c:order val="1"/>
          <c:tx>
            <c:strRef>
              <c:f>List1!$D$3</c:f>
              <c:strCache>
                <c:ptCount val="1"/>
                <c:pt idx="0">
                  <c:v>2020</c:v>
                </c:pt>
              </c:strCache>
            </c:strRef>
          </c:tx>
          <c:spPr>
            <a:solidFill>
              <a:srgbClr val="BD2A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List1!$B$4:$B$7</c:f>
              <c:strCache>
                <c:ptCount val="4"/>
                <c:pt idx="0">
                  <c:v>Cenia</c:v>
                </c:pt>
                <c:pt idx="1">
                  <c:v>SpS MPO</c:v>
                </c:pt>
                <c:pt idx="2">
                  <c:v>ČAS</c:v>
                </c:pt>
                <c:pt idx="3">
                  <c:v>ÚZEI</c:v>
                </c:pt>
              </c:strCache>
            </c:strRef>
          </c:cat>
          <c:val>
            <c:numRef>
              <c:f>List1!$D$4:$D$7</c:f>
              <c:numCache>
                <c:formatCode>#\ ##0.0_ ;[Red]\-#\ ##0.0\ </c:formatCode>
                <c:ptCount val="4"/>
                <c:pt idx="0">
                  <c:v>84.04</c:v>
                </c:pt>
                <c:pt idx="1">
                  <c:v>50</c:v>
                </c:pt>
                <c:pt idx="2">
                  <c:v>72.734099999999998</c:v>
                </c:pt>
                <c:pt idx="3">
                  <c:v>148.32</c:v>
                </c:pt>
              </c:numCache>
            </c:numRef>
          </c:val>
          <c:extLst>
            <c:ext xmlns:c16="http://schemas.microsoft.com/office/drawing/2014/chart" uri="{C3380CC4-5D6E-409C-BE32-E72D297353CC}">
              <c16:uniqueId val="{00000001-095B-4515-AEB7-F76B13EEAC0B}"/>
            </c:ext>
          </c:extLst>
        </c:ser>
        <c:ser>
          <c:idx val="2"/>
          <c:order val="2"/>
          <c:tx>
            <c:strRef>
              <c:f>List1!$E$3</c:f>
              <c:strCache>
                <c:ptCount val="1"/>
                <c:pt idx="0">
                  <c:v>2021</c:v>
                </c:pt>
              </c:strCache>
            </c:strRef>
          </c:tx>
          <c:spPr>
            <a:solidFill>
              <a:srgbClr val="C3C5C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List1!$B$4:$B$7</c:f>
              <c:strCache>
                <c:ptCount val="4"/>
                <c:pt idx="0">
                  <c:v>Cenia</c:v>
                </c:pt>
                <c:pt idx="1">
                  <c:v>SpS MPO</c:v>
                </c:pt>
                <c:pt idx="2">
                  <c:v>ČAS</c:v>
                </c:pt>
                <c:pt idx="3">
                  <c:v>ÚZEI</c:v>
                </c:pt>
              </c:strCache>
            </c:strRef>
          </c:cat>
          <c:val>
            <c:numRef>
              <c:f>List1!$E$4:$E$7</c:f>
              <c:numCache>
                <c:formatCode>#\ ##0.0_ ;[Red]\-#\ ##0.0\ </c:formatCode>
                <c:ptCount val="4"/>
                <c:pt idx="0">
                  <c:v>89.91</c:v>
                </c:pt>
                <c:pt idx="1">
                  <c:v>49.63</c:v>
                </c:pt>
                <c:pt idx="2">
                  <c:v>75.365200000000002</c:v>
                </c:pt>
                <c:pt idx="3">
                  <c:v>144.81</c:v>
                </c:pt>
              </c:numCache>
            </c:numRef>
          </c:val>
          <c:extLst>
            <c:ext xmlns:c16="http://schemas.microsoft.com/office/drawing/2014/chart" uri="{C3380CC4-5D6E-409C-BE32-E72D297353CC}">
              <c16:uniqueId val="{00000002-095B-4515-AEB7-F76B13EEAC0B}"/>
            </c:ext>
          </c:extLst>
        </c:ser>
        <c:dLbls>
          <c:dLblPos val="outEnd"/>
          <c:showLegendKey val="0"/>
          <c:showVal val="1"/>
          <c:showCatName val="0"/>
          <c:showSerName val="0"/>
          <c:showPercent val="0"/>
          <c:showBubbleSize val="0"/>
        </c:dLbls>
        <c:gapWidth val="219"/>
        <c:overlap val="-27"/>
        <c:axId val="1246818591"/>
        <c:axId val="1246909327"/>
      </c:barChart>
      <c:catAx>
        <c:axId val="124681859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crossAx val="1246909327"/>
        <c:crosses val="autoZero"/>
        <c:auto val="1"/>
        <c:lblAlgn val="ctr"/>
        <c:lblOffset val="100"/>
        <c:noMultiLvlLbl val="0"/>
      </c:catAx>
      <c:valAx>
        <c:axId val="1246909327"/>
        <c:scaling>
          <c:orientation val="minMax"/>
        </c:scaling>
        <c:delete val="1"/>
        <c:axPos val="l"/>
        <c:numFmt formatCode="#\ ##0.0_ ;[Red]\-#\ ##0.0\ " sourceLinked="1"/>
        <c:majorTickMark val="none"/>
        <c:minorTickMark val="none"/>
        <c:tickLblPos val="nextTo"/>
        <c:crossAx val="1246818591"/>
        <c:crosses val="autoZero"/>
        <c:crossBetween val="between"/>
      </c:valAx>
      <c:spPr>
        <a:noFill/>
        <a:ln>
          <a:noFill/>
        </a:ln>
        <a:effectLst/>
      </c:spPr>
    </c:plotArea>
    <c:legend>
      <c:legendPos val="b"/>
      <c:layout>
        <c:manualLayout>
          <c:xMode val="edge"/>
          <c:yMode val="edge"/>
          <c:x val="0.3781793887334331"/>
          <c:y val="0.88916029940701857"/>
          <c:w val="0.24804876249972885"/>
          <c:h val="9.064116985376828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solidFill>
            <a:sysClr val="windowText" lastClr="000000"/>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70CDCC43C3C04098FCA7BE529FC2DF" ma:contentTypeVersion="3" ma:contentTypeDescription="Vytvoří nový dokument" ma:contentTypeScope="" ma:versionID="610b6386a865fb0da62a445b67872d9d">
  <xsd:schema xmlns:xsd="http://www.w3.org/2001/XMLSchema" xmlns:xs="http://www.w3.org/2001/XMLSchema" xmlns:p="http://schemas.microsoft.com/office/2006/metadata/properties" xmlns:ns1="http://schemas.microsoft.com/sharepoint/v3" xmlns:ns2="79e11fa4-3bab-4ec8-b526-fb5f699f2797" targetNamespace="http://schemas.microsoft.com/office/2006/metadata/properties" ma:root="true" ma:fieldsID="0c00c944e76e237189a3e300c97f061f" ns1:_="" ns2:_="">
    <xsd:import namespace="http://schemas.microsoft.com/sharepoint/v3"/>
    <xsd:import namespace="79e11fa4-3bab-4ec8-b526-fb5f699f279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11fa4-3bab-4ec8-b526-fb5f699f27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2C38-18E4-47CD-840E-AB84DBC19528}">
  <ds:schemaRefs>
    <ds:schemaRef ds:uri="http://schemas.microsoft.com/sharepoint/v3/contenttype/forms"/>
  </ds:schemaRefs>
</ds:datastoreItem>
</file>

<file path=customXml/itemProps2.xml><?xml version="1.0" encoding="utf-8"?>
<ds:datastoreItem xmlns:ds="http://schemas.openxmlformats.org/officeDocument/2006/customXml" ds:itemID="{69CC0C7B-AD09-4CDE-A957-D500CBA05A09}">
  <ds:schemaRefs>
    <ds:schemaRef ds:uri="http://purl.org/dc/dcmitype/"/>
    <ds:schemaRef ds:uri="http://schemas.openxmlformats.org/package/2006/metadata/core-properties"/>
    <ds:schemaRef ds:uri="http://schemas.microsoft.com/sharepoint/v3"/>
    <ds:schemaRef ds:uri="http://schemas.microsoft.com/office/2006/documentManagement/types"/>
    <ds:schemaRef ds:uri="http://purl.org/dc/elements/1.1/"/>
    <ds:schemaRef ds:uri="http://purl.org/dc/terms/"/>
    <ds:schemaRef ds:uri="79e11fa4-3bab-4ec8-b526-fb5f699f2797"/>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B4C2DCA-DECD-453A-A81A-ED46543E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e11fa4-3bab-4ec8-b526-fb5f699f2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6C957-319F-4B76-B180-CAB6AFF2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5302</Words>
  <Characters>31286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Kontrolní závěr z kontrolní akce NKÚ č. 22/05 - Peněžní prostředky státního rozpočtu poskytované státním příspěvkovým organizacím</vt:lpstr>
    </vt:vector>
  </TitlesOfParts>
  <Company>NKU</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22/05 - Peněžní prostředky státního rozpočtu poskytované státním příspěvkovým organizacím</dc:title>
  <dc:subject>Kontrolní závěr z kontrolní akce NKÚ č. 22/05 - Peněžní prostředky státního rozpočtu poskytované státním příspěvkovým organizacím</dc:subject>
  <dc:creator>nku@NKU.cz</dc:creator>
  <cp:keywords>kontrolní závěr; příspěvkové organizace</cp:keywords>
  <cp:lastModifiedBy>KOKRDA Daniel</cp:lastModifiedBy>
  <cp:revision>12</cp:revision>
  <cp:lastPrinted>2023-09-26T05:04:00Z</cp:lastPrinted>
  <dcterms:created xsi:type="dcterms:W3CDTF">2023-08-04T08:29:00Z</dcterms:created>
  <dcterms:modified xsi:type="dcterms:W3CDTF">2023-09-26T05:05:00Z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22/05-NKU30/173/23</vt:lpwstr>
  </property>
  <property fmtid="{D5CDD505-2E9C-101B-9397-08002B2CF9AE}" pid="5" name="CJ_PostaDoruc_PisemnostOdpovedNa_Pisemnost">
    <vt:lpwstr>XXX-XXX-XXX</vt:lpwstr>
  </property>
  <property fmtid="{D5CDD505-2E9C-101B-9397-08002B2CF9AE}" pid="6" name="CJ_Spis_Pisemnost">
    <vt:lpwstr>510/164/21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0x010100BC70CDCC43C3C04098FCA7BE529FC2DF</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20.2.2023</vt:lpwstr>
  </property>
  <property fmtid="{D5CDD505-2E9C-101B-9397-08002B2CF9AE}" pid="13" name="DisplayName_CisloObalky_PostaOdes">
    <vt:lpwstr>ČÍSLO OBÁLKY</vt:lpwstr>
  </property>
  <property fmtid="{D5CDD505-2E9C-101B-9397-08002B2CF9AE}" pid="14" name="DisplayName_CJCol">
    <vt:lpwstr>&lt;TABLE&gt;&lt;TR&gt;&lt;TD&gt;Č.j.:&lt;/TD&gt;&lt;TD&gt;22/05-NKU30/173/23&lt;/TD&gt;&lt;/TR&gt;&lt;TR&gt;&lt;TD&gt;&lt;/TD&gt;&lt;TD&gt;&lt;/TD&gt;&lt;/TR&gt;&lt;/TABLE&gt;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23-2666/NKU</vt:lpwstr>
  </property>
  <property fmtid="{D5CDD505-2E9C-101B-9397-08002B2CF9AE}" pid="20" name="Key_BarCode_Pisemnost">
    <vt:lpwstr>*B000429726*</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23-2666/NKU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22/05</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 KA č. 22/05 - do připomínek</vt:lpwstr>
  </property>
  <property fmtid="{D5CDD505-2E9C-101B-9397-08002B2CF9AE}" pid="42" name="Zkratka_SpisovyUzel_PoziceZodpo_Pisemnost">
    <vt:lpwstr>30</vt:lpwstr>
  </property>
</Properties>
</file>