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08731" w14:textId="77777777" w:rsidR="00291417" w:rsidRPr="00B20632" w:rsidRDefault="002F5061" w:rsidP="002F5061">
      <w:pPr>
        <w:tabs>
          <w:tab w:val="center" w:pos="11650"/>
          <w:tab w:val="left" w:pos="19110"/>
        </w:tabs>
        <w:spacing w:after="0"/>
      </w:pPr>
      <w:r w:rsidRPr="00B20632">
        <w:tab/>
      </w:r>
      <w:r w:rsidR="00291417" w:rsidRPr="00B20632">
        <w:rPr>
          <w:noProof/>
          <w:lang w:eastAsia="cs-CZ"/>
        </w:rPr>
        <w:drawing>
          <wp:anchor distT="0" distB="0" distL="114300" distR="114300" simplePos="0" relativeHeight="251673600" behindDoc="0" locked="0" layoutInCell="1" allowOverlap="1" wp14:anchorId="3041269C" wp14:editId="4E72FDCC">
            <wp:simplePos x="0" y="0"/>
            <wp:positionH relativeFrom="margin">
              <wp:align>center</wp:align>
            </wp:positionH>
            <wp:positionV relativeFrom="paragraph">
              <wp:posOffset>31750</wp:posOffset>
            </wp:positionV>
            <wp:extent cx="792480" cy="559435"/>
            <wp:effectExtent l="0" t="0" r="762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703104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20632">
        <w:tab/>
      </w:r>
    </w:p>
    <w:p w14:paraId="5D8F2496" w14:textId="77777777" w:rsidR="00291417" w:rsidRPr="00683C72" w:rsidRDefault="00291417" w:rsidP="00291417">
      <w:pPr>
        <w:spacing w:after="0"/>
        <w:jc w:val="center"/>
        <w:rPr>
          <w:highlight w:val="yellow"/>
        </w:rPr>
      </w:pPr>
    </w:p>
    <w:p w14:paraId="577B7AC4" w14:textId="77777777" w:rsidR="00291417" w:rsidRPr="00683C72" w:rsidRDefault="00291417" w:rsidP="00291417">
      <w:pPr>
        <w:spacing w:after="0"/>
        <w:jc w:val="center"/>
        <w:rPr>
          <w:highlight w:val="yellow"/>
        </w:rPr>
      </w:pPr>
    </w:p>
    <w:p w14:paraId="37218DBE" w14:textId="77777777" w:rsidR="00291417" w:rsidRPr="00920E6B" w:rsidRDefault="00291417" w:rsidP="00291417">
      <w:pPr>
        <w:spacing w:after="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920E6B">
        <w:rPr>
          <w:rFonts w:asciiTheme="minorHAnsi" w:eastAsiaTheme="minorHAnsi" w:hAnsiTheme="minorHAnsi" w:cstheme="minorHAnsi"/>
          <w:b/>
          <w:sz w:val="28"/>
          <w:szCs w:val="28"/>
        </w:rPr>
        <w:t>Kontrolní závěr z kontrolní akce</w:t>
      </w:r>
    </w:p>
    <w:p w14:paraId="1D477204" w14:textId="77777777" w:rsidR="00031FF6" w:rsidRPr="00683C72" w:rsidRDefault="00031FF6" w:rsidP="00031FF6">
      <w:pPr>
        <w:spacing w:after="0"/>
        <w:jc w:val="center"/>
        <w:rPr>
          <w:highlight w:val="yellow"/>
        </w:rPr>
      </w:pPr>
    </w:p>
    <w:p w14:paraId="58EDBB93" w14:textId="77777777" w:rsidR="00EC3A0D" w:rsidRPr="00920E6B" w:rsidRDefault="0000654C" w:rsidP="00031FF6">
      <w:pPr>
        <w:spacing w:after="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920E6B">
        <w:rPr>
          <w:rFonts w:asciiTheme="minorHAnsi" w:eastAsiaTheme="minorHAnsi" w:hAnsiTheme="minorHAnsi" w:cstheme="minorHAnsi"/>
          <w:b/>
          <w:sz w:val="28"/>
          <w:szCs w:val="28"/>
        </w:rPr>
        <w:t>2</w:t>
      </w:r>
      <w:r w:rsidR="00090AB0">
        <w:rPr>
          <w:rFonts w:asciiTheme="minorHAnsi" w:eastAsiaTheme="minorHAnsi" w:hAnsiTheme="minorHAnsi" w:cstheme="minorHAnsi"/>
          <w:b/>
          <w:sz w:val="28"/>
          <w:szCs w:val="28"/>
        </w:rPr>
        <w:t>2</w:t>
      </w:r>
      <w:r w:rsidR="007A67D6">
        <w:rPr>
          <w:rFonts w:asciiTheme="minorHAnsi" w:eastAsiaTheme="minorHAnsi" w:hAnsiTheme="minorHAnsi" w:cstheme="minorHAnsi"/>
          <w:b/>
          <w:sz w:val="28"/>
          <w:szCs w:val="28"/>
        </w:rPr>
        <w:t>/</w:t>
      </w:r>
      <w:r w:rsidR="00090AB0">
        <w:rPr>
          <w:rFonts w:asciiTheme="minorHAnsi" w:eastAsiaTheme="minorHAnsi" w:hAnsiTheme="minorHAnsi" w:cstheme="minorHAnsi"/>
          <w:b/>
          <w:sz w:val="28"/>
          <w:szCs w:val="28"/>
        </w:rPr>
        <w:t>1</w:t>
      </w:r>
      <w:r w:rsidR="000849FE">
        <w:rPr>
          <w:rFonts w:asciiTheme="minorHAnsi" w:eastAsiaTheme="minorHAnsi" w:hAnsiTheme="minorHAnsi" w:cstheme="minorHAnsi"/>
          <w:b/>
          <w:sz w:val="28"/>
          <w:szCs w:val="28"/>
        </w:rPr>
        <w:t>6</w:t>
      </w:r>
    </w:p>
    <w:p w14:paraId="3341D21E" w14:textId="77777777" w:rsidR="00031FF6" w:rsidRPr="00683C72" w:rsidRDefault="00031FF6" w:rsidP="00031FF6">
      <w:pPr>
        <w:spacing w:after="0"/>
        <w:jc w:val="center"/>
        <w:rPr>
          <w:highlight w:val="yellow"/>
        </w:rPr>
      </w:pPr>
    </w:p>
    <w:p w14:paraId="7F2688F5" w14:textId="77777777" w:rsidR="000849FE" w:rsidRPr="003D44BC" w:rsidRDefault="000849FE" w:rsidP="000849FE">
      <w:pPr>
        <w:spacing w:line="20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D44BC">
        <w:rPr>
          <w:rFonts w:asciiTheme="minorHAnsi" w:hAnsiTheme="minorHAnsi" w:cstheme="minorHAnsi"/>
          <w:b/>
          <w:sz w:val="28"/>
          <w:szCs w:val="28"/>
        </w:rPr>
        <w:t xml:space="preserve">Účetní závěrka Městského soudu v Praze za rok 2022 a údaje předkládané Městským soudem v Praze pro hodnocení plnění státního rozpočtu </w:t>
      </w:r>
      <w:r w:rsidR="00050F32">
        <w:rPr>
          <w:rFonts w:asciiTheme="minorHAnsi" w:hAnsiTheme="minorHAnsi" w:cstheme="minorHAnsi"/>
          <w:b/>
          <w:sz w:val="28"/>
          <w:szCs w:val="28"/>
        </w:rPr>
        <w:br/>
      </w:r>
      <w:r w:rsidRPr="003D44BC">
        <w:rPr>
          <w:rFonts w:asciiTheme="minorHAnsi" w:hAnsiTheme="minorHAnsi" w:cstheme="minorHAnsi"/>
          <w:b/>
          <w:sz w:val="28"/>
          <w:szCs w:val="28"/>
        </w:rPr>
        <w:t>za rok 2022</w:t>
      </w:r>
    </w:p>
    <w:p w14:paraId="04612AD3" w14:textId="77777777" w:rsidR="000849FE" w:rsidRPr="00683C72" w:rsidRDefault="000849FE" w:rsidP="000849FE">
      <w:pPr>
        <w:spacing w:after="0"/>
        <w:jc w:val="both"/>
        <w:rPr>
          <w:highlight w:val="yellow"/>
        </w:rPr>
      </w:pPr>
    </w:p>
    <w:p w14:paraId="1EB49208" w14:textId="77777777" w:rsidR="000849FE" w:rsidRPr="00683C72" w:rsidRDefault="000849FE" w:rsidP="000849FE">
      <w:pPr>
        <w:spacing w:after="0"/>
        <w:jc w:val="both"/>
        <w:rPr>
          <w:highlight w:val="yellow"/>
        </w:rPr>
      </w:pPr>
    </w:p>
    <w:p w14:paraId="10530B49" w14:textId="77777777" w:rsidR="000849FE" w:rsidRPr="00920E6B" w:rsidRDefault="000849FE" w:rsidP="000849FE">
      <w:pPr>
        <w:spacing w:after="0"/>
        <w:jc w:val="both"/>
        <w:rPr>
          <w:rFonts w:asciiTheme="minorHAnsi" w:eastAsiaTheme="minorHAnsi" w:hAnsiTheme="minorHAnsi" w:cstheme="minorHAnsi"/>
        </w:rPr>
      </w:pPr>
      <w:r w:rsidRPr="00920E6B">
        <w:rPr>
          <w:rFonts w:asciiTheme="minorHAnsi" w:eastAsiaTheme="minorHAnsi" w:hAnsiTheme="minorHAnsi" w:cstheme="minorHAnsi"/>
        </w:rPr>
        <w:t xml:space="preserve">Kontrolní akce (dále také „KA“) byla zařazena do plánu kontrolní činnosti Nejvyššího kontrolního úřadu (dále </w:t>
      </w:r>
      <w:r>
        <w:rPr>
          <w:rFonts w:asciiTheme="minorHAnsi" w:eastAsiaTheme="minorHAnsi" w:hAnsiTheme="minorHAnsi" w:cstheme="minorHAnsi"/>
        </w:rPr>
        <w:t>také</w:t>
      </w:r>
      <w:r w:rsidRPr="00920E6B">
        <w:rPr>
          <w:rFonts w:asciiTheme="minorHAnsi" w:eastAsiaTheme="minorHAnsi" w:hAnsiTheme="minorHAnsi" w:cstheme="minorHAnsi"/>
        </w:rPr>
        <w:t xml:space="preserve"> „NKÚ“) na rok 202</w:t>
      </w:r>
      <w:r>
        <w:rPr>
          <w:rFonts w:asciiTheme="minorHAnsi" w:eastAsiaTheme="minorHAnsi" w:hAnsiTheme="minorHAnsi" w:cstheme="minorHAnsi"/>
        </w:rPr>
        <w:t>2</w:t>
      </w:r>
      <w:r w:rsidRPr="00920E6B">
        <w:rPr>
          <w:rFonts w:asciiTheme="minorHAnsi" w:eastAsiaTheme="minorHAnsi" w:hAnsiTheme="minorHAnsi" w:cstheme="minorHAnsi"/>
        </w:rPr>
        <w:t xml:space="preserve"> pod číslem 2</w:t>
      </w:r>
      <w:r>
        <w:rPr>
          <w:rFonts w:asciiTheme="minorHAnsi" w:eastAsiaTheme="minorHAnsi" w:hAnsiTheme="minorHAnsi" w:cstheme="minorHAnsi"/>
        </w:rPr>
        <w:t>2</w:t>
      </w:r>
      <w:r w:rsidRPr="00920E6B">
        <w:rPr>
          <w:rFonts w:asciiTheme="minorHAnsi" w:eastAsiaTheme="minorHAnsi" w:hAnsiTheme="minorHAnsi" w:cstheme="minorHAnsi"/>
        </w:rPr>
        <w:t>/</w:t>
      </w:r>
      <w:r>
        <w:rPr>
          <w:rFonts w:asciiTheme="minorHAnsi" w:eastAsiaTheme="minorHAnsi" w:hAnsiTheme="minorHAnsi" w:cstheme="minorHAnsi"/>
        </w:rPr>
        <w:t>16</w:t>
      </w:r>
      <w:r w:rsidRPr="00920E6B">
        <w:rPr>
          <w:rFonts w:asciiTheme="minorHAnsi" w:eastAsiaTheme="minorHAnsi" w:hAnsiTheme="minorHAnsi" w:cstheme="minorHAnsi"/>
        </w:rPr>
        <w:t>. Kontrolní akci řídil</w:t>
      </w:r>
      <w:r>
        <w:rPr>
          <w:rFonts w:asciiTheme="minorHAnsi" w:eastAsiaTheme="minorHAnsi" w:hAnsiTheme="minorHAnsi" w:cstheme="minorHAnsi"/>
        </w:rPr>
        <w:t>a</w:t>
      </w:r>
      <w:r w:rsidRPr="00920E6B">
        <w:rPr>
          <w:rFonts w:asciiTheme="minorHAnsi" w:eastAsiaTheme="minorHAnsi" w:hAnsiTheme="minorHAnsi" w:cstheme="minorHAnsi"/>
        </w:rPr>
        <w:t xml:space="preserve"> a</w:t>
      </w:r>
      <w:r>
        <w:rPr>
          <w:rFonts w:asciiTheme="minorHAnsi" w:eastAsiaTheme="minorHAnsi" w:hAnsiTheme="minorHAnsi" w:cstheme="minorHAnsi"/>
        </w:rPr>
        <w:t> </w:t>
      </w:r>
      <w:r w:rsidRPr="00920E6B">
        <w:rPr>
          <w:rFonts w:asciiTheme="minorHAnsi" w:eastAsiaTheme="minorHAnsi" w:hAnsiTheme="minorHAnsi" w:cstheme="minorHAnsi"/>
        </w:rPr>
        <w:t>kontrolní závěr vypracoval</w:t>
      </w:r>
      <w:r>
        <w:rPr>
          <w:rFonts w:asciiTheme="minorHAnsi" w:eastAsiaTheme="minorHAnsi" w:hAnsiTheme="minorHAnsi" w:cstheme="minorHAnsi"/>
        </w:rPr>
        <w:t>a</w:t>
      </w:r>
      <w:r w:rsidRPr="00920E6B">
        <w:rPr>
          <w:rFonts w:asciiTheme="minorHAnsi" w:eastAsiaTheme="minorHAnsi" w:hAnsiTheme="minorHAnsi" w:cstheme="minorHAnsi"/>
        </w:rPr>
        <w:t xml:space="preserve"> člen</w:t>
      </w:r>
      <w:r>
        <w:rPr>
          <w:rFonts w:asciiTheme="minorHAnsi" w:eastAsiaTheme="minorHAnsi" w:hAnsiTheme="minorHAnsi" w:cstheme="minorHAnsi"/>
        </w:rPr>
        <w:t>ka</w:t>
      </w:r>
      <w:r w:rsidRPr="00920E6B">
        <w:rPr>
          <w:rFonts w:asciiTheme="minorHAnsi" w:eastAsiaTheme="minorHAnsi" w:hAnsiTheme="minorHAnsi" w:cstheme="minorHAnsi"/>
        </w:rPr>
        <w:t xml:space="preserve"> NKÚ </w:t>
      </w:r>
      <w:r w:rsidRPr="00090AB0">
        <w:rPr>
          <w:rFonts w:asciiTheme="minorHAnsi" w:eastAsiaTheme="minorHAnsi" w:hAnsiTheme="minorHAnsi" w:cstheme="minorHAnsi"/>
        </w:rPr>
        <w:t xml:space="preserve">Ing. </w:t>
      </w:r>
      <w:r>
        <w:rPr>
          <w:rFonts w:asciiTheme="minorHAnsi" w:eastAsiaTheme="minorHAnsi" w:hAnsiTheme="minorHAnsi" w:cstheme="minorHAnsi"/>
        </w:rPr>
        <w:t xml:space="preserve">Jaromíra </w:t>
      </w:r>
      <w:proofErr w:type="spellStart"/>
      <w:r>
        <w:rPr>
          <w:rFonts w:asciiTheme="minorHAnsi" w:eastAsiaTheme="minorHAnsi" w:hAnsiTheme="minorHAnsi" w:cstheme="minorHAnsi"/>
        </w:rPr>
        <w:t>Steidlová</w:t>
      </w:r>
      <w:proofErr w:type="spellEnd"/>
      <w:r w:rsidRPr="00920E6B">
        <w:rPr>
          <w:rFonts w:asciiTheme="minorHAnsi" w:eastAsiaTheme="minorHAnsi" w:hAnsiTheme="minorHAnsi" w:cstheme="minorHAnsi"/>
        </w:rPr>
        <w:t>.</w:t>
      </w:r>
    </w:p>
    <w:p w14:paraId="5CE4A2D8" w14:textId="77777777" w:rsidR="000849FE" w:rsidRPr="00920E6B" w:rsidRDefault="000849FE" w:rsidP="000849FE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4A482291" w14:textId="77777777" w:rsidR="000849FE" w:rsidRDefault="000849FE" w:rsidP="000849FE">
      <w:pPr>
        <w:spacing w:before="120" w:line="200" w:lineRule="atLeast"/>
        <w:jc w:val="both"/>
        <w:rPr>
          <w:rFonts w:asciiTheme="minorHAnsi" w:hAnsiTheme="minorHAnsi" w:cstheme="minorHAnsi"/>
          <w:bCs/>
        </w:rPr>
      </w:pPr>
      <w:r w:rsidRPr="00920E6B">
        <w:rPr>
          <w:rFonts w:asciiTheme="minorHAnsi" w:eastAsiaTheme="minorHAnsi" w:hAnsiTheme="minorHAnsi" w:cstheme="minorHAnsi"/>
        </w:rPr>
        <w:t>Cílem kontroly bylo</w:t>
      </w:r>
      <w:r>
        <w:rPr>
          <w:rFonts w:asciiTheme="minorHAnsi" w:eastAsiaTheme="minorHAnsi" w:hAnsiTheme="minorHAnsi" w:cstheme="minorHAnsi"/>
        </w:rPr>
        <w:t xml:space="preserve"> p</w:t>
      </w:r>
      <w:r w:rsidRPr="00090AB0">
        <w:rPr>
          <w:rFonts w:asciiTheme="minorHAnsi" w:eastAsiaTheme="minorHAnsi" w:hAnsiTheme="minorHAnsi" w:cstheme="minorHAnsi"/>
        </w:rPr>
        <w:t xml:space="preserve">rověřit, </w:t>
      </w:r>
      <w:bookmarkStart w:id="0" w:name="_Hlk134018975"/>
      <w:r w:rsidRPr="00B2111C">
        <w:rPr>
          <w:rFonts w:asciiTheme="minorHAnsi" w:hAnsiTheme="minorHAnsi" w:cstheme="minorHAnsi"/>
          <w:bCs/>
        </w:rPr>
        <w:t xml:space="preserve">zda </w:t>
      </w:r>
      <w:r>
        <w:rPr>
          <w:rFonts w:asciiTheme="minorHAnsi" w:hAnsiTheme="minorHAnsi" w:cstheme="minorHAnsi"/>
          <w:bCs/>
        </w:rPr>
        <w:t xml:space="preserve">Městský soud v Praze </w:t>
      </w:r>
      <w:r w:rsidRPr="00B2111C">
        <w:rPr>
          <w:rFonts w:asciiTheme="minorHAnsi" w:hAnsiTheme="minorHAnsi" w:cstheme="minorHAnsi"/>
          <w:bCs/>
        </w:rPr>
        <w:t>při</w:t>
      </w:r>
      <w:r>
        <w:rPr>
          <w:rFonts w:asciiTheme="minorHAnsi" w:hAnsiTheme="minorHAnsi" w:cstheme="minorHAnsi"/>
          <w:bCs/>
        </w:rPr>
        <w:t xml:space="preserve"> </w:t>
      </w:r>
      <w:r w:rsidRPr="00B2111C">
        <w:rPr>
          <w:rFonts w:asciiTheme="minorHAnsi" w:hAnsiTheme="minorHAnsi" w:cstheme="minorHAnsi"/>
          <w:bCs/>
        </w:rPr>
        <w:t>vedení účetnictví a sestavení účetní závěrky a předkládání údajů pro hodnocení plnění státního rozpočtu za rok 202</w:t>
      </w:r>
      <w:r>
        <w:rPr>
          <w:rFonts w:asciiTheme="minorHAnsi" w:hAnsiTheme="minorHAnsi" w:cstheme="minorHAnsi"/>
          <w:bCs/>
        </w:rPr>
        <w:t>2</w:t>
      </w:r>
      <w:r w:rsidRPr="00B2111C">
        <w:rPr>
          <w:rFonts w:asciiTheme="minorHAnsi" w:hAnsiTheme="minorHAnsi" w:cstheme="minorHAnsi"/>
          <w:bCs/>
        </w:rPr>
        <w:t xml:space="preserve"> postupoval v</w:t>
      </w:r>
      <w:r w:rsidR="008A1009">
        <w:rPr>
          <w:rFonts w:asciiTheme="minorHAnsi" w:hAnsiTheme="minorHAnsi" w:cstheme="minorHAnsi"/>
          <w:bCs/>
        </w:rPr>
        <w:t> </w:t>
      </w:r>
      <w:r w:rsidRPr="00B2111C">
        <w:rPr>
          <w:rFonts w:asciiTheme="minorHAnsi" w:hAnsiTheme="minorHAnsi" w:cstheme="minorHAnsi"/>
          <w:bCs/>
        </w:rPr>
        <w:t>souladu s příslušnými právními předpisy.</w:t>
      </w:r>
    </w:p>
    <w:bookmarkEnd w:id="0"/>
    <w:p w14:paraId="4C62F64F" w14:textId="77777777" w:rsidR="000849FE" w:rsidRPr="00683C72" w:rsidRDefault="000849FE" w:rsidP="000849FE">
      <w:pPr>
        <w:spacing w:after="0"/>
        <w:jc w:val="both"/>
        <w:rPr>
          <w:rFonts w:asciiTheme="minorHAnsi" w:eastAsiaTheme="minorHAnsi" w:hAnsiTheme="minorHAnsi" w:cstheme="minorHAnsi"/>
          <w:bCs/>
          <w:highlight w:val="yellow"/>
        </w:rPr>
      </w:pPr>
    </w:p>
    <w:p w14:paraId="0B90022E" w14:textId="77777777" w:rsidR="000849FE" w:rsidRPr="00920E6B" w:rsidRDefault="000849FE" w:rsidP="000849FE">
      <w:pPr>
        <w:spacing w:after="0"/>
        <w:jc w:val="both"/>
        <w:rPr>
          <w:rFonts w:asciiTheme="minorHAnsi" w:eastAsiaTheme="minorHAnsi" w:hAnsiTheme="minorHAnsi" w:cstheme="minorHAnsi"/>
        </w:rPr>
      </w:pPr>
      <w:r w:rsidRPr="00920E6B">
        <w:rPr>
          <w:rFonts w:asciiTheme="minorHAnsi" w:eastAsiaTheme="minorHAnsi" w:hAnsiTheme="minorHAnsi" w:cstheme="minorHAnsi"/>
          <w:b/>
        </w:rPr>
        <w:t>Kontrolovaná osoba:</w:t>
      </w:r>
    </w:p>
    <w:p w14:paraId="2EB04B25" w14:textId="77777777" w:rsidR="000849FE" w:rsidRPr="00EB07D1" w:rsidRDefault="000849FE" w:rsidP="000849FE">
      <w:pPr>
        <w:rPr>
          <w:rFonts w:cs="Calibri"/>
        </w:rPr>
      </w:pPr>
      <w:r w:rsidRPr="00EB07D1">
        <w:rPr>
          <w:rFonts w:cs="Calibri"/>
          <w:iCs/>
        </w:rPr>
        <w:t>Městský soud v Praze</w:t>
      </w:r>
      <w:r w:rsidRPr="00EB07D1">
        <w:rPr>
          <w:rFonts w:cs="Calibri"/>
        </w:rPr>
        <w:t xml:space="preserve"> (dále také „MS Praha“)</w:t>
      </w:r>
      <w:r>
        <w:rPr>
          <w:rFonts w:cs="Calibri"/>
        </w:rPr>
        <w:t>.</w:t>
      </w:r>
    </w:p>
    <w:p w14:paraId="3C3F9944" w14:textId="77777777" w:rsidR="000849FE" w:rsidRPr="00683C72" w:rsidRDefault="000849FE" w:rsidP="000849FE">
      <w:pPr>
        <w:spacing w:after="0"/>
        <w:jc w:val="both"/>
        <w:rPr>
          <w:rFonts w:asciiTheme="minorHAnsi" w:eastAsiaTheme="minorHAnsi" w:hAnsiTheme="minorHAnsi" w:cstheme="minorHAnsi"/>
          <w:highlight w:val="yellow"/>
        </w:rPr>
      </w:pPr>
    </w:p>
    <w:p w14:paraId="6EE7A2D6" w14:textId="77777777" w:rsidR="000849FE" w:rsidRPr="00920E6B" w:rsidRDefault="000849FE" w:rsidP="00DF6AD0">
      <w:pPr>
        <w:jc w:val="both"/>
        <w:rPr>
          <w:rFonts w:asciiTheme="minorHAnsi" w:eastAsiaTheme="minorHAnsi" w:hAnsiTheme="minorHAnsi" w:cstheme="minorHAnsi"/>
        </w:rPr>
      </w:pPr>
      <w:r w:rsidRPr="00920E6B">
        <w:rPr>
          <w:rFonts w:asciiTheme="minorHAnsi" w:eastAsiaTheme="minorHAnsi" w:hAnsiTheme="minorHAnsi" w:cstheme="minorHAnsi"/>
        </w:rPr>
        <w:t>Kontrolováno bylo období roku 202</w:t>
      </w:r>
      <w:r>
        <w:rPr>
          <w:rFonts w:asciiTheme="minorHAnsi" w:eastAsiaTheme="minorHAnsi" w:hAnsiTheme="minorHAnsi" w:cstheme="minorHAnsi"/>
        </w:rPr>
        <w:t>2</w:t>
      </w:r>
      <w:r w:rsidRPr="00920E6B">
        <w:rPr>
          <w:rFonts w:asciiTheme="minorHAnsi" w:eastAsiaTheme="minorHAnsi" w:hAnsiTheme="minorHAnsi" w:cstheme="minorHAnsi"/>
        </w:rPr>
        <w:t xml:space="preserve"> včetně souvisejících skutečností </w:t>
      </w:r>
      <w:r w:rsidRPr="00920E6B">
        <w:rPr>
          <w:rFonts w:asciiTheme="minorHAnsi" w:eastAsiaTheme="minorHAnsi" w:hAnsiTheme="minorHAnsi" w:cstheme="minorHAnsi"/>
          <w:spacing w:val="-2"/>
        </w:rPr>
        <w:t>z let předchozích a roku následujícího</w:t>
      </w:r>
      <w:r w:rsidRPr="00920E6B">
        <w:rPr>
          <w:rFonts w:asciiTheme="minorHAnsi" w:eastAsiaTheme="minorHAnsi" w:hAnsiTheme="minorHAnsi" w:cstheme="minorHAnsi"/>
        </w:rPr>
        <w:t>.</w:t>
      </w:r>
    </w:p>
    <w:p w14:paraId="475EE37A" w14:textId="77777777" w:rsidR="000849FE" w:rsidRPr="00683C72" w:rsidRDefault="000849FE" w:rsidP="000849FE">
      <w:pPr>
        <w:spacing w:after="0"/>
        <w:jc w:val="both"/>
        <w:rPr>
          <w:rFonts w:asciiTheme="minorHAnsi" w:eastAsiaTheme="minorHAnsi" w:hAnsiTheme="minorHAnsi" w:cstheme="minorHAnsi"/>
          <w:highlight w:val="yellow"/>
        </w:rPr>
      </w:pPr>
    </w:p>
    <w:p w14:paraId="1E49A35A" w14:textId="77777777" w:rsidR="000849FE" w:rsidRPr="00920E6B" w:rsidRDefault="000849FE" w:rsidP="000849FE">
      <w:pPr>
        <w:spacing w:after="0"/>
        <w:jc w:val="both"/>
        <w:rPr>
          <w:rFonts w:asciiTheme="minorHAnsi" w:eastAsiaTheme="minorHAnsi" w:hAnsiTheme="minorHAnsi" w:cstheme="minorHAnsi"/>
        </w:rPr>
      </w:pPr>
      <w:r w:rsidRPr="00920E6B">
        <w:rPr>
          <w:rFonts w:asciiTheme="minorHAnsi" w:eastAsiaTheme="minorHAnsi" w:hAnsiTheme="minorHAnsi" w:cstheme="minorHAnsi"/>
        </w:rPr>
        <w:t>Kontrola byla prováděna u kontrolované osoby v době od</w:t>
      </w:r>
      <w:r>
        <w:rPr>
          <w:rFonts w:asciiTheme="minorHAnsi" w:eastAsiaTheme="minorHAnsi" w:hAnsiTheme="minorHAnsi" w:cstheme="minorHAnsi"/>
        </w:rPr>
        <w:t xml:space="preserve"> srpna</w:t>
      </w:r>
      <w:r w:rsidRPr="00920E6B">
        <w:rPr>
          <w:rFonts w:asciiTheme="minorHAnsi" w:eastAsiaTheme="minorHAnsi" w:hAnsiTheme="minorHAnsi" w:cstheme="minorHAnsi"/>
        </w:rPr>
        <w:t xml:space="preserve"> 202</w:t>
      </w:r>
      <w:r>
        <w:rPr>
          <w:rFonts w:asciiTheme="minorHAnsi" w:eastAsiaTheme="minorHAnsi" w:hAnsiTheme="minorHAnsi" w:cstheme="minorHAnsi"/>
        </w:rPr>
        <w:t>2</w:t>
      </w:r>
      <w:r w:rsidRPr="00920E6B">
        <w:rPr>
          <w:rFonts w:asciiTheme="minorHAnsi" w:eastAsiaTheme="minorHAnsi" w:hAnsiTheme="minorHAnsi" w:cstheme="minorHAnsi"/>
        </w:rPr>
        <w:t xml:space="preserve"> do</w:t>
      </w:r>
      <w:r>
        <w:rPr>
          <w:rFonts w:asciiTheme="minorHAnsi" w:eastAsiaTheme="minorHAnsi" w:hAnsiTheme="minorHAnsi" w:cstheme="minorHAnsi"/>
        </w:rPr>
        <w:t xml:space="preserve"> dubna</w:t>
      </w:r>
      <w:r w:rsidRPr="00920E6B">
        <w:rPr>
          <w:rFonts w:asciiTheme="minorHAnsi" w:eastAsiaTheme="minorHAnsi" w:hAnsiTheme="minorHAnsi" w:cstheme="minorHAnsi"/>
        </w:rPr>
        <w:t xml:space="preserve"> 202</w:t>
      </w:r>
      <w:r>
        <w:rPr>
          <w:rFonts w:asciiTheme="minorHAnsi" w:eastAsiaTheme="minorHAnsi" w:hAnsiTheme="minorHAnsi" w:cstheme="minorHAnsi"/>
        </w:rPr>
        <w:t>3</w:t>
      </w:r>
      <w:r w:rsidRPr="00920E6B">
        <w:rPr>
          <w:rFonts w:asciiTheme="minorHAnsi" w:eastAsiaTheme="minorHAnsi" w:hAnsiTheme="minorHAnsi" w:cstheme="minorHAnsi"/>
        </w:rPr>
        <w:t>.</w:t>
      </w:r>
    </w:p>
    <w:p w14:paraId="0A0C79FB" w14:textId="77777777" w:rsidR="000849FE" w:rsidRPr="00683C72" w:rsidRDefault="000849FE" w:rsidP="000849FE">
      <w:pPr>
        <w:spacing w:after="0"/>
        <w:jc w:val="both"/>
        <w:rPr>
          <w:rFonts w:asciiTheme="minorHAnsi" w:eastAsiaTheme="minorHAnsi" w:hAnsiTheme="minorHAnsi" w:cstheme="minorHAnsi"/>
          <w:highlight w:val="yellow"/>
        </w:rPr>
      </w:pPr>
    </w:p>
    <w:p w14:paraId="1BB05433" w14:textId="77777777" w:rsidR="000849FE" w:rsidRPr="00683C72" w:rsidRDefault="000849FE" w:rsidP="000849FE">
      <w:pPr>
        <w:spacing w:after="0"/>
        <w:jc w:val="both"/>
        <w:rPr>
          <w:rFonts w:asciiTheme="minorHAnsi" w:eastAsiaTheme="minorHAnsi" w:hAnsiTheme="minorHAnsi" w:cstheme="minorHAnsi"/>
          <w:highlight w:val="yellow"/>
        </w:rPr>
      </w:pPr>
    </w:p>
    <w:p w14:paraId="569ADCFA" w14:textId="5071AF2E" w:rsidR="000849FE" w:rsidRPr="007C389D" w:rsidRDefault="000849FE" w:rsidP="000849FE">
      <w:pPr>
        <w:spacing w:line="259" w:lineRule="auto"/>
        <w:jc w:val="both"/>
        <w:rPr>
          <w:rFonts w:asciiTheme="minorHAnsi" w:eastAsiaTheme="minorHAnsi" w:hAnsiTheme="minorHAnsi" w:cstheme="minorHAnsi"/>
        </w:rPr>
      </w:pPr>
      <w:r w:rsidRPr="00920E6B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Kolegium</w:t>
      </w:r>
      <w:r w:rsidRPr="00920E6B">
        <w:rPr>
          <w:rFonts w:asciiTheme="minorHAnsi" w:eastAsiaTheme="minorHAnsi" w:hAnsiTheme="minorHAnsi" w:cstheme="minorHAnsi"/>
          <w:b/>
          <w:bCs/>
          <w:i/>
          <w:iCs/>
        </w:rPr>
        <w:t xml:space="preserve">   </w:t>
      </w:r>
      <w:r w:rsidRPr="007C389D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NKÚ</w:t>
      </w:r>
      <w:r w:rsidRPr="007C389D">
        <w:rPr>
          <w:rFonts w:asciiTheme="minorHAnsi" w:eastAsiaTheme="minorHAnsi" w:hAnsiTheme="minorHAnsi" w:cstheme="minorHAnsi"/>
        </w:rPr>
        <w:t xml:space="preserve">   na svém </w:t>
      </w:r>
      <w:r w:rsidR="00094EF0">
        <w:rPr>
          <w:rFonts w:asciiTheme="minorHAnsi" w:eastAsiaTheme="minorHAnsi" w:hAnsiTheme="minorHAnsi" w:cstheme="minorHAnsi"/>
        </w:rPr>
        <w:t>X</w:t>
      </w:r>
      <w:r w:rsidRPr="007C389D">
        <w:rPr>
          <w:rFonts w:asciiTheme="minorHAnsi" w:eastAsiaTheme="minorHAnsi" w:hAnsiTheme="minorHAnsi" w:cstheme="minorHAnsi"/>
        </w:rPr>
        <w:t xml:space="preserve">. jednání, které se konalo dne </w:t>
      </w:r>
      <w:r w:rsidR="00094EF0">
        <w:rPr>
          <w:rFonts w:asciiTheme="minorHAnsi" w:eastAsiaTheme="minorHAnsi" w:hAnsiTheme="minorHAnsi" w:cstheme="minorHAnsi"/>
        </w:rPr>
        <w:t>17. července</w:t>
      </w:r>
      <w:r w:rsidRPr="007C389D">
        <w:rPr>
          <w:rFonts w:asciiTheme="minorHAnsi" w:eastAsiaTheme="minorHAnsi" w:hAnsiTheme="minorHAnsi" w:cstheme="minorHAnsi"/>
        </w:rPr>
        <w:t xml:space="preserve"> 202</w:t>
      </w:r>
      <w:r>
        <w:rPr>
          <w:rFonts w:asciiTheme="minorHAnsi" w:eastAsiaTheme="minorHAnsi" w:hAnsiTheme="minorHAnsi" w:cstheme="minorHAnsi"/>
        </w:rPr>
        <w:t>3</w:t>
      </w:r>
      <w:r w:rsidRPr="007C389D">
        <w:rPr>
          <w:rFonts w:asciiTheme="minorHAnsi" w:eastAsiaTheme="minorHAnsi" w:hAnsiTheme="minorHAnsi" w:cstheme="minorHAnsi"/>
        </w:rPr>
        <w:t>,</w:t>
      </w:r>
    </w:p>
    <w:p w14:paraId="0E1C425B" w14:textId="34E1C264" w:rsidR="000849FE" w:rsidRPr="00920E6B" w:rsidRDefault="000849FE" w:rsidP="000849FE">
      <w:pPr>
        <w:spacing w:line="259" w:lineRule="auto"/>
        <w:jc w:val="both"/>
        <w:rPr>
          <w:rFonts w:asciiTheme="minorHAnsi" w:eastAsiaTheme="minorHAnsi" w:hAnsiTheme="minorHAnsi" w:cstheme="minorHAnsi"/>
        </w:rPr>
      </w:pPr>
      <w:r w:rsidRPr="007C389D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schválilo</w:t>
      </w:r>
      <w:r w:rsidRPr="007C389D">
        <w:rPr>
          <w:rFonts w:asciiTheme="minorHAnsi" w:eastAsiaTheme="minorHAnsi" w:hAnsiTheme="minorHAnsi" w:cstheme="minorHAnsi"/>
        </w:rPr>
        <w:t xml:space="preserve">   usnesením č</w:t>
      </w:r>
      <w:r w:rsidR="00094EF0">
        <w:rPr>
          <w:rFonts w:asciiTheme="minorHAnsi" w:eastAsiaTheme="minorHAnsi" w:hAnsiTheme="minorHAnsi" w:cstheme="minorHAnsi"/>
        </w:rPr>
        <w:t xml:space="preserve">. </w:t>
      </w:r>
      <w:r w:rsidR="00031D2B">
        <w:rPr>
          <w:rFonts w:asciiTheme="minorHAnsi" w:eastAsiaTheme="minorHAnsi" w:hAnsiTheme="minorHAnsi" w:cstheme="minorHAnsi"/>
        </w:rPr>
        <w:t>14</w:t>
      </w:r>
      <w:r w:rsidR="00094EF0">
        <w:rPr>
          <w:rFonts w:asciiTheme="minorHAnsi" w:eastAsiaTheme="minorHAnsi" w:hAnsiTheme="minorHAnsi" w:cstheme="minorHAnsi"/>
        </w:rPr>
        <w:t>/X/2023</w:t>
      </w:r>
    </w:p>
    <w:p w14:paraId="6D2A673C" w14:textId="77777777" w:rsidR="000849FE" w:rsidRPr="00920E6B" w:rsidRDefault="000849FE" w:rsidP="000849FE">
      <w:pPr>
        <w:spacing w:line="259" w:lineRule="auto"/>
        <w:jc w:val="both"/>
        <w:rPr>
          <w:rFonts w:asciiTheme="minorHAnsi" w:eastAsiaTheme="minorHAnsi" w:hAnsiTheme="minorHAnsi" w:cstheme="minorHAnsi"/>
        </w:rPr>
      </w:pPr>
      <w:r w:rsidRPr="00920E6B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kontrolní</w:t>
      </w:r>
      <w:r w:rsidRPr="00920E6B">
        <w:rPr>
          <w:rFonts w:asciiTheme="minorHAnsi" w:eastAsiaTheme="minorHAnsi" w:hAnsiTheme="minorHAnsi" w:cstheme="minorHAnsi"/>
          <w:b/>
          <w:bCs/>
          <w:i/>
          <w:iCs/>
        </w:rPr>
        <w:t xml:space="preserve">   </w:t>
      </w:r>
      <w:r w:rsidRPr="00920E6B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závěr</w:t>
      </w:r>
      <w:r w:rsidRPr="00920E6B">
        <w:rPr>
          <w:rFonts w:asciiTheme="minorHAnsi" w:eastAsiaTheme="minorHAnsi" w:hAnsiTheme="minorHAnsi" w:cstheme="minorHAnsi"/>
        </w:rPr>
        <w:t xml:space="preserve">   v tomto znění:</w:t>
      </w:r>
    </w:p>
    <w:p w14:paraId="0EC76242" w14:textId="77777777" w:rsidR="00CA5B95" w:rsidRPr="00683C72" w:rsidRDefault="00CA5B95" w:rsidP="00CA5B95">
      <w:pPr>
        <w:spacing w:after="0"/>
        <w:jc w:val="both"/>
        <w:rPr>
          <w:rFonts w:asciiTheme="minorHAnsi" w:eastAsiaTheme="minorHAnsi" w:hAnsiTheme="minorHAnsi" w:cstheme="minorHAnsi"/>
          <w:highlight w:val="yellow"/>
        </w:rPr>
      </w:pPr>
    </w:p>
    <w:p w14:paraId="12114264" w14:textId="77777777" w:rsidR="00F20716" w:rsidRDefault="00CA5B95" w:rsidP="00AF15FA">
      <w:pPr>
        <w:jc w:val="center"/>
        <w:rPr>
          <w:rStyle w:val="A4"/>
          <w:rFonts w:eastAsiaTheme="majorEastAsia"/>
          <w:b/>
          <w:sz w:val="32"/>
          <w:szCs w:val="32"/>
        </w:rPr>
      </w:pPr>
      <w:r w:rsidRPr="00683C72">
        <w:rPr>
          <w:rStyle w:val="A4"/>
          <w:rFonts w:eastAsiaTheme="majorEastAsia"/>
          <w:b/>
          <w:color w:val="BDD6EE" w:themeColor="accent1" w:themeTint="66"/>
          <w:sz w:val="40"/>
          <w:szCs w:val="40"/>
          <w:highlight w:val="yellow"/>
        </w:rPr>
        <w:br w:type="page"/>
      </w:r>
      <w:r w:rsidR="00F20716">
        <w:rPr>
          <w:rStyle w:val="A4"/>
          <w:rFonts w:eastAsiaTheme="majorEastAsia"/>
          <w:b/>
          <w:sz w:val="32"/>
          <w:szCs w:val="32"/>
        </w:rPr>
        <w:lastRenderedPageBreak/>
        <w:t>Účetní závěrka, výkaz pro hodnocení plnění rozpočtu a vnitřní kontrolní systém MS Praha za rok 2022</w:t>
      </w:r>
    </w:p>
    <w:p w14:paraId="3B2CA396" w14:textId="77777777" w:rsidR="00F20716" w:rsidRDefault="00F20716" w:rsidP="00F20716">
      <w:pPr>
        <w:jc w:val="center"/>
        <w:rPr>
          <w:rStyle w:val="A5"/>
          <w:rFonts w:cs="Calibri"/>
          <w:sz w:val="32"/>
          <w:szCs w:val="32"/>
        </w:rPr>
      </w:pPr>
    </w:p>
    <w:p w14:paraId="3A8C803E" w14:textId="77777777" w:rsidR="00F20716" w:rsidRPr="006E0AFD" w:rsidRDefault="00F20716" w:rsidP="006E0AFD">
      <w:pPr>
        <w:jc w:val="both"/>
        <w:rPr>
          <w:rStyle w:val="A4"/>
          <w:rFonts w:eastAsiaTheme="majorEastAsia"/>
          <w:b/>
          <w:sz w:val="24"/>
          <w:szCs w:val="24"/>
        </w:rPr>
      </w:pPr>
      <w:r w:rsidRPr="006E0AFD">
        <w:rPr>
          <w:rStyle w:val="A5"/>
          <w:rFonts w:cs="Calibri"/>
          <w:b w:val="0"/>
          <w:sz w:val="24"/>
          <w:szCs w:val="24"/>
        </w:rPr>
        <w:t xml:space="preserve">NKÚ zahájil kontrolu </w:t>
      </w:r>
      <w:r w:rsidR="001B6F75">
        <w:rPr>
          <w:rStyle w:val="A5"/>
          <w:rFonts w:cs="Calibri"/>
          <w:b w:val="0"/>
          <w:sz w:val="24"/>
          <w:szCs w:val="24"/>
        </w:rPr>
        <w:t>v průběhu kontrolovaného období</w:t>
      </w:r>
      <w:r w:rsidR="002F321A">
        <w:rPr>
          <w:rStyle w:val="A5"/>
          <w:rFonts w:cs="Calibri"/>
          <w:b w:val="0"/>
          <w:sz w:val="24"/>
          <w:szCs w:val="24"/>
        </w:rPr>
        <w:t>. Městský soud v Praze</w:t>
      </w:r>
      <w:r w:rsidRPr="006E0AFD">
        <w:rPr>
          <w:rStyle w:val="A5"/>
          <w:rFonts w:cs="Calibri"/>
          <w:b w:val="0"/>
          <w:sz w:val="24"/>
          <w:szCs w:val="24"/>
        </w:rPr>
        <w:t xml:space="preserve"> tak mohl zjištěné nedostatky průběžně opravovat.</w:t>
      </w:r>
    </w:p>
    <w:p w14:paraId="3B20A0B1" w14:textId="77777777" w:rsidR="00F20716" w:rsidRDefault="00F20716" w:rsidP="00F20716">
      <w:pPr>
        <w:jc w:val="center"/>
        <w:rPr>
          <w:rStyle w:val="A4"/>
          <w:rFonts w:eastAsiaTheme="majorEastAsia"/>
          <w:b/>
          <w:sz w:val="32"/>
          <w:szCs w:val="32"/>
        </w:rPr>
      </w:pPr>
    </w:p>
    <w:p w14:paraId="6DC17BCB" w14:textId="77777777" w:rsidR="002F321A" w:rsidRDefault="002F321A" w:rsidP="002F321A">
      <w:pPr>
        <w:rPr>
          <w:rFonts w:asciiTheme="minorHAnsi" w:hAnsiTheme="minorHAnsi"/>
          <w:szCs w:val="22"/>
        </w:rPr>
      </w:pPr>
    </w:p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7"/>
        <w:gridCol w:w="2405"/>
        <w:gridCol w:w="856"/>
        <w:gridCol w:w="2551"/>
      </w:tblGrid>
      <w:tr w:rsidR="002F321A" w14:paraId="7BD642CD" w14:textId="77777777" w:rsidTr="002F321A">
        <w:tc>
          <w:tcPr>
            <w:tcW w:w="2835" w:type="dxa"/>
            <w:vAlign w:val="center"/>
          </w:tcPr>
          <w:p w14:paraId="32B6FE41" w14:textId="77777777" w:rsidR="002F321A" w:rsidRDefault="002F321A">
            <w:pPr>
              <w:spacing w:after="0"/>
              <w:rPr>
                <w:b/>
                <w:sz w:val="28"/>
              </w:rPr>
            </w:pPr>
          </w:p>
        </w:tc>
        <w:tc>
          <w:tcPr>
            <w:tcW w:w="567" w:type="dxa"/>
            <w:vAlign w:val="center"/>
          </w:tcPr>
          <w:p w14:paraId="3144BF7B" w14:textId="77777777" w:rsidR="002F321A" w:rsidRDefault="002F321A">
            <w:pPr>
              <w:rPr>
                <w:b/>
              </w:rPr>
            </w:pPr>
          </w:p>
        </w:tc>
        <w:tc>
          <w:tcPr>
            <w:tcW w:w="2405" w:type="dxa"/>
            <w:vAlign w:val="center"/>
            <w:hideMark/>
          </w:tcPr>
          <w:p w14:paraId="3572B08B" w14:textId="77777777" w:rsidR="002F321A" w:rsidRDefault="002F321A">
            <w:pPr>
              <w:spacing w:after="240"/>
              <w:jc w:val="center"/>
              <w:rPr>
                <w:b/>
                <w:sz w:val="28"/>
              </w:rPr>
            </w:pPr>
            <w:r>
              <w:rPr>
                <w:b/>
              </w:rPr>
              <w:t xml:space="preserve">Opravy v průběhu </w:t>
            </w:r>
            <w:r>
              <w:rPr>
                <w:b/>
              </w:rPr>
              <w:br/>
              <w:t>kontroly NKÚ</w:t>
            </w:r>
          </w:p>
        </w:tc>
        <w:tc>
          <w:tcPr>
            <w:tcW w:w="856" w:type="dxa"/>
            <w:vAlign w:val="center"/>
          </w:tcPr>
          <w:p w14:paraId="0BEB9CB1" w14:textId="77777777" w:rsidR="002F321A" w:rsidRDefault="002F321A">
            <w:pPr>
              <w:rPr>
                <w:b/>
              </w:rPr>
            </w:pPr>
          </w:p>
        </w:tc>
        <w:tc>
          <w:tcPr>
            <w:tcW w:w="2551" w:type="dxa"/>
            <w:vAlign w:val="center"/>
            <w:hideMark/>
          </w:tcPr>
          <w:p w14:paraId="68E6DDC2" w14:textId="77777777" w:rsidR="002F321A" w:rsidRDefault="002F321A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Výsledný stav po provedených opravách</w:t>
            </w:r>
          </w:p>
        </w:tc>
      </w:tr>
    </w:tbl>
    <w:p w14:paraId="65CD9ED1" w14:textId="77777777" w:rsidR="002F321A" w:rsidRDefault="002F321A" w:rsidP="002F321A">
      <w:pPr>
        <w:rPr>
          <w:rFonts w:asciiTheme="minorHAnsi" w:hAnsiTheme="minorHAnsi" w:cstheme="minorBidi"/>
          <w:sz w:val="22"/>
          <w:szCs w:val="22"/>
        </w:rPr>
      </w:pPr>
      <w:r>
        <w:rPr>
          <w:noProof/>
        </w:rPr>
        <w:drawing>
          <wp:inline distT="0" distB="0" distL="0" distR="0" wp14:anchorId="53751CB3" wp14:editId="4981AA8C">
            <wp:extent cx="5771515" cy="716915"/>
            <wp:effectExtent l="38100" t="0" r="19685" b="26035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1C52AAF1" w14:textId="77777777" w:rsidR="002F321A" w:rsidRDefault="002F321A" w:rsidP="002F321A">
      <w:r>
        <w:rPr>
          <w:noProof/>
        </w:rPr>
        <w:drawing>
          <wp:inline distT="0" distB="0" distL="0" distR="0" wp14:anchorId="3BB8FA17" wp14:editId="2B6E4804">
            <wp:extent cx="5771515" cy="716915"/>
            <wp:effectExtent l="38100" t="0" r="19685" b="2603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2A74B26C" w14:textId="77777777" w:rsidR="002F321A" w:rsidRDefault="002F321A" w:rsidP="002F321A">
      <w:r>
        <w:rPr>
          <w:noProof/>
        </w:rPr>
        <w:drawing>
          <wp:inline distT="0" distB="0" distL="0" distR="0" wp14:anchorId="54BA657C" wp14:editId="5DCA8A2B">
            <wp:extent cx="5771515" cy="716915"/>
            <wp:effectExtent l="38100" t="0" r="19685" b="2603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14:paraId="59EDAF07" w14:textId="77777777" w:rsidR="002F321A" w:rsidRDefault="002F321A" w:rsidP="002F321A"/>
    <w:p w14:paraId="0E607890" w14:textId="77777777" w:rsidR="002F321A" w:rsidRDefault="002F321A" w:rsidP="002F321A">
      <w:pPr>
        <w:rPr>
          <w:b/>
        </w:rPr>
      </w:pPr>
    </w:p>
    <w:p w14:paraId="25FDD7B3" w14:textId="77777777" w:rsidR="002F321A" w:rsidRDefault="002F321A" w:rsidP="003B7324"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DC3FA0B" wp14:editId="025C47E0">
                <wp:simplePos x="0" y="0"/>
                <wp:positionH relativeFrom="column">
                  <wp:posOffset>-4445</wp:posOffset>
                </wp:positionH>
                <wp:positionV relativeFrom="paragraph">
                  <wp:posOffset>1905</wp:posOffset>
                </wp:positionV>
                <wp:extent cx="179705" cy="180975"/>
                <wp:effectExtent l="0" t="0" r="0" b="9525"/>
                <wp:wrapTight wrapText="bothSides">
                  <wp:wrapPolygon edited="0">
                    <wp:start x="0" y="0"/>
                    <wp:lineTo x="0" y="20463"/>
                    <wp:lineTo x="18318" y="20463"/>
                    <wp:lineTo x="18318" y="0"/>
                    <wp:lineTo x="0" y="0"/>
                  </wp:wrapPolygon>
                </wp:wrapTight>
                <wp:docPr id="10" name="Obdélník: se zakulacenými roh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80975"/>
                        </a:xfrm>
                        <a:prstGeom prst="roundRect">
                          <a:avLst/>
                        </a:prstGeom>
                        <a:solidFill>
                          <a:srgbClr val="2EB3A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066529" id="Obdélník: se zakulacenými rohy 10" o:spid="_x0000_s1026" style="position:absolute;margin-left:-.35pt;margin-top:.15pt;width:14.15pt;height:14.2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" fillcolor="#2eb3a1" stroked="f" strokeweight="1pt">
                <v:stroke joinstyle="miter"/>
                <w10:wrap type="tight"/>
              </v:roundrect>
            </w:pict>
          </mc:Fallback>
        </mc:AlternateContent>
      </w:r>
      <w:r>
        <w:t>Nebyly zjištěny významné nesprávnosti</w:t>
      </w:r>
      <w:r w:rsidR="00814E30">
        <w:t>/nedostatky</w:t>
      </w:r>
    </w:p>
    <w:p w14:paraId="1648A806" w14:textId="77777777" w:rsidR="002F321A" w:rsidRDefault="002F321A"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93E019E" wp14:editId="4AD0C871">
                <wp:simplePos x="0" y="0"/>
                <wp:positionH relativeFrom="column">
                  <wp:posOffset>-4445</wp:posOffset>
                </wp:positionH>
                <wp:positionV relativeFrom="paragraph">
                  <wp:posOffset>4445</wp:posOffset>
                </wp:positionV>
                <wp:extent cx="179705" cy="180975"/>
                <wp:effectExtent l="0" t="0" r="0" b="9525"/>
                <wp:wrapTight wrapText="bothSides">
                  <wp:wrapPolygon edited="0">
                    <wp:start x="0" y="0"/>
                    <wp:lineTo x="0" y="20463"/>
                    <wp:lineTo x="18318" y="20463"/>
                    <wp:lineTo x="18318" y="0"/>
                    <wp:lineTo x="0" y="0"/>
                  </wp:wrapPolygon>
                </wp:wrapTight>
                <wp:docPr id="6" name="Obdélník: se zakulacenými roh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80975"/>
                        </a:xfrm>
                        <a:prstGeom prst="roundRect">
                          <a:avLst/>
                        </a:prstGeom>
                        <a:solidFill>
                          <a:srgbClr val="FDC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E104CC" id="Obdélník: se zakulacenými rohy 6" o:spid="_x0000_s1026" style="position:absolute;margin-left:-.35pt;margin-top:.35pt;width:14.15pt;height:14.2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" fillcolor="#fdc300" stroked="f" strokeweight="1pt">
                <v:stroke joinstyle="miter"/>
                <w10:wrap type="tight"/>
              </v:roundrect>
            </w:pict>
          </mc:Fallback>
        </mc:AlternateContent>
      </w:r>
      <w:r>
        <w:t>Byly zjištěny významné nesprávnosti</w:t>
      </w:r>
      <w:r w:rsidR="00814E30">
        <w:t>/nedostatky</w:t>
      </w:r>
    </w:p>
    <w:p w14:paraId="7C62B848" w14:textId="77777777" w:rsidR="002F321A" w:rsidRDefault="002F321A" w:rsidP="00C27D5B">
      <w:pPr>
        <w:jc w:val="both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6A670D1" wp14:editId="7A42CCA0">
                <wp:simplePos x="0" y="0"/>
                <wp:positionH relativeFrom="column">
                  <wp:posOffset>-4445</wp:posOffset>
                </wp:positionH>
                <wp:positionV relativeFrom="paragraph">
                  <wp:posOffset>-2540</wp:posOffset>
                </wp:positionV>
                <wp:extent cx="179705" cy="180975"/>
                <wp:effectExtent l="0" t="0" r="0" b="9525"/>
                <wp:wrapTight wrapText="bothSides">
                  <wp:wrapPolygon edited="0">
                    <wp:start x="0" y="0"/>
                    <wp:lineTo x="0" y="20463"/>
                    <wp:lineTo x="18318" y="20463"/>
                    <wp:lineTo x="18318" y="0"/>
                    <wp:lineTo x="0" y="0"/>
                  </wp:wrapPolygon>
                </wp:wrapTight>
                <wp:docPr id="7" name="Obdélník: se zakulacenými roh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80975"/>
                        </a:xfrm>
                        <a:prstGeom prst="roundRect">
                          <a:avLst/>
                        </a:prstGeom>
                        <a:solidFill>
                          <a:srgbClr val="AF19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FC6A21" id="Obdélník: se zakulacenými rohy 7" o:spid="_x0000_s1026" style="position:absolute;margin-left:-.35pt;margin-top:-.2pt;width:14.15pt;height:14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" fillcolor="#af1953" stroked="f" strokeweight="1pt">
                <v:stroke joinstyle="miter"/>
                <w10:wrap type="tight"/>
              </v:roundrect>
            </w:pict>
          </mc:Fallback>
        </mc:AlternateContent>
      </w:r>
      <w:r>
        <w:t>Byly zjištěny významné nesprávnosti</w:t>
      </w:r>
      <w:r w:rsidR="00814E30">
        <w:t>/nedostatky</w:t>
      </w:r>
      <w:r>
        <w:t xml:space="preserve"> s rozsáhlým dopadem na oblast</w:t>
      </w:r>
      <w:r w:rsidR="003B7324">
        <w:t xml:space="preserve"> </w:t>
      </w:r>
      <w:r>
        <w:t>kontrol</w:t>
      </w:r>
      <w:r w:rsidR="003B7324">
        <w:t>y</w:t>
      </w:r>
    </w:p>
    <w:p w14:paraId="724494A5" w14:textId="77777777" w:rsidR="002F321A" w:rsidRDefault="002F321A" w:rsidP="00F20716">
      <w:pPr>
        <w:jc w:val="center"/>
        <w:rPr>
          <w:rStyle w:val="A4"/>
          <w:rFonts w:eastAsiaTheme="majorEastAsia"/>
          <w:b/>
          <w:sz w:val="32"/>
          <w:szCs w:val="32"/>
        </w:rPr>
      </w:pPr>
    </w:p>
    <w:p w14:paraId="4C076CC3" w14:textId="77777777" w:rsidR="002F321A" w:rsidRDefault="002F321A" w:rsidP="00F20716">
      <w:pPr>
        <w:jc w:val="center"/>
        <w:rPr>
          <w:rStyle w:val="A4"/>
          <w:rFonts w:eastAsiaTheme="majorEastAsia"/>
          <w:b/>
          <w:sz w:val="32"/>
          <w:szCs w:val="32"/>
        </w:rPr>
      </w:pPr>
    </w:p>
    <w:p w14:paraId="53E44131" w14:textId="77777777" w:rsidR="002F321A" w:rsidRDefault="002F321A" w:rsidP="00F20716">
      <w:pPr>
        <w:jc w:val="center"/>
        <w:rPr>
          <w:rStyle w:val="A4"/>
          <w:rFonts w:eastAsiaTheme="majorEastAsia"/>
          <w:b/>
          <w:sz w:val="32"/>
          <w:szCs w:val="32"/>
        </w:rPr>
      </w:pPr>
    </w:p>
    <w:p w14:paraId="76A5D229" w14:textId="77777777" w:rsidR="002F321A" w:rsidRDefault="002F321A" w:rsidP="00F20716">
      <w:pPr>
        <w:jc w:val="center"/>
        <w:rPr>
          <w:rStyle w:val="A4"/>
          <w:rFonts w:eastAsiaTheme="majorEastAsia"/>
          <w:b/>
          <w:sz w:val="32"/>
          <w:szCs w:val="32"/>
        </w:rPr>
      </w:pPr>
    </w:p>
    <w:p w14:paraId="527C552C" w14:textId="77777777" w:rsidR="002F321A" w:rsidRDefault="002F321A" w:rsidP="00F20716">
      <w:pPr>
        <w:jc w:val="center"/>
        <w:rPr>
          <w:rStyle w:val="A4"/>
          <w:rFonts w:eastAsiaTheme="majorEastAsia"/>
          <w:b/>
          <w:sz w:val="32"/>
          <w:szCs w:val="32"/>
        </w:rPr>
      </w:pPr>
    </w:p>
    <w:p w14:paraId="06DC5094" w14:textId="77777777" w:rsidR="00F20716" w:rsidRDefault="00F20716" w:rsidP="00876A96">
      <w:pPr>
        <w:spacing w:after="160" w:line="259" w:lineRule="auto"/>
        <w:rPr>
          <w:highlight w:val="yellow"/>
        </w:rPr>
      </w:pPr>
    </w:p>
    <w:p w14:paraId="4D0BFE34" w14:textId="77777777" w:rsidR="00F20716" w:rsidRDefault="00F20716" w:rsidP="00876A96">
      <w:pPr>
        <w:spacing w:after="160" w:line="259" w:lineRule="auto"/>
        <w:rPr>
          <w:highlight w:val="yellow"/>
        </w:rPr>
      </w:pPr>
    </w:p>
    <w:p w14:paraId="6023F2D2" w14:textId="77777777" w:rsidR="00752399" w:rsidRDefault="00F057C7" w:rsidP="00876A96">
      <w:pPr>
        <w:spacing w:after="160" w:line="259" w:lineRule="auto"/>
        <w:rPr>
          <w:highlight w:val="yellow"/>
        </w:rPr>
      </w:pPr>
      <w:r w:rsidRPr="00EC4200">
        <w:rPr>
          <w:highlight w:val="yellow"/>
        </w:rPr>
        <w:br w:type="page"/>
      </w:r>
    </w:p>
    <w:p w14:paraId="5E274BA3" w14:textId="77777777" w:rsidR="0033466E" w:rsidRPr="000A11F0" w:rsidRDefault="00A640AE" w:rsidP="00D10727">
      <w:pPr>
        <w:pStyle w:val="Styl1"/>
        <w:ind w:left="414" w:hanging="57"/>
      </w:pPr>
      <w:r w:rsidRPr="000A11F0">
        <w:lastRenderedPageBreak/>
        <w:t>Shrnutí a vyhodnocení</w:t>
      </w:r>
    </w:p>
    <w:p w14:paraId="248D94E4" w14:textId="77777777" w:rsidR="00183D64" w:rsidRPr="00EC4200" w:rsidRDefault="00183D64" w:rsidP="00183D64">
      <w:pPr>
        <w:spacing w:after="0"/>
        <w:jc w:val="both"/>
        <w:rPr>
          <w:highlight w:val="yellow"/>
        </w:rPr>
      </w:pPr>
    </w:p>
    <w:p w14:paraId="6695BF26" w14:textId="0B78D6FE" w:rsidR="003E3D74" w:rsidRPr="000A11F0" w:rsidRDefault="003E3D74" w:rsidP="009B7DCB">
      <w:pPr>
        <w:spacing w:before="120" w:line="200" w:lineRule="atLeast"/>
        <w:jc w:val="both"/>
        <w:rPr>
          <w:rFonts w:asciiTheme="minorHAnsi" w:hAnsiTheme="minorHAnsi" w:cstheme="minorHAnsi"/>
          <w:bCs/>
        </w:rPr>
      </w:pPr>
      <w:r w:rsidRPr="000A11F0">
        <w:rPr>
          <w:rFonts w:asciiTheme="minorHAnsi" w:eastAsiaTheme="minorHAnsi" w:hAnsiTheme="minorHAnsi" w:cstheme="minorHAnsi"/>
        </w:rPr>
        <w:t xml:space="preserve">Cílem kontroly bylo prověřit, zda </w:t>
      </w:r>
      <w:r w:rsidR="009B7DCB" w:rsidRPr="000A11F0">
        <w:rPr>
          <w:rFonts w:asciiTheme="minorHAnsi" w:eastAsiaTheme="minorHAnsi" w:hAnsiTheme="minorHAnsi" w:cstheme="minorHAnsi"/>
        </w:rPr>
        <w:t xml:space="preserve">MS Praha </w:t>
      </w:r>
      <w:r w:rsidRPr="000A11F0">
        <w:rPr>
          <w:rFonts w:asciiTheme="minorHAnsi" w:eastAsiaTheme="minorHAnsi" w:hAnsiTheme="minorHAnsi" w:cstheme="minorHAnsi"/>
        </w:rPr>
        <w:t>při vedení účetnictví a sestavení účetní závěrky a</w:t>
      </w:r>
      <w:r w:rsidR="00BB7908">
        <w:rPr>
          <w:rFonts w:asciiTheme="minorHAnsi" w:eastAsiaTheme="minorHAnsi" w:hAnsiTheme="minorHAnsi" w:cstheme="minorHAnsi"/>
        </w:rPr>
        <w:t> </w:t>
      </w:r>
      <w:r w:rsidRPr="000A11F0">
        <w:rPr>
          <w:rFonts w:asciiTheme="minorHAnsi" w:eastAsiaTheme="minorHAnsi" w:hAnsiTheme="minorHAnsi" w:cstheme="minorHAnsi"/>
        </w:rPr>
        <w:t>předkládání údajů pro</w:t>
      </w:r>
      <w:r w:rsidR="00DF6AD0">
        <w:rPr>
          <w:rFonts w:asciiTheme="minorHAnsi" w:eastAsiaTheme="minorHAnsi" w:hAnsiTheme="minorHAnsi" w:cstheme="minorHAnsi"/>
        </w:rPr>
        <w:t xml:space="preserve"> </w:t>
      </w:r>
      <w:r w:rsidRPr="000A11F0">
        <w:rPr>
          <w:rFonts w:asciiTheme="minorHAnsi" w:eastAsiaTheme="minorHAnsi" w:hAnsiTheme="minorHAnsi" w:cstheme="minorHAnsi"/>
        </w:rPr>
        <w:t>hodnocení plnění státního rozpočtu za rok 2022 postupoval v souladu s příslušnými právními předpisy.</w:t>
      </w:r>
      <w:r w:rsidR="009B7DCB" w:rsidRPr="000A11F0">
        <w:rPr>
          <w:rFonts w:asciiTheme="minorHAnsi" w:eastAsiaTheme="minorHAnsi" w:hAnsiTheme="minorHAnsi" w:cstheme="minorHAnsi"/>
        </w:rPr>
        <w:t xml:space="preserve"> </w:t>
      </w:r>
    </w:p>
    <w:p w14:paraId="19D30A38" w14:textId="77777777" w:rsidR="00EA4390" w:rsidRPr="000A11F0" w:rsidRDefault="00EA4390" w:rsidP="007A7522">
      <w:pPr>
        <w:spacing w:after="0"/>
        <w:jc w:val="both"/>
        <w:rPr>
          <w:rFonts w:eastAsiaTheme="minorHAnsi" w:cs="Calibri"/>
        </w:rPr>
      </w:pPr>
      <w:r w:rsidRPr="000A11F0">
        <w:rPr>
          <w:rFonts w:eastAsiaTheme="minorHAnsi" w:cs="Calibri"/>
        </w:rPr>
        <w:t>KA</w:t>
      </w:r>
      <w:r w:rsidR="00F7140E" w:rsidRPr="000A11F0">
        <w:rPr>
          <w:rFonts w:eastAsiaTheme="minorHAnsi" w:cs="Calibri"/>
        </w:rPr>
        <w:t xml:space="preserve"> byla zahájena v průběhu kontrolovaného účetního a rozpočtového období 202</w:t>
      </w:r>
      <w:r w:rsidR="00BF2EC9" w:rsidRPr="000A11F0">
        <w:rPr>
          <w:rFonts w:eastAsiaTheme="minorHAnsi" w:cs="Calibri"/>
        </w:rPr>
        <w:t>2</w:t>
      </w:r>
      <w:r w:rsidR="00F7140E" w:rsidRPr="000A11F0">
        <w:rPr>
          <w:rFonts w:eastAsiaTheme="minorHAnsi" w:cs="Calibri"/>
        </w:rPr>
        <w:t>.</w:t>
      </w:r>
      <w:r w:rsidRPr="000A11F0">
        <w:rPr>
          <w:rFonts w:eastAsiaTheme="minorHAnsi" w:cs="Calibri"/>
        </w:rPr>
        <w:t xml:space="preserve"> </w:t>
      </w:r>
    </w:p>
    <w:p w14:paraId="503BD205" w14:textId="77777777" w:rsidR="002B70D5" w:rsidRPr="00EC4200" w:rsidRDefault="002B70D5" w:rsidP="00A7348F">
      <w:pPr>
        <w:spacing w:after="0"/>
        <w:rPr>
          <w:highlight w:val="yellow"/>
        </w:rPr>
      </w:pPr>
    </w:p>
    <w:p w14:paraId="21F4F531" w14:textId="77777777" w:rsidR="0029520A" w:rsidRPr="00CC3031" w:rsidRDefault="00D966F6" w:rsidP="00D10727">
      <w:pPr>
        <w:pStyle w:val="Styl2"/>
        <w:numPr>
          <w:ilvl w:val="0"/>
          <w:numId w:val="17"/>
        </w:numPr>
        <w:ind w:left="340" w:hanging="340"/>
      </w:pPr>
      <w:r w:rsidRPr="00CC3031">
        <w:t>Vedení účetnictví</w:t>
      </w:r>
      <w:r w:rsidR="00E45844" w:rsidRPr="00CC3031">
        <w:t xml:space="preserve"> a účetní závěrka</w:t>
      </w:r>
    </w:p>
    <w:tbl>
      <w:tblPr>
        <w:tblStyle w:val="Mkatabulky"/>
        <w:tblW w:w="9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F1FF"/>
        <w:tblLook w:val="04A0" w:firstRow="1" w:lastRow="0" w:firstColumn="1" w:lastColumn="0" w:noHBand="0" w:noVBand="1"/>
      </w:tblPr>
      <w:tblGrid>
        <w:gridCol w:w="9084"/>
      </w:tblGrid>
      <w:tr w:rsidR="005F1C00" w:rsidRPr="00EC4200" w14:paraId="39E31E32" w14:textId="77777777" w:rsidTr="00453CDD">
        <w:trPr>
          <w:trHeight w:val="1189"/>
        </w:trPr>
        <w:tc>
          <w:tcPr>
            <w:tcW w:w="9084" w:type="dxa"/>
            <w:shd w:val="clear" w:color="auto" w:fill="E5F1FF"/>
            <w:tcMar>
              <w:left w:w="142" w:type="dxa"/>
              <w:right w:w="227" w:type="dxa"/>
            </w:tcMar>
          </w:tcPr>
          <w:p w14:paraId="4D6F1771" w14:textId="77777777" w:rsidR="00487F34" w:rsidRPr="00EC4200" w:rsidRDefault="00487F34">
            <w:pPr>
              <w:spacing w:before="120"/>
              <w:ind w:right="-102"/>
              <w:jc w:val="both"/>
              <w:rPr>
                <w:rFonts w:asciiTheme="minorHAnsi" w:hAnsiTheme="minorHAnsi" w:cs="Calibri"/>
                <w:b/>
                <w:highlight w:val="yellow"/>
              </w:rPr>
            </w:pPr>
            <w:bookmarkStart w:id="1" w:name="_Hlk79663883"/>
            <w:r w:rsidRPr="00487F34">
              <w:rPr>
                <w:rFonts w:asciiTheme="minorHAnsi" w:hAnsiTheme="minorHAnsi" w:cs="Calibri"/>
                <w:b/>
              </w:rPr>
              <w:t>Účetní závěrka MS Praha k 31. prosinci 2022</w:t>
            </w:r>
            <w:r w:rsidR="00A53EBF">
              <w:rPr>
                <w:rFonts w:asciiTheme="minorHAnsi" w:hAnsiTheme="minorHAnsi" w:cs="Calibri"/>
                <w:b/>
              </w:rPr>
              <w:t xml:space="preserve"> s datem sestavení 2. března 2023 (dále také „ÚZ“)</w:t>
            </w:r>
            <w:r w:rsidR="00B016C1">
              <w:rPr>
                <w:rStyle w:val="Znakapoznpodarou"/>
                <w:rFonts w:asciiTheme="minorHAnsi" w:hAnsiTheme="minorHAnsi" w:cs="Calibri"/>
                <w:b/>
              </w:rPr>
              <w:footnoteReference w:id="2"/>
            </w:r>
            <w:r w:rsidRPr="00487F34">
              <w:rPr>
                <w:rFonts w:asciiTheme="minorHAnsi" w:hAnsiTheme="minorHAnsi" w:cs="Calibri"/>
                <w:b/>
              </w:rPr>
              <w:t xml:space="preserve"> podává dle NKÚ ve všech významných ohledech věrný a poctivý obraz předmětu účetnictví a finanční situace účetní jednotky</w:t>
            </w:r>
            <w:r w:rsidR="000878BC">
              <w:rPr>
                <w:rFonts w:asciiTheme="minorHAnsi" w:hAnsiTheme="minorHAnsi" w:cs="Calibri"/>
                <w:b/>
              </w:rPr>
              <w:t>, a to</w:t>
            </w:r>
            <w:r w:rsidRPr="00487F34">
              <w:rPr>
                <w:rFonts w:asciiTheme="minorHAnsi" w:hAnsiTheme="minorHAnsi" w:cs="Calibri"/>
                <w:b/>
              </w:rPr>
              <w:t xml:space="preserve"> dle účetních předpisů pro některé vybrané účetní jednotky</w:t>
            </w:r>
            <w:r w:rsidRPr="00487F34">
              <w:rPr>
                <w:rStyle w:val="Znakapoznpodarou"/>
                <w:rFonts w:asciiTheme="minorHAnsi" w:hAnsiTheme="minorHAnsi" w:cs="Calibri"/>
                <w:b/>
              </w:rPr>
              <w:footnoteReference w:id="3"/>
            </w:r>
            <w:r w:rsidRPr="00487F34">
              <w:rPr>
                <w:rFonts w:asciiTheme="minorHAnsi" w:hAnsiTheme="minorHAnsi" w:cs="Calibri"/>
                <w:b/>
              </w:rPr>
              <w:t>.</w:t>
            </w:r>
          </w:p>
        </w:tc>
      </w:tr>
      <w:bookmarkEnd w:id="1"/>
    </w:tbl>
    <w:p w14:paraId="590A3D54" w14:textId="77777777" w:rsidR="001937CB" w:rsidRDefault="001937CB" w:rsidP="005B4BB8">
      <w:pPr>
        <w:pStyle w:val="Odstavecseseznamem"/>
        <w:spacing w:after="0"/>
        <w:ind w:left="0"/>
        <w:jc w:val="both"/>
        <w:rPr>
          <w:rFonts w:eastAsiaTheme="minorHAnsi" w:cs="Calibri"/>
          <w:bCs/>
          <w:highlight w:val="yellow"/>
        </w:rPr>
      </w:pPr>
    </w:p>
    <w:p w14:paraId="78DF9F32" w14:textId="3B3B137B" w:rsidR="00603A22" w:rsidRPr="00E4727A" w:rsidRDefault="00603A22" w:rsidP="005B4BB8">
      <w:pPr>
        <w:pStyle w:val="Odstavecseseznamem"/>
        <w:spacing w:after="0"/>
        <w:ind w:left="0"/>
        <w:jc w:val="both"/>
        <w:rPr>
          <w:rFonts w:asciiTheme="minorHAnsi" w:hAnsiTheme="minorHAnsi" w:cs="Calibri"/>
          <w:highlight w:val="yellow"/>
        </w:rPr>
      </w:pPr>
      <w:r w:rsidRPr="00C27D5B">
        <w:rPr>
          <w:rFonts w:eastAsiaTheme="minorHAnsi" w:cs="Calibri"/>
        </w:rPr>
        <w:t>NKÚ v průběhu kontroly identifikoval nedostatky ve vedení účetnictví</w:t>
      </w:r>
      <w:r w:rsidR="00B20632">
        <w:rPr>
          <w:rFonts w:eastAsiaTheme="minorHAnsi" w:cs="Calibri"/>
        </w:rPr>
        <w:t>. Tyto nedostatky</w:t>
      </w:r>
      <w:r w:rsidRPr="00C27D5B">
        <w:rPr>
          <w:rFonts w:eastAsiaTheme="minorHAnsi" w:cs="Calibri"/>
        </w:rPr>
        <w:t xml:space="preserve"> by měly </w:t>
      </w:r>
      <w:r w:rsidR="00B20632">
        <w:rPr>
          <w:rFonts w:eastAsiaTheme="minorHAnsi" w:cs="Calibri"/>
        </w:rPr>
        <w:t xml:space="preserve">vliv </w:t>
      </w:r>
      <w:r w:rsidRPr="00C27D5B">
        <w:rPr>
          <w:rFonts w:eastAsiaTheme="minorHAnsi" w:cs="Calibri"/>
        </w:rPr>
        <w:t>na zůstatky položek účetní závěrky MS Praha za rok 2022</w:t>
      </w:r>
      <w:r w:rsidR="00B20632" w:rsidRPr="00B20632">
        <w:rPr>
          <w:rFonts w:eastAsiaTheme="minorHAnsi" w:cs="Calibri"/>
        </w:rPr>
        <w:t xml:space="preserve"> </w:t>
      </w:r>
      <w:r w:rsidR="00B20632" w:rsidRPr="00C27D5B">
        <w:rPr>
          <w:rFonts w:eastAsiaTheme="minorHAnsi" w:cs="Calibri"/>
        </w:rPr>
        <w:t>ve výši 15,2 mil. Kč</w:t>
      </w:r>
      <w:r w:rsidRPr="00C27D5B">
        <w:rPr>
          <w:rFonts w:eastAsiaTheme="minorHAnsi" w:cs="Calibri"/>
        </w:rPr>
        <w:t xml:space="preserve">. </w:t>
      </w:r>
      <w:r w:rsidR="00B20632">
        <w:rPr>
          <w:rFonts w:eastAsiaTheme="minorHAnsi" w:cs="Calibri"/>
        </w:rPr>
        <w:t>Zjištěné n</w:t>
      </w:r>
      <w:r w:rsidRPr="00C27D5B">
        <w:rPr>
          <w:rFonts w:eastAsiaTheme="minorHAnsi" w:cs="Calibri"/>
        </w:rPr>
        <w:t xml:space="preserve">edostatky nebyly významné a MS Praha je opravil. V důsledku provedení účetních oprav </w:t>
      </w:r>
      <w:r w:rsidR="00DF6AD0">
        <w:rPr>
          <w:rFonts w:eastAsiaTheme="minorHAnsi" w:cs="Calibri"/>
        </w:rPr>
        <w:br/>
      </w:r>
      <w:r w:rsidRPr="00C27D5B">
        <w:rPr>
          <w:rFonts w:eastAsiaTheme="minorHAnsi" w:cs="Calibri"/>
        </w:rPr>
        <w:t>a</w:t>
      </w:r>
      <w:r w:rsidR="00DF6AD0">
        <w:rPr>
          <w:rFonts w:eastAsiaTheme="minorHAnsi" w:cs="Calibri"/>
        </w:rPr>
        <w:t xml:space="preserve"> </w:t>
      </w:r>
      <w:r w:rsidRPr="00C27D5B">
        <w:rPr>
          <w:rFonts w:eastAsiaTheme="minorHAnsi" w:cs="Calibri"/>
        </w:rPr>
        <w:t>realizace všech potřebných opatření k</w:t>
      </w:r>
      <w:r w:rsidR="00DF6AD0">
        <w:rPr>
          <w:rFonts w:eastAsiaTheme="minorHAnsi" w:cs="Calibri"/>
        </w:rPr>
        <w:t xml:space="preserve"> </w:t>
      </w:r>
      <w:r w:rsidRPr="00C27D5B">
        <w:rPr>
          <w:rFonts w:eastAsiaTheme="minorHAnsi" w:cs="Calibri"/>
        </w:rPr>
        <w:t xml:space="preserve">eliminaci systémových nedostatků bylo účetnictví </w:t>
      </w:r>
      <w:r w:rsidR="00DF6AD0">
        <w:rPr>
          <w:rFonts w:eastAsiaTheme="minorHAnsi" w:cs="Calibri"/>
        </w:rPr>
        <w:br/>
      </w:r>
      <w:r w:rsidRPr="00C27D5B">
        <w:rPr>
          <w:rFonts w:eastAsiaTheme="minorHAnsi" w:cs="Calibri"/>
        </w:rPr>
        <w:t>MS</w:t>
      </w:r>
      <w:r w:rsidR="006614E6">
        <w:rPr>
          <w:rFonts w:eastAsiaTheme="minorHAnsi" w:cs="Calibri"/>
        </w:rPr>
        <w:t> </w:t>
      </w:r>
      <w:r w:rsidRPr="00C27D5B">
        <w:rPr>
          <w:rFonts w:eastAsiaTheme="minorHAnsi" w:cs="Calibri"/>
        </w:rPr>
        <w:t>Praha</w:t>
      </w:r>
      <w:r w:rsidRPr="00C27D5B">
        <w:rPr>
          <w:rFonts w:asciiTheme="minorHAnsi" w:hAnsiTheme="minorHAnsi" w:cs="Calibri"/>
        </w:rPr>
        <w:t xml:space="preserve"> v</w:t>
      </w:r>
      <w:r w:rsidR="00DF6AD0">
        <w:rPr>
          <w:rFonts w:asciiTheme="minorHAnsi" w:hAnsiTheme="minorHAnsi" w:cs="Calibri"/>
        </w:rPr>
        <w:t xml:space="preserve"> </w:t>
      </w:r>
      <w:r w:rsidRPr="00C27D5B">
        <w:rPr>
          <w:rFonts w:asciiTheme="minorHAnsi" w:hAnsiTheme="minorHAnsi" w:cs="Calibri"/>
        </w:rPr>
        <w:t>roce 2022 vedeno v</w:t>
      </w:r>
      <w:r w:rsidR="00DF6AD0">
        <w:rPr>
          <w:rFonts w:asciiTheme="minorHAnsi" w:hAnsiTheme="minorHAnsi" w:cs="Calibri"/>
        </w:rPr>
        <w:t xml:space="preserve"> </w:t>
      </w:r>
      <w:r w:rsidRPr="00C27D5B">
        <w:rPr>
          <w:rFonts w:asciiTheme="minorHAnsi" w:hAnsiTheme="minorHAnsi" w:cs="Calibri"/>
        </w:rPr>
        <w:t>souladu s</w:t>
      </w:r>
      <w:r w:rsidR="00DF6AD0">
        <w:rPr>
          <w:rFonts w:asciiTheme="minorHAnsi" w:hAnsiTheme="minorHAnsi" w:cs="Calibri"/>
        </w:rPr>
        <w:t xml:space="preserve"> </w:t>
      </w:r>
      <w:r w:rsidRPr="00C27D5B">
        <w:rPr>
          <w:rFonts w:asciiTheme="minorHAnsi" w:hAnsiTheme="minorHAnsi" w:cs="Calibri"/>
        </w:rPr>
        <w:t>příslušnými právními předpisy</w:t>
      </w:r>
      <w:r w:rsidR="00EA6540">
        <w:rPr>
          <w:rFonts w:asciiTheme="minorHAnsi" w:hAnsiTheme="minorHAnsi" w:cs="Calibri"/>
        </w:rPr>
        <w:t xml:space="preserve"> </w:t>
      </w:r>
      <w:r w:rsidR="00EA6540" w:rsidRPr="00B20632">
        <w:rPr>
          <w:rFonts w:asciiTheme="minorHAnsi" w:hAnsiTheme="minorHAnsi" w:cs="Calibri"/>
        </w:rPr>
        <w:t>a informace v ÚZ sestavené na jeho základě jsou spolehlivé</w:t>
      </w:r>
      <w:r w:rsidR="00EA6540" w:rsidRPr="00B20632">
        <w:rPr>
          <w:rStyle w:val="Znakapoznpodarou"/>
          <w:rFonts w:asciiTheme="minorHAnsi" w:hAnsiTheme="minorHAnsi" w:cs="Calibri"/>
        </w:rPr>
        <w:footnoteReference w:id="4"/>
      </w:r>
      <w:r w:rsidR="00703D90" w:rsidRPr="00B20632">
        <w:rPr>
          <w:rFonts w:asciiTheme="minorHAnsi" w:hAnsiTheme="minorHAnsi" w:cs="Calibri"/>
        </w:rPr>
        <w:t xml:space="preserve"> (viz část IV.1.2)</w:t>
      </w:r>
      <w:r w:rsidRPr="00B20632">
        <w:rPr>
          <w:rFonts w:asciiTheme="minorHAnsi" w:hAnsiTheme="minorHAnsi" w:cs="Calibri"/>
        </w:rPr>
        <w:t>.</w:t>
      </w:r>
    </w:p>
    <w:p w14:paraId="35EB3FA5" w14:textId="77777777" w:rsidR="00603A22" w:rsidRPr="00E4727A" w:rsidRDefault="00603A22" w:rsidP="005B4BB8">
      <w:pPr>
        <w:pStyle w:val="Odstavecseseznamem"/>
        <w:spacing w:after="0"/>
        <w:ind w:left="0"/>
        <w:jc w:val="both"/>
        <w:rPr>
          <w:rFonts w:eastAsiaTheme="minorHAnsi" w:cs="Calibri"/>
          <w:bCs/>
          <w:highlight w:val="yellow"/>
        </w:rPr>
      </w:pPr>
    </w:p>
    <w:p w14:paraId="1CF567CC" w14:textId="77777777" w:rsidR="00FA317B" w:rsidRPr="00614B48" w:rsidRDefault="0065404B" w:rsidP="005F04F5">
      <w:pPr>
        <w:spacing w:after="0"/>
        <w:jc w:val="both"/>
      </w:pPr>
      <w:r w:rsidRPr="00614B48">
        <w:t>P</w:t>
      </w:r>
      <w:r w:rsidR="0076351C" w:rsidRPr="00614B48">
        <w:t>rovedené účetní opravy promítl M</w:t>
      </w:r>
      <w:r w:rsidRPr="00614B48">
        <w:t>S Praha</w:t>
      </w:r>
      <w:r w:rsidR="0076351C" w:rsidRPr="00614B48">
        <w:t xml:space="preserve"> i do úprav svých nastavených účetních a jiných postupů v rámci vnitřního kontrolního systému (dále také „VKS“) v těch případech, kdy se jednalo o systémové nedostatky (viz část </w:t>
      </w:r>
      <w:r w:rsidR="00487F34" w:rsidRPr="00614B48">
        <w:t>IV.1.1</w:t>
      </w:r>
      <w:r w:rsidR="0076351C" w:rsidRPr="00614B48">
        <w:t>).</w:t>
      </w:r>
    </w:p>
    <w:p w14:paraId="0D9BC232" w14:textId="77777777" w:rsidR="00B40ABC" w:rsidRPr="00EC4200" w:rsidRDefault="00B40ABC" w:rsidP="005F04F5">
      <w:pPr>
        <w:spacing w:after="0"/>
        <w:jc w:val="both"/>
        <w:rPr>
          <w:rFonts w:asciiTheme="minorHAnsi" w:hAnsiTheme="minorHAnsi" w:cstheme="minorHAnsi"/>
          <w:highlight w:val="yellow"/>
        </w:rPr>
      </w:pPr>
    </w:p>
    <w:p w14:paraId="2B75BDC6" w14:textId="77777777" w:rsidR="00F37FEB" w:rsidRDefault="00A640AE" w:rsidP="00B40ABC">
      <w:pPr>
        <w:pStyle w:val="Styl2"/>
        <w:numPr>
          <w:ilvl w:val="0"/>
          <w:numId w:val="17"/>
        </w:numPr>
        <w:ind w:left="340" w:hanging="340"/>
      </w:pPr>
      <w:r w:rsidRPr="00614B48">
        <w:t xml:space="preserve">Údaje </w:t>
      </w:r>
      <w:r w:rsidR="002352D7" w:rsidRPr="00614B48">
        <w:t xml:space="preserve">předkládané </w:t>
      </w:r>
      <w:r w:rsidR="00BE7549" w:rsidRPr="00614B48">
        <w:t>Městským soudem v Praze</w:t>
      </w:r>
      <w:r w:rsidR="00F94732" w:rsidRPr="00614B48">
        <w:t xml:space="preserve"> </w:t>
      </w:r>
      <w:r w:rsidRPr="00614B48">
        <w:t xml:space="preserve">pro hodnocení plnění </w:t>
      </w:r>
      <w:r w:rsidR="0087086A" w:rsidRPr="00614B48">
        <w:t xml:space="preserve">státního </w:t>
      </w:r>
      <w:r w:rsidRPr="00614B48">
        <w:t>rozpočtu</w:t>
      </w:r>
    </w:p>
    <w:tbl>
      <w:tblPr>
        <w:tblStyle w:val="Mkatabulky"/>
        <w:tblpPr w:leftFromText="141" w:rightFromText="141" w:vertAnchor="text" w:tblpY="-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F1FF"/>
        <w:tblLook w:val="04A0" w:firstRow="1" w:lastRow="0" w:firstColumn="1" w:lastColumn="0" w:noHBand="0" w:noVBand="1"/>
      </w:tblPr>
      <w:tblGrid>
        <w:gridCol w:w="9060"/>
      </w:tblGrid>
      <w:tr w:rsidR="00603A22" w:rsidRPr="00EC4200" w14:paraId="56DC7E2E" w14:textId="77777777" w:rsidTr="00603A22">
        <w:trPr>
          <w:trHeight w:val="665"/>
        </w:trPr>
        <w:tc>
          <w:tcPr>
            <w:tcW w:w="9060" w:type="dxa"/>
            <w:shd w:val="clear" w:color="auto" w:fill="E5F1FF"/>
          </w:tcPr>
          <w:p w14:paraId="5EFE24F4" w14:textId="77777777" w:rsidR="00603A22" w:rsidRPr="00EC4200" w:rsidRDefault="00603A22" w:rsidP="00603A22">
            <w:pPr>
              <w:spacing w:before="120"/>
              <w:jc w:val="both"/>
              <w:rPr>
                <w:rFonts w:eastAsiaTheme="minorHAnsi" w:cs="Calibri"/>
                <w:b/>
                <w:highlight w:val="yellow"/>
              </w:rPr>
            </w:pPr>
            <w:r>
              <w:rPr>
                <w:rFonts w:eastAsiaTheme="minorHAnsi" w:cs="Calibri"/>
                <w:b/>
              </w:rPr>
              <w:t>D</w:t>
            </w:r>
            <w:r w:rsidRPr="00614B48">
              <w:rPr>
                <w:rFonts w:eastAsiaTheme="minorHAnsi" w:cs="Calibri"/>
                <w:b/>
              </w:rPr>
              <w:t xml:space="preserve">le NKÚ byl </w:t>
            </w:r>
            <w:r>
              <w:rPr>
                <w:rFonts w:eastAsiaTheme="minorHAnsi" w:cs="Calibri"/>
                <w:b/>
              </w:rPr>
              <w:t xml:space="preserve">uvedený </w:t>
            </w:r>
            <w:r w:rsidRPr="00614B48">
              <w:rPr>
                <w:rFonts w:eastAsiaTheme="minorHAnsi" w:cs="Calibri"/>
                <w:b/>
              </w:rPr>
              <w:t>výkaz</w:t>
            </w:r>
            <w:r>
              <w:rPr>
                <w:rFonts w:eastAsiaTheme="minorHAnsi" w:cs="Calibri"/>
                <w:b/>
              </w:rPr>
              <w:t xml:space="preserve"> pro hodnocení plnění rozpočtu </w:t>
            </w:r>
            <w:r w:rsidRPr="00614B48">
              <w:rPr>
                <w:rFonts w:eastAsiaTheme="minorHAnsi" w:cs="Calibri"/>
                <w:b/>
              </w:rPr>
              <w:t>ve všech významných ohledech sestaven v souladu s příslušnými právními předpisy.</w:t>
            </w:r>
          </w:p>
        </w:tc>
      </w:tr>
    </w:tbl>
    <w:p w14:paraId="63E186DF" w14:textId="77777777" w:rsidR="008C7A9D" w:rsidRPr="007D6AD1" w:rsidRDefault="008C7A9D" w:rsidP="00C27D5B">
      <w:pPr>
        <w:tabs>
          <w:tab w:val="left" w:pos="1770"/>
        </w:tabs>
        <w:spacing w:after="0"/>
        <w:jc w:val="both"/>
      </w:pPr>
    </w:p>
    <w:p w14:paraId="5E0002E2" w14:textId="77777777" w:rsidR="00A22599" w:rsidRPr="00EC4200" w:rsidRDefault="00603A22" w:rsidP="00124170">
      <w:pPr>
        <w:spacing w:after="0"/>
        <w:jc w:val="both"/>
        <w:rPr>
          <w:rFonts w:asciiTheme="minorHAnsi" w:hAnsiTheme="minorHAnsi" w:cstheme="minorHAnsi"/>
          <w:highlight w:val="yellow"/>
        </w:rPr>
      </w:pPr>
      <w:r w:rsidRPr="007D6AD1">
        <w:t>NKÚ provedl ve výkazu pro hodnocení plnění rozpočtu MS Praha sestaveném</w:t>
      </w:r>
      <w:r>
        <w:br/>
      </w:r>
      <w:r w:rsidRPr="007D6AD1">
        <w:t>k 31. prosinci 2022</w:t>
      </w:r>
      <w:r w:rsidRPr="00DF6AD0">
        <w:rPr>
          <w:rStyle w:val="Znakapoznpodarou"/>
        </w:rPr>
        <w:footnoteReference w:id="5"/>
      </w:r>
      <w:r w:rsidRPr="007D6AD1">
        <w:t xml:space="preserve"> u údajů o příjmech a výdajích ve sloupci </w:t>
      </w:r>
      <w:r w:rsidR="005E4943" w:rsidRPr="0088411F">
        <w:rPr>
          <w:i/>
        </w:rPr>
        <w:t>S</w:t>
      </w:r>
      <w:r w:rsidRPr="0088411F">
        <w:rPr>
          <w:i/>
        </w:rPr>
        <w:t>kutečnost</w:t>
      </w:r>
      <w:r w:rsidRPr="007D6AD1">
        <w:t xml:space="preserve"> kontrolu správnosti jejich</w:t>
      </w:r>
      <w:r>
        <w:t xml:space="preserve"> třídění z hlediska </w:t>
      </w:r>
      <w:r w:rsidRPr="007D6AD1">
        <w:t>druhového, odvětvového a prostorového dle rozpočtové skladby.</w:t>
      </w:r>
    </w:p>
    <w:p w14:paraId="417B8B31" w14:textId="77777777" w:rsidR="00603A22" w:rsidRDefault="00603A22" w:rsidP="00124170">
      <w:pPr>
        <w:spacing w:after="0"/>
        <w:jc w:val="both"/>
        <w:rPr>
          <w:rFonts w:asciiTheme="minorHAnsi" w:hAnsiTheme="minorHAnsi" w:cstheme="minorHAnsi"/>
        </w:rPr>
      </w:pPr>
    </w:p>
    <w:p w14:paraId="3B97B0A4" w14:textId="03B763BF" w:rsidR="006917CF" w:rsidRPr="00165A56" w:rsidRDefault="00165A56" w:rsidP="00124170">
      <w:pPr>
        <w:spacing w:after="0"/>
        <w:jc w:val="both"/>
        <w:rPr>
          <w:sz w:val="23"/>
          <w:szCs w:val="23"/>
        </w:rPr>
      </w:pPr>
      <w:r w:rsidRPr="00165A56">
        <w:rPr>
          <w:rFonts w:asciiTheme="minorHAnsi" w:hAnsiTheme="minorHAnsi" w:cstheme="minorHAnsi"/>
        </w:rPr>
        <w:t>Informace v údajích MS Praha pro hodnocení plnění státního rozpočtu za rok 2022 jsou dle</w:t>
      </w:r>
      <w:r w:rsidR="0085712D">
        <w:rPr>
          <w:rFonts w:asciiTheme="minorHAnsi" w:hAnsiTheme="minorHAnsi" w:cstheme="minorHAnsi"/>
        </w:rPr>
        <w:t xml:space="preserve"> </w:t>
      </w:r>
      <w:r w:rsidRPr="00165A56">
        <w:rPr>
          <w:rFonts w:asciiTheme="minorHAnsi" w:hAnsiTheme="minorHAnsi" w:cstheme="minorHAnsi"/>
        </w:rPr>
        <w:t>NKÚ spolehlivé. NKÚ v</w:t>
      </w:r>
      <w:r w:rsidR="00DF6AD0">
        <w:rPr>
          <w:rFonts w:asciiTheme="minorHAnsi" w:hAnsiTheme="minorHAnsi" w:cstheme="minorHAnsi"/>
        </w:rPr>
        <w:t xml:space="preserve"> </w:t>
      </w:r>
      <w:r w:rsidRPr="00165A56">
        <w:rPr>
          <w:rFonts w:asciiTheme="minorHAnsi" w:hAnsiTheme="minorHAnsi" w:cstheme="minorHAnsi"/>
        </w:rPr>
        <w:t>průběhu kontroly nezjistil v</w:t>
      </w:r>
      <w:r w:rsidR="00DF6AD0">
        <w:rPr>
          <w:rFonts w:asciiTheme="minorHAnsi" w:hAnsiTheme="minorHAnsi" w:cstheme="minorHAnsi"/>
        </w:rPr>
        <w:t xml:space="preserve"> </w:t>
      </w:r>
      <w:r w:rsidRPr="00165A56">
        <w:rPr>
          <w:rFonts w:asciiTheme="minorHAnsi" w:hAnsiTheme="minorHAnsi" w:cstheme="minorHAnsi"/>
        </w:rPr>
        <w:t xml:space="preserve">těchto údajích žádné významné nedostatky, které by musel MS Praha opravovat </w:t>
      </w:r>
      <w:r w:rsidR="00B40ABC" w:rsidRPr="00165A56">
        <w:rPr>
          <w:rFonts w:asciiTheme="minorHAnsi" w:hAnsiTheme="minorHAnsi" w:cstheme="minorHAnsi"/>
        </w:rPr>
        <w:t>(viz část IV.</w:t>
      </w:r>
      <w:r>
        <w:rPr>
          <w:rFonts w:asciiTheme="minorHAnsi" w:hAnsiTheme="minorHAnsi" w:cstheme="minorHAnsi"/>
        </w:rPr>
        <w:t>2</w:t>
      </w:r>
      <w:r w:rsidR="006B765F">
        <w:rPr>
          <w:rFonts w:asciiTheme="minorHAnsi" w:hAnsiTheme="minorHAnsi" w:cstheme="minorHAnsi"/>
        </w:rPr>
        <w:t>.</w:t>
      </w:r>
      <w:r w:rsidR="00B40ABC" w:rsidRPr="00165A56">
        <w:rPr>
          <w:rFonts w:asciiTheme="minorHAnsi" w:hAnsiTheme="minorHAnsi" w:cstheme="minorHAnsi"/>
        </w:rPr>
        <w:t>).</w:t>
      </w:r>
    </w:p>
    <w:p w14:paraId="45605540" w14:textId="77777777" w:rsidR="00DD3125" w:rsidRPr="00EC4200" w:rsidRDefault="00DD3125" w:rsidP="00124170">
      <w:pPr>
        <w:spacing w:after="0"/>
        <w:jc w:val="both"/>
        <w:rPr>
          <w:rFonts w:cs="Calibri"/>
          <w:b/>
          <w:highlight w:val="yellow"/>
        </w:rPr>
      </w:pPr>
    </w:p>
    <w:p w14:paraId="1BB351A4" w14:textId="77777777" w:rsidR="00DD3125" w:rsidRPr="00165A56" w:rsidRDefault="00DD3125" w:rsidP="00DD3125">
      <w:pPr>
        <w:keepNext/>
        <w:numPr>
          <w:ilvl w:val="0"/>
          <w:numId w:val="17"/>
        </w:numPr>
        <w:spacing w:after="240"/>
        <w:ind w:left="340" w:hanging="340"/>
        <w:outlineLvl w:val="1"/>
        <w:rPr>
          <w:rFonts w:eastAsia="Calibri" w:cs="Calibri"/>
          <w:b/>
        </w:rPr>
      </w:pPr>
      <w:r w:rsidRPr="00165A56">
        <w:rPr>
          <w:rFonts w:eastAsia="Calibri" w:cs="Calibri"/>
          <w:b/>
        </w:rPr>
        <w:lastRenderedPageBreak/>
        <w:t>Vnitřní kontrolní systém MS Praha</w:t>
      </w:r>
    </w:p>
    <w:tbl>
      <w:tblPr>
        <w:tblStyle w:val="Mkatabulky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F1FF"/>
        <w:tblLook w:val="04A0" w:firstRow="1" w:lastRow="0" w:firstColumn="1" w:lastColumn="0" w:noHBand="0" w:noVBand="1"/>
      </w:tblPr>
      <w:tblGrid>
        <w:gridCol w:w="9060"/>
      </w:tblGrid>
      <w:tr w:rsidR="00DD3125" w:rsidRPr="00EC4200" w14:paraId="15BD8097" w14:textId="77777777" w:rsidTr="00165A56">
        <w:trPr>
          <w:trHeight w:val="570"/>
        </w:trPr>
        <w:tc>
          <w:tcPr>
            <w:tcW w:w="9060" w:type="dxa"/>
            <w:shd w:val="clear" w:color="auto" w:fill="E5F1FF"/>
          </w:tcPr>
          <w:p w14:paraId="494FCECE" w14:textId="77777777" w:rsidR="00DD3125" w:rsidRPr="00EC4200" w:rsidRDefault="00DD3125" w:rsidP="00453CDD">
            <w:pPr>
              <w:spacing w:before="120"/>
              <w:jc w:val="both"/>
              <w:rPr>
                <w:rFonts w:eastAsiaTheme="minorHAnsi" w:cs="Calibri"/>
                <w:b/>
                <w:highlight w:val="yellow"/>
              </w:rPr>
            </w:pPr>
            <w:r w:rsidRPr="00165A56">
              <w:rPr>
                <w:b/>
              </w:rPr>
              <w:t>Dle NKÚ lze vnitřní kontrolní systém MS Praha v prověřovaných oblastech považovat za účinný</w:t>
            </w:r>
            <w:r w:rsidRPr="00165A56">
              <w:rPr>
                <w:rFonts w:eastAsiaTheme="minorHAnsi" w:cs="Calibri"/>
                <w:b/>
              </w:rPr>
              <w:t>.</w:t>
            </w:r>
            <w:r w:rsidRPr="00165A56">
              <w:rPr>
                <w:rFonts w:eastAsiaTheme="minorHAnsi" w:cs="Calibri"/>
              </w:rPr>
              <w:t xml:space="preserve"> </w:t>
            </w:r>
          </w:p>
        </w:tc>
      </w:tr>
    </w:tbl>
    <w:p w14:paraId="21FAECD6" w14:textId="77777777" w:rsidR="00DD3125" w:rsidRPr="00453CDD" w:rsidRDefault="00DD3125" w:rsidP="00453CDD">
      <w:pPr>
        <w:spacing w:before="120" w:after="0"/>
        <w:jc w:val="both"/>
        <w:rPr>
          <w:rFonts w:cs="Calibri"/>
        </w:rPr>
      </w:pPr>
      <w:r w:rsidRPr="00453CDD">
        <w:rPr>
          <w:rFonts w:cs="Calibri"/>
        </w:rPr>
        <w:t xml:space="preserve">NKÚ </w:t>
      </w:r>
      <w:r w:rsidRPr="00453CDD">
        <w:rPr>
          <w:rFonts w:eastAsia="Calibri"/>
        </w:rPr>
        <w:t xml:space="preserve">upozornil na některé operace </w:t>
      </w:r>
      <w:r w:rsidRPr="000617D1">
        <w:rPr>
          <w:rFonts w:eastAsia="Calibri"/>
        </w:rPr>
        <w:t>(viz část IV.</w:t>
      </w:r>
      <w:r w:rsidR="00453CDD" w:rsidRPr="000617D1">
        <w:rPr>
          <w:rFonts w:eastAsia="Calibri"/>
        </w:rPr>
        <w:t>3</w:t>
      </w:r>
      <w:r w:rsidRPr="000617D1">
        <w:rPr>
          <w:rFonts w:eastAsia="Calibri"/>
        </w:rPr>
        <w:t>.),</w:t>
      </w:r>
      <w:r w:rsidRPr="00453CDD">
        <w:rPr>
          <w:rFonts w:eastAsia="Calibri"/>
        </w:rPr>
        <w:t xml:space="preserve"> při kterých VKS včas neodhalil související rizika a nezabránil porušení právních předpisů. Uvedené nedostatky však nebyly takového rozsahu, aby byly ze strany NKÚ vyhodnoceny jako významné, proto NKÚ v rámci prověřovaných operací vyhodnotil VKS jako účinný.</w:t>
      </w:r>
    </w:p>
    <w:p w14:paraId="325C8843" w14:textId="77777777" w:rsidR="000E6C03" w:rsidRPr="00EC4200" w:rsidRDefault="000E6C03" w:rsidP="00453CDD">
      <w:pPr>
        <w:spacing w:after="0"/>
        <w:jc w:val="both"/>
        <w:rPr>
          <w:rFonts w:cs="Calibri"/>
          <w:b/>
          <w:highlight w:val="yellow"/>
        </w:rPr>
      </w:pPr>
    </w:p>
    <w:p w14:paraId="22E446DC" w14:textId="77777777" w:rsidR="007C4EBA" w:rsidRDefault="001F445D" w:rsidP="00D10727">
      <w:pPr>
        <w:pStyle w:val="Styl2"/>
        <w:numPr>
          <w:ilvl w:val="0"/>
          <w:numId w:val="17"/>
        </w:numPr>
        <w:ind w:left="340" w:hanging="340"/>
      </w:pPr>
      <w:bookmarkStart w:id="2" w:name="_Hlk134099608"/>
      <w:bookmarkStart w:id="3" w:name="_Hlk134099503"/>
      <w:r>
        <w:t>Skutečnosti nasvědčující p</w:t>
      </w:r>
      <w:r w:rsidR="007C4EBA">
        <w:t>orušení rozpočtové kázně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F1FF"/>
        <w:tblLook w:val="04A0" w:firstRow="1" w:lastRow="0" w:firstColumn="1" w:lastColumn="0" w:noHBand="0" w:noVBand="1"/>
      </w:tblPr>
      <w:tblGrid>
        <w:gridCol w:w="9060"/>
      </w:tblGrid>
      <w:tr w:rsidR="007C4EBA" w:rsidRPr="00453CDD" w14:paraId="6E1CF4C0" w14:textId="77777777" w:rsidTr="002723E3">
        <w:tc>
          <w:tcPr>
            <w:tcW w:w="9060" w:type="dxa"/>
            <w:shd w:val="clear" w:color="auto" w:fill="E5F1FF"/>
          </w:tcPr>
          <w:p w14:paraId="2A7F3B91" w14:textId="2258CA52" w:rsidR="007C4EBA" w:rsidRPr="00453CDD" w:rsidRDefault="001C2E0D" w:rsidP="002723E3">
            <w:pPr>
              <w:spacing w:before="120"/>
              <w:jc w:val="both"/>
              <w:rPr>
                <w:rFonts w:eastAsiaTheme="minorHAnsi" w:cs="Calibri"/>
                <w:b/>
              </w:rPr>
            </w:pPr>
            <w:r>
              <w:rPr>
                <w:rFonts w:eastAsiaTheme="minorHAnsi" w:cs="Calibri"/>
                <w:b/>
              </w:rPr>
              <w:t>NKÚ zjistil skutečnosti nasvědčující porušení rozpočtové kázně</w:t>
            </w:r>
            <w:r w:rsidR="0015643B">
              <w:rPr>
                <w:rFonts w:eastAsiaTheme="minorHAnsi" w:cs="Calibri"/>
                <w:b/>
              </w:rPr>
              <w:t xml:space="preserve"> </w:t>
            </w:r>
            <w:r w:rsidR="0015643B" w:rsidRPr="00B20632">
              <w:rPr>
                <w:rFonts w:eastAsiaTheme="minorHAnsi" w:cs="Calibri"/>
                <w:b/>
              </w:rPr>
              <w:t xml:space="preserve">ve výši </w:t>
            </w:r>
            <w:r w:rsidR="00703D90" w:rsidRPr="00B20632">
              <w:rPr>
                <w:rFonts w:eastAsiaTheme="minorHAnsi" w:cs="Calibri"/>
                <w:b/>
              </w:rPr>
              <w:t>224</w:t>
            </w:r>
            <w:r w:rsidR="0015643B" w:rsidRPr="00B20632">
              <w:rPr>
                <w:rFonts w:eastAsiaTheme="minorHAnsi" w:cs="Calibri"/>
                <w:b/>
              </w:rPr>
              <w:t xml:space="preserve"> ti</w:t>
            </w:r>
            <w:r w:rsidR="00FA4FA2" w:rsidRPr="00B20632">
              <w:rPr>
                <w:rFonts w:eastAsiaTheme="minorHAnsi" w:cs="Calibri"/>
                <w:b/>
              </w:rPr>
              <w:t>s</w:t>
            </w:r>
            <w:r w:rsidR="0015643B" w:rsidRPr="00B20632">
              <w:rPr>
                <w:rFonts w:eastAsiaTheme="minorHAnsi" w:cs="Calibri"/>
                <w:b/>
              </w:rPr>
              <w:t>. Kč</w:t>
            </w:r>
            <w:r>
              <w:rPr>
                <w:rFonts w:eastAsiaTheme="minorHAnsi" w:cs="Calibri"/>
                <w:b/>
              </w:rPr>
              <w:t xml:space="preserve"> </w:t>
            </w:r>
            <w:r w:rsidRPr="0088411F">
              <w:rPr>
                <w:rFonts w:eastAsiaTheme="minorHAnsi" w:cs="Calibri"/>
              </w:rPr>
              <w:t>(viz část IV.4.)</w:t>
            </w:r>
            <w:r w:rsidR="007C4EBA" w:rsidRPr="0088411F">
              <w:rPr>
                <w:rFonts w:eastAsiaTheme="minorHAnsi" w:cs="Calibri"/>
              </w:rPr>
              <w:t>.</w:t>
            </w:r>
            <w:r w:rsidR="007C4EBA" w:rsidRPr="003B7324">
              <w:rPr>
                <w:rFonts w:eastAsiaTheme="minorHAnsi" w:cs="Calibri"/>
              </w:rPr>
              <w:t xml:space="preserve"> </w:t>
            </w:r>
          </w:p>
        </w:tc>
      </w:tr>
    </w:tbl>
    <w:p w14:paraId="67E66A1A" w14:textId="77777777" w:rsidR="007C4EBA" w:rsidRPr="00D46A04" w:rsidRDefault="007C4EBA" w:rsidP="0088411F">
      <w:pPr>
        <w:spacing w:after="0"/>
      </w:pPr>
    </w:p>
    <w:p w14:paraId="0D814722" w14:textId="77777777" w:rsidR="00495EFA" w:rsidRPr="00453CDD" w:rsidRDefault="00DD3125" w:rsidP="00D10727">
      <w:pPr>
        <w:pStyle w:val="Styl2"/>
        <w:numPr>
          <w:ilvl w:val="0"/>
          <w:numId w:val="17"/>
        </w:numPr>
        <w:ind w:left="340" w:hanging="340"/>
      </w:pPr>
      <w:r w:rsidRPr="00453CDD">
        <w:t xml:space="preserve">Kontrola opatření k nápravě nedostatků </w:t>
      </w:r>
      <w:r w:rsidR="00684D1B">
        <w:t>uvedených v kontrolním závěru z</w:t>
      </w:r>
      <w:r w:rsidRPr="00453CDD">
        <w:t xml:space="preserve"> kontrolní akc</w:t>
      </w:r>
      <w:r w:rsidR="00684D1B">
        <w:t>e</w:t>
      </w:r>
      <w:r w:rsidRPr="00453CDD">
        <w:t xml:space="preserve"> NKÚ č. 18/25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F1FF"/>
        <w:tblLook w:val="04A0" w:firstRow="1" w:lastRow="0" w:firstColumn="1" w:lastColumn="0" w:noHBand="0" w:noVBand="1"/>
      </w:tblPr>
      <w:tblGrid>
        <w:gridCol w:w="9060"/>
      </w:tblGrid>
      <w:tr w:rsidR="00495EFA" w:rsidRPr="00EC4200" w14:paraId="196EF7AA" w14:textId="77777777" w:rsidTr="00F117F2">
        <w:tc>
          <w:tcPr>
            <w:tcW w:w="9060" w:type="dxa"/>
            <w:shd w:val="clear" w:color="auto" w:fill="E5F1FF"/>
          </w:tcPr>
          <w:p w14:paraId="3392951B" w14:textId="77777777" w:rsidR="00495EFA" w:rsidRPr="00453CDD" w:rsidRDefault="00684D1B" w:rsidP="00453CDD">
            <w:pPr>
              <w:spacing w:before="120"/>
              <w:jc w:val="both"/>
              <w:rPr>
                <w:rFonts w:eastAsiaTheme="minorHAnsi" w:cs="Calibri"/>
                <w:b/>
              </w:rPr>
            </w:pPr>
            <w:bookmarkStart w:id="4" w:name="_Hlk136606220"/>
            <w:bookmarkEnd w:id="2"/>
            <w:r w:rsidRPr="0088411F">
              <w:rPr>
                <w:rFonts w:asciiTheme="minorHAnsi" w:hAnsiTheme="minorHAnsi" w:cstheme="minorHAnsi"/>
                <w:b/>
                <w:bCs/>
              </w:rPr>
              <w:t>MS Praha z celkem 20 opatření realizoval úplně a správně 18 opatření, 2 opatření realizoval částečně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(viz část IV.5.)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</w:tc>
      </w:tr>
    </w:tbl>
    <w:bookmarkEnd w:id="3"/>
    <w:bookmarkEnd w:id="4"/>
    <w:p w14:paraId="511FF9D7" w14:textId="77777777" w:rsidR="00D417FB" w:rsidRDefault="00A0366C" w:rsidP="00D417FB">
      <w:pPr>
        <w:spacing w:before="120"/>
        <w:jc w:val="both"/>
        <w:rPr>
          <w:rFonts w:asciiTheme="minorHAnsi" w:hAnsiTheme="minorHAnsi" w:cstheme="minorHAnsi"/>
          <w:bCs/>
        </w:rPr>
      </w:pPr>
      <w:r w:rsidRPr="00453CDD">
        <w:rPr>
          <w:rFonts w:asciiTheme="minorHAnsi" w:hAnsiTheme="minorHAnsi" w:cstheme="minorHAnsi"/>
        </w:rPr>
        <w:t>NKÚ v průběhu kontroly hodnotil také opatření MS Praha přijatá</w:t>
      </w:r>
      <w:r w:rsidR="00BD6AA4" w:rsidRPr="00453CDD">
        <w:rPr>
          <w:rStyle w:val="Znakapoznpodarou"/>
          <w:rFonts w:asciiTheme="minorHAnsi" w:hAnsiTheme="minorHAnsi" w:cstheme="minorHAnsi"/>
        </w:rPr>
        <w:footnoteReference w:id="6"/>
      </w:r>
      <w:r w:rsidRPr="00453CDD">
        <w:rPr>
          <w:rFonts w:asciiTheme="minorHAnsi" w:hAnsiTheme="minorHAnsi" w:cstheme="minorHAnsi"/>
        </w:rPr>
        <w:t xml:space="preserve"> k nápravě nedostatků </w:t>
      </w:r>
      <w:r w:rsidR="00684D1B">
        <w:rPr>
          <w:rFonts w:asciiTheme="minorHAnsi" w:hAnsiTheme="minorHAnsi" w:cstheme="minorHAnsi"/>
        </w:rPr>
        <w:t>uvedených</w:t>
      </w:r>
      <w:r w:rsidR="00B06FC8">
        <w:rPr>
          <w:rFonts w:asciiTheme="minorHAnsi" w:hAnsiTheme="minorHAnsi" w:cstheme="minorHAnsi"/>
        </w:rPr>
        <w:t xml:space="preserve"> v</w:t>
      </w:r>
      <w:r w:rsidR="00684D1B" w:rsidRPr="00453CDD">
        <w:rPr>
          <w:rFonts w:asciiTheme="minorHAnsi" w:hAnsiTheme="minorHAnsi" w:cstheme="minorHAnsi"/>
        </w:rPr>
        <w:t xml:space="preserve"> </w:t>
      </w:r>
      <w:r w:rsidRPr="00453CDD">
        <w:rPr>
          <w:rFonts w:asciiTheme="minorHAnsi" w:hAnsiTheme="minorHAnsi" w:cstheme="minorHAnsi"/>
        </w:rPr>
        <w:t>kontrolní</w:t>
      </w:r>
      <w:r w:rsidR="00B06FC8">
        <w:rPr>
          <w:rFonts w:asciiTheme="minorHAnsi" w:hAnsiTheme="minorHAnsi" w:cstheme="minorHAnsi"/>
        </w:rPr>
        <w:t>m</w:t>
      </w:r>
      <w:r w:rsidRPr="00453CDD">
        <w:rPr>
          <w:rFonts w:asciiTheme="minorHAnsi" w:hAnsiTheme="minorHAnsi" w:cstheme="minorHAnsi"/>
        </w:rPr>
        <w:t xml:space="preserve"> </w:t>
      </w:r>
      <w:r w:rsidR="00B06FC8">
        <w:rPr>
          <w:rFonts w:asciiTheme="minorHAnsi" w:hAnsiTheme="minorHAnsi" w:cstheme="minorHAnsi"/>
        </w:rPr>
        <w:t>závěru z kontrolní akce</w:t>
      </w:r>
      <w:r w:rsidRPr="00453CDD">
        <w:rPr>
          <w:rFonts w:asciiTheme="minorHAnsi" w:hAnsiTheme="minorHAnsi" w:cstheme="minorHAnsi"/>
        </w:rPr>
        <w:t xml:space="preserve"> NKÚ č. 18/25</w:t>
      </w:r>
      <w:r w:rsidR="002D08FC">
        <w:rPr>
          <w:rStyle w:val="Znakapoznpodarou"/>
          <w:rFonts w:asciiTheme="minorHAnsi" w:hAnsiTheme="minorHAnsi" w:cstheme="minorHAnsi"/>
        </w:rPr>
        <w:footnoteReference w:id="7"/>
      </w:r>
      <w:r w:rsidRPr="00453CDD">
        <w:rPr>
          <w:rFonts w:asciiTheme="minorHAnsi" w:hAnsiTheme="minorHAnsi" w:cstheme="minorHAnsi"/>
        </w:rPr>
        <w:t xml:space="preserve">. </w:t>
      </w:r>
      <w:r w:rsidR="00DD3125" w:rsidRPr="00453CDD">
        <w:rPr>
          <w:rFonts w:asciiTheme="minorHAnsi" w:hAnsiTheme="minorHAnsi" w:cstheme="minorHAnsi"/>
        </w:rPr>
        <w:t>MS Praha přijal na základě usnesení vlády opatření, která přispěla k odstranění většiny identifikovaných nesprávností.</w:t>
      </w:r>
    </w:p>
    <w:p w14:paraId="52C09914" w14:textId="20896D7B" w:rsidR="006E47D4" w:rsidRPr="00453CDD" w:rsidRDefault="006E47D4" w:rsidP="007D6AD1">
      <w:pPr>
        <w:spacing w:before="120"/>
        <w:jc w:val="both"/>
        <w:rPr>
          <w:rFonts w:asciiTheme="minorHAnsi" w:hAnsiTheme="minorHAnsi" w:cstheme="minorHAnsi"/>
        </w:rPr>
      </w:pPr>
      <w:r w:rsidRPr="00453CDD">
        <w:rPr>
          <w:rFonts w:asciiTheme="minorHAnsi" w:hAnsiTheme="minorHAnsi" w:cstheme="minorHAnsi"/>
        </w:rPr>
        <w:t xml:space="preserve">Přetrvávající nedostatky </w:t>
      </w:r>
      <w:r w:rsidR="00AB28E0">
        <w:rPr>
          <w:rFonts w:asciiTheme="minorHAnsi" w:hAnsiTheme="minorHAnsi" w:cstheme="minorHAnsi"/>
        </w:rPr>
        <w:t xml:space="preserve">NKÚ </w:t>
      </w:r>
      <w:r w:rsidRPr="00453CDD">
        <w:rPr>
          <w:rFonts w:asciiTheme="minorHAnsi" w:hAnsiTheme="minorHAnsi" w:cstheme="minorHAnsi"/>
        </w:rPr>
        <w:t>zji</w:t>
      </w:r>
      <w:r w:rsidR="00AB28E0">
        <w:rPr>
          <w:rFonts w:asciiTheme="minorHAnsi" w:hAnsiTheme="minorHAnsi" w:cstheme="minorHAnsi"/>
        </w:rPr>
        <w:t>stil</w:t>
      </w:r>
      <w:r w:rsidRPr="00453CDD">
        <w:rPr>
          <w:rFonts w:asciiTheme="minorHAnsi" w:hAnsiTheme="minorHAnsi" w:cstheme="minorHAnsi"/>
        </w:rPr>
        <w:t xml:space="preserve"> v případě platby za služby na základě neúčinné smlouvy a</w:t>
      </w:r>
      <w:r w:rsidR="002178EA">
        <w:rPr>
          <w:rFonts w:asciiTheme="minorHAnsi" w:hAnsiTheme="minorHAnsi" w:cstheme="minorHAnsi"/>
        </w:rPr>
        <w:t> </w:t>
      </w:r>
      <w:r w:rsidRPr="00453CDD">
        <w:rPr>
          <w:rFonts w:asciiTheme="minorHAnsi" w:hAnsiTheme="minorHAnsi" w:cstheme="minorHAnsi"/>
        </w:rPr>
        <w:t>pozdního odvodu záloh na konkursní řízení do státního rozpočtu</w:t>
      </w:r>
      <w:r w:rsidR="00453CDD">
        <w:rPr>
          <w:rFonts w:asciiTheme="minorHAnsi" w:hAnsiTheme="minorHAnsi" w:cstheme="minorHAnsi"/>
        </w:rPr>
        <w:t xml:space="preserve"> (viz část</w:t>
      </w:r>
      <w:r w:rsidR="006614E6">
        <w:rPr>
          <w:rFonts w:asciiTheme="minorHAnsi" w:hAnsiTheme="minorHAnsi" w:cstheme="minorHAnsi"/>
        </w:rPr>
        <w:t>i</w:t>
      </w:r>
      <w:r w:rsidR="00453CDD">
        <w:rPr>
          <w:rFonts w:asciiTheme="minorHAnsi" w:hAnsiTheme="minorHAnsi" w:cstheme="minorHAnsi"/>
        </w:rPr>
        <w:t xml:space="preserve"> IV.4</w:t>
      </w:r>
      <w:r w:rsidRPr="00453CDD">
        <w:rPr>
          <w:rFonts w:asciiTheme="minorHAnsi" w:hAnsiTheme="minorHAnsi" w:cstheme="minorHAnsi"/>
        </w:rPr>
        <w:t>.</w:t>
      </w:r>
      <w:r w:rsidR="000176F5">
        <w:rPr>
          <w:rFonts w:asciiTheme="minorHAnsi" w:hAnsiTheme="minorHAnsi" w:cstheme="minorHAnsi"/>
        </w:rPr>
        <w:t>1 a IV.4.2</w:t>
      </w:r>
      <w:r w:rsidR="00453CDD">
        <w:rPr>
          <w:rFonts w:asciiTheme="minorHAnsi" w:hAnsiTheme="minorHAnsi" w:cstheme="minorHAnsi"/>
        </w:rPr>
        <w:t>).</w:t>
      </w:r>
    </w:p>
    <w:p w14:paraId="41BD644A" w14:textId="77777777" w:rsidR="00DD3125" w:rsidRPr="00EC4200" w:rsidRDefault="00DD3125" w:rsidP="00A0366C">
      <w:pPr>
        <w:spacing w:before="120"/>
        <w:jc w:val="both"/>
        <w:rPr>
          <w:rFonts w:asciiTheme="minorHAnsi" w:hAnsiTheme="minorHAnsi" w:cstheme="minorHAnsi"/>
          <w:b/>
          <w:highlight w:val="yellow"/>
        </w:rPr>
      </w:pPr>
    </w:p>
    <w:p w14:paraId="19BD446D" w14:textId="77777777" w:rsidR="00DE06FE" w:rsidRPr="00EC4200" w:rsidRDefault="00DE06FE" w:rsidP="00DE06FE">
      <w:pPr>
        <w:jc w:val="both"/>
        <w:rPr>
          <w:rFonts w:cs="Arial"/>
          <w:color w:val="000000"/>
          <w:highlight w:val="yellow"/>
          <w:lang w:eastAsia="cs-CZ"/>
        </w:rPr>
      </w:pPr>
    </w:p>
    <w:p w14:paraId="0CF6BF66" w14:textId="77777777" w:rsidR="00DD3125" w:rsidRPr="00EC4200" w:rsidRDefault="00DD3125" w:rsidP="00DD3125">
      <w:pPr>
        <w:jc w:val="both"/>
        <w:rPr>
          <w:rFonts w:asciiTheme="minorHAnsi" w:hAnsiTheme="minorHAnsi" w:cstheme="minorHAnsi"/>
          <w:b/>
          <w:highlight w:val="yellow"/>
        </w:rPr>
      </w:pPr>
    </w:p>
    <w:p w14:paraId="71196F90" w14:textId="77777777" w:rsidR="00DD3125" w:rsidRPr="00182E7A" w:rsidRDefault="00DD3125" w:rsidP="00FE56E9">
      <w:pPr>
        <w:pStyle w:val="Odstavecseseznamem"/>
        <w:ind w:left="0"/>
        <w:jc w:val="both"/>
        <w:rPr>
          <w:rFonts w:eastAsia="Calibri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26"/>
      </w:tblGrid>
      <w:tr w:rsidR="00DD3125" w:rsidRPr="00DD3125" w14:paraId="7B9C7B41" w14:textId="77777777">
        <w:trPr>
          <w:trHeight w:val="120"/>
        </w:trPr>
        <w:tc>
          <w:tcPr>
            <w:tcW w:w="4526" w:type="dxa"/>
          </w:tcPr>
          <w:p w14:paraId="77D9DA66" w14:textId="77777777" w:rsidR="00DD3125" w:rsidRPr="00DD3125" w:rsidRDefault="00DD3125" w:rsidP="00DD3125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  <w:sz w:val="23"/>
                <w:szCs w:val="23"/>
              </w:rPr>
            </w:pPr>
          </w:p>
        </w:tc>
      </w:tr>
    </w:tbl>
    <w:p w14:paraId="3D3164B9" w14:textId="77777777" w:rsidR="007028BF" w:rsidRDefault="007028BF">
      <w:pPr>
        <w:spacing w:after="160" w:line="259" w:lineRule="auto"/>
        <w:rPr>
          <w:rFonts w:cs="Calibri"/>
        </w:rPr>
      </w:pPr>
      <w:r>
        <w:rPr>
          <w:rFonts w:cs="Calibri"/>
        </w:rPr>
        <w:br w:type="page"/>
      </w:r>
    </w:p>
    <w:p w14:paraId="2AF1EDA4" w14:textId="77777777" w:rsidR="00E91FF5" w:rsidRPr="00D10727" w:rsidRDefault="00A640AE" w:rsidP="00D10727">
      <w:pPr>
        <w:pStyle w:val="Styl1"/>
        <w:ind w:left="414" w:hanging="57"/>
      </w:pPr>
      <w:r w:rsidRPr="00D10727">
        <w:lastRenderedPageBreak/>
        <w:t>Informace o kontrolované oblasti</w:t>
      </w:r>
    </w:p>
    <w:p w14:paraId="1E367DA7" w14:textId="77777777" w:rsidR="00C159BE" w:rsidRPr="00683C72" w:rsidRDefault="00C159BE" w:rsidP="001A79A3">
      <w:pPr>
        <w:keepNext/>
        <w:spacing w:after="0"/>
        <w:jc w:val="both"/>
        <w:rPr>
          <w:rFonts w:cs="Calibri"/>
          <w:highlight w:val="yellow"/>
        </w:rPr>
      </w:pPr>
    </w:p>
    <w:p w14:paraId="2B7F37AD" w14:textId="77777777" w:rsidR="00D156DD" w:rsidRPr="00051B8B" w:rsidRDefault="00FC5E7D" w:rsidP="00DF6AD0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highlight w:val="yellow"/>
        </w:rPr>
      </w:pPr>
      <w:r w:rsidRPr="00257BE7">
        <w:rPr>
          <w:rFonts w:asciiTheme="minorHAnsi" w:hAnsiTheme="minorHAnsi" w:cstheme="minorHAnsi"/>
        </w:rPr>
        <w:t xml:space="preserve">MS Praha vykonává </w:t>
      </w:r>
      <w:r>
        <w:rPr>
          <w:rFonts w:asciiTheme="minorHAnsi" w:hAnsiTheme="minorHAnsi" w:cstheme="minorHAnsi"/>
        </w:rPr>
        <w:t>d</w:t>
      </w:r>
      <w:r w:rsidR="00D156DD" w:rsidRPr="00257BE7">
        <w:rPr>
          <w:rFonts w:asciiTheme="minorHAnsi" w:hAnsiTheme="minorHAnsi" w:cstheme="minorHAnsi"/>
        </w:rPr>
        <w:t>le zákona č. 6/2002 Sb.</w:t>
      </w:r>
      <w:r w:rsidR="00D156DD" w:rsidRPr="00257BE7">
        <w:rPr>
          <w:rStyle w:val="Znakapoznpodarou"/>
          <w:rFonts w:asciiTheme="minorHAnsi" w:hAnsiTheme="minorHAnsi" w:cstheme="minorHAnsi"/>
        </w:rPr>
        <w:footnoteReference w:id="8"/>
      </w:r>
      <w:r w:rsidR="00D156DD" w:rsidRPr="00257BE7">
        <w:rPr>
          <w:rFonts w:asciiTheme="minorHAnsi" w:hAnsiTheme="minorHAnsi" w:cstheme="minorHAnsi"/>
        </w:rPr>
        <w:t xml:space="preserve"> působnost krajského soudu v obvodu hlavního města Prahy, rozhoduje jako soud prvního stupně ve věcech veřejných rejstříků právnických a</w:t>
      </w:r>
      <w:r w:rsidR="002178EA">
        <w:rPr>
          <w:rFonts w:asciiTheme="minorHAnsi" w:hAnsiTheme="minorHAnsi" w:cstheme="minorHAnsi"/>
        </w:rPr>
        <w:t> </w:t>
      </w:r>
      <w:r w:rsidR="00D156DD" w:rsidRPr="00257BE7">
        <w:rPr>
          <w:rFonts w:asciiTheme="minorHAnsi" w:hAnsiTheme="minorHAnsi" w:cstheme="minorHAnsi"/>
        </w:rPr>
        <w:t>fyzických osob z obvodu MS Praha a Krajského soudu v Praze. Dále je věcně a místně příslušný jako soud prvního stupně ve věcech průmyslového vlastnictví a ochrany práv k</w:t>
      </w:r>
      <w:r w:rsidR="002178EA">
        <w:rPr>
          <w:rFonts w:asciiTheme="minorHAnsi" w:hAnsiTheme="minorHAnsi" w:cstheme="minorHAnsi"/>
        </w:rPr>
        <w:t> </w:t>
      </w:r>
      <w:r w:rsidR="00D156DD" w:rsidRPr="00257BE7">
        <w:rPr>
          <w:rFonts w:asciiTheme="minorHAnsi" w:hAnsiTheme="minorHAnsi" w:cstheme="minorHAnsi"/>
        </w:rPr>
        <w:t xml:space="preserve">odrůdám. Do obvodu MS Praha patří obvody obvodních soudů pro Prahu 1 až Prahu 10. Sídlem MS Praha je hlavní město Praha. </w:t>
      </w:r>
    </w:p>
    <w:p w14:paraId="4A87B0AD" w14:textId="7B33D200" w:rsidR="00D156DD" w:rsidRPr="00257BE7" w:rsidRDefault="00D156DD" w:rsidP="00DF6AD0">
      <w:pPr>
        <w:autoSpaceDE w:val="0"/>
        <w:autoSpaceDN w:val="0"/>
        <w:adjustRightInd w:val="0"/>
        <w:spacing w:before="120" w:after="240"/>
        <w:jc w:val="both"/>
        <w:rPr>
          <w:rFonts w:asciiTheme="minorHAnsi" w:hAnsiTheme="minorHAnsi" w:cstheme="minorHAnsi"/>
        </w:rPr>
      </w:pPr>
      <w:r w:rsidRPr="00257BE7">
        <w:rPr>
          <w:rFonts w:asciiTheme="minorHAnsi" w:hAnsiTheme="minorHAnsi" w:cstheme="minorHAnsi"/>
        </w:rPr>
        <w:t xml:space="preserve">Dle </w:t>
      </w:r>
      <w:r w:rsidR="002178EA">
        <w:rPr>
          <w:rFonts w:asciiTheme="minorHAnsi" w:hAnsiTheme="minorHAnsi" w:cstheme="minorHAnsi"/>
        </w:rPr>
        <w:t xml:space="preserve">ustanovení </w:t>
      </w:r>
      <w:r w:rsidRPr="00257BE7">
        <w:rPr>
          <w:rFonts w:asciiTheme="minorHAnsi" w:hAnsiTheme="minorHAnsi" w:cstheme="minorHAnsi"/>
        </w:rPr>
        <w:t>§ 75 zákona č. 304/2013 Sb.</w:t>
      </w:r>
      <w:r w:rsidRPr="00257BE7">
        <w:rPr>
          <w:rStyle w:val="Znakapoznpodarou"/>
          <w:rFonts w:asciiTheme="minorHAnsi" w:hAnsiTheme="minorHAnsi" w:cstheme="minorHAnsi"/>
        </w:rPr>
        <w:footnoteReference w:id="9"/>
      </w:r>
      <w:r w:rsidRPr="00257BE7">
        <w:rPr>
          <w:rFonts w:asciiTheme="minorHAnsi" w:hAnsiTheme="minorHAnsi" w:cstheme="minorHAnsi"/>
        </w:rPr>
        <w:t xml:space="preserve"> </w:t>
      </w:r>
      <w:r w:rsidR="00520AD1">
        <w:rPr>
          <w:rFonts w:asciiTheme="minorHAnsi" w:hAnsiTheme="minorHAnsi" w:cstheme="minorHAnsi"/>
        </w:rPr>
        <w:t xml:space="preserve">je </w:t>
      </w:r>
      <w:r w:rsidR="004D2A79">
        <w:rPr>
          <w:rFonts w:asciiTheme="minorHAnsi" w:hAnsiTheme="minorHAnsi" w:cstheme="minorHAnsi"/>
        </w:rPr>
        <w:t>MS Praha</w:t>
      </w:r>
      <w:r w:rsidR="00520AD1">
        <w:rPr>
          <w:rFonts w:asciiTheme="minorHAnsi" w:hAnsiTheme="minorHAnsi" w:cstheme="minorHAnsi"/>
        </w:rPr>
        <w:t xml:space="preserve"> </w:t>
      </w:r>
      <w:r w:rsidR="00C63D11">
        <w:rPr>
          <w:rFonts w:asciiTheme="minorHAnsi" w:hAnsiTheme="minorHAnsi" w:cstheme="minorHAnsi"/>
        </w:rPr>
        <w:t xml:space="preserve">příslušný ve věcech </w:t>
      </w:r>
      <w:r w:rsidRPr="00257BE7">
        <w:rPr>
          <w:rFonts w:asciiTheme="minorHAnsi" w:hAnsiTheme="minorHAnsi" w:cstheme="minorHAnsi"/>
        </w:rPr>
        <w:t>veřejn</w:t>
      </w:r>
      <w:r w:rsidR="00C63D11">
        <w:rPr>
          <w:rFonts w:asciiTheme="minorHAnsi" w:hAnsiTheme="minorHAnsi" w:cstheme="minorHAnsi"/>
        </w:rPr>
        <w:t>ých</w:t>
      </w:r>
      <w:r w:rsidRPr="00257BE7">
        <w:rPr>
          <w:rFonts w:asciiTheme="minorHAnsi" w:hAnsiTheme="minorHAnsi" w:cstheme="minorHAnsi"/>
        </w:rPr>
        <w:t xml:space="preserve"> rejstřík</w:t>
      </w:r>
      <w:r w:rsidR="00C63D11">
        <w:rPr>
          <w:rFonts w:asciiTheme="minorHAnsi" w:hAnsiTheme="minorHAnsi" w:cstheme="minorHAnsi"/>
        </w:rPr>
        <w:t>ů</w:t>
      </w:r>
      <w:r w:rsidRPr="00257BE7">
        <w:rPr>
          <w:rFonts w:asciiTheme="minorHAnsi" w:hAnsiTheme="minorHAnsi" w:cstheme="minorHAnsi"/>
        </w:rPr>
        <w:t xml:space="preserve"> </w:t>
      </w:r>
      <w:r w:rsidR="00C63D11">
        <w:rPr>
          <w:rFonts w:asciiTheme="minorHAnsi" w:hAnsiTheme="minorHAnsi" w:cstheme="minorHAnsi"/>
        </w:rPr>
        <w:t xml:space="preserve">právnických a fyzických osob </w:t>
      </w:r>
      <w:r w:rsidRPr="00257BE7">
        <w:rPr>
          <w:rFonts w:asciiTheme="minorHAnsi" w:hAnsiTheme="minorHAnsi" w:cstheme="minorHAnsi"/>
        </w:rPr>
        <w:t xml:space="preserve">pro </w:t>
      </w:r>
      <w:r w:rsidR="00C63D11">
        <w:rPr>
          <w:rFonts w:asciiTheme="minorHAnsi" w:hAnsiTheme="minorHAnsi" w:cstheme="minorHAnsi"/>
        </w:rPr>
        <w:t>osoby</w:t>
      </w:r>
      <w:r w:rsidRPr="00257BE7">
        <w:rPr>
          <w:rFonts w:asciiTheme="minorHAnsi" w:hAnsiTheme="minorHAnsi" w:cstheme="minorHAnsi"/>
        </w:rPr>
        <w:t xml:space="preserve">, </w:t>
      </w:r>
      <w:r w:rsidR="00C63D11">
        <w:rPr>
          <w:rFonts w:asciiTheme="minorHAnsi" w:hAnsiTheme="minorHAnsi" w:cstheme="minorHAnsi"/>
        </w:rPr>
        <w:t xml:space="preserve">jejichž obecný soud se nachází </w:t>
      </w:r>
      <w:r w:rsidRPr="00257BE7">
        <w:rPr>
          <w:rFonts w:asciiTheme="minorHAnsi" w:hAnsiTheme="minorHAnsi" w:cstheme="minorHAnsi"/>
        </w:rPr>
        <w:t>v obvodu tohoto soudu</w:t>
      </w:r>
      <w:r w:rsidR="00C63D11">
        <w:rPr>
          <w:rFonts w:asciiTheme="minorHAnsi" w:hAnsiTheme="minorHAnsi" w:cstheme="minorHAnsi"/>
        </w:rPr>
        <w:t>, nestanoví-li zákon jinak</w:t>
      </w:r>
      <w:r w:rsidRPr="00257BE7">
        <w:rPr>
          <w:rFonts w:asciiTheme="minorHAnsi" w:hAnsiTheme="minorHAnsi" w:cstheme="minorHAnsi"/>
        </w:rPr>
        <w:t>.</w:t>
      </w:r>
      <w:r w:rsidR="00C63D11">
        <w:rPr>
          <w:rFonts w:asciiTheme="minorHAnsi" w:hAnsiTheme="minorHAnsi" w:cstheme="minorHAnsi"/>
        </w:rPr>
        <w:t xml:space="preserve"> Dle ustanovení § 118a zákona č. 304/2013 Sb. je MS</w:t>
      </w:r>
      <w:r w:rsidR="006614E6">
        <w:rPr>
          <w:rFonts w:asciiTheme="minorHAnsi" w:hAnsiTheme="minorHAnsi" w:cstheme="minorHAnsi"/>
        </w:rPr>
        <w:t> </w:t>
      </w:r>
      <w:r w:rsidR="00C63D11">
        <w:rPr>
          <w:rFonts w:asciiTheme="minorHAnsi" w:hAnsiTheme="minorHAnsi" w:cstheme="minorHAnsi"/>
        </w:rPr>
        <w:t xml:space="preserve">Praha dále příslušný ve věci evidence </w:t>
      </w:r>
      <w:proofErr w:type="spellStart"/>
      <w:r w:rsidR="00C63D11">
        <w:rPr>
          <w:rFonts w:asciiTheme="minorHAnsi" w:hAnsiTheme="minorHAnsi" w:cstheme="minorHAnsi"/>
        </w:rPr>
        <w:t>svěřenských</w:t>
      </w:r>
      <w:proofErr w:type="spellEnd"/>
      <w:r w:rsidR="00C63D11">
        <w:rPr>
          <w:rFonts w:asciiTheme="minorHAnsi" w:hAnsiTheme="minorHAnsi" w:cstheme="minorHAnsi"/>
        </w:rPr>
        <w:t xml:space="preserve"> fondů.</w:t>
      </w:r>
      <w:r w:rsidR="00954126">
        <w:rPr>
          <w:rFonts w:asciiTheme="minorHAnsi" w:hAnsiTheme="minorHAnsi" w:cstheme="minorHAnsi"/>
        </w:rPr>
        <w:t xml:space="preserve"> MS Praha je též příslušný ve věcech správního soudnictví.</w:t>
      </w:r>
    </w:p>
    <w:p w14:paraId="5291CBF7" w14:textId="77777777" w:rsidR="00D156DD" w:rsidRPr="00257BE7" w:rsidRDefault="00D156DD" w:rsidP="00D156DD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57BE7">
        <w:rPr>
          <w:rFonts w:asciiTheme="minorHAnsi" w:hAnsiTheme="minorHAnsi" w:cstheme="minorHAnsi"/>
        </w:rPr>
        <w:t>MS Praha vykonává tyto základní agendy:</w:t>
      </w:r>
    </w:p>
    <w:p w14:paraId="3E4AAAE2" w14:textId="0E0C3F7E" w:rsidR="00D156DD" w:rsidRPr="00257BE7" w:rsidRDefault="006614E6" w:rsidP="00D156D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D156DD" w:rsidRPr="00257BE7">
        <w:rPr>
          <w:rFonts w:asciiTheme="minorHAnsi" w:hAnsiTheme="minorHAnsi" w:cstheme="minorHAnsi"/>
        </w:rPr>
        <w:t>řijímá žádosti o informace podle zákona č. 106/1999 Sb.</w:t>
      </w:r>
      <w:r w:rsidR="0020701F">
        <w:rPr>
          <w:rStyle w:val="Znakapoznpodarou"/>
          <w:rFonts w:asciiTheme="minorHAnsi" w:hAnsiTheme="minorHAnsi" w:cstheme="minorHAnsi"/>
        </w:rPr>
        <w:footnoteReference w:id="10"/>
      </w:r>
      <w:r w:rsidR="00D156DD" w:rsidRPr="00257BE7">
        <w:rPr>
          <w:rFonts w:asciiTheme="minorHAnsi" w:hAnsiTheme="minorHAnsi" w:cstheme="minorHAnsi"/>
          <w:vertAlign w:val="superscript"/>
        </w:rPr>
        <w:t xml:space="preserve"> </w:t>
      </w:r>
      <w:r w:rsidR="00D156DD" w:rsidRPr="00257BE7">
        <w:rPr>
          <w:rFonts w:asciiTheme="minorHAnsi" w:hAnsiTheme="minorHAnsi" w:cstheme="minorHAnsi"/>
        </w:rPr>
        <w:t>v podmínkách resortu Ministerstva spravedlnosti</w:t>
      </w:r>
      <w:r w:rsidR="00D156DD" w:rsidRPr="00FC5E7D">
        <w:rPr>
          <w:rFonts w:asciiTheme="minorHAnsi" w:hAnsiTheme="minorHAnsi" w:cstheme="minorHAnsi"/>
        </w:rPr>
        <w:t>;</w:t>
      </w:r>
    </w:p>
    <w:p w14:paraId="518A6602" w14:textId="06EC710F" w:rsidR="00D156DD" w:rsidRPr="00257BE7" w:rsidRDefault="006614E6" w:rsidP="00D156D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/>
        <w:ind w:left="709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D156DD" w:rsidRPr="00257BE7">
        <w:rPr>
          <w:rFonts w:asciiTheme="minorHAnsi" w:hAnsiTheme="minorHAnsi" w:cstheme="minorHAnsi"/>
        </w:rPr>
        <w:t xml:space="preserve">ozhoduje jako soud druhého stupně ve věcech, v nichž rozhodoval v prvním stupni </w:t>
      </w:r>
      <w:r w:rsidR="00D156DD">
        <w:rPr>
          <w:rFonts w:asciiTheme="minorHAnsi" w:hAnsiTheme="minorHAnsi" w:cstheme="minorHAnsi"/>
        </w:rPr>
        <w:t>obvodní</w:t>
      </w:r>
      <w:r w:rsidR="00D156DD" w:rsidRPr="00257BE7">
        <w:rPr>
          <w:rFonts w:asciiTheme="minorHAnsi" w:hAnsiTheme="minorHAnsi" w:cstheme="minorHAnsi"/>
        </w:rPr>
        <w:t xml:space="preserve"> soud;</w:t>
      </w:r>
    </w:p>
    <w:p w14:paraId="457846A0" w14:textId="37BA0D57" w:rsidR="00D156DD" w:rsidRPr="00257BE7" w:rsidRDefault="006614E6" w:rsidP="00D156D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D156DD" w:rsidRPr="00257BE7">
        <w:rPr>
          <w:rFonts w:asciiTheme="minorHAnsi" w:hAnsiTheme="minorHAnsi" w:cstheme="minorHAnsi"/>
        </w:rPr>
        <w:t>ozhoduje jako soud prvního stupně v určitých věcech trestních;</w:t>
      </w:r>
    </w:p>
    <w:p w14:paraId="323A312E" w14:textId="779E819E" w:rsidR="00D156DD" w:rsidRPr="00257BE7" w:rsidRDefault="006614E6" w:rsidP="00D156D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D156DD" w:rsidRPr="00257BE7">
        <w:rPr>
          <w:rFonts w:asciiTheme="minorHAnsi" w:hAnsiTheme="minorHAnsi" w:cstheme="minorHAnsi"/>
        </w:rPr>
        <w:t>ozhoduje jako soud prvního stupně ve věcech vyplývajících z poměrů soukromého práva;</w:t>
      </w:r>
    </w:p>
    <w:p w14:paraId="7D7D8F5E" w14:textId="4C16B7AB" w:rsidR="00D156DD" w:rsidRDefault="006614E6" w:rsidP="00DF6AD0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240"/>
        <w:ind w:left="714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D156DD" w:rsidRPr="00257BE7">
        <w:rPr>
          <w:rFonts w:asciiTheme="minorHAnsi" w:hAnsiTheme="minorHAnsi" w:cstheme="minorHAnsi"/>
        </w:rPr>
        <w:t>ydává úředně ověřené opisy zápis</w:t>
      </w:r>
      <w:r>
        <w:rPr>
          <w:rFonts w:asciiTheme="minorHAnsi" w:hAnsiTheme="minorHAnsi" w:cstheme="minorHAnsi"/>
        </w:rPr>
        <w:t>ů</w:t>
      </w:r>
      <w:r w:rsidR="00D156DD" w:rsidRPr="00257BE7">
        <w:rPr>
          <w:rFonts w:asciiTheme="minorHAnsi" w:hAnsiTheme="minorHAnsi" w:cstheme="minorHAnsi"/>
        </w:rPr>
        <w:t xml:space="preserve"> nebo listin uložen</w:t>
      </w:r>
      <w:r>
        <w:rPr>
          <w:rFonts w:asciiTheme="minorHAnsi" w:hAnsiTheme="minorHAnsi" w:cstheme="minorHAnsi"/>
        </w:rPr>
        <w:t>ých</w:t>
      </w:r>
      <w:r w:rsidR="00D156DD" w:rsidRPr="00257BE7">
        <w:rPr>
          <w:rFonts w:asciiTheme="minorHAnsi" w:hAnsiTheme="minorHAnsi" w:cstheme="minorHAnsi"/>
        </w:rPr>
        <w:t xml:space="preserve"> ve sbírce listin.</w:t>
      </w:r>
    </w:p>
    <w:p w14:paraId="54F20B4C" w14:textId="77777777" w:rsidR="00D156DD" w:rsidRDefault="00D156DD" w:rsidP="00DF6AD0">
      <w:pPr>
        <w:spacing w:after="0"/>
        <w:jc w:val="both"/>
        <w:rPr>
          <w:rFonts w:asciiTheme="minorHAnsi" w:hAnsiTheme="minorHAnsi" w:cstheme="minorHAnsi"/>
          <w:highlight w:val="yellow"/>
        </w:rPr>
      </w:pPr>
      <w:r w:rsidRPr="00F75018">
        <w:rPr>
          <w:rFonts w:asciiTheme="minorHAnsi" w:hAnsiTheme="minorHAnsi" w:cstheme="minorHAnsi"/>
        </w:rPr>
        <w:t>V souladu se zákonem č. 219/2000 Sb.</w:t>
      </w:r>
      <w:r>
        <w:rPr>
          <w:rStyle w:val="Znakapoznpodarou"/>
          <w:rFonts w:asciiTheme="minorHAnsi" w:hAnsiTheme="minorHAnsi" w:cstheme="minorHAnsi"/>
        </w:rPr>
        <w:footnoteReference w:id="11"/>
      </w:r>
      <w:r>
        <w:rPr>
          <w:rFonts w:asciiTheme="minorHAnsi" w:hAnsiTheme="minorHAnsi" w:cstheme="minorHAnsi"/>
        </w:rPr>
        <w:t xml:space="preserve"> </w:t>
      </w:r>
      <w:r w:rsidRPr="00F75018">
        <w:rPr>
          <w:rFonts w:asciiTheme="minorHAnsi" w:hAnsiTheme="minorHAnsi" w:cstheme="minorHAnsi"/>
        </w:rPr>
        <w:t xml:space="preserve">je MS Praha organizační složkou státu </w:t>
      </w:r>
      <w:r w:rsidRPr="00030A71">
        <w:rPr>
          <w:rFonts w:asciiTheme="minorHAnsi" w:hAnsiTheme="minorHAnsi" w:cstheme="minorHAnsi"/>
        </w:rPr>
        <w:t>(dále také „OSS“)</w:t>
      </w:r>
      <w:r w:rsidRPr="00F75018">
        <w:rPr>
          <w:rFonts w:asciiTheme="minorHAnsi" w:hAnsiTheme="minorHAnsi" w:cstheme="minorHAnsi"/>
        </w:rPr>
        <w:t xml:space="preserve"> a dle zákona č. 563/1991 Sb.</w:t>
      </w:r>
      <w:r w:rsidR="002D08FC">
        <w:rPr>
          <w:rStyle w:val="Znakapoznpodarou"/>
          <w:rFonts w:asciiTheme="minorHAnsi" w:hAnsiTheme="minorHAnsi" w:cstheme="minorHAnsi"/>
        </w:rPr>
        <w:footnoteReference w:id="12"/>
      </w:r>
      <w:r>
        <w:rPr>
          <w:rFonts w:asciiTheme="minorHAnsi" w:hAnsiTheme="minorHAnsi" w:cstheme="minorHAnsi"/>
        </w:rPr>
        <w:t xml:space="preserve"> </w:t>
      </w:r>
      <w:r w:rsidRPr="00F75018">
        <w:rPr>
          <w:rFonts w:asciiTheme="minorHAnsi" w:hAnsiTheme="minorHAnsi" w:cstheme="minorHAnsi"/>
        </w:rPr>
        <w:t xml:space="preserve">vybranou účetní jednotkou. V čele MS Praha je </w:t>
      </w:r>
      <w:r w:rsidR="007435AA">
        <w:rPr>
          <w:rFonts w:asciiTheme="minorHAnsi" w:hAnsiTheme="minorHAnsi" w:cstheme="minorHAnsi"/>
        </w:rPr>
        <w:t>předseda</w:t>
      </w:r>
      <w:r w:rsidRPr="00F75018">
        <w:rPr>
          <w:rFonts w:asciiTheme="minorHAnsi" w:hAnsiTheme="minorHAnsi" w:cstheme="minorHAnsi"/>
        </w:rPr>
        <w:t xml:space="preserve">. </w:t>
      </w:r>
      <w:r w:rsidR="00F40C26">
        <w:rPr>
          <w:rFonts w:asciiTheme="minorHAnsi" w:hAnsiTheme="minorHAnsi" w:cstheme="minorHAnsi"/>
        </w:rPr>
        <w:t>N</w:t>
      </w:r>
      <w:r w:rsidRPr="00F75018">
        <w:rPr>
          <w:rFonts w:asciiTheme="minorHAnsi" w:hAnsiTheme="minorHAnsi" w:cstheme="minorHAnsi"/>
        </w:rPr>
        <w:t>adřízeným</w:t>
      </w:r>
      <w:r w:rsidR="00F40C26">
        <w:rPr>
          <w:rFonts w:asciiTheme="minorHAnsi" w:hAnsiTheme="minorHAnsi" w:cstheme="minorHAnsi"/>
        </w:rPr>
        <w:t xml:space="preserve"> </w:t>
      </w:r>
      <w:r w:rsidRPr="00F75018">
        <w:rPr>
          <w:rFonts w:asciiTheme="minorHAnsi" w:hAnsiTheme="minorHAnsi" w:cstheme="minorHAnsi"/>
        </w:rPr>
        <w:t>správním úřadem MS Praha</w:t>
      </w:r>
      <w:r w:rsidR="00F40C26">
        <w:rPr>
          <w:rFonts w:asciiTheme="minorHAnsi" w:hAnsiTheme="minorHAnsi" w:cstheme="minorHAnsi"/>
        </w:rPr>
        <w:t xml:space="preserve"> </w:t>
      </w:r>
      <w:r w:rsidR="00954126">
        <w:rPr>
          <w:rFonts w:asciiTheme="minorHAnsi" w:hAnsiTheme="minorHAnsi" w:cstheme="minorHAnsi"/>
        </w:rPr>
        <w:t xml:space="preserve">je Ministerstvo spravedlnosti. Rozpočet MS Praha je součástí rozpočtu kapitoly státního rozpočtu 336 – </w:t>
      </w:r>
      <w:r w:rsidR="00954126" w:rsidRPr="00DF6AD0">
        <w:rPr>
          <w:rFonts w:asciiTheme="minorHAnsi" w:hAnsiTheme="minorHAnsi" w:cstheme="minorHAnsi"/>
          <w:i/>
        </w:rPr>
        <w:t>Ministerstvo spravedlnosti</w:t>
      </w:r>
      <w:r w:rsidR="00954126">
        <w:rPr>
          <w:rFonts w:asciiTheme="minorHAnsi" w:hAnsiTheme="minorHAnsi" w:cstheme="minorHAnsi"/>
        </w:rPr>
        <w:t>, jejímž správcem je Ministerstvo spravedlnosti.</w:t>
      </w:r>
    </w:p>
    <w:p w14:paraId="64A85014" w14:textId="77777777" w:rsidR="004C5BCF" w:rsidRPr="00960FE9" w:rsidRDefault="004C5BCF" w:rsidP="004C5BCF">
      <w:pPr>
        <w:spacing w:after="0"/>
        <w:jc w:val="both"/>
        <w:rPr>
          <w:rFonts w:asciiTheme="minorHAnsi" w:hAnsiTheme="minorHAnsi" w:cstheme="minorHAnsi"/>
        </w:rPr>
      </w:pPr>
    </w:p>
    <w:p w14:paraId="2814F791" w14:textId="77777777" w:rsidR="005705EE" w:rsidRDefault="00A640AE" w:rsidP="009F20AA">
      <w:pPr>
        <w:spacing w:after="0"/>
        <w:jc w:val="both"/>
        <w:rPr>
          <w:rFonts w:cs="Calibri"/>
        </w:rPr>
      </w:pPr>
      <w:r w:rsidRPr="003216DC">
        <w:rPr>
          <w:rFonts w:cs="Calibri"/>
        </w:rPr>
        <w:t>Přehled</w:t>
      </w:r>
      <w:r w:rsidR="00D85D8F">
        <w:rPr>
          <w:rFonts w:cs="Calibri"/>
        </w:rPr>
        <w:t xml:space="preserve"> vybraných</w:t>
      </w:r>
      <w:r w:rsidRPr="003216DC">
        <w:rPr>
          <w:rFonts w:cs="Calibri"/>
        </w:rPr>
        <w:t xml:space="preserve"> údajů z </w:t>
      </w:r>
      <w:r w:rsidR="00D37A9B" w:rsidRPr="003216DC">
        <w:rPr>
          <w:rFonts w:cs="Calibri"/>
        </w:rPr>
        <w:t xml:space="preserve">ÚZ </w:t>
      </w:r>
      <w:r w:rsidRPr="003216DC">
        <w:rPr>
          <w:rFonts w:cs="Calibri"/>
        </w:rPr>
        <w:t>a z</w:t>
      </w:r>
      <w:r w:rsidR="00411333">
        <w:rPr>
          <w:rFonts w:cs="Calibri"/>
        </w:rPr>
        <w:t> </w:t>
      </w:r>
      <w:r w:rsidRPr="003216DC">
        <w:rPr>
          <w:rFonts w:cs="Calibri"/>
        </w:rPr>
        <w:t>výkazu</w:t>
      </w:r>
      <w:r w:rsidR="00411333">
        <w:rPr>
          <w:rFonts w:cs="Calibri"/>
        </w:rPr>
        <w:t xml:space="preserve"> pro </w:t>
      </w:r>
      <w:r w:rsidR="005644E8">
        <w:rPr>
          <w:rFonts w:cs="Calibri"/>
        </w:rPr>
        <w:t xml:space="preserve">hodnocení </w:t>
      </w:r>
      <w:r w:rsidR="00411333">
        <w:rPr>
          <w:rFonts w:cs="Calibri"/>
        </w:rPr>
        <w:t>plnění rozpočtu</w:t>
      </w:r>
      <w:r w:rsidR="005644E8">
        <w:rPr>
          <w:rFonts w:cs="Calibri"/>
        </w:rPr>
        <w:t xml:space="preserve"> správců kapitol a</w:t>
      </w:r>
      <w:r w:rsidR="002178EA">
        <w:rPr>
          <w:rFonts w:cs="Calibri"/>
        </w:rPr>
        <w:t> </w:t>
      </w:r>
      <w:r w:rsidR="006077B9">
        <w:rPr>
          <w:rFonts w:cs="Calibri"/>
        </w:rPr>
        <w:t>organizačních složek státu za rok 2022</w:t>
      </w:r>
      <w:r w:rsidRPr="003216DC">
        <w:rPr>
          <w:rFonts w:cs="Calibri"/>
        </w:rPr>
        <w:t xml:space="preserve"> </w:t>
      </w:r>
      <w:r w:rsidR="005644E8" w:rsidRPr="003216DC">
        <w:rPr>
          <w:rFonts w:cs="Calibri"/>
        </w:rPr>
        <w:t xml:space="preserve">(dále také „výkaz </w:t>
      </w:r>
      <w:r w:rsidRPr="003216DC">
        <w:rPr>
          <w:rFonts w:cs="Calibri"/>
        </w:rPr>
        <w:t>FIN 1-12 OSS</w:t>
      </w:r>
      <w:r w:rsidR="005644E8">
        <w:rPr>
          <w:rFonts w:cs="Calibri"/>
        </w:rPr>
        <w:t>“)</w:t>
      </w:r>
      <w:r w:rsidRPr="003216DC">
        <w:rPr>
          <w:rFonts w:cs="Calibri"/>
        </w:rPr>
        <w:t xml:space="preserve"> vygenerovaného z rozpočtového systému</w:t>
      </w:r>
      <w:r w:rsidRPr="003216DC">
        <w:rPr>
          <w:rStyle w:val="Znakapoznpodarou"/>
          <w:rFonts w:eastAsiaTheme="minorHAnsi" w:cs="Calibri"/>
        </w:rPr>
        <w:footnoteReference w:id="13"/>
      </w:r>
      <w:r w:rsidRPr="003216DC">
        <w:rPr>
          <w:rFonts w:cs="Calibri"/>
        </w:rPr>
        <w:t xml:space="preserve"> je uveden v následujících tabulkách.</w:t>
      </w:r>
    </w:p>
    <w:p w14:paraId="476A4985" w14:textId="33D7F150" w:rsidR="00DE6218" w:rsidRDefault="00DE6218" w:rsidP="00DE6218">
      <w:pPr>
        <w:pStyle w:val="Titulek"/>
      </w:pPr>
      <w:r>
        <w:lastRenderedPageBreak/>
        <w:t xml:space="preserve">Tabulka č. </w:t>
      </w:r>
      <w:fldSimple w:instr=" SEQ Tabulka_č. \* ARABIC ">
        <w:r w:rsidR="00CF68DC">
          <w:rPr>
            <w:noProof/>
          </w:rPr>
          <w:t>1</w:t>
        </w:r>
      </w:fldSimple>
      <w:r>
        <w:t xml:space="preserve">: </w:t>
      </w:r>
      <w:r w:rsidRPr="00DE6218">
        <w:t xml:space="preserve">Údaje ÚZ – rozvaha a výkaz zisku a ztráty (údaje za </w:t>
      </w:r>
      <w:r w:rsidR="00055EC4">
        <w:t>rok 2022</w:t>
      </w:r>
      <w:r w:rsidRPr="00DE6218">
        <w:t>)</w:t>
      </w:r>
    </w:p>
    <w:tbl>
      <w:tblPr>
        <w:tblW w:w="9070" w:type="dxa"/>
        <w:tblInd w:w="-1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250"/>
      </w:tblGrid>
      <w:tr w:rsidR="007435AA" w14:paraId="7B52D8F4" w14:textId="77777777" w:rsidTr="007435AA">
        <w:trPr>
          <w:trHeight w:val="454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F1FF"/>
            <w:noWrap/>
            <w:vAlign w:val="center"/>
            <w:hideMark/>
          </w:tcPr>
          <w:p w14:paraId="539356F8" w14:textId="77777777" w:rsidR="007435AA" w:rsidRDefault="007435AA">
            <w:pPr>
              <w:keepNext/>
              <w:spacing w:after="0" w:line="25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Ukazatel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F1FF"/>
            <w:noWrap/>
            <w:vAlign w:val="center"/>
            <w:hideMark/>
          </w:tcPr>
          <w:p w14:paraId="567C5843" w14:textId="77777777" w:rsidR="007435AA" w:rsidRDefault="007435AA">
            <w:pPr>
              <w:keepNext/>
              <w:spacing w:after="0" w:line="25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Částka v mil. Kč</w:t>
            </w:r>
          </w:p>
        </w:tc>
      </w:tr>
      <w:tr w:rsidR="007435AA" w14:paraId="0EEADFA7" w14:textId="77777777" w:rsidTr="007435AA">
        <w:trPr>
          <w:trHeight w:val="340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345A07F2" w14:textId="77777777" w:rsidR="007435AA" w:rsidRDefault="007435AA">
            <w:pPr>
              <w:keepNext/>
              <w:spacing w:after="0"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Aktiva netto</w:t>
            </w:r>
            <w:r w:rsidR="00CA69AB">
              <w:rPr>
                <w:rFonts w:cs="Arial"/>
                <w:sz w:val="20"/>
                <w:szCs w:val="20"/>
              </w:rPr>
              <w:t>, pasiva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7CEF99C4" w14:textId="77777777" w:rsidR="007435AA" w:rsidRDefault="007435AA" w:rsidP="00A8498B">
            <w:pPr>
              <w:keepNext/>
              <w:spacing w:after="0" w:line="256" w:lineRule="auto"/>
              <w:ind w:right="170"/>
              <w:jc w:val="right"/>
              <w:rPr>
                <w:rFonts w:cs="Arial"/>
                <w:bCs/>
                <w:sz w:val="20"/>
                <w:szCs w:val="20"/>
                <w:highlight w:val="yellow"/>
              </w:rPr>
            </w:pPr>
            <w:r>
              <w:rPr>
                <w:rFonts w:cs="Arial"/>
                <w:bCs/>
                <w:sz w:val="20"/>
                <w:szCs w:val="20"/>
              </w:rPr>
              <w:t>3 615,5</w:t>
            </w:r>
          </w:p>
        </w:tc>
      </w:tr>
      <w:tr w:rsidR="007435AA" w14:paraId="4C674D3F" w14:textId="77777777" w:rsidTr="007435AA">
        <w:trPr>
          <w:trHeight w:val="340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6392CF6D" w14:textId="77777777" w:rsidR="007435AA" w:rsidRDefault="007435AA">
            <w:pPr>
              <w:keepNext/>
              <w:spacing w:after="0"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Náklady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122C6690" w14:textId="77777777" w:rsidR="007435AA" w:rsidRDefault="007435AA" w:rsidP="00A8498B">
            <w:pPr>
              <w:keepNext/>
              <w:spacing w:after="0" w:line="256" w:lineRule="auto"/>
              <w:ind w:right="17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1 423,9</w:t>
            </w:r>
          </w:p>
        </w:tc>
      </w:tr>
      <w:tr w:rsidR="007435AA" w14:paraId="44BA016E" w14:textId="77777777" w:rsidTr="007435AA">
        <w:trPr>
          <w:trHeight w:val="340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320B46CD" w14:textId="77777777" w:rsidR="007435AA" w:rsidRDefault="007435AA">
            <w:pPr>
              <w:keepNext/>
              <w:spacing w:after="0"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Výnosy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75A7E2F0" w14:textId="77777777" w:rsidR="007435AA" w:rsidRDefault="007435AA" w:rsidP="00A8498B">
            <w:pPr>
              <w:keepNext/>
              <w:spacing w:after="0" w:line="256" w:lineRule="auto"/>
              <w:ind w:right="170"/>
              <w:jc w:val="right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250,2</w:t>
            </w:r>
          </w:p>
        </w:tc>
      </w:tr>
      <w:tr w:rsidR="007435AA" w14:paraId="2EDFCB26" w14:textId="77777777" w:rsidTr="007435AA">
        <w:trPr>
          <w:trHeight w:val="340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D5B6B3" w14:textId="77777777" w:rsidR="007435AA" w:rsidRDefault="007435AA">
            <w:pPr>
              <w:keepNext/>
              <w:spacing w:after="0"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Výsledek hospodaření běžného účetního období (ztráta)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57CEAD6B" w14:textId="1E90F20A" w:rsidR="007435AA" w:rsidRDefault="006614E6" w:rsidP="00A8498B">
            <w:pPr>
              <w:keepNext/>
              <w:spacing w:after="0" w:line="256" w:lineRule="auto"/>
              <w:ind w:right="170"/>
              <w:jc w:val="right"/>
              <w:rPr>
                <w:rFonts w:cs="Arial"/>
                <w:bCs/>
                <w:sz w:val="20"/>
                <w:szCs w:val="20"/>
                <w:highlight w:val="yellow"/>
              </w:rPr>
            </w:pPr>
            <w:r w:rsidRPr="00DF6AD0">
              <w:rPr>
                <w:rFonts w:cs="Calibri"/>
                <w:sz w:val="20"/>
                <w:szCs w:val="20"/>
              </w:rPr>
              <w:t>−</w:t>
            </w:r>
            <w:r w:rsidR="007435AA">
              <w:rPr>
                <w:rFonts w:cs="Calibri"/>
                <w:sz w:val="20"/>
                <w:szCs w:val="20"/>
              </w:rPr>
              <w:t>1 173,7</w:t>
            </w:r>
          </w:p>
        </w:tc>
      </w:tr>
    </w:tbl>
    <w:p w14:paraId="5A812C26" w14:textId="1C83FC80" w:rsidR="00494B0F" w:rsidRPr="00D40705" w:rsidRDefault="00A640AE" w:rsidP="00D40705">
      <w:pPr>
        <w:keepNext/>
        <w:spacing w:after="0"/>
        <w:rPr>
          <w:rFonts w:cs="Arial"/>
          <w:bCs/>
          <w:sz w:val="20"/>
          <w:szCs w:val="20"/>
        </w:rPr>
      </w:pPr>
      <w:r w:rsidRPr="00D40705">
        <w:rPr>
          <w:rFonts w:cs="Arial"/>
          <w:b/>
          <w:sz w:val="20"/>
          <w:szCs w:val="20"/>
        </w:rPr>
        <w:t>Zdroj:</w:t>
      </w:r>
      <w:r w:rsidRPr="00D40705">
        <w:rPr>
          <w:rFonts w:cs="Arial"/>
          <w:bCs/>
          <w:sz w:val="20"/>
          <w:szCs w:val="20"/>
        </w:rPr>
        <w:t xml:space="preserve"> </w:t>
      </w:r>
      <w:r w:rsidR="000B3825" w:rsidRPr="00D40705">
        <w:rPr>
          <w:rFonts w:cs="Arial"/>
          <w:bCs/>
          <w:sz w:val="20"/>
          <w:szCs w:val="20"/>
        </w:rPr>
        <w:t>ÚZ</w:t>
      </w:r>
      <w:r w:rsidR="007435AA">
        <w:rPr>
          <w:rFonts w:cs="Arial"/>
          <w:bCs/>
          <w:sz w:val="20"/>
          <w:szCs w:val="20"/>
        </w:rPr>
        <w:t xml:space="preserve">; hodnoty </w:t>
      </w:r>
      <w:r w:rsidR="002B3676">
        <w:rPr>
          <w:rFonts w:cs="Arial"/>
          <w:bCs/>
          <w:sz w:val="20"/>
          <w:szCs w:val="20"/>
        </w:rPr>
        <w:t xml:space="preserve">jsou </w:t>
      </w:r>
      <w:r w:rsidR="006614E6">
        <w:rPr>
          <w:rFonts w:cs="Arial"/>
          <w:bCs/>
          <w:sz w:val="20"/>
          <w:szCs w:val="20"/>
        </w:rPr>
        <w:t xml:space="preserve">v tabulce </w:t>
      </w:r>
      <w:r w:rsidR="00B22DF8">
        <w:rPr>
          <w:rFonts w:cs="Arial"/>
          <w:bCs/>
          <w:sz w:val="20"/>
          <w:szCs w:val="20"/>
        </w:rPr>
        <w:t>uvedeny v mil. Kč a zaokrouhleny</w:t>
      </w:r>
      <w:r w:rsidR="003444C4">
        <w:rPr>
          <w:rFonts w:cs="Arial"/>
          <w:bCs/>
          <w:sz w:val="20"/>
          <w:szCs w:val="20"/>
        </w:rPr>
        <w:t>.</w:t>
      </w:r>
    </w:p>
    <w:p w14:paraId="28878240" w14:textId="0F540AA8" w:rsidR="00DE06FE" w:rsidRDefault="00A640AE" w:rsidP="006350B8">
      <w:pPr>
        <w:spacing w:after="0"/>
        <w:ind w:left="567" w:hanging="567"/>
        <w:jc w:val="both"/>
        <w:rPr>
          <w:rFonts w:cs="Arial"/>
          <w:bCs/>
          <w:sz w:val="20"/>
          <w:szCs w:val="20"/>
        </w:rPr>
      </w:pPr>
      <w:r w:rsidRPr="00D40705">
        <w:rPr>
          <w:rFonts w:cs="Arial"/>
          <w:b/>
          <w:sz w:val="20"/>
          <w:szCs w:val="20"/>
        </w:rPr>
        <w:t>Pozn.:</w:t>
      </w:r>
      <w:r w:rsidR="005705EE" w:rsidRPr="00D40705">
        <w:rPr>
          <w:rFonts w:cs="Arial"/>
          <w:bCs/>
          <w:sz w:val="20"/>
          <w:szCs w:val="20"/>
        </w:rPr>
        <w:t xml:space="preserve"> </w:t>
      </w:r>
      <w:r w:rsidR="00BA2B34">
        <w:rPr>
          <w:rFonts w:cs="Arial"/>
          <w:bCs/>
          <w:sz w:val="20"/>
          <w:szCs w:val="20"/>
        </w:rPr>
        <w:tab/>
      </w:r>
      <w:r w:rsidR="00B22DF8">
        <w:rPr>
          <w:rFonts w:cs="Arial"/>
          <w:bCs/>
          <w:sz w:val="20"/>
          <w:szCs w:val="20"/>
        </w:rPr>
        <w:t xml:space="preserve">MS Praha v ÚZ vykázal aktiva v hodnotě brutto ve výši 4 952,3 mil. Kč upravené o korekce ve výši </w:t>
      </w:r>
      <w:r w:rsidR="006614E6">
        <w:rPr>
          <w:rFonts w:cs="Arial"/>
          <w:bCs/>
          <w:sz w:val="20"/>
          <w:szCs w:val="20"/>
        </w:rPr>
        <w:br/>
      </w:r>
      <w:r w:rsidR="00B22DF8">
        <w:rPr>
          <w:rFonts w:cs="Arial"/>
          <w:bCs/>
          <w:sz w:val="20"/>
          <w:szCs w:val="20"/>
        </w:rPr>
        <w:t>1 336,8 mil. Kč.</w:t>
      </w:r>
    </w:p>
    <w:p w14:paraId="719C9FEC" w14:textId="18A5987A" w:rsidR="00DE6218" w:rsidRDefault="00DE6218" w:rsidP="00F42D7C">
      <w:pPr>
        <w:pStyle w:val="Titulek"/>
        <w:ind w:left="1304" w:hanging="1304"/>
      </w:pPr>
      <w:r>
        <w:t xml:space="preserve">Tabulka č. </w:t>
      </w:r>
      <w:fldSimple w:instr=" SEQ Tabulka_č. \* ARABIC ">
        <w:r w:rsidR="00CF68DC">
          <w:rPr>
            <w:noProof/>
          </w:rPr>
          <w:t>2</w:t>
        </w:r>
      </w:fldSimple>
      <w:r>
        <w:t xml:space="preserve">: </w:t>
      </w:r>
      <w:r w:rsidR="006614E6">
        <w:tab/>
      </w:r>
      <w:r w:rsidRPr="00DE6218">
        <w:t>Údaje ÚZ – informace o stavu účtů v knize podrozvahových účtů (údaje za</w:t>
      </w:r>
      <w:r w:rsidR="00055EC4">
        <w:t xml:space="preserve"> rok</w:t>
      </w:r>
      <w:r w:rsidR="0096326C">
        <w:t> </w:t>
      </w:r>
      <w:r w:rsidR="00055EC4">
        <w:t>2022</w:t>
      </w:r>
      <w:r w:rsidRPr="00DE6218">
        <w:t>)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0"/>
        <w:gridCol w:w="992"/>
      </w:tblGrid>
      <w:tr w:rsidR="008957E3" w:rsidRPr="00B22DF8" w14:paraId="2073BCB6" w14:textId="77777777" w:rsidTr="007D6AD1">
        <w:trPr>
          <w:trHeight w:val="300"/>
          <w:tblHeader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20B0164D" w14:textId="77777777" w:rsidR="008957E3" w:rsidRPr="00B22DF8" w:rsidRDefault="008957E3" w:rsidP="00B22DF8">
            <w:pPr>
              <w:spacing w:after="0" w:line="256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2DF8">
              <w:rPr>
                <w:rFonts w:cs="Calibri"/>
                <w:b/>
                <w:bCs/>
                <w:color w:val="000000"/>
                <w:sz w:val="20"/>
                <w:szCs w:val="20"/>
              </w:rPr>
              <w:t>Položka výkazu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E543B4D" w14:textId="77777777" w:rsidR="008957E3" w:rsidRPr="00B22DF8" w:rsidRDefault="008957E3" w:rsidP="00B22DF8">
            <w:pPr>
              <w:spacing w:after="0" w:line="256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22DF8">
              <w:rPr>
                <w:rFonts w:cs="Calibri"/>
                <w:b/>
                <w:bCs/>
                <w:color w:val="000000"/>
                <w:sz w:val="20"/>
                <w:szCs w:val="20"/>
              </w:rPr>
              <w:t>Částka v mil. Kč</w:t>
            </w:r>
          </w:p>
        </w:tc>
      </w:tr>
      <w:tr w:rsidR="008957E3" w:rsidRPr="00B22DF8" w14:paraId="29A26DD9" w14:textId="77777777" w:rsidTr="007D6AD1">
        <w:trPr>
          <w:trHeight w:val="34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B4D63" w14:textId="0E7A7625" w:rsidR="008957E3" w:rsidRPr="00B22DF8" w:rsidRDefault="008957E3" w:rsidP="00B22DF8">
            <w:pPr>
              <w:autoSpaceDE w:val="0"/>
              <w:autoSpaceDN w:val="0"/>
              <w:adjustRightInd w:val="0"/>
              <w:spacing w:after="0" w:line="256" w:lineRule="auto"/>
              <w:ind w:right="-57"/>
              <w:rPr>
                <w:rFonts w:eastAsia="Calibri" w:cs="Calibri"/>
                <w:sz w:val="20"/>
                <w:szCs w:val="20"/>
              </w:rPr>
            </w:pPr>
            <w:r w:rsidRPr="00B22DF8">
              <w:rPr>
                <w:rFonts w:eastAsia="Calibri" w:cs="Calibri"/>
                <w:sz w:val="20"/>
                <w:szCs w:val="20"/>
              </w:rPr>
              <w:t>902</w:t>
            </w:r>
            <w:r>
              <w:rPr>
                <w:rFonts w:eastAsia="Calibri" w:cs="Calibri"/>
                <w:sz w:val="20"/>
                <w:szCs w:val="20"/>
              </w:rPr>
              <w:t xml:space="preserve"> </w:t>
            </w:r>
            <w:r w:rsidR="006614E6">
              <w:rPr>
                <w:rFonts w:eastAsia="Calibri" w:cs="Calibri"/>
                <w:sz w:val="20"/>
                <w:szCs w:val="20"/>
              </w:rPr>
              <w:t>–</w:t>
            </w:r>
            <w:r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B22DF8">
              <w:rPr>
                <w:rFonts w:eastAsia="Calibri" w:cs="Calibri"/>
                <w:sz w:val="20"/>
                <w:szCs w:val="20"/>
              </w:rPr>
              <w:t>Jiný drobný dlouhodobý hmotný majetek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9C72" w14:textId="77777777" w:rsidR="008957E3" w:rsidRPr="00B22DF8" w:rsidRDefault="008957E3" w:rsidP="00B22DF8">
            <w:pPr>
              <w:spacing w:after="0" w:line="256" w:lineRule="auto"/>
              <w:ind w:right="57"/>
              <w:jc w:val="righ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B22DF8">
              <w:rPr>
                <w:rFonts w:cs="Calibri"/>
                <w:bCs/>
                <w:color w:val="000000"/>
                <w:sz w:val="20"/>
                <w:szCs w:val="20"/>
              </w:rPr>
              <w:t>13,8</w:t>
            </w:r>
          </w:p>
        </w:tc>
      </w:tr>
      <w:tr w:rsidR="008957E3" w:rsidRPr="00B22DF8" w14:paraId="639230FE" w14:textId="77777777" w:rsidTr="007D6AD1">
        <w:trPr>
          <w:trHeight w:val="34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CECA8" w14:textId="0B133366" w:rsidR="008957E3" w:rsidRPr="00B22DF8" w:rsidRDefault="008957E3" w:rsidP="00B22DF8">
            <w:pPr>
              <w:autoSpaceDE w:val="0"/>
              <w:autoSpaceDN w:val="0"/>
              <w:adjustRightInd w:val="0"/>
              <w:spacing w:after="0" w:line="256" w:lineRule="auto"/>
              <w:ind w:right="-57"/>
              <w:rPr>
                <w:rFonts w:eastAsia="Calibri" w:cs="Calibri"/>
                <w:sz w:val="20"/>
                <w:szCs w:val="20"/>
              </w:rPr>
            </w:pPr>
            <w:r w:rsidRPr="00B22DF8">
              <w:rPr>
                <w:rFonts w:eastAsia="Calibri" w:cs="Calibri"/>
                <w:sz w:val="20"/>
                <w:szCs w:val="20"/>
              </w:rPr>
              <w:t>905</w:t>
            </w:r>
            <w:r>
              <w:rPr>
                <w:rFonts w:eastAsia="Calibri" w:cs="Calibri"/>
                <w:sz w:val="20"/>
                <w:szCs w:val="20"/>
              </w:rPr>
              <w:t xml:space="preserve"> </w:t>
            </w:r>
            <w:r w:rsidR="006614E6">
              <w:rPr>
                <w:rFonts w:eastAsia="Calibri" w:cs="Calibri"/>
                <w:sz w:val="20"/>
                <w:szCs w:val="20"/>
              </w:rPr>
              <w:t>–</w:t>
            </w:r>
            <w:r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B22DF8">
              <w:rPr>
                <w:rFonts w:eastAsia="Calibri" w:cs="Calibri"/>
                <w:sz w:val="20"/>
                <w:szCs w:val="20"/>
              </w:rPr>
              <w:t>Vyřazené pohledávky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C62B" w14:textId="77777777" w:rsidR="008957E3" w:rsidRPr="00B22DF8" w:rsidRDefault="008957E3" w:rsidP="00B22DF8">
            <w:pPr>
              <w:spacing w:after="0" w:line="256" w:lineRule="auto"/>
              <w:ind w:right="57"/>
              <w:jc w:val="righ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B22DF8">
              <w:rPr>
                <w:rFonts w:cs="Calibri"/>
                <w:bCs/>
                <w:color w:val="000000"/>
                <w:sz w:val="20"/>
                <w:szCs w:val="20"/>
              </w:rPr>
              <w:t>210,5</w:t>
            </w:r>
          </w:p>
        </w:tc>
      </w:tr>
      <w:tr w:rsidR="008957E3" w:rsidRPr="00B22DF8" w14:paraId="747F23FD" w14:textId="77777777" w:rsidTr="007D6AD1">
        <w:trPr>
          <w:trHeight w:val="34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E6426" w14:textId="7AA78E3E" w:rsidR="008957E3" w:rsidRPr="00B22DF8" w:rsidRDefault="008957E3" w:rsidP="00B22DF8">
            <w:pPr>
              <w:autoSpaceDE w:val="0"/>
              <w:autoSpaceDN w:val="0"/>
              <w:adjustRightInd w:val="0"/>
              <w:spacing w:after="0" w:line="256" w:lineRule="auto"/>
              <w:ind w:right="-57"/>
              <w:rPr>
                <w:rFonts w:eastAsia="Calibri" w:cs="Calibri"/>
                <w:sz w:val="20"/>
                <w:szCs w:val="20"/>
              </w:rPr>
            </w:pPr>
            <w:r w:rsidRPr="00B22DF8">
              <w:rPr>
                <w:rFonts w:eastAsia="Calibri" w:cs="Calibri"/>
                <w:sz w:val="20"/>
                <w:szCs w:val="20"/>
              </w:rPr>
              <w:t>933</w:t>
            </w:r>
            <w:r>
              <w:rPr>
                <w:rFonts w:eastAsia="Calibri" w:cs="Calibri"/>
                <w:sz w:val="20"/>
                <w:szCs w:val="20"/>
              </w:rPr>
              <w:t xml:space="preserve"> </w:t>
            </w:r>
            <w:r w:rsidR="006614E6">
              <w:rPr>
                <w:rFonts w:eastAsia="Calibri" w:cs="Calibri"/>
                <w:sz w:val="20"/>
                <w:szCs w:val="20"/>
              </w:rPr>
              <w:t>–</w:t>
            </w:r>
            <w:r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B22DF8">
              <w:rPr>
                <w:rFonts w:eastAsia="Calibri" w:cs="Calibri"/>
                <w:sz w:val="20"/>
                <w:szCs w:val="20"/>
              </w:rPr>
              <w:t>Krátkodobé podmíněné pohledávky z jiných smluv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0AE0" w14:textId="77777777" w:rsidR="008957E3" w:rsidRPr="00B22DF8" w:rsidRDefault="008957E3" w:rsidP="00B22DF8">
            <w:pPr>
              <w:spacing w:after="0" w:line="256" w:lineRule="auto"/>
              <w:ind w:right="57"/>
              <w:jc w:val="righ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B22DF8">
              <w:rPr>
                <w:rFonts w:cs="Calibri"/>
                <w:bCs/>
                <w:color w:val="000000"/>
                <w:sz w:val="20"/>
                <w:szCs w:val="20"/>
              </w:rPr>
              <w:t>1,4</w:t>
            </w:r>
          </w:p>
        </w:tc>
      </w:tr>
      <w:tr w:rsidR="008957E3" w:rsidRPr="00B22DF8" w14:paraId="3038FD14" w14:textId="77777777" w:rsidTr="007D6AD1">
        <w:trPr>
          <w:trHeight w:val="34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4A169" w14:textId="0908D797" w:rsidR="008957E3" w:rsidRPr="00B22DF8" w:rsidRDefault="008957E3" w:rsidP="00B22DF8">
            <w:pPr>
              <w:autoSpaceDE w:val="0"/>
              <w:autoSpaceDN w:val="0"/>
              <w:adjustRightInd w:val="0"/>
              <w:spacing w:after="0" w:line="256" w:lineRule="auto"/>
              <w:ind w:right="-57"/>
              <w:rPr>
                <w:rFonts w:eastAsia="Calibri" w:cs="Calibri"/>
                <w:sz w:val="20"/>
                <w:szCs w:val="20"/>
              </w:rPr>
            </w:pPr>
            <w:r w:rsidRPr="00B22DF8">
              <w:rPr>
                <w:rFonts w:eastAsia="Calibri" w:cs="Calibri"/>
                <w:sz w:val="20"/>
                <w:szCs w:val="20"/>
              </w:rPr>
              <w:t>934</w:t>
            </w:r>
            <w:r>
              <w:rPr>
                <w:rFonts w:eastAsia="Calibri" w:cs="Calibri"/>
                <w:sz w:val="20"/>
                <w:szCs w:val="20"/>
              </w:rPr>
              <w:t xml:space="preserve"> </w:t>
            </w:r>
            <w:r w:rsidR="006614E6">
              <w:rPr>
                <w:rFonts w:eastAsia="Calibri" w:cs="Calibri"/>
                <w:sz w:val="20"/>
                <w:szCs w:val="20"/>
              </w:rPr>
              <w:t>–</w:t>
            </w:r>
            <w:r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B22DF8">
              <w:rPr>
                <w:rFonts w:eastAsia="Calibri" w:cs="Calibri"/>
                <w:sz w:val="20"/>
                <w:szCs w:val="20"/>
              </w:rPr>
              <w:t>Dlouhodobé podmíněné pohledávky z jiných smluv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26C3" w14:textId="77777777" w:rsidR="008957E3" w:rsidRPr="00B22DF8" w:rsidRDefault="008957E3" w:rsidP="00B22DF8">
            <w:pPr>
              <w:spacing w:after="0" w:line="256" w:lineRule="auto"/>
              <w:ind w:right="57"/>
              <w:jc w:val="righ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B22DF8">
              <w:rPr>
                <w:rFonts w:cs="Calibri"/>
                <w:bCs/>
                <w:color w:val="000000"/>
                <w:sz w:val="20"/>
                <w:szCs w:val="20"/>
              </w:rPr>
              <w:t>1,8</w:t>
            </w:r>
          </w:p>
        </w:tc>
      </w:tr>
      <w:tr w:rsidR="008957E3" w:rsidRPr="00B22DF8" w14:paraId="4CC31FA1" w14:textId="77777777" w:rsidTr="007D6AD1">
        <w:trPr>
          <w:trHeight w:val="34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1B405" w14:textId="33436119" w:rsidR="008957E3" w:rsidRPr="00B22DF8" w:rsidRDefault="008957E3" w:rsidP="00B22DF8">
            <w:pPr>
              <w:autoSpaceDE w:val="0"/>
              <w:autoSpaceDN w:val="0"/>
              <w:adjustRightInd w:val="0"/>
              <w:spacing w:after="0" w:line="256" w:lineRule="auto"/>
              <w:ind w:right="-57"/>
              <w:rPr>
                <w:rFonts w:eastAsia="Calibri" w:cs="Calibri"/>
                <w:sz w:val="20"/>
                <w:szCs w:val="20"/>
              </w:rPr>
            </w:pPr>
            <w:r w:rsidRPr="00B22DF8">
              <w:rPr>
                <w:rFonts w:eastAsia="Calibri" w:cs="Calibri"/>
                <w:sz w:val="20"/>
                <w:szCs w:val="20"/>
              </w:rPr>
              <w:t>947</w:t>
            </w:r>
            <w:r>
              <w:rPr>
                <w:rFonts w:eastAsia="Calibri" w:cs="Calibri"/>
                <w:sz w:val="20"/>
                <w:szCs w:val="20"/>
              </w:rPr>
              <w:t xml:space="preserve"> </w:t>
            </w:r>
            <w:r w:rsidR="006614E6">
              <w:rPr>
                <w:rFonts w:eastAsia="Calibri" w:cs="Calibri"/>
                <w:sz w:val="20"/>
                <w:szCs w:val="20"/>
              </w:rPr>
              <w:t>–</w:t>
            </w:r>
            <w:r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B22DF8">
              <w:rPr>
                <w:rFonts w:eastAsia="Calibri" w:cs="Calibri"/>
                <w:sz w:val="20"/>
                <w:szCs w:val="20"/>
              </w:rPr>
              <w:t>Krátkodobé podmíněné pohledávky ze soudních sporů, správních řízení a jiných řízení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EFCA" w14:textId="77777777" w:rsidR="008957E3" w:rsidRPr="00B22DF8" w:rsidRDefault="008957E3" w:rsidP="00B22DF8">
            <w:pPr>
              <w:spacing w:after="0" w:line="256" w:lineRule="auto"/>
              <w:ind w:right="57"/>
              <w:jc w:val="righ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B22DF8">
              <w:rPr>
                <w:rFonts w:cs="Calibri"/>
                <w:bCs/>
                <w:color w:val="000000"/>
                <w:sz w:val="20"/>
                <w:szCs w:val="20"/>
              </w:rPr>
              <w:t>254,8</w:t>
            </w:r>
          </w:p>
        </w:tc>
      </w:tr>
      <w:tr w:rsidR="008957E3" w:rsidRPr="00B22DF8" w14:paraId="311FC37B" w14:textId="77777777" w:rsidTr="007D6AD1">
        <w:trPr>
          <w:trHeight w:val="34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13814" w14:textId="3AF0BA20" w:rsidR="008957E3" w:rsidRPr="00B22DF8" w:rsidRDefault="008957E3" w:rsidP="00B22DF8">
            <w:pPr>
              <w:autoSpaceDE w:val="0"/>
              <w:autoSpaceDN w:val="0"/>
              <w:adjustRightInd w:val="0"/>
              <w:spacing w:after="0" w:line="256" w:lineRule="auto"/>
              <w:ind w:right="-57"/>
              <w:rPr>
                <w:rFonts w:eastAsia="Calibri" w:cs="Calibri"/>
                <w:sz w:val="20"/>
                <w:szCs w:val="20"/>
              </w:rPr>
            </w:pPr>
            <w:r w:rsidRPr="00B22DF8">
              <w:rPr>
                <w:rFonts w:eastAsia="Calibri" w:cs="Calibri"/>
                <w:sz w:val="20"/>
                <w:szCs w:val="20"/>
              </w:rPr>
              <w:t>948</w:t>
            </w:r>
            <w:r>
              <w:rPr>
                <w:rFonts w:eastAsia="Calibri" w:cs="Calibri"/>
                <w:sz w:val="20"/>
                <w:szCs w:val="20"/>
              </w:rPr>
              <w:t xml:space="preserve"> </w:t>
            </w:r>
            <w:r w:rsidR="006614E6">
              <w:rPr>
                <w:rFonts w:eastAsia="Calibri" w:cs="Calibri"/>
                <w:sz w:val="20"/>
                <w:szCs w:val="20"/>
              </w:rPr>
              <w:t>–</w:t>
            </w:r>
            <w:r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B22DF8">
              <w:rPr>
                <w:rFonts w:eastAsia="Calibri" w:cs="Calibri"/>
                <w:sz w:val="20"/>
                <w:szCs w:val="20"/>
              </w:rPr>
              <w:t>Dlouhodobé podmíněné pohledávky ze soudních sporů, správních řízení a jiných řízení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5A3D" w14:textId="77777777" w:rsidR="008957E3" w:rsidRPr="00B22DF8" w:rsidRDefault="008957E3" w:rsidP="00B22DF8">
            <w:pPr>
              <w:spacing w:after="0" w:line="256" w:lineRule="auto"/>
              <w:ind w:right="57"/>
              <w:jc w:val="righ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B22DF8">
              <w:rPr>
                <w:rFonts w:cs="Calibri"/>
                <w:bCs/>
                <w:color w:val="000000"/>
                <w:sz w:val="20"/>
                <w:szCs w:val="20"/>
              </w:rPr>
              <w:t>509,5</w:t>
            </w:r>
          </w:p>
        </w:tc>
      </w:tr>
      <w:tr w:rsidR="008957E3" w:rsidRPr="00B22DF8" w14:paraId="76CD2051" w14:textId="77777777" w:rsidTr="007D6AD1">
        <w:trPr>
          <w:trHeight w:val="34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B200C" w14:textId="51E449BC" w:rsidR="008957E3" w:rsidRPr="00B22DF8" w:rsidRDefault="008957E3" w:rsidP="00DF6AD0">
            <w:pPr>
              <w:autoSpaceDE w:val="0"/>
              <w:autoSpaceDN w:val="0"/>
              <w:adjustRightInd w:val="0"/>
              <w:spacing w:after="0" w:line="256" w:lineRule="auto"/>
              <w:ind w:left="490" w:right="-57" w:hanging="490"/>
              <w:rPr>
                <w:rFonts w:eastAsia="Calibri" w:cs="Calibri"/>
                <w:sz w:val="20"/>
                <w:szCs w:val="20"/>
              </w:rPr>
            </w:pPr>
            <w:r w:rsidRPr="00B22DF8">
              <w:rPr>
                <w:rFonts w:eastAsia="Calibri" w:cs="Calibri"/>
                <w:sz w:val="20"/>
                <w:szCs w:val="20"/>
              </w:rPr>
              <w:t>966</w:t>
            </w:r>
            <w:r>
              <w:rPr>
                <w:rFonts w:eastAsia="Calibri" w:cs="Calibri"/>
                <w:sz w:val="20"/>
                <w:szCs w:val="20"/>
              </w:rPr>
              <w:t xml:space="preserve"> </w:t>
            </w:r>
            <w:r w:rsidR="006614E6">
              <w:rPr>
                <w:rFonts w:eastAsia="Calibri" w:cs="Calibri"/>
                <w:sz w:val="20"/>
                <w:szCs w:val="20"/>
              </w:rPr>
              <w:t>–</w:t>
            </w:r>
            <w:r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B22DF8">
              <w:rPr>
                <w:rFonts w:eastAsia="Calibri" w:cs="Calibri"/>
                <w:sz w:val="20"/>
                <w:szCs w:val="20"/>
              </w:rPr>
              <w:t>Dlouhodobé podmíněné závazky z důvodu užívání cizího majetku na základě smlouvy o</w:t>
            </w:r>
            <w:r w:rsidR="006614E6">
              <w:rPr>
                <w:rFonts w:eastAsia="Calibri" w:cs="Calibri"/>
                <w:sz w:val="20"/>
                <w:szCs w:val="20"/>
              </w:rPr>
              <w:t> </w:t>
            </w:r>
            <w:r w:rsidRPr="00B22DF8">
              <w:rPr>
                <w:rFonts w:eastAsia="Calibri" w:cs="Calibri"/>
                <w:sz w:val="20"/>
                <w:szCs w:val="20"/>
              </w:rPr>
              <w:t>výpůjčce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4873" w14:textId="77777777" w:rsidR="008957E3" w:rsidRPr="00B22DF8" w:rsidRDefault="008957E3" w:rsidP="00B22DF8">
            <w:pPr>
              <w:spacing w:after="0" w:line="256" w:lineRule="auto"/>
              <w:ind w:right="57"/>
              <w:jc w:val="righ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B22DF8">
              <w:rPr>
                <w:rFonts w:cs="Calibri"/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8957E3" w:rsidRPr="00B22DF8" w14:paraId="28014047" w14:textId="77777777" w:rsidTr="007D6AD1">
        <w:trPr>
          <w:trHeight w:val="34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DBAA3" w14:textId="3DED8DFC" w:rsidR="008957E3" w:rsidRPr="00B22DF8" w:rsidRDefault="008957E3" w:rsidP="00B22DF8">
            <w:pPr>
              <w:autoSpaceDE w:val="0"/>
              <w:autoSpaceDN w:val="0"/>
              <w:adjustRightInd w:val="0"/>
              <w:spacing w:after="0" w:line="256" w:lineRule="auto"/>
              <w:ind w:right="-57"/>
              <w:rPr>
                <w:rFonts w:eastAsia="Calibri" w:cs="Calibri"/>
                <w:sz w:val="20"/>
                <w:szCs w:val="20"/>
              </w:rPr>
            </w:pPr>
            <w:r w:rsidRPr="00B22DF8">
              <w:rPr>
                <w:rFonts w:eastAsia="Calibri" w:cs="Calibri"/>
                <w:sz w:val="20"/>
                <w:szCs w:val="20"/>
              </w:rPr>
              <w:t>971</w:t>
            </w:r>
            <w:r>
              <w:rPr>
                <w:rFonts w:eastAsia="Calibri" w:cs="Calibri"/>
                <w:sz w:val="20"/>
                <w:szCs w:val="20"/>
              </w:rPr>
              <w:t xml:space="preserve"> </w:t>
            </w:r>
            <w:r w:rsidR="006614E6">
              <w:rPr>
                <w:rFonts w:eastAsia="Calibri" w:cs="Calibri"/>
                <w:sz w:val="20"/>
                <w:szCs w:val="20"/>
              </w:rPr>
              <w:t>–</w:t>
            </w:r>
            <w:r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B22DF8">
              <w:rPr>
                <w:rFonts w:eastAsia="Calibri" w:cs="Calibri"/>
                <w:sz w:val="20"/>
                <w:szCs w:val="20"/>
              </w:rPr>
              <w:t>Krátkodobé podmíněné závazky ze smluv o pořízení dlouhodobého majetku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D8C1" w14:textId="77777777" w:rsidR="008957E3" w:rsidRPr="00B22DF8" w:rsidRDefault="008957E3" w:rsidP="00B22DF8">
            <w:pPr>
              <w:spacing w:after="0" w:line="256" w:lineRule="auto"/>
              <w:ind w:right="57"/>
              <w:jc w:val="righ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B22DF8">
              <w:rPr>
                <w:rFonts w:cs="Calibri"/>
                <w:bCs/>
                <w:color w:val="000000"/>
                <w:sz w:val="20"/>
                <w:szCs w:val="20"/>
              </w:rPr>
              <w:t>88,8</w:t>
            </w:r>
          </w:p>
        </w:tc>
      </w:tr>
      <w:tr w:rsidR="008957E3" w:rsidRPr="00B22DF8" w14:paraId="7CF3C7A6" w14:textId="77777777" w:rsidTr="007D6AD1">
        <w:trPr>
          <w:trHeight w:val="34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BA74D" w14:textId="5D6CCA79" w:rsidR="008957E3" w:rsidRPr="00B22DF8" w:rsidRDefault="008957E3" w:rsidP="00B22DF8">
            <w:pPr>
              <w:autoSpaceDE w:val="0"/>
              <w:autoSpaceDN w:val="0"/>
              <w:adjustRightInd w:val="0"/>
              <w:spacing w:after="0" w:line="256" w:lineRule="auto"/>
              <w:ind w:right="-57"/>
              <w:rPr>
                <w:rFonts w:eastAsia="Calibri" w:cs="Calibri"/>
                <w:sz w:val="20"/>
                <w:szCs w:val="20"/>
              </w:rPr>
            </w:pPr>
            <w:r w:rsidRPr="00B22DF8">
              <w:rPr>
                <w:rFonts w:eastAsia="Calibri" w:cs="Calibri"/>
                <w:sz w:val="20"/>
                <w:szCs w:val="20"/>
              </w:rPr>
              <w:t>973</w:t>
            </w:r>
            <w:r>
              <w:rPr>
                <w:rFonts w:eastAsia="Calibri" w:cs="Calibri"/>
                <w:sz w:val="20"/>
                <w:szCs w:val="20"/>
              </w:rPr>
              <w:t xml:space="preserve"> </w:t>
            </w:r>
            <w:r w:rsidR="006614E6">
              <w:rPr>
                <w:rFonts w:eastAsia="Calibri" w:cs="Calibri"/>
                <w:sz w:val="20"/>
                <w:szCs w:val="20"/>
              </w:rPr>
              <w:t>–</w:t>
            </w:r>
            <w:r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B22DF8">
              <w:rPr>
                <w:rFonts w:eastAsia="Calibri" w:cs="Calibri"/>
                <w:sz w:val="20"/>
                <w:szCs w:val="20"/>
              </w:rPr>
              <w:t>Krátkodobé podmíněné závazky z jiných smluv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E2811" w14:textId="77777777" w:rsidR="008957E3" w:rsidRPr="00B22DF8" w:rsidRDefault="008957E3" w:rsidP="00B22DF8">
            <w:pPr>
              <w:spacing w:after="0" w:line="256" w:lineRule="auto"/>
              <w:ind w:right="57"/>
              <w:jc w:val="righ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B22DF8">
              <w:rPr>
                <w:rFonts w:cs="Calibri"/>
                <w:bCs/>
                <w:color w:val="000000"/>
                <w:sz w:val="20"/>
                <w:szCs w:val="20"/>
              </w:rPr>
              <w:t>141,5</w:t>
            </w:r>
          </w:p>
        </w:tc>
      </w:tr>
      <w:tr w:rsidR="008957E3" w:rsidRPr="00B22DF8" w14:paraId="1F4A45F3" w14:textId="77777777" w:rsidTr="007D6AD1">
        <w:trPr>
          <w:trHeight w:val="34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F2358" w14:textId="31A05A33" w:rsidR="008957E3" w:rsidRPr="00B22DF8" w:rsidRDefault="008957E3" w:rsidP="00B22DF8">
            <w:pPr>
              <w:autoSpaceDE w:val="0"/>
              <w:autoSpaceDN w:val="0"/>
              <w:adjustRightInd w:val="0"/>
              <w:spacing w:after="0" w:line="256" w:lineRule="auto"/>
              <w:ind w:right="-57"/>
              <w:rPr>
                <w:rFonts w:eastAsia="Calibri" w:cs="Calibri"/>
                <w:sz w:val="20"/>
                <w:szCs w:val="20"/>
              </w:rPr>
            </w:pPr>
            <w:r w:rsidRPr="00B22DF8">
              <w:rPr>
                <w:rFonts w:eastAsia="Calibri" w:cs="Calibri"/>
                <w:sz w:val="20"/>
                <w:szCs w:val="20"/>
              </w:rPr>
              <w:t>974</w:t>
            </w:r>
            <w:r>
              <w:rPr>
                <w:rFonts w:eastAsia="Calibri" w:cs="Calibri"/>
                <w:sz w:val="20"/>
                <w:szCs w:val="20"/>
              </w:rPr>
              <w:t xml:space="preserve"> </w:t>
            </w:r>
            <w:r w:rsidR="006614E6">
              <w:rPr>
                <w:rFonts w:eastAsia="Calibri" w:cs="Calibri"/>
                <w:sz w:val="20"/>
                <w:szCs w:val="20"/>
              </w:rPr>
              <w:t>–</w:t>
            </w:r>
            <w:r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B22DF8">
              <w:rPr>
                <w:rFonts w:eastAsia="Calibri" w:cs="Calibri"/>
                <w:sz w:val="20"/>
                <w:szCs w:val="20"/>
              </w:rPr>
              <w:t>Dlouhodobé podmíněné závazky z jiných smluv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A589" w14:textId="77777777" w:rsidR="008957E3" w:rsidRPr="00B22DF8" w:rsidRDefault="008957E3" w:rsidP="00B22DF8">
            <w:pPr>
              <w:spacing w:after="0" w:line="256" w:lineRule="auto"/>
              <w:ind w:right="57"/>
              <w:jc w:val="righ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B22DF8">
              <w:rPr>
                <w:rFonts w:cs="Calibri"/>
                <w:bCs/>
                <w:color w:val="000000"/>
                <w:sz w:val="20"/>
                <w:szCs w:val="20"/>
              </w:rPr>
              <w:t>181,7</w:t>
            </w:r>
          </w:p>
        </w:tc>
      </w:tr>
      <w:tr w:rsidR="008957E3" w:rsidRPr="00B22DF8" w14:paraId="3C5DC661" w14:textId="77777777" w:rsidTr="007D6AD1">
        <w:trPr>
          <w:trHeight w:val="34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A3232" w14:textId="6FB132FC" w:rsidR="008957E3" w:rsidRPr="00B22DF8" w:rsidRDefault="008957E3" w:rsidP="00DF6AD0">
            <w:pPr>
              <w:autoSpaceDE w:val="0"/>
              <w:autoSpaceDN w:val="0"/>
              <w:adjustRightInd w:val="0"/>
              <w:spacing w:after="0" w:line="256" w:lineRule="auto"/>
              <w:ind w:left="490" w:right="-57" w:hanging="490"/>
              <w:rPr>
                <w:rFonts w:eastAsia="Calibri" w:cs="Calibri"/>
                <w:sz w:val="20"/>
                <w:szCs w:val="20"/>
              </w:rPr>
            </w:pPr>
            <w:r w:rsidRPr="00B22DF8">
              <w:rPr>
                <w:rFonts w:eastAsia="Calibri" w:cs="Calibri"/>
                <w:sz w:val="20"/>
                <w:szCs w:val="20"/>
              </w:rPr>
              <w:t>978</w:t>
            </w:r>
            <w:r>
              <w:rPr>
                <w:rFonts w:eastAsia="Calibri" w:cs="Calibri"/>
                <w:sz w:val="20"/>
                <w:szCs w:val="20"/>
              </w:rPr>
              <w:t xml:space="preserve"> </w:t>
            </w:r>
            <w:r w:rsidR="006614E6">
              <w:rPr>
                <w:rFonts w:eastAsia="Calibri" w:cs="Calibri"/>
                <w:sz w:val="20"/>
                <w:szCs w:val="20"/>
              </w:rPr>
              <w:t>–</w:t>
            </w:r>
            <w:r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B22DF8">
              <w:rPr>
                <w:rFonts w:eastAsia="Calibri" w:cs="Calibri"/>
                <w:sz w:val="20"/>
                <w:szCs w:val="20"/>
              </w:rPr>
              <w:t xml:space="preserve">Krátkodobé podmíněné závazky vyplývající z právních předpisů a další činnosti moci zákonodárné, výkonné nebo soudní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ADD7" w14:textId="77777777" w:rsidR="008957E3" w:rsidRPr="00B22DF8" w:rsidRDefault="008957E3" w:rsidP="00B22DF8">
            <w:pPr>
              <w:spacing w:after="0" w:line="256" w:lineRule="auto"/>
              <w:ind w:right="57"/>
              <w:jc w:val="righ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B22DF8">
              <w:rPr>
                <w:rFonts w:cs="Calibri"/>
                <w:bCs/>
                <w:color w:val="000000"/>
                <w:sz w:val="20"/>
                <w:szCs w:val="20"/>
              </w:rPr>
              <w:t>186,4</w:t>
            </w:r>
          </w:p>
        </w:tc>
      </w:tr>
      <w:tr w:rsidR="008957E3" w:rsidRPr="00B22DF8" w14:paraId="178CFF74" w14:textId="77777777" w:rsidTr="007D6AD1">
        <w:trPr>
          <w:trHeight w:val="34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056B2" w14:textId="7BFDF34A" w:rsidR="008957E3" w:rsidRPr="00B22DF8" w:rsidRDefault="008957E3" w:rsidP="00DF6AD0">
            <w:pPr>
              <w:autoSpaceDE w:val="0"/>
              <w:autoSpaceDN w:val="0"/>
              <w:adjustRightInd w:val="0"/>
              <w:spacing w:after="0" w:line="256" w:lineRule="auto"/>
              <w:ind w:left="490" w:right="-57" w:hanging="490"/>
              <w:rPr>
                <w:rFonts w:eastAsia="Calibri" w:cs="Calibri"/>
                <w:sz w:val="20"/>
                <w:szCs w:val="20"/>
              </w:rPr>
            </w:pPr>
            <w:r w:rsidRPr="00B22DF8">
              <w:rPr>
                <w:rFonts w:eastAsia="Calibri" w:cs="Calibri"/>
                <w:sz w:val="20"/>
                <w:szCs w:val="20"/>
              </w:rPr>
              <w:t>979</w:t>
            </w:r>
            <w:r>
              <w:rPr>
                <w:rFonts w:eastAsia="Calibri" w:cs="Calibri"/>
                <w:sz w:val="20"/>
                <w:szCs w:val="20"/>
              </w:rPr>
              <w:t xml:space="preserve"> </w:t>
            </w:r>
            <w:r w:rsidR="006614E6">
              <w:rPr>
                <w:rFonts w:eastAsia="Calibri" w:cs="Calibri"/>
                <w:sz w:val="20"/>
                <w:szCs w:val="20"/>
              </w:rPr>
              <w:t>–</w:t>
            </w:r>
            <w:r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B22DF8">
              <w:rPr>
                <w:rFonts w:eastAsia="Calibri" w:cs="Calibri"/>
                <w:sz w:val="20"/>
                <w:szCs w:val="20"/>
              </w:rPr>
              <w:t>Dlouhodobé podmíněné závazky vyplývající z právních předpisů a další činnosti moci zákonodárné, výkonné nebo soudní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D43D" w14:textId="77777777" w:rsidR="008957E3" w:rsidRPr="00B22DF8" w:rsidRDefault="008957E3" w:rsidP="00B22DF8">
            <w:pPr>
              <w:spacing w:after="0" w:line="256" w:lineRule="auto"/>
              <w:ind w:right="57"/>
              <w:jc w:val="righ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B22DF8">
              <w:rPr>
                <w:rFonts w:cs="Calibri"/>
                <w:bCs/>
                <w:color w:val="000000"/>
                <w:sz w:val="20"/>
                <w:szCs w:val="20"/>
              </w:rPr>
              <w:t>372,8</w:t>
            </w:r>
          </w:p>
        </w:tc>
      </w:tr>
      <w:tr w:rsidR="008957E3" w:rsidRPr="00B22DF8" w14:paraId="2B5B9EB5" w14:textId="77777777" w:rsidTr="007D6AD1">
        <w:trPr>
          <w:trHeight w:val="34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0D012" w14:textId="586B66ED" w:rsidR="008957E3" w:rsidRPr="00B22DF8" w:rsidRDefault="008957E3" w:rsidP="00B22DF8">
            <w:pPr>
              <w:autoSpaceDE w:val="0"/>
              <w:autoSpaceDN w:val="0"/>
              <w:adjustRightInd w:val="0"/>
              <w:spacing w:after="0" w:line="256" w:lineRule="auto"/>
              <w:ind w:right="-57"/>
              <w:rPr>
                <w:rFonts w:eastAsia="Calibri" w:cs="Calibri"/>
                <w:sz w:val="20"/>
                <w:szCs w:val="20"/>
              </w:rPr>
            </w:pPr>
            <w:r w:rsidRPr="00B22DF8">
              <w:rPr>
                <w:rFonts w:eastAsia="Calibri" w:cs="Calibri"/>
                <w:sz w:val="20"/>
                <w:szCs w:val="20"/>
              </w:rPr>
              <w:t>994</w:t>
            </w:r>
            <w:r>
              <w:rPr>
                <w:rFonts w:eastAsia="Calibri" w:cs="Calibri"/>
                <w:sz w:val="20"/>
                <w:szCs w:val="20"/>
              </w:rPr>
              <w:t xml:space="preserve"> </w:t>
            </w:r>
            <w:r w:rsidR="006614E6">
              <w:rPr>
                <w:rFonts w:eastAsia="Calibri" w:cs="Calibri"/>
                <w:sz w:val="20"/>
                <w:szCs w:val="20"/>
              </w:rPr>
              <w:t>–</w:t>
            </w:r>
            <w:r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B22DF8">
              <w:rPr>
                <w:rFonts w:eastAsia="Calibri" w:cs="Calibri"/>
                <w:sz w:val="20"/>
                <w:szCs w:val="20"/>
              </w:rPr>
              <w:t>Ostatní dlouhodobá podmíněná pasiva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0E97" w14:textId="77777777" w:rsidR="008957E3" w:rsidRPr="00B22DF8" w:rsidRDefault="008957E3" w:rsidP="00B22DF8">
            <w:pPr>
              <w:spacing w:after="0" w:line="256" w:lineRule="auto"/>
              <w:ind w:right="57"/>
              <w:jc w:val="right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B22DF8">
              <w:rPr>
                <w:rFonts w:cs="Calibri"/>
                <w:bCs/>
                <w:color w:val="000000"/>
                <w:sz w:val="20"/>
                <w:szCs w:val="20"/>
              </w:rPr>
              <w:t>0,3</w:t>
            </w:r>
          </w:p>
        </w:tc>
      </w:tr>
    </w:tbl>
    <w:p w14:paraId="74E45626" w14:textId="7B79591D" w:rsidR="00E132F8" w:rsidRDefault="00A640AE" w:rsidP="007C7C81">
      <w:pPr>
        <w:spacing w:after="0"/>
        <w:rPr>
          <w:bCs/>
          <w:sz w:val="20"/>
          <w:szCs w:val="20"/>
        </w:rPr>
      </w:pPr>
      <w:r w:rsidRPr="00D40705">
        <w:rPr>
          <w:b/>
          <w:sz w:val="20"/>
          <w:szCs w:val="20"/>
        </w:rPr>
        <w:t>Zdroj:</w:t>
      </w:r>
      <w:r w:rsidRPr="00D40705">
        <w:rPr>
          <w:bCs/>
          <w:sz w:val="20"/>
          <w:szCs w:val="20"/>
        </w:rPr>
        <w:t xml:space="preserve"> </w:t>
      </w:r>
      <w:r w:rsidR="000B3825" w:rsidRPr="00D40705">
        <w:rPr>
          <w:bCs/>
          <w:sz w:val="20"/>
          <w:szCs w:val="20"/>
        </w:rPr>
        <w:t>ÚZ</w:t>
      </w:r>
      <w:r w:rsidR="00B22DF8">
        <w:rPr>
          <w:bCs/>
          <w:sz w:val="20"/>
          <w:szCs w:val="20"/>
        </w:rPr>
        <w:t xml:space="preserve">; </w:t>
      </w:r>
      <w:r w:rsidR="00B22DF8">
        <w:rPr>
          <w:rFonts w:cs="Arial"/>
          <w:bCs/>
          <w:sz w:val="20"/>
          <w:szCs w:val="20"/>
        </w:rPr>
        <w:t xml:space="preserve">hodnoty </w:t>
      </w:r>
      <w:r w:rsidR="002B3676">
        <w:rPr>
          <w:rFonts w:cs="Arial"/>
          <w:bCs/>
          <w:sz w:val="20"/>
          <w:szCs w:val="20"/>
        </w:rPr>
        <w:t xml:space="preserve">jsou </w:t>
      </w:r>
      <w:r w:rsidR="006614E6">
        <w:rPr>
          <w:rFonts w:cs="Arial"/>
          <w:bCs/>
          <w:sz w:val="20"/>
          <w:szCs w:val="20"/>
        </w:rPr>
        <w:t xml:space="preserve">v tabulce </w:t>
      </w:r>
      <w:r w:rsidR="00B22DF8">
        <w:rPr>
          <w:rFonts w:cs="Arial"/>
          <w:bCs/>
          <w:sz w:val="20"/>
          <w:szCs w:val="20"/>
        </w:rPr>
        <w:t>uvedeny v mil. Kč a zaokrouhleny</w:t>
      </w:r>
      <w:r w:rsidR="003444C4">
        <w:rPr>
          <w:bCs/>
          <w:sz w:val="20"/>
          <w:szCs w:val="20"/>
        </w:rPr>
        <w:t>.</w:t>
      </w:r>
    </w:p>
    <w:p w14:paraId="76C9EC2F" w14:textId="56DC4C0A" w:rsidR="00DE6218" w:rsidRDefault="00DE6218" w:rsidP="00DE6218">
      <w:pPr>
        <w:pStyle w:val="Titulek"/>
      </w:pPr>
      <w:r>
        <w:t xml:space="preserve">Tabulka č. </w:t>
      </w:r>
      <w:fldSimple w:instr=" SEQ Tabulka_č. \* ARABIC ">
        <w:r w:rsidR="00CF68DC">
          <w:rPr>
            <w:noProof/>
          </w:rPr>
          <w:t>3</w:t>
        </w:r>
      </w:fldSimple>
      <w:r>
        <w:t>:</w:t>
      </w:r>
      <w:r w:rsidRPr="00DE6218">
        <w:t xml:space="preserve"> Údaje z výkazu FIN 1-12 OSS</w:t>
      </w:r>
    </w:p>
    <w:tbl>
      <w:tblPr>
        <w:tblW w:w="9070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22DF8" w14:paraId="2D15612C" w14:textId="77777777" w:rsidTr="00B22DF8">
        <w:trPr>
          <w:trHeight w:val="454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B76B4FF" w14:textId="77777777" w:rsidR="00B22DF8" w:rsidRDefault="00B22DF8">
            <w:pPr>
              <w:spacing w:after="0" w:line="256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Ukazatel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40A6018" w14:textId="77777777" w:rsidR="00B22DF8" w:rsidRDefault="00B22DF8">
            <w:pPr>
              <w:spacing w:after="0" w:line="256" w:lineRule="auto"/>
              <w:jc w:val="center"/>
              <w:rPr>
                <w:rFonts w:cs="Arial"/>
                <w:b/>
                <w:bCs/>
                <w:sz w:val="20"/>
                <w:highlight w:val="yellow"/>
              </w:rPr>
            </w:pPr>
            <w:r>
              <w:rPr>
                <w:rFonts w:cs="Arial"/>
                <w:b/>
                <w:bCs/>
                <w:sz w:val="20"/>
              </w:rPr>
              <w:t>Částka v mil. Kč</w:t>
            </w:r>
          </w:p>
        </w:tc>
      </w:tr>
      <w:tr w:rsidR="00B22DF8" w14:paraId="2315A7EF" w14:textId="77777777" w:rsidTr="00B22DF8">
        <w:trPr>
          <w:trHeight w:val="340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D9067" w14:textId="77777777" w:rsidR="00B22DF8" w:rsidRDefault="00B22DF8">
            <w:pPr>
              <w:spacing w:after="0"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Příjmy (skutečnost celkem)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99AD4" w14:textId="77777777" w:rsidR="00B22DF8" w:rsidRDefault="00B22DF8">
            <w:pPr>
              <w:spacing w:after="0" w:line="256" w:lineRule="auto"/>
              <w:ind w:right="57"/>
              <w:jc w:val="righ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186,1</w:t>
            </w:r>
          </w:p>
        </w:tc>
      </w:tr>
      <w:tr w:rsidR="00B22DF8" w14:paraId="7F15A653" w14:textId="77777777" w:rsidTr="00B22DF8">
        <w:trPr>
          <w:trHeight w:val="340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84B67" w14:textId="77777777" w:rsidR="00B22DF8" w:rsidRDefault="00B22DF8">
            <w:pPr>
              <w:spacing w:after="0" w:line="25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Výdaje (skutečnost celkem)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15E25" w14:textId="77777777" w:rsidR="00B22DF8" w:rsidRDefault="00B22DF8">
            <w:pPr>
              <w:spacing w:after="0" w:line="256" w:lineRule="auto"/>
              <w:ind w:right="57"/>
              <w:jc w:val="righ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1 484,6</w:t>
            </w:r>
          </w:p>
        </w:tc>
      </w:tr>
    </w:tbl>
    <w:p w14:paraId="7C9ACC23" w14:textId="795CA3D8" w:rsidR="00077ACA" w:rsidRPr="00D40705" w:rsidRDefault="00A640AE" w:rsidP="00D40705">
      <w:pPr>
        <w:spacing w:after="0"/>
        <w:rPr>
          <w:bCs/>
          <w:sz w:val="20"/>
          <w:szCs w:val="20"/>
        </w:rPr>
      </w:pPr>
      <w:r w:rsidRPr="00D40705">
        <w:rPr>
          <w:b/>
          <w:sz w:val="20"/>
          <w:szCs w:val="20"/>
        </w:rPr>
        <w:t>Zdroj:</w:t>
      </w:r>
      <w:r w:rsidR="00D16053" w:rsidRPr="00D40705">
        <w:rPr>
          <w:bCs/>
          <w:sz w:val="20"/>
          <w:szCs w:val="20"/>
        </w:rPr>
        <w:t xml:space="preserve"> výkaz FIN 1-12 OSS</w:t>
      </w:r>
      <w:r w:rsidR="00B22DF8">
        <w:rPr>
          <w:bCs/>
          <w:sz w:val="20"/>
          <w:szCs w:val="20"/>
        </w:rPr>
        <w:t xml:space="preserve">; </w:t>
      </w:r>
      <w:r w:rsidR="00B22DF8">
        <w:rPr>
          <w:rFonts w:cs="Arial"/>
          <w:bCs/>
          <w:sz w:val="20"/>
          <w:szCs w:val="20"/>
        </w:rPr>
        <w:t xml:space="preserve">hodnoty </w:t>
      </w:r>
      <w:r w:rsidR="002B3676">
        <w:rPr>
          <w:rFonts w:cs="Arial"/>
          <w:bCs/>
          <w:sz w:val="20"/>
          <w:szCs w:val="20"/>
        </w:rPr>
        <w:t xml:space="preserve">jsou </w:t>
      </w:r>
      <w:r w:rsidR="006614E6">
        <w:rPr>
          <w:rFonts w:cs="Arial"/>
          <w:bCs/>
          <w:sz w:val="20"/>
          <w:szCs w:val="20"/>
        </w:rPr>
        <w:t xml:space="preserve">v tabulce </w:t>
      </w:r>
      <w:r w:rsidR="00B22DF8">
        <w:rPr>
          <w:rFonts w:cs="Arial"/>
          <w:bCs/>
          <w:sz w:val="20"/>
          <w:szCs w:val="20"/>
        </w:rPr>
        <w:t>uvedeny v mil. Kč a zaokrouhleny</w:t>
      </w:r>
      <w:r w:rsidR="003444C4">
        <w:rPr>
          <w:bCs/>
          <w:sz w:val="20"/>
          <w:szCs w:val="20"/>
        </w:rPr>
        <w:t>.</w:t>
      </w:r>
    </w:p>
    <w:p w14:paraId="59966302" w14:textId="77777777" w:rsidR="009706C3" w:rsidRDefault="009706C3">
      <w:pPr>
        <w:spacing w:after="160" w:line="259" w:lineRule="auto"/>
        <w:rPr>
          <w:rFonts w:asciiTheme="minorHAnsi" w:eastAsiaTheme="minorHAnsi" w:hAnsiTheme="minorHAnsi" w:cstheme="minorHAnsi"/>
          <w:b/>
          <w:sz w:val="28"/>
          <w:szCs w:val="28"/>
        </w:rPr>
      </w:pPr>
      <w:r>
        <w:br w:type="page"/>
      </w:r>
    </w:p>
    <w:p w14:paraId="79612D26" w14:textId="77777777" w:rsidR="0033466E" w:rsidRPr="004D303D" w:rsidRDefault="00A640AE" w:rsidP="00D10727">
      <w:pPr>
        <w:pStyle w:val="Styl1"/>
        <w:ind w:left="414" w:hanging="57"/>
      </w:pPr>
      <w:r w:rsidRPr="004D303D">
        <w:lastRenderedPageBreak/>
        <w:t>Rozsah kontroly</w:t>
      </w:r>
    </w:p>
    <w:p w14:paraId="200DFA73" w14:textId="77777777" w:rsidR="00F05073" w:rsidRPr="00683C72" w:rsidRDefault="00F05073" w:rsidP="00CB541E">
      <w:pPr>
        <w:keepNext/>
        <w:spacing w:after="0"/>
        <w:jc w:val="both"/>
        <w:rPr>
          <w:rFonts w:cs="Calibri"/>
          <w:highlight w:val="yellow"/>
        </w:rPr>
      </w:pPr>
    </w:p>
    <w:p w14:paraId="534DDA21" w14:textId="666F375C" w:rsidR="00BB0827" w:rsidRPr="00683C72" w:rsidRDefault="006662D9" w:rsidP="00DF6AD0">
      <w:pPr>
        <w:spacing w:after="240"/>
        <w:jc w:val="both"/>
        <w:rPr>
          <w:rFonts w:eastAsiaTheme="minorHAnsi" w:cs="Calibri"/>
          <w:highlight w:val="yellow"/>
        </w:rPr>
      </w:pPr>
      <w:r w:rsidRPr="000443A1">
        <w:rPr>
          <w:rFonts w:cs="Calibri"/>
        </w:rPr>
        <w:t xml:space="preserve">KA byla kontrolou typu finanční audit a jejím cílem bylo </w:t>
      </w:r>
      <w:r w:rsidRPr="000443A1">
        <w:rPr>
          <w:rFonts w:eastAsiaTheme="minorHAnsi" w:cs="Calibri"/>
        </w:rPr>
        <w:t>prověřit, zda</w:t>
      </w:r>
      <w:r w:rsidR="00D84751">
        <w:rPr>
          <w:rFonts w:eastAsiaTheme="minorHAnsi" w:cs="Calibri"/>
        </w:rPr>
        <w:t xml:space="preserve"> MS Praha</w:t>
      </w:r>
      <w:r w:rsidRPr="000443A1">
        <w:rPr>
          <w:rFonts w:eastAsiaTheme="minorHAnsi" w:cs="Calibri"/>
        </w:rPr>
        <w:t xml:space="preserve"> při vedení účetnictví v roce 202</w:t>
      </w:r>
      <w:r>
        <w:rPr>
          <w:rFonts w:eastAsiaTheme="minorHAnsi" w:cs="Calibri"/>
        </w:rPr>
        <w:t>2</w:t>
      </w:r>
      <w:r w:rsidR="0097425A">
        <w:rPr>
          <w:rFonts w:eastAsiaTheme="minorHAnsi" w:cs="Calibri"/>
        </w:rPr>
        <w:t>,</w:t>
      </w:r>
      <w:r w:rsidR="003C7827">
        <w:rPr>
          <w:rFonts w:eastAsiaTheme="minorHAnsi" w:cs="Calibri"/>
        </w:rPr>
        <w:t xml:space="preserve"> při</w:t>
      </w:r>
      <w:r w:rsidRPr="000443A1">
        <w:rPr>
          <w:rFonts w:eastAsiaTheme="minorHAnsi" w:cs="Calibri"/>
        </w:rPr>
        <w:t xml:space="preserve"> sestavení účetní závěrky k</w:t>
      </w:r>
      <w:r>
        <w:rPr>
          <w:rFonts w:eastAsiaTheme="minorHAnsi" w:cs="Calibri"/>
        </w:rPr>
        <w:t xml:space="preserve"> </w:t>
      </w:r>
      <w:r w:rsidRPr="000443A1">
        <w:rPr>
          <w:rFonts w:eastAsiaTheme="minorHAnsi" w:cs="Calibri"/>
        </w:rPr>
        <w:t>31.</w:t>
      </w:r>
      <w:r>
        <w:rPr>
          <w:rFonts w:eastAsiaTheme="minorHAnsi" w:cs="Calibri"/>
        </w:rPr>
        <w:t xml:space="preserve"> </w:t>
      </w:r>
      <w:r w:rsidRPr="000443A1">
        <w:rPr>
          <w:rFonts w:eastAsiaTheme="minorHAnsi" w:cs="Calibri"/>
        </w:rPr>
        <w:t>prosinci 202</w:t>
      </w:r>
      <w:r>
        <w:rPr>
          <w:rFonts w:eastAsiaTheme="minorHAnsi" w:cs="Calibri"/>
        </w:rPr>
        <w:t>2</w:t>
      </w:r>
      <w:r w:rsidR="0097425A">
        <w:rPr>
          <w:rFonts w:eastAsiaTheme="minorHAnsi" w:cs="Calibri"/>
        </w:rPr>
        <w:t xml:space="preserve"> a</w:t>
      </w:r>
      <w:r w:rsidRPr="000443A1">
        <w:rPr>
          <w:rFonts w:eastAsiaTheme="minorHAnsi" w:cs="Calibri"/>
        </w:rPr>
        <w:t xml:space="preserve"> při předkládání údajů pro</w:t>
      </w:r>
      <w:r w:rsidR="002B3676">
        <w:rPr>
          <w:rFonts w:eastAsiaTheme="minorHAnsi" w:cs="Calibri"/>
        </w:rPr>
        <w:t xml:space="preserve"> </w:t>
      </w:r>
      <w:r w:rsidRPr="000443A1">
        <w:rPr>
          <w:rFonts w:eastAsiaTheme="minorHAnsi" w:cs="Calibri"/>
        </w:rPr>
        <w:t>hodnocení plnění státního rozpočtu za rok 202</w:t>
      </w:r>
      <w:r>
        <w:rPr>
          <w:rFonts w:eastAsiaTheme="minorHAnsi" w:cs="Calibri"/>
        </w:rPr>
        <w:t>2</w:t>
      </w:r>
      <w:r w:rsidRPr="000443A1">
        <w:rPr>
          <w:rFonts w:eastAsiaTheme="minorHAnsi" w:cs="Calibri"/>
        </w:rPr>
        <w:t xml:space="preserve"> postupoval v</w:t>
      </w:r>
      <w:r w:rsidR="002B3676">
        <w:rPr>
          <w:rFonts w:eastAsiaTheme="minorHAnsi" w:cs="Calibri"/>
        </w:rPr>
        <w:t xml:space="preserve"> </w:t>
      </w:r>
      <w:r w:rsidRPr="000443A1">
        <w:rPr>
          <w:rFonts w:eastAsiaTheme="minorHAnsi" w:cs="Calibri"/>
        </w:rPr>
        <w:t>souladu s</w:t>
      </w:r>
      <w:r w:rsidR="002B3676">
        <w:rPr>
          <w:rFonts w:eastAsiaTheme="minorHAnsi" w:cs="Calibri"/>
        </w:rPr>
        <w:t xml:space="preserve"> </w:t>
      </w:r>
      <w:r w:rsidRPr="000443A1">
        <w:rPr>
          <w:rFonts w:eastAsiaTheme="minorHAnsi" w:cs="Calibri"/>
        </w:rPr>
        <w:t>příslušnými právními předpisy.</w:t>
      </w:r>
    </w:p>
    <w:p w14:paraId="6CB60159" w14:textId="77777777" w:rsidR="00C0657A" w:rsidRPr="00366F60" w:rsidRDefault="006662D9" w:rsidP="00DF6AD0">
      <w:pPr>
        <w:spacing w:after="240"/>
        <w:jc w:val="both"/>
        <w:rPr>
          <w:rFonts w:cs="Calibri"/>
        </w:rPr>
      </w:pPr>
      <w:r w:rsidRPr="000443A1">
        <w:rPr>
          <w:rFonts w:cs="Calibri"/>
        </w:rPr>
        <w:t xml:space="preserve">Kontrolovaný objem finančních prostředků a majetku představuje hodnotu aktiv, pasiv, nákladů, výnosů a podrozvahových účtů vykázaných v ÚZ a vyčíslených v tabulkách č. 1 a 2. </w:t>
      </w:r>
      <w:r>
        <w:rPr>
          <w:rFonts w:cs="Calibri"/>
        </w:rPr>
        <w:t xml:space="preserve">Kontrolovaný objem finančních prostředků v rámci výkazu FIN 1-12 OSS představuje součet celkových příjmů a výdajů ve sloupci </w:t>
      </w:r>
      <w:r w:rsidRPr="0066297E">
        <w:rPr>
          <w:rFonts w:cs="Calibri"/>
          <w:i/>
        </w:rPr>
        <w:t>Skutečnost</w:t>
      </w:r>
      <w:r w:rsidR="003C7827">
        <w:rPr>
          <w:rFonts w:cs="Calibri"/>
        </w:rPr>
        <w:t>, jejichž hodnoty jsou uvedeny</w:t>
      </w:r>
      <w:r>
        <w:rPr>
          <w:rFonts w:cs="Calibri"/>
        </w:rPr>
        <w:t xml:space="preserve"> v tabulce č. 3.</w:t>
      </w:r>
    </w:p>
    <w:p w14:paraId="1D5E999D" w14:textId="77777777" w:rsidR="00C0657A" w:rsidRPr="0077622B" w:rsidRDefault="00A640AE" w:rsidP="00DF6AD0">
      <w:pPr>
        <w:spacing w:after="240"/>
        <w:jc w:val="both"/>
        <w:rPr>
          <w:rFonts w:cs="Calibri"/>
        </w:rPr>
      </w:pPr>
      <w:r w:rsidRPr="00FF141F">
        <w:rPr>
          <w:rFonts w:cs="Calibri"/>
        </w:rPr>
        <w:t>Kontrola se zaměřila na činnosti a skutečnosti, které byly předmětem účetnictví</w:t>
      </w:r>
      <w:r w:rsidR="00291417" w:rsidRPr="0077622B">
        <w:rPr>
          <w:rFonts w:cs="Calibri"/>
          <w:vertAlign w:val="superscript"/>
        </w:rPr>
        <w:t xml:space="preserve"> </w:t>
      </w:r>
      <w:r w:rsidR="00291417" w:rsidRPr="00FF141F">
        <w:rPr>
          <w:rFonts w:cs="Calibri"/>
        </w:rPr>
        <w:t>a měly vliv na</w:t>
      </w:r>
      <w:r w:rsidR="00B03EA6" w:rsidRPr="00FF141F">
        <w:rPr>
          <w:rFonts w:cs="Calibri"/>
        </w:rPr>
        <w:t xml:space="preserve"> </w:t>
      </w:r>
      <w:r w:rsidRPr="00FF141F">
        <w:rPr>
          <w:rFonts w:cs="Calibri"/>
        </w:rPr>
        <w:t>hodnotu kontrolovaných významných konečných zůstatků účtů v</w:t>
      </w:r>
      <w:r w:rsidR="00FF141F">
        <w:rPr>
          <w:rFonts w:cs="Calibri"/>
        </w:rPr>
        <w:t xml:space="preserve"> ÚZ </w:t>
      </w:r>
      <w:r w:rsidR="0097425A">
        <w:rPr>
          <w:rFonts w:cs="Calibri"/>
        </w:rPr>
        <w:t xml:space="preserve">a </w:t>
      </w:r>
      <w:r w:rsidR="00BA10E7" w:rsidRPr="00FF141F">
        <w:rPr>
          <w:rFonts w:cs="Calibri"/>
        </w:rPr>
        <w:t>na</w:t>
      </w:r>
      <w:r w:rsidR="00B03EA6" w:rsidRPr="00FF141F">
        <w:rPr>
          <w:rFonts w:cs="Calibri"/>
        </w:rPr>
        <w:t xml:space="preserve"> </w:t>
      </w:r>
      <w:r w:rsidRPr="00FF141F">
        <w:rPr>
          <w:rFonts w:cs="Calibri"/>
        </w:rPr>
        <w:t>hodnotu významných údajů předkládaných</w:t>
      </w:r>
      <w:r w:rsidR="00FF141F" w:rsidRPr="00FF141F">
        <w:rPr>
          <w:rFonts w:cs="Calibri"/>
        </w:rPr>
        <w:t xml:space="preserve"> </w:t>
      </w:r>
      <w:r w:rsidRPr="00FF141F">
        <w:rPr>
          <w:rFonts w:cs="Calibri"/>
        </w:rPr>
        <w:t xml:space="preserve">pro hodnocení </w:t>
      </w:r>
      <w:r w:rsidR="005E41D6" w:rsidRPr="00FF141F">
        <w:rPr>
          <w:rFonts w:cs="Calibri"/>
        </w:rPr>
        <w:t>plnění státního rozpočtu za</w:t>
      </w:r>
      <w:r w:rsidR="00BB5BEC" w:rsidRPr="00FF141F">
        <w:rPr>
          <w:rFonts w:cs="Calibri"/>
        </w:rPr>
        <w:t xml:space="preserve"> </w:t>
      </w:r>
      <w:r w:rsidR="001B0BE7" w:rsidRPr="00FF141F">
        <w:rPr>
          <w:rFonts w:cs="Calibri"/>
        </w:rPr>
        <w:t>rok</w:t>
      </w:r>
      <w:r w:rsidR="00854846">
        <w:rPr>
          <w:rFonts w:cs="Calibri"/>
        </w:rPr>
        <w:t xml:space="preserve"> </w:t>
      </w:r>
      <w:r w:rsidR="005322AA" w:rsidRPr="00FF141F">
        <w:rPr>
          <w:rFonts w:cs="Calibri"/>
        </w:rPr>
        <w:t>202</w:t>
      </w:r>
      <w:r w:rsidR="00777EF7">
        <w:rPr>
          <w:rFonts w:cs="Calibri"/>
        </w:rPr>
        <w:t>2</w:t>
      </w:r>
      <w:r w:rsidRPr="0077622B">
        <w:rPr>
          <w:rFonts w:cs="Calibri"/>
        </w:rPr>
        <w:t>.</w:t>
      </w:r>
    </w:p>
    <w:p w14:paraId="5137CD43" w14:textId="0F92B202" w:rsidR="00F279C1" w:rsidRPr="0077622B" w:rsidRDefault="00F279C1" w:rsidP="00DF6AD0">
      <w:pPr>
        <w:spacing w:after="240"/>
        <w:jc w:val="both"/>
        <w:rPr>
          <w:rFonts w:cs="Calibri"/>
        </w:rPr>
      </w:pPr>
      <w:r w:rsidRPr="00A66CE1">
        <w:rPr>
          <w:rFonts w:cs="Calibri"/>
        </w:rPr>
        <w:t xml:space="preserve">V oblasti vedení účetnictví se kontrola zaměřila na jeho správnost, úplnost, průkaznost </w:t>
      </w:r>
      <w:r w:rsidR="001F3453">
        <w:rPr>
          <w:rFonts w:cs="Calibri"/>
        </w:rPr>
        <w:br/>
      </w:r>
      <w:r w:rsidRPr="00A66CE1">
        <w:rPr>
          <w:rFonts w:cs="Calibri"/>
        </w:rPr>
        <w:t>a</w:t>
      </w:r>
      <w:r w:rsidR="001F3453">
        <w:rPr>
          <w:rFonts w:cs="Calibri"/>
        </w:rPr>
        <w:t xml:space="preserve"> </w:t>
      </w:r>
      <w:r w:rsidRPr="00A66CE1">
        <w:rPr>
          <w:rFonts w:cs="Calibri"/>
        </w:rPr>
        <w:t xml:space="preserve">srozumitelnost. </w:t>
      </w:r>
      <w:r w:rsidRPr="00FD03E7">
        <w:rPr>
          <w:rFonts w:cs="Calibri"/>
        </w:rPr>
        <w:t>Prověřila</w:t>
      </w:r>
      <w:r w:rsidR="00FD03E7" w:rsidRPr="00FD03E7">
        <w:rPr>
          <w:rFonts w:cs="Calibri"/>
        </w:rPr>
        <w:t xml:space="preserve"> </w:t>
      </w:r>
      <w:r w:rsidR="00A37324">
        <w:rPr>
          <w:rFonts w:cs="Calibri"/>
        </w:rPr>
        <w:t>dodržování směrné účtové osnovy</w:t>
      </w:r>
      <w:r w:rsidR="00FC5172">
        <w:rPr>
          <w:rFonts w:cs="Calibri"/>
        </w:rPr>
        <w:t xml:space="preserve">, </w:t>
      </w:r>
      <w:r w:rsidRPr="00FD03E7">
        <w:rPr>
          <w:rFonts w:cs="Calibri"/>
        </w:rPr>
        <w:t>správnost použív</w:t>
      </w:r>
      <w:r w:rsidR="002B3676">
        <w:rPr>
          <w:rFonts w:cs="Calibri"/>
        </w:rPr>
        <w:t>á</w:t>
      </w:r>
      <w:r w:rsidR="00FD03E7" w:rsidRPr="00FD03E7">
        <w:rPr>
          <w:rFonts w:cs="Calibri"/>
        </w:rPr>
        <w:t>n</w:t>
      </w:r>
      <w:r w:rsidR="009A5B97">
        <w:rPr>
          <w:rFonts w:cs="Calibri"/>
        </w:rPr>
        <w:t>í</w:t>
      </w:r>
      <w:r w:rsidRPr="00FD03E7">
        <w:rPr>
          <w:rFonts w:cs="Calibri"/>
        </w:rPr>
        <w:t xml:space="preserve"> účetních metod</w:t>
      </w:r>
      <w:r w:rsidR="00FD03E7" w:rsidRPr="00FD03E7">
        <w:rPr>
          <w:rFonts w:cs="Calibri"/>
        </w:rPr>
        <w:t xml:space="preserve"> a ostatních podmínek vedení účetnictví stanovených </w:t>
      </w:r>
      <w:r w:rsidR="00943482">
        <w:rPr>
          <w:rFonts w:cs="Calibri"/>
        </w:rPr>
        <w:t>zákonem č. 563/1991 Sb. a</w:t>
      </w:r>
      <w:r w:rsidR="0096326C">
        <w:rPr>
          <w:rFonts w:cs="Calibri"/>
        </w:rPr>
        <w:t> </w:t>
      </w:r>
      <w:r w:rsidR="00943482">
        <w:rPr>
          <w:rFonts w:cs="Calibri"/>
        </w:rPr>
        <w:t>vyhláškou č. 410/2009 Sb</w:t>
      </w:r>
      <w:r w:rsidRPr="00FD03E7">
        <w:rPr>
          <w:rFonts w:cs="Calibri"/>
        </w:rPr>
        <w:t>.</w:t>
      </w:r>
      <w:r w:rsidR="00943482">
        <w:rPr>
          <w:rStyle w:val="Znakapoznpodarou"/>
          <w:rFonts w:asciiTheme="minorHAnsi" w:hAnsiTheme="minorHAnsi" w:cstheme="minorHAnsi"/>
          <w:bCs/>
          <w:iCs/>
        </w:rPr>
        <w:footnoteReference w:id="14"/>
      </w:r>
      <w:r w:rsidR="00943482">
        <w:rPr>
          <w:rFonts w:cs="Calibri"/>
        </w:rPr>
        <w:t xml:space="preserve"> </w:t>
      </w:r>
      <w:r w:rsidRPr="00FD03E7">
        <w:rPr>
          <w:rFonts w:cs="Calibri"/>
        </w:rPr>
        <w:t>U</w:t>
      </w:r>
      <w:r w:rsidR="001F3453">
        <w:rPr>
          <w:rFonts w:cs="Calibri"/>
        </w:rPr>
        <w:t xml:space="preserve"> </w:t>
      </w:r>
      <w:r w:rsidRPr="00FD03E7">
        <w:rPr>
          <w:rFonts w:cs="Calibri"/>
        </w:rPr>
        <w:t>vybraných účetních případů byla provedena kontrola s cílem prověřit systém účtování a</w:t>
      </w:r>
      <w:r w:rsidR="002B3676">
        <w:rPr>
          <w:rFonts w:cs="Calibri"/>
        </w:rPr>
        <w:t xml:space="preserve"> </w:t>
      </w:r>
      <w:r w:rsidRPr="00FD03E7">
        <w:rPr>
          <w:rFonts w:cs="Calibri"/>
        </w:rPr>
        <w:t>vykazování informací o skutečnostech, které jsou předmětem účetnictví.</w:t>
      </w:r>
    </w:p>
    <w:p w14:paraId="64CA6A24" w14:textId="77777777" w:rsidR="00801AD6" w:rsidRPr="0077622B" w:rsidRDefault="00A640AE" w:rsidP="00DF6AD0">
      <w:pPr>
        <w:spacing w:after="240"/>
        <w:jc w:val="both"/>
        <w:rPr>
          <w:rFonts w:cs="Calibri"/>
        </w:rPr>
      </w:pPr>
      <w:r w:rsidRPr="0077622B">
        <w:rPr>
          <w:rFonts w:cs="Calibri"/>
        </w:rPr>
        <w:t xml:space="preserve">V případě údajů předkládaných pro hodnocení plnění státního rozpočtu bylo prověřováno, zda byla dodržena správnost třídění příjmů a výdajů rozpočtovou skladbou </w:t>
      </w:r>
      <w:r w:rsidR="00441800">
        <w:rPr>
          <w:rFonts w:asciiTheme="minorHAnsi" w:hAnsiTheme="minorHAnsi" w:cstheme="minorHAnsi"/>
        </w:rPr>
        <w:t xml:space="preserve">z hlediska </w:t>
      </w:r>
      <w:r w:rsidR="00441800" w:rsidRPr="00F37FEB">
        <w:rPr>
          <w:rFonts w:asciiTheme="minorHAnsi" w:hAnsiTheme="minorHAnsi" w:cstheme="minorHAnsi"/>
        </w:rPr>
        <w:t>druhového</w:t>
      </w:r>
      <w:r w:rsidR="00441800">
        <w:rPr>
          <w:rFonts w:asciiTheme="minorHAnsi" w:hAnsiTheme="minorHAnsi" w:cstheme="minorHAnsi"/>
        </w:rPr>
        <w:t>,</w:t>
      </w:r>
      <w:r w:rsidR="00441800" w:rsidRPr="00F37FEB">
        <w:rPr>
          <w:rFonts w:asciiTheme="minorHAnsi" w:hAnsiTheme="minorHAnsi" w:cstheme="minorHAnsi"/>
        </w:rPr>
        <w:t xml:space="preserve"> odvětvového a prostorového </w:t>
      </w:r>
      <w:r w:rsidRPr="0077622B">
        <w:rPr>
          <w:rFonts w:cs="Calibri"/>
        </w:rPr>
        <w:t xml:space="preserve">dle vyhlášky č. </w:t>
      </w:r>
      <w:r w:rsidR="00777EF7" w:rsidRPr="0077622B">
        <w:rPr>
          <w:rFonts w:cs="Calibri"/>
        </w:rPr>
        <w:t>412/2021</w:t>
      </w:r>
      <w:r w:rsidRPr="0077622B">
        <w:rPr>
          <w:rFonts w:cs="Calibri"/>
        </w:rPr>
        <w:t xml:space="preserve"> Sb.</w:t>
      </w:r>
      <w:r w:rsidR="00410F93" w:rsidRPr="0077622B">
        <w:rPr>
          <w:vertAlign w:val="superscript"/>
        </w:rPr>
        <w:footnoteReference w:id="15"/>
      </w:r>
    </w:p>
    <w:p w14:paraId="4456C902" w14:textId="77777777" w:rsidR="00801AD6" w:rsidRPr="00FD03E7" w:rsidRDefault="00A640AE" w:rsidP="00DF6AD0">
      <w:pPr>
        <w:spacing w:after="240"/>
        <w:jc w:val="both"/>
        <w:rPr>
          <w:rFonts w:cs="Calibri"/>
        </w:rPr>
      </w:pPr>
      <w:r w:rsidRPr="00FD03E7">
        <w:rPr>
          <w:rFonts w:cs="Calibri"/>
        </w:rPr>
        <w:t xml:space="preserve">Výběr položek účetní závěrky a údajů předkládaných </w:t>
      </w:r>
      <w:r w:rsidR="00C45F95">
        <w:rPr>
          <w:rFonts w:cs="Calibri"/>
        </w:rPr>
        <w:t>Městským soudem v Praze</w:t>
      </w:r>
      <w:r w:rsidRPr="00FD03E7">
        <w:rPr>
          <w:rFonts w:cs="Calibri"/>
        </w:rPr>
        <w:t xml:space="preserve"> pro hodnocení plnění státního rozpočtu proved</w:t>
      </w:r>
      <w:r w:rsidR="00FB15C1" w:rsidRPr="00FD03E7">
        <w:rPr>
          <w:rFonts w:cs="Calibri"/>
        </w:rPr>
        <w:t>l NKÚ</w:t>
      </w:r>
      <w:r w:rsidRPr="00FD03E7">
        <w:rPr>
          <w:rFonts w:cs="Calibri"/>
        </w:rPr>
        <w:t xml:space="preserve"> </w:t>
      </w:r>
      <w:r w:rsidR="00574E94">
        <w:rPr>
          <w:rFonts w:cs="Calibri"/>
        </w:rPr>
        <w:t>s ohledem</w:t>
      </w:r>
      <w:r w:rsidRPr="00FD03E7">
        <w:rPr>
          <w:rFonts w:cs="Calibri"/>
        </w:rPr>
        <w:t xml:space="preserve"> na vyhodnocená rizika nesprávnosti vykázaných údajů.</w:t>
      </w:r>
    </w:p>
    <w:p w14:paraId="506A3B13" w14:textId="77777777" w:rsidR="00801AD6" w:rsidRPr="0077622B" w:rsidRDefault="00A640AE" w:rsidP="00DF6AD0">
      <w:pPr>
        <w:spacing w:after="240"/>
        <w:jc w:val="both"/>
        <w:rPr>
          <w:rFonts w:cs="Calibri"/>
        </w:rPr>
      </w:pPr>
      <w:r w:rsidRPr="0077622B">
        <w:rPr>
          <w:rFonts w:cs="Calibri"/>
        </w:rPr>
        <w:t xml:space="preserve">U </w:t>
      </w:r>
      <w:r w:rsidR="007D0244" w:rsidRPr="0077622B">
        <w:rPr>
          <w:rFonts w:cs="Calibri"/>
        </w:rPr>
        <w:t xml:space="preserve">relevantních </w:t>
      </w:r>
      <w:r w:rsidRPr="0077622B">
        <w:rPr>
          <w:rFonts w:cs="Calibri"/>
        </w:rPr>
        <w:t xml:space="preserve">transakcí byl prověřován soulad </w:t>
      </w:r>
      <w:r w:rsidR="00243906" w:rsidRPr="0077622B">
        <w:rPr>
          <w:rFonts w:cs="Calibri"/>
        </w:rPr>
        <w:t>s</w:t>
      </w:r>
      <w:r w:rsidR="007D0244" w:rsidRPr="0077622B">
        <w:rPr>
          <w:rFonts w:cs="Calibri"/>
        </w:rPr>
        <w:t> vybranými ustanoveními</w:t>
      </w:r>
      <w:r w:rsidRPr="0077622B">
        <w:rPr>
          <w:rFonts w:cs="Calibri"/>
        </w:rPr>
        <w:t xml:space="preserve"> další</w:t>
      </w:r>
      <w:r w:rsidR="007D0244" w:rsidRPr="0077622B">
        <w:rPr>
          <w:rFonts w:cs="Calibri"/>
        </w:rPr>
        <w:t>ch</w:t>
      </w:r>
      <w:r w:rsidRPr="0077622B">
        <w:rPr>
          <w:rFonts w:cs="Calibri"/>
        </w:rPr>
        <w:t xml:space="preserve"> právní</w:t>
      </w:r>
      <w:r w:rsidR="007D0244" w:rsidRPr="0077622B">
        <w:rPr>
          <w:rFonts w:cs="Calibri"/>
        </w:rPr>
        <w:t>ch</w:t>
      </w:r>
      <w:r w:rsidRPr="0077622B">
        <w:rPr>
          <w:rFonts w:cs="Calibri"/>
        </w:rPr>
        <w:t xml:space="preserve"> předpis</w:t>
      </w:r>
      <w:r w:rsidR="007D0244" w:rsidRPr="0077622B">
        <w:rPr>
          <w:rFonts w:cs="Calibri"/>
        </w:rPr>
        <w:t>ů</w:t>
      </w:r>
      <w:r w:rsidR="001F1F57" w:rsidRPr="0077622B">
        <w:rPr>
          <w:rFonts w:cs="Calibri"/>
        </w:rPr>
        <w:t>,</w:t>
      </w:r>
      <w:r w:rsidRPr="0077622B">
        <w:rPr>
          <w:rFonts w:cs="Calibri"/>
        </w:rPr>
        <w:t xml:space="preserve"> a to zejména </w:t>
      </w:r>
      <w:r w:rsidR="00BA2B34" w:rsidRPr="0077622B">
        <w:rPr>
          <w:rFonts w:cs="Calibri"/>
        </w:rPr>
        <w:t>zákona č. 218/2000 Sb.</w:t>
      </w:r>
      <w:r w:rsidR="001077EB" w:rsidRPr="0077622B">
        <w:rPr>
          <w:rFonts w:cs="Calibri"/>
        </w:rPr>
        <w:t xml:space="preserve"> a zákona</w:t>
      </w:r>
      <w:r w:rsidR="00BA2B34" w:rsidRPr="0077622B">
        <w:rPr>
          <w:rFonts w:cs="Calibri"/>
        </w:rPr>
        <w:t xml:space="preserve"> č. 219/2000 Sb</w:t>
      </w:r>
      <w:r w:rsidR="001077EB" w:rsidRPr="0077622B">
        <w:rPr>
          <w:rFonts w:cs="Calibri"/>
        </w:rPr>
        <w:t>.</w:t>
      </w:r>
    </w:p>
    <w:p w14:paraId="16693094" w14:textId="77777777" w:rsidR="008F46EE" w:rsidRPr="0077622B" w:rsidRDefault="00A640AE" w:rsidP="0077622B">
      <w:pPr>
        <w:jc w:val="both"/>
        <w:rPr>
          <w:rFonts w:cs="Calibri"/>
        </w:rPr>
      </w:pPr>
      <w:r w:rsidRPr="0077622B">
        <w:rPr>
          <w:rFonts w:cs="Calibri"/>
        </w:rPr>
        <w:t>V</w:t>
      </w:r>
      <w:r w:rsidR="00E91FF5" w:rsidRPr="0077622B">
        <w:rPr>
          <w:rFonts w:cs="Calibri"/>
        </w:rPr>
        <w:t> </w:t>
      </w:r>
      <w:r w:rsidRPr="0077622B">
        <w:rPr>
          <w:rFonts w:cs="Calibri"/>
        </w:rPr>
        <w:t>případě</w:t>
      </w:r>
      <w:r w:rsidR="00E91FF5" w:rsidRPr="0077622B">
        <w:rPr>
          <w:rFonts w:cs="Calibri"/>
        </w:rPr>
        <w:t xml:space="preserve"> </w:t>
      </w:r>
      <w:r w:rsidR="002902ED" w:rsidRPr="0077622B">
        <w:rPr>
          <w:rFonts w:cs="Calibri"/>
        </w:rPr>
        <w:t>uzavírání</w:t>
      </w:r>
      <w:r w:rsidRPr="0077622B">
        <w:rPr>
          <w:rFonts w:cs="Calibri"/>
        </w:rPr>
        <w:t xml:space="preserve"> smluv </w:t>
      </w:r>
      <w:r w:rsidR="001077EB" w:rsidRPr="0077622B">
        <w:rPr>
          <w:rFonts w:cs="Calibri"/>
        </w:rPr>
        <w:t xml:space="preserve">a objednávek </w:t>
      </w:r>
      <w:r w:rsidRPr="0077622B">
        <w:rPr>
          <w:rFonts w:cs="Calibri"/>
        </w:rPr>
        <w:t xml:space="preserve">bylo </w:t>
      </w:r>
      <w:r w:rsidR="001077EB" w:rsidRPr="0077622B">
        <w:rPr>
          <w:rFonts w:cs="Calibri"/>
        </w:rPr>
        <w:t>prověřováno</w:t>
      </w:r>
      <w:r w:rsidRPr="0077622B">
        <w:rPr>
          <w:rFonts w:cs="Calibri"/>
        </w:rPr>
        <w:t xml:space="preserve"> </w:t>
      </w:r>
      <w:r w:rsidR="00E91FF5" w:rsidRPr="0077622B">
        <w:rPr>
          <w:rFonts w:cs="Calibri"/>
        </w:rPr>
        <w:t>jejich uveřejn</w:t>
      </w:r>
      <w:r w:rsidR="00CD2142" w:rsidRPr="0077622B">
        <w:rPr>
          <w:rFonts w:cs="Calibri"/>
        </w:rPr>
        <w:t>ění v registru smluv dle zák</w:t>
      </w:r>
      <w:r w:rsidR="00F14722" w:rsidRPr="0077622B">
        <w:rPr>
          <w:rFonts w:cs="Calibri"/>
        </w:rPr>
        <w:t>ona</w:t>
      </w:r>
      <w:r w:rsidR="00FB6581" w:rsidRPr="0077622B">
        <w:rPr>
          <w:rFonts w:cs="Calibri"/>
        </w:rPr>
        <w:t xml:space="preserve"> č. 340/2015 Sb.</w:t>
      </w:r>
      <w:r w:rsidR="00BA2B34" w:rsidRPr="005C016A">
        <w:rPr>
          <w:vertAlign w:val="superscript"/>
        </w:rPr>
        <w:footnoteReference w:id="16"/>
      </w:r>
    </w:p>
    <w:p w14:paraId="5C796E16" w14:textId="77777777" w:rsidR="003B0AF7" w:rsidRDefault="003B0AF7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39813768" w14:textId="4484BC73" w:rsidR="00C20965" w:rsidRPr="00737A6B" w:rsidRDefault="00C20965" w:rsidP="00DF6AD0">
      <w:pPr>
        <w:spacing w:after="240"/>
        <w:jc w:val="both"/>
      </w:pPr>
      <w:r w:rsidRPr="00737A6B">
        <w:lastRenderedPageBreak/>
        <w:t xml:space="preserve">NKÚ na základě prověřovaných skutečností vyhodnotil </w:t>
      </w:r>
      <w:r w:rsidRPr="006F4575">
        <w:rPr>
          <w:b/>
        </w:rPr>
        <w:t>nastavení VKS</w:t>
      </w:r>
      <w:r w:rsidRPr="00737A6B">
        <w:t xml:space="preserve"> </w:t>
      </w:r>
      <w:r w:rsidRPr="006F4575">
        <w:rPr>
          <w:bCs/>
        </w:rPr>
        <w:t xml:space="preserve">v oblasti účetnictví </w:t>
      </w:r>
      <w:r w:rsidR="00C45F95" w:rsidRPr="006F4575">
        <w:rPr>
          <w:bCs/>
        </w:rPr>
        <w:t>a</w:t>
      </w:r>
      <w:r w:rsidR="002178EA">
        <w:rPr>
          <w:bCs/>
        </w:rPr>
        <w:t> </w:t>
      </w:r>
      <w:r w:rsidRPr="006F4575">
        <w:rPr>
          <w:bCs/>
        </w:rPr>
        <w:t>plnění rozpočtu</w:t>
      </w:r>
      <w:r w:rsidRPr="00737A6B">
        <w:t xml:space="preserve"> (vnitřní předpisy, interní audit, účetní doklady, účetní knihy, inventarizace majetku a závazků, účetní závěrka a schvalování účetní závěrky) dle zákonů č. 563/1991 Sb., </w:t>
      </w:r>
      <w:r w:rsidR="002B3676">
        <w:br/>
      </w:r>
      <w:r w:rsidRPr="00737A6B">
        <w:t>č.</w:t>
      </w:r>
      <w:r w:rsidR="002B3676">
        <w:t xml:space="preserve"> </w:t>
      </w:r>
      <w:r w:rsidRPr="00737A6B">
        <w:t xml:space="preserve">218/2000 Sb. a dalších právních předpisů </w:t>
      </w:r>
      <w:r w:rsidRPr="006F4575">
        <w:t>a v</w:t>
      </w:r>
      <w:r w:rsidR="002B3676">
        <w:t xml:space="preserve"> </w:t>
      </w:r>
      <w:r w:rsidRPr="006F4575">
        <w:t>oblasti řídicí kontroly</w:t>
      </w:r>
      <w:r w:rsidRPr="00737A6B">
        <w:t xml:space="preserve"> dle zákona </w:t>
      </w:r>
      <w:r w:rsidR="002B3676">
        <w:br/>
      </w:r>
      <w:r w:rsidRPr="00737A6B">
        <w:t>č. 320/2001 Sb.</w:t>
      </w:r>
      <w:r w:rsidR="00CA69AB">
        <w:rPr>
          <w:rStyle w:val="Znakapoznpodarou"/>
        </w:rPr>
        <w:footnoteReference w:id="17"/>
      </w:r>
      <w:r w:rsidRPr="00737A6B">
        <w:t xml:space="preserve"> a vyhlášky č. 416/2004 Sb.</w:t>
      </w:r>
      <w:r w:rsidRPr="00737A6B">
        <w:rPr>
          <w:rStyle w:val="Znakapoznpodarou"/>
          <w:rFonts w:eastAsiaTheme="minorHAnsi" w:cs="Calibri"/>
        </w:rPr>
        <w:footnoteReference w:id="18"/>
      </w:r>
      <w:r w:rsidRPr="00737A6B">
        <w:t xml:space="preserve"> </w:t>
      </w:r>
      <w:r w:rsidR="006256C8" w:rsidRPr="00737A6B">
        <w:t xml:space="preserve">NKÚ dále u prověřovaných operací </w:t>
      </w:r>
      <w:r w:rsidR="00B22DF8" w:rsidRPr="006F4575">
        <w:rPr>
          <w:bCs/>
        </w:rPr>
        <w:t>v oblasti účetnictví a</w:t>
      </w:r>
      <w:r w:rsidR="002178EA">
        <w:rPr>
          <w:bCs/>
        </w:rPr>
        <w:t> </w:t>
      </w:r>
      <w:r w:rsidR="00B22DF8" w:rsidRPr="006F4575">
        <w:rPr>
          <w:bCs/>
        </w:rPr>
        <w:t xml:space="preserve">plnění rozpočtu </w:t>
      </w:r>
      <w:r w:rsidR="00B22DF8" w:rsidRPr="006F4575">
        <w:t xml:space="preserve">dle zákonů č. 563/1991 Sb., č. 218/2000 Sb. a dalších právních předpisů, </w:t>
      </w:r>
      <w:r w:rsidR="00B22DF8" w:rsidRPr="006F4575">
        <w:rPr>
          <w:bCs/>
        </w:rPr>
        <w:t>v oblasti hospodaření s majetkem státu</w:t>
      </w:r>
      <w:r w:rsidR="00B22DF8" w:rsidRPr="006F4575">
        <w:t xml:space="preserve"> dle zákona č. 219/2000 Sb., </w:t>
      </w:r>
      <w:r w:rsidR="00B22DF8" w:rsidRPr="006F4575">
        <w:rPr>
          <w:bCs/>
        </w:rPr>
        <w:t>finančního hospodaření</w:t>
      </w:r>
      <w:r w:rsidR="00B22DF8" w:rsidRPr="006F4575">
        <w:t xml:space="preserve"> dle zákona č. 218/2000 Sb. a dalších právních předpisů (zejména dle zákona </w:t>
      </w:r>
      <w:r w:rsidR="002B3676">
        <w:br/>
      </w:r>
      <w:r w:rsidR="00B22DF8" w:rsidRPr="00DF6AD0">
        <w:rPr>
          <w:spacing w:val="-1"/>
        </w:rPr>
        <w:t>č.</w:t>
      </w:r>
      <w:r w:rsidR="002B3676" w:rsidRPr="00DF6AD0">
        <w:rPr>
          <w:spacing w:val="-1"/>
        </w:rPr>
        <w:t xml:space="preserve"> </w:t>
      </w:r>
      <w:r w:rsidR="00B22DF8" w:rsidRPr="00DF6AD0">
        <w:rPr>
          <w:spacing w:val="-1"/>
        </w:rPr>
        <w:t>340/2015 Sb.) a v</w:t>
      </w:r>
      <w:r w:rsidR="002B3676" w:rsidRPr="00DF6AD0">
        <w:rPr>
          <w:spacing w:val="-1"/>
        </w:rPr>
        <w:t xml:space="preserve"> </w:t>
      </w:r>
      <w:r w:rsidR="00B22DF8" w:rsidRPr="00DF6AD0">
        <w:rPr>
          <w:spacing w:val="-1"/>
        </w:rPr>
        <w:t>oblasti řídicí kontroly dle zákona č.</w:t>
      </w:r>
      <w:r w:rsidR="002B3676" w:rsidRPr="00DF6AD0">
        <w:rPr>
          <w:spacing w:val="-1"/>
        </w:rPr>
        <w:t xml:space="preserve"> </w:t>
      </w:r>
      <w:r w:rsidR="00B22DF8" w:rsidRPr="00DF6AD0">
        <w:rPr>
          <w:spacing w:val="-1"/>
        </w:rPr>
        <w:t>320/2001 Sb. a vyhlášky č. 416/2004</w:t>
      </w:r>
      <w:r w:rsidR="002B3676" w:rsidRPr="00DF6AD0">
        <w:rPr>
          <w:spacing w:val="-1"/>
        </w:rPr>
        <w:t> </w:t>
      </w:r>
      <w:r w:rsidR="00B22DF8" w:rsidRPr="00DF6AD0">
        <w:rPr>
          <w:spacing w:val="-1"/>
        </w:rPr>
        <w:t>Sb</w:t>
      </w:r>
      <w:r w:rsidR="00B22DF8" w:rsidRPr="006F4575">
        <w:t xml:space="preserve">. </w:t>
      </w:r>
      <w:r w:rsidR="00737A6B" w:rsidRPr="006F4575">
        <w:t xml:space="preserve">vyhodnotil </w:t>
      </w:r>
      <w:r w:rsidR="00737A6B" w:rsidRPr="006F4575">
        <w:rPr>
          <w:b/>
        </w:rPr>
        <w:t>funkčnost VKS</w:t>
      </w:r>
      <w:r w:rsidR="006256C8" w:rsidRPr="00DF6AD0">
        <w:rPr>
          <w:b/>
        </w:rPr>
        <w:t>,</w:t>
      </w:r>
      <w:r w:rsidR="006256C8" w:rsidRPr="006F4575">
        <w:t xml:space="preserve"> tj. zda jsou prvky VKS implementovány tak, aby bylo zamezeno vzniku nesprávností. </w:t>
      </w:r>
      <w:r w:rsidRPr="006F4575">
        <w:t>Kombinace</w:t>
      </w:r>
      <w:r w:rsidRPr="00737A6B">
        <w:t xml:space="preserve"> zjištění </w:t>
      </w:r>
      <w:r w:rsidR="00574E94" w:rsidRPr="00737A6B">
        <w:t>týkajících se</w:t>
      </w:r>
      <w:r w:rsidRPr="00737A6B">
        <w:t xml:space="preserve"> nastavení a funkčnosti </w:t>
      </w:r>
      <w:r w:rsidR="00574E94" w:rsidRPr="00737A6B">
        <w:t xml:space="preserve">VKS ve </w:t>
      </w:r>
      <w:r w:rsidRPr="00737A6B">
        <w:t>výše uvedených oblast</w:t>
      </w:r>
      <w:r w:rsidR="00574E94" w:rsidRPr="00737A6B">
        <w:t>ech</w:t>
      </w:r>
      <w:r w:rsidRPr="00737A6B">
        <w:t xml:space="preserve"> pak</w:t>
      </w:r>
      <w:r w:rsidR="009A5B97">
        <w:t xml:space="preserve"> byla</w:t>
      </w:r>
      <w:r w:rsidRPr="00737A6B">
        <w:t xml:space="preserve"> podkladem </w:t>
      </w:r>
      <w:r w:rsidR="00574E94" w:rsidRPr="00737A6B">
        <w:t>pro</w:t>
      </w:r>
      <w:r w:rsidR="001F559B" w:rsidRPr="00737A6B">
        <w:t> </w:t>
      </w:r>
      <w:r w:rsidRPr="00737A6B">
        <w:t>hodnocení účinnosti</w:t>
      </w:r>
      <w:r w:rsidR="00574E94" w:rsidRPr="00737A6B">
        <w:t xml:space="preserve"> </w:t>
      </w:r>
      <w:r w:rsidR="00A0541E">
        <w:t xml:space="preserve">VKS </w:t>
      </w:r>
      <w:r w:rsidR="00737A6B" w:rsidRPr="00737A6B">
        <w:t>MS Praha</w:t>
      </w:r>
      <w:r w:rsidRPr="00737A6B">
        <w:t>.</w:t>
      </w:r>
    </w:p>
    <w:p w14:paraId="2D375C76" w14:textId="77777777" w:rsidR="00E464F1" w:rsidRDefault="00E464F1" w:rsidP="00DF6AD0">
      <w:pPr>
        <w:autoSpaceDE w:val="0"/>
        <w:autoSpaceDN w:val="0"/>
        <w:adjustRightInd w:val="0"/>
        <w:spacing w:after="24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Při kontrole bylo provedeno také</w:t>
      </w:r>
      <w:r w:rsidRPr="00C45F95">
        <w:rPr>
          <w:rFonts w:cs="Calibri"/>
          <w:color w:val="000000"/>
        </w:rPr>
        <w:t xml:space="preserve"> vyhodnocen</w:t>
      </w:r>
      <w:r>
        <w:rPr>
          <w:rFonts w:cs="Calibri"/>
          <w:color w:val="000000"/>
        </w:rPr>
        <w:t>í</w:t>
      </w:r>
      <w:r w:rsidRPr="00C45F95">
        <w:rPr>
          <w:rFonts w:cs="Calibri"/>
          <w:color w:val="000000"/>
        </w:rPr>
        <w:t xml:space="preserve"> opatření přijat</w:t>
      </w:r>
      <w:r>
        <w:rPr>
          <w:rFonts w:cs="Calibri"/>
          <w:color w:val="000000"/>
        </w:rPr>
        <w:t>ých</w:t>
      </w:r>
      <w:r w:rsidRPr="00C45F95">
        <w:rPr>
          <w:rFonts w:cs="Calibri"/>
          <w:color w:val="000000"/>
        </w:rPr>
        <w:t xml:space="preserve"> k nápravě nedostatků</w:t>
      </w:r>
      <w:r w:rsidR="00B06FC8">
        <w:rPr>
          <w:rFonts w:cs="Calibri"/>
          <w:color w:val="000000"/>
        </w:rPr>
        <w:t xml:space="preserve"> uvedených v kontrolním závěru z</w:t>
      </w:r>
      <w:r w:rsidRPr="00C45F95">
        <w:rPr>
          <w:rFonts w:cs="Calibri"/>
          <w:color w:val="000000"/>
        </w:rPr>
        <w:t xml:space="preserve"> kontrolní akc</w:t>
      </w:r>
      <w:r w:rsidR="00B06FC8">
        <w:rPr>
          <w:rFonts w:cs="Calibri"/>
          <w:color w:val="000000"/>
        </w:rPr>
        <w:t>e</w:t>
      </w:r>
      <w:r w:rsidRPr="00C45F95">
        <w:rPr>
          <w:rFonts w:cs="Calibri"/>
          <w:color w:val="000000"/>
        </w:rPr>
        <w:t xml:space="preserve"> NKÚ č. 18/</w:t>
      </w:r>
      <w:r>
        <w:rPr>
          <w:rFonts w:cs="Calibri"/>
          <w:color w:val="000000"/>
        </w:rPr>
        <w:t>25</w:t>
      </w:r>
      <w:r w:rsidRPr="00C45F95">
        <w:rPr>
          <w:rFonts w:cs="Calibri"/>
          <w:color w:val="000000"/>
        </w:rPr>
        <w:t>.</w:t>
      </w:r>
    </w:p>
    <w:p w14:paraId="3FE2DFE0" w14:textId="77777777" w:rsidR="00196CE6" w:rsidRDefault="00737A6B" w:rsidP="00A15D51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C45F95">
        <w:rPr>
          <w:rFonts w:cs="Calibri"/>
          <w:color w:val="000000"/>
        </w:rPr>
        <w:t>V rámci kontroly byl</w:t>
      </w:r>
      <w:r w:rsidR="00B22DF8">
        <w:rPr>
          <w:rFonts w:cs="Calibri"/>
          <w:color w:val="000000"/>
        </w:rPr>
        <w:t xml:space="preserve"> rovněž proveden rozbor </w:t>
      </w:r>
      <w:r w:rsidR="00196CE6">
        <w:rPr>
          <w:rFonts w:cs="Calibri"/>
          <w:color w:val="000000"/>
        </w:rPr>
        <w:t>výsledku hospodaření MS Praha z akruálního a</w:t>
      </w:r>
      <w:r w:rsidR="009F448B">
        <w:rPr>
          <w:rFonts w:cs="Calibri"/>
          <w:color w:val="000000"/>
        </w:rPr>
        <w:t> </w:t>
      </w:r>
      <w:r w:rsidR="00196CE6">
        <w:rPr>
          <w:rFonts w:cs="Calibri"/>
          <w:color w:val="000000"/>
        </w:rPr>
        <w:t xml:space="preserve">peněžního pohledu. Kontrola se dále zaměřila na to, zda a jak MS Praha využívá akruální účetní informace vč. informací vykazovaných na podrozvahových účtech. </w:t>
      </w:r>
    </w:p>
    <w:p w14:paraId="7DB37960" w14:textId="77777777" w:rsidR="00006AE8" w:rsidRDefault="00006AE8" w:rsidP="00B03EA6">
      <w:pPr>
        <w:spacing w:after="0"/>
        <w:jc w:val="both"/>
        <w:rPr>
          <w:highlight w:val="yellow"/>
          <w:lang w:eastAsia="cs-CZ"/>
        </w:rPr>
      </w:pPr>
    </w:p>
    <w:p w14:paraId="69445261" w14:textId="77777777" w:rsidR="00AF15FA" w:rsidRDefault="00006AE8" w:rsidP="00B03EA6">
      <w:pPr>
        <w:spacing w:after="0"/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r w:rsidRPr="00820AC0">
        <w:rPr>
          <w:rFonts w:asciiTheme="minorHAnsi" w:hAnsiTheme="minorHAnsi" w:cs="Calibri"/>
          <w:b/>
          <w:sz w:val="20"/>
          <w:szCs w:val="20"/>
        </w:rPr>
        <w:t>Pozn.:</w:t>
      </w:r>
      <w:r w:rsidRPr="00820AC0">
        <w:rPr>
          <w:rFonts w:asciiTheme="minorHAnsi" w:hAnsiTheme="minorHAnsi" w:cs="Calibri"/>
          <w:sz w:val="20"/>
          <w:szCs w:val="20"/>
        </w:rPr>
        <w:t xml:space="preserve"> </w:t>
      </w:r>
      <w:r w:rsidRPr="00820AC0">
        <w:rPr>
          <w:rFonts w:asciiTheme="minorHAnsi" w:hAnsiTheme="minorHAnsi" w:cs="Calibri"/>
          <w:sz w:val="20"/>
          <w:szCs w:val="20"/>
        </w:rPr>
        <w:tab/>
        <w:t>Všechny právní předpisy uvedené v tomto kontrolním závěru jsou aplikovány ve znění účinném pro kontrolované období.</w:t>
      </w:r>
    </w:p>
    <w:p w14:paraId="7D1952D6" w14:textId="77777777" w:rsidR="00006AE8" w:rsidRPr="00820AC0" w:rsidRDefault="00603A22" w:rsidP="006E0AFD">
      <w:pPr>
        <w:spacing w:after="0"/>
        <w:ind w:left="567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H</w:t>
      </w:r>
      <w:r w:rsidR="00AF15FA" w:rsidRPr="00AF15FA">
        <w:rPr>
          <w:rFonts w:asciiTheme="minorHAnsi" w:hAnsiTheme="minorHAnsi" w:cs="Calibri"/>
          <w:sz w:val="20"/>
          <w:szCs w:val="20"/>
        </w:rPr>
        <w:t>odnoty uvedené v</w:t>
      </w:r>
      <w:r w:rsidR="00AF15FA">
        <w:rPr>
          <w:rFonts w:asciiTheme="minorHAnsi" w:hAnsiTheme="minorHAnsi" w:cs="Calibri"/>
          <w:sz w:val="20"/>
          <w:szCs w:val="20"/>
        </w:rPr>
        <w:t> tomto kontrolním závěru</w:t>
      </w:r>
      <w:r w:rsidR="00AF15FA" w:rsidRPr="00AF15FA">
        <w:rPr>
          <w:rFonts w:asciiTheme="minorHAnsi" w:hAnsiTheme="minorHAnsi" w:cs="Calibri"/>
          <w:sz w:val="20"/>
          <w:szCs w:val="20"/>
        </w:rPr>
        <w:t xml:space="preserve"> byly zaokrouhlen</w:t>
      </w:r>
      <w:r>
        <w:rPr>
          <w:rFonts w:asciiTheme="minorHAnsi" w:hAnsiTheme="minorHAnsi" w:cs="Calibri"/>
          <w:sz w:val="20"/>
          <w:szCs w:val="20"/>
        </w:rPr>
        <w:t>y</w:t>
      </w:r>
      <w:r w:rsidR="00AF15FA">
        <w:rPr>
          <w:rFonts w:asciiTheme="minorHAnsi" w:hAnsiTheme="minorHAnsi" w:cs="Calibri"/>
          <w:sz w:val="20"/>
          <w:szCs w:val="20"/>
        </w:rPr>
        <w:t>, čímž vznik</w:t>
      </w:r>
      <w:r w:rsidR="00FA21DA">
        <w:rPr>
          <w:rFonts w:asciiTheme="minorHAnsi" w:hAnsiTheme="minorHAnsi" w:cs="Calibri"/>
          <w:sz w:val="20"/>
          <w:szCs w:val="20"/>
        </w:rPr>
        <w:t>l</w:t>
      </w:r>
      <w:r w:rsidR="00AF15FA">
        <w:rPr>
          <w:rFonts w:asciiTheme="minorHAnsi" w:hAnsiTheme="minorHAnsi" w:cs="Calibri"/>
          <w:sz w:val="20"/>
          <w:szCs w:val="20"/>
        </w:rPr>
        <w:t xml:space="preserve"> drobný nesoulad </w:t>
      </w:r>
      <w:r w:rsidR="00CC3031">
        <w:rPr>
          <w:rFonts w:asciiTheme="minorHAnsi" w:hAnsiTheme="minorHAnsi" w:cs="Calibri"/>
          <w:sz w:val="20"/>
          <w:szCs w:val="20"/>
        </w:rPr>
        <w:t>v</w:t>
      </w:r>
      <w:r w:rsidR="00837882">
        <w:rPr>
          <w:rFonts w:asciiTheme="minorHAnsi" w:hAnsiTheme="minorHAnsi" w:cs="Calibri"/>
          <w:sz w:val="20"/>
          <w:szCs w:val="20"/>
        </w:rPr>
        <w:t xml:space="preserve"> některých </w:t>
      </w:r>
      <w:r w:rsidR="00CC3031">
        <w:rPr>
          <w:rFonts w:asciiTheme="minorHAnsi" w:hAnsiTheme="minorHAnsi" w:cs="Calibri"/>
          <w:sz w:val="20"/>
          <w:szCs w:val="20"/>
        </w:rPr>
        <w:t>uváděných finančních údajích</w:t>
      </w:r>
      <w:r w:rsidR="00AF15FA" w:rsidRPr="00AF15FA">
        <w:rPr>
          <w:rFonts w:asciiTheme="minorHAnsi" w:hAnsiTheme="minorHAnsi" w:cs="Calibri"/>
          <w:sz w:val="20"/>
          <w:szCs w:val="20"/>
        </w:rPr>
        <w:t>.</w:t>
      </w:r>
    </w:p>
    <w:p w14:paraId="4F8BE8C2" w14:textId="77777777" w:rsidR="002C44C1" w:rsidRPr="00683C72" w:rsidRDefault="002C44C1" w:rsidP="00B03EA6">
      <w:pPr>
        <w:spacing w:after="0"/>
        <w:jc w:val="both"/>
        <w:rPr>
          <w:highlight w:val="yellow"/>
          <w:lang w:eastAsia="cs-CZ"/>
        </w:rPr>
      </w:pPr>
    </w:p>
    <w:p w14:paraId="456D2E9F" w14:textId="77777777" w:rsidR="00006589" w:rsidRDefault="00006589" w:rsidP="00B03EA6">
      <w:pPr>
        <w:spacing w:after="0"/>
        <w:jc w:val="both"/>
        <w:rPr>
          <w:highlight w:val="yellow"/>
          <w:lang w:eastAsia="cs-CZ"/>
        </w:rPr>
      </w:pPr>
    </w:p>
    <w:p w14:paraId="08A262EE" w14:textId="77777777" w:rsidR="00E31313" w:rsidRDefault="00E31313" w:rsidP="00C45F95">
      <w:pPr>
        <w:spacing w:after="160" w:line="259" w:lineRule="auto"/>
        <w:rPr>
          <w:highlight w:val="yellow"/>
          <w:lang w:eastAsia="cs-CZ"/>
        </w:rPr>
      </w:pPr>
      <w:r>
        <w:rPr>
          <w:highlight w:val="yellow"/>
          <w:lang w:eastAsia="cs-CZ"/>
        </w:rPr>
        <w:br w:type="page"/>
      </w:r>
    </w:p>
    <w:p w14:paraId="58B9FDC8" w14:textId="77777777" w:rsidR="0033466E" w:rsidRPr="00D10727" w:rsidRDefault="00A640AE" w:rsidP="00D10727">
      <w:pPr>
        <w:pStyle w:val="Styl1"/>
        <w:ind w:left="414" w:hanging="57"/>
      </w:pPr>
      <w:r w:rsidRPr="00D10727">
        <w:lastRenderedPageBreak/>
        <w:t>Podrobné skutečnosti zjištěné kontrolou</w:t>
      </w:r>
    </w:p>
    <w:p w14:paraId="7249B9C5" w14:textId="77777777" w:rsidR="00697969" w:rsidRPr="00683C72" w:rsidRDefault="00697969" w:rsidP="00B93CEB">
      <w:pPr>
        <w:spacing w:after="0"/>
        <w:jc w:val="both"/>
        <w:rPr>
          <w:rFonts w:asciiTheme="minorHAnsi" w:hAnsiTheme="minorHAnsi" w:cstheme="minorHAnsi"/>
          <w:spacing w:val="-2"/>
          <w:highlight w:val="yellow"/>
        </w:rPr>
      </w:pPr>
    </w:p>
    <w:p w14:paraId="1168ABC9" w14:textId="77777777" w:rsidR="00211287" w:rsidRDefault="009C3EFB" w:rsidP="00502856">
      <w:pPr>
        <w:pStyle w:val="Styl2"/>
        <w:numPr>
          <w:ilvl w:val="0"/>
          <w:numId w:val="19"/>
        </w:numPr>
        <w:ind w:left="340" w:hanging="340"/>
        <w:jc w:val="both"/>
      </w:pPr>
      <w:r>
        <w:t>Vedení účetnictví, ú</w:t>
      </w:r>
      <w:r w:rsidR="00211287" w:rsidRPr="00C302DE">
        <w:t>četní</w:t>
      </w:r>
      <w:r w:rsidR="00211287">
        <w:t xml:space="preserve"> opravy realizované </w:t>
      </w:r>
      <w:r w:rsidR="004D64F2">
        <w:t>MS Praha</w:t>
      </w:r>
      <w:r w:rsidR="00211287">
        <w:t xml:space="preserve"> v průběhu kontroly a</w:t>
      </w:r>
      <w:r w:rsidR="00650215">
        <w:t> </w:t>
      </w:r>
      <w:r w:rsidR="00211287">
        <w:t>spolehlivost údajů ÚZ</w:t>
      </w:r>
    </w:p>
    <w:p w14:paraId="7793032D" w14:textId="77777777" w:rsidR="00211287" w:rsidRPr="00B20632" w:rsidRDefault="00211287" w:rsidP="005D4DC9">
      <w:pPr>
        <w:pStyle w:val="Styl2"/>
        <w:numPr>
          <w:ilvl w:val="1"/>
          <w:numId w:val="19"/>
        </w:numPr>
        <w:ind w:left="431" w:hanging="431"/>
      </w:pPr>
      <w:r w:rsidRPr="00B20632">
        <w:t xml:space="preserve">Opravy </w:t>
      </w:r>
      <w:r w:rsidR="00BF035D" w:rsidRPr="00B20632">
        <w:t xml:space="preserve">chyb v účetnictví </w:t>
      </w:r>
      <w:r w:rsidR="00FB0C28" w:rsidRPr="00B20632">
        <w:t>v</w:t>
      </w:r>
      <w:r w:rsidR="00BF035D" w:rsidRPr="00B20632">
        <w:t> </w:t>
      </w:r>
      <w:r w:rsidR="00FB0C28" w:rsidRPr="00B20632">
        <w:t>průběhu</w:t>
      </w:r>
      <w:r w:rsidR="00BF035D" w:rsidRPr="00B20632">
        <w:t xml:space="preserve"> účetního období</w:t>
      </w:r>
    </w:p>
    <w:p w14:paraId="5DEDC849" w14:textId="333E697C" w:rsidR="00E464F1" w:rsidRDefault="00837882" w:rsidP="00E82A76">
      <w:pPr>
        <w:spacing w:after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theme="minorHAnsi"/>
          <w:spacing w:val="-2"/>
        </w:rPr>
        <w:t xml:space="preserve">Kontrola byla zahájena </w:t>
      </w:r>
      <w:r w:rsidR="00634CBB">
        <w:rPr>
          <w:rFonts w:asciiTheme="minorHAnsi" w:hAnsiTheme="minorHAnsi" w:cstheme="minorHAnsi"/>
          <w:spacing w:val="-2"/>
        </w:rPr>
        <w:t>v průběhu</w:t>
      </w:r>
      <w:r w:rsidR="00211287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  <w:spacing w:val="-2"/>
        </w:rPr>
        <w:t xml:space="preserve">kontrolovaného </w:t>
      </w:r>
      <w:r w:rsidR="00211287" w:rsidRPr="009942A4">
        <w:rPr>
          <w:rFonts w:asciiTheme="minorHAnsi" w:hAnsiTheme="minorHAnsi" w:cstheme="minorHAnsi"/>
          <w:spacing w:val="-2"/>
        </w:rPr>
        <w:t>účetního období 202</w:t>
      </w:r>
      <w:r w:rsidR="009F6AF2">
        <w:rPr>
          <w:rFonts w:asciiTheme="minorHAnsi" w:hAnsiTheme="minorHAnsi" w:cstheme="minorHAnsi"/>
          <w:spacing w:val="-2"/>
        </w:rPr>
        <w:t>2</w:t>
      </w:r>
      <w:r w:rsidR="00211287" w:rsidRPr="009942A4">
        <w:rPr>
          <w:rFonts w:asciiTheme="minorHAnsi" w:hAnsiTheme="minorHAnsi" w:cstheme="minorHAnsi"/>
          <w:spacing w:val="-2"/>
        </w:rPr>
        <w:t>, což</w:t>
      </w:r>
      <w:r w:rsidR="00211287">
        <w:rPr>
          <w:rFonts w:asciiTheme="minorHAnsi" w:hAnsiTheme="minorHAnsi" w:cstheme="minorHAnsi"/>
          <w:spacing w:val="-2"/>
        </w:rPr>
        <w:t xml:space="preserve"> </w:t>
      </w:r>
      <w:r w:rsidR="00AF050E">
        <w:rPr>
          <w:rFonts w:asciiTheme="minorHAnsi" w:hAnsiTheme="minorHAnsi" w:cstheme="minorHAnsi"/>
          <w:spacing w:val="-2"/>
        </w:rPr>
        <w:t>umožnilo</w:t>
      </w:r>
      <w:r w:rsidR="00211287">
        <w:rPr>
          <w:rFonts w:asciiTheme="minorHAnsi" w:hAnsiTheme="minorHAnsi" w:cstheme="minorHAnsi"/>
          <w:spacing w:val="-2"/>
        </w:rPr>
        <w:t xml:space="preserve"> </w:t>
      </w:r>
      <w:r w:rsidR="004D64F2">
        <w:rPr>
          <w:rFonts w:asciiTheme="minorHAnsi" w:hAnsiTheme="minorHAnsi" w:cstheme="minorHAnsi"/>
          <w:spacing w:val="-2"/>
        </w:rPr>
        <w:t>MS</w:t>
      </w:r>
      <w:r w:rsidR="002B3676">
        <w:rPr>
          <w:rFonts w:asciiTheme="minorHAnsi" w:hAnsiTheme="minorHAnsi" w:cstheme="minorHAnsi"/>
          <w:spacing w:val="-2"/>
        </w:rPr>
        <w:t> </w:t>
      </w:r>
      <w:r w:rsidR="00A15D51">
        <w:rPr>
          <w:rFonts w:asciiTheme="minorHAnsi" w:hAnsiTheme="minorHAnsi" w:cstheme="minorHAnsi"/>
          <w:spacing w:val="-2"/>
        </w:rPr>
        <w:t>Praha</w:t>
      </w:r>
      <w:r w:rsidR="00E909E6">
        <w:rPr>
          <w:rFonts w:asciiTheme="minorHAnsi" w:hAnsiTheme="minorHAnsi" w:cstheme="minorHAnsi"/>
          <w:spacing w:val="-2"/>
        </w:rPr>
        <w:t xml:space="preserve"> provést opravu nedostatků </w:t>
      </w:r>
      <w:r w:rsidR="009A5B97">
        <w:rPr>
          <w:rFonts w:asciiTheme="minorHAnsi" w:hAnsiTheme="minorHAnsi" w:cstheme="minorHAnsi"/>
          <w:spacing w:val="-2"/>
        </w:rPr>
        <w:t xml:space="preserve">identifikovaných v účetnictví </w:t>
      </w:r>
      <w:r w:rsidR="00E909E6">
        <w:rPr>
          <w:rFonts w:asciiTheme="minorHAnsi" w:hAnsiTheme="minorHAnsi" w:cstheme="minorHAnsi"/>
          <w:spacing w:val="-2"/>
        </w:rPr>
        <w:t>v průběhu kontroly</w:t>
      </w:r>
      <w:r>
        <w:rPr>
          <w:rFonts w:asciiTheme="minorHAnsi" w:hAnsiTheme="minorHAnsi" w:cstheme="minorHAnsi"/>
          <w:spacing w:val="-2"/>
        </w:rPr>
        <w:t xml:space="preserve"> NKÚ</w:t>
      </w:r>
      <w:r w:rsidR="00E909E6">
        <w:rPr>
          <w:rFonts w:asciiTheme="minorHAnsi" w:hAnsiTheme="minorHAnsi" w:cstheme="minorHAnsi"/>
          <w:spacing w:val="-2"/>
        </w:rPr>
        <w:t xml:space="preserve"> ještě </w:t>
      </w:r>
      <w:r w:rsidR="00211287">
        <w:rPr>
          <w:rFonts w:asciiTheme="minorHAnsi" w:hAnsiTheme="minorHAnsi" w:cstheme="minorHAnsi"/>
          <w:spacing w:val="-2"/>
        </w:rPr>
        <w:t>před</w:t>
      </w:r>
      <w:r w:rsidR="0000057A">
        <w:rPr>
          <w:rFonts w:asciiTheme="minorHAnsi" w:hAnsiTheme="minorHAnsi" w:cstheme="minorHAnsi"/>
          <w:spacing w:val="-2"/>
        </w:rPr>
        <w:t> </w:t>
      </w:r>
      <w:r w:rsidR="00211287">
        <w:rPr>
          <w:rFonts w:asciiTheme="minorHAnsi" w:hAnsiTheme="minorHAnsi" w:cstheme="minorHAnsi"/>
          <w:spacing w:val="-2"/>
        </w:rPr>
        <w:t>uzavřením účetní</w:t>
      </w:r>
      <w:r w:rsidR="00DD1CEF">
        <w:rPr>
          <w:rFonts w:asciiTheme="minorHAnsi" w:hAnsiTheme="minorHAnsi" w:cstheme="minorHAnsi"/>
          <w:spacing w:val="-2"/>
        </w:rPr>
        <w:t>c</w:t>
      </w:r>
      <w:r w:rsidR="00211287">
        <w:rPr>
          <w:rFonts w:asciiTheme="minorHAnsi" w:hAnsiTheme="minorHAnsi" w:cstheme="minorHAnsi"/>
          <w:spacing w:val="-2"/>
        </w:rPr>
        <w:t>h</w:t>
      </w:r>
      <w:r w:rsidR="00DD1CEF">
        <w:rPr>
          <w:rFonts w:asciiTheme="minorHAnsi" w:hAnsiTheme="minorHAnsi" w:cstheme="minorHAnsi"/>
          <w:spacing w:val="-2"/>
        </w:rPr>
        <w:t xml:space="preserve"> knih</w:t>
      </w:r>
      <w:r w:rsidR="008033C3">
        <w:rPr>
          <w:rFonts w:asciiTheme="minorHAnsi" w:hAnsiTheme="minorHAnsi" w:cstheme="minorHAnsi"/>
          <w:spacing w:val="-2"/>
        </w:rPr>
        <w:t xml:space="preserve"> a sestavením účetní závěrky</w:t>
      </w:r>
      <w:r w:rsidR="00211287" w:rsidRPr="00730759">
        <w:rPr>
          <w:rFonts w:asciiTheme="minorHAnsi" w:hAnsiTheme="minorHAnsi" w:cstheme="minorHAnsi"/>
          <w:spacing w:val="-2"/>
        </w:rPr>
        <w:t>.</w:t>
      </w:r>
      <w:r w:rsidR="008033C3">
        <w:rPr>
          <w:rFonts w:asciiTheme="minorHAnsi" w:hAnsiTheme="minorHAnsi" w:cstheme="minorHAnsi"/>
          <w:spacing w:val="-2"/>
        </w:rPr>
        <w:t xml:space="preserve"> </w:t>
      </w:r>
      <w:r w:rsidR="00C679E0">
        <w:rPr>
          <w:rFonts w:asciiTheme="minorHAnsi" w:hAnsiTheme="minorHAnsi" w:cstheme="minorHAnsi"/>
          <w:spacing w:val="-2"/>
        </w:rPr>
        <w:t>MS Praha</w:t>
      </w:r>
      <w:r w:rsidR="008033C3">
        <w:rPr>
          <w:rFonts w:asciiTheme="minorHAnsi" w:hAnsiTheme="minorHAnsi" w:cs="Calibri"/>
          <w:bCs/>
        </w:rPr>
        <w:t xml:space="preserve"> </w:t>
      </w:r>
      <w:r w:rsidR="00176EDB">
        <w:rPr>
          <w:rFonts w:asciiTheme="minorHAnsi" w:hAnsiTheme="minorHAnsi" w:cs="Calibri"/>
          <w:bCs/>
        </w:rPr>
        <w:t xml:space="preserve">takto </w:t>
      </w:r>
      <w:r w:rsidR="008033C3">
        <w:rPr>
          <w:rFonts w:asciiTheme="minorHAnsi" w:hAnsiTheme="minorHAnsi" w:cs="Calibri"/>
          <w:bCs/>
        </w:rPr>
        <w:t xml:space="preserve">opravil </w:t>
      </w:r>
      <w:r w:rsidR="00176EDB">
        <w:rPr>
          <w:rFonts w:asciiTheme="minorHAnsi" w:hAnsiTheme="minorHAnsi" w:cs="Calibri"/>
          <w:bCs/>
        </w:rPr>
        <w:t>v</w:t>
      </w:r>
      <w:r w:rsidR="00C679E0">
        <w:rPr>
          <w:rFonts w:asciiTheme="minorHAnsi" w:hAnsiTheme="minorHAnsi" w:cs="Calibri"/>
          <w:bCs/>
        </w:rPr>
        <w:t>šechny</w:t>
      </w:r>
      <w:r w:rsidR="00176EDB">
        <w:rPr>
          <w:rFonts w:asciiTheme="minorHAnsi" w:hAnsiTheme="minorHAnsi" w:cs="Calibri"/>
          <w:bCs/>
        </w:rPr>
        <w:t xml:space="preserve"> </w:t>
      </w:r>
      <w:r>
        <w:rPr>
          <w:rFonts w:asciiTheme="minorHAnsi" w:hAnsiTheme="minorHAnsi" w:cs="Calibri"/>
          <w:bCs/>
        </w:rPr>
        <w:t xml:space="preserve">kontrolou </w:t>
      </w:r>
      <w:r w:rsidR="00147320">
        <w:rPr>
          <w:rFonts w:asciiTheme="minorHAnsi" w:hAnsiTheme="minorHAnsi" w:cs="Calibri"/>
          <w:bCs/>
        </w:rPr>
        <w:t>zjištěn</w:t>
      </w:r>
      <w:r w:rsidR="00C679E0">
        <w:rPr>
          <w:rFonts w:asciiTheme="minorHAnsi" w:hAnsiTheme="minorHAnsi" w:cs="Calibri"/>
          <w:bCs/>
        </w:rPr>
        <w:t>é</w:t>
      </w:r>
      <w:r w:rsidR="009F469A">
        <w:rPr>
          <w:rFonts w:asciiTheme="minorHAnsi" w:hAnsiTheme="minorHAnsi" w:cs="Calibri"/>
          <w:bCs/>
        </w:rPr>
        <w:t xml:space="preserve"> </w:t>
      </w:r>
      <w:r w:rsidR="008033C3" w:rsidRPr="008033C3">
        <w:rPr>
          <w:rFonts w:asciiTheme="minorHAnsi" w:hAnsiTheme="minorHAnsi" w:cs="Calibri"/>
          <w:bCs/>
        </w:rPr>
        <w:t>nedostatk</w:t>
      </w:r>
      <w:r w:rsidR="00C679E0">
        <w:rPr>
          <w:rFonts w:asciiTheme="minorHAnsi" w:hAnsiTheme="minorHAnsi" w:cs="Calibri"/>
          <w:bCs/>
        </w:rPr>
        <w:t>y</w:t>
      </w:r>
      <w:r w:rsidR="00E464F1" w:rsidRPr="00C231F2">
        <w:rPr>
          <w:rFonts w:asciiTheme="minorHAnsi" w:hAnsiTheme="minorHAnsi" w:cs="Calibri"/>
          <w:bCs/>
        </w:rPr>
        <w:t>.</w:t>
      </w:r>
    </w:p>
    <w:p w14:paraId="06298AF0" w14:textId="77777777" w:rsidR="009435D2" w:rsidRDefault="009435D2" w:rsidP="00E82A76">
      <w:pPr>
        <w:spacing w:after="0"/>
        <w:jc w:val="both"/>
        <w:rPr>
          <w:rFonts w:asciiTheme="minorHAnsi" w:hAnsiTheme="minorHAnsi" w:cs="Calibri"/>
          <w:bCs/>
        </w:rPr>
      </w:pPr>
    </w:p>
    <w:p w14:paraId="02C3DAAE" w14:textId="3CA101A3" w:rsidR="00E82A76" w:rsidRPr="00B20632" w:rsidRDefault="00595049" w:rsidP="00DF6AD0">
      <w:pPr>
        <w:pStyle w:val="Styl2"/>
        <w:numPr>
          <w:ilvl w:val="0"/>
          <w:numId w:val="0"/>
        </w:numPr>
        <w:ind w:left="1276" w:hanging="556"/>
        <w:rPr>
          <w:b w:val="0"/>
        </w:rPr>
      </w:pPr>
      <w:r w:rsidRPr="00595049">
        <w:t>1.1.1</w:t>
      </w:r>
      <w:r>
        <w:t xml:space="preserve"> </w:t>
      </w:r>
      <w:r>
        <w:tab/>
      </w:r>
      <w:r w:rsidR="002A02FE" w:rsidRPr="00B20632">
        <w:t>Pohledávky</w:t>
      </w:r>
    </w:p>
    <w:p w14:paraId="2EA8EF3F" w14:textId="443FB8E7" w:rsidR="00E82A76" w:rsidRPr="004D2A79" w:rsidRDefault="0076064C" w:rsidP="00DF6AD0">
      <w:pPr>
        <w:spacing w:after="240"/>
        <w:jc w:val="both"/>
        <w:rPr>
          <w:rFonts w:asciiTheme="minorHAnsi" w:hAnsiTheme="minorHAnsi" w:cs="Calibri"/>
          <w:bCs/>
        </w:rPr>
      </w:pPr>
      <w:r w:rsidRPr="004D2A79">
        <w:rPr>
          <w:rFonts w:asciiTheme="minorHAnsi" w:hAnsiTheme="minorHAnsi" w:cs="Calibri"/>
          <w:bCs/>
        </w:rPr>
        <w:t>MS Praha</w:t>
      </w:r>
      <w:r w:rsidR="00E82A76" w:rsidRPr="004D2A79">
        <w:rPr>
          <w:rFonts w:asciiTheme="minorHAnsi" w:hAnsiTheme="minorHAnsi" w:cs="Calibri"/>
          <w:bCs/>
        </w:rPr>
        <w:t xml:space="preserve"> </w:t>
      </w:r>
      <w:r w:rsidR="008233C4">
        <w:rPr>
          <w:rFonts w:asciiTheme="minorHAnsi" w:hAnsiTheme="minorHAnsi" w:cs="Calibri"/>
          <w:bCs/>
        </w:rPr>
        <w:t xml:space="preserve">u </w:t>
      </w:r>
      <w:r w:rsidR="00E82A76" w:rsidRPr="004D2A79">
        <w:rPr>
          <w:rFonts w:asciiTheme="minorHAnsi" w:hAnsiTheme="minorHAnsi" w:cs="Calibri"/>
          <w:bCs/>
        </w:rPr>
        <w:t>přeměn peněžitých trestů na tresty odnětí svobody</w:t>
      </w:r>
      <w:r w:rsidR="008233C4">
        <w:rPr>
          <w:rFonts w:asciiTheme="minorHAnsi" w:hAnsiTheme="minorHAnsi" w:cs="Calibri"/>
          <w:bCs/>
        </w:rPr>
        <w:t xml:space="preserve"> </w:t>
      </w:r>
      <w:r w:rsidR="008233C4" w:rsidRPr="008233C4">
        <w:rPr>
          <w:rFonts w:asciiTheme="minorHAnsi" w:hAnsiTheme="minorHAnsi" w:cs="Calibri"/>
          <w:b/>
          <w:bCs/>
        </w:rPr>
        <w:t>neúčtoval</w:t>
      </w:r>
      <w:r w:rsidR="002A02FE" w:rsidRPr="008233C4">
        <w:rPr>
          <w:rFonts w:asciiTheme="minorHAnsi" w:hAnsiTheme="minorHAnsi" w:cs="Calibri"/>
          <w:b/>
          <w:bCs/>
        </w:rPr>
        <w:t xml:space="preserve"> </w:t>
      </w:r>
      <w:r w:rsidR="002A02FE" w:rsidRPr="004D2A79">
        <w:rPr>
          <w:rFonts w:asciiTheme="minorHAnsi" w:hAnsiTheme="minorHAnsi" w:cs="Calibri"/>
          <w:b/>
          <w:bCs/>
        </w:rPr>
        <w:t>o vyřazení pohledávek</w:t>
      </w:r>
      <w:r w:rsidR="008823F5" w:rsidRPr="004D2A79">
        <w:rPr>
          <w:rFonts w:asciiTheme="minorHAnsi" w:hAnsiTheme="minorHAnsi" w:cs="Calibri"/>
          <w:b/>
          <w:bCs/>
        </w:rPr>
        <w:t xml:space="preserve"> z rozvahy</w:t>
      </w:r>
      <w:r w:rsidR="008823F5" w:rsidRPr="004D2A79">
        <w:rPr>
          <w:rFonts w:asciiTheme="minorHAnsi" w:hAnsiTheme="minorHAnsi" w:cs="Calibri"/>
          <w:bCs/>
        </w:rPr>
        <w:t xml:space="preserve"> v okamžiku pravomocného usnesení soudu, kterým soud rozhodl o</w:t>
      </w:r>
      <w:r w:rsidR="00375A81">
        <w:rPr>
          <w:rFonts w:asciiTheme="minorHAnsi" w:hAnsiTheme="minorHAnsi" w:cs="Calibri"/>
          <w:bCs/>
        </w:rPr>
        <w:t> </w:t>
      </w:r>
      <w:r w:rsidR="008823F5" w:rsidRPr="004D2A79">
        <w:rPr>
          <w:rFonts w:asciiTheme="minorHAnsi" w:hAnsiTheme="minorHAnsi" w:cs="Calibri"/>
          <w:bCs/>
        </w:rPr>
        <w:t>výkonu náhradního trestu odnětí svobody.</w:t>
      </w:r>
    </w:p>
    <w:p w14:paraId="21EF19E9" w14:textId="4A2F7920" w:rsidR="00E82A76" w:rsidRPr="004D2A79" w:rsidRDefault="008823F5" w:rsidP="00DF6AD0">
      <w:pPr>
        <w:spacing w:after="240"/>
        <w:jc w:val="both"/>
        <w:rPr>
          <w:rFonts w:asciiTheme="minorHAnsi" w:hAnsiTheme="minorHAnsi" w:cs="Calibri"/>
          <w:bCs/>
        </w:rPr>
      </w:pPr>
      <w:r w:rsidRPr="004D2A79">
        <w:rPr>
          <w:rFonts w:asciiTheme="minorHAnsi" w:hAnsiTheme="minorHAnsi" w:cs="Calibri"/>
          <w:bCs/>
        </w:rPr>
        <w:t xml:space="preserve">V okamžiku pravomocného usnesení soudu </w:t>
      </w:r>
      <w:r w:rsidR="00A10E56" w:rsidRPr="004D2A79">
        <w:rPr>
          <w:rFonts w:asciiTheme="minorHAnsi" w:hAnsiTheme="minorHAnsi" w:cs="Calibri"/>
          <w:bCs/>
        </w:rPr>
        <w:t xml:space="preserve">přitom </w:t>
      </w:r>
      <w:r w:rsidRPr="004D2A79">
        <w:rPr>
          <w:rFonts w:asciiTheme="minorHAnsi" w:hAnsiTheme="minorHAnsi" w:cs="Calibri"/>
          <w:bCs/>
        </w:rPr>
        <w:t>zaniká nárok MS Praha na vymáhání plnění a je již zcela na odsouzeném, zda se dobrovolně rozhodne peněžitý trest nebo jeho část zaplatit</w:t>
      </w:r>
      <w:r w:rsidR="002B3676">
        <w:rPr>
          <w:rFonts w:asciiTheme="minorHAnsi" w:hAnsiTheme="minorHAnsi" w:cs="Calibri"/>
          <w:bCs/>
        </w:rPr>
        <w:t>, nebo zda nastoupí k výkonu</w:t>
      </w:r>
      <w:r w:rsidRPr="004D2A79">
        <w:rPr>
          <w:rFonts w:asciiTheme="minorHAnsi" w:hAnsiTheme="minorHAnsi" w:cs="Calibri"/>
          <w:bCs/>
        </w:rPr>
        <w:t xml:space="preserve"> trest</w:t>
      </w:r>
      <w:r w:rsidR="002B3676">
        <w:rPr>
          <w:rFonts w:asciiTheme="minorHAnsi" w:hAnsiTheme="minorHAnsi" w:cs="Calibri"/>
          <w:bCs/>
        </w:rPr>
        <w:t>u</w:t>
      </w:r>
      <w:r w:rsidRPr="004D2A79">
        <w:rPr>
          <w:rFonts w:asciiTheme="minorHAnsi" w:hAnsiTheme="minorHAnsi" w:cs="Calibri"/>
          <w:bCs/>
        </w:rPr>
        <w:t xml:space="preserve"> odnětí svobody.</w:t>
      </w:r>
    </w:p>
    <w:p w14:paraId="6CC1B7D7" w14:textId="497D761D" w:rsidR="00E82A76" w:rsidRPr="004D2A79" w:rsidRDefault="00A10E56" w:rsidP="00DF6AD0">
      <w:pPr>
        <w:spacing w:after="240"/>
        <w:jc w:val="both"/>
        <w:rPr>
          <w:rFonts w:asciiTheme="minorHAnsi" w:hAnsiTheme="minorHAnsi" w:cs="Calibri"/>
          <w:bCs/>
        </w:rPr>
      </w:pPr>
      <w:r w:rsidRPr="004D2A79">
        <w:rPr>
          <w:rFonts w:asciiTheme="minorHAnsi" w:hAnsiTheme="minorHAnsi" w:cs="Calibri"/>
          <w:bCs/>
        </w:rPr>
        <w:t>MS Praha</w:t>
      </w:r>
      <w:r w:rsidR="002A02FE" w:rsidRPr="004D2A79">
        <w:rPr>
          <w:rFonts w:asciiTheme="minorHAnsi" w:hAnsiTheme="minorHAnsi" w:cs="Calibri"/>
          <w:bCs/>
        </w:rPr>
        <w:t xml:space="preserve"> </w:t>
      </w:r>
      <w:r w:rsidRPr="004D2A79">
        <w:rPr>
          <w:rFonts w:asciiTheme="minorHAnsi" w:hAnsiTheme="minorHAnsi" w:cs="Calibri"/>
          <w:bCs/>
        </w:rPr>
        <w:t xml:space="preserve">měl </w:t>
      </w:r>
      <w:r w:rsidR="00BD4800" w:rsidRPr="004D2A79">
        <w:rPr>
          <w:rFonts w:asciiTheme="minorHAnsi" w:hAnsiTheme="minorHAnsi" w:cs="Calibri"/>
          <w:bCs/>
        </w:rPr>
        <w:t xml:space="preserve">proto </w:t>
      </w:r>
      <w:r w:rsidRPr="004D2A79">
        <w:rPr>
          <w:rFonts w:asciiTheme="minorHAnsi" w:hAnsiTheme="minorHAnsi" w:cs="Calibri"/>
          <w:bCs/>
        </w:rPr>
        <w:t>případy přeměn peněžitých trestů na tresty odnětí svobody vykazovat</w:t>
      </w:r>
      <w:r w:rsidR="008823F5" w:rsidRPr="004D2A79">
        <w:rPr>
          <w:rFonts w:asciiTheme="minorHAnsi" w:hAnsiTheme="minorHAnsi" w:cs="Calibri"/>
          <w:bCs/>
        </w:rPr>
        <w:t xml:space="preserve"> na podroz</w:t>
      </w:r>
      <w:r w:rsidR="002A02FE" w:rsidRPr="004D2A79">
        <w:rPr>
          <w:rFonts w:asciiTheme="minorHAnsi" w:hAnsiTheme="minorHAnsi" w:cs="Calibri"/>
          <w:bCs/>
        </w:rPr>
        <w:t>vahovém</w:t>
      </w:r>
      <w:r w:rsidR="008823F5" w:rsidRPr="004D2A79">
        <w:rPr>
          <w:rFonts w:asciiTheme="minorHAnsi" w:hAnsiTheme="minorHAnsi" w:cs="Calibri"/>
          <w:bCs/>
        </w:rPr>
        <w:t xml:space="preserve"> účtu 905 – </w:t>
      </w:r>
      <w:r w:rsidR="008823F5" w:rsidRPr="004D2A79">
        <w:rPr>
          <w:rFonts w:asciiTheme="minorHAnsi" w:hAnsiTheme="minorHAnsi" w:cs="Calibri"/>
          <w:bCs/>
          <w:i/>
        </w:rPr>
        <w:t>Vyřazené pohledávky</w:t>
      </w:r>
      <w:r w:rsidR="008823F5" w:rsidRPr="004D2A79">
        <w:rPr>
          <w:rFonts w:asciiTheme="minorHAnsi" w:hAnsiTheme="minorHAnsi" w:cs="Calibri"/>
          <w:bCs/>
        </w:rPr>
        <w:t>.</w:t>
      </w:r>
    </w:p>
    <w:p w14:paraId="5EB695C9" w14:textId="77777777" w:rsidR="00AF51D6" w:rsidRPr="004D2A79" w:rsidRDefault="00A10E56" w:rsidP="007D6AD1">
      <w:pPr>
        <w:spacing w:after="0"/>
        <w:jc w:val="both"/>
        <w:rPr>
          <w:rFonts w:asciiTheme="minorHAnsi" w:hAnsiTheme="minorHAnsi" w:cs="Calibri"/>
          <w:bCs/>
        </w:rPr>
      </w:pPr>
      <w:r w:rsidRPr="004D2A79">
        <w:rPr>
          <w:rFonts w:asciiTheme="minorHAnsi" w:hAnsiTheme="minorHAnsi" w:cs="Calibri"/>
          <w:bCs/>
        </w:rPr>
        <w:t>Jednalo se o systémový nedostatek</w:t>
      </w:r>
      <w:r w:rsidR="0034386F" w:rsidRPr="004D2A79">
        <w:rPr>
          <w:rFonts w:asciiTheme="minorHAnsi" w:hAnsiTheme="minorHAnsi" w:cs="Calibri"/>
          <w:bCs/>
        </w:rPr>
        <w:t xml:space="preserve"> v celkové výši 37 mil. Kč</w:t>
      </w:r>
      <w:r w:rsidRPr="004D2A79">
        <w:rPr>
          <w:rFonts w:asciiTheme="minorHAnsi" w:hAnsiTheme="minorHAnsi" w:cs="Calibri"/>
          <w:bCs/>
        </w:rPr>
        <w:t>, ke kterému přijal systémov</w:t>
      </w:r>
      <w:r w:rsidR="004A28CB" w:rsidRPr="004D2A79">
        <w:rPr>
          <w:rFonts w:asciiTheme="minorHAnsi" w:hAnsiTheme="minorHAnsi" w:cs="Calibri"/>
          <w:bCs/>
        </w:rPr>
        <w:t>é</w:t>
      </w:r>
      <w:r w:rsidRPr="004D2A79">
        <w:rPr>
          <w:rFonts w:asciiTheme="minorHAnsi" w:hAnsiTheme="minorHAnsi" w:cs="Calibri"/>
          <w:bCs/>
        </w:rPr>
        <w:t xml:space="preserve"> opatření</w:t>
      </w:r>
      <w:r w:rsidR="008233C4">
        <w:rPr>
          <w:rFonts w:asciiTheme="minorHAnsi" w:hAnsiTheme="minorHAnsi" w:cs="Calibri"/>
          <w:bCs/>
        </w:rPr>
        <w:t xml:space="preserve"> nejen MS Praha, ale</w:t>
      </w:r>
      <w:r w:rsidRPr="004D2A79">
        <w:rPr>
          <w:rFonts w:asciiTheme="minorHAnsi" w:hAnsiTheme="minorHAnsi" w:cs="Calibri"/>
          <w:bCs/>
        </w:rPr>
        <w:t xml:space="preserve"> i </w:t>
      </w:r>
      <w:r w:rsidR="004A28CB" w:rsidRPr="004D2A79">
        <w:rPr>
          <w:rFonts w:asciiTheme="minorHAnsi" w:hAnsiTheme="minorHAnsi" w:cs="Calibri"/>
          <w:bCs/>
        </w:rPr>
        <w:t>správce kapitoly</w:t>
      </w:r>
      <w:r w:rsidR="00F40C26" w:rsidRPr="004D2A79">
        <w:rPr>
          <w:rFonts w:asciiTheme="minorHAnsi" w:hAnsiTheme="minorHAnsi" w:cs="Calibri"/>
          <w:bCs/>
        </w:rPr>
        <w:t xml:space="preserve"> státního rozpočtu</w:t>
      </w:r>
      <w:r w:rsidR="00797EE3" w:rsidRPr="004D2A79">
        <w:rPr>
          <w:rFonts w:asciiTheme="minorHAnsi" w:hAnsiTheme="minorHAnsi" w:cs="Calibri"/>
          <w:bCs/>
        </w:rPr>
        <w:t>, který</w:t>
      </w:r>
      <w:r w:rsidR="004A28CB" w:rsidRPr="004D2A79">
        <w:rPr>
          <w:rFonts w:asciiTheme="minorHAnsi" w:hAnsiTheme="minorHAnsi" w:cs="Calibri"/>
          <w:bCs/>
        </w:rPr>
        <w:t xml:space="preserve"> </w:t>
      </w:r>
      <w:r w:rsidRPr="004D2A79">
        <w:rPr>
          <w:rFonts w:asciiTheme="minorHAnsi" w:hAnsiTheme="minorHAnsi" w:cs="Calibri"/>
          <w:bCs/>
        </w:rPr>
        <w:t xml:space="preserve">jako nadřízený správní úřad </w:t>
      </w:r>
      <w:r w:rsidR="00797EE3" w:rsidRPr="004D2A79">
        <w:rPr>
          <w:rFonts w:asciiTheme="minorHAnsi" w:hAnsiTheme="minorHAnsi" w:cs="Calibri"/>
          <w:bCs/>
        </w:rPr>
        <w:t xml:space="preserve">vydal k dané problematice </w:t>
      </w:r>
      <w:r w:rsidRPr="004D2A79">
        <w:rPr>
          <w:rFonts w:asciiTheme="minorHAnsi" w:hAnsiTheme="minorHAnsi" w:cs="Calibri"/>
          <w:bCs/>
        </w:rPr>
        <w:t>metodick</w:t>
      </w:r>
      <w:r w:rsidR="004A28CB" w:rsidRPr="004D2A79">
        <w:rPr>
          <w:rFonts w:asciiTheme="minorHAnsi" w:hAnsiTheme="minorHAnsi" w:cs="Calibri"/>
          <w:bCs/>
        </w:rPr>
        <w:t>ý</w:t>
      </w:r>
      <w:r w:rsidRPr="004D2A79">
        <w:rPr>
          <w:rFonts w:asciiTheme="minorHAnsi" w:hAnsiTheme="minorHAnsi" w:cs="Calibri"/>
          <w:bCs/>
        </w:rPr>
        <w:t xml:space="preserve"> pokyn pro</w:t>
      </w:r>
      <w:r w:rsidR="004A28CB" w:rsidRPr="004D2A79">
        <w:rPr>
          <w:rFonts w:asciiTheme="minorHAnsi" w:hAnsiTheme="minorHAnsi" w:cs="Calibri"/>
          <w:bCs/>
        </w:rPr>
        <w:t xml:space="preserve"> všechny</w:t>
      </w:r>
      <w:r w:rsidRPr="004D2A79">
        <w:rPr>
          <w:rFonts w:asciiTheme="minorHAnsi" w:hAnsiTheme="minorHAnsi" w:cs="Calibri"/>
          <w:bCs/>
        </w:rPr>
        <w:t xml:space="preserve"> soudy</w:t>
      </w:r>
      <w:r w:rsidR="00797EE3" w:rsidRPr="004D2A79">
        <w:rPr>
          <w:rFonts w:asciiTheme="minorHAnsi" w:hAnsiTheme="minorHAnsi" w:cs="Calibri"/>
          <w:bCs/>
        </w:rPr>
        <w:t>.</w:t>
      </w:r>
    </w:p>
    <w:p w14:paraId="1D9D2267" w14:textId="77777777" w:rsidR="00E82A76" w:rsidRPr="004D2A79" w:rsidRDefault="00E82A76" w:rsidP="007D6AD1">
      <w:pPr>
        <w:spacing w:after="0"/>
        <w:jc w:val="both"/>
        <w:rPr>
          <w:rFonts w:asciiTheme="minorHAnsi" w:hAnsiTheme="minorHAnsi" w:cs="Calibri"/>
          <w:bCs/>
        </w:rPr>
      </w:pPr>
    </w:p>
    <w:p w14:paraId="303D8FDA" w14:textId="1A46A82E" w:rsidR="009435D2" w:rsidRDefault="00F95E4B" w:rsidP="00BD4800">
      <w:pPr>
        <w:pStyle w:val="Odstavecseseznamem"/>
        <w:spacing w:after="0"/>
        <w:ind w:left="0"/>
        <w:contextualSpacing w:val="0"/>
        <w:jc w:val="both"/>
        <w:rPr>
          <w:rFonts w:asciiTheme="minorHAnsi" w:hAnsiTheme="minorHAnsi" w:cs="Calibri"/>
          <w:bCs/>
        </w:rPr>
      </w:pPr>
      <w:r w:rsidRPr="004D2A79">
        <w:rPr>
          <w:rFonts w:asciiTheme="minorHAnsi" w:hAnsiTheme="minorHAnsi" w:cs="Calibri"/>
          <w:bCs/>
        </w:rPr>
        <w:t xml:space="preserve">Dále </w:t>
      </w:r>
      <w:r w:rsidR="002A02FE" w:rsidRPr="004D2A79">
        <w:rPr>
          <w:rFonts w:asciiTheme="minorHAnsi" w:hAnsiTheme="minorHAnsi" w:cs="Calibri"/>
          <w:bCs/>
        </w:rPr>
        <w:t>MS Praha</w:t>
      </w:r>
      <w:r w:rsidR="00A73AA2">
        <w:rPr>
          <w:rFonts w:asciiTheme="minorHAnsi" w:hAnsiTheme="minorHAnsi" w:cs="Calibri"/>
          <w:bCs/>
        </w:rPr>
        <w:t xml:space="preserve"> v rámci oprav</w:t>
      </w:r>
      <w:r w:rsidR="002A02FE" w:rsidRPr="004D2A79">
        <w:rPr>
          <w:rFonts w:asciiTheme="minorHAnsi" w:hAnsiTheme="minorHAnsi" w:cs="Calibri"/>
          <w:bCs/>
        </w:rPr>
        <w:t xml:space="preserve"> </w:t>
      </w:r>
      <w:r w:rsidR="002A02FE" w:rsidRPr="004D2A79">
        <w:rPr>
          <w:rFonts w:asciiTheme="minorHAnsi" w:hAnsiTheme="minorHAnsi" w:cs="Calibri"/>
          <w:b/>
          <w:bCs/>
        </w:rPr>
        <w:t xml:space="preserve">vyřadil </w:t>
      </w:r>
      <w:r w:rsidR="002A02FE" w:rsidRPr="004D2A79">
        <w:rPr>
          <w:rFonts w:asciiTheme="minorHAnsi" w:hAnsiTheme="minorHAnsi" w:cs="Calibri"/>
          <w:bCs/>
        </w:rPr>
        <w:t xml:space="preserve">z podrozvahového účtu 905 – </w:t>
      </w:r>
      <w:r w:rsidR="002A02FE" w:rsidRPr="004D2A79">
        <w:rPr>
          <w:rFonts w:asciiTheme="minorHAnsi" w:hAnsiTheme="minorHAnsi" w:cs="Calibri"/>
          <w:bCs/>
          <w:i/>
        </w:rPr>
        <w:t xml:space="preserve">Vyřazené pohledávky </w:t>
      </w:r>
      <w:r w:rsidR="009435D2" w:rsidRPr="004D2A79">
        <w:rPr>
          <w:rFonts w:asciiTheme="minorHAnsi" w:hAnsiTheme="minorHAnsi" w:cs="Calibri"/>
          <w:bCs/>
        </w:rPr>
        <w:t xml:space="preserve">tři </w:t>
      </w:r>
      <w:r w:rsidR="002A02FE" w:rsidRPr="004D2A79">
        <w:rPr>
          <w:rFonts w:asciiTheme="minorHAnsi" w:hAnsiTheme="minorHAnsi" w:cs="Calibri"/>
          <w:bCs/>
        </w:rPr>
        <w:t xml:space="preserve">prekludované, a tedy </w:t>
      </w:r>
      <w:r w:rsidR="002A02FE" w:rsidRPr="004D2A79">
        <w:rPr>
          <w:rFonts w:asciiTheme="minorHAnsi" w:hAnsiTheme="minorHAnsi" w:cs="Calibri"/>
          <w:b/>
          <w:bCs/>
        </w:rPr>
        <w:t>zaniklé pohledávky</w:t>
      </w:r>
      <w:r w:rsidR="002A02FE" w:rsidRPr="004D2A79">
        <w:rPr>
          <w:rFonts w:asciiTheme="minorHAnsi" w:hAnsiTheme="minorHAnsi" w:cs="Calibri"/>
          <w:bCs/>
        </w:rPr>
        <w:t xml:space="preserve"> </w:t>
      </w:r>
      <w:r w:rsidR="002B3676">
        <w:rPr>
          <w:rFonts w:asciiTheme="minorHAnsi" w:hAnsiTheme="minorHAnsi" w:cs="Calibri"/>
          <w:bCs/>
        </w:rPr>
        <w:t>(</w:t>
      </w:r>
      <w:r w:rsidR="002A02FE" w:rsidRPr="004D2A79">
        <w:rPr>
          <w:rFonts w:asciiTheme="minorHAnsi" w:hAnsiTheme="minorHAnsi" w:cs="Calibri"/>
          <w:bCs/>
        </w:rPr>
        <w:t>u nichž již neexistovalo právo na peněžité plnění</w:t>
      </w:r>
      <w:r w:rsidR="002B3676">
        <w:rPr>
          <w:rFonts w:asciiTheme="minorHAnsi" w:hAnsiTheme="minorHAnsi" w:cs="Calibri"/>
          <w:bCs/>
        </w:rPr>
        <w:t>)</w:t>
      </w:r>
      <w:r w:rsidR="002A02FE" w:rsidRPr="004D2A79">
        <w:rPr>
          <w:rFonts w:asciiTheme="minorHAnsi" w:hAnsiTheme="minorHAnsi" w:cs="Calibri"/>
          <w:bCs/>
        </w:rPr>
        <w:t xml:space="preserve"> v celkové výši 3,1 mil. Kč.</w:t>
      </w:r>
    </w:p>
    <w:p w14:paraId="44C46E25" w14:textId="77777777" w:rsidR="00BD4800" w:rsidRPr="004D2A79" w:rsidRDefault="00BD4800" w:rsidP="00B20632">
      <w:pPr>
        <w:pStyle w:val="Odstavecseseznamem"/>
        <w:spacing w:after="0"/>
        <w:ind w:left="0"/>
        <w:contextualSpacing w:val="0"/>
        <w:jc w:val="both"/>
        <w:rPr>
          <w:rFonts w:asciiTheme="minorHAnsi" w:hAnsiTheme="minorHAnsi" w:cs="Calibri"/>
          <w:bCs/>
        </w:rPr>
      </w:pPr>
    </w:p>
    <w:p w14:paraId="401DD75F" w14:textId="41DD8D08" w:rsidR="003F7E23" w:rsidRPr="004D2A79" w:rsidRDefault="004D2A79" w:rsidP="00B20632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průběhu kontroly </w:t>
      </w:r>
      <w:r w:rsidRPr="009F5E2D">
        <w:rPr>
          <w:rFonts w:asciiTheme="minorHAnsi" w:hAnsiTheme="minorHAnsi" w:cstheme="minorHAnsi"/>
          <w:b/>
        </w:rPr>
        <w:t xml:space="preserve">opravil </w:t>
      </w:r>
      <w:r>
        <w:rPr>
          <w:rFonts w:asciiTheme="minorHAnsi" w:hAnsiTheme="minorHAnsi" w:cstheme="minorHAnsi"/>
        </w:rPr>
        <w:t>MS Praha</w:t>
      </w:r>
      <w:r w:rsidR="00F95E4B" w:rsidRPr="004D2A79">
        <w:rPr>
          <w:rFonts w:asciiTheme="minorHAnsi" w:hAnsiTheme="minorHAnsi" w:cstheme="minorHAnsi"/>
        </w:rPr>
        <w:t xml:space="preserve"> u</w:t>
      </w:r>
      <w:r w:rsidR="009435D2" w:rsidRPr="004D2A79">
        <w:rPr>
          <w:rFonts w:asciiTheme="minorHAnsi" w:hAnsiTheme="minorHAnsi" w:cstheme="minorHAnsi"/>
        </w:rPr>
        <w:t xml:space="preserve"> jedné</w:t>
      </w:r>
      <w:r w:rsidR="003F7E23" w:rsidRPr="004D2A79">
        <w:rPr>
          <w:rFonts w:asciiTheme="minorHAnsi" w:hAnsiTheme="minorHAnsi" w:cstheme="minorHAnsi"/>
        </w:rPr>
        <w:t xml:space="preserve"> </w:t>
      </w:r>
      <w:r w:rsidR="00763F55" w:rsidRPr="004D2A79">
        <w:rPr>
          <w:rFonts w:asciiTheme="minorHAnsi" w:hAnsiTheme="minorHAnsi" w:cstheme="minorHAnsi"/>
        </w:rPr>
        <w:t xml:space="preserve">pohledávky promlčené </w:t>
      </w:r>
      <w:r w:rsidR="003F7E23" w:rsidRPr="004D2A79">
        <w:rPr>
          <w:rFonts w:asciiTheme="minorHAnsi" w:hAnsiTheme="minorHAnsi" w:cstheme="minorHAnsi"/>
        </w:rPr>
        <w:t xml:space="preserve">v minulosti </w:t>
      </w:r>
      <w:r w:rsidR="003F7E23" w:rsidRPr="004D2A79">
        <w:rPr>
          <w:rFonts w:asciiTheme="minorHAnsi" w:hAnsiTheme="minorHAnsi" w:cstheme="minorHAnsi"/>
          <w:b/>
        </w:rPr>
        <w:t>účtování o</w:t>
      </w:r>
      <w:r w:rsidR="00274A10">
        <w:rPr>
          <w:rFonts w:asciiTheme="minorHAnsi" w:hAnsiTheme="minorHAnsi" w:cstheme="minorHAnsi"/>
          <w:b/>
        </w:rPr>
        <w:t> </w:t>
      </w:r>
      <w:r w:rsidR="009435D2" w:rsidRPr="004D2A79">
        <w:rPr>
          <w:rFonts w:asciiTheme="minorHAnsi" w:hAnsiTheme="minorHAnsi" w:cstheme="minorHAnsi"/>
          <w:b/>
        </w:rPr>
        <w:t>jejím</w:t>
      </w:r>
      <w:r w:rsidR="003F7E23" w:rsidRPr="004D2A79">
        <w:rPr>
          <w:rFonts w:asciiTheme="minorHAnsi" w:hAnsiTheme="minorHAnsi" w:cstheme="minorHAnsi"/>
          <w:b/>
        </w:rPr>
        <w:t xml:space="preserve"> vyřazení</w:t>
      </w:r>
      <w:r w:rsidR="003F7E23" w:rsidRPr="004D2A79">
        <w:rPr>
          <w:rFonts w:asciiTheme="minorHAnsi" w:hAnsiTheme="minorHAnsi" w:cstheme="minorHAnsi"/>
        </w:rPr>
        <w:t xml:space="preserve"> </w:t>
      </w:r>
      <w:r w:rsidR="009435D2" w:rsidRPr="004D2A79">
        <w:rPr>
          <w:rFonts w:asciiTheme="minorHAnsi" w:hAnsiTheme="minorHAnsi" w:cstheme="minorHAnsi"/>
        </w:rPr>
        <w:t>a</w:t>
      </w:r>
      <w:r w:rsidR="003F7E23" w:rsidRPr="004D2A79">
        <w:rPr>
          <w:rFonts w:asciiTheme="minorHAnsi" w:hAnsiTheme="minorHAnsi" w:cstheme="minorHAnsi"/>
        </w:rPr>
        <w:t xml:space="preserve"> o zrušení vytvořených opravných položek</w:t>
      </w:r>
      <w:r w:rsidR="009435D2" w:rsidRPr="004D2A79">
        <w:rPr>
          <w:rFonts w:asciiTheme="minorHAnsi" w:hAnsiTheme="minorHAnsi" w:cstheme="minorHAnsi"/>
        </w:rPr>
        <w:t>.</w:t>
      </w:r>
      <w:r w:rsidR="00F95E4B" w:rsidRPr="004D2A79">
        <w:rPr>
          <w:rFonts w:asciiTheme="minorHAnsi" w:hAnsiTheme="minorHAnsi" w:cstheme="minorHAnsi"/>
        </w:rPr>
        <w:t xml:space="preserve"> </w:t>
      </w:r>
      <w:r w:rsidR="009435D2" w:rsidRPr="004D2A79">
        <w:rPr>
          <w:rFonts w:asciiTheme="minorHAnsi" w:hAnsiTheme="minorHAnsi" w:cstheme="minorHAnsi"/>
        </w:rPr>
        <w:t>N</w:t>
      </w:r>
      <w:r w:rsidR="003F7E23" w:rsidRPr="004D2A79">
        <w:rPr>
          <w:rFonts w:asciiTheme="minorHAnsi" w:hAnsiTheme="minorHAnsi" w:cstheme="minorHAnsi"/>
        </w:rPr>
        <w:t>áklady</w:t>
      </w:r>
      <w:r w:rsidR="009435D2" w:rsidRPr="004D2A79">
        <w:rPr>
          <w:rFonts w:asciiTheme="minorHAnsi" w:hAnsiTheme="minorHAnsi" w:cstheme="minorHAnsi"/>
        </w:rPr>
        <w:t xml:space="preserve"> chybně vykázané na účtech</w:t>
      </w:r>
      <w:r w:rsidR="00274A10">
        <w:rPr>
          <w:rFonts w:asciiTheme="minorHAnsi" w:hAnsiTheme="minorHAnsi" w:cstheme="minorHAnsi"/>
        </w:rPr>
        <w:t xml:space="preserve"> </w:t>
      </w:r>
      <w:r w:rsidR="003F7E23" w:rsidRPr="004D2A79">
        <w:rPr>
          <w:rFonts w:asciiTheme="minorHAnsi" w:hAnsiTheme="minorHAnsi" w:cstheme="minorHAnsi"/>
        </w:rPr>
        <w:t xml:space="preserve">557 – </w:t>
      </w:r>
      <w:r w:rsidR="003F7E23" w:rsidRPr="004D2A79">
        <w:rPr>
          <w:rFonts w:asciiTheme="minorHAnsi" w:hAnsiTheme="minorHAnsi" w:cstheme="minorHAnsi"/>
          <w:i/>
        </w:rPr>
        <w:t>Náklady z vyřazených pohledávek</w:t>
      </w:r>
      <w:r w:rsidR="003F7E23" w:rsidRPr="004D2A79">
        <w:rPr>
          <w:rFonts w:asciiTheme="minorHAnsi" w:hAnsiTheme="minorHAnsi" w:cstheme="minorHAnsi"/>
        </w:rPr>
        <w:t xml:space="preserve"> a 556 – </w:t>
      </w:r>
      <w:r w:rsidR="003F7E23" w:rsidRPr="004D2A79">
        <w:rPr>
          <w:rFonts w:asciiTheme="minorHAnsi" w:hAnsiTheme="minorHAnsi" w:cstheme="minorHAnsi"/>
          <w:i/>
        </w:rPr>
        <w:t>Tvorba a zúčtování opravných položek</w:t>
      </w:r>
      <w:r w:rsidR="003F7E23" w:rsidRPr="004D2A79">
        <w:rPr>
          <w:rFonts w:asciiTheme="minorHAnsi" w:hAnsiTheme="minorHAnsi" w:cstheme="minorHAnsi"/>
        </w:rPr>
        <w:t xml:space="preserve"> přeúčtoval na účet 408 – </w:t>
      </w:r>
      <w:r w:rsidR="003F7E23" w:rsidRPr="004D2A79">
        <w:rPr>
          <w:rFonts w:asciiTheme="minorHAnsi" w:hAnsiTheme="minorHAnsi" w:cstheme="minorHAnsi"/>
          <w:i/>
          <w:iCs/>
        </w:rPr>
        <w:t>Opravy předcházejících účetních období</w:t>
      </w:r>
      <w:r w:rsidR="003F7E23" w:rsidRPr="004D2A79">
        <w:rPr>
          <w:rFonts w:asciiTheme="minorHAnsi" w:hAnsiTheme="minorHAnsi" w:cstheme="minorHAnsi"/>
          <w:iCs/>
        </w:rPr>
        <w:t>, a to v celkové výši 2 mil. Kč</w:t>
      </w:r>
      <w:r w:rsidR="003F7E23" w:rsidRPr="004D2A79">
        <w:rPr>
          <w:rFonts w:asciiTheme="minorHAnsi" w:hAnsiTheme="minorHAnsi" w:cstheme="minorHAnsi"/>
        </w:rPr>
        <w:t>.</w:t>
      </w:r>
    </w:p>
    <w:p w14:paraId="53DC4103" w14:textId="77777777" w:rsidR="00F95E4B" w:rsidRPr="004D2A79" w:rsidRDefault="00F95E4B" w:rsidP="00B20632">
      <w:pPr>
        <w:spacing w:after="0"/>
        <w:jc w:val="both"/>
        <w:rPr>
          <w:rFonts w:asciiTheme="minorHAnsi" w:hAnsiTheme="minorHAnsi" w:cstheme="minorHAnsi"/>
        </w:rPr>
      </w:pPr>
    </w:p>
    <w:p w14:paraId="43B6E057" w14:textId="6B783F73" w:rsidR="00B6239A" w:rsidRPr="004D2A79" w:rsidRDefault="00466BBE" w:rsidP="00B20632">
      <w:pPr>
        <w:spacing w:after="0"/>
        <w:jc w:val="both"/>
        <w:rPr>
          <w:rFonts w:asciiTheme="minorHAnsi" w:hAnsiTheme="minorHAnsi" w:cstheme="minorHAnsi"/>
        </w:rPr>
      </w:pPr>
      <w:r w:rsidRPr="004D2A79">
        <w:rPr>
          <w:rFonts w:asciiTheme="minorHAnsi" w:hAnsiTheme="minorHAnsi" w:cstheme="minorHAnsi"/>
        </w:rPr>
        <w:t>U</w:t>
      </w:r>
      <w:r w:rsidR="004D2A79">
        <w:rPr>
          <w:rFonts w:asciiTheme="minorHAnsi" w:hAnsiTheme="minorHAnsi" w:cstheme="minorHAnsi"/>
        </w:rPr>
        <w:t xml:space="preserve"> dvou</w:t>
      </w:r>
      <w:r w:rsidR="00B6239A" w:rsidRPr="004D2A79">
        <w:rPr>
          <w:rFonts w:asciiTheme="minorHAnsi" w:hAnsiTheme="minorHAnsi" w:cstheme="minorHAnsi"/>
        </w:rPr>
        <w:t xml:space="preserve"> pohledávek z majetkových trestních sankcí z titulu vyměřeného peněžitého trestu</w:t>
      </w:r>
      <w:r w:rsidR="004D2A79">
        <w:rPr>
          <w:rFonts w:asciiTheme="minorHAnsi" w:hAnsiTheme="minorHAnsi" w:cstheme="minorHAnsi"/>
        </w:rPr>
        <w:t xml:space="preserve"> </w:t>
      </w:r>
      <w:r w:rsidR="004D2A79" w:rsidRPr="009F5E2D">
        <w:rPr>
          <w:rFonts w:asciiTheme="minorHAnsi" w:hAnsiTheme="minorHAnsi" w:cstheme="minorHAnsi"/>
          <w:b/>
        </w:rPr>
        <w:t xml:space="preserve">opravil </w:t>
      </w:r>
      <w:r w:rsidR="004D2A79" w:rsidRPr="009F5E2D">
        <w:rPr>
          <w:rFonts w:asciiTheme="minorHAnsi" w:hAnsiTheme="minorHAnsi" w:cstheme="minorHAnsi"/>
        </w:rPr>
        <w:t>MS Praha</w:t>
      </w:r>
      <w:r w:rsidR="004D2A79" w:rsidRPr="009F5E2D">
        <w:rPr>
          <w:rFonts w:asciiTheme="minorHAnsi" w:hAnsiTheme="minorHAnsi" w:cstheme="minorHAnsi"/>
          <w:b/>
        </w:rPr>
        <w:t xml:space="preserve"> nesprávné účtování v minulém období</w:t>
      </w:r>
      <w:r w:rsidR="004D2A79" w:rsidRPr="00DF6AD0">
        <w:rPr>
          <w:rFonts w:asciiTheme="minorHAnsi" w:hAnsiTheme="minorHAnsi" w:cstheme="minorHAnsi"/>
          <w:b/>
        </w:rPr>
        <w:t>.</w:t>
      </w:r>
      <w:r w:rsidR="004D2A79">
        <w:rPr>
          <w:rFonts w:asciiTheme="minorHAnsi" w:hAnsiTheme="minorHAnsi" w:cstheme="minorHAnsi"/>
        </w:rPr>
        <w:t xml:space="preserve"> </w:t>
      </w:r>
      <w:r w:rsidR="008233C4">
        <w:rPr>
          <w:rFonts w:asciiTheme="minorHAnsi" w:hAnsiTheme="minorHAnsi" w:cstheme="minorHAnsi"/>
        </w:rPr>
        <w:t xml:space="preserve">V případě majetkových trestních sankcí nevzniká současně s pohledávkou výnos, ale v souladu s právními předpisy vzniká závazek z titulu povinnosti odvodu těchto peněžních prostředků správci kapitoly státního rozpočtu. MS Praha </w:t>
      </w:r>
      <w:r w:rsidR="008233C4" w:rsidRPr="008233C4">
        <w:rPr>
          <w:rFonts w:asciiTheme="minorHAnsi" w:hAnsiTheme="minorHAnsi" w:cstheme="minorHAnsi"/>
          <w:b/>
        </w:rPr>
        <w:t>o</w:t>
      </w:r>
      <w:r w:rsidRPr="004D2A79">
        <w:rPr>
          <w:rFonts w:asciiTheme="minorHAnsi" w:hAnsiTheme="minorHAnsi" w:cstheme="minorHAnsi"/>
          <w:b/>
        </w:rPr>
        <w:t>dúčtoval</w:t>
      </w:r>
      <w:r w:rsidR="008233C4">
        <w:rPr>
          <w:rFonts w:asciiTheme="minorHAnsi" w:hAnsiTheme="minorHAnsi" w:cstheme="minorHAnsi"/>
          <w:b/>
        </w:rPr>
        <w:t xml:space="preserve"> proto </w:t>
      </w:r>
      <w:r w:rsidR="00B6239A" w:rsidRPr="004D2A79">
        <w:rPr>
          <w:rFonts w:asciiTheme="minorHAnsi" w:hAnsiTheme="minorHAnsi" w:cstheme="minorHAnsi"/>
          <w:b/>
        </w:rPr>
        <w:t xml:space="preserve">nesprávně použitý </w:t>
      </w:r>
      <w:r w:rsidR="003308F0" w:rsidRPr="004D2A79">
        <w:rPr>
          <w:rFonts w:asciiTheme="minorHAnsi" w:hAnsiTheme="minorHAnsi" w:cstheme="minorHAnsi"/>
          <w:b/>
        </w:rPr>
        <w:t>účet</w:t>
      </w:r>
      <w:r w:rsidR="00B6239A" w:rsidRPr="004D2A79">
        <w:rPr>
          <w:rFonts w:asciiTheme="minorHAnsi" w:hAnsiTheme="minorHAnsi" w:cstheme="minorHAnsi"/>
        </w:rPr>
        <w:t xml:space="preserve"> 408 – </w:t>
      </w:r>
      <w:r w:rsidR="00B6239A" w:rsidRPr="004D2A79">
        <w:rPr>
          <w:rFonts w:asciiTheme="minorHAnsi" w:hAnsiTheme="minorHAnsi" w:cstheme="minorHAnsi"/>
          <w:i/>
        </w:rPr>
        <w:t>Opravy předcházejících účetních období</w:t>
      </w:r>
      <w:r w:rsidR="00B6239A" w:rsidRPr="004D2A79">
        <w:rPr>
          <w:rFonts w:asciiTheme="minorHAnsi" w:hAnsiTheme="minorHAnsi" w:cstheme="minorHAnsi"/>
        </w:rPr>
        <w:t xml:space="preserve"> </w:t>
      </w:r>
      <w:r w:rsidR="00B6239A" w:rsidRPr="004D2A79">
        <w:rPr>
          <w:rFonts w:asciiTheme="minorHAnsi" w:hAnsiTheme="minorHAnsi" w:cstheme="minorHAnsi"/>
          <w:b/>
        </w:rPr>
        <w:t>a zaúčtoval chybějící závazky</w:t>
      </w:r>
      <w:r w:rsidR="00797EE3" w:rsidRPr="004D2A79">
        <w:rPr>
          <w:rFonts w:asciiTheme="minorHAnsi" w:hAnsiTheme="minorHAnsi" w:cstheme="minorHAnsi"/>
        </w:rPr>
        <w:t xml:space="preserve"> ke správci kapitoly</w:t>
      </w:r>
      <w:r w:rsidR="003308F0" w:rsidRPr="004D2A79">
        <w:rPr>
          <w:rFonts w:asciiTheme="minorHAnsi" w:hAnsiTheme="minorHAnsi" w:cstheme="minorHAnsi"/>
        </w:rPr>
        <w:t xml:space="preserve"> </w:t>
      </w:r>
      <w:r w:rsidR="00B6239A" w:rsidRPr="004D2A79">
        <w:rPr>
          <w:rFonts w:asciiTheme="minorHAnsi" w:hAnsiTheme="minorHAnsi" w:cstheme="minorHAnsi"/>
        </w:rPr>
        <w:t>v celkové výši 1,3 mil. Kč</w:t>
      </w:r>
      <w:r w:rsidR="00C54732" w:rsidRPr="004D2A79">
        <w:rPr>
          <w:rFonts w:asciiTheme="minorHAnsi" w:hAnsiTheme="minorHAnsi" w:cstheme="minorHAnsi"/>
        </w:rPr>
        <w:t>.</w:t>
      </w:r>
    </w:p>
    <w:p w14:paraId="59C931AF" w14:textId="77777777" w:rsidR="00F95E4B" w:rsidRPr="004D2A79" w:rsidRDefault="00F95E4B" w:rsidP="00B20632">
      <w:pPr>
        <w:spacing w:after="0"/>
        <w:jc w:val="both"/>
        <w:rPr>
          <w:rFonts w:asciiTheme="minorHAnsi" w:eastAsia="Calibri" w:hAnsiTheme="minorHAnsi" w:cstheme="minorHAnsi"/>
        </w:rPr>
      </w:pPr>
    </w:p>
    <w:p w14:paraId="1683FCBD" w14:textId="3F3DD5CC" w:rsidR="003308F0" w:rsidRPr="004D2A79" w:rsidRDefault="00CE04C1" w:rsidP="009435D2">
      <w:pPr>
        <w:spacing w:after="0"/>
        <w:jc w:val="both"/>
        <w:rPr>
          <w:rFonts w:asciiTheme="minorHAnsi" w:hAnsiTheme="minorHAnsi" w:cs="Calibri"/>
          <w:bCs/>
        </w:rPr>
      </w:pPr>
      <w:r w:rsidRPr="004D2A79">
        <w:rPr>
          <w:rFonts w:asciiTheme="minorHAnsi" w:hAnsiTheme="minorHAnsi" w:cs="Calibri"/>
          <w:b/>
          <w:bCs/>
        </w:rPr>
        <w:t xml:space="preserve">U </w:t>
      </w:r>
      <w:r w:rsidR="00C54732" w:rsidRPr="004D2A79">
        <w:rPr>
          <w:rFonts w:asciiTheme="minorHAnsi" w:hAnsiTheme="minorHAnsi" w:cs="Calibri"/>
          <w:b/>
          <w:bCs/>
        </w:rPr>
        <w:t>pohledávky, o které MS Praha účtoval v</w:t>
      </w:r>
      <w:r w:rsidR="00A8498B">
        <w:rPr>
          <w:rFonts w:asciiTheme="minorHAnsi" w:hAnsiTheme="minorHAnsi" w:cs="Calibri"/>
          <w:b/>
          <w:bCs/>
        </w:rPr>
        <w:t xml:space="preserve"> </w:t>
      </w:r>
      <w:r w:rsidR="00C54732" w:rsidRPr="004D2A79">
        <w:rPr>
          <w:rFonts w:asciiTheme="minorHAnsi" w:hAnsiTheme="minorHAnsi" w:cs="Calibri"/>
          <w:b/>
          <w:bCs/>
        </w:rPr>
        <w:t xml:space="preserve">minulosti dvakrát, </w:t>
      </w:r>
      <w:r w:rsidRPr="004D2A79">
        <w:rPr>
          <w:rFonts w:asciiTheme="minorHAnsi" w:hAnsiTheme="minorHAnsi" w:cs="Calibri"/>
          <w:b/>
          <w:bCs/>
        </w:rPr>
        <w:t>opravil</w:t>
      </w:r>
      <w:r w:rsidRPr="004D2A79">
        <w:rPr>
          <w:rFonts w:asciiTheme="minorHAnsi" w:hAnsiTheme="minorHAnsi" w:cs="Calibri"/>
          <w:bCs/>
        </w:rPr>
        <w:t xml:space="preserve"> MS Praha </w:t>
      </w:r>
      <w:r w:rsidRPr="004D2A79">
        <w:rPr>
          <w:rFonts w:asciiTheme="minorHAnsi" w:hAnsiTheme="minorHAnsi" w:cs="Calibri"/>
          <w:b/>
          <w:bCs/>
        </w:rPr>
        <w:t>účtování</w:t>
      </w:r>
      <w:r w:rsidR="00B128E3" w:rsidRPr="004D2A79">
        <w:rPr>
          <w:rFonts w:asciiTheme="minorHAnsi" w:hAnsiTheme="minorHAnsi" w:cs="Calibri"/>
          <w:b/>
          <w:bCs/>
        </w:rPr>
        <w:t xml:space="preserve"> </w:t>
      </w:r>
      <w:r w:rsidR="00A8498B">
        <w:rPr>
          <w:rFonts w:asciiTheme="minorHAnsi" w:hAnsiTheme="minorHAnsi" w:cs="Calibri"/>
          <w:b/>
          <w:bCs/>
        </w:rPr>
        <w:br/>
      </w:r>
      <w:r w:rsidR="00B128E3" w:rsidRPr="009F5E2D">
        <w:rPr>
          <w:rFonts w:asciiTheme="minorHAnsi" w:hAnsiTheme="minorHAnsi" w:cs="Calibri"/>
          <w:bCs/>
        </w:rPr>
        <w:t>o</w:t>
      </w:r>
      <w:r w:rsidR="00A8498B">
        <w:rPr>
          <w:rFonts w:asciiTheme="minorHAnsi" w:hAnsiTheme="minorHAnsi" w:cs="Calibri"/>
          <w:bCs/>
        </w:rPr>
        <w:t xml:space="preserve"> </w:t>
      </w:r>
      <w:r w:rsidR="00B128E3" w:rsidRPr="009F5E2D">
        <w:rPr>
          <w:rFonts w:asciiTheme="minorHAnsi" w:hAnsiTheme="minorHAnsi" w:cs="Calibri"/>
          <w:bCs/>
        </w:rPr>
        <w:t xml:space="preserve">zrušení předpisu </w:t>
      </w:r>
      <w:r w:rsidR="00EE55C3" w:rsidRPr="009F5E2D">
        <w:rPr>
          <w:rFonts w:asciiTheme="minorHAnsi" w:hAnsiTheme="minorHAnsi" w:cs="Calibri"/>
          <w:bCs/>
        </w:rPr>
        <w:t xml:space="preserve">této </w:t>
      </w:r>
      <w:r w:rsidR="00B128E3" w:rsidRPr="009F5E2D">
        <w:rPr>
          <w:rFonts w:asciiTheme="minorHAnsi" w:hAnsiTheme="minorHAnsi" w:cs="Calibri"/>
          <w:bCs/>
        </w:rPr>
        <w:t>pohledávky a o zrušení vytvořených opravných položek</w:t>
      </w:r>
      <w:r w:rsidR="009435D2" w:rsidRPr="00DF6AD0">
        <w:rPr>
          <w:rFonts w:asciiTheme="minorHAnsi" w:hAnsiTheme="minorHAnsi" w:cs="Calibri"/>
          <w:bCs/>
        </w:rPr>
        <w:t>.</w:t>
      </w:r>
      <w:r w:rsidR="00A56E64" w:rsidRPr="00DF6AD0">
        <w:rPr>
          <w:rFonts w:asciiTheme="minorHAnsi" w:hAnsiTheme="minorHAnsi" w:cs="Calibri"/>
          <w:bCs/>
        </w:rPr>
        <w:t xml:space="preserve"> </w:t>
      </w:r>
      <w:r w:rsidR="009435D2" w:rsidRPr="004D2A79">
        <w:rPr>
          <w:rFonts w:asciiTheme="minorHAnsi" w:hAnsiTheme="minorHAnsi" w:cs="Calibri"/>
          <w:bCs/>
        </w:rPr>
        <w:t>Zr</w:t>
      </w:r>
      <w:r w:rsidR="00B128E3" w:rsidRPr="004D2A79">
        <w:rPr>
          <w:rFonts w:asciiTheme="minorHAnsi" w:hAnsiTheme="minorHAnsi" w:cs="Calibri"/>
          <w:bCs/>
        </w:rPr>
        <w:t>ušení předpisu a vytvořených opravných položek přeúčtoval</w:t>
      </w:r>
      <w:r w:rsidR="009435D2" w:rsidRPr="004D2A79">
        <w:rPr>
          <w:rFonts w:asciiTheme="minorHAnsi" w:hAnsiTheme="minorHAnsi" w:cs="Calibri"/>
          <w:bCs/>
        </w:rPr>
        <w:t xml:space="preserve"> MS Praha</w:t>
      </w:r>
      <w:r w:rsidR="00B128E3" w:rsidRPr="004D2A79">
        <w:rPr>
          <w:rFonts w:asciiTheme="minorHAnsi" w:hAnsiTheme="minorHAnsi" w:cs="Calibri"/>
          <w:bCs/>
        </w:rPr>
        <w:t xml:space="preserve"> z účt</w:t>
      </w:r>
      <w:r w:rsidR="009435D2" w:rsidRPr="004D2A79">
        <w:rPr>
          <w:rFonts w:asciiTheme="minorHAnsi" w:hAnsiTheme="minorHAnsi" w:cs="Calibri"/>
          <w:bCs/>
        </w:rPr>
        <w:t>ů</w:t>
      </w:r>
      <w:r w:rsidR="00B128E3" w:rsidRPr="004D2A79">
        <w:rPr>
          <w:rFonts w:asciiTheme="minorHAnsi" w:hAnsiTheme="minorHAnsi" w:cs="Calibri"/>
          <w:bCs/>
        </w:rPr>
        <w:t xml:space="preserve"> 607 – </w:t>
      </w:r>
      <w:r w:rsidR="00B128E3" w:rsidRPr="004D2A79">
        <w:rPr>
          <w:rFonts w:asciiTheme="minorHAnsi" w:hAnsiTheme="minorHAnsi" w:cs="Calibri"/>
          <w:bCs/>
          <w:i/>
        </w:rPr>
        <w:t xml:space="preserve">Výnosy ze </w:t>
      </w:r>
      <w:r w:rsidR="00B128E3" w:rsidRPr="004D2A79">
        <w:rPr>
          <w:rFonts w:asciiTheme="minorHAnsi" w:hAnsiTheme="minorHAnsi" w:cs="Calibri"/>
          <w:bCs/>
          <w:i/>
        </w:rPr>
        <w:lastRenderedPageBreak/>
        <w:t xml:space="preserve">soudních poplatků </w:t>
      </w:r>
      <w:r w:rsidR="00B128E3" w:rsidRPr="004D2A79">
        <w:rPr>
          <w:rFonts w:asciiTheme="minorHAnsi" w:hAnsiTheme="minorHAnsi" w:cs="Calibri"/>
          <w:bCs/>
        </w:rPr>
        <w:t xml:space="preserve">a 556 – </w:t>
      </w:r>
      <w:r w:rsidR="00B128E3" w:rsidRPr="004D2A79">
        <w:rPr>
          <w:rFonts w:asciiTheme="minorHAnsi" w:hAnsiTheme="minorHAnsi" w:cs="Calibri"/>
          <w:bCs/>
          <w:i/>
        </w:rPr>
        <w:t>Tvorba a zúčtování opravných položek</w:t>
      </w:r>
      <w:r w:rsidR="00B128E3" w:rsidRPr="004D2A79">
        <w:rPr>
          <w:rFonts w:asciiTheme="minorHAnsi" w:hAnsiTheme="minorHAnsi" w:cs="Calibri"/>
          <w:bCs/>
        </w:rPr>
        <w:t xml:space="preserve"> na účet 408 – </w:t>
      </w:r>
      <w:r w:rsidR="00B128E3" w:rsidRPr="004D2A79">
        <w:rPr>
          <w:rFonts w:asciiTheme="minorHAnsi" w:hAnsiTheme="minorHAnsi" w:cs="Calibri"/>
          <w:bCs/>
          <w:i/>
        </w:rPr>
        <w:t>Opravy předcházejících účetních období</w:t>
      </w:r>
      <w:r w:rsidR="0034386F" w:rsidRPr="004D2A79">
        <w:rPr>
          <w:rFonts w:asciiTheme="minorHAnsi" w:hAnsiTheme="minorHAnsi" w:cs="Calibri"/>
          <w:bCs/>
        </w:rPr>
        <w:t>, a to v celkové výši 1,1 mil. Kč</w:t>
      </w:r>
      <w:r w:rsidR="00B128E3" w:rsidRPr="004D2A79">
        <w:rPr>
          <w:rFonts w:asciiTheme="minorHAnsi" w:hAnsiTheme="minorHAnsi" w:cs="Calibri"/>
          <w:bCs/>
        </w:rPr>
        <w:t>.</w:t>
      </w:r>
    </w:p>
    <w:p w14:paraId="6083A34B" w14:textId="77777777" w:rsidR="009435D2" w:rsidRPr="004D2A79" w:rsidRDefault="009435D2" w:rsidP="009435D2">
      <w:pPr>
        <w:pStyle w:val="Odstavecseseznamem"/>
        <w:spacing w:after="0"/>
        <w:ind w:left="714"/>
        <w:contextualSpacing w:val="0"/>
        <w:jc w:val="both"/>
        <w:rPr>
          <w:rFonts w:asciiTheme="minorHAnsi" w:hAnsiTheme="minorHAnsi" w:cs="Calibri"/>
          <w:bCs/>
        </w:rPr>
      </w:pPr>
    </w:p>
    <w:p w14:paraId="351C5CC6" w14:textId="6A7A01EB" w:rsidR="00A666E6" w:rsidRPr="00B20632" w:rsidRDefault="00595049" w:rsidP="00DF6AD0">
      <w:pPr>
        <w:pStyle w:val="Styl2"/>
        <w:numPr>
          <w:ilvl w:val="0"/>
          <w:numId w:val="0"/>
        </w:numPr>
        <w:ind w:left="1276" w:hanging="567"/>
        <w:rPr>
          <w:b w:val="0"/>
        </w:rPr>
      </w:pPr>
      <w:r w:rsidRPr="00595049">
        <w:t>1.1.2</w:t>
      </w:r>
      <w:r w:rsidRPr="00DF6AD0">
        <w:rPr>
          <w:b w:val="0"/>
        </w:rPr>
        <w:t xml:space="preserve"> </w:t>
      </w:r>
      <w:r w:rsidRPr="00DF6AD0">
        <w:rPr>
          <w:b w:val="0"/>
        </w:rPr>
        <w:tab/>
      </w:r>
      <w:r w:rsidR="00B81802" w:rsidRPr="00B20632">
        <w:t>Podmíněné z</w:t>
      </w:r>
      <w:r w:rsidR="002A02FE" w:rsidRPr="00B20632">
        <w:t>ávazky</w:t>
      </w:r>
    </w:p>
    <w:p w14:paraId="1C1FDA52" w14:textId="5353FA75" w:rsidR="000C4D25" w:rsidRDefault="00A56E64" w:rsidP="00B20632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4D2A79">
        <w:rPr>
          <w:rFonts w:cs="Calibri"/>
        </w:rPr>
        <w:t>Výši podmíněných záv</w:t>
      </w:r>
      <w:r w:rsidR="000C4D25" w:rsidRPr="004D2A79">
        <w:rPr>
          <w:rFonts w:cs="Calibri"/>
        </w:rPr>
        <w:t>azků</w:t>
      </w:r>
      <w:r w:rsidRPr="004D2A79">
        <w:rPr>
          <w:rFonts w:cs="Calibri"/>
        </w:rPr>
        <w:t xml:space="preserve"> z rozhodovací činnosti určoval MS Praha</w:t>
      </w:r>
      <w:r w:rsidR="004D2A79">
        <w:rPr>
          <w:rFonts w:cs="Calibri"/>
        </w:rPr>
        <w:t xml:space="preserve"> pro účely účetnictví</w:t>
      </w:r>
      <w:r w:rsidR="000C4D25" w:rsidRPr="004D2A79">
        <w:rPr>
          <w:rFonts w:cs="Calibri"/>
        </w:rPr>
        <w:t xml:space="preserve"> kvalifikovaným odhadem, který vycház</w:t>
      </w:r>
      <w:r w:rsidRPr="004D2A79">
        <w:rPr>
          <w:rFonts w:cs="Calibri"/>
        </w:rPr>
        <w:t>el</w:t>
      </w:r>
      <w:r w:rsidR="000C4D25" w:rsidRPr="004D2A79">
        <w:rPr>
          <w:rFonts w:cs="Calibri"/>
        </w:rPr>
        <w:t xml:space="preserve"> z průměrné skutečnosti</w:t>
      </w:r>
      <w:r w:rsidRPr="004D2A79">
        <w:rPr>
          <w:rFonts w:cs="Calibri"/>
        </w:rPr>
        <w:t xml:space="preserve"> </w:t>
      </w:r>
      <w:r w:rsidR="000C4D25" w:rsidRPr="004D2A79">
        <w:rPr>
          <w:rFonts w:cs="Calibri"/>
        </w:rPr>
        <w:t>předepsaných závazků za období 3 let.</w:t>
      </w:r>
    </w:p>
    <w:p w14:paraId="57BC4DAB" w14:textId="77777777" w:rsidR="00274A10" w:rsidRPr="004D2A79" w:rsidRDefault="00274A10" w:rsidP="00B20632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0D072CB8" w14:textId="490FE0FC" w:rsidR="000C4D25" w:rsidRDefault="000C4D25" w:rsidP="00B20632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4D2A79">
        <w:rPr>
          <w:rFonts w:cs="Calibri"/>
        </w:rPr>
        <w:t xml:space="preserve">Odhadovanou výši </w:t>
      </w:r>
      <w:r w:rsidR="00A56E64" w:rsidRPr="004D2A79">
        <w:rPr>
          <w:rFonts w:cs="Calibri"/>
        </w:rPr>
        <w:t xml:space="preserve">těchto </w:t>
      </w:r>
      <w:r w:rsidRPr="004D2A79">
        <w:rPr>
          <w:rFonts w:cs="Calibri"/>
        </w:rPr>
        <w:t xml:space="preserve">závazků však MS Praha v účetním období 2021 </w:t>
      </w:r>
      <w:r w:rsidR="00E4263C" w:rsidRPr="004D2A79">
        <w:rPr>
          <w:rFonts w:cs="Calibri"/>
        </w:rPr>
        <w:t xml:space="preserve">stanovil </w:t>
      </w:r>
      <w:r w:rsidRPr="004D2A79">
        <w:rPr>
          <w:rFonts w:cs="Calibri"/>
        </w:rPr>
        <w:t xml:space="preserve">nesprávně, neboť při vyčíslení hodnoty předpisů </w:t>
      </w:r>
      <w:r w:rsidR="00A56E64" w:rsidRPr="004D2A79">
        <w:rPr>
          <w:rFonts w:cs="Calibri"/>
        </w:rPr>
        <w:t xml:space="preserve">těchto </w:t>
      </w:r>
      <w:r w:rsidRPr="004D2A79">
        <w:rPr>
          <w:rFonts w:cs="Calibri"/>
        </w:rPr>
        <w:t>závazků za roky 2019, 2020 a 2021 nevycházel</w:t>
      </w:r>
      <w:r w:rsidR="00A56E64" w:rsidRPr="004D2A79">
        <w:rPr>
          <w:rFonts w:cs="Calibri"/>
        </w:rPr>
        <w:t xml:space="preserve"> </w:t>
      </w:r>
      <w:r w:rsidRPr="004D2A79">
        <w:rPr>
          <w:rFonts w:cs="Calibri"/>
        </w:rPr>
        <w:t>z</w:t>
      </w:r>
      <w:r w:rsidR="00375A81">
        <w:rPr>
          <w:rFonts w:cs="Calibri"/>
        </w:rPr>
        <w:t> </w:t>
      </w:r>
      <w:r w:rsidRPr="004D2A79">
        <w:rPr>
          <w:rFonts w:cs="Calibri"/>
        </w:rPr>
        <w:t>uzavřené knihy závazků</w:t>
      </w:r>
      <w:r w:rsidR="00274A10">
        <w:rPr>
          <w:rFonts w:cs="Calibri"/>
        </w:rPr>
        <w:t>,</w:t>
      </w:r>
      <w:r w:rsidRPr="004D2A79">
        <w:rPr>
          <w:rFonts w:cs="Calibri"/>
        </w:rPr>
        <w:t xml:space="preserve"> </w:t>
      </w:r>
      <w:r w:rsidR="00A56E64" w:rsidRPr="004D2A79">
        <w:rPr>
          <w:rFonts w:cs="Calibri"/>
        </w:rPr>
        <w:t xml:space="preserve">v důsledku </w:t>
      </w:r>
      <w:r w:rsidR="00274A10">
        <w:rPr>
          <w:rFonts w:cs="Calibri"/>
        </w:rPr>
        <w:t>čehož</w:t>
      </w:r>
      <w:r w:rsidRPr="004D2A79">
        <w:rPr>
          <w:rFonts w:cs="Calibri"/>
        </w:rPr>
        <w:t xml:space="preserve"> některé </w:t>
      </w:r>
      <w:r w:rsidR="00A56E64" w:rsidRPr="004D2A79">
        <w:rPr>
          <w:rFonts w:cs="Calibri"/>
        </w:rPr>
        <w:t xml:space="preserve">závazky v tomto předpisu </w:t>
      </w:r>
      <w:r w:rsidRPr="004D2A79">
        <w:rPr>
          <w:rFonts w:cs="Calibri"/>
        </w:rPr>
        <w:t>chyběly. Navíc do základu pro výpočet kvalifikovaného odhadu podmíněných závazků z rozhodovací činnosti chybně zahrnul předepsané závazky za rok 2018 místo za rok 2020. Vlivem těchto nedostatků stanovil MS Praha v účetním období 2021 kvalifikovaný odhad krátkodobých podmíněných závazků z rozhodovací činnosti o 12,7 mil. Kč nižší a dlouhodobých podmíněných závazků z</w:t>
      </w:r>
      <w:r w:rsidR="00274A10">
        <w:rPr>
          <w:rFonts w:cs="Calibri"/>
        </w:rPr>
        <w:t> </w:t>
      </w:r>
      <w:r w:rsidRPr="004D2A79">
        <w:rPr>
          <w:rFonts w:cs="Calibri"/>
        </w:rPr>
        <w:t>rozhodovací činnosti o 25,4 mil. Kč (2 x 12,7 mil. Kč) nižší</w:t>
      </w:r>
      <w:r w:rsidR="00E4263C" w:rsidRPr="004D2A79">
        <w:rPr>
          <w:rFonts w:cs="Calibri"/>
        </w:rPr>
        <w:t>, než byla skutečnost</w:t>
      </w:r>
      <w:r w:rsidRPr="004D2A79">
        <w:rPr>
          <w:rFonts w:cs="Calibri"/>
        </w:rPr>
        <w:t>.</w:t>
      </w:r>
    </w:p>
    <w:p w14:paraId="09DE6D04" w14:textId="77777777" w:rsidR="00274A10" w:rsidRPr="004D2A79" w:rsidRDefault="00274A10" w:rsidP="00B20632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674B59C5" w14:textId="5B1E27C7" w:rsidR="009435D2" w:rsidRPr="004D2A79" w:rsidRDefault="000C4D25" w:rsidP="00B20632">
      <w:pPr>
        <w:pStyle w:val="Odstavecseseznamem"/>
        <w:autoSpaceDE w:val="0"/>
        <w:autoSpaceDN w:val="0"/>
        <w:adjustRightInd w:val="0"/>
        <w:spacing w:after="0"/>
        <w:ind w:left="0"/>
        <w:jc w:val="both"/>
        <w:rPr>
          <w:rFonts w:cs="Calibri"/>
        </w:rPr>
      </w:pPr>
      <w:r w:rsidRPr="004D2A79">
        <w:rPr>
          <w:rFonts w:cs="Calibri"/>
        </w:rPr>
        <w:t>MS Praha</w:t>
      </w:r>
      <w:r w:rsidR="00A56E64" w:rsidRPr="004D2A79">
        <w:rPr>
          <w:rFonts w:cs="Calibri"/>
        </w:rPr>
        <w:t xml:space="preserve"> tyto nedostatky v průběhu kontroly opravil a za účetní období 2022</w:t>
      </w:r>
      <w:r w:rsidRPr="004D2A79">
        <w:rPr>
          <w:rFonts w:cs="Calibri"/>
        </w:rPr>
        <w:t xml:space="preserve"> vyčíslil kvalifikované odhady podmíněných závazků</w:t>
      </w:r>
      <w:r w:rsidR="00A56E64" w:rsidRPr="004D2A79">
        <w:rPr>
          <w:rFonts w:cs="Calibri"/>
        </w:rPr>
        <w:t xml:space="preserve"> </w:t>
      </w:r>
      <w:r w:rsidRPr="004D2A79">
        <w:rPr>
          <w:rFonts w:cs="Calibri"/>
        </w:rPr>
        <w:t>z rozhodovací činnosti</w:t>
      </w:r>
      <w:r w:rsidR="0011329B" w:rsidRPr="004D2A79">
        <w:rPr>
          <w:rFonts w:cs="Calibri"/>
        </w:rPr>
        <w:t xml:space="preserve"> </w:t>
      </w:r>
      <w:r w:rsidR="00E4263C" w:rsidRPr="004D2A79">
        <w:rPr>
          <w:rFonts w:cs="Calibri"/>
        </w:rPr>
        <w:t>až</w:t>
      </w:r>
      <w:r w:rsidRPr="004D2A79">
        <w:rPr>
          <w:rFonts w:cs="Calibri"/>
        </w:rPr>
        <w:t xml:space="preserve"> </w:t>
      </w:r>
      <w:r w:rsidR="00A56E64" w:rsidRPr="004D2A79">
        <w:rPr>
          <w:rFonts w:cs="Calibri"/>
        </w:rPr>
        <w:t>na základě</w:t>
      </w:r>
      <w:r w:rsidRPr="004D2A79">
        <w:rPr>
          <w:rFonts w:cs="Calibri"/>
        </w:rPr>
        <w:t xml:space="preserve"> uzavřené knihy závazků</w:t>
      </w:r>
      <w:r w:rsidR="008233C4">
        <w:rPr>
          <w:rFonts w:cs="Calibri"/>
        </w:rPr>
        <w:t xml:space="preserve">. Odhad tak </w:t>
      </w:r>
      <w:r w:rsidRPr="004D2A79">
        <w:rPr>
          <w:rFonts w:cs="Calibri"/>
        </w:rPr>
        <w:t>provedl</w:t>
      </w:r>
      <w:r w:rsidR="00A56E64" w:rsidRPr="004D2A79">
        <w:rPr>
          <w:rFonts w:cs="Calibri"/>
        </w:rPr>
        <w:t xml:space="preserve"> </w:t>
      </w:r>
      <w:r w:rsidRPr="004D2A79">
        <w:rPr>
          <w:rFonts w:cs="Calibri"/>
        </w:rPr>
        <w:t xml:space="preserve">z předpisů </w:t>
      </w:r>
      <w:r w:rsidR="00A56E64" w:rsidRPr="004D2A79">
        <w:rPr>
          <w:rFonts w:cs="Calibri"/>
        </w:rPr>
        <w:t xml:space="preserve">všech </w:t>
      </w:r>
      <w:r w:rsidRPr="004D2A79">
        <w:rPr>
          <w:rFonts w:cs="Calibri"/>
        </w:rPr>
        <w:t>závazků</w:t>
      </w:r>
      <w:r w:rsidR="00E4263C" w:rsidRPr="004D2A79">
        <w:rPr>
          <w:rFonts w:cs="Calibri"/>
        </w:rPr>
        <w:t xml:space="preserve"> a </w:t>
      </w:r>
      <w:r w:rsidRPr="004D2A79">
        <w:rPr>
          <w:rFonts w:cs="Calibri"/>
        </w:rPr>
        <w:t>za správná období</w:t>
      </w:r>
      <w:r w:rsidR="00A56E64" w:rsidRPr="004D2A79">
        <w:rPr>
          <w:rFonts w:cs="Calibri"/>
        </w:rPr>
        <w:t>.</w:t>
      </w:r>
    </w:p>
    <w:p w14:paraId="50BFCCFB" w14:textId="77777777" w:rsidR="00A56E64" w:rsidRPr="004D2A79" w:rsidRDefault="00A56E64" w:rsidP="00A56E64">
      <w:pPr>
        <w:pStyle w:val="Odstavecseseznamem"/>
        <w:autoSpaceDE w:val="0"/>
        <w:autoSpaceDN w:val="0"/>
        <w:adjustRightInd w:val="0"/>
        <w:spacing w:after="0"/>
        <w:ind w:left="360"/>
        <w:rPr>
          <w:rFonts w:cs="Calibri"/>
        </w:rPr>
      </w:pPr>
    </w:p>
    <w:p w14:paraId="6927A108" w14:textId="02B60990" w:rsidR="002A02FE" w:rsidRPr="00B20632" w:rsidRDefault="00595049" w:rsidP="00DF6AD0">
      <w:pPr>
        <w:pStyle w:val="Styl2"/>
        <w:numPr>
          <w:ilvl w:val="0"/>
          <w:numId w:val="0"/>
        </w:numPr>
        <w:ind w:left="1276" w:hanging="567"/>
        <w:rPr>
          <w:b w:val="0"/>
        </w:rPr>
      </w:pPr>
      <w:r w:rsidRPr="00595049">
        <w:t>1.1.3</w:t>
      </w:r>
      <w:r w:rsidRPr="00DF6AD0">
        <w:rPr>
          <w:b w:val="0"/>
        </w:rPr>
        <w:t xml:space="preserve"> </w:t>
      </w:r>
      <w:r w:rsidRPr="00DF6AD0">
        <w:rPr>
          <w:b w:val="0"/>
        </w:rPr>
        <w:tab/>
      </w:r>
      <w:r w:rsidR="002C0562" w:rsidRPr="00B20632">
        <w:t>Přehled</w:t>
      </w:r>
      <w:r w:rsidR="002A02FE" w:rsidRPr="00B20632">
        <w:t xml:space="preserve"> o peněžních tocích</w:t>
      </w:r>
    </w:p>
    <w:p w14:paraId="3059A6AB" w14:textId="33563FB3" w:rsidR="00746705" w:rsidRPr="004D2A79" w:rsidRDefault="00746705" w:rsidP="00B20632">
      <w:pPr>
        <w:pStyle w:val="Odstavecseseznamem"/>
        <w:autoSpaceDE w:val="0"/>
        <w:autoSpaceDN w:val="0"/>
        <w:adjustRightInd w:val="0"/>
        <w:spacing w:after="0"/>
        <w:ind w:left="0"/>
        <w:jc w:val="both"/>
        <w:rPr>
          <w:rFonts w:cs="Calibri"/>
        </w:rPr>
      </w:pPr>
      <w:r w:rsidRPr="004D2A79">
        <w:rPr>
          <w:rFonts w:cs="Calibri"/>
        </w:rPr>
        <w:t>MS Praha na položce „</w:t>
      </w:r>
      <w:r w:rsidRPr="004D2A79">
        <w:rPr>
          <w:rFonts w:ascii="Calibri-Italic" w:hAnsi="Calibri-Italic" w:cs="Calibri-Italic"/>
          <w:i/>
          <w:iCs/>
        </w:rPr>
        <w:t>A.I.6. Ostatní úpravy o nepeněžní operace</w:t>
      </w:r>
      <w:r w:rsidRPr="004D2A79">
        <w:rPr>
          <w:rFonts w:cs="Calibri"/>
        </w:rPr>
        <w:t>“ přehledu o peněžních tocích neprováděl úprav</w:t>
      </w:r>
      <w:r w:rsidR="00274A10">
        <w:rPr>
          <w:rFonts w:cs="Calibri"/>
        </w:rPr>
        <w:t>y</w:t>
      </w:r>
      <w:r w:rsidRPr="004D2A79">
        <w:rPr>
          <w:rFonts w:cs="Calibri"/>
        </w:rPr>
        <w:t xml:space="preserve"> peněžních toků o hodnotu vyřazených pohledávek. V roce 2021 se jednalo o částku 21 234 988,66 Kč. O vyřazení pohledávek MS Praha účtoval na stranu Má dáti </w:t>
      </w:r>
      <w:r w:rsidR="00461ADF">
        <w:rPr>
          <w:rFonts w:cs="Calibri"/>
        </w:rPr>
        <w:t>účtu</w:t>
      </w:r>
      <w:r w:rsidRPr="004D2A79">
        <w:rPr>
          <w:rFonts w:cs="Calibri"/>
        </w:rPr>
        <w:t xml:space="preserve"> 557 – </w:t>
      </w:r>
      <w:r w:rsidRPr="004D2A79">
        <w:rPr>
          <w:rFonts w:ascii="Calibri-Italic" w:hAnsi="Calibri-Italic" w:cs="Calibri-Italic"/>
          <w:i/>
          <w:iCs/>
        </w:rPr>
        <w:t xml:space="preserve">Náklady z vyřazených pohledávek </w:t>
      </w:r>
      <w:r w:rsidRPr="004D2A79">
        <w:rPr>
          <w:rFonts w:cs="Calibri"/>
        </w:rPr>
        <w:t xml:space="preserve">se souvztažným zápisem na stranu Dal </w:t>
      </w:r>
      <w:r w:rsidR="00461ADF">
        <w:rPr>
          <w:rFonts w:cs="Calibri"/>
        </w:rPr>
        <w:t>účtu</w:t>
      </w:r>
      <w:r w:rsidRPr="004D2A79">
        <w:rPr>
          <w:rFonts w:cs="Calibri"/>
        </w:rPr>
        <w:t xml:space="preserve"> 315 – </w:t>
      </w:r>
      <w:r w:rsidRPr="004D2A79">
        <w:rPr>
          <w:rFonts w:ascii="Calibri-Italic" w:hAnsi="Calibri-Italic" w:cs="Calibri-Italic"/>
          <w:i/>
          <w:iCs/>
        </w:rPr>
        <w:t>Jiné pohledávky z hlavní činnosti</w:t>
      </w:r>
      <w:r w:rsidR="00274A10">
        <w:rPr>
          <w:rFonts w:ascii="Calibri-Italic" w:hAnsi="Calibri-Italic" w:cs="Calibri-Italic"/>
          <w:iCs/>
        </w:rPr>
        <w:t>.</w:t>
      </w:r>
      <w:r w:rsidR="002C0562" w:rsidRPr="004D2A79">
        <w:rPr>
          <w:rFonts w:ascii="Calibri-Italic" w:hAnsi="Calibri-Italic" w:cs="Calibri-Italic"/>
          <w:iCs/>
        </w:rPr>
        <w:t xml:space="preserve"> </w:t>
      </w:r>
      <w:r w:rsidR="00274A10">
        <w:rPr>
          <w:rFonts w:ascii="Calibri-Italic" w:hAnsi="Calibri-Italic" w:cs="Calibri-Italic"/>
          <w:iCs/>
        </w:rPr>
        <w:t xml:space="preserve">Protože </w:t>
      </w:r>
      <w:r w:rsidR="002C0562" w:rsidRPr="004D2A79">
        <w:rPr>
          <w:rFonts w:ascii="Calibri-Italic" w:hAnsi="Calibri-Italic" w:cs="Calibri-Italic"/>
          <w:iCs/>
        </w:rPr>
        <w:t>š</w:t>
      </w:r>
      <w:r w:rsidR="002C0562" w:rsidRPr="004D2A79">
        <w:rPr>
          <w:rFonts w:cs="Calibri"/>
        </w:rPr>
        <w:t xml:space="preserve">lo </w:t>
      </w:r>
      <w:r w:rsidRPr="004D2A79">
        <w:rPr>
          <w:rFonts w:cs="Calibri"/>
        </w:rPr>
        <w:t>o nepeněžní účetní operace s vlivem na výš</w:t>
      </w:r>
      <w:r w:rsidR="002C0562" w:rsidRPr="004D2A79">
        <w:rPr>
          <w:rFonts w:cs="Calibri"/>
        </w:rPr>
        <w:t>i</w:t>
      </w:r>
      <w:r w:rsidRPr="004D2A79">
        <w:rPr>
          <w:rFonts w:cs="Calibri"/>
        </w:rPr>
        <w:t xml:space="preserve"> výsledku hospodaření</w:t>
      </w:r>
      <w:r w:rsidR="00274A10">
        <w:rPr>
          <w:rFonts w:cs="Calibri"/>
        </w:rPr>
        <w:t>,</w:t>
      </w:r>
      <w:r w:rsidRPr="004D2A79">
        <w:rPr>
          <w:rFonts w:cs="Calibri"/>
        </w:rPr>
        <w:t xml:space="preserve"> </w:t>
      </w:r>
      <w:r w:rsidR="00274A10">
        <w:rPr>
          <w:rFonts w:cs="Calibri"/>
        </w:rPr>
        <w:t>měly být t</w:t>
      </w:r>
      <w:r w:rsidRPr="004D2A79">
        <w:rPr>
          <w:rFonts w:cs="Calibri"/>
        </w:rPr>
        <w:t>yto účetní případy</w:t>
      </w:r>
      <w:r w:rsidR="002C0562" w:rsidRPr="004D2A79">
        <w:rPr>
          <w:rFonts w:cs="Calibri"/>
        </w:rPr>
        <w:t xml:space="preserve"> </w:t>
      </w:r>
      <w:r w:rsidRPr="004D2A79">
        <w:rPr>
          <w:rFonts w:cs="Calibri"/>
        </w:rPr>
        <w:t>zahrnut</w:t>
      </w:r>
      <w:r w:rsidR="002C0562" w:rsidRPr="004D2A79">
        <w:rPr>
          <w:rFonts w:cs="Calibri"/>
        </w:rPr>
        <w:t>y</w:t>
      </w:r>
      <w:r w:rsidRPr="004D2A79">
        <w:rPr>
          <w:rFonts w:cs="Calibri"/>
        </w:rPr>
        <w:t xml:space="preserve"> na položku </w:t>
      </w:r>
      <w:r w:rsidRPr="004D2A79">
        <w:rPr>
          <w:rFonts w:ascii="Calibri-Italic" w:hAnsi="Calibri-Italic" w:cs="Calibri-Italic"/>
          <w:i/>
          <w:iCs/>
        </w:rPr>
        <w:t>A.I.6.</w:t>
      </w:r>
      <w:r w:rsidR="00022E16">
        <w:rPr>
          <w:rFonts w:ascii="Calibri-Italic" w:hAnsi="Calibri-Italic" w:cs="Calibri-Italic"/>
          <w:i/>
          <w:iCs/>
        </w:rPr>
        <w:t xml:space="preserve"> </w:t>
      </w:r>
      <w:r w:rsidRPr="004D2A79">
        <w:rPr>
          <w:rFonts w:ascii="Calibri-Italic" w:hAnsi="Calibri-Italic" w:cs="Calibri-Italic"/>
          <w:i/>
          <w:iCs/>
        </w:rPr>
        <w:t>Ostatní úpravy o</w:t>
      </w:r>
      <w:r w:rsidR="00375A81">
        <w:rPr>
          <w:rFonts w:ascii="Calibri-Italic" w:hAnsi="Calibri-Italic" w:cs="Calibri-Italic"/>
          <w:i/>
          <w:iCs/>
        </w:rPr>
        <w:t> </w:t>
      </w:r>
      <w:r w:rsidRPr="004D2A79">
        <w:rPr>
          <w:rFonts w:ascii="Calibri-Italic" w:hAnsi="Calibri-Italic" w:cs="Calibri-Italic"/>
          <w:i/>
          <w:iCs/>
        </w:rPr>
        <w:t>nepeněžní operace</w:t>
      </w:r>
      <w:r w:rsidRPr="004D2A79">
        <w:rPr>
          <w:rFonts w:cs="Calibri"/>
        </w:rPr>
        <w:t xml:space="preserve"> a současně </w:t>
      </w:r>
      <w:r w:rsidR="002C0562" w:rsidRPr="004D2A79">
        <w:rPr>
          <w:rFonts w:cs="Calibri"/>
        </w:rPr>
        <w:t xml:space="preserve">měly být </w:t>
      </w:r>
      <w:r w:rsidRPr="004D2A79">
        <w:rPr>
          <w:rFonts w:cs="Calibri"/>
        </w:rPr>
        <w:t>vylouč</w:t>
      </w:r>
      <w:r w:rsidR="002C0562" w:rsidRPr="004D2A79">
        <w:rPr>
          <w:rFonts w:cs="Calibri"/>
        </w:rPr>
        <w:t>eny</w:t>
      </w:r>
      <w:r w:rsidRPr="004D2A79">
        <w:rPr>
          <w:rFonts w:cs="Calibri"/>
        </w:rPr>
        <w:t xml:space="preserve"> z položky </w:t>
      </w:r>
      <w:r w:rsidRPr="004D2A79">
        <w:rPr>
          <w:rFonts w:ascii="Calibri-Italic" w:hAnsi="Calibri-Italic" w:cs="Calibri-Italic"/>
          <w:i/>
          <w:iCs/>
        </w:rPr>
        <w:t>A.II.1. Změna stavu</w:t>
      </w:r>
      <w:r w:rsidR="002C0562" w:rsidRPr="004D2A79">
        <w:rPr>
          <w:rFonts w:ascii="Calibri-Italic" w:hAnsi="Calibri-Italic" w:cs="Calibri-Italic"/>
          <w:i/>
          <w:iCs/>
        </w:rPr>
        <w:t xml:space="preserve"> </w:t>
      </w:r>
      <w:r w:rsidRPr="004D2A79">
        <w:rPr>
          <w:rFonts w:ascii="Calibri-Italic" w:hAnsi="Calibri-Italic" w:cs="Calibri-Italic"/>
          <w:i/>
          <w:iCs/>
        </w:rPr>
        <w:t>krátkodobých pohledávek</w:t>
      </w:r>
      <w:r w:rsidRPr="004D2A79">
        <w:rPr>
          <w:rFonts w:cs="Calibri"/>
        </w:rPr>
        <w:t>, neboť snížení stavu krátkodobých pohledávek z titulu jejich vyřazení nevyvolalo změnu stavu peněžních prostředků. Jednalo se o systémový nedostatek.</w:t>
      </w:r>
    </w:p>
    <w:p w14:paraId="7A5BC423" w14:textId="77777777" w:rsidR="002C0562" w:rsidRPr="004D2A79" w:rsidRDefault="002C0562" w:rsidP="002C0562">
      <w:pPr>
        <w:pStyle w:val="Odstavecseseznamem"/>
        <w:autoSpaceDE w:val="0"/>
        <w:autoSpaceDN w:val="0"/>
        <w:adjustRightInd w:val="0"/>
        <w:spacing w:after="0"/>
        <w:ind w:left="360"/>
        <w:jc w:val="both"/>
        <w:rPr>
          <w:rFonts w:cs="Calibri"/>
        </w:rPr>
      </w:pPr>
    </w:p>
    <w:p w14:paraId="2D8060A3" w14:textId="0723E56A" w:rsidR="002C0562" w:rsidRPr="004D2A79" w:rsidRDefault="00746705" w:rsidP="00B20632">
      <w:pPr>
        <w:pStyle w:val="Odstavecseseznamem"/>
        <w:spacing w:after="0"/>
        <w:ind w:left="0"/>
        <w:contextualSpacing w:val="0"/>
        <w:jc w:val="both"/>
        <w:rPr>
          <w:rFonts w:asciiTheme="minorHAnsi" w:hAnsiTheme="minorHAnsi" w:cs="Calibri"/>
          <w:bCs/>
        </w:rPr>
      </w:pPr>
      <w:r w:rsidRPr="004D2A79">
        <w:rPr>
          <w:rFonts w:cs="Calibri"/>
        </w:rPr>
        <w:t>MS Praha</w:t>
      </w:r>
      <w:r w:rsidR="002C0562" w:rsidRPr="004D2A79">
        <w:rPr>
          <w:rFonts w:cs="Calibri"/>
        </w:rPr>
        <w:t xml:space="preserve"> opravil tento nedostatek v průběhu kontroly tak, že</w:t>
      </w:r>
      <w:r w:rsidRPr="004D2A79">
        <w:rPr>
          <w:rFonts w:cs="Calibri"/>
        </w:rPr>
        <w:t xml:space="preserve"> provedl systémovou úpravu v nastavení sestavování </w:t>
      </w:r>
      <w:r w:rsidR="008233C4">
        <w:rPr>
          <w:rFonts w:cs="Calibri"/>
        </w:rPr>
        <w:t>přehledu</w:t>
      </w:r>
      <w:r w:rsidRPr="004D2A79">
        <w:rPr>
          <w:rFonts w:cs="Calibri"/>
        </w:rPr>
        <w:t xml:space="preserve"> o peněžních tocích</w:t>
      </w:r>
      <w:r w:rsidR="004C0C8E" w:rsidRPr="004D2A79">
        <w:rPr>
          <w:rFonts w:cs="Calibri"/>
        </w:rPr>
        <w:t>, aby již</w:t>
      </w:r>
      <w:r w:rsidR="002C0562" w:rsidRPr="004D2A79">
        <w:rPr>
          <w:rFonts w:cs="Calibri"/>
        </w:rPr>
        <w:t xml:space="preserve"> v</w:t>
      </w:r>
      <w:r w:rsidR="002B4224">
        <w:rPr>
          <w:rFonts w:cs="Calibri"/>
        </w:rPr>
        <w:t xml:space="preserve"> </w:t>
      </w:r>
      <w:r w:rsidR="002C0562" w:rsidRPr="004D2A79">
        <w:rPr>
          <w:rFonts w:cs="Calibri"/>
        </w:rPr>
        <w:t>roce 2022 začal v</w:t>
      </w:r>
      <w:r w:rsidR="002B4224">
        <w:rPr>
          <w:rFonts w:cs="Calibri"/>
        </w:rPr>
        <w:t xml:space="preserve"> </w:t>
      </w:r>
      <w:r w:rsidR="008233C4">
        <w:rPr>
          <w:rFonts w:cs="Calibri"/>
        </w:rPr>
        <w:t xml:space="preserve">tomto </w:t>
      </w:r>
      <w:r w:rsidR="002C0562" w:rsidRPr="004D2A79">
        <w:rPr>
          <w:rFonts w:cs="Calibri"/>
        </w:rPr>
        <w:t>přehledu v</w:t>
      </w:r>
      <w:r w:rsidR="002C0562" w:rsidRPr="004D2A79">
        <w:rPr>
          <w:rFonts w:asciiTheme="minorHAnsi" w:hAnsiTheme="minorHAnsi" w:cs="Calibri"/>
          <w:bCs/>
        </w:rPr>
        <w:t xml:space="preserve">ýznamné nepeněžní účetní operace s vlivem na výši výsledku hospodaření (náklady z vyřazených pohledávek) </w:t>
      </w:r>
      <w:r w:rsidR="009300BC">
        <w:rPr>
          <w:rFonts w:asciiTheme="minorHAnsi" w:hAnsiTheme="minorHAnsi" w:cs="Calibri"/>
          <w:bCs/>
        </w:rPr>
        <w:t xml:space="preserve">promítat </w:t>
      </w:r>
      <w:r w:rsidR="00274A10">
        <w:rPr>
          <w:rFonts w:asciiTheme="minorHAnsi" w:hAnsiTheme="minorHAnsi" w:cs="Calibri"/>
          <w:bCs/>
        </w:rPr>
        <w:t>do</w:t>
      </w:r>
      <w:r w:rsidR="004C0C8E" w:rsidRPr="004D2A79">
        <w:rPr>
          <w:rFonts w:asciiTheme="minorHAnsi" w:hAnsiTheme="minorHAnsi" w:cs="Calibri"/>
          <w:bCs/>
        </w:rPr>
        <w:t xml:space="preserve"> polož</w:t>
      </w:r>
      <w:r w:rsidR="00274A10">
        <w:rPr>
          <w:rFonts w:asciiTheme="minorHAnsi" w:hAnsiTheme="minorHAnsi" w:cs="Calibri"/>
          <w:bCs/>
        </w:rPr>
        <w:t>e</w:t>
      </w:r>
      <w:r w:rsidR="004C0C8E" w:rsidRPr="004D2A79">
        <w:rPr>
          <w:rFonts w:asciiTheme="minorHAnsi" w:hAnsiTheme="minorHAnsi" w:cs="Calibri"/>
          <w:bCs/>
        </w:rPr>
        <w:t>k</w:t>
      </w:r>
      <w:r w:rsidR="000C4D25" w:rsidRPr="004D2A79">
        <w:rPr>
          <w:rFonts w:asciiTheme="minorHAnsi" w:hAnsiTheme="minorHAnsi" w:cs="Calibri"/>
          <w:bCs/>
        </w:rPr>
        <w:t xml:space="preserve"> tohoto přehledu správně</w:t>
      </w:r>
      <w:r w:rsidR="00274A10">
        <w:rPr>
          <w:rFonts w:asciiTheme="minorHAnsi" w:hAnsiTheme="minorHAnsi" w:cs="Calibri"/>
          <w:bCs/>
        </w:rPr>
        <w:t>,</w:t>
      </w:r>
      <w:r w:rsidR="000C4D25" w:rsidRPr="004D2A79">
        <w:rPr>
          <w:rFonts w:asciiTheme="minorHAnsi" w:hAnsiTheme="minorHAnsi" w:cs="Calibri"/>
          <w:bCs/>
        </w:rPr>
        <w:t xml:space="preserve"> tj. v souladu s jejich stanoveným obsahovým vymezením dle právního předpisu.</w:t>
      </w:r>
    </w:p>
    <w:p w14:paraId="1DC138F0" w14:textId="77777777" w:rsidR="002C0562" w:rsidRPr="004D2A79" w:rsidRDefault="002C0562" w:rsidP="00ED3B01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14:paraId="18B20A9C" w14:textId="0861AFE6" w:rsidR="002A02FE" w:rsidRPr="00B20632" w:rsidRDefault="00595049" w:rsidP="00DF6AD0">
      <w:pPr>
        <w:pStyle w:val="Styl2"/>
        <w:numPr>
          <w:ilvl w:val="0"/>
          <w:numId w:val="0"/>
        </w:numPr>
        <w:ind w:left="1276" w:hanging="567"/>
        <w:rPr>
          <w:b w:val="0"/>
        </w:rPr>
      </w:pPr>
      <w:r w:rsidRPr="00595049">
        <w:t>1.1.4</w:t>
      </w:r>
      <w:r>
        <w:t xml:space="preserve"> </w:t>
      </w:r>
      <w:r>
        <w:tab/>
      </w:r>
      <w:r w:rsidR="002A02FE" w:rsidRPr="00B20632">
        <w:t>Příloha ÚZ</w:t>
      </w:r>
    </w:p>
    <w:p w14:paraId="014DB7BA" w14:textId="2765D511" w:rsidR="000C4D25" w:rsidRPr="000C4D25" w:rsidRDefault="000C4D25" w:rsidP="00B20632">
      <w:pPr>
        <w:pStyle w:val="Odstavecseseznamem"/>
        <w:autoSpaceDE w:val="0"/>
        <w:autoSpaceDN w:val="0"/>
        <w:adjustRightInd w:val="0"/>
        <w:spacing w:after="0"/>
        <w:ind w:left="0"/>
        <w:jc w:val="both"/>
        <w:rPr>
          <w:rFonts w:ascii="Calibri-Italic" w:hAnsi="Calibri-Italic" w:cs="Calibri-Italic"/>
          <w:i/>
          <w:iCs/>
        </w:rPr>
      </w:pPr>
      <w:r w:rsidRPr="004D2A79">
        <w:rPr>
          <w:rFonts w:cs="Calibri"/>
        </w:rPr>
        <w:t xml:space="preserve">MS Praha v textové části přílohy tzv. mezitímní účetní závěrky k 30. 9. 2022 u položky </w:t>
      </w:r>
      <w:r w:rsidRPr="004D2A79">
        <w:rPr>
          <w:rFonts w:ascii="Calibri-Italic" w:hAnsi="Calibri-Italic" w:cs="Calibri-Italic"/>
          <w:i/>
          <w:iCs/>
        </w:rPr>
        <w:t>E.1.</w:t>
      </w:r>
      <w:r w:rsidR="00022E16">
        <w:rPr>
          <w:rFonts w:ascii="Calibri-Italic" w:hAnsi="Calibri-Italic" w:cs="Calibri-Italic"/>
          <w:i/>
          <w:iCs/>
        </w:rPr>
        <w:t> </w:t>
      </w:r>
      <w:r w:rsidRPr="004D2A79">
        <w:rPr>
          <w:rFonts w:ascii="Calibri-Italic" w:hAnsi="Calibri-Italic" w:cs="Calibri-Italic"/>
          <w:i/>
          <w:iCs/>
        </w:rPr>
        <w:t xml:space="preserve">Doplňující informace k položkám rozvahy </w:t>
      </w:r>
      <w:r w:rsidRPr="004D2A79">
        <w:rPr>
          <w:rFonts w:cs="Calibri"/>
        </w:rPr>
        <w:t xml:space="preserve">a </w:t>
      </w:r>
      <w:r w:rsidRPr="004D2A79">
        <w:rPr>
          <w:rFonts w:ascii="Calibri-Italic" w:hAnsi="Calibri-Italic" w:cs="Calibri-Italic"/>
          <w:i/>
          <w:iCs/>
        </w:rPr>
        <w:t xml:space="preserve">E.2. Doplňující informace k položkám výkazu zisku a ztráty </w:t>
      </w:r>
      <w:r w:rsidRPr="004D2A79">
        <w:rPr>
          <w:rFonts w:cs="Calibri"/>
        </w:rPr>
        <w:t>neuvedl žádné doplňující a vysvětlující informace k významným položkám rozvahy a výkazu zisku a ztráty. Jednalo se o systémový nedostatek. Tento nedostatek MS</w:t>
      </w:r>
      <w:r w:rsidR="002B4224">
        <w:rPr>
          <w:rFonts w:cs="Calibri"/>
        </w:rPr>
        <w:t> </w:t>
      </w:r>
      <w:r w:rsidRPr="004D2A79">
        <w:rPr>
          <w:rFonts w:cs="Calibri"/>
        </w:rPr>
        <w:t>Praha v</w:t>
      </w:r>
      <w:r w:rsidR="008439D5">
        <w:rPr>
          <w:rFonts w:cs="Calibri"/>
        </w:rPr>
        <w:t xml:space="preserve"> </w:t>
      </w:r>
      <w:r w:rsidRPr="004D2A79">
        <w:rPr>
          <w:rFonts w:cs="Calibri"/>
        </w:rPr>
        <w:t xml:space="preserve">průběhu kontroly opravil a </w:t>
      </w:r>
      <w:r w:rsidR="00ED3B01">
        <w:rPr>
          <w:rFonts w:cs="Calibri"/>
        </w:rPr>
        <w:t xml:space="preserve">v </w:t>
      </w:r>
      <w:r w:rsidRPr="004D2A79">
        <w:rPr>
          <w:rFonts w:cs="Calibri"/>
        </w:rPr>
        <w:t>příloze ÚZ uvedl doplňující a vysvětlující informace k</w:t>
      </w:r>
      <w:r w:rsidR="00375A81">
        <w:rPr>
          <w:rFonts w:cs="Calibri"/>
        </w:rPr>
        <w:t> </w:t>
      </w:r>
      <w:r w:rsidRPr="004D2A79">
        <w:rPr>
          <w:rFonts w:cs="Calibri"/>
        </w:rPr>
        <w:t>významným položkám ÚZ v souladu se zákonnými požadavky.</w:t>
      </w:r>
    </w:p>
    <w:p w14:paraId="1D8DFEC3" w14:textId="77777777" w:rsidR="002A02FE" w:rsidRPr="009435D2" w:rsidRDefault="002A02FE" w:rsidP="002A02FE">
      <w:pPr>
        <w:spacing w:after="0"/>
        <w:jc w:val="both"/>
        <w:rPr>
          <w:rFonts w:asciiTheme="minorHAnsi" w:hAnsiTheme="minorHAnsi" w:cs="Calibri"/>
          <w:bCs/>
        </w:rPr>
      </w:pPr>
    </w:p>
    <w:p w14:paraId="6B734E6A" w14:textId="77777777" w:rsidR="00A666E6" w:rsidRDefault="00A666E6" w:rsidP="00A666E6">
      <w:pPr>
        <w:spacing w:after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MS Praha po provedení uvedených oprav sestavil </w:t>
      </w:r>
      <w:r w:rsidR="00317CA9">
        <w:rPr>
          <w:rFonts w:asciiTheme="minorHAnsi" w:hAnsiTheme="minorHAnsi" w:cs="Calibri"/>
          <w:bCs/>
        </w:rPr>
        <w:t>ÚZ</w:t>
      </w:r>
      <w:r>
        <w:rPr>
          <w:rFonts w:asciiTheme="minorHAnsi" w:hAnsiTheme="minorHAnsi" w:cs="Calibri"/>
          <w:bCs/>
        </w:rPr>
        <w:t xml:space="preserve">. Pokud by MS Praha opravy neprovedl, činil by souhrnný dopad identifikovaných nedostatků ve vedení účetnictví na </w:t>
      </w:r>
      <w:r w:rsidR="004D59B3">
        <w:rPr>
          <w:rFonts w:asciiTheme="minorHAnsi" w:hAnsiTheme="minorHAnsi" w:cs="Calibri"/>
          <w:bCs/>
        </w:rPr>
        <w:t xml:space="preserve">položky </w:t>
      </w:r>
      <w:r>
        <w:rPr>
          <w:rFonts w:asciiTheme="minorHAnsi" w:hAnsiTheme="minorHAnsi" w:cs="Calibri"/>
          <w:bCs/>
        </w:rPr>
        <w:t>účetní závěrk</w:t>
      </w:r>
      <w:r w:rsidR="004D59B3">
        <w:rPr>
          <w:rFonts w:asciiTheme="minorHAnsi" w:hAnsiTheme="minorHAnsi" w:cs="Calibri"/>
          <w:bCs/>
        </w:rPr>
        <w:t>y</w:t>
      </w:r>
      <w:r>
        <w:rPr>
          <w:rFonts w:asciiTheme="minorHAnsi" w:hAnsiTheme="minorHAnsi" w:cs="Calibri"/>
          <w:bCs/>
        </w:rPr>
        <w:t xml:space="preserve"> 15,2 mil. Kč</w:t>
      </w:r>
      <w:r w:rsidR="00ED3BB6">
        <w:rPr>
          <w:rStyle w:val="Znakapoznpodarou"/>
          <w:rFonts w:asciiTheme="minorHAnsi" w:hAnsiTheme="minorHAnsi" w:cs="Calibri"/>
          <w:bCs/>
        </w:rPr>
        <w:footnoteReference w:id="19"/>
      </w:r>
      <w:r>
        <w:rPr>
          <w:rFonts w:asciiTheme="minorHAnsi" w:hAnsiTheme="minorHAnsi" w:cs="Calibri"/>
          <w:bCs/>
        </w:rPr>
        <w:t>.</w:t>
      </w:r>
    </w:p>
    <w:p w14:paraId="41941A1A" w14:textId="77777777" w:rsidR="00A666E6" w:rsidRPr="00A666E6" w:rsidRDefault="00A666E6" w:rsidP="00A666E6">
      <w:pPr>
        <w:spacing w:after="0"/>
        <w:jc w:val="both"/>
        <w:rPr>
          <w:rFonts w:asciiTheme="minorHAnsi" w:hAnsiTheme="minorHAnsi" w:cs="Calibri"/>
          <w:bCs/>
        </w:rPr>
      </w:pPr>
    </w:p>
    <w:p w14:paraId="69BA34BB" w14:textId="77777777" w:rsidR="0090755D" w:rsidRPr="00F67192" w:rsidRDefault="003F65AE" w:rsidP="000973C5">
      <w:pPr>
        <w:pStyle w:val="Styl2"/>
        <w:numPr>
          <w:ilvl w:val="1"/>
          <w:numId w:val="19"/>
        </w:numPr>
        <w:ind w:left="431" w:hanging="431"/>
      </w:pPr>
      <w:r w:rsidRPr="00F67192">
        <w:t>S</w:t>
      </w:r>
      <w:r w:rsidR="0090755D" w:rsidRPr="00F67192">
        <w:t>polehlivost údajů ÚZ</w:t>
      </w:r>
    </w:p>
    <w:p w14:paraId="2785C93F" w14:textId="43611874" w:rsidR="00CB5F84" w:rsidRDefault="00CB5F84" w:rsidP="00B238BD">
      <w:pPr>
        <w:spacing w:after="0"/>
        <w:jc w:val="both"/>
        <w:rPr>
          <w:rFonts w:asciiTheme="minorHAnsi" w:hAnsiTheme="minorHAnsi" w:cstheme="minorHAnsi"/>
        </w:rPr>
      </w:pPr>
      <w:r w:rsidRPr="00723C33">
        <w:rPr>
          <w:rFonts w:asciiTheme="minorHAnsi" w:hAnsiTheme="minorHAnsi" w:cstheme="minorHAnsi"/>
        </w:rPr>
        <w:t xml:space="preserve">Údaje ÚZ byly vykázány v rozvaze, </w:t>
      </w:r>
      <w:r w:rsidR="007A2F65">
        <w:rPr>
          <w:rFonts w:asciiTheme="minorHAnsi" w:hAnsiTheme="minorHAnsi" w:cstheme="minorHAnsi"/>
        </w:rPr>
        <w:t xml:space="preserve">ve </w:t>
      </w:r>
      <w:r w:rsidRPr="00723C33">
        <w:rPr>
          <w:rFonts w:asciiTheme="minorHAnsi" w:hAnsiTheme="minorHAnsi" w:cstheme="minorHAnsi"/>
        </w:rPr>
        <w:t>výkazu zisku a ztráty,</w:t>
      </w:r>
      <w:r w:rsidR="00583C50">
        <w:rPr>
          <w:rFonts w:asciiTheme="minorHAnsi" w:hAnsiTheme="minorHAnsi" w:cstheme="minorHAnsi"/>
        </w:rPr>
        <w:t xml:space="preserve"> v</w:t>
      </w:r>
      <w:r w:rsidRPr="00723C33">
        <w:rPr>
          <w:rFonts w:asciiTheme="minorHAnsi" w:hAnsiTheme="minorHAnsi" w:cstheme="minorHAnsi"/>
        </w:rPr>
        <w:t xml:space="preserve"> přehledu o peněžních tocích, </w:t>
      </w:r>
      <w:r w:rsidR="007A2F65">
        <w:rPr>
          <w:rFonts w:asciiTheme="minorHAnsi" w:hAnsiTheme="minorHAnsi" w:cstheme="minorHAnsi"/>
        </w:rPr>
        <w:t>v</w:t>
      </w:r>
      <w:r w:rsidR="00A43D11">
        <w:rPr>
          <w:rFonts w:asciiTheme="minorHAnsi" w:hAnsiTheme="minorHAnsi" w:cstheme="minorHAnsi"/>
        </w:rPr>
        <w:t> </w:t>
      </w:r>
      <w:r w:rsidRPr="00723C33">
        <w:rPr>
          <w:rFonts w:asciiTheme="minorHAnsi" w:hAnsiTheme="minorHAnsi" w:cstheme="minorHAnsi"/>
        </w:rPr>
        <w:t>přehledu o změnách vlastního kapitálu a v příloze.</w:t>
      </w:r>
    </w:p>
    <w:p w14:paraId="7EF3FA92" w14:textId="77777777" w:rsidR="00B238BD" w:rsidRDefault="00B238BD" w:rsidP="00DF6AD0">
      <w:pPr>
        <w:spacing w:after="0"/>
        <w:jc w:val="both"/>
        <w:rPr>
          <w:rFonts w:asciiTheme="minorHAnsi" w:hAnsiTheme="minorHAnsi" w:cstheme="minorHAnsi"/>
        </w:rPr>
      </w:pPr>
    </w:p>
    <w:p w14:paraId="52862B29" w14:textId="12D75CFE" w:rsidR="001A391B" w:rsidRDefault="001A391B" w:rsidP="00B238BD">
      <w:pPr>
        <w:spacing w:after="0"/>
        <w:jc w:val="both"/>
        <w:rPr>
          <w:rFonts w:cs="Calibri"/>
        </w:rPr>
      </w:pPr>
      <w:r w:rsidRPr="00AB7571">
        <w:rPr>
          <w:rFonts w:cs="Calibri"/>
        </w:rPr>
        <w:t xml:space="preserve">Pro </w:t>
      </w:r>
      <w:r>
        <w:rPr>
          <w:rFonts w:cs="Calibri"/>
        </w:rPr>
        <w:t xml:space="preserve">vyhodnocení </w:t>
      </w:r>
      <w:r w:rsidRPr="00AB7571">
        <w:rPr>
          <w:rFonts w:cs="Calibri"/>
        </w:rPr>
        <w:t>spolehlivosti</w:t>
      </w:r>
      <w:r>
        <w:rPr>
          <w:rFonts w:cs="Calibri"/>
        </w:rPr>
        <w:t xml:space="preserve"> údajů </w:t>
      </w:r>
      <w:r w:rsidRPr="00AB7571">
        <w:rPr>
          <w:rFonts w:cs="Calibri"/>
        </w:rPr>
        <w:t>ÚZ</w:t>
      </w:r>
      <w:r>
        <w:rPr>
          <w:rFonts w:cs="Calibri"/>
        </w:rPr>
        <w:t xml:space="preserve"> </w:t>
      </w:r>
      <w:r w:rsidRPr="00AB7571">
        <w:rPr>
          <w:rFonts w:cs="Calibri"/>
        </w:rPr>
        <w:t>stanov</w:t>
      </w:r>
      <w:r w:rsidR="00437427">
        <w:rPr>
          <w:rFonts w:cs="Calibri"/>
        </w:rPr>
        <w:t>il</w:t>
      </w:r>
      <w:r w:rsidR="00EE2163">
        <w:rPr>
          <w:rFonts w:cs="Calibri"/>
        </w:rPr>
        <w:t xml:space="preserve"> </w:t>
      </w:r>
      <w:r w:rsidR="00274A10">
        <w:rPr>
          <w:rFonts w:cs="Calibri"/>
        </w:rPr>
        <w:t>Nejvyšší kontrolní úřad</w:t>
      </w:r>
      <w:r w:rsidRPr="00AB7571">
        <w:rPr>
          <w:rFonts w:cs="Calibri"/>
        </w:rPr>
        <w:t xml:space="preserve"> </w:t>
      </w:r>
      <w:r>
        <w:rPr>
          <w:rFonts w:cs="Calibri"/>
        </w:rPr>
        <w:t>hladin</w:t>
      </w:r>
      <w:r w:rsidR="00437427">
        <w:rPr>
          <w:rFonts w:cs="Calibri"/>
        </w:rPr>
        <w:t>u</w:t>
      </w:r>
      <w:r>
        <w:rPr>
          <w:rFonts w:cs="Calibri"/>
        </w:rPr>
        <w:t xml:space="preserve"> </w:t>
      </w:r>
      <w:r w:rsidRPr="00AB7571">
        <w:rPr>
          <w:rFonts w:cs="Calibri"/>
        </w:rPr>
        <w:t>významnost</w:t>
      </w:r>
      <w:r>
        <w:rPr>
          <w:rFonts w:cs="Calibri"/>
        </w:rPr>
        <w:t>i</w:t>
      </w:r>
      <w:r w:rsidR="00904246">
        <w:rPr>
          <w:rStyle w:val="Znakapoznpodarou"/>
          <w:rFonts w:cs="Calibri"/>
        </w:rPr>
        <w:footnoteReference w:id="20"/>
      </w:r>
      <w:r w:rsidRPr="00AB7571">
        <w:rPr>
          <w:rFonts w:cs="Calibri"/>
        </w:rPr>
        <w:t xml:space="preserve"> ve výši </w:t>
      </w:r>
      <w:r w:rsidR="007E110A">
        <w:rPr>
          <w:rFonts w:cs="Calibri"/>
        </w:rPr>
        <w:t>72</w:t>
      </w:r>
      <w:r w:rsidRPr="00AB7571">
        <w:rPr>
          <w:rFonts w:cs="Calibri"/>
        </w:rPr>
        <w:t xml:space="preserve"> mil. Kč</w:t>
      </w:r>
      <w:r w:rsidR="00904246">
        <w:rPr>
          <w:rStyle w:val="Znakapoznpodarou"/>
          <w:rFonts w:cs="Calibri"/>
        </w:rPr>
        <w:footnoteReference w:id="21"/>
      </w:r>
      <w:r>
        <w:rPr>
          <w:rFonts w:cs="Calibri"/>
        </w:rPr>
        <w:t>.</w:t>
      </w:r>
    </w:p>
    <w:p w14:paraId="75F8D279" w14:textId="77777777" w:rsidR="00B238BD" w:rsidRPr="00723C33" w:rsidRDefault="00B238BD" w:rsidP="00DF6AD0">
      <w:pPr>
        <w:spacing w:after="0"/>
        <w:jc w:val="both"/>
        <w:rPr>
          <w:rFonts w:asciiTheme="minorHAnsi" w:hAnsiTheme="minorHAnsi" w:cstheme="minorHAnsi"/>
          <w:spacing w:val="-2"/>
        </w:rPr>
      </w:pPr>
    </w:p>
    <w:p w14:paraId="0032A35B" w14:textId="65AF6929" w:rsidR="002C44C1" w:rsidRDefault="00350785" w:rsidP="00B238BD">
      <w:pPr>
        <w:spacing w:after="0"/>
        <w:jc w:val="both"/>
        <w:rPr>
          <w:rFonts w:eastAsia="Calibri" w:cs="Calibri"/>
        </w:rPr>
      </w:pPr>
      <w:r w:rsidRPr="00872B70">
        <w:rPr>
          <w:rFonts w:asciiTheme="minorHAnsi" w:hAnsiTheme="minorHAnsi" w:cstheme="minorHAnsi"/>
          <w:spacing w:val="-2"/>
        </w:rPr>
        <w:t>V</w:t>
      </w:r>
      <w:r w:rsidR="00CF05CF" w:rsidRPr="00872B70">
        <w:rPr>
          <w:rFonts w:asciiTheme="minorHAnsi" w:hAnsiTheme="minorHAnsi" w:cstheme="minorHAnsi"/>
          <w:spacing w:val="-2"/>
        </w:rPr>
        <w:t> účetní závěrce</w:t>
      </w:r>
      <w:r w:rsidRPr="00872B70">
        <w:rPr>
          <w:rFonts w:eastAsia="Calibri" w:cs="Calibri"/>
        </w:rPr>
        <w:t xml:space="preserve"> </w:t>
      </w:r>
      <w:r w:rsidR="00EE2D5D" w:rsidRPr="00872B70">
        <w:rPr>
          <w:rFonts w:eastAsia="Calibri" w:cs="Calibri"/>
        </w:rPr>
        <w:t>sestavené po provedení oprav</w:t>
      </w:r>
      <w:r w:rsidR="00CB5F84" w:rsidRPr="00872B70">
        <w:rPr>
          <w:rFonts w:eastAsia="Calibri" w:cs="Calibri"/>
        </w:rPr>
        <w:t xml:space="preserve"> </w:t>
      </w:r>
      <w:r w:rsidR="00583C50" w:rsidRPr="005F7787">
        <w:rPr>
          <w:rFonts w:eastAsia="Calibri" w:cs="Calibri"/>
        </w:rPr>
        <w:t>(</w:t>
      </w:r>
      <w:r w:rsidR="00CB5F84" w:rsidRPr="005F7787">
        <w:rPr>
          <w:rFonts w:eastAsia="Calibri" w:cs="Calibri"/>
        </w:rPr>
        <w:t xml:space="preserve">uvedených </w:t>
      </w:r>
      <w:r w:rsidR="00CB5F84" w:rsidRPr="000A11F0">
        <w:rPr>
          <w:rFonts w:eastAsia="Calibri" w:cs="Calibri"/>
        </w:rPr>
        <w:t>v části IV.</w:t>
      </w:r>
      <w:r w:rsidR="000A11F0" w:rsidRPr="000A11F0">
        <w:rPr>
          <w:rFonts w:eastAsia="Calibri" w:cs="Calibri"/>
        </w:rPr>
        <w:t>1</w:t>
      </w:r>
      <w:r w:rsidR="00CB5F84" w:rsidRPr="000A11F0">
        <w:rPr>
          <w:rFonts w:eastAsia="Calibri" w:cs="Calibri"/>
        </w:rPr>
        <w:t>.1</w:t>
      </w:r>
      <w:r w:rsidR="00583C50" w:rsidRPr="000A11F0">
        <w:rPr>
          <w:rFonts w:eastAsia="Calibri" w:cs="Calibri"/>
        </w:rPr>
        <w:t>)</w:t>
      </w:r>
      <w:r w:rsidR="004E0006" w:rsidRPr="005F7787">
        <w:rPr>
          <w:rFonts w:eastAsia="Calibri" w:cs="Calibri"/>
        </w:rPr>
        <w:t xml:space="preserve"> </w:t>
      </w:r>
      <w:r w:rsidR="00320FC2">
        <w:rPr>
          <w:rFonts w:eastAsia="Calibri" w:cs="Calibri"/>
        </w:rPr>
        <w:t>ne</w:t>
      </w:r>
      <w:r w:rsidR="007E110A">
        <w:rPr>
          <w:rFonts w:eastAsia="Calibri" w:cs="Calibri"/>
        </w:rPr>
        <w:t>zji</w:t>
      </w:r>
      <w:r w:rsidR="00320FC2">
        <w:rPr>
          <w:rFonts w:eastAsia="Calibri" w:cs="Calibri"/>
        </w:rPr>
        <w:t>stil NKÚ</w:t>
      </w:r>
      <w:r w:rsidR="007E110A">
        <w:rPr>
          <w:rFonts w:eastAsia="Calibri" w:cs="Calibri"/>
        </w:rPr>
        <w:t xml:space="preserve"> žádné neopravené nesprávnosti.</w:t>
      </w:r>
    </w:p>
    <w:p w14:paraId="156237D1" w14:textId="77777777" w:rsidR="00B238BD" w:rsidRPr="001B4D88" w:rsidRDefault="00B238BD" w:rsidP="00DF6AD0">
      <w:pPr>
        <w:spacing w:after="0"/>
        <w:jc w:val="both"/>
        <w:rPr>
          <w:rFonts w:asciiTheme="minorHAnsi" w:hAnsiTheme="minorHAnsi" w:cstheme="minorHAnsi"/>
          <w:spacing w:val="-2"/>
        </w:rPr>
      </w:pPr>
    </w:p>
    <w:p w14:paraId="31B19D45" w14:textId="77777777" w:rsidR="00914FA0" w:rsidRDefault="0085712D" w:rsidP="007E110A">
      <w:pPr>
        <w:spacing w:after="0"/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D</w:t>
      </w:r>
      <w:r w:rsidR="00983C54" w:rsidRPr="00FB2A0C">
        <w:rPr>
          <w:rFonts w:asciiTheme="minorHAnsi" w:hAnsiTheme="minorHAnsi" w:cs="Calibri"/>
          <w:b/>
        </w:rPr>
        <w:t xml:space="preserve">le </w:t>
      </w:r>
      <w:r w:rsidR="00983C54">
        <w:rPr>
          <w:rFonts w:asciiTheme="minorHAnsi" w:hAnsiTheme="minorHAnsi" w:cs="Calibri"/>
          <w:b/>
        </w:rPr>
        <w:t xml:space="preserve">NKÚ účetní závěrka </w:t>
      </w:r>
      <w:r w:rsidR="007E110A">
        <w:rPr>
          <w:rFonts w:asciiTheme="minorHAnsi" w:hAnsiTheme="minorHAnsi" w:cs="Calibri"/>
          <w:b/>
        </w:rPr>
        <w:t>MS Praha</w:t>
      </w:r>
      <w:r w:rsidR="00983C54">
        <w:rPr>
          <w:rFonts w:asciiTheme="minorHAnsi" w:hAnsiTheme="minorHAnsi" w:cs="Calibri"/>
          <w:b/>
        </w:rPr>
        <w:t xml:space="preserve"> k 31. prosinci 202</w:t>
      </w:r>
      <w:r w:rsidR="00F67192">
        <w:rPr>
          <w:rFonts w:asciiTheme="minorHAnsi" w:hAnsiTheme="minorHAnsi" w:cs="Calibri"/>
          <w:b/>
        </w:rPr>
        <w:t>2</w:t>
      </w:r>
      <w:r w:rsidR="00487F34">
        <w:rPr>
          <w:rFonts w:asciiTheme="minorHAnsi" w:hAnsiTheme="minorHAnsi" w:cs="Calibri"/>
          <w:b/>
        </w:rPr>
        <w:t xml:space="preserve"> </w:t>
      </w:r>
      <w:r w:rsidR="001B4D88">
        <w:rPr>
          <w:rFonts w:asciiTheme="minorHAnsi" w:hAnsiTheme="minorHAnsi" w:cs="Calibri"/>
          <w:b/>
        </w:rPr>
        <w:t xml:space="preserve">podává </w:t>
      </w:r>
      <w:r w:rsidR="00983C54">
        <w:rPr>
          <w:rFonts w:asciiTheme="minorHAnsi" w:hAnsiTheme="minorHAnsi" w:cs="Calibri"/>
          <w:b/>
        </w:rPr>
        <w:t>ve všech významných ohledech věrný a poctivý obraz předmětu účetnictví a finanční situace účetní jednotky dle účetních předpisů pro některé vybrané účetní jednotky.</w:t>
      </w:r>
    </w:p>
    <w:p w14:paraId="05EB374A" w14:textId="77777777" w:rsidR="00B460A6" w:rsidRDefault="00B460A6" w:rsidP="007E110A">
      <w:pPr>
        <w:spacing w:after="0"/>
        <w:jc w:val="both"/>
        <w:rPr>
          <w:rFonts w:cs="Calibri"/>
        </w:rPr>
      </w:pPr>
    </w:p>
    <w:p w14:paraId="2BB4BDDE" w14:textId="12105960" w:rsidR="00B460A6" w:rsidRDefault="00B460A6" w:rsidP="007E110A">
      <w:pPr>
        <w:spacing w:after="0"/>
        <w:jc w:val="both"/>
        <w:rPr>
          <w:rFonts w:cs="Calibri"/>
        </w:rPr>
      </w:pPr>
      <w:r>
        <w:rPr>
          <w:iCs/>
        </w:rPr>
        <w:t xml:space="preserve">Spolehlivé informace účetní závěrky mají dle </w:t>
      </w:r>
      <w:r w:rsidR="007A2F65">
        <w:rPr>
          <w:iCs/>
        </w:rPr>
        <w:t>ustanovení</w:t>
      </w:r>
      <w:r>
        <w:rPr>
          <w:iCs/>
        </w:rPr>
        <w:t xml:space="preserve"> § 7 zákona č. 563/1991 Sb. umožnit jejím uživatelům činit ekonomická rozhodnutí. V rámci kontroly proved</w:t>
      </w:r>
      <w:r w:rsidR="00320FC2">
        <w:rPr>
          <w:iCs/>
        </w:rPr>
        <w:t>l NKÚ</w:t>
      </w:r>
      <w:r>
        <w:rPr>
          <w:iCs/>
        </w:rPr>
        <w:t xml:space="preserve"> rozbor výsledku hospodaření MS Praha z pohledu akruálního (účetního) a peněžního (plnění rozpočtu) a popis, zda a jak MS Praha využívá akruální účetní informace vč. informací vykazovaných na podrozvahových účtech – </w:t>
      </w:r>
      <w:r w:rsidR="00B238BD">
        <w:rPr>
          <w:iCs/>
        </w:rPr>
        <w:t>blíže</w:t>
      </w:r>
      <w:r>
        <w:rPr>
          <w:iCs/>
        </w:rPr>
        <w:t xml:space="preserve"> viz příloha č. 1 a č. 2 tohoto kontrolního závěru.</w:t>
      </w:r>
    </w:p>
    <w:p w14:paraId="4FE4B907" w14:textId="77777777" w:rsidR="003664A1" w:rsidRPr="00030656" w:rsidRDefault="003664A1" w:rsidP="007E110A">
      <w:pPr>
        <w:spacing w:after="0"/>
        <w:rPr>
          <w:iCs/>
        </w:rPr>
      </w:pPr>
    </w:p>
    <w:p w14:paraId="149B110B" w14:textId="77777777" w:rsidR="00A75011" w:rsidRPr="005366D4" w:rsidRDefault="00A75011" w:rsidP="00F11CA7">
      <w:pPr>
        <w:pStyle w:val="Styl2"/>
        <w:numPr>
          <w:ilvl w:val="0"/>
          <w:numId w:val="19"/>
        </w:numPr>
        <w:ind w:left="340" w:hanging="340"/>
        <w:jc w:val="both"/>
      </w:pPr>
      <w:r w:rsidRPr="005366D4">
        <w:t xml:space="preserve">Údaje předkládané </w:t>
      </w:r>
      <w:r w:rsidR="007E110A">
        <w:t>Městským soudem v Praze</w:t>
      </w:r>
      <w:r w:rsidR="00F11CA7">
        <w:t xml:space="preserve"> pro hodnocení plnění </w:t>
      </w:r>
      <w:r w:rsidR="00F95077">
        <w:t xml:space="preserve">státního </w:t>
      </w:r>
      <w:r w:rsidR="00F11CA7">
        <w:t>rozpočtu</w:t>
      </w:r>
      <w:r w:rsidRPr="005366D4">
        <w:t xml:space="preserve"> za rok 202</w:t>
      </w:r>
      <w:r w:rsidR="005C5441">
        <w:t>2</w:t>
      </w:r>
    </w:p>
    <w:p w14:paraId="1BE9A21F" w14:textId="7404124E" w:rsidR="00034564" w:rsidRDefault="00034564" w:rsidP="00B238BD">
      <w:pPr>
        <w:spacing w:after="0"/>
        <w:jc w:val="both"/>
      </w:pPr>
      <w:r w:rsidRPr="00AA122F">
        <w:t xml:space="preserve">Pro posouzení významnosti zjištěných nesprávností v údajích předkládaných </w:t>
      </w:r>
      <w:r w:rsidR="00AA122F" w:rsidRPr="00AA122F">
        <w:t xml:space="preserve">Městským soudem v Praze </w:t>
      </w:r>
      <w:r w:rsidRPr="00AA122F">
        <w:t>pro hodnocení plnění</w:t>
      </w:r>
      <w:r w:rsidR="00F95077" w:rsidRPr="00AA122F">
        <w:t xml:space="preserve"> </w:t>
      </w:r>
      <w:r w:rsidR="00AA122F" w:rsidRPr="00AA122F">
        <w:t xml:space="preserve">státního </w:t>
      </w:r>
      <w:r w:rsidRPr="00AA122F">
        <w:t xml:space="preserve">rozpočtu </w:t>
      </w:r>
      <w:r w:rsidR="000176F5">
        <w:t>stanovil</w:t>
      </w:r>
      <w:r w:rsidR="00EE2163">
        <w:t xml:space="preserve"> NKÚ </w:t>
      </w:r>
      <w:r w:rsidR="009C3CD0" w:rsidRPr="00AA122F">
        <w:t>hladin</w:t>
      </w:r>
      <w:r w:rsidR="000176F5">
        <w:t>u</w:t>
      </w:r>
      <w:r w:rsidR="009C3CD0" w:rsidRPr="00AA122F">
        <w:t xml:space="preserve"> </w:t>
      </w:r>
      <w:r w:rsidRPr="00AA122F">
        <w:t>významnost</w:t>
      </w:r>
      <w:r w:rsidR="009C3CD0" w:rsidRPr="00AA122F">
        <w:t>i</w:t>
      </w:r>
      <w:r w:rsidRPr="00AA122F">
        <w:t xml:space="preserve"> ve výši </w:t>
      </w:r>
      <w:r w:rsidR="00AA122F" w:rsidRPr="00AA122F">
        <w:t>30</w:t>
      </w:r>
      <w:r w:rsidR="005C5441" w:rsidRPr="00AA122F">
        <w:t xml:space="preserve"> </w:t>
      </w:r>
      <w:r w:rsidRPr="00AA122F">
        <w:t>mil. Kč</w:t>
      </w:r>
      <w:r w:rsidR="00E45ADC" w:rsidRPr="00AA122F">
        <w:rPr>
          <w:rStyle w:val="Znakapoznpodarou"/>
        </w:rPr>
        <w:footnoteReference w:id="22"/>
      </w:r>
      <w:r w:rsidRPr="00AA122F">
        <w:t>.</w:t>
      </w:r>
    </w:p>
    <w:p w14:paraId="5B3F422E" w14:textId="77777777" w:rsidR="00B238BD" w:rsidRPr="00AA122F" w:rsidRDefault="00B238BD" w:rsidP="00DF6AD0">
      <w:pPr>
        <w:spacing w:after="0"/>
        <w:jc w:val="both"/>
        <w:rPr>
          <w:b/>
          <w:bCs/>
        </w:rPr>
      </w:pPr>
    </w:p>
    <w:p w14:paraId="6CFD51E8" w14:textId="184167FB" w:rsidR="00690CEB" w:rsidRDefault="00A14AEE" w:rsidP="00B238BD">
      <w:pPr>
        <w:spacing w:after="0"/>
        <w:jc w:val="both"/>
        <w:rPr>
          <w:rFonts w:asciiTheme="minorHAnsi" w:hAnsiTheme="minorHAnsi" w:cstheme="minorHAnsi"/>
        </w:rPr>
      </w:pPr>
      <w:r w:rsidRPr="00AA122F">
        <w:rPr>
          <w:rFonts w:asciiTheme="minorHAnsi" w:hAnsiTheme="minorHAnsi" w:cstheme="minorHAnsi"/>
        </w:rPr>
        <w:t xml:space="preserve">NKÚ provedl ve výkazu </w:t>
      </w:r>
      <w:r w:rsidR="00640EC0">
        <w:rPr>
          <w:rFonts w:asciiTheme="minorHAnsi" w:hAnsiTheme="minorHAnsi" w:cstheme="minorHAnsi"/>
        </w:rPr>
        <w:t xml:space="preserve">pro hodnocení plnění rozpočtu </w:t>
      </w:r>
      <w:r w:rsidR="00AA122F" w:rsidRPr="00AA122F">
        <w:rPr>
          <w:rFonts w:asciiTheme="minorHAnsi" w:hAnsiTheme="minorHAnsi" w:cstheme="minorHAnsi"/>
        </w:rPr>
        <w:t>MS Praha</w:t>
      </w:r>
      <w:r w:rsidRPr="00AA122F">
        <w:rPr>
          <w:rFonts w:asciiTheme="minorHAnsi" w:hAnsiTheme="minorHAnsi" w:cstheme="minorHAnsi"/>
        </w:rPr>
        <w:t xml:space="preserve"> sestavené</w:t>
      </w:r>
      <w:r w:rsidR="00E3390A" w:rsidRPr="00AA122F">
        <w:rPr>
          <w:rFonts w:asciiTheme="minorHAnsi" w:hAnsiTheme="minorHAnsi" w:cstheme="minorHAnsi"/>
        </w:rPr>
        <w:t>m</w:t>
      </w:r>
      <w:r w:rsidRPr="00AA122F">
        <w:rPr>
          <w:rFonts w:asciiTheme="minorHAnsi" w:hAnsiTheme="minorHAnsi" w:cstheme="minorHAnsi"/>
        </w:rPr>
        <w:t xml:space="preserve"> k 31. </w:t>
      </w:r>
      <w:r w:rsidR="009C2388">
        <w:rPr>
          <w:rFonts w:asciiTheme="minorHAnsi" w:hAnsiTheme="minorHAnsi" w:cstheme="minorHAnsi"/>
        </w:rPr>
        <w:t>prosinci</w:t>
      </w:r>
      <w:r w:rsidR="008439D5">
        <w:rPr>
          <w:rFonts w:asciiTheme="minorHAnsi" w:hAnsiTheme="minorHAnsi" w:cstheme="minorHAnsi"/>
        </w:rPr>
        <w:t xml:space="preserve"> </w:t>
      </w:r>
      <w:r w:rsidRPr="00AA122F">
        <w:rPr>
          <w:rFonts w:asciiTheme="minorHAnsi" w:hAnsiTheme="minorHAnsi" w:cstheme="minorHAnsi"/>
        </w:rPr>
        <w:t>2022 u</w:t>
      </w:r>
      <w:r w:rsidR="00E3390A" w:rsidRPr="00AA122F">
        <w:rPr>
          <w:rFonts w:asciiTheme="minorHAnsi" w:hAnsiTheme="minorHAnsi" w:cstheme="minorHAnsi"/>
        </w:rPr>
        <w:t> </w:t>
      </w:r>
      <w:r w:rsidRPr="00AA122F">
        <w:rPr>
          <w:rFonts w:asciiTheme="minorHAnsi" w:hAnsiTheme="minorHAnsi" w:cstheme="minorHAnsi"/>
        </w:rPr>
        <w:t xml:space="preserve">údajů o příjmech a výdajích ve sloupci </w:t>
      </w:r>
      <w:r w:rsidR="005E4943" w:rsidRPr="0088411F">
        <w:rPr>
          <w:rFonts w:asciiTheme="minorHAnsi" w:hAnsiTheme="minorHAnsi" w:cstheme="minorHAnsi"/>
          <w:i/>
        </w:rPr>
        <w:t>S</w:t>
      </w:r>
      <w:r w:rsidRPr="0088411F">
        <w:rPr>
          <w:rFonts w:asciiTheme="minorHAnsi" w:hAnsiTheme="minorHAnsi" w:cstheme="minorHAnsi"/>
          <w:i/>
        </w:rPr>
        <w:t>kutečnost</w:t>
      </w:r>
      <w:r w:rsidRPr="00AA122F">
        <w:rPr>
          <w:rFonts w:asciiTheme="minorHAnsi" w:hAnsiTheme="minorHAnsi" w:cstheme="minorHAnsi"/>
        </w:rPr>
        <w:t xml:space="preserve"> kontrolu správnosti jejich druhového</w:t>
      </w:r>
      <w:r w:rsidR="001A391B" w:rsidRPr="00AA122F">
        <w:rPr>
          <w:rFonts w:asciiTheme="minorHAnsi" w:hAnsiTheme="minorHAnsi" w:cstheme="minorHAnsi"/>
        </w:rPr>
        <w:t>,</w:t>
      </w:r>
      <w:r w:rsidRPr="00AA122F">
        <w:rPr>
          <w:rFonts w:asciiTheme="minorHAnsi" w:hAnsiTheme="minorHAnsi" w:cstheme="minorHAnsi"/>
        </w:rPr>
        <w:t xml:space="preserve"> odvětvového </w:t>
      </w:r>
      <w:r w:rsidR="001A391B" w:rsidRPr="00AA122F">
        <w:rPr>
          <w:rFonts w:asciiTheme="minorHAnsi" w:hAnsiTheme="minorHAnsi" w:cstheme="minorHAnsi"/>
        </w:rPr>
        <w:t>a prostorového třídění</w:t>
      </w:r>
      <w:r w:rsidRPr="00AA122F">
        <w:rPr>
          <w:rFonts w:asciiTheme="minorHAnsi" w:hAnsiTheme="minorHAnsi" w:cstheme="minorHAnsi"/>
        </w:rPr>
        <w:t xml:space="preserve"> dle rozpočtové skladby.</w:t>
      </w:r>
    </w:p>
    <w:p w14:paraId="77B875F1" w14:textId="77777777" w:rsidR="00B238BD" w:rsidRDefault="00B238BD" w:rsidP="00DF6AD0">
      <w:pPr>
        <w:spacing w:after="0"/>
        <w:jc w:val="both"/>
        <w:rPr>
          <w:rFonts w:asciiTheme="minorHAnsi" w:hAnsiTheme="minorHAnsi" w:cstheme="minorHAnsi"/>
        </w:rPr>
      </w:pPr>
    </w:p>
    <w:p w14:paraId="4D3C1888" w14:textId="7A918EDD" w:rsidR="00AA122F" w:rsidRDefault="00AA122F" w:rsidP="00B238BD">
      <w:pPr>
        <w:spacing w:after="0"/>
        <w:jc w:val="both"/>
      </w:pPr>
      <w:r w:rsidRPr="00AA122F">
        <w:rPr>
          <w:rFonts w:cs="Calibri"/>
          <w:lang w:eastAsia="cs-CZ"/>
        </w:rPr>
        <w:lastRenderedPageBreak/>
        <w:t xml:space="preserve">V údajích předkládaných MS Praha </w:t>
      </w:r>
      <w:r w:rsidRPr="00AA122F">
        <w:t>pro hodnocení plnění státního rozpočtu za rok 2022</w:t>
      </w:r>
      <w:r w:rsidR="00165A56">
        <w:t xml:space="preserve"> nezjistil NKÚ v průběhu kontroly žádné významné nedostatky, které by musel MS Praha opravovat.</w:t>
      </w:r>
    </w:p>
    <w:p w14:paraId="3D22BF47" w14:textId="77777777" w:rsidR="00B238BD" w:rsidRDefault="00B238BD" w:rsidP="00DF6AD0">
      <w:pPr>
        <w:spacing w:after="0"/>
        <w:jc w:val="both"/>
        <w:rPr>
          <w:rFonts w:eastAsiaTheme="minorHAnsi" w:cs="Calibri"/>
          <w:b/>
        </w:rPr>
      </w:pPr>
    </w:p>
    <w:p w14:paraId="1585FEF0" w14:textId="77777777" w:rsidR="002500C2" w:rsidRPr="00AA122F" w:rsidRDefault="0085712D" w:rsidP="00063F65">
      <w:pPr>
        <w:spacing w:after="0"/>
        <w:jc w:val="both"/>
        <w:rPr>
          <w:rFonts w:asciiTheme="minorHAnsi" w:hAnsiTheme="minorHAnsi" w:cs="Calibri"/>
          <w:b/>
        </w:rPr>
      </w:pPr>
      <w:r>
        <w:rPr>
          <w:rFonts w:eastAsiaTheme="minorHAnsi" w:cs="Calibri"/>
          <w:b/>
        </w:rPr>
        <w:t>D</w:t>
      </w:r>
      <w:r w:rsidR="00063F65" w:rsidRPr="00AA122F">
        <w:rPr>
          <w:rFonts w:eastAsiaTheme="minorHAnsi" w:cs="Calibri"/>
          <w:b/>
        </w:rPr>
        <w:t>le NKÚ byl uvedený výkaz</w:t>
      </w:r>
      <w:r w:rsidR="00063F65">
        <w:rPr>
          <w:rFonts w:eastAsiaTheme="minorHAnsi" w:cs="Calibri"/>
          <w:b/>
        </w:rPr>
        <w:t xml:space="preserve"> pro hodnocení plnění rozpočtu</w:t>
      </w:r>
      <w:r w:rsidR="00063F65">
        <w:rPr>
          <w:rFonts w:asciiTheme="minorHAnsi" w:hAnsiTheme="minorHAnsi" w:cstheme="minorHAnsi"/>
          <w:b/>
        </w:rPr>
        <w:t xml:space="preserve"> </w:t>
      </w:r>
      <w:r w:rsidR="00063F65" w:rsidRPr="00AA122F">
        <w:rPr>
          <w:rFonts w:eastAsiaTheme="minorHAnsi" w:cs="Calibri"/>
          <w:b/>
        </w:rPr>
        <w:t>ve všech významných ohledech sestaven v souladu s příslušnými právními předpisy</w:t>
      </w:r>
      <w:r w:rsidR="00063F65" w:rsidRPr="00AA122F">
        <w:rPr>
          <w:rFonts w:asciiTheme="minorHAnsi" w:hAnsiTheme="minorHAnsi" w:cs="Calibri"/>
          <w:b/>
        </w:rPr>
        <w:t>.</w:t>
      </w:r>
    </w:p>
    <w:p w14:paraId="5091F562" w14:textId="77777777" w:rsidR="00E57955" w:rsidRDefault="00E57955" w:rsidP="00063F65">
      <w:pPr>
        <w:spacing w:after="0"/>
        <w:jc w:val="both"/>
      </w:pPr>
    </w:p>
    <w:p w14:paraId="0A7F9349" w14:textId="77777777" w:rsidR="00F53F58" w:rsidRPr="00865CC2" w:rsidRDefault="00F53F58" w:rsidP="00F53F58">
      <w:pPr>
        <w:pStyle w:val="Styl2"/>
        <w:numPr>
          <w:ilvl w:val="0"/>
          <w:numId w:val="19"/>
        </w:numPr>
        <w:ind w:left="340" w:hanging="340"/>
      </w:pPr>
      <w:r w:rsidRPr="005263BF">
        <w:t xml:space="preserve">Vnitřní kontrolní systém </w:t>
      </w:r>
      <w:r w:rsidR="00AA122F">
        <w:t>MS Praha</w:t>
      </w:r>
    </w:p>
    <w:p w14:paraId="5B421376" w14:textId="7910DE88" w:rsidR="00063F65" w:rsidRDefault="0085712D" w:rsidP="00B238BD">
      <w:pPr>
        <w:pStyle w:val="Odstavecseseznamem"/>
        <w:spacing w:after="0"/>
        <w:ind w:left="0"/>
        <w:jc w:val="both"/>
        <w:rPr>
          <w:rFonts w:cs="Calibri"/>
        </w:rPr>
      </w:pPr>
      <w:r>
        <w:rPr>
          <w:rFonts w:cs="Calibri"/>
        </w:rPr>
        <w:t>D</w:t>
      </w:r>
      <w:r w:rsidR="00063F65" w:rsidRPr="00063F65">
        <w:rPr>
          <w:rFonts w:cs="Calibri"/>
        </w:rPr>
        <w:t>le NKÚ účetní závěrka MS Praha sestavená k 31. prosinci 2022 podává ve všech významných ohledech věrný a poctivý obraz předmětu účetnictví a finanční situace účetní jednotky dle účetních předpisů pro některé vybrané účetní jednotky (viz část IV.1.2).</w:t>
      </w:r>
    </w:p>
    <w:p w14:paraId="1735FC26" w14:textId="77777777" w:rsidR="00B238BD" w:rsidRDefault="00B238BD" w:rsidP="00DF6AD0">
      <w:pPr>
        <w:pStyle w:val="Odstavecseseznamem"/>
        <w:spacing w:after="0"/>
        <w:ind w:left="0"/>
        <w:jc w:val="both"/>
        <w:rPr>
          <w:rFonts w:cs="Calibri"/>
        </w:rPr>
      </w:pPr>
    </w:p>
    <w:p w14:paraId="10F17BB3" w14:textId="0D16F149" w:rsidR="00063F65" w:rsidRDefault="00063F65" w:rsidP="00B238BD">
      <w:pPr>
        <w:spacing w:after="0"/>
        <w:jc w:val="both"/>
        <w:rPr>
          <w:rFonts w:eastAsia="Calibri"/>
        </w:rPr>
      </w:pPr>
      <w:r>
        <w:rPr>
          <w:rFonts w:eastAsia="Calibri"/>
        </w:rPr>
        <w:t xml:space="preserve">V případě údajů předkládaných Městským soudem v Praze pro hodnocení plnění státního rozpočtu za rok 2022 NKÚ zjistil, že jsou tříděny ve všech významných ohledech v souladu s vyhláškou č. </w:t>
      </w:r>
      <w:r w:rsidRPr="00476D94">
        <w:rPr>
          <w:rFonts w:eastAsia="Calibri"/>
        </w:rPr>
        <w:t>412/2021 Sb. (v</w:t>
      </w:r>
      <w:r>
        <w:rPr>
          <w:rFonts w:eastAsia="Calibri"/>
        </w:rPr>
        <w:t xml:space="preserve">iz </w:t>
      </w:r>
      <w:r w:rsidRPr="000A11F0">
        <w:rPr>
          <w:rFonts w:eastAsia="Calibri"/>
        </w:rPr>
        <w:t>část IV.2.).</w:t>
      </w:r>
    </w:p>
    <w:p w14:paraId="443328D4" w14:textId="77777777" w:rsidR="00B238BD" w:rsidRPr="00476D94" w:rsidRDefault="00B238BD" w:rsidP="00DF6AD0">
      <w:pPr>
        <w:spacing w:after="0"/>
        <w:jc w:val="both"/>
        <w:rPr>
          <w:rFonts w:eastAsia="Calibri"/>
        </w:rPr>
      </w:pPr>
    </w:p>
    <w:p w14:paraId="1B232FBC" w14:textId="203ED330" w:rsidR="00063F65" w:rsidRDefault="00063F65" w:rsidP="00063F65">
      <w:pPr>
        <w:jc w:val="both"/>
        <w:rPr>
          <w:rFonts w:asciiTheme="minorHAnsi" w:hAnsiTheme="minorHAnsi" w:cstheme="minorHAnsi"/>
        </w:rPr>
      </w:pPr>
      <w:r w:rsidRPr="002D6989">
        <w:rPr>
          <w:rFonts w:asciiTheme="minorHAnsi" w:hAnsiTheme="minorHAnsi" w:cstheme="minorHAnsi"/>
        </w:rPr>
        <w:t>NKÚ u několika vybraných majetkových a finančních operací</w:t>
      </w:r>
      <w:r w:rsidR="002C1426">
        <w:rPr>
          <w:rFonts w:asciiTheme="minorHAnsi" w:hAnsiTheme="minorHAnsi" w:cstheme="minorHAnsi"/>
        </w:rPr>
        <w:t xml:space="preserve"> </w:t>
      </w:r>
      <w:r w:rsidR="002C1426" w:rsidRPr="002C1426">
        <w:rPr>
          <w:rFonts w:asciiTheme="minorHAnsi" w:hAnsiTheme="minorHAnsi" w:cstheme="minorHAnsi"/>
        </w:rPr>
        <w:t>(viz část IV.4.)</w:t>
      </w:r>
      <w:r w:rsidRPr="002D6989">
        <w:rPr>
          <w:rFonts w:asciiTheme="minorHAnsi" w:hAnsiTheme="minorHAnsi" w:cstheme="minorHAnsi"/>
        </w:rPr>
        <w:t xml:space="preserve"> zjistil, že </w:t>
      </w:r>
      <w:r w:rsidR="00B238BD">
        <w:rPr>
          <w:rFonts w:asciiTheme="minorHAnsi" w:hAnsiTheme="minorHAnsi" w:cstheme="minorHAnsi"/>
        </w:rPr>
        <w:t>vnitřní kontrolní systém</w:t>
      </w:r>
      <w:r w:rsidRPr="002D6989">
        <w:rPr>
          <w:rFonts w:asciiTheme="minorHAnsi" w:hAnsiTheme="minorHAnsi" w:cstheme="minorHAnsi"/>
        </w:rPr>
        <w:t xml:space="preserve"> nezabránil porušení povinností stanovených právními předpisy, zejména zákonem č. 218/2000 Sb. </w:t>
      </w:r>
      <w:r>
        <w:rPr>
          <w:rFonts w:asciiTheme="minorHAnsi" w:hAnsiTheme="minorHAnsi" w:cstheme="minorHAnsi"/>
        </w:rPr>
        <w:t>Šlo o případy, kdy MS Praha:</w:t>
      </w:r>
    </w:p>
    <w:p w14:paraId="2FEB117F" w14:textId="2538AB76" w:rsidR="00063F65" w:rsidRPr="00CF7111" w:rsidRDefault="00063F65" w:rsidP="00DF6AD0">
      <w:pPr>
        <w:pStyle w:val="Odstavecseseznamem"/>
        <w:numPr>
          <w:ilvl w:val="0"/>
          <w:numId w:val="38"/>
        </w:numPr>
        <w:spacing w:after="0"/>
        <w:ind w:left="714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eastAsia="Calibri"/>
        </w:rPr>
        <w:t>přijal a uhradil plnění na základě smlouvy, která byla zrušena od počátku</w:t>
      </w:r>
      <w:r w:rsidR="00B3564B">
        <w:rPr>
          <w:rFonts w:eastAsia="Calibri"/>
        </w:rPr>
        <w:t xml:space="preserve"> (viz </w:t>
      </w:r>
      <w:r w:rsidR="008439D5">
        <w:rPr>
          <w:rFonts w:eastAsia="Calibri"/>
        </w:rPr>
        <w:br/>
      </w:r>
      <w:r w:rsidR="00B3564B">
        <w:rPr>
          <w:rFonts w:eastAsia="Calibri"/>
        </w:rPr>
        <w:t>část IV.4.1)</w:t>
      </w:r>
      <w:r w:rsidR="00B238BD">
        <w:rPr>
          <w:rFonts w:eastAsia="Calibri"/>
        </w:rPr>
        <w:t>;</w:t>
      </w:r>
    </w:p>
    <w:p w14:paraId="680AF293" w14:textId="0A168B3D" w:rsidR="00063F65" w:rsidRDefault="00063F65" w:rsidP="00DF6AD0">
      <w:pPr>
        <w:pStyle w:val="Odstavecseseznamem"/>
        <w:numPr>
          <w:ilvl w:val="0"/>
          <w:numId w:val="38"/>
        </w:numPr>
        <w:spacing w:after="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CF7111">
        <w:rPr>
          <w:rFonts w:asciiTheme="minorHAnsi" w:hAnsiTheme="minorHAnsi" w:cstheme="minorHAnsi"/>
        </w:rPr>
        <w:t>neodvedl v zákonné lhůtě do státního rozpočtu příjmy státního rozpočtu soustředěné na účtu cizích prostředků</w:t>
      </w:r>
      <w:r w:rsidR="00B3564B">
        <w:rPr>
          <w:rFonts w:asciiTheme="minorHAnsi" w:hAnsiTheme="minorHAnsi" w:cstheme="minorHAnsi"/>
        </w:rPr>
        <w:t xml:space="preserve"> (viz část IV.4.2)</w:t>
      </w:r>
      <w:r w:rsidR="00B238BD">
        <w:rPr>
          <w:rFonts w:asciiTheme="minorHAnsi" w:hAnsiTheme="minorHAnsi" w:cstheme="minorHAnsi"/>
        </w:rPr>
        <w:t>;</w:t>
      </w:r>
    </w:p>
    <w:p w14:paraId="0708EF83" w14:textId="2E272FD1" w:rsidR="00063F65" w:rsidRPr="00CF7111" w:rsidRDefault="00063F65" w:rsidP="00063F65">
      <w:pPr>
        <w:pStyle w:val="Odstavecseseznamem"/>
        <w:numPr>
          <w:ilvl w:val="0"/>
          <w:numId w:val="38"/>
        </w:numPr>
        <w:spacing w:after="0"/>
        <w:ind w:left="714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eastAsia="Calibri"/>
        </w:rPr>
        <w:t xml:space="preserve">proplatil výdaje z fondu kulturních a sociálních potřeb (dále </w:t>
      </w:r>
      <w:r w:rsidR="005D762A">
        <w:rPr>
          <w:rFonts w:eastAsia="Calibri"/>
        </w:rPr>
        <w:t xml:space="preserve">také </w:t>
      </w:r>
      <w:r>
        <w:rPr>
          <w:rFonts w:eastAsia="Calibri"/>
        </w:rPr>
        <w:t>„FKSP“), přestože se nejednalo o výdaje na vzájemné výměnné rekreace, zájezdy, kulturní akce a sportovní soutěže</w:t>
      </w:r>
      <w:r w:rsidR="00486ED5">
        <w:rPr>
          <w:rFonts w:eastAsia="Calibri"/>
        </w:rPr>
        <w:t xml:space="preserve"> </w:t>
      </w:r>
      <w:r w:rsidR="00B3564B">
        <w:rPr>
          <w:rFonts w:eastAsia="Calibri"/>
        </w:rPr>
        <w:t>(viz část IV.4.3).</w:t>
      </w:r>
    </w:p>
    <w:p w14:paraId="7CD91C99" w14:textId="77777777" w:rsidR="00063F65" w:rsidRDefault="00063F65" w:rsidP="00476D94">
      <w:pPr>
        <w:spacing w:after="0"/>
        <w:jc w:val="both"/>
        <w:rPr>
          <w:rFonts w:cs="Calibri"/>
        </w:rPr>
      </w:pPr>
    </w:p>
    <w:p w14:paraId="302B19A3" w14:textId="34E656A6" w:rsidR="00CF7111" w:rsidRPr="007D6AD1" w:rsidRDefault="00CF7111" w:rsidP="00476D94">
      <w:pPr>
        <w:spacing w:after="0"/>
        <w:jc w:val="both"/>
        <w:rPr>
          <w:rFonts w:cs="Calibri"/>
          <w:b/>
        </w:rPr>
      </w:pPr>
      <w:r w:rsidRPr="007D6AD1">
        <w:rPr>
          <w:rFonts w:cs="Calibri"/>
          <w:b/>
        </w:rPr>
        <w:t>NKÚ upozor</w:t>
      </w:r>
      <w:r w:rsidR="00B238BD">
        <w:rPr>
          <w:rFonts w:cs="Calibri"/>
          <w:b/>
        </w:rPr>
        <w:t>ňuje,</w:t>
      </w:r>
      <w:r w:rsidRPr="007D6AD1">
        <w:rPr>
          <w:rFonts w:cs="Calibri"/>
          <w:b/>
        </w:rPr>
        <w:t xml:space="preserve"> </w:t>
      </w:r>
      <w:r w:rsidR="00B238BD">
        <w:rPr>
          <w:rFonts w:cs="Calibri"/>
          <w:b/>
        </w:rPr>
        <w:t xml:space="preserve">že VKS u </w:t>
      </w:r>
      <w:r w:rsidRPr="007D6AD1">
        <w:rPr>
          <w:rFonts w:cs="Calibri"/>
          <w:b/>
        </w:rPr>
        <w:t>někter</w:t>
      </w:r>
      <w:r w:rsidR="00B238BD">
        <w:rPr>
          <w:rFonts w:cs="Calibri"/>
          <w:b/>
        </w:rPr>
        <w:t>ých</w:t>
      </w:r>
      <w:r w:rsidRPr="007D6AD1">
        <w:rPr>
          <w:rFonts w:cs="Calibri"/>
          <w:b/>
        </w:rPr>
        <w:t xml:space="preserve"> operac</w:t>
      </w:r>
      <w:r w:rsidR="00B238BD">
        <w:rPr>
          <w:rFonts w:cs="Calibri"/>
          <w:b/>
        </w:rPr>
        <w:t xml:space="preserve">í </w:t>
      </w:r>
      <w:r w:rsidR="002370D0" w:rsidRPr="007D6AD1">
        <w:rPr>
          <w:rFonts w:cs="Calibri"/>
          <w:b/>
        </w:rPr>
        <w:t xml:space="preserve">včas </w:t>
      </w:r>
      <w:r w:rsidRPr="007D6AD1">
        <w:rPr>
          <w:rFonts w:cs="Calibri"/>
          <w:b/>
        </w:rPr>
        <w:t>neodhalil související rizika a</w:t>
      </w:r>
      <w:r w:rsidR="00B238BD">
        <w:rPr>
          <w:rFonts w:cs="Calibri"/>
          <w:b/>
        </w:rPr>
        <w:t xml:space="preserve"> </w:t>
      </w:r>
      <w:r w:rsidRPr="007D6AD1">
        <w:rPr>
          <w:rFonts w:cs="Calibri"/>
          <w:b/>
        </w:rPr>
        <w:t xml:space="preserve">nezabránil porušení právních předpisů. Uvedené nedostatky však nebyly takového rozsahu, aby byly ze strany NKÚ vyhodnoceny jako významné, proto NKÚ v rámci prověřovaných operací vyhodnotil </w:t>
      </w:r>
      <w:r w:rsidR="00A0541E" w:rsidRPr="007D6AD1">
        <w:rPr>
          <w:rFonts w:cs="Calibri"/>
          <w:b/>
        </w:rPr>
        <w:t>VKS</w:t>
      </w:r>
      <w:r w:rsidRPr="007D6AD1">
        <w:rPr>
          <w:rFonts w:cs="Calibri"/>
          <w:b/>
        </w:rPr>
        <w:t xml:space="preserve"> jako účinný.</w:t>
      </w:r>
    </w:p>
    <w:p w14:paraId="00834607" w14:textId="77777777" w:rsidR="00476D94" w:rsidRPr="003950D9" w:rsidRDefault="00476D94" w:rsidP="00476D94">
      <w:pPr>
        <w:spacing w:after="0"/>
        <w:jc w:val="both"/>
        <w:rPr>
          <w:rFonts w:cs="Calibri"/>
        </w:rPr>
      </w:pPr>
    </w:p>
    <w:p w14:paraId="47223CC8" w14:textId="77777777" w:rsidR="002C1426" w:rsidRPr="00865CC2" w:rsidRDefault="00BE7EA5" w:rsidP="002C1426">
      <w:pPr>
        <w:pStyle w:val="Styl2"/>
        <w:numPr>
          <w:ilvl w:val="0"/>
          <w:numId w:val="19"/>
        </w:numPr>
        <w:ind w:left="340" w:hanging="340"/>
      </w:pPr>
      <w:r>
        <w:t>Skutečnosti nasvědčující porušení rozpočtové kázně</w:t>
      </w:r>
    </w:p>
    <w:p w14:paraId="07828E04" w14:textId="77777777" w:rsidR="00CF7111" w:rsidRPr="003942AE" w:rsidRDefault="00CF7111" w:rsidP="007D6AD1">
      <w:pPr>
        <w:pStyle w:val="Styl2"/>
        <w:numPr>
          <w:ilvl w:val="1"/>
          <w:numId w:val="19"/>
        </w:numPr>
        <w:ind w:left="431" w:hanging="431"/>
      </w:pPr>
      <w:r w:rsidRPr="003942AE">
        <w:t>Neuveřejnění smlouvy v registru smluv</w:t>
      </w:r>
    </w:p>
    <w:p w14:paraId="368EE7BA" w14:textId="1DE84D92" w:rsidR="00801F01" w:rsidRDefault="00801F01" w:rsidP="00B238BD">
      <w:pPr>
        <w:spacing w:after="0"/>
        <w:jc w:val="both"/>
        <w:rPr>
          <w:rFonts w:asciiTheme="minorHAnsi" w:hAnsiTheme="minorHAnsi" w:cstheme="minorHAnsi"/>
        </w:rPr>
      </w:pPr>
      <w:r w:rsidRPr="00801F01">
        <w:rPr>
          <w:rFonts w:asciiTheme="minorHAnsi" w:hAnsiTheme="minorHAnsi" w:cstheme="minorHAnsi"/>
        </w:rPr>
        <w:t>MS Praha vydal peněžní prostředky státního rozpočtu</w:t>
      </w:r>
      <w:r>
        <w:rPr>
          <w:rFonts w:asciiTheme="minorHAnsi" w:hAnsiTheme="minorHAnsi" w:cstheme="minorHAnsi"/>
        </w:rPr>
        <w:t xml:space="preserve"> v celkové výši 97 tis. Kč</w:t>
      </w:r>
      <w:r w:rsidRPr="00801F01">
        <w:rPr>
          <w:rFonts w:asciiTheme="minorHAnsi" w:hAnsiTheme="minorHAnsi" w:cstheme="minorHAnsi"/>
        </w:rPr>
        <w:t xml:space="preserve"> na plnění ze smlouvy, </w:t>
      </w:r>
      <w:r w:rsidR="00BE7EA5">
        <w:rPr>
          <w:rFonts w:asciiTheme="minorHAnsi" w:hAnsiTheme="minorHAnsi" w:cstheme="minorHAnsi"/>
        </w:rPr>
        <w:t xml:space="preserve">kterou po jejím uzavření nezaslal správci registru smluv k uveřejnění a </w:t>
      </w:r>
      <w:r w:rsidRPr="00801F01">
        <w:rPr>
          <w:rFonts w:asciiTheme="minorHAnsi" w:hAnsiTheme="minorHAnsi" w:cstheme="minorHAnsi"/>
        </w:rPr>
        <w:t>která byla</w:t>
      </w:r>
      <w:r>
        <w:rPr>
          <w:rFonts w:asciiTheme="minorHAnsi" w:hAnsiTheme="minorHAnsi" w:cstheme="minorHAnsi"/>
        </w:rPr>
        <w:t xml:space="preserve"> </w:t>
      </w:r>
      <w:r w:rsidR="00BE7EA5">
        <w:rPr>
          <w:rFonts w:asciiTheme="minorHAnsi" w:hAnsiTheme="minorHAnsi" w:cstheme="minorHAnsi"/>
        </w:rPr>
        <w:t xml:space="preserve">navíc </w:t>
      </w:r>
      <w:r w:rsidRPr="00801F01">
        <w:rPr>
          <w:rFonts w:asciiTheme="minorHAnsi" w:hAnsiTheme="minorHAnsi" w:cstheme="minorHAnsi"/>
        </w:rPr>
        <w:t>v souladu s</w:t>
      </w:r>
      <w:r w:rsidR="00564E32">
        <w:rPr>
          <w:rFonts w:asciiTheme="minorHAnsi" w:hAnsiTheme="minorHAnsi" w:cstheme="minorHAnsi"/>
        </w:rPr>
        <w:t xml:space="preserve"> ustanovením </w:t>
      </w:r>
      <w:r w:rsidRPr="00801F01">
        <w:rPr>
          <w:rFonts w:asciiTheme="minorHAnsi" w:hAnsiTheme="minorHAnsi" w:cstheme="minorHAnsi"/>
        </w:rPr>
        <w:t>§ 7 odst. 1 zákona č. 340/2015 Sb. zrušen</w:t>
      </w:r>
      <w:r w:rsidR="00BE7EA5">
        <w:rPr>
          <w:rFonts w:asciiTheme="minorHAnsi" w:hAnsiTheme="minorHAnsi" w:cstheme="minorHAnsi"/>
        </w:rPr>
        <w:t>a</w:t>
      </w:r>
      <w:r w:rsidRPr="00801F01">
        <w:rPr>
          <w:rFonts w:asciiTheme="minorHAnsi" w:hAnsiTheme="minorHAnsi" w:cstheme="minorHAnsi"/>
        </w:rPr>
        <w:t xml:space="preserve"> od počátku v</w:t>
      </w:r>
      <w:r w:rsidR="00375A81">
        <w:rPr>
          <w:rFonts w:asciiTheme="minorHAnsi" w:hAnsiTheme="minorHAnsi" w:cstheme="minorHAnsi"/>
        </w:rPr>
        <w:t> </w:t>
      </w:r>
      <w:r w:rsidRPr="00801F01">
        <w:rPr>
          <w:rFonts w:asciiTheme="minorHAnsi" w:hAnsiTheme="minorHAnsi" w:cstheme="minorHAnsi"/>
        </w:rPr>
        <w:t xml:space="preserve">důsledku jejího </w:t>
      </w:r>
      <w:r w:rsidR="00BE7EA5">
        <w:rPr>
          <w:rFonts w:asciiTheme="minorHAnsi" w:hAnsiTheme="minorHAnsi" w:cstheme="minorHAnsi"/>
        </w:rPr>
        <w:t>ne</w:t>
      </w:r>
      <w:r w:rsidRPr="00801F01">
        <w:rPr>
          <w:rFonts w:asciiTheme="minorHAnsi" w:hAnsiTheme="minorHAnsi" w:cstheme="minorHAnsi"/>
        </w:rPr>
        <w:t>uveřejnění v</w:t>
      </w:r>
      <w:r w:rsidR="00564E32">
        <w:rPr>
          <w:rFonts w:asciiTheme="minorHAnsi" w:hAnsiTheme="minorHAnsi" w:cstheme="minorHAnsi"/>
        </w:rPr>
        <w:t> </w:t>
      </w:r>
      <w:r w:rsidRPr="00801F01">
        <w:rPr>
          <w:rFonts w:asciiTheme="minorHAnsi" w:hAnsiTheme="minorHAnsi" w:cstheme="minorHAnsi"/>
        </w:rPr>
        <w:t xml:space="preserve">registru smluv, a to </w:t>
      </w:r>
      <w:r w:rsidR="00BE7EA5">
        <w:rPr>
          <w:rFonts w:asciiTheme="minorHAnsi" w:hAnsiTheme="minorHAnsi" w:cstheme="minorHAnsi"/>
        </w:rPr>
        <w:t xml:space="preserve">ani </w:t>
      </w:r>
      <w:r w:rsidRPr="00801F01">
        <w:rPr>
          <w:rFonts w:asciiTheme="minorHAnsi" w:hAnsiTheme="minorHAnsi" w:cstheme="minorHAnsi"/>
        </w:rPr>
        <w:t xml:space="preserve">ve lhůtě </w:t>
      </w:r>
      <w:r w:rsidR="00BE7EA5">
        <w:rPr>
          <w:rFonts w:asciiTheme="minorHAnsi" w:hAnsiTheme="minorHAnsi" w:cstheme="minorHAnsi"/>
        </w:rPr>
        <w:t xml:space="preserve">do </w:t>
      </w:r>
      <w:r w:rsidRPr="00801F01">
        <w:rPr>
          <w:rFonts w:asciiTheme="minorHAnsi" w:hAnsiTheme="minorHAnsi" w:cstheme="minorHAnsi"/>
        </w:rPr>
        <w:t>3 měsíců ode dne</w:t>
      </w:r>
      <w:r w:rsidR="00BE7EA5">
        <w:rPr>
          <w:rFonts w:asciiTheme="minorHAnsi" w:hAnsiTheme="minorHAnsi" w:cstheme="minorHAnsi"/>
        </w:rPr>
        <w:t xml:space="preserve"> jejího uzavření</w:t>
      </w:r>
      <w:r w:rsidRPr="00801F0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42783202" w14:textId="77777777" w:rsidR="00B238BD" w:rsidRDefault="00B238BD" w:rsidP="00DF6AD0">
      <w:pPr>
        <w:spacing w:after="0"/>
        <w:jc w:val="both"/>
        <w:rPr>
          <w:rFonts w:asciiTheme="minorHAnsi" w:hAnsiTheme="minorHAnsi" w:cstheme="minorHAnsi"/>
        </w:rPr>
      </w:pPr>
    </w:p>
    <w:p w14:paraId="235C8DDC" w14:textId="0F06430C" w:rsidR="00801F01" w:rsidRDefault="00801F01" w:rsidP="0019138B">
      <w:pPr>
        <w:jc w:val="both"/>
        <w:rPr>
          <w:rFonts w:asciiTheme="minorHAnsi" w:hAnsiTheme="minorHAnsi" w:cstheme="minorHAnsi"/>
          <w:b/>
        </w:rPr>
      </w:pPr>
      <w:r w:rsidRPr="00801F01">
        <w:rPr>
          <w:rFonts w:asciiTheme="minorHAnsi" w:hAnsiTheme="minorHAnsi" w:cstheme="minorHAnsi"/>
          <w:b/>
        </w:rPr>
        <w:t xml:space="preserve">MS Praha tak neoprávněně použil peněžní prostředky státního rozpočtu ve smyslu ustanovení § 3 písm. e) zákona č. 218/2000 Sb. </w:t>
      </w:r>
      <w:r w:rsidR="00BE7EA5">
        <w:rPr>
          <w:rFonts w:asciiTheme="minorHAnsi" w:hAnsiTheme="minorHAnsi" w:cstheme="minorHAnsi"/>
          <w:b/>
        </w:rPr>
        <w:t xml:space="preserve">Dle ustanovení </w:t>
      </w:r>
      <w:r w:rsidRPr="00801F01">
        <w:rPr>
          <w:rFonts w:asciiTheme="minorHAnsi" w:hAnsiTheme="minorHAnsi" w:cstheme="minorHAnsi"/>
          <w:b/>
        </w:rPr>
        <w:t>§ 44 odst. 1 písm. a)</w:t>
      </w:r>
      <w:r w:rsidR="00B238BD">
        <w:rPr>
          <w:rFonts w:asciiTheme="minorHAnsi" w:hAnsiTheme="minorHAnsi" w:cstheme="minorHAnsi"/>
          <w:b/>
        </w:rPr>
        <w:t xml:space="preserve"> téhož zákona</w:t>
      </w:r>
      <w:r w:rsidRPr="00801F01">
        <w:rPr>
          <w:rFonts w:asciiTheme="minorHAnsi" w:hAnsiTheme="minorHAnsi" w:cstheme="minorHAnsi"/>
          <w:b/>
        </w:rPr>
        <w:t xml:space="preserve"> </w:t>
      </w:r>
      <w:r w:rsidR="00BE7EA5">
        <w:rPr>
          <w:rFonts w:asciiTheme="minorHAnsi" w:hAnsiTheme="minorHAnsi" w:cstheme="minorHAnsi"/>
          <w:b/>
        </w:rPr>
        <w:t xml:space="preserve">je </w:t>
      </w:r>
      <w:r w:rsidRPr="00801F01">
        <w:rPr>
          <w:rFonts w:asciiTheme="minorHAnsi" w:hAnsiTheme="minorHAnsi" w:cstheme="minorHAnsi"/>
          <w:b/>
        </w:rPr>
        <w:t>neoprávněné použití peněžních prostředků státního rozpočtu porušení</w:t>
      </w:r>
      <w:r w:rsidR="00BE7EA5">
        <w:rPr>
          <w:rFonts w:asciiTheme="minorHAnsi" w:hAnsiTheme="minorHAnsi" w:cstheme="minorHAnsi"/>
          <w:b/>
        </w:rPr>
        <w:t>m</w:t>
      </w:r>
      <w:r w:rsidRPr="00801F01">
        <w:rPr>
          <w:rFonts w:asciiTheme="minorHAnsi" w:hAnsiTheme="minorHAnsi" w:cstheme="minorHAnsi"/>
          <w:b/>
        </w:rPr>
        <w:t xml:space="preserve"> rozpočtové kázně.</w:t>
      </w:r>
    </w:p>
    <w:p w14:paraId="30BAE8BF" w14:textId="73F4AC88" w:rsidR="00C01175" w:rsidRPr="00C01175" w:rsidRDefault="00C01175" w:rsidP="0019138B">
      <w:pPr>
        <w:spacing w:after="0"/>
        <w:jc w:val="both"/>
        <w:rPr>
          <w:rFonts w:asciiTheme="minorHAnsi" w:hAnsiTheme="minorHAnsi" w:cstheme="minorHAnsi"/>
        </w:rPr>
      </w:pPr>
      <w:r w:rsidRPr="00C01175">
        <w:rPr>
          <w:rFonts w:asciiTheme="minorHAnsi" w:hAnsiTheme="minorHAnsi" w:cstheme="minorHAnsi"/>
        </w:rPr>
        <w:lastRenderedPageBreak/>
        <w:t xml:space="preserve">MS Praha po upozornění </w:t>
      </w:r>
      <w:r>
        <w:rPr>
          <w:rFonts w:asciiTheme="minorHAnsi" w:hAnsiTheme="minorHAnsi" w:cstheme="minorHAnsi"/>
        </w:rPr>
        <w:t>NKÚ</w:t>
      </w:r>
      <w:r w:rsidR="00B20632">
        <w:rPr>
          <w:rFonts w:asciiTheme="minorHAnsi" w:hAnsiTheme="minorHAnsi" w:cstheme="minorHAnsi"/>
        </w:rPr>
        <w:t xml:space="preserve"> uzavřel</w:t>
      </w:r>
      <w:r w:rsidRPr="00C01175">
        <w:rPr>
          <w:rFonts w:asciiTheme="minorHAnsi" w:hAnsiTheme="minorHAnsi" w:cstheme="minorHAnsi"/>
        </w:rPr>
        <w:t xml:space="preserve"> dne 31. </w:t>
      </w:r>
      <w:r>
        <w:rPr>
          <w:rFonts w:asciiTheme="minorHAnsi" w:hAnsiTheme="minorHAnsi" w:cstheme="minorHAnsi"/>
        </w:rPr>
        <w:t>ledna</w:t>
      </w:r>
      <w:r w:rsidRPr="00C01175">
        <w:rPr>
          <w:rFonts w:asciiTheme="minorHAnsi" w:hAnsiTheme="minorHAnsi" w:cstheme="minorHAnsi"/>
        </w:rPr>
        <w:t xml:space="preserve"> 2023</w:t>
      </w:r>
      <w:r w:rsidR="00B20632">
        <w:rPr>
          <w:rFonts w:asciiTheme="minorHAnsi" w:hAnsiTheme="minorHAnsi" w:cstheme="minorHAnsi"/>
        </w:rPr>
        <w:t xml:space="preserve"> </w:t>
      </w:r>
      <w:r w:rsidRPr="00C01175">
        <w:rPr>
          <w:rFonts w:asciiTheme="minorHAnsi" w:hAnsiTheme="minorHAnsi" w:cstheme="minorHAnsi"/>
        </w:rPr>
        <w:t>smlouvu o</w:t>
      </w:r>
      <w:r w:rsidR="00B238BD">
        <w:rPr>
          <w:rFonts w:asciiTheme="minorHAnsi" w:hAnsiTheme="minorHAnsi" w:cstheme="minorHAnsi"/>
        </w:rPr>
        <w:t xml:space="preserve"> </w:t>
      </w:r>
      <w:r w:rsidRPr="00C01175">
        <w:rPr>
          <w:rFonts w:asciiTheme="minorHAnsi" w:hAnsiTheme="minorHAnsi" w:cstheme="minorHAnsi"/>
        </w:rPr>
        <w:t>vypořádání závazků</w:t>
      </w:r>
      <w:r w:rsidR="00B20632">
        <w:rPr>
          <w:rFonts w:asciiTheme="minorHAnsi" w:hAnsiTheme="minorHAnsi" w:cstheme="minorHAnsi"/>
        </w:rPr>
        <w:t xml:space="preserve"> a</w:t>
      </w:r>
      <w:r w:rsidR="00375A81">
        <w:rPr>
          <w:rFonts w:asciiTheme="minorHAnsi" w:hAnsiTheme="minorHAnsi" w:cstheme="minorHAnsi"/>
        </w:rPr>
        <w:t> </w:t>
      </w:r>
      <w:r w:rsidR="00B20632">
        <w:rPr>
          <w:rFonts w:asciiTheme="minorHAnsi" w:hAnsiTheme="minorHAnsi" w:cstheme="minorHAnsi"/>
        </w:rPr>
        <w:t>odeslal ji k uveřejnění; téhož dne byla zveřejněna</w:t>
      </w:r>
      <w:r w:rsidR="00B81802" w:rsidRPr="00B20632">
        <w:rPr>
          <w:rFonts w:asciiTheme="minorHAnsi" w:hAnsiTheme="minorHAnsi" w:cstheme="minorHAnsi"/>
        </w:rPr>
        <w:t xml:space="preserve"> </w:t>
      </w:r>
      <w:r w:rsidRPr="00B20632">
        <w:rPr>
          <w:rFonts w:asciiTheme="minorHAnsi" w:hAnsiTheme="minorHAnsi" w:cstheme="minorHAnsi"/>
        </w:rPr>
        <w:t>v registru smluv</w:t>
      </w:r>
      <w:r w:rsidRPr="00C01175">
        <w:rPr>
          <w:rFonts w:asciiTheme="minorHAnsi" w:hAnsiTheme="minorHAnsi" w:cstheme="minorHAnsi"/>
        </w:rPr>
        <w:t>.</w:t>
      </w:r>
    </w:p>
    <w:p w14:paraId="0D7FA73B" w14:textId="77777777" w:rsidR="00801F01" w:rsidRPr="000E6A7A" w:rsidRDefault="00801F01" w:rsidP="000E6A7A">
      <w:pPr>
        <w:spacing w:after="0"/>
      </w:pPr>
    </w:p>
    <w:p w14:paraId="753F2C9E" w14:textId="77777777" w:rsidR="00CF7111" w:rsidRDefault="00CF7111" w:rsidP="007D6AD1">
      <w:pPr>
        <w:pStyle w:val="Styl2"/>
        <w:numPr>
          <w:ilvl w:val="1"/>
          <w:numId w:val="19"/>
        </w:numPr>
        <w:ind w:left="431" w:hanging="431"/>
      </w:pPr>
      <w:r>
        <w:t>Pozdní odvod záloh na konkursní řízení do státního rozpočtu</w:t>
      </w:r>
    </w:p>
    <w:p w14:paraId="139F8D5B" w14:textId="1290E41E" w:rsidR="00801F01" w:rsidRPr="00377243" w:rsidRDefault="00377243" w:rsidP="0019138B">
      <w:pPr>
        <w:spacing w:after="0"/>
        <w:jc w:val="both"/>
        <w:rPr>
          <w:rFonts w:asciiTheme="minorHAnsi" w:hAnsiTheme="minorHAnsi" w:cstheme="minorHAnsi"/>
        </w:rPr>
      </w:pPr>
      <w:r w:rsidRPr="006D2962">
        <w:rPr>
          <w:rFonts w:asciiTheme="minorHAnsi" w:hAnsiTheme="minorHAnsi" w:cstheme="minorHAnsi"/>
          <w:b/>
        </w:rPr>
        <w:t>MS Praha v</w:t>
      </w:r>
      <w:r w:rsidR="002B4224">
        <w:rPr>
          <w:rFonts w:asciiTheme="minorHAnsi" w:hAnsiTheme="minorHAnsi" w:cstheme="minorHAnsi"/>
          <w:b/>
        </w:rPr>
        <w:t xml:space="preserve"> </w:t>
      </w:r>
      <w:r w:rsidRPr="006D2962">
        <w:rPr>
          <w:rFonts w:asciiTheme="minorHAnsi" w:hAnsiTheme="minorHAnsi" w:cstheme="minorHAnsi"/>
          <w:b/>
        </w:rPr>
        <w:t>rozporu s</w:t>
      </w:r>
      <w:r w:rsidR="002B4224">
        <w:rPr>
          <w:rFonts w:asciiTheme="minorHAnsi" w:hAnsiTheme="minorHAnsi" w:cstheme="minorHAnsi"/>
          <w:b/>
        </w:rPr>
        <w:t xml:space="preserve"> </w:t>
      </w:r>
      <w:r w:rsidR="00564E32">
        <w:rPr>
          <w:rFonts w:asciiTheme="minorHAnsi" w:hAnsiTheme="minorHAnsi" w:cstheme="minorHAnsi"/>
          <w:b/>
        </w:rPr>
        <w:t xml:space="preserve">ustanovením </w:t>
      </w:r>
      <w:r w:rsidRPr="006D2962">
        <w:rPr>
          <w:rFonts w:asciiTheme="minorHAnsi" w:hAnsiTheme="minorHAnsi" w:cstheme="minorHAnsi"/>
          <w:b/>
        </w:rPr>
        <w:t>§ 45 odst. 11 zákona č. 218/2000 Sb. neodvedl ve stanovené lhůtě do státního rozpočtu částku ve výši 10</w:t>
      </w:r>
      <w:r w:rsidR="003A3224">
        <w:rPr>
          <w:rFonts w:asciiTheme="minorHAnsi" w:hAnsiTheme="minorHAnsi" w:cstheme="minorHAnsi"/>
          <w:b/>
        </w:rPr>
        <w:t> tis.</w:t>
      </w:r>
      <w:r w:rsidRPr="006D2962">
        <w:rPr>
          <w:rFonts w:asciiTheme="minorHAnsi" w:hAnsiTheme="minorHAnsi" w:cstheme="minorHAnsi"/>
          <w:b/>
        </w:rPr>
        <w:t xml:space="preserve"> Kč</w:t>
      </w:r>
      <w:r>
        <w:rPr>
          <w:rFonts w:asciiTheme="minorHAnsi" w:hAnsiTheme="minorHAnsi" w:cstheme="minorHAnsi"/>
        </w:rPr>
        <w:t xml:space="preserve"> představující složenou zálohu na náklady konkursního řízení, které bylo pravomocně skončeno v roce 2005 a </w:t>
      </w:r>
      <w:proofErr w:type="spellStart"/>
      <w:r>
        <w:rPr>
          <w:rFonts w:asciiTheme="minorHAnsi" w:hAnsiTheme="minorHAnsi" w:cstheme="minorHAnsi"/>
        </w:rPr>
        <w:t>složitel</w:t>
      </w:r>
      <w:proofErr w:type="spellEnd"/>
      <w:r>
        <w:rPr>
          <w:rFonts w:asciiTheme="minorHAnsi" w:hAnsiTheme="minorHAnsi" w:cstheme="minorHAnsi"/>
        </w:rPr>
        <w:t xml:space="preserve"> byl v roce 2019 vymazán z obchodního rejstříku bez právního nástupce. </w:t>
      </w:r>
      <w:r w:rsidRPr="00377243">
        <w:rPr>
          <w:rFonts w:asciiTheme="minorHAnsi" w:hAnsiTheme="minorHAnsi" w:cstheme="minorHAnsi"/>
        </w:rPr>
        <w:t>Převod na svůj příjmový účet</w:t>
      </w:r>
      <w:r w:rsidR="004E32E4">
        <w:rPr>
          <w:rFonts w:asciiTheme="minorHAnsi" w:hAnsiTheme="minorHAnsi" w:cstheme="minorHAnsi"/>
        </w:rPr>
        <w:t xml:space="preserve"> státního rozpočtu</w:t>
      </w:r>
      <w:r w:rsidRPr="00377243">
        <w:rPr>
          <w:rFonts w:asciiTheme="minorHAnsi" w:hAnsiTheme="minorHAnsi" w:cstheme="minorHAnsi"/>
        </w:rPr>
        <w:t xml:space="preserve"> realizoval MS Praha až v</w:t>
      </w:r>
      <w:r>
        <w:rPr>
          <w:rFonts w:asciiTheme="minorHAnsi" w:hAnsiTheme="minorHAnsi" w:cstheme="minorHAnsi"/>
        </w:rPr>
        <w:t xml:space="preserve"> lednu 2023 </w:t>
      </w:r>
      <w:r w:rsidRPr="00377243">
        <w:rPr>
          <w:rFonts w:asciiTheme="minorHAnsi" w:hAnsiTheme="minorHAnsi" w:cstheme="minorHAnsi"/>
        </w:rPr>
        <w:t>na základě upozornění NKÚ</w:t>
      </w:r>
      <w:r>
        <w:rPr>
          <w:rFonts w:asciiTheme="minorHAnsi" w:hAnsiTheme="minorHAnsi" w:cstheme="minorHAnsi"/>
        </w:rPr>
        <w:t xml:space="preserve"> a po vydání platebního poukazu k převedení zálohy z účtu cizích prostředků</w:t>
      </w:r>
      <w:r w:rsidRPr="00377243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4E32E4" w:rsidRPr="0088411F">
        <w:rPr>
          <w:rFonts w:asciiTheme="minorHAnsi" w:hAnsiTheme="minorHAnsi" w:cstheme="minorHAnsi"/>
          <w:b/>
        </w:rPr>
        <w:t>Dle</w:t>
      </w:r>
      <w:r w:rsidR="004E32E4">
        <w:rPr>
          <w:rFonts w:asciiTheme="minorHAnsi" w:hAnsiTheme="minorHAnsi" w:cstheme="minorHAnsi"/>
        </w:rPr>
        <w:t xml:space="preserve"> </w:t>
      </w:r>
      <w:r w:rsidR="004E32E4">
        <w:rPr>
          <w:rFonts w:asciiTheme="minorHAnsi" w:hAnsiTheme="minorHAnsi" w:cstheme="minorHAnsi"/>
          <w:b/>
        </w:rPr>
        <w:t xml:space="preserve">ustanovení </w:t>
      </w:r>
      <w:r w:rsidR="004E32E4" w:rsidRPr="006D2962">
        <w:rPr>
          <w:rFonts w:asciiTheme="minorHAnsi" w:hAnsiTheme="minorHAnsi" w:cstheme="minorHAnsi"/>
          <w:b/>
        </w:rPr>
        <w:t>§ 44 odst. 1 písm. g)</w:t>
      </w:r>
      <w:r w:rsidR="004E32E4">
        <w:rPr>
          <w:rFonts w:asciiTheme="minorHAnsi" w:hAnsiTheme="minorHAnsi" w:cstheme="minorHAnsi"/>
          <w:b/>
        </w:rPr>
        <w:t xml:space="preserve"> z</w:t>
      </w:r>
      <w:r w:rsidRPr="006D2962">
        <w:rPr>
          <w:rFonts w:asciiTheme="minorHAnsi" w:hAnsiTheme="minorHAnsi" w:cstheme="minorHAnsi"/>
          <w:b/>
        </w:rPr>
        <w:t>ákon</w:t>
      </w:r>
      <w:r w:rsidR="004E32E4">
        <w:rPr>
          <w:rFonts w:asciiTheme="minorHAnsi" w:hAnsiTheme="minorHAnsi" w:cstheme="minorHAnsi"/>
          <w:b/>
        </w:rPr>
        <w:t>a</w:t>
      </w:r>
      <w:r w:rsidRPr="006D2962">
        <w:rPr>
          <w:rFonts w:asciiTheme="minorHAnsi" w:hAnsiTheme="minorHAnsi" w:cstheme="minorHAnsi"/>
          <w:b/>
        </w:rPr>
        <w:t xml:space="preserve"> č. 218/2000 Sb. </w:t>
      </w:r>
      <w:r w:rsidR="004E32E4">
        <w:rPr>
          <w:rFonts w:asciiTheme="minorHAnsi" w:hAnsiTheme="minorHAnsi" w:cstheme="minorHAnsi"/>
          <w:b/>
        </w:rPr>
        <w:t>je</w:t>
      </w:r>
      <w:r w:rsidR="008439D5">
        <w:rPr>
          <w:rFonts w:asciiTheme="minorHAnsi" w:hAnsiTheme="minorHAnsi" w:cstheme="minorHAnsi"/>
          <w:b/>
        </w:rPr>
        <w:t xml:space="preserve"> </w:t>
      </w:r>
      <w:r w:rsidRPr="006D2962">
        <w:rPr>
          <w:rFonts w:asciiTheme="minorHAnsi" w:hAnsiTheme="minorHAnsi" w:cstheme="minorHAnsi"/>
          <w:b/>
        </w:rPr>
        <w:t xml:space="preserve">neprovedení odvodu podle </w:t>
      </w:r>
      <w:r w:rsidR="00C16C86">
        <w:rPr>
          <w:rFonts w:asciiTheme="minorHAnsi" w:hAnsiTheme="minorHAnsi" w:cstheme="minorHAnsi"/>
          <w:b/>
        </w:rPr>
        <w:t xml:space="preserve">ustanovení </w:t>
      </w:r>
      <w:r w:rsidRPr="006D2962">
        <w:rPr>
          <w:rFonts w:asciiTheme="minorHAnsi" w:hAnsiTheme="minorHAnsi" w:cstheme="minorHAnsi"/>
          <w:b/>
        </w:rPr>
        <w:t>§ 45 odst.</w:t>
      </w:r>
      <w:r w:rsidR="008439D5">
        <w:rPr>
          <w:rFonts w:asciiTheme="minorHAnsi" w:hAnsiTheme="minorHAnsi" w:cstheme="minorHAnsi"/>
          <w:b/>
        </w:rPr>
        <w:t> </w:t>
      </w:r>
      <w:r w:rsidRPr="006D2962">
        <w:rPr>
          <w:rFonts w:asciiTheme="minorHAnsi" w:hAnsiTheme="minorHAnsi" w:cstheme="minorHAnsi"/>
          <w:b/>
        </w:rPr>
        <w:t>11 téhož zákona porušení</w:t>
      </w:r>
      <w:r w:rsidR="004E32E4">
        <w:rPr>
          <w:rFonts w:asciiTheme="minorHAnsi" w:hAnsiTheme="minorHAnsi" w:cstheme="minorHAnsi"/>
          <w:b/>
        </w:rPr>
        <w:t>m</w:t>
      </w:r>
      <w:r w:rsidRPr="006D2962">
        <w:rPr>
          <w:rFonts w:asciiTheme="minorHAnsi" w:hAnsiTheme="minorHAnsi" w:cstheme="minorHAnsi"/>
          <w:b/>
        </w:rPr>
        <w:t xml:space="preserve"> rozpočtové kázně.</w:t>
      </w:r>
    </w:p>
    <w:p w14:paraId="6AFE9B85" w14:textId="77777777" w:rsidR="006A1CFD" w:rsidRPr="000E6A7A" w:rsidRDefault="006A1CFD" w:rsidP="000E6A7A">
      <w:pPr>
        <w:spacing w:after="0"/>
      </w:pPr>
    </w:p>
    <w:p w14:paraId="44A137C0" w14:textId="77777777" w:rsidR="00CF7111" w:rsidRDefault="003C52CA" w:rsidP="007D6AD1">
      <w:pPr>
        <w:pStyle w:val="Styl2"/>
        <w:numPr>
          <w:ilvl w:val="1"/>
          <w:numId w:val="19"/>
        </w:numPr>
        <w:ind w:left="431" w:hanging="431"/>
      </w:pPr>
      <w:r>
        <w:t>Úhrady z f</w:t>
      </w:r>
      <w:r w:rsidR="00CF7111">
        <w:t>ond</w:t>
      </w:r>
      <w:r>
        <w:t>u</w:t>
      </w:r>
      <w:r w:rsidR="00CF7111">
        <w:t xml:space="preserve"> kulturních a sociálních potřeb </w:t>
      </w:r>
      <w:r>
        <w:t>v rozporu s vyhláškou</w:t>
      </w:r>
    </w:p>
    <w:p w14:paraId="77E49318" w14:textId="61B42E9F" w:rsidR="00CF7111" w:rsidRDefault="007F2FA3" w:rsidP="00B238BD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MS Praha hradil z</w:t>
      </w:r>
      <w:r w:rsidR="004E1FF2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prostředků </w:t>
      </w:r>
      <w:r w:rsidR="00AB0DA4">
        <w:rPr>
          <w:rFonts w:asciiTheme="minorHAnsi" w:hAnsiTheme="minorHAnsi" w:cstheme="minorHAnsi"/>
          <w:b/>
        </w:rPr>
        <w:t>FKSP</w:t>
      </w:r>
      <w:r w:rsidR="00C457E2">
        <w:rPr>
          <w:rFonts w:asciiTheme="minorHAnsi" w:hAnsiTheme="minorHAnsi" w:cstheme="minorHAnsi"/>
          <w:b/>
        </w:rPr>
        <w:t xml:space="preserve"> </w:t>
      </w:r>
      <w:r w:rsidR="00AB0DA4">
        <w:rPr>
          <w:rFonts w:asciiTheme="minorHAnsi" w:hAnsiTheme="minorHAnsi" w:cstheme="minorHAnsi"/>
          <w:b/>
        </w:rPr>
        <w:t>výdaje v</w:t>
      </w:r>
      <w:r w:rsidR="004E1FF2">
        <w:rPr>
          <w:rFonts w:asciiTheme="minorHAnsi" w:hAnsiTheme="minorHAnsi" w:cstheme="minorHAnsi"/>
          <w:b/>
        </w:rPr>
        <w:t xml:space="preserve"> </w:t>
      </w:r>
      <w:r w:rsidR="00AB0DA4">
        <w:rPr>
          <w:rFonts w:asciiTheme="minorHAnsi" w:hAnsiTheme="minorHAnsi" w:cstheme="minorHAnsi"/>
          <w:b/>
        </w:rPr>
        <w:t>souvislosti s</w:t>
      </w:r>
      <w:r w:rsidR="004E1FF2">
        <w:rPr>
          <w:rFonts w:asciiTheme="minorHAnsi" w:hAnsiTheme="minorHAnsi" w:cstheme="minorHAnsi"/>
          <w:b/>
        </w:rPr>
        <w:t xml:space="preserve"> </w:t>
      </w:r>
      <w:r w:rsidR="00AB0DA4">
        <w:rPr>
          <w:rFonts w:asciiTheme="minorHAnsi" w:hAnsiTheme="minorHAnsi" w:cstheme="minorHAnsi"/>
          <w:b/>
        </w:rPr>
        <w:t>akcemi, které s</w:t>
      </w:r>
      <w:r w:rsidR="004E1FF2">
        <w:rPr>
          <w:rFonts w:asciiTheme="minorHAnsi" w:hAnsiTheme="minorHAnsi" w:cstheme="minorHAnsi"/>
          <w:b/>
        </w:rPr>
        <w:t xml:space="preserve"> </w:t>
      </w:r>
      <w:r w:rsidR="00AB0DA4">
        <w:rPr>
          <w:rFonts w:asciiTheme="minorHAnsi" w:hAnsiTheme="minorHAnsi" w:cstheme="minorHAnsi"/>
          <w:b/>
        </w:rPr>
        <w:t xml:space="preserve">ohledem na svůj charakter </w:t>
      </w:r>
      <w:r w:rsidR="004E1FF2">
        <w:rPr>
          <w:rFonts w:asciiTheme="minorHAnsi" w:hAnsiTheme="minorHAnsi" w:cstheme="minorHAnsi"/>
          <w:b/>
        </w:rPr>
        <w:t>nespadaly do kategorie</w:t>
      </w:r>
      <w:r w:rsidR="00AB0DA4">
        <w:rPr>
          <w:rFonts w:asciiTheme="minorHAnsi" w:hAnsiTheme="minorHAnsi" w:cstheme="minorHAnsi"/>
          <w:b/>
        </w:rPr>
        <w:t xml:space="preserve"> </w:t>
      </w:r>
      <w:r w:rsidR="004E1FF2">
        <w:rPr>
          <w:rFonts w:asciiTheme="minorHAnsi" w:hAnsiTheme="minorHAnsi" w:cstheme="minorHAnsi"/>
          <w:b/>
        </w:rPr>
        <w:t>„</w:t>
      </w:r>
      <w:r w:rsidR="00AB0DA4">
        <w:rPr>
          <w:rFonts w:asciiTheme="minorHAnsi" w:hAnsiTheme="minorHAnsi" w:cstheme="minorHAnsi"/>
          <w:b/>
        </w:rPr>
        <w:t>výměnné akce</w:t>
      </w:r>
      <w:r w:rsidR="004E1FF2">
        <w:rPr>
          <w:rFonts w:asciiTheme="minorHAnsi" w:hAnsiTheme="minorHAnsi" w:cstheme="minorHAnsi"/>
          <w:b/>
        </w:rPr>
        <w:t>“</w:t>
      </w:r>
      <w:r w:rsidR="00AB0DA4">
        <w:rPr>
          <w:rFonts w:asciiTheme="minorHAnsi" w:hAnsiTheme="minorHAnsi" w:cstheme="minorHAnsi"/>
          <w:b/>
        </w:rPr>
        <w:t xml:space="preserve"> ve smyslu </w:t>
      </w:r>
      <w:r w:rsidR="00C16C86">
        <w:rPr>
          <w:rFonts w:asciiTheme="minorHAnsi" w:hAnsiTheme="minorHAnsi" w:cstheme="minorHAnsi"/>
          <w:b/>
        </w:rPr>
        <w:t xml:space="preserve">ustanovení </w:t>
      </w:r>
      <w:r w:rsidR="00AB0DA4">
        <w:rPr>
          <w:rFonts w:asciiTheme="minorHAnsi" w:hAnsiTheme="minorHAnsi" w:cstheme="minorHAnsi"/>
          <w:b/>
        </w:rPr>
        <w:t>§ 10 vyhlášky č.</w:t>
      </w:r>
      <w:r w:rsidR="00C16C86">
        <w:rPr>
          <w:rFonts w:asciiTheme="minorHAnsi" w:hAnsiTheme="minorHAnsi" w:cstheme="minorHAnsi"/>
          <w:b/>
        </w:rPr>
        <w:t> </w:t>
      </w:r>
      <w:r w:rsidR="00AB0DA4">
        <w:rPr>
          <w:rFonts w:asciiTheme="minorHAnsi" w:hAnsiTheme="minorHAnsi" w:cstheme="minorHAnsi"/>
          <w:b/>
        </w:rPr>
        <w:t>114/2002 Sb.</w:t>
      </w:r>
      <w:r w:rsidR="002D08FC">
        <w:rPr>
          <w:rStyle w:val="Znakapoznpodarou"/>
          <w:rFonts w:asciiTheme="minorHAnsi" w:hAnsiTheme="minorHAnsi" w:cstheme="minorHAnsi"/>
          <w:b/>
        </w:rPr>
        <w:footnoteReference w:id="23"/>
      </w:r>
      <w:r w:rsidR="00AB0DA4">
        <w:rPr>
          <w:rFonts w:asciiTheme="minorHAnsi" w:hAnsiTheme="minorHAnsi" w:cstheme="minorHAnsi"/>
          <w:b/>
        </w:rPr>
        <w:t xml:space="preserve"> NKÚ zjistil v roce 2022 dva takové případy v celkové výši 80 tis. Kč a v roce 2021 jeden případ ve výši 37 tis. Kč.</w:t>
      </w:r>
      <w:r w:rsidR="0014591C">
        <w:rPr>
          <w:rFonts w:asciiTheme="minorHAnsi" w:hAnsiTheme="minorHAnsi" w:cstheme="minorHAnsi"/>
          <w:b/>
        </w:rPr>
        <w:t xml:space="preserve"> </w:t>
      </w:r>
    </w:p>
    <w:p w14:paraId="1BBA34AA" w14:textId="77777777" w:rsidR="00B238BD" w:rsidRPr="00C16C86" w:rsidRDefault="00B238BD" w:rsidP="00DF6AD0">
      <w:pPr>
        <w:spacing w:after="0"/>
        <w:jc w:val="both"/>
        <w:rPr>
          <w:rFonts w:asciiTheme="minorHAnsi" w:hAnsiTheme="minorHAnsi" w:cstheme="minorHAnsi"/>
          <w:b/>
        </w:rPr>
      </w:pPr>
    </w:p>
    <w:p w14:paraId="16EBF176" w14:textId="69552478" w:rsidR="00B15537" w:rsidRDefault="00AB0DA4" w:rsidP="00B238BD">
      <w:pPr>
        <w:spacing w:after="0"/>
        <w:jc w:val="both"/>
        <w:rPr>
          <w:rFonts w:asciiTheme="minorHAnsi" w:hAnsiTheme="minorHAnsi" w:cstheme="minorHAnsi"/>
        </w:rPr>
      </w:pPr>
      <w:r w:rsidRPr="00AB0DA4">
        <w:rPr>
          <w:rFonts w:asciiTheme="minorHAnsi" w:hAnsiTheme="minorHAnsi" w:cstheme="minorHAnsi"/>
        </w:rPr>
        <w:t>MS Praha</w:t>
      </w:r>
      <w:r w:rsidR="0014591C">
        <w:rPr>
          <w:rFonts w:asciiTheme="minorHAnsi" w:hAnsiTheme="minorHAnsi" w:cstheme="minorHAnsi"/>
        </w:rPr>
        <w:t xml:space="preserve"> za</w:t>
      </w:r>
      <w:r w:rsidRPr="00AB0DA4">
        <w:rPr>
          <w:rFonts w:asciiTheme="minorHAnsi" w:hAnsiTheme="minorHAnsi" w:cstheme="minorHAnsi"/>
        </w:rPr>
        <w:t xml:space="preserve"> </w:t>
      </w:r>
      <w:r w:rsidR="0014591C">
        <w:rPr>
          <w:rFonts w:asciiTheme="minorHAnsi" w:hAnsiTheme="minorHAnsi" w:cstheme="minorHAnsi"/>
        </w:rPr>
        <w:t xml:space="preserve">výdaje na výměnné akce ve smyslu </w:t>
      </w:r>
      <w:r w:rsidR="00B46D11">
        <w:rPr>
          <w:rFonts w:asciiTheme="minorHAnsi" w:hAnsiTheme="minorHAnsi" w:cstheme="minorHAnsi"/>
        </w:rPr>
        <w:t xml:space="preserve">ustanovení </w:t>
      </w:r>
      <w:r w:rsidR="0014591C">
        <w:rPr>
          <w:rFonts w:asciiTheme="minorHAnsi" w:hAnsiTheme="minorHAnsi" w:cstheme="minorHAnsi"/>
        </w:rPr>
        <w:t>§ 10 vyhlášky č. 114/2002 Sb. považoval i výdaje na výměnné stáže, které spočívaly v</w:t>
      </w:r>
      <w:r w:rsidR="002B4224">
        <w:rPr>
          <w:rFonts w:asciiTheme="minorHAnsi" w:hAnsiTheme="minorHAnsi" w:cstheme="minorHAnsi"/>
        </w:rPr>
        <w:t xml:space="preserve"> </w:t>
      </w:r>
      <w:r w:rsidR="0014591C">
        <w:rPr>
          <w:rFonts w:asciiTheme="minorHAnsi" w:hAnsiTheme="minorHAnsi" w:cstheme="minorHAnsi"/>
        </w:rPr>
        <w:t>odborných přednáškách v</w:t>
      </w:r>
      <w:r w:rsidR="002B4224">
        <w:rPr>
          <w:rFonts w:asciiTheme="minorHAnsi" w:hAnsiTheme="minorHAnsi" w:cstheme="minorHAnsi"/>
        </w:rPr>
        <w:t xml:space="preserve"> </w:t>
      </w:r>
      <w:r w:rsidR="0014591C">
        <w:rPr>
          <w:rFonts w:asciiTheme="minorHAnsi" w:hAnsiTheme="minorHAnsi" w:cstheme="minorHAnsi"/>
        </w:rPr>
        <w:t xml:space="preserve">oblasti soudnictví </w:t>
      </w:r>
      <w:r w:rsidR="004E1FF2">
        <w:rPr>
          <w:rFonts w:asciiTheme="minorHAnsi" w:hAnsiTheme="minorHAnsi" w:cstheme="minorHAnsi"/>
        </w:rPr>
        <w:t xml:space="preserve">a byly </w:t>
      </w:r>
      <w:r w:rsidR="0014591C">
        <w:rPr>
          <w:rFonts w:asciiTheme="minorHAnsi" w:hAnsiTheme="minorHAnsi" w:cstheme="minorHAnsi"/>
        </w:rPr>
        <w:t>pořád</w:t>
      </w:r>
      <w:r w:rsidR="004E1FF2">
        <w:rPr>
          <w:rFonts w:asciiTheme="minorHAnsi" w:hAnsiTheme="minorHAnsi" w:cstheme="minorHAnsi"/>
        </w:rPr>
        <w:t>ány</w:t>
      </w:r>
      <w:r w:rsidR="0014591C">
        <w:rPr>
          <w:rFonts w:asciiTheme="minorHAnsi" w:hAnsiTheme="minorHAnsi" w:cstheme="minorHAnsi"/>
        </w:rPr>
        <w:t xml:space="preserve"> </w:t>
      </w:r>
      <w:r w:rsidR="0014591C" w:rsidRPr="008F0A75">
        <w:rPr>
          <w:rFonts w:asciiTheme="minorHAnsi" w:hAnsiTheme="minorHAnsi" w:cstheme="minorHAnsi"/>
        </w:rPr>
        <w:t>pro vybrané</w:t>
      </w:r>
      <w:r w:rsidR="0014591C">
        <w:rPr>
          <w:rFonts w:asciiTheme="minorHAnsi" w:hAnsiTheme="minorHAnsi" w:cstheme="minorHAnsi"/>
        </w:rPr>
        <w:t xml:space="preserve"> soudce. </w:t>
      </w:r>
      <w:r w:rsidR="00B15537">
        <w:rPr>
          <w:rFonts w:asciiTheme="minorHAnsi" w:hAnsiTheme="minorHAnsi" w:cstheme="minorHAnsi"/>
        </w:rPr>
        <w:t>Tyto výměnné stáže byly zaměřen</w:t>
      </w:r>
      <w:r w:rsidR="004E1FF2">
        <w:rPr>
          <w:rFonts w:asciiTheme="minorHAnsi" w:hAnsiTheme="minorHAnsi" w:cstheme="minorHAnsi"/>
        </w:rPr>
        <w:t>y</w:t>
      </w:r>
      <w:r w:rsidR="00B15537">
        <w:rPr>
          <w:rFonts w:asciiTheme="minorHAnsi" w:hAnsiTheme="minorHAnsi" w:cstheme="minorHAnsi"/>
        </w:rPr>
        <w:t xml:space="preserve"> na získání poznatků a na výměnu zkušeností </w:t>
      </w:r>
      <w:r w:rsidR="004E1FF2">
        <w:rPr>
          <w:rFonts w:asciiTheme="minorHAnsi" w:hAnsiTheme="minorHAnsi" w:cstheme="minorHAnsi"/>
        </w:rPr>
        <w:t>z</w:t>
      </w:r>
      <w:r w:rsidR="00B15537">
        <w:rPr>
          <w:rFonts w:asciiTheme="minorHAnsi" w:hAnsiTheme="minorHAnsi" w:cstheme="minorHAnsi"/>
        </w:rPr>
        <w:t> oblasti soudnictví a svým charakterem tedy představovaly odborný rozvoj, prohlubování vzdělávání či kvalifikace nebo zdokonalování odborné způsobilosti vybraných soudců.</w:t>
      </w:r>
    </w:p>
    <w:p w14:paraId="2D473050" w14:textId="77777777" w:rsidR="00B238BD" w:rsidRDefault="00B238BD" w:rsidP="00DF6AD0">
      <w:pPr>
        <w:spacing w:after="0"/>
        <w:jc w:val="both"/>
        <w:rPr>
          <w:rFonts w:asciiTheme="minorHAnsi" w:hAnsiTheme="minorHAnsi" w:cstheme="minorHAnsi"/>
        </w:rPr>
      </w:pPr>
    </w:p>
    <w:p w14:paraId="749B0B83" w14:textId="1F1542B5" w:rsidR="00B15537" w:rsidRDefault="00B15537" w:rsidP="00B238BD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 FKSP přitom není možné hradit výdaje na vzdělávání, které m</w:t>
      </w:r>
      <w:r w:rsidR="00640EC0">
        <w:rPr>
          <w:rFonts w:asciiTheme="minorHAnsi" w:hAnsiTheme="minorHAnsi" w:cstheme="minorHAnsi"/>
        </w:rPr>
        <w:t>ají</w:t>
      </w:r>
      <w:r>
        <w:rPr>
          <w:rFonts w:asciiTheme="minorHAnsi" w:hAnsiTheme="minorHAnsi" w:cstheme="minorHAnsi"/>
        </w:rPr>
        <w:t xml:space="preserve"> výše uvedený charakter. Pro tento druh výdajů slouží jiné zdroje financování. </w:t>
      </w:r>
    </w:p>
    <w:p w14:paraId="0DACE4D6" w14:textId="77777777" w:rsidR="00B238BD" w:rsidRDefault="00B238BD" w:rsidP="00DF6AD0">
      <w:pPr>
        <w:spacing w:after="0"/>
        <w:jc w:val="both"/>
        <w:rPr>
          <w:rFonts w:asciiTheme="minorHAnsi" w:hAnsiTheme="minorHAnsi" w:cstheme="minorHAnsi"/>
        </w:rPr>
      </w:pPr>
    </w:p>
    <w:p w14:paraId="7B15A403" w14:textId="77777777" w:rsidR="0014591C" w:rsidRDefault="00F8118C" w:rsidP="0019138B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 xml:space="preserve">MS Praha tak neoprávněně použil jiné peněžní prostředky státu ve smyslu </w:t>
      </w:r>
      <w:r w:rsidR="00B46D11">
        <w:rPr>
          <w:rFonts w:asciiTheme="minorHAnsi" w:hAnsiTheme="minorHAnsi"/>
          <w:b/>
        </w:rPr>
        <w:t xml:space="preserve">ustanovení </w:t>
      </w:r>
      <w:r>
        <w:rPr>
          <w:rFonts w:asciiTheme="minorHAnsi" w:hAnsiTheme="minorHAnsi"/>
          <w:b/>
        </w:rPr>
        <w:t xml:space="preserve">§ 3 písm. e) zákona č. 218/2000 Sb. </w:t>
      </w:r>
      <w:r w:rsidR="00276D18">
        <w:rPr>
          <w:rFonts w:asciiTheme="minorHAnsi" w:hAnsiTheme="minorHAnsi"/>
          <w:b/>
        </w:rPr>
        <w:t xml:space="preserve">Dle </w:t>
      </w:r>
      <w:r w:rsidR="00B46D11">
        <w:rPr>
          <w:rFonts w:asciiTheme="minorHAnsi" w:hAnsiTheme="minorHAnsi"/>
          <w:b/>
        </w:rPr>
        <w:t xml:space="preserve">ustanovení </w:t>
      </w:r>
      <w:r>
        <w:rPr>
          <w:rFonts w:asciiTheme="minorHAnsi" w:hAnsiTheme="minorHAnsi"/>
          <w:b/>
        </w:rPr>
        <w:t>§ 44 odst. 1 písm. a)</w:t>
      </w:r>
      <w:r w:rsidR="00276D18">
        <w:rPr>
          <w:rFonts w:asciiTheme="minorHAnsi" w:hAnsiTheme="minorHAnsi"/>
          <w:b/>
        </w:rPr>
        <w:t xml:space="preserve"> zákona č. 218/2000 Sb. je</w:t>
      </w:r>
      <w:r>
        <w:rPr>
          <w:rFonts w:asciiTheme="minorHAnsi" w:hAnsiTheme="minorHAnsi"/>
          <w:b/>
        </w:rPr>
        <w:t xml:space="preserve"> neoprávněné použití jiných peněžních prostředků státu porušení</w:t>
      </w:r>
      <w:r w:rsidR="00276D18">
        <w:rPr>
          <w:rFonts w:asciiTheme="minorHAnsi" w:hAnsiTheme="minorHAnsi"/>
          <w:b/>
        </w:rPr>
        <w:t>m</w:t>
      </w:r>
      <w:r>
        <w:rPr>
          <w:rFonts w:asciiTheme="minorHAnsi" w:hAnsiTheme="minorHAnsi"/>
          <w:b/>
        </w:rPr>
        <w:t xml:space="preserve"> rozpočtové kázně.</w:t>
      </w:r>
      <w:r w:rsidR="0014591C">
        <w:rPr>
          <w:rFonts w:asciiTheme="minorHAnsi" w:hAnsiTheme="minorHAnsi" w:cstheme="minorHAnsi"/>
        </w:rPr>
        <w:t xml:space="preserve"> </w:t>
      </w:r>
    </w:p>
    <w:p w14:paraId="0841F803" w14:textId="77777777" w:rsidR="00AB0DA4" w:rsidRPr="00B15537" w:rsidRDefault="00AB0DA4" w:rsidP="00B15537">
      <w:pPr>
        <w:spacing w:after="0"/>
        <w:jc w:val="both"/>
        <w:rPr>
          <w:rFonts w:asciiTheme="minorHAnsi" w:hAnsiTheme="minorHAnsi" w:cstheme="minorHAnsi"/>
        </w:rPr>
      </w:pPr>
    </w:p>
    <w:p w14:paraId="65D43460" w14:textId="701A8DFA" w:rsidR="00CF7111" w:rsidRPr="00865CC2" w:rsidRDefault="00CF7111" w:rsidP="00CF7111">
      <w:pPr>
        <w:pStyle w:val="Styl2"/>
        <w:numPr>
          <w:ilvl w:val="0"/>
          <w:numId w:val="19"/>
        </w:numPr>
        <w:ind w:left="340" w:hanging="340"/>
      </w:pPr>
      <w:r>
        <w:t xml:space="preserve">Vyhodnocení opatření přijatých k nápravě nedostatků </w:t>
      </w:r>
      <w:r w:rsidR="00B06FC8">
        <w:t>uvedených v kontrolním závěru z</w:t>
      </w:r>
      <w:r w:rsidR="00595049">
        <w:t> </w:t>
      </w:r>
      <w:r>
        <w:t>KA č. 18/25</w:t>
      </w:r>
    </w:p>
    <w:p w14:paraId="18EA23F0" w14:textId="48EB0B5D" w:rsidR="00CF7111" w:rsidRPr="00CF7111" w:rsidRDefault="004A6081" w:rsidP="006033CB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Vláda ČR svým usnesením ze dne 6. ledna 2020 č. 12, </w:t>
      </w:r>
      <w:r w:rsidR="00C01175" w:rsidRPr="00C01175">
        <w:rPr>
          <w:rFonts w:asciiTheme="minorHAnsi" w:hAnsiTheme="minorHAnsi" w:cstheme="minorHAnsi"/>
          <w:i/>
        </w:rPr>
        <w:t>ke Kontrolnímu závěru Nejvyššího kontrolního úřadu z kontrolní akce č. 18/25</w:t>
      </w:r>
      <w:r>
        <w:rPr>
          <w:rFonts w:asciiTheme="minorHAnsi" w:hAnsiTheme="minorHAnsi" w:cstheme="minorHAnsi"/>
        </w:rPr>
        <w:t xml:space="preserve">, stanovila pro MS Praha </w:t>
      </w:r>
      <w:r w:rsidR="004E1FF2">
        <w:rPr>
          <w:rFonts w:asciiTheme="minorHAnsi" w:hAnsiTheme="minorHAnsi" w:cstheme="minorHAnsi"/>
        </w:rPr>
        <w:t xml:space="preserve">celkem </w:t>
      </w:r>
      <w:r>
        <w:rPr>
          <w:rFonts w:asciiTheme="minorHAnsi" w:hAnsiTheme="minorHAnsi" w:cstheme="minorHAnsi"/>
        </w:rPr>
        <w:t>20 opatření k nápravě zjištěných nedostatků. MS Praha realizoval úplně a správně 18 opatření, 2 opatření realizoval částečně. V roce 2022 přetrvávaly nedostatky v</w:t>
      </w:r>
      <w:r w:rsidR="00C01175">
        <w:rPr>
          <w:rFonts w:asciiTheme="minorHAnsi" w:hAnsiTheme="minorHAnsi" w:cstheme="minorHAnsi"/>
        </w:rPr>
        <w:t> případě platby za služby na základě neúčinné smlouvy</w:t>
      </w:r>
      <w:r>
        <w:rPr>
          <w:rFonts w:asciiTheme="minorHAnsi" w:hAnsiTheme="minorHAnsi" w:cstheme="minorHAnsi"/>
        </w:rPr>
        <w:t xml:space="preserve"> a </w:t>
      </w:r>
      <w:r w:rsidR="00C01175">
        <w:rPr>
          <w:rFonts w:asciiTheme="minorHAnsi" w:hAnsiTheme="minorHAnsi" w:cstheme="minorHAnsi"/>
        </w:rPr>
        <w:t>pozdního odvodu záloh na konkursní řízení do státního rozpočtu</w:t>
      </w:r>
      <w:r>
        <w:rPr>
          <w:rFonts w:asciiTheme="minorHAnsi" w:hAnsiTheme="minorHAnsi" w:cstheme="minorHAnsi"/>
        </w:rPr>
        <w:t xml:space="preserve"> (</w:t>
      </w:r>
      <w:r w:rsidRPr="000A11F0">
        <w:rPr>
          <w:rFonts w:asciiTheme="minorHAnsi" w:hAnsiTheme="minorHAnsi" w:cstheme="minorHAnsi"/>
        </w:rPr>
        <w:t>viz část</w:t>
      </w:r>
      <w:r w:rsidR="004E1FF2">
        <w:rPr>
          <w:rFonts w:asciiTheme="minorHAnsi" w:hAnsiTheme="minorHAnsi" w:cstheme="minorHAnsi"/>
        </w:rPr>
        <w:t>i</w:t>
      </w:r>
      <w:r w:rsidRPr="000A11F0">
        <w:rPr>
          <w:rFonts w:asciiTheme="minorHAnsi" w:hAnsiTheme="minorHAnsi" w:cstheme="minorHAnsi"/>
        </w:rPr>
        <w:t xml:space="preserve"> </w:t>
      </w:r>
      <w:r w:rsidR="00C01175" w:rsidRPr="000A11F0">
        <w:rPr>
          <w:rFonts w:asciiTheme="minorHAnsi" w:hAnsiTheme="minorHAnsi" w:cstheme="minorHAnsi"/>
        </w:rPr>
        <w:t>IV.</w:t>
      </w:r>
      <w:r w:rsidR="009A0076">
        <w:rPr>
          <w:rFonts w:asciiTheme="minorHAnsi" w:hAnsiTheme="minorHAnsi" w:cstheme="minorHAnsi"/>
        </w:rPr>
        <w:t>4</w:t>
      </w:r>
      <w:r w:rsidR="00C01175" w:rsidRPr="000A11F0">
        <w:rPr>
          <w:rFonts w:asciiTheme="minorHAnsi" w:hAnsiTheme="minorHAnsi" w:cstheme="minorHAnsi"/>
        </w:rPr>
        <w:t>.</w:t>
      </w:r>
      <w:r w:rsidR="009A0076">
        <w:rPr>
          <w:rFonts w:asciiTheme="minorHAnsi" w:hAnsiTheme="minorHAnsi" w:cstheme="minorHAnsi"/>
        </w:rPr>
        <w:t>1</w:t>
      </w:r>
      <w:r w:rsidR="004E1FF2">
        <w:rPr>
          <w:rFonts w:asciiTheme="minorHAnsi" w:hAnsiTheme="minorHAnsi" w:cstheme="minorHAnsi"/>
        </w:rPr>
        <w:t> </w:t>
      </w:r>
      <w:r w:rsidR="009A0076">
        <w:rPr>
          <w:rFonts w:asciiTheme="minorHAnsi" w:hAnsiTheme="minorHAnsi" w:cstheme="minorHAnsi"/>
        </w:rPr>
        <w:t>a</w:t>
      </w:r>
      <w:r w:rsidR="004E1FF2">
        <w:rPr>
          <w:rFonts w:asciiTheme="minorHAnsi" w:hAnsiTheme="minorHAnsi" w:cstheme="minorHAnsi"/>
        </w:rPr>
        <w:t> </w:t>
      </w:r>
      <w:r w:rsidR="009A0076">
        <w:rPr>
          <w:rFonts w:asciiTheme="minorHAnsi" w:hAnsiTheme="minorHAnsi" w:cstheme="minorHAnsi"/>
        </w:rPr>
        <w:t>IV.4.2</w:t>
      </w:r>
      <w:r w:rsidR="00C01175" w:rsidRPr="000A11F0">
        <w:rPr>
          <w:rFonts w:asciiTheme="minorHAnsi" w:hAnsiTheme="minorHAnsi" w:cstheme="minorHAnsi"/>
        </w:rPr>
        <w:t>).</w:t>
      </w:r>
      <w:r>
        <w:rPr>
          <w:rFonts w:asciiTheme="minorHAnsi" w:hAnsiTheme="minorHAnsi" w:cstheme="minorHAnsi"/>
        </w:rPr>
        <w:t xml:space="preserve"> </w:t>
      </w:r>
    </w:p>
    <w:p w14:paraId="54F54FE4" w14:textId="77777777" w:rsidR="002C6DBA" w:rsidRDefault="002C6DBA" w:rsidP="00DF6AD0">
      <w:pPr>
        <w:spacing w:after="0" w:line="259" w:lineRule="auto"/>
        <w:rPr>
          <w:rFonts w:asciiTheme="minorHAnsi" w:eastAsiaTheme="minorHAnsi" w:hAnsiTheme="minorHAnsi" w:cstheme="minorHAnsi"/>
          <w:b/>
          <w:szCs w:val="28"/>
        </w:rPr>
      </w:pPr>
      <w:r>
        <w:br w:type="page"/>
      </w:r>
    </w:p>
    <w:p w14:paraId="6206D1F7" w14:textId="77777777" w:rsidR="00112642" w:rsidRDefault="00A640AE" w:rsidP="00E41EAE">
      <w:pPr>
        <w:pStyle w:val="Nadpis1"/>
        <w:keepNext/>
        <w:spacing w:after="0" w:line="240" w:lineRule="auto"/>
        <w:jc w:val="left"/>
        <w:rPr>
          <w:sz w:val="24"/>
        </w:rPr>
      </w:pPr>
      <w:r w:rsidRPr="00B807B3">
        <w:rPr>
          <w:sz w:val="24"/>
        </w:rPr>
        <w:lastRenderedPageBreak/>
        <w:t>Seznam zkratek</w:t>
      </w:r>
    </w:p>
    <w:p w14:paraId="3AB1DF66" w14:textId="77777777" w:rsidR="00B3037C" w:rsidRPr="00B3037C" w:rsidRDefault="00B3037C" w:rsidP="00B3037C">
      <w:pPr>
        <w:spacing w:after="0"/>
      </w:pPr>
    </w:p>
    <w:p w14:paraId="54D430C2" w14:textId="1EB0C4F9" w:rsidR="00C457E2" w:rsidRDefault="00C457E2" w:rsidP="00583902">
      <w:pPr>
        <w:tabs>
          <w:tab w:val="left" w:pos="2552"/>
        </w:tabs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FKSP</w:t>
      </w:r>
      <w:r>
        <w:rPr>
          <w:rFonts w:asciiTheme="minorHAnsi" w:eastAsiaTheme="minorHAnsi" w:hAnsiTheme="minorHAnsi" w:cstheme="minorHAnsi"/>
        </w:rPr>
        <w:tab/>
        <w:t>fond kulturních a sociálních potřeb</w:t>
      </w:r>
    </w:p>
    <w:p w14:paraId="7E8154B4" w14:textId="24096BF2" w:rsidR="00A8378F" w:rsidRDefault="00A8378F" w:rsidP="00DF6AD0">
      <w:pPr>
        <w:tabs>
          <w:tab w:val="left" w:pos="2552"/>
        </w:tabs>
        <w:ind w:left="2552" w:right="-2" w:hanging="2552"/>
        <w:rPr>
          <w:rFonts w:asciiTheme="minorHAnsi" w:eastAsiaTheme="minorHAnsi" w:hAnsiTheme="minorHAnsi" w:cstheme="minorHAnsi"/>
        </w:rPr>
      </w:pPr>
      <w:r w:rsidRPr="00500875">
        <w:t>IRES</w:t>
      </w:r>
      <w:r w:rsidRPr="00500875">
        <w:tab/>
      </w:r>
      <w:r w:rsidRPr="00500875">
        <w:rPr>
          <w:i/>
        </w:rPr>
        <w:t>Informační rozpočtový a ekonomický systém</w:t>
      </w:r>
    </w:p>
    <w:p w14:paraId="6B5F611C" w14:textId="77777777" w:rsidR="00155F56" w:rsidRPr="00453CDD" w:rsidRDefault="00155F56" w:rsidP="00583902">
      <w:pPr>
        <w:tabs>
          <w:tab w:val="left" w:pos="2552"/>
        </w:tabs>
        <w:jc w:val="both"/>
        <w:rPr>
          <w:rFonts w:asciiTheme="minorHAnsi" w:eastAsiaTheme="minorHAnsi" w:hAnsiTheme="minorHAnsi" w:cstheme="minorHAnsi"/>
        </w:rPr>
      </w:pPr>
      <w:r w:rsidRPr="00453CDD">
        <w:rPr>
          <w:rFonts w:asciiTheme="minorHAnsi" w:eastAsiaTheme="minorHAnsi" w:hAnsiTheme="minorHAnsi" w:cstheme="minorHAnsi"/>
        </w:rPr>
        <w:t>KA</w:t>
      </w:r>
      <w:r w:rsidRPr="00453CDD">
        <w:rPr>
          <w:rFonts w:asciiTheme="minorHAnsi" w:eastAsiaTheme="minorHAnsi" w:hAnsiTheme="minorHAnsi" w:cstheme="minorHAnsi"/>
        </w:rPr>
        <w:tab/>
      </w:r>
      <w:r w:rsidR="003B23D8" w:rsidRPr="00453CDD">
        <w:rPr>
          <w:rFonts w:asciiTheme="minorHAnsi" w:eastAsiaTheme="minorHAnsi" w:hAnsiTheme="minorHAnsi" w:cstheme="minorHAnsi"/>
        </w:rPr>
        <w:t>k</w:t>
      </w:r>
      <w:r w:rsidRPr="00453CDD">
        <w:rPr>
          <w:rFonts w:asciiTheme="minorHAnsi" w:eastAsiaTheme="minorHAnsi" w:hAnsiTheme="minorHAnsi" w:cstheme="minorHAnsi"/>
        </w:rPr>
        <w:t>ontrolní akce</w:t>
      </w:r>
      <w:r w:rsidR="003B23D8" w:rsidRPr="00453CDD">
        <w:rPr>
          <w:rFonts w:asciiTheme="minorHAnsi" w:eastAsiaTheme="minorHAnsi" w:hAnsiTheme="minorHAnsi" w:cstheme="minorHAnsi"/>
        </w:rPr>
        <w:t xml:space="preserve"> Nejvyššího kontrolního úřadu</w:t>
      </w:r>
    </w:p>
    <w:p w14:paraId="451D58D2" w14:textId="77777777" w:rsidR="00453CDD" w:rsidRDefault="00453CDD" w:rsidP="00797EE3">
      <w:pPr>
        <w:tabs>
          <w:tab w:val="left" w:pos="2552"/>
        </w:tabs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MS Praha</w:t>
      </w:r>
      <w:r>
        <w:rPr>
          <w:rFonts w:asciiTheme="minorHAnsi" w:eastAsiaTheme="minorHAnsi" w:hAnsiTheme="minorHAnsi" w:cstheme="minorHAnsi"/>
        </w:rPr>
        <w:tab/>
      </w:r>
      <w:r>
        <w:rPr>
          <w:rFonts w:cs="Calibri"/>
          <w:iCs/>
        </w:rPr>
        <w:t>Městský soud v Praze</w:t>
      </w:r>
    </w:p>
    <w:p w14:paraId="11E54EA0" w14:textId="77777777" w:rsidR="00155F56" w:rsidRPr="00453CDD" w:rsidRDefault="00155F56" w:rsidP="00583902">
      <w:pPr>
        <w:tabs>
          <w:tab w:val="left" w:pos="2552"/>
        </w:tabs>
        <w:ind w:left="2552" w:hanging="2552"/>
        <w:jc w:val="both"/>
        <w:rPr>
          <w:rFonts w:asciiTheme="minorHAnsi" w:eastAsiaTheme="minorHAnsi" w:hAnsiTheme="minorHAnsi" w:cstheme="minorHAnsi"/>
        </w:rPr>
      </w:pPr>
      <w:r w:rsidRPr="00453CDD">
        <w:rPr>
          <w:rFonts w:asciiTheme="minorHAnsi" w:eastAsiaTheme="minorHAnsi" w:hAnsiTheme="minorHAnsi" w:cstheme="minorHAnsi"/>
        </w:rPr>
        <w:t>NKÚ</w:t>
      </w:r>
      <w:r w:rsidRPr="00453CDD">
        <w:rPr>
          <w:rFonts w:asciiTheme="minorHAnsi" w:eastAsiaTheme="minorHAnsi" w:hAnsiTheme="minorHAnsi" w:cstheme="minorHAnsi"/>
        </w:rPr>
        <w:tab/>
        <w:t>Nejvyšší kontrolní úřad</w:t>
      </w:r>
    </w:p>
    <w:p w14:paraId="25061DE7" w14:textId="77777777" w:rsidR="00155F56" w:rsidRPr="00B3037C" w:rsidRDefault="00155F56" w:rsidP="00583902">
      <w:pPr>
        <w:tabs>
          <w:tab w:val="left" w:pos="2552"/>
        </w:tabs>
        <w:ind w:left="2552" w:hanging="2552"/>
        <w:jc w:val="both"/>
        <w:rPr>
          <w:rFonts w:asciiTheme="minorHAnsi" w:eastAsiaTheme="minorHAnsi" w:hAnsiTheme="minorHAnsi" w:cstheme="minorHAnsi"/>
        </w:rPr>
      </w:pPr>
      <w:r w:rsidRPr="00B3037C">
        <w:rPr>
          <w:rFonts w:asciiTheme="minorHAnsi" w:eastAsiaTheme="minorHAnsi" w:hAnsiTheme="minorHAnsi" w:cstheme="minorHAnsi"/>
        </w:rPr>
        <w:t>OSS</w:t>
      </w:r>
      <w:r w:rsidRPr="00B3037C">
        <w:rPr>
          <w:rFonts w:asciiTheme="minorHAnsi" w:eastAsiaTheme="minorHAnsi" w:hAnsiTheme="minorHAnsi" w:cstheme="minorHAnsi"/>
        </w:rPr>
        <w:tab/>
        <w:t>organizační složka/</w:t>
      </w:r>
      <w:r w:rsidR="005121AE" w:rsidRPr="00B3037C">
        <w:rPr>
          <w:rFonts w:asciiTheme="minorHAnsi" w:eastAsiaTheme="minorHAnsi" w:hAnsiTheme="minorHAnsi" w:cstheme="minorHAnsi"/>
        </w:rPr>
        <w:t>složk</w:t>
      </w:r>
      <w:r w:rsidRPr="00B3037C">
        <w:rPr>
          <w:rFonts w:asciiTheme="minorHAnsi" w:eastAsiaTheme="minorHAnsi" w:hAnsiTheme="minorHAnsi" w:cstheme="minorHAnsi"/>
        </w:rPr>
        <w:t>y státu</w:t>
      </w:r>
    </w:p>
    <w:p w14:paraId="76B5EF39" w14:textId="77777777" w:rsidR="00155F56" w:rsidRPr="00453CDD" w:rsidRDefault="00155F56" w:rsidP="00583902">
      <w:pPr>
        <w:tabs>
          <w:tab w:val="left" w:pos="2552"/>
        </w:tabs>
        <w:ind w:left="2552" w:hanging="2552"/>
        <w:jc w:val="both"/>
        <w:rPr>
          <w:rFonts w:asciiTheme="minorHAnsi" w:eastAsiaTheme="minorHAnsi" w:hAnsiTheme="minorHAnsi" w:cstheme="minorHAnsi"/>
        </w:rPr>
      </w:pPr>
      <w:r w:rsidRPr="00453CDD">
        <w:rPr>
          <w:rFonts w:asciiTheme="minorHAnsi" w:eastAsiaTheme="minorHAnsi" w:hAnsiTheme="minorHAnsi" w:cstheme="minorHAnsi"/>
        </w:rPr>
        <w:t>ÚZ</w:t>
      </w:r>
      <w:r w:rsidRPr="00453CDD">
        <w:rPr>
          <w:rFonts w:asciiTheme="minorHAnsi" w:eastAsiaTheme="minorHAnsi" w:hAnsiTheme="minorHAnsi" w:cstheme="minorHAnsi"/>
        </w:rPr>
        <w:tab/>
        <w:t xml:space="preserve">účetní závěrka </w:t>
      </w:r>
      <w:r w:rsidR="00453CDD">
        <w:rPr>
          <w:rFonts w:asciiTheme="minorHAnsi" w:eastAsiaTheme="minorHAnsi" w:hAnsiTheme="minorHAnsi" w:cstheme="minorHAnsi"/>
        </w:rPr>
        <w:t>Městského soudu v</w:t>
      </w:r>
      <w:r w:rsidR="00B3037C">
        <w:rPr>
          <w:rFonts w:asciiTheme="minorHAnsi" w:eastAsiaTheme="minorHAnsi" w:hAnsiTheme="minorHAnsi" w:cstheme="minorHAnsi"/>
        </w:rPr>
        <w:t> </w:t>
      </w:r>
      <w:r w:rsidR="00453CDD">
        <w:rPr>
          <w:rFonts w:asciiTheme="minorHAnsi" w:eastAsiaTheme="minorHAnsi" w:hAnsiTheme="minorHAnsi" w:cstheme="minorHAnsi"/>
        </w:rPr>
        <w:t>Praze</w:t>
      </w:r>
      <w:r w:rsidR="00B3037C">
        <w:rPr>
          <w:rFonts w:asciiTheme="minorHAnsi" w:eastAsiaTheme="minorHAnsi" w:hAnsiTheme="minorHAnsi" w:cstheme="minorHAnsi"/>
        </w:rPr>
        <w:t xml:space="preserve"> sestavená</w:t>
      </w:r>
      <w:r w:rsidRPr="00453CDD">
        <w:rPr>
          <w:rFonts w:asciiTheme="minorHAnsi" w:eastAsiaTheme="minorHAnsi" w:hAnsiTheme="minorHAnsi" w:cstheme="minorHAnsi"/>
        </w:rPr>
        <w:t xml:space="preserve"> k 31.</w:t>
      </w:r>
      <w:r w:rsidR="009F66D1" w:rsidRPr="00453CDD">
        <w:rPr>
          <w:rFonts w:asciiTheme="minorHAnsi" w:eastAsiaTheme="minorHAnsi" w:hAnsiTheme="minorHAnsi" w:cstheme="minorHAnsi"/>
        </w:rPr>
        <w:t> </w:t>
      </w:r>
      <w:r w:rsidRPr="00453CDD">
        <w:rPr>
          <w:rFonts w:asciiTheme="minorHAnsi" w:eastAsiaTheme="minorHAnsi" w:hAnsiTheme="minorHAnsi" w:cstheme="minorHAnsi"/>
        </w:rPr>
        <w:t>prosinci 20</w:t>
      </w:r>
      <w:r w:rsidR="00842B22" w:rsidRPr="00453CDD">
        <w:rPr>
          <w:rFonts w:asciiTheme="minorHAnsi" w:eastAsiaTheme="minorHAnsi" w:hAnsiTheme="minorHAnsi" w:cstheme="minorHAnsi"/>
        </w:rPr>
        <w:t>2</w:t>
      </w:r>
      <w:r w:rsidR="0096120D" w:rsidRPr="00453CDD">
        <w:rPr>
          <w:rFonts w:asciiTheme="minorHAnsi" w:eastAsiaTheme="minorHAnsi" w:hAnsiTheme="minorHAnsi" w:cstheme="minorHAnsi"/>
        </w:rPr>
        <w:t>2</w:t>
      </w:r>
      <w:r w:rsidR="00B3037C">
        <w:rPr>
          <w:rFonts w:asciiTheme="minorHAnsi" w:eastAsiaTheme="minorHAnsi" w:hAnsiTheme="minorHAnsi" w:cstheme="minorHAnsi"/>
        </w:rPr>
        <w:t xml:space="preserve"> s datem sestavení 2. března 2023</w:t>
      </w:r>
    </w:p>
    <w:p w14:paraId="3CA74269" w14:textId="77777777" w:rsidR="00A045AE" w:rsidRPr="00B3037C" w:rsidRDefault="00A045AE" w:rsidP="00583902">
      <w:pPr>
        <w:tabs>
          <w:tab w:val="left" w:pos="2552"/>
        </w:tabs>
        <w:ind w:left="2552" w:hanging="2552"/>
        <w:jc w:val="both"/>
        <w:rPr>
          <w:rFonts w:asciiTheme="minorHAnsi" w:eastAsiaTheme="minorHAnsi" w:hAnsiTheme="minorHAnsi" w:cstheme="minorHAnsi"/>
        </w:rPr>
      </w:pPr>
      <w:r w:rsidRPr="00B3037C">
        <w:rPr>
          <w:rFonts w:asciiTheme="minorHAnsi" w:eastAsiaTheme="minorHAnsi" w:hAnsiTheme="minorHAnsi" w:cstheme="minorHAnsi"/>
        </w:rPr>
        <w:t>VKS</w:t>
      </w:r>
      <w:r w:rsidRPr="00B3037C">
        <w:rPr>
          <w:rFonts w:asciiTheme="minorHAnsi" w:eastAsiaTheme="minorHAnsi" w:hAnsiTheme="minorHAnsi" w:cstheme="minorHAnsi"/>
        </w:rPr>
        <w:tab/>
        <w:t>vnitřní kont</w:t>
      </w:r>
      <w:r w:rsidR="0096120D" w:rsidRPr="00B3037C">
        <w:rPr>
          <w:rFonts w:asciiTheme="minorHAnsi" w:eastAsiaTheme="minorHAnsi" w:hAnsiTheme="minorHAnsi" w:cstheme="minorHAnsi"/>
        </w:rPr>
        <w:t>rolní systém</w:t>
      </w:r>
    </w:p>
    <w:p w14:paraId="77AB94C7" w14:textId="77777777" w:rsidR="00B53D75" w:rsidRPr="00B807B3" w:rsidRDefault="00155F56" w:rsidP="00DF6AD0">
      <w:pPr>
        <w:tabs>
          <w:tab w:val="left" w:pos="2552"/>
        </w:tabs>
        <w:ind w:left="2552" w:hanging="2552"/>
        <w:rPr>
          <w:rFonts w:asciiTheme="minorHAnsi" w:eastAsiaTheme="minorHAnsi" w:hAnsiTheme="minorHAnsi" w:cstheme="minorHAnsi"/>
          <w:highlight w:val="yellow"/>
        </w:rPr>
      </w:pPr>
      <w:r w:rsidRPr="00B3037C">
        <w:rPr>
          <w:rFonts w:asciiTheme="minorHAnsi" w:eastAsiaTheme="minorHAnsi" w:hAnsiTheme="minorHAnsi" w:cstheme="minorHAnsi"/>
        </w:rPr>
        <w:t>výkaz FIN 1-12 OSS</w:t>
      </w:r>
      <w:r w:rsidRPr="00B3037C">
        <w:rPr>
          <w:rFonts w:asciiTheme="minorHAnsi" w:eastAsiaTheme="minorHAnsi" w:hAnsiTheme="minorHAnsi" w:cstheme="minorHAnsi"/>
        </w:rPr>
        <w:tab/>
      </w:r>
      <w:r w:rsidR="00B3037C" w:rsidRPr="00B3037C">
        <w:rPr>
          <w:rFonts w:asciiTheme="minorHAnsi" w:eastAsiaTheme="minorHAnsi" w:hAnsiTheme="minorHAnsi" w:cstheme="minorHAnsi"/>
        </w:rPr>
        <w:t>v</w:t>
      </w:r>
      <w:r w:rsidRPr="00B3037C">
        <w:rPr>
          <w:rFonts w:asciiTheme="minorHAnsi" w:eastAsiaTheme="minorHAnsi" w:hAnsiTheme="minorHAnsi" w:cstheme="minorHAnsi"/>
        </w:rPr>
        <w:t>ýkaz pro hodnocení plnění rozpočtu správců kapitol a organizačních složek státu</w:t>
      </w:r>
      <w:r w:rsidR="00927ABA" w:rsidRPr="00B3037C">
        <w:rPr>
          <w:rFonts w:asciiTheme="minorHAnsi" w:eastAsiaTheme="minorHAnsi" w:hAnsiTheme="minorHAnsi" w:cstheme="minorHAnsi"/>
        </w:rPr>
        <w:t xml:space="preserve"> </w:t>
      </w:r>
      <w:r w:rsidR="00B3037C" w:rsidRPr="00B3037C">
        <w:rPr>
          <w:rFonts w:asciiTheme="minorHAnsi" w:eastAsiaTheme="minorHAnsi" w:hAnsiTheme="minorHAnsi" w:cstheme="minorHAnsi"/>
        </w:rPr>
        <w:t xml:space="preserve">Městského soudu v Praze </w:t>
      </w:r>
      <w:r w:rsidR="00786390" w:rsidRPr="00B3037C">
        <w:rPr>
          <w:rFonts w:asciiTheme="minorHAnsi" w:eastAsiaTheme="minorHAnsi" w:hAnsiTheme="minorHAnsi" w:cstheme="minorHAnsi"/>
        </w:rPr>
        <w:t xml:space="preserve">za rok </w:t>
      </w:r>
      <w:r w:rsidR="00842B22" w:rsidRPr="00B3037C">
        <w:rPr>
          <w:rFonts w:asciiTheme="minorHAnsi" w:eastAsiaTheme="minorHAnsi" w:hAnsiTheme="minorHAnsi" w:cstheme="minorHAnsi"/>
        </w:rPr>
        <w:t>202</w:t>
      </w:r>
      <w:r w:rsidR="0096120D" w:rsidRPr="00B3037C">
        <w:rPr>
          <w:rFonts w:asciiTheme="minorHAnsi" w:eastAsiaTheme="minorHAnsi" w:hAnsiTheme="minorHAnsi" w:cstheme="minorHAnsi"/>
        </w:rPr>
        <w:t>2</w:t>
      </w:r>
    </w:p>
    <w:p w14:paraId="0C777FF2" w14:textId="77777777" w:rsidR="000D791D" w:rsidRDefault="000D791D" w:rsidP="00124170">
      <w:pPr>
        <w:tabs>
          <w:tab w:val="left" w:pos="2552"/>
        </w:tabs>
        <w:ind w:left="3540" w:hanging="3540"/>
        <w:rPr>
          <w:rFonts w:asciiTheme="minorHAnsi" w:eastAsiaTheme="minorHAnsi" w:hAnsiTheme="minorHAnsi" w:cstheme="minorHAnsi"/>
        </w:rPr>
      </w:pPr>
    </w:p>
    <w:p w14:paraId="5F741EE2" w14:textId="77777777" w:rsidR="00DC4A58" w:rsidRPr="00F86B28" w:rsidRDefault="00DC4A58" w:rsidP="00F86B28">
      <w:pPr>
        <w:spacing w:after="160" w:line="259" w:lineRule="auto"/>
        <w:rPr>
          <w:rFonts w:cstheme="minorHAnsi"/>
          <w:b/>
          <w:bCs/>
        </w:rPr>
        <w:sectPr w:rsidR="00DC4A58" w:rsidRPr="00F86B28" w:rsidSect="005B3ED7">
          <w:headerReference w:type="default" r:id="rId27"/>
          <w:footerReference w:type="default" r:id="rId28"/>
          <w:headerReference w:type="first" r:id="rId29"/>
          <w:footerReference w:type="first" r:id="rId30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13C3021D" w14:textId="61CA04A1" w:rsidR="00F42D7C" w:rsidRDefault="00F42D7C" w:rsidP="00DF6AD0">
      <w:pPr>
        <w:pStyle w:val="Nadpis1"/>
        <w:keepNext/>
        <w:spacing w:after="240" w:line="240" w:lineRule="auto"/>
        <w:jc w:val="right"/>
        <w:rPr>
          <w:sz w:val="24"/>
        </w:rPr>
      </w:pPr>
      <w:r>
        <w:rPr>
          <w:sz w:val="24"/>
        </w:rPr>
        <w:lastRenderedPageBreak/>
        <w:t>Příloha č. 1</w:t>
      </w:r>
    </w:p>
    <w:p w14:paraId="04D1B83F" w14:textId="4DE6366E" w:rsidR="00423B1E" w:rsidRPr="00BB6830" w:rsidRDefault="009C3EFB" w:rsidP="007D6AD1">
      <w:pPr>
        <w:pStyle w:val="Nadpis1"/>
        <w:keepNext/>
        <w:spacing w:after="120" w:line="240" w:lineRule="auto"/>
        <w:jc w:val="left"/>
      </w:pPr>
      <w:r>
        <w:rPr>
          <w:sz w:val="24"/>
        </w:rPr>
        <w:t>Rozdíl mezi saldem peněžních toků a výsledkem hospodaření MS Praha</w:t>
      </w:r>
    </w:p>
    <w:p w14:paraId="7C95EAD3" w14:textId="3B66D337" w:rsidR="00C436C0" w:rsidRPr="00C27D5B" w:rsidRDefault="00C436C0" w:rsidP="0088411F">
      <w:pPr>
        <w:jc w:val="both"/>
        <w:rPr>
          <w:rFonts w:ascii="Times New Roman" w:hAnsi="Times New Roman"/>
          <w:lang w:eastAsia="cs-CZ"/>
        </w:rPr>
      </w:pPr>
      <w:r w:rsidRPr="0088411F">
        <w:rPr>
          <w:rFonts w:cstheme="minorHAnsi"/>
        </w:rPr>
        <w:t>MS Praha rozhoduje ve druhém stupni o řádných</w:t>
      </w:r>
      <w:r w:rsidR="00F42D7C">
        <w:rPr>
          <w:rFonts w:cstheme="minorHAnsi"/>
        </w:rPr>
        <w:t xml:space="preserve"> </w:t>
      </w:r>
      <w:r w:rsidR="007D363C" w:rsidRPr="0088411F">
        <w:rPr>
          <w:rFonts w:eastAsiaTheme="minorHAnsi"/>
        </w:rPr>
        <w:t>opravných prostředcích</w:t>
      </w:r>
      <w:r w:rsidR="00F42D7C">
        <w:rPr>
          <w:rFonts w:eastAsiaTheme="minorHAnsi"/>
        </w:rPr>
        <w:t xml:space="preserve"> </w:t>
      </w:r>
      <w:r w:rsidRPr="0088411F">
        <w:rPr>
          <w:rFonts w:cstheme="minorHAnsi"/>
        </w:rPr>
        <w:t xml:space="preserve">proti rozhodnutím </w:t>
      </w:r>
      <w:r w:rsidR="007D363C" w:rsidRPr="0088411F">
        <w:rPr>
          <w:rFonts w:eastAsiaTheme="minorHAnsi"/>
        </w:rPr>
        <w:t>obvodních soudů</w:t>
      </w:r>
      <w:r w:rsidRPr="0088411F">
        <w:rPr>
          <w:rFonts w:cstheme="minorHAnsi"/>
        </w:rPr>
        <w:t xml:space="preserve">, tj. </w:t>
      </w:r>
      <w:r w:rsidR="00F42D7C">
        <w:rPr>
          <w:rFonts w:cstheme="minorHAnsi"/>
        </w:rPr>
        <w:t>o</w:t>
      </w:r>
      <w:r w:rsidRPr="0088411F">
        <w:rPr>
          <w:rFonts w:cstheme="minorHAnsi"/>
        </w:rPr>
        <w:t>bvodní</w:t>
      </w:r>
      <w:r w:rsidR="00F42D7C">
        <w:rPr>
          <w:rFonts w:cstheme="minorHAnsi"/>
        </w:rPr>
        <w:t>ch</w:t>
      </w:r>
      <w:r w:rsidRPr="0088411F">
        <w:rPr>
          <w:rFonts w:cstheme="minorHAnsi"/>
        </w:rPr>
        <w:t xml:space="preserve"> soud</w:t>
      </w:r>
      <w:r w:rsidR="00F42D7C">
        <w:rPr>
          <w:rFonts w:cstheme="minorHAnsi"/>
        </w:rPr>
        <w:t>ů</w:t>
      </w:r>
      <w:r w:rsidRPr="0088411F">
        <w:rPr>
          <w:rFonts w:cstheme="minorHAnsi"/>
        </w:rPr>
        <w:t xml:space="preserve"> pro Prahu 1, 2, 3, 4, 5, 6, 7, 8, 9 a 10.</w:t>
      </w:r>
      <w:r w:rsidRPr="0088411F">
        <w:rPr>
          <w:rStyle w:val="Znakapoznpodarou"/>
          <w:rFonts w:cstheme="minorHAnsi"/>
        </w:rPr>
        <w:footnoteReference w:id="24"/>
      </w:r>
      <w:r w:rsidRPr="0088411F">
        <w:rPr>
          <w:rFonts w:cstheme="minorHAnsi"/>
        </w:rPr>
        <w:t xml:space="preserve"> Dále je mu svěřena rozsáhlá specializovaná prvoinstanční agenda,</w:t>
      </w:r>
      <w:r>
        <w:rPr>
          <w:rFonts w:cstheme="minorHAnsi"/>
        </w:rPr>
        <w:t xml:space="preserve"> </w:t>
      </w:r>
      <w:r w:rsidRPr="0088411F">
        <w:rPr>
          <w:rFonts w:cstheme="minorHAnsi"/>
        </w:rPr>
        <w:t xml:space="preserve">např. rozhodování v </w:t>
      </w:r>
      <w:r w:rsidR="007D363C" w:rsidRPr="0088411F">
        <w:rPr>
          <w:rFonts w:eastAsiaTheme="minorHAnsi"/>
        </w:rPr>
        <w:t>insolvenčním řízení</w:t>
      </w:r>
      <w:r w:rsidRPr="0088411F">
        <w:rPr>
          <w:rFonts w:cstheme="minorHAnsi"/>
        </w:rPr>
        <w:t xml:space="preserve">, ve věcech </w:t>
      </w:r>
      <w:r w:rsidR="007D363C" w:rsidRPr="0088411F">
        <w:rPr>
          <w:rFonts w:eastAsiaTheme="minorHAnsi"/>
        </w:rPr>
        <w:t>obchodních korporací</w:t>
      </w:r>
      <w:r w:rsidRPr="0088411F">
        <w:rPr>
          <w:rFonts w:cstheme="minorHAnsi"/>
        </w:rPr>
        <w:t xml:space="preserve">, </w:t>
      </w:r>
      <w:r w:rsidR="007D363C" w:rsidRPr="0088411F">
        <w:rPr>
          <w:rFonts w:eastAsiaTheme="minorHAnsi"/>
        </w:rPr>
        <w:t>duševního vlastnictví</w:t>
      </w:r>
      <w:r w:rsidRPr="0088411F">
        <w:rPr>
          <w:rFonts w:cstheme="minorHAnsi"/>
        </w:rPr>
        <w:t>,</w:t>
      </w:r>
      <w:r w:rsidR="00F42D7C">
        <w:rPr>
          <w:rFonts w:cstheme="minorHAnsi"/>
        </w:rPr>
        <w:t xml:space="preserve"> </w:t>
      </w:r>
      <w:r w:rsidR="007D363C" w:rsidRPr="0088411F">
        <w:rPr>
          <w:rFonts w:eastAsiaTheme="minorHAnsi"/>
        </w:rPr>
        <w:t>nekalé soutěže</w:t>
      </w:r>
      <w:r w:rsidRPr="0088411F">
        <w:rPr>
          <w:rFonts w:cstheme="minorHAnsi"/>
        </w:rPr>
        <w:t xml:space="preserve"> nebo o nejzávažnějších</w:t>
      </w:r>
      <w:r w:rsidR="00F42D7C">
        <w:rPr>
          <w:rFonts w:cstheme="minorHAnsi"/>
        </w:rPr>
        <w:t xml:space="preserve"> </w:t>
      </w:r>
      <w:r w:rsidR="007D363C" w:rsidRPr="0088411F">
        <w:rPr>
          <w:rFonts w:eastAsiaTheme="minorHAnsi"/>
        </w:rPr>
        <w:t>trestných činech</w:t>
      </w:r>
      <w:r w:rsidRPr="0088411F">
        <w:rPr>
          <w:rStyle w:val="Hypertextovodkaz"/>
          <w:rFonts w:eastAsiaTheme="minorHAnsi"/>
          <w:color w:val="auto"/>
          <w:u w:val="none"/>
        </w:rPr>
        <w:t>.</w:t>
      </w:r>
      <w:r w:rsidRPr="0088411F">
        <w:rPr>
          <w:rStyle w:val="Znakapoznpodarou"/>
          <w:rFonts w:cstheme="minorHAnsi"/>
        </w:rPr>
        <w:footnoteReference w:id="25"/>
      </w:r>
      <w:r w:rsidRPr="0088411F">
        <w:rPr>
          <w:rFonts w:cstheme="minorHAnsi"/>
        </w:rPr>
        <w:t xml:space="preserve"> Působí též jako soud jediného stupně ve většině věcí</w:t>
      </w:r>
      <w:r w:rsidR="00F42D7C">
        <w:rPr>
          <w:rFonts w:cstheme="minorHAnsi"/>
        </w:rPr>
        <w:t xml:space="preserve"> </w:t>
      </w:r>
      <w:r w:rsidR="007D363C" w:rsidRPr="0088411F">
        <w:rPr>
          <w:rFonts w:eastAsiaTheme="minorHAnsi"/>
        </w:rPr>
        <w:t>správního soudnictví</w:t>
      </w:r>
      <w:r w:rsidRPr="0088411F">
        <w:rPr>
          <w:rFonts w:cstheme="minorHAnsi"/>
        </w:rPr>
        <w:t>.</w:t>
      </w:r>
      <w:r w:rsidRPr="0088411F">
        <w:rPr>
          <w:rStyle w:val="Znakapoznpodarou"/>
          <w:rFonts w:cstheme="minorHAnsi"/>
        </w:rPr>
        <w:footnoteReference w:id="26"/>
      </w:r>
      <w:r w:rsidRPr="0088411F">
        <w:rPr>
          <w:rFonts w:cstheme="minorHAnsi"/>
        </w:rPr>
        <w:t xml:space="preserve"> MS Praha vede též agendu</w:t>
      </w:r>
      <w:r w:rsidR="00F42D7C">
        <w:rPr>
          <w:rFonts w:cstheme="minorHAnsi"/>
        </w:rPr>
        <w:t xml:space="preserve"> </w:t>
      </w:r>
      <w:r w:rsidR="007D363C" w:rsidRPr="0088411F">
        <w:rPr>
          <w:rFonts w:eastAsiaTheme="minorHAnsi"/>
        </w:rPr>
        <w:t>veřejných rejstříků právnických a</w:t>
      </w:r>
      <w:r w:rsidR="00F42D7C">
        <w:rPr>
          <w:rFonts w:eastAsiaTheme="minorHAnsi"/>
        </w:rPr>
        <w:t xml:space="preserve"> </w:t>
      </w:r>
      <w:r w:rsidR="007D363C" w:rsidRPr="0088411F">
        <w:rPr>
          <w:rFonts w:eastAsiaTheme="minorHAnsi"/>
        </w:rPr>
        <w:t>fyzických osob</w:t>
      </w:r>
      <w:r w:rsidRPr="0088411F">
        <w:rPr>
          <w:rFonts w:cstheme="minorHAnsi"/>
        </w:rPr>
        <w:t xml:space="preserve"> a evidenci </w:t>
      </w:r>
      <w:proofErr w:type="spellStart"/>
      <w:r w:rsidRPr="0088411F">
        <w:rPr>
          <w:rFonts w:cstheme="minorHAnsi"/>
        </w:rPr>
        <w:t>svěřenských</w:t>
      </w:r>
      <w:proofErr w:type="spellEnd"/>
      <w:r w:rsidRPr="0088411F">
        <w:rPr>
          <w:rFonts w:cstheme="minorHAnsi"/>
        </w:rPr>
        <w:t xml:space="preserve"> fondů.</w:t>
      </w:r>
      <w:r w:rsidRPr="0088411F">
        <w:rPr>
          <w:rStyle w:val="Znakapoznpodarou"/>
          <w:rFonts w:cstheme="minorHAnsi"/>
        </w:rPr>
        <w:footnoteReference w:id="27"/>
      </w:r>
      <w:r w:rsidRPr="00C27D5B">
        <w:rPr>
          <w:rFonts w:ascii="Times New Roman" w:hAnsi="Times New Roman"/>
          <w:lang w:eastAsia="cs-CZ"/>
        </w:rPr>
        <w:t xml:space="preserve"> </w:t>
      </w:r>
    </w:p>
    <w:p w14:paraId="1E5EABB9" w14:textId="72C1C603" w:rsidR="00E240B6" w:rsidRDefault="00E240B6" w:rsidP="00E240B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Tyto činnosti měly významný vliv na vykázané účetní i rozpočtové informace</w:t>
      </w:r>
      <w:r w:rsidR="00F42D7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k 31. prosinci 2022, kde se promítly zejména následujícím způsobem:</w:t>
      </w:r>
    </w:p>
    <w:p w14:paraId="30EE907B" w14:textId="0ED6438D" w:rsidR="00E240B6" w:rsidRDefault="00F42D7C" w:rsidP="00E240B6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– o</w:t>
      </w:r>
      <w:r w:rsidR="00E240B6" w:rsidRPr="00EB2810">
        <w:rPr>
          <w:rFonts w:asciiTheme="minorHAnsi" w:hAnsiTheme="minorHAnsi"/>
          <w:b/>
        </w:rPr>
        <w:t>blast účetních údajů (výkazy</w:t>
      </w:r>
      <w:r>
        <w:rPr>
          <w:rFonts w:asciiTheme="minorHAnsi" w:hAnsiTheme="minorHAnsi"/>
          <w:b/>
        </w:rPr>
        <w:t>:</w:t>
      </w:r>
      <w:r w:rsidR="00E240B6" w:rsidRPr="00EB2810">
        <w:rPr>
          <w:rFonts w:asciiTheme="minorHAnsi" w:hAnsiTheme="minorHAnsi"/>
          <w:b/>
        </w:rPr>
        <w:t xml:space="preserve"> rozvaha, výkaz zisku a ztráty a příloha)</w:t>
      </w:r>
    </w:p>
    <w:p w14:paraId="4B2981F8" w14:textId="4CC3D8E8" w:rsidR="00E240B6" w:rsidRPr="00E05285" w:rsidRDefault="00E240B6" w:rsidP="00E240B6">
      <w:pPr>
        <w:pStyle w:val="Odstavecseseznamem"/>
        <w:numPr>
          <w:ilvl w:val="0"/>
          <w:numId w:val="40"/>
        </w:numPr>
        <w:contextualSpacing w:val="0"/>
        <w:jc w:val="both"/>
        <w:rPr>
          <w:rFonts w:asciiTheme="minorHAnsi" w:hAnsiTheme="minorHAnsi"/>
          <w:b/>
        </w:rPr>
      </w:pPr>
      <w:r w:rsidRPr="00E05285">
        <w:rPr>
          <w:rFonts w:asciiTheme="minorHAnsi" w:hAnsiTheme="minorHAnsi"/>
          <w:b/>
        </w:rPr>
        <w:t xml:space="preserve">prostřednictvím krátkodobých pohledávek </w:t>
      </w:r>
      <w:r w:rsidRPr="00E05285">
        <w:rPr>
          <w:rFonts w:asciiTheme="minorHAnsi" w:hAnsiTheme="minorHAnsi"/>
        </w:rPr>
        <w:t>(</w:t>
      </w:r>
      <w:r>
        <w:rPr>
          <w:rFonts w:asciiTheme="minorHAnsi" w:hAnsiTheme="minorHAnsi"/>
        </w:rPr>
        <w:t>účet</w:t>
      </w:r>
      <w:r w:rsidRPr="00E05285">
        <w:rPr>
          <w:rFonts w:asciiTheme="minorHAnsi" w:hAnsiTheme="minorHAnsi"/>
        </w:rPr>
        <w:t xml:space="preserve"> 315 – </w:t>
      </w:r>
      <w:r w:rsidRPr="00E05285">
        <w:rPr>
          <w:rFonts w:asciiTheme="minorHAnsi" w:hAnsiTheme="minorHAnsi"/>
          <w:i/>
        </w:rPr>
        <w:t>Jiné pohledávky z hlavní činnosti</w:t>
      </w:r>
      <w:r w:rsidRPr="00E05285">
        <w:rPr>
          <w:rFonts w:asciiTheme="minorHAnsi" w:hAnsiTheme="minorHAnsi"/>
        </w:rPr>
        <w:t>) z titulu rozhodovací činnosti MS Praha ve výši 29</w:t>
      </w:r>
      <w:r>
        <w:rPr>
          <w:rFonts w:asciiTheme="minorHAnsi" w:hAnsiTheme="minorHAnsi"/>
        </w:rPr>
        <w:t>7</w:t>
      </w:r>
      <w:r w:rsidRPr="00E05285">
        <w:rPr>
          <w:rFonts w:asciiTheme="minorHAnsi" w:hAnsiTheme="minorHAnsi"/>
        </w:rPr>
        <w:t xml:space="preserve"> mil. Kč brutto, resp. 71 mil.</w:t>
      </w:r>
      <w:r w:rsidR="00F42D7C">
        <w:rPr>
          <w:rFonts w:asciiTheme="minorHAnsi" w:hAnsiTheme="minorHAnsi"/>
        </w:rPr>
        <w:t> </w:t>
      </w:r>
      <w:r w:rsidRPr="00E05285">
        <w:rPr>
          <w:rFonts w:asciiTheme="minorHAnsi" w:hAnsiTheme="minorHAnsi"/>
        </w:rPr>
        <w:t xml:space="preserve">Kč netto; jednalo se zejména o pohledávky z titulu úhrad soudních poplatků, náhrad nákladů soudního řízení, </w:t>
      </w:r>
      <w:r>
        <w:rPr>
          <w:rFonts w:asciiTheme="minorHAnsi" w:hAnsiTheme="minorHAnsi"/>
        </w:rPr>
        <w:t>peněžitých trestů</w:t>
      </w:r>
      <w:r w:rsidRPr="00E05285">
        <w:rPr>
          <w:rFonts w:asciiTheme="minorHAnsi" w:hAnsiTheme="minorHAnsi"/>
        </w:rPr>
        <w:t xml:space="preserve"> uložených v rámci trestního řízení a</w:t>
      </w:r>
      <w:r w:rsidR="00E3345D">
        <w:rPr>
          <w:rFonts w:asciiTheme="minorHAnsi" w:hAnsiTheme="minorHAnsi"/>
        </w:rPr>
        <w:t> </w:t>
      </w:r>
      <w:r w:rsidRPr="00E05285">
        <w:rPr>
          <w:rFonts w:asciiTheme="minorHAnsi" w:hAnsiTheme="minorHAnsi"/>
        </w:rPr>
        <w:t>uložených pokut v rámci soudního řízení</w:t>
      </w:r>
      <w:r w:rsidR="00F42D7C">
        <w:rPr>
          <w:rFonts w:asciiTheme="minorHAnsi" w:hAnsiTheme="minorHAnsi"/>
        </w:rPr>
        <w:t>;</w:t>
      </w:r>
    </w:p>
    <w:p w14:paraId="126BE548" w14:textId="10652D5A" w:rsidR="00E240B6" w:rsidRPr="00E05285" w:rsidRDefault="00E240B6" w:rsidP="00E240B6">
      <w:pPr>
        <w:pStyle w:val="Odstavecseseznamem"/>
        <w:numPr>
          <w:ilvl w:val="0"/>
          <w:numId w:val="40"/>
        </w:numPr>
        <w:contextualSpacing w:val="0"/>
        <w:jc w:val="both"/>
        <w:rPr>
          <w:rFonts w:asciiTheme="minorHAnsi" w:hAnsiTheme="minorHAnsi"/>
          <w:b/>
        </w:rPr>
      </w:pPr>
      <w:r w:rsidRPr="00E05285">
        <w:rPr>
          <w:rFonts w:asciiTheme="minorHAnsi" w:hAnsiTheme="minorHAnsi"/>
          <w:b/>
        </w:rPr>
        <w:t xml:space="preserve">prostřednictvím krátkodobého finančního majetku </w:t>
      </w:r>
      <w:r w:rsidRPr="00E05285">
        <w:rPr>
          <w:rFonts w:asciiTheme="minorHAnsi" w:hAnsiTheme="minorHAnsi"/>
        </w:rPr>
        <w:t>(</w:t>
      </w:r>
      <w:r>
        <w:rPr>
          <w:rFonts w:asciiTheme="minorHAnsi" w:hAnsiTheme="minorHAnsi"/>
        </w:rPr>
        <w:t>účet</w:t>
      </w:r>
      <w:r w:rsidRPr="00E05285">
        <w:rPr>
          <w:rFonts w:asciiTheme="minorHAnsi" w:hAnsiTheme="minorHAnsi"/>
        </w:rPr>
        <w:t xml:space="preserve"> 245 – </w:t>
      </w:r>
      <w:r w:rsidRPr="00E05285">
        <w:rPr>
          <w:rFonts w:asciiTheme="minorHAnsi" w:hAnsiTheme="minorHAnsi"/>
          <w:i/>
        </w:rPr>
        <w:t>Jiné běžné účty</w:t>
      </w:r>
      <w:r w:rsidRPr="00E05285">
        <w:rPr>
          <w:rFonts w:asciiTheme="minorHAnsi" w:hAnsiTheme="minorHAnsi"/>
        </w:rPr>
        <w:t>)</w:t>
      </w:r>
      <w:r w:rsidRPr="00E05285">
        <w:rPr>
          <w:rFonts w:asciiTheme="minorHAnsi" w:hAnsiTheme="minorHAnsi"/>
          <w:b/>
        </w:rPr>
        <w:t xml:space="preserve"> </w:t>
      </w:r>
      <w:r w:rsidRPr="00E05285">
        <w:rPr>
          <w:rFonts w:asciiTheme="minorHAnsi" w:hAnsiTheme="minorHAnsi"/>
        </w:rPr>
        <w:t xml:space="preserve">z titulu přijatých cizích prostředků vedených na bankovním účtu cizích prostředků dle </w:t>
      </w:r>
      <w:r w:rsidR="00A60951">
        <w:rPr>
          <w:rFonts w:asciiTheme="minorHAnsi" w:hAnsiTheme="minorHAnsi"/>
        </w:rPr>
        <w:t xml:space="preserve">ustanovení </w:t>
      </w:r>
      <w:r w:rsidRPr="00E05285">
        <w:rPr>
          <w:rFonts w:asciiTheme="minorHAnsi" w:hAnsiTheme="minorHAnsi"/>
        </w:rPr>
        <w:t xml:space="preserve">§ 45 zákona č. 218/2000 Sb. ve výši </w:t>
      </w:r>
      <w:r>
        <w:rPr>
          <w:rFonts w:asciiTheme="minorHAnsi" w:hAnsiTheme="minorHAnsi"/>
        </w:rPr>
        <w:t>445</w:t>
      </w:r>
      <w:r w:rsidRPr="00E05285">
        <w:rPr>
          <w:rFonts w:asciiTheme="minorHAnsi" w:hAnsiTheme="minorHAnsi"/>
        </w:rPr>
        <w:t xml:space="preserve"> mil. Kč; jednalo se zejména o cizí prostředky z titulu výplat jistot složených v rámci civilního a insolvenčního řízení, složených úschov v trestním řízení a peněžitých záruk v trestním řízení</w:t>
      </w:r>
      <w:r w:rsidR="00F42D7C">
        <w:rPr>
          <w:rFonts w:asciiTheme="minorHAnsi" w:hAnsiTheme="minorHAnsi"/>
        </w:rPr>
        <w:t>;</w:t>
      </w:r>
    </w:p>
    <w:p w14:paraId="5047BAFF" w14:textId="14898CD8" w:rsidR="00E240B6" w:rsidRPr="00E05285" w:rsidRDefault="00E240B6" w:rsidP="00E240B6">
      <w:pPr>
        <w:pStyle w:val="Odstavecseseznamem"/>
        <w:numPr>
          <w:ilvl w:val="0"/>
          <w:numId w:val="40"/>
        </w:numPr>
        <w:contextualSpacing w:val="0"/>
        <w:jc w:val="both"/>
        <w:rPr>
          <w:rFonts w:asciiTheme="minorHAnsi" w:hAnsiTheme="minorHAnsi"/>
          <w:b/>
        </w:rPr>
      </w:pPr>
      <w:r w:rsidRPr="00E05285">
        <w:rPr>
          <w:rFonts w:asciiTheme="minorHAnsi" w:hAnsiTheme="minorHAnsi"/>
          <w:b/>
        </w:rPr>
        <w:t xml:space="preserve">prostřednictvím krátkodobých závazků </w:t>
      </w:r>
      <w:r w:rsidRPr="00E05285">
        <w:rPr>
          <w:rFonts w:asciiTheme="minorHAnsi" w:hAnsiTheme="minorHAnsi"/>
        </w:rPr>
        <w:t>(</w:t>
      </w:r>
      <w:r>
        <w:rPr>
          <w:rFonts w:asciiTheme="minorHAnsi" w:hAnsiTheme="minorHAnsi"/>
        </w:rPr>
        <w:t>účet</w:t>
      </w:r>
      <w:r w:rsidRPr="00E05285">
        <w:rPr>
          <w:rFonts w:asciiTheme="minorHAnsi" w:hAnsiTheme="minorHAnsi"/>
        </w:rPr>
        <w:t xml:space="preserve"> 378 – </w:t>
      </w:r>
      <w:r w:rsidRPr="00E05285">
        <w:rPr>
          <w:rFonts w:asciiTheme="minorHAnsi" w:hAnsiTheme="minorHAnsi"/>
          <w:i/>
        </w:rPr>
        <w:t>Ostatní krátkodobé závazky</w:t>
      </w:r>
      <w:r w:rsidRPr="00E05285">
        <w:rPr>
          <w:rFonts w:asciiTheme="minorHAnsi" w:hAnsiTheme="minorHAnsi"/>
        </w:rPr>
        <w:t>) z titulu zejména deponovaných cizích prostředků na bankovním účtu cizích prostředků</w:t>
      </w:r>
      <w:r w:rsidRPr="00030681">
        <w:rPr>
          <w:rFonts w:asciiTheme="minorHAnsi" w:hAnsiTheme="minorHAnsi"/>
        </w:rPr>
        <w:t xml:space="preserve"> </w:t>
      </w:r>
      <w:r w:rsidRPr="00E05285">
        <w:rPr>
          <w:rFonts w:asciiTheme="minorHAnsi" w:hAnsiTheme="minorHAnsi"/>
        </w:rPr>
        <w:t>ve výši 4</w:t>
      </w:r>
      <w:r>
        <w:rPr>
          <w:rFonts w:asciiTheme="minorHAnsi" w:hAnsiTheme="minorHAnsi"/>
        </w:rPr>
        <w:t>45</w:t>
      </w:r>
      <w:r w:rsidRPr="00E05285">
        <w:rPr>
          <w:rFonts w:asciiTheme="minorHAnsi" w:hAnsiTheme="minorHAnsi"/>
        </w:rPr>
        <w:t xml:space="preserve"> mil. Kč, viz předchozí odrážka</w:t>
      </w:r>
      <w:r w:rsidR="00F42D7C">
        <w:rPr>
          <w:rFonts w:asciiTheme="minorHAnsi" w:hAnsiTheme="minorHAnsi"/>
        </w:rPr>
        <w:t>;</w:t>
      </w:r>
    </w:p>
    <w:p w14:paraId="6ADD992F" w14:textId="5B1CF871" w:rsidR="00E240B6" w:rsidRPr="00E05285" w:rsidRDefault="00E240B6" w:rsidP="00E240B6">
      <w:pPr>
        <w:pStyle w:val="Odstavecseseznamem"/>
        <w:numPr>
          <w:ilvl w:val="0"/>
          <w:numId w:val="40"/>
        </w:numPr>
        <w:contextualSpacing w:val="0"/>
        <w:jc w:val="both"/>
        <w:rPr>
          <w:rFonts w:asciiTheme="minorHAnsi" w:hAnsiTheme="minorHAnsi"/>
          <w:b/>
        </w:rPr>
      </w:pPr>
      <w:r w:rsidRPr="00E05285">
        <w:rPr>
          <w:rFonts w:asciiTheme="minorHAnsi" w:hAnsiTheme="minorHAnsi"/>
          <w:b/>
        </w:rPr>
        <w:t xml:space="preserve">prostřednictvím nákladů z činnosti </w:t>
      </w:r>
      <w:r w:rsidRPr="00E05285">
        <w:rPr>
          <w:rFonts w:asciiTheme="minorHAnsi" w:hAnsiTheme="minorHAnsi"/>
        </w:rPr>
        <w:t>zejména z titulu výplaty přiznaných odměn advokátům, likvidátorům, znalcům a tlumočníkům v rámci soudního řízení ve výši 144</w:t>
      </w:r>
      <w:r w:rsidR="001B3F5D">
        <w:rPr>
          <w:rFonts w:asciiTheme="minorHAnsi" w:hAnsiTheme="minorHAnsi"/>
        </w:rPr>
        <w:t> </w:t>
      </w:r>
      <w:r w:rsidRPr="00E05285">
        <w:rPr>
          <w:rFonts w:asciiTheme="minorHAnsi" w:hAnsiTheme="minorHAnsi"/>
        </w:rPr>
        <w:t xml:space="preserve">mil. Kč vykazovaných na </w:t>
      </w:r>
      <w:r>
        <w:rPr>
          <w:rFonts w:asciiTheme="minorHAnsi" w:hAnsiTheme="minorHAnsi"/>
        </w:rPr>
        <w:t>účtu</w:t>
      </w:r>
      <w:r w:rsidRPr="00E05285">
        <w:rPr>
          <w:rFonts w:asciiTheme="minorHAnsi" w:hAnsiTheme="minorHAnsi"/>
        </w:rPr>
        <w:t xml:space="preserve"> 549 – </w:t>
      </w:r>
      <w:r w:rsidRPr="00E05285">
        <w:rPr>
          <w:rFonts w:asciiTheme="minorHAnsi" w:hAnsiTheme="minorHAnsi"/>
          <w:i/>
        </w:rPr>
        <w:t>Ostatní náklady z činnosti</w:t>
      </w:r>
      <w:r w:rsidRPr="00E05285">
        <w:rPr>
          <w:rFonts w:asciiTheme="minorHAnsi" w:hAnsiTheme="minorHAnsi"/>
        </w:rPr>
        <w:t xml:space="preserve"> a dále zejména</w:t>
      </w:r>
      <w:r w:rsidR="001B3F5D">
        <w:rPr>
          <w:rFonts w:asciiTheme="minorHAnsi" w:hAnsiTheme="minorHAnsi"/>
        </w:rPr>
        <w:t xml:space="preserve"> </w:t>
      </w:r>
      <w:r w:rsidRPr="00E05285">
        <w:rPr>
          <w:rFonts w:asciiTheme="minorHAnsi" w:hAnsiTheme="minorHAnsi"/>
        </w:rPr>
        <w:t xml:space="preserve">z titulu vyřazených nedobytných pohledávek ve výši 31,5 mil. Kč vykazovaných na </w:t>
      </w:r>
      <w:r>
        <w:rPr>
          <w:rFonts w:asciiTheme="minorHAnsi" w:hAnsiTheme="minorHAnsi"/>
        </w:rPr>
        <w:t>účtu</w:t>
      </w:r>
      <w:r w:rsidRPr="00E05285">
        <w:rPr>
          <w:rFonts w:asciiTheme="minorHAnsi" w:hAnsiTheme="minorHAnsi"/>
        </w:rPr>
        <w:t xml:space="preserve"> 557 – </w:t>
      </w:r>
      <w:r w:rsidRPr="00E05285">
        <w:rPr>
          <w:rFonts w:asciiTheme="minorHAnsi" w:hAnsiTheme="minorHAnsi"/>
          <w:i/>
        </w:rPr>
        <w:t>Náklady z vyřazených pohledávek</w:t>
      </w:r>
      <w:r w:rsidR="00F42D7C">
        <w:rPr>
          <w:rFonts w:asciiTheme="minorHAnsi" w:hAnsiTheme="minorHAnsi"/>
        </w:rPr>
        <w:t>;</w:t>
      </w:r>
      <w:r w:rsidRPr="00E05285">
        <w:rPr>
          <w:rFonts w:asciiTheme="minorHAnsi" w:hAnsiTheme="minorHAnsi"/>
          <w:b/>
        </w:rPr>
        <w:t xml:space="preserve"> </w:t>
      </w:r>
    </w:p>
    <w:p w14:paraId="524A8407" w14:textId="56285542" w:rsidR="00E240B6" w:rsidRPr="00E05285" w:rsidRDefault="00E240B6" w:rsidP="00E240B6">
      <w:pPr>
        <w:pStyle w:val="Odstavecseseznamem"/>
        <w:numPr>
          <w:ilvl w:val="0"/>
          <w:numId w:val="40"/>
        </w:numPr>
        <w:contextualSpacing w:val="0"/>
        <w:jc w:val="both"/>
        <w:rPr>
          <w:rFonts w:asciiTheme="minorHAnsi" w:hAnsiTheme="minorHAnsi"/>
          <w:b/>
        </w:rPr>
      </w:pPr>
      <w:r w:rsidRPr="00E05285">
        <w:rPr>
          <w:rFonts w:asciiTheme="minorHAnsi" w:hAnsiTheme="minorHAnsi"/>
          <w:b/>
        </w:rPr>
        <w:lastRenderedPageBreak/>
        <w:t xml:space="preserve">prostřednictvím výnosů z činnosti </w:t>
      </w:r>
      <w:r w:rsidRPr="00E05285">
        <w:rPr>
          <w:rFonts w:asciiTheme="minorHAnsi" w:hAnsiTheme="minorHAnsi"/>
        </w:rPr>
        <w:t>z titulu předepsaných pohledávek ze</w:t>
      </w:r>
      <w:r w:rsidR="001B3F5D">
        <w:rPr>
          <w:rFonts w:asciiTheme="minorHAnsi" w:hAnsiTheme="minorHAnsi"/>
        </w:rPr>
        <w:t xml:space="preserve"> </w:t>
      </w:r>
      <w:r w:rsidRPr="00E05285">
        <w:rPr>
          <w:rFonts w:asciiTheme="minorHAnsi" w:hAnsiTheme="minorHAnsi"/>
        </w:rPr>
        <w:t>soudních poplatků na základě zákona č. 549/1991 Sb.</w:t>
      </w:r>
      <w:r w:rsidRPr="00E05285">
        <w:rPr>
          <w:rStyle w:val="Znakapoznpodarou"/>
          <w:rFonts w:asciiTheme="minorHAnsi" w:hAnsiTheme="minorHAnsi"/>
        </w:rPr>
        <w:footnoteReference w:id="28"/>
      </w:r>
      <w:r w:rsidRPr="00E05285">
        <w:rPr>
          <w:rFonts w:asciiTheme="minorHAnsi" w:hAnsiTheme="minorHAnsi"/>
        </w:rPr>
        <w:t xml:space="preserve"> vykazovaných na </w:t>
      </w:r>
      <w:r>
        <w:rPr>
          <w:rFonts w:asciiTheme="minorHAnsi" w:hAnsiTheme="minorHAnsi"/>
        </w:rPr>
        <w:t>účtu</w:t>
      </w:r>
      <w:r w:rsidRPr="00E05285">
        <w:rPr>
          <w:rFonts w:asciiTheme="minorHAnsi" w:hAnsiTheme="minorHAnsi"/>
        </w:rPr>
        <w:t xml:space="preserve"> 607 – </w:t>
      </w:r>
      <w:r w:rsidRPr="00E05285">
        <w:rPr>
          <w:rFonts w:asciiTheme="minorHAnsi" w:hAnsiTheme="minorHAnsi"/>
          <w:i/>
        </w:rPr>
        <w:t>Výnosy ze soudních poplatků</w:t>
      </w:r>
      <w:r w:rsidRPr="00E05285">
        <w:rPr>
          <w:rFonts w:asciiTheme="minorHAnsi" w:hAnsiTheme="minorHAnsi"/>
          <w:b/>
        </w:rPr>
        <w:t xml:space="preserve"> </w:t>
      </w:r>
      <w:r w:rsidRPr="00E05285">
        <w:rPr>
          <w:rFonts w:asciiTheme="minorHAnsi" w:hAnsiTheme="minorHAnsi"/>
        </w:rPr>
        <w:t>ve výši</w:t>
      </w:r>
      <w:r w:rsidRPr="00E05285">
        <w:rPr>
          <w:rFonts w:asciiTheme="minorHAnsi" w:hAnsiTheme="minorHAnsi"/>
          <w:b/>
        </w:rPr>
        <w:t xml:space="preserve"> </w:t>
      </w:r>
      <w:r w:rsidRPr="00E05285">
        <w:rPr>
          <w:rFonts w:asciiTheme="minorHAnsi" w:hAnsiTheme="minorHAnsi"/>
        </w:rPr>
        <w:t>203 mil. Kč, dále z titulu zejména náhrad nákladů civilního a</w:t>
      </w:r>
      <w:r w:rsidR="00D46B4C">
        <w:rPr>
          <w:rFonts w:asciiTheme="minorHAnsi" w:hAnsiTheme="minorHAnsi"/>
        </w:rPr>
        <w:t> </w:t>
      </w:r>
      <w:r w:rsidRPr="00E05285">
        <w:rPr>
          <w:rFonts w:asciiTheme="minorHAnsi" w:hAnsiTheme="minorHAnsi"/>
        </w:rPr>
        <w:t xml:space="preserve">trestního řízení a náhrad za ustanovené advokáty vykazovaných na </w:t>
      </w:r>
      <w:r>
        <w:rPr>
          <w:rFonts w:asciiTheme="minorHAnsi" w:hAnsiTheme="minorHAnsi"/>
        </w:rPr>
        <w:t>účtu</w:t>
      </w:r>
      <w:r w:rsidRPr="00E05285">
        <w:rPr>
          <w:rFonts w:asciiTheme="minorHAnsi" w:hAnsiTheme="minorHAnsi"/>
        </w:rPr>
        <w:t xml:space="preserve"> </w:t>
      </w:r>
      <w:r w:rsidR="00D46B4C">
        <w:rPr>
          <w:rFonts w:asciiTheme="minorHAnsi" w:hAnsiTheme="minorHAnsi"/>
        </w:rPr>
        <w:br/>
      </w:r>
      <w:r w:rsidRPr="00E05285">
        <w:rPr>
          <w:rFonts w:asciiTheme="minorHAnsi" w:hAnsiTheme="minorHAnsi"/>
        </w:rPr>
        <w:t xml:space="preserve">649 – </w:t>
      </w:r>
      <w:r w:rsidRPr="00E05285">
        <w:rPr>
          <w:rFonts w:asciiTheme="minorHAnsi" w:hAnsiTheme="minorHAnsi"/>
          <w:i/>
        </w:rPr>
        <w:t>Ostatní výnosy z činnosti</w:t>
      </w:r>
      <w:r w:rsidRPr="00E05285">
        <w:rPr>
          <w:rFonts w:asciiTheme="minorHAnsi" w:hAnsiTheme="minorHAnsi"/>
        </w:rPr>
        <w:t xml:space="preserve"> ve výši 30 mil. Kč a též z titulu peněžitých předepsaných pohledávek z</w:t>
      </w:r>
      <w:r>
        <w:rPr>
          <w:rFonts w:asciiTheme="minorHAnsi" w:hAnsiTheme="minorHAnsi"/>
        </w:rPr>
        <w:t> peněžitých trestů</w:t>
      </w:r>
      <w:r w:rsidRPr="00E05285">
        <w:rPr>
          <w:rFonts w:asciiTheme="minorHAnsi" w:hAnsiTheme="minorHAnsi"/>
        </w:rPr>
        <w:t xml:space="preserve"> a pokut uložených v rámci soudního řízení vykazovaných na </w:t>
      </w:r>
      <w:r>
        <w:rPr>
          <w:rFonts w:asciiTheme="minorHAnsi" w:hAnsiTheme="minorHAnsi"/>
        </w:rPr>
        <w:t>účtu</w:t>
      </w:r>
      <w:r w:rsidRPr="00E05285">
        <w:rPr>
          <w:rFonts w:asciiTheme="minorHAnsi" w:hAnsiTheme="minorHAnsi"/>
        </w:rPr>
        <w:t xml:space="preserve"> 642 – </w:t>
      </w:r>
      <w:r w:rsidRPr="00E05285">
        <w:rPr>
          <w:rFonts w:asciiTheme="minorHAnsi" w:hAnsiTheme="minorHAnsi"/>
          <w:i/>
        </w:rPr>
        <w:t>Jiné pokuty a penále</w:t>
      </w:r>
      <w:r w:rsidRPr="00E05285">
        <w:rPr>
          <w:rFonts w:asciiTheme="minorHAnsi" w:hAnsiTheme="minorHAnsi"/>
        </w:rPr>
        <w:t xml:space="preserve"> ve výši 10,9 mil. Kč</w:t>
      </w:r>
      <w:r w:rsidR="00316530">
        <w:rPr>
          <w:rFonts w:asciiTheme="minorHAnsi" w:hAnsiTheme="minorHAnsi"/>
        </w:rPr>
        <w:t>;</w:t>
      </w:r>
    </w:p>
    <w:p w14:paraId="0FB7E660" w14:textId="4C36841D" w:rsidR="00E240B6" w:rsidRPr="00E05285" w:rsidRDefault="00E240B6" w:rsidP="00E240B6">
      <w:pPr>
        <w:pStyle w:val="Odstavecseseznamem"/>
        <w:numPr>
          <w:ilvl w:val="0"/>
          <w:numId w:val="40"/>
        </w:numPr>
        <w:spacing w:after="0"/>
        <w:jc w:val="both"/>
        <w:rPr>
          <w:rFonts w:asciiTheme="minorHAnsi" w:hAnsiTheme="minorHAnsi"/>
          <w:b/>
        </w:rPr>
      </w:pPr>
      <w:r w:rsidRPr="00E05285">
        <w:rPr>
          <w:rFonts w:asciiTheme="minorHAnsi" w:hAnsiTheme="minorHAnsi"/>
          <w:b/>
        </w:rPr>
        <w:t>prostřednictvím podrozvahových účtů</w:t>
      </w:r>
      <w:r w:rsidRPr="00DF6AD0">
        <w:rPr>
          <w:rFonts w:asciiTheme="minorHAnsi" w:hAnsiTheme="minorHAnsi"/>
          <w:b/>
        </w:rPr>
        <w:t>,</w:t>
      </w:r>
      <w:r w:rsidRPr="00E05285">
        <w:rPr>
          <w:rFonts w:asciiTheme="minorHAnsi" w:hAnsiTheme="minorHAnsi"/>
        </w:rPr>
        <w:t xml:space="preserve"> a to zejména krátkodobých a dlouhodobých podmíněných pohledávek z rozhodovací činnosti MS Praha v celkové výši 765 mil. Kč (</w:t>
      </w:r>
      <w:r>
        <w:rPr>
          <w:rFonts w:asciiTheme="minorHAnsi" w:hAnsiTheme="minorHAnsi"/>
        </w:rPr>
        <w:t>účet</w:t>
      </w:r>
      <w:r w:rsidRPr="00E05285">
        <w:rPr>
          <w:rFonts w:asciiTheme="minorHAnsi" w:hAnsiTheme="minorHAnsi"/>
        </w:rPr>
        <w:t xml:space="preserve"> 947 – </w:t>
      </w:r>
      <w:r w:rsidRPr="00E05285">
        <w:rPr>
          <w:rFonts w:asciiTheme="minorHAnsi" w:hAnsiTheme="minorHAnsi"/>
          <w:i/>
        </w:rPr>
        <w:t>Krátkodobé podmíněné pohledávky ze soudních sporů, správních řízení a</w:t>
      </w:r>
      <w:r w:rsidR="00D46B4C">
        <w:rPr>
          <w:rFonts w:asciiTheme="minorHAnsi" w:hAnsiTheme="minorHAnsi"/>
          <w:i/>
        </w:rPr>
        <w:t> </w:t>
      </w:r>
      <w:r w:rsidRPr="00E05285">
        <w:rPr>
          <w:rFonts w:asciiTheme="minorHAnsi" w:hAnsiTheme="minorHAnsi"/>
          <w:i/>
        </w:rPr>
        <w:t>jiných řízení</w:t>
      </w:r>
      <w:r w:rsidRPr="00E05285">
        <w:rPr>
          <w:rFonts w:asciiTheme="minorHAnsi" w:hAnsiTheme="minorHAnsi"/>
        </w:rPr>
        <w:t xml:space="preserve"> a </w:t>
      </w:r>
      <w:r>
        <w:rPr>
          <w:rFonts w:asciiTheme="minorHAnsi" w:hAnsiTheme="minorHAnsi"/>
        </w:rPr>
        <w:t>účet</w:t>
      </w:r>
      <w:r w:rsidRPr="00E05285">
        <w:rPr>
          <w:rFonts w:asciiTheme="minorHAnsi" w:hAnsiTheme="minorHAnsi"/>
        </w:rPr>
        <w:t xml:space="preserve"> 948 – </w:t>
      </w:r>
      <w:r w:rsidRPr="00E05285">
        <w:rPr>
          <w:rFonts w:asciiTheme="minorHAnsi" w:hAnsiTheme="minorHAnsi"/>
          <w:i/>
        </w:rPr>
        <w:t>Dlouhodobé podmíněné pohledávky ze soudních sporů, správních řízení a jiných řízení</w:t>
      </w:r>
      <w:r w:rsidRPr="00E05285">
        <w:rPr>
          <w:rFonts w:asciiTheme="minorHAnsi" w:hAnsiTheme="minorHAnsi"/>
        </w:rPr>
        <w:t>) a dále krátkodobých a dlouhodobých podmíněných závazků z rozhodovací činnosti MS Praha v celkové výši 559 mil. Kč (</w:t>
      </w:r>
      <w:r>
        <w:rPr>
          <w:rFonts w:asciiTheme="minorHAnsi" w:hAnsiTheme="minorHAnsi"/>
        </w:rPr>
        <w:t>účet</w:t>
      </w:r>
      <w:r w:rsidRPr="00E05285">
        <w:rPr>
          <w:rFonts w:asciiTheme="minorHAnsi" w:hAnsiTheme="minorHAnsi"/>
        </w:rPr>
        <w:t xml:space="preserve"> </w:t>
      </w:r>
      <w:r w:rsidR="00D46B4C">
        <w:rPr>
          <w:rFonts w:asciiTheme="minorHAnsi" w:hAnsiTheme="minorHAnsi"/>
        </w:rPr>
        <w:br/>
      </w:r>
      <w:r w:rsidRPr="00E05285">
        <w:rPr>
          <w:rFonts w:asciiTheme="minorHAnsi" w:hAnsiTheme="minorHAnsi"/>
        </w:rPr>
        <w:t xml:space="preserve">978 – </w:t>
      </w:r>
      <w:r w:rsidRPr="00E05285">
        <w:rPr>
          <w:rFonts w:asciiTheme="minorHAnsi" w:hAnsiTheme="minorHAnsi"/>
          <w:i/>
        </w:rPr>
        <w:t xml:space="preserve">Krátkodobé podmíněné závazky vyplývající z právních předpisů a další činnosti moci zákonodárné, výkonné nebo soudní </w:t>
      </w:r>
      <w:r w:rsidRPr="00E05285">
        <w:rPr>
          <w:rFonts w:asciiTheme="minorHAnsi" w:hAnsiTheme="minorHAnsi"/>
        </w:rPr>
        <w:t xml:space="preserve">a </w:t>
      </w:r>
      <w:r>
        <w:rPr>
          <w:rFonts w:asciiTheme="minorHAnsi" w:hAnsiTheme="minorHAnsi"/>
        </w:rPr>
        <w:t>účet</w:t>
      </w:r>
      <w:r w:rsidRPr="00E05285">
        <w:rPr>
          <w:rFonts w:asciiTheme="minorHAnsi" w:hAnsiTheme="minorHAnsi"/>
        </w:rPr>
        <w:t xml:space="preserve"> 979 – </w:t>
      </w:r>
      <w:r w:rsidRPr="00E05285">
        <w:rPr>
          <w:rFonts w:asciiTheme="minorHAnsi" w:hAnsiTheme="minorHAnsi"/>
          <w:i/>
        </w:rPr>
        <w:t>Dlouhodobé podmíněné závazky vyplývající z právních předpisů a další činnosti moci zákonodárné, výkonné nebo soudní</w:t>
      </w:r>
      <w:r w:rsidRPr="00E05285">
        <w:rPr>
          <w:rFonts w:asciiTheme="minorHAnsi" w:hAnsiTheme="minorHAnsi"/>
        </w:rPr>
        <w:t>)</w:t>
      </w:r>
      <w:r w:rsidRPr="00E05285">
        <w:rPr>
          <w:rFonts w:asciiTheme="minorHAnsi" w:hAnsiTheme="minorHAnsi"/>
          <w:b/>
          <w:i/>
        </w:rPr>
        <w:t xml:space="preserve"> </w:t>
      </w:r>
      <w:r w:rsidRPr="00E05285">
        <w:rPr>
          <w:rFonts w:asciiTheme="minorHAnsi" w:hAnsiTheme="minorHAnsi"/>
        </w:rPr>
        <w:t>a dále též vlivem vyřazených pohledávek v celkové výši 211 mil. Kč (</w:t>
      </w:r>
      <w:r>
        <w:rPr>
          <w:rFonts w:asciiTheme="minorHAnsi" w:hAnsiTheme="minorHAnsi"/>
        </w:rPr>
        <w:t>účet</w:t>
      </w:r>
      <w:r w:rsidRPr="00E05285">
        <w:rPr>
          <w:rFonts w:asciiTheme="minorHAnsi" w:hAnsiTheme="minorHAnsi"/>
        </w:rPr>
        <w:t xml:space="preserve"> </w:t>
      </w:r>
      <w:r w:rsidR="00316530">
        <w:rPr>
          <w:rFonts w:asciiTheme="minorHAnsi" w:hAnsiTheme="minorHAnsi"/>
        </w:rPr>
        <w:br/>
      </w:r>
      <w:r w:rsidRPr="00E05285">
        <w:rPr>
          <w:rFonts w:asciiTheme="minorHAnsi" w:hAnsiTheme="minorHAnsi"/>
        </w:rPr>
        <w:t xml:space="preserve">905 – </w:t>
      </w:r>
      <w:r w:rsidRPr="005944D4">
        <w:rPr>
          <w:rFonts w:asciiTheme="minorHAnsi" w:hAnsiTheme="minorHAnsi"/>
          <w:i/>
        </w:rPr>
        <w:t>Vyřazené pohledávky</w:t>
      </w:r>
      <w:r w:rsidRPr="00E05285">
        <w:rPr>
          <w:rFonts w:asciiTheme="minorHAnsi" w:hAnsiTheme="minorHAnsi"/>
        </w:rPr>
        <w:t>)</w:t>
      </w:r>
      <w:r w:rsidR="00316530">
        <w:rPr>
          <w:rFonts w:asciiTheme="minorHAnsi" w:hAnsiTheme="minorHAnsi"/>
        </w:rPr>
        <w:t>;</w:t>
      </w:r>
    </w:p>
    <w:p w14:paraId="1D0D9E95" w14:textId="77777777" w:rsidR="00E240B6" w:rsidRPr="00EB2810" w:rsidRDefault="00E240B6" w:rsidP="00E240B6">
      <w:pPr>
        <w:spacing w:after="0"/>
        <w:rPr>
          <w:rFonts w:asciiTheme="minorHAnsi" w:hAnsiTheme="minorHAnsi"/>
          <w:b/>
        </w:rPr>
      </w:pPr>
    </w:p>
    <w:p w14:paraId="2E898C54" w14:textId="6277362F" w:rsidR="00E240B6" w:rsidRDefault="00316530" w:rsidP="00E240B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– o</w:t>
      </w:r>
      <w:r w:rsidR="00E240B6" w:rsidRPr="00EB2810">
        <w:rPr>
          <w:rFonts w:asciiTheme="minorHAnsi" w:hAnsiTheme="minorHAnsi"/>
          <w:b/>
        </w:rPr>
        <w:t xml:space="preserve">blast </w:t>
      </w:r>
      <w:r w:rsidR="00E240B6">
        <w:rPr>
          <w:rFonts w:asciiTheme="minorHAnsi" w:hAnsiTheme="minorHAnsi"/>
          <w:b/>
        </w:rPr>
        <w:t xml:space="preserve">rozpočtových </w:t>
      </w:r>
      <w:r w:rsidR="00E240B6" w:rsidRPr="00EB2810">
        <w:rPr>
          <w:rFonts w:asciiTheme="minorHAnsi" w:hAnsiTheme="minorHAnsi"/>
          <w:b/>
        </w:rPr>
        <w:t>údajů (</w:t>
      </w:r>
      <w:r w:rsidR="00E240B6" w:rsidRPr="00F7163E">
        <w:rPr>
          <w:rFonts w:asciiTheme="minorHAnsi" w:hAnsiTheme="minorHAnsi"/>
          <w:b/>
        </w:rPr>
        <w:t>výkaz FIN 1-12 OSS</w:t>
      </w:r>
      <w:r w:rsidR="00E240B6" w:rsidRPr="00EB2810">
        <w:rPr>
          <w:rFonts w:asciiTheme="minorHAnsi" w:hAnsiTheme="minorHAnsi"/>
          <w:b/>
        </w:rPr>
        <w:t>)</w:t>
      </w:r>
    </w:p>
    <w:p w14:paraId="6DD92FF4" w14:textId="025FD52F" w:rsidR="00E240B6" w:rsidRPr="00EB2810" w:rsidRDefault="00E240B6" w:rsidP="00E240B6">
      <w:pPr>
        <w:pStyle w:val="Odstavecseseznamem"/>
        <w:numPr>
          <w:ilvl w:val="0"/>
          <w:numId w:val="41"/>
        </w:numPr>
        <w:spacing w:after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v rámci daňových příjmů </w:t>
      </w:r>
      <w:r w:rsidRPr="00227992">
        <w:rPr>
          <w:rFonts w:asciiTheme="minorHAnsi" w:hAnsiTheme="minorHAnsi"/>
        </w:rPr>
        <w:t xml:space="preserve">v podobě příjmů ze soudních poplatků ve výši 153 mil. Kč (rozpočtová položka 1362 – </w:t>
      </w:r>
      <w:r w:rsidRPr="00227992">
        <w:rPr>
          <w:rFonts w:asciiTheme="minorHAnsi" w:hAnsiTheme="minorHAnsi"/>
          <w:i/>
        </w:rPr>
        <w:t>Příjem ze soudních poplatků</w:t>
      </w:r>
      <w:r w:rsidRPr="00227992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a </w:t>
      </w:r>
      <w:r w:rsidRPr="00DB2FEC">
        <w:rPr>
          <w:rFonts w:asciiTheme="minorHAnsi" w:hAnsiTheme="minorHAnsi"/>
          <w:b/>
        </w:rPr>
        <w:t>v</w:t>
      </w:r>
      <w:r w:rsidR="00316530">
        <w:rPr>
          <w:rFonts w:asciiTheme="minorHAnsi" w:hAnsiTheme="minorHAnsi"/>
          <w:b/>
        </w:rPr>
        <w:t xml:space="preserve"> </w:t>
      </w:r>
      <w:r w:rsidRPr="00DB2FEC">
        <w:rPr>
          <w:rFonts w:asciiTheme="minorHAnsi" w:hAnsiTheme="minorHAnsi"/>
          <w:b/>
        </w:rPr>
        <w:t xml:space="preserve">rámci běžných </w:t>
      </w:r>
      <w:r w:rsidR="00316530">
        <w:rPr>
          <w:rFonts w:asciiTheme="minorHAnsi" w:hAnsiTheme="minorHAnsi"/>
          <w:b/>
        </w:rPr>
        <w:br/>
      </w:r>
      <w:r w:rsidRPr="00DB2FEC">
        <w:rPr>
          <w:rFonts w:asciiTheme="minorHAnsi" w:hAnsiTheme="minorHAnsi"/>
          <w:b/>
        </w:rPr>
        <w:t>výdajů</w:t>
      </w:r>
      <w:r>
        <w:rPr>
          <w:rFonts w:asciiTheme="minorHAnsi" w:hAnsiTheme="minorHAnsi"/>
        </w:rPr>
        <w:t xml:space="preserve"> v</w:t>
      </w:r>
      <w:r w:rsidR="0031653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podobě poskytnutých náhrad ve výši 148 mil. Kč (rozpočtová položka </w:t>
      </w:r>
      <w:r w:rsidR="00316530">
        <w:rPr>
          <w:rFonts w:asciiTheme="minorHAnsi" w:hAnsiTheme="minorHAnsi"/>
        </w:rPr>
        <w:br/>
      </w:r>
      <w:r>
        <w:rPr>
          <w:rFonts w:asciiTheme="minorHAnsi" w:hAnsiTheme="minorHAnsi"/>
        </w:rPr>
        <w:t xml:space="preserve">5192 – </w:t>
      </w:r>
      <w:r w:rsidRPr="00227992">
        <w:rPr>
          <w:rFonts w:asciiTheme="minorHAnsi" w:hAnsiTheme="minorHAnsi"/>
          <w:i/>
        </w:rPr>
        <w:t>Poskytnuté náhrady</w:t>
      </w:r>
      <w:r>
        <w:rPr>
          <w:rFonts w:asciiTheme="minorHAnsi" w:hAnsiTheme="minorHAnsi"/>
        </w:rPr>
        <w:t xml:space="preserve">). </w:t>
      </w:r>
    </w:p>
    <w:p w14:paraId="4011A1BF" w14:textId="77777777" w:rsidR="00E240B6" w:rsidRDefault="00E240B6" w:rsidP="00E240B6">
      <w:pPr>
        <w:spacing w:after="0"/>
        <w:jc w:val="both"/>
        <w:rPr>
          <w:rFonts w:cs="Calibri"/>
        </w:rPr>
      </w:pPr>
    </w:p>
    <w:p w14:paraId="7F76EAD5" w14:textId="669CC5EE" w:rsidR="00E240B6" w:rsidRPr="00B807B3" w:rsidRDefault="00E240B6" w:rsidP="00E240B6">
      <w:pPr>
        <w:jc w:val="both"/>
        <w:rPr>
          <w:rFonts w:eastAsia="Calibri" w:cs="Calibri"/>
        </w:rPr>
      </w:pPr>
      <w:r w:rsidRPr="00B807B3">
        <w:rPr>
          <w:rFonts w:cs="Calibri"/>
          <w:bCs/>
        </w:rPr>
        <w:t>Porovnáním výsledku rozpočtového hospodaření MS Praha za rok 2022 hodnoceného na bázi peněžních toků a výsledku dle akruální báze byl zjištěn rozdíl ve výši 125 mil. Kč.</w:t>
      </w:r>
      <w:r w:rsidRPr="00B807B3">
        <w:rPr>
          <w:rFonts w:cs="Calibri"/>
        </w:rPr>
        <w:t xml:space="preserve"> </w:t>
      </w:r>
      <w:r w:rsidRPr="00B807B3">
        <w:rPr>
          <w:rFonts w:eastAsia="Calibri" w:cs="Calibri"/>
        </w:rPr>
        <w:t>Výsledn</w:t>
      </w:r>
      <w:r w:rsidR="00316530">
        <w:rPr>
          <w:rFonts w:eastAsia="Calibri" w:cs="Calibri"/>
        </w:rPr>
        <w:t>ým</w:t>
      </w:r>
      <w:r w:rsidRPr="00B807B3">
        <w:rPr>
          <w:rFonts w:eastAsia="Calibri" w:cs="Calibri"/>
        </w:rPr>
        <w:t xml:space="preserve"> sald</w:t>
      </w:r>
      <w:r w:rsidR="00316530">
        <w:rPr>
          <w:rFonts w:eastAsia="Calibri" w:cs="Calibri"/>
        </w:rPr>
        <w:t>em</w:t>
      </w:r>
      <w:r w:rsidRPr="00B807B3">
        <w:rPr>
          <w:rFonts w:eastAsia="Calibri" w:cs="Calibri"/>
        </w:rPr>
        <w:t xml:space="preserve"> peněžních toků dle výkazu FIN 1-12 OSS byl deficit ve výši 1</w:t>
      </w:r>
      <w:r w:rsidR="0089241E">
        <w:rPr>
          <w:rFonts w:eastAsia="Calibri" w:cs="Calibri"/>
        </w:rPr>
        <w:t xml:space="preserve"> </w:t>
      </w:r>
      <w:r w:rsidRPr="00B807B3">
        <w:rPr>
          <w:rFonts w:eastAsia="Calibri" w:cs="Calibri"/>
        </w:rPr>
        <w:t>299 m</w:t>
      </w:r>
      <w:r w:rsidR="0089241E">
        <w:rPr>
          <w:rFonts w:eastAsia="Calibri" w:cs="Calibri"/>
        </w:rPr>
        <w:t>i</w:t>
      </w:r>
      <w:r w:rsidRPr="00B807B3">
        <w:rPr>
          <w:rFonts w:eastAsia="Calibri" w:cs="Calibri"/>
        </w:rPr>
        <w:t>l. Kč. Výsledek hospodaření běžného účetního období dle účetního výkazu zisku a ztráty byla ztráta ve výši 1</w:t>
      </w:r>
      <w:r w:rsidR="0089241E">
        <w:rPr>
          <w:rFonts w:eastAsia="Calibri" w:cs="Calibri"/>
        </w:rPr>
        <w:t> </w:t>
      </w:r>
      <w:r w:rsidRPr="00B807B3">
        <w:rPr>
          <w:rFonts w:eastAsia="Calibri" w:cs="Calibri"/>
        </w:rPr>
        <w:t>174 m</w:t>
      </w:r>
      <w:r w:rsidR="0089241E">
        <w:rPr>
          <w:rFonts w:eastAsia="Calibri" w:cs="Calibri"/>
        </w:rPr>
        <w:t>i</w:t>
      </w:r>
      <w:r w:rsidRPr="00B807B3">
        <w:rPr>
          <w:rFonts w:eastAsia="Calibri" w:cs="Calibri"/>
        </w:rPr>
        <w:t xml:space="preserve">l. Kč. </w:t>
      </w:r>
    </w:p>
    <w:p w14:paraId="101BF467" w14:textId="77777777" w:rsidR="00E240B6" w:rsidRPr="00E240B6" w:rsidRDefault="00E240B6" w:rsidP="007D6AD1">
      <w:pPr>
        <w:pStyle w:val="Titulek"/>
        <w:jc w:val="both"/>
        <w:rPr>
          <w:b w:val="0"/>
        </w:rPr>
      </w:pPr>
      <w:r w:rsidRPr="00E240B6">
        <w:rPr>
          <w:b w:val="0"/>
        </w:rPr>
        <w:t>Hlavní důvody vzniku rozdílu mezi saldem peněžních toků a hospodářským výsledkem běžného účetního období jsou uvedeny v následující tabulce.</w:t>
      </w:r>
    </w:p>
    <w:p w14:paraId="5EFE69A0" w14:textId="77777777" w:rsidR="00F42D7C" w:rsidRDefault="00F42D7C">
      <w:pPr>
        <w:spacing w:after="160" w:line="259" w:lineRule="auto"/>
        <w:rPr>
          <w:rFonts w:cs="Calibri"/>
          <w:b/>
          <w:bCs/>
          <w:szCs w:val="20"/>
        </w:rPr>
      </w:pPr>
      <w:r>
        <w:br w:type="page"/>
      </w:r>
    </w:p>
    <w:p w14:paraId="1B7BD32F" w14:textId="30F8C7A5" w:rsidR="00BB6830" w:rsidRDefault="00BB6830" w:rsidP="00DF6AD0">
      <w:pPr>
        <w:pStyle w:val="Titulek"/>
        <w:tabs>
          <w:tab w:val="right" w:pos="9070"/>
        </w:tabs>
        <w:ind w:left="1304" w:hanging="1304"/>
      </w:pPr>
      <w:r>
        <w:lastRenderedPageBreak/>
        <w:t>Tabulka č.</w:t>
      </w:r>
      <w:r w:rsidR="00AF4CF7">
        <w:t xml:space="preserve"> 1</w:t>
      </w:r>
      <w:r>
        <w:t xml:space="preserve">: </w:t>
      </w:r>
      <w:r w:rsidR="00316530">
        <w:tab/>
      </w:r>
      <w:r w:rsidR="00B807B3" w:rsidRPr="00B807B3">
        <w:t xml:space="preserve">Hlavní vlivy způsobující rozdíly mezi saldem peněžních toků a výsledkem hospodaření MS Praha k 31. </w:t>
      </w:r>
      <w:r w:rsidR="009C2388">
        <w:t>prosinci</w:t>
      </w:r>
      <w:r w:rsidR="00B807B3" w:rsidRPr="00B807B3">
        <w:t xml:space="preserve"> 2022 </w:t>
      </w:r>
      <w:r w:rsidR="00316530">
        <w:tab/>
      </w:r>
      <w:r w:rsidR="00B807B3" w:rsidRPr="00B807B3">
        <w:t xml:space="preserve">(v </w:t>
      </w:r>
      <w:r w:rsidR="002C640D">
        <w:t xml:space="preserve">mil. </w:t>
      </w:r>
      <w:r w:rsidR="00B807B3" w:rsidRPr="00B807B3">
        <w:t>Kč)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3"/>
        <w:gridCol w:w="1295"/>
        <w:gridCol w:w="1400"/>
        <w:gridCol w:w="697"/>
      </w:tblGrid>
      <w:tr w:rsidR="00B807B3" w:rsidRPr="004C0E20" w14:paraId="4ED19DBE" w14:textId="77777777" w:rsidTr="00566C2A">
        <w:trPr>
          <w:trHeight w:val="315"/>
          <w:tblHeader/>
        </w:trPr>
        <w:tc>
          <w:tcPr>
            <w:tcW w:w="0" w:type="auto"/>
            <w:gridSpan w:val="4"/>
            <w:shd w:val="clear" w:color="000000" w:fill="E5F1FF"/>
            <w:noWrap/>
            <w:vAlign w:val="center"/>
            <w:hideMark/>
          </w:tcPr>
          <w:p w14:paraId="78617BA7" w14:textId="77777777" w:rsidR="00B807B3" w:rsidRPr="00B807B3" w:rsidRDefault="00B807B3" w:rsidP="00B807B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07B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Hlavní vlivy způsobující rozdíly mezi příjmy a výnosy</w:t>
            </w:r>
          </w:p>
        </w:tc>
      </w:tr>
      <w:tr w:rsidR="00B807B3" w:rsidRPr="004C0E20" w14:paraId="09A3C7F4" w14:textId="77777777" w:rsidTr="00566C2A">
        <w:trPr>
          <w:trHeight w:val="315"/>
          <w:tblHeader/>
        </w:trPr>
        <w:tc>
          <w:tcPr>
            <w:tcW w:w="0" w:type="auto"/>
            <w:shd w:val="clear" w:color="000000" w:fill="E5F1FF"/>
            <w:noWrap/>
            <w:vAlign w:val="center"/>
            <w:hideMark/>
          </w:tcPr>
          <w:p w14:paraId="5A9D6766" w14:textId="77777777" w:rsidR="00B807B3" w:rsidRPr="00B807B3" w:rsidRDefault="00B807B3" w:rsidP="00B807B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07B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Účetní operace</w:t>
            </w:r>
          </w:p>
        </w:tc>
        <w:tc>
          <w:tcPr>
            <w:tcW w:w="0" w:type="auto"/>
            <w:shd w:val="clear" w:color="000000" w:fill="E5F1FF"/>
            <w:noWrap/>
            <w:vAlign w:val="center"/>
            <w:hideMark/>
          </w:tcPr>
          <w:p w14:paraId="6394AB0A" w14:textId="77777777" w:rsidR="00B807B3" w:rsidRPr="00B807B3" w:rsidRDefault="00B807B3" w:rsidP="00B807B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07B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Vliv na příjmy</w:t>
            </w:r>
          </w:p>
        </w:tc>
        <w:tc>
          <w:tcPr>
            <w:tcW w:w="0" w:type="auto"/>
            <w:shd w:val="clear" w:color="000000" w:fill="E5F1FF"/>
            <w:noWrap/>
            <w:vAlign w:val="center"/>
            <w:hideMark/>
          </w:tcPr>
          <w:p w14:paraId="5972898E" w14:textId="77777777" w:rsidR="00B807B3" w:rsidRPr="00B807B3" w:rsidRDefault="00B807B3" w:rsidP="00B807B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07B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Vliv na výnosy</w:t>
            </w:r>
          </w:p>
        </w:tc>
        <w:tc>
          <w:tcPr>
            <w:tcW w:w="0" w:type="auto"/>
            <w:shd w:val="clear" w:color="000000" w:fill="E5F1FF"/>
            <w:vAlign w:val="center"/>
            <w:hideMark/>
          </w:tcPr>
          <w:p w14:paraId="1A13EE25" w14:textId="77777777" w:rsidR="00B807B3" w:rsidRPr="00B807B3" w:rsidRDefault="00B807B3" w:rsidP="00B807B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07B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Rozdíl</w:t>
            </w:r>
          </w:p>
        </w:tc>
      </w:tr>
      <w:tr w:rsidR="00B807B3" w:rsidRPr="004C0E20" w14:paraId="693DD2B0" w14:textId="77777777" w:rsidTr="00566C2A">
        <w:trPr>
          <w:trHeight w:val="615"/>
        </w:trPr>
        <w:tc>
          <w:tcPr>
            <w:tcW w:w="0" w:type="auto"/>
            <w:shd w:val="clear" w:color="auto" w:fill="auto"/>
            <w:vAlign w:val="center"/>
            <w:hideMark/>
          </w:tcPr>
          <w:p w14:paraId="6B3A8C31" w14:textId="776A35A5" w:rsidR="00B807B3" w:rsidRPr="00B807B3" w:rsidRDefault="00B807B3" w:rsidP="00B807B3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B807B3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Uhrazené daňové pohledávky předepsané v předcházejících účetních období</w:t>
            </w:r>
            <w:r w:rsidR="0031653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ch</w:t>
            </w:r>
            <w:r w:rsidRPr="00B807B3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 (bez majetkových trestních sankcí)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21289D" w14:textId="77777777" w:rsidR="00B807B3" w:rsidRPr="00B807B3" w:rsidRDefault="002C640D" w:rsidP="00B807B3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20,</w:t>
            </w:r>
            <w:r w:rsidR="00B807B3" w:rsidRPr="00B807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1FEFC4" w14:textId="77777777" w:rsidR="00B807B3" w:rsidRPr="00B807B3" w:rsidRDefault="00B807B3" w:rsidP="00B807B3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807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3E1F27" w14:textId="77777777" w:rsidR="00B807B3" w:rsidRPr="00B807B3" w:rsidRDefault="002C640D" w:rsidP="00B807B3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20,</w:t>
            </w:r>
            <w:r w:rsidR="00B807B3" w:rsidRPr="00B807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B807B3" w:rsidRPr="004C0E20" w14:paraId="4E0D8CC8" w14:textId="77777777" w:rsidTr="00566C2A">
        <w:trPr>
          <w:trHeight w:val="615"/>
        </w:trPr>
        <w:tc>
          <w:tcPr>
            <w:tcW w:w="0" w:type="auto"/>
            <w:shd w:val="clear" w:color="auto" w:fill="auto"/>
            <w:vAlign w:val="center"/>
            <w:hideMark/>
          </w:tcPr>
          <w:p w14:paraId="03C89AA2" w14:textId="77777777" w:rsidR="00B807B3" w:rsidRPr="00B807B3" w:rsidRDefault="00B807B3" w:rsidP="00B807B3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807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V roce 2022 předepsané, ale k 31.</w:t>
            </w:r>
            <w:r w:rsidR="009C238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prosinci </w:t>
            </w:r>
            <w:r w:rsidRPr="00B807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2022 neuhrazené daňové pohledávky (bez majetkových trestních sankcí)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E0F385" w14:textId="77777777" w:rsidR="00B807B3" w:rsidRPr="00B807B3" w:rsidRDefault="00B807B3" w:rsidP="00B807B3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807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EB17C5" w14:textId="77777777" w:rsidR="00B807B3" w:rsidRPr="00B807B3" w:rsidRDefault="00B807B3" w:rsidP="00B807B3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807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43</w:t>
            </w:r>
            <w:r w:rsidR="002C640D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,</w:t>
            </w:r>
            <w:r w:rsidRPr="00B807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FBD454" w14:textId="27623825" w:rsidR="00B807B3" w:rsidRPr="00B807B3" w:rsidRDefault="00316530" w:rsidP="00B807B3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F6AD0">
              <w:rPr>
                <w:rFonts w:cs="Calibri"/>
                <w:sz w:val="20"/>
                <w:szCs w:val="20"/>
              </w:rPr>
              <w:t>−</w:t>
            </w:r>
            <w:r w:rsidR="00B807B3" w:rsidRPr="00B807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43</w:t>
            </w:r>
            <w:r w:rsidR="002C640D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,</w:t>
            </w:r>
            <w:r w:rsidR="00B807B3" w:rsidRPr="00B807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5</w:t>
            </w:r>
          </w:p>
        </w:tc>
      </w:tr>
      <w:tr w:rsidR="00B807B3" w:rsidRPr="004C0E20" w14:paraId="6AF78C1E" w14:textId="77777777" w:rsidTr="00566C2A">
        <w:trPr>
          <w:trHeight w:val="615"/>
        </w:trPr>
        <w:tc>
          <w:tcPr>
            <w:tcW w:w="0" w:type="auto"/>
            <w:shd w:val="clear" w:color="auto" w:fill="auto"/>
            <w:vAlign w:val="center"/>
            <w:hideMark/>
          </w:tcPr>
          <w:p w14:paraId="78DEAEA4" w14:textId="49407CAB" w:rsidR="00B807B3" w:rsidRPr="00B807B3" w:rsidRDefault="00B807B3" w:rsidP="00B807B3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B807B3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Uhrazené nedaňové pohledávky předepsané v předcházejících účetních období</w:t>
            </w:r>
            <w:r w:rsidR="0031653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ch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DECF8E" w14:textId="77777777" w:rsidR="00B807B3" w:rsidRPr="00B807B3" w:rsidRDefault="005228F0" w:rsidP="00B807B3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0,1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CD255F" w14:textId="77777777" w:rsidR="00B807B3" w:rsidRPr="00B807B3" w:rsidRDefault="00B807B3" w:rsidP="00B807B3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807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1F7C7C" w14:textId="77777777" w:rsidR="00B807B3" w:rsidRPr="00B807B3" w:rsidRDefault="005228F0" w:rsidP="00B807B3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0,1</w:t>
            </w:r>
          </w:p>
        </w:tc>
      </w:tr>
      <w:tr w:rsidR="00B807B3" w:rsidRPr="004C0E20" w14:paraId="61CEB135" w14:textId="77777777" w:rsidTr="00566C2A">
        <w:trPr>
          <w:trHeight w:val="615"/>
        </w:trPr>
        <w:tc>
          <w:tcPr>
            <w:tcW w:w="0" w:type="auto"/>
            <w:shd w:val="clear" w:color="auto" w:fill="auto"/>
            <w:vAlign w:val="center"/>
            <w:hideMark/>
          </w:tcPr>
          <w:p w14:paraId="35C74A78" w14:textId="77777777" w:rsidR="00B807B3" w:rsidRPr="00B807B3" w:rsidRDefault="00B807B3" w:rsidP="00B807B3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807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V roce 2022 předepsané, ale k 31.</w:t>
            </w:r>
            <w:r w:rsidR="009C2388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prosinci </w:t>
            </w:r>
            <w:r w:rsidRPr="00B807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2022 neuhrazené nedaňové pohledávky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80A2E7" w14:textId="77777777" w:rsidR="00B807B3" w:rsidRPr="00B807B3" w:rsidRDefault="00B807B3" w:rsidP="00B807B3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807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F6526F" w14:textId="77777777" w:rsidR="00B807B3" w:rsidRPr="00B807B3" w:rsidRDefault="005228F0" w:rsidP="00B807B3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0,2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C52FFD" w14:textId="7E10A081" w:rsidR="00B807B3" w:rsidRPr="00B807B3" w:rsidRDefault="00316530" w:rsidP="00B807B3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925E5">
              <w:rPr>
                <w:rFonts w:cs="Calibri"/>
                <w:sz w:val="20"/>
                <w:szCs w:val="20"/>
              </w:rPr>
              <w:t>−</w:t>
            </w:r>
            <w:r w:rsidR="005228F0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0,2</w:t>
            </w:r>
          </w:p>
        </w:tc>
      </w:tr>
      <w:tr w:rsidR="00B807B3" w:rsidRPr="004C0E20" w14:paraId="6656F00F" w14:textId="77777777" w:rsidTr="00566C2A">
        <w:trPr>
          <w:trHeight w:val="315"/>
        </w:trPr>
        <w:tc>
          <w:tcPr>
            <w:tcW w:w="0" w:type="auto"/>
            <w:gridSpan w:val="3"/>
            <w:shd w:val="clear" w:color="000000" w:fill="F2C6C9"/>
            <w:noWrap/>
            <w:vAlign w:val="center"/>
            <w:hideMark/>
          </w:tcPr>
          <w:p w14:paraId="51713637" w14:textId="77777777" w:rsidR="00B807B3" w:rsidRPr="00B807B3" w:rsidRDefault="00B807B3" w:rsidP="00B807B3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07B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Rozdíl mezi příjmy a výnosy za účetní operace celkem</w:t>
            </w:r>
          </w:p>
        </w:tc>
        <w:tc>
          <w:tcPr>
            <w:tcW w:w="0" w:type="auto"/>
            <w:shd w:val="clear" w:color="000000" w:fill="F2C6C9"/>
            <w:noWrap/>
            <w:vAlign w:val="center"/>
            <w:hideMark/>
          </w:tcPr>
          <w:p w14:paraId="7F39C567" w14:textId="5EEA767D" w:rsidR="00B807B3" w:rsidRPr="00B807B3" w:rsidRDefault="00235924" w:rsidP="00B807B3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6AD0">
              <w:rPr>
                <w:rFonts w:cs="Calibri"/>
                <w:b/>
                <w:sz w:val="20"/>
                <w:szCs w:val="20"/>
              </w:rPr>
              <w:t>−</w:t>
            </w:r>
            <w:r w:rsidR="00B807B3" w:rsidRPr="00B807B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23</w:t>
            </w:r>
            <w:r w:rsidR="005228F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,</w:t>
            </w:r>
            <w:r w:rsidR="00B807B3" w:rsidRPr="00B807B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</w:tr>
      <w:tr w:rsidR="00B807B3" w:rsidRPr="004C0E20" w14:paraId="4A76C29E" w14:textId="77777777" w:rsidTr="00566C2A">
        <w:trPr>
          <w:trHeight w:val="315"/>
        </w:trPr>
        <w:tc>
          <w:tcPr>
            <w:tcW w:w="0" w:type="auto"/>
            <w:gridSpan w:val="4"/>
            <w:shd w:val="clear" w:color="000000" w:fill="E5F1FF"/>
            <w:noWrap/>
            <w:vAlign w:val="center"/>
            <w:hideMark/>
          </w:tcPr>
          <w:p w14:paraId="3044622A" w14:textId="77777777" w:rsidR="00B807B3" w:rsidRPr="00B807B3" w:rsidRDefault="00B807B3" w:rsidP="00B807B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07B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Hlavní vlivy způsobující rozdíly mezi výdaji a náklady</w:t>
            </w:r>
          </w:p>
        </w:tc>
      </w:tr>
      <w:tr w:rsidR="00B807B3" w:rsidRPr="004C0E20" w14:paraId="086583C1" w14:textId="77777777" w:rsidTr="00566C2A">
        <w:trPr>
          <w:trHeight w:val="315"/>
        </w:trPr>
        <w:tc>
          <w:tcPr>
            <w:tcW w:w="0" w:type="auto"/>
            <w:shd w:val="clear" w:color="000000" w:fill="E5F1FF"/>
            <w:noWrap/>
            <w:vAlign w:val="center"/>
            <w:hideMark/>
          </w:tcPr>
          <w:p w14:paraId="49150DAD" w14:textId="77777777" w:rsidR="00B807B3" w:rsidRPr="00B807B3" w:rsidRDefault="00B807B3" w:rsidP="00B807B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07B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Účetní operace</w:t>
            </w:r>
          </w:p>
        </w:tc>
        <w:tc>
          <w:tcPr>
            <w:tcW w:w="0" w:type="auto"/>
            <w:shd w:val="clear" w:color="000000" w:fill="E5F1FF"/>
            <w:noWrap/>
            <w:vAlign w:val="center"/>
            <w:hideMark/>
          </w:tcPr>
          <w:p w14:paraId="47BA7D5D" w14:textId="77777777" w:rsidR="00B807B3" w:rsidRPr="00B807B3" w:rsidRDefault="00B807B3" w:rsidP="00B807B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07B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Vliv na výdaje</w:t>
            </w:r>
          </w:p>
        </w:tc>
        <w:tc>
          <w:tcPr>
            <w:tcW w:w="0" w:type="auto"/>
            <w:shd w:val="clear" w:color="000000" w:fill="E5F1FF"/>
            <w:noWrap/>
            <w:vAlign w:val="center"/>
            <w:hideMark/>
          </w:tcPr>
          <w:p w14:paraId="5868389E" w14:textId="77777777" w:rsidR="00B807B3" w:rsidRPr="00B807B3" w:rsidRDefault="00B807B3" w:rsidP="00B807B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07B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Vliv na náklady</w:t>
            </w:r>
          </w:p>
        </w:tc>
        <w:tc>
          <w:tcPr>
            <w:tcW w:w="0" w:type="auto"/>
            <w:shd w:val="clear" w:color="000000" w:fill="E5F1FF"/>
            <w:vAlign w:val="center"/>
            <w:hideMark/>
          </w:tcPr>
          <w:p w14:paraId="3150EB74" w14:textId="77777777" w:rsidR="00B807B3" w:rsidRPr="00B807B3" w:rsidRDefault="00B807B3" w:rsidP="00B807B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07B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Rozdíl</w:t>
            </w:r>
          </w:p>
        </w:tc>
      </w:tr>
      <w:tr w:rsidR="00B807B3" w:rsidRPr="004C0E20" w14:paraId="27077E1F" w14:textId="77777777" w:rsidTr="00566C2A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7C48F2" w14:textId="77777777" w:rsidR="00B807B3" w:rsidRPr="00B807B3" w:rsidRDefault="00B807B3" w:rsidP="00B807B3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807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Odpisy DM (</w:t>
            </w:r>
            <w:r w:rsidR="00521F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účet</w:t>
            </w:r>
            <w:r w:rsidRPr="00B807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551)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0750D7" w14:textId="77777777" w:rsidR="00B807B3" w:rsidRPr="00B807B3" w:rsidRDefault="00B807B3" w:rsidP="00B807B3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807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B53BA5" w14:textId="77777777" w:rsidR="00B807B3" w:rsidRPr="00B807B3" w:rsidRDefault="00B807B3" w:rsidP="00B807B3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807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44</w:t>
            </w:r>
            <w:r w:rsidR="005228F0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BE0661" w14:textId="63D07C8A" w:rsidR="00B807B3" w:rsidRPr="00B807B3" w:rsidRDefault="00235924" w:rsidP="00B807B3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925E5">
              <w:rPr>
                <w:rFonts w:cs="Calibri"/>
                <w:sz w:val="20"/>
                <w:szCs w:val="20"/>
              </w:rPr>
              <w:t>−</w:t>
            </w:r>
            <w:r w:rsidR="00B807B3" w:rsidRPr="00B807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44</w:t>
            </w:r>
            <w:r w:rsidR="005228F0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,8</w:t>
            </w:r>
          </w:p>
        </w:tc>
      </w:tr>
      <w:tr w:rsidR="00B807B3" w:rsidRPr="004C0E20" w14:paraId="306FD531" w14:textId="77777777" w:rsidTr="00566C2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657E3EA8" w14:textId="77777777" w:rsidR="00B807B3" w:rsidRPr="00B807B3" w:rsidRDefault="00B807B3" w:rsidP="00B807B3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807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Tvorba a zúčtování opravných položek (</w:t>
            </w:r>
            <w:r w:rsidR="00521F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účet</w:t>
            </w:r>
            <w:r w:rsidRPr="00B807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556)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36933D" w14:textId="77777777" w:rsidR="00B807B3" w:rsidRPr="00B807B3" w:rsidRDefault="00B807B3" w:rsidP="00B807B3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807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BB6DB1" w14:textId="77777777" w:rsidR="00B807B3" w:rsidRPr="00B807B3" w:rsidRDefault="00B807B3" w:rsidP="00B807B3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807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4</w:t>
            </w:r>
            <w:r w:rsidR="005228F0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6BF3AC" w14:textId="50469FE2" w:rsidR="00B807B3" w:rsidRPr="00B807B3" w:rsidRDefault="00235924" w:rsidP="00B807B3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925E5">
              <w:rPr>
                <w:rFonts w:cs="Calibri"/>
                <w:sz w:val="20"/>
                <w:szCs w:val="20"/>
              </w:rPr>
              <w:t>−</w:t>
            </w:r>
            <w:r w:rsidR="00B807B3" w:rsidRPr="00B807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4</w:t>
            </w:r>
            <w:r w:rsidR="005228F0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,8</w:t>
            </w:r>
          </w:p>
        </w:tc>
      </w:tr>
      <w:tr w:rsidR="00B807B3" w:rsidRPr="004C0E20" w14:paraId="3F9A913A" w14:textId="77777777" w:rsidTr="00566C2A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528C1F" w14:textId="77777777" w:rsidR="00B807B3" w:rsidRPr="00B807B3" w:rsidRDefault="00B807B3" w:rsidP="00B807B3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807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Náklady z vyřazených pohledávek (</w:t>
            </w:r>
            <w:r w:rsidR="00521F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účet</w:t>
            </w:r>
            <w:r w:rsidRPr="00B807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 xml:space="preserve"> 557)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D65A80" w14:textId="77777777" w:rsidR="00B807B3" w:rsidRPr="00B807B3" w:rsidRDefault="00B807B3" w:rsidP="00B807B3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807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5AC727" w14:textId="77777777" w:rsidR="00B807B3" w:rsidRPr="00B807B3" w:rsidRDefault="00B807B3" w:rsidP="00B807B3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807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31</w:t>
            </w:r>
            <w:r w:rsidR="005228F0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,</w:t>
            </w:r>
            <w:r w:rsidRPr="00B807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96F750" w14:textId="40709491" w:rsidR="00B807B3" w:rsidRPr="00B807B3" w:rsidRDefault="00235924" w:rsidP="00B807B3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925E5">
              <w:rPr>
                <w:rFonts w:cs="Calibri"/>
                <w:sz w:val="20"/>
                <w:szCs w:val="20"/>
              </w:rPr>
              <w:t>−</w:t>
            </w:r>
            <w:r w:rsidR="00B807B3" w:rsidRPr="00B807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31</w:t>
            </w:r>
            <w:r w:rsidR="005228F0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,</w:t>
            </w:r>
            <w:r w:rsidR="00B807B3" w:rsidRPr="00B807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5</w:t>
            </w:r>
          </w:p>
        </w:tc>
      </w:tr>
      <w:tr w:rsidR="00B807B3" w:rsidRPr="004C0E20" w14:paraId="090451B5" w14:textId="77777777" w:rsidTr="00566C2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27C23DC1" w14:textId="77777777" w:rsidR="00B807B3" w:rsidRPr="00B807B3" w:rsidRDefault="00B807B3" w:rsidP="00B807B3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807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Výdaje na pořízení dlouhodobého majetku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C7ED3A" w14:textId="77777777" w:rsidR="00B807B3" w:rsidRPr="00B807B3" w:rsidRDefault="00B807B3" w:rsidP="00B807B3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807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178</w:t>
            </w:r>
            <w:r w:rsidR="005228F0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E4BB49" w14:textId="77777777" w:rsidR="00B807B3" w:rsidRPr="00B807B3" w:rsidRDefault="00B807B3" w:rsidP="00B807B3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807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F1CAF7" w14:textId="77777777" w:rsidR="00B807B3" w:rsidRPr="00B807B3" w:rsidRDefault="00B807B3" w:rsidP="00B807B3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807B3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178</w:t>
            </w:r>
            <w:r w:rsidR="005228F0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,6</w:t>
            </w:r>
          </w:p>
        </w:tc>
      </w:tr>
      <w:tr w:rsidR="00B807B3" w:rsidRPr="004C0E20" w14:paraId="30665A86" w14:textId="77777777" w:rsidTr="00566C2A">
        <w:trPr>
          <w:trHeight w:val="315"/>
        </w:trPr>
        <w:tc>
          <w:tcPr>
            <w:tcW w:w="0" w:type="auto"/>
            <w:gridSpan w:val="3"/>
            <w:shd w:val="clear" w:color="000000" w:fill="F2C6C9"/>
            <w:noWrap/>
            <w:vAlign w:val="center"/>
            <w:hideMark/>
          </w:tcPr>
          <w:p w14:paraId="05BF366B" w14:textId="77777777" w:rsidR="00B807B3" w:rsidRPr="00B807B3" w:rsidRDefault="00B807B3" w:rsidP="00B807B3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07B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Rozdíl mezi výdaji a náklady za účetní operace celkem</w:t>
            </w:r>
          </w:p>
        </w:tc>
        <w:tc>
          <w:tcPr>
            <w:tcW w:w="0" w:type="auto"/>
            <w:shd w:val="clear" w:color="000000" w:fill="F2C6C9"/>
            <w:noWrap/>
            <w:vAlign w:val="center"/>
            <w:hideMark/>
          </w:tcPr>
          <w:p w14:paraId="13975A0D" w14:textId="77777777" w:rsidR="00B807B3" w:rsidRPr="00B807B3" w:rsidRDefault="00B807B3" w:rsidP="00B807B3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07B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97</w:t>
            </w:r>
            <w:r w:rsidR="005228F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,5</w:t>
            </w:r>
          </w:p>
        </w:tc>
      </w:tr>
      <w:tr w:rsidR="00B807B3" w:rsidRPr="004C0E20" w14:paraId="395B82E2" w14:textId="77777777" w:rsidTr="00566C2A">
        <w:trPr>
          <w:trHeight w:val="608"/>
        </w:trPr>
        <w:tc>
          <w:tcPr>
            <w:tcW w:w="0" w:type="auto"/>
            <w:gridSpan w:val="3"/>
            <w:shd w:val="clear" w:color="000000" w:fill="F2C6C9"/>
            <w:vAlign w:val="center"/>
            <w:hideMark/>
          </w:tcPr>
          <w:p w14:paraId="61AB8A30" w14:textId="77777777" w:rsidR="00B807B3" w:rsidRPr="00B807B3" w:rsidRDefault="00B807B3" w:rsidP="00B807B3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07B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Rozdíl mezi saldem peněžních toků a výsledkem hospodaření MS Praha za účetní operace celkem</w:t>
            </w:r>
          </w:p>
        </w:tc>
        <w:tc>
          <w:tcPr>
            <w:tcW w:w="0" w:type="auto"/>
            <w:shd w:val="clear" w:color="000000" w:fill="F2C6C9"/>
            <w:noWrap/>
            <w:vAlign w:val="center"/>
            <w:hideMark/>
          </w:tcPr>
          <w:p w14:paraId="0CE14688" w14:textId="3A0054FE" w:rsidR="00B807B3" w:rsidRPr="00B807B3" w:rsidRDefault="00235924" w:rsidP="00B807B3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6AD0">
              <w:rPr>
                <w:rFonts w:cs="Calibri"/>
                <w:b/>
                <w:sz w:val="20"/>
                <w:szCs w:val="20"/>
              </w:rPr>
              <w:t>−</w:t>
            </w:r>
            <w:r w:rsidR="00B807B3" w:rsidRPr="00B807B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121</w:t>
            </w:r>
            <w:r w:rsidR="008B2D0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,</w:t>
            </w:r>
            <w:r w:rsidR="00B807B3" w:rsidRPr="00B807B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</w:tbl>
    <w:p w14:paraId="06B8E9C7" w14:textId="01020FA8" w:rsidR="00F86B28" w:rsidRDefault="00B807B3" w:rsidP="00DF6AD0">
      <w:pPr>
        <w:spacing w:before="40" w:after="0"/>
        <w:rPr>
          <w:rFonts w:eastAsia="Calibri" w:cs="Calibri"/>
          <w:sz w:val="20"/>
          <w:szCs w:val="20"/>
        </w:rPr>
      </w:pPr>
      <w:r w:rsidRPr="000011BF">
        <w:rPr>
          <w:rFonts w:eastAsia="Calibri" w:cs="Calibri"/>
          <w:b/>
          <w:bCs/>
          <w:sz w:val="20"/>
          <w:szCs w:val="20"/>
        </w:rPr>
        <w:t>Zdroj:</w:t>
      </w:r>
      <w:r w:rsidRPr="000011BF">
        <w:rPr>
          <w:rFonts w:eastAsia="Calibri" w:cs="Calibri"/>
          <w:sz w:val="20"/>
          <w:szCs w:val="20"/>
        </w:rPr>
        <w:t xml:space="preserve"> účetní d</w:t>
      </w:r>
      <w:r>
        <w:rPr>
          <w:rFonts w:eastAsia="Calibri" w:cs="Calibri"/>
          <w:sz w:val="20"/>
          <w:szCs w:val="20"/>
        </w:rPr>
        <w:t>ata</w:t>
      </w:r>
      <w:r w:rsidRPr="000011BF">
        <w:rPr>
          <w:rFonts w:eastAsia="Calibri" w:cs="Calibri"/>
          <w:sz w:val="20"/>
          <w:szCs w:val="20"/>
        </w:rPr>
        <w:t xml:space="preserve"> </w:t>
      </w:r>
      <w:r>
        <w:rPr>
          <w:rFonts w:eastAsia="Calibri" w:cs="Calibri"/>
          <w:sz w:val="20"/>
          <w:szCs w:val="20"/>
        </w:rPr>
        <w:t>MS Praha</w:t>
      </w:r>
      <w:r w:rsidRPr="000011BF">
        <w:rPr>
          <w:rFonts w:eastAsia="Calibri" w:cs="Calibri"/>
          <w:sz w:val="20"/>
          <w:szCs w:val="20"/>
        </w:rPr>
        <w:t xml:space="preserve"> za rok 202</w:t>
      </w:r>
      <w:r>
        <w:rPr>
          <w:rFonts w:eastAsia="Calibri" w:cs="Calibri"/>
          <w:sz w:val="20"/>
          <w:szCs w:val="20"/>
        </w:rPr>
        <w:t>2</w:t>
      </w:r>
      <w:r w:rsidRPr="000011BF">
        <w:rPr>
          <w:rFonts w:eastAsia="Calibri" w:cs="Calibri"/>
          <w:sz w:val="20"/>
          <w:szCs w:val="20"/>
        </w:rPr>
        <w:t>, ÚZ</w:t>
      </w:r>
      <w:r>
        <w:rPr>
          <w:rFonts w:eastAsia="Calibri" w:cs="Calibri"/>
          <w:sz w:val="20"/>
          <w:szCs w:val="20"/>
        </w:rPr>
        <w:t>; zpracov</w:t>
      </w:r>
      <w:r w:rsidR="00316530">
        <w:rPr>
          <w:rFonts w:eastAsia="Calibri" w:cs="Calibri"/>
          <w:sz w:val="20"/>
          <w:szCs w:val="20"/>
        </w:rPr>
        <w:t>al</w:t>
      </w:r>
      <w:r>
        <w:rPr>
          <w:rFonts w:eastAsia="Calibri" w:cs="Calibri"/>
          <w:sz w:val="20"/>
          <w:szCs w:val="20"/>
        </w:rPr>
        <w:t xml:space="preserve"> NKÚ.</w:t>
      </w:r>
    </w:p>
    <w:p w14:paraId="11E6BD40" w14:textId="5F9956EF" w:rsidR="00316530" w:rsidRPr="00DF6AD0" w:rsidRDefault="00316530" w:rsidP="00DF6AD0">
      <w:pPr>
        <w:rPr>
          <w:sz w:val="20"/>
          <w:szCs w:val="20"/>
        </w:rPr>
      </w:pPr>
      <w:r w:rsidRPr="00DF6AD0">
        <w:rPr>
          <w:b/>
          <w:sz w:val="20"/>
          <w:szCs w:val="20"/>
        </w:rPr>
        <w:t>Pozn.:</w:t>
      </w:r>
      <w:r>
        <w:rPr>
          <w:b/>
          <w:sz w:val="20"/>
          <w:szCs w:val="20"/>
        </w:rPr>
        <w:t xml:space="preserve"> </w:t>
      </w:r>
      <w:r w:rsidRPr="00DF6AD0">
        <w:rPr>
          <w:sz w:val="20"/>
          <w:szCs w:val="20"/>
        </w:rPr>
        <w:t>DM = dlouhodobý majetek.</w:t>
      </w:r>
    </w:p>
    <w:p w14:paraId="2D4CC898" w14:textId="77777777" w:rsidR="00316530" w:rsidRPr="00AC218C" w:rsidRDefault="00316530" w:rsidP="00AC218C">
      <w:pPr>
        <w:spacing w:before="120"/>
        <w:rPr>
          <w:i/>
          <w:szCs w:val="22"/>
        </w:rPr>
      </w:pPr>
    </w:p>
    <w:p w14:paraId="7EED2A51" w14:textId="77777777" w:rsidR="00F86B28" w:rsidRDefault="00F86B28" w:rsidP="00840A6E">
      <w:pPr>
        <w:jc w:val="both"/>
        <w:rPr>
          <w:rFonts w:cstheme="minorHAnsi"/>
        </w:rPr>
        <w:sectPr w:rsidR="00F86B28" w:rsidSect="00DF6AD0">
          <w:headerReference w:type="default" r:id="rId31"/>
          <w:headerReference w:type="first" r:id="rId32"/>
          <w:footerReference w:type="first" r:id="rId33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  <w:bookmarkStart w:id="5" w:name="_Hlk77770840"/>
    </w:p>
    <w:bookmarkEnd w:id="5"/>
    <w:p w14:paraId="3285AEE7" w14:textId="71934782" w:rsidR="00235924" w:rsidRPr="00DF6AD0" w:rsidRDefault="00235924" w:rsidP="00DF6AD0">
      <w:pPr>
        <w:spacing w:after="240"/>
        <w:jc w:val="right"/>
        <w:rPr>
          <w:b/>
        </w:rPr>
      </w:pPr>
      <w:r w:rsidRPr="00DF6AD0">
        <w:rPr>
          <w:b/>
        </w:rPr>
        <w:lastRenderedPageBreak/>
        <w:t>Příloha č. 2</w:t>
      </w:r>
    </w:p>
    <w:p w14:paraId="31C927D4" w14:textId="688A8154" w:rsidR="00235924" w:rsidRPr="00235924" w:rsidRDefault="00235924" w:rsidP="00891100">
      <w:pPr>
        <w:pStyle w:val="Nadpis2"/>
        <w:keepNext/>
        <w:keepLines/>
        <w:numPr>
          <w:ilvl w:val="1"/>
          <w:numId w:val="13"/>
        </w:numPr>
        <w:spacing w:after="120" w:line="240" w:lineRule="auto"/>
        <w:contextualSpacing w:val="0"/>
      </w:pPr>
      <w:bookmarkStart w:id="6" w:name="_Ref131498121"/>
      <w:bookmarkStart w:id="7" w:name="_Ref132890540"/>
      <w:bookmarkStart w:id="8" w:name="_Toc131682139"/>
      <w:bookmarkStart w:id="9" w:name="_Toc133218593"/>
      <w:r w:rsidRPr="00CD7AAC">
        <w:t>Využívání účetních informací M</w:t>
      </w:r>
      <w:r>
        <w:t>S Praha</w:t>
      </w:r>
      <w:r w:rsidRPr="00CD7AAC">
        <w:t xml:space="preserve"> externími uživateli vč. zpětné vazby</w:t>
      </w:r>
      <w:r>
        <w:t xml:space="preserve"> </w:t>
      </w:r>
      <w:r w:rsidRPr="00CD7AAC">
        <w:t>od nich</w:t>
      </w:r>
      <w:bookmarkEnd w:id="6"/>
      <w:bookmarkEnd w:id="7"/>
      <w:bookmarkEnd w:id="8"/>
      <w:bookmarkEnd w:id="9"/>
    </w:p>
    <w:p w14:paraId="42F31735" w14:textId="6F8523B8" w:rsidR="00FC2B6C" w:rsidRPr="00FC2ABC" w:rsidRDefault="00FC2B6C" w:rsidP="00FC2B6C">
      <w:pPr>
        <w:jc w:val="both"/>
        <w:rPr>
          <w:rFonts w:asciiTheme="minorHAnsi" w:hAnsiTheme="minorHAnsi" w:cstheme="minorHAnsi"/>
        </w:rPr>
      </w:pPr>
      <w:r w:rsidRPr="00FC2ABC">
        <w:rPr>
          <w:rFonts w:asciiTheme="minorHAnsi" w:hAnsiTheme="minorHAnsi" w:cstheme="minorHAnsi"/>
        </w:rPr>
        <w:t xml:space="preserve">Za externí uživatele </w:t>
      </w:r>
      <w:r w:rsidR="00235924">
        <w:rPr>
          <w:rFonts w:asciiTheme="minorHAnsi" w:hAnsiTheme="minorHAnsi" w:cstheme="minorHAnsi"/>
        </w:rPr>
        <w:t>považuje</w:t>
      </w:r>
      <w:r w:rsidR="00235924" w:rsidRPr="00FC2ABC">
        <w:rPr>
          <w:rFonts w:asciiTheme="minorHAnsi" w:hAnsiTheme="minorHAnsi" w:cstheme="minorHAnsi"/>
        </w:rPr>
        <w:t xml:space="preserve"> </w:t>
      </w:r>
      <w:r w:rsidRPr="00FC2ABC">
        <w:rPr>
          <w:rFonts w:asciiTheme="minorHAnsi" w:hAnsiTheme="minorHAnsi" w:cstheme="minorHAnsi"/>
        </w:rPr>
        <w:t xml:space="preserve">MS Praha širokou veřejnost, kontrolní orgány či ostatní OSS, které mohou získat data </w:t>
      </w:r>
      <w:r w:rsidR="00235924">
        <w:rPr>
          <w:rFonts w:asciiTheme="minorHAnsi" w:hAnsiTheme="minorHAnsi" w:cstheme="minorHAnsi"/>
        </w:rPr>
        <w:t xml:space="preserve">o </w:t>
      </w:r>
      <w:r w:rsidRPr="00FC2ABC">
        <w:rPr>
          <w:rFonts w:asciiTheme="minorHAnsi" w:hAnsiTheme="minorHAnsi" w:cstheme="minorHAnsi"/>
        </w:rPr>
        <w:t>MS Praha z</w:t>
      </w:r>
      <w:r w:rsidR="00235924">
        <w:rPr>
          <w:rFonts w:asciiTheme="minorHAnsi" w:hAnsiTheme="minorHAnsi" w:cstheme="minorHAnsi"/>
        </w:rPr>
        <w:t xml:space="preserve"> účetních závěrek</w:t>
      </w:r>
      <w:r w:rsidRPr="00FC2ABC">
        <w:rPr>
          <w:rFonts w:asciiTheme="minorHAnsi" w:hAnsiTheme="minorHAnsi" w:cstheme="minorHAnsi"/>
        </w:rPr>
        <w:t xml:space="preserve"> zveřejňovan</w:t>
      </w:r>
      <w:r w:rsidR="00235924">
        <w:rPr>
          <w:rFonts w:asciiTheme="minorHAnsi" w:hAnsiTheme="minorHAnsi" w:cstheme="minorHAnsi"/>
        </w:rPr>
        <w:t>ých</w:t>
      </w:r>
      <w:r w:rsidRPr="00FC2ABC">
        <w:rPr>
          <w:rFonts w:asciiTheme="minorHAnsi" w:hAnsiTheme="minorHAnsi" w:cstheme="minorHAnsi"/>
        </w:rPr>
        <w:t xml:space="preserve"> na stránkách </w:t>
      </w:r>
      <w:hyperlink r:id="rId34" w:history="1">
        <w:r w:rsidRPr="00FC2ABC">
          <w:rPr>
            <w:rStyle w:val="Hypertextovodkaz"/>
            <w:rFonts w:asciiTheme="minorHAnsi" w:eastAsiaTheme="majorEastAsia" w:hAnsiTheme="minorHAnsi" w:cstheme="minorHAnsi"/>
            <w:i/>
          </w:rPr>
          <w:t>https://monitor.statnipokladna.cz/</w:t>
        </w:r>
      </w:hyperlink>
      <w:r w:rsidRPr="00FC2ABC">
        <w:rPr>
          <w:rFonts w:asciiTheme="minorHAnsi" w:hAnsiTheme="minorHAnsi" w:cstheme="minorHAnsi"/>
        </w:rPr>
        <w:t xml:space="preserve">. </w:t>
      </w:r>
    </w:p>
    <w:p w14:paraId="02CE184F" w14:textId="03E22805" w:rsidR="00FC2B6C" w:rsidRPr="00797EE3" w:rsidRDefault="00FC2B6C" w:rsidP="00797EE3">
      <w:pPr>
        <w:jc w:val="both"/>
        <w:rPr>
          <w:rFonts w:asciiTheme="minorHAnsi" w:hAnsiTheme="minorHAnsi" w:cstheme="minorHAnsi"/>
        </w:rPr>
      </w:pPr>
      <w:r w:rsidRPr="00FC2ABC">
        <w:rPr>
          <w:rFonts w:asciiTheme="minorHAnsi" w:hAnsiTheme="minorHAnsi" w:cstheme="minorHAnsi"/>
        </w:rPr>
        <w:t>MS Praha ve své odpovědi</w:t>
      </w:r>
      <w:r w:rsidR="00797EE3">
        <w:rPr>
          <w:rFonts w:asciiTheme="minorHAnsi" w:hAnsiTheme="minorHAnsi" w:cstheme="minorHAnsi"/>
        </w:rPr>
        <w:t xml:space="preserve"> na žádost</w:t>
      </w:r>
      <w:r w:rsidR="00235924">
        <w:rPr>
          <w:rFonts w:asciiTheme="minorHAnsi" w:hAnsiTheme="minorHAnsi" w:cstheme="minorHAnsi"/>
        </w:rPr>
        <w:t xml:space="preserve"> NKÚ</w:t>
      </w:r>
      <w:r w:rsidRPr="00FC2ABC">
        <w:rPr>
          <w:rFonts w:asciiTheme="minorHAnsi" w:hAnsiTheme="minorHAnsi" w:cstheme="minorHAnsi"/>
        </w:rPr>
        <w:t xml:space="preserve"> uv</w:t>
      </w:r>
      <w:r w:rsidR="00235924">
        <w:rPr>
          <w:rFonts w:asciiTheme="minorHAnsi" w:hAnsiTheme="minorHAnsi" w:cstheme="minorHAnsi"/>
        </w:rPr>
        <w:t>edl</w:t>
      </w:r>
      <w:r w:rsidRPr="00FC2ABC">
        <w:rPr>
          <w:rFonts w:asciiTheme="minorHAnsi" w:hAnsiTheme="minorHAnsi" w:cstheme="minorHAnsi"/>
        </w:rPr>
        <w:t>: „</w:t>
      </w:r>
      <w:r w:rsidR="00797EE3" w:rsidRPr="00797EE3">
        <w:rPr>
          <w:rFonts w:asciiTheme="minorHAnsi" w:hAnsiTheme="minorHAnsi" w:cstheme="minorHAnsi"/>
          <w:i/>
        </w:rPr>
        <w:t>Účetní data využívá Český statistický úřad (dále „ČSÚ“) a Česká národní banka; zejména jde o účetní záznamy z Pomocného analytického přehledu (dále „PAP“).</w:t>
      </w:r>
      <w:r w:rsidR="00797EE3">
        <w:rPr>
          <w:rFonts w:asciiTheme="minorHAnsi" w:hAnsiTheme="minorHAnsi" w:cstheme="minorHAnsi"/>
          <w:i/>
        </w:rPr>
        <w:t xml:space="preserve"> </w:t>
      </w:r>
      <w:r w:rsidRPr="00FC2ABC">
        <w:rPr>
          <w:rFonts w:asciiTheme="minorHAnsi" w:hAnsiTheme="minorHAnsi" w:cstheme="minorHAnsi"/>
          <w:i/>
        </w:rPr>
        <w:t>Upřesňující dotazy dostáváme z CSÚIS – většinou se</w:t>
      </w:r>
      <w:r w:rsidR="001677FE">
        <w:rPr>
          <w:rFonts w:asciiTheme="minorHAnsi" w:hAnsiTheme="minorHAnsi" w:cstheme="minorHAnsi"/>
          <w:i/>
        </w:rPr>
        <w:t xml:space="preserve"> </w:t>
      </w:r>
      <w:r w:rsidRPr="00FC2ABC">
        <w:rPr>
          <w:rFonts w:asciiTheme="minorHAnsi" w:hAnsiTheme="minorHAnsi" w:cstheme="minorHAnsi"/>
          <w:i/>
        </w:rPr>
        <w:t xml:space="preserve">týká údajů </w:t>
      </w:r>
      <w:r w:rsidR="001677FE">
        <w:rPr>
          <w:rFonts w:asciiTheme="minorHAnsi" w:hAnsiTheme="minorHAnsi" w:cstheme="minorHAnsi"/>
          <w:i/>
        </w:rPr>
        <w:br/>
      </w:r>
      <w:r w:rsidRPr="00FC2ABC">
        <w:rPr>
          <w:rFonts w:asciiTheme="minorHAnsi" w:hAnsiTheme="minorHAnsi" w:cstheme="minorHAnsi"/>
          <w:i/>
        </w:rPr>
        <w:t>v PAP – např. při převodu majetku nejsou zadána stejná data oběma stranami</w:t>
      </w:r>
      <w:r w:rsidR="00235924">
        <w:rPr>
          <w:rFonts w:asciiTheme="minorHAnsi" w:hAnsiTheme="minorHAnsi" w:cstheme="minorHAnsi"/>
          <w:i/>
        </w:rPr>
        <w:t>.</w:t>
      </w:r>
      <w:r w:rsidRPr="00DF6AD0">
        <w:rPr>
          <w:rFonts w:asciiTheme="minorHAnsi" w:hAnsiTheme="minorHAnsi" w:cstheme="minorHAnsi"/>
        </w:rPr>
        <w:t>“</w:t>
      </w:r>
      <w:r w:rsidRPr="00FC2ABC">
        <w:rPr>
          <w:rFonts w:asciiTheme="minorHAnsi" w:hAnsiTheme="minorHAnsi" w:cstheme="minorHAnsi"/>
          <w:i/>
        </w:rPr>
        <w:t xml:space="preserve"> </w:t>
      </w:r>
    </w:p>
    <w:p w14:paraId="37875030" w14:textId="77777777" w:rsidR="00FC2B6C" w:rsidRPr="00FC2ABC" w:rsidRDefault="00FC2B6C" w:rsidP="00DF6AD0">
      <w:pPr>
        <w:jc w:val="both"/>
        <w:rPr>
          <w:rFonts w:asciiTheme="minorHAnsi" w:hAnsiTheme="minorHAnsi" w:cstheme="minorHAnsi"/>
        </w:rPr>
      </w:pPr>
      <w:r w:rsidRPr="00FC2ABC">
        <w:rPr>
          <w:rFonts w:asciiTheme="minorHAnsi" w:hAnsiTheme="minorHAnsi" w:cstheme="minorHAnsi"/>
        </w:rPr>
        <w:t>MS Praha komunikuje s</w:t>
      </w:r>
      <w:r w:rsidR="00797EE3">
        <w:rPr>
          <w:rFonts w:asciiTheme="minorHAnsi" w:hAnsiTheme="minorHAnsi" w:cstheme="minorHAnsi"/>
        </w:rPr>
        <w:t>e správcem kapitoly státního rozpočtu</w:t>
      </w:r>
      <w:r w:rsidRPr="00FC2ABC">
        <w:rPr>
          <w:rFonts w:asciiTheme="minorHAnsi" w:hAnsiTheme="minorHAnsi" w:cstheme="minorHAnsi"/>
        </w:rPr>
        <w:t xml:space="preserve"> ohledně statistických výkazů o</w:t>
      </w:r>
      <w:r w:rsidR="00F00D49">
        <w:rPr>
          <w:rFonts w:asciiTheme="minorHAnsi" w:hAnsiTheme="minorHAnsi" w:cstheme="minorHAnsi"/>
        </w:rPr>
        <w:t> </w:t>
      </w:r>
      <w:r w:rsidRPr="00FC2ABC">
        <w:rPr>
          <w:rFonts w:asciiTheme="minorHAnsi" w:hAnsiTheme="minorHAnsi" w:cstheme="minorHAnsi"/>
        </w:rPr>
        <w:t>stavu justičních pohledávek. MS Praha má povinnost vypracovávat statistické výkazy o stavu justičních pohledávek, a to v souladu s</w:t>
      </w:r>
      <w:r w:rsidR="00797EE3">
        <w:rPr>
          <w:rFonts w:asciiTheme="minorHAnsi" w:hAnsiTheme="minorHAnsi" w:cstheme="minorHAnsi"/>
        </w:rPr>
        <w:t> i</w:t>
      </w:r>
      <w:r w:rsidRPr="00FC2ABC">
        <w:rPr>
          <w:rFonts w:asciiTheme="minorHAnsi" w:hAnsiTheme="minorHAnsi" w:cstheme="minorHAnsi"/>
        </w:rPr>
        <w:t>nstrukcí</w:t>
      </w:r>
      <w:r w:rsidR="00797EE3">
        <w:rPr>
          <w:rFonts w:asciiTheme="minorHAnsi" w:hAnsiTheme="minorHAnsi" w:cstheme="minorHAnsi"/>
        </w:rPr>
        <w:t xml:space="preserve"> správce kapitoly</w:t>
      </w:r>
      <w:r w:rsidRPr="00FC2ABC">
        <w:rPr>
          <w:rFonts w:asciiTheme="minorHAnsi" w:hAnsiTheme="minorHAnsi" w:cstheme="minorHAnsi"/>
        </w:rPr>
        <w:t xml:space="preserve"> o vymáhání pohledávek</w:t>
      </w:r>
      <w:r w:rsidR="00797EE3">
        <w:rPr>
          <w:rFonts w:asciiTheme="minorHAnsi" w:hAnsiTheme="minorHAnsi" w:cstheme="minorHAnsi"/>
        </w:rPr>
        <w:t>.</w:t>
      </w:r>
      <w:r w:rsidRPr="00FC2ABC">
        <w:rPr>
          <w:rFonts w:asciiTheme="minorHAnsi" w:hAnsiTheme="minorHAnsi" w:cstheme="minorHAnsi"/>
        </w:rPr>
        <w:t xml:space="preserve"> </w:t>
      </w:r>
    </w:p>
    <w:p w14:paraId="5D1C11D6" w14:textId="4768DD79" w:rsidR="00FC2B6C" w:rsidRPr="00FC2ABC" w:rsidRDefault="00797EE3" w:rsidP="00DF6AD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Vybrané </w:t>
      </w:r>
      <w:r w:rsidR="00FC2B6C" w:rsidRPr="00FC2ABC">
        <w:rPr>
          <w:rFonts w:asciiTheme="minorHAnsi" w:hAnsiTheme="minorHAnsi" w:cstheme="minorHAnsi"/>
        </w:rPr>
        <w:t>soud</w:t>
      </w:r>
      <w:r>
        <w:rPr>
          <w:rFonts w:asciiTheme="minorHAnsi" w:hAnsiTheme="minorHAnsi" w:cstheme="minorHAnsi"/>
        </w:rPr>
        <w:t>y</w:t>
      </w:r>
      <w:r w:rsidR="00FC2B6C" w:rsidRPr="00FC2ABC">
        <w:rPr>
          <w:rFonts w:asciiTheme="minorHAnsi" w:hAnsiTheme="minorHAnsi" w:cstheme="minorHAnsi"/>
        </w:rPr>
        <w:t xml:space="preserve"> vypracovávají pololetně statistické výkazy o stavu pohledávek </w:t>
      </w:r>
      <w:r w:rsidR="00235924">
        <w:rPr>
          <w:rFonts w:asciiTheme="minorHAnsi" w:hAnsiTheme="minorHAnsi" w:cstheme="minorHAnsi"/>
        </w:rPr>
        <w:t xml:space="preserve">a </w:t>
      </w:r>
      <w:r w:rsidR="00FC2B6C" w:rsidRPr="00FC2ABC">
        <w:rPr>
          <w:rFonts w:asciiTheme="minorHAnsi" w:hAnsiTheme="minorHAnsi" w:cstheme="minorHAnsi"/>
        </w:rPr>
        <w:t xml:space="preserve">zasílají </w:t>
      </w:r>
      <w:r w:rsidR="00235924">
        <w:rPr>
          <w:rFonts w:asciiTheme="minorHAnsi" w:hAnsiTheme="minorHAnsi" w:cstheme="minorHAnsi"/>
        </w:rPr>
        <w:t xml:space="preserve">je </w:t>
      </w:r>
      <w:r>
        <w:rPr>
          <w:rFonts w:asciiTheme="minorHAnsi" w:hAnsiTheme="minorHAnsi" w:cstheme="minorHAnsi"/>
        </w:rPr>
        <w:t xml:space="preserve">správci kapitoly </w:t>
      </w:r>
      <w:r w:rsidR="00FC2B6C" w:rsidRPr="00FC2ABC">
        <w:rPr>
          <w:rFonts w:asciiTheme="minorHAnsi" w:hAnsiTheme="minorHAnsi" w:cstheme="minorHAnsi"/>
        </w:rPr>
        <w:t xml:space="preserve">do 31. července běžného roku za první pololetí a do 31. ledna následujícího roku za celé zúčtovací (roční) období. Výkaz se zpracovává v IRES. Jednou ročně provádějí rozbor stavu správy pohledávek, který zasílají </w:t>
      </w:r>
      <w:r>
        <w:rPr>
          <w:rFonts w:asciiTheme="minorHAnsi" w:hAnsiTheme="minorHAnsi" w:cstheme="minorHAnsi"/>
        </w:rPr>
        <w:t>správci kapitoly</w:t>
      </w:r>
      <w:r w:rsidR="00FC2B6C" w:rsidRPr="00FC2ABC">
        <w:rPr>
          <w:rFonts w:asciiTheme="minorHAnsi" w:hAnsiTheme="minorHAnsi" w:cstheme="minorHAnsi"/>
        </w:rPr>
        <w:t xml:space="preserve"> za příslušný kalendářní rok do 31. ledna následujícího roku. </w:t>
      </w:r>
    </w:p>
    <w:p w14:paraId="18E52BC4" w14:textId="1D054C71" w:rsidR="00FC2B6C" w:rsidRPr="00FC2ABC" w:rsidRDefault="00FC2B6C" w:rsidP="00DF6AD0">
      <w:pPr>
        <w:jc w:val="both"/>
        <w:rPr>
          <w:rFonts w:asciiTheme="minorHAnsi" w:hAnsiTheme="minorHAnsi" w:cstheme="minorHAnsi"/>
        </w:rPr>
      </w:pPr>
      <w:r w:rsidRPr="00FC2ABC">
        <w:rPr>
          <w:rFonts w:asciiTheme="minorHAnsi" w:hAnsiTheme="minorHAnsi" w:cstheme="minorHAnsi"/>
        </w:rPr>
        <w:t>Výkazy je nutno vypracovat v podobě jednoduchého a sumárního výkazu</w:t>
      </w:r>
      <w:r w:rsidR="00797EE3">
        <w:rPr>
          <w:rFonts w:asciiTheme="minorHAnsi" w:hAnsiTheme="minorHAnsi" w:cstheme="minorHAnsi"/>
        </w:rPr>
        <w:t>, který je zdrojem pro</w:t>
      </w:r>
      <w:r w:rsidRPr="00FC2ABC">
        <w:rPr>
          <w:rFonts w:asciiTheme="minorHAnsi" w:hAnsiTheme="minorHAnsi" w:cstheme="minorHAnsi"/>
        </w:rPr>
        <w:t xml:space="preserve"> sestavení sumárních </w:t>
      </w:r>
      <w:proofErr w:type="spellStart"/>
      <w:r w:rsidRPr="00FC2ABC">
        <w:rPr>
          <w:rFonts w:asciiTheme="minorHAnsi" w:hAnsiTheme="minorHAnsi" w:cstheme="minorHAnsi"/>
        </w:rPr>
        <w:t>celoresortních</w:t>
      </w:r>
      <w:proofErr w:type="spellEnd"/>
      <w:r w:rsidRPr="00FC2ABC">
        <w:rPr>
          <w:rFonts w:asciiTheme="minorHAnsi" w:hAnsiTheme="minorHAnsi" w:cstheme="minorHAnsi"/>
        </w:rPr>
        <w:t xml:space="preserve"> výkazů justičních pohledávek. Dále slouží jako podklad pro vyhodnocení stavu vymáhání </w:t>
      </w:r>
      <w:r w:rsidR="001677FE">
        <w:rPr>
          <w:rFonts w:asciiTheme="minorHAnsi" w:hAnsiTheme="minorHAnsi" w:cstheme="minorHAnsi"/>
        </w:rPr>
        <w:t xml:space="preserve">pohledávek </w:t>
      </w:r>
      <w:r w:rsidRPr="00FC2ABC">
        <w:rPr>
          <w:rFonts w:asciiTheme="minorHAnsi" w:hAnsiTheme="minorHAnsi" w:cstheme="minorHAnsi"/>
        </w:rPr>
        <w:t>a pro tvorbu metodiky.</w:t>
      </w:r>
    </w:p>
    <w:p w14:paraId="2ACCBCB2" w14:textId="77777777" w:rsidR="00FC2B6C" w:rsidRPr="00322A75" w:rsidRDefault="00FC2B6C" w:rsidP="0019138B">
      <w:pPr>
        <w:spacing w:after="240"/>
        <w:jc w:val="both"/>
        <w:rPr>
          <w:rFonts w:asciiTheme="minorHAnsi" w:eastAsia="Calibri" w:hAnsiTheme="minorHAnsi" w:cstheme="minorHAnsi"/>
        </w:rPr>
      </w:pPr>
      <w:r w:rsidRPr="00322A75">
        <w:rPr>
          <w:rFonts w:asciiTheme="minorHAnsi" w:hAnsiTheme="minorHAnsi" w:cstheme="minorHAnsi"/>
        </w:rPr>
        <w:t xml:space="preserve">MS Praha vyhotovuje a zasílá </w:t>
      </w:r>
      <w:r w:rsidR="00797EE3">
        <w:rPr>
          <w:rFonts w:asciiTheme="minorHAnsi" w:hAnsiTheme="minorHAnsi" w:cstheme="minorHAnsi"/>
        </w:rPr>
        <w:t xml:space="preserve">správci kapitoly </w:t>
      </w:r>
      <w:r w:rsidR="00285875">
        <w:rPr>
          <w:rFonts w:asciiTheme="minorHAnsi" w:hAnsiTheme="minorHAnsi" w:cstheme="minorHAnsi"/>
        </w:rPr>
        <w:t>také</w:t>
      </w:r>
      <w:r w:rsidR="00797EE3">
        <w:rPr>
          <w:rFonts w:asciiTheme="minorHAnsi" w:hAnsiTheme="minorHAnsi" w:cstheme="minorHAnsi"/>
        </w:rPr>
        <w:t xml:space="preserve"> </w:t>
      </w:r>
      <w:r w:rsidRPr="00322A75">
        <w:rPr>
          <w:rFonts w:asciiTheme="minorHAnsi" w:hAnsiTheme="minorHAnsi" w:cstheme="minorHAnsi"/>
        </w:rPr>
        <w:t>přehled neuhrazených závazků.</w:t>
      </w:r>
    </w:p>
    <w:p w14:paraId="0B6FBEE0" w14:textId="77777777" w:rsidR="00FC2B6C" w:rsidRPr="00CD7AAC" w:rsidRDefault="00FC2B6C" w:rsidP="00FC2B6C">
      <w:pPr>
        <w:pStyle w:val="Nadpis2"/>
        <w:keepNext/>
        <w:keepLines/>
        <w:numPr>
          <w:ilvl w:val="1"/>
          <w:numId w:val="13"/>
        </w:numPr>
        <w:spacing w:after="120" w:line="240" w:lineRule="auto"/>
        <w:contextualSpacing w:val="0"/>
      </w:pPr>
      <w:bookmarkStart w:id="10" w:name="_Toc131682140"/>
      <w:bookmarkStart w:id="11" w:name="_Toc133218594"/>
      <w:r w:rsidRPr="00CD7AAC">
        <w:t>Využívání účetních informací jiných vybraných účetních jednotek M</w:t>
      </w:r>
      <w:r>
        <w:t>ěstským soudem v</w:t>
      </w:r>
      <w:r w:rsidR="00F00D49">
        <w:t> </w:t>
      </w:r>
      <w:r>
        <w:t>Praze</w:t>
      </w:r>
      <w:bookmarkEnd w:id="10"/>
      <w:bookmarkEnd w:id="11"/>
    </w:p>
    <w:p w14:paraId="58FA526B" w14:textId="43045DE5" w:rsidR="00FC2B6C" w:rsidRPr="00322A75" w:rsidRDefault="00FC2B6C" w:rsidP="00FC2B6C">
      <w:pPr>
        <w:spacing w:before="120" w:after="240"/>
        <w:jc w:val="both"/>
        <w:rPr>
          <w:rFonts w:asciiTheme="minorHAnsi" w:hAnsiTheme="minorHAnsi" w:cstheme="minorHAnsi"/>
          <w:i/>
          <w:highlight w:val="yellow"/>
          <w:lang w:eastAsia="cs-CZ"/>
        </w:rPr>
      </w:pPr>
      <w:r w:rsidRPr="00322A75">
        <w:rPr>
          <w:rFonts w:asciiTheme="minorHAnsi" w:hAnsiTheme="minorHAnsi" w:cstheme="minorHAnsi"/>
        </w:rPr>
        <w:t xml:space="preserve">MS Praha využívá účetní informace jiných OSS. Informace získává přes webové stránky </w:t>
      </w:r>
      <w:r w:rsidR="001E0061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inisterstva financí</w:t>
      </w:r>
      <w:r w:rsidRPr="00322A75">
        <w:rPr>
          <w:rFonts w:asciiTheme="minorHAnsi" w:hAnsiTheme="minorHAnsi" w:cstheme="minorHAnsi"/>
        </w:rPr>
        <w:t xml:space="preserve"> ze</w:t>
      </w:r>
      <w:r w:rsidR="001677FE">
        <w:rPr>
          <w:rFonts w:asciiTheme="minorHAnsi" w:hAnsiTheme="minorHAnsi" w:cstheme="minorHAnsi"/>
        </w:rPr>
        <w:t xml:space="preserve"> </w:t>
      </w:r>
      <w:r w:rsidRPr="00322A75">
        <w:rPr>
          <w:rFonts w:asciiTheme="minorHAnsi" w:hAnsiTheme="minorHAnsi" w:cstheme="minorHAnsi"/>
        </w:rPr>
        <w:t>sdílených</w:t>
      </w:r>
      <w:r>
        <w:rPr>
          <w:rFonts w:asciiTheme="minorHAnsi" w:hAnsiTheme="minorHAnsi" w:cstheme="minorHAnsi"/>
        </w:rPr>
        <w:t xml:space="preserve"> </w:t>
      </w:r>
      <w:r w:rsidRPr="00322A75">
        <w:rPr>
          <w:rFonts w:asciiTheme="minorHAnsi" w:hAnsiTheme="minorHAnsi" w:cstheme="minorHAnsi"/>
        </w:rPr>
        <w:t>odpovědí</w:t>
      </w:r>
      <w:r>
        <w:rPr>
          <w:rFonts w:asciiTheme="minorHAnsi" w:hAnsiTheme="minorHAnsi" w:cstheme="minorHAnsi"/>
        </w:rPr>
        <w:t xml:space="preserve"> </w:t>
      </w:r>
      <w:r w:rsidRPr="00322A75">
        <w:rPr>
          <w:rFonts w:asciiTheme="minorHAnsi" w:hAnsiTheme="minorHAnsi" w:cstheme="minorHAnsi"/>
        </w:rPr>
        <w:t>na dotazy ostatních OSS</w:t>
      </w:r>
      <w:r w:rsidR="00797EE3">
        <w:rPr>
          <w:rFonts w:asciiTheme="minorHAnsi" w:hAnsiTheme="minorHAnsi" w:cstheme="minorHAnsi"/>
        </w:rPr>
        <w:t xml:space="preserve"> a</w:t>
      </w:r>
      <w:r w:rsidRPr="00322A75">
        <w:rPr>
          <w:rFonts w:asciiTheme="minorHAnsi" w:hAnsiTheme="minorHAnsi" w:cstheme="minorHAnsi"/>
        </w:rPr>
        <w:t xml:space="preserve"> využívá</w:t>
      </w:r>
      <w:r w:rsidR="00797EE3">
        <w:rPr>
          <w:rFonts w:asciiTheme="minorHAnsi" w:hAnsiTheme="minorHAnsi" w:cstheme="minorHAnsi"/>
        </w:rPr>
        <w:t xml:space="preserve"> také</w:t>
      </w:r>
      <w:r>
        <w:rPr>
          <w:rFonts w:asciiTheme="minorHAnsi" w:hAnsiTheme="minorHAnsi" w:cstheme="minorHAnsi"/>
        </w:rPr>
        <w:t xml:space="preserve"> </w:t>
      </w:r>
      <w:r w:rsidRPr="00322A75">
        <w:rPr>
          <w:rFonts w:asciiTheme="minorHAnsi" w:hAnsiTheme="minorHAnsi" w:cstheme="minorHAnsi"/>
        </w:rPr>
        <w:t>extranet</w:t>
      </w:r>
      <w:r w:rsidR="001677FE">
        <w:rPr>
          <w:rFonts w:asciiTheme="minorHAnsi" w:hAnsiTheme="minorHAnsi" w:cstheme="minorHAnsi"/>
        </w:rPr>
        <w:t xml:space="preserve"> </w:t>
      </w:r>
      <w:r w:rsidR="00797EE3">
        <w:rPr>
          <w:rFonts w:asciiTheme="minorHAnsi" w:hAnsiTheme="minorHAnsi" w:cstheme="minorHAnsi"/>
        </w:rPr>
        <w:t>správce kapitoly</w:t>
      </w:r>
      <w:r w:rsidRPr="00322A75">
        <w:rPr>
          <w:rFonts w:asciiTheme="minorHAnsi" w:hAnsiTheme="minorHAnsi" w:cstheme="minorHAnsi"/>
        </w:rPr>
        <w:t>.</w:t>
      </w:r>
    </w:p>
    <w:p w14:paraId="1638B1CF" w14:textId="77777777" w:rsidR="00FC2B6C" w:rsidRPr="00CD7AAC" w:rsidRDefault="00FC2B6C" w:rsidP="00FC2B6C">
      <w:pPr>
        <w:pStyle w:val="Nadpis2"/>
        <w:keepNext/>
        <w:keepLines/>
        <w:numPr>
          <w:ilvl w:val="1"/>
          <w:numId w:val="13"/>
        </w:numPr>
        <w:spacing w:after="120" w:line="240" w:lineRule="auto"/>
        <w:contextualSpacing w:val="0"/>
      </w:pPr>
      <w:bookmarkStart w:id="12" w:name="_Toc131682141"/>
      <w:bookmarkStart w:id="13" w:name="_Toc133218595"/>
      <w:r w:rsidRPr="00CD7AAC">
        <w:t xml:space="preserve">Využívání účetních informací </w:t>
      </w:r>
      <w:r>
        <w:t>Městského soudu v Praze</w:t>
      </w:r>
      <w:r w:rsidRPr="00CD7AAC">
        <w:t xml:space="preserve"> pro účely vlastního rozhodování a řízení</w:t>
      </w:r>
      <w:bookmarkEnd w:id="12"/>
      <w:bookmarkEnd w:id="13"/>
    </w:p>
    <w:p w14:paraId="180A0AFF" w14:textId="1992E858" w:rsidR="00FC2B6C" w:rsidRPr="0031415A" w:rsidRDefault="00FC2B6C" w:rsidP="00FC2B6C">
      <w:pPr>
        <w:jc w:val="both"/>
        <w:rPr>
          <w:rFonts w:asciiTheme="minorHAnsi" w:hAnsiTheme="minorHAnsi" w:cstheme="minorHAnsi"/>
        </w:rPr>
      </w:pPr>
      <w:r w:rsidRPr="0031415A">
        <w:rPr>
          <w:rFonts w:asciiTheme="minorHAnsi" w:hAnsiTheme="minorHAnsi" w:cstheme="minorHAnsi"/>
        </w:rPr>
        <w:t xml:space="preserve">MS Praha využívá pro účely vlastního rozhodování a řízení účetní informace zejména o stavu cizích zdrojů a podmíněných závazků. </w:t>
      </w:r>
      <w:r w:rsidR="00285875">
        <w:rPr>
          <w:rFonts w:asciiTheme="minorHAnsi" w:hAnsiTheme="minorHAnsi" w:cstheme="minorHAnsi"/>
        </w:rPr>
        <w:t>D</w:t>
      </w:r>
      <w:r w:rsidRPr="0031415A">
        <w:rPr>
          <w:rFonts w:asciiTheme="minorHAnsi" w:hAnsiTheme="minorHAnsi" w:cstheme="minorHAnsi"/>
        </w:rPr>
        <w:t xml:space="preserve">ále </w:t>
      </w:r>
      <w:r w:rsidR="00285875" w:rsidRPr="0031415A">
        <w:rPr>
          <w:rFonts w:asciiTheme="minorHAnsi" w:hAnsiTheme="minorHAnsi" w:cstheme="minorHAnsi"/>
        </w:rPr>
        <w:t xml:space="preserve">MS Praha </w:t>
      </w:r>
      <w:r w:rsidR="00486ED5" w:rsidRPr="0031415A">
        <w:rPr>
          <w:rFonts w:asciiTheme="minorHAnsi" w:hAnsiTheme="minorHAnsi" w:cstheme="minorHAnsi"/>
        </w:rPr>
        <w:t xml:space="preserve">částečně </w:t>
      </w:r>
      <w:r w:rsidRPr="0031415A">
        <w:rPr>
          <w:rFonts w:asciiTheme="minorHAnsi" w:hAnsiTheme="minorHAnsi" w:cstheme="minorHAnsi"/>
        </w:rPr>
        <w:t xml:space="preserve">využívá </w:t>
      </w:r>
      <w:r w:rsidR="00285875">
        <w:rPr>
          <w:rFonts w:asciiTheme="minorHAnsi" w:hAnsiTheme="minorHAnsi" w:cstheme="minorHAnsi"/>
        </w:rPr>
        <w:t xml:space="preserve">účetní </w:t>
      </w:r>
      <w:r w:rsidR="00486ED5">
        <w:rPr>
          <w:rFonts w:asciiTheme="minorHAnsi" w:hAnsiTheme="minorHAnsi" w:cstheme="minorHAnsi"/>
        </w:rPr>
        <w:t>informace o</w:t>
      </w:r>
      <w:r w:rsidR="001677FE">
        <w:rPr>
          <w:rFonts w:asciiTheme="minorHAnsi" w:hAnsiTheme="minorHAnsi" w:cstheme="minorHAnsi"/>
        </w:rPr>
        <w:t> </w:t>
      </w:r>
      <w:r w:rsidRPr="0031415A">
        <w:rPr>
          <w:rFonts w:asciiTheme="minorHAnsi" w:hAnsiTheme="minorHAnsi" w:cstheme="minorHAnsi"/>
        </w:rPr>
        <w:t>oběžn</w:t>
      </w:r>
      <w:r w:rsidR="00486ED5">
        <w:rPr>
          <w:rFonts w:asciiTheme="minorHAnsi" w:hAnsiTheme="minorHAnsi" w:cstheme="minorHAnsi"/>
        </w:rPr>
        <w:t>ých</w:t>
      </w:r>
      <w:r w:rsidRPr="0031415A">
        <w:rPr>
          <w:rFonts w:asciiTheme="minorHAnsi" w:hAnsiTheme="minorHAnsi" w:cstheme="minorHAnsi"/>
        </w:rPr>
        <w:t xml:space="preserve"> aktiv</w:t>
      </w:r>
      <w:r w:rsidR="00285875">
        <w:rPr>
          <w:rFonts w:asciiTheme="minorHAnsi" w:hAnsiTheme="minorHAnsi" w:cstheme="minorHAnsi"/>
        </w:rPr>
        <w:t>ech</w:t>
      </w:r>
      <w:r w:rsidR="006F6B7A">
        <w:rPr>
          <w:rFonts w:asciiTheme="minorHAnsi" w:hAnsiTheme="minorHAnsi" w:cstheme="minorHAnsi"/>
        </w:rPr>
        <w:t xml:space="preserve">, </w:t>
      </w:r>
      <w:r w:rsidRPr="0031415A">
        <w:rPr>
          <w:rFonts w:asciiTheme="minorHAnsi" w:hAnsiTheme="minorHAnsi" w:cstheme="minorHAnsi"/>
        </w:rPr>
        <w:t>náklad</w:t>
      </w:r>
      <w:r w:rsidR="002723E3">
        <w:rPr>
          <w:rFonts w:asciiTheme="minorHAnsi" w:hAnsiTheme="minorHAnsi" w:cstheme="minorHAnsi"/>
        </w:rPr>
        <w:t>ech</w:t>
      </w:r>
      <w:r w:rsidRPr="0031415A">
        <w:rPr>
          <w:rFonts w:asciiTheme="minorHAnsi" w:hAnsiTheme="minorHAnsi" w:cstheme="minorHAnsi"/>
        </w:rPr>
        <w:t xml:space="preserve"> a výnos</w:t>
      </w:r>
      <w:r w:rsidR="002723E3">
        <w:rPr>
          <w:rFonts w:asciiTheme="minorHAnsi" w:hAnsiTheme="minorHAnsi" w:cstheme="minorHAnsi"/>
        </w:rPr>
        <w:t>ech</w:t>
      </w:r>
      <w:r w:rsidRPr="0031415A">
        <w:rPr>
          <w:rFonts w:asciiTheme="minorHAnsi" w:hAnsiTheme="minorHAnsi" w:cstheme="minorHAnsi"/>
        </w:rPr>
        <w:t xml:space="preserve"> z činnosti.</w:t>
      </w:r>
    </w:p>
    <w:p w14:paraId="5454A656" w14:textId="77777777" w:rsidR="00F00D49" w:rsidRDefault="00F00D49">
      <w:pPr>
        <w:spacing w:after="160" w:line="259" w:lineRule="auto"/>
        <w:rPr>
          <w:rFonts w:cs="Calibri"/>
          <w:b/>
          <w:bCs/>
          <w:lang w:eastAsia="cs-CZ"/>
        </w:rPr>
      </w:pPr>
      <w:r>
        <w:rPr>
          <w:rFonts w:cs="Calibri"/>
          <w:b/>
          <w:bCs/>
          <w:lang w:eastAsia="cs-CZ"/>
        </w:rPr>
        <w:br w:type="page"/>
      </w:r>
    </w:p>
    <w:p w14:paraId="4E7E18F1" w14:textId="2EBDF10A" w:rsidR="00FC2B6C" w:rsidRDefault="00FC2B6C" w:rsidP="00F42D7C">
      <w:pPr>
        <w:spacing w:after="40"/>
        <w:jc w:val="both"/>
        <w:rPr>
          <w:rFonts w:cs="Calibri"/>
          <w:b/>
          <w:bCs/>
          <w:lang w:eastAsia="cs-CZ"/>
        </w:rPr>
      </w:pPr>
      <w:r>
        <w:rPr>
          <w:rFonts w:cs="Calibri"/>
          <w:b/>
          <w:bCs/>
          <w:lang w:eastAsia="cs-CZ"/>
        </w:rPr>
        <w:lastRenderedPageBreak/>
        <w:t>Tabulka</w:t>
      </w:r>
      <w:r w:rsidR="001B3F5D">
        <w:rPr>
          <w:rFonts w:cs="Calibri"/>
          <w:b/>
          <w:bCs/>
          <w:lang w:eastAsia="cs-CZ"/>
        </w:rPr>
        <w:t xml:space="preserve"> č.</w:t>
      </w:r>
      <w:r>
        <w:rPr>
          <w:rFonts w:cs="Calibri"/>
          <w:b/>
          <w:bCs/>
          <w:lang w:eastAsia="cs-CZ"/>
        </w:rPr>
        <w:t xml:space="preserve"> </w:t>
      </w:r>
      <w:r>
        <w:rPr>
          <w:rFonts w:cs="Calibri"/>
          <w:b/>
          <w:bCs/>
          <w:lang w:eastAsia="cs-CZ"/>
        </w:rPr>
        <w:fldChar w:fldCharType="begin"/>
      </w:r>
      <w:r>
        <w:rPr>
          <w:rFonts w:cs="Calibri"/>
          <w:b/>
          <w:bCs/>
          <w:lang w:eastAsia="cs-CZ"/>
        </w:rPr>
        <w:instrText xml:space="preserve"> SEQ Tabulka \* ARABIC </w:instrText>
      </w:r>
      <w:r>
        <w:rPr>
          <w:rFonts w:cs="Calibri"/>
          <w:b/>
          <w:bCs/>
          <w:lang w:eastAsia="cs-CZ"/>
        </w:rPr>
        <w:fldChar w:fldCharType="separate"/>
      </w:r>
      <w:r w:rsidR="00CF68DC">
        <w:rPr>
          <w:rFonts w:cs="Calibri"/>
          <w:b/>
          <w:bCs/>
          <w:noProof/>
          <w:lang w:eastAsia="cs-CZ"/>
        </w:rPr>
        <w:t>1</w:t>
      </w:r>
      <w:r>
        <w:rPr>
          <w:rFonts w:cs="Calibri"/>
          <w:lang w:eastAsia="cs-CZ"/>
        </w:rPr>
        <w:fldChar w:fldCharType="end"/>
      </w:r>
      <w:r>
        <w:rPr>
          <w:rFonts w:cs="Calibri"/>
          <w:b/>
          <w:bCs/>
          <w:lang w:eastAsia="cs-CZ"/>
        </w:rPr>
        <w:t>: Oblast účetnictví – způsob využití</w:t>
      </w:r>
    </w:p>
    <w:tbl>
      <w:tblPr>
        <w:tblW w:w="88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5670"/>
      </w:tblGrid>
      <w:tr w:rsidR="00FC2B6C" w14:paraId="57C0D085" w14:textId="77777777" w:rsidTr="00DF6AD0">
        <w:trPr>
          <w:trHeight w:val="454"/>
          <w:tblHeader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1FF"/>
            <w:vAlign w:val="center"/>
            <w:hideMark/>
          </w:tcPr>
          <w:p w14:paraId="568FBE60" w14:textId="77777777" w:rsidR="00FC2B6C" w:rsidRPr="00DF6AD0" w:rsidRDefault="00FC2B6C" w:rsidP="00FC2B6C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6AD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Oblast účetnictví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1FF"/>
            <w:vAlign w:val="center"/>
            <w:hideMark/>
          </w:tcPr>
          <w:p w14:paraId="63874722" w14:textId="77777777" w:rsidR="00FC2B6C" w:rsidRPr="00DF6AD0" w:rsidRDefault="00FC2B6C" w:rsidP="00FC2B6C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6AD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Způsob využití</w:t>
            </w:r>
          </w:p>
        </w:tc>
      </w:tr>
      <w:tr w:rsidR="00FC2B6C" w14:paraId="2F0B09DF" w14:textId="77777777" w:rsidTr="00DF6AD0">
        <w:trPr>
          <w:trHeight w:val="87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C711C" w14:textId="77777777" w:rsidR="00FC2B6C" w:rsidRPr="00DF6AD0" w:rsidRDefault="00FC2B6C" w:rsidP="00FC2B6C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6AD0">
              <w:rPr>
                <w:rFonts w:asciiTheme="minorHAnsi" w:hAnsiTheme="minorHAnsi" w:cstheme="minorHAnsi"/>
                <w:b/>
                <w:sz w:val="20"/>
                <w:szCs w:val="20"/>
              </w:rPr>
              <w:t>Oběžná aktiva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BFD23" w14:textId="33E83CC1" w:rsidR="00FC2B6C" w:rsidRPr="00DF6AD0" w:rsidRDefault="001677FE" w:rsidP="00FC2B6C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Monitoring s</w:t>
            </w:r>
            <w:r w:rsidR="00FC2B6C" w:rsidRPr="00DF6AD0">
              <w:rPr>
                <w:rFonts w:asciiTheme="minorHAnsi" w:hAnsiTheme="minorHAnsi" w:cstheme="minorHAnsi"/>
                <w:sz w:val="20"/>
                <w:szCs w:val="20"/>
              </w:rPr>
              <w:t>tav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FC2B6C" w:rsidRPr="00DF6AD0">
              <w:rPr>
                <w:rFonts w:asciiTheme="minorHAnsi" w:hAnsiTheme="minorHAnsi" w:cstheme="minorHAnsi"/>
                <w:sz w:val="20"/>
                <w:szCs w:val="20"/>
              </w:rPr>
              <w:t xml:space="preserve"> krátkodobých pohledávek, resp. stav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FC2B6C" w:rsidRPr="00DF6AD0">
              <w:rPr>
                <w:rFonts w:asciiTheme="minorHAnsi" w:hAnsiTheme="minorHAnsi" w:cstheme="minorHAnsi"/>
                <w:sz w:val="20"/>
                <w:szCs w:val="20"/>
              </w:rPr>
              <w:t xml:space="preserve"> pohledávek z nájemních vztahů po splatnosti a případná urgence úhrad ze strany příslušných útvarů správy</w:t>
            </w:r>
          </w:p>
        </w:tc>
      </w:tr>
      <w:tr w:rsidR="00FC2B6C" w14:paraId="38BBF9E2" w14:textId="77777777" w:rsidTr="00DF6AD0">
        <w:trPr>
          <w:trHeight w:val="1764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687E7" w14:textId="77777777" w:rsidR="00FC2B6C" w:rsidRPr="00DF6AD0" w:rsidRDefault="00FC2B6C" w:rsidP="00FC2B6C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6AD0">
              <w:rPr>
                <w:rFonts w:asciiTheme="minorHAnsi" w:hAnsiTheme="minorHAnsi" w:cstheme="minorHAnsi"/>
                <w:b/>
                <w:sz w:val="20"/>
                <w:szCs w:val="20"/>
              </w:rPr>
              <w:t>Cizí zdroje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8853B" w14:textId="6F6F8836" w:rsidR="00FC2B6C" w:rsidRPr="00DF6AD0" w:rsidRDefault="00FC2B6C" w:rsidP="00FC2B6C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6AD0">
              <w:rPr>
                <w:rFonts w:asciiTheme="minorHAnsi" w:hAnsiTheme="minorHAnsi" w:cstheme="minorHAnsi"/>
                <w:sz w:val="20"/>
                <w:szCs w:val="20"/>
              </w:rPr>
              <w:t xml:space="preserve">Jsou sledovány závazky (evidence neuhrazených závazků se průběžně sleduje, každý měsíc se vyhotovuje report, kde se údaje sledují v detailu na neuhrazené závazky před splatností a po splatnosti, dále za neinvestiční výdaje a v návaznosti na investiční akce) </w:t>
            </w:r>
          </w:p>
        </w:tc>
      </w:tr>
      <w:tr w:rsidR="00FC2B6C" w14:paraId="09EEE043" w14:textId="77777777" w:rsidTr="00DF6AD0">
        <w:trPr>
          <w:trHeight w:val="444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E1797" w14:textId="77777777" w:rsidR="00FC2B6C" w:rsidRPr="00DF6AD0" w:rsidRDefault="00FC2B6C" w:rsidP="00FC2B6C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6AD0">
              <w:rPr>
                <w:rFonts w:asciiTheme="minorHAnsi" w:hAnsiTheme="minorHAnsi" w:cstheme="minorHAnsi"/>
                <w:b/>
                <w:sz w:val="20"/>
                <w:szCs w:val="20"/>
              </w:rPr>
              <w:t>Náklady a výnosy z činnosti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BB016" w14:textId="77777777" w:rsidR="00FC2B6C" w:rsidRPr="00DF6AD0" w:rsidRDefault="00FC2B6C" w:rsidP="00FC2B6C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6AD0">
              <w:rPr>
                <w:rFonts w:asciiTheme="minorHAnsi" w:hAnsiTheme="minorHAnsi" w:cstheme="minorHAnsi"/>
                <w:sz w:val="20"/>
                <w:szCs w:val="20"/>
              </w:rPr>
              <w:t>Doplňující informace k rozpočtovému členění</w:t>
            </w:r>
          </w:p>
        </w:tc>
      </w:tr>
      <w:tr w:rsidR="00FC2B6C" w14:paraId="170B4BEF" w14:textId="77777777" w:rsidTr="00DF6AD0">
        <w:trPr>
          <w:trHeight w:val="1098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E1A85" w14:textId="77777777" w:rsidR="00FC2B6C" w:rsidRPr="00DF6AD0" w:rsidRDefault="00FC2B6C" w:rsidP="00FC2B6C">
            <w:pPr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6AD0">
              <w:rPr>
                <w:rFonts w:asciiTheme="minorHAnsi" w:hAnsiTheme="minorHAnsi" w:cstheme="minorHAnsi"/>
                <w:b/>
                <w:sz w:val="20"/>
                <w:szCs w:val="20"/>
              </w:rPr>
              <w:t>Podmíněné závazky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C3DCB" w14:textId="5158306C" w:rsidR="00FC2B6C" w:rsidRPr="00DF6AD0" w:rsidRDefault="00FC2B6C" w:rsidP="00FC2B6C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6AD0">
              <w:rPr>
                <w:rFonts w:asciiTheme="minorHAnsi" w:hAnsiTheme="minorHAnsi" w:cstheme="minorHAnsi"/>
                <w:sz w:val="20"/>
                <w:szCs w:val="20"/>
              </w:rPr>
              <w:t xml:space="preserve">Při rozpisu rozpočtu na další období na jednotlivé rozpočtové položky </w:t>
            </w:r>
            <w:r w:rsidR="00C762B2" w:rsidRPr="00DF6AD0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DF6AD0">
              <w:rPr>
                <w:rFonts w:asciiTheme="minorHAnsi" w:hAnsiTheme="minorHAnsi" w:cstheme="minorHAnsi"/>
                <w:sz w:val="20"/>
                <w:szCs w:val="20"/>
              </w:rPr>
              <w:t xml:space="preserve"> částečně vycház</w:t>
            </w:r>
            <w:r w:rsidR="00C762B2" w:rsidRPr="00DF6AD0">
              <w:rPr>
                <w:rFonts w:asciiTheme="minorHAnsi" w:hAnsiTheme="minorHAnsi" w:cstheme="minorHAnsi"/>
                <w:sz w:val="20"/>
                <w:szCs w:val="20"/>
              </w:rPr>
              <w:t>í</w:t>
            </w:r>
            <w:r w:rsidRPr="00DF6AD0">
              <w:rPr>
                <w:rFonts w:asciiTheme="minorHAnsi" w:hAnsiTheme="minorHAnsi" w:cstheme="minorHAnsi"/>
                <w:sz w:val="20"/>
                <w:szCs w:val="20"/>
              </w:rPr>
              <w:t xml:space="preserve"> z účetních dat, ale vždy záleží na výši </w:t>
            </w:r>
            <w:r w:rsidR="002370D0" w:rsidRPr="00DF6AD0">
              <w:rPr>
                <w:rFonts w:asciiTheme="minorHAnsi" w:hAnsiTheme="minorHAnsi" w:cstheme="minorHAnsi"/>
                <w:sz w:val="20"/>
                <w:szCs w:val="20"/>
              </w:rPr>
              <w:t xml:space="preserve">přidělených </w:t>
            </w:r>
            <w:r w:rsidRPr="00DF6AD0">
              <w:rPr>
                <w:rFonts w:asciiTheme="minorHAnsi" w:hAnsiTheme="minorHAnsi" w:cstheme="minorHAnsi"/>
                <w:sz w:val="20"/>
                <w:szCs w:val="20"/>
              </w:rPr>
              <w:t>rozpočtových prostředků</w:t>
            </w:r>
          </w:p>
        </w:tc>
      </w:tr>
    </w:tbl>
    <w:p w14:paraId="276CCDFB" w14:textId="5C7983AA" w:rsidR="00FC2B6C" w:rsidRPr="00DF6AD0" w:rsidRDefault="00FC2B6C" w:rsidP="00DF6AD0">
      <w:pPr>
        <w:spacing w:before="40" w:after="240"/>
        <w:jc w:val="both"/>
        <w:rPr>
          <w:rFonts w:cs="Calibri"/>
          <w:sz w:val="20"/>
          <w:szCs w:val="20"/>
        </w:rPr>
      </w:pPr>
      <w:r w:rsidRPr="000011BF">
        <w:rPr>
          <w:rFonts w:eastAsia="Calibri" w:cs="Calibri"/>
          <w:b/>
          <w:bCs/>
          <w:sz w:val="20"/>
          <w:szCs w:val="20"/>
        </w:rPr>
        <w:t>Zdroj:</w:t>
      </w:r>
      <w:r w:rsidRPr="000011BF">
        <w:rPr>
          <w:rFonts w:eastAsia="Calibri" w:cs="Calibri"/>
          <w:sz w:val="20"/>
          <w:szCs w:val="20"/>
        </w:rPr>
        <w:t xml:space="preserve"> </w:t>
      </w:r>
      <w:r w:rsidR="001677FE">
        <w:rPr>
          <w:rFonts w:eastAsia="Calibri" w:cs="Calibri"/>
          <w:sz w:val="20"/>
          <w:szCs w:val="20"/>
        </w:rPr>
        <w:t xml:space="preserve">vypracoval </w:t>
      </w:r>
      <w:r>
        <w:rPr>
          <w:rFonts w:eastAsia="Calibri" w:cs="Calibri"/>
          <w:sz w:val="20"/>
          <w:szCs w:val="20"/>
        </w:rPr>
        <w:t xml:space="preserve">NKÚ </w:t>
      </w:r>
      <w:r w:rsidRPr="00FC2B6C">
        <w:rPr>
          <w:rFonts w:eastAsia="Calibri" w:cs="Calibri"/>
          <w:sz w:val="20"/>
          <w:szCs w:val="20"/>
        </w:rPr>
        <w:t xml:space="preserve">na základě </w:t>
      </w:r>
      <w:r w:rsidR="001677FE" w:rsidRPr="00FC2B6C">
        <w:rPr>
          <w:rFonts w:eastAsia="Calibri" w:cs="Calibri"/>
          <w:sz w:val="20"/>
          <w:szCs w:val="20"/>
        </w:rPr>
        <w:t xml:space="preserve">odpovědí </w:t>
      </w:r>
      <w:r w:rsidRPr="00FC2B6C">
        <w:rPr>
          <w:rFonts w:eastAsia="Calibri" w:cs="Calibri"/>
          <w:sz w:val="20"/>
          <w:szCs w:val="20"/>
        </w:rPr>
        <w:t>získaných od MS Praha</w:t>
      </w:r>
      <w:r>
        <w:rPr>
          <w:rFonts w:eastAsia="Calibri" w:cs="Calibri"/>
          <w:sz w:val="20"/>
          <w:szCs w:val="20"/>
        </w:rPr>
        <w:t>.</w:t>
      </w:r>
      <w:r w:rsidRPr="00FC2B6C">
        <w:rPr>
          <w:rFonts w:eastAsia="Calibri" w:cs="Calibri"/>
          <w:sz w:val="20"/>
          <w:szCs w:val="20"/>
        </w:rPr>
        <w:t xml:space="preserve"> </w:t>
      </w:r>
    </w:p>
    <w:p w14:paraId="1426D038" w14:textId="3CBCFB02" w:rsidR="00FC2B6C" w:rsidRPr="00CD7AAC" w:rsidRDefault="001677FE" w:rsidP="00FC2B6C">
      <w:pPr>
        <w:pStyle w:val="Nadpis2"/>
        <w:keepNext/>
        <w:keepLines/>
        <w:numPr>
          <w:ilvl w:val="1"/>
          <w:numId w:val="13"/>
        </w:numPr>
        <w:spacing w:after="120" w:line="240" w:lineRule="auto"/>
        <w:contextualSpacing w:val="0"/>
      </w:pPr>
      <w:bookmarkStart w:id="14" w:name="_Toc99712434"/>
      <w:bookmarkStart w:id="15" w:name="_Ref131498133"/>
      <w:bookmarkStart w:id="16" w:name="_Ref132890550"/>
      <w:bookmarkStart w:id="17" w:name="_Toc131682142"/>
      <w:bookmarkStart w:id="18" w:name="_Toc133218596"/>
      <w:r>
        <w:t>P</w:t>
      </w:r>
      <w:r w:rsidR="00FC2B6C" w:rsidRPr="00CD7AAC">
        <w:t>ropojení účetního a rozpočtového pohledu</w:t>
      </w:r>
      <w:bookmarkEnd w:id="14"/>
      <w:bookmarkEnd w:id="15"/>
      <w:bookmarkEnd w:id="16"/>
      <w:bookmarkEnd w:id="17"/>
      <w:bookmarkEnd w:id="18"/>
      <w:r>
        <w:t xml:space="preserve"> při využívání některých informací</w:t>
      </w:r>
    </w:p>
    <w:p w14:paraId="300EAEC0" w14:textId="77777777" w:rsidR="00FC2B6C" w:rsidRPr="00163844" w:rsidRDefault="00FC2B6C" w:rsidP="00ED3BB6">
      <w:pPr>
        <w:jc w:val="both"/>
        <w:rPr>
          <w:rFonts w:asciiTheme="minorHAnsi" w:hAnsiTheme="minorHAnsi" w:cstheme="minorHAnsi"/>
        </w:rPr>
      </w:pPr>
      <w:r w:rsidRPr="00163844">
        <w:rPr>
          <w:rFonts w:asciiTheme="minorHAnsi" w:hAnsiTheme="minorHAnsi" w:cstheme="minorHAnsi"/>
        </w:rPr>
        <w:t>MS Praha</w:t>
      </w:r>
      <w:r w:rsidR="00ED3BB6">
        <w:rPr>
          <w:rFonts w:asciiTheme="minorHAnsi" w:hAnsiTheme="minorHAnsi" w:cstheme="minorHAnsi"/>
        </w:rPr>
        <w:t xml:space="preserve"> při rozpisu rozpočtu na další období částečně vychází ze stavu podmíněných závazků</w:t>
      </w:r>
      <w:r w:rsidR="00555F5D">
        <w:rPr>
          <w:rFonts w:asciiTheme="minorHAnsi" w:hAnsiTheme="minorHAnsi" w:cstheme="minorHAnsi"/>
        </w:rPr>
        <w:t xml:space="preserve"> a při predikci čerpání rozpočtových prostředků do konce roku využívá účetní informace o cizích zdrojích a nákladech z činnosti.</w:t>
      </w:r>
    </w:p>
    <w:p w14:paraId="3E52D900" w14:textId="77777777" w:rsidR="006B765F" w:rsidRPr="00CD7AAC" w:rsidRDefault="006B765F" w:rsidP="006B765F">
      <w:pPr>
        <w:pStyle w:val="Nadpis2"/>
        <w:keepNext/>
        <w:keepLines/>
        <w:numPr>
          <w:ilvl w:val="1"/>
          <w:numId w:val="13"/>
        </w:numPr>
        <w:spacing w:after="120" w:line="240" w:lineRule="auto"/>
        <w:contextualSpacing w:val="0"/>
      </w:pPr>
      <w:r>
        <w:t>Informace vykazované na podrozvahových účtech</w:t>
      </w:r>
    </w:p>
    <w:p w14:paraId="0B5B9DA6" w14:textId="77777777" w:rsidR="006B765F" w:rsidRPr="00410109" w:rsidRDefault="006B765F" w:rsidP="006B765F">
      <w:pPr>
        <w:jc w:val="both"/>
        <w:rPr>
          <w:rFonts w:asciiTheme="minorHAnsi" w:hAnsiTheme="minorHAnsi" w:cstheme="minorHAnsi"/>
          <w:bCs/>
          <w:iCs/>
        </w:rPr>
      </w:pPr>
      <w:r w:rsidRPr="00410109">
        <w:rPr>
          <w:rFonts w:asciiTheme="minorHAnsi" w:hAnsiTheme="minorHAnsi" w:cstheme="minorHAnsi"/>
          <w:bCs/>
          <w:iCs/>
        </w:rPr>
        <w:t xml:space="preserve">Zákon č. 563/1991 Sb. v § 7 odst. 5 stanovuje pro vybrané účetní jednotky povinnost uvádět v příloze účetní závěrky informace o stavu účtů v knize podrozvahových účtů. </w:t>
      </w:r>
    </w:p>
    <w:p w14:paraId="54BB8D6B" w14:textId="024A64E7" w:rsidR="006B765F" w:rsidRPr="00410109" w:rsidRDefault="006B765F" w:rsidP="006B765F">
      <w:pPr>
        <w:jc w:val="both"/>
        <w:rPr>
          <w:rFonts w:asciiTheme="minorHAnsi" w:hAnsiTheme="minorHAnsi" w:cstheme="minorHAnsi"/>
          <w:bCs/>
          <w:iCs/>
        </w:rPr>
      </w:pPr>
      <w:r w:rsidRPr="00410109">
        <w:rPr>
          <w:rFonts w:asciiTheme="minorHAnsi" w:hAnsiTheme="minorHAnsi" w:cstheme="minorHAnsi"/>
          <w:bCs/>
          <w:iCs/>
        </w:rPr>
        <w:t>Uspořádání a označování podrozvahových účtů stanovuje příloha č. 5 vyhláš</w:t>
      </w:r>
      <w:r w:rsidR="00F34B20">
        <w:rPr>
          <w:rFonts w:asciiTheme="minorHAnsi" w:hAnsiTheme="minorHAnsi" w:cstheme="minorHAnsi"/>
          <w:bCs/>
          <w:iCs/>
        </w:rPr>
        <w:t>ky</w:t>
      </w:r>
      <w:r w:rsidRPr="00410109">
        <w:rPr>
          <w:rFonts w:asciiTheme="minorHAnsi" w:hAnsiTheme="minorHAnsi" w:cstheme="minorHAnsi"/>
          <w:bCs/>
          <w:iCs/>
        </w:rPr>
        <w:t xml:space="preserve"> č. 410/2009 Sb. a </w:t>
      </w:r>
      <w:r w:rsidR="00F34B20">
        <w:rPr>
          <w:rFonts w:asciiTheme="minorHAnsi" w:hAnsiTheme="minorHAnsi" w:cstheme="minorHAnsi"/>
          <w:bCs/>
          <w:iCs/>
        </w:rPr>
        <w:t>také</w:t>
      </w:r>
      <w:r w:rsidRPr="00410109">
        <w:rPr>
          <w:rFonts w:asciiTheme="minorHAnsi" w:hAnsiTheme="minorHAnsi" w:cstheme="minorHAnsi"/>
          <w:bCs/>
          <w:iCs/>
        </w:rPr>
        <w:t xml:space="preserve"> směrn</w:t>
      </w:r>
      <w:r w:rsidR="00F34B20">
        <w:rPr>
          <w:rFonts w:asciiTheme="minorHAnsi" w:hAnsiTheme="minorHAnsi" w:cstheme="minorHAnsi"/>
          <w:bCs/>
          <w:iCs/>
        </w:rPr>
        <w:t>á</w:t>
      </w:r>
      <w:r w:rsidRPr="00410109">
        <w:rPr>
          <w:rFonts w:asciiTheme="minorHAnsi" w:hAnsiTheme="minorHAnsi" w:cstheme="minorHAnsi"/>
          <w:bCs/>
          <w:iCs/>
        </w:rPr>
        <w:t xml:space="preserve"> účtov</w:t>
      </w:r>
      <w:r w:rsidR="00F34B20">
        <w:rPr>
          <w:rFonts w:asciiTheme="minorHAnsi" w:hAnsiTheme="minorHAnsi" w:cstheme="minorHAnsi"/>
          <w:bCs/>
          <w:iCs/>
        </w:rPr>
        <w:t>á</w:t>
      </w:r>
      <w:r w:rsidRPr="00410109">
        <w:rPr>
          <w:rFonts w:asciiTheme="minorHAnsi" w:hAnsiTheme="minorHAnsi" w:cstheme="minorHAnsi"/>
          <w:bCs/>
          <w:iCs/>
        </w:rPr>
        <w:t xml:space="preserve"> osnov</w:t>
      </w:r>
      <w:r w:rsidR="00F34B20">
        <w:rPr>
          <w:rFonts w:asciiTheme="minorHAnsi" w:hAnsiTheme="minorHAnsi" w:cstheme="minorHAnsi"/>
          <w:bCs/>
          <w:iCs/>
        </w:rPr>
        <w:t>a</w:t>
      </w:r>
      <w:r w:rsidRPr="00410109">
        <w:rPr>
          <w:rFonts w:asciiTheme="minorHAnsi" w:hAnsiTheme="minorHAnsi" w:cstheme="minorHAnsi"/>
          <w:bCs/>
          <w:iCs/>
        </w:rPr>
        <w:t xml:space="preserve">, která je pro vybrané účetní jednotky dle </w:t>
      </w:r>
      <w:r w:rsidR="003E6E79">
        <w:rPr>
          <w:rFonts w:asciiTheme="minorHAnsi" w:hAnsiTheme="minorHAnsi" w:cstheme="minorHAnsi"/>
          <w:bCs/>
          <w:iCs/>
        </w:rPr>
        <w:t xml:space="preserve">ustanovení </w:t>
      </w:r>
      <w:r w:rsidRPr="00410109">
        <w:rPr>
          <w:rFonts w:asciiTheme="minorHAnsi" w:hAnsiTheme="minorHAnsi" w:cstheme="minorHAnsi"/>
          <w:bCs/>
          <w:iCs/>
        </w:rPr>
        <w:t>§ 76 této vyhlášky závazná. Obsahové vymezení podrozvahových účtů je pak upraveno v</w:t>
      </w:r>
      <w:r w:rsidR="003E6E79">
        <w:rPr>
          <w:rFonts w:asciiTheme="minorHAnsi" w:hAnsiTheme="minorHAnsi" w:cstheme="minorHAnsi"/>
          <w:bCs/>
          <w:iCs/>
        </w:rPr>
        <w:t xml:space="preserve"> ustanovení </w:t>
      </w:r>
      <w:r w:rsidRPr="00410109">
        <w:rPr>
          <w:rFonts w:asciiTheme="minorHAnsi" w:hAnsiTheme="minorHAnsi" w:cstheme="minorHAnsi"/>
          <w:bCs/>
          <w:iCs/>
        </w:rPr>
        <w:t>§</w:t>
      </w:r>
      <w:r w:rsidR="007770C6">
        <w:rPr>
          <w:rFonts w:asciiTheme="minorHAnsi" w:hAnsiTheme="minorHAnsi" w:cstheme="minorHAnsi"/>
          <w:bCs/>
          <w:iCs/>
        </w:rPr>
        <w:t> </w:t>
      </w:r>
      <w:r w:rsidRPr="00410109">
        <w:rPr>
          <w:rFonts w:asciiTheme="minorHAnsi" w:hAnsiTheme="minorHAnsi" w:cstheme="minorHAnsi"/>
          <w:bCs/>
          <w:iCs/>
        </w:rPr>
        <w:t>49 až 54 vyhlášky č. 410/2009 Sb.</w:t>
      </w:r>
    </w:p>
    <w:p w14:paraId="3A2D30D7" w14:textId="5444543D" w:rsidR="006B765F" w:rsidRPr="00410109" w:rsidRDefault="006B765F" w:rsidP="006B765F">
      <w:pPr>
        <w:jc w:val="both"/>
        <w:rPr>
          <w:rFonts w:asciiTheme="minorHAnsi" w:hAnsiTheme="minorHAnsi" w:cstheme="minorHAnsi"/>
          <w:bCs/>
          <w:iCs/>
        </w:rPr>
      </w:pPr>
      <w:r w:rsidRPr="00410109">
        <w:rPr>
          <w:rFonts w:asciiTheme="minorHAnsi" w:hAnsiTheme="minorHAnsi" w:cstheme="minorHAnsi"/>
          <w:bCs/>
          <w:iCs/>
        </w:rPr>
        <w:t>Údaje o stavu účtů v</w:t>
      </w:r>
      <w:r w:rsidR="007770C6">
        <w:rPr>
          <w:rFonts w:asciiTheme="minorHAnsi" w:hAnsiTheme="minorHAnsi" w:cstheme="minorHAnsi"/>
          <w:bCs/>
          <w:iCs/>
        </w:rPr>
        <w:t xml:space="preserve"> </w:t>
      </w:r>
      <w:r w:rsidRPr="00410109">
        <w:rPr>
          <w:rFonts w:asciiTheme="minorHAnsi" w:hAnsiTheme="minorHAnsi" w:cstheme="minorHAnsi"/>
          <w:bCs/>
          <w:iCs/>
        </w:rPr>
        <w:t xml:space="preserve">knize podrozvahových účtů jsou rovněž součástí účetních výkazů za Českou republiku dle </w:t>
      </w:r>
      <w:r w:rsidR="003E6E79">
        <w:rPr>
          <w:rFonts w:asciiTheme="minorHAnsi" w:hAnsiTheme="minorHAnsi" w:cstheme="minorHAnsi"/>
          <w:bCs/>
          <w:iCs/>
        </w:rPr>
        <w:t xml:space="preserve">ustanovení </w:t>
      </w:r>
      <w:r w:rsidRPr="00410109">
        <w:rPr>
          <w:rFonts w:asciiTheme="minorHAnsi" w:hAnsiTheme="minorHAnsi" w:cstheme="minorHAnsi"/>
          <w:bCs/>
          <w:iCs/>
        </w:rPr>
        <w:t>§ 23b zákona č. 563/1991 Sb. a vyhlášky č. 312/2014 Sb.</w:t>
      </w:r>
      <w:r w:rsidRPr="008E056F">
        <w:rPr>
          <w:rStyle w:val="Znakapoznpodarou"/>
          <w:rFonts w:asciiTheme="minorHAnsi" w:hAnsiTheme="minorHAnsi" w:cstheme="minorHAnsi"/>
          <w:bCs/>
          <w:iCs/>
        </w:rPr>
        <w:footnoteReference w:id="29"/>
      </w:r>
      <w:r w:rsidRPr="00410109">
        <w:rPr>
          <w:rFonts w:asciiTheme="minorHAnsi" w:hAnsiTheme="minorHAnsi" w:cstheme="minorHAnsi"/>
          <w:bCs/>
          <w:iCs/>
        </w:rPr>
        <w:t xml:space="preserve"> </w:t>
      </w:r>
    </w:p>
    <w:p w14:paraId="72B78251" w14:textId="7D11CF8C" w:rsidR="006B765F" w:rsidRPr="00410109" w:rsidRDefault="006B765F" w:rsidP="006B765F">
      <w:pPr>
        <w:jc w:val="both"/>
        <w:rPr>
          <w:rFonts w:cs="Calibri"/>
          <w:highlight w:val="yellow"/>
        </w:rPr>
      </w:pPr>
      <w:r w:rsidRPr="00410109">
        <w:rPr>
          <w:rFonts w:asciiTheme="minorHAnsi" w:hAnsiTheme="minorHAnsi" w:cstheme="minorHAnsi"/>
          <w:bCs/>
        </w:rPr>
        <w:t>Podrozvahové účty lze obecně označit za oblast výkaznictví o potenciálním (možném) či nejistém majetku a závazcích</w:t>
      </w:r>
      <w:r w:rsidR="00F34B20">
        <w:rPr>
          <w:rFonts w:asciiTheme="minorHAnsi" w:hAnsiTheme="minorHAnsi" w:cstheme="minorHAnsi"/>
          <w:bCs/>
        </w:rPr>
        <w:t>;</w:t>
      </w:r>
      <w:r w:rsidRPr="00410109">
        <w:rPr>
          <w:rFonts w:asciiTheme="minorHAnsi" w:hAnsiTheme="minorHAnsi" w:cstheme="minorHAnsi"/>
          <w:bCs/>
        </w:rPr>
        <w:t xml:space="preserve"> zachycují skutečnosti, které prozatím nesplňují podmínky pro vykázání v rozvaze.</w:t>
      </w:r>
    </w:p>
    <w:p w14:paraId="050F51F1" w14:textId="77777777" w:rsidR="006B765F" w:rsidRDefault="006B765F" w:rsidP="006B765F">
      <w:pPr>
        <w:jc w:val="both"/>
      </w:pPr>
      <w:r w:rsidRPr="008E056F">
        <w:rPr>
          <w:rFonts w:cs="Calibri"/>
        </w:rPr>
        <w:t>Významnost pro účtování na podrozvahových účtech a oceňování podmíněných aktiv a</w:t>
      </w:r>
      <w:r w:rsidR="003E6E79">
        <w:rPr>
          <w:rFonts w:cs="Calibri"/>
        </w:rPr>
        <w:t> </w:t>
      </w:r>
      <w:r w:rsidRPr="008E056F">
        <w:rPr>
          <w:rFonts w:cs="Calibri"/>
        </w:rPr>
        <w:t>podmíněných pasiv si MS Praha pro rok 2022 upravil následovně:</w:t>
      </w:r>
    </w:p>
    <w:p w14:paraId="37C74F69" w14:textId="77777777" w:rsidR="003E6E79" w:rsidRDefault="003E6E79">
      <w:pPr>
        <w:spacing w:after="160" w:line="259" w:lineRule="auto"/>
        <w:rPr>
          <w:rFonts w:cs="Calibri"/>
          <w:b/>
          <w:bCs/>
          <w:lang w:eastAsia="cs-CZ"/>
        </w:rPr>
      </w:pPr>
      <w:r>
        <w:rPr>
          <w:rFonts w:cs="Calibri"/>
          <w:b/>
          <w:bCs/>
          <w:lang w:eastAsia="cs-CZ"/>
        </w:rPr>
        <w:br w:type="page"/>
      </w:r>
    </w:p>
    <w:p w14:paraId="743E4635" w14:textId="1428A3F7" w:rsidR="006B765F" w:rsidRPr="008E056F" w:rsidRDefault="006B765F" w:rsidP="00DF6AD0">
      <w:pPr>
        <w:spacing w:after="40"/>
        <w:ind w:left="1304" w:hanging="1304"/>
        <w:jc w:val="both"/>
        <w:rPr>
          <w:rFonts w:cs="Calibri"/>
          <w:b/>
          <w:bCs/>
          <w:lang w:eastAsia="cs-CZ"/>
        </w:rPr>
      </w:pPr>
      <w:r w:rsidRPr="008E056F">
        <w:rPr>
          <w:rFonts w:cs="Calibri"/>
          <w:b/>
          <w:bCs/>
          <w:lang w:eastAsia="cs-CZ"/>
        </w:rPr>
        <w:lastRenderedPageBreak/>
        <w:t>Tabulka</w:t>
      </w:r>
      <w:r w:rsidR="00EC7467">
        <w:rPr>
          <w:rFonts w:cs="Calibri"/>
          <w:b/>
          <w:bCs/>
          <w:lang w:eastAsia="cs-CZ"/>
        </w:rPr>
        <w:t xml:space="preserve"> č.</w:t>
      </w:r>
      <w:r>
        <w:rPr>
          <w:rFonts w:cs="Calibri"/>
          <w:b/>
          <w:bCs/>
          <w:lang w:eastAsia="cs-CZ"/>
        </w:rPr>
        <w:t xml:space="preserve"> </w:t>
      </w:r>
      <w:r w:rsidR="003942AE">
        <w:rPr>
          <w:rFonts w:cs="Calibri"/>
          <w:b/>
          <w:bCs/>
          <w:lang w:eastAsia="cs-CZ"/>
        </w:rPr>
        <w:t>2</w:t>
      </w:r>
      <w:r w:rsidRPr="008E056F">
        <w:rPr>
          <w:rFonts w:cs="Calibri"/>
          <w:b/>
          <w:bCs/>
          <w:lang w:eastAsia="cs-CZ"/>
        </w:rPr>
        <w:t xml:space="preserve">: </w:t>
      </w:r>
      <w:r w:rsidR="00EC7467">
        <w:rPr>
          <w:rFonts w:cs="Calibri"/>
          <w:b/>
          <w:bCs/>
          <w:lang w:eastAsia="cs-CZ"/>
        </w:rPr>
        <w:tab/>
      </w:r>
      <w:r w:rsidRPr="008E056F">
        <w:rPr>
          <w:rFonts w:cs="Calibri"/>
          <w:b/>
          <w:bCs/>
          <w:lang w:eastAsia="cs-CZ"/>
        </w:rPr>
        <w:t xml:space="preserve">Úprava významnosti a oceňování na podrozvahových účtech MS Praha pro </w:t>
      </w:r>
      <w:r w:rsidR="003E6E79">
        <w:rPr>
          <w:rFonts w:cs="Calibri"/>
          <w:b/>
          <w:bCs/>
          <w:lang w:eastAsia="cs-CZ"/>
        </w:rPr>
        <w:br/>
      </w:r>
      <w:r w:rsidRPr="008E056F">
        <w:rPr>
          <w:rFonts w:cs="Calibri"/>
          <w:b/>
          <w:bCs/>
          <w:lang w:eastAsia="cs-CZ"/>
        </w:rPr>
        <w:t xml:space="preserve">rok 2022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4"/>
        <w:gridCol w:w="3016"/>
      </w:tblGrid>
      <w:tr w:rsidR="006B765F" w:rsidRPr="001C5920" w14:paraId="4D1291AB" w14:textId="77777777" w:rsidTr="00C3356D">
        <w:trPr>
          <w:trHeight w:val="450"/>
          <w:tblHeader/>
        </w:trPr>
        <w:tc>
          <w:tcPr>
            <w:tcW w:w="3070" w:type="dxa"/>
            <w:shd w:val="clear" w:color="auto" w:fill="E5F1FF"/>
            <w:vAlign w:val="center"/>
          </w:tcPr>
          <w:p w14:paraId="14186202" w14:textId="77777777" w:rsidR="006B765F" w:rsidRPr="00DF6AD0" w:rsidRDefault="006B765F" w:rsidP="00C3356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6AD0">
              <w:rPr>
                <w:rFonts w:asciiTheme="minorHAnsi" w:hAnsiTheme="minorHAnsi" w:cstheme="minorHAnsi"/>
                <w:b/>
                <w:sz w:val="20"/>
                <w:szCs w:val="20"/>
              </w:rPr>
              <w:t>Oblast podrozvahové evidence</w:t>
            </w:r>
          </w:p>
        </w:tc>
        <w:tc>
          <w:tcPr>
            <w:tcW w:w="3070" w:type="dxa"/>
            <w:shd w:val="clear" w:color="auto" w:fill="E5F1FF"/>
            <w:vAlign w:val="center"/>
          </w:tcPr>
          <w:p w14:paraId="067498DC" w14:textId="77777777" w:rsidR="006B765F" w:rsidRPr="00DF6AD0" w:rsidRDefault="006B765F" w:rsidP="00C3356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6AD0">
              <w:rPr>
                <w:rFonts w:asciiTheme="minorHAnsi" w:hAnsiTheme="minorHAnsi" w:cstheme="minorHAnsi"/>
                <w:b/>
                <w:sz w:val="20"/>
                <w:szCs w:val="20"/>
              </w:rPr>
              <w:t>Významnost</w:t>
            </w:r>
          </w:p>
        </w:tc>
        <w:tc>
          <w:tcPr>
            <w:tcW w:w="3070" w:type="dxa"/>
            <w:shd w:val="clear" w:color="auto" w:fill="E5F1FF"/>
            <w:vAlign w:val="center"/>
          </w:tcPr>
          <w:p w14:paraId="4218D0E4" w14:textId="77777777" w:rsidR="006B765F" w:rsidRPr="00DF6AD0" w:rsidRDefault="006B765F" w:rsidP="00C3356D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6AD0">
              <w:rPr>
                <w:rFonts w:asciiTheme="minorHAnsi" w:hAnsiTheme="minorHAnsi" w:cstheme="minorHAnsi"/>
                <w:b/>
                <w:sz w:val="20"/>
                <w:szCs w:val="20"/>
              </w:rPr>
              <w:t>Oceňování</w:t>
            </w:r>
          </w:p>
        </w:tc>
      </w:tr>
      <w:tr w:rsidR="006B765F" w:rsidRPr="001C5920" w14:paraId="700ED48A" w14:textId="77777777" w:rsidTr="00C3356D">
        <w:tc>
          <w:tcPr>
            <w:tcW w:w="3070" w:type="dxa"/>
            <w:vAlign w:val="center"/>
          </w:tcPr>
          <w:p w14:paraId="5C6B3AF7" w14:textId="77777777" w:rsidR="006B765F" w:rsidRPr="008E056F" w:rsidRDefault="006B765F" w:rsidP="00C3356D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E056F">
              <w:rPr>
                <w:rFonts w:asciiTheme="minorHAnsi" w:hAnsiTheme="minorHAnsi" w:cstheme="minorHAnsi"/>
                <w:b/>
                <w:sz w:val="18"/>
                <w:szCs w:val="18"/>
              </w:rPr>
              <w:t>Jiný drobný dlouhodobý hmotný majetek</w:t>
            </w:r>
            <w:r w:rsidRPr="008E056F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účet</w:t>
            </w:r>
            <w:r w:rsidRPr="008E056F">
              <w:rPr>
                <w:rFonts w:asciiTheme="minorHAnsi" w:hAnsiTheme="minorHAnsi" w:cstheme="minorHAnsi"/>
                <w:sz w:val="18"/>
                <w:szCs w:val="18"/>
              </w:rPr>
              <w:t xml:space="preserve"> 902)</w:t>
            </w:r>
          </w:p>
        </w:tc>
        <w:tc>
          <w:tcPr>
            <w:tcW w:w="3070" w:type="dxa"/>
            <w:vAlign w:val="center"/>
          </w:tcPr>
          <w:p w14:paraId="18C1FA83" w14:textId="2F543628" w:rsidR="006B765F" w:rsidRPr="008E056F" w:rsidRDefault="00891100" w:rsidP="00C3356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6B765F" w:rsidRPr="008E056F">
              <w:rPr>
                <w:rFonts w:asciiTheme="minorHAnsi" w:hAnsiTheme="minorHAnsi" w:cstheme="minorHAnsi"/>
                <w:sz w:val="18"/>
                <w:szCs w:val="18"/>
              </w:rPr>
              <w:t>ení stanovena</w:t>
            </w:r>
          </w:p>
        </w:tc>
        <w:tc>
          <w:tcPr>
            <w:tcW w:w="3070" w:type="dxa"/>
            <w:vAlign w:val="center"/>
          </w:tcPr>
          <w:p w14:paraId="64B432D4" w14:textId="4CAE5F97" w:rsidR="006B765F" w:rsidRPr="008E056F" w:rsidRDefault="00891100" w:rsidP="00C3356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</w:t>
            </w:r>
            <w:r w:rsidR="006B765F" w:rsidRPr="008E056F">
              <w:rPr>
                <w:rFonts w:asciiTheme="minorHAnsi" w:hAnsiTheme="minorHAnsi" w:cstheme="minorHAnsi"/>
                <w:sz w:val="18"/>
                <w:szCs w:val="18"/>
              </w:rPr>
              <w:t>ranice pro ocenění jiného drobného dlouhodobého hmotného majetku jsou 1 Kč až 2 999 Kč</w:t>
            </w:r>
          </w:p>
        </w:tc>
      </w:tr>
      <w:tr w:rsidR="006B765F" w:rsidRPr="001C5920" w14:paraId="06A677D7" w14:textId="77777777" w:rsidTr="00C3356D">
        <w:trPr>
          <w:trHeight w:val="352"/>
        </w:trPr>
        <w:tc>
          <w:tcPr>
            <w:tcW w:w="3070" w:type="dxa"/>
            <w:vAlign w:val="center"/>
          </w:tcPr>
          <w:p w14:paraId="03FCB70F" w14:textId="77777777" w:rsidR="006B765F" w:rsidRPr="008E056F" w:rsidRDefault="006B765F" w:rsidP="00C3356D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E056F">
              <w:rPr>
                <w:rFonts w:asciiTheme="minorHAnsi" w:hAnsiTheme="minorHAnsi" w:cstheme="minorHAnsi"/>
                <w:b/>
                <w:sz w:val="18"/>
                <w:szCs w:val="18"/>
              </w:rPr>
              <w:t>Vyřazené pohledávky</w:t>
            </w:r>
            <w:r w:rsidRPr="008E056F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účet</w:t>
            </w:r>
            <w:r w:rsidRPr="008E056F">
              <w:rPr>
                <w:rFonts w:asciiTheme="minorHAnsi" w:hAnsiTheme="minorHAnsi" w:cstheme="minorHAnsi"/>
                <w:sz w:val="18"/>
                <w:szCs w:val="18"/>
              </w:rPr>
              <w:t xml:space="preserve"> 905)</w:t>
            </w:r>
          </w:p>
        </w:tc>
        <w:tc>
          <w:tcPr>
            <w:tcW w:w="3070" w:type="dxa"/>
            <w:vAlign w:val="center"/>
          </w:tcPr>
          <w:p w14:paraId="110776EB" w14:textId="5896137F" w:rsidR="006B765F" w:rsidRPr="008E056F" w:rsidRDefault="00891100" w:rsidP="00C3356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6B765F" w:rsidRPr="008E056F">
              <w:rPr>
                <w:rFonts w:asciiTheme="minorHAnsi" w:hAnsiTheme="minorHAnsi" w:cstheme="minorHAnsi"/>
                <w:sz w:val="18"/>
                <w:szCs w:val="18"/>
              </w:rPr>
              <w:t>ení stanovena</w:t>
            </w:r>
          </w:p>
        </w:tc>
        <w:tc>
          <w:tcPr>
            <w:tcW w:w="3070" w:type="dxa"/>
            <w:vAlign w:val="center"/>
          </w:tcPr>
          <w:p w14:paraId="6669DF40" w14:textId="1076E1B5" w:rsidR="006B765F" w:rsidRPr="008E056F" w:rsidRDefault="00891100" w:rsidP="00C3356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</w:t>
            </w:r>
            <w:r w:rsidR="006B765F" w:rsidRPr="008E056F">
              <w:rPr>
                <w:rFonts w:asciiTheme="minorHAnsi" w:hAnsiTheme="minorHAnsi" w:cstheme="minorHAnsi"/>
                <w:sz w:val="18"/>
                <w:szCs w:val="18"/>
              </w:rPr>
              <w:t>odnota vyřazené pohledávky</w:t>
            </w:r>
          </w:p>
        </w:tc>
      </w:tr>
      <w:tr w:rsidR="006B765F" w:rsidRPr="001C5920" w14:paraId="08B866EE" w14:textId="77777777" w:rsidTr="00C3356D">
        <w:tc>
          <w:tcPr>
            <w:tcW w:w="3070" w:type="dxa"/>
            <w:vAlign w:val="center"/>
          </w:tcPr>
          <w:p w14:paraId="3B502190" w14:textId="3BBD85D1" w:rsidR="006B765F" w:rsidRPr="008E056F" w:rsidRDefault="006B765F" w:rsidP="00C3356D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E056F">
              <w:rPr>
                <w:rFonts w:asciiTheme="minorHAnsi" w:hAnsiTheme="minorHAnsi" w:cstheme="minorHAnsi"/>
                <w:b/>
                <w:sz w:val="18"/>
                <w:szCs w:val="18"/>
              </w:rPr>
              <w:t>Podmíněné pohledávky z</w:t>
            </w:r>
            <w:r w:rsidR="002D35E9">
              <w:rPr>
                <w:rFonts w:asciiTheme="minorHAnsi" w:hAnsiTheme="minorHAnsi" w:cstheme="minorHAnsi"/>
                <w:b/>
                <w:sz w:val="18"/>
                <w:szCs w:val="18"/>
              </w:rPr>
              <w:t> </w:t>
            </w:r>
            <w:r w:rsidR="00C74485">
              <w:rPr>
                <w:rFonts w:asciiTheme="minorHAnsi" w:hAnsiTheme="minorHAnsi" w:cstheme="minorHAnsi"/>
                <w:b/>
                <w:sz w:val="18"/>
                <w:szCs w:val="18"/>
              </w:rPr>
              <w:t>jiných</w:t>
            </w:r>
            <w:r w:rsidR="002D35E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8E056F">
              <w:rPr>
                <w:rFonts w:asciiTheme="minorHAnsi" w:hAnsiTheme="minorHAnsi" w:cstheme="minorHAnsi"/>
                <w:b/>
                <w:sz w:val="18"/>
                <w:szCs w:val="18"/>
              </w:rPr>
              <w:t>smluv</w:t>
            </w:r>
            <w:r w:rsidRPr="008E056F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úč</w:t>
            </w:r>
            <w:r w:rsidR="00891100">
              <w:rPr>
                <w:rFonts w:asciiTheme="minorHAnsi" w:hAnsiTheme="minorHAnsi" w:cstheme="minorHAnsi"/>
                <w:sz w:val="18"/>
                <w:szCs w:val="18"/>
              </w:rPr>
              <w:t>ty</w:t>
            </w:r>
            <w:r w:rsidRPr="008E056F">
              <w:rPr>
                <w:rFonts w:asciiTheme="minorHAnsi" w:hAnsiTheme="minorHAnsi" w:cstheme="minorHAnsi"/>
                <w:sz w:val="18"/>
                <w:szCs w:val="18"/>
              </w:rPr>
              <w:t xml:space="preserve"> 933 a 934)</w:t>
            </w:r>
          </w:p>
        </w:tc>
        <w:tc>
          <w:tcPr>
            <w:tcW w:w="3070" w:type="dxa"/>
            <w:vAlign w:val="center"/>
          </w:tcPr>
          <w:p w14:paraId="0C245C78" w14:textId="70C36B14" w:rsidR="006B765F" w:rsidRPr="008E056F" w:rsidRDefault="00891100" w:rsidP="00C3356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="006B765F" w:rsidRPr="008E056F">
              <w:rPr>
                <w:rFonts w:asciiTheme="minorHAnsi" w:hAnsiTheme="minorHAnsi" w:cstheme="minorHAnsi"/>
                <w:sz w:val="18"/>
                <w:szCs w:val="18"/>
              </w:rPr>
              <w:t>oční částka nad 50 000 Kč</w:t>
            </w:r>
          </w:p>
        </w:tc>
        <w:tc>
          <w:tcPr>
            <w:tcW w:w="3070" w:type="dxa"/>
            <w:vAlign w:val="center"/>
          </w:tcPr>
          <w:p w14:paraId="69FC222F" w14:textId="13EFDB66" w:rsidR="006B765F" w:rsidRPr="008E056F" w:rsidRDefault="00891100" w:rsidP="00C3356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="006B765F" w:rsidRPr="008E056F">
              <w:rPr>
                <w:rFonts w:asciiTheme="minorHAnsi" w:hAnsiTheme="minorHAnsi" w:cstheme="minorHAnsi"/>
                <w:sz w:val="18"/>
                <w:szCs w:val="18"/>
              </w:rPr>
              <w:t xml:space="preserve"> případě smluv uzavřených na dobu neurčitou se při stanovení výše dlouhodobé podmíněné pohledávky vychází z předpokladu, že smlouva bude pokračovat další 2 roky</w:t>
            </w:r>
          </w:p>
        </w:tc>
      </w:tr>
      <w:tr w:rsidR="006B765F" w:rsidRPr="001C5920" w14:paraId="75D110C7" w14:textId="77777777" w:rsidTr="00C3356D">
        <w:tc>
          <w:tcPr>
            <w:tcW w:w="3070" w:type="dxa"/>
            <w:vAlign w:val="center"/>
          </w:tcPr>
          <w:p w14:paraId="2551639F" w14:textId="73C098B7" w:rsidR="006B765F" w:rsidRPr="008E056F" w:rsidRDefault="006B765F" w:rsidP="00C3356D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E056F">
              <w:rPr>
                <w:rFonts w:asciiTheme="minorHAnsi" w:hAnsiTheme="minorHAnsi" w:cstheme="minorHAnsi"/>
                <w:b/>
                <w:sz w:val="18"/>
                <w:szCs w:val="18"/>
              </w:rPr>
              <w:t>Podmíněné pohledávky z</w:t>
            </w:r>
            <w:r w:rsidR="002D35E9">
              <w:rPr>
                <w:rFonts w:asciiTheme="minorHAnsi" w:hAnsiTheme="minorHAnsi" w:cstheme="minorHAnsi"/>
                <w:b/>
                <w:sz w:val="18"/>
                <w:szCs w:val="18"/>
              </w:rPr>
              <w:t>e soudních sporů, správních řízení a jiných řízení</w:t>
            </w:r>
            <w:r w:rsidRPr="008E056F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úč</w:t>
            </w:r>
            <w:r w:rsidR="00891100">
              <w:rPr>
                <w:rFonts w:asciiTheme="minorHAnsi" w:hAnsiTheme="minorHAnsi" w:cstheme="minorHAnsi"/>
                <w:sz w:val="18"/>
                <w:szCs w:val="18"/>
              </w:rPr>
              <w:t>ty</w:t>
            </w:r>
            <w:r w:rsidRPr="008E056F">
              <w:rPr>
                <w:rFonts w:asciiTheme="minorHAnsi" w:hAnsiTheme="minorHAnsi" w:cstheme="minorHAnsi"/>
                <w:sz w:val="18"/>
                <w:szCs w:val="18"/>
              </w:rPr>
              <w:t xml:space="preserve"> 947 a 948)</w:t>
            </w:r>
          </w:p>
        </w:tc>
        <w:tc>
          <w:tcPr>
            <w:tcW w:w="3070" w:type="dxa"/>
            <w:vAlign w:val="center"/>
          </w:tcPr>
          <w:p w14:paraId="3E679637" w14:textId="3EAF9B51" w:rsidR="006B765F" w:rsidRPr="008E056F" w:rsidRDefault="00891100" w:rsidP="00C3356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6B765F" w:rsidRPr="008E056F">
              <w:rPr>
                <w:rFonts w:asciiTheme="minorHAnsi" w:hAnsiTheme="minorHAnsi" w:cstheme="minorHAnsi"/>
                <w:sz w:val="18"/>
                <w:szCs w:val="18"/>
              </w:rPr>
              <w:t>ení stanovena</w:t>
            </w:r>
          </w:p>
        </w:tc>
        <w:tc>
          <w:tcPr>
            <w:tcW w:w="3070" w:type="dxa"/>
            <w:vAlign w:val="center"/>
          </w:tcPr>
          <w:p w14:paraId="26FA9273" w14:textId="71E64F8F" w:rsidR="006B765F" w:rsidRPr="008E056F" w:rsidRDefault="00891100" w:rsidP="00C3356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6B765F" w:rsidRPr="008E056F">
              <w:rPr>
                <w:rFonts w:asciiTheme="minorHAnsi" w:hAnsiTheme="minorHAnsi" w:cstheme="minorHAnsi"/>
                <w:sz w:val="18"/>
                <w:szCs w:val="18"/>
              </w:rPr>
              <w:t>valifikovaný odhad, který vychází z průměrné skutečnosti zaúčtované za období 3 let; pravidlo 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6B765F" w:rsidRPr="008E056F">
              <w:rPr>
                <w:rFonts w:asciiTheme="minorHAnsi" w:hAnsiTheme="minorHAnsi" w:cstheme="minorHAnsi"/>
                <w:sz w:val="18"/>
                <w:szCs w:val="18"/>
              </w:rPr>
              <w:t>+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6B765F" w:rsidRPr="008E056F">
              <w:rPr>
                <w:rFonts w:asciiTheme="minorHAnsi" w:hAnsiTheme="minorHAnsi" w:cstheme="minorHAnsi"/>
                <w:sz w:val="18"/>
                <w:szCs w:val="18"/>
              </w:rPr>
              <w:t xml:space="preserve">2; v průběhu roku je prováděno snížení krátkodobých podmíněných pohledávek ve výši 25 % odhadu vždy k datu tzv. mezitímní účetní závěrky </w:t>
            </w:r>
          </w:p>
        </w:tc>
      </w:tr>
      <w:tr w:rsidR="006B765F" w:rsidRPr="001C5920" w14:paraId="6623FD7F" w14:textId="77777777" w:rsidTr="00C3356D">
        <w:tc>
          <w:tcPr>
            <w:tcW w:w="3070" w:type="dxa"/>
            <w:vAlign w:val="center"/>
          </w:tcPr>
          <w:p w14:paraId="707D9BAD" w14:textId="2B8718B0" w:rsidR="006B765F" w:rsidRPr="008E056F" w:rsidRDefault="006B765F" w:rsidP="00C3356D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E056F">
              <w:rPr>
                <w:rFonts w:asciiTheme="minorHAnsi" w:hAnsiTheme="minorHAnsi" w:cstheme="minorHAnsi"/>
                <w:b/>
                <w:sz w:val="18"/>
                <w:szCs w:val="18"/>
              </w:rPr>
              <w:t>Podmíněné závazky z</w:t>
            </w:r>
            <w:r w:rsidR="002D35E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 </w:t>
            </w:r>
            <w:r w:rsidRPr="008E056F">
              <w:rPr>
                <w:rFonts w:asciiTheme="minorHAnsi" w:hAnsiTheme="minorHAnsi" w:cstheme="minorHAnsi"/>
                <w:b/>
                <w:sz w:val="18"/>
                <w:szCs w:val="18"/>
              </w:rPr>
              <w:t>smluv</w:t>
            </w:r>
            <w:r w:rsidRPr="008E056F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úč</w:t>
            </w:r>
            <w:r w:rsidR="00891100">
              <w:rPr>
                <w:rFonts w:asciiTheme="minorHAnsi" w:hAnsiTheme="minorHAnsi" w:cstheme="minorHAnsi"/>
                <w:sz w:val="18"/>
                <w:szCs w:val="18"/>
              </w:rPr>
              <w:t>ty</w:t>
            </w:r>
            <w:r w:rsidRPr="008E056F">
              <w:rPr>
                <w:rFonts w:asciiTheme="minorHAnsi" w:hAnsiTheme="minorHAnsi" w:cstheme="minorHAnsi"/>
                <w:sz w:val="18"/>
                <w:szCs w:val="18"/>
              </w:rPr>
              <w:t xml:space="preserve"> 971 až 974)</w:t>
            </w:r>
          </w:p>
        </w:tc>
        <w:tc>
          <w:tcPr>
            <w:tcW w:w="3070" w:type="dxa"/>
            <w:vAlign w:val="center"/>
          </w:tcPr>
          <w:p w14:paraId="1DCA1F94" w14:textId="78CAD59A" w:rsidR="006B765F" w:rsidRPr="008E056F" w:rsidRDefault="00891100" w:rsidP="00C3356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="006B765F" w:rsidRPr="008E056F">
              <w:rPr>
                <w:rFonts w:asciiTheme="minorHAnsi" w:hAnsiTheme="minorHAnsi" w:cstheme="minorHAnsi"/>
                <w:sz w:val="18"/>
                <w:szCs w:val="18"/>
              </w:rPr>
              <w:t>oční částka nad 1 000 000 Kč</w:t>
            </w:r>
          </w:p>
        </w:tc>
        <w:tc>
          <w:tcPr>
            <w:tcW w:w="3070" w:type="dxa"/>
            <w:vAlign w:val="center"/>
          </w:tcPr>
          <w:p w14:paraId="6E2A419C" w14:textId="18716198" w:rsidR="006B765F" w:rsidRPr="008E056F" w:rsidRDefault="00891100" w:rsidP="00C3356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="006B765F" w:rsidRPr="008E056F">
              <w:rPr>
                <w:rFonts w:asciiTheme="minorHAnsi" w:hAnsiTheme="minorHAnsi" w:cstheme="minorHAnsi"/>
                <w:sz w:val="18"/>
                <w:szCs w:val="18"/>
              </w:rPr>
              <w:t> případě smluv uzavřených na dobu neurčitou se při stanovení výše dlouhodobého podmíněného závazku vychází z předpokladu, že smlouva bude pokračovat další dva roky</w:t>
            </w:r>
          </w:p>
        </w:tc>
      </w:tr>
      <w:tr w:rsidR="006B765F" w:rsidRPr="001C5920" w14:paraId="10501E23" w14:textId="77777777" w:rsidTr="00C3356D">
        <w:tc>
          <w:tcPr>
            <w:tcW w:w="3070" w:type="dxa"/>
            <w:vAlign w:val="center"/>
          </w:tcPr>
          <w:p w14:paraId="0DC0ECD9" w14:textId="50B9C661" w:rsidR="006B765F" w:rsidRPr="008E056F" w:rsidRDefault="006B765F" w:rsidP="00C3356D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E056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Podmíněné závazky </w:t>
            </w:r>
            <w:r w:rsidR="002D35E9">
              <w:rPr>
                <w:rFonts w:asciiTheme="minorHAnsi" w:hAnsiTheme="minorHAnsi" w:cstheme="minorHAnsi"/>
                <w:b/>
                <w:sz w:val="18"/>
                <w:szCs w:val="18"/>
              </w:rPr>
              <w:t>z právních předpisů a další činnosti moci zákonodárné, výkonné nebo soudní</w:t>
            </w:r>
            <w:r w:rsidRPr="008E056F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úč</w:t>
            </w:r>
            <w:r w:rsidR="00891100">
              <w:rPr>
                <w:rFonts w:asciiTheme="minorHAnsi" w:hAnsiTheme="minorHAnsi" w:cstheme="minorHAnsi"/>
                <w:sz w:val="18"/>
                <w:szCs w:val="18"/>
              </w:rPr>
              <w:t>ty</w:t>
            </w:r>
            <w:r w:rsidRPr="008E056F">
              <w:rPr>
                <w:rFonts w:asciiTheme="minorHAnsi" w:hAnsiTheme="minorHAnsi" w:cstheme="minorHAnsi"/>
                <w:sz w:val="18"/>
                <w:szCs w:val="18"/>
              </w:rPr>
              <w:t xml:space="preserve"> 978 a 979)</w:t>
            </w:r>
          </w:p>
        </w:tc>
        <w:tc>
          <w:tcPr>
            <w:tcW w:w="3070" w:type="dxa"/>
            <w:vAlign w:val="center"/>
          </w:tcPr>
          <w:p w14:paraId="3D4AF00A" w14:textId="01FC5FFE" w:rsidR="006B765F" w:rsidRPr="008E056F" w:rsidRDefault="00891100" w:rsidP="00C3356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6B765F" w:rsidRPr="008E056F">
              <w:rPr>
                <w:rFonts w:asciiTheme="minorHAnsi" w:hAnsiTheme="minorHAnsi" w:cstheme="minorHAnsi"/>
                <w:sz w:val="18"/>
                <w:szCs w:val="18"/>
              </w:rPr>
              <w:t>ení stanovena</w:t>
            </w:r>
          </w:p>
        </w:tc>
        <w:tc>
          <w:tcPr>
            <w:tcW w:w="3070" w:type="dxa"/>
            <w:vAlign w:val="center"/>
          </w:tcPr>
          <w:p w14:paraId="7EE773BD" w14:textId="49FB4434" w:rsidR="006B765F" w:rsidRPr="008E056F" w:rsidRDefault="00891100" w:rsidP="00C3356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6B765F" w:rsidRPr="008E056F">
              <w:rPr>
                <w:rFonts w:asciiTheme="minorHAnsi" w:hAnsiTheme="minorHAnsi" w:cstheme="minorHAnsi"/>
                <w:sz w:val="18"/>
                <w:szCs w:val="18"/>
              </w:rPr>
              <w:t>valifikovaný odhad, který vychází z průměrné skutečnosti zaúčtované za období 3 let; pravidlo 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6B765F" w:rsidRPr="008E056F">
              <w:rPr>
                <w:rFonts w:asciiTheme="minorHAnsi" w:hAnsiTheme="minorHAnsi" w:cstheme="minorHAnsi"/>
                <w:sz w:val="18"/>
                <w:szCs w:val="18"/>
              </w:rPr>
              <w:t>+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6B765F" w:rsidRPr="008E056F">
              <w:rPr>
                <w:rFonts w:asciiTheme="minorHAnsi" w:hAnsiTheme="minorHAnsi" w:cstheme="minorHAnsi"/>
                <w:sz w:val="18"/>
                <w:szCs w:val="18"/>
              </w:rPr>
              <w:t xml:space="preserve">2; v průběhu roku je prováděno snížení krátkodobých podmíněných závazků ve výši 25 % odhadu vždy k datu tzv. mezitímní účetní závěrky </w:t>
            </w:r>
          </w:p>
        </w:tc>
      </w:tr>
      <w:tr w:rsidR="006B765F" w:rsidRPr="001C5920" w14:paraId="08170AFA" w14:textId="77777777" w:rsidTr="00C3356D">
        <w:tc>
          <w:tcPr>
            <w:tcW w:w="3070" w:type="dxa"/>
            <w:vAlign w:val="center"/>
          </w:tcPr>
          <w:p w14:paraId="6CA0DD95" w14:textId="477449D2" w:rsidR="006B765F" w:rsidRPr="008E056F" w:rsidRDefault="006B765F" w:rsidP="00C3356D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E056F">
              <w:rPr>
                <w:rFonts w:asciiTheme="minorHAnsi" w:hAnsiTheme="minorHAnsi" w:cstheme="minorHAnsi"/>
                <w:b/>
                <w:sz w:val="18"/>
                <w:szCs w:val="18"/>
              </w:rPr>
              <w:t>Podmíněné závazky z</w:t>
            </w:r>
            <w:r w:rsidR="002D35E9">
              <w:rPr>
                <w:rFonts w:asciiTheme="minorHAnsi" w:hAnsiTheme="minorHAnsi" w:cstheme="minorHAnsi"/>
                <w:b/>
                <w:sz w:val="18"/>
                <w:szCs w:val="18"/>
              </w:rPr>
              <w:t> </w:t>
            </w:r>
            <w:r w:rsidRPr="008E056F">
              <w:rPr>
                <w:rFonts w:asciiTheme="minorHAnsi" w:hAnsiTheme="minorHAnsi" w:cstheme="minorHAnsi"/>
                <w:b/>
                <w:sz w:val="18"/>
                <w:szCs w:val="18"/>
              </w:rPr>
              <w:t>užívání cizího majetku na základě smlouvy o</w:t>
            </w:r>
            <w:r w:rsidR="00891100">
              <w:rPr>
                <w:rFonts w:asciiTheme="minorHAnsi" w:hAnsiTheme="minorHAnsi" w:cstheme="minorHAnsi"/>
                <w:b/>
                <w:sz w:val="18"/>
                <w:szCs w:val="18"/>
              </w:rPr>
              <w:t> </w:t>
            </w:r>
            <w:r w:rsidRPr="008E056F">
              <w:rPr>
                <w:rFonts w:asciiTheme="minorHAnsi" w:hAnsiTheme="minorHAnsi" w:cstheme="minorHAnsi"/>
                <w:b/>
                <w:sz w:val="18"/>
                <w:szCs w:val="18"/>
              </w:rPr>
              <w:t>výpůjčce</w:t>
            </w:r>
            <w:r w:rsidRPr="008E056F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účet</w:t>
            </w:r>
            <w:r w:rsidRPr="008E056F">
              <w:rPr>
                <w:rFonts w:asciiTheme="minorHAnsi" w:hAnsiTheme="minorHAnsi" w:cstheme="minorHAnsi"/>
                <w:sz w:val="18"/>
                <w:szCs w:val="18"/>
              </w:rPr>
              <w:t xml:space="preserve"> 966)</w:t>
            </w:r>
          </w:p>
        </w:tc>
        <w:tc>
          <w:tcPr>
            <w:tcW w:w="3070" w:type="dxa"/>
            <w:vAlign w:val="center"/>
          </w:tcPr>
          <w:p w14:paraId="72619829" w14:textId="5340E058" w:rsidR="006B765F" w:rsidRPr="008E056F" w:rsidRDefault="00891100" w:rsidP="00C3356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6B765F" w:rsidRPr="008E056F">
              <w:rPr>
                <w:rFonts w:asciiTheme="minorHAnsi" w:hAnsiTheme="minorHAnsi" w:cstheme="minorHAnsi"/>
                <w:sz w:val="18"/>
                <w:szCs w:val="18"/>
              </w:rPr>
              <w:t>ení stanovena</w:t>
            </w:r>
          </w:p>
        </w:tc>
        <w:tc>
          <w:tcPr>
            <w:tcW w:w="3070" w:type="dxa"/>
            <w:vAlign w:val="center"/>
          </w:tcPr>
          <w:p w14:paraId="251740A0" w14:textId="7AEB6EC0" w:rsidR="006B765F" w:rsidRPr="008E056F" w:rsidRDefault="00891100" w:rsidP="00C3356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="006B765F" w:rsidRPr="008E056F">
              <w:rPr>
                <w:rFonts w:asciiTheme="minorHAnsi" w:hAnsiTheme="minorHAnsi" w:cstheme="minorHAnsi"/>
                <w:sz w:val="18"/>
                <w:szCs w:val="18"/>
              </w:rPr>
              <w:t xml:space="preserve">e výši případného peněžitého plnění </w:t>
            </w:r>
          </w:p>
        </w:tc>
      </w:tr>
      <w:tr w:rsidR="006B765F" w:rsidRPr="001C5920" w14:paraId="0B31E7F2" w14:textId="77777777" w:rsidTr="00C3356D">
        <w:trPr>
          <w:trHeight w:val="358"/>
        </w:trPr>
        <w:tc>
          <w:tcPr>
            <w:tcW w:w="3070" w:type="dxa"/>
            <w:vAlign w:val="center"/>
          </w:tcPr>
          <w:p w14:paraId="770CCBEB" w14:textId="77777777" w:rsidR="006B765F" w:rsidRPr="008E056F" w:rsidRDefault="006B765F" w:rsidP="00C3356D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E056F">
              <w:rPr>
                <w:rFonts w:asciiTheme="minorHAnsi" w:hAnsiTheme="minorHAnsi" w:cstheme="minorHAnsi"/>
                <w:b/>
                <w:sz w:val="18"/>
                <w:szCs w:val="18"/>
              </w:rPr>
              <w:t>Ostatní podmíněná pasiva</w:t>
            </w:r>
            <w:r w:rsidRPr="008E056F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účet</w:t>
            </w:r>
            <w:r w:rsidRPr="008E056F">
              <w:rPr>
                <w:rFonts w:asciiTheme="minorHAnsi" w:hAnsiTheme="minorHAnsi" w:cstheme="minorHAnsi"/>
                <w:sz w:val="18"/>
                <w:szCs w:val="18"/>
              </w:rPr>
              <w:t xml:space="preserve"> 994)</w:t>
            </w:r>
          </w:p>
        </w:tc>
        <w:tc>
          <w:tcPr>
            <w:tcW w:w="3070" w:type="dxa"/>
            <w:vAlign w:val="center"/>
          </w:tcPr>
          <w:p w14:paraId="40F7F1EE" w14:textId="3504B356" w:rsidR="006B765F" w:rsidRPr="008E056F" w:rsidRDefault="00891100" w:rsidP="00C3356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6B765F" w:rsidRPr="008E056F">
              <w:rPr>
                <w:rFonts w:asciiTheme="minorHAnsi" w:hAnsiTheme="minorHAnsi" w:cstheme="minorHAnsi"/>
                <w:sz w:val="18"/>
                <w:szCs w:val="18"/>
              </w:rPr>
              <w:t>ení stanovena</w:t>
            </w:r>
          </w:p>
        </w:tc>
        <w:tc>
          <w:tcPr>
            <w:tcW w:w="3070" w:type="dxa"/>
            <w:vAlign w:val="center"/>
          </w:tcPr>
          <w:p w14:paraId="0308FF2C" w14:textId="1060C030" w:rsidR="006B765F" w:rsidRPr="008E056F" w:rsidRDefault="00891100" w:rsidP="00C3356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="006B765F" w:rsidRPr="008E056F">
              <w:rPr>
                <w:rFonts w:asciiTheme="minorHAnsi" w:hAnsiTheme="minorHAnsi" w:cstheme="minorHAnsi"/>
                <w:sz w:val="18"/>
                <w:szCs w:val="18"/>
              </w:rPr>
              <w:t>e výši přeplatku pohledávky</w:t>
            </w:r>
          </w:p>
        </w:tc>
      </w:tr>
      <w:tr w:rsidR="006B765F" w:rsidRPr="001C5920" w14:paraId="64C8D126" w14:textId="77777777" w:rsidTr="00C3356D">
        <w:tc>
          <w:tcPr>
            <w:tcW w:w="3070" w:type="dxa"/>
            <w:vAlign w:val="center"/>
          </w:tcPr>
          <w:p w14:paraId="149BE1CC" w14:textId="6AB9B206" w:rsidR="006B765F" w:rsidRPr="008E056F" w:rsidRDefault="006B765F" w:rsidP="00C3356D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8E056F">
              <w:rPr>
                <w:rFonts w:asciiTheme="minorHAnsi" w:hAnsiTheme="minorHAnsi" w:cstheme="minorHAnsi"/>
                <w:b/>
                <w:sz w:val="18"/>
                <w:szCs w:val="18"/>
              </w:rPr>
              <w:t>Podmíněné závazky ze soudních sporů</w:t>
            </w:r>
            <w:r w:rsidR="002D35E9">
              <w:rPr>
                <w:rFonts w:asciiTheme="minorHAnsi" w:hAnsiTheme="minorHAnsi" w:cstheme="minorHAnsi"/>
                <w:b/>
                <w:sz w:val="18"/>
                <w:szCs w:val="18"/>
              </w:rPr>
              <w:t>, správních řízení a jiných řízení</w:t>
            </w:r>
            <w:r w:rsidRPr="008E056F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úč</w:t>
            </w:r>
            <w:r w:rsidR="00891100">
              <w:rPr>
                <w:rFonts w:asciiTheme="minorHAnsi" w:hAnsiTheme="minorHAnsi" w:cstheme="minorHAnsi"/>
                <w:sz w:val="18"/>
                <w:szCs w:val="18"/>
              </w:rPr>
              <w:t>ty</w:t>
            </w:r>
            <w:r w:rsidRPr="008E056F">
              <w:rPr>
                <w:rFonts w:asciiTheme="minorHAnsi" w:hAnsiTheme="minorHAnsi" w:cstheme="minorHAnsi"/>
                <w:sz w:val="18"/>
                <w:szCs w:val="18"/>
              </w:rPr>
              <w:t xml:space="preserve"> 985 a 986)</w:t>
            </w:r>
          </w:p>
        </w:tc>
        <w:tc>
          <w:tcPr>
            <w:tcW w:w="3070" w:type="dxa"/>
            <w:vAlign w:val="center"/>
          </w:tcPr>
          <w:p w14:paraId="3B320007" w14:textId="77777777" w:rsidR="006B765F" w:rsidRPr="008E056F" w:rsidRDefault="006B765F" w:rsidP="00C3356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56F">
              <w:rPr>
                <w:rFonts w:asciiTheme="minorHAnsi" w:hAnsiTheme="minorHAnsi" w:cstheme="minorHAnsi"/>
                <w:sz w:val="18"/>
                <w:szCs w:val="18"/>
              </w:rPr>
              <w:t>1 000 000 Kč, míra pravděpodobnosti nad 25 %</w:t>
            </w:r>
          </w:p>
        </w:tc>
        <w:tc>
          <w:tcPr>
            <w:tcW w:w="3070" w:type="dxa"/>
            <w:vAlign w:val="center"/>
          </w:tcPr>
          <w:p w14:paraId="0837EE97" w14:textId="70EF800C" w:rsidR="006B765F" w:rsidRPr="008E056F" w:rsidRDefault="00891100" w:rsidP="00C3356D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6B765F" w:rsidRPr="008E056F">
              <w:rPr>
                <w:rFonts w:asciiTheme="minorHAnsi" w:hAnsiTheme="minorHAnsi" w:cstheme="minorHAnsi"/>
                <w:sz w:val="18"/>
                <w:szCs w:val="18"/>
              </w:rPr>
              <w:t>valifikovaný odhad</w:t>
            </w:r>
          </w:p>
        </w:tc>
      </w:tr>
    </w:tbl>
    <w:p w14:paraId="070C84C9" w14:textId="77777777" w:rsidR="006B765F" w:rsidRPr="0067174F" w:rsidRDefault="006B765F" w:rsidP="00DF6AD0">
      <w:pPr>
        <w:spacing w:before="40" w:after="240"/>
        <w:jc w:val="both"/>
        <w:rPr>
          <w:rFonts w:asciiTheme="minorHAnsi" w:hAnsiTheme="minorHAnsi" w:cstheme="minorHAnsi"/>
          <w:sz w:val="20"/>
          <w:szCs w:val="20"/>
        </w:rPr>
      </w:pPr>
      <w:r w:rsidRPr="0067174F">
        <w:rPr>
          <w:rFonts w:asciiTheme="minorHAnsi" w:hAnsiTheme="minorHAnsi" w:cstheme="minorHAnsi"/>
          <w:b/>
          <w:sz w:val="20"/>
          <w:szCs w:val="20"/>
        </w:rPr>
        <w:t>Zdroj</w:t>
      </w:r>
      <w:r w:rsidRPr="00DF6AD0">
        <w:rPr>
          <w:rFonts w:asciiTheme="minorHAnsi" w:hAnsiTheme="minorHAnsi" w:cstheme="minorHAnsi"/>
          <w:b/>
          <w:sz w:val="20"/>
          <w:szCs w:val="20"/>
        </w:rPr>
        <w:t>:</w:t>
      </w:r>
      <w:r w:rsidRPr="0067174F">
        <w:rPr>
          <w:rFonts w:asciiTheme="minorHAnsi" w:hAnsiTheme="minorHAnsi" w:cstheme="minorHAnsi"/>
          <w:sz w:val="20"/>
          <w:szCs w:val="20"/>
        </w:rPr>
        <w:t xml:space="preserve"> vnitřní předpisy MS Praha, ÚZ, vyjádření MS Praha</w:t>
      </w:r>
      <w:r w:rsidR="003E6E79">
        <w:rPr>
          <w:rFonts w:asciiTheme="minorHAnsi" w:hAnsiTheme="minorHAnsi" w:cstheme="minorHAnsi"/>
          <w:sz w:val="20"/>
          <w:szCs w:val="20"/>
        </w:rPr>
        <w:t>.</w:t>
      </w:r>
    </w:p>
    <w:p w14:paraId="064ECEAB" w14:textId="23C90018" w:rsidR="006B765F" w:rsidRDefault="00687B75" w:rsidP="006B765F">
      <w:pPr>
        <w:jc w:val="both"/>
        <w:rPr>
          <w:rFonts w:asciiTheme="minorHAnsi" w:hAnsiTheme="minorHAnsi" w:cstheme="minorHAnsi"/>
        </w:rPr>
      </w:pPr>
      <w:r>
        <w:t xml:space="preserve">Z celkového počtu účetních zápisů, které </w:t>
      </w:r>
      <w:r w:rsidR="006B765F" w:rsidRPr="00410109">
        <w:t>MS Praha</w:t>
      </w:r>
      <w:r>
        <w:t xml:space="preserve"> v</w:t>
      </w:r>
      <w:r w:rsidR="00891100">
        <w:t xml:space="preserve"> </w:t>
      </w:r>
      <w:r>
        <w:t>roce 2022</w:t>
      </w:r>
      <w:r w:rsidR="006B765F" w:rsidRPr="00410109">
        <w:t xml:space="preserve"> zaúčtoval</w:t>
      </w:r>
      <w:r w:rsidR="00CA69AB">
        <w:t>,</w:t>
      </w:r>
      <w:r w:rsidR="006B765F" w:rsidRPr="00410109">
        <w:t xml:space="preserve"> se</w:t>
      </w:r>
      <w:r w:rsidR="00CA69AB">
        <w:t xml:space="preserve"> </w:t>
      </w:r>
      <w:r w:rsidR="00CA69AB" w:rsidRPr="00CA69AB">
        <w:t>5 %</w:t>
      </w:r>
      <w:r w:rsidR="006B765F" w:rsidRPr="00410109">
        <w:t xml:space="preserve"> </w:t>
      </w:r>
      <w:r w:rsidR="00CA69AB">
        <w:t>t</w:t>
      </w:r>
      <w:r w:rsidR="006B765F" w:rsidRPr="00410109">
        <w:t>ýkalo podrozvahových účtů</w:t>
      </w:r>
      <w:r w:rsidR="00B23260">
        <w:t>.</w:t>
      </w:r>
      <w:r w:rsidR="00CA69AB">
        <w:rPr>
          <w:rStyle w:val="Znakapoznpodarou"/>
        </w:rPr>
        <w:footnoteReference w:id="30"/>
      </w:r>
      <w:r w:rsidR="006B765F" w:rsidRPr="00410109">
        <w:t xml:space="preserve"> </w:t>
      </w:r>
      <w:r w:rsidR="006B765F" w:rsidRPr="009776FE">
        <w:t>Celková výše zůstatků vykázaných na podrozvahových účtech MS</w:t>
      </w:r>
      <w:r w:rsidR="00891100">
        <w:t> </w:t>
      </w:r>
      <w:r w:rsidR="006B765F" w:rsidRPr="009776FE">
        <w:t>Praha se v letech 2020 až 2022 pohybovala v rozmezí 1,7 mld. Kč (v roce 2020) až 2</w:t>
      </w:r>
      <w:r w:rsidR="00891100">
        <w:t> </w:t>
      </w:r>
      <w:r w:rsidR="006B765F" w:rsidRPr="009776FE">
        <w:t>mld.</w:t>
      </w:r>
      <w:r w:rsidR="00891100">
        <w:t> </w:t>
      </w:r>
      <w:r w:rsidR="006B765F" w:rsidRPr="009776FE">
        <w:t>Kč (v letech 2021 a 2022)</w:t>
      </w:r>
      <w:r w:rsidR="006B765F">
        <w:t xml:space="preserve">. </w:t>
      </w:r>
      <w:r w:rsidR="006B765F" w:rsidRPr="00697E62">
        <w:rPr>
          <w:rFonts w:asciiTheme="minorHAnsi" w:hAnsiTheme="minorHAnsi" w:cstheme="minorHAnsi"/>
        </w:rPr>
        <w:t xml:space="preserve">Celková výše zůstatků vykázaných na podrozvahových účtech MS Praha </w:t>
      </w:r>
      <w:r w:rsidR="00891100">
        <w:rPr>
          <w:rFonts w:asciiTheme="minorHAnsi" w:hAnsiTheme="minorHAnsi" w:cstheme="minorHAnsi"/>
        </w:rPr>
        <w:t>v</w:t>
      </w:r>
      <w:r w:rsidR="006B765F" w:rsidRPr="00697E62">
        <w:rPr>
          <w:rFonts w:asciiTheme="minorHAnsi" w:hAnsiTheme="minorHAnsi" w:cstheme="minorHAnsi"/>
        </w:rPr>
        <w:t xml:space="preserve"> období 2020 až 2022 je významná i ve srovnání s</w:t>
      </w:r>
      <w:r w:rsidR="00891100">
        <w:rPr>
          <w:rFonts w:asciiTheme="minorHAnsi" w:hAnsiTheme="minorHAnsi" w:cstheme="minorHAnsi"/>
        </w:rPr>
        <w:t xml:space="preserve"> </w:t>
      </w:r>
      <w:r w:rsidR="006B765F" w:rsidRPr="00697E62">
        <w:rPr>
          <w:rFonts w:asciiTheme="minorHAnsi" w:hAnsiTheme="minorHAnsi" w:cstheme="minorHAnsi"/>
        </w:rPr>
        <w:t>celkovými rozvahovými aktivy a cizími zdroji. Mezi lety 2020 až 2022 se tento podíl pohyboval mezi 42 a 48 %, viz následující tabulka.</w:t>
      </w:r>
    </w:p>
    <w:p w14:paraId="185B19B7" w14:textId="77777777" w:rsidR="00F044C6" w:rsidRDefault="00F044C6">
      <w:pPr>
        <w:spacing w:after="160" w:line="259" w:lineRule="auto"/>
        <w:rPr>
          <w:rFonts w:cs="Calibri"/>
          <w:b/>
          <w:bCs/>
          <w:lang w:eastAsia="cs-CZ"/>
        </w:rPr>
      </w:pPr>
      <w:r>
        <w:rPr>
          <w:rFonts w:cs="Calibri"/>
          <w:b/>
          <w:bCs/>
          <w:lang w:eastAsia="cs-CZ"/>
        </w:rPr>
        <w:br w:type="page"/>
      </w:r>
    </w:p>
    <w:p w14:paraId="66770737" w14:textId="38BBAD14" w:rsidR="00EC7467" w:rsidRDefault="006B765F" w:rsidP="00DF6AD0">
      <w:pPr>
        <w:spacing w:after="40"/>
        <w:ind w:left="1304" w:hanging="1304"/>
        <w:jc w:val="both"/>
        <w:rPr>
          <w:rFonts w:cs="Calibri"/>
          <w:b/>
          <w:bCs/>
          <w:lang w:eastAsia="cs-CZ"/>
        </w:rPr>
      </w:pPr>
      <w:r w:rsidRPr="00697E62">
        <w:rPr>
          <w:rFonts w:cs="Calibri"/>
          <w:b/>
          <w:bCs/>
          <w:lang w:eastAsia="cs-CZ"/>
        </w:rPr>
        <w:lastRenderedPageBreak/>
        <w:t>Tabulka</w:t>
      </w:r>
      <w:r w:rsidR="00EC7467">
        <w:rPr>
          <w:rFonts w:cs="Calibri"/>
          <w:b/>
          <w:bCs/>
          <w:lang w:eastAsia="cs-CZ"/>
        </w:rPr>
        <w:t xml:space="preserve"> č.</w:t>
      </w:r>
      <w:r w:rsidRPr="00697E62">
        <w:rPr>
          <w:rFonts w:cs="Calibri"/>
          <w:b/>
          <w:bCs/>
          <w:lang w:eastAsia="cs-CZ"/>
        </w:rPr>
        <w:t xml:space="preserve"> </w:t>
      </w:r>
      <w:r w:rsidR="003942AE">
        <w:rPr>
          <w:rFonts w:cs="Calibri"/>
          <w:b/>
          <w:bCs/>
          <w:lang w:eastAsia="cs-CZ"/>
        </w:rPr>
        <w:t>3</w:t>
      </w:r>
      <w:r w:rsidRPr="00697E62">
        <w:rPr>
          <w:rFonts w:cs="Calibri"/>
          <w:b/>
          <w:bCs/>
          <w:lang w:eastAsia="cs-CZ"/>
        </w:rPr>
        <w:t xml:space="preserve">: </w:t>
      </w:r>
      <w:r w:rsidR="00EC7467">
        <w:rPr>
          <w:rFonts w:cs="Calibri"/>
          <w:b/>
          <w:bCs/>
          <w:lang w:eastAsia="cs-CZ"/>
        </w:rPr>
        <w:tab/>
      </w:r>
      <w:r w:rsidRPr="00697E62">
        <w:rPr>
          <w:rFonts w:cs="Calibri"/>
          <w:b/>
          <w:bCs/>
          <w:lang w:eastAsia="cs-CZ"/>
        </w:rPr>
        <w:t xml:space="preserve">Srovnání výše celkových zůstatků podrozvahových účtů s údaji o rozvahových </w:t>
      </w:r>
    </w:p>
    <w:p w14:paraId="79F63FAB" w14:textId="5BD86461" w:rsidR="006B765F" w:rsidRPr="00697E62" w:rsidRDefault="006B765F" w:rsidP="00DF6AD0">
      <w:pPr>
        <w:tabs>
          <w:tab w:val="right" w:pos="9070"/>
        </w:tabs>
        <w:spacing w:after="40"/>
        <w:ind w:left="1304"/>
        <w:jc w:val="both"/>
        <w:rPr>
          <w:rFonts w:cs="Calibri"/>
          <w:b/>
          <w:bCs/>
          <w:lang w:eastAsia="cs-CZ"/>
        </w:rPr>
      </w:pPr>
      <w:r w:rsidRPr="00697E62">
        <w:rPr>
          <w:rFonts w:cs="Calibri"/>
          <w:b/>
          <w:bCs/>
          <w:lang w:eastAsia="cs-CZ"/>
        </w:rPr>
        <w:t xml:space="preserve">aktivech a cizích zdrojích za roky 2020 až 2022 </w:t>
      </w:r>
      <w:r w:rsidR="00EC7467">
        <w:rPr>
          <w:rFonts w:cs="Calibri"/>
          <w:b/>
          <w:bCs/>
          <w:lang w:eastAsia="cs-CZ"/>
        </w:rPr>
        <w:tab/>
      </w:r>
      <w:r w:rsidRPr="00697E62">
        <w:rPr>
          <w:rFonts w:cs="Calibri"/>
          <w:b/>
          <w:bCs/>
          <w:lang w:eastAsia="cs-CZ"/>
        </w:rPr>
        <w:t xml:space="preserve">(v </w:t>
      </w:r>
      <w:r w:rsidR="00560835">
        <w:rPr>
          <w:rFonts w:cs="Calibri"/>
          <w:b/>
          <w:bCs/>
          <w:lang w:eastAsia="cs-CZ"/>
        </w:rPr>
        <w:t xml:space="preserve">mil. </w:t>
      </w:r>
      <w:r w:rsidRPr="00697E62">
        <w:rPr>
          <w:rFonts w:cs="Calibri"/>
          <w:b/>
          <w:bCs/>
          <w:lang w:eastAsia="cs-CZ"/>
        </w:rPr>
        <w:t xml:space="preserve">Kč, podíl v %) </w:t>
      </w:r>
    </w:p>
    <w:tbl>
      <w:tblPr>
        <w:tblStyle w:val="Mkatabulky"/>
        <w:tblW w:w="9071" w:type="dxa"/>
        <w:tblLayout w:type="fixed"/>
        <w:tblLook w:val="04A0" w:firstRow="1" w:lastRow="0" w:firstColumn="1" w:lastColumn="0" w:noHBand="0" w:noVBand="1"/>
      </w:tblPr>
      <w:tblGrid>
        <w:gridCol w:w="5216"/>
        <w:gridCol w:w="1285"/>
        <w:gridCol w:w="1285"/>
        <w:gridCol w:w="1285"/>
      </w:tblGrid>
      <w:tr w:rsidR="006B765F" w:rsidRPr="00697E62" w14:paraId="2B670189" w14:textId="77777777" w:rsidTr="008A331B">
        <w:trPr>
          <w:trHeight w:val="454"/>
          <w:tblHeader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6F57A2E" w14:textId="77777777" w:rsidR="006B765F" w:rsidRPr="00DF6AD0" w:rsidRDefault="006B765F" w:rsidP="00220049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425D28AD" w14:textId="77777777" w:rsidR="006B765F" w:rsidRPr="00DF6AD0" w:rsidRDefault="006B765F" w:rsidP="00C3356D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DF6AD0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0AEE5954" w14:textId="77777777" w:rsidR="006B765F" w:rsidRPr="00DF6AD0" w:rsidRDefault="006B765F" w:rsidP="00C3356D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DF6AD0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74E5B53E" w14:textId="77777777" w:rsidR="006B765F" w:rsidRPr="00DF6AD0" w:rsidRDefault="006B765F" w:rsidP="00C3356D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DF6AD0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2020</w:t>
            </w:r>
          </w:p>
        </w:tc>
      </w:tr>
      <w:tr w:rsidR="006B765F" w:rsidRPr="00697E62" w14:paraId="7B17B44A" w14:textId="77777777" w:rsidTr="008A331B">
        <w:trPr>
          <w:trHeight w:val="34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2C1E8" w14:textId="7228FA0E" w:rsidR="006B765F" w:rsidRPr="00DF6AD0" w:rsidRDefault="006B765F" w:rsidP="00C3356D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Suma zůstatků na podrozvahových účtech </w:t>
            </w:r>
            <w:r w:rsidR="009B3B0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br/>
            </w:r>
            <w:r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(podrozvahová aktiva a pasiva)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5B2A7" w14:textId="77777777" w:rsidR="006B765F" w:rsidRPr="00DF6AD0" w:rsidRDefault="006B765F" w:rsidP="00C3356D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1 963</w:t>
            </w:r>
            <w:r w:rsidR="00560835"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3948C" w14:textId="77777777" w:rsidR="006B765F" w:rsidRPr="00DF6AD0" w:rsidRDefault="006B765F" w:rsidP="00C3356D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F6AD0">
              <w:rPr>
                <w:rFonts w:asciiTheme="minorHAnsi" w:hAnsiTheme="minorHAnsi" w:cstheme="minorHAnsi"/>
                <w:sz w:val="20"/>
                <w:szCs w:val="20"/>
              </w:rPr>
              <w:t>1 992</w:t>
            </w:r>
            <w:r w:rsidR="00560835" w:rsidRPr="00DF6AD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687B75" w:rsidRPr="00DF6AD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69D92" w14:textId="77777777" w:rsidR="006B765F" w:rsidRPr="00DF6AD0" w:rsidRDefault="006B765F" w:rsidP="00C3356D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F6AD0">
              <w:rPr>
                <w:rFonts w:asciiTheme="minorHAnsi" w:hAnsiTheme="minorHAnsi" w:cstheme="minorHAnsi"/>
                <w:sz w:val="20"/>
                <w:szCs w:val="20"/>
              </w:rPr>
              <w:t>1 700</w:t>
            </w:r>
            <w:r w:rsidR="00560835" w:rsidRPr="00DF6AD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F6AD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6B765F" w:rsidRPr="00697E62" w14:paraId="3DAB8BEA" w14:textId="77777777" w:rsidTr="008A331B">
        <w:trPr>
          <w:trHeight w:val="227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76C7B4F" w14:textId="77777777" w:rsidR="006B765F" w:rsidRPr="00DF6AD0" w:rsidRDefault="006B765F" w:rsidP="00C3356D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 toho: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7C36C6C" w14:textId="77777777" w:rsidR="006B765F" w:rsidRPr="00DF6AD0" w:rsidRDefault="006B765F" w:rsidP="00C3356D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F236C90" w14:textId="77777777" w:rsidR="006B765F" w:rsidRPr="00DF6AD0" w:rsidRDefault="006B765F" w:rsidP="00C3356D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D089792" w14:textId="77777777" w:rsidR="006B765F" w:rsidRPr="00DF6AD0" w:rsidRDefault="006B765F" w:rsidP="00C3356D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765F" w:rsidRPr="00697E62" w14:paraId="5A142FE6" w14:textId="77777777" w:rsidTr="008A331B">
        <w:trPr>
          <w:trHeight w:val="227"/>
        </w:trPr>
        <w:tc>
          <w:tcPr>
            <w:tcW w:w="5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9235B9B" w14:textId="77777777" w:rsidR="006B765F" w:rsidRPr="00DF6AD0" w:rsidRDefault="006B765F" w:rsidP="00C3356D">
            <w:pPr>
              <w:spacing w:after="0"/>
              <w:ind w:left="72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podrozvahová aktiva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C7E5413" w14:textId="77777777" w:rsidR="006B765F" w:rsidRPr="00DF6AD0" w:rsidRDefault="006B765F" w:rsidP="00C3356D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991</w:t>
            </w:r>
            <w:r w:rsidR="00560835"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56C4606" w14:textId="77777777" w:rsidR="006B765F" w:rsidRPr="00DF6AD0" w:rsidRDefault="006B765F" w:rsidP="00C3356D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6AD0">
              <w:rPr>
                <w:rFonts w:asciiTheme="minorHAnsi" w:hAnsiTheme="minorHAnsi" w:cstheme="minorHAnsi"/>
                <w:sz w:val="20"/>
                <w:szCs w:val="20"/>
              </w:rPr>
              <w:t>955</w:t>
            </w:r>
            <w:r w:rsidR="00560835" w:rsidRPr="00DF6AD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F6AD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5C74E50" w14:textId="77777777" w:rsidR="006B765F" w:rsidRPr="00DF6AD0" w:rsidRDefault="006B765F" w:rsidP="00C3356D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6AD0">
              <w:rPr>
                <w:rFonts w:asciiTheme="minorHAnsi" w:hAnsiTheme="minorHAnsi" w:cstheme="minorHAnsi"/>
                <w:sz w:val="20"/>
                <w:szCs w:val="20"/>
              </w:rPr>
              <w:t>913</w:t>
            </w:r>
            <w:r w:rsidR="00560835" w:rsidRPr="00DF6AD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F6AD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6B765F" w:rsidRPr="00697E62" w14:paraId="0EFF9F1F" w14:textId="77777777" w:rsidTr="008A331B">
        <w:trPr>
          <w:trHeight w:val="227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37E666A" w14:textId="77777777" w:rsidR="006B765F" w:rsidRPr="00DF6AD0" w:rsidRDefault="006B765F" w:rsidP="00C3356D">
            <w:pPr>
              <w:spacing w:after="0"/>
              <w:ind w:left="72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podrozvahová pasiva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32BE4DF" w14:textId="77777777" w:rsidR="006B765F" w:rsidRPr="00DF6AD0" w:rsidRDefault="006B765F" w:rsidP="00C3356D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97</w:t>
            </w:r>
            <w:r w:rsidR="00560835"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5F81C39" w14:textId="77777777" w:rsidR="006B765F" w:rsidRPr="00DF6AD0" w:rsidRDefault="006B765F" w:rsidP="00C3356D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6AD0">
              <w:rPr>
                <w:rFonts w:asciiTheme="minorHAnsi" w:hAnsiTheme="minorHAnsi" w:cstheme="minorHAnsi"/>
                <w:sz w:val="20"/>
                <w:szCs w:val="20"/>
              </w:rPr>
              <w:t>1 036</w:t>
            </w:r>
            <w:r w:rsidR="00560835" w:rsidRPr="00DF6AD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F6AD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A5F8F0D" w14:textId="77777777" w:rsidR="006B765F" w:rsidRPr="00DF6AD0" w:rsidRDefault="006B765F" w:rsidP="00C3356D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6AD0">
              <w:rPr>
                <w:rFonts w:asciiTheme="minorHAnsi" w:hAnsiTheme="minorHAnsi" w:cstheme="minorHAnsi"/>
                <w:sz w:val="20"/>
                <w:szCs w:val="20"/>
              </w:rPr>
              <w:t>787</w:t>
            </w:r>
            <w:r w:rsidR="00560835" w:rsidRPr="00DF6AD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F6AD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6B765F" w:rsidRPr="00697E62" w14:paraId="5FB6E2FA" w14:textId="77777777" w:rsidTr="008A331B">
        <w:trPr>
          <w:trHeight w:val="340"/>
        </w:trPr>
        <w:tc>
          <w:tcPr>
            <w:tcW w:w="5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8820FB" w14:textId="77777777" w:rsidR="006B765F" w:rsidRPr="00DF6AD0" w:rsidRDefault="006B765F" w:rsidP="00C3356D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Suma zůstatků na rozvahových účtech (aktiva a cizí zdroje)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62A48" w14:textId="77777777" w:rsidR="006B765F" w:rsidRPr="00DF6AD0" w:rsidRDefault="006B765F" w:rsidP="00C3356D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4 30</w:t>
            </w:r>
            <w:r w:rsidR="00560835"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0D19C" w14:textId="77777777" w:rsidR="006B765F" w:rsidRPr="00DF6AD0" w:rsidRDefault="006B765F" w:rsidP="00C3356D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4 116</w:t>
            </w:r>
            <w:r w:rsidR="00560835"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,9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65C7C" w14:textId="77777777" w:rsidR="006B765F" w:rsidRPr="00DF6AD0" w:rsidRDefault="006B765F" w:rsidP="00C3356D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4 072</w:t>
            </w:r>
            <w:r w:rsidR="00560835"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,4</w:t>
            </w:r>
          </w:p>
        </w:tc>
      </w:tr>
      <w:tr w:rsidR="006B765F" w:rsidRPr="00697E62" w14:paraId="36D1870E" w14:textId="77777777" w:rsidTr="008A331B">
        <w:trPr>
          <w:trHeight w:val="227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62E7A2C" w14:textId="77777777" w:rsidR="006B765F" w:rsidRPr="00DF6AD0" w:rsidRDefault="006B765F" w:rsidP="00C3356D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 toho: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011AC4C" w14:textId="77777777" w:rsidR="006B765F" w:rsidRPr="00DF6AD0" w:rsidRDefault="006B765F" w:rsidP="00C3356D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10BAFF0" w14:textId="77777777" w:rsidR="006B765F" w:rsidRPr="00DF6AD0" w:rsidRDefault="006B765F" w:rsidP="00C3356D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86932E0" w14:textId="77777777" w:rsidR="006B765F" w:rsidRPr="00DF6AD0" w:rsidRDefault="006B765F" w:rsidP="00C3356D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B765F" w:rsidRPr="00697E62" w14:paraId="6BFACF0F" w14:textId="77777777" w:rsidTr="008A331B">
        <w:trPr>
          <w:trHeight w:val="227"/>
        </w:trPr>
        <w:tc>
          <w:tcPr>
            <w:tcW w:w="5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F36F490" w14:textId="71154BF8" w:rsidR="006B765F" w:rsidRPr="00DF6AD0" w:rsidRDefault="00891100" w:rsidP="00C3356D">
            <w:pPr>
              <w:spacing w:after="0"/>
              <w:ind w:left="72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</w:t>
            </w:r>
            <w:r w:rsidR="006B765F"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ktiva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A50EEF0" w14:textId="77777777" w:rsidR="006B765F" w:rsidRPr="00DF6AD0" w:rsidRDefault="006B765F" w:rsidP="00C3356D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3 615</w:t>
            </w:r>
            <w:r w:rsidR="00560835"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DEB30A0" w14:textId="77777777" w:rsidR="006B765F" w:rsidRPr="00DF6AD0" w:rsidRDefault="006B765F" w:rsidP="00C3356D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3 459</w:t>
            </w:r>
            <w:r w:rsidR="00560835"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2B52FE2" w14:textId="77777777" w:rsidR="006B765F" w:rsidRPr="00DF6AD0" w:rsidRDefault="006B765F" w:rsidP="00C3356D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3 606</w:t>
            </w:r>
            <w:r w:rsidR="00560835"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6B765F" w:rsidRPr="00697E62" w14:paraId="33A5822D" w14:textId="77777777" w:rsidTr="008A331B">
        <w:trPr>
          <w:trHeight w:val="227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FE66A1D" w14:textId="77777777" w:rsidR="006B765F" w:rsidRPr="00DF6AD0" w:rsidRDefault="006B765F" w:rsidP="00C3356D">
            <w:pPr>
              <w:spacing w:after="0"/>
              <w:ind w:left="72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cizí zdroje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5819129" w14:textId="77777777" w:rsidR="006B765F" w:rsidRPr="00DF6AD0" w:rsidRDefault="006B765F" w:rsidP="00C3356D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685</w:t>
            </w:r>
            <w:r w:rsidR="00560835"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6AA9555" w14:textId="77777777" w:rsidR="006B765F" w:rsidRPr="00DF6AD0" w:rsidRDefault="006B765F" w:rsidP="00C3356D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657</w:t>
            </w:r>
            <w:r w:rsidR="000D06B1"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92FA3A2" w14:textId="77777777" w:rsidR="006B765F" w:rsidRPr="00DF6AD0" w:rsidRDefault="006B765F" w:rsidP="00C3356D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466</w:t>
            </w:r>
            <w:r w:rsidR="000D06B1"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,4</w:t>
            </w:r>
          </w:p>
        </w:tc>
      </w:tr>
      <w:tr w:rsidR="006B765F" w:rsidRPr="00697E62" w14:paraId="696ED256" w14:textId="77777777" w:rsidTr="008A331B">
        <w:trPr>
          <w:trHeight w:val="340"/>
        </w:trPr>
        <w:tc>
          <w:tcPr>
            <w:tcW w:w="5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FC9CB" w14:textId="59104C39" w:rsidR="006B765F" w:rsidRPr="00DF6AD0" w:rsidRDefault="006B765F" w:rsidP="00C3356D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Podíl zůstatků podrozvahových účtů na celk</w:t>
            </w:r>
            <w:r w:rsidR="001B3F5D"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ových</w:t>
            </w:r>
            <w:r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rozvahových aktivech a cizích zdrojích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D5B99" w14:textId="0FE84DD3" w:rsidR="006B765F" w:rsidRPr="00DF6AD0" w:rsidRDefault="006B765F" w:rsidP="00C3356D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46</w:t>
            </w:r>
            <w:r w:rsidR="0089110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FB0F5" w14:textId="5DFE4655" w:rsidR="006B765F" w:rsidRPr="00DF6AD0" w:rsidRDefault="006B765F" w:rsidP="00C3356D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48</w:t>
            </w:r>
            <w:r w:rsidR="0089110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47F91" w14:textId="7EDD0AEF" w:rsidR="006B765F" w:rsidRPr="00DF6AD0" w:rsidRDefault="006B765F" w:rsidP="00C3356D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42</w:t>
            </w:r>
            <w:r w:rsidR="0089110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%</w:t>
            </w:r>
          </w:p>
        </w:tc>
      </w:tr>
      <w:tr w:rsidR="006B765F" w:rsidRPr="00697E62" w14:paraId="4CFB3215" w14:textId="77777777" w:rsidTr="008A331B">
        <w:trPr>
          <w:trHeight w:val="34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82666" w14:textId="77777777" w:rsidR="006B765F" w:rsidRPr="00DF6AD0" w:rsidRDefault="006B765F" w:rsidP="00C3356D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Podíl zůstatků podrozvahových aktiv na rozvahových aktivech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60C3F" w14:textId="1196F3E6" w:rsidR="006B765F" w:rsidRPr="00DF6AD0" w:rsidRDefault="006B765F" w:rsidP="00C3356D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27</w:t>
            </w:r>
            <w:r w:rsidR="0089110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083A8" w14:textId="7BF56E57" w:rsidR="006B765F" w:rsidRPr="00DF6AD0" w:rsidRDefault="006B765F" w:rsidP="00C3356D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28</w:t>
            </w:r>
            <w:r w:rsidR="0089110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7BBC5" w14:textId="00F96DC9" w:rsidR="006B765F" w:rsidRPr="00DF6AD0" w:rsidRDefault="006B765F" w:rsidP="00C3356D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25</w:t>
            </w:r>
            <w:r w:rsidR="0089110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%</w:t>
            </w:r>
          </w:p>
        </w:tc>
      </w:tr>
      <w:tr w:rsidR="006B765F" w:rsidRPr="00697E62" w14:paraId="7B4920A6" w14:textId="77777777" w:rsidTr="008A331B">
        <w:trPr>
          <w:trHeight w:val="34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D2E56" w14:textId="77777777" w:rsidR="006B765F" w:rsidRPr="00DF6AD0" w:rsidRDefault="006B765F" w:rsidP="00C3356D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Podíl zůstatků podrozvahových pasiv na cizích zdrojích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789DD" w14:textId="671779F9" w:rsidR="006B765F" w:rsidRPr="00DF6AD0" w:rsidRDefault="006B765F" w:rsidP="00C3356D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142</w:t>
            </w:r>
            <w:r w:rsidR="0089110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096FC" w14:textId="0AAF20E0" w:rsidR="006B765F" w:rsidRPr="00DF6AD0" w:rsidRDefault="006B765F" w:rsidP="00C3356D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158</w:t>
            </w:r>
            <w:r w:rsidR="0089110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D2821" w14:textId="7B8CD590" w:rsidR="006B765F" w:rsidRPr="00DF6AD0" w:rsidRDefault="006B765F" w:rsidP="00C3356D">
            <w:pPr>
              <w:spacing w:after="0"/>
              <w:jc w:val="righ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169</w:t>
            </w:r>
            <w:r w:rsidR="0089110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F6AD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%</w:t>
            </w:r>
          </w:p>
        </w:tc>
      </w:tr>
    </w:tbl>
    <w:p w14:paraId="3F767604" w14:textId="61490C88" w:rsidR="006B765F" w:rsidRPr="009776FE" w:rsidRDefault="006B765F" w:rsidP="00DF6AD0">
      <w:pPr>
        <w:spacing w:before="40" w:after="240"/>
        <w:jc w:val="both"/>
        <w:rPr>
          <w:rFonts w:cs="Calibri"/>
          <w:sz w:val="20"/>
          <w:szCs w:val="20"/>
        </w:rPr>
      </w:pPr>
      <w:r w:rsidRPr="001B3F5D">
        <w:rPr>
          <w:rFonts w:cs="Calibri"/>
          <w:b/>
          <w:sz w:val="20"/>
          <w:szCs w:val="20"/>
        </w:rPr>
        <w:t>Zdroj</w:t>
      </w:r>
      <w:r w:rsidRPr="00DF6AD0">
        <w:rPr>
          <w:rFonts w:cs="Calibri"/>
          <w:b/>
          <w:sz w:val="20"/>
          <w:szCs w:val="20"/>
        </w:rPr>
        <w:t>:</w:t>
      </w:r>
      <w:r w:rsidRPr="009776FE">
        <w:rPr>
          <w:rFonts w:cs="Calibri"/>
          <w:sz w:val="20"/>
          <w:szCs w:val="20"/>
        </w:rPr>
        <w:t xml:space="preserve"> </w:t>
      </w:r>
      <w:r w:rsidR="001B3F5D">
        <w:rPr>
          <w:rFonts w:cs="Calibri"/>
          <w:sz w:val="20"/>
          <w:szCs w:val="20"/>
        </w:rPr>
        <w:t>ú</w:t>
      </w:r>
      <w:r w:rsidRPr="009776FE">
        <w:rPr>
          <w:rFonts w:cs="Calibri"/>
          <w:sz w:val="20"/>
          <w:szCs w:val="20"/>
        </w:rPr>
        <w:t xml:space="preserve">četní závěrky MS Praha za roky 2020 až 2022, </w:t>
      </w:r>
      <w:r>
        <w:rPr>
          <w:rFonts w:cs="Calibri"/>
          <w:sz w:val="20"/>
          <w:szCs w:val="20"/>
        </w:rPr>
        <w:t>výpočet NKÚ.</w:t>
      </w:r>
    </w:p>
    <w:p w14:paraId="3E9A5F14" w14:textId="4A72B7D7" w:rsidR="006B765F" w:rsidRPr="009776FE" w:rsidRDefault="006B765F" w:rsidP="008A331B">
      <w:pPr>
        <w:spacing w:after="240"/>
        <w:jc w:val="both"/>
        <w:rPr>
          <w:rFonts w:cs="Calibri"/>
        </w:rPr>
      </w:pPr>
      <w:r w:rsidRPr="009776FE">
        <w:t xml:space="preserve">Kategorizace podmíněných aktiv a podmíněných pasiv MS Praha je uvedena v tabulce č. </w:t>
      </w:r>
      <w:r w:rsidR="003942AE">
        <w:t>4</w:t>
      </w:r>
      <w:r w:rsidRPr="009776FE">
        <w:t>.</w:t>
      </w:r>
    </w:p>
    <w:p w14:paraId="433E641F" w14:textId="1D3054C0" w:rsidR="006B765F" w:rsidRPr="009A4B9F" w:rsidRDefault="006B765F" w:rsidP="00DF6AD0">
      <w:pPr>
        <w:tabs>
          <w:tab w:val="right" w:pos="9070"/>
        </w:tabs>
        <w:spacing w:after="40"/>
        <w:jc w:val="both"/>
        <w:rPr>
          <w:rFonts w:cs="Calibri"/>
          <w:b/>
          <w:bCs/>
          <w:lang w:eastAsia="cs-CZ"/>
        </w:rPr>
      </w:pPr>
      <w:r w:rsidRPr="009A4B9F">
        <w:rPr>
          <w:rFonts w:cs="Calibri"/>
          <w:b/>
          <w:bCs/>
          <w:lang w:eastAsia="cs-CZ"/>
        </w:rPr>
        <w:t>Tabulka</w:t>
      </w:r>
      <w:r w:rsidR="00EC7467">
        <w:rPr>
          <w:rFonts w:cs="Calibri"/>
          <w:b/>
          <w:bCs/>
          <w:lang w:eastAsia="cs-CZ"/>
        </w:rPr>
        <w:t xml:space="preserve"> č.</w:t>
      </w:r>
      <w:r w:rsidRPr="009A4B9F">
        <w:rPr>
          <w:rFonts w:cs="Calibri"/>
          <w:b/>
          <w:bCs/>
          <w:lang w:eastAsia="cs-CZ"/>
        </w:rPr>
        <w:t xml:space="preserve"> </w:t>
      </w:r>
      <w:r w:rsidR="003942AE">
        <w:rPr>
          <w:rFonts w:cs="Calibri"/>
          <w:b/>
          <w:bCs/>
          <w:lang w:eastAsia="cs-CZ"/>
        </w:rPr>
        <w:t>4</w:t>
      </w:r>
      <w:r w:rsidRPr="009A4B9F">
        <w:rPr>
          <w:rFonts w:cs="Calibri"/>
          <w:b/>
          <w:bCs/>
          <w:lang w:eastAsia="cs-CZ"/>
        </w:rPr>
        <w:t xml:space="preserve">: Kategorizace podmíněných aktiv a podmíněných pasiv </w:t>
      </w:r>
      <w:r w:rsidR="00EC7467">
        <w:rPr>
          <w:rFonts w:cs="Calibri"/>
          <w:b/>
          <w:bCs/>
          <w:lang w:eastAsia="cs-CZ"/>
        </w:rPr>
        <w:tab/>
      </w:r>
      <w:r w:rsidRPr="009A4B9F">
        <w:rPr>
          <w:rFonts w:cs="Calibri"/>
          <w:b/>
          <w:bCs/>
          <w:lang w:eastAsia="cs-CZ"/>
        </w:rPr>
        <w:t xml:space="preserve">(v </w:t>
      </w:r>
      <w:r w:rsidR="00BF57AB">
        <w:rPr>
          <w:rFonts w:cs="Calibri"/>
          <w:b/>
          <w:bCs/>
          <w:lang w:eastAsia="cs-CZ"/>
        </w:rPr>
        <w:t xml:space="preserve">mil. </w:t>
      </w:r>
      <w:r w:rsidRPr="009A4B9F">
        <w:rPr>
          <w:rFonts w:cs="Calibri"/>
          <w:b/>
          <w:bCs/>
          <w:lang w:eastAsia="cs-CZ"/>
        </w:rPr>
        <w:t xml:space="preserve">Kč)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09"/>
        <w:gridCol w:w="1851"/>
      </w:tblGrid>
      <w:tr w:rsidR="006B765F" w:rsidRPr="00B7220C" w14:paraId="6D80A5D2" w14:textId="77777777" w:rsidTr="00DF6AD0">
        <w:trPr>
          <w:trHeight w:val="454"/>
        </w:trPr>
        <w:tc>
          <w:tcPr>
            <w:tcW w:w="7338" w:type="dxa"/>
            <w:shd w:val="clear" w:color="auto" w:fill="E5F1FF"/>
            <w:vAlign w:val="center"/>
          </w:tcPr>
          <w:p w14:paraId="4B93DBA4" w14:textId="77E48095" w:rsidR="006B765F" w:rsidRPr="009A4B9F" w:rsidRDefault="009B3B0F" w:rsidP="00C3356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</w:t>
            </w:r>
            <w:r w:rsidRPr="009A4B9F">
              <w:rPr>
                <w:rFonts w:cs="Calibri"/>
                <w:b/>
                <w:sz w:val="20"/>
                <w:szCs w:val="20"/>
              </w:rPr>
              <w:t>odmíněn</w:t>
            </w:r>
            <w:r>
              <w:rPr>
                <w:rFonts w:cs="Calibri"/>
                <w:b/>
                <w:sz w:val="20"/>
                <w:szCs w:val="20"/>
              </w:rPr>
              <w:t>á</w:t>
            </w:r>
            <w:r w:rsidRPr="009A4B9F">
              <w:rPr>
                <w:rFonts w:cs="Calibri"/>
                <w:b/>
                <w:sz w:val="20"/>
                <w:szCs w:val="20"/>
              </w:rPr>
              <w:t xml:space="preserve"> aktiv</w:t>
            </w:r>
            <w:r>
              <w:rPr>
                <w:rFonts w:cs="Calibri"/>
                <w:b/>
                <w:sz w:val="20"/>
                <w:szCs w:val="20"/>
              </w:rPr>
              <w:t>a</w:t>
            </w:r>
            <w:r w:rsidRPr="009A4B9F">
              <w:rPr>
                <w:rFonts w:cs="Calibri"/>
                <w:b/>
                <w:sz w:val="20"/>
                <w:szCs w:val="20"/>
              </w:rPr>
              <w:t xml:space="preserve"> a pasiv</w:t>
            </w:r>
            <w:r>
              <w:rPr>
                <w:rFonts w:cs="Calibri"/>
                <w:b/>
                <w:sz w:val="20"/>
                <w:szCs w:val="20"/>
              </w:rPr>
              <w:t>a</w:t>
            </w:r>
            <w:r w:rsidRPr="009A4B9F" w:rsidDel="009B3B0F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  <w:shd w:val="clear" w:color="auto" w:fill="E5F1FF"/>
            <w:vAlign w:val="center"/>
          </w:tcPr>
          <w:p w14:paraId="025E0F61" w14:textId="77777777" w:rsidR="006B765F" w:rsidRPr="009A4B9F" w:rsidRDefault="006B765F" w:rsidP="00C3356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9A4B9F">
              <w:rPr>
                <w:rFonts w:cs="Calibri"/>
                <w:b/>
                <w:sz w:val="20"/>
                <w:szCs w:val="20"/>
              </w:rPr>
              <w:t>Hodnota vykázaná k 31.</w:t>
            </w:r>
            <w:r>
              <w:rPr>
                <w:rFonts w:cs="Calibri"/>
                <w:b/>
                <w:sz w:val="20"/>
                <w:szCs w:val="20"/>
              </w:rPr>
              <w:t xml:space="preserve"> prosinci </w:t>
            </w:r>
            <w:r w:rsidRPr="009A4B9F">
              <w:rPr>
                <w:rFonts w:cs="Calibri"/>
                <w:b/>
                <w:sz w:val="20"/>
                <w:szCs w:val="20"/>
              </w:rPr>
              <w:t>2022</w:t>
            </w:r>
          </w:p>
        </w:tc>
      </w:tr>
      <w:tr w:rsidR="006B765F" w:rsidRPr="00B7220C" w14:paraId="3AE89FA7" w14:textId="77777777" w:rsidTr="00DF6AD0">
        <w:trPr>
          <w:trHeight w:val="340"/>
        </w:trPr>
        <w:tc>
          <w:tcPr>
            <w:tcW w:w="7338" w:type="dxa"/>
            <w:shd w:val="clear" w:color="auto" w:fill="F2C6C9"/>
            <w:vAlign w:val="center"/>
          </w:tcPr>
          <w:p w14:paraId="7B666239" w14:textId="0B7A852E" w:rsidR="006B765F" w:rsidRPr="009A4B9F" w:rsidRDefault="006B765F" w:rsidP="00C3356D">
            <w:pPr>
              <w:spacing w:after="0"/>
              <w:rPr>
                <w:rFonts w:cs="Calibri"/>
                <w:sz w:val="20"/>
                <w:szCs w:val="20"/>
              </w:rPr>
            </w:pPr>
            <w:r w:rsidRPr="009A4B9F">
              <w:rPr>
                <w:rFonts w:cs="Calibri"/>
                <w:b/>
                <w:sz w:val="20"/>
                <w:szCs w:val="20"/>
              </w:rPr>
              <w:t>I. v podstatě jist</w:t>
            </w:r>
            <w:r w:rsidR="009B3B0F">
              <w:rPr>
                <w:rFonts w:cs="Calibri"/>
                <w:b/>
                <w:sz w:val="20"/>
                <w:szCs w:val="20"/>
              </w:rPr>
              <w:t>á</w:t>
            </w:r>
            <w:r w:rsidRPr="009A4B9F">
              <w:rPr>
                <w:rFonts w:cs="Calibri"/>
                <w:b/>
                <w:sz w:val="20"/>
                <w:szCs w:val="20"/>
              </w:rPr>
              <w:t xml:space="preserve"> a očekávan</w:t>
            </w:r>
            <w:r w:rsidR="009B3B0F">
              <w:rPr>
                <w:rFonts w:cs="Calibri"/>
                <w:b/>
                <w:sz w:val="20"/>
                <w:szCs w:val="20"/>
              </w:rPr>
              <w:t>á</w:t>
            </w:r>
            <w:r w:rsidRPr="009A4B9F">
              <w:rPr>
                <w:rStyle w:val="Znakapoznpodarou"/>
                <w:rFonts w:cs="Calibri"/>
                <w:b/>
                <w:sz w:val="20"/>
                <w:szCs w:val="20"/>
              </w:rPr>
              <w:footnoteReference w:id="31"/>
            </w:r>
          </w:p>
        </w:tc>
        <w:tc>
          <w:tcPr>
            <w:tcW w:w="1872" w:type="dxa"/>
            <w:shd w:val="clear" w:color="auto" w:fill="F2C6C9"/>
            <w:vAlign w:val="center"/>
          </w:tcPr>
          <w:p w14:paraId="21D31C12" w14:textId="77777777" w:rsidR="006B765F" w:rsidRPr="009A4B9F" w:rsidRDefault="006B765F" w:rsidP="00C3356D">
            <w:pPr>
              <w:spacing w:after="0"/>
              <w:jc w:val="right"/>
              <w:rPr>
                <w:rFonts w:cs="Calibri"/>
                <w:b/>
                <w:sz w:val="20"/>
                <w:szCs w:val="20"/>
              </w:rPr>
            </w:pPr>
            <w:r w:rsidRPr="009A4B9F">
              <w:rPr>
                <w:rFonts w:cs="Calibri"/>
                <w:b/>
                <w:sz w:val="20"/>
                <w:szCs w:val="20"/>
              </w:rPr>
              <w:t>1 738</w:t>
            </w:r>
            <w:r w:rsidR="00BF57AB">
              <w:rPr>
                <w:rFonts w:cs="Calibri"/>
                <w:b/>
                <w:sz w:val="20"/>
                <w:szCs w:val="20"/>
              </w:rPr>
              <w:t>,</w:t>
            </w:r>
            <w:r w:rsidRPr="009A4B9F">
              <w:rPr>
                <w:rFonts w:cs="Calibri"/>
                <w:b/>
                <w:sz w:val="20"/>
                <w:szCs w:val="20"/>
              </w:rPr>
              <w:t>6</w:t>
            </w:r>
          </w:p>
        </w:tc>
      </w:tr>
      <w:tr w:rsidR="006B765F" w:rsidRPr="00B7220C" w14:paraId="10583A96" w14:textId="77777777" w:rsidTr="00DF6AD0">
        <w:trPr>
          <w:trHeight w:val="340"/>
        </w:trPr>
        <w:tc>
          <w:tcPr>
            <w:tcW w:w="7338" w:type="dxa"/>
            <w:vAlign w:val="center"/>
          </w:tcPr>
          <w:p w14:paraId="09419D97" w14:textId="7653E91C" w:rsidR="006B765F" w:rsidRPr="00DF6AD0" w:rsidRDefault="006B765F" w:rsidP="00DF6AD0">
            <w:pPr>
              <w:pStyle w:val="Odstavecseseznamem"/>
              <w:numPr>
                <w:ilvl w:val="0"/>
                <w:numId w:val="52"/>
              </w:numPr>
              <w:spacing w:after="0"/>
              <w:ind w:left="447" w:hanging="283"/>
              <w:rPr>
                <w:rFonts w:cs="Calibri"/>
                <w:b/>
                <w:sz w:val="20"/>
                <w:szCs w:val="20"/>
              </w:rPr>
            </w:pPr>
            <w:r w:rsidRPr="00DF6AD0">
              <w:rPr>
                <w:rFonts w:cs="Calibri"/>
                <w:sz w:val="20"/>
                <w:szCs w:val="20"/>
              </w:rPr>
              <w:t>podmíněné pohledávky z </w:t>
            </w:r>
            <w:r w:rsidR="002D35E9" w:rsidRPr="00DF6AD0">
              <w:rPr>
                <w:rFonts w:cs="Calibri"/>
                <w:sz w:val="20"/>
                <w:szCs w:val="20"/>
              </w:rPr>
              <w:t xml:space="preserve">jiných </w:t>
            </w:r>
            <w:r w:rsidRPr="00DF6AD0">
              <w:rPr>
                <w:rFonts w:cs="Calibri"/>
                <w:sz w:val="20"/>
                <w:szCs w:val="20"/>
              </w:rPr>
              <w:t>smluv (úč</w:t>
            </w:r>
            <w:r w:rsidR="009B3B0F" w:rsidRPr="00DF6AD0">
              <w:rPr>
                <w:rFonts w:cs="Calibri"/>
                <w:sz w:val="20"/>
                <w:szCs w:val="20"/>
              </w:rPr>
              <w:t>ty</w:t>
            </w:r>
            <w:r w:rsidRPr="00DF6AD0">
              <w:rPr>
                <w:rFonts w:cs="Calibri"/>
                <w:sz w:val="20"/>
                <w:szCs w:val="20"/>
              </w:rPr>
              <w:t xml:space="preserve"> 933 a 934)</w:t>
            </w:r>
          </w:p>
        </w:tc>
        <w:tc>
          <w:tcPr>
            <w:tcW w:w="1872" w:type="dxa"/>
            <w:vAlign w:val="center"/>
          </w:tcPr>
          <w:p w14:paraId="35476E1E" w14:textId="77777777" w:rsidR="006B765F" w:rsidRPr="009A4B9F" w:rsidRDefault="006B765F" w:rsidP="00C3356D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9A4B9F">
              <w:rPr>
                <w:rFonts w:cs="Calibri"/>
                <w:sz w:val="20"/>
                <w:szCs w:val="20"/>
              </w:rPr>
              <w:t>3</w:t>
            </w:r>
            <w:r w:rsidR="00BF57AB">
              <w:rPr>
                <w:rFonts w:cs="Calibri"/>
                <w:sz w:val="20"/>
                <w:szCs w:val="20"/>
              </w:rPr>
              <w:t>,</w:t>
            </w:r>
            <w:r w:rsidRPr="009A4B9F">
              <w:rPr>
                <w:rFonts w:cs="Calibri"/>
                <w:sz w:val="20"/>
                <w:szCs w:val="20"/>
              </w:rPr>
              <w:t>1</w:t>
            </w:r>
          </w:p>
        </w:tc>
      </w:tr>
      <w:tr w:rsidR="006B765F" w:rsidRPr="00B7220C" w14:paraId="700126BF" w14:textId="77777777" w:rsidTr="00DF6AD0">
        <w:trPr>
          <w:trHeight w:val="340"/>
        </w:trPr>
        <w:tc>
          <w:tcPr>
            <w:tcW w:w="7338" w:type="dxa"/>
            <w:vAlign w:val="center"/>
          </w:tcPr>
          <w:p w14:paraId="23CC3D1F" w14:textId="0C22C83E" w:rsidR="006B765F" w:rsidRPr="00DF6AD0" w:rsidRDefault="006B765F" w:rsidP="00DF6AD0">
            <w:pPr>
              <w:pStyle w:val="Odstavecseseznamem"/>
              <w:numPr>
                <w:ilvl w:val="0"/>
                <w:numId w:val="52"/>
              </w:numPr>
              <w:spacing w:after="0"/>
              <w:ind w:left="447" w:hanging="283"/>
              <w:rPr>
                <w:rFonts w:cs="Calibri"/>
                <w:sz w:val="20"/>
                <w:szCs w:val="20"/>
              </w:rPr>
            </w:pPr>
            <w:r w:rsidRPr="00DF6AD0">
              <w:rPr>
                <w:rFonts w:cs="Calibri"/>
                <w:sz w:val="20"/>
                <w:szCs w:val="20"/>
              </w:rPr>
              <w:t xml:space="preserve">podmíněné pohledávky </w:t>
            </w:r>
            <w:r w:rsidR="002D35E9" w:rsidRPr="00DF6AD0">
              <w:rPr>
                <w:rFonts w:cs="Calibri"/>
                <w:sz w:val="20"/>
                <w:szCs w:val="20"/>
              </w:rPr>
              <w:t>ze soudních sporů, správních řízení a jiných řízení</w:t>
            </w:r>
            <w:r w:rsidRPr="00DF6AD0">
              <w:rPr>
                <w:rFonts w:cs="Calibri"/>
                <w:sz w:val="20"/>
                <w:szCs w:val="20"/>
              </w:rPr>
              <w:t xml:space="preserve"> </w:t>
            </w:r>
            <w:r w:rsidR="009B3B0F">
              <w:rPr>
                <w:rFonts w:cs="Calibri"/>
                <w:sz w:val="20"/>
                <w:szCs w:val="20"/>
              </w:rPr>
              <w:br/>
            </w:r>
            <w:r w:rsidRPr="00DF6AD0">
              <w:rPr>
                <w:rFonts w:cs="Calibri"/>
                <w:sz w:val="20"/>
                <w:szCs w:val="20"/>
              </w:rPr>
              <w:t>(úč</w:t>
            </w:r>
            <w:r w:rsidR="009B3B0F" w:rsidRPr="00DF6AD0">
              <w:rPr>
                <w:rFonts w:cs="Calibri"/>
                <w:sz w:val="20"/>
                <w:szCs w:val="20"/>
              </w:rPr>
              <w:t>ty</w:t>
            </w:r>
            <w:r w:rsidRPr="00DF6AD0">
              <w:rPr>
                <w:rFonts w:cs="Calibri"/>
                <w:sz w:val="20"/>
                <w:szCs w:val="20"/>
              </w:rPr>
              <w:t xml:space="preserve"> 947 a 948)</w:t>
            </w:r>
          </w:p>
        </w:tc>
        <w:tc>
          <w:tcPr>
            <w:tcW w:w="1872" w:type="dxa"/>
            <w:vAlign w:val="center"/>
          </w:tcPr>
          <w:p w14:paraId="6D51A3AD" w14:textId="77777777" w:rsidR="006B765F" w:rsidRPr="009A4B9F" w:rsidRDefault="006B765F" w:rsidP="00C3356D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9A4B9F">
              <w:rPr>
                <w:rFonts w:cs="Calibri"/>
                <w:sz w:val="20"/>
                <w:szCs w:val="20"/>
              </w:rPr>
              <w:t>764</w:t>
            </w:r>
            <w:r w:rsidR="00BF57AB">
              <w:rPr>
                <w:rFonts w:cs="Calibri"/>
                <w:sz w:val="20"/>
                <w:szCs w:val="20"/>
              </w:rPr>
              <w:t>,3</w:t>
            </w:r>
          </w:p>
        </w:tc>
      </w:tr>
      <w:tr w:rsidR="006B765F" w:rsidRPr="00B7220C" w14:paraId="2218A8FE" w14:textId="77777777" w:rsidTr="00DF6AD0">
        <w:trPr>
          <w:trHeight w:val="340"/>
        </w:trPr>
        <w:tc>
          <w:tcPr>
            <w:tcW w:w="7338" w:type="dxa"/>
            <w:vAlign w:val="center"/>
          </w:tcPr>
          <w:p w14:paraId="773853D0" w14:textId="2D68A9BF" w:rsidR="006B765F" w:rsidRPr="00DF6AD0" w:rsidRDefault="006B765F" w:rsidP="00DF6AD0">
            <w:pPr>
              <w:pStyle w:val="Odstavecseseznamem"/>
              <w:numPr>
                <w:ilvl w:val="0"/>
                <w:numId w:val="52"/>
              </w:numPr>
              <w:spacing w:after="0"/>
              <w:ind w:left="447" w:hanging="283"/>
              <w:rPr>
                <w:rFonts w:cs="Calibri"/>
                <w:sz w:val="20"/>
                <w:szCs w:val="20"/>
              </w:rPr>
            </w:pPr>
            <w:r w:rsidRPr="00DF6AD0">
              <w:rPr>
                <w:rFonts w:cs="Calibri"/>
                <w:sz w:val="20"/>
                <w:szCs w:val="20"/>
              </w:rPr>
              <w:t>podmíněné závazky z</w:t>
            </w:r>
            <w:r w:rsidR="002D35E9" w:rsidRPr="00DF6AD0">
              <w:rPr>
                <w:rFonts w:cs="Calibri"/>
                <w:sz w:val="20"/>
                <w:szCs w:val="20"/>
              </w:rPr>
              <w:t xml:space="preserve">e </w:t>
            </w:r>
            <w:r w:rsidRPr="00DF6AD0">
              <w:rPr>
                <w:rFonts w:cs="Calibri"/>
                <w:sz w:val="20"/>
                <w:szCs w:val="20"/>
              </w:rPr>
              <w:t>smluv (úč</w:t>
            </w:r>
            <w:r w:rsidR="009B3B0F" w:rsidRPr="00DF6AD0">
              <w:rPr>
                <w:rFonts w:cs="Calibri"/>
                <w:sz w:val="20"/>
                <w:szCs w:val="20"/>
              </w:rPr>
              <w:t>ty</w:t>
            </w:r>
            <w:r w:rsidRPr="00DF6AD0">
              <w:rPr>
                <w:rFonts w:cs="Calibri"/>
                <w:sz w:val="20"/>
                <w:szCs w:val="20"/>
              </w:rPr>
              <w:t xml:space="preserve"> 971 až 974)</w:t>
            </w:r>
          </w:p>
        </w:tc>
        <w:tc>
          <w:tcPr>
            <w:tcW w:w="1872" w:type="dxa"/>
            <w:vAlign w:val="center"/>
          </w:tcPr>
          <w:p w14:paraId="46F43817" w14:textId="77777777" w:rsidR="006B765F" w:rsidRPr="009A4B9F" w:rsidRDefault="006B765F" w:rsidP="00C3356D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9A4B9F">
              <w:rPr>
                <w:rFonts w:cs="Calibri"/>
                <w:sz w:val="20"/>
                <w:szCs w:val="20"/>
              </w:rPr>
              <w:t>41</w:t>
            </w:r>
            <w:r w:rsidR="00BF57AB">
              <w:rPr>
                <w:rFonts w:cs="Calibri"/>
                <w:sz w:val="20"/>
                <w:szCs w:val="20"/>
              </w:rPr>
              <w:t>2,0</w:t>
            </w:r>
          </w:p>
        </w:tc>
      </w:tr>
      <w:tr w:rsidR="006B765F" w:rsidRPr="00B7220C" w14:paraId="41398D8E" w14:textId="77777777" w:rsidTr="00DF6AD0">
        <w:trPr>
          <w:trHeight w:val="340"/>
        </w:trPr>
        <w:tc>
          <w:tcPr>
            <w:tcW w:w="7338" w:type="dxa"/>
            <w:vAlign w:val="center"/>
          </w:tcPr>
          <w:p w14:paraId="2717DB90" w14:textId="2344D935" w:rsidR="006B765F" w:rsidRPr="00DF6AD0" w:rsidRDefault="006B765F" w:rsidP="00DF6AD0">
            <w:pPr>
              <w:pStyle w:val="Odstavecseseznamem"/>
              <w:numPr>
                <w:ilvl w:val="0"/>
                <w:numId w:val="52"/>
              </w:numPr>
              <w:spacing w:after="0"/>
              <w:ind w:left="447" w:hanging="283"/>
              <w:rPr>
                <w:rFonts w:cs="Calibri"/>
                <w:sz w:val="20"/>
                <w:szCs w:val="20"/>
              </w:rPr>
            </w:pPr>
            <w:r w:rsidRPr="00DF6AD0">
              <w:rPr>
                <w:rFonts w:cs="Calibri"/>
                <w:sz w:val="20"/>
                <w:szCs w:val="20"/>
              </w:rPr>
              <w:t xml:space="preserve">podmíněné závazky </w:t>
            </w:r>
            <w:r w:rsidR="002D35E9" w:rsidRPr="00DF6AD0">
              <w:rPr>
                <w:rFonts w:cs="Calibri"/>
                <w:sz w:val="20"/>
                <w:szCs w:val="20"/>
              </w:rPr>
              <w:t>z právních předpisů a další činnosti moci zákonodárné, výkonné nebo soudní</w:t>
            </w:r>
            <w:r w:rsidRPr="00DF6AD0">
              <w:rPr>
                <w:rFonts w:cs="Calibri"/>
                <w:sz w:val="20"/>
                <w:szCs w:val="20"/>
              </w:rPr>
              <w:t xml:space="preserve"> (úč</w:t>
            </w:r>
            <w:r w:rsidR="009B3B0F" w:rsidRPr="00DF6AD0">
              <w:rPr>
                <w:rFonts w:cs="Calibri"/>
                <w:sz w:val="20"/>
                <w:szCs w:val="20"/>
              </w:rPr>
              <w:t>ty</w:t>
            </w:r>
            <w:r w:rsidRPr="00DF6AD0">
              <w:rPr>
                <w:rFonts w:cs="Calibri"/>
                <w:sz w:val="20"/>
                <w:szCs w:val="20"/>
              </w:rPr>
              <w:t xml:space="preserve"> 978 a 979)</w:t>
            </w:r>
          </w:p>
        </w:tc>
        <w:tc>
          <w:tcPr>
            <w:tcW w:w="1872" w:type="dxa"/>
            <w:vAlign w:val="center"/>
          </w:tcPr>
          <w:p w14:paraId="594EDB22" w14:textId="77777777" w:rsidR="006B765F" w:rsidRPr="009A4B9F" w:rsidRDefault="006B765F" w:rsidP="00C3356D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9A4B9F">
              <w:rPr>
                <w:rFonts w:cs="Calibri"/>
                <w:sz w:val="20"/>
                <w:szCs w:val="20"/>
              </w:rPr>
              <w:t>559,</w:t>
            </w:r>
            <w:r w:rsidR="00486ED5">
              <w:rPr>
                <w:rFonts w:cs="Calibri"/>
                <w:sz w:val="20"/>
                <w:szCs w:val="20"/>
              </w:rPr>
              <w:t>2</w:t>
            </w:r>
          </w:p>
        </w:tc>
      </w:tr>
      <w:tr w:rsidR="006B765F" w:rsidRPr="00B7220C" w14:paraId="70CDBB03" w14:textId="77777777" w:rsidTr="00DF6AD0">
        <w:trPr>
          <w:trHeight w:val="340"/>
        </w:trPr>
        <w:tc>
          <w:tcPr>
            <w:tcW w:w="7338" w:type="dxa"/>
            <w:shd w:val="clear" w:color="auto" w:fill="F2C6C9"/>
            <w:vAlign w:val="center"/>
          </w:tcPr>
          <w:p w14:paraId="57F85122" w14:textId="7AFC8737" w:rsidR="006B765F" w:rsidRPr="009A4B9F" w:rsidRDefault="006B765F" w:rsidP="00C3356D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9A4B9F">
              <w:rPr>
                <w:rFonts w:cs="Calibri"/>
                <w:b/>
                <w:sz w:val="20"/>
                <w:szCs w:val="20"/>
              </w:rPr>
              <w:t>II. podmíněn</w:t>
            </w:r>
            <w:r w:rsidR="00DF6AD0">
              <w:rPr>
                <w:rFonts w:cs="Calibri"/>
                <w:b/>
                <w:sz w:val="20"/>
                <w:szCs w:val="20"/>
              </w:rPr>
              <w:t>á</w:t>
            </w:r>
            <w:r w:rsidRPr="009A4B9F">
              <w:rPr>
                <w:rFonts w:cs="Calibri"/>
                <w:b/>
                <w:sz w:val="20"/>
                <w:szCs w:val="20"/>
              </w:rPr>
              <w:t xml:space="preserve"> specifickým rizikem, jež není plně pod kontrolou účetní jednotky</w:t>
            </w:r>
            <w:r w:rsidRPr="009A4B9F">
              <w:rPr>
                <w:rStyle w:val="Znakapoznpodarou"/>
                <w:rFonts w:cs="Calibri"/>
                <w:b/>
                <w:sz w:val="20"/>
                <w:szCs w:val="20"/>
              </w:rPr>
              <w:footnoteReference w:id="32"/>
            </w:r>
          </w:p>
        </w:tc>
        <w:tc>
          <w:tcPr>
            <w:tcW w:w="1872" w:type="dxa"/>
            <w:shd w:val="clear" w:color="auto" w:fill="F2C6C9"/>
            <w:vAlign w:val="center"/>
          </w:tcPr>
          <w:p w14:paraId="6C4D694E" w14:textId="77777777" w:rsidR="006B765F" w:rsidRPr="009A4B9F" w:rsidRDefault="00486ED5" w:rsidP="00C3356D">
            <w:pPr>
              <w:spacing w:after="0"/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0,3</w:t>
            </w:r>
          </w:p>
        </w:tc>
      </w:tr>
      <w:tr w:rsidR="006B765F" w:rsidRPr="00B7220C" w14:paraId="30869947" w14:textId="77777777" w:rsidTr="00DF6AD0">
        <w:trPr>
          <w:trHeight w:val="340"/>
        </w:trPr>
        <w:tc>
          <w:tcPr>
            <w:tcW w:w="7338" w:type="dxa"/>
            <w:vAlign w:val="center"/>
          </w:tcPr>
          <w:p w14:paraId="1F8C4EAA" w14:textId="7B23526F" w:rsidR="006B765F" w:rsidRPr="00DF6AD0" w:rsidRDefault="006B765F" w:rsidP="00DF6AD0">
            <w:pPr>
              <w:pStyle w:val="Odstavecseseznamem"/>
              <w:numPr>
                <w:ilvl w:val="0"/>
                <w:numId w:val="52"/>
              </w:numPr>
              <w:spacing w:after="0"/>
              <w:ind w:left="447" w:hanging="283"/>
              <w:rPr>
                <w:rFonts w:cs="Calibri"/>
                <w:sz w:val="20"/>
                <w:szCs w:val="20"/>
              </w:rPr>
            </w:pPr>
            <w:r w:rsidRPr="00DF6AD0">
              <w:rPr>
                <w:rFonts w:cs="Calibri"/>
                <w:sz w:val="20"/>
                <w:szCs w:val="20"/>
              </w:rPr>
              <w:t>ostatní podmíněná pasiva (účet 994)</w:t>
            </w:r>
          </w:p>
        </w:tc>
        <w:tc>
          <w:tcPr>
            <w:tcW w:w="1872" w:type="dxa"/>
            <w:vAlign w:val="center"/>
          </w:tcPr>
          <w:p w14:paraId="64B28AE0" w14:textId="77777777" w:rsidR="006B765F" w:rsidRPr="009A4B9F" w:rsidRDefault="00486ED5" w:rsidP="00C3356D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0,3</w:t>
            </w:r>
          </w:p>
        </w:tc>
      </w:tr>
      <w:tr w:rsidR="006B765F" w:rsidRPr="00B7220C" w14:paraId="72746651" w14:textId="77777777" w:rsidTr="00DF6AD0">
        <w:trPr>
          <w:trHeight w:val="340"/>
        </w:trPr>
        <w:tc>
          <w:tcPr>
            <w:tcW w:w="7338" w:type="dxa"/>
            <w:shd w:val="clear" w:color="auto" w:fill="F2C6C9"/>
            <w:vAlign w:val="center"/>
          </w:tcPr>
          <w:p w14:paraId="36B313D5" w14:textId="5778F582" w:rsidR="006B765F" w:rsidRPr="009A4B9F" w:rsidRDefault="006B765F" w:rsidP="00C3356D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9A4B9F">
              <w:rPr>
                <w:rFonts w:cs="Calibri"/>
                <w:b/>
                <w:sz w:val="20"/>
                <w:szCs w:val="20"/>
              </w:rPr>
              <w:t>III. nejist</w:t>
            </w:r>
            <w:r w:rsidR="00DF6AD0">
              <w:rPr>
                <w:rFonts w:cs="Calibri"/>
                <w:b/>
                <w:sz w:val="20"/>
                <w:szCs w:val="20"/>
              </w:rPr>
              <w:t>á</w:t>
            </w:r>
            <w:r w:rsidRPr="009A4B9F">
              <w:rPr>
                <w:rFonts w:cs="Calibri"/>
                <w:b/>
                <w:sz w:val="20"/>
                <w:szCs w:val="20"/>
              </w:rPr>
              <w:t>, neočekávan</w:t>
            </w:r>
            <w:r w:rsidR="00DF6AD0">
              <w:rPr>
                <w:rFonts w:cs="Calibri"/>
                <w:b/>
                <w:sz w:val="20"/>
                <w:szCs w:val="20"/>
              </w:rPr>
              <w:t>á</w:t>
            </w:r>
            <w:r w:rsidRPr="009A4B9F">
              <w:rPr>
                <w:rFonts w:cs="Calibri"/>
                <w:b/>
                <w:sz w:val="20"/>
                <w:szCs w:val="20"/>
              </w:rPr>
              <w:t xml:space="preserve"> k plnění</w:t>
            </w:r>
            <w:r w:rsidRPr="009A4B9F">
              <w:rPr>
                <w:rStyle w:val="Znakapoznpodarou"/>
                <w:rFonts w:cs="Calibri"/>
                <w:b/>
                <w:sz w:val="20"/>
                <w:szCs w:val="20"/>
              </w:rPr>
              <w:footnoteReference w:id="33"/>
            </w:r>
          </w:p>
        </w:tc>
        <w:tc>
          <w:tcPr>
            <w:tcW w:w="1872" w:type="dxa"/>
            <w:shd w:val="clear" w:color="auto" w:fill="F2C6C9"/>
            <w:vAlign w:val="center"/>
          </w:tcPr>
          <w:p w14:paraId="0F0CA075" w14:textId="77777777" w:rsidR="006B765F" w:rsidRPr="009A4B9F" w:rsidRDefault="00486ED5" w:rsidP="00C3356D">
            <w:pPr>
              <w:spacing w:after="0"/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0,4</w:t>
            </w:r>
          </w:p>
        </w:tc>
      </w:tr>
      <w:tr w:rsidR="006B765F" w:rsidRPr="00B7220C" w14:paraId="55535B8F" w14:textId="77777777" w:rsidTr="00DF6AD0">
        <w:trPr>
          <w:trHeight w:val="340"/>
        </w:trPr>
        <w:tc>
          <w:tcPr>
            <w:tcW w:w="7338" w:type="dxa"/>
            <w:vAlign w:val="center"/>
          </w:tcPr>
          <w:p w14:paraId="76862C01" w14:textId="25186519" w:rsidR="006B765F" w:rsidRPr="00DF6AD0" w:rsidRDefault="006B765F" w:rsidP="00DF6AD0">
            <w:pPr>
              <w:pStyle w:val="Odstavecseseznamem"/>
              <w:numPr>
                <w:ilvl w:val="0"/>
                <w:numId w:val="52"/>
              </w:numPr>
              <w:spacing w:after="0"/>
              <w:ind w:left="447" w:hanging="283"/>
              <w:rPr>
                <w:rFonts w:cs="Calibri"/>
                <w:b/>
                <w:sz w:val="20"/>
                <w:szCs w:val="20"/>
              </w:rPr>
            </w:pPr>
            <w:r w:rsidRPr="00DF6AD0">
              <w:rPr>
                <w:rFonts w:cs="Calibri"/>
                <w:sz w:val="20"/>
                <w:szCs w:val="20"/>
              </w:rPr>
              <w:t xml:space="preserve">podmíněné závazky z užívání cizího majetku na základě smlouvy o výpůjčce </w:t>
            </w:r>
            <w:r w:rsidR="009B3B0F">
              <w:rPr>
                <w:rFonts w:cs="Calibri"/>
                <w:sz w:val="20"/>
                <w:szCs w:val="20"/>
              </w:rPr>
              <w:br/>
            </w:r>
            <w:r w:rsidRPr="00DF6AD0">
              <w:rPr>
                <w:rFonts w:cs="Calibri"/>
                <w:sz w:val="20"/>
                <w:szCs w:val="20"/>
              </w:rPr>
              <w:t>(účet 966)</w:t>
            </w:r>
          </w:p>
        </w:tc>
        <w:tc>
          <w:tcPr>
            <w:tcW w:w="1872" w:type="dxa"/>
            <w:vAlign w:val="center"/>
          </w:tcPr>
          <w:p w14:paraId="145328DD" w14:textId="77777777" w:rsidR="006B765F" w:rsidRPr="009A4B9F" w:rsidRDefault="00486ED5" w:rsidP="00C3356D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0,4</w:t>
            </w:r>
          </w:p>
        </w:tc>
      </w:tr>
    </w:tbl>
    <w:p w14:paraId="79EC5C68" w14:textId="2EB4DBB0" w:rsidR="006B765F" w:rsidRPr="00AC218C" w:rsidRDefault="006B765F" w:rsidP="00DF6AD0">
      <w:pPr>
        <w:spacing w:before="40" w:after="240"/>
        <w:jc w:val="both"/>
        <w:rPr>
          <w:rFonts w:cstheme="minorHAnsi"/>
        </w:rPr>
      </w:pPr>
      <w:r w:rsidRPr="009776FE">
        <w:rPr>
          <w:rFonts w:cs="Calibri"/>
          <w:b/>
          <w:sz w:val="20"/>
          <w:szCs w:val="20"/>
        </w:rPr>
        <w:t>Zdroj</w:t>
      </w:r>
      <w:r w:rsidRPr="00DF6AD0">
        <w:rPr>
          <w:rFonts w:cs="Calibri"/>
          <w:b/>
          <w:sz w:val="20"/>
          <w:szCs w:val="20"/>
        </w:rPr>
        <w:t>:</w:t>
      </w:r>
      <w:r w:rsidRPr="009776FE">
        <w:rPr>
          <w:rFonts w:cs="Calibri"/>
          <w:sz w:val="20"/>
          <w:szCs w:val="20"/>
        </w:rPr>
        <w:t xml:space="preserve"> ÚZ, vlastní</w:t>
      </w:r>
      <w:r>
        <w:rPr>
          <w:rFonts w:cs="Calibri"/>
          <w:sz w:val="20"/>
          <w:szCs w:val="20"/>
        </w:rPr>
        <w:t xml:space="preserve"> členění</w:t>
      </w:r>
      <w:r w:rsidR="009B3B0F">
        <w:rPr>
          <w:rFonts w:cs="Calibri"/>
          <w:sz w:val="20"/>
          <w:szCs w:val="20"/>
        </w:rPr>
        <w:t xml:space="preserve"> NKÚ</w:t>
      </w:r>
      <w:r w:rsidR="00F044C6">
        <w:rPr>
          <w:rFonts w:cs="Calibri"/>
          <w:sz w:val="20"/>
          <w:szCs w:val="20"/>
        </w:rPr>
        <w:t>.</w:t>
      </w:r>
    </w:p>
    <w:sectPr w:rsidR="006B765F" w:rsidRPr="00AC218C" w:rsidSect="00DF6AD0">
      <w:headerReference w:type="default" r:id="rId35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536FF" w14:textId="77777777" w:rsidR="00A8498B" w:rsidRDefault="00A8498B">
      <w:pPr>
        <w:spacing w:after="0"/>
      </w:pPr>
      <w:r>
        <w:separator/>
      </w:r>
    </w:p>
  </w:endnote>
  <w:endnote w:type="continuationSeparator" w:id="0">
    <w:p w14:paraId="40B99061" w14:textId="77777777" w:rsidR="00A8498B" w:rsidRDefault="00A8498B">
      <w:pPr>
        <w:spacing w:after="0"/>
      </w:pPr>
      <w:r>
        <w:continuationSeparator/>
      </w:r>
    </w:p>
  </w:endnote>
  <w:endnote w:type="continuationNotice" w:id="1">
    <w:p w14:paraId="4671AF88" w14:textId="77777777" w:rsidR="00A8498B" w:rsidRDefault="00A8498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8242651"/>
      <w:docPartObj>
        <w:docPartGallery w:val="Page Numbers (Bottom of Page)"/>
        <w:docPartUnique/>
      </w:docPartObj>
    </w:sdtPr>
    <w:sdtEndPr/>
    <w:sdtContent>
      <w:p w14:paraId="61C27836" w14:textId="77777777" w:rsidR="00A8498B" w:rsidRDefault="00A8498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C8A900D" w14:textId="77777777" w:rsidR="00A8498B" w:rsidRDefault="00A849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B9EAC" w14:textId="7E60FAE2" w:rsidR="00A8498B" w:rsidRDefault="00A8498B">
    <w:pPr>
      <w:pStyle w:val="Zpat"/>
      <w:jc w:val="center"/>
    </w:pPr>
  </w:p>
  <w:p w14:paraId="1C61138E" w14:textId="77777777" w:rsidR="00A8498B" w:rsidRDefault="00A8498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121642"/>
      <w:docPartObj>
        <w:docPartGallery w:val="Page Numbers (Bottom of Page)"/>
        <w:docPartUnique/>
      </w:docPartObj>
    </w:sdtPr>
    <w:sdtEndPr/>
    <w:sdtContent>
      <w:p w14:paraId="67F149AF" w14:textId="7CF07B3C" w:rsidR="002B4224" w:rsidRDefault="002B422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705856" w14:textId="77777777" w:rsidR="002B4224" w:rsidRDefault="002B42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594EE" w14:textId="77777777" w:rsidR="00A8498B" w:rsidRDefault="00A8498B" w:rsidP="002B7978">
      <w:pPr>
        <w:spacing w:after="0"/>
      </w:pPr>
      <w:r>
        <w:separator/>
      </w:r>
    </w:p>
  </w:footnote>
  <w:footnote w:type="continuationSeparator" w:id="0">
    <w:p w14:paraId="37E8952D" w14:textId="77777777" w:rsidR="00A8498B" w:rsidRDefault="00A8498B" w:rsidP="002B7978">
      <w:pPr>
        <w:spacing w:after="0"/>
      </w:pPr>
      <w:r>
        <w:continuationSeparator/>
      </w:r>
    </w:p>
  </w:footnote>
  <w:footnote w:type="continuationNotice" w:id="1">
    <w:p w14:paraId="2120CF72" w14:textId="77777777" w:rsidR="00A8498B" w:rsidRDefault="00A8498B">
      <w:pPr>
        <w:spacing w:after="0"/>
      </w:pPr>
    </w:p>
  </w:footnote>
  <w:footnote w:id="2">
    <w:p w14:paraId="602E8DE4" w14:textId="47D7FCF2" w:rsidR="00A8498B" w:rsidRPr="001B3F5D" w:rsidRDefault="00A8498B" w:rsidP="006E0AFD">
      <w:pPr>
        <w:pStyle w:val="Textpoznpodarou"/>
        <w:ind w:left="284" w:hanging="284"/>
        <w:rPr>
          <w:rFonts w:asciiTheme="minorHAnsi" w:hAnsiTheme="minorHAnsi" w:cstheme="minorHAnsi"/>
        </w:rPr>
      </w:pPr>
      <w:r w:rsidRPr="00566C2A">
        <w:rPr>
          <w:rStyle w:val="Znakapoznpodarou"/>
          <w:rFonts w:asciiTheme="minorHAnsi" w:hAnsiTheme="minorHAnsi" w:cstheme="minorHAnsi"/>
        </w:rPr>
        <w:footnoteRef/>
      </w:r>
      <w:r w:rsidRPr="00566C2A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 </w:t>
      </w:r>
      <w:r w:rsidRPr="001B3F5D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ab/>
      </w:r>
      <w:r w:rsidRPr="001B3F5D">
        <w:rPr>
          <w:rFonts w:asciiTheme="minorHAnsi" w:hAnsiTheme="minorHAnsi" w:cstheme="minorHAnsi"/>
          <w:iCs/>
          <w:color w:val="000000"/>
          <w:shd w:val="clear" w:color="auto" w:fill="FFFFFF"/>
        </w:rPr>
        <w:t>Informační p</w:t>
      </w:r>
      <w:r w:rsidRPr="00DF6AD0">
        <w:rPr>
          <w:rFonts w:asciiTheme="minorHAnsi" w:hAnsiTheme="minorHAnsi" w:cstheme="minorHAnsi"/>
          <w:iCs/>
          <w:color w:val="000000"/>
          <w:shd w:val="clear" w:color="auto" w:fill="FFFFFF"/>
        </w:rPr>
        <w:t>ortál</w:t>
      </w:r>
      <w:r w:rsidRPr="001B3F5D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 </w:t>
      </w:r>
      <w:r w:rsidRPr="00DF6AD0">
        <w:rPr>
          <w:rFonts w:asciiTheme="minorHAnsi" w:hAnsiTheme="minorHAnsi" w:cstheme="minorHAnsi"/>
          <w:iCs/>
          <w:color w:val="000000"/>
          <w:shd w:val="clear" w:color="auto" w:fill="FFFFFF"/>
        </w:rPr>
        <w:t>MONITOR</w:t>
      </w:r>
      <w:r w:rsidRPr="00A8498B">
        <w:rPr>
          <w:rFonts w:asciiTheme="minorHAnsi" w:hAnsiTheme="minorHAnsi" w:cstheme="minorHAnsi"/>
          <w:iCs/>
          <w:color w:val="000000"/>
          <w:shd w:val="clear" w:color="auto" w:fill="FFFFFF"/>
        </w:rPr>
        <w:t xml:space="preserve"> </w:t>
      </w:r>
      <w:r w:rsidRPr="001B3F5D">
        <w:rPr>
          <w:rFonts w:asciiTheme="minorHAnsi" w:hAnsiTheme="minorHAnsi" w:cstheme="minorHAnsi"/>
          <w:color w:val="000000"/>
          <w:shd w:val="clear" w:color="auto" w:fill="FFFFFF"/>
        </w:rPr>
        <w:t xml:space="preserve">[online]. Údaje výkazů účetní závěrky [cit. 24. 5. 2023]. Dostupné z: </w:t>
      </w:r>
      <w:hyperlink r:id="rId1" w:history="1">
        <w:r w:rsidRPr="00566C2A">
          <w:rPr>
            <w:rStyle w:val="Hypertextovodkaz"/>
            <w:rFonts w:asciiTheme="minorHAnsi" w:hAnsiTheme="minorHAnsi" w:cstheme="minorHAnsi"/>
            <w:shd w:val="clear" w:color="auto" w:fill="FFFFFF"/>
          </w:rPr>
          <w:t>https://monitor.statnipokladna.cz/ucetni-jednotka/00215660/ucetni-zaverka/rozvaha?obdobi=2212&amp;rad=j</w:t>
        </w:r>
      </w:hyperlink>
      <w:r w:rsidRPr="001B3F5D">
        <w:rPr>
          <w:rStyle w:val="Hypertextovodkaz"/>
          <w:rFonts w:asciiTheme="minorHAnsi" w:hAnsiTheme="minorHAnsi" w:cstheme="minorHAnsi"/>
          <w:color w:val="auto"/>
          <w:u w:val="none"/>
          <w:shd w:val="clear" w:color="auto" w:fill="FFFFFF"/>
        </w:rPr>
        <w:t>.</w:t>
      </w:r>
    </w:p>
  </w:footnote>
  <w:footnote w:id="3">
    <w:p w14:paraId="75065E2F" w14:textId="77777777" w:rsidR="00A8498B" w:rsidRPr="001B3F5D" w:rsidRDefault="00A8498B" w:rsidP="00487F3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1B3F5D">
        <w:rPr>
          <w:rStyle w:val="Znakapoznpodarou"/>
          <w:rFonts w:asciiTheme="minorHAnsi" w:hAnsiTheme="minorHAnsi" w:cstheme="minorHAnsi"/>
        </w:rPr>
        <w:footnoteRef/>
      </w:r>
      <w:r w:rsidRPr="001B3F5D">
        <w:rPr>
          <w:rFonts w:asciiTheme="minorHAnsi" w:hAnsiTheme="minorHAnsi" w:cstheme="minorHAnsi"/>
        </w:rPr>
        <w:t xml:space="preserve"> </w:t>
      </w:r>
      <w:r w:rsidRPr="001B3F5D">
        <w:rPr>
          <w:rFonts w:asciiTheme="minorHAnsi" w:hAnsiTheme="minorHAnsi" w:cstheme="minorHAnsi"/>
        </w:rPr>
        <w:tab/>
        <w:t>Vybranými účetními jednotkami jsou podle ustanovení § 1 odst. 3 zákona č. 563/1991 Sb., o účetnictví, organizační složky státu, státní fondy podle rozpočtových pravidel, územní samosprávné celky, dobrovolné svazky obcí, příspěvkové organizace a zdravotní pojišťovny.</w:t>
      </w:r>
    </w:p>
  </w:footnote>
  <w:footnote w:id="4">
    <w:p w14:paraId="105822AB" w14:textId="436CC339" w:rsidR="00A8498B" w:rsidRPr="00DF6AD0" w:rsidRDefault="00A8498B" w:rsidP="00DF6AD0">
      <w:pPr>
        <w:pStyle w:val="Textpoznpodarou"/>
        <w:ind w:left="284" w:hanging="284"/>
        <w:rPr>
          <w:rFonts w:asciiTheme="minorHAnsi" w:hAnsiTheme="minorHAnsi" w:cstheme="minorHAnsi"/>
        </w:rPr>
      </w:pPr>
      <w:r w:rsidRPr="00DF6AD0">
        <w:rPr>
          <w:rStyle w:val="Znakapoznpodarou"/>
          <w:rFonts w:asciiTheme="minorHAnsi" w:hAnsiTheme="minorHAnsi" w:cstheme="minorHAnsi"/>
        </w:rPr>
        <w:footnoteRef/>
      </w:r>
      <w:r w:rsidRPr="00DF6AD0">
        <w:rPr>
          <w:rFonts w:asciiTheme="minorHAnsi" w:hAnsiTheme="minorHAnsi" w:cstheme="minorHAnsi"/>
        </w:rPr>
        <w:t xml:space="preserve"> </w:t>
      </w:r>
      <w:r w:rsidRPr="00DF6AD0">
        <w:rPr>
          <w:rFonts w:asciiTheme="minorHAnsi" w:hAnsiTheme="minorHAnsi" w:cstheme="minorHAnsi"/>
        </w:rPr>
        <w:tab/>
        <w:t>Viz ustanovení § 19 odst. 7 zákona č. 563/1991 Sb., o účetnictví.</w:t>
      </w:r>
    </w:p>
  </w:footnote>
  <w:footnote w:id="5">
    <w:p w14:paraId="2036BBB0" w14:textId="574C44D7" w:rsidR="00A8498B" w:rsidRPr="001B3F5D" w:rsidRDefault="00A8498B" w:rsidP="00603A22">
      <w:pPr>
        <w:pStyle w:val="Textpoznpodarou"/>
        <w:ind w:left="284" w:hanging="284"/>
        <w:rPr>
          <w:rFonts w:asciiTheme="minorHAnsi" w:hAnsiTheme="minorHAnsi" w:cstheme="minorHAnsi"/>
        </w:rPr>
      </w:pPr>
      <w:r w:rsidRPr="001B3F5D">
        <w:rPr>
          <w:rStyle w:val="Znakapoznpodarou"/>
          <w:rFonts w:asciiTheme="minorHAnsi" w:hAnsiTheme="minorHAnsi" w:cstheme="minorHAnsi"/>
        </w:rPr>
        <w:footnoteRef/>
      </w:r>
      <w:r w:rsidRPr="001B3F5D">
        <w:rPr>
          <w:rFonts w:asciiTheme="minorHAnsi" w:hAnsiTheme="minorHAnsi" w:cstheme="minorHAnsi"/>
        </w:rPr>
        <w:t xml:space="preserve"> </w:t>
      </w:r>
      <w:r w:rsidRPr="001B3F5D">
        <w:rPr>
          <w:rFonts w:asciiTheme="minorHAnsi" w:hAnsiTheme="minorHAnsi" w:cstheme="minorHAnsi"/>
        </w:rPr>
        <w:tab/>
        <w:t>Informační p</w:t>
      </w:r>
      <w:r w:rsidRPr="00DF6AD0">
        <w:rPr>
          <w:rFonts w:asciiTheme="minorHAnsi" w:hAnsiTheme="minorHAnsi" w:cstheme="minorHAnsi"/>
        </w:rPr>
        <w:t>ortál</w:t>
      </w:r>
      <w:r w:rsidRPr="001B3F5D">
        <w:rPr>
          <w:rFonts w:asciiTheme="minorHAnsi" w:hAnsiTheme="minorHAnsi" w:cstheme="minorHAnsi"/>
          <w:i/>
        </w:rPr>
        <w:t xml:space="preserve"> </w:t>
      </w:r>
      <w:r w:rsidRPr="00DF6AD0">
        <w:rPr>
          <w:rFonts w:asciiTheme="minorHAnsi" w:hAnsiTheme="minorHAnsi" w:cstheme="minorHAnsi"/>
          <w:iCs/>
          <w:color w:val="000000"/>
          <w:shd w:val="clear" w:color="auto" w:fill="FFFFFF"/>
        </w:rPr>
        <w:t>MONITOR</w:t>
      </w:r>
      <w:r w:rsidRPr="001B3F5D">
        <w:rPr>
          <w:rFonts w:asciiTheme="minorHAnsi" w:hAnsiTheme="minorHAnsi" w:cstheme="minorHAnsi"/>
          <w:color w:val="000000"/>
          <w:shd w:val="clear" w:color="auto" w:fill="FFFFFF"/>
        </w:rPr>
        <w:t xml:space="preserve"> [online]. Výkaz pro hodnocení plnění rozpočtu [cit. 24. 5. 2023]. Dostupné z:</w:t>
      </w:r>
      <w:r w:rsidRPr="001B3F5D">
        <w:rPr>
          <w:rFonts w:asciiTheme="minorHAnsi" w:hAnsiTheme="minorHAnsi" w:cstheme="minorHAnsi"/>
        </w:rPr>
        <w:t xml:space="preserve"> </w:t>
      </w:r>
      <w:hyperlink r:id="rId2" w:history="1">
        <w:r w:rsidRPr="00566C2A">
          <w:rPr>
            <w:rStyle w:val="Hypertextovodkaz"/>
            <w:rFonts w:asciiTheme="minorHAnsi" w:hAnsiTheme="minorHAnsi" w:cstheme="minorHAnsi"/>
          </w:rPr>
          <w:t>https://monitor.statnipokladna.cz/ucetni-jednotka/00215660/rozpocet/souhrnny?rad=j&amp;obdobi=2212</w:t>
        </w:r>
      </w:hyperlink>
      <w:r w:rsidRPr="001B3F5D">
        <w:rPr>
          <w:rStyle w:val="Hypertextovodkaz"/>
          <w:rFonts w:asciiTheme="minorHAnsi" w:hAnsiTheme="minorHAnsi" w:cstheme="minorHAnsi"/>
          <w:color w:val="auto"/>
          <w:u w:val="none"/>
        </w:rPr>
        <w:t>.</w:t>
      </w:r>
    </w:p>
  </w:footnote>
  <w:footnote w:id="6">
    <w:p w14:paraId="6ECAFFF0" w14:textId="5339BB75" w:rsidR="00A8498B" w:rsidRPr="00BD6AA4" w:rsidRDefault="00A8498B" w:rsidP="00DF6AD0">
      <w:pPr>
        <w:pStyle w:val="Textpoznpodarou"/>
        <w:ind w:left="284" w:hanging="284"/>
        <w:jc w:val="both"/>
        <w:rPr>
          <w:rFonts w:asciiTheme="minorHAnsi" w:hAnsiTheme="minorHAnsi" w:cstheme="minorHAnsi"/>
          <w:i/>
        </w:rPr>
      </w:pPr>
      <w:r w:rsidRPr="0088411F">
        <w:rPr>
          <w:rStyle w:val="Znakapoznpodarou"/>
          <w:rFonts w:asciiTheme="minorHAnsi" w:hAnsiTheme="minorHAnsi" w:cstheme="minorHAnsi"/>
        </w:rPr>
        <w:footnoteRef/>
      </w:r>
      <w:r>
        <w:t xml:space="preserve"> </w:t>
      </w:r>
      <w:r>
        <w:tab/>
      </w:r>
      <w:r w:rsidRPr="00BD6AA4">
        <w:rPr>
          <w:rFonts w:asciiTheme="minorHAnsi" w:hAnsiTheme="minorHAnsi" w:cstheme="minorHAnsi"/>
        </w:rPr>
        <w:t xml:space="preserve">Na základě usnesení vlády ČR ze dne </w:t>
      </w:r>
      <w:r>
        <w:rPr>
          <w:rFonts w:asciiTheme="minorHAnsi" w:hAnsiTheme="minorHAnsi" w:cstheme="minorHAnsi"/>
        </w:rPr>
        <w:t>6</w:t>
      </w:r>
      <w:r w:rsidRPr="00BD6AA4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ledna</w:t>
      </w:r>
      <w:r w:rsidRPr="00BD6AA4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20</w:t>
      </w:r>
      <w:r w:rsidRPr="00BD6AA4">
        <w:rPr>
          <w:rFonts w:asciiTheme="minorHAnsi" w:hAnsiTheme="minorHAnsi" w:cstheme="minorHAnsi"/>
        </w:rPr>
        <w:t xml:space="preserve"> č. </w:t>
      </w:r>
      <w:r>
        <w:rPr>
          <w:rFonts w:asciiTheme="minorHAnsi" w:hAnsiTheme="minorHAnsi" w:cstheme="minorHAnsi"/>
        </w:rPr>
        <w:t>12,</w:t>
      </w:r>
      <w:r w:rsidRPr="00BD6AA4">
        <w:rPr>
          <w:rFonts w:asciiTheme="minorHAnsi" w:hAnsiTheme="minorHAnsi" w:cstheme="minorHAnsi"/>
        </w:rPr>
        <w:t xml:space="preserve"> </w:t>
      </w:r>
      <w:r w:rsidRPr="00BD6AA4">
        <w:rPr>
          <w:rFonts w:asciiTheme="minorHAnsi" w:hAnsiTheme="minorHAnsi" w:cstheme="minorHAnsi"/>
          <w:i/>
        </w:rPr>
        <w:t xml:space="preserve">ke </w:t>
      </w:r>
      <w:r>
        <w:rPr>
          <w:rFonts w:asciiTheme="minorHAnsi" w:hAnsiTheme="minorHAnsi" w:cstheme="minorHAnsi"/>
          <w:i/>
        </w:rPr>
        <w:t>K</w:t>
      </w:r>
      <w:r w:rsidRPr="00BD6AA4">
        <w:rPr>
          <w:rFonts w:asciiTheme="minorHAnsi" w:hAnsiTheme="minorHAnsi" w:cstheme="minorHAnsi"/>
          <w:i/>
        </w:rPr>
        <w:t xml:space="preserve">ontrolnímu závěru </w:t>
      </w:r>
      <w:r w:rsidRPr="008E2476">
        <w:rPr>
          <w:rFonts w:asciiTheme="minorHAnsi" w:hAnsiTheme="minorHAnsi" w:cstheme="minorHAnsi"/>
          <w:i/>
        </w:rPr>
        <w:t>Nejvyššího kontrolního úřadu z</w:t>
      </w:r>
      <w:r>
        <w:rPr>
          <w:rFonts w:asciiTheme="minorHAnsi" w:hAnsiTheme="minorHAnsi" w:cstheme="minorHAnsi"/>
          <w:i/>
        </w:rPr>
        <w:t> </w:t>
      </w:r>
      <w:r w:rsidRPr="008E2476">
        <w:rPr>
          <w:rFonts w:asciiTheme="minorHAnsi" w:hAnsiTheme="minorHAnsi" w:cstheme="minorHAnsi"/>
          <w:i/>
        </w:rPr>
        <w:t>kontrolní akce č. 18/25 Účetní závěrka Městského soudu v Praze za rok 2017</w:t>
      </w:r>
      <w:r w:rsidRPr="00BD6AA4">
        <w:rPr>
          <w:rFonts w:asciiTheme="minorHAnsi" w:hAnsiTheme="minorHAnsi" w:cstheme="minorHAnsi"/>
          <w:i/>
        </w:rPr>
        <w:t>.</w:t>
      </w:r>
    </w:p>
  </w:footnote>
  <w:footnote w:id="7">
    <w:p w14:paraId="7CC99272" w14:textId="77066CA0" w:rsidR="00A8498B" w:rsidRPr="0088411F" w:rsidRDefault="00A8498B" w:rsidP="00DF6AD0">
      <w:pPr>
        <w:pStyle w:val="Textpoznpodarou"/>
        <w:ind w:left="284" w:hanging="284"/>
        <w:rPr>
          <w:rFonts w:ascii="Calibri" w:hAnsi="Calibri" w:cs="Calibri"/>
        </w:rPr>
      </w:pPr>
      <w:r w:rsidRPr="0088411F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88411F">
        <w:rPr>
          <w:rFonts w:ascii="Calibri" w:hAnsi="Calibri" w:cs="Calibri"/>
        </w:rPr>
        <w:t>K</w:t>
      </w:r>
      <w:r>
        <w:rPr>
          <w:rFonts w:ascii="Calibri" w:hAnsi="Calibri" w:cs="Calibri"/>
        </w:rPr>
        <w:t>A</w:t>
      </w:r>
      <w:r w:rsidRPr="0088411F">
        <w:rPr>
          <w:rFonts w:ascii="Calibri" w:hAnsi="Calibri" w:cs="Calibri"/>
        </w:rPr>
        <w:t xml:space="preserve"> č. 18/25 </w:t>
      </w:r>
      <w:r>
        <w:rPr>
          <w:rFonts w:ascii="Calibri" w:hAnsi="Calibri" w:cs="Calibri"/>
        </w:rPr>
        <w:t xml:space="preserve">– </w:t>
      </w:r>
      <w:r w:rsidRPr="00DF6AD0">
        <w:rPr>
          <w:rFonts w:ascii="Calibri" w:hAnsi="Calibri" w:cs="Calibri"/>
          <w:i/>
        </w:rPr>
        <w:t>Účetní závěrka Městského soudu v Praze za rok 2017</w:t>
      </w:r>
      <w:r>
        <w:rPr>
          <w:rFonts w:ascii="Calibri" w:hAnsi="Calibri" w:cs="Calibri"/>
        </w:rPr>
        <w:t>.</w:t>
      </w:r>
    </w:p>
  </w:footnote>
  <w:footnote w:id="8">
    <w:p w14:paraId="5C040DC8" w14:textId="445336BC" w:rsidR="00A8498B" w:rsidRPr="007764A9" w:rsidRDefault="00A8498B" w:rsidP="00DF6AD0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7764A9">
        <w:rPr>
          <w:rStyle w:val="Znakapoznpodarou"/>
          <w:rFonts w:ascii="Calibri" w:hAnsi="Calibri" w:cs="Calibri"/>
        </w:rPr>
        <w:footnoteRef/>
      </w:r>
      <w:r w:rsidRPr="007764A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7764A9">
        <w:rPr>
          <w:rFonts w:ascii="Calibri" w:hAnsi="Calibri" w:cs="Calibri"/>
        </w:rPr>
        <w:t>Zákon č. 6/2002 Sb., o soudech, soudcích, přísedících a státní správě soudů a o změně některých dalších zákonů (zákon o soudech a soudcích)</w:t>
      </w:r>
      <w:r>
        <w:rPr>
          <w:rFonts w:ascii="Calibri" w:hAnsi="Calibri" w:cs="Calibri"/>
        </w:rPr>
        <w:t>.</w:t>
      </w:r>
    </w:p>
  </w:footnote>
  <w:footnote w:id="9">
    <w:p w14:paraId="2291A0ED" w14:textId="4767AD6D" w:rsidR="00A8498B" w:rsidRPr="00FD2889" w:rsidRDefault="00A8498B" w:rsidP="00DF6AD0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7764A9">
        <w:rPr>
          <w:rStyle w:val="Znakapoznpodarou"/>
          <w:rFonts w:asciiTheme="minorHAnsi" w:hAnsiTheme="minorHAnsi"/>
        </w:rPr>
        <w:footnoteRef/>
      </w:r>
      <w:r w:rsidRPr="007764A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FD2889">
        <w:rPr>
          <w:rFonts w:asciiTheme="minorHAnsi" w:hAnsiTheme="minorHAnsi" w:cstheme="minorHAnsi"/>
        </w:rPr>
        <w:t>Zákon č. 304/2013 Sb., o veřejných rejstřících právnických a fyzických osob a o evidenci svěřenských fondů.</w:t>
      </w:r>
    </w:p>
  </w:footnote>
  <w:footnote w:id="10">
    <w:p w14:paraId="3112A669" w14:textId="6F751459" w:rsidR="00A8498B" w:rsidRPr="00FD2889" w:rsidRDefault="00A8498B" w:rsidP="00DF6AD0">
      <w:pPr>
        <w:pStyle w:val="Textpoznpodarou"/>
        <w:ind w:left="284" w:hanging="284"/>
        <w:rPr>
          <w:rFonts w:asciiTheme="minorHAnsi" w:hAnsiTheme="minorHAnsi" w:cstheme="minorHAnsi"/>
        </w:rPr>
      </w:pPr>
      <w:r w:rsidRPr="00FD2889">
        <w:rPr>
          <w:rStyle w:val="Znakapoznpodarou"/>
          <w:rFonts w:asciiTheme="minorHAnsi" w:hAnsiTheme="minorHAnsi" w:cstheme="minorHAnsi"/>
        </w:rPr>
        <w:footnoteRef/>
      </w:r>
      <w:r w:rsidRPr="00FD288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FD2889">
        <w:rPr>
          <w:rFonts w:asciiTheme="minorHAnsi" w:hAnsiTheme="minorHAnsi" w:cstheme="minorHAnsi"/>
        </w:rPr>
        <w:t>Zákon č. 106/1999 Sb., o svobodném přístupu k informacím.</w:t>
      </w:r>
    </w:p>
  </w:footnote>
  <w:footnote w:id="11">
    <w:p w14:paraId="2F832352" w14:textId="799A8DCB" w:rsidR="00A8498B" w:rsidRPr="00FD2889" w:rsidRDefault="00A8498B" w:rsidP="00DF6AD0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FD2889">
        <w:rPr>
          <w:rStyle w:val="Znakapoznpodarou"/>
          <w:rFonts w:asciiTheme="minorHAnsi" w:hAnsiTheme="minorHAnsi" w:cstheme="minorHAnsi"/>
        </w:rPr>
        <w:footnoteRef/>
      </w:r>
      <w:r w:rsidRPr="00FD288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FD2889">
        <w:rPr>
          <w:rFonts w:asciiTheme="minorHAnsi" w:hAnsiTheme="minorHAnsi" w:cstheme="minorHAnsi"/>
        </w:rPr>
        <w:t>Zákon č. 219/2000 Sb., o majetku České republiky a jejím vystupování v právních vztazích.</w:t>
      </w:r>
    </w:p>
  </w:footnote>
  <w:footnote w:id="12">
    <w:p w14:paraId="54EEC712" w14:textId="393EA181" w:rsidR="00A8498B" w:rsidRPr="00FD2889" w:rsidRDefault="00A8498B" w:rsidP="001B3F5D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FD2889">
        <w:rPr>
          <w:rStyle w:val="Znakapoznpodarou"/>
          <w:rFonts w:asciiTheme="minorHAnsi" w:hAnsiTheme="minorHAnsi" w:cstheme="minorHAnsi"/>
        </w:rPr>
        <w:footnoteRef/>
      </w:r>
      <w:r w:rsidRPr="00FD288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FD2889">
        <w:rPr>
          <w:rFonts w:asciiTheme="minorHAnsi" w:hAnsiTheme="minorHAnsi" w:cstheme="minorHAnsi"/>
        </w:rPr>
        <w:t xml:space="preserve">Zákon č. 563/1991 Sb., o účetnictví. </w:t>
      </w:r>
    </w:p>
  </w:footnote>
  <w:footnote w:id="13">
    <w:p w14:paraId="6757E5E9" w14:textId="62E3BE2B" w:rsidR="00A8498B" w:rsidRPr="007764A9" w:rsidRDefault="00A8498B" w:rsidP="00DF6AD0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7764A9">
        <w:rPr>
          <w:rStyle w:val="Znakapoznpodarou"/>
          <w:rFonts w:asciiTheme="minorHAnsi" w:hAnsiTheme="minorHAnsi" w:cstheme="minorHAnsi"/>
        </w:rPr>
        <w:footnoteRef/>
      </w:r>
      <w:r w:rsidRPr="007764A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7764A9">
        <w:rPr>
          <w:rFonts w:asciiTheme="minorHAnsi" w:hAnsiTheme="minorHAnsi" w:cstheme="minorHAnsi"/>
        </w:rPr>
        <w:t xml:space="preserve">Dle ustanovení § 3 písm. o) </w:t>
      </w:r>
      <w:r>
        <w:rPr>
          <w:rFonts w:asciiTheme="minorHAnsi" w:hAnsiTheme="minorHAnsi" w:cstheme="minorHAnsi"/>
        </w:rPr>
        <w:t xml:space="preserve">zákona č. 218/2000 Sb., o rozpočtových pravidlech a o změně některých souvisejících zákonů (rozpočtová pravidla), </w:t>
      </w:r>
      <w:r w:rsidRPr="007764A9">
        <w:rPr>
          <w:rFonts w:asciiTheme="minorHAnsi" w:hAnsiTheme="minorHAnsi" w:cstheme="minorHAnsi"/>
        </w:rPr>
        <w:t>je rozpočtový systém informačním systémem veřejné správy,</w:t>
      </w:r>
      <w:r>
        <w:rPr>
          <w:rFonts w:asciiTheme="minorHAnsi" w:hAnsiTheme="minorHAnsi" w:cstheme="minorHAnsi"/>
        </w:rPr>
        <w:t xml:space="preserve"> </w:t>
      </w:r>
      <w:r w:rsidRPr="007764A9">
        <w:rPr>
          <w:rFonts w:asciiTheme="minorHAnsi" w:hAnsiTheme="minorHAnsi" w:cstheme="minorHAnsi"/>
        </w:rPr>
        <w:t>v němž se mj. soustřeďují údaje pro hodnocení plnění státního rozpočtu.</w:t>
      </w:r>
    </w:p>
  </w:footnote>
  <w:footnote w:id="14">
    <w:p w14:paraId="321C1CD2" w14:textId="32C695F9" w:rsidR="00A8498B" w:rsidRPr="0062114B" w:rsidRDefault="00A8498B" w:rsidP="00943482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62114B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62114B">
        <w:rPr>
          <w:rFonts w:asciiTheme="minorHAnsi" w:hAnsiTheme="minorHAnsi" w:cstheme="minorHAnsi"/>
        </w:rPr>
        <w:t>Vyhláška č. 410/2009 Sb., kterou se provádějí některá ustanovení zákona č. 563/1991 Sb., o účetnictví, ve znění pozdějších předpisů, pro některé vybrané účetní jednotky</w:t>
      </w:r>
      <w:r>
        <w:rPr>
          <w:rFonts w:asciiTheme="minorHAnsi" w:hAnsiTheme="minorHAnsi" w:cstheme="minorHAnsi"/>
        </w:rPr>
        <w:t>.</w:t>
      </w:r>
    </w:p>
  </w:footnote>
  <w:footnote w:id="15">
    <w:p w14:paraId="7B8A83D2" w14:textId="77777777" w:rsidR="00A8498B" w:rsidRPr="00B87A71" w:rsidRDefault="00A8498B" w:rsidP="00410F93">
      <w:pPr>
        <w:pStyle w:val="Textpoznpodarou"/>
        <w:ind w:left="284" w:hanging="284"/>
        <w:rPr>
          <w:rFonts w:asciiTheme="minorHAnsi" w:hAnsiTheme="minorHAnsi" w:cstheme="minorHAnsi"/>
        </w:rPr>
      </w:pPr>
      <w:r w:rsidRPr="00B87A71">
        <w:rPr>
          <w:rStyle w:val="Znakapoznpodarou"/>
          <w:rFonts w:asciiTheme="minorHAnsi" w:hAnsiTheme="minorHAnsi" w:cstheme="minorHAnsi"/>
        </w:rPr>
        <w:footnoteRef/>
      </w:r>
      <w:r w:rsidRPr="00B87A71">
        <w:rPr>
          <w:rFonts w:asciiTheme="minorHAnsi" w:hAnsiTheme="minorHAnsi" w:cstheme="minorHAnsi"/>
        </w:rPr>
        <w:t xml:space="preserve"> </w:t>
      </w:r>
      <w:r w:rsidRPr="00B87A71">
        <w:rPr>
          <w:rFonts w:asciiTheme="minorHAnsi" w:hAnsiTheme="minorHAnsi" w:cstheme="minorHAnsi"/>
        </w:rPr>
        <w:tab/>
        <w:t>Vyhláška č. 412/2021 Sb., o rozpočtové skladbě.</w:t>
      </w:r>
    </w:p>
  </w:footnote>
  <w:footnote w:id="16">
    <w:p w14:paraId="0BEFFFD6" w14:textId="77777777" w:rsidR="00A8498B" w:rsidRPr="00B87A71" w:rsidRDefault="00A8498B" w:rsidP="00BA2B3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B87A71">
        <w:rPr>
          <w:rStyle w:val="Znakapoznpodarou"/>
          <w:rFonts w:asciiTheme="minorHAnsi" w:hAnsiTheme="minorHAnsi" w:cstheme="minorHAnsi"/>
        </w:rPr>
        <w:footnoteRef/>
      </w:r>
      <w:r w:rsidRPr="00B87A71">
        <w:rPr>
          <w:rFonts w:asciiTheme="minorHAnsi" w:hAnsiTheme="minorHAnsi" w:cstheme="minorHAnsi"/>
        </w:rPr>
        <w:t xml:space="preserve"> </w:t>
      </w:r>
      <w:r w:rsidRPr="00B87A71">
        <w:rPr>
          <w:rFonts w:asciiTheme="minorHAnsi" w:hAnsiTheme="minorHAnsi" w:cstheme="minorHAnsi"/>
        </w:rPr>
        <w:tab/>
        <w:t>Zákon č. 340/2015 Sb., o zvláštních podmínkách účinnosti některých smluv, uveřejňování těchto smluv a o registru smluv (zákon o registru smluv).</w:t>
      </w:r>
    </w:p>
  </w:footnote>
  <w:footnote w:id="17">
    <w:p w14:paraId="113661A1" w14:textId="07744F92" w:rsidR="00A8498B" w:rsidRPr="007D6AD1" w:rsidRDefault="00A8498B" w:rsidP="0062114B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7D6AD1">
        <w:rPr>
          <w:rStyle w:val="Znakapoznpodarou"/>
          <w:rFonts w:asciiTheme="minorHAnsi" w:hAnsiTheme="minorHAnsi" w:cstheme="minorHAnsi"/>
        </w:rPr>
        <w:footnoteRef/>
      </w:r>
      <w:r w:rsidRPr="007D6AD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7D6AD1">
        <w:rPr>
          <w:rFonts w:asciiTheme="minorHAnsi" w:hAnsiTheme="minorHAnsi" w:cstheme="minorHAnsi"/>
        </w:rPr>
        <w:t>Zákon č. 320/2001 Sb., o finanční kontrole ve veřejné správě a o změně některých zákonů (zákon o finanční kontrole).</w:t>
      </w:r>
    </w:p>
  </w:footnote>
  <w:footnote w:id="18">
    <w:p w14:paraId="6E4C0965" w14:textId="77777777" w:rsidR="00A8498B" w:rsidRPr="00B87A71" w:rsidRDefault="00A8498B" w:rsidP="00C20965">
      <w:pPr>
        <w:pStyle w:val="Textpoznpodarou"/>
        <w:ind w:left="284" w:hanging="284"/>
        <w:jc w:val="both"/>
        <w:rPr>
          <w:rFonts w:asciiTheme="minorHAnsi" w:hAnsiTheme="minorHAnsi" w:cstheme="minorHAnsi"/>
          <w:highlight w:val="yellow"/>
        </w:rPr>
      </w:pPr>
      <w:r w:rsidRPr="00B87A71">
        <w:rPr>
          <w:rStyle w:val="Znakapoznpodarou"/>
          <w:rFonts w:asciiTheme="minorHAnsi" w:hAnsiTheme="minorHAnsi" w:cstheme="minorHAnsi"/>
        </w:rPr>
        <w:footnoteRef/>
      </w:r>
      <w:r w:rsidRPr="00B87A71">
        <w:rPr>
          <w:rFonts w:asciiTheme="minorHAnsi" w:hAnsiTheme="minorHAnsi" w:cstheme="minorHAnsi"/>
        </w:rPr>
        <w:t xml:space="preserve"> </w:t>
      </w:r>
      <w:r w:rsidRPr="00B87A71">
        <w:rPr>
          <w:rFonts w:asciiTheme="minorHAnsi" w:hAnsiTheme="minorHAnsi" w:cstheme="minorHAnsi"/>
        </w:rPr>
        <w:tab/>
        <w:t>Vyhláška č. 416/2004 Sb., kterou se provádí zákon č. 320/2001 Sb., o finanční kontrole ve veřejné správě a o změně některých zákonů (zákon o finanční kontrole), ve znění zákona č. 309/2002 Sb., zákona č. 320/2002 Sb. a zákona č. 123/2003 Sb.</w:t>
      </w:r>
    </w:p>
  </w:footnote>
  <w:footnote w:id="19">
    <w:p w14:paraId="76115276" w14:textId="141D4CEA" w:rsidR="00A8498B" w:rsidRPr="007D6AD1" w:rsidRDefault="00A8498B" w:rsidP="007D6AD1">
      <w:pPr>
        <w:pStyle w:val="Textpoznpodarou"/>
        <w:ind w:left="284" w:hanging="284"/>
        <w:jc w:val="both"/>
        <w:rPr>
          <w:rFonts w:asciiTheme="minorHAnsi" w:hAnsiTheme="minorHAnsi"/>
        </w:rPr>
      </w:pPr>
      <w:r w:rsidRPr="007D6AD1">
        <w:rPr>
          <w:rStyle w:val="Znakapoznpodarou"/>
          <w:rFonts w:asciiTheme="minorHAnsi" w:hAnsiTheme="minorHAnsi"/>
        </w:rPr>
        <w:footnoteRef/>
      </w:r>
      <w:r w:rsidRPr="007D6AD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7D6AD1">
        <w:rPr>
          <w:rFonts w:asciiTheme="minorHAnsi" w:hAnsiTheme="minorHAnsi"/>
        </w:rPr>
        <w:t xml:space="preserve">Jedná se o vlastní výpočet </w:t>
      </w:r>
      <w:r>
        <w:rPr>
          <w:rFonts w:asciiTheme="minorHAnsi" w:hAnsiTheme="minorHAnsi"/>
        </w:rPr>
        <w:t xml:space="preserve">NKÚ </w:t>
      </w:r>
      <w:r w:rsidRPr="007D6AD1">
        <w:rPr>
          <w:rFonts w:asciiTheme="minorHAnsi" w:hAnsiTheme="minorHAnsi"/>
        </w:rPr>
        <w:t>zohledňující výsledné dopady</w:t>
      </w:r>
      <w:r>
        <w:rPr>
          <w:rFonts w:asciiTheme="minorHAnsi" w:hAnsiTheme="minorHAnsi"/>
        </w:rPr>
        <w:t xml:space="preserve"> provedených účetních oprav</w:t>
      </w:r>
      <w:r w:rsidRPr="007D6AD1">
        <w:rPr>
          <w:rFonts w:asciiTheme="minorHAnsi" w:hAnsiTheme="minorHAnsi"/>
        </w:rPr>
        <w:t xml:space="preserve"> na zůstatky položek </w:t>
      </w:r>
      <w:r>
        <w:rPr>
          <w:rFonts w:asciiTheme="minorHAnsi" w:hAnsiTheme="minorHAnsi"/>
        </w:rPr>
        <w:t>účetní závěrky</w:t>
      </w:r>
      <w:r w:rsidRPr="007D6AD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(tj. je zohledněno současné </w:t>
      </w:r>
      <w:r w:rsidRPr="007D6AD1">
        <w:rPr>
          <w:rFonts w:asciiTheme="minorHAnsi" w:hAnsiTheme="minorHAnsi"/>
        </w:rPr>
        <w:t>nadhodnocení a podhodnocení</w:t>
      </w:r>
      <w:r>
        <w:rPr>
          <w:rFonts w:asciiTheme="minorHAnsi" w:hAnsiTheme="minorHAnsi"/>
        </w:rPr>
        <w:t xml:space="preserve"> stejné položky účetní závěrky).</w:t>
      </w:r>
    </w:p>
  </w:footnote>
  <w:footnote w:id="20">
    <w:p w14:paraId="119572EE" w14:textId="431C5B50" w:rsidR="00A8498B" w:rsidRPr="007028BF" w:rsidRDefault="00A8498B" w:rsidP="007028BF">
      <w:pPr>
        <w:spacing w:after="0"/>
        <w:ind w:left="284" w:hanging="284"/>
        <w:jc w:val="both"/>
        <w:rPr>
          <w:rStyle w:val="Znakapoznpodarou"/>
          <w:sz w:val="20"/>
          <w:szCs w:val="20"/>
          <w:vertAlign w:val="baseline"/>
        </w:rPr>
      </w:pPr>
      <w:r w:rsidRPr="007028BF">
        <w:rPr>
          <w:rStyle w:val="Znakapoznpodarou"/>
          <w:sz w:val="20"/>
          <w:szCs w:val="20"/>
        </w:rPr>
        <w:footnoteRef/>
      </w:r>
      <w:r w:rsidRPr="007028BF">
        <w:rPr>
          <w:rStyle w:val="Znakapoznpodarou"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7028BF">
        <w:rPr>
          <w:rStyle w:val="Znakapoznpodarou"/>
          <w:sz w:val="20"/>
          <w:szCs w:val="20"/>
          <w:vertAlign w:val="baseline"/>
        </w:rPr>
        <w:t xml:space="preserve">Významnost (materialita) reprezentuje u ÚZ hodnotu nesprávností, jejíž překročení by již mohlo ovlivnit přiměřeně znalého uživatele. Při stanovení významnosti postupuje NKÚ v souladu s </w:t>
      </w:r>
      <w:r w:rsidRPr="00DF6AD0">
        <w:rPr>
          <w:rStyle w:val="Znakapoznpodarou"/>
          <w:i/>
          <w:sz w:val="20"/>
          <w:szCs w:val="20"/>
          <w:vertAlign w:val="baseline"/>
        </w:rPr>
        <w:t>Kontrolními standardy NKÚ</w:t>
      </w:r>
      <w:r w:rsidRPr="007028BF">
        <w:rPr>
          <w:rStyle w:val="Znakapoznpodarou"/>
          <w:sz w:val="20"/>
          <w:szCs w:val="20"/>
          <w:vertAlign w:val="baseline"/>
        </w:rPr>
        <w:t xml:space="preserve"> a zohledňuje příklady dobré praxe vyplývající z mezinárodních standardů nejvyšších kontrolních institucí (ISSAI) pro finanční audit.</w:t>
      </w:r>
    </w:p>
  </w:footnote>
  <w:footnote w:id="21">
    <w:p w14:paraId="2D66C3E4" w14:textId="29E14FC7" w:rsidR="00A8498B" w:rsidRPr="007028BF" w:rsidRDefault="00A8498B" w:rsidP="007028BF">
      <w:pPr>
        <w:spacing w:after="0"/>
        <w:ind w:left="284" w:hanging="284"/>
        <w:jc w:val="both"/>
        <w:rPr>
          <w:rStyle w:val="Znakapoznpodarou"/>
          <w:sz w:val="20"/>
          <w:szCs w:val="20"/>
        </w:rPr>
      </w:pPr>
      <w:r w:rsidRPr="007028BF">
        <w:rPr>
          <w:rStyle w:val="Znakapoznpodarou"/>
          <w:sz w:val="20"/>
          <w:szCs w:val="20"/>
        </w:rPr>
        <w:footnoteRef/>
      </w:r>
      <w:r w:rsidRPr="007028BF">
        <w:rPr>
          <w:rStyle w:val="Znakapoznpodarou"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7028BF">
        <w:rPr>
          <w:rStyle w:val="Znakapoznpodarou"/>
          <w:sz w:val="20"/>
          <w:szCs w:val="20"/>
          <w:vertAlign w:val="baseline"/>
        </w:rPr>
        <w:t>Pro posouzení významnosti zjištěných nesprávností v údajích ÚZ</w:t>
      </w:r>
      <w:r>
        <w:rPr>
          <w:sz w:val="20"/>
          <w:szCs w:val="20"/>
        </w:rPr>
        <w:t xml:space="preserve"> stanovil</w:t>
      </w:r>
      <w:r w:rsidRPr="007028BF">
        <w:rPr>
          <w:rStyle w:val="Znakapoznpodarou"/>
          <w:sz w:val="20"/>
          <w:szCs w:val="20"/>
          <w:vertAlign w:val="baseline"/>
        </w:rPr>
        <w:t xml:space="preserve"> </w:t>
      </w:r>
      <w:r>
        <w:rPr>
          <w:sz w:val="20"/>
          <w:szCs w:val="20"/>
        </w:rPr>
        <w:t xml:space="preserve">NKÚ </w:t>
      </w:r>
      <w:r w:rsidRPr="007028BF">
        <w:rPr>
          <w:rStyle w:val="Znakapoznpodarou"/>
          <w:sz w:val="20"/>
          <w:szCs w:val="20"/>
          <w:vertAlign w:val="baseline"/>
        </w:rPr>
        <w:t>hladin</w:t>
      </w:r>
      <w:r>
        <w:rPr>
          <w:sz w:val="20"/>
          <w:szCs w:val="20"/>
        </w:rPr>
        <w:t>u</w:t>
      </w:r>
      <w:r w:rsidRPr="007028BF">
        <w:rPr>
          <w:rStyle w:val="Znakapoznpodarou"/>
          <w:sz w:val="20"/>
          <w:szCs w:val="20"/>
          <w:vertAlign w:val="baseline"/>
        </w:rPr>
        <w:t xml:space="preserve"> významnosti ve výši </w:t>
      </w:r>
      <w:r>
        <w:rPr>
          <w:sz w:val="20"/>
          <w:szCs w:val="20"/>
        </w:rPr>
        <w:t xml:space="preserve">cca </w:t>
      </w:r>
      <w:r w:rsidRPr="007028BF">
        <w:rPr>
          <w:rStyle w:val="Znakapoznpodarou"/>
          <w:sz w:val="20"/>
          <w:szCs w:val="20"/>
          <w:vertAlign w:val="baseline"/>
        </w:rPr>
        <w:t>2 % z</w:t>
      </w:r>
      <w:r>
        <w:rPr>
          <w:rStyle w:val="Znakapoznpodarou"/>
          <w:sz w:val="20"/>
          <w:szCs w:val="20"/>
          <w:vertAlign w:val="baseline"/>
        </w:rPr>
        <w:t> </w:t>
      </w:r>
      <w:r>
        <w:rPr>
          <w:sz w:val="20"/>
          <w:szCs w:val="20"/>
        </w:rPr>
        <w:t>aktiv netto</w:t>
      </w:r>
      <w:r w:rsidRPr="007028BF">
        <w:rPr>
          <w:rStyle w:val="Znakapoznpodarou"/>
          <w:sz w:val="20"/>
          <w:szCs w:val="20"/>
          <w:vertAlign w:val="baseline"/>
        </w:rPr>
        <w:t xml:space="preserve">, které byly k 31. </w:t>
      </w:r>
      <w:r>
        <w:rPr>
          <w:sz w:val="20"/>
          <w:szCs w:val="20"/>
        </w:rPr>
        <w:t xml:space="preserve">prosinci </w:t>
      </w:r>
      <w:r w:rsidRPr="007028BF">
        <w:rPr>
          <w:rStyle w:val="Znakapoznpodarou"/>
          <w:sz w:val="20"/>
          <w:szCs w:val="20"/>
          <w:vertAlign w:val="baseline"/>
        </w:rPr>
        <w:t xml:space="preserve">2022 vykázány ve výši </w:t>
      </w:r>
      <w:r>
        <w:rPr>
          <w:rStyle w:val="Znakapoznpodarou"/>
          <w:sz w:val="20"/>
          <w:szCs w:val="20"/>
          <w:vertAlign w:val="baseline"/>
        </w:rPr>
        <w:t>3,6</w:t>
      </w:r>
      <w:r w:rsidRPr="007028BF">
        <w:rPr>
          <w:rStyle w:val="Znakapoznpodarou"/>
          <w:sz w:val="20"/>
          <w:szCs w:val="20"/>
          <w:vertAlign w:val="baseline"/>
        </w:rPr>
        <w:t xml:space="preserve"> ml</w:t>
      </w:r>
      <w:r>
        <w:rPr>
          <w:rStyle w:val="Znakapoznpodarou"/>
          <w:sz w:val="20"/>
          <w:szCs w:val="20"/>
          <w:vertAlign w:val="baseline"/>
        </w:rPr>
        <w:t>d</w:t>
      </w:r>
      <w:r w:rsidRPr="007028BF">
        <w:rPr>
          <w:rStyle w:val="Znakapoznpodarou"/>
          <w:sz w:val="20"/>
          <w:szCs w:val="20"/>
          <w:vertAlign w:val="baseline"/>
        </w:rPr>
        <w:t>. Kč.</w:t>
      </w:r>
    </w:p>
  </w:footnote>
  <w:footnote w:id="22">
    <w:p w14:paraId="5A75DAD7" w14:textId="43BE6008" w:rsidR="00A8498B" w:rsidRDefault="00A8498B" w:rsidP="00E45ADC">
      <w:pPr>
        <w:spacing w:after="0"/>
        <w:ind w:left="284" w:hanging="284"/>
        <w:jc w:val="both"/>
      </w:pPr>
      <w:r w:rsidRPr="007028BF">
        <w:rPr>
          <w:rStyle w:val="Znakapoznpodarou"/>
          <w:sz w:val="20"/>
          <w:szCs w:val="20"/>
        </w:rPr>
        <w:footnoteRef/>
      </w:r>
      <w:r w:rsidRPr="007028BF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7028BF">
        <w:rPr>
          <w:rFonts w:asciiTheme="minorHAnsi" w:hAnsiTheme="minorHAnsi" w:cstheme="minorHAnsi"/>
          <w:sz w:val="20"/>
          <w:szCs w:val="20"/>
          <w:lang w:eastAsia="cs-CZ"/>
        </w:rPr>
        <w:t xml:space="preserve">Pro posouzení významnosti zjištěných nesprávností v údajích předkládaných pro hodnocení plnění </w:t>
      </w:r>
      <w:r>
        <w:rPr>
          <w:rFonts w:asciiTheme="minorHAnsi" w:hAnsiTheme="minorHAnsi" w:cstheme="minorHAnsi"/>
          <w:sz w:val="20"/>
          <w:szCs w:val="20"/>
          <w:lang w:eastAsia="cs-CZ"/>
        </w:rPr>
        <w:t xml:space="preserve">státního </w:t>
      </w:r>
      <w:r w:rsidRPr="007028BF">
        <w:rPr>
          <w:rFonts w:asciiTheme="minorHAnsi" w:hAnsiTheme="minorHAnsi" w:cstheme="minorHAnsi"/>
          <w:sz w:val="20"/>
          <w:szCs w:val="20"/>
          <w:lang w:eastAsia="cs-CZ"/>
        </w:rPr>
        <w:t>rozpočtu</w:t>
      </w:r>
      <w:r w:rsidRPr="00907808">
        <w:rPr>
          <w:rFonts w:asciiTheme="minorHAnsi" w:hAnsiTheme="minorHAnsi" w:cstheme="minorHAnsi"/>
          <w:sz w:val="20"/>
          <w:szCs w:val="20"/>
          <w:lang w:eastAsia="cs-CZ"/>
        </w:rPr>
        <w:t xml:space="preserve"> stanov</w:t>
      </w:r>
      <w:r>
        <w:rPr>
          <w:rFonts w:asciiTheme="minorHAnsi" w:hAnsiTheme="minorHAnsi" w:cstheme="minorHAnsi"/>
          <w:sz w:val="20"/>
          <w:szCs w:val="20"/>
          <w:lang w:eastAsia="cs-CZ"/>
        </w:rPr>
        <w:t>il NKÚ hladinu</w:t>
      </w:r>
      <w:r w:rsidRPr="00907808">
        <w:rPr>
          <w:rFonts w:asciiTheme="minorHAnsi" w:hAnsiTheme="minorHAnsi" w:cstheme="minorHAnsi"/>
          <w:sz w:val="20"/>
          <w:szCs w:val="20"/>
          <w:lang w:eastAsia="cs-CZ"/>
        </w:rPr>
        <w:t xml:space="preserve"> významnost</w:t>
      </w:r>
      <w:r>
        <w:rPr>
          <w:rFonts w:asciiTheme="minorHAnsi" w:hAnsiTheme="minorHAnsi" w:cstheme="minorHAnsi"/>
          <w:sz w:val="20"/>
          <w:szCs w:val="20"/>
          <w:lang w:eastAsia="cs-CZ"/>
        </w:rPr>
        <w:t>i</w:t>
      </w:r>
      <w:r w:rsidRPr="00907808">
        <w:rPr>
          <w:rFonts w:asciiTheme="minorHAnsi" w:hAnsiTheme="minorHAnsi" w:cstheme="minorHAnsi"/>
          <w:sz w:val="20"/>
          <w:szCs w:val="20"/>
          <w:lang w:eastAsia="cs-CZ"/>
        </w:rPr>
        <w:t xml:space="preserve"> ve výši </w:t>
      </w:r>
      <w:r>
        <w:rPr>
          <w:rFonts w:asciiTheme="minorHAnsi" w:hAnsiTheme="minorHAnsi" w:cstheme="minorHAnsi"/>
          <w:sz w:val="20"/>
          <w:szCs w:val="20"/>
          <w:lang w:eastAsia="cs-CZ"/>
        </w:rPr>
        <w:t xml:space="preserve">cca </w:t>
      </w:r>
      <w:r w:rsidRPr="00907808">
        <w:rPr>
          <w:rFonts w:asciiTheme="minorHAnsi" w:hAnsiTheme="minorHAnsi" w:cstheme="minorHAnsi"/>
          <w:sz w:val="20"/>
          <w:szCs w:val="20"/>
          <w:lang w:eastAsia="cs-CZ"/>
        </w:rPr>
        <w:t>2</w:t>
      </w:r>
      <w:r>
        <w:rPr>
          <w:rFonts w:asciiTheme="minorHAnsi" w:hAnsiTheme="minorHAnsi" w:cstheme="minorHAnsi"/>
          <w:sz w:val="20"/>
          <w:szCs w:val="20"/>
          <w:lang w:eastAsia="cs-CZ"/>
        </w:rPr>
        <w:t> </w:t>
      </w:r>
      <w:r w:rsidRPr="00907808">
        <w:rPr>
          <w:rFonts w:asciiTheme="minorHAnsi" w:hAnsiTheme="minorHAnsi" w:cstheme="minorHAnsi"/>
          <w:sz w:val="20"/>
          <w:szCs w:val="20"/>
          <w:lang w:eastAsia="cs-CZ"/>
        </w:rPr>
        <w:t>% z</w:t>
      </w:r>
      <w:r>
        <w:rPr>
          <w:rFonts w:asciiTheme="minorHAnsi" w:hAnsiTheme="minorHAnsi" w:cstheme="minorHAnsi"/>
          <w:sz w:val="20"/>
          <w:szCs w:val="20"/>
          <w:lang w:eastAsia="cs-CZ"/>
        </w:rPr>
        <w:t xml:space="preserve"> celkových</w:t>
      </w:r>
      <w:r w:rsidRPr="00907808">
        <w:rPr>
          <w:rFonts w:asciiTheme="minorHAnsi" w:hAnsiTheme="minorHAnsi" w:cstheme="minorHAnsi"/>
          <w:sz w:val="20"/>
          <w:szCs w:val="20"/>
          <w:lang w:eastAsia="cs-CZ"/>
        </w:rPr>
        <w:t xml:space="preserve"> výdajů, které byly</w:t>
      </w:r>
      <w:r>
        <w:rPr>
          <w:rFonts w:asciiTheme="minorHAnsi" w:hAnsiTheme="minorHAnsi" w:cstheme="minorHAnsi"/>
          <w:sz w:val="20"/>
          <w:szCs w:val="20"/>
          <w:lang w:eastAsia="cs-CZ"/>
        </w:rPr>
        <w:t xml:space="preserve"> k 31. prosinci 2022 </w:t>
      </w:r>
      <w:r w:rsidRPr="00907808">
        <w:rPr>
          <w:rFonts w:asciiTheme="minorHAnsi" w:hAnsiTheme="minorHAnsi" w:cstheme="minorHAnsi"/>
          <w:sz w:val="20"/>
          <w:szCs w:val="20"/>
          <w:lang w:eastAsia="cs-CZ"/>
        </w:rPr>
        <w:t>vykázány ve výši</w:t>
      </w:r>
      <w:r>
        <w:rPr>
          <w:rFonts w:asciiTheme="minorHAnsi" w:hAnsiTheme="minorHAnsi" w:cstheme="minorHAnsi"/>
          <w:sz w:val="20"/>
          <w:szCs w:val="20"/>
          <w:lang w:eastAsia="cs-CZ"/>
        </w:rPr>
        <w:t xml:space="preserve"> 1,5 mld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. Kč</w:t>
      </w:r>
      <w:r w:rsidRPr="00907808">
        <w:rPr>
          <w:rFonts w:asciiTheme="minorHAnsi" w:hAnsiTheme="minorHAnsi" w:cstheme="minorHAnsi"/>
          <w:sz w:val="20"/>
          <w:szCs w:val="20"/>
          <w:lang w:eastAsia="cs-CZ"/>
        </w:rPr>
        <w:t>.</w:t>
      </w:r>
    </w:p>
  </w:footnote>
  <w:footnote w:id="23">
    <w:p w14:paraId="76596236" w14:textId="7976EB78" w:rsidR="00A8498B" w:rsidRPr="0088411F" w:rsidRDefault="00A8498B" w:rsidP="001B3F5D">
      <w:pPr>
        <w:pStyle w:val="Textpoznpodarou"/>
        <w:ind w:left="284" w:hanging="284"/>
        <w:rPr>
          <w:rFonts w:asciiTheme="minorHAnsi" w:hAnsiTheme="minorHAnsi" w:cstheme="minorHAnsi"/>
        </w:rPr>
      </w:pPr>
      <w:r w:rsidRPr="0088411F">
        <w:rPr>
          <w:rStyle w:val="Znakapoznpodarou"/>
          <w:rFonts w:asciiTheme="minorHAnsi" w:hAnsiTheme="minorHAnsi" w:cstheme="minorHAnsi"/>
        </w:rPr>
        <w:footnoteRef/>
      </w:r>
      <w:r w:rsidRPr="0088411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88411F">
        <w:rPr>
          <w:rFonts w:asciiTheme="minorHAnsi" w:hAnsiTheme="minorHAnsi" w:cstheme="minorHAnsi"/>
        </w:rPr>
        <w:t>Vyhláška č. 114/2002 Sb., o fondu kulturních a sociálních potřeb.</w:t>
      </w:r>
    </w:p>
  </w:footnote>
  <w:footnote w:id="24">
    <w:p w14:paraId="5E19B856" w14:textId="00A48C41" w:rsidR="00A8498B" w:rsidRPr="00C27D5B" w:rsidRDefault="00A8498B" w:rsidP="001B3F5D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8411F">
        <w:rPr>
          <w:rStyle w:val="Znakapoznpodarou"/>
          <w:rFonts w:asciiTheme="minorHAnsi" w:hAnsiTheme="minorHAnsi" w:cstheme="minorHAnsi"/>
        </w:rPr>
        <w:footnoteRef/>
      </w:r>
      <w:r w:rsidRPr="0088411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88411F">
        <w:rPr>
          <w:rFonts w:asciiTheme="minorHAnsi" w:hAnsiTheme="minorHAnsi" w:cstheme="minorHAnsi"/>
        </w:rPr>
        <w:t>Ustanovení § 9 odst. 1 zákona č. 6/2002 Sb., o soudech, soudcích, přísedících a státní správě soudů a o změně některých dalších zákonů (zákon o soudech a soudcích)</w:t>
      </w:r>
      <w:r>
        <w:rPr>
          <w:rFonts w:asciiTheme="minorHAnsi" w:hAnsiTheme="minorHAnsi" w:cstheme="minorHAnsi"/>
        </w:rPr>
        <w:t>,</w:t>
      </w:r>
      <w:r w:rsidRPr="0088411F">
        <w:rPr>
          <w:rFonts w:asciiTheme="minorHAnsi" w:hAnsiTheme="minorHAnsi" w:cstheme="minorHAnsi"/>
        </w:rPr>
        <w:t xml:space="preserve"> uvádí: </w:t>
      </w:r>
      <w:r w:rsidRPr="00DF6AD0">
        <w:rPr>
          <w:rFonts w:asciiTheme="minorHAnsi" w:hAnsiTheme="minorHAnsi" w:cstheme="minorHAnsi"/>
        </w:rPr>
        <w:t>„</w:t>
      </w:r>
      <w:r w:rsidRPr="0088411F">
        <w:rPr>
          <w:rFonts w:asciiTheme="minorHAnsi" w:hAnsiTheme="minorHAnsi" w:cstheme="minorHAnsi"/>
          <w:i/>
          <w:color w:val="000000"/>
          <w:shd w:val="clear" w:color="auto" w:fill="FFFFFF"/>
        </w:rPr>
        <w:t>Na území hlavního města Prahy vykonává působnost krajského soudu městský soud; působnost okresních soudů vykonávají obvodní soudy.</w:t>
      </w:r>
      <w:r w:rsidRPr="00DF6AD0">
        <w:rPr>
          <w:rFonts w:asciiTheme="minorHAnsi" w:hAnsiTheme="minorHAnsi" w:cstheme="minorHAnsi"/>
          <w:color w:val="000000"/>
          <w:shd w:val="clear" w:color="auto" w:fill="FFFFFF"/>
        </w:rPr>
        <w:t>“</w:t>
      </w:r>
      <w:r w:rsidRPr="0088411F">
        <w:rPr>
          <w:rFonts w:asciiTheme="minorHAnsi" w:hAnsiTheme="minorHAnsi" w:cstheme="minorHAnsi"/>
          <w:color w:val="000000"/>
          <w:shd w:val="clear" w:color="auto" w:fill="FFFFFF"/>
        </w:rPr>
        <w:t xml:space="preserve"> Ustanovení § 10 odst. 1 zákona č. 99/1963 Sb.</w:t>
      </w:r>
      <w:r w:rsidRPr="0088411F">
        <w:rPr>
          <w:rFonts w:asciiTheme="minorHAnsi" w:hAnsiTheme="minorHAnsi" w:cstheme="minorHAnsi"/>
        </w:rPr>
        <w:t>, občanský soudní řád</w:t>
      </w:r>
      <w:r>
        <w:rPr>
          <w:rFonts w:asciiTheme="minorHAnsi" w:hAnsiTheme="minorHAnsi" w:cstheme="minorHAnsi"/>
        </w:rPr>
        <w:t>,</w:t>
      </w:r>
      <w:r w:rsidRPr="0088411F">
        <w:rPr>
          <w:rFonts w:asciiTheme="minorHAnsi" w:hAnsiTheme="minorHAnsi" w:cstheme="minorHAnsi"/>
          <w:color w:val="000000"/>
          <w:shd w:val="clear" w:color="auto" w:fill="FFFFFF"/>
        </w:rPr>
        <w:t xml:space="preserve"> uvádí: </w:t>
      </w:r>
      <w:r w:rsidRPr="00DF6AD0">
        <w:rPr>
          <w:rFonts w:asciiTheme="minorHAnsi" w:hAnsiTheme="minorHAnsi" w:cstheme="minorHAnsi"/>
          <w:color w:val="000000"/>
          <w:shd w:val="clear" w:color="auto" w:fill="FFFFFF"/>
        </w:rPr>
        <w:t>„</w:t>
      </w:r>
      <w:r w:rsidRPr="0088411F">
        <w:rPr>
          <w:rFonts w:asciiTheme="minorHAnsi" w:hAnsiTheme="minorHAnsi" w:cstheme="minorHAnsi"/>
          <w:i/>
          <w:color w:val="000000"/>
          <w:shd w:val="clear" w:color="auto" w:fill="FFFFFF"/>
        </w:rPr>
        <w:t>Krajské soudy rozhodují o odvoláních proti rozhodnutím okresních soudů.</w:t>
      </w:r>
      <w:r w:rsidRPr="00DF6AD0">
        <w:rPr>
          <w:rFonts w:asciiTheme="minorHAnsi" w:hAnsiTheme="minorHAnsi" w:cstheme="minorHAnsi"/>
          <w:color w:val="000000"/>
          <w:shd w:val="clear" w:color="auto" w:fill="FFFFFF"/>
        </w:rPr>
        <w:t>“</w:t>
      </w:r>
    </w:p>
  </w:footnote>
  <w:footnote w:id="25">
    <w:p w14:paraId="1BC1ABDD" w14:textId="1399E5A7" w:rsidR="00A8498B" w:rsidRPr="0088411F" w:rsidRDefault="00A8498B" w:rsidP="00EC7467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8411F">
        <w:rPr>
          <w:rStyle w:val="Znakapoznpodarou"/>
          <w:rFonts w:asciiTheme="minorHAnsi" w:hAnsiTheme="minorHAnsi" w:cstheme="minorHAnsi"/>
        </w:rPr>
        <w:footnoteRef/>
      </w:r>
      <w:r w:rsidRPr="0088411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88411F">
        <w:rPr>
          <w:rFonts w:asciiTheme="minorHAnsi" w:hAnsiTheme="minorHAnsi" w:cstheme="minorHAnsi"/>
        </w:rPr>
        <w:t>Věcná příslušnost M</w:t>
      </w:r>
      <w:r>
        <w:rPr>
          <w:rFonts w:asciiTheme="minorHAnsi" w:hAnsiTheme="minorHAnsi" w:cstheme="minorHAnsi"/>
        </w:rPr>
        <w:t>S Praha</w:t>
      </w:r>
      <w:r w:rsidRPr="0088411F">
        <w:rPr>
          <w:rFonts w:asciiTheme="minorHAnsi" w:hAnsiTheme="minorHAnsi" w:cstheme="minorHAnsi"/>
        </w:rPr>
        <w:t xml:space="preserve"> vyplývá zejména z ustanovení § 9</w:t>
      </w:r>
      <w:r>
        <w:rPr>
          <w:rFonts w:asciiTheme="minorHAnsi" w:hAnsiTheme="minorHAnsi" w:cstheme="minorHAnsi"/>
        </w:rPr>
        <w:t xml:space="preserve"> </w:t>
      </w:r>
      <w:r w:rsidRPr="0088411F">
        <w:rPr>
          <w:rFonts w:asciiTheme="minorHAnsi" w:hAnsiTheme="minorHAnsi" w:cstheme="minorHAnsi"/>
        </w:rPr>
        <w:t>odst. 2</w:t>
      </w:r>
      <w:r>
        <w:rPr>
          <w:rFonts w:asciiTheme="minorHAnsi" w:hAnsiTheme="minorHAnsi" w:cstheme="minorHAnsi"/>
        </w:rPr>
        <w:t xml:space="preserve"> a</w:t>
      </w:r>
      <w:r w:rsidRPr="0088411F">
        <w:rPr>
          <w:rFonts w:asciiTheme="minorHAnsi" w:hAnsiTheme="minorHAnsi" w:cstheme="minorHAnsi"/>
        </w:rPr>
        <w:t xml:space="preserve"> § 9a</w:t>
      </w:r>
      <w:r>
        <w:rPr>
          <w:rFonts w:asciiTheme="minorHAnsi" w:hAnsiTheme="minorHAnsi" w:cstheme="minorHAnsi"/>
        </w:rPr>
        <w:t xml:space="preserve"> </w:t>
      </w:r>
      <w:r w:rsidRPr="0088411F">
        <w:rPr>
          <w:rFonts w:asciiTheme="minorHAnsi" w:hAnsiTheme="minorHAnsi" w:cstheme="minorHAnsi"/>
        </w:rPr>
        <w:t>zákona</w:t>
      </w:r>
      <w:r>
        <w:rPr>
          <w:rFonts w:asciiTheme="minorHAnsi" w:hAnsiTheme="minorHAnsi" w:cstheme="minorHAnsi"/>
        </w:rPr>
        <w:t xml:space="preserve"> </w:t>
      </w:r>
      <w:r w:rsidRPr="0088411F">
        <w:rPr>
          <w:rFonts w:asciiTheme="minorHAnsi" w:hAnsiTheme="minorHAnsi" w:cstheme="minorHAnsi"/>
        </w:rPr>
        <w:t>č. 99/1963 Sb., občanský soudní řád, ustanovení § 3 odst. 2 zákona č. 292/2013 Sb., o zvláštních řízeních soudních, ustanovení</w:t>
      </w:r>
      <w:r>
        <w:rPr>
          <w:rFonts w:asciiTheme="minorHAnsi" w:hAnsiTheme="minorHAnsi" w:cstheme="minorHAnsi"/>
        </w:rPr>
        <w:t xml:space="preserve"> </w:t>
      </w:r>
      <w:r w:rsidRPr="0088411F">
        <w:rPr>
          <w:rFonts w:asciiTheme="minorHAnsi" w:hAnsiTheme="minorHAnsi" w:cstheme="minorHAnsi"/>
        </w:rPr>
        <w:t>§ 7a zákona č. 262/2008 Sb., o úpadku a způsobech jeho řešení (insolvenční zákon)</w:t>
      </w:r>
      <w:r>
        <w:rPr>
          <w:rFonts w:asciiTheme="minorHAnsi" w:hAnsiTheme="minorHAnsi" w:cstheme="minorHAnsi"/>
        </w:rPr>
        <w:t>,</w:t>
      </w:r>
      <w:r w:rsidRPr="0088411F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 xml:space="preserve">ustanovení </w:t>
      </w:r>
      <w:r w:rsidRPr="0088411F">
        <w:rPr>
          <w:rFonts w:asciiTheme="minorHAnsi" w:hAnsiTheme="minorHAnsi" w:cstheme="minorHAnsi"/>
        </w:rPr>
        <w:t>§ 17 zákona č.</w:t>
      </w:r>
      <w:r>
        <w:rPr>
          <w:rFonts w:asciiTheme="minorHAnsi" w:hAnsiTheme="minorHAnsi" w:cstheme="minorHAnsi"/>
        </w:rPr>
        <w:t> </w:t>
      </w:r>
      <w:r w:rsidRPr="0088411F">
        <w:rPr>
          <w:rFonts w:asciiTheme="minorHAnsi" w:hAnsiTheme="minorHAnsi" w:cstheme="minorHAnsi"/>
        </w:rPr>
        <w:t xml:space="preserve">141/1961 Sb., o trestním řízení soudním (trestní řád). </w:t>
      </w:r>
    </w:p>
  </w:footnote>
  <w:footnote w:id="26">
    <w:p w14:paraId="6FEAF0FC" w14:textId="6ECCF629" w:rsidR="00A8498B" w:rsidRPr="0088411F" w:rsidRDefault="00A8498B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8411F">
        <w:rPr>
          <w:rStyle w:val="Znakapoznpodarou"/>
          <w:rFonts w:asciiTheme="minorHAnsi" w:hAnsiTheme="minorHAnsi" w:cstheme="minorHAnsi"/>
        </w:rPr>
        <w:footnoteRef/>
      </w:r>
      <w:r w:rsidRPr="0088411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88411F">
        <w:rPr>
          <w:rFonts w:asciiTheme="minorHAnsi" w:hAnsiTheme="minorHAnsi" w:cstheme="minorHAnsi"/>
        </w:rPr>
        <w:t>Věcná příslušnost M</w:t>
      </w:r>
      <w:r>
        <w:rPr>
          <w:rFonts w:asciiTheme="minorHAnsi" w:hAnsiTheme="minorHAnsi" w:cstheme="minorHAnsi"/>
        </w:rPr>
        <w:t>S Praha</w:t>
      </w:r>
      <w:r w:rsidRPr="0088411F">
        <w:rPr>
          <w:rFonts w:asciiTheme="minorHAnsi" w:hAnsiTheme="minorHAnsi" w:cstheme="minorHAnsi"/>
        </w:rPr>
        <w:t xml:space="preserve"> vyplývá z ustanovení § 7 odst. 1 zákona č. 150/2002 Sb., soudní řád správní.</w:t>
      </w:r>
    </w:p>
  </w:footnote>
  <w:footnote w:id="27">
    <w:p w14:paraId="232BDA20" w14:textId="235324BA" w:rsidR="00A8498B" w:rsidRPr="0088411F" w:rsidRDefault="00A8498B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88411F">
        <w:rPr>
          <w:rStyle w:val="Znakapoznpodarou"/>
          <w:rFonts w:asciiTheme="minorHAnsi" w:hAnsiTheme="minorHAnsi" w:cstheme="minorHAnsi"/>
        </w:rPr>
        <w:footnoteRef/>
      </w:r>
      <w:r w:rsidRPr="0088411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88411F">
        <w:rPr>
          <w:rFonts w:asciiTheme="minorHAnsi" w:hAnsiTheme="minorHAnsi" w:cstheme="minorHAnsi"/>
        </w:rPr>
        <w:t>Věcná příslušnost M</w:t>
      </w:r>
      <w:r>
        <w:rPr>
          <w:rFonts w:asciiTheme="minorHAnsi" w:hAnsiTheme="minorHAnsi" w:cstheme="minorHAnsi"/>
        </w:rPr>
        <w:t>S Praha</w:t>
      </w:r>
      <w:r w:rsidRPr="0088411F">
        <w:rPr>
          <w:rFonts w:asciiTheme="minorHAnsi" w:hAnsiTheme="minorHAnsi" w:cstheme="minorHAnsi"/>
        </w:rPr>
        <w:t xml:space="preserve"> vyplývá z ustanovení § 75 a § 118a odst. 2 zákona č. 304/2013 Sb., o veřejných rejstřících právnických a fyzických osob a o evidenci svěřenských fondů. </w:t>
      </w:r>
    </w:p>
  </w:footnote>
  <w:footnote w:id="28">
    <w:p w14:paraId="645BCAB9" w14:textId="47B4BDC0" w:rsidR="00A8498B" w:rsidRPr="006E0AFD" w:rsidRDefault="00A8498B" w:rsidP="00DF6AD0">
      <w:pPr>
        <w:pStyle w:val="Textpoznpodarou"/>
        <w:ind w:left="284" w:hanging="284"/>
        <w:rPr>
          <w:rFonts w:asciiTheme="minorHAnsi" w:hAnsiTheme="minorHAnsi"/>
        </w:rPr>
      </w:pPr>
      <w:r w:rsidRPr="006E0AFD">
        <w:rPr>
          <w:rStyle w:val="Znakapoznpodarou"/>
          <w:rFonts w:asciiTheme="minorHAnsi" w:hAnsiTheme="minorHAnsi"/>
        </w:rPr>
        <w:footnoteRef/>
      </w:r>
      <w:r w:rsidRPr="006E0AF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6E0AFD">
        <w:rPr>
          <w:rFonts w:asciiTheme="minorHAnsi" w:hAnsiTheme="minorHAnsi"/>
        </w:rPr>
        <w:t>Zákon č. 549/1991 Sb., o soudních poplatcích.</w:t>
      </w:r>
    </w:p>
  </w:footnote>
  <w:footnote w:id="29">
    <w:p w14:paraId="307D17E4" w14:textId="654AE62A" w:rsidR="00A8498B" w:rsidRPr="00410109" w:rsidRDefault="00A8498B" w:rsidP="0062114B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410109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410109">
        <w:rPr>
          <w:rFonts w:asciiTheme="minorHAnsi" w:hAnsiTheme="minorHAnsi" w:cstheme="minorHAnsi"/>
        </w:rPr>
        <w:t>Vyhláška č. 312/2014 Sb., o podmínkách sestavení účetních výkazů za Českou republiku (konsolidační vyhláška státu)</w:t>
      </w:r>
      <w:r>
        <w:rPr>
          <w:rFonts w:asciiTheme="minorHAnsi" w:hAnsiTheme="minorHAnsi" w:cstheme="minorHAnsi"/>
        </w:rPr>
        <w:t>.</w:t>
      </w:r>
    </w:p>
  </w:footnote>
  <w:footnote w:id="30">
    <w:p w14:paraId="4A0A42E5" w14:textId="26C3D73A" w:rsidR="00A8498B" w:rsidRPr="007D6AD1" w:rsidRDefault="00A8498B" w:rsidP="001B3F5D">
      <w:pPr>
        <w:pStyle w:val="Textpoznpodarou"/>
        <w:ind w:left="284" w:hanging="284"/>
        <w:rPr>
          <w:rFonts w:asciiTheme="minorHAnsi" w:hAnsiTheme="minorHAnsi" w:cstheme="minorHAnsi"/>
        </w:rPr>
      </w:pPr>
      <w:r w:rsidRPr="007D6AD1">
        <w:rPr>
          <w:rStyle w:val="Znakapoznpodarou"/>
          <w:rFonts w:asciiTheme="minorHAnsi" w:hAnsiTheme="minorHAnsi" w:cstheme="minorHAnsi"/>
        </w:rPr>
        <w:footnoteRef/>
      </w:r>
      <w:r w:rsidRPr="007D6AD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7D6AD1">
        <w:rPr>
          <w:rFonts w:asciiTheme="minorHAnsi" w:hAnsiTheme="minorHAnsi" w:cstheme="minorHAnsi"/>
        </w:rPr>
        <w:t>Z celkových 377 356 řádků v účetním deníku se podrozvahových účtů týkalo 17 344 řádků.</w:t>
      </w:r>
    </w:p>
  </w:footnote>
  <w:footnote w:id="31">
    <w:p w14:paraId="06B52675" w14:textId="29A32B98" w:rsidR="00A8498B" w:rsidRPr="009776FE" w:rsidRDefault="00A8498B" w:rsidP="00DF6AD0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9776FE">
        <w:rPr>
          <w:rStyle w:val="Znakapoznpodarou"/>
          <w:rFonts w:asciiTheme="minorHAnsi" w:hAnsiTheme="minorHAnsi" w:cstheme="minorHAnsi"/>
        </w:rPr>
        <w:footnoteRef/>
      </w:r>
      <w:r w:rsidRPr="009776F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9776FE">
        <w:rPr>
          <w:rFonts w:asciiTheme="minorHAnsi" w:hAnsiTheme="minorHAnsi" w:cstheme="minorHAnsi"/>
        </w:rPr>
        <w:t>Zejména z uzavřených smluv a z rozhodovací činnosti MS Praha</w:t>
      </w:r>
      <w:r>
        <w:rPr>
          <w:rFonts w:asciiTheme="minorHAnsi" w:hAnsiTheme="minorHAnsi" w:cstheme="minorHAnsi"/>
        </w:rPr>
        <w:t>.</w:t>
      </w:r>
    </w:p>
  </w:footnote>
  <w:footnote w:id="32">
    <w:p w14:paraId="6E91131E" w14:textId="39E56C4D" w:rsidR="00A8498B" w:rsidRPr="009776FE" w:rsidRDefault="00A8498B" w:rsidP="00DF6AD0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9776FE">
        <w:rPr>
          <w:rStyle w:val="Znakapoznpodarou"/>
          <w:rFonts w:asciiTheme="minorHAnsi" w:hAnsiTheme="minorHAnsi" w:cstheme="minorHAnsi"/>
        </w:rPr>
        <w:footnoteRef/>
      </w:r>
      <w:r w:rsidRPr="009776F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9776FE">
        <w:rPr>
          <w:rFonts w:asciiTheme="minorHAnsi" w:hAnsiTheme="minorHAnsi" w:cstheme="minorHAnsi"/>
        </w:rPr>
        <w:t>Mohou nastat, výsledek ale není pod kontrolou účetní jednotky, např. přeplatky daňových pohledávek, o</w:t>
      </w:r>
      <w:r>
        <w:rPr>
          <w:rFonts w:asciiTheme="minorHAnsi" w:hAnsiTheme="minorHAnsi" w:cstheme="minorHAnsi"/>
        </w:rPr>
        <w:t> </w:t>
      </w:r>
      <w:r w:rsidRPr="009776FE">
        <w:rPr>
          <w:rFonts w:asciiTheme="minorHAnsi" w:hAnsiTheme="minorHAnsi" w:cstheme="minorHAnsi"/>
        </w:rPr>
        <w:t xml:space="preserve">jejichž vrácení musí požádat povinný (viz </w:t>
      </w:r>
      <w:r>
        <w:rPr>
          <w:rFonts w:asciiTheme="minorHAnsi" w:hAnsiTheme="minorHAnsi" w:cstheme="minorHAnsi"/>
        </w:rPr>
        <w:t xml:space="preserve">ustanovení </w:t>
      </w:r>
      <w:r w:rsidRPr="009776FE">
        <w:rPr>
          <w:rFonts w:asciiTheme="minorHAnsi" w:hAnsiTheme="minorHAnsi" w:cstheme="minorHAnsi"/>
        </w:rPr>
        <w:t>§ 155 zákona č. 280/2009 Sb.</w:t>
      </w:r>
      <w:r>
        <w:rPr>
          <w:rFonts w:asciiTheme="minorHAnsi" w:hAnsiTheme="minorHAnsi" w:cstheme="minorHAnsi"/>
        </w:rPr>
        <w:t>, daňový řád</w:t>
      </w:r>
      <w:r w:rsidRPr="009776FE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,</w:t>
      </w:r>
      <w:r w:rsidRPr="009776FE">
        <w:rPr>
          <w:rFonts w:asciiTheme="minorHAnsi" w:hAnsiTheme="minorHAnsi" w:cstheme="minorHAnsi"/>
        </w:rPr>
        <w:t xml:space="preserve"> nebo soudní spory, poskytnuté záruky apod.</w:t>
      </w:r>
    </w:p>
  </w:footnote>
  <w:footnote w:id="33">
    <w:p w14:paraId="4E976414" w14:textId="7B07D08B" w:rsidR="00A8498B" w:rsidRPr="009776FE" w:rsidRDefault="00A8498B" w:rsidP="00DF6AD0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9776FE">
        <w:rPr>
          <w:rStyle w:val="Znakapoznpodarou"/>
          <w:rFonts w:asciiTheme="minorHAnsi" w:hAnsiTheme="minorHAnsi" w:cstheme="minorHAnsi"/>
        </w:rPr>
        <w:footnoteRef/>
      </w:r>
      <w:r w:rsidRPr="009776F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9776FE">
        <w:rPr>
          <w:rFonts w:asciiTheme="minorHAnsi" w:hAnsiTheme="minorHAnsi" w:cstheme="minorHAnsi"/>
        </w:rPr>
        <w:t>Jsou hypotetické, jejich vznik, a tedy ani plnění nejsou předpokládány, např. náhrada za případné zničení vypůjčeného majetku.</w:t>
      </w:r>
      <w:bookmarkStart w:id="19" w:name="_GoBack"/>
      <w:bookmarkEnd w:id="19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6DC4B" w14:textId="77777777" w:rsidR="00A8498B" w:rsidRDefault="00A8498B" w:rsidP="00124170">
    <w:pPr>
      <w:pStyle w:val="Zhlav"/>
      <w:tabs>
        <w:tab w:val="clear" w:pos="9072"/>
        <w:tab w:val="right" w:pos="907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7B97D" w14:textId="06F6656D" w:rsidR="00A8498B" w:rsidRDefault="00A8498B" w:rsidP="00B86D18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41AB4" w14:textId="77777777" w:rsidR="00A8498B" w:rsidRPr="00DF6AD0" w:rsidRDefault="00A8498B" w:rsidP="00BE2CC5">
    <w:pPr>
      <w:pStyle w:val="Zhlav"/>
      <w:jc w:val="right"/>
      <w:rPr>
        <w:color w:val="404040" w:themeColor="text1" w:themeTint="BF"/>
      </w:rPr>
    </w:pPr>
    <w:r w:rsidRPr="00DF6AD0">
      <w:rPr>
        <w:color w:val="595959" w:themeColor="text1" w:themeTint="A6"/>
      </w:rPr>
      <w:t>Příloha č. 1</w:t>
    </w:r>
  </w:p>
  <w:p w14:paraId="50B12276" w14:textId="77777777" w:rsidR="00A8498B" w:rsidRDefault="00A8498B" w:rsidP="00124170">
    <w:pPr>
      <w:pStyle w:val="Zhlav"/>
      <w:tabs>
        <w:tab w:val="clear" w:pos="9072"/>
        <w:tab w:val="right" w:pos="9070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589ED" w14:textId="2A8BB73D" w:rsidR="00A8498B" w:rsidRPr="002F5988" w:rsidRDefault="00A8498B" w:rsidP="00DC4A58">
    <w:pPr>
      <w:pStyle w:val="Zhlav"/>
      <w:jc w:val="right"/>
    </w:pPr>
  </w:p>
  <w:p w14:paraId="41094FAB" w14:textId="77777777" w:rsidR="00A8498B" w:rsidRDefault="00A8498B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11C0A" w14:textId="77777777" w:rsidR="00A8498B" w:rsidRPr="00DF6AD0" w:rsidRDefault="00A8498B" w:rsidP="00BE2CC5">
    <w:pPr>
      <w:pStyle w:val="Zhlav"/>
      <w:jc w:val="right"/>
      <w:rPr>
        <w:color w:val="595959" w:themeColor="text1" w:themeTint="A6"/>
      </w:rPr>
    </w:pPr>
    <w:r w:rsidRPr="00DF6AD0">
      <w:rPr>
        <w:color w:val="595959" w:themeColor="text1" w:themeTint="A6"/>
      </w:rPr>
      <w:t>Příloha č. 2</w:t>
    </w:r>
  </w:p>
  <w:p w14:paraId="7B6D7356" w14:textId="77777777" w:rsidR="00A8498B" w:rsidRDefault="00A8498B" w:rsidP="00124170">
    <w:pPr>
      <w:pStyle w:val="Zhlav"/>
      <w:tabs>
        <w:tab w:val="clear" w:pos="9072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8C7"/>
    <w:multiLevelType w:val="hybridMultilevel"/>
    <w:tmpl w:val="84D8C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25B7F"/>
    <w:multiLevelType w:val="hybridMultilevel"/>
    <w:tmpl w:val="D0D06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51CA3"/>
    <w:multiLevelType w:val="hybridMultilevel"/>
    <w:tmpl w:val="F516042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366007"/>
    <w:multiLevelType w:val="hybridMultilevel"/>
    <w:tmpl w:val="5F4ECAA8"/>
    <w:lvl w:ilvl="0" w:tplc="24E25BD8">
      <w:start w:val="3"/>
      <w:numFmt w:val="bullet"/>
      <w:pStyle w:val="odrka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42811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A4F6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4A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EF5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B69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4F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8C4F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828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B531D"/>
    <w:multiLevelType w:val="hybridMultilevel"/>
    <w:tmpl w:val="22267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168A9"/>
    <w:multiLevelType w:val="hybridMultilevel"/>
    <w:tmpl w:val="C1A8B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D1AA0"/>
    <w:multiLevelType w:val="hybridMultilevel"/>
    <w:tmpl w:val="51E4F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A1759"/>
    <w:multiLevelType w:val="multilevel"/>
    <w:tmpl w:val="CA34CC30"/>
    <w:lvl w:ilvl="0">
      <w:start w:val="1"/>
      <w:numFmt w:val="decimal"/>
      <w:lvlText w:val="%1"/>
      <w:lvlJc w:val="left"/>
      <w:pPr>
        <w:ind w:left="1248" w:hanging="396"/>
      </w:pPr>
      <w:rPr>
        <w:rFonts w:hint="default"/>
        <w:b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277" w:hanging="567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134" w:hanging="850"/>
      </w:pPr>
      <w:rPr>
        <w:rFonts w:hint="default"/>
        <w:color w:val="auto"/>
        <w:sz w:val="24"/>
        <w:szCs w:val="26"/>
      </w:rPr>
    </w:lvl>
    <w:lvl w:ilvl="3">
      <w:start w:val="1"/>
      <w:numFmt w:val="decimal"/>
      <w:isLgl/>
      <w:lvlText w:val="%1.%2.%3.%4"/>
      <w:lvlJc w:val="left"/>
      <w:pPr>
        <w:ind w:left="1304" w:hanging="10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18" w:hanging="1134"/>
      </w:pPr>
      <w:rPr>
        <w:rFonts w:hint="default"/>
        <w:i w:val="0"/>
        <w:iCs w:val="0"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ind w:left="2157" w:hanging="45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1" w:hanging="45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5" w:hanging="45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9" w:hanging="453"/>
      </w:pPr>
      <w:rPr>
        <w:rFonts w:hint="default"/>
      </w:rPr>
    </w:lvl>
  </w:abstractNum>
  <w:abstractNum w:abstractNumId="8" w15:restartNumberingAfterBreak="0">
    <w:nsid w:val="20412814"/>
    <w:multiLevelType w:val="multilevel"/>
    <w:tmpl w:val="ADFABDA6"/>
    <w:lvl w:ilvl="0">
      <w:start w:val="1"/>
      <w:numFmt w:val="decimal"/>
      <w:pStyle w:val="rove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rove3"/>
      <w:lvlText w:val="%1.%2.%3."/>
      <w:lvlJc w:val="left"/>
      <w:pPr>
        <w:ind w:left="504" w:hanging="504"/>
      </w:pPr>
      <w:rPr>
        <w:rFonts w:cs="Times New Roman"/>
      </w:rPr>
    </w:lvl>
    <w:lvl w:ilvl="3">
      <w:start w:val="1"/>
      <w:numFmt w:val="decimal"/>
      <w:pStyle w:val="rove4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pStyle w:val="rove1"/>
      <w:lvlText w:val="%1.%2.%3.%4.%5."/>
      <w:lvlJc w:val="left"/>
      <w:pPr>
        <w:ind w:left="934" w:hanging="792"/>
      </w:pPr>
      <w:rPr>
        <w:rFonts w:cs="Times New Roman"/>
      </w:rPr>
    </w:lvl>
    <w:lvl w:ilvl="5">
      <w:start w:val="1"/>
      <w:numFmt w:val="decimal"/>
      <w:pStyle w:val="rove2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CB31643"/>
    <w:multiLevelType w:val="hybridMultilevel"/>
    <w:tmpl w:val="93942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65339"/>
    <w:multiLevelType w:val="hybridMultilevel"/>
    <w:tmpl w:val="0D1EBD5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EB2B9A"/>
    <w:multiLevelType w:val="hybridMultilevel"/>
    <w:tmpl w:val="123A7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F5076"/>
    <w:multiLevelType w:val="hybridMultilevel"/>
    <w:tmpl w:val="1F30C49A"/>
    <w:lvl w:ilvl="0" w:tplc="9946A2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4090A"/>
    <w:multiLevelType w:val="hybridMultilevel"/>
    <w:tmpl w:val="62408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76D26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A6F2F"/>
    <w:multiLevelType w:val="hybridMultilevel"/>
    <w:tmpl w:val="4ECE846A"/>
    <w:lvl w:ilvl="0" w:tplc="CE2CED62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5E02F03C">
      <w:start w:val="1"/>
      <w:numFmt w:val="lowerLetter"/>
      <w:lvlText w:val="%2."/>
      <w:lvlJc w:val="left"/>
      <w:pPr>
        <w:ind w:left="1440" w:hanging="360"/>
      </w:pPr>
    </w:lvl>
    <w:lvl w:ilvl="2" w:tplc="ADE6C7EE" w:tentative="1">
      <w:start w:val="1"/>
      <w:numFmt w:val="lowerRoman"/>
      <w:lvlText w:val="%3."/>
      <w:lvlJc w:val="right"/>
      <w:pPr>
        <w:ind w:left="2160" w:hanging="180"/>
      </w:pPr>
    </w:lvl>
    <w:lvl w:ilvl="3" w:tplc="A98E3622" w:tentative="1">
      <w:start w:val="1"/>
      <w:numFmt w:val="decimal"/>
      <w:lvlText w:val="%4."/>
      <w:lvlJc w:val="left"/>
      <w:pPr>
        <w:ind w:left="2880" w:hanging="360"/>
      </w:pPr>
    </w:lvl>
    <w:lvl w:ilvl="4" w:tplc="FE6AD990" w:tentative="1">
      <w:start w:val="1"/>
      <w:numFmt w:val="lowerLetter"/>
      <w:lvlText w:val="%5."/>
      <w:lvlJc w:val="left"/>
      <w:pPr>
        <w:ind w:left="3600" w:hanging="360"/>
      </w:pPr>
    </w:lvl>
    <w:lvl w:ilvl="5" w:tplc="F84C1D10" w:tentative="1">
      <w:start w:val="1"/>
      <w:numFmt w:val="lowerRoman"/>
      <w:lvlText w:val="%6."/>
      <w:lvlJc w:val="right"/>
      <w:pPr>
        <w:ind w:left="4320" w:hanging="180"/>
      </w:pPr>
    </w:lvl>
    <w:lvl w:ilvl="6" w:tplc="4F10AFD4" w:tentative="1">
      <w:start w:val="1"/>
      <w:numFmt w:val="decimal"/>
      <w:lvlText w:val="%7."/>
      <w:lvlJc w:val="left"/>
      <w:pPr>
        <w:ind w:left="5040" w:hanging="360"/>
      </w:pPr>
    </w:lvl>
    <w:lvl w:ilvl="7" w:tplc="C2E42DB0" w:tentative="1">
      <w:start w:val="1"/>
      <w:numFmt w:val="lowerLetter"/>
      <w:lvlText w:val="%8."/>
      <w:lvlJc w:val="left"/>
      <w:pPr>
        <w:ind w:left="5760" w:hanging="360"/>
      </w:pPr>
    </w:lvl>
    <w:lvl w:ilvl="8" w:tplc="0DF025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61A82"/>
    <w:multiLevelType w:val="multilevel"/>
    <w:tmpl w:val="62C22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AD0E06"/>
    <w:multiLevelType w:val="hybridMultilevel"/>
    <w:tmpl w:val="8BACD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F7D4A"/>
    <w:multiLevelType w:val="hybridMultilevel"/>
    <w:tmpl w:val="CC50D5B0"/>
    <w:lvl w:ilvl="0" w:tplc="040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8" w15:restartNumberingAfterBreak="0">
    <w:nsid w:val="41E650FF"/>
    <w:multiLevelType w:val="multilevel"/>
    <w:tmpl w:val="24A676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2112C5"/>
    <w:multiLevelType w:val="hybridMultilevel"/>
    <w:tmpl w:val="97DC6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25C2F"/>
    <w:multiLevelType w:val="hybridMultilevel"/>
    <w:tmpl w:val="5E988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F6B96"/>
    <w:multiLevelType w:val="hybridMultilevel"/>
    <w:tmpl w:val="2D4E5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12D45"/>
    <w:multiLevelType w:val="hybridMultilevel"/>
    <w:tmpl w:val="C38A25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B465B"/>
    <w:multiLevelType w:val="hybridMultilevel"/>
    <w:tmpl w:val="6C04788C"/>
    <w:lvl w:ilvl="0" w:tplc="88A0C998">
      <w:start w:val="1"/>
      <w:numFmt w:val="bullet"/>
      <w:lvlText w:val="-"/>
      <w:lvlJc w:val="left"/>
      <w:pPr>
        <w:ind w:left="524" w:hanging="360"/>
      </w:pPr>
      <w:rPr>
        <w:rFonts w:ascii="Calibri" w:eastAsia="Times New Roman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24" w15:restartNumberingAfterBreak="0">
    <w:nsid w:val="5AD97CF7"/>
    <w:multiLevelType w:val="hybridMultilevel"/>
    <w:tmpl w:val="E73205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D456A"/>
    <w:multiLevelType w:val="multilevel"/>
    <w:tmpl w:val="A00451DC"/>
    <w:lvl w:ilvl="0">
      <w:start w:val="1"/>
      <w:numFmt w:val="decimal"/>
      <w:lvlText w:val="%1"/>
      <w:lvlJc w:val="left"/>
      <w:pPr>
        <w:ind w:left="680" w:hanging="396"/>
      </w:pPr>
      <w:rPr>
        <w:rFonts w:hint="default"/>
        <w:b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134" w:hanging="850"/>
      </w:pPr>
      <w:rPr>
        <w:rFonts w:hint="default"/>
        <w:color w:val="auto"/>
        <w:sz w:val="26"/>
        <w:szCs w:val="26"/>
      </w:rPr>
    </w:lvl>
    <w:lvl w:ilvl="3">
      <w:start w:val="1"/>
      <w:numFmt w:val="decimal"/>
      <w:isLgl/>
      <w:lvlText w:val="%1.%2.%3.%4"/>
      <w:lvlJc w:val="left"/>
      <w:pPr>
        <w:ind w:left="1304" w:hanging="10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18" w:hanging="1134"/>
      </w:pPr>
      <w:rPr>
        <w:rFonts w:hint="default"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ind w:left="2157" w:hanging="45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1" w:hanging="45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5" w:hanging="45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9" w:hanging="453"/>
      </w:pPr>
      <w:rPr>
        <w:rFonts w:hint="default"/>
      </w:rPr>
    </w:lvl>
  </w:abstractNum>
  <w:abstractNum w:abstractNumId="26" w15:restartNumberingAfterBreak="0">
    <w:nsid w:val="5EF63BA1"/>
    <w:multiLevelType w:val="hybridMultilevel"/>
    <w:tmpl w:val="9C260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C5B1B"/>
    <w:multiLevelType w:val="multilevel"/>
    <w:tmpl w:val="CB225B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4AA0B9B"/>
    <w:multiLevelType w:val="multilevel"/>
    <w:tmpl w:val="B4F6C2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3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95114AB"/>
    <w:multiLevelType w:val="hybridMultilevel"/>
    <w:tmpl w:val="0C7AF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6336D0"/>
    <w:multiLevelType w:val="multilevel"/>
    <w:tmpl w:val="48126486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alibri" w:hint="default"/>
        <w:b/>
      </w:rPr>
    </w:lvl>
  </w:abstractNum>
  <w:abstractNum w:abstractNumId="31" w15:restartNumberingAfterBreak="0">
    <w:nsid w:val="6D301D1D"/>
    <w:multiLevelType w:val="hybridMultilevel"/>
    <w:tmpl w:val="443C1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B0976"/>
    <w:multiLevelType w:val="hybridMultilevel"/>
    <w:tmpl w:val="308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8E3CC0"/>
    <w:multiLevelType w:val="hybridMultilevel"/>
    <w:tmpl w:val="9FE00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9785E"/>
    <w:multiLevelType w:val="hybridMultilevel"/>
    <w:tmpl w:val="0F8EF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604D9"/>
    <w:multiLevelType w:val="hybridMultilevel"/>
    <w:tmpl w:val="62C81E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AE4030"/>
    <w:multiLevelType w:val="multilevel"/>
    <w:tmpl w:val="F650DCE4"/>
    <w:lvl w:ilvl="0">
      <w:start w:val="1"/>
      <w:numFmt w:val="upperRoman"/>
      <w:pStyle w:val="Styl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Styl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ordinal"/>
      <w:lvlText w:val="%3%2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FD32904"/>
    <w:multiLevelType w:val="hybridMultilevel"/>
    <w:tmpl w:val="1D222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8"/>
  </w:num>
  <w:num w:numId="3">
    <w:abstractNumId w:val="22"/>
  </w:num>
  <w:num w:numId="4">
    <w:abstractNumId w:val="13"/>
  </w:num>
  <w:num w:numId="5">
    <w:abstractNumId w:val="5"/>
  </w:num>
  <w:num w:numId="6">
    <w:abstractNumId w:val="35"/>
  </w:num>
  <w:num w:numId="7">
    <w:abstractNumId w:val="27"/>
  </w:num>
  <w:num w:numId="8">
    <w:abstractNumId w:val="28"/>
  </w:num>
  <w:num w:numId="9">
    <w:abstractNumId w:val="28"/>
  </w:num>
  <w:num w:numId="10">
    <w:abstractNumId w:val="28"/>
  </w:num>
  <w:num w:numId="11">
    <w:abstractNumId w:val="3"/>
  </w:num>
  <w:num w:numId="12">
    <w:abstractNumId w:val="20"/>
  </w:num>
  <w:num w:numId="13">
    <w:abstractNumId w:val="25"/>
  </w:num>
  <w:num w:numId="14">
    <w:abstractNumId w:val="18"/>
  </w:num>
  <w:num w:numId="15">
    <w:abstractNumId w:val="28"/>
  </w:num>
  <w:num w:numId="16">
    <w:abstractNumId w:val="36"/>
  </w:num>
  <w:num w:numId="17">
    <w:abstractNumId w:val="16"/>
  </w:num>
  <w:num w:numId="18">
    <w:abstractNumId w:val="37"/>
  </w:num>
  <w:num w:numId="19">
    <w:abstractNumId w:val="15"/>
  </w:num>
  <w:num w:numId="20">
    <w:abstractNumId w:val="30"/>
  </w:num>
  <w:num w:numId="21">
    <w:abstractNumId w:val="7"/>
  </w:num>
  <w:num w:numId="22">
    <w:abstractNumId w:val="14"/>
  </w:num>
  <w:num w:numId="23">
    <w:abstractNumId w:val="31"/>
  </w:num>
  <w:num w:numId="24">
    <w:abstractNumId w:val="6"/>
  </w:num>
  <w:num w:numId="25">
    <w:abstractNumId w:val="34"/>
  </w:num>
  <w:num w:numId="26">
    <w:abstractNumId w:val="29"/>
  </w:num>
  <w:num w:numId="27">
    <w:abstractNumId w:val="26"/>
  </w:num>
  <w:num w:numId="28">
    <w:abstractNumId w:val="33"/>
  </w:num>
  <w:num w:numId="29">
    <w:abstractNumId w:val="32"/>
  </w:num>
  <w:num w:numId="30">
    <w:abstractNumId w:val="21"/>
  </w:num>
  <w:num w:numId="31">
    <w:abstractNumId w:val="2"/>
  </w:num>
  <w:num w:numId="32">
    <w:abstractNumId w:val="14"/>
  </w:num>
  <w:num w:numId="33">
    <w:abstractNumId w:val="4"/>
  </w:num>
  <w:num w:numId="34">
    <w:abstractNumId w:val="8"/>
  </w:num>
  <w:num w:numId="35">
    <w:abstractNumId w:val="10"/>
  </w:num>
  <w:num w:numId="36">
    <w:abstractNumId w:val="19"/>
  </w:num>
  <w:num w:numId="37">
    <w:abstractNumId w:val="1"/>
  </w:num>
  <w:num w:numId="38">
    <w:abstractNumId w:val="0"/>
  </w:num>
  <w:num w:numId="39">
    <w:abstractNumId w:val="17"/>
  </w:num>
  <w:num w:numId="40">
    <w:abstractNumId w:val="24"/>
  </w:num>
  <w:num w:numId="41">
    <w:abstractNumId w:val="9"/>
  </w:num>
  <w:num w:numId="42">
    <w:abstractNumId w:val="11"/>
  </w:num>
  <w:num w:numId="43">
    <w:abstractNumId w:val="12"/>
  </w:num>
  <w:num w:numId="44">
    <w:abstractNumId w:val="36"/>
  </w:num>
  <w:num w:numId="45">
    <w:abstractNumId w:val="36"/>
  </w:num>
  <w:num w:numId="46">
    <w:abstractNumId w:val="36"/>
  </w:num>
  <w:num w:numId="47">
    <w:abstractNumId w:val="36"/>
  </w:num>
  <w:num w:numId="48">
    <w:abstractNumId w:val="36"/>
  </w:num>
  <w:num w:numId="49">
    <w:abstractNumId w:val="36"/>
  </w:num>
  <w:num w:numId="50">
    <w:abstractNumId w:val="36"/>
  </w:num>
  <w:num w:numId="51">
    <w:abstractNumId w:val="36"/>
  </w:num>
  <w:num w:numId="52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oNotTrackMove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262"/>
    <w:rsid w:val="00000293"/>
    <w:rsid w:val="0000057A"/>
    <w:rsid w:val="00000F8C"/>
    <w:rsid w:val="000010CB"/>
    <w:rsid w:val="000015DC"/>
    <w:rsid w:val="00001659"/>
    <w:rsid w:val="00001D77"/>
    <w:rsid w:val="00002B29"/>
    <w:rsid w:val="00002B9A"/>
    <w:rsid w:val="00002F92"/>
    <w:rsid w:val="000030C9"/>
    <w:rsid w:val="00003812"/>
    <w:rsid w:val="00003878"/>
    <w:rsid w:val="000039E4"/>
    <w:rsid w:val="00003E52"/>
    <w:rsid w:val="00003EC4"/>
    <w:rsid w:val="00003F86"/>
    <w:rsid w:val="000042FB"/>
    <w:rsid w:val="00004461"/>
    <w:rsid w:val="000049A1"/>
    <w:rsid w:val="00004DA7"/>
    <w:rsid w:val="00004EF9"/>
    <w:rsid w:val="000050EC"/>
    <w:rsid w:val="00005413"/>
    <w:rsid w:val="0000654C"/>
    <w:rsid w:val="00006589"/>
    <w:rsid w:val="00006AE8"/>
    <w:rsid w:val="00006F9D"/>
    <w:rsid w:val="000102DC"/>
    <w:rsid w:val="000102EF"/>
    <w:rsid w:val="0001038F"/>
    <w:rsid w:val="00010565"/>
    <w:rsid w:val="00010948"/>
    <w:rsid w:val="00010B7B"/>
    <w:rsid w:val="00010BF4"/>
    <w:rsid w:val="000116D6"/>
    <w:rsid w:val="000116ED"/>
    <w:rsid w:val="000118B2"/>
    <w:rsid w:val="000118FB"/>
    <w:rsid w:val="00012047"/>
    <w:rsid w:val="00012090"/>
    <w:rsid w:val="000121C2"/>
    <w:rsid w:val="00012334"/>
    <w:rsid w:val="00012409"/>
    <w:rsid w:val="0001308F"/>
    <w:rsid w:val="000136D6"/>
    <w:rsid w:val="00013900"/>
    <w:rsid w:val="00013D01"/>
    <w:rsid w:val="00013F4A"/>
    <w:rsid w:val="00014250"/>
    <w:rsid w:val="00014278"/>
    <w:rsid w:val="000148CF"/>
    <w:rsid w:val="00014D77"/>
    <w:rsid w:val="000150C6"/>
    <w:rsid w:val="0001554C"/>
    <w:rsid w:val="00015BEA"/>
    <w:rsid w:val="00015D6E"/>
    <w:rsid w:val="00015EAA"/>
    <w:rsid w:val="00015F85"/>
    <w:rsid w:val="0001655D"/>
    <w:rsid w:val="000176F5"/>
    <w:rsid w:val="000178C8"/>
    <w:rsid w:val="00017CCE"/>
    <w:rsid w:val="00017D5E"/>
    <w:rsid w:val="00017EA4"/>
    <w:rsid w:val="000205FD"/>
    <w:rsid w:val="000206ED"/>
    <w:rsid w:val="000209B1"/>
    <w:rsid w:val="0002107A"/>
    <w:rsid w:val="00021226"/>
    <w:rsid w:val="00022153"/>
    <w:rsid w:val="000221DC"/>
    <w:rsid w:val="00022E16"/>
    <w:rsid w:val="000233DE"/>
    <w:rsid w:val="0002359A"/>
    <w:rsid w:val="00024CEB"/>
    <w:rsid w:val="000254A6"/>
    <w:rsid w:val="00025582"/>
    <w:rsid w:val="000263DE"/>
    <w:rsid w:val="0002674F"/>
    <w:rsid w:val="00026812"/>
    <w:rsid w:val="00026B84"/>
    <w:rsid w:val="00026FB4"/>
    <w:rsid w:val="00027067"/>
    <w:rsid w:val="0002708F"/>
    <w:rsid w:val="000274A8"/>
    <w:rsid w:val="00027C18"/>
    <w:rsid w:val="000305CE"/>
    <w:rsid w:val="00030656"/>
    <w:rsid w:val="00030A71"/>
    <w:rsid w:val="00031611"/>
    <w:rsid w:val="00031D2B"/>
    <w:rsid w:val="00031DBA"/>
    <w:rsid w:val="00031FF6"/>
    <w:rsid w:val="000325A3"/>
    <w:rsid w:val="00033006"/>
    <w:rsid w:val="000339E8"/>
    <w:rsid w:val="000342EB"/>
    <w:rsid w:val="00034564"/>
    <w:rsid w:val="00034649"/>
    <w:rsid w:val="00034672"/>
    <w:rsid w:val="0003469E"/>
    <w:rsid w:val="0003552A"/>
    <w:rsid w:val="00035C23"/>
    <w:rsid w:val="000365ED"/>
    <w:rsid w:val="00036961"/>
    <w:rsid w:val="00036B07"/>
    <w:rsid w:val="000370CC"/>
    <w:rsid w:val="000370E9"/>
    <w:rsid w:val="000377B3"/>
    <w:rsid w:val="00037E92"/>
    <w:rsid w:val="000404C7"/>
    <w:rsid w:val="0004116C"/>
    <w:rsid w:val="00041308"/>
    <w:rsid w:val="00041B06"/>
    <w:rsid w:val="00042662"/>
    <w:rsid w:val="000428C2"/>
    <w:rsid w:val="00042F32"/>
    <w:rsid w:val="00042F6E"/>
    <w:rsid w:val="0004311E"/>
    <w:rsid w:val="0004377C"/>
    <w:rsid w:val="00043ED9"/>
    <w:rsid w:val="00044446"/>
    <w:rsid w:val="00044496"/>
    <w:rsid w:val="00044685"/>
    <w:rsid w:val="000447A6"/>
    <w:rsid w:val="00044B71"/>
    <w:rsid w:val="00044F4C"/>
    <w:rsid w:val="0004536D"/>
    <w:rsid w:val="000453AD"/>
    <w:rsid w:val="0004554B"/>
    <w:rsid w:val="0004593F"/>
    <w:rsid w:val="00045D1D"/>
    <w:rsid w:val="00045D4B"/>
    <w:rsid w:val="0004614B"/>
    <w:rsid w:val="00046890"/>
    <w:rsid w:val="00046AB1"/>
    <w:rsid w:val="000473BB"/>
    <w:rsid w:val="00047B94"/>
    <w:rsid w:val="00050275"/>
    <w:rsid w:val="00050674"/>
    <w:rsid w:val="00050BF8"/>
    <w:rsid w:val="00050E07"/>
    <w:rsid w:val="00050F32"/>
    <w:rsid w:val="00051A3C"/>
    <w:rsid w:val="00051D1C"/>
    <w:rsid w:val="000521DE"/>
    <w:rsid w:val="000521FD"/>
    <w:rsid w:val="00052289"/>
    <w:rsid w:val="0005245C"/>
    <w:rsid w:val="00052B02"/>
    <w:rsid w:val="00052C46"/>
    <w:rsid w:val="00052EE3"/>
    <w:rsid w:val="0005321F"/>
    <w:rsid w:val="0005356E"/>
    <w:rsid w:val="000542D1"/>
    <w:rsid w:val="00054662"/>
    <w:rsid w:val="000547CF"/>
    <w:rsid w:val="000548CE"/>
    <w:rsid w:val="00054A5F"/>
    <w:rsid w:val="00054D70"/>
    <w:rsid w:val="00054DA8"/>
    <w:rsid w:val="00055401"/>
    <w:rsid w:val="00055581"/>
    <w:rsid w:val="00055EC4"/>
    <w:rsid w:val="000562E0"/>
    <w:rsid w:val="0005659D"/>
    <w:rsid w:val="00056E1C"/>
    <w:rsid w:val="00056E58"/>
    <w:rsid w:val="00056F1A"/>
    <w:rsid w:val="000570C7"/>
    <w:rsid w:val="00057428"/>
    <w:rsid w:val="00057CB7"/>
    <w:rsid w:val="00060485"/>
    <w:rsid w:val="00060CDE"/>
    <w:rsid w:val="000615D0"/>
    <w:rsid w:val="000617D1"/>
    <w:rsid w:val="00062738"/>
    <w:rsid w:val="00063109"/>
    <w:rsid w:val="00063528"/>
    <w:rsid w:val="00063906"/>
    <w:rsid w:val="00063C45"/>
    <w:rsid w:val="00063F65"/>
    <w:rsid w:val="000641B2"/>
    <w:rsid w:val="0006539C"/>
    <w:rsid w:val="00065568"/>
    <w:rsid w:val="000663B6"/>
    <w:rsid w:val="00066AC4"/>
    <w:rsid w:val="00066AD0"/>
    <w:rsid w:val="00066F74"/>
    <w:rsid w:val="00067305"/>
    <w:rsid w:val="000679D3"/>
    <w:rsid w:val="0007038C"/>
    <w:rsid w:val="00071B5F"/>
    <w:rsid w:val="00071E3F"/>
    <w:rsid w:val="000721D8"/>
    <w:rsid w:val="0007244A"/>
    <w:rsid w:val="000728F2"/>
    <w:rsid w:val="00072E4C"/>
    <w:rsid w:val="00073218"/>
    <w:rsid w:val="00073B11"/>
    <w:rsid w:val="00073F3C"/>
    <w:rsid w:val="00073FB4"/>
    <w:rsid w:val="0007439D"/>
    <w:rsid w:val="000744FC"/>
    <w:rsid w:val="00074829"/>
    <w:rsid w:val="0007561C"/>
    <w:rsid w:val="00075A94"/>
    <w:rsid w:val="00075BC6"/>
    <w:rsid w:val="00075CF8"/>
    <w:rsid w:val="00076191"/>
    <w:rsid w:val="00076557"/>
    <w:rsid w:val="00076EA6"/>
    <w:rsid w:val="00076F89"/>
    <w:rsid w:val="000773AB"/>
    <w:rsid w:val="00077ACA"/>
    <w:rsid w:val="00080728"/>
    <w:rsid w:val="00080832"/>
    <w:rsid w:val="00080853"/>
    <w:rsid w:val="00080C2B"/>
    <w:rsid w:val="00080C55"/>
    <w:rsid w:val="0008172A"/>
    <w:rsid w:val="00081853"/>
    <w:rsid w:val="00081916"/>
    <w:rsid w:val="000819E2"/>
    <w:rsid w:val="00081F46"/>
    <w:rsid w:val="00082128"/>
    <w:rsid w:val="000822BF"/>
    <w:rsid w:val="00082C74"/>
    <w:rsid w:val="00082D91"/>
    <w:rsid w:val="0008321B"/>
    <w:rsid w:val="000834FD"/>
    <w:rsid w:val="0008352C"/>
    <w:rsid w:val="00083751"/>
    <w:rsid w:val="0008453D"/>
    <w:rsid w:val="000849FE"/>
    <w:rsid w:val="00084BDF"/>
    <w:rsid w:val="000851F9"/>
    <w:rsid w:val="00085476"/>
    <w:rsid w:val="000855CD"/>
    <w:rsid w:val="0008560C"/>
    <w:rsid w:val="00085C0A"/>
    <w:rsid w:val="00085D01"/>
    <w:rsid w:val="00085F24"/>
    <w:rsid w:val="00086337"/>
    <w:rsid w:val="00086431"/>
    <w:rsid w:val="000867C9"/>
    <w:rsid w:val="000872BF"/>
    <w:rsid w:val="000878BC"/>
    <w:rsid w:val="00090AB0"/>
    <w:rsid w:val="00090DB9"/>
    <w:rsid w:val="00090F01"/>
    <w:rsid w:val="00090FA5"/>
    <w:rsid w:val="00091342"/>
    <w:rsid w:val="00091AD5"/>
    <w:rsid w:val="0009214F"/>
    <w:rsid w:val="0009232A"/>
    <w:rsid w:val="0009258D"/>
    <w:rsid w:val="00092816"/>
    <w:rsid w:val="00093120"/>
    <w:rsid w:val="00093B70"/>
    <w:rsid w:val="00094908"/>
    <w:rsid w:val="00094DB4"/>
    <w:rsid w:val="00094EF0"/>
    <w:rsid w:val="00095418"/>
    <w:rsid w:val="000957EE"/>
    <w:rsid w:val="0009689F"/>
    <w:rsid w:val="00096FA3"/>
    <w:rsid w:val="0009702E"/>
    <w:rsid w:val="000973C5"/>
    <w:rsid w:val="00097E88"/>
    <w:rsid w:val="000A0E8B"/>
    <w:rsid w:val="000A11F0"/>
    <w:rsid w:val="000A13E8"/>
    <w:rsid w:val="000A1657"/>
    <w:rsid w:val="000A1E9B"/>
    <w:rsid w:val="000A2941"/>
    <w:rsid w:val="000A2C62"/>
    <w:rsid w:val="000A36E9"/>
    <w:rsid w:val="000A3E7E"/>
    <w:rsid w:val="000A3F7E"/>
    <w:rsid w:val="000A4006"/>
    <w:rsid w:val="000A4749"/>
    <w:rsid w:val="000A49D5"/>
    <w:rsid w:val="000A4C07"/>
    <w:rsid w:val="000A5267"/>
    <w:rsid w:val="000A545F"/>
    <w:rsid w:val="000A56F7"/>
    <w:rsid w:val="000A5714"/>
    <w:rsid w:val="000A5A79"/>
    <w:rsid w:val="000A5BDF"/>
    <w:rsid w:val="000A5C4F"/>
    <w:rsid w:val="000A5D44"/>
    <w:rsid w:val="000A5ECA"/>
    <w:rsid w:val="000A5F4A"/>
    <w:rsid w:val="000A61B3"/>
    <w:rsid w:val="000A7032"/>
    <w:rsid w:val="000A7370"/>
    <w:rsid w:val="000A75DF"/>
    <w:rsid w:val="000A78B3"/>
    <w:rsid w:val="000B08C1"/>
    <w:rsid w:val="000B0C14"/>
    <w:rsid w:val="000B0DBC"/>
    <w:rsid w:val="000B169C"/>
    <w:rsid w:val="000B1794"/>
    <w:rsid w:val="000B2041"/>
    <w:rsid w:val="000B2255"/>
    <w:rsid w:val="000B2425"/>
    <w:rsid w:val="000B25A8"/>
    <w:rsid w:val="000B3825"/>
    <w:rsid w:val="000B3B5F"/>
    <w:rsid w:val="000B3BAF"/>
    <w:rsid w:val="000B4ABD"/>
    <w:rsid w:val="000B4B25"/>
    <w:rsid w:val="000B4B91"/>
    <w:rsid w:val="000B5706"/>
    <w:rsid w:val="000B57EF"/>
    <w:rsid w:val="000B59DC"/>
    <w:rsid w:val="000B63A1"/>
    <w:rsid w:val="000B69D9"/>
    <w:rsid w:val="000B78EB"/>
    <w:rsid w:val="000B7B7B"/>
    <w:rsid w:val="000B7E39"/>
    <w:rsid w:val="000B7ED0"/>
    <w:rsid w:val="000C04E6"/>
    <w:rsid w:val="000C06CC"/>
    <w:rsid w:val="000C1D99"/>
    <w:rsid w:val="000C1DDA"/>
    <w:rsid w:val="000C2191"/>
    <w:rsid w:val="000C2C88"/>
    <w:rsid w:val="000C3CE9"/>
    <w:rsid w:val="000C3F19"/>
    <w:rsid w:val="000C48B1"/>
    <w:rsid w:val="000C499E"/>
    <w:rsid w:val="000C4CB0"/>
    <w:rsid w:val="000C4D25"/>
    <w:rsid w:val="000C591E"/>
    <w:rsid w:val="000C60A3"/>
    <w:rsid w:val="000C629B"/>
    <w:rsid w:val="000C656B"/>
    <w:rsid w:val="000C69E5"/>
    <w:rsid w:val="000C6C3C"/>
    <w:rsid w:val="000C6DC8"/>
    <w:rsid w:val="000C7BCB"/>
    <w:rsid w:val="000C7DE9"/>
    <w:rsid w:val="000C7E19"/>
    <w:rsid w:val="000D06B1"/>
    <w:rsid w:val="000D0E97"/>
    <w:rsid w:val="000D1BFE"/>
    <w:rsid w:val="000D1EC1"/>
    <w:rsid w:val="000D22A5"/>
    <w:rsid w:val="000D2D2B"/>
    <w:rsid w:val="000D2F73"/>
    <w:rsid w:val="000D3481"/>
    <w:rsid w:val="000D3C04"/>
    <w:rsid w:val="000D628D"/>
    <w:rsid w:val="000D6F93"/>
    <w:rsid w:val="000D70F7"/>
    <w:rsid w:val="000D72DE"/>
    <w:rsid w:val="000D7369"/>
    <w:rsid w:val="000D791D"/>
    <w:rsid w:val="000D7A6A"/>
    <w:rsid w:val="000D7A9E"/>
    <w:rsid w:val="000D7EB0"/>
    <w:rsid w:val="000E044D"/>
    <w:rsid w:val="000E049D"/>
    <w:rsid w:val="000E04F4"/>
    <w:rsid w:val="000E0723"/>
    <w:rsid w:val="000E082C"/>
    <w:rsid w:val="000E0A92"/>
    <w:rsid w:val="000E0B18"/>
    <w:rsid w:val="000E12F1"/>
    <w:rsid w:val="000E1EC2"/>
    <w:rsid w:val="000E220A"/>
    <w:rsid w:val="000E25B5"/>
    <w:rsid w:val="000E2690"/>
    <w:rsid w:val="000E2836"/>
    <w:rsid w:val="000E295D"/>
    <w:rsid w:val="000E31D2"/>
    <w:rsid w:val="000E3621"/>
    <w:rsid w:val="000E38D3"/>
    <w:rsid w:val="000E49EF"/>
    <w:rsid w:val="000E4E62"/>
    <w:rsid w:val="000E4ED7"/>
    <w:rsid w:val="000E4F78"/>
    <w:rsid w:val="000E5E80"/>
    <w:rsid w:val="000E6A7A"/>
    <w:rsid w:val="000E6A8C"/>
    <w:rsid w:val="000E6C03"/>
    <w:rsid w:val="000E7644"/>
    <w:rsid w:val="000E7694"/>
    <w:rsid w:val="000E7D3E"/>
    <w:rsid w:val="000F09F5"/>
    <w:rsid w:val="000F1ACE"/>
    <w:rsid w:val="000F209F"/>
    <w:rsid w:val="000F2220"/>
    <w:rsid w:val="000F25E0"/>
    <w:rsid w:val="000F2B19"/>
    <w:rsid w:val="000F3D0A"/>
    <w:rsid w:val="000F3E30"/>
    <w:rsid w:val="000F41FF"/>
    <w:rsid w:val="000F42EF"/>
    <w:rsid w:val="000F449D"/>
    <w:rsid w:val="000F49CB"/>
    <w:rsid w:val="000F542D"/>
    <w:rsid w:val="000F55E2"/>
    <w:rsid w:val="000F5927"/>
    <w:rsid w:val="000F5C65"/>
    <w:rsid w:val="000F635B"/>
    <w:rsid w:val="000F707F"/>
    <w:rsid w:val="000F7A2B"/>
    <w:rsid w:val="000F7AA7"/>
    <w:rsid w:val="00100233"/>
    <w:rsid w:val="00100FAA"/>
    <w:rsid w:val="00101036"/>
    <w:rsid w:val="0010125A"/>
    <w:rsid w:val="00101CB1"/>
    <w:rsid w:val="00101CEF"/>
    <w:rsid w:val="0010292B"/>
    <w:rsid w:val="00103B0E"/>
    <w:rsid w:val="00103B3E"/>
    <w:rsid w:val="00103E92"/>
    <w:rsid w:val="00104283"/>
    <w:rsid w:val="001055C3"/>
    <w:rsid w:val="00105C43"/>
    <w:rsid w:val="00106409"/>
    <w:rsid w:val="00106704"/>
    <w:rsid w:val="001076FC"/>
    <w:rsid w:val="00107771"/>
    <w:rsid w:val="001077EB"/>
    <w:rsid w:val="00107D39"/>
    <w:rsid w:val="001106BD"/>
    <w:rsid w:val="001118F1"/>
    <w:rsid w:val="00111FB1"/>
    <w:rsid w:val="00112642"/>
    <w:rsid w:val="00112DFF"/>
    <w:rsid w:val="001130AB"/>
    <w:rsid w:val="0011329B"/>
    <w:rsid w:val="001137F7"/>
    <w:rsid w:val="00113B06"/>
    <w:rsid w:val="00113F2D"/>
    <w:rsid w:val="00114033"/>
    <w:rsid w:val="001141E0"/>
    <w:rsid w:val="00114527"/>
    <w:rsid w:val="00114660"/>
    <w:rsid w:val="00114968"/>
    <w:rsid w:val="00115015"/>
    <w:rsid w:val="001158C5"/>
    <w:rsid w:val="00115AEA"/>
    <w:rsid w:val="0011666A"/>
    <w:rsid w:val="00116A85"/>
    <w:rsid w:val="00116DD9"/>
    <w:rsid w:val="00117093"/>
    <w:rsid w:val="0011741A"/>
    <w:rsid w:val="001175F7"/>
    <w:rsid w:val="00120064"/>
    <w:rsid w:val="001202CB"/>
    <w:rsid w:val="00121D77"/>
    <w:rsid w:val="00121D7E"/>
    <w:rsid w:val="0012286C"/>
    <w:rsid w:val="00122AD9"/>
    <w:rsid w:val="00122BD1"/>
    <w:rsid w:val="00122E3A"/>
    <w:rsid w:val="00122E42"/>
    <w:rsid w:val="001231C4"/>
    <w:rsid w:val="00124170"/>
    <w:rsid w:val="00124183"/>
    <w:rsid w:val="001248DC"/>
    <w:rsid w:val="00124C3F"/>
    <w:rsid w:val="00124CA1"/>
    <w:rsid w:val="00124FA7"/>
    <w:rsid w:val="0012538B"/>
    <w:rsid w:val="001256DB"/>
    <w:rsid w:val="0012623F"/>
    <w:rsid w:val="00126542"/>
    <w:rsid w:val="00126597"/>
    <w:rsid w:val="0012677A"/>
    <w:rsid w:val="001268C7"/>
    <w:rsid w:val="001276E3"/>
    <w:rsid w:val="001305BC"/>
    <w:rsid w:val="00130CCE"/>
    <w:rsid w:val="00131465"/>
    <w:rsid w:val="001316F9"/>
    <w:rsid w:val="001317BD"/>
    <w:rsid w:val="001318BD"/>
    <w:rsid w:val="0013191D"/>
    <w:rsid w:val="00131FBF"/>
    <w:rsid w:val="0013203D"/>
    <w:rsid w:val="001322A8"/>
    <w:rsid w:val="00132721"/>
    <w:rsid w:val="001327CC"/>
    <w:rsid w:val="00133A17"/>
    <w:rsid w:val="00133CBE"/>
    <w:rsid w:val="001343CE"/>
    <w:rsid w:val="001344EE"/>
    <w:rsid w:val="00134B8F"/>
    <w:rsid w:val="00135042"/>
    <w:rsid w:val="00135658"/>
    <w:rsid w:val="00135727"/>
    <w:rsid w:val="00135C15"/>
    <w:rsid w:val="00135C1E"/>
    <w:rsid w:val="00136983"/>
    <w:rsid w:val="00136A02"/>
    <w:rsid w:val="00137C89"/>
    <w:rsid w:val="00141652"/>
    <w:rsid w:val="001416E0"/>
    <w:rsid w:val="00141ABF"/>
    <w:rsid w:val="00141C1D"/>
    <w:rsid w:val="00141F5F"/>
    <w:rsid w:val="0014261B"/>
    <w:rsid w:val="001426BF"/>
    <w:rsid w:val="001426DD"/>
    <w:rsid w:val="001433FE"/>
    <w:rsid w:val="001441BA"/>
    <w:rsid w:val="00144E09"/>
    <w:rsid w:val="00144E9E"/>
    <w:rsid w:val="0014591C"/>
    <w:rsid w:val="00145A5B"/>
    <w:rsid w:val="00145A5E"/>
    <w:rsid w:val="001468C2"/>
    <w:rsid w:val="00146B0E"/>
    <w:rsid w:val="00147136"/>
    <w:rsid w:val="00147308"/>
    <w:rsid w:val="00147320"/>
    <w:rsid w:val="00147575"/>
    <w:rsid w:val="00147CF6"/>
    <w:rsid w:val="0015019D"/>
    <w:rsid w:val="00150253"/>
    <w:rsid w:val="0015058F"/>
    <w:rsid w:val="00150A18"/>
    <w:rsid w:val="001519E4"/>
    <w:rsid w:val="00151EFB"/>
    <w:rsid w:val="0015279D"/>
    <w:rsid w:val="00152A8D"/>
    <w:rsid w:val="00152AD3"/>
    <w:rsid w:val="00152D15"/>
    <w:rsid w:val="00153444"/>
    <w:rsid w:val="00153EAA"/>
    <w:rsid w:val="00153FEB"/>
    <w:rsid w:val="00154191"/>
    <w:rsid w:val="00154952"/>
    <w:rsid w:val="00154ED5"/>
    <w:rsid w:val="001556C6"/>
    <w:rsid w:val="0015589D"/>
    <w:rsid w:val="00155A2A"/>
    <w:rsid w:val="00155F56"/>
    <w:rsid w:val="0015643B"/>
    <w:rsid w:val="00156820"/>
    <w:rsid w:val="001569F8"/>
    <w:rsid w:val="00157675"/>
    <w:rsid w:val="001579AE"/>
    <w:rsid w:val="00157F5E"/>
    <w:rsid w:val="001601CC"/>
    <w:rsid w:val="001604D9"/>
    <w:rsid w:val="00160F7E"/>
    <w:rsid w:val="00161C6F"/>
    <w:rsid w:val="00161F5E"/>
    <w:rsid w:val="0016246A"/>
    <w:rsid w:val="001629E7"/>
    <w:rsid w:val="00163B83"/>
    <w:rsid w:val="00163CD9"/>
    <w:rsid w:val="001645E7"/>
    <w:rsid w:val="00164B81"/>
    <w:rsid w:val="00164D18"/>
    <w:rsid w:val="0016566E"/>
    <w:rsid w:val="001658FB"/>
    <w:rsid w:val="00165A56"/>
    <w:rsid w:val="00166481"/>
    <w:rsid w:val="0016709F"/>
    <w:rsid w:val="00167536"/>
    <w:rsid w:val="0016764F"/>
    <w:rsid w:val="00167779"/>
    <w:rsid w:val="001677FE"/>
    <w:rsid w:val="00171017"/>
    <w:rsid w:val="00171682"/>
    <w:rsid w:val="00172348"/>
    <w:rsid w:val="001746CB"/>
    <w:rsid w:val="00174F1F"/>
    <w:rsid w:val="001755B0"/>
    <w:rsid w:val="001755E8"/>
    <w:rsid w:val="00175789"/>
    <w:rsid w:val="00175C4F"/>
    <w:rsid w:val="00175DD4"/>
    <w:rsid w:val="00175EAB"/>
    <w:rsid w:val="00175F87"/>
    <w:rsid w:val="00176D6E"/>
    <w:rsid w:val="00176EDB"/>
    <w:rsid w:val="0017780A"/>
    <w:rsid w:val="00177BB7"/>
    <w:rsid w:val="00180384"/>
    <w:rsid w:val="00180B90"/>
    <w:rsid w:val="00180BF7"/>
    <w:rsid w:val="00180F04"/>
    <w:rsid w:val="00181225"/>
    <w:rsid w:val="00181402"/>
    <w:rsid w:val="00181725"/>
    <w:rsid w:val="00181B91"/>
    <w:rsid w:val="0018212D"/>
    <w:rsid w:val="001823A6"/>
    <w:rsid w:val="0018243E"/>
    <w:rsid w:val="00182811"/>
    <w:rsid w:val="00182A77"/>
    <w:rsid w:val="00182DA3"/>
    <w:rsid w:val="00182ED1"/>
    <w:rsid w:val="00183A42"/>
    <w:rsid w:val="00183D64"/>
    <w:rsid w:val="00183E45"/>
    <w:rsid w:val="001842ED"/>
    <w:rsid w:val="00184895"/>
    <w:rsid w:val="001848D6"/>
    <w:rsid w:val="00184BF9"/>
    <w:rsid w:val="0018590A"/>
    <w:rsid w:val="001866A7"/>
    <w:rsid w:val="00186742"/>
    <w:rsid w:val="00186EEC"/>
    <w:rsid w:val="00186F3C"/>
    <w:rsid w:val="00187AEF"/>
    <w:rsid w:val="00187C99"/>
    <w:rsid w:val="0019138B"/>
    <w:rsid w:val="0019218B"/>
    <w:rsid w:val="001922C8"/>
    <w:rsid w:val="0019297D"/>
    <w:rsid w:val="00192BAA"/>
    <w:rsid w:val="001937B5"/>
    <w:rsid w:val="001937CB"/>
    <w:rsid w:val="00193A3D"/>
    <w:rsid w:val="0019444D"/>
    <w:rsid w:val="00194BE1"/>
    <w:rsid w:val="00194BE8"/>
    <w:rsid w:val="00194E00"/>
    <w:rsid w:val="0019650F"/>
    <w:rsid w:val="0019652C"/>
    <w:rsid w:val="001967A4"/>
    <w:rsid w:val="00196CE6"/>
    <w:rsid w:val="00196D13"/>
    <w:rsid w:val="00197FB2"/>
    <w:rsid w:val="001A07D1"/>
    <w:rsid w:val="001A1027"/>
    <w:rsid w:val="001A1065"/>
    <w:rsid w:val="001A164B"/>
    <w:rsid w:val="001A2699"/>
    <w:rsid w:val="001A2929"/>
    <w:rsid w:val="001A391B"/>
    <w:rsid w:val="001A3920"/>
    <w:rsid w:val="001A3A51"/>
    <w:rsid w:val="001A447E"/>
    <w:rsid w:val="001A4824"/>
    <w:rsid w:val="001A482C"/>
    <w:rsid w:val="001A4B3A"/>
    <w:rsid w:val="001A5200"/>
    <w:rsid w:val="001A58EA"/>
    <w:rsid w:val="001A5FB6"/>
    <w:rsid w:val="001A601C"/>
    <w:rsid w:val="001A6174"/>
    <w:rsid w:val="001A6A35"/>
    <w:rsid w:val="001A6D72"/>
    <w:rsid w:val="001A7309"/>
    <w:rsid w:val="001A730F"/>
    <w:rsid w:val="001A77C1"/>
    <w:rsid w:val="001A79A3"/>
    <w:rsid w:val="001B0329"/>
    <w:rsid w:val="001B06A1"/>
    <w:rsid w:val="001B0BE7"/>
    <w:rsid w:val="001B1165"/>
    <w:rsid w:val="001B189F"/>
    <w:rsid w:val="001B19A8"/>
    <w:rsid w:val="001B1CD4"/>
    <w:rsid w:val="001B2E9E"/>
    <w:rsid w:val="001B35E0"/>
    <w:rsid w:val="001B3F5D"/>
    <w:rsid w:val="001B4272"/>
    <w:rsid w:val="001B461B"/>
    <w:rsid w:val="001B48A7"/>
    <w:rsid w:val="001B4D88"/>
    <w:rsid w:val="001B5272"/>
    <w:rsid w:val="001B571E"/>
    <w:rsid w:val="001B5B1F"/>
    <w:rsid w:val="001B5FEE"/>
    <w:rsid w:val="001B654E"/>
    <w:rsid w:val="001B65AD"/>
    <w:rsid w:val="001B67E6"/>
    <w:rsid w:val="001B6B19"/>
    <w:rsid w:val="001B6F75"/>
    <w:rsid w:val="001B711C"/>
    <w:rsid w:val="001B76BE"/>
    <w:rsid w:val="001B7A5B"/>
    <w:rsid w:val="001B7E21"/>
    <w:rsid w:val="001B7E65"/>
    <w:rsid w:val="001C0001"/>
    <w:rsid w:val="001C088A"/>
    <w:rsid w:val="001C0B74"/>
    <w:rsid w:val="001C1977"/>
    <w:rsid w:val="001C1C2E"/>
    <w:rsid w:val="001C2B16"/>
    <w:rsid w:val="001C2E0D"/>
    <w:rsid w:val="001C2F89"/>
    <w:rsid w:val="001C3B96"/>
    <w:rsid w:val="001C3BBD"/>
    <w:rsid w:val="001C456E"/>
    <w:rsid w:val="001C48EB"/>
    <w:rsid w:val="001C492F"/>
    <w:rsid w:val="001C4B29"/>
    <w:rsid w:val="001C4BBF"/>
    <w:rsid w:val="001C555C"/>
    <w:rsid w:val="001C649A"/>
    <w:rsid w:val="001C718B"/>
    <w:rsid w:val="001C7DCC"/>
    <w:rsid w:val="001C7E3B"/>
    <w:rsid w:val="001C7EAA"/>
    <w:rsid w:val="001D0A2A"/>
    <w:rsid w:val="001D0B2E"/>
    <w:rsid w:val="001D0C3D"/>
    <w:rsid w:val="001D10FA"/>
    <w:rsid w:val="001D163A"/>
    <w:rsid w:val="001D1680"/>
    <w:rsid w:val="001D1E4D"/>
    <w:rsid w:val="001D24A7"/>
    <w:rsid w:val="001D24FB"/>
    <w:rsid w:val="001D2A6F"/>
    <w:rsid w:val="001D2F47"/>
    <w:rsid w:val="001D2FF8"/>
    <w:rsid w:val="001D3546"/>
    <w:rsid w:val="001D3757"/>
    <w:rsid w:val="001D383E"/>
    <w:rsid w:val="001D3AF5"/>
    <w:rsid w:val="001D4050"/>
    <w:rsid w:val="001D4561"/>
    <w:rsid w:val="001D4AAF"/>
    <w:rsid w:val="001D4C2D"/>
    <w:rsid w:val="001D5309"/>
    <w:rsid w:val="001D57E4"/>
    <w:rsid w:val="001D794A"/>
    <w:rsid w:val="001D7EAE"/>
    <w:rsid w:val="001E0061"/>
    <w:rsid w:val="001E0315"/>
    <w:rsid w:val="001E0C8B"/>
    <w:rsid w:val="001E0CB2"/>
    <w:rsid w:val="001E1607"/>
    <w:rsid w:val="001E1956"/>
    <w:rsid w:val="001E1D5A"/>
    <w:rsid w:val="001E2092"/>
    <w:rsid w:val="001E2A9D"/>
    <w:rsid w:val="001E2F46"/>
    <w:rsid w:val="001E389E"/>
    <w:rsid w:val="001E416B"/>
    <w:rsid w:val="001E43F6"/>
    <w:rsid w:val="001E453B"/>
    <w:rsid w:val="001E45D2"/>
    <w:rsid w:val="001E4748"/>
    <w:rsid w:val="001E4832"/>
    <w:rsid w:val="001E58E4"/>
    <w:rsid w:val="001E5A98"/>
    <w:rsid w:val="001E5C3B"/>
    <w:rsid w:val="001E5E41"/>
    <w:rsid w:val="001E63C1"/>
    <w:rsid w:val="001E641B"/>
    <w:rsid w:val="001E668D"/>
    <w:rsid w:val="001E68B2"/>
    <w:rsid w:val="001E68F5"/>
    <w:rsid w:val="001E6D4C"/>
    <w:rsid w:val="001E6D9E"/>
    <w:rsid w:val="001E76D5"/>
    <w:rsid w:val="001E79D0"/>
    <w:rsid w:val="001E7AE0"/>
    <w:rsid w:val="001E7D4B"/>
    <w:rsid w:val="001E7FFC"/>
    <w:rsid w:val="001F0066"/>
    <w:rsid w:val="001F0BB9"/>
    <w:rsid w:val="001F0BC1"/>
    <w:rsid w:val="001F1A92"/>
    <w:rsid w:val="001F1F57"/>
    <w:rsid w:val="001F217D"/>
    <w:rsid w:val="001F24A6"/>
    <w:rsid w:val="001F264B"/>
    <w:rsid w:val="001F2AF2"/>
    <w:rsid w:val="001F3453"/>
    <w:rsid w:val="001F396F"/>
    <w:rsid w:val="001F3DD9"/>
    <w:rsid w:val="001F41D0"/>
    <w:rsid w:val="001F445D"/>
    <w:rsid w:val="001F4BFD"/>
    <w:rsid w:val="001F4F92"/>
    <w:rsid w:val="001F559B"/>
    <w:rsid w:val="001F5A2A"/>
    <w:rsid w:val="001F6076"/>
    <w:rsid w:val="001F6159"/>
    <w:rsid w:val="001F6607"/>
    <w:rsid w:val="001F68CD"/>
    <w:rsid w:val="001F711E"/>
    <w:rsid w:val="001F740C"/>
    <w:rsid w:val="001F78DB"/>
    <w:rsid w:val="001F7AB7"/>
    <w:rsid w:val="0020003C"/>
    <w:rsid w:val="0020035A"/>
    <w:rsid w:val="002007B3"/>
    <w:rsid w:val="002008C3"/>
    <w:rsid w:val="002010CA"/>
    <w:rsid w:val="00201480"/>
    <w:rsid w:val="002014C2"/>
    <w:rsid w:val="00201BAE"/>
    <w:rsid w:val="00201C4F"/>
    <w:rsid w:val="00201CD3"/>
    <w:rsid w:val="00202AEC"/>
    <w:rsid w:val="00202D4D"/>
    <w:rsid w:val="00202E1D"/>
    <w:rsid w:val="00202F91"/>
    <w:rsid w:val="00203788"/>
    <w:rsid w:val="002038B2"/>
    <w:rsid w:val="00203DF0"/>
    <w:rsid w:val="00203F77"/>
    <w:rsid w:val="00204070"/>
    <w:rsid w:val="0020473E"/>
    <w:rsid w:val="0020520F"/>
    <w:rsid w:val="002053F1"/>
    <w:rsid w:val="002055DA"/>
    <w:rsid w:val="002059FD"/>
    <w:rsid w:val="00205C1D"/>
    <w:rsid w:val="00205DE4"/>
    <w:rsid w:val="0020630C"/>
    <w:rsid w:val="002065FA"/>
    <w:rsid w:val="00206C3F"/>
    <w:rsid w:val="00206F66"/>
    <w:rsid w:val="0020701F"/>
    <w:rsid w:val="0020705B"/>
    <w:rsid w:val="002072B8"/>
    <w:rsid w:val="002073BC"/>
    <w:rsid w:val="0020792D"/>
    <w:rsid w:val="00207A52"/>
    <w:rsid w:val="00207AE7"/>
    <w:rsid w:val="00207EEB"/>
    <w:rsid w:val="0021020D"/>
    <w:rsid w:val="0021095E"/>
    <w:rsid w:val="00210EA9"/>
    <w:rsid w:val="00211287"/>
    <w:rsid w:val="002112A1"/>
    <w:rsid w:val="00211708"/>
    <w:rsid w:val="00211909"/>
    <w:rsid w:val="00211E0B"/>
    <w:rsid w:val="00212478"/>
    <w:rsid w:val="0021388F"/>
    <w:rsid w:val="002141AD"/>
    <w:rsid w:val="0021422E"/>
    <w:rsid w:val="002142FC"/>
    <w:rsid w:val="00214446"/>
    <w:rsid w:val="002145B6"/>
    <w:rsid w:val="00215612"/>
    <w:rsid w:val="00215974"/>
    <w:rsid w:val="002178EA"/>
    <w:rsid w:val="00220049"/>
    <w:rsid w:val="002202D3"/>
    <w:rsid w:val="0022055C"/>
    <w:rsid w:val="00220657"/>
    <w:rsid w:val="00220FB8"/>
    <w:rsid w:val="00221698"/>
    <w:rsid w:val="00221B06"/>
    <w:rsid w:val="00221E5F"/>
    <w:rsid w:val="00221ED8"/>
    <w:rsid w:val="00222CF2"/>
    <w:rsid w:val="002231D5"/>
    <w:rsid w:val="002239F2"/>
    <w:rsid w:val="00223C06"/>
    <w:rsid w:val="00223E25"/>
    <w:rsid w:val="00224178"/>
    <w:rsid w:val="00224342"/>
    <w:rsid w:val="00224417"/>
    <w:rsid w:val="0022512B"/>
    <w:rsid w:val="002255A2"/>
    <w:rsid w:val="002256BA"/>
    <w:rsid w:val="00225771"/>
    <w:rsid w:val="002257CC"/>
    <w:rsid w:val="00225E1A"/>
    <w:rsid w:val="002263EC"/>
    <w:rsid w:val="00226BA6"/>
    <w:rsid w:val="00227273"/>
    <w:rsid w:val="002272FC"/>
    <w:rsid w:val="00227A36"/>
    <w:rsid w:val="00230275"/>
    <w:rsid w:val="00230568"/>
    <w:rsid w:val="00230AA0"/>
    <w:rsid w:val="00230C75"/>
    <w:rsid w:val="002310EC"/>
    <w:rsid w:val="00231A23"/>
    <w:rsid w:val="00231E37"/>
    <w:rsid w:val="00232029"/>
    <w:rsid w:val="00232234"/>
    <w:rsid w:val="002322B2"/>
    <w:rsid w:val="00232A76"/>
    <w:rsid w:val="00232D4C"/>
    <w:rsid w:val="00232F32"/>
    <w:rsid w:val="00233035"/>
    <w:rsid w:val="00233606"/>
    <w:rsid w:val="00233B65"/>
    <w:rsid w:val="00233F17"/>
    <w:rsid w:val="00234399"/>
    <w:rsid w:val="002352D7"/>
    <w:rsid w:val="00235911"/>
    <w:rsid w:val="00235924"/>
    <w:rsid w:val="0023597E"/>
    <w:rsid w:val="0023599C"/>
    <w:rsid w:val="00235BAE"/>
    <w:rsid w:val="00236288"/>
    <w:rsid w:val="00236493"/>
    <w:rsid w:val="00236760"/>
    <w:rsid w:val="00236DA8"/>
    <w:rsid w:val="002370D0"/>
    <w:rsid w:val="00237D37"/>
    <w:rsid w:val="0024097D"/>
    <w:rsid w:val="00241495"/>
    <w:rsid w:val="00241B52"/>
    <w:rsid w:val="00241BCB"/>
    <w:rsid w:val="00241C95"/>
    <w:rsid w:val="002424FC"/>
    <w:rsid w:val="0024277A"/>
    <w:rsid w:val="00243613"/>
    <w:rsid w:val="0024378E"/>
    <w:rsid w:val="00243906"/>
    <w:rsid w:val="00243A2D"/>
    <w:rsid w:val="00243D16"/>
    <w:rsid w:val="00244B9B"/>
    <w:rsid w:val="00245288"/>
    <w:rsid w:val="002454E6"/>
    <w:rsid w:val="00245850"/>
    <w:rsid w:val="002468A1"/>
    <w:rsid w:val="00246FCB"/>
    <w:rsid w:val="00247040"/>
    <w:rsid w:val="00247441"/>
    <w:rsid w:val="002477D6"/>
    <w:rsid w:val="00247804"/>
    <w:rsid w:val="0024784B"/>
    <w:rsid w:val="00247A0D"/>
    <w:rsid w:val="00247A8C"/>
    <w:rsid w:val="00247AFD"/>
    <w:rsid w:val="00247EF9"/>
    <w:rsid w:val="002500C2"/>
    <w:rsid w:val="0025010E"/>
    <w:rsid w:val="00250115"/>
    <w:rsid w:val="002513FC"/>
    <w:rsid w:val="0025166D"/>
    <w:rsid w:val="002516C5"/>
    <w:rsid w:val="00252262"/>
    <w:rsid w:val="00252999"/>
    <w:rsid w:val="00252CA2"/>
    <w:rsid w:val="00252E43"/>
    <w:rsid w:val="00253B9C"/>
    <w:rsid w:val="00253D78"/>
    <w:rsid w:val="0025480F"/>
    <w:rsid w:val="00254A73"/>
    <w:rsid w:val="002553C7"/>
    <w:rsid w:val="00255EB2"/>
    <w:rsid w:val="002560D8"/>
    <w:rsid w:val="002565D8"/>
    <w:rsid w:val="00256992"/>
    <w:rsid w:val="002576B1"/>
    <w:rsid w:val="00260562"/>
    <w:rsid w:val="00260714"/>
    <w:rsid w:val="00261144"/>
    <w:rsid w:val="00261A10"/>
    <w:rsid w:val="00261C03"/>
    <w:rsid w:val="00261E6F"/>
    <w:rsid w:val="00261EB6"/>
    <w:rsid w:val="00261F08"/>
    <w:rsid w:val="00262A5E"/>
    <w:rsid w:val="002633BE"/>
    <w:rsid w:val="00263AF9"/>
    <w:rsid w:val="00263E20"/>
    <w:rsid w:val="00263FC0"/>
    <w:rsid w:val="002640B7"/>
    <w:rsid w:val="00264B64"/>
    <w:rsid w:val="002653B6"/>
    <w:rsid w:val="0026553D"/>
    <w:rsid w:val="0026684F"/>
    <w:rsid w:val="002668D3"/>
    <w:rsid w:val="0026773F"/>
    <w:rsid w:val="00267A31"/>
    <w:rsid w:val="00267DF1"/>
    <w:rsid w:val="0027012B"/>
    <w:rsid w:val="002701E8"/>
    <w:rsid w:val="00270555"/>
    <w:rsid w:val="002705EA"/>
    <w:rsid w:val="002706A7"/>
    <w:rsid w:val="00270CEC"/>
    <w:rsid w:val="00270EFB"/>
    <w:rsid w:val="00271621"/>
    <w:rsid w:val="002723E3"/>
    <w:rsid w:val="0027260F"/>
    <w:rsid w:val="00273C0E"/>
    <w:rsid w:val="002748AE"/>
    <w:rsid w:val="00274A10"/>
    <w:rsid w:val="00274F84"/>
    <w:rsid w:val="00275193"/>
    <w:rsid w:val="00276907"/>
    <w:rsid w:val="00276D18"/>
    <w:rsid w:val="00276D86"/>
    <w:rsid w:val="00276FF1"/>
    <w:rsid w:val="002771EA"/>
    <w:rsid w:val="00277EF8"/>
    <w:rsid w:val="0028022D"/>
    <w:rsid w:val="002806CD"/>
    <w:rsid w:val="00280738"/>
    <w:rsid w:val="002807DA"/>
    <w:rsid w:val="00280913"/>
    <w:rsid w:val="00280CE6"/>
    <w:rsid w:val="002811B0"/>
    <w:rsid w:val="00281339"/>
    <w:rsid w:val="00281B56"/>
    <w:rsid w:val="00281BAF"/>
    <w:rsid w:val="0028239D"/>
    <w:rsid w:val="00282745"/>
    <w:rsid w:val="00282A5D"/>
    <w:rsid w:val="00282CC9"/>
    <w:rsid w:val="00282DD5"/>
    <w:rsid w:val="00282F47"/>
    <w:rsid w:val="00282F61"/>
    <w:rsid w:val="002831E1"/>
    <w:rsid w:val="0028335E"/>
    <w:rsid w:val="00283E98"/>
    <w:rsid w:val="00283F9D"/>
    <w:rsid w:val="00283FE5"/>
    <w:rsid w:val="0028508F"/>
    <w:rsid w:val="002856DF"/>
    <w:rsid w:val="00285731"/>
    <w:rsid w:val="00285875"/>
    <w:rsid w:val="00285B82"/>
    <w:rsid w:val="00285C02"/>
    <w:rsid w:val="00286527"/>
    <w:rsid w:val="00286962"/>
    <w:rsid w:val="00286992"/>
    <w:rsid w:val="00286A25"/>
    <w:rsid w:val="00286B8D"/>
    <w:rsid w:val="00286E63"/>
    <w:rsid w:val="00287651"/>
    <w:rsid w:val="00287DDE"/>
    <w:rsid w:val="00290260"/>
    <w:rsid w:val="002902ED"/>
    <w:rsid w:val="002902F1"/>
    <w:rsid w:val="0029075C"/>
    <w:rsid w:val="00290CBF"/>
    <w:rsid w:val="00291417"/>
    <w:rsid w:val="002914B3"/>
    <w:rsid w:val="002922C5"/>
    <w:rsid w:val="00292355"/>
    <w:rsid w:val="0029287A"/>
    <w:rsid w:val="0029328F"/>
    <w:rsid w:val="0029370C"/>
    <w:rsid w:val="002940F9"/>
    <w:rsid w:val="00294E64"/>
    <w:rsid w:val="00295087"/>
    <w:rsid w:val="0029520A"/>
    <w:rsid w:val="00295A93"/>
    <w:rsid w:val="00295B5D"/>
    <w:rsid w:val="00295EFC"/>
    <w:rsid w:val="0029650F"/>
    <w:rsid w:val="00296AA5"/>
    <w:rsid w:val="00297661"/>
    <w:rsid w:val="0029772B"/>
    <w:rsid w:val="00297A1A"/>
    <w:rsid w:val="00297BF1"/>
    <w:rsid w:val="00297D3D"/>
    <w:rsid w:val="002A0082"/>
    <w:rsid w:val="002A02FE"/>
    <w:rsid w:val="002A0552"/>
    <w:rsid w:val="002A091A"/>
    <w:rsid w:val="002A130C"/>
    <w:rsid w:val="002A1679"/>
    <w:rsid w:val="002A17EA"/>
    <w:rsid w:val="002A18C3"/>
    <w:rsid w:val="002A1F17"/>
    <w:rsid w:val="002A20E9"/>
    <w:rsid w:val="002A2279"/>
    <w:rsid w:val="002A28B1"/>
    <w:rsid w:val="002A2937"/>
    <w:rsid w:val="002A2D90"/>
    <w:rsid w:val="002A39A3"/>
    <w:rsid w:val="002A3A62"/>
    <w:rsid w:val="002A3B98"/>
    <w:rsid w:val="002A4667"/>
    <w:rsid w:val="002A46D6"/>
    <w:rsid w:val="002A4B22"/>
    <w:rsid w:val="002A4CFB"/>
    <w:rsid w:val="002A5276"/>
    <w:rsid w:val="002A60BD"/>
    <w:rsid w:val="002A6437"/>
    <w:rsid w:val="002A6752"/>
    <w:rsid w:val="002A6C4B"/>
    <w:rsid w:val="002A7059"/>
    <w:rsid w:val="002A706D"/>
    <w:rsid w:val="002A77B5"/>
    <w:rsid w:val="002A7B0C"/>
    <w:rsid w:val="002B0534"/>
    <w:rsid w:val="002B0775"/>
    <w:rsid w:val="002B0C1D"/>
    <w:rsid w:val="002B1337"/>
    <w:rsid w:val="002B25DC"/>
    <w:rsid w:val="002B2D52"/>
    <w:rsid w:val="002B33D1"/>
    <w:rsid w:val="002B33E9"/>
    <w:rsid w:val="002B3676"/>
    <w:rsid w:val="002B3F57"/>
    <w:rsid w:val="002B4224"/>
    <w:rsid w:val="002B4541"/>
    <w:rsid w:val="002B48A1"/>
    <w:rsid w:val="002B4ACE"/>
    <w:rsid w:val="002B4BE1"/>
    <w:rsid w:val="002B4FE0"/>
    <w:rsid w:val="002B5103"/>
    <w:rsid w:val="002B520E"/>
    <w:rsid w:val="002B593E"/>
    <w:rsid w:val="002B59BC"/>
    <w:rsid w:val="002B5BBD"/>
    <w:rsid w:val="002B5BE9"/>
    <w:rsid w:val="002B5E89"/>
    <w:rsid w:val="002B6311"/>
    <w:rsid w:val="002B6C82"/>
    <w:rsid w:val="002B70D5"/>
    <w:rsid w:val="002B738A"/>
    <w:rsid w:val="002B7978"/>
    <w:rsid w:val="002B79CD"/>
    <w:rsid w:val="002B7E11"/>
    <w:rsid w:val="002B7F11"/>
    <w:rsid w:val="002C0371"/>
    <w:rsid w:val="002C0562"/>
    <w:rsid w:val="002C06ED"/>
    <w:rsid w:val="002C113A"/>
    <w:rsid w:val="002C1255"/>
    <w:rsid w:val="002C1426"/>
    <w:rsid w:val="002C1566"/>
    <w:rsid w:val="002C1F2D"/>
    <w:rsid w:val="002C1FF8"/>
    <w:rsid w:val="002C2062"/>
    <w:rsid w:val="002C3AA9"/>
    <w:rsid w:val="002C3C7D"/>
    <w:rsid w:val="002C4053"/>
    <w:rsid w:val="002C44C1"/>
    <w:rsid w:val="002C4512"/>
    <w:rsid w:val="002C45B7"/>
    <w:rsid w:val="002C4FDC"/>
    <w:rsid w:val="002C561D"/>
    <w:rsid w:val="002C58BB"/>
    <w:rsid w:val="002C5952"/>
    <w:rsid w:val="002C5963"/>
    <w:rsid w:val="002C5BF8"/>
    <w:rsid w:val="002C5DFF"/>
    <w:rsid w:val="002C610A"/>
    <w:rsid w:val="002C616D"/>
    <w:rsid w:val="002C6339"/>
    <w:rsid w:val="002C640D"/>
    <w:rsid w:val="002C6539"/>
    <w:rsid w:val="002C659F"/>
    <w:rsid w:val="002C66A8"/>
    <w:rsid w:val="002C6A7C"/>
    <w:rsid w:val="002C6DBA"/>
    <w:rsid w:val="002C6F17"/>
    <w:rsid w:val="002C7334"/>
    <w:rsid w:val="002C7709"/>
    <w:rsid w:val="002C78CF"/>
    <w:rsid w:val="002D08FC"/>
    <w:rsid w:val="002D0B15"/>
    <w:rsid w:val="002D0C97"/>
    <w:rsid w:val="002D0F71"/>
    <w:rsid w:val="002D139F"/>
    <w:rsid w:val="002D24CD"/>
    <w:rsid w:val="002D2A4C"/>
    <w:rsid w:val="002D30C7"/>
    <w:rsid w:val="002D3495"/>
    <w:rsid w:val="002D35E9"/>
    <w:rsid w:val="002D4109"/>
    <w:rsid w:val="002D42BE"/>
    <w:rsid w:val="002D454E"/>
    <w:rsid w:val="002D48CE"/>
    <w:rsid w:val="002D5086"/>
    <w:rsid w:val="002D512A"/>
    <w:rsid w:val="002D5D34"/>
    <w:rsid w:val="002D6989"/>
    <w:rsid w:val="002D6C5A"/>
    <w:rsid w:val="002D7DF3"/>
    <w:rsid w:val="002E0571"/>
    <w:rsid w:val="002E090C"/>
    <w:rsid w:val="002E0E60"/>
    <w:rsid w:val="002E0FF5"/>
    <w:rsid w:val="002E16B9"/>
    <w:rsid w:val="002E1B90"/>
    <w:rsid w:val="002E1E39"/>
    <w:rsid w:val="002E291B"/>
    <w:rsid w:val="002E2B4E"/>
    <w:rsid w:val="002E2CFA"/>
    <w:rsid w:val="002E324C"/>
    <w:rsid w:val="002E38EF"/>
    <w:rsid w:val="002E391D"/>
    <w:rsid w:val="002E391F"/>
    <w:rsid w:val="002E41BB"/>
    <w:rsid w:val="002E46CB"/>
    <w:rsid w:val="002E4A55"/>
    <w:rsid w:val="002E4D79"/>
    <w:rsid w:val="002E54F7"/>
    <w:rsid w:val="002E55E4"/>
    <w:rsid w:val="002E5FCA"/>
    <w:rsid w:val="002E71F6"/>
    <w:rsid w:val="002E74EE"/>
    <w:rsid w:val="002E75BF"/>
    <w:rsid w:val="002E78A7"/>
    <w:rsid w:val="002E7E66"/>
    <w:rsid w:val="002F02D9"/>
    <w:rsid w:val="002F03D1"/>
    <w:rsid w:val="002F05A9"/>
    <w:rsid w:val="002F13D4"/>
    <w:rsid w:val="002F196C"/>
    <w:rsid w:val="002F19A3"/>
    <w:rsid w:val="002F222D"/>
    <w:rsid w:val="002F271F"/>
    <w:rsid w:val="002F2E23"/>
    <w:rsid w:val="002F321A"/>
    <w:rsid w:val="002F375E"/>
    <w:rsid w:val="002F38D0"/>
    <w:rsid w:val="002F5061"/>
    <w:rsid w:val="002F5762"/>
    <w:rsid w:val="002F584E"/>
    <w:rsid w:val="002F62E6"/>
    <w:rsid w:val="002F660E"/>
    <w:rsid w:val="002F6F90"/>
    <w:rsid w:val="002F71C4"/>
    <w:rsid w:val="002F7BA5"/>
    <w:rsid w:val="003008F2"/>
    <w:rsid w:val="00300DE8"/>
    <w:rsid w:val="00301691"/>
    <w:rsid w:val="003026D8"/>
    <w:rsid w:val="00302EA8"/>
    <w:rsid w:val="003033EF"/>
    <w:rsid w:val="00303714"/>
    <w:rsid w:val="00303AD6"/>
    <w:rsid w:val="00303BD9"/>
    <w:rsid w:val="00303DE9"/>
    <w:rsid w:val="00303DFA"/>
    <w:rsid w:val="00303FB3"/>
    <w:rsid w:val="0030463F"/>
    <w:rsid w:val="00304A16"/>
    <w:rsid w:val="003060FB"/>
    <w:rsid w:val="003061F0"/>
    <w:rsid w:val="003065EB"/>
    <w:rsid w:val="003065F1"/>
    <w:rsid w:val="00306A28"/>
    <w:rsid w:val="00306CED"/>
    <w:rsid w:val="00306DB7"/>
    <w:rsid w:val="00307089"/>
    <w:rsid w:val="003074CF"/>
    <w:rsid w:val="00307A16"/>
    <w:rsid w:val="00310273"/>
    <w:rsid w:val="003125AE"/>
    <w:rsid w:val="003135C0"/>
    <w:rsid w:val="00313968"/>
    <w:rsid w:val="0031446D"/>
    <w:rsid w:val="00314558"/>
    <w:rsid w:val="0031459F"/>
    <w:rsid w:val="0031551F"/>
    <w:rsid w:val="00315B0B"/>
    <w:rsid w:val="00315F85"/>
    <w:rsid w:val="00315FB7"/>
    <w:rsid w:val="0031628A"/>
    <w:rsid w:val="0031647C"/>
    <w:rsid w:val="00316530"/>
    <w:rsid w:val="003165D4"/>
    <w:rsid w:val="00316BCB"/>
    <w:rsid w:val="00317CA9"/>
    <w:rsid w:val="00317CD3"/>
    <w:rsid w:val="00320FC2"/>
    <w:rsid w:val="003211FC"/>
    <w:rsid w:val="00321595"/>
    <w:rsid w:val="003216DC"/>
    <w:rsid w:val="00323475"/>
    <w:rsid w:val="00323ED7"/>
    <w:rsid w:val="00324328"/>
    <w:rsid w:val="00325142"/>
    <w:rsid w:val="003252EC"/>
    <w:rsid w:val="00325610"/>
    <w:rsid w:val="00325D2E"/>
    <w:rsid w:val="0032611A"/>
    <w:rsid w:val="00326274"/>
    <w:rsid w:val="00326719"/>
    <w:rsid w:val="00326D70"/>
    <w:rsid w:val="00326FC7"/>
    <w:rsid w:val="003271E7"/>
    <w:rsid w:val="003275F1"/>
    <w:rsid w:val="0032762F"/>
    <w:rsid w:val="00330263"/>
    <w:rsid w:val="003308F0"/>
    <w:rsid w:val="003309DF"/>
    <w:rsid w:val="003311E2"/>
    <w:rsid w:val="00331658"/>
    <w:rsid w:val="003319DD"/>
    <w:rsid w:val="003319F8"/>
    <w:rsid w:val="0033247B"/>
    <w:rsid w:val="00333E78"/>
    <w:rsid w:val="00333F86"/>
    <w:rsid w:val="00334041"/>
    <w:rsid w:val="0033466E"/>
    <w:rsid w:val="00334C15"/>
    <w:rsid w:val="00334D28"/>
    <w:rsid w:val="003356AC"/>
    <w:rsid w:val="00335A64"/>
    <w:rsid w:val="003367E9"/>
    <w:rsid w:val="00336C97"/>
    <w:rsid w:val="00336FCE"/>
    <w:rsid w:val="0033740F"/>
    <w:rsid w:val="00337885"/>
    <w:rsid w:val="00337CCB"/>
    <w:rsid w:val="0034002E"/>
    <w:rsid w:val="003403DF"/>
    <w:rsid w:val="003411FB"/>
    <w:rsid w:val="0034133D"/>
    <w:rsid w:val="0034190C"/>
    <w:rsid w:val="00341D71"/>
    <w:rsid w:val="00341F93"/>
    <w:rsid w:val="003422CC"/>
    <w:rsid w:val="00342586"/>
    <w:rsid w:val="003426E4"/>
    <w:rsid w:val="003430D6"/>
    <w:rsid w:val="003432D5"/>
    <w:rsid w:val="0034386F"/>
    <w:rsid w:val="00343AB1"/>
    <w:rsid w:val="00343EC8"/>
    <w:rsid w:val="003444C4"/>
    <w:rsid w:val="00344662"/>
    <w:rsid w:val="0034549B"/>
    <w:rsid w:val="00346ADF"/>
    <w:rsid w:val="00346E29"/>
    <w:rsid w:val="0034738E"/>
    <w:rsid w:val="00347457"/>
    <w:rsid w:val="00347A93"/>
    <w:rsid w:val="00347EDF"/>
    <w:rsid w:val="003500C8"/>
    <w:rsid w:val="003502B3"/>
    <w:rsid w:val="00350785"/>
    <w:rsid w:val="00350CE5"/>
    <w:rsid w:val="00351AE6"/>
    <w:rsid w:val="0035229C"/>
    <w:rsid w:val="00352670"/>
    <w:rsid w:val="003539A6"/>
    <w:rsid w:val="00354510"/>
    <w:rsid w:val="003546DF"/>
    <w:rsid w:val="00354B16"/>
    <w:rsid w:val="0035533B"/>
    <w:rsid w:val="00355950"/>
    <w:rsid w:val="00355AB0"/>
    <w:rsid w:val="00356B7D"/>
    <w:rsid w:val="00356C66"/>
    <w:rsid w:val="003570EC"/>
    <w:rsid w:val="00357503"/>
    <w:rsid w:val="00357F64"/>
    <w:rsid w:val="00360A91"/>
    <w:rsid w:val="00360D8E"/>
    <w:rsid w:val="0036124F"/>
    <w:rsid w:val="00361537"/>
    <w:rsid w:val="00361C7A"/>
    <w:rsid w:val="00362548"/>
    <w:rsid w:val="003634E8"/>
    <w:rsid w:val="003637BB"/>
    <w:rsid w:val="00363867"/>
    <w:rsid w:val="003640D1"/>
    <w:rsid w:val="00364606"/>
    <w:rsid w:val="00364649"/>
    <w:rsid w:val="00364878"/>
    <w:rsid w:val="00364A5C"/>
    <w:rsid w:val="00365115"/>
    <w:rsid w:val="003652CE"/>
    <w:rsid w:val="00365903"/>
    <w:rsid w:val="00366026"/>
    <w:rsid w:val="0036604E"/>
    <w:rsid w:val="00366204"/>
    <w:rsid w:val="00366365"/>
    <w:rsid w:val="003664A1"/>
    <w:rsid w:val="00366983"/>
    <w:rsid w:val="00366B32"/>
    <w:rsid w:val="00366BC2"/>
    <w:rsid w:val="00366F60"/>
    <w:rsid w:val="0036729E"/>
    <w:rsid w:val="00367CD1"/>
    <w:rsid w:val="00367E2A"/>
    <w:rsid w:val="00370481"/>
    <w:rsid w:val="00370637"/>
    <w:rsid w:val="00370C46"/>
    <w:rsid w:val="00370E6F"/>
    <w:rsid w:val="00371092"/>
    <w:rsid w:val="0037115E"/>
    <w:rsid w:val="003715A0"/>
    <w:rsid w:val="00371BF4"/>
    <w:rsid w:val="00371D47"/>
    <w:rsid w:val="00371E79"/>
    <w:rsid w:val="00372237"/>
    <w:rsid w:val="0037290B"/>
    <w:rsid w:val="00372E24"/>
    <w:rsid w:val="00373044"/>
    <w:rsid w:val="00373721"/>
    <w:rsid w:val="003738A8"/>
    <w:rsid w:val="00373F7B"/>
    <w:rsid w:val="00374646"/>
    <w:rsid w:val="00375032"/>
    <w:rsid w:val="003759B6"/>
    <w:rsid w:val="00375A81"/>
    <w:rsid w:val="00376456"/>
    <w:rsid w:val="00376FAE"/>
    <w:rsid w:val="0037709C"/>
    <w:rsid w:val="00377130"/>
    <w:rsid w:val="00377243"/>
    <w:rsid w:val="0037750C"/>
    <w:rsid w:val="00377C5F"/>
    <w:rsid w:val="00380502"/>
    <w:rsid w:val="0038058B"/>
    <w:rsid w:val="00380685"/>
    <w:rsid w:val="003808DA"/>
    <w:rsid w:val="00380FFF"/>
    <w:rsid w:val="0038145B"/>
    <w:rsid w:val="00381D52"/>
    <w:rsid w:val="00381DAD"/>
    <w:rsid w:val="003823BD"/>
    <w:rsid w:val="00382976"/>
    <w:rsid w:val="00382BBC"/>
    <w:rsid w:val="00382FBD"/>
    <w:rsid w:val="0038314C"/>
    <w:rsid w:val="00383540"/>
    <w:rsid w:val="0038395C"/>
    <w:rsid w:val="00383F1A"/>
    <w:rsid w:val="003841A5"/>
    <w:rsid w:val="0038445D"/>
    <w:rsid w:val="00385396"/>
    <w:rsid w:val="00385C17"/>
    <w:rsid w:val="003861AF"/>
    <w:rsid w:val="003862F0"/>
    <w:rsid w:val="00387118"/>
    <w:rsid w:val="00387263"/>
    <w:rsid w:val="00387290"/>
    <w:rsid w:val="003873A4"/>
    <w:rsid w:val="00387654"/>
    <w:rsid w:val="003879E9"/>
    <w:rsid w:val="00387A0E"/>
    <w:rsid w:val="00387D65"/>
    <w:rsid w:val="00390044"/>
    <w:rsid w:val="0039075E"/>
    <w:rsid w:val="0039087D"/>
    <w:rsid w:val="00391B34"/>
    <w:rsid w:val="00391C54"/>
    <w:rsid w:val="003921D0"/>
    <w:rsid w:val="00392303"/>
    <w:rsid w:val="00392434"/>
    <w:rsid w:val="003929D8"/>
    <w:rsid w:val="00393398"/>
    <w:rsid w:val="003933AB"/>
    <w:rsid w:val="00393A72"/>
    <w:rsid w:val="003942AE"/>
    <w:rsid w:val="003948F4"/>
    <w:rsid w:val="00395031"/>
    <w:rsid w:val="003950D9"/>
    <w:rsid w:val="00395544"/>
    <w:rsid w:val="003957E2"/>
    <w:rsid w:val="00395ED1"/>
    <w:rsid w:val="0039625C"/>
    <w:rsid w:val="003964D2"/>
    <w:rsid w:val="00396FF7"/>
    <w:rsid w:val="00397517"/>
    <w:rsid w:val="00397AD4"/>
    <w:rsid w:val="00397C78"/>
    <w:rsid w:val="00397C93"/>
    <w:rsid w:val="003A00C2"/>
    <w:rsid w:val="003A0216"/>
    <w:rsid w:val="003A04B9"/>
    <w:rsid w:val="003A0501"/>
    <w:rsid w:val="003A0800"/>
    <w:rsid w:val="003A1E97"/>
    <w:rsid w:val="003A21C5"/>
    <w:rsid w:val="003A237C"/>
    <w:rsid w:val="003A2BAB"/>
    <w:rsid w:val="003A2FA5"/>
    <w:rsid w:val="003A3161"/>
    <w:rsid w:val="003A3224"/>
    <w:rsid w:val="003A3AFF"/>
    <w:rsid w:val="003A4395"/>
    <w:rsid w:val="003A4602"/>
    <w:rsid w:val="003A4862"/>
    <w:rsid w:val="003A4B77"/>
    <w:rsid w:val="003A5587"/>
    <w:rsid w:val="003A5F72"/>
    <w:rsid w:val="003A61A5"/>
    <w:rsid w:val="003A6213"/>
    <w:rsid w:val="003A6939"/>
    <w:rsid w:val="003A6C7D"/>
    <w:rsid w:val="003A6E50"/>
    <w:rsid w:val="003A72B7"/>
    <w:rsid w:val="003A73FE"/>
    <w:rsid w:val="003A78E6"/>
    <w:rsid w:val="003B09A2"/>
    <w:rsid w:val="003B0AC7"/>
    <w:rsid w:val="003B0AF7"/>
    <w:rsid w:val="003B0C90"/>
    <w:rsid w:val="003B0E12"/>
    <w:rsid w:val="003B0F9A"/>
    <w:rsid w:val="003B1447"/>
    <w:rsid w:val="003B21F7"/>
    <w:rsid w:val="003B23D8"/>
    <w:rsid w:val="003B2AF1"/>
    <w:rsid w:val="003B2F3E"/>
    <w:rsid w:val="003B32FC"/>
    <w:rsid w:val="003B3341"/>
    <w:rsid w:val="003B36C3"/>
    <w:rsid w:val="003B392E"/>
    <w:rsid w:val="003B3B2E"/>
    <w:rsid w:val="003B42BC"/>
    <w:rsid w:val="003B4E0F"/>
    <w:rsid w:val="003B54C8"/>
    <w:rsid w:val="003B5B51"/>
    <w:rsid w:val="003B5E7F"/>
    <w:rsid w:val="003B6303"/>
    <w:rsid w:val="003B668F"/>
    <w:rsid w:val="003B6769"/>
    <w:rsid w:val="003B699F"/>
    <w:rsid w:val="003B6CDF"/>
    <w:rsid w:val="003B702B"/>
    <w:rsid w:val="003B7324"/>
    <w:rsid w:val="003B7413"/>
    <w:rsid w:val="003C023B"/>
    <w:rsid w:val="003C0A57"/>
    <w:rsid w:val="003C1171"/>
    <w:rsid w:val="003C1E0F"/>
    <w:rsid w:val="003C1FEE"/>
    <w:rsid w:val="003C21D3"/>
    <w:rsid w:val="003C2AF9"/>
    <w:rsid w:val="003C30C4"/>
    <w:rsid w:val="003C3550"/>
    <w:rsid w:val="003C3C48"/>
    <w:rsid w:val="003C3F82"/>
    <w:rsid w:val="003C3FA7"/>
    <w:rsid w:val="003C41D5"/>
    <w:rsid w:val="003C4974"/>
    <w:rsid w:val="003C506F"/>
    <w:rsid w:val="003C52CA"/>
    <w:rsid w:val="003C5AF5"/>
    <w:rsid w:val="003C6B59"/>
    <w:rsid w:val="003C6C3A"/>
    <w:rsid w:val="003C6E4B"/>
    <w:rsid w:val="003C72BE"/>
    <w:rsid w:val="003C7827"/>
    <w:rsid w:val="003C7D04"/>
    <w:rsid w:val="003C7EA9"/>
    <w:rsid w:val="003D0007"/>
    <w:rsid w:val="003D0A7A"/>
    <w:rsid w:val="003D0BF4"/>
    <w:rsid w:val="003D138C"/>
    <w:rsid w:val="003D167A"/>
    <w:rsid w:val="003D2077"/>
    <w:rsid w:val="003D2108"/>
    <w:rsid w:val="003D2240"/>
    <w:rsid w:val="003D22BE"/>
    <w:rsid w:val="003D2549"/>
    <w:rsid w:val="003D2874"/>
    <w:rsid w:val="003D2AEE"/>
    <w:rsid w:val="003D2C17"/>
    <w:rsid w:val="003D2CF9"/>
    <w:rsid w:val="003D3350"/>
    <w:rsid w:val="003D3386"/>
    <w:rsid w:val="003D4130"/>
    <w:rsid w:val="003D43EB"/>
    <w:rsid w:val="003D49A3"/>
    <w:rsid w:val="003D4CF9"/>
    <w:rsid w:val="003D5176"/>
    <w:rsid w:val="003D5825"/>
    <w:rsid w:val="003D5A11"/>
    <w:rsid w:val="003D5D9E"/>
    <w:rsid w:val="003D6316"/>
    <w:rsid w:val="003D7BCD"/>
    <w:rsid w:val="003D7F0F"/>
    <w:rsid w:val="003E0084"/>
    <w:rsid w:val="003E0CEF"/>
    <w:rsid w:val="003E0E52"/>
    <w:rsid w:val="003E12C8"/>
    <w:rsid w:val="003E1666"/>
    <w:rsid w:val="003E177A"/>
    <w:rsid w:val="003E1793"/>
    <w:rsid w:val="003E1B2F"/>
    <w:rsid w:val="003E1DB6"/>
    <w:rsid w:val="003E1E3D"/>
    <w:rsid w:val="003E2252"/>
    <w:rsid w:val="003E2779"/>
    <w:rsid w:val="003E298D"/>
    <w:rsid w:val="003E39EB"/>
    <w:rsid w:val="003E3D74"/>
    <w:rsid w:val="003E466F"/>
    <w:rsid w:val="003E4AEB"/>
    <w:rsid w:val="003E4D46"/>
    <w:rsid w:val="003E5981"/>
    <w:rsid w:val="003E5E47"/>
    <w:rsid w:val="003E5F30"/>
    <w:rsid w:val="003E5FE8"/>
    <w:rsid w:val="003E60DB"/>
    <w:rsid w:val="003E6E79"/>
    <w:rsid w:val="003E71FF"/>
    <w:rsid w:val="003E75D3"/>
    <w:rsid w:val="003E7636"/>
    <w:rsid w:val="003E7A96"/>
    <w:rsid w:val="003F0136"/>
    <w:rsid w:val="003F0198"/>
    <w:rsid w:val="003F0379"/>
    <w:rsid w:val="003F06AC"/>
    <w:rsid w:val="003F0EB8"/>
    <w:rsid w:val="003F0EE8"/>
    <w:rsid w:val="003F1069"/>
    <w:rsid w:val="003F12C5"/>
    <w:rsid w:val="003F1BB0"/>
    <w:rsid w:val="003F1D52"/>
    <w:rsid w:val="003F247B"/>
    <w:rsid w:val="003F31C8"/>
    <w:rsid w:val="003F327E"/>
    <w:rsid w:val="003F36CA"/>
    <w:rsid w:val="003F40F6"/>
    <w:rsid w:val="003F4A06"/>
    <w:rsid w:val="003F4B91"/>
    <w:rsid w:val="003F4BD0"/>
    <w:rsid w:val="003F4DEB"/>
    <w:rsid w:val="003F4E76"/>
    <w:rsid w:val="003F5360"/>
    <w:rsid w:val="003F5954"/>
    <w:rsid w:val="003F5D74"/>
    <w:rsid w:val="003F65AE"/>
    <w:rsid w:val="003F66C4"/>
    <w:rsid w:val="003F6D54"/>
    <w:rsid w:val="003F709A"/>
    <w:rsid w:val="003F731A"/>
    <w:rsid w:val="003F77EA"/>
    <w:rsid w:val="003F7927"/>
    <w:rsid w:val="003F7C2C"/>
    <w:rsid w:val="003F7E23"/>
    <w:rsid w:val="00400943"/>
    <w:rsid w:val="00400F8E"/>
    <w:rsid w:val="00401044"/>
    <w:rsid w:val="00401592"/>
    <w:rsid w:val="00401CFF"/>
    <w:rsid w:val="00401DFC"/>
    <w:rsid w:val="00402643"/>
    <w:rsid w:val="00402B73"/>
    <w:rsid w:val="00402F5B"/>
    <w:rsid w:val="00403262"/>
    <w:rsid w:val="004035F3"/>
    <w:rsid w:val="00403FB0"/>
    <w:rsid w:val="00404F7D"/>
    <w:rsid w:val="00405668"/>
    <w:rsid w:val="00405F08"/>
    <w:rsid w:val="00406CE8"/>
    <w:rsid w:val="00406FE3"/>
    <w:rsid w:val="00407D50"/>
    <w:rsid w:val="00410109"/>
    <w:rsid w:val="00410562"/>
    <w:rsid w:val="00410963"/>
    <w:rsid w:val="00410F0E"/>
    <w:rsid w:val="00410F93"/>
    <w:rsid w:val="00411296"/>
    <w:rsid w:val="00411333"/>
    <w:rsid w:val="00411527"/>
    <w:rsid w:val="00411630"/>
    <w:rsid w:val="004117CE"/>
    <w:rsid w:val="00411F8E"/>
    <w:rsid w:val="004123A2"/>
    <w:rsid w:val="004132BA"/>
    <w:rsid w:val="004135E8"/>
    <w:rsid w:val="004136E6"/>
    <w:rsid w:val="0041378F"/>
    <w:rsid w:val="004139C8"/>
    <w:rsid w:val="00413AA2"/>
    <w:rsid w:val="00414014"/>
    <w:rsid w:val="004140F1"/>
    <w:rsid w:val="004142BC"/>
    <w:rsid w:val="004145B5"/>
    <w:rsid w:val="00414922"/>
    <w:rsid w:val="00415138"/>
    <w:rsid w:val="00415F77"/>
    <w:rsid w:val="00416341"/>
    <w:rsid w:val="004163D3"/>
    <w:rsid w:val="00416780"/>
    <w:rsid w:val="00416B49"/>
    <w:rsid w:val="004173DA"/>
    <w:rsid w:val="00417569"/>
    <w:rsid w:val="00417F82"/>
    <w:rsid w:val="00420706"/>
    <w:rsid w:val="00420B57"/>
    <w:rsid w:val="00420E03"/>
    <w:rsid w:val="00421551"/>
    <w:rsid w:val="004218DF"/>
    <w:rsid w:val="0042198F"/>
    <w:rsid w:val="004219C5"/>
    <w:rsid w:val="00421C51"/>
    <w:rsid w:val="00421CCE"/>
    <w:rsid w:val="004228A6"/>
    <w:rsid w:val="00422CFF"/>
    <w:rsid w:val="0042309E"/>
    <w:rsid w:val="004232AD"/>
    <w:rsid w:val="004236A2"/>
    <w:rsid w:val="00423B1E"/>
    <w:rsid w:val="00423EA0"/>
    <w:rsid w:val="00423F09"/>
    <w:rsid w:val="004240B5"/>
    <w:rsid w:val="004241CD"/>
    <w:rsid w:val="004245EB"/>
    <w:rsid w:val="0042481C"/>
    <w:rsid w:val="004249DB"/>
    <w:rsid w:val="00424DE4"/>
    <w:rsid w:val="0042576A"/>
    <w:rsid w:val="00425901"/>
    <w:rsid w:val="00425BA9"/>
    <w:rsid w:val="0042642B"/>
    <w:rsid w:val="00426B40"/>
    <w:rsid w:val="00426C29"/>
    <w:rsid w:val="00426C9B"/>
    <w:rsid w:val="004270B8"/>
    <w:rsid w:val="00427658"/>
    <w:rsid w:val="00427A35"/>
    <w:rsid w:val="00427AFB"/>
    <w:rsid w:val="00427D98"/>
    <w:rsid w:val="0043045F"/>
    <w:rsid w:val="00430D48"/>
    <w:rsid w:val="0043145D"/>
    <w:rsid w:val="00431706"/>
    <w:rsid w:val="0043187C"/>
    <w:rsid w:val="00431D15"/>
    <w:rsid w:val="00431F30"/>
    <w:rsid w:val="00432127"/>
    <w:rsid w:val="00432855"/>
    <w:rsid w:val="0043303A"/>
    <w:rsid w:val="00433FFC"/>
    <w:rsid w:val="004340BC"/>
    <w:rsid w:val="004340F7"/>
    <w:rsid w:val="004343FB"/>
    <w:rsid w:val="00434AE7"/>
    <w:rsid w:val="00434F47"/>
    <w:rsid w:val="004360FE"/>
    <w:rsid w:val="004361DF"/>
    <w:rsid w:val="004369BF"/>
    <w:rsid w:val="00436F99"/>
    <w:rsid w:val="00436FAE"/>
    <w:rsid w:val="00437427"/>
    <w:rsid w:val="004378C7"/>
    <w:rsid w:val="00437C41"/>
    <w:rsid w:val="004409DB"/>
    <w:rsid w:val="00441288"/>
    <w:rsid w:val="004412F2"/>
    <w:rsid w:val="00441627"/>
    <w:rsid w:val="00441800"/>
    <w:rsid w:val="0044274D"/>
    <w:rsid w:val="004429E4"/>
    <w:rsid w:val="00443BAF"/>
    <w:rsid w:val="00445147"/>
    <w:rsid w:val="00445738"/>
    <w:rsid w:val="00445900"/>
    <w:rsid w:val="00445CBB"/>
    <w:rsid w:val="00445E50"/>
    <w:rsid w:val="004469C7"/>
    <w:rsid w:val="00446B25"/>
    <w:rsid w:val="00446B75"/>
    <w:rsid w:val="00447180"/>
    <w:rsid w:val="0044736D"/>
    <w:rsid w:val="0044743E"/>
    <w:rsid w:val="00447728"/>
    <w:rsid w:val="00450781"/>
    <w:rsid w:val="00450883"/>
    <w:rsid w:val="004508AB"/>
    <w:rsid w:val="0045093D"/>
    <w:rsid w:val="00450C45"/>
    <w:rsid w:val="004512E1"/>
    <w:rsid w:val="004521DF"/>
    <w:rsid w:val="00452ACB"/>
    <w:rsid w:val="00452CBF"/>
    <w:rsid w:val="00453B6A"/>
    <w:rsid w:val="00453CDD"/>
    <w:rsid w:val="00454860"/>
    <w:rsid w:val="00454A54"/>
    <w:rsid w:val="004550FC"/>
    <w:rsid w:val="0045581D"/>
    <w:rsid w:val="00456329"/>
    <w:rsid w:val="004566B8"/>
    <w:rsid w:val="00456AEA"/>
    <w:rsid w:val="00456FCA"/>
    <w:rsid w:val="00457435"/>
    <w:rsid w:val="00457B47"/>
    <w:rsid w:val="00457D3E"/>
    <w:rsid w:val="00460377"/>
    <w:rsid w:val="00460E30"/>
    <w:rsid w:val="0046154A"/>
    <w:rsid w:val="00461A34"/>
    <w:rsid w:val="00461ADF"/>
    <w:rsid w:val="00461F8E"/>
    <w:rsid w:val="00462094"/>
    <w:rsid w:val="00462BF9"/>
    <w:rsid w:val="00462E1E"/>
    <w:rsid w:val="00463376"/>
    <w:rsid w:val="004638F2"/>
    <w:rsid w:val="00464118"/>
    <w:rsid w:val="004641C2"/>
    <w:rsid w:val="00464329"/>
    <w:rsid w:val="00464393"/>
    <w:rsid w:val="004649BF"/>
    <w:rsid w:val="00465B7F"/>
    <w:rsid w:val="00465DAF"/>
    <w:rsid w:val="004668F8"/>
    <w:rsid w:val="00466905"/>
    <w:rsid w:val="00466BA1"/>
    <w:rsid w:val="00466BBE"/>
    <w:rsid w:val="00466F8F"/>
    <w:rsid w:val="004670CA"/>
    <w:rsid w:val="0046732E"/>
    <w:rsid w:val="00467C0B"/>
    <w:rsid w:val="004702F1"/>
    <w:rsid w:val="004707B3"/>
    <w:rsid w:val="00470BE0"/>
    <w:rsid w:val="00470CEF"/>
    <w:rsid w:val="00471A12"/>
    <w:rsid w:val="00471CBB"/>
    <w:rsid w:val="004726A3"/>
    <w:rsid w:val="004728E1"/>
    <w:rsid w:val="00473588"/>
    <w:rsid w:val="0047376D"/>
    <w:rsid w:val="004743AC"/>
    <w:rsid w:val="004749DB"/>
    <w:rsid w:val="00474B53"/>
    <w:rsid w:val="00474B60"/>
    <w:rsid w:val="004751E7"/>
    <w:rsid w:val="004751E9"/>
    <w:rsid w:val="004753F9"/>
    <w:rsid w:val="00476545"/>
    <w:rsid w:val="0047654A"/>
    <w:rsid w:val="0047696E"/>
    <w:rsid w:val="00476B20"/>
    <w:rsid w:val="00476D94"/>
    <w:rsid w:val="00476FCF"/>
    <w:rsid w:val="004776B3"/>
    <w:rsid w:val="00477F42"/>
    <w:rsid w:val="00480446"/>
    <w:rsid w:val="00480AAF"/>
    <w:rsid w:val="00480BF6"/>
    <w:rsid w:val="00481008"/>
    <w:rsid w:val="0048142A"/>
    <w:rsid w:val="004814C4"/>
    <w:rsid w:val="00481547"/>
    <w:rsid w:val="00481E9E"/>
    <w:rsid w:val="004825FB"/>
    <w:rsid w:val="00482A55"/>
    <w:rsid w:val="00483085"/>
    <w:rsid w:val="004830A7"/>
    <w:rsid w:val="00483F2C"/>
    <w:rsid w:val="004845A2"/>
    <w:rsid w:val="00484687"/>
    <w:rsid w:val="00484BDB"/>
    <w:rsid w:val="004850D2"/>
    <w:rsid w:val="00485E1A"/>
    <w:rsid w:val="00485FED"/>
    <w:rsid w:val="00486559"/>
    <w:rsid w:val="00486ED5"/>
    <w:rsid w:val="004876AD"/>
    <w:rsid w:val="00487F34"/>
    <w:rsid w:val="004907BB"/>
    <w:rsid w:val="004907D9"/>
    <w:rsid w:val="00491140"/>
    <w:rsid w:val="00491B61"/>
    <w:rsid w:val="00491E98"/>
    <w:rsid w:val="00492821"/>
    <w:rsid w:val="0049296C"/>
    <w:rsid w:val="004931F3"/>
    <w:rsid w:val="00493351"/>
    <w:rsid w:val="00493895"/>
    <w:rsid w:val="00493991"/>
    <w:rsid w:val="00493A7D"/>
    <w:rsid w:val="00493FDA"/>
    <w:rsid w:val="004946A3"/>
    <w:rsid w:val="004947A7"/>
    <w:rsid w:val="00494B0F"/>
    <w:rsid w:val="00494B9F"/>
    <w:rsid w:val="00494D7D"/>
    <w:rsid w:val="00495715"/>
    <w:rsid w:val="004957E9"/>
    <w:rsid w:val="00495AA8"/>
    <w:rsid w:val="00495EFA"/>
    <w:rsid w:val="00495EFD"/>
    <w:rsid w:val="004966AD"/>
    <w:rsid w:val="004967CB"/>
    <w:rsid w:val="00497521"/>
    <w:rsid w:val="00497D9A"/>
    <w:rsid w:val="00497DD3"/>
    <w:rsid w:val="00497E3E"/>
    <w:rsid w:val="00497F32"/>
    <w:rsid w:val="004A017B"/>
    <w:rsid w:val="004A052B"/>
    <w:rsid w:val="004A0534"/>
    <w:rsid w:val="004A0949"/>
    <w:rsid w:val="004A0ADF"/>
    <w:rsid w:val="004A0E04"/>
    <w:rsid w:val="004A1717"/>
    <w:rsid w:val="004A17E9"/>
    <w:rsid w:val="004A18A5"/>
    <w:rsid w:val="004A28CB"/>
    <w:rsid w:val="004A2AAA"/>
    <w:rsid w:val="004A2DEB"/>
    <w:rsid w:val="004A2E8F"/>
    <w:rsid w:val="004A30BA"/>
    <w:rsid w:val="004A31AC"/>
    <w:rsid w:val="004A3606"/>
    <w:rsid w:val="004A3BB1"/>
    <w:rsid w:val="004A43A8"/>
    <w:rsid w:val="004A482D"/>
    <w:rsid w:val="004A4AEB"/>
    <w:rsid w:val="004A4FC0"/>
    <w:rsid w:val="004A4FD6"/>
    <w:rsid w:val="004A5064"/>
    <w:rsid w:val="004A52DD"/>
    <w:rsid w:val="004A5A3E"/>
    <w:rsid w:val="004A5AE6"/>
    <w:rsid w:val="004A6081"/>
    <w:rsid w:val="004A60A3"/>
    <w:rsid w:val="004A6ED0"/>
    <w:rsid w:val="004A7344"/>
    <w:rsid w:val="004B022C"/>
    <w:rsid w:val="004B04D2"/>
    <w:rsid w:val="004B0569"/>
    <w:rsid w:val="004B16DD"/>
    <w:rsid w:val="004B172D"/>
    <w:rsid w:val="004B1E4C"/>
    <w:rsid w:val="004B2913"/>
    <w:rsid w:val="004B3919"/>
    <w:rsid w:val="004B3999"/>
    <w:rsid w:val="004B4069"/>
    <w:rsid w:val="004B45EC"/>
    <w:rsid w:val="004B4AF0"/>
    <w:rsid w:val="004B4E05"/>
    <w:rsid w:val="004B583B"/>
    <w:rsid w:val="004B588D"/>
    <w:rsid w:val="004B645D"/>
    <w:rsid w:val="004B6B24"/>
    <w:rsid w:val="004C0A38"/>
    <w:rsid w:val="004C0C8E"/>
    <w:rsid w:val="004C15A4"/>
    <w:rsid w:val="004C1B38"/>
    <w:rsid w:val="004C1EC8"/>
    <w:rsid w:val="004C2048"/>
    <w:rsid w:val="004C25B7"/>
    <w:rsid w:val="004C26CF"/>
    <w:rsid w:val="004C287D"/>
    <w:rsid w:val="004C2AA2"/>
    <w:rsid w:val="004C2AF7"/>
    <w:rsid w:val="004C2E08"/>
    <w:rsid w:val="004C2E1B"/>
    <w:rsid w:val="004C33C8"/>
    <w:rsid w:val="004C3905"/>
    <w:rsid w:val="004C3BD3"/>
    <w:rsid w:val="004C42D1"/>
    <w:rsid w:val="004C5161"/>
    <w:rsid w:val="004C5471"/>
    <w:rsid w:val="004C5487"/>
    <w:rsid w:val="004C5793"/>
    <w:rsid w:val="004C5BCF"/>
    <w:rsid w:val="004C5C8D"/>
    <w:rsid w:val="004C6E57"/>
    <w:rsid w:val="004C73BA"/>
    <w:rsid w:val="004C759B"/>
    <w:rsid w:val="004C76A5"/>
    <w:rsid w:val="004D05B3"/>
    <w:rsid w:val="004D0AC8"/>
    <w:rsid w:val="004D1174"/>
    <w:rsid w:val="004D1438"/>
    <w:rsid w:val="004D19E7"/>
    <w:rsid w:val="004D1C8E"/>
    <w:rsid w:val="004D2490"/>
    <w:rsid w:val="004D271D"/>
    <w:rsid w:val="004D2A79"/>
    <w:rsid w:val="004D2F5D"/>
    <w:rsid w:val="004D303D"/>
    <w:rsid w:val="004D3692"/>
    <w:rsid w:val="004D3B82"/>
    <w:rsid w:val="004D3BC8"/>
    <w:rsid w:val="004D3CAA"/>
    <w:rsid w:val="004D45A2"/>
    <w:rsid w:val="004D4B30"/>
    <w:rsid w:val="004D4CE9"/>
    <w:rsid w:val="004D50FD"/>
    <w:rsid w:val="004D5986"/>
    <w:rsid w:val="004D59B3"/>
    <w:rsid w:val="004D5A4F"/>
    <w:rsid w:val="004D5EA9"/>
    <w:rsid w:val="004D6020"/>
    <w:rsid w:val="004D613F"/>
    <w:rsid w:val="004D64F2"/>
    <w:rsid w:val="004D653C"/>
    <w:rsid w:val="004D6D6E"/>
    <w:rsid w:val="004D7694"/>
    <w:rsid w:val="004E0006"/>
    <w:rsid w:val="004E0283"/>
    <w:rsid w:val="004E0354"/>
    <w:rsid w:val="004E0EF5"/>
    <w:rsid w:val="004E1935"/>
    <w:rsid w:val="004E1DEA"/>
    <w:rsid w:val="004E1F14"/>
    <w:rsid w:val="004E1FF2"/>
    <w:rsid w:val="004E24D7"/>
    <w:rsid w:val="004E2AF6"/>
    <w:rsid w:val="004E2BD6"/>
    <w:rsid w:val="004E2DFE"/>
    <w:rsid w:val="004E2EFE"/>
    <w:rsid w:val="004E326B"/>
    <w:rsid w:val="004E32E4"/>
    <w:rsid w:val="004E37D7"/>
    <w:rsid w:val="004E3929"/>
    <w:rsid w:val="004E45DC"/>
    <w:rsid w:val="004E47F2"/>
    <w:rsid w:val="004E4F24"/>
    <w:rsid w:val="004E51D8"/>
    <w:rsid w:val="004E5CB5"/>
    <w:rsid w:val="004E5F90"/>
    <w:rsid w:val="004E62D1"/>
    <w:rsid w:val="004E64E1"/>
    <w:rsid w:val="004E681A"/>
    <w:rsid w:val="004E6877"/>
    <w:rsid w:val="004E6DB5"/>
    <w:rsid w:val="004E72C0"/>
    <w:rsid w:val="004E75BD"/>
    <w:rsid w:val="004F0384"/>
    <w:rsid w:val="004F0B43"/>
    <w:rsid w:val="004F153B"/>
    <w:rsid w:val="004F17CC"/>
    <w:rsid w:val="004F2707"/>
    <w:rsid w:val="004F3336"/>
    <w:rsid w:val="004F351E"/>
    <w:rsid w:val="004F373C"/>
    <w:rsid w:val="004F37FF"/>
    <w:rsid w:val="004F3C4D"/>
    <w:rsid w:val="004F408E"/>
    <w:rsid w:val="004F4B9C"/>
    <w:rsid w:val="004F5BF8"/>
    <w:rsid w:val="004F5C3B"/>
    <w:rsid w:val="004F5C73"/>
    <w:rsid w:val="004F6213"/>
    <w:rsid w:val="004F66EA"/>
    <w:rsid w:val="004F6901"/>
    <w:rsid w:val="004F719C"/>
    <w:rsid w:val="004F7A10"/>
    <w:rsid w:val="004F7DC0"/>
    <w:rsid w:val="0050080C"/>
    <w:rsid w:val="00500A39"/>
    <w:rsid w:val="00500A46"/>
    <w:rsid w:val="00501308"/>
    <w:rsid w:val="00501406"/>
    <w:rsid w:val="005020D0"/>
    <w:rsid w:val="0050225B"/>
    <w:rsid w:val="005022D7"/>
    <w:rsid w:val="00502856"/>
    <w:rsid w:val="00502A56"/>
    <w:rsid w:val="00502E84"/>
    <w:rsid w:val="005037D0"/>
    <w:rsid w:val="005039D3"/>
    <w:rsid w:val="00503EC8"/>
    <w:rsid w:val="005041A5"/>
    <w:rsid w:val="005042EA"/>
    <w:rsid w:val="00504F77"/>
    <w:rsid w:val="005058AE"/>
    <w:rsid w:val="00505E75"/>
    <w:rsid w:val="00506351"/>
    <w:rsid w:val="00506710"/>
    <w:rsid w:val="00506EB4"/>
    <w:rsid w:val="00507C05"/>
    <w:rsid w:val="00507F82"/>
    <w:rsid w:val="00510107"/>
    <w:rsid w:val="00510195"/>
    <w:rsid w:val="00510368"/>
    <w:rsid w:val="0051076E"/>
    <w:rsid w:val="00511295"/>
    <w:rsid w:val="005114EC"/>
    <w:rsid w:val="00511B04"/>
    <w:rsid w:val="005121AE"/>
    <w:rsid w:val="0051220C"/>
    <w:rsid w:val="005122C8"/>
    <w:rsid w:val="005127E7"/>
    <w:rsid w:val="00512D9D"/>
    <w:rsid w:val="0051353E"/>
    <w:rsid w:val="005138A0"/>
    <w:rsid w:val="005141FD"/>
    <w:rsid w:val="00514807"/>
    <w:rsid w:val="00514888"/>
    <w:rsid w:val="00514AB2"/>
    <w:rsid w:val="00515564"/>
    <w:rsid w:val="005167CF"/>
    <w:rsid w:val="005172C4"/>
    <w:rsid w:val="0052081C"/>
    <w:rsid w:val="00520AD1"/>
    <w:rsid w:val="00521611"/>
    <w:rsid w:val="00521FFD"/>
    <w:rsid w:val="00522462"/>
    <w:rsid w:val="005226B4"/>
    <w:rsid w:val="005228F0"/>
    <w:rsid w:val="005229EA"/>
    <w:rsid w:val="00522D34"/>
    <w:rsid w:val="00523F3B"/>
    <w:rsid w:val="00523F52"/>
    <w:rsid w:val="0052401E"/>
    <w:rsid w:val="0052417C"/>
    <w:rsid w:val="005243D9"/>
    <w:rsid w:val="00524918"/>
    <w:rsid w:val="00524924"/>
    <w:rsid w:val="00524BCD"/>
    <w:rsid w:val="00524C7A"/>
    <w:rsid w:val="0052530E"/>
    <w:rsid w:val="0052587D"/>
    <w:rsid w:val="00525D4F"/>
    <w:rsid w:val="00525FE4"/>
    <w:rsid w:val="0052634B"/>
    <w:rsid w:val="005263BF"/>
    <w:rsid w:val="0052665D"/>
    <w:rsid w:val="00526B56"/>
    <w:rsid w:val="00526CA5"/>
    <w:rsid w:val="00526ED1"/>
    <w:rsid w:val="00530D80"/>
    <w:rsid w:val="00531239"/>
    <w:rsid w:val="00531553"/>
    <w:rsid w:val="00531F20"/>
    <w:rsid w:val="00532203"/>
    <w:rsid w:val="005322AA"/>
    <w:rsid w:val="0053282F"/>
    <w:rsid w:val="00533382"/>
    <w:rsid w:val="005335DE"/>
    <w:rsid w:val="0053413D"/>
    <w:rsid w:val="00534338"/>
    <w:rsid w:val="005346C6"/>
    <w:rsid w:val="00534B79"/>
    <w:rsid w:val="00535BBA"/>
    <w:rsid w:val="00535EDF"/>
    <w:rsid w:val="00535FCD"/>
    <w:rsid w:val="005362DD"/>
    <w:rsid w:val="005366D4"/>
    <w:rsid w:val="00536BDC"/>
    <w:rsid w:val="005375BA"/>
    <w:rsid w:val="005377D4"/>
    <w:rsid w:val="00537A17"/>
    <w:rsid w:val="0054059A"/>
    <w:rsid w:val="005407AE"/>
    <w:rsid w:val="005408FF"/>
    <w:rsid w:val="005409DD"/>
    <w:rsid w:val="00541078"/>
    <w:rsid w:val="0054114F"/>
    <w:rsid w:val="005413F2"/>
    <w:rsid w:val="005413F5"/>
    <w:rsid w:val="00541808"/>
    <w:rsid w:val="00542098"/>
    <w:rsid w:val="005422BD"/>
    <w:rsid w:val="005425BF"/>
    <w:rsid w:val="005433DB"/>
    <w:rsid w:val="005437E9"/>
    <w:rsid w:val="0054480A"/>
    <w:rsid w:val="005449FF"/>
    <w:rsid w:val="005451C0"/>
    <w:rsid w:val="005453FA"/>
    <w:rsid w:val="0054565C"/>
    <w:rsid w:val="0054571C"/>
    <w:rsid w:val="00545F54"/>
    <w:rsid w:val="005463C0"/>
    <w:rsid w:val="005465F2"/>
    <w:rsid w:val="005466A4"/>
    <w:rsid w:val="0054674E"/>
    <w:rsid w:val="00546DCA"/>
    <w:rsid w:val="005476E0"/>
    <w:rsid w:val="00547B4C"/>
    <w:rsid w:val="00547CC6"/>
    <w:rsid w:val="00547D0C"/>
    <w:rsid w:val="00547F59"/>
    <w:rsid w:val="0055014D"/>
    <w:rsid w:val="00550879"/>
    <w:rsid w:val="00550D79"/>
    <w:rsid w:val="00550F2D"/>
    <w:rsid w:val="005511B4"/>
    <w:rsid w:val="005512FE"/>
    <w:rsid w:val="0055132B"/>
    <w:rsid w:val="005517FD"/>
    <w:rsid w:val="005525BB"/>
    <w:rsid w:val="005529DF"/>
    <w:rsid w:val="00552DE6"/>
    <w:rsid w:val="00552E2B"/>
    <w:rsid w:val="00553060"/>
    <w:rsid w:val="005530D4"/>
    <w:rsid w:val="00553238"/>
    <w:rsid w:val="005537E3"/>
    <w:rsid w:val="00554620"/>
    <w:rsid w:val="00554E3B"/>
    <w:rsid w:val="00555345"/>
    <w:rsid w:val="00555820"/>
    <w:rsid w:val="00555F5D"/>
    <w:rsid w:val="0055653C"/>
    <w:rsid w:val="00556590"/>
    <w:rsid w:val="0055661D"/>
    <w:rsid w:val="00556A45"/>
    <w:rsid w:val="00556BF1"/>
    <w:rsid w:val="00556D1E"/>
    <w:rsid w:val="00557201"/>
    <w:rsid w:val="00557379"/>
    <w:rsid w:val="00557716"/>
    <w:rsid w:val="005604FE"/>
    <w:rsid w:val="00560835"/>
    <w:rsid w:val="00560E20"/>
    <w:rsid w:val="0056112E"/>
    <w:rsid w:val="00561D7A"/>
    <w:rsid w:val="00562411"/>
    <w:rsid w:val="00562690"/>
    <w:rsid w:val="0056281B"/>
    <w:rsid w:val="005630B8"/>
    <w:rsid w:val="00563186"/>
    <w:rsid w:val="00563BD7"/>
    <w:rsid w:val="00563BEB"/>
    <w:rsid w:val="00563D05"/>
    <w:rsid w:val="00563E22"/>
    <w:rsid w:val="00563FEE"/>
    <w:rsid w:val="00564083"/>
    <w:rsid w:val="005644E8"/>
    <w:rsid w:val="00564B23"/>
    <w:rsid w:val="00564E32"/>
    <w:rsid w:val="00564E8F"/>
    <w:rsid w:val="00565349"/>
    <w:rsid w:val="00565512"/>
    <w:rsid w:val="005655FB"/>
    <w:rsid w:val="00565BC2"/>
    <w:rsid w:val="00566C2A"/>
    <w:rsid w:val="00566D43"/>
    <w:rsid w:val="00567815"/>
    <w:rsid w:val="00567866"/>
    <w:rsid w:val="005700F1"/>
    <w:rsid w:val="005705EE"/>
    <w:rsid w:val="00570FB0"/>
    <w:rsid w:val="0057113F"/>
    <w:rsid w:val="0057162B"/>
    <w:rsid w:val="0057196D"/>
    <w:rsid w:val="00571BE9"/>
    <w:rsid w:val="00571C45"/>
    <w:rsid w:val="00571F58"/>
    <w:rsid w:val="005721CF"/>
    <w:rsid w:val="0057232B"/>
    <w:rsid w:val="0057256E"/>
    <w:rsid w:val="0057330E"/>
    <w:rsid w:val="00573430"/>
    <w:rsid w:val="00573587"/>
    <w:rsid w:val="005735E6"/>
    <w:rsid w:val="00573729"/>
    <w:rsid w:val="00574536"/>
    <w:rsid w:val="005745AB"/>
    <w:rsid w:val="00574826"/>
    <w:rsid w:val="00574E94"/>
    <w:rsid w:val="005759AF"/>
    <w:rsid w:val="00575BE8"/>
    <w:rsid w:val="00575E1B"/>
    <w:rsid w:val="00576C0A"/>
    <w:rsid w:val="005772E3"/>
    <w:rsid w:val="005773AE"/>
    <w:rsid w:val="005775F0"/>
    <w:rsid w:val="0057798A"/>
    <w:rsid w:val="00577F86"/>
    <w:rsid w:val="0058089B"/>
    <w:rsid w:val="00580947"/>
    <w:rsid w:val="0058153C"/>
    <w:rsid w:val="005816D5"/>
    <w:rsid w:val="00581B21"/>
    <w:rsid w:val="00581BC6"/>
    <w:rsid w:val="00581CE8"/>
    <w:rsid w:val="00581D3A"/>
    <w:rsid w:val="00581D6B"/>
    <w:rsid w:val="00581DAB"/>
    <w:rsid w:val="00581DF5"/>
    <w:rsid w:val="00581F77"/>
    <w:rsid w:val="00581F8E"/>
    <w:rsid w:val="00582484"/>
    <w:rsid w:val="005825EF"/>
    <w:rsid w:val="00582C01"/>
    <w:rsid w:val="005838FC"/>
    <w:rsid w:val="00583902"/>
    <w:rsid w:val="00583B04"/>
    <w:rsid w:val="00583C50"/>
    <w:rsid w:val="0058499A"/>
    <w:rsid w:val="00584EF9"/>
    <w:rsid w:val="00584F2C"/>
    <w:rsid w:val="0058538D"/>
    <w:rsid w:val="005858DA"/>
    <w:rsid w:val="00585A06"/>
    <w:rsid w:val="00585DC0"/>
    <w:rsid w:val="00585EF8"/>
    <w:rsid w:val="00585F30"/>
    <w:rsid w:val="00585F69"/>
    <w:rsid w:val="005863F1"/>
    <w:rsid w:val="00586C12"/>
    <w:rsid w:val="005874C0"/>
    <w:rsid w:val="0058758A"/>
    <w:rsid w:val="00590193"/>
    <w:rsid w:val="0059028E"/>
    <w:rsid w:val="005903C0"/>
    <w:rsid w:val="005913B7"/>
    <w:rsid w:val="00591832"/>
    <w:rsid w:val="00592111"/>
    <w:rsid w:val="00592193"/>
    <w:rsid w:val="00592864"/>
    <w:rsid w:val="005928CF"/>
    <w:rsid w:val="00593273"/>
    <w:rsid w:val="005939A4"/>
    <w:rsid w:val="00593BE0"/>
    <w:rsid w:val="005944D4"/>
    <w:rsid w:val="005949A4"/>
    <w:rsid w:val="00595049"/>
    <w:rsid w:val="00595357"/>
    <w:rsid w:val="00595A8B"/>
    <w:rsid w:val="00595C6F"/>
    <w:rsid w:val="00595E0E"/>
    <w:rsid w:val="00596B90"/>
    <w:rsid w:val="00596BDB"/>
    <w:rsid w:val="005975ED"/>
    <w:rsid w:val="00597612"/>
    <w:rsid w:val="0059781D"/>
    <w:rsid w:val="005A02C0"/>
    <w:rsid w:val="005A07A0"/>
    <w:rsid w:val="005A0F92"/>
    <w:rsid w:val="005A1156"/>
    <w:rsid w:val="005A1523"/>
    <w:rsid w:val="005A194D"/>
    <w:rsid w:val="005A260B"/>
    <w:rsid w:val="005A26D1"/>
    <w:rsid w:val="005A3006"/>
    <w:rsid w:val="005A3F1A"/>
    <w:rsid w:val="005A4DBA"/>
    <w:rsid w:val="005A50CA"/>
    <w:rsid w:val="005A528B"/>
    <w:rsid w:val="005A66F4"/>
    <w:rsid w:val="005A689C"/>
    <w:rsid w:val="005A6A6F"/>
    <w:rsid w:val="005A6EBA"/>
    <w:rsid w:val="005A7618"/>
    <w:rsid w:val="005A7C85"/>
    <w:rsid w:val="005B0176"/>
    <w:rsid w:val="005B02BD"/>
    <w:rsid w:val="005B02D0"/>
    <w:rsid w:val="005B02E5"/>
    <w:rsid w:val="005B042E"/>
    <w:rsid w:val="005B0805"/>
    <w:rsid w:val="005B0C0F"/>
    <w:rsid w:val="005B1200"/>
    <w:rsid w:val="005B12F6"/>
    <w:rsid w:val="005B1605"/>
    <w:rsid w:val="005B1FC6"/>
    <w:rsid w:val="005B29AF"/>
    <w:rsid w:val="005B2A02"/>
    <w:rsid w:val="005B2C05"/>
    <w:rsid w:val="005B3644"/>
    <w:rsid w:val="005B379B"/>
    <w:rsid w:val="005B385D"/>
    <w:rsid w:val="005B3C72"/>
    <w:rsid w:val="005B3ED7"/>
    <w:rsid w:val="005B3F29"/>
    <w:rsid w:val="005B41D9"/>
    <w:rsid w:val="005B4815"/>
    <w:rsid w:val="005B4970"/>
    <w:rsid w:val="005B4BB8"/>
    <w:rsid w:val="005B4C77"/>
    <w:rsid w:val="005B584C"/>
    <w:rsid w:val="005B5988"/>
    <w:rsid w:val="005B70AC"/>
    <w:rsid w:val="005B73E0"/>
    <w:rsid w:val="005B7807"/>
    <w:rsid w:val="005B7F8B"/>
    <w:rsid w:val="005C016A"/>
    <w:rsid w:val="005C025E"/>
    <w:rsid w:val="005C061D"/>
    <w:rsid w:val="005C0B8E"/>
    <w:rsid w:val="005C0EB0"/>
    <w:rsid w:val="005C1299"/>
    <w:rsid w:val="005C15FF"/>
    <w:rsid w:val="005C25B2"/>
    <w:rsid w:val="005C304C"/>
    <w:rsid w:val="005C3250"/>
    <w:rsid w:val="005C3755"/>
    <w:rsid w:val="005C3BCA"/>
    <w:rsid w:val="005C3BF4"/>
    <w:rsid w:val="005C3C2B"/>
    <w:rsid w:val="005C411C"/>
    <w:rsid w:val="005C4475"/>
    <w:rsid w:val="005C44D1"/>
    <w:rsid w:val="005C451D"/>
    <w:rsid w:val="005C4956"/>
    <w:rsid w:val="005C4963"/>
    <w:rsid w:val="005C4D00"/>
    <w:rsid w:val="005C519D"/>
    <w:rsid w:val="005C5441"/>
    <w:rsid w:val="005C56B4"/>
    <w:rsid w:val="005C5B58"/>
    <w:rsid w:val="005C5E11"/>
    <w:rsid w:val="005C5EB9"/>
    <w:rsid w:val="005C61C9"/>
    <w:rsid w:val="005C6382"/>
    <w:rsid w:val="005C65B5"/>
    <w:rsid w:val="005C66C2"/>
    <w:rsid w:val="005C692A"/>
    <w:rsid w:val="005C6CA1"/>
    <w:rsid w:val="005C7088"/>
    <w:rsid w:val="005C70C8"/>
    <w:rsid w:val="005C7D48"/>
    <w:rsid w:val="005D0173"/>
    <w:rsid w:val="005D031D"/>
    <w:rsid w:val="005D033A"/>
    <w:rsid w:val="005D0F32"/>
    <w:rsid w:val="005D1545"/>
    <w:rsid w:val="005D207F"/>
    <w:rsid w:val="005D2441"/>
    <w:rsid w:val="005D2E6D"/>
    <w:rsid w:val="005D3033"/>
    <w:rsid w:val="005D3137"/>
    <w:rsid w:val="005D39A7"/>
    <w:rsid w:val="005D3ABB"/>
    <w:rsid w:val="005D3F57"/>
    <w:rsid w:val="005D4DC9"/>
    <w:rsid w:val="005D4DD4"/>
    <w:rsid w:val="005D5236"/>
    <w:rsid w:val="005D5D2C"/>
    <w:rsid w:val="005D5FF4"/>
    <w:rsid w:val="005D6067"/>
    <w:rsid w:val="005D62FB"/>
    <w:rsid w:val="005D665F"/>
    <w:rsid w:val="005D67D6"/>
    <w:rsid w:val="005D723B"/>
    <w:rsid w:val="005D762A"/>
    <w:rsid w:val="005D79F3"/>
    <w:rsid w:val="005D7D07"/>
    <w:rsid w:val="005E09BA"/>
    <w:rsid w:val="005E1329"/>
    <w:rsid w:val="005E1998"/>
    <w:rsid w:val="005E1B69"/>
    <w:rsid w:val="005E1F6A"/>
    <w:rsid w:val="005E231D"/>
    <w:rsid w:val="005E23AC"/>
    <w:rsid w:val="005E2524"/>
    <w:rsid w:val="005E273E"/>
    <w:rsid w:val="005E2C33"/>
    <w:rsid w:val="005E2F9B"/>
    <w:rsid w:val="005E3713"/>
    <w:rsid w:val="005E387D"/>
    <w:rsid w:val="005E3951"/>
    <w:rsid w:val="005E41D6"/>
    <w:rsid w:val="005E4943"/>
    <w:rsid w:val="005E5E30"/>
    <w:rsid w:val="005E6054"/>
    <w:rsid w:val="005E6841"/>
    <w:rsid w:val="005E7924"/>
    <w:rsid w:val="005E7C33"/>
    <w:rsid w:val="005F0312"/>
    <w:rsid w:val="005F04F5"/>
    <w:rsid w:val="005F0A0B"/>
    <w:rsid w:val="005F0BAE"/>
    <w:rsid w:val="005F1C00"/>
    <w:rsid w:val="005F221A"/>
    <w:rsid w:val="005F237A"/>
    <w:rsid w:val="005F2754"/>
    <w:rsid w:val="005F2A20"/>
    <w:rsid w:val="005F327A"/>
    <w:rsid w:val="005F3AC7"/>
    <w:rsid w:val="005F3BC0"/>
    <w:rsid w:val="005F3DD6"/>
    <w:rsid w:val="005F3E85"/>
    <w:rsid w:val="005F4380"/>
    <w:rsid w:val="005F4461"/>
    <w:rsid w:val="005F462F"/>
    <w:rsid w:val="005F4DAE"/>
    <w:rsid w:val="005F4E99"/>
    <w:rsid w:val="005F51F6"/>
    <w:rsid w:val="005F5320"/>
    <w:rsid w:val="005F56C3"/>
    <w:rsid w:val="005F59BC"/>
    <w:rsid w:val="005F5F9E"/>
    <w:rsid w:val="005F5FA7"/>
    <w:rsid w:val="005F6102"/>
    <w:rsid w:val="005F61DD"/>
    <w:rsid w:val="005F6676"/>
    <w:rsid w:val="005F6886"/>
    <w:rsid w:val="005F6DA2"/>
    <w:rsid w:val="005F7187"/>
    <w:rsid w:val="005F745F"/>
    <w:rsid w:val="005F7727"/>
    <w:rsid w:val="005F7787"/>
    <w:rsid w:val="005F7AE1"/>
    <w:rsid w:val="006005A6"/>
    <w:rsid w:val="0060076C"/>
    <w:rsid w:val="00600884"/>
    <w:rsid w:val="00600E54"/>
    <w:rsid w:val="0060106A"/>
    <w:rsid w:val="006016CF"/>
    <w:rsid w:val="0060227B"/>
    <w:rsid w:val="006023AE"/>
    <w:rsid w:val="006027A3"/>
    <w:rsid w:val="006033CB"/>
    <w:rsid w:val="00603A22"/>
    <w:rsid w:val="006043BA"/>
    <w:rsid w:val="00604644"/>
    <w:rsid w:val="00604D2C"/>
    <w:rsid w:val="00604FB2"/>
    <w:rsid w:val="00604FC7"/>
    <w:rsid w:val="00605746"/>
    <w:rsid w:val="00606269"/>
    <w:rsid w:val="0060687A"/>
    <w:rsid w:val="00606AFB"/>
    <w:rsid w:val="00607066"/>
    <w:rsid w:val="006070FB"/>
    <w:rsid w:val="00607210"/>
    <w:rsid w:val="006077B9"/>
    <w:rsid w:val="00607FF5"/>
    <w:rsid w:val="006102DE"/>
    <w:rsid w:val="0061037D"/>
    <w:rsid w:val="00611102"/>
    <w:rsid w:val="006115F5"/>
    <w:rsid w:val="0061190F"/>
    <w:rsid w:val="0061214E"/>
    <w:rsid w:val="00612151"/>
    <w:rsid w:val="00612A11"/>
    <w:rsid w:val="00612D84"/>
    <w:rsid w:val="00614B48"/>
    <w:rsid w:val="00614E11"/>
    <w:rsid w:val="00615A72"/>
    <w:rsid w:val="00615B53"/>
    <w:rsid w:val="00615E4C"/>
    <w:rsid w:val="00615F42"/>
    <w:rsid w:val="00616144"/>
    <w:rsid w:val="0061633E"/>
    <w:rsid w:val="00616804"/>
    <w:rsid w:val="00616A11"/>
    <w:rsid w:val="00616FC6"/>
    <w:rsid w:val="00617045"/>
    <w:rsid w:val="00617271"/>
    <w:rsid w:val="0061735F"/>
    <w:rsid w:val="00617556"/>
    <w:rsid w:val="0061766C"/>
    <w:rsid w:val="00617B27"/>
    <w:rsid w:val="00617E2D"/>
    <w:rsid w:val="006202A7"/>
    <w:rsid w:val="006204DA"/>
    <w:rsid w:val="00620640"/>
    <w:rsid w:val="00620AB5"/>
    <w:rsid w:val="0062114B"/>
    <w:rsid w:val="0062177D"/>
    <w:rsid w:val="00621846"/>
    <w:rsid w:val="006221B8"/>
    <w:rsid w:val="00622561"/>
    <w:rsid w:val="00622AA1"/>
    <w:rsid w:val="00622DEC"/>
    <w:rsid w:val="00622F49"/>
    <w:rsid w:val="00623290"/>
    <w:rsid w:val="00623DD8"/>
    <w:rsid w:val="0062404B"/>
    <w:rsid w:val="00624A7F"/>
    <w:rsid w:val="00624F83"/>
    <w:rsid w:val="006256C8"/>
    <w:rsid w:val="0062642D"/>
    <w:rsid w:val="0062674F"/>
    <w:rsid w:val="006268C3"/>
    <w:rsid w:val="00627021"/>
    <w:rsid w:val="00627EF3"/>
    <w:rsid w:val="0063180E"/>
    <w:rsid w:val="00631C8F"/>
    <w:rsid w:val="006325DF"/>
    <w:rsid w:val="00632EB8"/>
    <w:rsid w:val="006335D5"/>
    <w:rsid w:val="006335DD"/>
    <w:rsid w:val="00633830"/>
    <w:rsid w:val="00633C2B"/>
    <w:rsid w:val="006347BE"/>
    <w:rsid w:val="006348B8"/>
    <w:rsid w:val="00634A5E"/>
    <w:rsid w:val="00634CBB"/>
    <w:rsid w:val="006350B8"/>
    <w:rsid w:val="0063520C"/>
    <w:rsid w:val="00635224"/>
    <w:rsid w:val="006353AB"/>
    <w:rsid w:val="00635CD5"/>
    <w:rsid w:val="00635D62"/>
    <w:rsid w:val="0063621B"/>
    <w:rsid w:val="006366D4"/>
    <w:rsid w:val="00637284"/>
    <w:rsid w:val="006378F2"/>
    <w:rsid w:val="00637D23"/>
    <w:rsid w:val="00637D90"/>
    <w:rsid w:val="00637E44"/>
    <w:rsid w:val="00640193"/>
    <w:rsid w:val="00640C33"/>
    <w:rsid w:val="00640EC0"/>
    <w:rsid w:val="0064135C"/>
    <w:rsid w:val="006419A8"/>
    <w:rsid w:val="006421C7"/>
    <w:rsid w:val="0064287A"/>
    <w:rsid w:val="006432CB"/>
    <w:rsid w:val="006439C2"/>
    <w:rsid w:val="0064527C"/>
    <w:rsid w:val="006453B4"/>
    <w:rsid w:val="006455AD"/>
    <w:rsid w:val="00646522"/>
    <w:rsid w:val="00646D22"/>
    <w:rsid w:val="00646E23"/>
    <w:rsid w:val="006479F3"/>
    <w:rsid w:val="00650215"/>
    <w:rsid w:val="0065031F"/>
    <w:rsid w:val="00650738"/>
    <w:rsid w:val="0065093F"/>
    <w:rsid w:val="00650CD7"/>
    <w:rsid w:val="00651341"/>
    <w:rsid w:val="00651E08"/>
    <w:rsid w:val="00652728"/>
    <w:rsid w:val="00652B25"/>
    <w:rsid w:val="00652BB4"/>
    <w:rsid w:val="00652E21"/>
    <w:rsid w:val="006538FD"/>
    <w:rsid w:val="0065404B"/>
    <w:rsid w:val="006548B8"/>
    <w:rsid w:val="00655EA9"/>
    <w:rsid w:val="00655F71"/>
    <w:rsid w:val="00655FF5"/>
    <w:rsid w:val="00656961"/>
    <w:rsid w:val="00656B7E"/>
    <w:rsid w:val="0066026C"/>
    <w:rsid w:val="006614E6"/>
    <w:rsid w:val="00661742"/>
    <w:rsid w:val="00661E69"/>
    <w:rsid w:val="006621E5"/>
    <w:rsid w:val="00662E03"/>
    <w:rsid w:val="00663442"/>
    <w:rsid w:val="00663657"/>
    <w:rsid w:val="00663ED6"/>
    <w:rsid w:val="00664091"/>
    <w:rsid w:val="00664567"/>
    <w:rsid w:val="006645BB"/>
    <w:rsid w:val="006647CF"/>
    <w:rsid w:val="00664A0E"/>
    <w:rsid w:val="00664D24"/>
    <w:rsid w:val="00664DC0"/>
    <w:rsid w:val="006659FE"/>
    <w:rsid w:val="006662D9"/>
    <w:rsid w:val="0066647F"/>
    <w:rsid w:val="00666C8F"/>
    <w:rsid w:val="00666DCA"/>
    <w:rsid w:val="00666FB3"/>
    <w:rsid w:val="0066717D"/>
    <w:rsid w:val="00667396"/>
    <w:rsid w:val="00667599"/>
    <w:rsid w:val="006678BB"/>
    <w:rsid w:val="00667F99"/>
    <w:rsid w:val="006700B2"/>
    <w:rsid w:val="00671290"/>
    <w:rsid w:val="0067174F"/>
    <w:rsid w:val="00671DA0"/>
    <w:rsid w:val="00671F37"/>
    <w:rsid w:val="006722DD"/>
    <w:rsid w:val="0067235D"/>
    <w:rsid w:val="00672F55"/>
    <w:rsid w:val="00672F76"/>
    <w:rsid w:val="00673511"/>
    <w:rsid w:val="00673642"/>
    <w:rsid w:val="00673AEF"/>
    <w:rsid w:val="00673EB8"/>
    <w:rsid w:val="006744AC"/>
    <w:rsid w:val="006744B0"/>
    <w:rsid w:val="006744FD"/>
    <w:rsid w:val="00674982"/>
    <w:rsid w:val="00674FF2"/>
    <w:rsid w:val="00675283"/>
    <w:rsid w:val="00675A11"/>
    <w:rsid w:val="00676B98"/>
    <w:rsid w:val="00677035"/>
    <w:rsid w:val="0068060F"/>
    <w:rsid w:val="00680AF5"/>
    <w:rsid w:val="00680D51"/>
    <w:rsid w:val="00680E41"/>
    <w:rsid w:val="00680F28"/>
    <w:rsid w:val="00681B87"/>
    <w:rsid w:val="00681C83"/>
    <w:rsid w:val="00681D82"/>
    <w:rsid w:val="0068234C"/>
    <w:rsid w:val="0068234D"/>
    <w:rsid w:val="006823AB"/>
    <w:rsid w:val="0068285B"/>
    <w:rsid w:val="00682A34"/>
    <w:rsid w:val="00682D40"/>
    <w:rsid w:val="00682FEA"/>
    <w:rsid w:val="00683136"/>
    <w:rsid w:val="00683651"/>
    <w:rsid w:val="00683921"/>
    <w:rsid w:val="00683C72"/>
    <w:rsid w:val="0068404C"/>
    <w:rsid w:val="006840FC"/>
    <w:rsid w:val="00684623"/>
    <w:rsid w:val="006847C5"/>
    <w:rsid w:val="00684871"/>
    <w:rsid w:val="00684BE4"/>
    <w:rsid w:val="00684C73"/>
    <w:rsid w:val="00684D1B"/>
    <w:rsid w:val="00684F20"/>
    <w:rsid w:val="00684FE1"/>
    <w:rsid w:val="00685420"/>
    <w:rsid w:val="0068552C"/>
    <w:rsid w:val="006855EE"/>
    <w:rsid w:val="00685B79"/>
    <w:rsid w:val="00685C5C"/>
    <w:rsid w:val="00686898"/>
    <w:rsid w:val="00686A98"/>
    <w:rsid w:val="00686CF7"/>
    <w:rsid w:val="00687951"/>
    <w:rsid w:val="00687A4F"/>
    <w:rsid w:val="00687B75"/>
    <w:rsid w:val="00687D48"/>
    <w:rsid w:val="00690C1B"/>
    <w:rsid w:val="00690CC4"/>
    <w:rsid w:val="00690CEB"/>
    <w:rsid w:val="00691047"/>
    <w:rsid w:val="006917CF"/>
    <w:rsid w:val="00691F01"/>
    <w:rsid w:val="0069206B"/>
    <w:rsid w:val="00692D27"/>
    <w:rsid w:val="006934D4"/>
    <w:rsid w:val="00693FEF"/>
    <w:rsid w:val="00694594"/>
    <w:rsid w:val="00694BD3"/>
    <w:rsid w:val="00694C70"/>
    <w:rsid w:val="006957FD"/>
    <w:rsid w:val="00695A31"/>
    <w:rsid w:val="006960EB"/>
    <w:rsid w:val="006963EA"/>
    <w:rsid w:val="0069760A"/>
    <w:rsid w:val="006976BB"/>
    <w:rsid w:val="00697969"/>
    <w:rsid w:val="00697C52"/>
    <w:rsid w:val="006A0829"/>
    <w:rsid w:val="006A161C"/>
    <w:rsid w:val="006A1CFD"/>
    <w:rsid w:val="006A2096"/>
    <w:rsid w:val="006A2419"/>
    <w:rsid w:val="006A2890"/>
    <w:rsid w:val="006A3369"/>
    <w:rsid w:val="006A4360"/>
    <w:rsid w:val="006A43E8"/>
    <w:rsid w:val="006A4948"/>
    <w:rsid w:val="006A4E4E"/>
    <w:rsid w:val="006A5F7C"/>
    <w:rsid w:val="006A6565"/>
    <w:rsid w:val="006A7365"/>
    <w:rsid w:val="006A763D"/>
    <w:rsid w:val="006A7CAA"/>
    <w:rsid w:val="006A7E85"/>
    <w:rsid w:val="006B01C7"/>
    <w:rsid w:val="006B05F9"/>
    <w:rsid w:val="006B13FF"/>
    <w:rsid w:val="006B1BCA"/>
    <w:rsid w:val="006B25A0"/>
    <w:rsid w:val="006B270A"/>
    <w:rsid w:val="006B2761"/>
    <w:rsid w:val="006B30AD"/>
    <w:rsid w:val="006B3281"/>
    <w:rsid w:val="006B4171"/>
    <w:rsid w:val="006B4DEB"/>
    <w:rsid w:val="006B5348"/>
    <w:rsid w:val="006B570C"/>
    <w:rsid w:val="006B59F6"/>
    <w:rsid w:val="006B5E4A"/>
    <w:rsid w:val="006B685D"/>
    <w:rsid w:val="006B6A77"/>
    <w:rsid w:val="006B6AD1"/>
    <w:rsid w:val="006B6CF2"/>
    <w:rsid w:val="006B71B6"/>
    <w:rsid w:val="006B765F"/>
    <w:rsid w:val="006B7F5A"/>
    <w:rsid w:val="006C0537"/>
    <w:rsid w:val="006C0608"/>
    <w:rsid w:val="006C0725"/>
    <w:rsid w:val="006C0E9F"/>
    <w:rsid w:val="006C11D9"/>
    <w:rsid w:val="006C1A1D"/>
    <w:rsid w:val="006C236A"/>
    <w:rsid w:val="006C2498"/>
    <w:rsid w:val="006C25C5"/>
    <w:rsid w:val="006C2664"/>
    <w:rsid w:val="006C28D6"/>
    <w:rsid w:val="006C2990"/>
    <w:rsid w:val="006C29BB"/>
    <w:rsid w:val="006C2BF4"/>
    <w:rsid w:val="006C2F01"/>
    <w:rsid w:val="006C310C"/>
    <w:rsid w:val="006C3785"/>
    <w:rsid w:val="006C3E1F"/>
    <w:rsid w:val="006C3FC5"/>
    <w:rsid w:val="006C4114"/>
    <w:rsid w:val="006C4568"/>
    <w:rsid w:val="006C468D"/>
    <w:rsid w:val="006C59BA"/>
    <w:rsid w:val="006C5A9E"/>
    <w:rsid w:val="006C5D57"/>
    <w:rsid w:val="006C5FF3"/>
    <w:rsid w:val="006C60CB"/>
    <w:rsid w:val="006C650B"/>
    <w:rsid w:val="006C6938"/>
    <w:rsid w:val="006C6A42"/>
    <w:rsid w:val="006C6B19"/>
    <w:rsid w:val="006C6E80"/>
    <w:rsid w:val="006C7027"/>
    <w:rsid w:val="006C76DC"/>
    <w:rsid w:val="006C7725"/>
    <w:rsid w:val="006C781D"/>
    <w:rsid w:val="006D1134"/>
    <w:rsid w:val="006D19AE"/>
    <w:rsid w:val="006D1C09"/>
    <w:rsid w:val="006D249F"/>
    <w:rsid w:val="006D28BD"/>
    <w:rsid w:val="006D2962"/>
    <w:rsid w:val="006D29C7"/>
    <w:rsid w:val="006D35D1"/>
    <w:rsid w:val="006D3799"/>
    <w:rsid w:val="006D42F4"/>
    <w:rsid w:val="006D4A26"/>
    <w:rsid w:val="006D5259"/>
    <w:rsid w:val="006D52EC"/>
    <w:rsid w:val="006D53BF"/>
    <w:rsid w:val="006D5C75"/>
    <w:rsid w:val="006D6480"/>
    <w:rsid w:val="006D64B1"/>
    <w:rsid w:val="006D77F8"/>
    <w:rsid w:val="006E0067"/>
    <w:rsid w:val="006E07E8"/>
    <w:rsid w:val="006E0AFD"/>
    <w:rsid w:val="006E0B6F"/>
    <w:rsid w:val="006E0BA4"/>
    <w:rsid w:val="006E0C3E"/>
    <w:rsid w:val="006E1090"/>
    <w:rsid w:val="006E214E"/>
    <w:rsid w:val="006E2F21"/>
    <w:rsid w:val="006E42AC"/>
    <w:rsid w:val="006E47D4"/>
    <w:rsid w:val="006E4D88"/>
    <w:rsid w:val="006E4F11"/>
    <w:rsid w:val="006E504C"/>
    <w:rsid w:val="006E6758"/>
    <w:rsid w:val="006E693A"/>
    <w:rsid w:val="006E6CD1"/>
    <w:rsid w:val="006E70AC"/>
    <w:rsid w:val="006E7435"/>
    <w:rsid w:val="006F0279"/>
    <w:rsid w:val="006F0ECE"/>
    <w:rsid w:val="006F151D"/>
    <w:rsid w:val="006F1961"/>
    <w:rsid w:val="006F1CD5"/>
    <w:rsid w:val="006F201B"/>
    <w:rsid w:val="006F20BA"/>
    <w:rsid w:val="006F2E83"/>
    <w:rsid w:val="006F2FA0"/>
    <w:rsid w:val="006F3417"/>
    <w:rsid w:val="006F3A99"/>
    <w:rsid w:val="006F3F69"/>
    <w:rsid w:val="006F4575"/>
    <w:rsid w:val="006F4FE2"/>
    <w:rsid w:val="006F592E"/>
    <w:rsid w:val="006F5B9A"/>
    <w:rsid w:val="006F6344"/>
    <w:rsid w:val="006F649E"/>
    <w:rsid w:val="006F655F"/>
    <w:rsid w:val="006F6874"/>
    <w:rsid w:val="006F6B7A"/>
    <w:rsid w:val="0070021B"/>
    <w:rsid w:val="00700DDE"/>
    <w:rsid w:val="007012B8"/>
    <w:rsid w:val="0070214F"/>
    <w:rsid w:val="00702396"/>
    <w:rsid w:val="007028BF"/>
    <w:rsid w:val="00702D4B"/>
    <w:rsid w:val="007030FE"/>
    <w:rsid w:val="0070334C"/>
    <w:rsid w:val="00703420"/>
    <w:rsid w:val="007034EE"/>
    <w:rsid w:val="00703907"/>
    <w:rsid w:val="00703D90"/>
    <w:rsid w:val="007040AA"/>
    <w:rsid w:val="00704387"/>
    <w:rsid w:val="007048FA"/>
    <w:rsid w:val="007050C7"/>
    <w:rsid w:val="0070588C"/>
    <w:rsid w:val="007058D8"/>
    <w:rsid w:val="007062A0"/>
    <w:rsid w:val="0070658B"/>
    <w:rsid w:val="0070660A"/>
    <w:rsid w:val="00706A27"/>
    <w:rsid w:val="00706A6C"/>
    <w:rsid w:val="00706F07"/>
    <w:rsid w:val="00707C82"/>
    <w:rsid w:val="00707E4A"/>
    <w:rsid w:val="00707FFE"/>
    <w:rsid w:val="007102F6"/>
    <w:rsid w:val="007104C2"/>
    <w:rsid w:val="007109D7"/>
    <w:rsid w:val="00710CB6"/>
    <w:rsid w:val="00710DCE"/>
    <w:rsid w:val="00711621"/>
    <w:rsid w:val="0071270C"/>
    <w:rsid w:val="007134CB"/>
    <w:rsid w:val="00713BE7"/>
    <w:rsid w:val="007143E4"/>
    <w:rsid w:val="00714F53"/>
    <w:rsid w:val="00714F84"/>
    <w:rsid w:val="007150C6"/>
    <w:rsid w:val="007153BF"/>
    <w:rsid w:val="00715624"/>
    <w:rsid w:val="007161EF"/>
    <w:rsid w:val="007165F3"/>
    <w:rsid w:val="0071755D"/>
    <w:rsid w:val="00717569"/>
    <w:rsid w:val="00717573"/>
    <w:rsid w:val="00717B10"/>
    <w:rsid w:val="00717FC5"/>
    <w:rsid w:val="00720060"/>
    <w:rsid w:val="00720C07"/>
    <w:rsid w:val="00720F55"/>
    <w:rsid w:val="007215AD"/>
    <w:rsid w:val="007217CE"/>
    <w:rsid w:val="007222F8"/>
    <w:rsid w:val="0072283D"/>
    <w:rsid w:val="00723343"/>
    <w:rsid w:val="007233AF"/>
    <w:rsid w:val="007236AB"/>
    <w:rsid w:val="00723890"/>
    <w:rsid w:val="00723C33"/>
    <w:rsid w:val="00723D8E"/>
    <w:rsid w:val="00725015"/>
    <w:rsid w:val="007254E8"/>
    <w:rsid w:val="00725BFD"/>
    <w:rsid w:val="00725FF3"/>
    <w:rsid w:val="007266D1"/>
    <w:rsid w:val="00727131"/>
    <w:rsid w:val="00727173"/>
    <w:rsid w:val="00730759"/>
    <w:rsid w:val="00731036"/>
    <w:rsid w:val="007320C8"/>
    <w:rsid w:val="007321E0"/>
    <w:rsid w:val="00732623"/>
    <w:rsid w:val="0073319F"/>
    <w:rsid w:val="007331FA"/>
    <w:rsid w:val="00733C73"/>
    <w:rsid w:val="007340FF"/>
    <w:rsid w:val="007345FA"/>
    <w:rsid w:val="00734988"/>
    <w:rsid w:val="007349D2"/>
    <w:rsid w:val="00735157"/>
    <w:rsid w:val="00736F0B"/>
    <w:rsid w:val="00736F70"/>
    <w:rsid w:val="007372F3"/>
    <w:rsid w:val="00737568"/>
    <w:rsid w:val="00737849"/>
    <w:rsid w:val="00737A6B"/>
    <w:rsid w:val="00740753"/>
    <w:rsid w:val="00741367"/>
    <w:rsid w:val="007421DB"/>
    <w:rsid w:val="00742506"/>
    <w:rsid w:val="0074292C"/>
    <w:rsid w:val="00742E28"/>
    <w:rsid w:val="00742F61"/>
    <w:rsid w:val="00742F9E"/>
    <w:rsid w:val="007435AA"/>
    <w:rsid w:val="00743797"/>
    <w:rsid w:val="00743B19"/>
    <w:rsid w:val="0074405A"/>
    <w:rsid w:val="007440F8"/>
    <w:rsid w:val="00744135"/>
    <w:rsid w:val="00744482"/>
    <w:rsid w:val="0074449A"/>
    <w:rsid w:val="0074455A"/>
    <w:rsid w:val="00744718"/>
    <w:rsid w:val="00744848"/>
    <w:rsid w:val="00744B55"/>
    <w:rsid w:val="00744E74"/>
    <w:rsid w:val="00744F09"/>
    <w:rsid w:val="00745253"/>
    <w:rsid w:val="007461F4"/>
    <w:rsid w:val="00746705"/>
    <w:rsid w:val="007467AC"/>
    <w:rsid w:val="00746938"/>
    <w:rsid w:val="00746C9B"/>
    <w:rsid w:val="00747AB8"/>
    <w:rsid w:val="00747F0D"/>
    <w:rsid w:val="00747FFC"/>
    <w:rsid w:val="00750112"/>
    <w:rsid w:val="007505CF"/>
    <w:rsid w:val="00750FBA"/>
    <w:rsid w:val="007514A1"/>
    <w:rsid w:val="00751A84"/>
    <w:rsid w:val="00751CE9"/>
    <w:rsid w:val="00751F00"/>
    <w:rsid w:val="00752399"/>
    <w:rsid w:val="007525AE"/>
    <w:rsid w:val="00752A7B"/>
    <w:rsid w:val="00752AD1"/>
    <w:rsid w:val="00752DBE"/>
    <w:rsid w:val="0075404C"/>
    <w:rsid w:val="007558B8"/>
    <w:rsid w:val="00755C99"/>
    <w:rsid w:val="00755DD7"/>
    <w:rsid w:val="007567C6"/>
    <w:rsid w:val="00757313"/>
    <w:rsid w:val="00757611"/>
    <w:rsid w:val="00757862"/>
    <w:rsid w:val="0076032B"/>
    <w:rsid w:val="007603FF"/>
    <w:rsid w:val="0076064C"/>
    <w:rsid w:val="00760ABF"/>
    <w:rsid w:val="00761129"/>
    <w:rsid w:val="00761B25"/>
    <w:rsid w:val="00761ED4"/>
    <w:rsid w:val="007620B8"/>
    <w:rsid w:val="0076251F"/>
    <w:rsid w:val="007626B8"/>
    <w:rsid w:val="00763197"/>
    <w:rsid w:val="007631C1"/>
    <w:rsid w:val="0076351C"/>
    <w:rsid w:val="007638E7"/>
    <w:rsid w:val="00763F55"/>
    <w:rsid w:val="007640A8"/>
    <w:rsid w:val="00764375"/>
    <w:rsid w:val="00765366"/>
    <w:rsid w:val="00765737"/>
    <w:rsid w:val="00765792"/>
    <w:rsid w:val="00765818"/>
    <w:rsid w:val="00765BC9"/>
    <w:rsid w:val="00765E2A"/>
    <w:rsid w:val="00766569"/>
    <w:rsid w:val="00766589"/>
    <w:rsid w:val="007668FB"/>
    <w:rsid w:val="00766A9F"/>
    <w:rsid w:val="00767091"/>
    <w:rsid w:val="00767631"/>
    <w:rsid w:val="00767827"/>
    <w:rsid w:val="00770322"/>
    <w:rsid w:val="007704AB"/>
    <w:rsid w:val="00770506"/>
    <w:rsid w:val="00770CF6"/>
    <w:rsid w:val="007719D3"/>
    <w:rsid w:val="00772221"/>
    <w:rsid w:val="0077229C"/>
    <w:rsid w:val="00772A28"/>
    <w:rsid w:val="00774227"/>
    <w:rsid w:val="00774240"/>
    <w:rsid w:val="00774579"/>
    <w:rsid w:val="007745F6"/>
    <w:rsid w:val="00774805"/>
    <w:rsid w:val="00774A7B"/>
    <w:rsid w:val="00774E76"/>
    <w:rsid w:val="0077574B"/>
    <w:rsid w:val="0077622B"/>
    <w:rsid w:val="007764A9"/>
    <w:rsid w:val="0077709F"/>
    <w:rsid w:val="007770C6"/>
    <w:rsid w:val="00777119"/>
    <w:rsid w:val="007771C2"/>
    <w:rsid w:val="007771FA"/>
    <w:rsid w:val="00777390"/>
    <w:rsid w:val="007774C3"/>
    <w:rsid w:val="007777A7"/>
    <w:rsid w:val="00777EF7"/>
    <w:rsid w:val="00780970"/>
    <w:rsid w:val="007812C4"/>
    <w:rsid w:val="007814C9"/>
    <w:rsid w:val="00781A33"/>
    <w:rsid w:val="00782503"/>
    <w:rsid w:val="00782830"/>
    <w:rsid w:val="00782FF9"/>
    <w:rsid w:val="00783492"/>
    <w:rsid w:val="00783550"/>
    <w:rsid w:val="0078374F"/>
    <w:rsid w:val="0078422D"/>
    <w:rsid w:val="00784650"/>
    <w:rsid w:val="00785614"/>
    <w:rsid w:val="007856E6"/>
    <w:rsid w:val="007862FE"/>
    <w:rsid w:val="00786318"/>
    <w:rsid w:val="00786390"/>
    <w:rsid w:val="00787578"/>
    <w:rsid w:val="00787729"/>
    <w:rsid w:val="00787B0F"/>
    <w:rsid w:val="00787F69"/>
    <w:rsid w:val="007900C8"/>
    <w:rsid w:val="0079022A"/>
    <w:rsid w:val="0079035C"/>
    <w:rsid w:val="0079078A"/>
    <w:rsid w:val="00790A4A"/>
    <w:rsid w:val="00790ECD"/>
    <w:rsid w:val="007917EF"/>
    <w:rsid w:val="00792B0B"/>
    <w:rsid w:val="007932B5"/>
    <w:rsid w:val="00793AD5"/>
    <w:rsid w:val="00794491"/>
    <w:rsid w:val="007950B2"/>
    <w:rsid w:val="007955B1"/>
    <w:rsid w:val="00795D3E"/>
    <w:rsid w:val="007961E6"/>
    <w:rsid w:val="007966BE"/>
    <w:rsid w:val="0079712A"/>
    <w:rsid w:val="0079722E"/>
    <w:rsid w:val="00797997"/>
    <w:rsid w:val="00797EE3"/>
    <w:rsid w:val="007A04E4"/>
    <w:rsid w:val="007A062A"/>
    <w:rsid w:val="007A08CA"/>
    <w:rsid w:val="007A0E0E"/>
    <w:rsid w:val="007A1057"/>
    <w:rsid w:val="007A1197"/>
    <w:rsid w:val="007A1349"/>
    <w:rsid w:val="007A1654"/>
    <w:rsid w:val="007A1B5D"/>
    <w:rsid w:val="007A1D4F"/>
    <w:rsid w:val="007A1ED7"/>
    <w:rsid w:val="007A22F9"/>
    <w:rsid w:val="007A2400"/>
    <w:rsid w:val="007A29CA"/>
    <w:rsid w:val="007A2C17"/>
    <w:rsid w:val="007A2F65"/>
    <w:rsid w:val="007A31B7"/>
    <w:rsid w:val="007A34F0"/>
    <w:rsid w:val="007A3C27"/>
    <w:rsid w:val="007A3C4B"/>
    <w:rsid w:val="007A40E2"/>
    <w:rsid w:val="007A45A6"/>
    <w:rsid w:val="007A4B60"/>
    <w:rsid w:val="007A53D6"/>
    <w:rsid w:val="007A63FF"/>
    <w:rsid w:val="007A64BA"/>
    <w:rsid w:val="007A66A1"/>
    <w:rsid w:val="007A67D6"/>
    <w:rsid w:val="007A748F"/>
    <w:rsid w:val="007A7522"/>
    <w:rsid w:val="007A7591"/>
    <w:rsid w:val="007A7757"/>
    <w:rsid w:val="007B01E8"/>
    <w:rsid w:val="007B0677"/>
    <w:rsid w:val="007B0803"/>
    <w:rsid w:val="007B100C"/>
    <w:rsid w:val="007B1148"/>
    <w:rsid w:val="007B1430"/>
    <w:rsid w:val="007B1AC1"/>
    <w:rsid w:val="007B2B0C"/>
    <w:rsid w:val="007B2C5F"/>
    <w:rsid w:val="007B2DC7"/>
    <w:rsid w:val="007B2FBD"/>
    <w:rsid w:val="007B309C"/>
    <w:rsid w:val="007B3BA0"/>
    <w:rsid w:val="007B46B9"/>
    <w:rsid w:val="007B498C"/>
    <w:rsid w:val="007B4E02"/>
    <w:rsid w:val="007B553A"/>
    <w:rsid w:val="007B6245"/>
    <w:rsid w:val="007B6924"/>
    <w:rsid w:val="007C05E5"/>
    <w:rsid w:val="007C088E"/>
    <w:rsid w:val="007C0E64"/>
    <w:rsid w:val="007C0EF2"/>
    <w:rsid w:val="007C19C4"/>
    <w:rsid w:val="007C1D16"/>
    <w:rsid w:val="007C1D86"/>
    <w:rsid w:val="007C1E01"/>
    <w:rsid w:val="007C2EE5"/>
    <w:rsid w:val="007C34C4"/>
    <w:rsid w:val="007C3530"/>
    <w:rsid w:val="007C389D"/>
    <w:rsid w:val="007C3C40"/>
    <w:rsid w:val="007C3F78"/>
    <w:rsid w:val="007C40EC"/>
    <w:rsid w:val="007C4176"/>
    <w:rsid w:val="007C43B0"/>
    <w:rsid w:val="007C48B9"/>
    <w:rsid w:val="007C49AC"/>
    <w:rsid w:val="007C4EBA"/>
    <w:rsid w:val="007C5750"/>
    <w:rsid w:val="007C5D7D"/>
    <w:rsid w:val="007C5E0B"/>
    <w:rsid w:val="007C6483"/>
    <w:rsid w:val="007C6607"/>
    <w:rsid w:val="007C6733"/>
    <w:rsid w:val="007C70F9"/>
    <w:rsid w:val="007C726D"/>
    <w:rsid w:val="007C7C81"/>
    <w:rsid w:val="007C7C93"/>
    <w:rsid w:val="007D0244"/>
    <w:rsid w:val="007D05BC"/>
    <w:rsid w:val="007D0987"/>
    <w:rsid w:val="007D0B38"/>
    <w:rsid w:val="007D15FE"/>
    <w:rsid w:val="007D18DF"/>
    <w:rsid w:val="007D1AE2"/>
    <w:rsid w:val="007D1BDA"/>
    <w:rsid w:val="007D1DFC"/>
    <w:rsid w:val="007D251A"/>
    <w:rsid w:val="007D2B98"/>
    <w:rsid w:val="007D2F7E"/>
    <w:rsid w:val="007D3126"/>
    <w:rsid w:val="007D363C"/>
    <w:rsid w:val="007D39CE"/>
    <w:rsid w:val="007D3B53"/>
    <w:rsid w:val="007D3EC2"/>
    <w:rsid w:val="007D4146"/>
    <w:rsid w:val="007D42C6"/>
    <w:rsid w:val="007D44C4"/>
    <w:rsid w:val="007D4CAA"/>
    <w:rsid w:val="007D4D7C"/>
    <w:rsid w:val="007D50B9"/>
    <w:rsid w:val="007D5C02"/>
    <w:rsid w:val="007D6987"/>
    <w:rsid w:val="007D6AD1"/>
    <w:rsid w:val="007D7449"/>
    <w:rsid w:val="007D7EA1"/>
    <w:rsid w:val="007D7EE3"/>
    <w:rsid w:val="007D7F74"/>
    <w:rsid w:val="007E0113"/>
    <w:rsid w:val="007E110A"/>
    <w:rsid w:val="007E12CD"/>
    <w:rsid w:val="007E146D"/>
    <w:rsid w:val="007E1669"/>
    <w:rsid w:val="007E207B"/>
    <w:rsid w:val="007E22DF"/>
    <w:rsid w:val="007E24A3"/>
    <w:rsid w:val="007E24CE"/>
    <w:rsid w:val="007E2903"/>
    <w:rsid w:val="007E3BF4"/>
    <w:rsid w:val="007E3F8F"/>
    <w:rsid w:val="007E4250"/>
    <w:rsid w:val="007E467D"/>
    <w:rsid w:val="007E4881"/>
    <w:rsid w:val="007E48AB"/>
    <w:rsid w:val="007E490A"/>
    <w:rsid w:val="007E4F1C"/>
    <w:rsid w:val="007E519A"/>
    <w:rsid w:val="007E5640"/>
    <w:rsid w:val="007E58AE"/>
    <w:rsid w:val="007E5DD4"/>
    <w:rsid w:val="007E6100"/>
    <w:rsid w:val="007E6185"/>
    <w:rsid w:val="007E6AE6"/>
    <w:rsid w:val="007E6DE3"/>
    <w:rsid w:val="007E6F1A"/>
    <w:rsid w:val="007E72FB"/>
    <w:rsid w:val="007E755D"/>
    <w:rsid w:val="007E7613"/>
    <w:rsid w:val="007F0574"/>
    <w:rsid w:val="007F0A88"/>
    <w:rsid w:val="007F120A"/>
    <w:rsid w:val="007F196A"/>
    <w:rsid w:val="007F1A88"/>
    <w:rsid w:val="007F1CE1"/>
    <w:rsid w:val="007F239C"/>
    <w:rsid w:val="007F23E6"/>
    <w:rsid w:val="007F2456"/>
    <w:rsid w:val="007F2704"/>
    <w:rsid w:val="007F2798"/>
    <w:rsid w:val="007F2B6B"/>
    <w:rsid w:val="007F2E81"/>
    <w:rsid w:val="007F2FA3"/>
    <w:rsid w:val="007F325E"/>
    <w:rsid w:val="007F352D"/>
    <w:rsid w:val="007F391B"/>
    <w:rsid w:val="007F4097"/>
    <w:rsid w:val="007F40EC"/>
    <w:rsid w:val="007F42B0"/>
    <w:rsid w:val="007F4AF3"/>
    <w:rsid w:val="007F4B00"/>
    <w:rsid w:val="007F5317"/>
    <w:rsid w:val="007F55F5"/>
    <w:rsid w:val="007F5915"/>
    <w:rsid w:val="007F5B5C"/>
    <w:rsid w:val="007F646A"/>
    <w:rsid w:val="007F70AA"/>
    <w:rsid w:val="007F7406"/>
    <w:rsid w:val="007F74B2"/>
    <w:rsid w:val="007F75E3"/>
    <w:rsid w:val="007F766D"/>
    <w:rsid w:val="00800204"/>
    <w:rsid w:val="00800516"/>
    <w:rsid w:val="00801AD6"/>
    <w:rsid w:val="00801F01"/>
    <w:rsid w:val="00802046"/>
    <w:rsid w:val="008020CA"/>
    <w:rsid w:val="0080259A"/>
    <w:rsid w:val="008027B8"/>
    <w:rsid w:val="0080282E"/>
    <w:rsid w:val="008033C3"/>
    <w:rsid w:val="008033FE"/>
    <w:rsid w:val="00804139"/>
    <w:rsid w:val="008046B3"/>
    <w:rsid w:val="0080552E"/>
    <w:rsid w:val="00805B7A"/>
    <w:rsid w:val="00806D30"/>
    <w:rsid w:val="00807106"/>
    <w:rsid w:val="00810189"/>
    <w:rsid w:val="00810D39"/>
    <w:rsid w:val="00811613"/>
    <w:rsid w:val="00811C01"/>
    <w:rsid w:val="00811C28"/>
    <w:rsid w:val="00811CF7"/>
    <w:rsid w:val="00812390"/>
    <w:rsid w:val="00812617"/>
    <w:rsid w:val="008126B8"/>
    <w:rsid w:val="00812CBE"/>
    <w:rsid w:val="00812E72"/>
    <w:rsid w:val="00813203"/>
    <w:rsid w:val="0081324E"/>
    <w:rsid w:val="00813437"/>
    <w:rsid w:val="0081347E"/>
    <w:rsid w:val="00813857"/>
    <w:rsid w:val="00813BFC"/>
    <w:rsid w:val="00813DA8"/>
    <w:rsid w:val="00813EF6"/>
    <w:rsid w:val="00813F5D"/>
    <w:rsid w:val="0081445F"/>
    <w:rsid w:val="008144FE"/>
    <w:rsid w:val="008149BA"/>
    <w:rsid w:val="00814CF6"/>
    <w:rsid w:val="00814E30"/>
    <w:rsid w:val="00814E79"/>
    <w:rsid w:val="00815346"/>
    <w:rsid w:val="0081557C"/>
    <w:rsid w:val="00816C6F"/>
    <w:rsid w:val="00816E58"/>
    <w:rsid w:val="0081730C"/>
    <w:rsid w:val="0081739D"/>
    <w:rsid w:val="00817526"/>
    <w:rsid w:val="00817DDA"/>
    <w:rsid w:val="008203C0"/>
    <w:rsid w:val="008204FA"/>
    <w:rsid w:val="0082057F"/>
    <w:rsid w:val="00820829"/>
    <w:rsid w:val="00820AC0"/>
    <w:rsid w:val="00820E5C"/>
    <w:rsid w:val="00821266"/>
    <w:rsid w:val="00821ED3"/>
    <w:rsid w:val="008222AC"/>
    <w:rsid w:val="008233C4"/>
    <w:rsid w:val="00823C9B"/>
    <w:rsid w:val="00824D16"/>
    <w:rsid w:val="00825348"/>
    <w:rsid w:val="00825FDD"/>
    <w:rsid w:val="0082603F"/>
    <w:rsid w:val="0082667F"/>
    <w:rsid w:val="008269E4"/>
    <w:rsid w:val="008273C3"/>
    <w:rsid w:val="00827614"/>
    <w:rsid w:val="00827E24"/>
    <w:rsid w:val="00830DD9"/>
    <w:rsid w:val="00831230"/>
    <w:rsid w:val="008312A0"/>
    <w:rsid w:val="0083141C"/>
    <w:rsid w:val="008315D7"/>
    <w:rsid w:val="0083186F"/>
    <w:rsid w:val="00831872"/>
    <w:rsid w:val="00831FC3"/>
    <w:rsid w:val="008324E3"/>
    <w:rsid w:val="00832DBA"/>
    <w:rsid w:val="0083314C"/>
    <w:rsid w:val="00833A3E"/>
    <w:rsid w:val="008341ED"/>
    <w:rsid w:val="008343DE"/>
    <w:rsid w:val="008348B0"/>
    <w:rsid w:val="00834976"/>
    <w:rsid w:val="00834E7E"/>
    <w:rsid w:val="008353FE"/>
    <w:rsid w:val="00835618"/>
    <w:rsid w:val="0083594B"/>
    <w:rsid w:val="00835C3C"/>
    <w:rsid w:val="0083604E"/>
    <w:rsid w:val="008363E6"/>
    <w:rsid w:val="00837882"/>
    <w:rsid w:val="008379F2"/>
    <w:rsid w:val="00837EDF"/>
    <w:rsid w:val="0084031C"/>
    <w:rsid w:val="0084044E"/>
    <w:rsid w:val="0084049B"/>
    <w:rsid w:val="00840A6E"/>
    <w:rsid w:val="0084115F"/>
    <w:rsid w:val="008416B4"/>
    <w:rsid w:val="00841975"/>
    <w:rsid w:val="00841FBE"/>
    <w:rsid w:val="0084279E"/>
    <w:rsid w:val="00842B22"/>
    <w:rsid w:val="00842C6A"/>
    <w:rsid w:val="00843327"/>
    <w:rsid w:val="008439D5"/>
    <w:rsid w:val="00843DF1"/>
    <w:rsid w:val="00843F0C"/>
    <w:rsid w:val="00843FA7"/>
    <w:rsid w:val="0084436D"/>
    <w:rsid w:val="00844D07"/>
    <w:rsid w:val="00845240"/>
    <w:rsid w:val="00845827"/>
    <w:rsid w:val="00845CDF"/>
    <w:rsid w:val="008465AF"/>
    <w:rsid w:val="008467AB"/>
    <w:rsid w:val="00846B49"/>
    <w:rsid w:val="00847737"/>
    <w:rsid w:val="00847D64"/>
    <w:rsid w:val="00847E60"/>
    <w:rsid w:val="00850510"/>
    <w:rsid w:val="0085093F"/>
    <w:rsid w:val="00851238"/>
    <w:rsid w:val="008513DC"/>
    <w:rsid w:val="00851DC3"/>
    <w:rsid w:val="00852210"/>
    <w:rsid w:val="00853140"/>
    <w:rsid w:val="0085346A"/>
    <w:rsid w:val="00853A11"/>
    <w:rsid w:val="00854846"/>
    <w:rsid w:val="00854C73"/>
    <w:rsid w:val="008551B0"/>
    <w:rsid w:val="00856025"/>
    <w:rsid w:val="00856754"/>
    <w:rsid w:val="0085712D"/>
    <w:rsid w:val="008571E7"/>
    <w:rsid w:val="0085777C"/>
    <w:rsid w:val="00857C61"/>
    <w:rsid w:val="00857CB8"/>
    <w:rsid w:val="00857E67"/>
    <w:rsid w:val="008601E3"/>
    <w:rsid w:val="00860294"/>
    <w:rsid w:val="00860AB2"/>
    <w:rsid w:val="00860D14"/>
    <w:rsid w:val="00860D6A"/>
    <w:rsid w:val="00861261"/>
    <w:rsid w:val="008615D8"/>
    <w:rsid w:val="00861E3F"/>
    <w:rsid w:val="00862171"/>
    <w:rsid w:val="008621B6"/>
    <w:rsid w:val="00862374"/>
    <w:rsid w:val="00862D00"/>
    <w:rsid w:val="008630B0"/>
    <w:rsid w:val="00863945"/>
    <w:rsid w:val="00863E93"/>
    <w:rsid w:val="00864D96"/>
    <w:rsid w:val="00865A96"/>
    <w:rsid w:val="00865CC2"/>
    <w:rsid w:val="00866402"/>
    <w:rsid w:val="00866425"/>
    <w:rsid w:val="008664C0"/>
    <w:rsid w:val="00866505"/>
    <w:rsid w:val="0086705E"/>
    <w:rsid w:val="00867315"/>
    <w:rsid w:val="0086791D"/>
    <w:rsid w:val="0086795E"/>
    <w:rsid w:val="00867AC8"/>
    <w:rsid w:val="00867C57"/>
    <w:rsid w:val="00870767"/>
    <w:rsid w:val="0087086A"/>
    <w:rsid w:val="00870930"/>
    <w:rsid w:val="0087180F"/>
    <w:rsid w:val="00871F13"/>
    <w:rsid w:val="008728F6"/>
    <w:rsid w:val="008729D8"/>
    <w:rsid w:val="00872B70"/>
    <w:rsid w:val="0087383B"/>
    <w:rsid w:val="00873BDF"/>
    <w:rsid w:val="00873EAF"/>
    <w:rsid w:val="008743CF"/>
    <w:rsid w:val="00874981"/>
    <w:rsid w:val="00874FE5"/>
    <w:rsid w:val="00876A46"/>
    <w:rsid w:val="00876A96"/>
    <w:rsid w:val="00876B67"/>
    <w:rsid w:val="00877036"/>
    <w:rsid w:val="008770EC"/>
    <w:rsid w:val="00877106"/>
    <w:rsid w:val="00877DC8"/>
    <w:rsid w:val="00880B4B"/>
    <w:rsid w:val="00880DAA"/>
    <w:rsid w:val="008810F4"/>
    <w:rsid w:val="008814BA"/>
    <w:rsid w:val="008818D0"/>
    <w:rsid w:val="00881AF7"/>
    <w:rsid w:val="00881C61"/>
    <w:rsid w:val="008823F5"/>
    <w:rsid w:val="008827CC"/>
    <w:rsid w:val="00883298"/>
    <w:rsid w:val="008838A3"/>
    <w:rsid w:val="0088411F"/>
    <w:rsid w:val="00884D89"/>
    <w:rsid w:val="00884E6E"/>
    <w:rsid w:val="00885A50"/>
    <w:rsid w:val="00885ACA"/>
    <w:rsid w:val="008862B9"/>
    <w:rsid w:val="00886315"/>
    <w:rsid w:val="00886497"/>
    <w:rsid w:val="00886903"/>
    <w:rsid w:val="008872DE"/>
    <w:rsid w:val="008873E9"/>
    <w:rsid w:val="008876A2"/>
    <w:rsid w:val="00890040"/>
    <w:rsid w:val="00890197"/>
    <w:rsid w:val="00890925"/>
    <w:rsid w:val="00890B80"/>
    <w:rsid w:val="00890F72"/>
    <w:rsid w:val="00891100"/>
    <w:rsid w:val="008921A7"/>
    <w:rsid w:val="008922BF"/>
    <w:rsid w:val="0089241E"/>
    <w:rsid w:val="0089247E"/>
    <w:rsid w:val="008940E5"/>
    <w:rsid w:val="00894656"/>
    <w:rsid w:val="008946B9"/>
    <w:rsid w:val="00894C8E"/>
    <w:rsid w:val="008957E3"/>
    <w:rsid w:val="0089628F"/>
    <w:rsid w:val="00896409"/>
    <w:rsid w:val="00896E6E"/>
    <w:rsid w:val="00897C8D"/>
    <w:rsid w:val="008A0176"/>
    <w:rsid w:val="008A03BD"/>
    <w:rsid w:val="008A1009"/>
    <w:rsid w:val="008A113F"/>
    <w:rsid w:val="008A160F"/>
    <w:rsid w:val="008A1A05"/>
    <w:rsid w:val="008A1D6D"/>
    <w:rsid w:val="008A1FF1"/>
    <w:rsid w:val="008A265D"/>
    <w:rsid w:val="008A26DF"/>
    <w:rsid w:val="008A2FF6"/>
    <w:rsid w:val="008A3054"/>
    <w:rsid w:val="008A31C1"/>
    <w:rsid w:val="008A331B"/>
    <w:rsid w:val="008A3328"/>
    <w:rsid w:val="008A34C3"/>
    <w:rsid w:val="008A3DEC"/>
    <w:rsid w:val="008A46D7"/>
    <w:rsid w:val="008A49CA"/>
    <w:rsid w:val="008A49F7"/>
    <w:rsid w:val="008A4CC0"/>
    <w:rsid w:val="008A4EED"/>
    <w:rsid w:val="008A53A8"/>
    <w:rsid w:val="008A66B6"/>
    <w:rsid w:val="008A7077"/>
    <w:rsid w:val="008A7239"/>
    <w:rsid w:val="008A7641"/>
    <w:rsid w:val="008A7E7C"/>
    <w:rsid w:val="008B0836"/>
    <w:rsid w:val="008B2046"/>
    <w:rsid w:val="008B2D06"/>
    <w:rsid w:val="008B350A"/>
    <w:rsid w:val="008B36C2"/>
    <w:rsid w:val="008B3B67"/>
    <w:rsid w:val="008B48D4"/>
    <w:rsid w:val="008B4910"/>
    <w:rsid w:val="008B4AB2"/>
    <w:rsid w:val="008B4BAA"/>
    <w:rsid w:val="008B514B"/>
    <w:rsid w:val="008B5183"/>
    <w:rsid w:val="008B56C9"/>
    <w:rsid w:val="008B59A0"/>
    <w:rsid w:val="008B5D16"/>
    <w:rsid w:val="008B601B"/>
    <w:rsid w:val="008B6763"/>
    <w:rsid w:val="008B797C"/>
    <w:rsid w:val="008B7A59"/>
    <w:rsid w:val="008B7A99"/>
    <w:rsid w:val="008B7B0C"/>
    <w:rsid w:val="008B7EC5"/>
    <w:rsid w:val="008C0614"/>
    <w:rsid w:val="008C06F3"/>
    <w:rsid w:val="008C072D"/>
    <w:rsid w:val="008C14D7"/>
    <w:rsid w:val="008C1CDF"/>
    <w:rsid w:val="008C1F91"/>
    <w:rsid w:val="008C1FA8"/>
    <w:rsid w:val="008C3C42"/>
    <w:rsid w:val="008C3F00"/>
    <w:rsid w:val="008C4A3A"/>
    <w:rsid w:val="008C54C3"/>
    <w:rsid w:val="008C5754"/>
    <w:rsid w:val="008C5896"/>
    <w:rsid w:val="008C58AE"/>
    <w:rsid w:val="008C62BE"/>
    <w:rsid w:val="008C6461"/>
    <w:rsid w:val="008C6B5E"/>
    <w:rsid w:val="008C6C35"/>
    <w:rsid w:val="008C7A13"/>
    <w:rsid w:val="008C7A9D"/>
    <w:rsid w:val="008D027C"/>
    <w:rsid w:val="008D07F6"/>
    <w:rsid w:val="008D0951"/>
    <w:rsid w:val="008D0A0E"/>
    <w:rsid w:val="008D2181"/>
    <w:rsid w:val="008D230E"/>
    <w:rsid w:val="008D2BCC"/>
    <w:rsid w:val="008D2F65"/>
    <w:rsid w:val="008D313B"/>
    <w:rsid w:val="008D381A"/>
    <w:rsid w:val="008D381D"/>
    <w:rsid w:val="008D49BB"/>
    <w:rsid w:val="008D4B68"/>
    <w:rsid w:val="008D5035"/>
    <w:rsid w:val="008D562A"/>
    <w:rsid w:val="008D5A72"/>
    <w:rsid w:val="008D5F5E"/>
    <w:rsid w:val="008D6124"/>
    <w:rsid w:val="008D6130"/>
    <w:rsid w:val="008D655F"/>
    <w:rsid w:val="008D65CB"/>
    <w:rsid w:val="008D6D79"/>
    <w:rsid w:val="008D7339"/>
    <w:rsid w:val="008D77C2"/>
    <w:rsid w:val="008D77C5"/>
    <w:rsid w:val="008D7A23"/>
    <w:rsid w:val="008D7FE9"/>
    <w:rsid w:val="008E00DF"/>
    <w:rsid w:val="008E0642"/>
    <w:rsid w:val="008E077B"/>
    <w:rsid w:val="008E0A08"/>
    <w:rsid w:val="008E0CE6"/>
    <w:rsid w:val="008E18AD"/>
    <w:rsid w:val="008E1AA9"/>
    <w:rsid w:val="008E1C89"/>
    <w:rsid w:val="008E1CBC"/>
    <w:rsid w:val="008E2476"/>
    <w:rsid w:val="008E2479"/>
    <w:rsid w:val="008E2B4A"/>
    <w:rsid w:val="008E3663"/>
    <w:rsid w:val="008E369E"/>
    <w:rsid w:val="008E4736"/>
    <w:rsid w:val="008E498B"/>
    <w:rsid w:val="008E4E1E"/>
    <w:rsid w:val="008E56BF"/>
    <w:rsid w:val="008E58FF"/>
    <w:rsid w:val="008E5DA3"/>
    <w:rsid w:val="008E5E28"/>
    <w:rsid w:val="008E5FBA"/>
    <w:rsid w:val="008E62DB"/>
    <w:rsid w:val="008E6938"/>
    <w:rsid w:val="008E6E48"/>
    <w:rsid w:val="008E71A5"/>
    <w:rsid w:val="008E7F33"/>
    <w:rsid w:val="008F0508"/>
    <w:rsid w:val="008F0A75"/>
    <w:rsid w:val="008F0BC4"/>
    <w:rsid w:val="008F117B"/>
    <w:rsid w:val="008F16B2"/>
    <w:rsid w:val="008F1B3E"/>
    <w:rsid w:val="008F1F64"/>
    <w:rsid w:val="008F24F1"/>
    <w:rsid w:val="008F2934"/>
    <w:rsid w:val="008F2E27"/>
    <w:rsid w:val="008F310C"/>
    <w:rsid w:val="008F44BC"/>
    <w:rsid w:val="008F46EE"/>
    <w:rsid w:val="008F4798"/>
    <w:rsid w:val="008F490C"/>
    <w:rsid w:val="008F4BB3"/>
    <w:rsid w:val="008F4DAA"/>
    <w:rsid w:val="008F6EA5"/>
    <w:rsid w:val="008F7230"/>
    <w:rsid w:val="008F73A9"/>
    <w:rsid w:val="008F7D80"/>
    <w:rsid w:val="008F7F32"/>
    <w:rsid w:val="0090005F"/>
    <w:rsid w:val="00900F25"/>
    <w:rsid w:val="00901331"/>
    <w:rsid w:val="009013D4"/>
    <w:rsid w:val="0090153E"/>
    <w:rsid w:val="00901897"/>
    <w:rsid w:val="00902397"/>
    <w:rsid w:val="00902664"/>
    <w:rsid w:val="0090292C"/>
    <w:rsid w:val="00902CF1"/>
    <w:rsid w:val="00902E90"/>
    <w:rsid w:val="00903359"/>
    <w:rsid w:val="0090361E"/>
    <w:rsid w:val="00903D51"/>
    <w:rsid w:val="00904187"/>
    <w:rsid w:val="00904232"/>
    <w:rsid w:val="00904246"/>
    <w:rsid w:val="0090450E"/>
    <w:rsid w:val="00904871"/>
    <w:rsid w:val="00904F96"/>
    <w:rsid w:val="0090552B"/>
    <w:rsid w:val="00905668"/>
    <w:rsid w:val="00906654"/>
    <w:rsid w:val="00906808"/>
    <w:rsid w:val="00906C63"/>
    <w:rsid w:val="00906D08"/>
    <w:rsid w:val="00906E8F"/>
    <w:rsid w:val="00907025"/>
    <w:rsid w:val="0090721E"/>
    <w:rsid w:val="0090755D"/>
    <w:rsid w:val="00907808"/>
    <w:rsid w:val="00907DD2"/>
    <w:rsid w:val="009107FE"/>
    <w:rsid w:val="00910C92"/>
    <w:rsid w:val="00911643"/>
    <w:rsid w:val="00911D19"/>
    <w:rsid w:val="009121D7"/>
    <w:rsid w:val="00912554"/>
    <w:rsid w:val="009127B0"/>
    <w:rsid w:val="00912B31"/>
    <w:rsid w:val="00913200"/>
    <w:rsid w:val="0091376A"/>
    <w:rsid w:val="0091440A"/>
    <w:rsid w:val="00914E7F"/>
    <w:rsid w:val="00914FA0"/>
    <w:rsid w:val="00915EBA"/>
    <w:rsid w:val="00915F3D"/>
    <w:rsid w:val="00916072"/>
    <w:rsid w:val="00916785"/>
    <w:rsid w:val="009172AF"/>
    <w:rsid w:val="0091775D"/>
    <w:rsid w:val="00917D91"/>
    <w:rsid w:val="0092005D"/>
    <w:rsid w:val="00920135"/>
    <w:rsid w:val="00920BDB"/>
    <w:rsid w:val="00920E6B"/>
    <w:rsid w:val="009219A1"/>
    <w:rsid w:val="00921B54"/>
    <w:rsid w:val="00921D7F"/>
    <w:rsid w:val="00921FAA"/>
    <w:rsid w:val="0092230C"/>
    <w:rsid w:val="00922B87"/>
    <w:rsid w:val="0092312B"/>
    <w:rsid w:val="00923633"/>
    <w:rsid w:val="00923725"/>
    <w:rsid w:val="00923D0D"/>
    <w:rsid w:val="0092400A"/>
    <w:rsid w:val="00924384"/>
    <w:rsid w:val="0092441A"/>
    <w:rsid w:val="0092468E"/>
    <w:rsid w:val="0092476E"/>
    <w:rsid w:val="0092482A"/>
    <w:rsid w:val="00924D4E"/>
    <w:rsid w:val="0092527D"/>
    <w:rsid w:val="00925451"/>
    <w:rsid w:val="00925B64"/>
    <w:rsid w:val="00926311"/>
    <w:rsid w:val="00926363"/>
    <w:rsid w:val="00926B71"/>
    <w:rsid w:val="0092707C"/>
    <w:rsid w:val="009273FF"/>
    <w:rsid w:val="009276CE"/>
    <w:rsid w:val="009277AD"/>
    <w:rsid w:val="00927ABA"/>
    <w:rsid w:val="00927DAB"/>
    <w:rsid w:val="00927F39"/>
    <w:rsid w:val="009300BC"/>
    <w:rsid w:val="00930269"/>
    <w:rsid w:val="00930479"/>
    <w:rsid w:val="00930576"/>
    <w:rsid w:val="00930750"/>
    <w:rsid w:val="0093118E"/>
    <w:rsid w:val="009315FE"/>
    <w:rsid w:val="0093166E"/>
    <w:rsid w:val="009317ED"/>
    <w:rsid w:val="00931D82"/>
    <w:rsid w:val="00931F13"/>
    <w:rsid w:val="0093276B"/>
    <w:rsid w:val="00933D6A"/>
    <w:rsid w:val="009348E8"/>
    <w:rsid w:val="00934952"/>
    <w:rsid w:val="00934A8D"/>
    <w:rsid w:val="00934AB7"/>
    <w:rsid w:val="009350ED"/>
    <w:rsid w:val="00935DF3"/>
    <w:rsid w:val="009363E5"/>
    <w:rsid w:val="00936C02"/>
    <w:rsid w:val="00936D3F"/>
    <w:rsid w:val="00936D60"/>
    <w:rsid w:val="00936E37"/>
    <w:rsid w:val="009374F1"/>
    <w:rsid w:val="00937703"/>
    <w:rsid w:val="00937A73"/>
    <w:rsid w:val="009402CE"/>
    <w:rsid w:val="009416E0"/>
    <w:rsid w:val="00941984"/>
    <w:rsid w:val="00941B6E"/>
    <w:rsid w:val="00941CA4"/>
    <w:rsid w:val="00941E2F"/>
    <w:rsid w:val="00941E8B"/>
    <w:rsid w:val="00941E90"/>
    <w:rsid w:val="00941F14"/>
    <w:rsid w:val="009420C1"/>
    <w:rsid w:val="00942463"/>
    <w:rsid w:val="00942492"/>
    <w:rsid w:val="009425DD"/>
    <w:rsid w:val="00942B30"/>
    <w:rsid w:val="00942BF3"/>
    <w:rsid w:val="00942E3E"/>
    <w:rsid w:val="009431F8"/>
    <w:rsid w:val="00943257"/>
    <w:rsid w:val="00943482"/>
    <w:rsid w:val="009435D2"/>
    <w:rsid w:val="00943CBE"/>
    <w:rsid w:val="00944173"/>
    <w:rsid w:val="009447B5"/>
    <w:rsid w:val="00944E6A"/>
    <w:rsid w:val="00945618"/>
    <w:rsid w:val="00945B98"/>
    <w:rsid w:val="00945D90"/>
    <w:rsid w:val="0094606F"/>
    <w:rsid w:val="009478E1"/>
    <w:rsid w:val="00950912"/>
    <w:rsid w:val="00950D12"/>
    <w:rsid w:val="00951261"/>
    <w:rsid w:val="0095134F"/>
    <w:rsid w:val="00951DE5"/>
    <w:rsid w:val="00952D1F"/>
    <w:rsid w:val="00952FA0"/>
    <w:rsid w:val="0095304B"/>
    <w:rsid w:val="0095341D"/>
    <w:rsid w:val="00953BB7"/>
    <w:rsid w:val="00953F8F"/>
    <w:rsid w:val="00954126"/>
    <w:rsid w:val="009541F1"/>
    <w:rsid w:val="0095492C"/>
    <w:rsid w:val="00955325"/>
    <w:rsid w:val="0095566B"/>
    <w:rsid w:val="00955BFB"/>
    <w:rsid w:val="00955DA1"/>
    <w:rsid w:val="00955E99"/>
    <w:rsid w:val="00956567"/>
    <w:rsid w:val="00957889"/>
    <w:rsid w:val="009603A1"/>
    <w:rsid w:val="00960FE9"/>
    <w:rsid w:val="009610AC"/>
    <w:rsid w:val="0096120D"/>
    <w:rsid w:val="009620BE"/>
    <w:rsid w:val="0096299D"/>
    <w:rsid w:val="0096326C"/>
    <w:rsid w:val="009634A1"/>
    <w:rsid w:val="0096405F"/>
    <w:rsid w:val="009643C8"/>
    <w:rsid w:val="0096488A"/>
    <w:rsid w:val="0096495F"/>
    <w:rsid w:val="009652C2"/>
    <w:rsid w:val="009652DC"/>
    <w:rsid w:val="00965820"/>
    <w:rsid w:val="00965F90"/>
    <w:rsid w:val="00966331"/>
    <w:rsid w:val="00966D4A"/>
    <w:rsid w:val="009674A3"/>
    <w:rsid w:val="009675BF"/>
    <w:rsid w:val="00967A31"/>
    <w:rsid w:val="00970055"/>
    <w:rsid w:val="0097061F"/>
    <w:rsid w:val="009706C3"/>
    <w:rsid w:val="009710D3"/>
    <w:rsid w:val="009712DF"/>
    <w:rsid w:val="00972764"/>
    <w:rsid w:val="00973537"/>
    <w:rsid w:val="0097425A"/>
    <w:rsid w:val="009748B7"/>
    <w:rsid w:val="0097519D"/>
    <w:rsid w:val="00975A15"/>
    <w:rsid w:val="00975E4C"/>
    <w:rsid w:val="00976762"/>
    <w:rsid w:val="009773EE"/>
    <w:rsid w:val="0097756E"/>
    <w:rsid w:val="009776FE"/>
    <w:rsid w:val="0097792E"/>
    <w:rsid w:val="00980C99"/>
    <w:rsid w:val="009812E4"/>
    <w:rsid w:val="009817CF"/>
    <w:rsid w:val="00981B3C"/>
    <w:rsid w:val="00981BEB"/>
    <w:rsid w:val="00981E2D"/>
    <w:rsid w:val="00983025"/>
    <w:rsid w:val="0098311D"/>
    <w:rsid w:val="0098384B"/>
    <w:rsid w:val="00983C54"/>
    <w:rsid w:val="00984055"/>
    <w:rsid w:val="009845A6"/>
    <w:rsid w:val="00984738"/>
    <w:rsid w:val="00985587"/>
    <w:rsid w:val="0098569D"/>
    <w:rsid w:val="0098622B"/>
    <w:rsid w:val="0098626D"/>
    <w:rsid w:val="00986748"/>
    <w:rsid w:val="00986F24"/>
    <w:rsid w:val="009870AA"/>
    <w:rsid w:val="00987C68"/>
    <w:rsid w:val="00987C9F"/>
    <w:rsid w:val="00991089"/>
    <w:rsid w:val="00991368"/>
    <w:rsid w:val="009919D8"/>
    <w:rsid w:val="00991BFC"/>
    <w:rsid w:val="009925F7"/>
    <w:rsid w:val="00992A5D"/>
    <w:rsid w:val="00993667"/>
    <w:rsid w:val="00993907"/>
    <w:rsid w:val="00994290"/>
    <w:rsid w:val="009942A4"/>
    <w:rsid w:val="0099622C"/>
    <w:rsid w:val="0099645D"/>
    <w:rsid w:val="00996850"/>
    <w:rsid w:val="00997573"/>
    <w:rsid w:val="0099768D"/>
    <w:rsid w:val="009976A6"/>
    <w:rsid w:val="00997893"/>
    <w:rsid w:val="009A0076"/>
    <w:rsid w:val="009A0289"/>
    <w:rsid w:val="009A02B1"/>
    <w:rsid w:val="009A0566"/>
    <w:rsid w:val="009A0CA5"/>
    <w:rsid w:val="009A19A3"/>
    <w:rsid w:val="009A1F98"/>
    <w:rsid w:val="009A267D"/>
    <w:rsid w:val="009A2D32"/>
    <w:rsid w:val="009A3647"/>
    <w:rsid w:val="009A3BD9"/>
    <w:rsid w:val="009A4156"/>
    <w:rsid w:val="009A4237"/>
    <w:rsid w:val="009A5088"/>
    <w:rsid w:val="009A50E5"/>
    <w:rsid w:val="009A5755"/>
    <w:rsid w:val="009A5B97"/>
    <w:rsid w:val="009A5C4F"/>
    <w:rsid w:val="009A5ED2"/>
    <w:rsid w:val="009A6157"/>
    <w:rsid w:val="009A6A9B"/>
    <w:rsid w:val="009A6E9A"/>
    <w:rsid w:val="009A74F8"/>
    <w:rsid w:val="009A785F"/>
    <w:rsid w:val="009B0828"/>
    <w:rsid w:val="009B10FD"/>
    <w:rsid w:val="009B1465"/>
    <w:rsid w:val="009B148F"/>
    <w:rsid w:val="009B1581"/>
    <w:rsid w:val="009B1E72"/>
    <w:rsid w:val="009B2607"/>
    <w:rsid w:val="009B3540"/>
    <w:rsid w:val="009B3620"/>
    <w:rsid w:val="009B386A"/>
    <w:rsid w:val="009B3B0F"/>
    <w:rsid w:val="009B4738"/>
    <w:rsid w:val="009B57B3"/>
    <w:rsid w:val="009B59DC"/>
    <w:rsid w:val="009B5B9E"/>
    <w:rsid w:val="009B6040"/>
    <w:rsid w:val="009B60D4"/>
    <w:rsid w:val="009B6778"/>
    <w:rsid w:val="009B678D"/>
    <w:rsid w:val="009B6ABB"/>
    <w:rsid w:val="009B6B90"/>
    <w:rsid w:val="009B6FFA"/>
    <w:rsid w:val="009B71EA"/>
    <w:rsid w:val="009B7DCB"/>
    <w:rsid w:val="009C01FF"/>
    <w:rsid w:val="009C1214"/>
    <w:rsid w:val="009C1432"/>
    <w:rsid w:val="009C16AC"/>
    <w:rsid w:val="009C1955"/>
    <w:rsid w:val="009C2388"/>
    <w:rsid w:val="009C295F"/>
    <w:rsid w:val="009C301F"/>
    <w:rsid w:val="009C3736"/>
    <w:rsid w:val="009C3A50"/>
    <w:rsid w:val="009C3CD0"/>
    <w:rsid w:val="009C3EFB"/>
    <w:rsid w:val="009C4862"/>
    <w:rsid w:val="009C4CCE"/>
    <w:rsid w:val="009C5484"/>
    <w:rsid w:val="009C54D5"/>
    <w:rsid w:val="009C559B"/>
    <w:rsid w:val="009C6098"/>
    <w:rsid w:val="009C6BE5"/>
    <w:rsid w:val="009C6CCA"/>
    <w:rsid w:val="009C7016"/>
    <w:rsid w:val="009D1037"/>
    <w:rsid w:val="009D10CF"/>
    <w:rsid w:val="009D182C"/>
    <w:rsid w:val="009D24C5"/>
    <w:rsid w:val="009D254F"/>
    <w:rsid w:val="009D355F"/>
    <w:rsid w:val="009D3780"/>
    <w:rsid w:val="009D3800"/>
    <w:rsid w:val="009D397E"/>
    <w:rsid w:val="009D3CEA"/>
    <w:rsid w:val="009D42AF"/>
    <w:rsid w:val="009D4806"/>
    <w:rsid w:val="009D4B10"/>
    <w:rsid w:val="009D4C50"/>
    <w:rsid w:val="009D504B"/>
    <w:rsid w:val="009D5159"/>
    <w:rsid w:val="009D5B30"/>
    <w:rsid w:val="009D6BD8"/>
    <w:rsid w:val="009D6FEE"/>
    <w:rsid w:val="009D7C97"/>
    <w:rsid w:val="009D7CE8"/>
    <w:rsid w:val="009D7EB8"/>
    <w:rsid w:val="009E0289"/>
    <w:rsid w:val="009E0447"/>
    <w:rsid w:val="009E060C"/>
    <w:rsid w:val="009E07AA"/>
    <w:rsid w:val="009E1123"/>
    <w:rsid w:val="009E11FD"/>
    <w:rsid w:val="009E1D5E"/>
    <w:rsid w:val="009E1F6A"/>
    <w:rsid w:val="009E2554"/>
    <w:rsid w:val="009E25C3"/>
    <w:rsid w:val="009E43A9"/>
    <w:rsid w:val="009E46A4"/>
    <w:rsid w:val="009E52D7"/>
    <w:rsid w:val="009E57D6"/>
    <w:rsid w:val="009E5BD7"/>
    <w:rsid w:val="009E6906"/>
    <w:rsid w:val="009E69F0"/>
    <w:rsid w:val="009E712F"/>
    <w:rsid w:val="009E715B"/>
    <w:rsid w:val="009E7304"/>
    <w:rsid w:val="009E753F"/>
    <w:rsid w:val="009E7696"/>
    <w:rsid w:val="009E775D"/>
    <w:rsid w:val="009E7923"/>
    <w:rsid w:val="009E7F05"/>
    <w:rsid w:val="009F018F"/>
    <w:rsid w:val="009F0793"/>
    <w:rsid w:val="009F0930"/>
    <w:rsid w:val="009F0B0B"/>
    <w:rsid w:val="009F0CA6"/>
    <w:rsid w:val="009F1B47"/>
    <w:rsid w:val="009F20AA"/>
    <w:rsid w:val="009F2808"/>
    <w:rsid w:val="009F2E65"/>
    <w:rsid w:val="009F35C8"/>
    <w:rsid w:val="009F38B1"/>
    <w:rsid w:val="009F3BD4"/>
    <w:rsid w:val="009F448B"/>
    <w:rsid w:val="009F44E6"/>
    <w:rsid w:val="009F469A"/>
    <w:rsid w:val="009F4763"/>
    <w:rsid w:val="009F485A"/>
    <w:rsid w:val="009F4DBB"/>
    <w:rsid w:val="009F53DB"/>
    <w:rsid w:val="009F57CC"/>
    <w:rsid w:val="009F5E2D"/>
    <w:rsid w:val="009F66D1"/>
    <w:rsid w:val="009F6AF2"/>
    <w:rsid w:val="009F6D1C"/>
    <w:rsid w:val="009F6F55"/>
    <w:rsid w:val="009F7037"/>
    <w:rsid w:val="009F797B"/>
    <w:rsid w:val="009F7D01"/>
    <w:rsid w:val="00A00010"/>
    <w:rsid w:val="00A00033"/>
    <w:rsid w:val="00A00335"/>
    <w:rsid w:val="00A00963"/>
    <w:rsid w:val="00A00F11"/>
    <w:rsid w:val="00A01F1B"/>
    <w:rsid w:val="00A02511"/>
    <w:rsid w:val="00A02900"/>
    <w:rsid w:val="00A02C0D"/>
    <w:rsid w:val="00A02D75"/>
    <w:rsid w:val="00A0366C"/>
    <w:rsid w:val="00A0370E"/>
    <w:rsid w:val="00A039D0"/>
    <w:rsid w:val="00A039F2"/>
    <w:rsid w:val="00A03D68"/>
    <w:rsid w:val="00A045AE"/>
    <w:rsid w:val="00A04607"/>
    <w:rsid w:val="00A04692"/>
    <w:rsid w:val="00A04800"/>
    <w:rsid w:val="00A04AED"/>
    <w:rsid w:val="00A0541E"/>
    <w:rsid w:val="00A054E6"/>
    <w:rsid w:val="00A06092"/>
    <w:rsid w:val="00A06EE9"/>
    <w:rsid w:val="00A07476"/>
    <w:rsid w:val="00A0762F"/>
    <w:rsid w:val="00A07DE6"/>
    <w:rsid w:val="00A100BE"/>
    <w:rsid w:val="00A10162"/>
    <w:rsid w:val="00A10E56"/>
    <w:rsid w:val="00A11FF6"/>
    <w:rsid w:val="00A121D3"/>
    <w:rsid w:val="00A12882"/>
    <w:rsid w:val="00A12D3A"/>
    <w:rsid w:val="00A13158"/>
    <w:rsid w:val="00A13246"/>
    <w:rsid w:val="00A138A9"/>
    <w:rsid w:val="00A139AA"/>
    <w:rsid w:val="00A13A73"/>
    <w:rsid w:val="00A14AEE"/>
    <w:rsid w:val="00A15D51"/>
    <w:rsid w:val="00A15F37"/>
    <w:rsid w:val="00A160A1"/>
    <w:rsid w:val="00A160DA"/>
    <w:rsid w:val="00A16619"/>
    <w:rsid w:val="00A1675E"/>
    <w:rsid w:val="00A16E32"/>
    <w:rsid w:val="00A1771E"/>
    <w:rsid w:val="00A17978"/>
    <w:rsid w:val="00A17F6A"/>
    <w:rsid w:val="00A200CD"/>
    <w:rsid w:val="00A204D4"/>
    <w:rsid w:val="00A21360"/>
    <w:rsid w:val="00A21415"/>
    <w:rsid w:val="00A21459"/>
    <w:rsid w:val="00A2184F"/>
    <w:rsid w:val="00A219F0"/>
    <w:rsid w:val="00A21FD5"/>
    <w:rsid w:val="00A22599"/>
    <w:rsid w:val="00A22952"/>
    <w:rsid w:val="00A24407"/>
    <w:rsid w:val="00A2472A"/>
    <w:rsid w:val="00A24AAC"/>
    <w:rsid w:val="00A24C8F"/>
    <w:rsid w:val="00A24EEB"/>
    <w:rsid w:val="00A25186"/>
    <w:rsid w:val="00A2585B"/>
    <w:rsid w:val="00A25A8E"/>
    <w:rsid w:val="00A25B4C"/>
    <w:rsid w:val="00A25BE9"/>
    <w:rsid w:val="00A25F14"/>
    <w:rsid w:val="00A26691"/>
    <w:rsid w:val="00A269ED"/>
    <w:rsid w:val="00A26BB8"/>
    <w:rsid w:val="00A26C28"/>
    <w:rsid w:val="00A2778E"/>
    <w:rsid w:val="00A278EA"/>
    <w:rsid w:val="00A3048B"/>
    <w:rsid w:val="00A30CD9"/>
    <w:rsid w:val="00A31503"/>
    <w:rsid w:val="00A3170C"/>
    <w:rsid w:val="00A31CFE"/>
    <w:rsid w:val="00A322CB"/>
    <w:rsid w:val="00A3282F"/>
    <w:rsid w:val="00A32BFF"/>
    <w:rsid w:val="00A33361"/>
    <w:rsid w:val="00A33719"/>
    <w:rsid w:val="00A34AFB"/>
    <w:rsid w:val="00A34C9E"/>
    <w:rsid w:val="00A35684"/>
    <w:rsid w:val="00A35838"/>
    <w:rsid w:val="00A358E0"/>
    <w:rsid w:val="00A35C27"/>
    <w:rsid w:val="00A35F6B"/>
    <w:rsid w:val="00A36905"/>
    <w:rsid w:val="00A36C62"/>
    <w:rsid w:val="00A36F3A"/>
    <w:rsid w:val="00A37324"/>
    <w:rsid w:val="00A3736C"/>
    <w:rsid w:val="00A3756B"/>
    <w:rsid w:val="00A379EB"/>
    <w:rsid w:val="00A37B3C"/>
    <w:rsid w:val="00A37B6F"/>
    <w:rsid w:val="00A4077C"/>
    <w:rsid w:val="00A40A8C"/>
    <w:rsid w:val="00A40D6F"/>
    <w:rsid w:val="00A414C8"/>
    <w:rsid w:val="00A41CA2"/>
    <w:rsid w:val="00A41DA2"/>
    <w:rsid w:val="00A41E4F"/>
    <w:rsid w:val="00A428DD"/>
    <w:rsid w:val="00A42F9F"/>
    <w:rsid w:val="00A42FE7"/>
    <w:rsid w:val="00A43BD7"/>
    <w:rsid w:val="00A43D11"/>
    <w:rsid w:val="00A449CE"/>
    <w:rsid w:val="00A45819"/>
    <w:rsid w:val="00A45C55"/>
    <w:rsid w:val="00A46339"/>
    <w:rsid w:val="00A46958"/>
    <w:rsid w:val="00A46FBF"/>
    <w:rsid w:val="00A4707E"/>
    <w:rsid w:val="00A473DF"/>
    <w:rsid w:val="00A500B4"/>
    <w:rsid w:val="00A50219"/>
    <w:rsid w:val="00A50B68"/>
    <w:rsid w:val="00A5208D"/>
    <w:rsid w:val="00A52745"/>
    <w:rsid w:val="00A52BF7"/>
    <w:rsid w:val="00A52C8A"/>
    <w:rsid w:val="00A52F21"/>
    <w:rsid w:val="00A5396F"/>
    <w:rsid w:val="00A53EBF"/>
    <w:rsid w:val="00A54100"/>
    <w:rsid w:val="00A54592"/>
    <w:rsid w:val="00A5473D"/>
    <w:rsid w:val="00A54AE1"/>
    <w:rsid w:val="00A5506D"/>
    <w:rsid w:val="00A56509"/>
    <w:rsid w:val="00A5665E"/>
    <w:rsid w:val="00A56AEA"/>
    <w:rsid w:val="00A56B67"/>
    <w:rsid w:val="00A56E64"/>
    <w:rsid w:val="00A57079"/>
    <w:rsid w:val="00A602EE"/>
    <w:rsid w:val="00A60951"/>
    <w:rsid w:val="00A60C5D"/>
    <w:rsid w:val="00A60E2B"/>
    <w:rsid w:val="00A60F40"/>
    <w:rsid w:val="00A6157A"/>
    <w:rsid w:val="00A628FA"/>
    <w:rsid w:val="00A63102"/>
    <w:rsid w:val="00A637FA"/>
    <w:rsid w:val="00A63FE6"/>
    <w:rsid w:val="00A640AE"/>
    <w:rsid w:val="00A644FC"/>
    <w:rsid w:val="00A64646"/>
    <w:rsid w:val="00A647F4"/>
    <w:rsid w:val="00A64976"/>
    <w:rsid w:val="00A64B1B"/>
    <w:rsid w:val="00A6584C"/>
    <w:rsid w:val="00A65BF9"/>
    <w:rsid w:val="00A666E6"/>
    <w:rsid w:val="00A66CE1"/>
    <w:rsid w:val="00A67754"/>
    <w:rsid w:val="00A67C1C"/>
    <w:rsid w:val="00A67F9E"/>
    <w:rsid w:val="00A707AB"/>
    <w:rsid w:val="00A70D4E"/>
    <w:rsid w:val="00A71002"/>
    <w:rsid w:val="00A7261F"/>
    <w:rsid w:val="00A72717"/>
    <w:rsid w:val="00A72919"/>
    <w:rsid w:val="00A7348F"/>
    <w:rsid w:val="00A73898"/>
    <w:rsid w:val="00A73AA2"/>
    <w:rsid w:val="00A7436E"/>
    <w:rsid w:val="00A7490F"/>
    <w:rsid w:val="00A75011"/>
    <w:rsid w:val="00A752F1"/>
    <w:rsid w:val="00A75773"/>
    <w:rsid w:val="00A75D02"/>
    <w:rsid w:val="00A75F33"/>
    <w:rsid w:val="00A771A5"/>
    <w:rsid w:val="00A77239"/>
    <w:rsid w:val="00A772B2"/>
    <w:rsid w:val="00A7759D"/>
    <w:rsid w:val="00A77642"/>
    <w:rsid w:val="00A77914"/>
    <w:rsid w:val="00A77C5B"/>
    <w:rsid w:val="00A8039A"/>
    <w:rsid w:val="00A80924"/>
    <w:rsid w:val="00A80B37"/>
    <w:rsid w:val="00A81C41"/>
    <w:rsid w:val="00A8236D"/>
    <w:rsid w:val="00A836D2"/>
    <w:rsid w:val="00A8378F"/>
    <w:rsid w:val="00A83AB5"/>
    <w:rsid w:val="00A83D7A"/>
    <w:rsid w:val="00A8498B"/>
    <w:rsid w:val="00A857A5"/>
    <w:rsid w:val="00A85918"/>
    <w:rsid w:val="00A859D0"/>
    <w:rsid w:val="00A86A19"/>
    <w:rsid w:val="00A86A3B"/>
    <w:rsid w:val="00A86D2F"/>
    <w:rsid w:val="00A87013"/>
    <w:rsid w:val="00A870A6"/>
    <w:rsid w:val="00A877B4"/>
    <w:rsid w:val="00A87800"/>
    <w:rsid w:val="00A9052F"/>
    <w:rsid w:val="00A9076C"/>
    <w:rsid w:val="00A9194D"/>
    <w:rsid w:val="00A91CF0"/>
    <w:rsid w:val="00A93504"/>
    <w:rsid w:val="00A93E91"/>
    <w:rsid w:val="00A941A9"/>
    <w:rsid w:val="00A94960"/>
    <w:rsid w:val="00A94CCD"/>
    <w:rsid w:val="00A94FB6"/>
    <w:rsid w:val="00A95084"/>
    <w:rsid w:val="00A952C9"/>
    <w:rsid w:val="00A95548"/>
    <w:rsid w:val="00A956E7"/>
    <w:rsid w:val="00A959A4"/>
    <w:rsid w:val="00A95AE3"/>
    <w:rsid w:val="00A95B4F"/>
    <w:rsid w:val="00A95DCE"/>
    <w:rsid w:val="00A96ACC"/>
    <w:rsid w:val="00A96EC8"/>
    <w:rsid w:val="00A96FF6"/>
    <w:rsid w:val="00A973F3"/>
    <w:rsid w:val="00A97466"/>
    <w:rsid w:val="00A97504"/>
    <w:rsid w:val="00A97EE7"/>
    <w:rsid w:val="00AA0261"/>
    <w:rsid w:val="00AA04F9"/>
    <w:rsid w:val="00AA099C"/>
    <w:rsid w:val="00AA09C4"/>
    <w:rsid w:val="00AA0E4E"/>
    <w:rsid w:val="00AA122F"/>
    <w:rsid w:val="00AA18A7"/>
    <w:rsid w:val="00AA197B"/>
    <w:rsid w:val="00AA20E7"/>
    <w:rsid w:val="00AA2533"/>
    <w:rsid w:val="00AA28DF"/>
    <w:rsid w:val="00AA2B67"/>
    <w:rsid w:val="00AA34F9"/>
    <w:rsid w:val="00AA3707"/>
    <w:rsid w:val="00AA3C31"/>
    <w:rsid w:val="00AA3C3C"/>
    <w:rsid w:val="00AA3F92"/>
    <w:rsid w:val="00AA4143"/>
    <w:rsid w:val="00AA4466"/>
    <w:rsid w:val="00AA46A3"/>
    <w:rsid w:val="00AA4E17"/>
    <w:rsid w:val="00AA4FD5"/>
    <w:rsid w:val="00AA633C"/>
    <w:rsid w:val="00AA6542"/>
    <w:rsid w:val="00AA6AA1"/>
    <w:rsid w:val="00AA72A1"/>
    <w:rsid w:val="00AB0849"/>
    <w:rsid w:val="00AB0B60"/>
    <w:rsid w:val="00AB0DA4"/>
    <w:rsid w:val="00AB0DFB"/>
    <w:rsid w:val="00AB0FF4"/>
    <w:rsid w:val="00AB0FFB"/>
    <w:rsid w:val="00AB10C6"/>
    <w:rsid w:val="00AB129E"/>
    <w:rsid w:val="00AB28E0"/>
    <w:rsid w:val="00AB3083"/>
    <w:rsid w:val="00AB4161"/>
    <w:rsid w:val="00AB46AB"/>
    <w:rsid w:val="00AB49AD"/>
    <w:rsid w:val="00AB4BA0"/>
    <w:rsid w:val="00AB50E7"/>
    <w:rsid w:val="00AB5A6D"/>
    <w:rsid w:val="00AB5DF0"/>
    <w:rsid w:val="00AB60D9"/>
    <w:rsid w:val="00AB61E3"/>
    <w:rsid w:val="00AB7571"/>
    <w:rsid w:val="00AB7EA8"/>
    <w:rsid w:val="00AC07EB"/>
    <w:rsid w:val="00AC0ACE"/>
    <w:rsid w:val="00AC0D6A"/>
    <w:rsid w:val="00AC112F"/>
    <w:rsid w:val="00AC1417"/>
    <w:rsid w:val="00AC15F8"/>
    <w:rsid w:val="00AC1867"/>
    <w:rsid w:val="00AC218C"/>
    <w:rsid w:val="00AC2412"/>
    <w:rsid w:val="00AC334F"/>
    <w:rsid w:val="00AC34D2"/>
    <w:rsid w:val="00AC3932"/>
    <w:rsid w:val="00AC39BD"/>
    <w:rsid w:val="00AC3D08"/>
    <w:rsid w:val="00AC3E7F"/>
    <w:rsid w:val="00AC4259"/>
    <w:rsid w:val="00AC43B7"/>
    <w:rsid w:val="00AC44B1"/>
    <w:rsid w:val="00AC4596"/>
    <w:rsid w:val="00AC4D22"/>
    <w:rsid w:val="00AC5728"/>
    <w:rsid w:val="00AC5806"/>
    <w:rsid w:val="00AC5B2E"/>
    <w:rsid w:val="00AC5CDD"/>
    <w:rsid w:val="00AC6B2D"/>
    <w:rsid w:val="00AC738F"/>
    <w:rsid w:val="00AC7608"/>
    <w:rsid w:val="00AC7751"/>
    <w:rsid w:val="00AC7770"/>
    <w:rsid w:val="00AC7CAF"/>
    <w:rsid w:val="00AC7DB5"/>
    <w:rsid w:val="00AC7DF4"/>
    <w:rsid w:val="00AD0109"/>
    <w:rsid w:val="00AD0BD6"/>
    <w:rsid w:val="00AD0D04"/>
    <w:rsid w:val="00AD16CE"/>
    <w:rsid w:val="00AD2396"/>
    <w:rsid w:val="00AD30E4"/>
    <w:rsid w:val="00AD330B"/>
    <w:rsid w:val="00AD3ED5"/>
    <w:rsid w:val="00AD4107"/>
    <w:rsid w:val="00AD4ADD"/>
    <w:rsid w:val="00AD4F82"/>
    <w:rsid w:val="00AD6D5A"/>
    <w:rsid w:val="00AD6E85"/>
    <w:rsid w:val="00AD7002"/>
    <w:rsid w:val="00AD7007"/>
    <w:rsid w:val="00AD7C22"/>
    <w:rsid w:val="00AD7C84"/>
    <w:rsid w:val="00AD7D39"/>
    <w:rsid w:val="00AD7F2B"/>
    <w:rsid w:val="00AE1893"/>
    <w:rsid w:val="00AE1FFB"/>
    <w:rsid w:val="00AE224A"/>
    <w:rsid w:val="00AE26FF"/>
    <w:rsid w:val="00AE378A"/>
    <w:rsid w:val="00AE4708"/>
    <w:rsid w:val="00AE4B12"/>
    <w:rsid w:val="00AE5596"/>
    <w:rsid w:val="00AE55B5"/>
    <w:rsid w:val="00AE5B52"/>
    <w:rsid w:val="00AE6249"/>
    <w:rsid w:val="00AE7A36"/>
    <w:rsid w:val="00AF004C"/>
    <w:rsid w:val="00AF022B"/>
    <w:rsid w:val="00AF050E"/>
    <w:rsid w:val="00AF07D5"/>
    <w:rsid w:val="00AF0AB0"/>
    <w:rsid w:val="00AF0C4B"/>
    <w:rsid w:val="00AF12AB"/>
    <w:rsid w:val="00AF12FA"/>
    <w:rsid w:val="00AF15FA"/>
    <w:rsid w:val="00AF1BA7"/>
    <w:rsid w:val="00AF2925"/>
    <w:rsid w:val="00AF2BE9"/>
    <w:rsid w:val="00AF3204"/>
    <w:rsid w:val="00AF379A"/>
    <w:rsid w:val="00AF3A64"/>
    <w:rsid w:val="00AF3C62"/>
    <w:rsid w:val="00AF3FC2"/>
    <w:rsid w:val="00AF45E5"/>
    <w:rsid w:val="00AF4A6C"/>
    <w:rsid w:val="00AF4B43"/>
    <w:rsid w:val="00AF4CF7"/>
    <w:rsid w:val="00AF5183"/>
    <w:rsid w:val="00AF51D6"/>
    <w:rsid w:val="00AF5440"/>
    <w:rsid w:val="00AF669E"/>
    <w:rsid w:val="00AF6D72"/>
    <w:rsid w:val="00AF74A2"/>
    <w:rsid w:val="00AF750E"/>
    <w:rsid w:val="00AF751F"/>
    <w:rsid w:val="00AF758E"/>
    <w:rsid w:val="00AF7599"/>
    <w:rsid w:val="00AF7B55"/>
    <w:rsid w:val="00B003C8"/>
    <w:rsid w:val="00B0051F"/>
    <w:rsid w:val="00B007A2"/>
    <w:rsid w:val="00B0092F"/>
    <w:rsid w:val="00B00AEC"/>
    <w:rsid w:val="00B016C1"/>
    <w:rsid w:val="00B01CAE"/>
    <w:rsid w:val="00B01E55"/>
    <w:rsid w:val="00B022F8"/>
    <w:rsid w:val="00B027D7"/>
    <w:rsid w:val="00B02E65"/>
    <w:rsid w:val="00B03460"/>
    <w:rsid w:val="00B0347B"/>
    <w:rsid w:val="00B035D1"/>
    <w:rsid w:val="00B0383A"/>
    <w:rsid w:val="00B03BEC"/>
    <w:rsid w:val="00B03D11"/>
    <w:rsid w:val="00B03EA6"/>
    <w:rsid w:val="00B03FEA"/>
    <w:rsid w:val="00B048D5"/>
    <w:rsid w:val="00B055BD"/>
    <w:rsid w:val="00B05689"/>
    <w:rsid w:val="00B057B3"/>
    <w:rsid w:val="00B05F4F"/>
    <w:rsid w:val="00B06707"/>
    <w:rsid w:val="00B068C9"/>
    <w:rsid w:val="00B06FC8"/>
    <w:rsid w:val="00B07048"/>
    <w:rsid w:val="00B07170"/>
    <w:rsid w:val="00B078B1"/>
    <w:rsid w:val="00B07E17"/>
    <w:rsid w:val="00B109DE"/>
    <w:rsid w:val="00B1117E"/>
    <w:rsid w:val="00B1171E"/>
    <w:rsid w:val="00B1247B"/>
    <w:rsid w:val="00B12570"/>
    <w:rsid w:val="00B128E3"/>
    <w:rsid w:val="00B12B25"/>
    <w:rsid w:val="00B131BF"/>
    <w:rsid w:val="00B13568"/>
    <w:rsid w:val="00B143AD"/>
    <w:rsid w:val="00B144F7"/>
    <w:rsid w:val="00B14910"/>
    <w:rsid w:val="00B14B4C"/>
    <w:rsid w:val="00B14B51"/>
    <w:rsid w:val="00B15087"/>
    <w:rsid w:val="00B15320"/>
    <w:rsid w:val="00B153E7"/>
    <w:rsid w:val="00B15537"/>
    <w:rsid w:val="00B1578F"/>
    <w:rsid w:val="00B15DF8"/>
    <w:rsid w:val="00B15EA8"/>
    <w:rsid w:val="00B160BC"/>
    <w:rsid w:val="00B16500"/>
    <w:rsid w:val="00B169CD"/>
    <w:rsid w:val="00B16BE9"/>
    <w:rsid w:val="00B171F6"/>
    <w:rsid w:val="00B17FF9"/>
    <w:rsid w:val="00B202C3"/>
    <w:rsid w:val="00B20632"/>
    <w:rsid w:val="00B209EE"/>
    <w:rsid w:val="00B21492"/>
    <w:rsid w:val="00B222FD"/>
    <w:rsid w:val="00B223ED"/>
    <w:rsid w:val="00B22DF8"/>
    <w:rsid w:val="00B23260"/>
    <w:rsid w:val="00B237C8"/>
    <w:rsid w:val="00B238BD"/>
    <w:rsid w:val="00B246DA"/>
    <w:rsid w:val="00B25776"/>
    <w:rsid w:val="00B27066"/>
    <w:rsid w:val="00B2722B"/>
    <w:rsid w:val="00B2755C"/>
    <w:rsid w:val="00B27616"/>
    <w:rsid w:val="00B27974"/>
    <w:rsid w:val="00B279AF"/>
    <w:rsid w:val="00B3037C"/>
    <w:rsid w:val="00B304D1"/>
    <w:rsid w:val="00B3079B"/>
    <w:rsid w:val="00B30899"/>
    <w:rsid w:val="00B30F37"/>
    <w:rsid w:val="00B31304"/>
    <w:rsid w:val="00B3239A"/>
    <w:rsid w:val="00B327E0"/>
    <w:rsid w:val="00B32C03"/>
    <w:rsid w:val="00B33394"/>
    <w:rsid w:val="00B339DE"/>
    <w:rsid w:val="00B33BF7"/>
    <w:rsid w:val="00B33CC7"/>
    <w:rsid w:val="00B34FDB"/>
    <w:rsid w:val="00B351C5"/>
    <w:rsid w:val="00B35632"/>
    <w:rsid w:val="00B3564B"/>
    <w:rsid w:val="00B35C4A"/>
    <w:rsid w:val="00B35CB1"/>
    <w:rsid w:val="00B35F48"/>
    <w:rsid w:val="00B360DC"/>
    <w:rsid w:val="00B36609"/>
    <w:rsid w:val="00B3662E"/>
    <w:rsid w:val="00B36E66"/>
    <w:rsid w:val="00B370E8"/>
    <w:rsid w:val="00B37CEC"/>
    <w:rsid w:val="00B402EB"/>
    <w:rsid w:val="00B406C8"/>
    <w:rsid w:val="00B40ABC"/>
    <w:rsid w:val="00B40BB1"/>
    <w:rsid w:val="00B41084"/>
    <w:rsid w:val="00B41352"/>
    <w:rsid w:val="00B4161E"/>
    <w:rsid w:val="00B41E33"/>
    <w:rsid w:val="00B41F11"/>
    <w:rsid w:val="00B4276F"/>
    <w:rsid w:val="00B42AE8"/>
    <w:rsid w:val="00B43648"/>
    <w:rsid w:val="00B438FA"/>
    <w:rsid w:val="00B43E0A"/>
    <w:rsid w:val="00B44033"/>
    <w:rsid w:val="00B442CE"/>
    <w:rsid w:val="00B45498"/>
    <w:rsid w:val="00B45F00"/>
    <w:rsid w:val="00B460A6"/>
    <w:rsid w:val="00B4665B"/>
    <w:rsid w:val="00B468C8"/>
    <w:rsid w:val="00B46D11"/>
    <w:rsid w:val="00B472B4"/>
    <w:rsid w:val="00B4738C"/>
    <w:rsid w:val="00B500E7"/>
    <w:rsid w:val="00B5079B"/>
    <w:rsid w:val="00B507A7"/>
    <w:rsid w:val="00B5096E"/>
    <w:rsid w:val="00B5098D"/>
    <w:rsid w:val="00B5152A"/>
    <w:rsid w:val="00B51F7E"/>
    <w:rsid w:val="00B5318E"/>
    <w:rsid w:val="00B53D75"/>
    <w:rsid w:val="00B54386"/>
    <w:rsid w:val="00B54F45"/>
    <w:rsid w:val="00B55890"/>
    <w:rsid w:val="00B56AA2"/>
    <w:rsid w:val="00B56CEA"/>
    <w:rsid w:val="00B57013"/>
    <w:rsid w:val="00B6192D"/>
    <w:rsid w:val="00B61EAA"/>
    <w:rsid w:val="00B6239A"/>
    <w:rsid w:val="00B62493"/>
    <w:rsid w:val="00B630BC"/>
    <w:rsid w:val="00B6326B"/>
    <w:rsid w:val="00B6380A"/>
    <w:rsid w:val="00B638AB"/>
    <w:rsid w:val="00B63BBF"/>
    <w:rsid w:val="00B63DFD"/>
    <w:rsid w:val="00B63E5D"/>
    <w:rsid w:val="00B63F94"/>
    <w:rsid w:val="00B647D9"/>
    <w:rsid w:val="00B64CF6"/>
    <w:rsid w:val="00B65326"/>
    <w:rsid w:val="00B6573F"/>
    <w:rsid w:val="00B65AA7"/>
    <w:rsid w:val="00B65B6A"/>
    <w:rsid w:val="00B65BDC"/>
    <w:rsid w:val="00B660AB"/>
    <w:rsid w:val="00B671A7"/>
    <w:rsid w:val="00B671FC"/>
    <w:rsid w:val="00B6741C"/>
    <w:rsid w:val="00B67C67"/>
    <w:rsid w:val="00B67E6D"/>
    <w:rsid w:val="00B7018D"/>
    <w:rsid w:val="00B70530"/>
    <w:rsid w:val="00B7079E"/>
    <w:rsid w:val="00B70C6C"/>
    <w:rsid w:val="00B71402"/>
    <w:rsid w:val="00B7140B"/>
    <w:rsid w:val="00B718E0"/>
    <w:rsid w:val="00B7190B"/>
    <w:rsid w:val="00B71C3A"/>
    <w:rsid w:val="00B71EB5"/>
    <w:rsid w:val="00B7238F"/>
    <w:rsid w:val="00B727A4"/>
    <w:rsid w:val="00B72D4A"/>
    <w:rsid w:val="00B733E5"/>
    <w:rsid w:val="00B73817"/>
    <w:rsid w:val="00B7485A"/>
    <w:rsid w:val="00B7495C"/>
    <w:rsid w:val="00B74CBD"/>
    <w:rsid w:val="00B754DD"/>
    <w:rsid w:val="00B7593C"/>
    <w:rsid w:val="00B75F66"/>
    <w:rsid w:val="00B76C7C"/>
    <w:rsid w:val="00B776CC"/>
    <w:rsid w:val="00B77ECB"/>
    <w:rsid w:val="00B8061C"/>
    <w:rsid w:val="00B807B3"/>
    <w:rsid w:val="00B807C5"/>
    <w:rsid w:val="00B81802"/>
    <w:rsid w:val="00B819C1"/>
    <w:rsid w:val="00B82E1F"/>
    <w:rsid w:val="00B83057"/>
    <w:rsid w:val="00B836BA"/>
    <w:rsid w:val="00B839E3"/>
    <w:rsid w:val="00B8437D"/>
    <w:rsid w:val="00B844B8"/>
    <w:rsid w:val="00B84ED8"/>
    <w:rsid w:val="00B85259"/>
    <w:rsid w:val="00B85592"/>
    <w:rsid w:val="00B85827"/>
    <w:rsid w:val="00B85D2E"/>
    <w:rsid w:val="00B85E6B"/>
    <w:rsid w:val="00B8607C"/>
    <w:rsid w:val="00B86D18"/>
    <w:rsid w:val="00B87A71"/>
    <w:rsid w:val="00B9024A"/>
    <w:rsid w:val="00B9040D"/>
    <w:rsid w:val="00B90A56"/>
    <w:rsid w:val="00B917BB"/>
    <w:rsid w:val="00B922BC"/>
    <w:rsid w:val="00B9236E"/>
    <w:rsid w:val="00B9251A"/>
    <w:rsid w:val="00B92712"/>
    <w:rsid w:val="00B92BDD"/>
    <w:rsid w:val="00B92D9A"/>
    <w:rsid w:val="00B931B2"/>
    <w:rsid w:val="00B931F2"/>
    <w:rsid w:val="00B936B2"/>
    <w:rsid w:val="00B93BAE"/>
    <w:rsid w:val="00B93CEB"/>
    <w:rsid w:val="00B94144"/>
    <w:rsid w:val="00B9426B"/>
    <w:rsid w:val="00B94677"/>
    <w:rsid w:val="00B94944"/>
    <w:rsid w:val="00B94A11"/>
    <w:rsid w:val="00B950BD"/>
    <w:rsid w:val="00B95554"/>
    <w:rsid w:val="00B95A07"/>
    <w:rsid w:val="00B964BE"/>
    <w:rsid w:val="00B96841"/>
    <w:rsid w:val="00B96D2F"/>
    <w:rsid w:val="00B97465"/>
    <w:rsid w:val="00B9754B"/>
    <w:rsid w:val="00B97C4B"/>
    <w:rsid w:val="00B97D51"/>
    <w:rsid w:val="00BA001C"/>
    <w:rsid w:val="00BA0414"/>
    <w:rsid w:val="00BA0F46"/>
    <w:rsid w:val="00BA10E7"/>
    <w:rsid w:val="00BA1342"/>
    <w:rsid w:val="00BA157C"/>
    <w:rsid w:val="00BA1A35"/>
    <w:rsid w:val="00BA1E67"/>
    <w:rsid w:val="00BA20EC"/>
    <w:rsid w:val="00BA273E"/>
    <w:rsid w:val="00BA2B34"/>
    <w:rsid w:val="00BA2B93"/>
    <w:rsid w:val="00BA33D4"/>
    <w:rsid w:val="00BA40F3"/>
    <w:rsid w:val="00BA429B"/>
    <w:rsid w:val="00BA4A08"/>
    <w:rsid w:val="00BA61B4"/>
    <w:rsid w:val="00BA6374"/>
    <w:rsid w:val="00BA651F"/>
    <w:rsid w:val="00BA6850"/>
    <w:rsid w:val="00BA6990"/>
    <w:rsid w:val="00BA6E7E"/>
    <w:rsid w:val="00BA71D5"/>
    <w:rsid w:val="00BA7A07"/>
    <w:rsid w:val="00BA7F5E"/>
    <w:rsid w:val="00BB0827"/>
    <w:rsid w:val="00BB174F"/>
    <w:rsid w:val="00BB1A96"/>
    <w:rsid w:val="00BB1D4B"/>
    <w:rsid w:val="00BB20C2"/>
    <w:rsid w:val="00BB21E7"/>
    <w:rsid w:val="00BB2429"/>
    <w:rsid w:val="00BB2B8B"/>
    <w:rsid w:val="00BB36DA"/>
    <w:rsid w:val="00BB39A6"/>
    <w:rsid w:val="00BB4028"/>
    <w:rsid w:val="00BB4B3B"/>
    <w:rsid w:val="00BB522A"/>
    <w:rsid w:val="00BB5BEC"/>
    <w:rsid w:val="00BB6720"/>
    <w:rsid w:val="00BB6830"/>
    <w:rsid w:val="00BB6844"/>
    <w:rsid w:val="00BB7053"/>
    <w:rsid w:val="00BB7137"/>
    <w:rsid w:val="00BB725E"/>
    <w:rsid w:val="00BB7329"/>
    <w:rsid w:val="00BB74C7"/>
    <w:rsid w:val="00BB76D4"/>
    <w:rsid w:val="00BB77D1"/>
    <w:rsid w:val="00BB7908"/>
    <w:rsid w:val="00BB7D14"/>
    <w:rsid w:val="00BB7DA9"/>
    <w:rsid w:val="00BB7ECE"/>
    <w:rsid w:val="00BC00C1"/>
    <w:rsid w:val="00BC0C34"/>
    <w:rsid w:val="00BC13B9"/>
    <w:rsid w:val="00BC18A7"/>
    <w:rsid w:val="00BC2383"/>
    <w:rsid w:val="00BC3C64"/>
    <w:rsid w:val="00BC4092"/>
    <w:rsid w:val="00BC47BC"/>
    <w:rsid w:val="00BC4BCC"/>
    <w:rsid w:val="00BC6074"/>
    <w:rsid w:val="00BC60EA"/>
    <w:rsid w:val="00BC6C74"/>
    <w:rsid w:val="00BC6C9B"/>
    <w:rsid w:val="00BC6D95"/>
    <w:rsid w:val="00BC7A40"/>
    <w:rsid w:val="00BD0976"/>
    <w:rsid w:val="00BD0A52"/>
    <w:rsid w:val="00BD0DA4"/>
    <w:rsid w:val="00BD1756"/>
    <w:rsid w:val="00BD17EB"/>
    <w:rsid w:val="00BD1851"/>
    <w:rsid w:val="00BD1935"/>
    <w:rsid w:val="00BD1950"/>
    <w:rsid w:val="00BD1BB5"/>
    <w:rsid w:val="00BD23A2"/>
    <w:rsid w:val="00BD34C8"/>
    <w:rsid w:val="00BD4356"/>
    <w:rsid w:val="00BD47DE"/>
    <w:rsid w:val="00BD4800"/>
    <w:rsid w:val="00BD4838"/>
    <w:rsid w:val="00BD4892"/>
    <w:rsid w:val="00BD489D"/>
    <w:rsid w:val="00BD4B1F"/>
    <w:rsid w:val="00BD4E31"/>
    <w:rsid w:val="00BD5488"/>
    <w:rsid w:val="00BD55A4"/>
    <w:rsid w:val="00BD5E93"/>
    <w:rsid w:val="00BD6244"/>
    <w:rsid w:val="00BD6285"/>
    <w:rsid w:val="00BD6A61"/>
    <w:rsid w:val="00BD6AA4"/>
    <w:rsid w:val="00BD6CCF"/>
    <w:rsid w:val="00BD74A0"/>
    <w:rsid w:val="00BE051E"/>
    <w:rsid w:val="00BE08D3"/>
    <w:rsid w:val="00BE0DA1"/>
    <w:rsid w:val="00BE0E9F"/>
    <w:rsid w:val="00BE1738"/>
    <w:rsid w:val="00BE17E5"/>
    <w:rsid w:val="00BE1F4E"/>
    <w:rsid w:val="00BE272F"/>
    <w:rsid w:val="00BE2766"/>
    <w:rsid w:val="00BE28C6"/>
    <w:rsid w:val="00BE2950"/>
    <w:rsid w:val="00BE2CC5"/>
    <w:rsid w:val="00BE4A12"/>
    <w:rsid w:val="00BE4CFF"/>
    <w:rsid w:val="00BE5004"/>
    <w:rsid w:val="00BE52B3"/>
    <w:rsid w:val="00BE5F9D"/>
    <w:rsid w:val="00BE6F64"/>
    <w:rsid w:val="00BE73C9"/>
    <w:rsid w:val="00BE7549"/>
    <w:rsid w:val="00BE7EA5"/>
    <w:rsid w:val="00BF035D"/>
    <w:rsid w:val="00BF0440"/>
    <w:rsid w:val="00BF07E8"/>
    <w:rsid w:val="00BF0C6B"/>
    <w:rsid w:val="00BF0C81"/>
    <w:rsid w:val="00BF0DAB"/>
    <w:rsid w:val="00BF0F90"/>
    <w:rsid w:val="00BF299D"/>
    <w:rsid w:val="00BF29E2"/>
    <w:rsid w:val="00BF2EC9"/>
    <w:rsid w:val="00BF36E0"/>
    <w:rsid w:val="00BF3B13"/>
    <w:rsid w:val="00BF4251"/>
    <w:rsid w:val="00BF433E"/>
    <w:rsid w:val="00BF4819"/>
    <w:rsid w:val="00BF51C0"/>
    <w:rsid w:val="00BF536A"/>
    <w:rsid w:val="00BF57AB"/>
    <w:rsid w:val="00BF588A"/>
    <w:rsid w:val="00BF59BC"/>
    <w:rsid w:val="00BF5BC2"/>
    <w:rsid w:val="00BF5F53"/>
    <w:rsid w:val="00BF634C"/>
    <w:rsid w:val="00BF6772"/>
    <w:rsid w:val="00BF6997"/>
    <w:rsid w:val="00BF6DFD"/>
    <w:rsid w:val="00BF6E9E"/>
    <w:rsid w:val="00BF726F"/>
    <w:rsid w:val="00BF749F"/>
    <w:rsid w:val="00BF7606"/>
    <w:rsid w:val="00BF7B4C"/>
    <w:rsid w:val="00C0030F"/>
    <w:rsid w:val="00C004D6"/>
    <w:rsid w:val="00C0057C"/>
    <w:rsid w:val="00C006CE"/>
    <w:rsid w:val="00C00B71"/>
    <w:rsid w:val="00C01049"/>
    <w:rsid w:val="00C01175"/>
    <w:rsid w:val="00C014E4"/>
    <w:rsid w:val="00C01538"/>
    <w:rsid w:val="00C01B5D"/>
    <w:rsid w:val="00C01BE5"/>
    <w:rsid w:val="00C01F55"/>
    <w:rsid w:val="00C01FE3"/>
    <w:rsid w:val="00C02436"/>
    <w:rsid w:val="00C02608"/>
    <w:rsid w:val="00C02639"/>
    <w:rsid w:val="00C02855"/>
    <w:rsid w:val="00C03629"/>
    <w:rsid w:val="00C03A4A"/>
    <w:rsid w:val="00C03B01"/>
    <w:rsid w:val="00C04075"/>
    <w:rsid w:val="00C04489"/>
    <w:rsid w:val="00C04B9F"/>
    <w:rsid w:val="00C05510"/>
    <w:rsid w:val="00C05582"/>
    <w:rsid w:val="00C05A88"/>
    <w:rsid w:val="00C0657A"/>
    <w:rsid w:val="00C06665"/>
    <w:rsid w:val="00C0679B"/>
    <w:rsid w:val="00C074F1"/>
    <w:rsid w:val="00C07715"/>
    <w:rsid w:val="00C07986"/>
    <w:rsid w:val="00C104CC"/>
    <w:rsid w:val="00C107F1"/>
    <w:rsid w:val="00C11DE4"/>
    <w:rsid w:val="00C12C40"/>
    <w:rsid w:val="00C12DE0"/>
    <w:rsid w:val="00C130DC"/>
    <w:rsid w:val="00C13157"/>
    <w:rsid w:val="00C132CC"/>
    <w:rsid w:val="00C132DE"/>
    <w:rsid w:val="00C1340A"/>
    <w:rsid w:val="00C13B15"/>
    <w:rsid w:val="00C13CB8"/>
    <w:rsid w:val="00C14926"/>
    <w:rsid w:val="00C14C19"/>
    <w:rsid w:val="00C14D2E"/>
    <w:rsid w:val="00C156EF"/>
    <w:rsid w:val="00C15718"/>
    <w:rsid w:val="00C15752"/>
    <w:rsid w:val="00C159BE"/>
    <w:rsid w:val="00C160E1"/>
    <w:rsid w:val="00C166AE"/>
    <w:rsid w:val="00C16899"/>
    <w:rsid w:val="00C1695F"/>
    <w:rsid w:val="00C16A35"/>
    <w:rsid w:val="00C16C86"/>
    <w:rsid w:val="00C16E3A"/>
    <w:rsid w:val="00C172CD"/>
    <w:rsid w:val="00C17855"/>
    <w:rsid w:val="00C1796B"/>
    <w:rsid w:val="00C2002F"/>
    <w:rsid w:val="00C2018D"/>
    <w:rsid w:val="00C20336"/>
    <w:rsid w:val="00C20965"/>
    <w:rsid w:val="00C210D1"/>
    <w:rsid w:val="00C212D0"/>
    <w:rsid w:val="00C21FB6"/>
    <w:rsid w:val="00C22291"/>
    <w:rsid w:val="00C2234F"/>
    <w:rsid w:val="00C22D02"/>
    <w:rsid w:val="00C22E30"/>
    <w:rsid w:val="00C22F6F"/>
    <w:rsid w:val="00C22F7B"/>
    <w:rsid w:val="00C2306A"/>
    <w:rsid w:val="00C23184"/>
    <w:rsid w:val="00C231DE"/>
    <w:rsid w:val="00C231F2"/>
    <w:rsid w:val="00C234CE"/>
    <w:rsid w:val="00C23A97"/>
    <w:rsid w:val="00C245BF"/>
    <w:rsid w:val="00C24CD6"/>
    <w:rsid w:val="00C25BED"/>
    <w:rsid w:val="00C26892"/>
    <w:rsid w:val="00C26BDA"/>
    <w:rsid w:val="00C26CB1"/>
    <w:rsid w:val="00C271FD"/>
    <w:rsid w:val="00C2751F"/>
    <w:rsid w:val="00C2778F"/>
    <w:rsid w:val="00C277E2"/>
    <w:rsid w:val="00C27D5B"/>
    <w:rsid w:val="00C302DE"/>
    <w:rsid w:val="00C30899"/>
    <w:rsid w:val="00C310A7"/>
    <w:rsid w:val="00C317B0"/>
    <w:rsid w:val="00C31821"/>
    <w:rsid w:val="00C31BF9"/>
    <w:rsid w:val="00C32364"/>
    <w:rsid w:val="00C32A01"/>
    <w:rsid w:val="00C32C07"/>
    <w:rsid w:val="00C33132"/>
    <w:rsid w:val="00C331DA"/>
    <w:rsid w:val="00C3322A"/>
    <w:rsid w:val="00C33362"/>
    <w:rsid w:val="00C3356D"/>
    <w:rsid w:val="00C33752"/>
    <w:rsid w:val="00C341C2"/>
    <w:rsid w:val="00C34688"/>
    <w:rsid w:val="00C34CC0"/>
    <w:rsid w:val="00C35359"/>
    <w:rsid w:val="00C35810"/>
    <w:rsid w:val="00C3595F"/>
    <w:rsid w:val="00C35ADB"/>
    <w:rsid w:val="00C35D38"/>
    <w:rsid w:val="00C35E3B"/>
    <w:rsid w:val="00C366FC"/>
    <w:rsid w:val="00C36755"/>
    <w:rsid w:val="00C36889"/>
    <w:rsid w:val="00C36D3F"/>
    <w:rsid w:val="00C404F6"/>
    <w:rsid w:val="00C40653"/>
    <w:rsid w:val="00C40742"/>
    <w:rsid w:val="00C40841"/>
    <w:rsid w:val="00C40956"/>
    <w:rsid w:val="00C409E7"/>
    <w:rsid w:val="00C40BF7"/>
    <w:rsid w:val="00C40C80"/>
    <w:rsid w:val="00C40DD4"/>
    <w:rsid w:val="00C417B7"/>
    <w:rsid w:val="00C4180E"/>
    <w:rsid w:val="00C424ED"/>
    <w:rsid w:val="00C42DC4"/>
    <w:rsid w:val="00C42E11"/>
    <w:rsid w:val="00C436C0"/>
    <w:rsid w:val="00C439E8"/>
    <w:rsid w:val="00C43B6A"/>
    <w:rsid w:val="00C43C6E"/>
    <w:rsid w:val="00C4402B"/>
    <w:rsid w:val="00C4486B"/>
    <w:rsid w:val="00C44ADE"/>
    <w:rsid w:val="00C44AE0"/>
    <w:rsid w:val="00C451F0"/>
    <w:rsid w:val="00C452A0"/>
    <w:rsid w:val="00C457E2"/>
    <w:rsid w:val="00C45B56"/>
    <w:rsid w:val="00C45F95"/>
    <w:rsid w:val="00C46423"/>
    <w:rsid w:val="00C46F6A"/>
    <w:rsid w:val="00C47251"/>
    <w:rsid w:val="00C47AB0"/>
    <w:rsid w:val="00C47BC0"/>
    <w:rsid w:val="00C50590"/>
    <w:rsid w:val="00C5131D"/>
    <w:rsid w:val="00C51914"/>
    <w:rsid w:val="00C51F0F"/>
    <w:rsid w:val="00C51F38"/>
    <w:rsid w:val="00C520E8"/>
    <w:rsid w:val="00C522D6"/>
    <w:rsid w:val="00C52804"/>
    <w:rsid w:val="00C52A59"/>
    <w:rsid w:val="00C52E1A"/>
    <w:rsid w:val="00C52EC1"/>
    <w:rsid w:val="00C538CA"/>
    <w:rsid w:val="00C53B82"/>
    <w:rsid w:val="00C546B6"/>
    <w:rsid w:val="00C54732"/>
    <w:rsid w:val="00C55985"/>
    <w:rsid w:val="00C56885"/>
    <w:rsid w:val="00C56B0C"/>
    <w:rsid w:val="00C56DED"/>
    <w:rsid w:val="00C57B17"/>
    <w:rsid w:val="00C60D60"/>
    <w:rsid w:val="00C60EDD"/>
    <w:rsid w:val="00C610CC"/>
    <w:rsid w:val="00C6174B"/>
    <w:rsid w:val="00C617AE"/>
    <w:rsid w:val="00C61E7D"/>
    <w:rsid w:val="00C62B22"/>
    <w:rsid w:val="00C633EB"/>
    <w:rsid w:val="00C63D11"/>
    <w:rsid w:val="00C63FBD"/>
    <w:rsid w:val="00C64E66"/>
    <w:rsid w:val="00C656D0"/>
    <w:rsid w:val="00C65D93"/>
    <w:rsid w:val="00C6684D"/>
    <w:rsid w:val="00C66B9F"/>
    <w:rsid w:val="00C66C5F"/>
    <w:rsid w:val="00C673C2"/>
    <w:rsid w:val="00C67835"/>
    <w:rsid w:val="00C679E0"/>
    <w:rsid w:val="00C67C92"/>
    <w:rsid w:val="00C67FB7"/>
    <w:rsid w:val="00C7194B"/>
    <w:rsid w:val="00C71B0C"/>
    <w:rsid w:val="00C71B56"/>
    <w:rsid w:val="00C71C41"/>
    <w:rsid w:val="00C721BF"/>
    <w:rsid w:val="00C727F6"/>
    <w:rsid w:val="00C72EA3"/>
    <w:rsid w:val="00C7349C"/>
    <w:rsid w:val="00C73645"/>
    <w:rsid w:val="00C73754"/>
    <w:rsid w:val="00C73D75"/>
    <w:rsid w:val="00C74252"/>
    <w:rsid w:val="00C74485"/>
    <w:rsid w:val="00C746E4"/>
    <w:rsid w:val="00C74B55"/>
    <w:rsid w:val="00C75699"/>
    <w:rsid w:val="00C762B2"/>
    <w:rsid w:val="00C7651B"/>
    <w:rsid w:val="00C76B39"/>
    <w:rsid w:val="00C771B9"/>
    <w:rsid w:val="00C777AA"/>
    <w:rsid w:val="00C779B6"/>
    <w:rsid w:val="00C801D9"/>
    <w:rsid w:val="00C80B0F"/>
    <w:rsid w:val="00C811A3"/>
    <w:rsid w:val="00C81244"/>
    <w:rsid w:val="00C81454"/>
    <w:rsid w:val="00C814EE"/>
    <w:rsid w:val="00C817FB"/>
    <w:rsid w:val="00C81AD9"/>
    <w:rsid w:val="00C81DB5"/>
    <w:rsid w:val="00C824F8"/>
    <w:rsid w:val="00C82699"/>
    <w:rsid w:val="00C83265"/>
    <w:rsid w:val="00C83821"/>
    <w:rsid w:val="00C83FD1"/>
    <w:rsid w:val="00C84584"/>
    <w:rsid w:val="00C8482D"/>
    <w:rsid w:val="00C84949"/>
    <w:rsid w:val="00C84A5E"/>
    <w:rsid w:val="00C853A1"/>
    <w:rsid w:val="00C853FE"/>
    <w:rsid w:val="00C854EE"/>
    <w:rsid w:val="00C855BA"/>
    <w:rsid w:val="00C857DF"/>
    <w:rsid w:val="00C85F67"/>
    <w:rsid w:val="00C863D5"/>
    <w:rsid w:val="00C8645C"/>
    <w:rsid w:val="00C86DF1"/>
    <w:rsid w:val="00C86E71"/>
    <w:rsid w:val="00C87071"/>
    <w:rsid w:val="00C8761C"/>
    <w:rsid w:val="00C87A04"/>
    <w:rsid w:val="00C87CA3"/>
    <w:rsid w:val="00C87D77"/>
    <w:rsid w:val="00C90644"/>
    <w:rsid w:val="00C907BA"/>
    <w:rsid w:val="00C90E95"/>
    <w:rsid w:val="00C910FE"/>
    <w:rsid w:val="00C91418"/>
    <w:rsid w:val="00C91659"/>
    <w:rsid w:val="00C919FB"/>
    <w:rsid w:val="00C936AD"/>
    <w:rsid w:val="00C937C0"/>
    <w:rsid w:val="00C93B3E"/>
    <w:rsid w:val="00C94485"/>
    <w:rsid w:val="00C94C32"/>
    <w:rsid w:val="00C94EEE"/>
    <w:rsid w:val="00C95080"/>
    <w:rsid w:val="00C9525D"/>
    <w:rsid w:val="00C952E0"/>
    <w:rsid w:val="00C95394"/>
    <w:rsid w:val="00C95F58"/>
    <w:rsid w:val="00C96B06"/>
    <w:rsid w:val="00C97371"/>
    <w:rsid w:val="00C975CE"/>
    <w:rsid w:val="00C976A0"/>
    <w:rsid w:val="00C97B17"/>
    <w:rsid w:val="00C97ED8"/>
    <w:rsid w:val="00CA063F"/>
    <w:rsid w:val="00CA0747"/>
    <w:rsid w:val="00CA113C"/>
    <w:rsid w:val="00CA1396"/>
    <w:rsid w:val="00CA1A26"/>
    <w:rsid w:val="00CA1E22"/>
    <w:rsid w:val="00CA1E8D"/>
    <w:rsid w:val="00CA221F"/>
    <w:rsid w:val="00CA2D2A"/>
    <w:rsid w:val="00CA30C9"/>
    <w:rsid w:val="00CA3561"/>
    <w:rsid w:val="00CA4F9F"/>
    <w:rsid w:val="00CA50F5"/>
    <w:rsid w:val="00CA519E"/>
    <w:rsid w:val="00CA587F"/>
    <w:rsid w:val="00CA5B95"/>
    <w:rsid w:val="00CA5C04"/>
    <w:rsid w:val="00CA67E0"/>
    <w:rsid w:val="00CA6819"/>
    <w:rsid w:val="00CA69AB"/>
    <w:rsid w:val="00CA72AE"/>
    <w:rsid w:val="00CA744D"/>
    <w:rsid w:val="00CA7B4E"/>
    <w:rsid w:val="00CA7D90"/>
    <w:rsid w:val="00CB00F7"/>
    <w:rsid w:val="00CB0944"/>
    <w:rsid w:val="00CB0B53"/>
    <w:rsid w:val="00CB100C"/>
    <w:rsid w:val="00CB1690"/>
    <w:rsid w:val="00CB2851"/>
    <w:rsid w:val="00CB2BAC"/>
    <w:rsid w:val="00CB304D"/>
    <w:rsid w:val="00CB39F5"/>
    <w:rsid w:val="00CB3E98"/>
    <w:rsid w:val="00CB3EC2"/>
    <w:rsid w:val="00CB4645"/>
    <w:rsid w:val="00CB4ED4"/>
    <w:rsid w:val="00CB4EE1"/>
    <w:rsid w:val="00CB51BB"/>
    <w:rsid w:val="00CB530B"/>
    <w:rsid w:val="00CB541E"/>
    <w:rsid w:val="00CB57E6"/>
    <w:rsid w:val="00CB5A34"/>
    <w:rsid w:val="00CB5F84"/>
    <w:rsid w:val="00CB6633"/>
    <w:rsid w:val="00CB6E32"/>
    <w:rsid w:val="00CB7A50"/>
    <w:rsid w:val="00CB7B14"/>
    <w:rsid w:val="00CC0706"/>
    <w:rsid w:val="00CC07F8"/>
    <w:rsid w:val="00CC09DC"/>
    <w:rsid w:val="00CC0B2A"/>
    <w:rsid w:val="00CC0E75"/>
    <w:rsid w:val="00CC173D"/>
    <w:rsid w:val="00CC186D"/>
    <w:rsid w:val="00CC1AFE"/>
    <w:rsid w:val="00CC2033"/>
    <w:rsid w:val="00CC207A"/>
    <w:rsid w:val="00CC21FD"/>
    <w:rsid w:val="00CC2710"/>
    <w:rsid w:val="00CC272D"/>
    <w:rsid w:val="00CC2ADF"/>
    <w:rsid w:val="00CC3031"/>
    <w:rsid w:val="00CC4E20"/>
    <w:rsid w:val="00CC566D"/>
    <w:rsid w:val="00CC583A"/>
    <w:rsid w:val="00CC594A"/>
    <w:rsid w:val="00CC62DF"/>
    <w:rsid w:val="00CC68CE"/>
    <w:rsid w:val="00CC75E7"/>
    <w:rsid w:val="00CD03AB"/>
    <w:rsid w:val="00CD0A37"/>
    <w:rsid w:val="00CD1CB9"/>
    <w:rsid w:val="00CD2009"/>
    <w:rsid w:val="00CD2142"/>
    <w:rsid w:val="00CD26E7"/>
    <w:rsid w:val="00CD2841"/>
    <w:rsid w:val="00CD2FE1"/>
    <w:rsid w:val="00CD41AB"/>
    <w:rsid w:val="00CD492A"/>
    <w:rsid w:val="00CD4AE2"/>
    <w:rsid w:val="00CD4D06"/>
    <w:rsid w:val="00CD5914"/>
    <w:rsid w:val="00CD5C63"/>
    <w:rsid w:val="00CD5CFD"/>
    <w:rsid w:val="00CD6042"/>
    <w:rsid w:val="00CD609F"/>
    <w:rsid w:val="00CD6334"/>
    <w:rsid w:val="00CD6F48"/>
    <w:rsid w:val="00CD739C"/>
    <w:rsid w:val="00CD75D0"/>
    <w:rsid w:val="00CD7785"/>
    <w:rsid w:val="00CE0036"/>
    <w:rsid w:val="00CE0195"/>
    <w:rsid w:val="00CE04C1"/>
    <w:rsid w:val="00CE0DC1"/>
    <w:rsid w:val="00CE1601"/>
    <w:rsid w:val="00CE1D2B"/>
    <w:rsid w:val="00CE2317"/>
    <w:rsid w:val="00CE25BF"/>
    <w:rsid w:val="00CE3276"/>
    <w:rsid w:val="00CE360E"/>
    <w:rsid w:val="00CE3980"/>
    <w:rsid w:val="00CE3CCA"/>
    <w:rsid w:val="00CE4009"/>
    <w:rsid w:val="00CE43ED"/>
    <w:rsid w:val="00CE4424"/>
    <w:rsid w:val="00CE44E0"/>
    <w:rsid w:val="00CE4D3D"/>
    <w:rsid w:val="00CE5746"/>
    <w:rsid w:val="00CE5E3A"/>
    <w:rsid w:val="00CE5E4F"/>
    <w:rsid w:val="00CE649D"/>
    <w:rsid w:val="00CE668D"/>
    <w:rsid w:val="00CE748B"/>
    <w:rsid w:val="00CE7A77"/>
    <w:rsid w:val="00CF0464"/>
    <w:rsid w:val="00CF05CF"/>
    <w:rsid w:val="00CF14A6"/>
    <w:rsid w:val="00CF1835"/>
    <w:rsid w:val="00CF18F9"/>
    <w:rsid w:val="00CF2F57"/>
    <w:rsid w:val="00CF31E5"/>
    <w:rsid w:val="00CF32E5"/>
    <w:rsid w:val="00CF35ED"/>
    <w:rsid w:val="00CF3DC3"/>
    <w:rsid w:val="00CF3DC6"/>
    <w:rsid w:val="00CF3F86"/>
    <w:rsid w:val="00CF4288"/>
    <w:rsid w:val="00CF46DA"/>
    <w:rsid w:val="00CF48DC"/>
    <w:rsid w:val="00CF5141"/>
    <w:rsid w:val="00CF5191"/>
    <w:rsid w:val="00CF6602"/>
    <w:rsid w:val="00CF68DC"/>
    <w:rsid w:val="00CF6C7E"/>
    <w:rsid w:val="00CF6E17"/>
    <w:rsid w:val="00CF6F2F"/>
    <w:rsid w:val="00CF7111"/>
    <w:rsid w:val="00CF72B0"/>
    <w:rsid w:val="00CF7492"/>
    <w:rsid w:val="00D000E9"/>
    <w:rsid w:val="00D00521"/>
    <w:rsid w:val="00D010F5"/>
    <w:rsid w:val="00D0179F"/>
    <w:rsid w:val="00D01870"/>
    <w:rsid w:val="00D01DFA"/>
    <w:rsid w:val="00D01E14"/>
    <w:rsid w:val="00D02265"/>
    <w:rsid w:val="00D029FF"/>
    <w:rsid w:val="00D02A9D"/>
    <w:rsid w:val="00D02C5A"/>
    <w:rsid w:val="00D03225"/>
    <w:rsid w:val="00D0424A"/>
    <w:rsid w:val="00D04463"/>
    <w:rsid w:val="00D04689"/>
    <w:rsid w:val="00D04F88"/>
    <w:rsid w:val="00D0512F"/>
    <w:rsid w:val="00D05209"/>
    <w:rsid w:val="00D05A27"/>
    <w:rsid w:val="00D05CF9"/>
    <w:rsid w:val="00D05DC3"/>
    <w:rsid w:val="00D05E4C"/>
    <w:rsid w:val="00D06D43"/>
    <w:rsid w:val="00D100CD"/>
    <w:rsid w:val="00D10294"/>
    <w:rsid w:val="00D10374"/>
    <w:rsid w:val="00D104F0"/>
    <w:rsid w:val="00D10667"/>
    <w:rsid w:val="00D10727"/>
    <w:rsid w:val="00D10C0B"/>
    <w:rsid w:val="00D113F2"/>
    <w:rsid w:val="00D1177A"/>
    <w:rsid w:val="00D118FD"/>
    <w:rsid w:val="00D119BC"/>
    <w:rsid w:val="00D123A9"/>
    <w:rsid w:val="00D129A7"/>
    <w:rsid w:val="00D12A57"/>
    <w:rsid w:val="00D12E29"/>
    <w:rsid w:val="00D148CE"/>
    <w:rsid w:val="00D14FC9"/>
    <w:rsid w:val="00D1552C"/>
    <w:rsid w:val="00D156DD"/>
    <w:rsid w:val="00D15B10"/>
    <w:rsid w:val="00D16053"/>
    <w:rsid w:val="00D1607C"/>
    <w:rsid w:val="00D16408"/>
    <w:rsid w:val="00D16A1D"/>
    <w:rsid w:val="00D16D62"/>
    <w:rsid w:val="00D16EAD"/>
    <w:rsid w:val="00D17E40"/>
    <w:rsid w:val="00D201FC"/>
    <w:rsid w:val="00D20529"/>
    <w:rsid w:val="00D2056F"/>
    <w:rsid w:val="00D207EA"/>
    <w:rsid w:val="00D20850"/>
    <w:rsid w:val="00D20A79"/>
    <w:rsid w:val="00D20A84"/>
    <w:rsid w:val="00D20ADB"/>
    <w:rsid w:val="00D20E16"/>
    <w:rsid w:val="00D2118A"/>
    <w:rsid w:val="00D211D5"/>
    <w:rsid w:val="00D213E8"/>
    <w:rsid w:val="00D22252"/>
    <w:rsid w:val="00D223F2"/>
    <w:rsid w:val="00D224D8"/>
    <w:rsid w:val="00D226BB"/>
    <w:rsid w:val="00D22BDC"/>
    <w:rsid w:val="00D24148"/>
    <w:rsid w:val="00D2486F"/>
    <w:rsid w:val="00D24AF4"/>
    <w:rsid w:val="00D25171"/>
    <w:rsid w:val="00D258F4"/>
    <w:rsid w:val="00D25BD9"/>
    <w:rsid w:val="00D2616D"/>
    <w:rsid w:val="00D263E6"/>
    <w:rsid w:val="00D26592"/>
    <w:rsid w:val="00D2666B"/>
    <w:rsid w:val="00D2679A"/>
    <w:rsid w:val="00D26B45"/>
    <w:rsid w:val="00D26BAC"/>
    <w:rsid w:val="00D275F9"/>
    <w:rsid w:val="00D27704"/>
    <w:rsid w:val="00D27F7E"/>
    <w:rsid w:val="00D30147"/>
    <w:rsid w:val="00D30AE6"/>
    <w:rsid w:val="00D30EF2"/>
    <w:rsid w:val="00D31D2D"/>
    <w:rsid w:val="00D31E6E"/>
    <w:rsid w:val="00D32BC9"/>
    <w:rsid w:val="00D32D62"/>
    <w:rsid w:val="00D32E37"/>
    <w:rsid w:val="00D32FF5"/>
    <w:rsid w:val="00D3347A"/>
    <w:rsid w:val="00D335A0"/>
    <w:rsid w:val="00D33605"/>
    <w:rsid w:val="00D33C70"/>
    <w:rsid w:val="00D34071"/>
    <w:rsid w:val="00D34E69"/>
    <w:rsid w:val="00D3510A"/>
    <w:rsid w:val="00D3522D"/>
    <w:rsid w:val="00D354C2"/>
    <w:rsid w:val="00D35A8B"/>
    <w:rsid w:val="00D35EB6"/>
    <w:rsid w:val="00D35F62"/>
    <w:rsid w:val="00D3600C"/>
    <w:rsid w:val="00D365B8"/>
    <w:rsid w:val="00D365F9"/>
    <w:rsid w:val="00D366A4"/>
    <w:rsid w:val="00D367E6"/>
    <w:rsid w:val="00D370D4"/>
    <w:rsid w:val="00D37A9B"/>
    <w:rsid w:val="00D37E4D"/>
    <w:rsid w:val="00D40705"/>
    <w:rsid w:val="00D4126E"/>
    <w:rsid w:val="00D416E6"/>
    <w:rsid w:val="00D417E3"/>
    <w:rsid w:val="00D417FB"/>
    <w:rsid w:val="00D42FC4"/>
    <w:rsid w:val="00D43444"/>
    <w:rsid w:val="00D43A95"/>
    <w:rsid w:val="00D43CEF"/>
    <w:rsid w:val="00D44055"/>
    <w:rsid w:val="00D4412C"/>
    <w:rsid w:val="00D44352"/>
    <w:rsid w:val="00D44814"/>
    <w:rsid w:val="00D4489F"/>
    <w:rsid w:val="00D44F9E"/>
    <w:rsid w:val="00D44FC2"/>
    <w:rsid w:val="00D46A04"/>
    <w:rsid w:val="00D46B4C"/>
    <w:rsid w:val="00D4751B"/>
    <w:rsid w:val="00D47929"/>
    <w:rsid w:val="00D47ACB"/>
    <w:rsid w:val="00D47F83"/>
    <w:rsid w:val="00D50375"/>
    <w:rsid w:val="00D50417"/>
    <w:rsid w:val="00D510FC"/>
    <w:rsid w:val="00D51143"/>
    <w:rsid w:val="00D515FB"/>
    <w:rsid w:val="00D51A1F"/>
    <w:rsid w:val="00D51EC5"/>
    <w:rsid w:val="00D52A12"/>
    <w:rsid w:val="00D53232"/>
    <w:rsid w:val="00D537F9"/>
    <w:rsid w:val="00D53856"/>
    <w:rsid w:val="00D5389A"/>
    <w:rsid w:val="00D53A6E"/>
    <w:rsid w:val="00D542D3"/>
    <w:rsid w:val="00D54758"/>
    <w:rsid w:val="00D54DAC"/>
    <w:rsid w:val="00D5581E"/>
    <w:rsid w:val="00D559EC"/>
    <w:rsid w:val="00D55B2D"/>
    <w:rsid w:val="00D55D69"/>
    <w:rsid w:val="00D56081"/>
    <w:rsid w:val="00D5627E"/>
    <w:rsid w:val="00D5772A"/>
    <w:rsid w:val="00D57B0C"/>
    <w:rsid w:val="00D6011A"/>
    <w:rsid w:val="00D605C4"/>
    <w:rsid w:val="00D6064E"/>
    <w:rsid w:val="00D6078C"/>
    <w:rsid w:val="00D60C26"/>
    <w:rsid w:val="00D60E50"/>
    <w:rsid w:val="00D60F5E"/>
    <w:rsid w:val="00D61033"/>
    <w:rsid w:val="00D61187"/>
    <w:rsid w:val="00D61605"/>
    <w:rsid w:val="00D61A7A"/>
    <w:rsid w:val="00D61A7F"/>
    <w:rsid w:val="00D61EA5"/>
    <w:rsid w:val="00D624A5"/>
    <w:rsid w:val="00D6286B"/>
    <w:rsid w:val="00D62D53"/>
    <w:rsid w:val="00D62F68"/>
    <w:rsid w:val="00D6379A"/>
    <w:rsid w:val="00D63CBD"/>
    <w:rsid w:val="00D63F70"/>
    <w:rsid w:val="00D6436C"/>
    <w:rsid w:val="00D64495"/>
    <w:rsid w:val="00D65274"/>
    <w:rsid w:val="00D6552A"/>
    <w:rsid w:val="00D6629E"/>
    <w:rsid w:val="00D6680B"/>
    <w:rsid w:val="00D66ADA"/>
    <w:rsid w:val="00D66B50"/>
    <w:rsid w:val="00D675C5"/>
    <w:rsid w:val="00D67738"/>
    <w:rsid w:val="00D67801"/>
    <w:rsid w:val="00D67970"/>
    <w:rsid w:val="00D67E9C"/>
    <w:rsid w:val="00D700AC"/>
    <w:rsid w:val="00D71193"/>
    <w:rsid w:val="00D71194"/>
    <w:rsid w:val="00D71D60"/>
    <w:rsid w:val="00D72107"/>
    <w:rsid w:val="00D72428"/>
    <w:rsid w:val="00D72CB4"/>
    <w:rsid w:val="00D73036"/>
    <w:rsid w:val="00D7331F"/>
    <w:rsid w:val="00D73A36"/>
    <w:rsid w:val="00D74128"/>
    <w:rsid w:val="00D74282"/>
    <w:rsid w:val="00D744E4"/>
    <w:rsid w:val="00D74791"/>
    <w:rsid w:val="00D74D66"/>
    <w:rsid w:val="00D75277"/>
    <w:rsid w:val="00D75415"/>
    <w:rsid w:val="00D75A0B"/>
    <w:rsid w:val="00D75EAE"/>
    <w:rsid w:val="00D75F19"/>
    <w:rsid w:val="00D7644E"/>
    <w:rsid w:val="00D76A27"/>
    <w:rsid w:val="00D76A4D"/>
    <w:rsid w:val="00D76AC4"/>
    <w:rsid w:val="00D80263"/>
    <w:rsid w:val="00D816F4"/>
    <w:rsid w:val="00D81912"/>
    <w:rsid w:val="00D81C80"/>
    <w:rsid w:val="00D8238F"/>
    <w:rsid w:val="00D825D6"/>
    <w:rsid w:val="00D84751"/>
    <w:rsid w:val="00D84EC5"/>
    <w:rsid w:val="00D850DC"/>
    <w:rsid w:val="00D8512C"/>
    <w:rsid w:val="00D85452"/>
    <w:rsid w:val="00D854D1"/>
    <w:rsid w:val="00D85514"/>
    <w:rsid w:val="00D85B4B"/>
    <w:rsid w:val="00D85D8F"/>
    <w:rsid w:val="00D863FE"/>
    <w:rsid w:val="00D8683C"/>
    <w:rsid w:val="00D86A30"/>
    <w:rsid w:val="00D86E4A"/>
    <w:rsid w:val="00D879BB"/>
    <w:rsid w:val="00D9059D"/>
    <w:rsid w:val="00D90A66"/>
    <w:rsid w:val="00D90B09"/>
    <w:rsid w:val="00D91BAF"/>
    <w:rsid w:val="00D92085"/>
    <w:rsid w:val="00D9217D"/>
    <w:rsid w:val="00D9218A"/>
    <w:rsid w:val="00D9229A"/>
    <w:rsid w:val="00D9255C"/>
    <w:rsid w:val="00D92EA4"/>
    <w:rsid w:val="00D9354C"/>
    <w:rsid w:val="00D93EB5"/>
    <w:rsid w:val="00D93FE4"/>
    <w:rsid w:val="00D941DE"/>
    <w:rsid w:val="00D9452A"/>
    <w:rsid w:val="00D95C64"/>
    <w:rsid w:val="00D95F53"/>
    <w:rsid w:val="00D960EB"/>
    <w:rsid w:val="00D96176"/>
    <w:rsid w:val="00D96206"/>
    <w:rsid w:val="00D966F6"/>
    <w:rsid w:val="00D96722"/>
    <w:rsid w:val="00D9681D"/>
    <w:rsid w:val="00D96F12"/>
    <w:rsid w:val="00D97069"/>
    <w:rsid w:val="00D979EE"/>
    <w:rsid w:val="00D97E65"/>
    <w:rsid w:val="00DA031C"/>
    <w:rsid w:val="00DA040F"/>
    <w:rsid w:val="00DA0869"/>
    <w:rsid w:val="00DA13E2"/>
    <w:rsid w:val="00DA1772"/>
    <w:rsid w:val="00DA1BE7"/>
    <w:rsid w:val="00DA1D73"/>
    <w:rsid w:val="00DA24ED"/>
    <w:rsid w:val="00DA26B6"/>
    <w:rsid w:val="00DA26D8"/>
    <w:rsid w:val="00DA2E28"/>
    <w:rsid w:val="00DA3169"/>
    <w:rsid w:val="00DA3605"/>
    <w:rsid w:val="00DA38B0"/>
    <w:rsid w:val="00DA41D9"/>
    <w:rsid w:val="00DA56BB"/>
    <w:rsid w:val="00DA5B07"/>
    <w:rsid w:val="00DA5F54"/>
    <w:rsid w:val="00DA609B"/>
    <w:rsid w:val="00DA6583"/>
    <w:rsid w:val="00DA6A88"/>
    <w:rsid w:val="00DA6F6B"/>
    <w:rsid w:val="00DA7442"/>
    <w:rsid w:val="00DA7647"/>
    <w:rsid w:val="00DA77D7"/>
    <w:rsid w:val="00DA77E6"/>
    <w:rsid w:val="00DB01B1"/>
    <w:rsid w:val="00DB0290"/>
    <w:rsid w:val="00DB2AC1"/>
    <w:rsid w:val="00DB31F1"/>
    <w:rsid w:val="00DB3899"/>
    <w:rsid w:val="00DB408A"/>
    <w:rsid w:val="00DB40CF"/>
    <w:rsid w:val="00DB44A2"/>
    <w:rsid w:val="00DB44C5"/>
    <w:rsid w:val="00DB49B4"/>
    <w:rsid w:val="00DB5321"/>
    <w:rsid w:val="00DB5A84"/>
    <w:rsid w:val="00DB5DAA"/>
    <w:rsid w:val="00DB5E19"/>
    <w:rsid w:val="00DB5EA6"/>
    <w:rsid w:val="00DB63C9"/>
    <w:rsid w:val="00DB6B6B"/>
    <w:rsid w:val="00DB6C92"/>
    <w:rsid w:val="00DB6CF2"/>
    <w:rsid w:val="00DB783D"/>
    <w:rsid w:val="00DC0696"/>
    <w:rsid w:val="00DC06D0"/>
    <w:rsid w:val="00DC0A33"/>
    <w:rsid w:val="00DC0B9C"/>
    <w:rsid w:val="00DC0F11"/>
    <w:rsid w:val="00DC1380"/>
    <w:rsid w:val="00DC1D48"/>
    <w:rsid w:val="00DC1F27"/>
    <w:rsid w:val="00DC2378"/>
    <w:rsid w:val="00DC2519"/>
    <w:rsid w:val="00DC3639"/>
    <w:rsid w:val="00DC4129"/>
    <w:rsid w:val="00DC4A58"/>
    <w:rsid w:val="00DC663F"/>
    <w:rsid w:val="00DC68F7"/>
    <w:rsid w:val="00DC6D7B"/>
    <w:rsid w:val="00DC7496"/>
    <w:rsid w:val="00DC7A44"/>
    <w:rsid w:val="00DC7DB6"/>
    <w:rsid w:val="00DD1CEF"/>
    <w:rsid w:val="00DD1E81"/>
    <w:rsid w:val="00DD25B5"/>
    <w:rsid w:val="00DD2EDD"/>
    <w:rsid w:val="00DD2FF3"/>
    <w:rsid w:val="00DD3125"/>
    <w:rsid w:val="00DD321E"/>
    <w:rsid w:val="00DD3464"/>
    <w:rsid w:val="00DD3903"/>
    <w:rsid w:val="00DD3FBB"/>
    <w:rsid w:val="00DD516E"/>
    <w:rsid w:val="00DD517A"/>
    <w:rsid w:val="00DD56F0"/>
    <w:rsid w:val="00DD5AEB"/>
    <w:rsid w:val="00DD5C1A"/>
    <w:rsid w:val="00DD5F2D"/>
    <w:rsid w:val="00DD6085"/>
    <w:rsid w:val="00DD6B68"/>
    <w:rsid w:val="00DD6C78"/>
    <w:rsid w:val="00DD72E9"/>
    <w:rsid w:val="00DD7863"/>
    <w:rsid w:val="00DD7970"/>
    <w:rsid w:val="00DD7E9F"/>
    <w:rsid w:val="00DE0188"/>
    <w:rsid w:val="00DE03E4"/>
    <w:rsid w:val="00DE06F3"/>
    <w:rsid w:val="00DE06FE"/>
    <w:rsid w:val="00DE11C2"/>
    <w:rsid w:val="00DE13D3"/>
    <w:rsid w:val="00DE17F7"/>
    <w:rsid w:val="00DE23D3"/>
    <w:rsid w:val="00DE25AC"/>
    <w:rsid w:val="00DE25C1"/>
    <w:rsid w:val="00DE2737"/>
    <w:rsid w:val="00DE3790"/>
    <w:rsid w:val="00DE3CF0"/>
    <w:rsid w:val="00DE3F53"/>
    <w:rsid w:val="00DE410E"/>
    <w:rsid w:val="00DE42E3"/>
    <w:rsid w:val="00DE4D51"/>
    <w:rsid w:val="00DE51EE"/>
    <w:rsid w:val="00DE6005"/>
    <w:rsid w:val="00DE6218"/>
    <w:rsid w:val="00DE6626"/>
    <w:rsid w:val="00DE7025"/>
    <w:rsid w:val="00DE78CB"/>
    <w:rsid w:val="00DE7AAD"/>
    <w:rsid w:val="00DE7BC3"/>
    <w:rsid w:val="00DF1568"/>
    <w:rsid w:val="00DF19B1"/>
    <w:rsid w:val="00DF1B14"/>
    <w:rsid w:val="00DF1C73"/>
    <w:rsid w:val="00DF2873"/>
    <w:rsid w:val="00DF28B3"/>
    <w:rsid w:val="00DF373B"/>
    <w:rsid w:val="00DF37D3"/>
    <w:rsid w:val="00DF4257"/>
    <w:rsid w:val="00DF4D59"/>
    <w:rsid w:val="00DF573B"/>
    <w:rsid w:val="00DF5EC8"/>
    <w:rsid w:val="00DF6276"/>
    <w:rsid w:val="00DF63F9"/>
    <w:rsid w:val="00DF676F"/>
    <w:rsid w:val="00DF6819"/>
    <w:rsid w:val="00DF6987"/>
    <w:rsid w:val="00DF6AD0"/>
    <w:rsid w:val="00E002C5"/>
    <w:rsid w:val="00E00B66"/>
    <w:rsid w:val="00E00E2E"/>
    <w:rsid w:val="00E00F70"/>
    <w:rsid w:val="00E0117C"/>
    <w:rsid w:val="00E01478"/>
    <w:rsid w:val="00E016D0"/>
    <w:rsid w:val="00E01895"/>
    <w:rsid w:val="00E01B6F"/>
    <w:rsid w:val="00E01C21"/>
    <w:rsid w:val="00E022C3"/>
    <w:rsid w:val="00E028E5"/>
    <w:rsid w:val="00E02D50"/>
    <w:rsid w:val="00E02ED8"/>
    <w:rsid w:val="00E02F7D"/>
    <w:rsid w:val="00E03021"/>
    <w:rsid w:val="00E0309E"/>
    <w:rsid w:val="00E0387D"/>
    <w:rsid w:val="00E04821"/>
    <w:rsid w:val="00E04E50"/>
    <w:rsid w:val="00E05753"/>
    <w:rsid w:val="00E058BB"/>
    <w:rsid w:val="00E058F6"/>
    <w:rsid w:val="00E05B63"/>
    <w:rsid w:val="00E0626F"/>
    <w:rsid w:val="00E0671D"/>
    <w:rsid w:val="00E06FB3"/>
    <w:rsid w:val="00E0735B"/>
    <w:rsid w:val="00E073A2"/>
    <w:rsid w:val="00E0797F"/>
    <w:rsid w:val="00E07C86"/>
    <w:rsid w:val="00E10332"/>
    <w:rsid w:val="00E1052F"/>
    <w:rsid w:val="00E10598"/>
    <w:rsid w:val="00E1077D"/>
    <w:rsid w:val="00E108AF"/>
    <w:rsid w:val="00E1090B"/>
    <w:rsid w:val="00E10CE1"/>
    <w:rsid w:val="00E11157"/>
    <w:rsid w:val="00E111AA"/>
    <w:rsid w:val="00E112A5"/>
    <w:rsid w:val="00E11ED6"/>
    <w:rsid w:val="00E11F05"/>
    <w:rsid w:val="00E11F44"/>
    <w:rsid w:val="00E1206A"/>
    <w:rsid w:val="00E12426"/>
    <w:rsid w:val="00E128F8"/>
    <w:rsid w:val="00E12918"/>
    <w:rsid w:val="00E132F8"/>
    <w:rsid w:val="00E1340F"/>
    <w:rsid w:val="00E13BD4"/>
    <w:rsid w:val="00E13E06"/>
    <w:rsid w:val="00E14C27"/>
    <w:rsid w:val="00E14DF3"/>
    <w:rsid w:val="00E14F49"/>
    <w:rsid w:val="00E153D6"/>
    <w:rsid w:val="00E15B38"/>
    <w:rsid w:val="00E15BD3"/>
    <w:rsid w:val="00E1609A"/>
    <w:rsid w:val="00E16149"/>
    <w:rsid w:val="00E16299"/>
    <w:rsid w:val="00E16499"/>
    <w:rsid w:val="00E16C86"/>
    <w:rsid w:val="00E16CA8"/>
    <w:rsid w:val="00E20209"/>
    <w:rsid w:val="00E20979"/>
    <w:rsid w:val="00E20D3B"/>
    <w:rsid w:val="00E211B4"/>
    <w:rsid w:val="00E21231"/>
    <w:rsid w:val="00E21748"/>
    <w:rsid w:val="00E21FE5"/>
    <w:rsid w:val="00E22024"/>
    <w:rsid w:val="00E2221E"/>
    <w:rsid w:val="00E22A63"/>
    <w:rsid w:val="00E23194"/>
    <w:rsid w:val="00E232F0"/>
    <w:rsid w:val="00E235CA"/>
    <w:rsid w:val="00E23807"/>
    <w:rsid w:val="00E23B2E"/>
    <w:rsid w:val="00E240B6"/>
    <w:rsid w:val="00E243CE"/>
    <w:rsid w:val="00E24B84"/>
    <w:rsid w:val="00E253AD"/>
    <w:rsid w:val="00E2659A"/>
    <w:rsid w:val="00E2678B"/>
    <w:rsid w:val="00E27A10"/>
    <w:rsid w:val="00E27D8D"/>
    <w:rsid w:val="00E27E54"/>
    <w:rsid w:val="00E27E65"/>
    <w:rsid w:val="00E301D2"/>
    <w:rsid w:val="00E30E14"/>
    <w:rsid w:val="00E311D9"/>
    <w:rsid w:val="00E31313"/>
    <w:rsid w:val="00E313C2"/>
    <w:rsid w:val="00E319E0"/>
    <w:rsid w:val="00E31A3B"/>
    <w:rsid w:val="00E31C3C"/>
    <w:rsid w:val="00E31FD7"/>
    <w:rsid w:val="00E3250E"/>
    <w:rsid w:val="00E325EB"/>
    <w:rsid w:val="00E32AFC"/>
    <w:rsid w:val="00E32D63"/>
    <w:rsid w:val="00E3337E"/>
    <w:rsid w:val="00E3345D"/>
    <w:rsid w:val="00E335F9"/>
    <w:rsid w:val="00E3390A"/>
    <w:rsid w:val="00E33943"/>
    <w:rsid w:val="00E33BF9"/>
    <w:rsid w:val="00E3406A"/>
    <w:rsid w:val="00E3419E"/>
    <w:rsid w:val="00E35131"/>
    <w:rsid w:val="00E35685"/>
    <w:rsid w:val="00E35952"/>
    <w:rsid w:val="00E35E53"/>
    <w:rsid w:val="00E360E3"/>
    <w:rsid w:val="00E366BF"/>
    <w:rsid w:val="00E368D8"/>
    <w:rsid w:val="00E37232"/>
    <w:rsid w:val="00E3748D"/>
    <w:rsid w:val="00E376BE"/>
    <w:rsid w:val="00E40494"/>
    <w:rsid w:val="00E4114E"/>
    <w:rsid w:val="00E415EE"/>
    <w:rsid w:val="00E4163B"/>
    <w:rsid w:val="00E41647"/>
    <w:rsid w:val="00E418A4"/>
    <w:rsid w:val="00E41AF3"/>
    <w:rsid w:val="00E41EAE"/>
    <w:rsid w:val="00E424A1"/>
    <w:rsid w:val="00E4263C"/>
    <w:rsid w:val="00E42812"/>
    <w:rsid w:val="00E43E22"/>
    <w:rsid w:val="00E43E8A"/>
    <w:rsid w:val="00E43F6E"/>
    <w:rsid w:val="00E4425E"/>
    <w:rsid w:val="00E45143"/>
    <w:rsid w:val="00E452F5"/>
    <w:rsid w:val="00E455D4"/>
    <w:rsid w:val="00E45844"/>
    <w:rsid w:val="00E459A2"/>
    <w:rsid w:val="00E459A8"/>
    <w:rsid w:val="00E45ADC"/>
    <w:rsid w:val="00E45AFC"/>
    <w:rsid w:val="00E45F42"/>
    <w:rsid w:val="00E462B8"/>
    <w:rsid w:val="00E462CE"/>
    <w:rsid w:val="00E464F1"/>
    <w:rsid w:val="00E468AC"/>
    <w:rsid w:val="00E468DD"/>
    <w:rsid w:val="00E4727A"/>
    <w:rsid w:val="00E47BA8"/>
    <w:rsid w:val="00E50060"/>
    <w:rsid w:val="00E500A1"/>
    <w:rsid w:val="00E500FD"/>
    <w:rsid w:val="00E50587"/>
    <w:rsid w:val="00E50600"/>
    <w:rsid w:val="00E50B34"/>
    <w:rsid w:val="00E50CB0"/>
    <w:rsid w:val="00E51204"/>
    <w:rsid w:val="00E51C0B"/>
    <w:rsid w:val="00E51FDF"/>
    <w:rsid w:val="00E525CC"/>
    <w:rsid w:val="00E534B0"/>
    <w:rsid w:val="00E5430D"/>
    <w:rsid w:val="00E5459F"/>
    <w:rsid w:val="00E55A17"/>
    <w:rsid w:val="00E55D04"/>
    <w:rsid w:val="00E55EBF"/>
    <w:rsid w:val="00E55EED"/>
    <w:rsid w:val="00E55FAC"/>
    <w:rsid w:val="00E56191"/>
    <w:rsid w:val="00E567D6"/>
    <w:rsid w:val="00E56B76"/>
    <w:rsid w:val="00E57955"/>
    <w:rsid w:val="00E57CFB"/>
    <w:rsid w:val="00E57F84"/>
    <w:rsid w:val="00E612A2"/>
    <w:rsid w:val="00E613A1"/>
    <w:rsid w:val="00E61C51"/>
    <w:rsid w:val="00E6240D"/>
    <w:rsid w:val="00E62519"/>
    <w:rsid w:val="00E626B7"/>
    <w:rsid w:val="00E6291C"/>
    <w:rsid w:val="00E63173"/>
    <w:rsid w:val="00E636EB"/>
    <w:rsid w:val="00E64BFF"/>
    <w:rsid w:val="00E64EBD"/>
    <w:rsid w:val="00E65114"/>
    <w:rsid w:val="00E6515A"/>
    <w:rsid w:val="00E65F8D"/>
    <w:rsid w:val="00E65FAC"/>
    <w:rsid w:val="00E65FFF"/>
    <w:rsid w:val="00E66394"/>
    <w:rsid w:val="00E66559"/>
    <w:rsid w:val="00E66681"/>
    <w:rsid w:val="00E674DF"/>
    <w:rsid w:val="00E676DA"/>
    <w:rsid w:val="00E67DBF"/>
    <w:rsid w:val="00E67F77"/>
    <w:rsid w:val="00E705A4"/>
    <w:rsid w:val="00E706AA"/>
    <w:rsid w:val="00E70A20"/>
    <w:rsid w:val="00E70D32"/>
    <w:rsid w:val="00E70E87"/>
    <w:rsid w:val="00E70F1A"/>
    <w:rsid w:val="00E71D49"/>
    <w:rsid w:val="00E71E2C"/>
    <w:rsid w:val="00E720D7"/>
    <w:rsid w:val="00E72C9A"/>
    <w:rsid w:val="00E73343"/>
    <w:rsid w:val="00E73779"/>
    <w:rsid w:val="00E73D73"/>
    <w:rsid w:val="00E74095"/>
    <w:rsid w:val="00E74C2D"/>
    <w:rsid w:val="00E74CF9"/>
    <w:rsid w:val="00E75224"/>
    <w:rsid w:val="00E7535E"/>
    <w:rsid w:val="00E75AFA"/>
    <w:rsid w:val="00E75CF2"/>
    <w:rsid w:val="00E76612"/>
    <w:rsid w:val="00E76D23"/>
    <w:rsid w:val="00E77BBF"/>
    <w:rsid w:val="00E77D9E"/>
    <w:rsid w:val="00E80263"/>
    <w:rsid w:val="00E80277"/>
    <w:rsid w:val="00E805FE"/>
    <w:rsid w:val="00E80840"/>
    <w:rsid w:val="00E80D8B"/>
    <w:rsid w:val="00E80DD0"/>
    <w:rsid w:val="00E80E88"/>
    <w:rsid w:val="00E81474"/>
    <w:rsid w:val="00E81D3A"/>
    <w:rsid w:val="00E82839"/>
    <w:rsid w:val="00E82A76"/>
    <w:rsid w:val="00E82CE8"/>
    <w:rsid w:val="00E83304"/>
    <w:rsid w:val="00E833CD"/>
    <w:rsid w:val="00E83899"/>
    <w:rsid w:val="00E83C37"/>
    <w:rsid w:val="00E84A53"/>
    <w:rsid w:val="00E84C9A"/>
    <w:rsid w:val="00E84EA4"/>
    <w:rsid w:val="00E851D5"/>
    <w:rsid w:val="00E85A61"/>
    <w:rsid w:val="00E85EFE"/>
    <w:rsid w:val="00E86085"/>
    <w:rsid w:val="00E87CCE"/>
    <w:rsid w:val="00E9004D"/>
    <w:rsid w:val="00E9032A"/>
    <w:rsid w:val="00E909E6"/>
    <w:rsid w:val="00E91034"/>
    <w:rsid w:val="00E915EB"/>
    <w:rsid w:val="00E9161F"/>
    <w:rsid w:val="00E917E1"/>
    <w:rsid w:val="00E919A1"/>
    <w:rsid w:val="00E91FF5"/>
    <w:rsid w:val="00E9262F"/>
    <w:rsid w:val="00E92D6D"/>
    <w:rsid w:val="00E92FC0"/>
    <w:rsid w:val="00E93037"/>
    <w:rsid w:val="00E933AF"/>
    <w:rsid w:val="00E93B2F"/>
    <w:rsid w:val="00E93E4A"/>
    <w:rsid w:val="00E93E9F"/>
    <w:rsid w:val="00E94037"/>
    <w:rsid w:val="00E9563C"/>
    <w:rsid w:val="00E95E7D"/>
    <w:rsid w:val="00E96004"/>
    <w:rsid w:val="00E960EE"/>
    <w:rsid w:val="00E9679A"/>
    <w:rsid w:val="00E96E6B"/>
    <w:rsid w:val="00E97DED"/>
    <w:rsid w:val="00EA0637"/>
    <w:rsid w:val="00EA06A4"/>
    <w:rsid w:val="00EA0855"/>
    <w:rsid w:val="00EA0BDA"/>
    <w:rsid w:val="00EA0DB3"/>
    <w:rsid w:val="00EA1240"/>
    <w:rsid w:val="00EA129E"/>
    <w:rsid w:val="00EA1E03"/>
    <w:rsid w:val="00EA1F6B"/>
    <w:rsid w:val="00EA2406"/>
    <w:rsid w:val="00EA296E"/>
    <w:rsid w:val="00EA29CC"/>
    <w:rsid w:val="00EA2AD5"/>
    <w:rsid w:val="00EA2AF8"/>
    <w:rsid w:val="00EA3340"/>
    <w:rsid w:val="00EA37AC"/>
    <w:rsid w:val="00EA37CC"/>
    <w:rsid w:val="00EA3FD4"/>
    <w:rsid w:val="00EA4390"/>
    <w:rsid w:val="00EA44A3"/>
    <w:rsid w:val="00EA4CF3"/>
    <w:rsid w:val="00EA53A2"/>
    <w:rsid w:val="00EA563D"/>
    <w:rsid w:val="00EA573B"/>
    <w:rsid w:val="00EA60C1"/>
    <w:rsid w:val="00EA628D"/>
    <w:rsid w:val="00EA6540"/>
    <w:rsid w:val="00EA6647"/>
    <w:rsid w:val="00EA66CC"/>
    <w:rsid w:val="00EA6C1D"/>
    <w:rsid w:val="00EA6CA8"/>
    <w:rsid w:val="00EA6E7C"/>
    <w:rsid w:val="00EA71EB"/>
    <w:rsid w:val="00EA736C"/>
    <w:rsid w:val="00EB0560"/>
    <w:rsid w:val="00EB0724"/>
    <w:rsid w:val="00EB0A96"/>
    <w:rsid w:val="00EB100C"/>
    <w:rsid w:val="00EB1041"/>
    <w:rsid w:val="00EB212D"/>
    <w:rsid w:val="00EB2163"/>
    <w:rsid w:val="00EB25EA"/>
    <w:rsid w:val="00EB3291"/>
    <w:rsid w:val="00EB3448"/>
    <w:rsid w:val="00EB3506"/>
    <w:rsid w:val="00EB3FE1"/>
    <w:rsid w:val="00EB50B6"/>
    <w:rsid w:val="00EB57E9"/>
    <w:rsid w:val="00EB5838"/>
    <w:rsid w:val="00EB5A98"/>
    <w:rsid w:val="00EB5F6F"/>
    <w:rsid w:val="00EB60F3"/>
    <w:rsid w:val="00EB764A"/>
    <w:rsid w:val="00EC0A2E"/>
    <w:rsid w:val="00EC1B25"/>
    <w:rsid w:val="00EC20BA"/>
    <w:rsid w:val="00EC2796"/>
    <w:rsid w:val="00EC28FD"/>
    <w:rsid w:val="00EC2BBE"/>
    <w:rsid w:val="00EC2FB2"/>
    <w:rsid w:val="00EC339E"/>
    <w:rsid w:val="00EC3A0D"/>
    <w:rsid w:val="00EC3A4C"/>
    <w:rsid w:val="00EC3E31"/>
    <w:rsid w:val="00EC4136"/>
    <w:rsid w:val="00EC4200"/>
    <w:rsid w:val="00EC4B64"/>
    <w:rsid w:val="00EC4E38"/>
    <w:rsid w:val="00EC5B74"/>
    <w:rsid w:val="00EC60DD"/>
    <w:rsid w:val="00EC6196"/>
    <w:rsid w:val="00EC6B2A"/>
    <w:rsid w:val="00EC6F03"/>
    <w:rsid w:val="00EC722B"/>
    <w:rsid w:val="00EC7467"/>
    <w:rsid w:val="00EC7650"/>
    <w:rsid w:val="00EC79D2"/>
    <w:rsid w:val="00EC7FEE"/>
    <w:rsid w:val="00ED0B0F"/>
    <w:rsid w:val="00ED1ECF"/>
    <w:rsid w:val="00ED1EF3"/>
    <w:rsid w:val="00ED2790"/>
    <w:rsid w:val="00ED2A5C"/>
    <w:rsid w:val="00ED2DBF"/>
    <w:rsid w:val="00ED2F1E"/>
    <w:rsid w:val="00ED3047"/>
    <w:rsid w:val="00ED3205"/>
    <w:rsid w:val="00ED347C"/>
    <w:rsid w:val="00ED3B01"/>
    <w:rsid w:val="00ED3BB6"/>
    <w:rsid w:val="00ED3C1B"/>
    <w:rsid w:val="00ED3E43"/>
    <w:rsid w:val="00ED3F44"/>
    <w:rsid w:val="00ED42A5"/>
    <w:rsid w:val="00ED5143"/>
    <w:rsid w:val="00ED6174"/>
    <w:rsid w:val="00ED6741"/>
    <w:rsid w:val="00ED691C"/>
    <w:rsid w:val="00ED6997"/>
    <w:rsid w:val="00ED69DA"/>
    <w:rsid w:val="00ED6C77"/>
    <w:rsid w:val="00ED73DF"/>
    <w:rsid w:val="00ED7820"/>
    <w:rsid w:val="00ED7FAD"/>
    <w:rsid w:val="00EE018D"/>
    <w:rsid w:val="00EE1666"/>
    <w:rsid w:val="00EE189C"/>
    <w:rsid w:val="00EE1DA4"/>
    <w:rsid w:val="00EE1E93"/>
    <w:rsid w:val="00EE2163"/>
    <w:rsid w:val="00EE27A5"/>
    <w:rsid w:val="00EE2B02"/>
    <w:rsid w:val="00EE2D5D"/>
    <w:rsid w:val="00EE2E74"/>
    <w:rsid w:val="00EE2EED"/>
    <w:rsid w:val="00EE36C4"/>
    <w:rsid w:val="00EE492B"/>
    <w:rsid w:val="00EE4D8E"/>
    <w:rsid w:val="00EE55C3"/>
    <w:rsid w:val="00EE572F"/>
    <w:rsid w:val="00EE5C0F"/>
    <w:rsid w:val="00EE63BB"/>
    <w:rsid w:val="00EE6F0D"/>
    <w:rsid w:val="00EE7930"/>
    <w:rsid w:val="00EE7AF3"/>
    <w:rsid w:val="00EE7C77"/>
    <w:rsid w:val="00EF0089"/>
    <w:rsid w:val="00EF05DE"/>
    <w:rsid w:val="00EF1AD2"/>
    <w:rsid w:val="00EF2443"/>
    <w:rsid w:val="00EF2478"/>
    <w:rsid w:val="00EF25E7"/>
    <w:rsid w:val="00EF284B"/>
    <w:rsid w:val="00EF3204"/>
    <w:rsid w:val="00EF32F8"/>
    <w:rsid w:val="00EF38D5"/>
    <w:rsid w:val="00EF4B27"/>
    <w:rsid w:val="00EF5D04"/>
    <w:rsid w:val="00EF6018"/>
    <w:rsid w:val="00EF6151"/>
    <w:rsid w:val="00EF663E"/>
    <w:rsid w:val="00EF6828"/>
    <w:rsid w:val="00EF68A3"/>
    <w:rsid w:val="00EF70B9"/>
    <w:rsid w:val="00F004FC"/>
    <w:rsid w:val="00F0054A"/>
    <w:rsid w:val="00F00A24"/>
    <w:rsid w:val="00F00C1B"/>
    <w:rsid w:val="00F00D49"/>
    <w:rsid w:val="00F0144D"/>
    <w:rsid w:val="00F01C29"/>
    <w:rsid w:val="00F020C3"/>
    <w:rsid w:val="00F02134"/>
    <w:rsid w:val="00F0213D"/>
    <w:rsid w:val="00F0275F"/>
    <w:rsid w:val="00F034B3"/>
    <w:rsid w:val="00F0366E"/>
    <w:rsid w:val="00F038B7"/>
    <w:rsid w:val="00F03BD1"/>
    <w:rsid w:val="00F03FDF"/>
    <w:rsid w:val="00F04307"/>
    <w:rsid w:val="00F044C6"/>
    <w:rsid w:val="00F04633"/>
    <w:rsid w:val="00F04BD7"/>
    <w:rsid w:val="00F05073"/>
    <w:rsid w:val="00F054EE"/>
    <w:rsid w:val="00F057C7"/>
    <w:rsid w:val="00F06243"/>
    <w:rsid w:val="00F063A5"/>
    <w:rsid w:val="00F063BC"/>
    <w:rsid w:val="00F068A3"/>
    <w:rsid w:val="00F06F8E"/>
    <w:rsid w:val="00F0746C"/>
    <w:rsid w:val="00F0755A"/>
    <w:rsid w:val="00F07D07"/>
    <w:rsid w:val="00F07F15"/>
    <w:rsid w:val="00F07FB3"/>
    <w:rsid w:val="00F11332"/>
    <w:rsid w:val="00F11463"/>
    <w:rsid w:val="00F117F2"/>
    <w:rsid w:val="00F11CA7"/>
    <w:rsid w:val="00F11D2B"/>
    <w:rsid w:val="00F11D8F"/>
    <w:rsid w:val="00F124C6"/>
    <w:rsid w:val="00F127DF"/>
    <w:rsid w:val="00F1295A"/>
    <w:rsid w:val="00F1328E"/>
    <w:rsid w:val="00F13BB9"/>
    <w:rsid w:val="00F13C39"/>
    <w:rsid w:val="00F13E40"/>
    <w:rsid w:val="00F14289"/>
    <w:rsid w:val="00F142FA"/>
    <w:rsid w:val="00F143F7"/>
    <w:rsid w:val="00F145F5"/>
    <w:rsid w:val="00F14722"/>
    <w:rsid w:val="00F14BE6"/>
    <w:rsid w:val="00F1558F"/>
    <w:rsid w:val="00F15777"/>
    <w:rsid w:val="00F15907"/>
    <w:rsid w:val="00F15AE8"/>
    <w:rsid w:val="00F15E93"/>
    <w:rsid w:val="00F15E94"/>
    <w:rsid w:val="00F15F28"/>
    <w:rsid w:val="00F160BE"/>
    <w:rsid w:val="00F16CC4"/>
    <w:rsid w:val="00F16E98"/>
    <w:rsid w:val="00F1719F"/>
    <w:rsid w:val="00F172AF"/>
    <w:rsid w:val="00F17530"/>
    <w:rsid w:val="00F17CB7"/>
    <w:rsid w:val="00F20262"/>
    <w:rsid w:val="00F20716"/>
    <w:rsid w:val="00F21C42"/>
    <w:rsid w:val="00F21E06"/>
    <w:rsid w:val="00F21E3B"/>
    <w:rsid w:val="00F21FAB"/>
    <w:rsid w:val="00F2233D"/>
    <w:rsid w:val="00F22575"/>
    <w:rsid w:val="00F2295D"/>
    <w:rsid w:val="00F2298B"/>
    <w:rsid w:val="00F230DA"/>
    <w:rsid w:val="00F233E1"/>
    <w:rsid w:val="00F23A8D"/>
    <w:rsid w:val="00F23E0C"/>
    <w:rsid w:val="00F2449D"/>
    <w:rsid w:val="00F24D4F"/>
    <w:rsid w:val="00F24F8A"/>
    <w:rsid w:val="00F254E7"/>
    <w:rsid w:val="00F25AA6"/>
    <w:rsid w:val="00F26302"/>
    <w:rsid w:val="00F26646"/>
    <w:rsid w:val="00F26A7B"/>
    <w:rsid w:val="00F270A2"/>
    <w:rsid w:val="00F27594"/>
    <w:rsid w:val="00F279C1"/>
    <w:rsid w:val="00F27C73"/>
    <w:rsid w:val="00F27DC8"/>
    <w:rsid w:val="00F30112"/>
    <w:rsid w:val="00F30BA1"/>
    <w:rsid w:val="00F30EC9"/>
    <w:rsid w:val="00F30F2D"/>
    <w:rsid w:val="00F3149D"/>
    <w:rsid w:val="00F31657"/>
    <w:rsid w:val="00F31C3E"/>
    <w:rsid w:val="00F323B3"/>
    <w:rsid w:val="00F32448"/>
    <w:rsid w:val="00F32922"/>
    <w:rsid w:val="00F329EE"/>
    <w:rsid w:val="00F32C40"/>
    <w:rsid w:val="00F33638"/>
    <w:rsid w:val="00F3395E"/>
    <w:rsid w:val="00F33FBC"/>
    <w:rsid w:val="00F34B20"/>
    <w:rsid w:val="00F34EC5"/>
    <w:rsid w:val="00F34FCB"/>
    <w:rsid w:val="00F3504D"/>
    <w:rsid w:val="00F3598C"/>
    <w:rsid w:val="00F37279"/>
    <w:rsid w:val="00F37663"/>
    <w:rsid w:val="00F37799"/>
    <w:rsid w:val="00F37D4B"/>
    <w:rsid w:val="00F37FEB"/>
    <w:rsid w:val="00F400EB"/>
    <w:rsid w:val="00F4061C"/>
    <w:rsid w:val="00F40713"/>
    <w:rsid w:val="00F4099F"/>
    <w:rsid w:val="00F40C26"/>
    <w:rsid w:val="00F40CE2"/>
    <w:rsid w:val="00F410B5"/>
    <w:rsid w:val="00F41954"/>
    <w:rsid w:val="00F41A40"/>
    <w:rsid w:val="00F42496"/>
    <w:rsid w:val="00F4297B"/>
    <w:rsid w:val="00F42BEB"/>
    <w:rsid w:val="00F42D25"/>
    <w:rsid w:val="00F42D7C"/>
    <w:rsid w:val="00F4342A"/>
    <w:rsid w:val="00F43BD3"/>
    <w:rsid w:val="00F4469E"/>
    <w:rsid w:val="00F44E64"/>
    <w:rsid w:val="00F45712"/>
    <w:rsid w:val="00F45904"/>
    <w:rsid w:val="00F45AA0"/>
    <w:rsid w:val="00F45D35"/>
    <w:rsid w:val="00F46CDD"/>
    <w:rsid w:val="00F47565"/>
    <w:rsid w:val="00F47FFB"/>
    <w:rsid w:val="00F502C4"/>
    <w:rsid w:val="00F50EFC"/>
    <w:rsid w:val="00F5117E"/>
    <w:rsid w:val="00F51365"/>
    <w:rsid w:val="00F51BEF"/>
    <w:rsid w:val="00F51D71"/>
    <w:rsid w:val="00F520D0"/>
    <w:rsid w:val="00F52215"/>
    <w:rsid w:val="00F526E0"/>
    <w:rsid w:val="00F52D53"/>
    <w:rsid w:val="00F53123"/>
    <w:rsid w:val="00F53CB6"/>
    <w:rsid w:val="00F53F58"/>
    <w:rsid w:val="00F545FE"/>
    <w:rsid w:val="00F54BD6"/>
    <w:rsid w:val="00F55060"/>
    <w:rsid w:val="00F5532B"/>
    <w:rsid w:val="00F55A83"/>
    <w:rsid w:val="00F56051"/>
    <w:rsid w:val="00F561D0"/>
    <w:rsid w:val="00F563A5"/>
    <w:rsid w:val="00F564D5"/>
    <w:rsid w:val="00F56A6C"/>
    <w:rsid w:val="00F56C49"/>
    <w:rsid w:val="00F57351"/>
    <w:rsid w:val="00F57790"/>
    <w:rsid w:val="00F57B2D"/>
    <w:rsid w:val="00F608F9"/>
    <w:rsid w:val="00F60919"/>
    <w:rsid w:val="00F617AD"/>
    <w:rsid w:val="00F61D7F"/>
    <w:rsid w:val="00F6225B"/>
    <w:rsid w:val="00F62882"/>
    <w:rsid w:val="00F633CE"/>
    <w:rsid w:val="00F63871"/>
    <w:rsid w:val="00F64046"/>
    <w:rsid w:val="00F64160"/>
    <w:rsid w:val="00F647F8"/>
    <w:rsid w:val="00F64ABD"/>
    <w:rsid w:val="00F65158"/>
    <w:rsid w:val="00F65353"/>
    <w:rsid w:val="00F654BA"/>
    <w:rsid w:val="00F657C0"/>
    <w:rsid w:val="00F667EA"/>
    <w:rsid w:val="00F6689F"/>
    <w:rsid w:val="00F6696E"/>
    <w:rsid w:val="00F67192"/>
    <w:rsid w:val="00F67554"/>
    <w:rsid w:val="00F67683"/>
    <w:rsid w:val="00F67693"/>
    <w:rsid w:val="00F676E4"/>
    <w:rsid w:val="00F70464"/>
    <w:rsid w:val="00F70932"/>
    <w:rsid w:val="00F70EAC"/>
    <w:rsid w:val="00F710D1"/>
    <w:rsid w:val="00F7140E"/>
    <w:rsid w:val="00F71588"/>
    <w:rsid w:val="00F7163E"/>
    <w:rsid w:val="00F71891"/>
    <w:rsid w:val="00F7199C"/>
    <w:rsid w:val="00F71A27"/>
    <w:rsid w:val="00F71CBF"/>
    <w:rsid w:val="00F71FC9"/>
    <w:rsid w:val="00F72425"/>
    <w:rsid w:val="00F725CF"/>
    <w:rsid w:val="00F72678"/>
    <w:rsid w:val="00F727D7"/>
    <w:rsid w:val="00F73BEB"/>
    <w:rsid w:val="00F73C4A"/>
    <w:rsid w:val="00F73E57"/>
    <w:rsid w:val="00F741D2"/>
    <w:rsid w:val="00F74AD4"/>
    <w:rsid w:val="00F74C0E"/>
    <w:rsid w:val="00F754C2"/>
    <w:rsid w:val="00F762BF"/>
    <w:rsid w:val="00F76AE7"/>
    <w:rsid w:val="00F7741A"/>
    <w:rsid w:val="00F77E1F"/>
    <w:rsid w:val="00F80074"/>
    <w:rsid w:val="00F802FB"/>
    <w:rsid w:val="00F80462"/>
    <w:rsid w:val="00F8118C"/>
    <w:rsid w:val="00F8142C"/>
    <w:rsid w:val="00F816BB"/>
    <w:rsid w:val="00F82318"/>
    <w:rsid w:val="00F8246C"/>
    <w:rsid w:val="00F835BA"/>
    <w:rsid w:val="00F83A3B"/>
    <w:rsid w:val="00F8401C"/>
    <w:rsid w:val="00F84367"/>
    <w:rsid w:val="00F845CD"/>
    <w:rsid w:val="00F84DF6"/>
    <w:rsid w:val="00F856EE"/>
    <w:rsid w:val="00F85AA8"/>
    <w:rsid w:val="00F85B6F"/>
    <w:rsid w:val="00F85EEF"/>
    <w:rsid w:val="00F860C4"/>
    <w:rsid w:val="00F86B28"/>
    <w:rsid w:val="00F8743A"/>
    <w:rsid w:val="00F87AD6"/>
    <w:rsid w:val="00F87C66"/>
    <w:rsid w:val="00F90072"/>
    <w:rsid w:val="00F90476"/>
    <w:rsid w:val="00F91286"/>
    <w:rsid w:val="00F91483"/>
    <w:rsid w:val="00F921A7"/>
    <w:rsid w:val="00F92B8C"/>
    <w:rsid w:val="00F92FE5"/>
    <w:rsid w:val="00F938C3"/>
    <w:rsid w:val="00F93A3B"/>
    <w:rsid w:val="00F93B03"/>
    <w:rsid w:val="00F93D3D"/>
    <w:rsid w:val="00F94416"/>
    <w:rsid w:val="00F94683"/>
    <w:rsid w:val="00F946C1"/>
    <w:rsid w:val="00F94732"/>
    <w:rsid w:val="00F94AFE"/>
    <w:rsid w:val="00F94EE7"/>
    <w:rsid w:val="00F94F3C"/>
    <w:rsid w:val="00F95077"/>
    <w:rsid w:val="00F952FB"/>
    <w:rsid w:val="00F957E2"/>
    <w:rsid w:val="00F95E4B"/>
    <w:rsid w:val="00F95EDA"/>
    <w:rsid w:val="00F95F76"/>
    <w:rsid w:val="00F9608B"/>
    <w:rsid w:val="00F96647"/>
    <w:rsid w:val="00F96F26"/>
    <w:rsid w:val="00F97A53"/>
    <w:rsid w:val="00F97BE1"/>
    <w:rsid w:val="00F97C68"/>
    <w:rsid w:val="00FA08FC"/>
    <w:rsid w:val="00FA0928"/>
    <w:rsid w:val="00FA1361"/>
    <w:rsid w:val="00FA17CE"/>
    <w:rsid w:val="00FA1A3E"/>
    <w:rsid w:val="00FA1B5D"/>
    <w:rsid w:val="00FA1C67"/>
    <w:rsid w:val="00FA1F9F"/>
    <w:rsid w:val="00FA1FEB"/>
    <w:rsid w:val="00FA21DA"/>
    <w:rsid w:val="00FA2FE2"/>
    <w:rsid w:val="00FA317B"/>
    <w:rsid w:val="00FA347F"/>
    <w:rsid w:val="00FA3A2E"/>
    <w:rsid w:val="00FA3D83"/>
    <w:rsid w:val="00FA3F34"/>
    <w:rsid w:val="00FA4217"/>
    <w:rsid w:val="00FA430A"/>
    <w:rsid w:val="00FA46DC"/>
    <w:rsid w:val="00FA4CA0"/>
    <w:rsid w:val="00FA4E90"/>
    <w:rsid w:val="00FA4FA2"/>
    <w:rsid w:val="00FA59C5"/>
    <w:rsid w:val="00FA5A96"/>
    <w:rsid w:val="00FA5FAB"/>
    <w:rsid w:val="00FA673B"/>
    <w:rsid w:val="00FA6988"/>
    <w:rsid w:val="00FA739C"/>
    <w:rsid w:val="00FA78D0"/>
    <w:rsid w:val="00FA7E9D"/>
    <w:rsid w:val="00FB06CC"/>
    <w:rsid w:val="00FB0C28"/>
    <w:rsid w:val="00FB12CD"/>
    <w:rsid w:val="00FB15C1"/>
    <w:rsid w:val="00FB2152"/>
    <w:rsid w:val="00FB2260"/>
    <w:rsid w:val="00FB2D9F"/>
    <w:rsid w:val="00FB30C0"/>
    <w:rsid w:val="00FB311C"/>
    <w:rsid w:val="00FB38AA"/>
    <w:rsid w:val="00FB3B00"/>
    <w:rsid w:val="00FB3BBE"/>
    <w:rsid w:val="00FB3BF5"/>
    <w:rsid w:val="00FB3E27"/>
    <w:rsid w:val="00FB4E08"/>
    <w:rsid w:val="00FB4F9E"/>
    <w:rsid w:val="00FB50A5"/>
    <w:rsid w:val="00FB518D"/>
    <w:rsid w:val="00FB5471"/>
    <w:rsid w:val="00FB54EB"/>
    <w:rsid w:val="00FB6581"/>
    <w:rsid w:val="00FB67B9"/>
    <w:rsid w:val="00FB68BF"/>
    <w:rsid w:val="00FB7387"/>
    <w:rsid w:val="00FB75E3"/>
    <w:rsid w:val="00FB7802"/>
    <w:rsid w:val="00FC010F"/>
    <w:rsid w:val="00FC0886"/>
    <w:rsid w:val="00FC1099"/>
    <w:rsid w:val="00FC1382"/>
    <w:rsid w:val="00FC14E4"/>
    <w:rsid w:val="00FC18FB"/>
    <w:rsid w:val="00FC1967"/>
    <w:rsid w:val="00FC2246"/>
    <w:rsid w:val="00FC25C0"/>
    <w:rsid w:val="00FC26A7"/>
    <w:rsid w:val="00FC289A"/>
    <w:rsid w:val="00FC2B6C"/>
    <w:rsid w:val="00FC2C95"/>
    <w:rsid w:val="00FC2E22"/>
    <w:rsid w:val="00FC33CB"/>
    <w:rsid w:val="00FC3463"/>
    <w:rsid w:val="00FC3B7E"/>
    <w:rsid w:val="00FC46E9"/>
    <w:rsid w:val="00FC4832"/>
    <w:rsid w:val="00FC4A54"/>
    <w:rsid w:val="00FC4A9D"/>
    <w:rsid w:val="00FC4DE7"/>
    <w:rsid w:val="00FC5172"/>
    <w:rsid w:val="00FC517B"/>
    <w:rsid w:val="00FC53F8"/>
    <w:rsid w:val="00FC5B72"/>
    <w:rsid w:val="00FC5E7D"/>
    <w:rsid w:val="00FC5F8D"/>
    <w:rsid w:val="00FC606C"/>
    <w:rsid w:val="00FC6F63"/>
    <w:rsid w:val="00FC728E"/>
    <w:rsid w:val="00FD03E7"/>
    <w:rsid w:val="00FD1140"/>
    <w:rsid w:val="00FD17E3"/>
    <w:rsid w:val="00FD18A4"/>
    <w:rsid w:val="00FD1B81"/>
    <w:rsid w:val="00FD2889"/>
    <w:rsid w:val="00FD364D"/>
    <w:rsid w:val="00FD417D"/>
    <w:rsid w:val="00FD4424"/>
    <w:rsid w:val="00FD4CBD"/>
    <w:rsid w:val="00FD4E62"/>
    <w:rsid w:val="00FD51E0"/>
    <w:rsid w:val="00FD598D"/>
    <w:rsid w:val="00FD5E03"/>
    <w:rsid w:val="00FD5F9E"/>
    <w:rsid w:val="00FD606C"/>
    <w:rsid w:val="00FD643A"/>
    <w:rsid w:val="00FD7053"/>
    <w:rsid w:val="00FD713B"/>
    <w:rsid w:val="00FD7464"/>
    <w:rsid w:val="00FD7CB7"/>
    <w:rsid w:val="00FD7DA7"/>
    <w:rsid w:val="00FD7F20"/>
    <w:rsid w:val="00FE0BEE"/>
    <w:rsid w:val="00FE0C3E"/>
    <w:rsid w:val="00FE0D61"/>
    <w:rsid w:val="00FE1AB7"/>
    <w:rsid w:val="00FE1E46"/>
    <w:rsid w:val="00FE224A"/>
    <w:rsid w:val="00FE22FF"/>
    <w:rsid w:val="00FE2590"/>
    <w:rsid w:val="00FE2C6E"/>
    <w:rsid w:val="00FE3CA3"/>
    <w:rsid w:val="00FE479E"/>
    <w:rsid w:val="00FE4D47"/>
    <w:rsid w:val="00FE5382"/>
    <w:rsid w:val="00FE5672"/>
    <w:rsid w:val="00FE56C6"/>
    <w:rsid w:val="00FE56E9"/>
    <w:rsid w:val="00FE5D0E"/>
    <w:rsid w:val="00FE6255"/>
    <w:rsid w:val="00FE62B5"/>
    <w:rsid w:val="00FE6311"/>
    <w:rsid w:val="00FE63AA"/>
    <w:rsid w:val="00FE68FB"/>
    <w:rsid w:val="00FE6FAD"/>
    <w:rsid w:val="00FE78BA"/>
    <w:rsid w:val="00FE79CF"/>
    <w:rsid w:val="00FF054A"/>
    <w:rsid w:val="00FF0785"/>
    <w:rsid w:val="00FF0989"/>
    <w:rsid w:val="00FF100A"/>
    <w:rsid w:val="00FF12E5"/>
    <w:rsid w:val="00FF141F"/>
    <w:rsid w:val="00FF1830"/>
    <w:rsid w:val="00FF23C6"/>
    <w:rsid w:val="00FF2554"/>
    <w:rsid w:val="00FF39DF"/>
    <w:rsid w:val="00FF41EF"/>
    <w:rsid w:val="00FF4223"/>
    <w:rsid w:val="00FF4466"/>
    <w:rsid w:val="00FF474B"/>
    <w:rsid w:val="00FF480A"/>
    <w:rsid w:val="00FF5260"/>
    <w:rsid w:val="00FF5995"/>
    <w:rsid w:val="00FF64F9"/>
    <w:rsid w:val="00FF714A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FDBB3C"/>
  <w15:chartTrackingRefBased/>
  <w15:docId w15:val="{1BDA39A0-5B88-4DD6-A0F4-E3E9F521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4EBA"/>
    <w:pPr>
      <w:spacing w:after="120" w:line="240" w:lineRule="auto"/>
    </w:pPr>
    <w:rPr>
      <w:rFonts w:ascii="Calibri" w:hAnsi="Calibri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3466E"/>
    <w:pPr>
      <w:spacing w:after="160" w:line="259" w:lineRule="auto"/>
      <w:jc w:val="center"/>
      <w:outlineLvl w:val="0"/>
    </w:pPr>
    <w:rPr>
      <w:rFonts w:asciiTheme="minorHAnsi" w:eastAsiaTheme="minorHAnsi" w:hAnsiTheme="minorHAnsi" w:cstheme="minorHAnsi"/>
      <w:b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6F3F69"/>
    <w:pPr>
      <w:numPr>
        <w:numId w:val="1"/>
      </w:numPr>
      <w:spacing w:after="60" w:line="259" w:lineRule="auto"/>
      <w:jc w:val="both"/>
      <w:outlineLvl w:val="1"/>
    </w:pPr>
    <w:rPr>
      <w:rFonts w:asciiTheme="minorHAnsi" w:eastAsia="Calibri" w:hAnsiTheme="minorHAnsi" w:cstheme="minorHAnsi"/>
      <w:b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43045F"/>
    <w:pPr>
      <w:keepNext/>
      <w:numPr>
        <w:ilvl w:val="1"/>
        <w:numId w:val="2"/>
      </w:numPr>
      <w:spacing w:after="0"/>
      <w:jc w:val="both"/>
      <w:outlineLvl w:val="2"/>
    </w:pPr>
    <w:rPr>
      <w:rFonts w:cs="Calibri"/>
      <w:b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15015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15015"/>
    <w:pPr>
      <w:keepNext/>
      <w:keepLines/>
      <w:spacing w:before="40" w:after="0"/>
      <w:ind w:left="1008" w:hanging="1008"/>
      <w:outlineLvl w:val="4"/>
    </w:pPr>
    <w:rPr>
      <w:rFonts w:ascii="Arial" w:hAnsi="Arial"/>
      <w:b/>
      <w:bCs/>
      <w:sz w:val="22"/>
      <w:szCs w:val="26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22055C"/>
    <w:pPr>
      <w:keepNext/>
      <w:spacing w:before="120" w:after="0"/>
      <w:jc w:val="center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5015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5015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5015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466E"/>
    <w:rPr>
      <w:rFonts w:eastAsiaTheme="minorHAnsi" w:cstheme="minorHAnsi"/>
      <w:b/>
      <w:sz w:val="28"/>
      <w:szCs w:val="28"/>
    </w:rPr>
  </w:style>
  <w:style w:type="paragraph" w:styleId="Odstavecseseznamem">
    <w:name w:val="List Paragraph"/>
    <w:aliases w:val="Nad,Nadpis pro KZ,Odstavec_muj,odrážky,List Paragraph_0,List Paragraph,Odstavec cíl se seznamem,List Paragraph (Czech Tourism),Odstavec se seznamem5,Odstavec_muj1,Odstavec_muj2,Odstavec_muj3,Nad1,List Paragraph1,Odstavec_muj4,Nad2,3"/>
    <w:basedOn w:val="Normln"/>
    <w:link w:val="OdstavecseseznamemChar"/>
    <w:uiPriority w:val="34"/>
    <w:qFormat/>
    <w:rsid w:val="00F21FAB"/>
    <w:pPr>
      <w:ind w:left="720"/>
      <w:contextualSpacing/>
    </w:pPr>
  </w:style>
  <w:style w:type="character" w:customStyle="1" w:styleId="OdstavecseseznamemChar">
    <w:name w:val="Odstavec se seznamem Char"/>
    <w:aliases w:val="Nad Char,Nadpis pro KZ Char,Odstavec_muj Char,odrážky Char,List Paragraph_0 Char,List Paragraph Char,Odstavec cíl se seznamem Char,List Paragraph (Czech Tourism) Char,Odstavec se seznamem5 Char,Odstavec_muj1 Char,Nad1 Char"/>
    <w:link w:val="Odstavecseseznamem"/>
    <w:uiPriority w:val="34"/>
    <w:qFormat/>
    <w:locked/>
    <w:rsid w:val="004139C8"/>
    <w:rPr>
      <w:rFonts w:ascii="Calibri" w:hAnsi="Calibri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6F3F69"/>
    <w:rPr>
      <w:rFonts w:eastAsia="Calibri" w:cstheme="minorHAnsi"/>
      <w:b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3045F"/>
    <w:rPr>
      <w:rFonts w:ascii="Calibri" w:hAnsi="Calibri" w:cs="Calibr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1501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2E1A"/>
    <w:rPr>
      <w:rFonts w:ascii="Arial" w:hAnsi="Arial" w:cs="Times New Roman"/>
      <w:b/>
      <w:bCs/>
      <w:szCs w:val="26"/>
      <w:u w:val="single"/>
    </w:rPr>
  </w:style>
  <w:style w:type="character" w:customStyle="1" w:styleId="Nadpis6Char">
    <w:name w:val="Nadpis 6 Char"/>
    <w:basedOn w:val="Standardnpsmoodstavce"/>
    <w:link w:val="Nadpis6"/>
    <w:rsid w:val="0022055C"/>
    <w:rPr>
      <w:rFonts w:ascii="Times New Roman" w:hAnsi="Times New Roman" w:cs="Times New Roman"/>
      <w:b/>
      <w:b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501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501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501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nakapoznpodarou">
    <w:name w:val="footnote reference"/>
    <w:aliases w:val="12 b.,PGI Fußnote Ziffer,PGI Fußnote Ziffer + Times New Roman,Zúžené o ...,number,BVI fnr,Footnote symbol,Footnote Reference Superscript,Appel note de bas de p,Appel note de bas de page,Légende,Char Car Car Car Car"/>
    <w:basedOn w:val="Standardnpsmoodstavce"/>
    <w:uiPriority w:val="99"/>
    <w:qFormat/>
    <w:rsid w:val="002B7978"/>
    <w:rPr>
      <w:vertAlign w:val="superscript"/>
    </w:rPr>
  </w:style>
  <w:style w:type="paragraph" w:styleId="Textpoznpodarou">
    <w:name w:val="footnote text"/>
    <w:aliases w:val="Boston 10,Font: Geneva 9,Footnote,Fußnotentextf,Geneva 9,Podrozdzia3,Podrozdział,Schriftart: 10 pt,Schriftart: 8 pt,Schriftart: 9 pt,Text pozn. pod čarou times,Text poznámky pod čiarou 007,f,pozn. pod čarou,Char Char Char Char,Char1"/>
    <w:basedOn w:val="Normln"/>
    <w:link w:val="TextpoznpodarouChar"/>
    <w:uiPriority w:val="99"/>
    <w:qFormat/>
    <w:rsid w:val="002B7978"/>
    <w:pPr>
      <w:spacing w:after="0"/>
    </w:pPr>
    <w:rPr>
      <w:rFonts w:ascii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Boston 10 Char,Font: Geneva 9 Char,Footnote Char,Fußnotentextf Char,Geneva 9 Char,Podrozdzia3 Char,Podrozdział Char,Schriftart: 10 pt Char,Schriftart: 8 pt Char,Schriftart: 9 pt Char,Text pozn. pod čarou times Char,f Char"/>
    <w:basedOn w:val="Standardnpsmoodstavce"/>
    <w:link w:val="Textpoznpodarou"/>
    <w:uiPriority w:val="99"/>
    <w:rsid w:val="002B7978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E78BA"/>
    <w:rPr>
      <w:color w:val="0563C1" w:themeColor="hyperlink"/>
      <w:u w:val="single"/>
    </w:rPr>
  </w:style>
  <w:style w:type="paragraph" w:customStyle="1" w:styleId="textKZ">
    <w:name w:val="text KZ"/>
    <w:basedOn w:val="Normln"/>
    <w:link w:val="textKZChar"/>
    <w:qFormat/>
    <w:rsid w:val="00833A3E"/>
    <w:pPr>
      <w:jc w:val="both"/>
    </w:pPr>
  </w:style>
  <w:style w:type="character" w:customStyle="1" w:styleId="textKZChar">
    <w:name w:val="text KZ Char"/>
    <w:basedOn w:val="Standardnpsmoodstavce"/>
    <w:link w:val="textKZ"/>
    <w:rsid w:val="00833A3E"/>
    <w:rPr>
      <w:rFonts w:ascii="Calibri" w:hAnsi="Calibri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E564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E5640"/>
    <w:rPr>
      <w:rFonts w:ascii="Calibri" w:hAnsi="Calibri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E564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E5640"/>
    <w:rPr>
      <w:rFonts w:ascii="Calibri" w:hAnsi="Calibri" w:cs="Times New Roman"/>
      <w:sz w:val="24"/>
      <w:szCs w:val="24"/>
    </w:rPr>
  </w:style>
  <w:style w:type="paragraph" w:customStyle="1" w:styleId="NormlnKZ">
    <w:name w:val="Normální KZ"/>
    <w:basedOn w:val="Normln"/>
    <w:rsid w:val="001B19A8"/>
    <w:pPr>
      <w:ind w:firstLine="425"/>
      <w:jc w:val="both"/>
    </w:pPr>
    <w:rPr>
      <w:rFonts w:ascii="Times New Roman" w:hAnsi="Times New Roman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72D"/>
    <w:pPr>
      <w:spacing w:after="0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72D"/>
    <w:rPr>
      <w:rFonts w:ascii="Arial" w:hAnsi="Arial" w:cs="Arial"/>
      <w:sz w:val="18"/>
      <w:szCs w:val="18"/>
    </w:rPr>
  </w:style>
  <w:style w:type="table" w:customStyle="1" w:styleId="Mkatabulky21">
    <w:name w:val="Mřížka tabulky21"/>
    <w:basedOn w:val="Normlntabulka"/>
    <w:next w:val="Mkatabulky"/>
    <w:uiPriority w:val="59"/>
    <w:rsid w:val="006B1BC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6B1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134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134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1347E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34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347E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F667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138A0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F120A"/>
    <w:rPr>
      <w:color w:val="954F72" w:themeColor="followedHyperlink"/>
      <w:u w:val="single"/>
    </w:rPr>
  </w:style>
  <w:style w:type="paragraph" w:customStyle="1" w:styleId="msonormal0">
    <w:name w:val="msonormal"/>
    <w:basedOn w:val="Normln"/>
    <w:rsid w:val="0022055C"/>
    <w:pPr>
      <w:spacing w:before="100" w:beforeAutospacing="1" w:after="100" w:afterAutospacing="1"/>
    </w:pPr>
    <w:rPr>
      <w:rFonts w:ascii="Times New Roman" w:hAnsi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2055C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22055C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22055C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22055C"/>
    <w:pPr>
      <w:keepNext/>
      <w:spacing w:before="240"/>
    </w:pPr>
    <w:rPr>
      <w:rFonts w:cs="Calibri"/>
      <w:b/>
      <w:bCs/>
      <w:szCs w:val="20"/>
    </w:rPr>
  </w:style>
  <w:style w:type="character" w:customStyle="1" w:styleId="SeznamobrzkChar">
    <w:name w:val="Seznam obrázků Char"/>
    <w:basedOn w:val="Standardnpsmoodstavce"/>
    <w:link w:val="Seznamobrzk"/>
    <w:uiPriority w:val="99"/>
    <w:semiHidden/>
    <w:locked/>
    <w:rsid w:val="0022055C"/>
    <w:rPr>
      <w:rFonts w:ascii="Times New Roman" w:hAnsi="Times New Roman" w:cs="Times New Roman"/>
      <w:iCs/>
      <w:sz w:val="24"/>
      <w:szCs w:val="20"/>
    </w:rPr>
  </w:style>
  <w:style w:type="paragraph" w:styleId="Seznamobrzk">
    <w:name w:val="table of figures"/>
    <w:basedOn w:val="Normln"/>
    <w:next w:val="Normln"/>
    <w:link w:val="SeznamobrzkChar"/>
    <w:uiPriority w:val="99"/>
    <w:unhideWhenUsed/>
    <w:rsid w:val="0022055C"/>
    <w:pPr>
      <w:spacing w:after="0"/>
    </w:pPr>
    <w:rPr>
      <w:rFonts w:ascii="Times New Roman" w:hAnsi="Times New Roman"/>
      <w:iCs/>
      <w:szCs w:val="20"/>
    </w:rPr>
  </w:style>
  <w:style w:type="character" w:customStyle="1" w:styleId="ZdrojChar">
    <w:name w:val="Zdroj Char"/>
    <w:basedOn w:val="Standardnpsmoodstavce"/>
    <w:link w:val="Zdroj"/>
    <w:locked/>
    <w:rsid w:val="0022055C"/>
    <w:rPr>
      <w:rFonts w:ascii="Times New Roman" w:hAnsi="Times New Roman" w:cstheme="minorHAnsi"/>
      <w:i/>
      <w:sz w:val="20"/>
      <w:szCs w:val="20"/>
    </w:rPr>
  </w:style>
  <w:style w:type="paragraph" w:customStyle="1" w:styleId="Zdroj">
    <w:name w:val="Zdroj"/>
    <w:basedOn w:val="Normln"/>
    <w:link w:val="ZdrojChar"/>
    <w:qFormat/>
    <w:rsid w:val="0022055C"/>
    <w:pPr>
      <w:spacing w:before="120" w:after="0"/>
    </w:pPr>
    <w:rPr>
      <w:rFonts w:ascii="Times New Roman" w:hAnsi="Times New Roman" w:cstheme="minorHAnsi"/>
      <w:i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2055C"/>
    <w:pPr>
      <w:spacing w:line="480" w:lineRule="auto"/>
      <w:ind w:left="283"/>
    </w:pPr>
    <w:rPr>
      <w:rFonts w:ascii="Times New Roman" w:hAnsi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2055C"/>
    <w:rPr>
      <w:rFonts w:ascii="Times New Roman" w:hAnsi="Times New Roman" w:cs="Times New Roman"/>
      <w:sz w:val="24"/>
      <w:szCs w:val="24"/>
    </w:rPr>
  </w:style>
  <w:style w:type="paragraph" w:customStyle="1" w:styleId="textodstavce">
    <w:name w:val="text odstavce"/>
    <w:basedOn w:val="Normln"/>
    <w:link w:val="textodstavceChar"/>
    <w:qFormat/>
    <w:rsid w:val="006C468D"/>
    <w:pPr>
      <w:jc w:val="both"/>
    </w:pPr>
    <w:rPr>
      <w:rFonts w:cs="Calibri"/>
    </w:rPr>
  </w:style>
  <w:style w:type="character" w:customStyle="1" w:styleId="textodstavceChar">
    <w:name w:val="text odstavce Char"/>
    <w:basedOn w:val="Standardnpsmoodstavce"/>
    <w:link w:val="textodstavce"/>
    <w:rsid w:val="006C468D"/>
    <w:rPr>
      <w:rFonts w:ascii="Calibri" w:hAnsi="Calibri" w:cs="Calibri"/>
      <w:sz w:val="24"/>
      <w:szCs w:val="24"/>
    </w:rPr>
  </w:style>
  <w:style w:type="character" w:styleId="Siln">
    <w:name w:val="Strong"/>
    <w:uiPriority w:val="99"/>
    <w:qFormat/>
    <w:rsid w:val="00C14D2E"/>
    <w:rPr>
      <w:rFonts w:ascii="Calibri" w:hAnsi="Calibri" w:cs="Calibri"/>
      <w:b/>
      <w:sz w:val="24"/>
    </w:rPr>
  </w:style>
  <w:style w:type="paragraph" w:customStyle="1" w:styleId="Bezmezer1">
    <w:name w:val="Bez mezer1"/>
    <w:aliases w:val="KP,No Spacing"/>
    <w:basedOn w:val="Normln"/>
    <w:link w:val="Bezmezer1Char"/>
    <w:uiPriority w:val="1"/>
    <w:qFormat/>
    <w:rsid w:val="00C854EE"/>
    <w:pPr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Bezmezer1Char">
    <w:name w:val="Bez mezer1 Char"/>
    <w:aliases w:val="KP Char,No Spacing Char"/>
    <w:basedOn w:val="Standardnpsmoodstavce"/>
    <w:link w:val="Bezmezer1"/>
    <w:uiPriority w:val="1"/>
    <w:rsid w:val="00C854EE"/>
    <w:rPr>
      <w:rFonts w:ascii="Arial" w:hAnsi="Arial" w:cs="Arial"/>
    </w:rPr>
  </w:style>
  <w:style w:type="paragraph" w:styleId="Prosttext">
    <w:name w:val="Plain Text"/>
    <w:basedOn w:val="Normln"/>
    <w:link w:val="ProsttextChar"/>
    <w:uiPriority w:val="99"/>
    <w:unhideWhenUsed/>
    <w:rsid w:val="00C67C92"/>
    <w:pPr>
      <w:spacing w:after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67C92"/>
    <w:rPr>
      <w:rFonts w:ascii="Consolas" w:hAnsi="Consolas" w:cs="Times New Roman"/>
      <w:sz w:val="21"/>
      <w:szCs w:val="21"/>
    </w:rPr>
  </w:style>
  <w:style w:type="character" w:customStyle="1" w:styleId="Nadpis5Char1">
    <w:name w:val="Nadpis 5 Char1"/>
    <w:basedOn w:val="Standardnpsmoodstavce"/>
    <w:uiPriority w:val="9"/>
    <w:semiHidden/>
    <w:rsid w:val="0011501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5015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5015"/>
    <w:pPr>
      <w:spacing w:after="0"/>
    </w:pPr>
    <w:rPr>
      <w:rFonts w:ascii="Tahoma" w:hAnsi="Tahoma" w:cs="Tahoma"/>
      <w:sz w:val="16"/>
      <w:szCs w:val="16"/>
    </w:rPr>
  </w:style>
  <w:style w:type="character" w:customStyle="1" w:styleId="NormalChar">
    <w:name w:val="Normal Char"/>
    <w:basedOn w:val="Standardnpsmoodstavce"/>
    <w:link w:val="Normln1"/>
    <w:locked/>
    <w:rsid w:val="00673511"/>
    <w:rPr>
      <w:rFonts w:ascii="Times New Roman" w:hAnsi="Times New Roman" w:cstheme="minorHAnsi"/>
      <w:sz w:val="24"/>
      <w:szCs w:val="24"/>
    </w:rPr>
  </w:style>
  <w:style w:type="paragraph" w:customStyle="1" w:styleId="Normln1">
    <w:name w:val="Normální1"/>
    <w:basedOn w:val="Normln"/>
    <w:link w:val="NormalChar"/>
    <w:qFormat/>
    <w:rsid w:val="00673511"/>
    <w:pPr>
      <w:spacing w:after="0"/>
    </w:pPr>
    <w:rPr>
      <w:rFonts w:ascii="Times New Roman" w:hAnsi="Times New Roman" w:cstheme="minorHAnsi"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AD7C22"/>
    <w:pPr>
      <w:spacing w:after="100"/>
      <w:ind w:left="240"/>
    </w:pPr>
  </w:style>
  <w:style w:type="numbering" w:customStyle="1" w:styleId="Bezseznamu1">
    <w:name w:val="Bez seznamu1"/>
    <w:next w:val="Bezseznamu"/>
    <w:uiPriority w:val="99"/>
    <w:semiHidden/>
    <w:unhideWhenUsed/>
    <w:rsid w:val="00B53D75"/>
  </w:style>
  <w:style w:type="table" w:customStyle="1" w:styleId="Mkatabulky1">
    <w:name w:val="Mřížka tabulky1"/>
    <w:basedOn w:val="Normlntabulka"/>
    <w:next w:val="Mkatabulky"/>
    <w:uiPriority w:val="59"/>
    <w:rsid w:val="00B53D75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236DA8"/>
    <w:rPr>
      <w:i/>
      <w:iCs/>
    </w:rPr>
  </w:style>
  <w:style w:type="numbering" w:customStyle="1" w:styleId="Bezseznamu2">
    <w:name w:val="Bez seznamu2"/>
    <w:next w:val="Bezseznamu"/>
    <w:uiPriority w:val="99"/>
    <w:semiHidden/>
    <w:unhideWhenUsed/>
    <w:rsid w:val="00E6240D"/>
  </w:style>
  <w:style w:type="character" w:styleId="slostrnky">
    <w:name w:val="page number"/>
    <w:basedOn w:val="Standardnpsmoodstavce"/>
    <w:semiHidden/>
    <w:rsid w:val="00E6240D"/>
  </w:style>
  <w:style w:type="numbering" w:customStyle="1" w:styleId="Bezseznamu11">
    <w:name w:val="Bez seznamu11"/>
    <w:next w:val="Bezseznamu"/>
    <w:uiPriority w:val="99"/>
    <w:semiHidden/>
    <w:unhideWhenUsed/>
    <w:rsid w:val="00E6240D"/>
  </w:style>
  <w:style w:type="paragraph" w:customStyle="1" w:styleId="Titulek1">
    <w:name w:val="Titulek1"/>
    <w:basedOn w:val="Normln"/>
    <w:next w:val="Normln"/>
    <w:uiPriority w:val="35"/>
    <w:unhideWhenUsed/>
    <w:qFormat/>
    <w:rsid w:val="00E6240D"/>
    <w:pPr>
      <w:keepNext/>
      <w:tabs>
        <w:tab w:val="left" w:pos="1134"/>
        <w:tab w:val="right" w:pos="9356"/>
      </w:tabs>
      <w:spacing w:after="40"/>
      <w:jc w:val="both"/>
    </w:pPr>
    <w:rPr>
      <w:b/>
      <w:iCs/>
      <w:sz w:val="20"/>
      <w:szCs w:val="18"/>
    </w:rPr>
  </w:style>
  <w:style w:type="paragraph" w:customStyle="1" w:styleId="Textpoznpodarou1">
    <w:name w:val="Text pozn. pod čarou1"/>
    <w:basedOn w:val="Normln"/>
    <w:next w:val="Textpoznpodarou"/>
    <w:uiPriority w:val="99"/>
    <w:semiHidden/>
    <w:unhideWhenUsed/>
    <w:rsid w:val="00E6240D"/>
    <w:pPr>
      <w:spacing w:after="0"/>
      <w:jc w:val="both"/>
    </w:pPr>
    <w:rPr>
      <w:sz w:val="20"/>
      <w:szCs w:val="20"/>
    </w:rPr>
  </w:style>
  <w:style w:type="paragraph" w:customStyle="1" w:styleId="Nadpisobsahu1">
    <w:name w:val="Nadpis obsahu1"/>
    <w:basedOn w:val="Nadpis1"/>
    <w:next w:val="Normln"/>
    <w:uiPriority w:val="39"/>
    <w:unhideWhenUsed/>
    <w:qFormat/>
    <w:rsid w:val="00E6240D"/>
    <w:pPr>
      <w:keepNext/>
      <w:keepLines/>
      <w:pageBreakBefore/>
      <w:spacing w:before="240" w:after="240"/>
      <w:ind w:left="432" w:hanging="432"/>
      <w:jc w:val="both"/>
      <w:outlineLvl w:val="9"/>
    </w:pPr>
    <w:rPr>
      <w:rFonts w:ascii="Calibri Light" w:eastAsia="Times New Roman" w:hAnsi="Calibri Light" w:cs="Times New Roman"/>
      <w:b w:val="0"/>
      <w:color w:val="2E74B5"/>
      <w:sz w:val="32"/>
      <w:szCs w:val="32"/>
      <w:lang w:eastAsia="cs-CZ"/>
    </w:rPr>
  </w:style>
  <w:style w:type="paragraph" w:customStyle="1" w:styleId="Obsah11">
    <w:name w:val="Obsah 11"/>
    <w:basedOn w:val="Normln"/>
    <w:next w:val="Normln"/>
    <w:autoRedefine/>
    <w:uiPriority w:val="39"/>
    <w:unhideWhenUsed/>
    <w:rsid w:val="00E6240D"/>
    <w:pPr>
      <w:spacing w:after="100"/>
      <w:jc w:val="both"/>
    </w:pPr>
    <w:rPr>
      <w:rFonts w:eastAsia="Calibri"/>
      <w:szCs w:val="22"/>
    </w:rPr>
  </w:style>
  <w:style w:type="paragraph" w:customStyle="1" w:styleId="Obsah21">
    <w:name w:val="Obsah 21"/>
    <w:basedOn w:val="Normln"/>
    <w:next w:val="Normln"/>
    <w:autoRedefine/>
    <w:uiPriority w:val="39"/>
    <w:unhideWhenUsed/>
    <w:rsid w:val="00E6240D"/>
    <w:pPr>
      <w:spacing w:after="100"/>
      <w:ind w:left="240"/>
      <w:jc w:val="both"/>
    </w:pPr>
    <w:rPr>
      <w:rFonts w:eastAsia="Calibri"/>
      <w:szCs w:val="22"/>
    </w:rPr>
  </w:style>
  <w:style w:type="paragraph" w:customStyle="1" w:styleId="Obsah31">
    <w:name w:val="Obsah 31"/>
    <w:basedOn w:val="Normln"/>
    <w:next w:val="Normln"/>
    <w:autoRedefine/>
    <w:uiPriority w:val="39"/>
    <w:unhideWhenUsed/>
    <w:rsid w:val="00E6240D"/>
    <w:pPr>
      <w:spacing w:after="100"/>
      <w:ind w:left="480"/>
      <w:jc w:val="both"/>
    </w:pPr>
    <w:rPr>
      <w:rFonts w:eastAsia="Calibri"/>
      <w:szCs w:val="22"/>
    </w:rPr>
  </w:style>
  <w:style w:type="paragraph" w:customStyle="1" w:styleId="Obsah41">
    <w:name w:val="Obsah 41"/>
    <w:basedOn w:val="Normln"/>
    <w:next w:val="Normln"/>
    <w:autoRedefine/>
    <w:uiPriority w:val="39"/>
    <w:unhideWhenUsed/>
    <w:rsid w:val="00E6240D"/>
    <w:pPr>
      <w:spacing w:after="100" w:line="259" w:lineRule="auto"/>
      <w:ind w:left="660"/>
      <w:jc w:val="both"/>
    </w:pPr>
    <w:rPr>
      <w:sz w:val="22"/>
      <w:szCs w:val="22"/>
      <w:lang w:eastAsia="cs-CZ"/>
    </w:rPr>
  </w:style>
  <w:style w:type="paragraph" w:customStyle="1" w:styleId="Obsah51">
    <w:name w:val="Obsah 51"/>
    <w:basedOn w:val="Normln"/>
    <w:next w:val="Normln"/>
    <w:autoRedefine/>
    <w:uiPriority w:val="39"/>
    <w:unhideWhenUsed/>
    <w:rsid w:val="00E6240D"/>
    <w:pPr>
      <w:spacing w:after="100" w:line="259" w:lineRule="auto"/>
      <w:ind w:left="880"/>
      <w:jc w:val="both"/>
    </w:pPr>
    <w:rPr>
      <w:sz w:val="22"/>
      <w:szCs w:val="22"/>
      <w:lang w:eastAsia="cs-CZ"/>
    </w:rPr>
  </w:style>
  <w:style w:type="paragraph" w:customStyle="1" w:styleId="Obsah61">
    <w:name w:val="Obsah 61"/>
    <w:basedOn w:val="Normln"/>
    <w:next w:val="Normln"/>
    <w:autoRedefine/>
    <w:uiPriority w:val="39"/>
    <w:unhideWhenUsed/>
    <w:rsid w:val="00E6240D"/>
    <w:pPr>
      <w:spacing w:after="100" w:line="259" w:lineRule="auto"/>
      <w:ind w:left="1100"/>
      <w:jc w:val="both"/>
    </w:pPr>
    <w:rPr>
      <w:sz w:val="22"/>
      <w:szCs w:val="22"/>
      <w:lang w:eastAsia="cs-CZ"/>
    </w:rPr>
  </w:style>
  <w:style w:type="paragraph" w:customStyle="1" w:styleId="Obsah71">
    <w:name w:val="Obsah 71"/>
    <w:basedOn w:val="Normln"/>
    <w:next w:val="Normln"/>
    <w:autoRedefine/>
    <w:uiPriority w:val="39"/>
    <w:unhideWhenUsed/>
    <w:rsid w:val="00E6240D"/>
    <w:pPr>
      <w:spacing w:after="100" w:line="259" w:lineRule="auto"/>
      <w:ind w:left="1320"/>
      <w:jc w:val="both"/>
    </w:pPr>
    <w:rPr>
      <w:sz w:val="22"/>
      <w:szCs w:val="22"/>
      <w:lang w:eastAsia="cs-CZ"/>
    </w:rPr>
  </w:style>
  <w:style w:type="paragraph" w:customStyle="1" w:styleId="Obsah81">
    <w:name w:val="Obsah 81"/>
    <w:basedOn w:val="Normln"/>
    <w:next w:val="Normln"/>
    <w:autoRedefine/>
    <w:uiPriority w:val="39"/>
    <w:unhideWhenUsed/>
    <w:rsid w:val="00E6240D"/>
    <w:pPr>
      <w:spacing w:after="100" w:line="259" w:lineRule="auto"/>
      <w:ind w:left="1540"/>
      <w:jc w:val="both"/>
    </w:pPr>
    <w:rPr>
      <w:sz w:val="22"/>
      <w:szCs w:val="22"/>
      <w:lang w:eastAsia="cs-CZ"/>
    </w:rPr>
  </w:style>
  <w:style w:type="paragraph" w:customStyle="1" w:styleId="Obsah91">
    <w:name w:val="Obsah 91"/>
    <w:basedOn w:val="Normln"/>
    <w:next w:val="Normln"/>
    <w:autoRedefine/>
    <w:uiPriority w:val="39"/>
    <w:unhideWhenUsed/>
    <w:rsid w:val="00E6240D"/>
    <w:pPr>
      <w:spacing w:after="100" w:line="259" w:lineRule="auto"/>
      <w:ind w:left="1760"/>
      <w:jc w:val="both"/>
    </w:pPr>
    <w:rPr>
      <w:sz w:val="22"/>
      <w:szCs w:val="22"/>
      <w:lang w:eastAsia="cs-CZ"/>
    </w:rPr>
  </w:style>
  <w:style w:type="character" w:customStyle="1" w:styleId="Hypertextovodkaz1">
    <w:name w:val="Hypertextový odkaz1"/>
    <w:basedOn w:val="Standardnpsmoodstavce"/>
    <w:uiPriority w:val="99"/>
    <w:unhideWhenUsed/>
    <w:rsid w:val="00E6240D"/>
    <w:rPr>
      <w:color w:val="0563C1"/>
      <w:u w:val="single"/>
    </w:rPr>
  </w:style>
  <w:style w:type="paragraph" w:customStyle="1" w:styleId="Seznamobrzk1">
    <w:name w:val="Seznam obrázků1"/>
    <w:basedOn w:val="Normln"/>
    <w:next w:val="Normln"/>
    <w:uiPriority w:val="99"/>
    <w:unhideWhenUsed/>
    <w:rsid w:val="00E6240D"/>
    <w:pPr>
      <w:spacing w:after="0"/>
      <w:jc w:val="both"/>
    </w:pPr>
    <w:rPr>
      <w:rFonts w:eastAsia="Calibri"/>
      <w:szCs w:val="22"/>
    </w:rPr>
  </w:style>
  <w:style w:type="paragraph" w:customStyle="1" w:styleId="Textkomente1">
    <w:name w:val="Text komentáře1"/>
    <w:basedOn w:val="Normln"/>
    <w:next w:val="Textkomente"/>
    <w:uiPriority w:val="99"/>
    <w:semiHidden/>
    <w:unhideWhenUsed/>
    <w:rsid w:val="00E6240D"/>
    <w:pPr>
      <w:spacing w:after="0"/>
      <w:jc w:val="both"/>
    </w:pPr>
    <w:rPr>
      <w:rFonts w:eastAsia="Calibri"/>
      <w:sz w:val="20"/>
      <w:szCs w:val="20"/>
    </w:rPr>
  </w:style>
  <w:style w:type="paragraph" w:customStyle="1" w:styleId="Pedmtkomente1">
    <w:name w:val="Předmět komentáře1"/>
    <w:basedOn w:val="Textkomente"/>
    <w:next w:val="Textkomente"/>
    <w:uiPriority w:val="99"/>
    <w:semiHidden/>
    <w:unhideWhenUsed/>
    <w:rsid w:val="00E6240D"/>
    <w:pPr>
      <w:spacing w:after="0"/>
      <w:jc w:val="both"/>
    </w:pPr>
    <w:rPr>
      <w:rFonts w:eastAsia="Calibri"/>
      <w:b/>
      <w:bCs/>
    </w:rPr>
  </w:style>
  <w:style w:type="table" w:customStyle="1" w:styleId="Mkatabulky11">
    <w:name w:val="Mřížka tabulky11"/>
    <w:basedOn w:val="Normlntabulka"/>
    <w:next w:val="Mkatabulky"/>
    <w:uiPriority w:val="39"/>
    <w:rsid w:val="00E6240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poznpodarouChar1">
    <w:name w:val="Text pozn. pod čarou Char1"/>
    <w:basedOn w:val="Standardnpsmoodstavce"/>
    <w:uiPriority w:val="99"/>
    <w:semiHidden/>
    <w:rsid w:val="00E6240D"/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1">
    <w:name w:val="Text komentáře Char1"/>
    <w:basedOn w:val="Standardnpsmoodstavce"/>
    <w:uiPriority w:val="99"/>
    <w:semiHidden/>
    <w:rsid w:val="00E6240D"/>
    <w:rPr>
      <w:rFonts w:ascii="Times New Roman" w:eastAsia="Times New Roman" w:hAnsi="Times New Roman" w:cs="Times New Roman"/>
      <w:sz w:val="20"/>
      <w:szCs w:val="20"/>
    </w:rPr>
  </w:style>
  <w:style w:type="character" w:customStyle="1" w:styleId="PedmtkomenteChar1">
    <w:name w:val="Předmět komentáře Char1"/>
    <w:basedOn w:val="TextkomenteChar1"/>
    <w:uiPriority w:val="99"/>
    <w:semiHidden/>
    <w:rsid w:val="00E6240D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Mkatabulky2">
    <w:name w:val="Mřížka tabulky2"/>
    <w:basedOn w:val="Normlntabulka"/>
    <w:next w:val="Mkatabulky"/>
    <w:uiPriority w:val="59"/>
    <w:rsid w:val="00E6240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">
    <w:name w:val="A1"/>
    <w:uiPriority w:val="99"/>
    <w:rsid w:val="00597612"/>
    <w:rPr>
      <w:color w:val="000000"/>
      <w:sz w:val="28"/>
      <w:szCs w:val="28"/>
    </w:rPr>
  </w:style>
  <w:style w:type="character" w:customStyle="1" w:styleId="A4">
    <w:name w:val="A4"/>
    <w:uiPriority w:val="99"/>
    <w:rsid w:val="00597612"/>
    <w:rPr>
      <w:color w:val="000000"/>
      <w:sz w:val="60"/>
      <w:szCs w:val="60"/>
    </w:rPr>
  </w:style>
  <w:style w:type="character" w:customStyle="1" w:styleId="A5">
    <w:name w:val="A5"/>
    <w:uiPriority w:val="99"/>
    <w:rsid w:val="00597612"/>
    <w:rPr>
      <w:b/>
      <w:bCs/>
      <w:color w:val="000000"/>
      <w:sz w:val="40"/>
      <w:szCs w:val="4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05EE"/>
    <w:rPr>
      <w:color w:val="605E5C"/>
      <w:shd w:val="clear" w:color="auto" w:fill="E1DFDD"/>
    </w:rPr>
  </w:style>
  <w:style w:type="character" w:customStyle="1" w:styleId="TitulekChar">
    <w:name w:val="Titulek Char"/>
    <w:basedOn w:val="Standardnpsmoodstavce"/>
    <w:link w:val="Titulek"/>
    <w:uiPriority w:val="35"/>
    <w:locked/>
    <w:rsid w:val="00D50375"/>
    <w:rPr>
      <w:rFonts w:ascii="Calibri" w:hAnsi="Calibri" w:cs="Calibri"/>
      <w:b/>
      <w:bCs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8D5035"/>
    <w:rPr>
      <w:color w:val="605E5C"/>
      <w:shd w:val="clear" w:color="auto" w:fill="E1DFDD"/>
    </w:rPr>
  </w:style>
  <w:style w:type="character" w:customStyle="1" w:styleId="odrkaChar">
    <w:name w:val="odrážka Char"/>
    <w:basedOn w:val="Standardnpsmoodstavce"/>
    <w:link w:val="odrka"/>
    <w:locked/>
    <w:rsid w:val="00D50417"/>
    <w:rPr>
      <w:rFonts w:cs="Calibri"/>
    </w:rPr>
  </w:style>
  <w:style w:type="paragraph" w:customStyle="1" w:styleId="odrka">
    <w:name w:val="odrážka"/>
    <w:basedOn w:val="Normln"/>
    <w:link w:val="odrkaChar"/>
    <w:qFormat/>
    <w:rsid w:val="00D50417"/>
    <w:pPr>
      <w:numPr>
        <w:numId w:val="11"/>
      </w:numPr>
      <w:spacing w:after="0" w:line="264" w:lineRule="auto"/>
      <w:jc w:val="both"/>
    </w:pPr>
    <w:rPr>
      <w:rFonts w:asciiTheme="minorHAnsi" w:hAnsiTheme="minorHAnsi" w:cs="Calibri"/>
      <w:sz w:val="22"/>
      <w:szCs w:val="22"/>
    </w:rPr>
  </w:style>
  <w:style w:type="paragraph" w:customStyle="1" w:styleId="Styl1">
    <w:name w:val="Styl1"/>
    <w:basedOn w:val="Nadpis1"/>
    <w:link w:val="Styl1Char"/>
    <w:qFormat/>
    <w:rsid w:val="00201480"/>
    <w:pPr>
      <w:keepNext/>
      <w:numPr>
        <w:numId w:val="16"/>
      </w:numPr>
      <w:spacing w:after="0" w:line="240" w:lineRule="auto"/>
    </w:pPr>
  </w:style>
  <w:style w:type="paragraph" w:customStyle="1" w:styleId="Styl2">
    <w:name w:val="Styl2"/>
    <w:basedOn w:val="Nadpis2"/>
    <w:link w:val="Styl2Char"/>
    <w:qFormat/>
    <w:rsid w:val="00201480"/>
    <w:pPr>
      <w:keepNext/>
      <w:numPr>
        <w:ilvl w:val="1"/>
        <w:numId w:val="16"/>
      </w:numPr>
      <w:spacing w:after="240" w:line="240" w:lineRule="auto"/>
      <w:contextualSpacing w:val="0"/>
      <w:jc w:val="left"/>
    </w:pPr>
    <w:rPr>
      <w:rFonts w:ascii="Calibri" w:hAnsi="Calibri" w:cs="Calibri"/>
    </w:rPr>
  </w:style>
  <w:style w:type="character" w:customStyle="1" w:styleId="Styl1Char">
    <w:name w:val="Styl1 Char"/>
    <w:basedOn w:val="Nadpis1Char"/>
    <w:link w:val="Styl1"/>
    <w:rsid w:val="00201480"/>
    <w:rPr>
      <w:rFonts w:eastAsiaTheme="minorHAnsi" w:cstheme="minorHAnsi"/>
      <w:b/>
      <w:sz w:val="28"/>
      <w:szCs w:val="28"/>
    </w:rPr>
  </w:style>
  <w:style w:type="paragraph" w:customStyle="1" w:styleId="Styl3">
    <w:name w:val="Styl3"/>
    <w:basedOn w:val="Nadpis4"/>
    <w:link w:val="Styl3Char"/>
    <w:qFormat/>
    <w:rsid w:val="00201480"/>
    <w:pPr>
      <w:ind w:left="360" w:hanging="360"/>
    </w:pPr>
    <w:rPr>
      <w:rFonts w:asciiTheme="minorHAnsi" w:eastAsia="Times New Roman" w:hAnsiTheme="minorHAnsi" w:cstheme="minorHAnsi"/>
      <w:b/>
      <w:i w:val="0"/>
      <w:color w:val="000000" w:themeColor="text1"/>
    </w:rPr>
  </w:style>
  <w:style w:type="character" w:customStyle="1" w:styleId="Styl2Char">
    <w:name w:val="Styl2 Char"/>
    <w:basedOn w:val="Nadpis2Char"/>
    <w:link w:val="Styl2"/>
    <w:rsid w:val="00201480"/>
    <w:rPr>
      <w:rFonts w:ascii="Calibri" w:eastAsia="Calibri" w:hAnsi="Calibri" w:cs="Calibri"/>
      <w:b/>
      <w:sz w:val="24"/>
      <w:szCs w:val="24"/>
    </w:rPr>
  </w:style>
  <w:style w:type="character" w:customStyle="1" w:styleId="Styl3Char">
    <w:name w:val="Styl3 Char"/>
    <w:basedOn w:val="Nadpis4Char"/>
    <w:link w:val="Styl3"/>
    <w:rsid w:val="00201480"/>
    <w:rPr>
      <w:rFonts w:asciiTheme="majorHAnsi" w:eastAsiaTheme="majorEastAsia" w:hAnsiTheme="majorHAnsi" w:cstheme="minorHAnsi"/>
      <w:b/>
      <w:i w:val="0"/>
      <w:iCs/>
      <w:color w:val="000000" w:themeColor="text1"/>
      <w:sz w:val="24"/>
      <w:szCs w:val="24"/>
    </w:rPr>
  </w:style>
  <w:style w:type="table" w:customStyle="1" w:styleId="Mkatabulky3">
    <w:name w:val="Mřížka tabulky3"/>
    <w:basedOn w:val="Normlntabulka"/>
    <w:next w:val="Mkatabulky"/>
    <w:uiPriority w:val="39"/>
    <w:rsid w:val="00DD3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ve1">
    <w:name w:val="úroveň 1"/>
    <w:basedOn w:val="Nadpis1"/>
    <w:qFormat/>
    <w:rsid w:val="00A41CA2"/>
    <w:pPr>
      <w:keepNext/>
      <w:numPr>
        <w:ilvl w:val="4"/>
        <w:numId w:val="34"/>
      </w:numPr>
      <w:spacing w:before="120" w:after="0" w:line="360" w:lineRule="auto"/>
      <w:ind w:left="360" w:hanging="360"/>
      <w:jc w:val="left"/>
    </w:pPr>
    <w:rPr>
      <w:rFonts w:ascii="Arial" w:eastAsia="Times New Roman" w:hAnsi="Arial" w:cs="Arial"/>
      <w:szCs w:val="24"/>
    </w:rPr>
  </w:style>
  <w:style w:type="paragraph" w:customStyle="1" w:styleId="rove2">
    <w:name w:val="úroveň 2"/>
    <w:basedOn w:val="rove1"/>
    <w:qFormat/>
    <w:rsid w:val="00A41CA2"/>
    <w:pPr>
      <w:numPr>
        <w:ilvl w:val="5"/>
      </w:numPr>
      <w:ind w:left="792" w:hanging="432"/>
      <w:jc w:val="both"/>
    </w:pPr>
    <w:rPr>
      <w:sz w:val="24"/>
    </w:rPr>
  </w:style>
  <w:style w:type="paragraph" w:customStyle="1" w:styleId="rove3">
    <w:name w:val="úroveň3"/>
    <w:basedOn w:val="Normln"/>
    <w:qFormat/>
    <w:rsid w:val="00A41CA2"/>
    <w:pPr>
      <w:keepNext/>
      <w:numPr>
        <w:ilvl w:val="2"/>
        <w:numId w:val="34"/>
      </w:numPr>
      <w:spacing w:before="120" w:after="0" w:line="360" w:lineRule="auto"/>
      <w:ind w:left="709" w:hanging="709"/>
      <w:jc w:val="both"/>
      <w:outlineLvl w:val="0"/>
    </w:pPr>
    <w:rPr>
      <w:rFonts w:ascii="Arial" w:hAnsi="Arial" w:cs="Arial"/>
      <w:b/>
      <w:sz w:val="22"/>
    </w:rPr>
  </w:style>
  <w:style w:type="paragraph" w:customStyle="1" w:styleId="rove4">
    <w:name w:val="úroveň4"/>
    <w:basedOn w:val="rove3"/>
    <w:qFormat/>
    <w:rsid w:val="00A41CA2"/>
    <w:pPr>
      <w:numPr>
        <w:ilvl w:val="3"/>
      </w:numPr>
      <w:ind w:left="567" w:hanging="567"/>
    </w:pPr>
    <w:rPr>
      <w:i/>
    </w:rPr>
  </w:style>
  <w:style w:type="paragraph" w:customStyle="1" w:styleId="tabulka">
    <w:name w:val="tabulka"/>
    <w:basedOn w:val="Normln"/>
    <w:link w:val="tabulkaChar"/>
    <w:qFormat/>
    <w:rsid w:val="00476D94"/>
    <w:pPr>
      <w:spacing w:after="0"/>
      <w:jc w:val="both"/>
    </w:pPr>
    <w:rPr>
      <w:sz w:val="20"/>
    </w:rPr>
  </w:style>
  <w:style w:type="character" w:customStyle="1" w:styleId="tabulkaChar">
    <w:name w:val="tabulka Char"/>
    <w:link w:val="tabulka"/>
    <w:locked/>
    <w:rsid w:val="00476D94"/>
    <w:rPr>
      <w:rFonts w:ascii="Calibri" w:hAnsi="Calibri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26" Type="http://schemas.microsoft.com/office/2007/relationships/diagramDrawing" Target="diagrams/drawing3.xml"/><Relationship Id="rId21" Type="http://schemas.microsoft.com/office/2007/relationships/diagramDrawing" Target="diagrams/drawing2.xml"/><Relationship Id="rId34" Type="http://schemas.openxmlformats.org/officeDocument/2006/relationships/hyperlink" Target="https://monitor.statnipokladna.cz/" TargetMode="Externa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diagramColors" Target="diagrams/colors3.xm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diagramQuickStyle" Target="diagrams/quickStyle3.xml"/><Relationship Id="rId32" Type="http://schemas.openxmlformats.org/officeDocument/2006/relationships/header" Target="header4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23" Type="http://schemas.openxmlformats.org/officeDocument/2006/relationships/diagramLayout" Target="diagrams/layout3.xml"/><Relationship Id="rId28" Type="http://schemas.openxmlformats.org/officeDocument/2006/relationships/footer" Target="footer1.xm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diagramQuickStyle" Target="diagrams/quickStyle2.xm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Relationship Id="rId22" Type="http://schemas.openxmlformats.org/officeDocument/2006/relationships/diagramData" Target="diagrams/data3.xm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header" Target="header5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onitor.statnipokladna.cz/ucetni-jednotka/00215660/rozpocet/souhrnny?rad=j&amp;obdobi=2212" TargetMode="External"/><Relationship Id="rId1" Type="http://schemas.openxmlformats.org/officeDocument/2006/relationships/hyperlink" Target="https://monitor.statnipokladna.cz/ucetni-jednotka/00215660/ucetni-zaverka/rozvaha?obdobi=2212&amp;rad=j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F0C18A-30D5-4C4A-8EEC-407C3FE8BD28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F0272408-7776-409A-9E8D-4C6C95414F1C}">
      <dgm:prSet phldrT="[Text]" custT="1"/>
      <dgm:spPr>
        <a:solidFill>
          <a:schemeClr val="bg1"/>
        </a:solidFill>
      </dgm:spPr>
      <dgm:t>
        <a:bodyPr/>
        <a:lstStyle/>
        <a:p>
          <a:pPr algn="l"/>
          <a:r>
            <a:rPr lang="cs-CZ" sz="1200" b="1">
              <a:solidFill>
                <a:schemeClr val="tx1"/>
              </a:solidFill>
            </a:rPr>
            <a:t>ÚČETNÍ ZÁVĚRKA</a:t>
          </a:r>
        </a:p>
      </dgm:t>
    </dgm:pt>
    <dgm:pt modelId="{6BF14256-232F-43BF-8AEE-29560281F3D6}" type="parTrans" cxnId="{620CEB36-7B1A-4DAC-B931-B83D0B217F1C}">
      <dgm:prSet/>
      <dgm:spPr/>
      <dgm:t>
        <a:bodyPr/>
        <a:lstStyle/>
        <a:p>
          <a:endParaRPr lang="cs-CZ" sz="1200"/>
        </a:p>
      </dgm:t>
    </dgm:pt>
    <dgm:pt modelId="{DF886ED1-9585-4F6E-8638-6A05E07027EB}" type="sibTrans" cxnId="{620CEB36-7B1A-4DAC-B931-B83D0B217F1C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175CA990-6DF9-40D3-B74E-A36239E500D2}">
      <dgm:prSet phldrT="[Text]" custT="1"/>
      <dgm:spPr>
        <a:solidFill>
          <a:srgbClr val="2EB3A1"/>
        </a:solidFill>
      </dgm:spPr>
      <dgm:t>
        <a:bodyPr/>
        <a:lstStyle/>
        <a:p>
          <a:r>
            <a:rPr lang="cs-CZ" sz="1200">
              <a:solidFill>
                <a:schemeClr val="bg1"/>
              </a:solidFill>
            </a:rPr>
            <a:t>Nevýznamné </a:t>
          </a:r>
          <a:br>
            <a:rPr lang="cs-CZ" sz="1200">
              <a:solidFill>
                <a:schemeClr val="bg1"/>
              </a:solidFill>
            </a:rPr>
          </a:br>
          <a:r>
            <a:rPr lang="cs-CZ" sz="1200">
              <a:solidFill>
                <a:schemeClr val="bg1"/>
              </a:solidFill>
            </a:rPr>
            <a:t>opravy</a:t>
          </a:r>
        </a:p>
      </dgm:t>
    </dgm:pt>
    <dgm:pt modelId="{24A57499-A07A-4184-847B-8E4C9148DAE6}" type="parTrans" cxnId="{BDEDE728-F424-4C1B-AF09-984BD07D5BD7}">
      <dgm:prSet/>
      <dgm:spPr/>
      <dgm:t>
        <a:bodyPr/>
        <a:lstStyle/>
        <a:p>
          <a:endParaRPr lang="cs-CZ" sz="1200"/>
        </a:p>
      </dgm:t>
    </dgm:pt>
    <dgm:pt modelId="{444D81E2-1C9D-48AE-AC86-E67E18DAD849}" type="sibTrans" cxnId="{BDEDE728-F424-4C1B-AF09-984BD07D5BD7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AE1E7B03-65C1-4588-929F-A097C30B7BDC}">
      <dgm:prSet phldrT="[Text]" custT="1"/>
      <dgm:spPr>
        <a:solidFill>
          <a:srgbClr val="2EB3A1"/>
        </a:solidFill>
      </dgm:spPr>
      <dgm:t>
        <a:bodyPr/>
        <a:lstStyle/>
        <a:p>
          <a:r>
            <a:rPr lang="cs-CZ" sz="1200"/>
            <a:t>Bez významných nesprávností</a:t>
          </a:r>
        </a:p>
      </dgm:t>
    </dgm:pt>
    <dgm:pt modelId="{DDD54403-2CB4-47EC-A456-2FECDD10D0FB}" type="parTrans" cxnId="{B44585C8-46F4-4486-9E39-C9E800E4FE00}">
      <dgm:prSet/>
      <dgm:spPr/>
      <dgm:t>
        <a:bodyPr/>
        <a:lstStyle/>
        <a:p>
          <a:endParaRPr lang="cs-CZ" sz="1200"/>
        </a:p>
      </dgm:t>
    </dgm:pt>
    <dgm:pt modelId="{FEFA3CD6-CE91-4F92-B4D2-7A452B9BFDEC}" type="sibTrans" cxnId="{B44585C8-46F4-4486-9E39-C9E800E4FE00}">
      <dgm:prSet/>
      <dgm:spPr/>
      <dgm:t>
        <a:bodyPr/>
        <a:lstStyle/>
        <a:p>
          <a:endParaRPr lang="cs-CZ" sz="1200"/>
        </a:p>
      </dgm:t>
    </dgm:pt>
    <dgm:pt modelId="{EA9400AD-B234-4B6B-9731-94F8D0AC1F84}" type="pres">
      <dgm:prSet presAssocID="{00F0C18A-30D5-4C4A-8EEC-407C3FE8BD28}" presName="Name0" presStyleCnt="0">
        <dgm:presLayoutVars>
          <dgm:dir/>
          <dgm:resizeHandles val="exact"/>
        </dgm:presLayoutVars>
      </dgm:prSet>
      <dgm:spPr/>
    </dgm:pt>
    <dgm:pt modelId="{EB954C47-9880-49A1-B566-6DAE7EF5F669}" type="pres">
      <dgm:prSet presAssocID="{F0272408-7776-409A-9E8D-4C6C95414F1C}" presName="node" presStyleLbl="node1" presStyleIdx="0" presStyleCnt="3">
        <dgm:presLayoutVars>
          <dgm:bulletEnabled val="1"/>
        </dgm:presLayoutVars>
      </dgm:prSet>
      <dgm:spPr/>
    </dgm:pt>
    <dgm:pt modelId="{123861BD-196C-437D-9931-4CC9041E30FE}" type="pres">
      <dgm:prSet presAssocID="{DF886ED1-9585-4F6E-8638-6A05E07027EB}" presName="sibTrans" presStyleLbl="sibTrans2D1" presStyleIdx="0" presStyleCnt="2"/>
      <dgm:spPr/>
    </dgm:pt>
    <dgm:pt modelId="{0B6E5A01-76FF-4F0F-81C4-CBCD4651704B}" type="pres">
      <dgm:prSet presAssocID="{DF886ED1-9585-4F6E-8638-6A05E07027EB}" presName="connectorText" presStyleLbl="sibTrans2D1" presStyleIdx="0" presStyleCnt="2"/>
      <dgm:spPr/>
    </dgm:pt>
    <dgm:pt modelId="{3DC8206E-A8FB-476D-9805-2A1E5B3AAE38}" type="pres">
      <dgm:prSet presAssocID="{175CA990-6DF9-40D3-B74E-A36239E500D2}" presName="node" presStyleLbl="node1" presStyleIdx="1" presStyleCnt="3">
        <dgm:presLayoutVars>
          <dgm:bulletEnabled val="1"/>
        </dgm:presLayoutVars>
      </dgm:prSet>
      <dgm:spPr/>
    </dgm:pt>
    <dgm:pt modelId="{C5972E71-4061-4C9A-A7A8-D74380DF3E5E}" type="pres">
      <dgm:prSet presAssocID="{444D81E2-1C9D-48AE-AC86-E67E18DAD849}" presName="sibTrans" presStyleLbl="sibTrans2D1" presStyleIdx="1" presStyleCnt="2"/>
      <dgm:spPr/>
    </dgm:pt>
    <dgm:pt modelId="{67726389-2B3A-41E6-BA10-08F8962C094C}" type="pres">
      <dgm:prSet presAssocID="{444D81E2-1C9D-48AE-AC86-E67E18DAD849}" presName="connectorText" presStyleLbl="sibTrans2D1" presStyleIdx="1" presStyleCnt="2"/>
      <dgm:spPr/>
    </dgm:pt>
    <dgm:pt modelId="{E51FB0D5-E86A-4EDE-93ED-ABF9F2DE5957}" type="pres">
      <dgm:prSet presAssocID="{AE1E7B03-65C1-4588-929F-A097C30B7BDC}" presName="node" presStyleLbl="node1" presStyleIdx="2" presStyleCnt="3">
        <dgm:presLayoutVars>
          <dgm:bulletEnabled val="1"/>
        </dgm:presLayoutVars>
      </dgm:prSet>
      <dgm:spPr/>
    </dgm:pt>
  </dgm:ptLst>
  <dgm:cxnLst>
    <dgm:cxn modelId="{A7D1930E-A65B-4FB2-B905-24A5C323D9C1}" type="presOf" srcId="{DF886ED1-9585-4F6E-8638-6A05E07027EB}" destId="{0B6E5A01-76FF-4F0F-81C4-CBCD4651704B}" srcOrd="1" destOrd="0" presId="urn:microsoft.com/office/officeart/2005/8/layout/process1"/>
    <dgm:cxn modelId="{1AE3C119-72D2-4920-99C9-FCD5A2E4D27C}" type="presOf" srcId="{175CA990-6DF9-40D3-B74E-A36239E500D2}" destId="{3DC8206E-A8FB-476D-9805-2A1E5B3AAE38}" srcOrd="0" destOrd="0" presId="urn:microsoft.com/office/officeart/2005/8/layout/process1"/>
    <dgm:cxn modelId="{2456F023-C8BD-4D3B-A9C6-AF185D2CA6C0}" type="presOf" srcId="{444D81E2-1C9D-48AE-AC86-E67E18DAD849}" destId="{C5972E71-4061-4C9A-A7A8-D74380DF3E5E}" srcOrd="0" destOrd="0" presId="urn:microsoft.com/office/officeart/2005/8/layout/process1"/>
    <dgm:cxn modelId="{BDEDE728-F424-4C1B-AF09-984BD07D5BD7}" srcId="{00F0C18A-30D5-4C4A-8EEC-407C3FE8BD28}" destId="{175CA990-6DF9-40D3-B74E-A36239E500D2}" srcOrd="1" destOrd="0" parTransId="{24A57499-A07A-4184-847B-8E4C9148DAE6}" sibTransId="{444D81E2-1C9D-48AE-AC86-E67E18DAD849}"/>
    <dgm:cxn modelId="{620CEB36-7B1A-4DAC-B931-B83D0B217F1C}" srcId="{00F0C18A-30D5-4C4A-8EEC-407C3FE8BD28}" destId="{F0272408-7776-409A-9E8D-4C6C95414F1C}" srcOrd="0" destOrd="0" parTransId="{6BF14256-232F-43BF-8AEE-29560281F3D6}" sibTransId="{DF886ED1-9585-4F6E-8638-6A05E07027EB}"/>
    <dgm:cxn modelId="{118F7EB6-9446-47B2-A189-CDDEA597624E}" type="presOf" srcId="{DF886ED1-9585-4F6E-8638-6A05E07027EB}" destId="{123861BD-196C-437D-9931-4CC9041E30FE}" srcOrd="0" destOrd="0" presId="urn:microsoft.com/office/officeart/2005/8/layout/process1"/>
    <dgm:cxn modelId="{B44585C8-46F4-4486-9E39-C9E800E4FE00}" srcId="{00F0C18A-30D5-4C4A-8EEC-407C3FE8BD28}" destId="{AE1E7B03-65C1-4588-929F-A097C30B7BDC}" srcOrd="2" destOrd="0" parTransId="{DDD54403-2CB4-47EC-A456-2FECDD10D0FB}" sibTransId="{FEFA3CD6-CE91-4F92-B4D2-7A452B9BFDEC}"/>
    <dgm:cxn modelId="{D8C20AD0-2EBA-4CD3-BD03-8A67AE82763A}" type="presOf" srcId="{444D81E2-1C9D-48AE-AC86-E67E18DAD849}" destId="{67726389-2B3A-41E6-BA10-08F8962C094C}" srcOrd="1" destOrd="0" presId="urn:microsoft.com/office/officeart/2005/8/layout/process1"/>
    <dgm:cxn modelId="{39DB09E1-302B-4F24-AF88-B2E248FC4337}" type="presOf" srcId="{F0272408-7776-409A-9E8D-4C6C95414F1C}" destId="{EB954C47-9880-49A1-B566-6DAE7EF5F669}" srcOrd="0" destOrd="0" presId="urn:microsoft.com/office/officeart/2005/8/layout/process1"/>
    <dgm:cxn modelId="{E90B5DE3-F35F-4253-B669-025405ADD98C}" type="presOf" srcId="{AE1E7B03-65C1-4588-929F-A097C30B7BDC}" destId="{E51FB0D5-E86A-4EDE-93ED-ABF9F2DE5957}" srcOrd="0" destOrd="0" presId="urn:microsoft.com/office/officeart/2005/8/layout/process1"/>
    <dgm:cxn modelId="{1133ECF6-0F81-4302-B6DD-4FBDB754E951}" type="presOf" srcId="{00F0C18A-30D5-4C4A-8EEC-407C3FE8BD28}" destId="{EA9400AD-B234-4B6B-9731-94F8D0AC1F84}" srcOrd="0" destOrd="0" presId="urn:microsoft.com/office/officeart/2005/8/layout/process1"/>
    <dgm:cxn modelId="{894EC50C-C3B1-4FCA-995D-DA63F84E3F5F}" type="presParOf" srcId="{EA9400AD-B234-4B6B-9731-94F8D0AC1F84}" destId="{EB954C47-9880-49A1-B566-6DAE7EF5F669}" srcOrd="0" destOrd="0" presId="urn:microsoft.com/office/officeart/2005/8/layout/process1"/>
    <dgm:cxn modelId="{A57092F8-3A64-4014-A833-AF430BAB0F4E}" type="presParOf" srcId="{EA9400AD-B234-4B6B-9731-94F8D0AC1F84}" destId="{123861BD-196C-437D-9931-4CC9041E30FE}" srcOrd="1" destOrd="0" presId="urn:microsoft.com/office/officeart/2005/8/layout/process1"/>
    <dgm:cxn modelId="{B061D541-02C2-4004-9299-5DD2DB347496}" type="presParOf" srcId="{123861BD-196C-437D-9931-4CC9041E30FE}" destId="{0B6E5A01-76FF-4F0F-81C4-CBCD4651704B}" srcOrd="0" destOrd="0" presId="urn:microsoft.com/office/officeart/2005/8/layout/process1"/>
    <dgm:cxn modelId="{089D5699-F3E8-44CC-ADFF-03DA66C5C6F0}" type="presParOf" srcId="{EA9400AD-B234-4B6B-9731-94F8D0AC1F84}" destId="{3DC8206E-A8FB-476D-9805-2A1E5B3AAE38}" srcOrd="2" destOrd="0" presId="urn:microsoft.com/office/officeart/2005/8/layout/process1"/>
    <dgm:cxn modelId="{2E4EF194-8BFB-460F-BEEF-6B77D5438CEB}" type="presParOf" srcId="{EA9400AD-B234-4B6B-9731-94F8D0AC1F84}" destId="{C5972E71-4061-4C9A-A7A8-D74380DF3E5E}" srcOrd="3" destOrd="0" presId="urn:microsoft.com/office/officeart/2005/8/layout/process1"/>
    <dgm:cxn modelId="{C2AA885C-2E8B-4BC4-A1C4-8DC958EC735A}" type="presParOf" srcId="{C5972E71-4061-4C9A-A7A8-D74380DF3E5E}" destId="{67726389-2B3A-41E6-BA10-08F8962C094C}" srcOrd="0" destOrd="0" presId="urn:microsoft.com/office/officeart/2005/8/layout/process1"/>
    <dgm:cxn modelId="{E59B98EC-95C4-46BD-842E-42AF0317D4B9}" type="presParOf" srcId="{EA9400AD-B234-4B6B-9731-94F8D0AC1F84}" destId="{E51FB0D5-E86A-4EDE-93ED-ABF9F2DE5957}" srcOrd="4" destOrd="0" presId="urn:microsoft.com/office/officeart/2005/8/layout/process1"/>
  </dgm:cxnLst>
  <dgm:bg>
    <a:noFill/>
  </dgm:bg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0F0C18A-30D5-4C4A-8EEC-407C3FE8BD28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F0272408-7776-409A-9E8D-4C6C95414F1C}">
      <dgm:prSet phldrT="[Text]" custT="1"/>
      <dgm:spPr>
        <a:solidFill>
          <a:schemeClr val="bg1"/>
        </a:solidFill>
      </dgm:spPr>
      <dgm:t>
        <a:bodyPr/>
        <a:lstStyle/>
        <a:p>
          <a:pPr algn="l"/>
          <a:r>
            <a:rPr lang="cs-CZ" sz="1200" b="1">
              <a:solidFill>
                <a:schemeClr val="tx1"/>
              </a:solidFill>
            </a:rPr>
            <a:t>VÝKAZ PRO HODNOCENÍ </a:t>
          </a:r>
          <a:br>
            <a:rPr lang="cs-CZ" sz="1200" b="1">
              <a:solidFill>
                <a:schemeClr val="tx1"/>
              </a:solidFill>
            </a:rPr>
          </a:br>
          <a:r>
            <a:rPr lang="cs-CZ" sz="1200" b="1">
              <a:solidFill>
                <a:schemeClr val="tx1"/>
              </a:solidFill>
            </a:rPr>
            <a:t>PLNĚNÍ ROZPOČTU</a:t>
          </a:r>
        </a:p>
      </dgm:t>
    </dgm:pt>
    <dgm:pt modelId="{6BF14256-232F-43BF-8AEE-29560281F3D6}" type="parTrans" cxnId="{620CEB36-7B1A-4DAC-B931-B83D0B217F1C}">
      <dgm:prSet/>
      <dgm:spPr/>
      <dgm:t>
        <a:bodyPr/>
        <a:lstStyle/>
        <a:p>
          <a:endParaRPr lang="cs-CZ" sz="1200"/>
        </a:p>
      </dgm:t>
    </dgm:pt>
    <dgm:pt modelId="{DF886ED1-9585-4F6E-8638-6A05E07027EB}" type="sibTrans" cxnId="{620CEB36-7B1A-4DAC-B931-B83D0B217F1C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AE1E7B03-65C1-4588-929F-A097C30B7BDC}">
      <dgm:prSet phldrT="[Text]" custT="1"/>
      <dgm:spPr>
        <a:solidFill>
          <a:srgbClr val="2EB3A1"/>
        </a:solidFill>
      </dgm:spPr>
      <dgm:t>
        <a:bodyPr/>
        <a:lstStyle/>
        <a:p>
          <a:r>
            <a:rPr lang="cs-CZ" sz="1200"/>
            <a:t>Bez významných nesprávností</a:t>
          </a:r>
        </a:p>
      </dgm:t>
    </dgm:pt>
    <dgm:pt modelId="{DDD54403-2CB4-47EC-A456-2FECDD10D0FB}" type="parTrans" cxnId="{B44585C8-46F4-4486-9E39-C9E800E4FE00}">
      <dgm:prSet/>
      <dgm:spPr/>
      <dgm:t>
        <a:bodyPr/>
        <a:lstStyle/>
        <a:p>
          <a:endParaRPr lang="cs-CZ" sz="1200"/>
        </a:p>
      </dgm:t>
    </dgm:pt>
    <dgm:pt modelId="{FEFA3CD6-CE91-4F92-B4D2-7A452B9BFDEC}" type="sibTrans" cxnId="{B44585C8-46F4-4486-9E39-C9E800E4FE00}">
      <dgm:prSet/>
      <dgm:spPr/>
      <dgm:t>
        <a:bodyPr/>
        <a:lstStyle/>
        <a:p>
          <a:endParaRPr lang="cs-CZ" sz="1200"/>
        </a:p>
      </dgm:t>
    </dgm:pt>
    <dgm:pt modelId="{175CA990-6DF9-40D3-B74E-A36239E500D2}">
      <dgm:prSet phldrT="[Text]" custT="1"/>
      <dgm:spPr>
        <a:solidFill>
          <a:srgbClr val="2EB3A1"/>
        </a:solidFill>
      </dgm:spPr>
      <dgm:t>
        <a:bodyPr/>
        <a:lstStyle/>
        <a:p>
          <a:r>
            <a:rPr lang="cs-CZ" sz="1200">
              <a:solidFill>
                <a:schemeClr val="bg1"/>
              </a:solidFill>
            </a:rPr>
            <a:t>Nevýznamné </a:t>
          </a:r>
          <a:br>
            <a:rPr lang="cs-CZ" sz="1200">
              <a:solidFill>
                <a:schemeClr val="bg1"/>
              </a:solidFill>
            </a:rPr>
          </a:br>
          <a:r>
            <a:rPr lang="cs-CZ" sz="1200">
              <a:solidFill>
                <a:schemeClr val="bg1"/>
              </a:solidFill>
            </a:rPr>
            <a:t>opravy</a:t>
          </a:r>
        </a:p>
      </dgm:t>
    </dgm:pt>
    <dgm:pt modelId="{444D81E2-1C9D-48AE-AC86-E67E18DAD849}" type="sibTrans" cxnId="{BDEDE728-F424-4C1B-AF09-984BD07D5BD7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24A57499-A07A-4184-847B-8E4C9148DAE6}" type="parTrans" cxnId="{BDEDE728-F424-4C1B-AF09-984BD07D5BD7}">
      <dgm:prSet/>
      <dgm:spPr/>
      <dgm:t>
        <a:bodyPr/>
        <a:lstStyle/>
        <a:p>
          <a:endParaRPr lang="cs-CZ" sz="1200"/>
        </a:p>
      </dgm:t>
    </dgm:pt>
    <dgm:pt modelId="{EA9400AD-B234-4B6B-9731-94F8D0AC1F84}" type="pres">
      <dgm:prSet presAssocID="{00F0C18A-30D5-4C4A-8EEC-407C3FE8BD28}" presName="Name0" presStyleCnt="0">
        <dgm:presLayoutVars>
          <dgm:dir/>
          <dgm:resizeHandles val="exact"/>
        </dgm:presLayoutVars>
      </dgm:prSet>
      <dgm:spPr/>
    </dgm:pt>
    <dgm:pt modelId="{EB954C47-9880-49A1-B566-6DAE7EF5F669}" type="pres">
      <dgm:prSet presAssocID="{F0272408-7776-409A-9E8D-4C6C95414F1C}" presName="node" presStyleLbl="node1" presStyleIdx="0" presStyleCnt="3">
        <dgm:presLayoutVars>
          <dgm:bulletEnabled val="1"/>
        </dgm:presLayoutVars>
      </dgm:prSet>
      <dgm:spPr/>
    </dgm:pt>
    <dgm:pt modelId="{123861BD-196C-437D-9931-4CC9041E30FE}" type="pres">
      <dgm:prSet presAssocID="{DF886ED1-9585-4F6E-8638-6A05E07027EB}" presName="sibTrans" presStyleLbl="sibTrans2D1" presStyleIdx="0" presStyleCnt="2"/>
      <dgm:spPr/>
    </dgm:pt>
    <dgm:pt modelId="{0B6E5A01-76FF-4F0F-81C4-CBCD4651704B}" type="pres">
      <dgm:prSet presAssocID="{DF886ED1-9585-4F6E-8638-6A05E07027EB}" presName="connectorText" presStyleLbl="sibTrans2D1" presStyleIdx="0" presStyleCnt="2"/>
      <dgm:spPr/>
    </dgm:pt>
    <dgm:pt modelId="{3DC8206E-A8FB-476D-9805-2A1E5B3AAE38}" type="pres">
      <dgm:prSet presAssocID="{175CA990-6DF9-40D3-B74E-A36239E500D2}" presName="node" presStyleLbl="node1" presStyleIdx="1" presStyleCnt="3">
        <dgm:presLayoutVars>
          <dgm:bulletEnabled val="1"/>
        </dgm:presLayoutVars>
      </dgm:prSet>
      <dgm:spPr/>
    </dgm:pt>
    <dgm:pt modelId="{C5972E71-4061-4C9A-A7A8-D74380DF3E5E}" type="pres">
      <dgm:prSet presAssocID="{444D81E2-1C9D-48AE-AC86-E67E18DAD849}" presName="sibTrans" presStyleLbl="sibTrans2D1" presStyleIdx="1" presStyleCnt="2"/>
      <dgm:spPr/>
    </dgm:pt>
    <dgm:pt modelId="{67726389-2B3A-41E6-BA10-08F8962C094C}" type="pres">
      <dgm:prSet presAssocID="{444D81E2-1C9D-48AE-AC86-E67E18DAD849}" presName="connectorText" presStyleLbl="sibTrans2D1" presStyleIdx="1" presStyleCnt="2"/>
      <dgm:spPr/>
    </dgm:pt>
    <dgm:pt modelId="{E51FB0D5-E86A-4EDE-93ED-ABF9F2DE5957}" type="pres">
      <dgm:prSet presAssocID="{AE1E7B03-65C1-4588-929F-A097C30B7BDC}" presName="node" presStyleLbl="node1" presStyleIdx="2" presStyleCnt="3">
        <dgm:presLayoutVars>
          <dgm:bulletEnabled val="1"/>
        </dgm:presLayoutVars>
      </dgm:prSet>
      <dgm:spPr/>
    </dgm:pt>
  </dgm:ptLst>
  <dgm:cxnLst>
    <dgm:cxn modelId="{A7D1930E-A65B-4FB2-B905-24A5C323D9C1}" type="presOf" srcId="{DF886ED1-9585-4F6E-8638-6A05E07027EB}" destId="{0B6E5A01-76FF-4F0F-81C4-CBCD4651704B}" srcOrd="1" destOrd="0" presId="urn:microsoft.com/office/officeart/2005/8/layout/process1"/>
    <dgm:cxn modelId="{1AE3C119-72D2-4920-99C9-FCD5A2E4D27C}" type="presOf" srcId="{175CA990-6DF9-40D3-B74E-A36239E500D2}" destId="{3DC8206E-A8FB-476D-9805-2A1E5B3AAE38}" srcOrd="0" destOrd="0" presId="urn:microsoft.com/office/officeart/2005/8/layout/process1"/>
    <dgm:cxn modelId="{2456F023-C8BD-4D3B-A9C6-AF185D2CA6C0}" type="presOf" srcId="{444D81E2-1C9D-48AE-AC86-E67E18DAD849}" destId="{C5972E71-4061-4C9A-A7A8-D74380DF3E5E}" srcOrd="0" destOrd="0" presId="urn:microsoft.com/office/officeart/2005/8/layout/process1"/>
    <dgm:cxn modelId="{BDEDE728-F424-4C1B-AF09-984BD07D5BD7}" srcId="{00F0C18A-30D5-4C4A-8EEC-407C3FE8BD28}" destId="{175CA990-6DF9-40D3-B74E-A36239E500D2}" srcOrd="1" destOrd="0" parTransId="{24A57499-A07A-4184-847B-8E4C9148DAE6}" sibTransId="{444D81E2-1C9D-48AE-AC86-E67E18DAD849}"/>
    <dgm:cxn modelId="{620CEB36-7B1A-4DAC-B931-B83D0B217F1C}" srcId="{00F0C18A-30D5-4C4A-8EEC-407C3FE8BD28}" destId="{F0272408-7776-409A-9E8D-4C6C95414F1C}" srcOrd="0" destOrd="0" parTransId="{6BF14256-232F-43BF-8AEE-29560281F3D6}" sibTransId="{DF886ED1-9585-4F6E-8638-6A05E07027EB}"/>
    <dgm:cxn modelId="{118F7EB6-9446-47B2-A189-CDDEA597624E}" type="presOf" srcId="{DF886ED1-9585-4F6E-8638-6A05E07027EB}" destId="{123861BD-196C-437D-9931-4CC9041E30FE}" srcOrd="0" destOrd="0" presId="urn:microsoft.com/office/officeart/2005/8/layout/process1"/>
    <dgm:cxn modelId="{B44585C8-46F4-4486-9E39-C9E800E4FE00}" srcId="{00F0C18A-30D5-4C4A-8EEC-407C3FE8BD28}" destId="{AE1E7B03-65C1-4588-929F-A097C30B7BDC}" srcOrd="2" destOrd="0" parTransId="{DDD54403-2CB4-47EC-A456-2FECDD10D0FB}" sibTransId="{FEFA3CD6-CE91-4F92-B4D2-7A452B9BFDEC}"/>
    <dgm:cxn modelId="{D8C20AD0-2EBA-4CD3-BD03-8A67AE82763A}" type="presOf" srcId="{444D81E2-1C9D-48AE-AC86-E67E18DAD849}" destId="{67726389-2B3A-41E6-BA10-08F8962C094C}" srcOrd="1" destOrd="0" presId="urn:microsoft.com/office/officeart/2005/8/layout/process1"/>
    <dgm:cxn modelId="{39DB09E1-302B-4F24-AF88-B2E248FC4337}" type="presOf" srcId="{F0272408-7776-409A-9E8D-4C6C95414F1C}" destId="{EB954C47-9880-49A1-B566-6DAE7EF5F669}" srcOrd="0" destOrd="0" presId="urn:microsoft.com/office/officeart/2005/8/layout/process1"/>
    <dgm:cxn modelId="{E90B5DE3-F35F-4253-B669-025405ADD98C}" type="presOf" srcId="{AE1E7B03-65C1-4588-929F-A097C30B7BDC}" destId="{E51FB0D5-E86A-4EDE-93ED-ABF9F2DE5957}" srcOrd="0" destOrd="0" presId="urn:microsoft.com/office/officeart/2005/8/layout/process1"/>
    <dgm:cxn modelId="{1133ECF6-0F81-4302-B6DD-4FBDB754E951}" type="presOf" srcId="{00F0C18A-30D5-4C4A-8EEC-407C3FE8BD28}" destId="{EA9400AD-B234-4B6B-9731-94F8D0AC1F84}" srcOrd="0" destOrd="0" presId="urn:microsoft.com/office/officeart/2005/8/layout/process1"/>
    <dgm:cxn modelId="{894EC50C-C3B1-4FCA-995D-DA63F84E3F5F}" type="presParOf" srcId="{EA9400AD-B234-4B6B-9731-94F8D0AC1F84}" destId="{EB954C47-9880-49A1-B566-6DAE7EF5F669}" srcOrd="0" destOrd="0" presId="urn:microsoft.com/office/officeart/2005/8/layout/process1"/>
    <dgm:cxn modelId="{A57092F8-3A64-4014-A833-AF430BAB0F4E}" type="presParOf" srcId="{EA9400AD-B234-4B6B-9731-94F8D0AC1F84}" destId="{123861BD-196C-437D-9931-4CC9041E30FE}" srcOrd="1" destOrd="0" presId="urn:microsoft.com/office/officeart/2005/8/layout/process1"/>
    <dgm:cxn modelId="{B061D541-02C2-4004-9299-5DD2DB347496}" type="presParOf" srcId="{123861BD-196C-437D-9931-4CC9041E30FE}" destId="{0B6E5A01-76FF-4F0F-81C4-CBCD4651704B}" srcOrd="0" destOrd="0" presId="urn:microsoft.com/office/officeart/2005/8/layout/process1"/>
    <dgm:cxn modelId="{089D5699-F3E8-44CC-ADFF-03DA66C5C6F0}" type="presParOf" srcId="{EA9400AD-B234-4B6B-9731-94F8D0AC1F84}" destId="{3DC8206E-A8FB-476D-9805-2A1E5B3AAE38}" srcOrd="2" destOrd="0" presId="urn:microsoft.com/office/officeart/2005/8/layout/process1"/>
    <dgm:cxn modelId="{2E4EF194-8BFB-460F-BEEF-6B77D5438CEB}" type="presParOf" srcId="{EA9400AD-B234-4B6B-9731-94F8D0AC1F84}" destId="{C5972E71-4061-4C9A-A7A8-D74380DF3E5E}" srcOrd="3" destOrd="0" presId="urn:microsoft.com/office/officeart/2005/8/layout/process1"/>
    <dgm:cxn modelId="{C2AA885C-2E8B-4BC4-A1C4-8DC958EC735A}" type="presParOf" srcId="{C5972E71-4061-4C9A-A7A8-D74380DF3E5E}" destId="{67726389-2B3A-41E6-BA10-08F8962C094C}" srcOrd="0" destOrd="0" presId="urn:microsoft.com/office/officeart/2005/8/layout/process1"/>
    <dgm:cxn modelId="{E59B98EC-95C4-46BD-842E-42AF0317D4B9}" type="presParOf" srcId="{EA9400AD-B234-4B6B-9731-94F8D0AC1F84}" destId="{E51FB0D5-E86A-4EDE-93ED-ABF9F2DE5957}" srcOrd="4" destOrd="0" presId="urn:microsoft.com/office/officeart/2005/8/layout/process1"/>
  </dgm:cxnLst>
  <dgm:bg>
    <a:noFill/>
  </dgm:bg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0F0C18A-30D5-4C4A-8EEC-407C3FE8BD28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F0272408-7776-409A-9E8D-4C6C95414F1C}">
      <dgm:prSet phldrT="[Text]" custT="1"/>
      <dgm:spPr>
        <a:solidFill>
          <a:schemeClr val="bg1"/>
        </a:solidFill>
      </dgm:spPr>
      <dgm:t>
        <a:bodyPr/>
        <a:lstStyle/>
        <a:p>
          <a:pPr algn="l"/>
          <a:r>
            <a:rPr lang="cs-CZ" sz="1200" b="1">
              <a:solidFill>
                <a:schemeClr val="tx1"/>
              </a:solidFill>
            </a:rPr>
            <a:t>VNITŘNÍ </a:t>
          </a:r>
          <a:br>
            <a:rPr lang="cs-CZ" sz="1200" b="1">
              <a:solidFill>
                <a:schemeClr val="tx1"/>
              </a:solidFill>
            </a:rPr>
          </a:br>
          <a:r>
            <a:rPr lang="cs-CZ" sz="1200" b="1">
              <a:solidFill>
                <a:schemeClr val="tx1"/>
              </a:solidFill>
            </a:rPr>
            <a:t>KONTROLNÍ SYSTÉM</a:t>
          </a:r>
        </a:p>
      </dgm:t>
    </dgm:pt>
    <dgm:pt modelId="{6BF14256-232F-43BF-8AEE-29560281F3D6}" type="parTrans" cxnId="{620CEB36-7B1A-4DAC-B931-B83D0B217F1C}">
      <dgm:prSet/>
      <dgm:spPr/>
      <dgm:t>
        <a:bodyPr/>
        <a:lstStyle/>
        <a:p>
          <a:endParaRPr lang="cs-CZ" sz="1200"/>
        </a:p>
      </dgm:t>
    </dgm:pt>
    <dgm:pt modelId="{DF886ED1-9585-4F6E-8638-6A05E07027EB}" type="sibTrans" cxnId="{620CEB36-7B1A-4DAC-B931-B83D0B217F1C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175CA990-6DF9-40D3-B74E-A36239E500D2}">
      <dgm:prSet phldrT="[Text]" custT="1"/>
      <dgm:spPr>
        <a:solidFill>
          <a:srgbClr val="2EB3A1"/>
        </a:solidFill>
      </dgm:spPr>
      <dgm:t>
        <a:bodyPr/>
        <a:lstStyle/>
        <a:p>
          <a:r>
            <a:rPr lang="cs-CZ" sz="1200">
              <a:solidFill>
                <a:schemeClr val="bg1"/>
              </a:solidFill>
            </a:rPr>
            <a:t>Nebylo třeba významných úprav</a:t>
          </a:r>
        </a:p>
      </dgm:t>
    </dgm:pt>
    <dgm:pt modelId="{24A57499-A07A-4184-847B-8E4C9148DAE6}" type="parTrans" cxnId="{BDEDE728-F424-4C1B-AF09-984BD07D5BD7}">
      <dgm:prSet/>
      <dgm:spPr/>
      <dgm:t>
        <a:bodyPr/>
        <a:lstStyle/>
        <a:p>
          <a:endParaRPr lang="cs-CZ" sz="1200"/>
        </a:p>
      </dgm:t>
    </dgm:pt>
    <dgm:pt modelId="{444D81E2-1C9D-48AE-AC86-E67E18DAD849}" type="sibTrans" cxnId="{BDEDE728-F424-4C1B-AF09-984BD07D5BD7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AE1E7B03-65C1-4588-929F-A097C30B7BDC}">
      <dgm:prSet phldrT="[Text]" custT="1"/>
      <dgm:spPr>
        <a:solidFill>
          <a:srgbClr val="2EB3A1"/>
        </a:solidFill>
      </dgm:spPr>
      <dgm:t>
        <a:bodyPr/>
        <a:lstStyle/>
        <a:p>
          <a:r>
            <a:rPr lang="cs-CZ" sz="1200"/>
            <a:t>Bez významných nedostatků</a:t>
          </a:r>
        </a:p>
      </dgm:t>
    </dgm:pt>
    <dgm:pt modelId="{DDD54403-2CB4-47EC-A456-2FECDD10D0FB}" type="parTrans" cxnId="{B44585C8-46F4-4486-9E39-C9E800E4FE00}">
      <dgm:prSet/>
      <dgm:spPr/>
      <dgm:t>
        <a:bodyPr/>
        <a:lstStyle/>
        <a:p>
          <a:endParaRPr lang="cs-CZ" sz="1200"/>
        </a:p>
      </dgm:t>
    </dgm:pt>
    <dgm:pt modelId="{FEFA3CD6-CE91-4F92-B4D2-7A452B9BFDEC}" type="sibTrans" cxnId="{B44585C8-46F4-4486-9E39-C9E800E4FE00}">
      <dgm:prSet/>
      <dgm:spPr/>
      <dgm:t>
        <a:bodyPr/>
        <a:lstStyle/>
        <a:p>
          <a:endParaRPr lang="cs-CZ" sz="1200"/>
        </a:p>
      </dgm:t>
    </dgm:pt>
    <dgm:pt modelId="{EA9400AD-B234-4B6B-9731-94F8D0AC1F84}" type="pres">
      <dgm:prSet presAssocID="{00F0C18A-30D5-4C4A-8EEC-407C3FE8BD28}" presName="Name0" presStyleCnt="0">
        <dgm:presLayoutVars>
          <dgm:dir/>
          <dgm:resizeHandles val="exact"/>
        </dgm:presLayoutVars>
      </dgm:prSet>
      <dgm:spPr/>
    </dgm:pt>
    <dgm:pt modelId="{EB954C47-9880-49A1-B566-6DAE7EF5F669}" type="pres">
      <dgm:prSet presAssocID="{F0272408-7776-409A-9E8D-4C6C95414F1C}" presName="node" presStyleLbl="node1" presStyleIdx="0" presStyleCnt="3">
        <dgm:presLayoutVars>
          <dgm:bulletEnabled val="1"/>
        </dgm:presLayoutVars>
      </dgm:prSet>
      <dgm:spPr/>
    </dgm:pt>
    <dgm:pt modelId="{123861BD-196C-437D-9931-4CC9041E30FE}" type="pres">
      <dgm:prSet presAssocID="{DF886ED1-9585-4F6E-8638-6A05E07027EB}" presName="sibTrans" presStyleLbl="sibTrans2D1" presStyleIdx="0" presStyleCnt="2"/>
      <dgm:spPr/>
    </dgm:pt>
    <dgm:pt modelId="{0B6E5A01-76FF-4F0F-81C4-CBCD4651704B}" type="pres">
      <dgm:prSet presAssocID="{DF886ED1-9585-4F6E-8638-6A05E07027EB}" presName="connectorText" presStyleLbl="sibTrans2D1" presStyleIdx="0" presStyleCnt="2"/>
      <dgm:spPr/>
    </dgm:pt>
    <dgm:pt modelId="{3DC8206E-A8FB-476D-9805-2A1E5B3AAE38}" type="pres">
      <dgm:prSet presAssocID="{175CA990-6DF9-40D3-B74E-A36239E500D2}" presName="node" presStyleLbl="node1" presStyleIdx="1" presStyleCnt="3">
        <dgm:presLayoutVars>
          <dgm:bulletEnabled val="1"/>
        </dgm:presLayoutVars>
      </dgm:prSet>
      <dgm:spPr/>
    </dgm:pt>
    <dgm:pt modelId="{C5972E71-4061-4C9A-A7A8-D74380DF3E5E}" type="pres">
      <dgm:prSet presAssocID="{444D81E2-1C9D-48AE-AC86-E67E18DAD849}" presName="sibTrans" presStyleLbl="sibTrans2D1" presStyleIdx="1" presStyleCnt="2"/>
      <dgm:spPr/>
    </dgm:pt>
    <dgm:pt modelId="{67726389-2B3A-41E6-BA10-08F8962C094C}" type="pres">
      <dgm:prSet presAssocID="{444D81E2-1C9D-48AE-AC86-E67E18DAD849}" presName="connectorText" presStyleLbl="sibTrans2D1" presStyleIdx="1" presStyleCnt="2"/>
      <dgm:spPr/>
    </dgm:pt>
    <dgm:pt modelId="{E51FB0D5-E86A-4EDE-93ED-ABF9F2DE5957}" type="pres">
      <dgm:prSet presAssocID="{AE1E7B03-65C1-4588-929F-A097C30B7BDC}" presName="node" presStyleLbl="node1" presStyleIdx="2" presStyleCnt="3">
        <dgm:presLayoutVars>
          <dgm:bulletEnabled val="1"/>
        </dgm:presLayoutVars>
      </dgm:prSet>
      <dgm:spPr/>
    </dgm:pt>
  </dgm:ptLst>
  <dgm:cxnLst>
    <dgm:cxn modelId="{A7D1930E-A65B-4FB2-B905-24A5C323D9C1}" type="presOf" srcId="{DF886ED1-9585-4F6E-8638-6A05E07027EB}" destId="{0B6E5A01-76FF-4F0F-81C4-CBCD4651704B}" srcOrd="1" destOrd="0" presId="urn:microsoft.com/office/officeart/2005/8/layout/process1"/>
    <dgm:cxn modelId="{1AE3C119-72D2-4920-99C9-FCD5A2E4D27C}" type="presOf" srcId="{175CA990-6DF9-40D3-B74E-A36239E500D2}" destId="{3DC8206E-A8FB-476D-9805-2A1E5B3AAE38}" srcOrd="0" destOrd="0" presId="urn:microsoft.com/office/officeart/2005/8/layout/process1"/>
    <dgm:cxn modelId="{2456F023-C8BD-4D3B-A9C6-AF185D2CA6C0}" type="presOf" srcId="{444D81E2-1C9D-48AE-AC86-E67E18DAD849}" destId="{C5972E71-4061-4C9A-A7A8-D74380DF3E5E}" srcOrd="0" destOrd="0" presId="urn:microsoft.com/office/officeart/2005/8/layout/process1"/>
    <dgm:cxn modelId="{BDEDE728-F424-4C1B-AF09-984BD07D5BD7}" srcId="{00F0C18A-30D5-4C4A-8EEC-407C3FE8BD28}" destId="{175CA990-6DF9-40D3-B74E-A36239E500D2}" srcOrd="1" destOrd="0" parTransId="{24A57499-A07A-4184-847B-8E4C9148DAE6}" sibTransId="{444D81E2-1C9D-48AE-AC86-E67E18DAD849}"/>
    <dgm:cxn modelId="{620CEB36-7B1A-4DAC-B931-B83D0B217F1C}" srcId="{00F0C18A-30D5-4C4A-8EEC-407C3FE8BD28}" destId="{F0272408-7776-409A-9E8D-4C6C95414F1C}" srcOrd="0" destOrd="0" parTransId="{6BF14256-232F-43BF-8AEE-29560281F3D6}" sibTransId="{DF886ED1-9585-4F6E-8638-6A05E07027EB}"/>
    <dgm:cxn modelId="{118F7EB6-9446-47B2-A189-CDDEA597624E}" type="presOf" srcId="{DF886ED1-9585-4F6E-8638-6A05E07027EB}" destId="{123861BD-196C-437D-9931-4CC9041E30FE}" srcOrd="0" destOrd="0" presId="urn:microsoft.com/office/officeart/2005/8/layout/process1"/>
    <dgm:cxn modelId="{B44585C8-46F4-4486-9E39-C9E800E4FE00}" srcId="{00F0C18A-30D5-4C4A-8EEC-407C3FE8BD28}" destId="{AE1E7B03-65C1-4588-929F-A097C30B7BDC}" srcOrd="2" destOrd="0" parTransId="{DDD54403-2CB4-47EC-A456-2FECDD10D0FB}" sibTransId="{FEFA3CD6-CE91-4F92-B4D2-7A452B9BFDEC}"/>
    <dgm:cxn modelId="{D8C20AD0-2EBA-4CD3-BD03-8A67AE82763A}" type="presOf" srcId="{444D81E2-1C9D-48AE-AC86-E67E18DAD849}" destId="{67726389-2B3A-41E6-BA10-08F8962C094C}" srcOrd="1" destOrd="0" presId="urn:microsoft.com/office/officeart/2005/8/layout/process1"/>
    <dgm:cxn modelId="{39DB09E1-302B-4F24-AF88-B2E248FC4337}" type="presOf" srcId="{F0272408-7776-409A-9E8D-4C6C95414F1C}" destId="{EB954C47-9880-49A1-B566-6DAE7EF5F669}" srcOrd="0" destOrd="0" presId="urn:microsoft.com/office/officeart/2005/8/layout/process1"/>
    <dgm:cxn modelId="{E90B5DE3-F35F-4253-B669-025405ADD98C}" type="presOf" srcId="{AE1E7B03-65C1-4588-929F-A097C30B7BDC}" destId="{E51FB0D5-E86A-4EDE-93ED-ABF9F2DE5957}" srcOrd="0" destOrd="0" presId="urn:microsoft.com/office/officeart/2005/8/layout/process1"/>
    <dgm:cxn modelId="{1133ECF6-0F81-4302-B6DD-4FBDB754E951}" type="presOf" srcId="{00F0C18A-30D5-4C4A-8EEC-407C3FE8BD28}" destId="{EA9400AD-B234-4B6B-9731-94F8D0AC1F84}" srcOrd="0" destOrd="0" presId="urn:microsoft.com/office/officeart/2005/8/layout/process1"/>
    <dgm:cxn modelId="{894EC50C-C3B1-4FCA-995D-DA63F84E3F5F}" type="presParOf" srcId="{EA9400AD-B234-4B6B-9731-94F8D0AC1F84}" destId="{EB954C47-9880-49A1-B566-6DAE7EF5F669}" srcOrd="0" destOrd="0" presId="urn:microsoft.com/office/officeart/2005/8/layout/process1"/>
    <dgm:cxn modelId="{A57092F8-3A64-4014-A833-AF430BAB0F4E}" type="presParOf" srcId="{EA9400AD-B234-4B6B-9731-94F8D0AC1F84}" destId="{123861BD-196C-437D-9931-4CC9041E30FE}" srcOrd="1" destOrd="0" presId="urn:microsoft.com/office/officeart/2005/8/layout/process1"/>
    <dgm:cxn modelId="{B061D541-02C2-4004-9299-5DD2DB347496}" type="presParOf" srcId="{123861BD-196C-437D-9931-4CC9041E30FE}" destId="{0B6E5A01-76FF-4F0F-81C4-CBCD4651704B}" srcOrd="0" destOrd="0" presId="urn:microsoft.com/office/officeart/2005/8/layout/process1"/>
    <dgm:cxn modelId="{089D5699-F3E8-44CC-ADFF-03DA66C5C6F0}" type="presParOf" srcId="{EA9400AD-B234-4B6B-9731-94F8D0AC1F84}" destId="{3DC8206E-A8FB-476D-9805-2A1E5B3AAE38}" srcOrd="2" destOrd="0" presId="urn:microsoft.com/office/officeart/2005/8/layout/process1"/>
    <dgm:cxn modelId="{2E4EF194-8BFB-460F-BEEF-6B77D5438CEB}" type="presParOf" srcId="{EA9400AD-B234-4B6B-9731-94F8D0AC1F84}" destId="{C5972E71-4061-4C9A-A7A8-D74380DF3E5E}" srcOrd="3" destOrd="0" presId="urn:microsoft.com/office/officeart/2005/8/layout/process1"/>
    <dgm:cxn modelId="{C2AA885C-2E8B-4BC4-A1C4-8DC958EC735A}" type="presParOf" srcId="{C5972E71-4061-4C9A-A7A8-D74380DF3E5E}" destId="{67726389-2B3A-41E6-BA10-08F8962C094C}" srcOrd="0" destOrd="0" presId="urn:microsoft.com/office/officeart/2005/8/layout/process1"/>
    <dgm:cxn modelId="{E59B98EC-95C4-46BD-842E-42AF0317D4B9}" type="presParOf" srcId="{EA9400AD-B234-4B6B-9731-94F8D0AC1F84}" destId="{E51FB0D5-E86A-4EDE-93ED-ABF9F2DE5957}" srcOrd="4" destOrd="0" presId="urn:microsoft.com/office/officeart/2005/8/layout/process1"/>
  </dgm:cxnLst>
  <dgm:bg>
    <a:noFill/>
  </dgm:bg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954C47-9880-49A1-B566-6DAE7EF5F669}">
      <dsp:nvSpPr>
        <dsp:cNvPr id="0" name=""/>
        <dsp:cNvSpPr/>
      </dsp:nvSpPr>
      <dsp:spPr>
        <a:xfrm>
          <a:off x="5072" y="0"/>
          <a:ext cx="1516149" cy="716914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>
              <a:solidFill>
                <a:schemeClr val="tx1"/>
              </a:solidFill>
            </a:rPr>
            <a:t>ÚČETNÍ ZÁVĚRKA</a:t>
          </a:r>
        </a:p>
      </dsp:txBody>
      <dsp:txXfrm>
        <a:off x="26070" y="20998"/>
        <a:ext cx="1474153" cy="674918"/>
      </dsp:txXfrm>
    </dsp:sp>
    <dsp:sp modelId="{123861BD-196C-437D-9931-4CC9041E30FE}">
      <dsp:nvSpPr>
        <dsp:cNvPr id="0" name=""/>
        <dsp:cNvSpPr/>
      </dsp:nvSpPr>
      <dsp:spPr>
        <a:xfrm>
          <a:off x="1672837" y="170454"/>
          <a:ext cx="321423" cy="376005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1672837" y="245655"/>
        <a:ext cx="224996" cy="225603"/>
      </dsp:txXfrm>
    </dsp:sp>
    <dsp:sp modelId="{3DC8206E-A8FB-476D-9805-2A1E5B3AAE38}">
      <dsp:nvSpPr>
        <dsp:cNvPr id="0" name=""/>
        <dsp:cNvSpPr/>
      </dsp:nvSpPr>
      <dsp:spPr>
        <a:xfrm>
          <a:off x="2127682" y="0"/>
          <a:ext cx="1516149" cy="716914"/>
        </a:xfrm>
        <a:prstGeom prst="roundRect">
          <a:avLst>
            <a:gd name="adj" fmla="val 10000"/>
          </a:avLst>
        </a:prstGeom>
        <a:solidFill>
          <a:srgbClr val="2EB3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solidFill>
                <a:schemeClr val="bg1"/>
              </a:solidFill>
            </a:rPr>
            <a:t>Nevýznamné </a:t>
          </a:r>
          <a:br>
            <a:rPr lang="cs-CZ" sz="1200" kern="1200">
              <a:solidFill>
                <a:schemeClr val="bg1"/>
              </a:solidFill>
            </a:rPr>
          </a:br>
          <a:r>
            <a:rPr lang="cs-CZ" sz="1200" kern="1200">
              <a:solidFill>
                <a:schemeClr val="bg1"/>
              </a:solidFill>
            </a:rPr>
            <a:t>opravy</a:t>
          </a:r>
        </a:p>
      </dsp:txBody>
      <dsp:txXfrm>
        <a:off x="2148680" y="20998"/>
        <a:ext cx="1474153" cy="674918"/>
      </dsp:txXfrm>
    </dsp:sp>
    <dsp:sp modelId="{C5972E71-4061-4C9A-A7A8-D74380DF3E5E}">
      <dsp:nvSpPr>
        <dsp:cNvPr id="0" name=""/>
        <dsp:cNvSpPr/>
      </dsp:nvSpPr>
      <dsp:spPr>
        <a:xfrm>
          <a:off x="3795447" y="170454"/>
          <a:ext cx="321423" cy="376005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3795447" y="245655"/>
        <a:ext cx="224996" cy="225603"/>
      </dsp:txXfrm>
    </dsp:sp>
    <dsp:sp modelId="{E51FB0D5-E86A-4EDE-93ED-ABF9F2DE5957}">
      <dsp:nvSpPr>
        <dsp:cNvPr id="0" name=""/>
        <dsp:cNvSpPr/>
      </dsp:nvSpPr>
      <dsp:spPr>
        <a:xfrm>
          <a:off x="4250292" y="0"/>
          <a:ext cx="1516149" cy="716914"/>
        </a:xfrm>
        <a:prstGeom prst="roundRect">
          <a:avLst>
            <a:gd name="adj" fmla="val 10000"/>
          </a:avLst>
        </a:prstGeom>
        <a:solidFill>
          <a:srgbClr val="2EB3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Bez významných nesprávností</a:t>
          </a:r>
        </a:p>
      </dsp:txBody>
      <dsp:txXfrm>
        <a:off x="4271290" y="20998"/>
        <a:ext cx="1474153" cy="67491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954C47-9880-49A1-B566-6DAE7EF5F669}">
      <dsp:nvSpPr>
        <dsp:cNvPr id="0" name=""/>
        <dsp:cNvSpPr/>
      </dsp:nvSpPr>
      <dsp:spPr>
        <a:xfrm>
          <a:off x="5072" y="0"/>
          <a:ext cx="1516149" cy="716914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>
              <a:solidFill>
                <a:schemeClr val="tx1"/>
              </a:solidFill>
            </a:rPr>
            <a:t>VÝKAZ PRO HODNOCENÍ </a:t>
          </a:r>
          <a:br>
            <a:rPr lang="cs-CZ" sz="1200" b="1" kern="1200">
              <a:solidFill>
                <a:schemeClr val="tx1"/>
              </a:solidFill>
            </a:rPr>
          </a:br>
          <a:r>
            <a:rPr lang="cs-CZ" sz="1200" b="1" kern="1200">
              <a:solidFill>
                <a:schemeClr val="tx1"/>
              </a:solidFill>
            </a:rPr>
            <a:t>PLNĚNÍ ROZPOČTU</a:t>
          </a:r>
        </a:p>
      </dsp:txBody>
      <dsp:txXfrm>
        <a:off x="26070" y="20998"/>
        <a:ext cx="1474153" cy="674918"/>
      </dsp:txXfrm>
    </dsp:sp>
    <dsp:sp modelId="{123861BD-196C-437D-9931-4CC9041E30FE}">
      <dsp:nvSpPr>
        <dsp:cNvPr id="0" name=""/>
        <dsp:cNvSpPr/>
      </dsp:nvSpPr>
      <dsp:spPr>
        <a:xfrm>
          <a:off x="1672837" y="170454"/>
          <a:ext cx="321423" cy="376005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1672837" y="245655"/>
        <a:ext cx="224996" cy="225603"/>
      </dsp:txXfrm>
    </dsp:sp>
    <dsp:sp modelId="{3DC8206E-A8FB-476D-9805-2A1E5B3AAE38}">
      <dsp:nvSpPr>
        <dsp:cNvPr id="0" name=""/>
        <dsp:cNvSpPr/>
      </dsp:nvSpPr>
      <dsp:spPr>
        <a:xfrm>
          <a:off x="2127682" y="0"/>
          <a:ext cx="1516149" cy="716914"/>
        </a:xfrm>
        <a:prstGeom prst="roundRect">
          <a:avLst>
            <a:gd name="adj" fmla="val 10000"/>
          </a:avLst>
        </a:prstGeom>
        <a:solidFill>
          <a:srgbClr val="2EB3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solidFill>
                <a:schemeClr val="bg1"/>
              </a:solidFill>
            </a:rPr>
            <a:t>Nevýznamné </a:t>
          </a:r>
          <a:br>
            <a:rPr lang="cs-CZ" sz="1200" kern="1200">
              <a:solidFill>
                <a:schemeClr val="bg1"/>
              </a:solidFill>
            </a:rPr>
          </a:br>
          <a:r>
            <a:rPr lang="cs-CZ" sz="1200" kern="1200">
              <a:solidFill>
                <a:schemeClr val="bg1"/>
              </a:solidFill>
            </a:rPr>
            <a:t>opravy</a:t>
          </a:r>
        </a:p>
      </dsp:txBody>
      <dsp:txXfrm>
        <a:off x="2148680" y="20998"/>
        <a:ext cx="1474153" cy="674918"/>
      </dsp:txXfrm>
    </dsp:sp>
    <dsp:sp modelId="{C5972E71-4061-4C9A-A7A8-D74380DF3E5E}">
      <dsp:nvSpPr>
        <dsp:cNvPr id="0" name=""/>
        <dsp:cNvSpPr/>
      </dsp:nvSpPr>
      <dsp:spPr>
        <a:xfrm>
          <a:off x="3795447" y="170454"/>
          <a:ext cx="321423" cy="376005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3795447" y="245655"/>
        <a:ext cx="224996" cy="225603"/>
      </dsp:txXfrm>
    </dsp:sp>
    <dsp:sp modelId="{E51FB0D5-E86A-4EDE-93ED-ABF9F2DE5957}">
      <dsp:nvSpPr>
        <dsp:cNvPr id="0" name=""/>
        <dsp:cNvSpPr/>
      </dsp:nvSpPr>
      <dsp:spPr>
        <a:xfrm>
          <a:off x="4250292" y="0"/>
          <a:ext cx="1516149" cy="716914"/>
        </a:xfrm>
        <a:prstGeom prst="roundRect">
          <a:avLst>
            <a:gd name="adj" fmla="val 10000"/>
          </a:avLst>
        </a:prstGeom>
        <a:solidFill>
          <a:srgbClr val="2EB3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Bez významných nesprávností</a:t>
          </a:r>
        </a:p>
      </dsp:txBody>
      <dsp:txXfrm>
        <a:off x="4271290" y="20998"/>
        <a:ext cx="1474153" cy="67491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954C47-9880-49A1-B566-6DAE7EF5F669}">
      <dsp:nvSpPr>
        <dsp:cNvPr id="0" name=""/>
        <dsp:cNvSpPr/>
      </dsp:nvSpPr>
      <dsp:spPr>
        <a:xfrm>
          <a:off x="5072" y="0"/>
          <a:ext cx="1516149" cy="716914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>
              <a:solidFill>
                <a:schemeClr val="tx1"/>
              </a:solidFill>
            </a:rPr>
            <a:t>VNITŘNÍ </a:t>
          </a:r>
          <a:br>
            <a:rPr lang="cs-CZ" sz="1200" b="1" kern="1200">
              <a:solidFill>
                <a:schemeClr val="tx1"/>
              </a:solidFill>
            </a:rPr>
          </a:br>
          <a:r>
            <a:rPr lang="cs-CZ" sz="1200" b="1" kern="1200">
              <a:solidFill>
                <a:schemeClr val="tx1"/>
              </a:solidFill>
            </a:rPr>
            <a:t>KONTROLNÍ SYSTÉM</a:t>
          </a:r>
        </a:p>
      </dsp:txBody>
      <dsp:txXfrm>
        <a:off x="26070" y="20998"/>
        <a:ext cx="1474153" cy="674918"/>
      </dsp:txXfrm>
    </dsp:sp>
    <dsp:sp modelId="{123861BD-196C-437D-9931-4CC9041E30FE}">
      <dsp:nvSpPr>
        <dsp:cNvPr id="0" name=""/>
        <dsp:cNvSpPr/>
      </dsp:nvSpPr>
      <dsp:spPr>
        <a:xfrm>
          <a:off x="1672837" y="170454"/>
          <a:ext cx="321423" cy="376005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1672837" y="245655"/>
        <a:ext cx="224996" cy="225603"/>
      </dsp:txXfrm>
    </dsp:sp>
    <dsp:sp modelId="{3DC8206E-A8FB-476D-9805-2A1E5B3AAE38}">
      <dsp:nvSpPr>
        <dsp:cNvPr id="0" name=""/>
        <dsp:cNvSpPr/>
      </dsp:nvSpPr>
      <dsp:spPr>
        <a:xfrm>
          <a:off x="2127682" y="0"/>
          <a:ext cx="1516149" cy="716914"/>
        </a:xfrm>
        <a:prstGeom prst="roundRect">
          <a:avLst>
            <a:gd name="adj" fmla="val 10000"/>
          </a:avLst>
        </a:prstGeom>
        <a:solidFill>
          <a:srgbClr val="2EB3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solidFill>
                <a:schemeClr val="bg1"/>
              </a:solidFill>
            </a:rPr>
            <a:t>Nebylo třeba významných úprav</a:t>
          </a:r>
        </a:p>
      </dsp:txBody>
      <dsp:txXfrm>
        <a:off x="2148680" y="20998"/>
        <a:ext cx="1474153" cy="674918"/>
      </dsp:txXfrm>
    </dsp:sp>
    <dsp:sp modelId="{C5972E71-4061-4C9A-A7A8-D74380DF3E5E}">
      <dsp:nvSpPr>
        <dsp:cNvPr id="0" name=""/>
        <dsp:cNvSpPr/>
      </dsp:nvSpPr>
      <dsp:spPr>
        <a:xfrm>
          <a:off x="3795447" y="170454"/>
          <a:ext cx="321423" cy="376005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3795447" y="245655"/>
        <a:ext cx="224996" cy="225603"/>
      </dsp:txXfrm>
    </dsp:sp>
    <dsp:sp modelId="{E51FB0D5-E86A-4EDE-93ED-ABF9F2DE5957}">
      <dsp:nvSpPr>
        <dsp:cNvPr id="0" name=""/>
        <dsp:cNvSpPr/>
      </dsp:nvSpPr>
      <dsp:spPr>
        <a:xfrm>
          <a:off x="4250292" y="0"/>
          <a:ext cx="1516149" cy="716914"/>
        </a:xfrm>
        <a:prstGeom prst="roundRect">
          <a:avLst>
            <a:gd name="adj" fmla="val 10000"/>
          </a:avLst>
        </a:prstGeom>
        <a:solidFill>
          <a:srgbClr val="2EB3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Bez významných nedostatků</a:t>
          </a:r>
        </a:p>
      </dsp:txBody>
      <dsp:txXfrm>
        <a:off x="4271290" y="20998"/>
        <a:ext cx="1474153" cy="6749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41ef85cfa56222539d111f4b1ed2712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835b98b50f7b97a7aacca622fbbc4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0F923-7150-41FF-A829-D5640C567F8E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schemas.microsoft.com/sharepoint/v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82EE732-A3B1-4BC1-B881-AEA3FB9EE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6E8A74-8651-4F92-B98B-04E395422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770C60-42AC-41C8-A25F-370F4DCA8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5864</Words>
  <Characters>34603</Characters>
  <Application>Microsoft Office Word</Application>
  <DocSecurity>0</DocSecurity>
  <Lines>288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22/16 - Účetní závěrka Městského soudu v Praze za rok 2022 a údaje předkládané Městským soudem v Praze pro hodnocení plnění státního rozpočtu za rok 2022</vt:lpstr>
    </vt:vector>
  </TitlesOfParts>
  <Company>NKU</Company>
  <LinksUpToDate>false</LinksUpToDate>
  <CharactersWithSpaces>40387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22/16 - Účetní závěrka Městského soudu v Praze za rok 2022 a údaje předkládané Městským soudem v Praze pro hodnocení plnění státního rozpočtu za rok 2022</dc:title>
  <dc:subject>Kontrolní závěr z kontrolní akce NKÚ č. 22/16 - Účetní závěrka Městského soudu v Praze za rok 2022 a údaje předkládané Městským soudem v Praze pro hodnocení plnění státního rozpočtu za rok 2022</dc:subject>
  <dc:creator>Nejvyšší kontrolní úřad</dc:creator>
  <cp:keywords>kontrolní závěr, MS Praha, účetnictví</cp:keywords>
  <cp:lastModifiedBy>KOKRDA Daniel</cp:lastModifiedBy>
  <cp:revision>3</cp:revision>
  <cp:lastPrinted>2023-08-04T06:18:00Z</cp:lastPrinted>
  <dcterms:created xsi:type="dcterms:W3CDTF">2023-08-04T06:17:00Z</dcterms:created>
  <dcterms:modified xsi:type="dcterms:W3CDTF">2023-08-04T06:19:00Z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19/03-NKU30/1082/19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510/142/18</vt:lpwstr>
  </property>
  <property fmtid="{D5CDD505-2E9C-101B-9397-08002B2CF9AE}" pid="7" name="Contact_PostaOdes_All">
    <vt:lpwstr>ROZDĚLOVNÍK...</vt:lpwstr>
  </property>
  <property fmtid="{D5CDD505-2E9C-101B-9397-08002B2CF9AE}" pid="8" name="ContentTypeId">
    <vt:lpwstr>0x0101002F7A625AE9F5AB4A939F92BCAA7FEC02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7.10.2019</vt:lpwstr>
  </property>
  <property fmtid="{D5CDD505-2E9C-101B-9397-08002B2CF9AE}" pid="12" name="DisplayName_CJCol">
    <vt:lpwstr>&lt;TABLE&gt;&lt;TR&gt;&lt;TD&gt;Č.j.:&lt;/TD&gt;&lt;TD&gt;19/03-NKU30/1082/19&lt;/TD&gt;&lt;/TR&gt;&lt;TR&gt;&lt;TD&gt;&lt;/TD&gt;&lt;TD&gt;&lt;/TD&gt;&lt;/TR&gt;&lt;/TABLE&gt;</vt:lpwstr>
  </property>
  <property fmtid="{D5CDD505-2E9C-101B-9397-08002B2CF9AE}" pid="13" name="DisplayName_SlozkaStupenUtajeniCollection_Slozka_Pisemnost">
    <vt:lpwstr/>
  </property>
  <property fmtid="{D5CDD505-2E9C-101B-9397-08002B2CF9AE}" pid="14" name="DisplayName_SpisovyUzel_PoziceZodpo_Pisemnost">
    <vt:lpwstr>Členové Úřadu</vt:lpwstr>
  </property>
  <property fmtid="{D5CDD505-2E9C-101B-9397-08002B2CF9AE}" pid="15" name="DisplayName_UserPoriz_Pisemnost">
    <vt:lpwstr>Bc. Jana Pokorná</vt:lpwstr>
  </property>
  <property fmtid="{D5CDD505-2E9C-101B-9397-08002B2CF9AE}" pid="16" name="DuvodZmeny_SlozkaStupenUtajeniCollection_Slozka_Pisemnost">
    <vt:lpwstr/>
  </property>
  <property fmtid="{D5CDD505-2E9C-101B-9397-08002B2CF9AE}" pid="17" name="EC_Pisemnost">
    <vt:lpwstr>19-13020/NKU</vt:lpwstr>
  </property>
  <property fmtid="{D5CDD505-2E9C-101B-9397-08002B2CF9AE}" pid="18" name="Key_BarCode_Pisemnost">
    <vt:lpwstr>*B000344466*</vt:lpwstr>
  </property>
  <property fmtid="{D5CDD505-2E9C-101B-9397-08002B2CF9AE}" pid="19" name="KRukam">
    <vt:lpwstr>{KRukam}</vt:lpwstr>
  </property>
  <property fmtid="{D5CDD505-2E9C-101B-9397-08002B2CF9AE}" pid="20" name="NameAddress_Contact_SpisovyUzel_PoziceZodpo_Pisemnost">
    <vt:lpwstr>ADRESÁT SU...</vt:lpwstr>
  </property>
  <property fmtid="{D5CDD505-2E9C-101B-9397-08002B2CF9AE}" pid="21" name="NamePostalAddress_Contact_PostaOdes">
    <vt:lpwstr>{NameAddress_Contact_PostaOdes}
{PostalAddress_Contact_PostaOdes}</vt:lpwstr>
  </property>
  <property fmtid="{D5CDD505-2E9C-101B-9397-08002B2CF9AE}" pid="22" name="Odkaz">
    <vt:lpwstr>ODKAZ</vt:lpwstr>
  </property>
  <property fmtid="{D5CDD505-2E9C-101B-9397-08002B2CF9AE}" pid="23" name="Password_PisemnostTypZpristupneniInformaciZOSZ_Pisemnost">
    <vt:lpwstr>ZOSZ_Password</vt:lpwstr>
  </property>
  <property fmtid="{D5CDD505-2E9C-101B-9397-08002B2CF9AE}" pid="24" name="PocetListuDokumentu_Pisemnost">
    <vt:lpwstr>1</vt:lpwstr>
  </property>
  <property fmtid="{D5CDD505-2E9C-101B-9397-08002B2CF9AE}" pid="25" name="PocetListu_Pisemnost">
    <vt:lpwstr>1</vt:lpwstr>
  </property>
  <property fmtid="{D5CDD505-2E9C-101B-9397-08002B2CF9AE}" pid="26" name="PocetPriloh_Pisemnost">
    <vt:lpwstr>POČET PŘÍLOH</vt:lpwstr>
  </property>
  <property fmtid="{D5CDD505-2E9C-101B-9397-08002B2CF9AE}" pid="27" name="Podpis">
    <vt:lpwstr/>
  </property>
  <property fmtid="{D5CDD505-2E9C-101B-9397-08002B2CF9AE}" pid="28" name="PostalAddress_Contact_SpisovyUzel_PoziceZodpo_Pisemnost">
    <vt:lpwstr>ADRESA SU...</vt:lpwstr>
  </property>
  <property fmtid="{D5CDD505-2E9C-101B-9397-08002B2CF9AE}" pid="29" name="RC">
    <vt:lpwstr/>
  </property>
  <property fmtid="{D5CDD505-2E9C-101B-9397-08002B2CF9AE}" pid="30" name="SkartacniZnakLhuta_PisemnostZnak">
    <vt:lpwstr>?/?</vt:lpwstr>
  </property>
  <property fmtid="{D5CDD505-2E9C-101B-9397-08002B2CF9AE}" pid="31" name="SmlouvaCislo">
    <vt:lpwstr>ČÍSLO SMLOUVY</vt:lpwstr>
  </property>
  <property fmtid="{D5CDD505-2E9C-101B-9397-08002B2CF9AE}" pid="32" name="SZ_Spis_Pisemnost">
    <vt:lpwstr>19/03</vt:lpwstr>
  </property>
  <property fmtid="{D5CDD505-2E9C-101B-9397-08002B2CF9AE}" pid="33" name="TEST">
    <vt:lpwstr>testovací pole</vt:lpwstr>
  </property>
  <property fmtid="{D5CDD505-2E9C-101B-9397-08002B2CF9AE}" pid="34" name="TypPrilohy_Pisemnost">
    <vt:lpwstr>TYP PŘÍLOHY</vt:lpwstr>
  </property>
  <property fmtid="{D5CDD505-2E9C-101B-9397-08002B2CF9AE}" pid="35" name="UserName_PisemnostTypZpristupneniInformaciZOSZ_Pisemnost">
    <vt:lpwstr>ZOSZ_UserName</vt:lpwstr>
  </property>
  <property fmtid="{D5CDD505-2E9C-101B-9397-08002B2CF9AE}" pid="36" name="Vec_Pisemnost">
    <vt:lpwstr>Návrh kontrolního závěru 19/03 – do připomínek</vt:lpwstr>
  </property>
  <property fmtid="{D5CDD505-2E9C-101B-9397-08002B2CF9AE}" pid="37" name="Zkratka_SpisovyUzel_PoziceZodpo_Pisemnost">
    <vt:lpwstr>30</vt:lpwstr>
  </property>
</Properties>
</file>