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1C5D4" w14:textId="0C08CAD5" w:rsidR="00291417" w:rsidRPr="00683C72" w:rsidRDefault="00291417" w:rsidP="00291417">
      <w:pPr>
        <w:spacing w:after="0"/>
        <w:jc w:val="center"/>
        <w:rPr>
          <w:highlight w:val="yellow"/>
        </w:rPr>
      </w:pPr>
      <w:bookmarkStart w:id="0" w:name="_GoBack"/>
      <w:bookmarkEnd w:id="0"/>
      <w:r w:rsidRPr="00683C72">
        <w:rPr>
          <w:noProof/>
          <w:highlight w:val="yellow"/>
          <w:lang w:eastAsia="cs-CZ"/>
        </w:rPr>
        <w:drawing>
          <wp:anchor distT="0" distB="0" distL="114300" distR="114300" simplePos="0" relativeHeight="251673600" behindDoc="0" locked="0" layoutInCell="1" allowOverlap="1" wp14:anchorId="03DB051D" wp14:editId="045FCB8E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0310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1F5385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</w:p>
    <w:p w14:paraId="5ED3F8BF" w14:textId="77777777" w:rsidR="00291417" w:rsidRPr="00920E6B" w:rsidRDefault="00291417" w:rsidP="0029141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bookmarkStart w:id="1" w:name="_Hlk136933381"/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04FA92A7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1BD8CD4A" w14:textId="77777777" w:rsidR="00EC3A0D" w:rsidRPr="00920E6B" w:rsidRDefault="0000654C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2104AF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7A67D6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2104AF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="007A67D6">
        <w:rPr>
          <w:rFonts w:asciiTheme="minorHAnsi" w:eastAsiaTheme="minorHAnsi" w:hAnsiTheme="minorHAnsi" w:cstheme="minorHAnsi"/>
          <w:b/>
          <w:sz w:val="28"/>
          <w:szCs w:val="28"/>
        </w:rPr>
        <w:t>7</w:t>
      </w:r>
    </w:p>
    <w:p w14:paraId="67484155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59FF5596" w14:textId="77777777" w:rsidR="00937A73" w:rsidRPr="00920E6B" w:rsidRDefault="002104AF" w:rsidP="00DB6C92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2104AF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rozpočtu </w:t>
      </w:r>
      <w:r w:rsidRPr="00934E77">
        <w:rPr>
          <w:rFonts w:asciiTheme="minorHAnsi" w:eastAsiaTheme="minorHAnsi" w:hAnsiTheme="minorHAnsi" w:cstheme="minorHAnsi"/>
          <w:b/>
          <w:i/>
          <w:sz w:val="28"/>
          <w:szCs w:val="28"/>
        </w:rPr>
        <w:t>Ministerstvo zemědělství</w:t>
      </w:r>
      <w:r w:rsidRPr="002104AF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="00552340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Pr="002104AF">
        <w:rPr>
          <w:rFonts w:asciiTheme="minorHAnsi" w:eastAsiaTheme="minorHAnsi" w:hAnsiTheme="minorHAnsi" w:cstheme="minorHAnsi"/>
          <w:b/>
          <w:sz w:val="28"/>
          <w:szCs w:val="28"/>
        </w:rPr>
        <w:t>za rok 2022, účetní závěrka Ministerstva zemědělství za rok 2022 a údaje předkládané Ministerstvem zemědělství pro hodnocení plnění státního rozpočtu za rok 2022</w:t>
      </w:r>
    </w:p>
    <w:p w14:paraId="33833110" w14:textId="77777777" w:rsidR="00937A73" w:rsidRPr="00683C72" w:rsidRDefault="00937A73" w:rsidP="00031FF6">
      <w:pPr>
        <w:spacing w:after="0"/>
        <w:jc w:val="both"/>
        <w:rPr>
          <w:highlight w:val="yellow"/>
        </w:rPr>
      </w:pPr>
    </w:p>
    <w:p w14:paraId="4AFDF6EC" w14:textId="77777777" w:rsidR="00E86085" w:rsidRPr="00683C72" w:rsidRDefault="00E86085" w:rsidP="00031FF6">
      <w:pPr>
        <w:spacing w:after="0"/>
        <w:jc w:val="both"/>
        <w:rPr>
          <w:highlight w:val="yellow"/>
        </w:rPr>
      </w:pPr>
    </w:p>
    <w:p w14:paraId="0BF699D9" w14:textId="77777777" w:rsidR="00EC3A0D" w:rsidRPr="00920E6B" w:rsidRDefault="00DB6C92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Kontrolní akce</w:t>
      </w:r>
      <w:r w:rsidR="000377B3" w:rsidRPr="00920E6B">
        <w:rPr>
          <w:rFonts w:asciiTheme="minorHAnsi" w:eastAsiaTheme="minorHAnsi" w:hAnsiTheme="minorHAnsi" w:cstheme="minorHAnsi"/>
        </w:rPr>
        <w:t xml:space="preserve"> (dále také „</w:t>
      </w:r>
      <w:r w:rsidR="000377B3" w:rsidRPr="00B7080B">
        <w:rPr>
          <w:rFonts w:asciiTheme="minorHAnsi" w:eastAsiaTheme="minorHAnsi" w:hAnsiTheme="minorHAnsi" w:cstheme="minorHAnsi"/>
        </w:rPr>
        <w:t>KA</w:t>
      </w:r>
      <w:r w:rsidR="000377B3" w:rsidRPr="00920E6B">
        <w:rPr>
          <w:rFonts w:asciiTheme="minorHAnsi" w:eastAsiaTheme="minorHAnsi" w:hAnsiTheme="minorHAnsi" w:cstheme="minorHAnsi"/>
        </w:rPr>
        <w:t>“)</w:t>
      </w:r>
      <w:r w:rsidRPr="00920E6B">
        <w:rPr>
          <w:rFonts w:asciiTheme="minorHAnsi" w:eastAsiaTheme="minorHAnsi" w:hAnsiTheme="minorHAnsi" w:cstheme="minorHAnsi"/>
        </w:rPr>
        <w:t xml:space="preserve"> byla zařazena do plánu kontrolní činnosti Nejvyššího kontrolního úřadu (dále </w:t>
      </w:r>
      <w:r w:rsidR="007D50B9">
        <w:rPr>
          <w:rFonts w:asciiTheme="minorHAnsi" w:eastAsiaTheme="minorHAnsi" w:hAnsiTheme="minorHAnsi" w:cstheme="minorHAnsi"/>
        </w:rPr>
        <w:t>také</w:t>
      </w:r>
      <w:r w:rsidRPr="00920E6B">
        <w:rPr>
          <w:rFonts w:asciiTheme="minorHAnsi" w:eastAsiaTheme="minorHAnsi" w:hAnsiTheme="minorHAnsi" w:cstheme="minorHAnsi"/>
        </w:rPr>
        <w:t xml:space="preserve"> „NKÚ“) na rok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2104AF">
        <w:rPr>
          <w:rFonts w:asciiTheme="minorHAnsi" w:eastAsiaTheme="minorHAnsi" w:hAnsiTheme="minorHAnsi" w:cstheme="minorHAnsi"/>
        </w:rPr>
        <w:t>2</w:t>
      </w:r>
      <w:r w:rsidR="0000654C" w:rsidRPr="00920E6B">
        <w:rPr>
          <w:rFonts w:asciiTheme="minorHAnsi" w:eastAsiaTheme="minorHAnsi" w:hAnsiTheme="minorHAnsi" w:cstheme="minorHAnsi"/>
        </w:rPr>
        <w:t xml:space="preserve"> pod číslem 2</w:t>
      </w:r>
      <w:r w:rsidR="002104AF">
        <w:rPr>
          <w:rFonts w:asciiTheme="minorHAnsi" w:eastAsiaTheme="minorHAnsi" w:hAnsiTheme="minorHAnsi" w:cstheme="minorHAnsi"/>
        </w:rPr>
        <w:t>2</w:t>
      </w:r>
      <w:r w:rsidR="0000654C" w:rsidRPr="00920E6B">
        <w:rPr>
          <w:rFonts w:asciiTheme="minorHAnsi" w:eastAsiaTheme="minorHAnsi" w:hAnsiTheme="minorHAnsi" w:cstheme="minorHAnsi"/>
        </w:rPr>
        <w:t>/</w:t>
      </w:r>
      <w:r w:rsidR="002104AF">
        <w:rPr>
          <w:rFonts w:asciiTheme="minorHAnsi" w:eastAsiaTheme="minorHAnsi" w:hAnsiTheme="minorHAnsi" w:cstheme="minorHAnsi"/>
        </w:rPr>
        <w:t>1</w:t>
      </w:r>
      <w:r w:rsidR="007A67D6">
        <w:rPr>
          <w:rFonts w:asciiTheme="minorHAnsi" w:eastAsiaTheme="minorHAnsi" w:hAnsiTheme="minorHAnsi" w:cstheme="minorHAnsi"/>
        </w:rPr>
        <w:t>7</w:t>
      </w:r>
      <w:r w:rsidRPr="00920E6B">
        <w:rPr>
          <w:rFonts w:asciiTheme="minorHAnsi" w:eastAsiaTheme="minorHAnsi" w:hAnsiTheme="minorHAnsi" w:cstheme="minorHAnsi"/>
        </w:rPr>
        <w:t xml:space="preserve">. </w:t>
      </w:r>
      <w:r w:rsidR="00FF6D62" w:rsidRPr="00FF6D62">
        <w:rPr>
          <w:rFonts w:asciiTheme="minorHAnsi" w:eastAsiaTheme="minorHAnsi" w:hAnsiTheme="minorHAnsi" w:cstheme="minorHAnsi"/>
        </w:rPr>
        <w:t>Kontrolní akci řídil a</w:t>
      </w:r>
      <w:r w:rsidR="0066496A">
        <w:rPr>
          <w:rFonts w:asciiTheme="minorHAnsi" w:eastAsiaTheme="minorHAnsi" w:hAnsiTheme="minorHAnsi" w:cstheme="minorHAnsi"/>
        </w:rPr>
        <w:t> </w:t>
      </w:r>
      <w:r w:rsidR="00FF6D62" w:rsidRPr="00FF6D62">
        <w:rPr>
          <w:rFonts w:asciiTheme="minorHAnsi" w:eastAsiaTheme="minorHAnsi" w:hAnsiTheme="minorHAnsi" w:cstheme="minorHAnsi"/>
        </w:rPr>
        <w:t>kontrolní závěr vypracoval člen NKÚ Ing. Daniel Reisiegel, MPA</w:t>
      </w:r>
      <w:r w:rsidRPr="00920E6B">
        <w:rPr>
          <w:rFonts w:asciiTheme="minorHAnsi" w:eastAsiaTheme="minorHAnsi" w:hAnsiTheme="minorHAnsi" w:cstheme="minorHAnsi"/>
        </w:rPr>
        <w:t>.</w:t>
      </w:r>
    </w:p>
    <w:p w14:paraId="0E78D2B5" w14:textId="77777777" w:rsidR="00031FF6" w:rsidRPr="00920E6B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C38180F" w14:textId="77777777" w:rsidR="00CC0706" w:rsidRPr="00920E6B" w:rsidRDefault="00DB6C92" w:rsidP="00CC0706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bookmarkStart w:id="2" w:name="_Hlk133227457"/>
      <w:r w:rsidRPr="00920E6B">
        <w:rPr>
          <w:rFonts w:asciiTheme="minorHAnsi" w:eastAsiaTheme="minorHAnsi" w:hAnsiTheme="minorHAnsi" w:cstheme="minorHAnsi"/>
        </w:rPr>
        <w:t xml:space="preserve">Cílem kontroly bylo </w:t>
      </w:r>
      <w:r w:rsidR="00FF6D62">
        <w:rPr>
          <w:rFonts w:asciiTheme="minorHAnsi" w:hAnsiTheme="minorHAnsi" w:cstheme="minorHAnsi"/>
          <w:bCs/>
        </w:rPr>
        <w:t>p</w:t>
      </w:r>
      <w:r w:rsidR="00FF6D62" w:rsidRPr="006844ED">
        <w:rPr>
          <w:rFonts w:asciiTheme="minorHAnsi" w:hAnsiTheme="minorHAnsi" w:cstheme="minorHAnsi"/>
          <w:bCs/>
        </w:rPr>
        <w:t>rověřit, zda Ministerstvo zemědělství při sestavení závěrečného účtu a</w:t>
      </w:r>
      <w:r w:rsidR="0066496A">
        <w:rPr>
          <w:rFonts w:asciiTheme="minorHAnsi" w:hAnsiTheme="minorHAnsi" w:cstheme="minorHAnsi"/>
          <w:bCs/>
        </w:rPr>
        <w:t> </w:t>
      </w:r>
      <w:r w:rsidR="00FF6D62" w:rsidRPr="006844ED">
        <w:rPr>
          <w:rFonts w:asciiTheme="minorHAnsi" w:hAnsiTheme="minorHAnsi" w:cstheme="minorHAnsi"/>
          <w:bCs/>
        </w:rPr>
        <w:t>při vedení účetnictví a sestavení účetní závěrky a předkládání údajů pro hodnocení plnění státního rozpočtu za rok 2022 postupovalo v souladu s příslušnými právními předpisy</w:t>
      </w:r>
      <w:bookmarkEnd w:id="2"/>
      <w:r w:rsidR="0000654C" w:rsidRPr="00920E6B">
        <w:rPr>
          <w:rFonts w:asciiTheme="minorHAnsi" w:eastAsiaTheme="minorHAnsi" w:hAnsiTheme="minorHAnsi" w:cstheme="minorHAnsi"/>
        </w:rPr>
        <w:t>.</w:t>
      </w:r>
    </w:p>
    <w:p w14:paraId="1EFFDB08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bCs/>
          <w:highlight w:val="yellow"/>
        </w:rPr>
      </w:pPr>
    </w:p>
    <w:p w14:paraId="588284BE" w14:textId="77777777" w:rsidR="00EC3A0D" w:rsidRPr="00920E6B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</w:rPr>
        <w:t>Kontrolovaná osoba:</w:t>
      </w:r>
    </w:p>
    <w:p w14:paraId="222B47C4" w14:textId="1E77C7F1" w:rsidR="00EC3A0D" w:rsidRPr="00920E6B" w:rsidRDefault="00FF6D62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FF6D62">
        <w:rPr>
          <w:rFonts w:asciiTheme="minorHAnsi" w:eastAsiaTheme="minorHAnsi" w:hAnsiTheme="minorHAnsi" w:cstheme="minorHAnsi"/>
        </w:rPr>
        <w:t xml:space="preserve">Ministerstvo </w:t>
      </w:r>
      <w:r w:rsidR="00813907">
        <w:rPr>
          <w:rFonts w:asciiTheme="minorHAnsi" w:eastAsiaTheme="minorHAnsi" w:hAnsiTheme="minorHAnsi" w:cstheme="minorHAnsi"/>
        </w:rPr>
        <w:t>z</w:t>
      </w:r>
      <w:r w:rsidRPr="00FF6D62">
        <w:rPr>
          <w:rFonts w:asciiTheme="minorHAnsi" w:eastAsiaTheme="minorHAnsi" w:hAnsiTheme="minorHAnsi" w:cstheme="minorHAnsi"/>
        </w:rPr>
        <w:t>emědělství (dále také „MZe“)</w:t>
      </w:r>
      <w:r w:rsidR="00DB6C92" w:rsidRPr="00920E6B">
        <w:rPr>
          <w:rFonts w:asciiTheme="minorHAnsi" w:eastAsiaTheme="minorHAnsi" w:hAnsiTheme="minorHAnsi" w:cstheme="minorHAnsi"/>
        </w:rPr>
        <w:t>.</w:t>
      </w:r>
    </w:p>
    <w:p w14:paraId="716CDC67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78505014" w14:textId="4B53CE54" w:rsidR="00EC3A0D" w:rsidRPr="00920E6B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 xml:space="preserve">Kontrolováno bylo období roku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AF32CA">
        <w:rPr>
          <w:rFonts w:asciiTheme="minorHAnsi" w:eastAsiaTheme="minorHAnsi" w:hAnsiTheme="minorHAnsi" w:cstheme="minorHAnsi"/>
        </w:rPr>
        <w:t>2</w:t>
      </w:r>
      <w:r w:rsidR="003558CF">
        <w:rPr>
          <w:rFonts w:asciiTheme="minorHAnsi" w:eastAsiaTheme="minorHAnsi" w:hAnsiTheme="minorHAnsi" w:cstheme="minorHAnsi"/>
        </w:rPr>
        <w:t>,</w:t>
      </w:r>
      <w:r w:rsidR="004E3929" w:rsidRPr="00920E6B">
        <w:rPr>
          <w:rFonts w:asciiTheme="minorHAnsi" w:eastAsiaTheme="minorHAnsi" w:hAnsiTheme="minorHAnsi" w:cstheme="minorHAnsi"/>
        </w:rPr>
        <w:t xml:space="preserve"> včetně</w:t>
      </w:r>
      <w:r w:rsidRPr="00920E6B">
        <w:rPr>
          <w:rFonts w:asciiTheme="minorHAnsi" w:eastAsiaTheme="minorHAnsi" w:hAnsiTheme="minorHAnsi" w:cstheme="minorHAnsi"/>
        </w:rPr>
        <w:t xml:space="preserve"> související</w:t>
      </w:r>
      <w:r w:rsidR="004E3929" w:rsidRPr="00920E6B">
        <w:rPr>
          <w:rFonts w:asciiTheme="minorHAnsi" w:eastAsiaTheme="minorHAnsi" w:hAnsiTheme="minorHAnsi" w:cstheme="minorHAnsi"/>
        </w:rPr>
        <w:t>ch</w:t>
      </w:r>
      <w:r w:rsidRPr="00920E6B">
        <w:rPr>
          <w:rFonts w:asciiTheme="minorHAnsi" w:eastAsiaTheme="minorHAnsi" w:hAnsiTheme="minorHAnsi" w:cstheme="minorHAnsi"/>
        </w:rPr>
        <w:t xml:space="preserve"> skutečnost</w:t>
      </w:r>
      <w:r w:rsidR="004E3929" w:rsidRPr="00920E6B">
        <w:rPr>
          <w:rFonts w:asciiTheme="minorHAnsi" w:eastAsiaTheme="minorHAnsi" w:hAnsiTheme="minorHAnsi" w:cstheme="minorHAnsi"/>
        </w:rPr>
        <w:t>í</w:t>
      </w:r>
      <w:r w:rsidRPr="00920E6B">
        <w:rPr>
          <w:rFonts w:asciiTheme="minorHAnsi" w:eastAsiaTheme="minorHAnsi" w:hAnsiTheme="minorHAnsi" w:cstheme="minorHAnsi"/>
        </w:rPr>
        <w:t xml:space="preserve"> </w:t>
      </w:r>
      <w:r w:rsidRPr="00920E6B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920E6B">
        <w:rPr>
          <w:rFonts w:asciiTheme="minorHAnsi" w:eastAsiaTheme="minorHAnsi" w:hAnsiTheme="minorHAnsi" w:cstheme="minorHAnsi"/>
        </w:rPr>
        <w:t>.</w:t>
      </w:r>
    </w:p>
    <w:p w14:paraId="3C1D086D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40D90C7F" w14:textId="77777777" w:rsidR="00EC3A0D" w:rsidRPr="00920E6B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Kontrola byla prováděna u kontrolované osoby v době od</w:t>
      </w:r>
      <w:r w:rsidR="00F946C1">
        <w:rPr>
          <w:rFonts w:asciiTheme="minorHAnsi" w:eastAsiaTheme="minorHAnsi" w:hAnsiTheme="minorHAnsi" w:cstheme="minorHAnsi"/>
        </w:rPr>
        <w:t xml:space="preserve"> </w:t>
      </w:r>
      <w:r w:rsidR="00AF32CA">
        <w:rPr>
          <w:rFonts w:asciiTheme="minorHAnsi" w:eastAsiaTheme="minorHAnsi" w:hAnsiTheme="minorHAnsi" w:cstheme="minorHAnsi"/>
        </w:rPr>
        <w:t>srpna</w:t>
      </w:r>
      <w:r w:rsidR="005F2754" w:rsidRPr="00920E6B">
        <w:rPr>
          <w:rFonts w:asciiTheme="minorHAnsi" w:eastAsiaTheme="minorHAnsi" w:hAnsiTheme="minorHAnsi" w:cstheme="minorHAnsi"/>
        </w:rPr>
        <w:t xml:space="preserve">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AF32CA">
        <w:rPr>
          <w:rFonts w:asciiTheme="minorHAnsi" w:eastAsiaTheme="minorHAnsi" w:hAnsiTheme="minorHAnsi" w:cstheme="minorHAnsi"/>
        </w:rPr>
        <w:t>2</w:t>
      </w:r>
      <w:r w:rsidR="00DB6C92" w:rsidRPr="00920E6B">
        <w:rPr>
          <w:rFonts w:asciiTheme="minorHAnsi" w:eastAsiaTheme="minorHAnsi" w:hAnsiTheme="minorHAnsi" w:cstheme="minorHAnsi"/>
        </w:rPr>
        <w:t xml:space="preserve"> do</w:t>
      </w:r>
      <w:r w:rsidR="00F946C1">
        <w:rPr>
          <w:rFonts w:asciiTheme="minorHAnsi" w:eastAsiaTheme="minorHAnsi" w:hAnsiTheme="minorHAnsi" w:cstheme="minorHAnsi"/>
        </w:rPr>
        <w:t xml:space="preserve"> </w:t>
      </w:r>
      <w:r w:rsidR="00AF32CA">
        <w:rPr>
          <w:rFonts w:asciiTheme="minorHAnsi" w:eastAsiaTheme="minorHAnsi" w:hAnsiTheme="minorHAnsi" w:cstheme="minorHAnsi"/>
        </w:rPr>
        <w:t>dubna</w:t>
      </w:r>
      <w:r w:rsidR="00DB6C92" w:rsidRPr="00920E6B">
        <w:rPr>
          <w:rFonts w:asciiTheme="minorHAnsi" w:eastAsiaTheme="minorHAnsi" w:hAnsiTheme="minorHAnsi" w:cstheme="minorHAnsi"/>
        </w:rPr>
        <w:t xml:space="preserve"> 202</w:t>
      </w:r>
      <w:r w:rsidR="00AF32CA">
        <w:rPr>
          <w:rFonts w:asciiTheme="minorHAnsi" w:eastAsiaTheme="minorHAnsi" w:hAnsiTheme="minorHAnsi" w:cstheme="minorHAnsi"/>
        </w:rPr>
        <w:t>3</w:t>
      </w:r>
      <w:r w:rsidRPr="00920E6B">
        <w:rPr>
          <w:rFonts w:asciiTheme="minorHAnsi" w:eastAsiaTheme="minorHAnsi" w:hAnsiTheme="minorHAnsi" w:cstheme="minorHAnsi"/>
        </w:rPr>
        <w:t>.</w:t>
      </w:r>
    </w:p>
    <w:bookmarkEnd w:id="1"/>
    <w:p w14:paraId="61C1483D" w14:textId="77777777" w:rsidR="00EC3A0D" w:rsidRPr="00683C72" w:rsidRDefault="00EC3A0D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4EFD3FC6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6484732F" w14:textId="132A1F46" w:rsidR="00EC3A0D" w:rsidRPr="0066496A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920E6B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7C389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7C389D">
        <w:rPr>
          <w:rFonts w:asciiTheme="minorHAnsi" w:eastAsiaTheme="minorHAnsi" w:hAnsiTheme="minorHAnsi" w:cstheme="minorHAnsi"/>
        </w:rPr>
        <w:t xml:space="preserve">   </w:t>
      </w:r>
      <w:r w:rsidRPr="0066496A">
        <w:rPr>
          <w:rFonts w:asciiTheme="minorHAnsi" w:eastAsiaTheme="minorHAnsi" w:hAnsiTheme="minorHAnsi" w:cstheme="minorHAnsi"/>
        </w:rPr>
        <w:t>na svém</w:t>
      </w:r>
      <w:r w:rsidR="00CC0706" w:rsidRPr="0066496A">
        <w:rPr>
          <w:rFonts w:asciiTheme="minorHAnsi" w:eastAsiaTheme="minorHAnsi" w:hAnsiTheme="minorHAnsi" w:cstheme="minorHAnsi"/>
        </w:rPr>
        <w:t xml:space="preserve"> </w:t>
      </w:r>
      <w:r w:rsidR="00DE421E">
        <w:rPr>
          <w:rFonts w:asciiTheme="minorHAnsi" w:eastAsiaTheme="minorHAnsi" w:hAnsiTheme="minorHAnsi" w:cstheme="minorHAnsi"/>
        </w:rPr>
        <w:t>IX</w:t>
      </w:r>
      <w:r w:rsidR="00CC0706" w:rsidRPr="0066496A">
        <w:rPr>
          <w:rFonts w:asciiTheme="minorHAnsi" w:eastAsiaTheme="minorHAnsi" w:hAnsiTheme="minorHAnsi" w:cstheme="minorHAnsi"/>
        </w:rPr>
        <w:t>.</w:t>
      </w:r>
      <w:r w:rsidR="009E57D6" w:rsidRPr="0066496A">
        <w:rPr>
          <w:rFonts w:asciiTheme="minorHAnsi" w:eastAsiaTheme="minorHAnsi" w:hAnsiTheme="minorHAnsi" w:cstheme="minorHAnsi"/>
        </w:rPr>
        <w:t xml:space="preserve"> </w:t>
      </w:r>
      <w:r w:rsidRPr="0066496A">
        <w:rPr>
          <w:rFonts w:asciiTheme="minorHAnsi" w:eastAsiaTheme="minorHAnsi" w:hAnsiTheme="minorHAnsi" w:cstheme="minorHAnsi"/>
        </w:rPr>
        <w:t>jednání, které se konalo dne</w:t>
      </w:r>
      <w:r w:rsidR="0066496A" w:rsidRPr="0066496A">
        <w:rPr>
          <w:rFonts w:asciiTheme="minorHAnsi" w:eastAsiaTheme="minorHAnsi" w:hAnsiTheme="minorHAnsi" w:cstheme="minorHAnsi"/>
        </w:rPr>
        <w:t xml:space="preserve"> </w:t>
      </w:r>
      <w:r w:rsidR="00DE421E">
        <w:rPr>
          <w:rFonts w:asciiTheme="minorHAnsi" w:eastAsiaTheme="minorHAnsi" w:hAnsiTheme="minorHAnsi" w:cstheme="minorHAnsi"/>
        </w:rPr>
        <w:t>5</w:t>
      </w:r>
      <w:r w:rsidR="00F85EEF" w:rsidRPr="0066496A">
        <w:rPr>
          <w:rFonts w:asciiTheme="minorHAnsi" w:eastAsiaTheme="minorHAnsi" w:hAnsiTheme="minorHAnsi" w:cstheme="minorHAnsi"/>
        </w:rPr>
        <w:t xml:space="preserve">. </w:t>
      </w:r>
      <w:r w:rsidR="00AF32CA" w:rsidRPr="0066496A">
        <w:rPr>
          <w:rFonts w:asciiTheme="minorHAnsi" w:eastAsiaTheme="minorHAnsi" w:hAnsiTheme="minorHAnsi" w:cstheme="minorHAnsi"/>
        </w:rPr>
        <w:t>června</w:t>
      </w:r>
      <w:r w:rsidR="00F85EEF" w:rsidRPr="0066496A">
        <w:rPr>
          <w:rFonts w:asciiTheme="minorHAnsi" w:eastAsiaTheme="minorHAnsi" w:hAnsiTheme="minorHAnsi" w:cstheme="minorHAnsi"/>
        </w:rPr>
        <w:t xml:space="preserve"> </w:t>
      </w:r>
      <w:r w:rsidR="009E57D6" w:rsidRPr="0066496A">
        <w:rPr>
          <w:rFonts w:asciiTheme="minorHAnsi" w:eastAsiaTheme="minorHAnsi" w:hAnsiTheme="minorHAnsi" w:cstheme="minorHAnsi"/>
        </w:rPr>
        <w:t>2</w:t>
      </w:r>
      <w:r w:rsidR="00DB6C92" w:rsidRPr="0066496A">
        <w:rPr>
          <w:rFonts w:asciiTheme="minorHAnsi" w:eastAsiaTheme="minorHAnsi" w:hAnsiTheme="minorHAnsi" w:cstheme="minorHAnsi"/>
        </w:rPr>
        <w:t>02</w:t>
      </w:r>
      <w:r w:rsidR="00AF32CA" w:rsidRPr="0066496A">
        <w:rPr>
          <w:rFonts w:asciiTheme="minorHAnsi" w:eastAsiaTheme="minorHAnsi" w:hAnsiTheme="minorHAnsi" w:cstheme="minorHAnsi"/>
        </w:rPr>
        <w:t>3</w:t>
      </w:r>
      <w:r w:rsidRPr="0066496A">
        <w:rPr>
          <w:rFonts w:asciiTheme="minorHAnsi" w:eastAsiaTheme="minorHAnsi" w:hAnsiTheme="minorHAnsi" w:cstheme="minorHAnsi"/>
        </w:rPr>
        <w:t>,</w:t>
      </w:r>
    </w:p>
    <w:p w14:paraId="4843AD43" w14:textId="0D84A0F3" w:rsidR="00EC3A0D" w:rsidRPr="00920E6B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66496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66496A">
        <w:rPr>
          <w:rFonts w:asciiTheme="minorHAnsi" w:eastAsiaTheme="minorHAnsi" w:hAnsiTheme="minorHAnsi" w:cstheme="minorHAnsi"/>
        </w:rPr>
        <w:t xml:space="preserve">   usnesením č.</w:t>
      </w:r>
      <w:r w:rsidR="00D17E40" w:rsidRPr="0066496A">
        <w:rPr>
          <w:rFonts w:asciiTheme="minorHAnsi" w:eastAsiaTheme="minorHAnsi" w:hAnsiTheme="minorHAnsi" w:cstheme="minorHAnsi"/>
        </w:rPr>
        <w:t xml:space="preserve"> </w:t>
      </w:r>
      <w:r w:rsidR="00C46BD9">
        <w:rPr>
          <w:rFonts w:asciiTheme="minorHAnsi" w:eastAsiaTheme="minorHAnsi" w:hAnsiTheme="minorHAnsi" w:cstheme="minorHAnsi"/>
        </w:rPr>
        <w:t>5</w:t>
      </w:r>
      <w:r w:rsidR="001842ED" w:rsidRPr="0066496A">
        <w:rPr>
          <w:rFonts w:asciiTheme="minorHAnsi" w:eastAsiaTheme="minorHAnsi" w:hAnsiTheme="minorHAnsi" w:cstheme="minorHAnsi"/>
        </w:rPr>
        <w:t>/</w:t>
      </w:r>
      <w:r w:rsidR="00DE421E">
        <w:rPr>
          <w:rFonts w:asciiTheme="minorHAnsi" w:eastAsiaTheme="minorHAnsi" w:hAnsiTheme="minorHAnsi" w:cstheme="minorHAnsi"/>
        </w:rPr>
        <w:t>IX</w:t>
      </w:r>
      <w:r w:rsidRPr="0066496A">
        <w:rPr>
          <w:rFonts w:asciiTheme="minorHAnsi" w:eastAsiaTheme="minorHAnsi" w:hAnsiTheme="minorHAnsi" w:cstheme="minorHAnsi"/>
        </w:rPr>
        <w:t>/20</w:t>
      </w:r>
      <w:r w:rsidR="00DB6C92" w:rsidRPr="0066496A">
        <w:rPr>
          <w:rFonts w:asciiTheme="minorHAnsi" w:eastAsiaTheme="minorHAnsi" w:hAnsiTheme="minorHAnsi" w:cstheme="minorHAnsi"/>
        </w:rPr>
        <w:t>2</w:t>
      </w:r>
      <w:r w:rsidR="00AF32CA" w:rsidRPr="0066496A">
        <w:rPr>
          <w:rFonts w:asciiTheme="minorHAnsi" w:eastAsiaTheme="minorHAnsi" w:hAnsiTheme="minorHAnsi" w:cstheme="minorHAnsi"/>
        </w:rPr>
        <w:t>3</w:t>
      </w:r>
    </w:p>
    <w:p w14:paraId="675ABF5A" w14:textId="77777777" w:rsidR="00EC3A0D" w:rsidRPr="00920E6B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920E6B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920E6B">
        <w:rPr>
          <w:rFonts w:asciiTheme="minorHAnsi" w:eastAsiaTheme="minorHAnsi" w:hAnsiTheme="minorHAnsi" w:cstheme="minorHAnsi"/>
        </w:rPr>
        <w:t xml:space="preserve">   v tomto znění:</w:t>
      </w:r>
    </w:p>
    <w:p w14:paraId="1F6BBBA2" w14:textId="77777777" w:rsidR="00CA5B95" w:rsidRPr="00683C72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030A0AD3" w14:textId="77777777" w:rsidR="00CA5B95" w:rsidRPr="00683C72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334DF361" w14:textId="77777777" w:rsidR="00CA5B95" w:rsidRPr="00683C72" w:rsidRDefault="00CA5B95">
      <w:pPr>
        <w:spacing w:after="160" w:line="259" w:lineRule="auto"/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</w:pPr>
      <w:r w:rsidRPr="00683C72"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  <w:br w:type="page"/>
      </w:r>
    </w:p>
    <w:p w14:paraId="507EA8F4" w14:textId="24F3E397" w:rsidR="00BD4B5D" w:rsidRDefault="00BD4B5D" w:rsidP="00BD4B5D">
      <w:pPr>
        <w:jc w:val="center"/>
        <w:rPr>
          <w:rStyle w:val="A4"/>
          <w:rFonts w:eastAsiaTheme="majorEastAsia"/>
          <w:b/>
          <w:color w:val="auto"/>
          <w:sz w:val="32"/>
          <w:szCs w:val="32"/>
        </w:rPr>
      </w:pPr>
      <w:r w:rsidRPr="00045955">
        <w:rPr>
          <w:rStyle w:val="A4"/>
          <w:rFonts w:eastAsiaTheme="majorEastAsia"/>
          <w:b/>
          <w:color w:val="auto"/>
          <w:sz w:val="32"/>
          <w:szCs w:val="32"/>
        </w:rPr>
        <w:lastRenderedPageBreak/>
        <w:t xml:space="preserve">Účetní závěrka, výkaz pro hodnocení plnění rozpočtu, závěrečný účet a vnitřní kontrolní systém </w:t>
      </w:r>
      <w:r>
        <w:rPr>
          <w:rStyle w:val="A4"/>
          <w:rFonts w:eastAsiaTheme="majorEastAsia"/>
          <w:b/>
          <w:color w:val="auto"/>
          <w:sz w:val="32"/>
          <w:szCs w:val="32"/>
        </w:rPr>
        <w:t xml:space="preserve">MZe </w:t>
      </w:r>
      <w:r w:rsidRPr="00045955">
        <w:rPr>
          <w:rStyle w:val="A4"/>
          <w:rFonts w:eastAsiaTheme="majorEastAsia"/>
          <w:b/>
          <w:color w:val="auto"/>
          <w:sz w:val="32"/>
          <w:szCs w:val="32"/>
        </w:rPr>
        <w:t>za rok 20</w:t>
      </w:r>
      <w:r>
        <w:rPr>
          <w:rStyle w:val="A4"/>
          <w:rFonts w:eastAsiaTheme="majorEastAsia"/>
          <w:b/>
          <w:color w:val="auto"/>
          <w:sz w:val="32"/>
          <w:szCs w:val="32"/>
        </w:rPr>
        <w:t>22</w:t>
      </w:r>
    </w:p>
    <w:p w14:paraId="26248BE2" w14:textId="77777777" w:rsidR="00BD4B5D" w:rsidRDefault="00BD4B5D" w:rsidP="00BD4B5D">
      <w:pPr>
        <w:jc w:val="center"/>
        <w:rPr>
          <w:rStyle w:val="A4"/>
          <w:rFonts w:eastAsiaTheme="majorEastAsia"/>
          <w:b/>
          <w:color w:val="auto"/>
          <w:sz w:val="32"/>
          <w:szCs w:val="32"/>
        </w:rPr>
      </w:pPr>
    </w:p>
    <w:p w14:paraId="08FA7763" w14:textId="57E7611C" w:rsidR="00BA4DF7" w:rsidRPr="00603909" w:rsidRDefault="00BA4DF7" w:rsidP="00BA4DF7">
      <w:pPr>
        <w:rPr>
          <w:rStyle w:val="A4"/>
          <w:rFonts w:eastAsiaTheme="majorEastAsia"/>
          <w:b/>
          <w:sz w:val="24"/>
          <w:szCs w:val="24"/>
        </w:rPr>
      </w:pPr>
      <w:r w:rsidRPr="00603909">
        <w:rPr>
          <w:rStyle w:val="A5"/>
          <w:rFonts w:cs="Calibri"/>
          <w:sz w:val="24"/>
          <w:szCs w:val="24"/>
        </w:rPr>
        <w:t xml:space="preserve">NKÚ zahájil kontrolu </w:t>
      </w:r>
      <w:r w:rsidR="00C46BD9">
        <w:rPr>
          <w:rStyle w:val="A5"/>
          <w:rFonts w:cs="Calibri"/>
          <w:sz w:val="24"/>
          <w:szCs w:val="24"/>
        </w:rPr>
        <w:t xml:space="preserve">v průběhu kontrolovaného období </w:t>
      </w:r>
      <w:r w:rsidRPr="00603909">
        <w:rPr>
          <w:rStyle w:val="A5"/>
          <w:rFonts w:cs="Calibri"/>
          <w:sz w:val="24"/>
          <w:szCs w:val="24"/>
        </w:rPr>
        <w:t>2022</w:t>
      </w:r>
      <w:r>
        <w:rPr>
          <w:rStyle w:val="A5"/>
          <w:rFonts w:cs="Calibri"/>
          <w:sz w:val="24"/>
          <w:szCs w:val="24"/>
        </w:rPr>
        <w:t>.</w:t>
      </w:r>
      <w:r w:rsidRPr="00603909">
        <w:rPr>
          <w:rStyle w:val="A5"/>
          <w:rFonts w:cs="Calibri"/>
          <w:sz w:val="24"/>
          <w:szCs w:val="24"/>
        </w:rPr>
        <w:t xml:space="preserve"> </w:t>
      </w:r>
      <w:r>
        <w:rPr>
          <w:rStyle w:val="A5"/>
          <w:rFonts w:cs="Calibri"/>
          <w:sz w:val="24"/>
          <w:szCs w:val="24"/>
        </w:rPr>
        <w:t>Ministerstvo zemědělství</w:t>
      </w:r>
      <w:r w:rsidRPr="00603909">
        <w:rPr>
          <w:rStyle w:val="A5"/>
          <w:rFonts w:cs="Calibri"/>
          <w:sz w:val="24"/>
          <w:szCs w:val="24"/>
        </w:rPr>
        <w:t xml:space="preserve"> tak mohlo zjištěné nedostatky průběžně opravovat.</w:t>
      </w:r>
    </w:p>
    <w:p w14:paraId="4A027434" w14:textId="77777777" w:rsidR="00BD4B5D" w:rsidRDefault="00BD4B5D" w:rsidP="00BD4B5D">
      <w:pPr>
        <w:jc w:val="center"/>
        <w:rPr>
          <w:rStyle w:val="A4"/>
          <w:rFonts w:eastAsiaTheme="majorEastAsia"/>
          <w:b/>
          <w:color w:val="auto"/>
          <w:sz w:val="32"/>
          <w:szCs w:val="32"/>
        </w:rPr>
      </w:pPr>
    </w:p>
    <w:tbl>
      <w:tblPr>
        <w:tblStyle w:val="Mkatabulky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EA0AC2" w14:paraId="7E6EF146" w14:textId="77777777" w:rsidTr="00EA0AC2">
        <w:tc>
          <w:tcPr>
            <w:tcW w:w="9430" w:type="dxa"/>
            <w:vAlign w:val="center"/>
          </w:tcPr>
          <w:tbl>
            <w:tblPr>
              <w:tblStyle w:val="Mkatabulky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567"/>
              <w:gridCol w:w="2405"/>
              <w:gridCol w:w="856"/>
              <w:gridCol w:w="2551"/>
            </w:tblGrid>
            <w:tr w:rsidR="00EA0AC2" w14:paraId="6CFC389E" w14:textId="77777777" w:rsidTr="00C4243F">
              <w:tc>
                <w:tcPr>
                  <w:tcW w:w="2835" w:type="dxa"/>
                  <w:vAlign w:val="center"/>
                </w:tcPr>
                <w:p w14:paraId="2904DE40" w14:textId="77777777" w:rsidR="00EA0AC2" w:rsidRDefault="00EA0AC2" w:rsidP="00C4243F">
                  <w:pPr>
                    <w:spacing w:after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ACF154B" w14:textId="77777777" w:rsidR="00EA0AC2" w:rsidRDefault="00EA0AC2" w:rsidP="00C4243F">
                  <w:pPr>
                    <w:rPr>
                      <w:b/>
                    </w:rPr>
                  </w:pPr>
                </w:p>
              </w:tc>
              <w:tc>
                <w:tcPr>
                  <w:tcW w:w="2405" w:type="dxa"/>
                  <w:vAlign w:val="center"/>
                  <w:hideMark/>
                </w:tcPr>
                <w:p w14:paraId="3570A222" w14:textId="77777777" w:rsidR="00EA0AC2" w:rsidRDefault="00EA0AC2" w:rsidP="00C4243F">
                  <w:pPr>
                    <w:spacing w:after="24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 xml:space="preserve">Opravy v průběhu </w:t>
                  </w:r>
                  <w:r>
                    <w:rPr>
                      <w:b/>
                    </w:rPr>
                    <w:br/>
                    <w:t>kontroly NKÚ</w:t>
                  </w:r>
                </w:p>
              </w:tc>
              <w:tc>
                <w:tcPr>
                  <w:tcW w:w="856" w:type="dxa"/>
                  <w:vAlign w:val="center"/>
                </w:tcPr>
                <w:p w14:paraId="3D08BB8F" w14:textId="77777777" w:rsidR="00EA0AC2" w:rsidRDefault="00EA0AC2" w:rsidP="00C4243F">
                  <w:pPr>
                    <w:rPr>
                      <w:b/>
                    </w:rPr>
                  </w:pPr>
                </w:p>
              </w:tc>
              <w:tc>
                <w:tcPr>
                  <w:tcW w:w="2551" w:type="dxa"/>
                  <w:vAlign w:val="center"/>
                  <w:hideMark/>
                </w:tcPr>
                <w:p w14:paraId="13102230" w14:textId="77777777" w:rsidR="00EA0AC2" w:rsidRDefault="00EA0AC2" w:rsidP="00C4243F">
                  <w:pPr>
                    <w:spacing w:after="2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Výsledný stav po provedených opravách</w:t>
                  </w:r>
                </w:p>
              </w:tc>
            </w:tr>
          </w:tbl>
          <w:p w14:paraId="2314F38C" w14:textId="77777777" w:rsidR="00EA0AC2" w:rsidRDefault="00EA0AC2" w:rsidP="00C4243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7AEC86" wp14:editId="191DD471">
                  <wp:extent cx="5772150" cy="714375"/>
                  <wp:effectExtent l="38100" t="0" r="19050" b="28575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75CFF5EE" w14:textId="77777777" w:rsidR="00EA0AC2" w:rsidRDefault="00EA0AC2" w:rsidP="00C4243F">
            <w:r>
              <w:rPr>
                <w:noProof/>
              </w:rPr>
              <w:drawing>
                <wp:inline distT="0" distB="0" distL="0" distR="0" wp14:anchorId="75E65EA4" wp14:editId="799E37D4">
                  <wp:extent cx="5772150" cy="714375"/>
                  <wp:effectExtent l="38100" t="0" r="19050" b="28575"/>
                  <wp:docPr id="11" name="Di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14:paraId="461AB4E1" w14:textId="77777777" w:rsidR="00EA0AC2" w:rsidRDefault="00EA0AC2" w:rsidP="00C4243F">
            <w:r>
              <w:rPr>
                <w:noProof/>
              </w:rPr>
              <w:drawing>
                <wp:inline distT="0" distB="0" distL="0" distR="0" wp14:anchorId="4F48891A" wp14:editId="06DED3B9">
                  <wp:extent cx="5772150" cy="714375"/>
                  <wp:effectExtent l="38100" t="0" r="19050" b="28575"/>
                  <wp:docPr id="1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  <w:p w14:paraId="0999FAAD" w14:textId="77777777" w:rsidR="00EA0AC2" w:rsidRDefault="00EA0AC2" w:rsidP="00C4243F">
            <w:r>
              <w:rPr>
                <w:noProof/>
              </w:rPr>
              <w:drawing>
                <wp:inline distT="0" distB="0" distL="0" distR="0" wp14:anchorId="6ED0EB03" wp14:editId="7511A7EA">
                  <wp:extent cx="5772150" cy="714375"/>
                  <wp:effectExtent l="38100" t="0" r="19050" b="28575"/>
                  <wp:docPr id="15" name="Diagram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  <w:p w14:paraId="733277A4" w14:textId="77777777" w:rsidR="00EA0AC2" w:rsidRDefault="00EA0AC2" w:rsidP="00C4243F"/>
          <w:p w14:paraId="7224C2A4" w14:textId="77777777" w:rsidR="00EA0AC2" w:rsidRDefault="00EA0AC2" w:rsidP="00C4243F">
            <w:pPr>
              <w:rPr>
                <w:b/>
              </w:rPr>
            </w:pPr>
          </w:p>
          <w:p w14:paraId="074BF55C" w14:textId="29ABE074" w:rsidR="00EA0AC2" w:rsidRDefault="00EA0AC2" w:rsidP="00C4243F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E756861" wp14:editId="79323AE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79705" cy="180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463"/>
                          <wp:lineTo x="18318" y="20463"/>
                          <wp:lineTo x="18318" y="0"/>
                          <wp:lineTo x="0" y="0"/>
                        </wp:wrapPolygon>
                      </wp:wrapTight>
                      <wp:docPr id="19" name="Obdélník: se zakulacenými roh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2EB3A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776AFA" id="Obdélník: se zakulacenými rohy 19" o:spid="_x0000_s1026" style="position:absolute;margin-left:-.35pt;margin-top:.15pt;width:14.15pt;height:14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" fillcolor="#2eb3a1" stroked="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t>Nebyly zjištěny významné nesprávnosti/nedostatky</w:t>
            </w:r>
          </w:p>
          <w:p w14:paraId="08106D91" w14:textId="2D40097F" w:rsidR="00EA0AC2" w:rsidRDefault="00EA0AC2" w:rsidP="00C4243F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1709F4CD" wp14:editId="74012A5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79705" cy="180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463"/>
                          <wp:lineTo x="18318" y="20463"/>
                          <wp:lineTo x="18318" y="0"/>
                          <wp:lineTo x="0" y="0"/>
                        </wp:wrapPolygon>
                      </wp:wrapTight>
                      <wp:docPr id="14" name="Obdélník: se zakulacenými roh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DC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8A3B7" id="Obdélník: se zakulacenými rohy 14" o:spid="_x0000_s1026" style="position:absolute;margin-left:-.35pt;margin-top:.35pt;width:14.15pt;height:14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" fillcolor="#fdc300" stroked="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t>Byly zjištěny významné nesprávnosti/nedostatky</w:t>
            </w:r>
          </w:p>
          <w:p w14:paraId="79480E6B" w14:textId="341F2D41" w:rsidR="00EA0AC2" w:rsidRDefault="00EA0AC2" w:rsidP="00C4243F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6BC1816D" wp14:editId="798F135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-2540</wp:posOffset>
                      </wp:positionV>
                      <wp:extent cx="179705" cy="180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463"/>
                          <wp:lineTo x="18318" y="20463"/>
                          <wp:lineTo x="18318" y="0"/>
                          <wp:lineTo x="0" y="0"/>
                        </wp:wrapPolygon>
                      </wp:wrapTight>
                      <wp:docPr id="13" name="Obdélník: se zakulacenými roh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F195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AC0BEA" id="Obdélník: se zakulacenými rohy 13" o:spid="_x0000_s1026" style="position:absolute;margin-left:-.35pt;margin-top:-.2pt;width:14.15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" fillcolor="#af1953" stroked="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t>Byly zjištěny významné nesprávnosti/nedostatky s rozsáhlým dopadem na oblast kontroly</w:t>
            </w:r>
          </w:p>
          <w:p w14:paraId="5C5E084B" w14:textId="77777777" w:rsidR="00EA0AC2" w:rsidRDefault="00EA0AC2" w:rsidP="00C4243F">
            <w:pPr>
              <w:spacing w:after="0"/>
              <w:rPr>
                <w:b/>
                <w:sz w:val="28"/>
              </w:rPr>
            </w:pPr>
          </w:p>
        </w:tc>
      </w:tr>
    </w:tbl>
    <w:p w14:paraId="012AFEF3" w14:textId="77777777" w:rsidR="00F860C4" w:rsidRDefault="00F860C4" w:rsidP="00F860C4">
      <w:pPr>
        <w:spacing w:after="160" w:line="259" w:lineRule="auto"/>
        <w:ind w:left="284"/>
        <w:jc w:val="both"/>
        <w:rPr>
          <w:noProof/>
        </w:rPr>
      </w:pPr>
    </w:p>
    <w:p w14:paraId="69834EC5" w14:textId="77777777" w:rsidR="00752399" w:rsidRPr="00752399" w:rsidRDefault="00752399" w:rsidP="00752399"/>
    <w:p w14:paraId="6D71D8FF" w14:textId="77777777" w:rsidR="00D15221" w:rsidRDefault="00D15221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br w:type="page"/>
      </w:r>
    </w:p>
    <w:p w14:paraId="439E967D" w14:textId="77777777" w:rsidR="0033466E" w:rsidRPr="009E2240" w:rsidRDefault="00A640AE" w:rsidP="009E2240">
      <w:pPr>
        <w:pStyle w:val="Nadpis1"/>
      </w:pPr>
      <w:r w:rsidRPr="009E2240">
        <w:lastRenderedPageBreak/>
        <w:t>I. Shrnutí a vyhodnocení</w:t>
      </w:r>
    </w:p>
    <w:p w14:paraId="360009F6" w14:textId="77777777" w:rsidR="00DE1985" w:rsidRDefault="00DE1985" w:rsidP="001937B6">
      <w:pPr>
        <w:spacing w:before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Cílem kontroly bylo prověřit, zda Ministerstvo zemědělství při sestavení závěrečného účtu</w:t>
      </w:r>
      <w:r w:rsidR="005F07CD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při vedení účetnictví</w:t>
      </w:r>
      <w:r w:rsidR="005F07CD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sestavení účetní závěrky a předkládání údajů pro hodnocení plnění státního rozpočtu za rok 2022 postupovalo v souladu s příslušnými právními předpisy.</w:t>
      </w:r>
    </w:p>
    <w:p w14:paraId="3A8ADFF5" w14:textId="77777777" w:rsidR="00EA4390" w:rsidRPr="005C0B8E" w:rsidRDefault="00EA4390" w:rsidP="00650153">
      <w:pPr>
        <w:spacing w:after="0"/>
        <w:jc w:val="both"/>
        <w:rPr>
          <w:rFonts w:eastAsiaTheme="minorHAnsi" w:cs="Calibri"/>
        </w:rPr>
      </w:pPr>
      <w:r>
        <w:rPr>
          <w:rFonts w:eastAsiaTheme="minorHAnsi" w:cs="Calibri"/>
        </w:rPr>
        <w:t>KA</w:t>
      </w:r>
      <w:r w:rsidR="00F7140E">
        <w:rPr>
          <w:rFonts w:eastAsiaTheme="minorHAnsi" w:cs="Calibri"/>
        </w:rPr>
        <w:t xml:space="preserve"> byla zahájena v průběhu kontrolovaného účetního a rozpočtového období 202</w:t>
      </w:r>
      <w:r w:rsidR="00D30101">
        <w:rPr>
          <w:rFonts w:eastAsiaTheme="minorHAnsi" w:cs="Calibri"/>
        </w:rPr>
        <w:t>2</w:t>
      </w:r>
      <w:r w:rsidR="00F7140E">
        <w:rPr>
          <w:rFonts w:eastAsiaTheme="minorHAnsi" w:cs="Calibri"/>
        </w:rPr>
        <w:t>.</w:t>
      </w:r>
      <w:r>
        <w:rPr>
          <w:rFonts w:eastAsiaTheme="minorHAnsi" w:cs="Calibri"/>
        </w:rPr>
        <w:t xml:space="preserve"> </w:t>
      </w:r>
    </w:p>
    <w:p w14:paraId="7CBE9FAE" w14:textId="77777777" w:rsidR="002B70D5" w:rsidRPr="00683C72" w:rsidRDefault="002B70D5" w:rsidP="001937B6">
      <w:pPr>
        <w:rPr>
          <w:highlight w:val="yellow"/>
        </w:rPr>
      </w:pPr>
    </w:p>
    <w:p w14:paraId="3800C2B5" w14:textId="77777777" w:rsidR="0029520A" w:rsidRPr="002C4476" w:rsidRDefault="00D966F6" w:rsidP="002C4476">
      <w:pPr>
        <w:pStyle w:val="Nadpis2"/>
      </w:pPr>
      <w:r w:rsidRPr="002C4476">
        <w:t>Vedení účetnictví</w:t>
      </w:r>
      <w:r w:rsidR="001111F7" w:rsidRPr="002C4476">
        <w:t xml:space="preserve"> a účetní závěrka</w:t>
      </w:r>
    </w:p>
    <w:tbl>
      <w:tblPr>
        <w:tblStyle w:val="Mkatabulky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84"/>
      </w:tblGrid>
      <w:tr w:rsidR="005F1C00" w14:paraId="63ABD657" w14:textId="77777777" w:rsidTr="00A12605">
        <w:trPr>
          <w:trHeight w:val="952"/>
        </w:trPr>
        <w:tc>
          <w:tcPr>
            <w:tcW w:w="9084" w:type="dxa"/>
            <w:shd w:val="clear" w:color="auto" w:fill="E5F1FF"/>
          </w:tcPr>
          <w:p w14:paraId="2D885EDC" w14:textId="36A5C55A" w:rsidR="001E26F3" w:rsidRPr="00BF3B13" w:rsidRDefault="00FA6899" w:rsidP="001937B6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3" w:name="_Hlk79663883"/>
            <w:r w:rsidRPr="001937B6">
              <w:rPr>
                <w:rFonts w:eastAsiaTheme="minorHAnsi" w:cs="Calibri"/>
                <w:b/>
              </w:rPr>
              <w:t xml:space="preserve">Účetní závěrka MZe sestavená k 31. 12. 2022 (dále také „ÚZ“) podává </w:t>
            </w:r>
            <w:r w:rsidR="007301B8" w:rsidRPr="001937B6">
              <w:rPr>
                <w:rFonts w:eastAsiaTheme="minorHAnsi" w:cs="Calibri"/>
                <w:b/>
              </w:rPr>
              <w:t xml:space="preserve">dle </w:t>
            </w:r>
            <w:r w:rsidRPr="001937B6">
              <w:rPr>
                <w:rFonts w:eastAsiaTheme="minorHAnsi" w:cs="Calibri"/>
                <w:b/>
              </w:rPr>
              <w:t>NKÚ ve všech významných ohledech věrný a poctivý obraz předmětu účetnictví a finanční situace účetní jednotky, a to dle účetních předpisů pro některé vybrané účetní jednotky</w:t>
            </w:r>
            <w:r w:rsidR="00812BFF" w:rsidRPr="00E60A2A">
              <w:rPr>
                <w:rFonts w:eastAsiaTheme="minorHAnsi"/>
                <w:b/>
                <w:vertAlign w:val="superscript"/>
              </w:rPr>
              <w:footnoteReference w:id="2"/>
            </w:r>
            <w:r w:rsidRPr="001937B6">
              <w:rPr>
                <w:rFonts w:eastAsiaTheme="minorHAnsi" w:cs="Calibri"/>
                <w:b/>
              </w:rPr>
              <w:t>.</w:t>
            </w:r>
          </w:p>
        </w:tc>
      </w:tr>
    </w:tbl>
    <w:bookmarkEnd w:id="3"/>
    <w:p w14:paraId="4730E1FB" w14:textId="5CE1DBD6" w:rsidR="00B5636C" w:rsidRPr="00A12605" w:rsidRDefault="00B5636C" w:rsidP="00A12605">
      <w:pPr>
        <w:spacing w:before="120"/>
        <w:jc w:val="both"/>
        <w:rPr>
          <w:rFonts w:asciiTheme="minorHAnsi" w:hAnsiTheme="minorHAnsi"/>
        </w:rPr>
      </w:pPr>
      <w:r w:rsidRPr="00A12605">
        <w:rPr>
          <w:rFonts w:eastAsiaTheme="minorHAnsi"/>
        </w:rPr>
        <w:t xml:space="preserve">NKÚ v průběhu kontroly identifikoval nevýznamné nedostatky ve vedení účetnictví, které by měly </w:t>
      </w:r>
      <w:r w:rsidR="009D7CA4" w:rsidRPr="00A12605">
        <w:rPr>
          <w:rFonts w:eastAsiaTheme="minorHAnsi"/>
        </w:rPr>
        <w:t xml:space="preserve">vliv </w:t>
      </w:r>
      <w:r w:rsidRPr="00A12605">
        <w:rPr>
          <w:rFonts w:eastAsiaTheme="minorHAnsi"/>
        </w:rPr>
        <w:t>ve výši 3,9 mil. Kč na zůstatky položek účetní závěrky MZe za rok 2022. Tyto nedostatky MZe opravilo. V důsledku provedení účetních oprav a také</w:t>
      </w:r>
      <w:r w:rsidR="009D7CA4">
        <w:rPr>
          <w:rFonts w:eastAsiaTheme="minorHAnsi"/>
        </w:rPr>
        <w:t xml:space="preserve"> </w:t>
      </w:r>
      <w:r w:rsidRPr="00A12605">
        <w:rPr>
          <w:rFonts w:eastAsiaTheme="minorHAnsi"/>
        </w:rPr>
        <w:t xml:space="preserve">realizace všech potřebných opatření k eliminaci systémových nedostatků </w:t>
      </w:r>
      <w:r w:rsidR="005F65C6" w:rsidRPr="007452D2">
        <w:rPr>
          <w:rFonts w:eastAsiaTheme="minorHAnsi"/>
          <w:bCs/>
        </w:rPr>
        <w:t>(viz část IV.1.1)</w:t>
      </w:r>
      <w:r w:rsidR="0011015A">
        <w:rPr>
          <w:rFonts w:eastAsiaTheme="minorHAnsi"/>
          <w:bCs/>
        </w:rPr>
        <w:t xml:space="preserve"> </w:t>
      </w:r>
      <w:r w:rsidRPr="00A12605">
        <w:rPr>
          <w:rFonts w:eastAsiaTheme="minorHAnsi"/>
        </w:rPr>
        <w:t>bylo účetnictví MZe</w:t>
      </w:r>
      <w:r w:rsidRPr="00A12605">
        <w:rPr>
          <w:rFonts w:asciiTheme="minorHAnsi" w:hAnsiTheme="minorHAnsi"/>
        </w:rPr>
        <w:t xml:space="preserve"> vedeno v souladu s příslušnými právními předpisy.</w:t>
      </w:r>
    </w:p>
    <w:p w14:paraId="189590BF" w14:textId="77777777" w:rsidR="00BF3B13" w:rsidRPr="007D343F" w:rsidRDefault="00BF3B13" w:rsidP="001937B6">
      <w:pPr>
        <w:jc w:val="both"/>
        <w:rPr>
          <w:rFonts w:eastAsiaTheme="minorHAnsi" w:cs="Calibri"/>
          <w:b/>
        </w:rPr>
      </w:pPr>
    </w:p>
    <w:p w14:paraId="3CDEAFFA" w14:textId="77777777" w:rsidR="0033466E" w:rsidRPr="007D343F" w:rsidRDefault="00A640AE" w:rsidP="00FA6899">
      <w:pPr>
        <w:pStyle w:val="Nadpis2"/>
      </w:pPr>
      <w:r w:rsidRPr="007D343F">
        <w:t xml:space="preserve">Údaje </w:t>
      </w:r>
      <w:r w:rsidR="002352D7" w:rsidRPr="007D343F">
        <w:t xml:space="preserve">předkládané </w:t>
      </w:r>
      <w:r w:rsidR="006316A6" w:rsidRPr="007D343F">
        <w:t>Ministerstvem</w:t>
      </w:r>
      <w:r w:rsidR="008E0642" w:rsidRPr="007D343F">
        <w:t xml:space="preserve"> </w:t>
      </w:r>
      <w:r w:rsidR="006316A6" w:rsidRPr="007D343F">
        <w:t>zemědělství</w:t>
      </w:r>
      <w:r w:rsidR="00F94732" w:rsidRPr="007D343F">
        <w:t xml:space="preserve"> </w:t>
      </w:r>
      <w:r w:rsidRPr="007D343F">
        <w:t xml:space="preserve">pro hodnocení plnění </w:t>
      </w:r>
      <w:r w:rsidR="0087086A" w:rsidRPr="007D343F">
        <w:t xml:space="preserve">státního </w:t>
      </w:r>
      <w:r w:rsidRPr="007D343F">
        <w:t>rozpočtu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47376D" w:rsidRPr="007452D2" w14:paraId="4F14E566" w14:textId="77777777" w:rsidTr="00DC1D48">
        <w:tc>
          <w:tcPr>
            <w:tcW w:w="9060" w:type="dxa"/>
            <w:shd w:val="clear" w:color="auto" w:fill="E5F1FF"/>
          </w:tcPr>
          <w:p w14:paraId="34E4F843" w14:textId="00A56C84" w:rsidR="0047376D" w:rsidRPr="007452D2" w:rsidRDefault="005A496A" w:rsidP="001937B6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4" w:name="_Hlk134686046"/>
            <w:bookmarkStart w:id="5" w:name="_Hlk105757622"/>
            <w:r>
              <w:rPr>
                <w:rFonts w:eastAsiaTheme="minorHAnsi" w:cs="Calibri"/>
                <w:b/>
              </w:rPr>
              <w:t>Dle</w:t>
            </w:r>
            <w:r w:rsidR="0082484B" w:rsidRPr="007452D2">
              <w:rPr>
                <w:rFonts w:eastAsiaTheme="minorHAnsi" w:cs="Calibri"/>
                <w:b/>
              </w:rPr>
              <w:t xml:space="preserve"> </w:t>
            </w:r>
            <w:r w:rsidR="00A75139" w:rsidRPr="007452D2">
              <w:rPr>
                <w:rFonts w:eastAsiaTheme="minorHAnsi" w:cs="Calibri"/>
                <w:b/>
              </w:rPr>
              <w:t>NKÚ byl výkaz pro hodnocení plnění rozpočtu ve všech významných ohledech sestaven v souladu s příslušnými právními předpisy</w:t>
            </w:r>
            <w:r w:rsidR="0047376D" w:rsidRPr="007452D2">
              <w:rPr>
                <w:rFonts w:eastAsiaTheme="minorHAnsi" w:cs="Calibri"/>
                <w:b/>
              </w:rPr>
              <w:t>.</w:t>
            </w:r>
            <w:bookmarkEnd w:id="4"/>
          </w:p>
        </w:tc>
      </w:tr>
    </w:tbl>
    <w:bookmarkEnd w:id="5"/>
    <w:p w14:paraId="1E495D06" w14:textId="5FBB7782" w:rsidR="00D63817" w:rsidRDefault="00D63817" w:rsidP="009923B1">
      <w:pPr>
        <w:spacing w:before="120"/>
        <w:jc w:val="both"/>
        <w:rPr>
          <w:rFonts w:asciiTheme="minorHAnsi" w:hAnsiTheme="minorHAnsi" w:cstheme="minorHAnsi"/>
        </w:rPr>
      </w:pPr>
      <w:r w:rsidRPr="00EE41BD">
        <w:rPr>
          <w:rFonts w:asciiTheme="minorHAnsi" w:hAnsiTheme="minorHAnsi" w:cstheme="minorHAnsi"/>
        </w:rPr>
        <w:t>NKÚ provedl ve výkazu pro hodnocení plnění rozpočtu MZe</w:t>
      </w:r>
      <w:r w:rsidRPr="004214B4">
        <w:rPr>
          <w:rFonts w:asciiTheme="minorHAnsi" w:hAnsiTheme="minorHAnsi" w:cstheme="minorHAnsi"/>
        </w:rPr>
        <w:t xml:space="preserve"> sestavené</w:t>
      </w:r>
      <w:r w:rsidR="009D7CA4">
        <w:rPr>
          <w:rFonts w:asciiTheme="minorHAnsi" w:hAnsiTheme="minorHAnsi" w:cstheme="minorHAnsi"/>
        </w:rPr>
        <w:t>m</w:t>
      </w:r>
      <w:r w:rsidRPr="004214B4">
        <w:rPr>
          <w:rFonts w:asciiTheme="minorHAnsi" w:hAnsiTheme="minorHAnsi" w:cstheme="minorHAnsi"/>
        </w:rPr>
        <w:t xml:space="preserve"> k 31. 12. 2022</w:t>
      </w:r>
      <w:r w:rsidRPr="007452D2">
        <w:rPr>
          <w:rStyle w:val="Znakapoznpodarou"/>
          <w:rFonts w:asciiTheme="minorHAnsi" w:hAnsiTheme="minorHAnsi" w:cstheme="minorHAnsi"/>
        </w:rPr>
        <w:footnoteReference w:id="3"/>
      </w:r>
      <w:r w:rsidRPr="007452D2">
        <w:rPr>
          <w:rFonts w:asciiTheme="minorHAnsi" w:hAnsiTheme="minorHAnsi" w:cstheme="minorHAnsi"/>
        </w:rPr>
        <w:t xml:space="preserve"> u</w:t>
      </w:r>
      <w:r>
        <w:rPr>
          <w:rFonts w:asciiTheme="minorHAnsi" w:hAnsiTheme="minorHAnsi" w:cstheme="minorHAnsi"/>
        </w:rPr>
        <w:t> </w:t>
      </w:r>
      <w:r w:rsidRPr="007452D2">
        <w:rPr>
          <w:rFonts w:asciiTheme="minorHAnsi" w:hAnsiTheme="minorHAnsi" w:cstheme="minorHAnsi"/>
        </w:rPr>
        <w:t xml:space="preserve">údajů o příjmech a výdajích ve sloupci </w:t>
      </w:r>
      <w:r w:rsidRPr="00752157">
        <w:rPr>
          <w:rFonts w:asciiTheme="minorHAnsi" w:hAnsiTheme="minorHAnsi" w:cstheme="minorHAnsi"/>
          <w:i/>
          <w:iCs/>
        </w:rPr>
        <w:t>Skutečnost</w:t>
      </w:r>
      <w:r w:rsidRPr="007D343F">
        <w:rPr>
          <w:rFonts w:asciiTheme="minorHAnsi" w:hAnsiTheme="minorHAnsi" w:cstheme="minorHAnsi"/>
        </w:rPr>
        <w:t xml:space="preserve"> kontrolu správnosti jejich třídění z hlediska druhového, odvětvového a prostorového dle rozpočtové skladby.</w:t>
      </w:r>
    </w:p>
    <w:p w14:paraId="0430C43C" w14:textId="14EA2CFD" w:rsidR="00330EE9" w:rsidRPr="002B7F84" w:rsidRDefault="00330EE9" w:rsidP="00226438">
      <w:pPr>
        <w:spacing w:before="120"/>
        <w:jc w:val="both"/>
        <w:rPr>
          <w:rFonts w:asciiTheme="minorHAnsi" w:hAnsiTheme="minorHAnsi" w:cs="Calibri"/>
          <w:bCs/>
        </w:rPr>
      </w:pPr>
      <w:r w:rsidRPr="007452D2">
        <w:rPr>
          <w:rFonts w:asciiTheme="minorHAnsi" w:hAnsiTheme="minorHAnsi" w:cs="Calibri"/>
        </w:rPr>
        <w:t>NKÚ v</w:t>
      </w:r>
      <w:r w:rsidR="009D7CA4">
        <w:rPr>
          <w:rFonts w:asciiTheme="minorHAnsi" w:hAnsiTheme="minorHAnsi" w:cs="Calibri"/>
        </w:rPr>
        <w:t xml:space="preserve"> </w:t>
      </w:r>
      <w:r w:rsidRPr="007452D2">
        <w:rPr>
          <w:rFonts w:asciiTheme="minorHAnsi" w:hAnsiTheme="minorHAnsi" w:cs="Calibri"/>
        </w:rPr>
        <w:t xml:space="preserve">průběhu kontroly identifikoval v klasifikaci rozpočtových příjmů </w:t>
      </w:r>
      <w:r w:rsidR="009D7CA4">
        <w:rPr>
          <w:rFonts w:asciiTheme="minorHAnsi" w:hAnsiTheme="minorHAnsi" w:cs="Calibri"/>
        </w:rPr>
        <w:t xml:space="preserve">nevýznamné </w:t>
      </w:r>
      <w:r w:rsidR="009D7CA4" w:rsidRPr="007452D2">
        <w:rPr>
          <w:rFonts w:asciiTheme="minorHAnsi" w:hAnsiTheme="minorHAnsi" w:cs="Calibri"/>
        </w:rPr>
        <w:t xml:space="preserve">nedostatky </w:t>
      </w:r>
      <w:r w:rsidRPr="007452D2">
        <w:rPr>
          <w:rFonts w:asciiTheme="minorHAnsi" w:hAnsiTheme="minorHAnsi" w:cs="Calibri"/>
        </w:rPr>
        <w:t>ve výši 13,3</w:t>
      </w:r>
      <w:r w:rsidR="009D7CA4">
        <w:rPr>
          <w:rFonts w:asciiTheme="minorHAnsi" w:hAnsiTheme="minorHAnsi" w:cs="Calibri"/>
        </w:rPr>
        <w:t xml:space="preserve"> </w:t>
      </w:r>
      <w:r w:rsidRPr="007452D2">
        <w:rPr>
          <w:rFonts w:asciiTheme="minorHAnsi" w:hAnsiTheme="minorHAnsi" w:cs="Calibri"/>
        </w:rPr>
        <w:t xml:space="preserve">mil. Kč </w:t>
      </w:r>
      <w:r w:rsidRPr="007452D2">
        <w:rPr>
          <w:rFonts w:eastAsiaTheme="minorHAnsi" w:cs="Calibri"/>
          <w:bCs/>
        </w:rPr>
        <w:t>(viz část IV.2)</w:t>
      </w:r>
      <w:r w:rsidRPr="007452D2">
        <w:rPr>
          <w:rFonts w:asciiTheme="minorHAnsi" w:hAnsiTheme="minorHAnsi" w:cs="Calibri"/>
        </w:rPr>
        <w:t>, které MZe opravilo ještě před sestavením výkazu pro hodnocení plnění rozpočtu za rok 2022</w:t>
      </w:r>
      <w:r w:rsidR="001B190D" w:rsidRPr="007D343F">
        <w:rPr>
          <w:rFonts w:asciiTheme="minorHAnsi" w:hAnsiTheme="minorHAnsi" w:cs="Calibri"/>
        </w:rPr>
        <w:t xml:space="preserve"> </w:t>
      </w:r>
      <w:r w:rsidRPr="007D343F">
        <w:rPr>
          <w:rFonts w:asciiTheme="minorHAnsi" w:hAnsiTheme="minorHAnsi" w:cs="Calibri"/>
        </w:rPr>
        <w:t>a neměly tak dopad v podobě nesprávností na údaje předkládané MZe pro hodnocení plnění rozpočtu za rok 2022</w:t>
      </w:r>
      <w:r w:rsidRPr="007D343F">
        <w:rPr>
          <w:rFonts w:asciiTheme="minorHAnsi" w:hAnsiTheme="minorHAnsi" w:cs="Calibri"/>
          <w:bCs/>
        </w:rPr>
        <w:t>.</w:t>
      </w:r>
      <w:r w:rsidR="0011015A">
        <w:rPr>
          <w:rFonts w:asciiTheme="minorHAnsi" w:hAnsiTheme="minorHAnsi" w:cs="Calibri"/>
          <w:bCs/>
        </w:rPr>
        <w:t xml:space="preserve"> </w:t>
      </w:r>
    </w:p>
    <w:p w14:paraId="5DE4DAEE" w14:textId="77777777" w:rsidR="00330EE9" w:rsidRPr="00C71097" w:rsidRDefault="00330EE9" w:rsidP="001937B6">
      <w:pPr>
        <w:jc w:val="both"/>
        <w:rPr>
          <w:rFonts w:asciiTheme="minorHAnsi" w:hAnsiTheme="minorHAnsi" w:cs="Calibri"/>
          <w:bCs/>
        </w:rPr>
      </w:pPr>
    </w:p>
    <w:p w14:paraId="2FAFD1F3" w14:textId="77777777" w:rsidR="00865CC2" w:rsidRPr="00F40750" w:rsidRDefault="00865CC2" w:rsidP="00D5681D">
      <w:pPr>
        <w:pStyle w:val="Nadpis2"/>
      </w:pPr>
      <w:r w:rsidRPr="00F40750">
        <w:t xml:space="preserve">Závěrečný účet kapitoly </w:t>
      </w:r>
      <w:r w:rsidR="00723343" w:rsidRPr="00F40750">
        <w:t xml:space="preserve">státního rozpočtu </w:t>
      </w:r>
      <w:r w:rsidRPr="00F40750">
        <w:t>3</w:t>
      </w:r>
      <w:r w:rsidR="00921543" w:rsidRPr="00F40750">
        <w:t>29</w:t>
      </w:r>
      <w:r w:rsidR="00723343" w:rsidRPr="00F40750">
        <w:t xml:space="preserve"> </w:t>
      </w:r>
      <w:r w:rsidR="004C5BCF" w:rsidRPr="00F40750">
        <w:t>–</w:t>
      </w:r>
      <w:r w:rsidR="00723343" w:rsidRPr="00F40750">
        <w:t xml:space="preserve"> </w:t>
      </w:r>
      <w:r w:rsidRPr="00E60A2A">
        <w:rPr>
          <w:i/>
        </w:rPr>
        <w:t>Ministerstvo</w:t>
      </w:r>
      <w:r w:rsidR="000B08C1" w:rsidRPr="00E60A2A">
        <w:rPr>
          <w:i/>
        </w:rPr>
        <w:t xml:space="preserve"> </w:t>
      </w:r>
      <w:r w:rsidR="00921543" w:rsidRPr="00E60A2A">
        <w:rPr>
          <w:i/>
        </w:rPr>
        <w:t>zemědělství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DC1D48" w:rsidRPr="007D6050" w14:paraId="785329FC" w14:textId="77777777" w:rsidTr="00DC1D48">
        <w:tc>
          <w:tcPr>
            <w:tcW w:w="9060" w:type="dxa"/>
            <w:shd w:val="clear" w:color="auto" w:fill="E5F1FF"/>
          </w:tcPr>
          <w:p w14:paraId="071629ED" w14:textId="0DD14A78" w:rsidR="00DC1D48" w:rsidRPr="0001778E" w:rsidRDefault="000B3407" w:rsidP="001937B6">
            <w:pPr>
              <w:spacing w:before="120"/>
              <w:jc w:val="both"/>
              <w:rPr>
                <w:rFonts w:eastAsiaTheme="minorHAnsi" w:cs="Calibri"/>
                <w:b/>
              </w:rPr>
            </w:pPr>
            <w:r w:rsidRPr="000B3407">
              <w:rPr>
                <w:rFonts w:eastAsiaTheme="minorHAnsi" w:cs="Calibri"/>
                <w:b/>
              </w:rPr>
              <w:t xml:space="preserve">Dle </w:t>
            </w:r>
            <w:r w:rsidR="00714C91">
              <w:rPr>
                <w:rFonts w:eastAsiaTheme="minorHAnsi" w:cs="Calibri"/>
                <w:b/>
              </w:rPr>
              <w:t>NKÚ</w:t>
            </w:r>
            <w:r w:rsidRPr="000B3407">
              <w:rPr>
                <w:rFonts w:eastAsiaTheme="minorHAnsi" w:cs="Calibri"/>
                <w:b/>
              </w:rPr>
              <w:t xml:space="preserve"> je závěrečný účet kapitoly státního rozpočtu 329</w:t>
            </w:r>
            <w:r w:rsidR="003A7E6F">
              <w:rPr>
                <w:rFonts w:eastAsiaTheme="minorHAnsi" w:cs="Calibri"/>
                <w:b/>
              </w:rPr>
              <w:t xml:space="preserve"> – </w:t>
            </w:r>
            <w:r w:rsidR="003A7E6F" w:rsidRPr="003A7E6F">
              <w:rPr>
                <w:rFonts w:eastAsiaTheme="minorHAnsi" w:cs="Calibri"/>
                <w:b/>
                <w:i/>
              </w:rPr>
              <w:t>Ministerstvo zemědělství</w:t>
            </w:r>
            <w:r w:rsidRPr="000B3407">
              <w:rPr>
                <w:rFonts w:eastAsiaTheme="minorHAnsi" w:cs="Calibri"/>
                <w:b/>
              </w:rPr>
              <w:t xml:space="preserve"> za rok 2022 </w:t>
            </w:r>
            <w:r w:rsidR="00D4139E">
              <w:rPr>
                <w:rFonts w:eastAsiaTheme="minorHAnsi" w:cs="Calibri"/>
                <w:b/>
              </w:rPr>
              <w:t xml:space="preserve">(dále také „ZÚ 2022“) </w:t>
            </w:r>
            <w:r w:rsidRPr="000B3407">
              <w:rPr>
                <w:rFonts w:eastAsiaTheme="minorHAnsi" w:cs="Calibri"/>
                <w:b/>
              </w:rPr>
              <w:t>sestaven v rozsahu dle vyhlášky č.</w:t>
            </w:r>
            <w:r w:rsidR="009D7CA4">
              <w:rPr>
                <w:rFonts w:eastAsiaTheme="minorHAnsi" w:cs="Calibri"/>
                <w:b/>
              </w:rPr>
              <w:t xml:space="preserve"> </w:t>
            </w:r>
            <w:r w:rsidRPr="000B3407">
              <w:rPr>
                <w:rFonts w:eastAsiaTheme="minorHAnsi" w:cs="Calibri"/>
                <w:b/>
              </w:rPr>
              <w:t>419/2001</w:t>
            </w:r>
            <w:r w:rsidR="0003264D">
              <w:rPr>
                <w:rFonts w:eastAsiaTheme="minorHAnsi" w:cs="Calibri"/>
                <w:b/>
              </w:rPr>
              <w:t> </w:t>
            </w:r>
            <w:r w:rsidRPr="000B3407">
              <w:rPr>
                <w:rFonts w:eastAsiaTheme="minorHAnsi" w:cs="Calibri"/>
                <w:b/>
              </w:rPr>
              <w:t>Sb.</w:t>
            </w:r>
            <w:r w:rsidR="00562004">
              <w:rPr>
                <w:rStyle w:val="Znakapoznpodarou"/>
                <w:rFonts w:eastAsiaTheme="minorHAnsi" w:cs="Calibri"/>
                <w:b/>
              </w:rPr>
              <w:footnoteReference w:id="4"/>
            </w:r>
            <w:r w:rsidRPr="000B3407">
              <w:rPr>
                <w:rFonts w:eastAsiaTheme="minorHAnsi" w:cs="Calibri"/>
                <w:b/>
              </w:rPr>
              <w:t xml:space="preserve"> </w:t>
            </w:r>
            <w:r w:rsidR="009D7CA4">
              <w:rPr>
                <w:rFonts w:eastAsiaTheme="minorHAnsi" w:cs="Calibri"/>
                <w:b/>
              </w:rPr>
              <w:br/>
            </w:r>
            <w:r w:rsidRPr="000B3407">
              <w:rPr>
                <w:rFonts w:eastAsiaTheme="minorHAnsi" w:cs="Calibri"/>
                <w:b/>
              </w:rPr>
              <w:t>a</w:t>
            </w:r>
            <w:r w:rsidR="009D7CA4">
              <w:rPr>
                <w:rFonts w:eastAsiaTheme="minorHAnsi" w:cs="Calibri"/>
                <w:b/>
              </w:rPr>
              <w:t xml:space="preserve"> </w:t>
            </w:r>
            <w:r w:rsidRPr="000B3407">
              <w:rPr>
                <w:rFonts w:eastAsiaTheme="minorHAnsi" w:cs="Calibri"/>
                <w:b/>
              </w:rPr>
              <w:t xml:space="preserve">informace v něm uvedené </w:t>
            </w:r>
            <w:r w:rsidR="005C077C">
              <w:rPr>
                <w:rFonts w:eastAsiaTheme="minorHAnsi" w:cs="Calibri"/>
                <w:b/>
              </w:rPr>
              <w:t>odpovídají</w:t>
            </w:r>
            <w:r w:rsidRPr="000B3407">
              <w:rPr>
                <w:rFonts w:eastAsiaTheme="minorHAnsi" w:cs="Calibri"/>
                <w:b/>
              </w:rPr>
              <w:t xml:space="preserve"> údaj</w:t>
            </w:r>
            <w:r w:rsidR="005C077C">
              <w:rPr>
                <w:rFonts w:eastAsiaTheme="minorHAnsi" w:cs="Calibri"/>
                <w:b/>
              </w:rPr>
              <w:t>ům</w:t>
            </w:r>
            <w:r w:rsidRPr="000B3407">
              <w:rPr>
                <w:rFonts w:eastAsiaTheme="minorHAnsi" w:cs="Calibri"/>
                <w:b/>
              </w:rPr>
              <w:t xml:space="preserve"> v rozpočtovém systému, finančním výkaz</w:t>
            </w:r>
            <w:r w:rsidR="005C077C">
              <w:rPr>
                <w:rFonts w:eastAsiaTheme="minorHAnsi" w:cs="Calibri"/>
                <w:b/>
              </w:rPr>
              <w:t>ům</w:t>
            </w:r>
            <w:r w:rsidRPr="000B3407">
              <w:rPr>
                <w:rFonts w:eastAsiaTheme="minorHAnsi" w:cs="Calibri"/>
                <w:b/>
              </w:rPr>
              <w:t xml:space="preserve"> a</w:t>
            </w:r>
            <w:r w:rsidR="00DE48F1">
              <w:rPr>
                <w:rFonts w:eastAsiaTheme="minorHAnsi" w:cs="Calibri"/>
                <w:b/>
              </w:rPr>
              <w:t xml:space="preserve"> </w:t>
            </w:r>
            <w:r w:rsidR="00DE48F1" w:rsidRPr="001B6A9C">
              <w:rPr>
                <w:b/>
              </w:rPr>
              <w:t>údaj</w:t>
            </w:r>
            <w:r w:rsidR="005C077C">
              <w:rPr>
                <w:b/>
              </w:rPr>
              <w:t>ům</w:t>
            </w:r>
            <w:r w:rsidR="00DE48F1" w:rsidRPr="001B6A9C">
              <w:rPr>
                <w:b/>
              </w:rPr>
              <w:t xml:space="preserve"> </w:t>
            </w:r>
            <w:r w:rsidR="00DE48F1">
              <w:rPr>
                <w:b/>
              </w:rPr>
              <w:t>z dalších</w:t>
            </w:r>
            <w:r w:rsidR="00DE48F1" w:rsidRPr="001B6A9C">
              <w:rPr>
                <w:b/>
              </w:rPr>
              <w:t xml:space="preserve"> </w:t>
            </w:r>
            <w:r w:rsidR="00DE48F1" w:rsidRPr="007452D2">
              <w:rPr>
                <w:b/>
              </w:rPr>
              <w:t>evidenc</w:t>
            </w:r>
            <w:r w:rsidR="00853787" w:rsidRPr="00E60A2A">
              <w:rPr>
                <w:rFonts w:eastAsiaTheme="minorHAnsi" w:cs="Calibri"/>
                <w:b/>
              </w:rPr>
              <w:t>í</w:t>
            </w:r>
            <w:r w:rsidR="001655C6" w:rsidRPr="007452D2">
              <w:rPr>
                <w:rFonts w:eastAsiaTheme="minorHAnsi" w:cs="Calibri"/>
                <w:b/>
              </w:rPr>
              <w:t>.</w:t>
            </w:r>
          </w:p>
        </w:tc>
      </w:tr>
    </w:tbl>
    <w:p w14:paraId="0F124A3A" w14:textId="1B434165" w:rsidR="00F96BC0" w:rsidRPr="00A12605" w:rsidRDefault="00F96BC0" w:rsidP="00A12605">
      <w:pPr>
        <w:jc w:val="both"/>
      </w:pPr>
      <w:r w:rsidRPr="00A12605">
        <w:lastRenderedPageBreak/>
        <w:t xml:space="preserve">NKÚ v průběhu kontroly </w:t>
      </w:r>
      <w:r w:rsidR="00862032">
        <w:t>zjistil</w:t>
      </w:r>
      <w:r w:rsidR="00862032" w:rsidRPr="00862032">
        <w:t xml:space="preserve"> v návrhu </w:t>
      </w:r>
      <w:r w:rsidR="005541C7">
        <w:t>ZÚ</w:t>
      </w:r>
      <w:r w:rsidR="00862032" w:rsidRPr="00862032">
        <w:t xml:space="preserve"> 2022 </w:t>
      </w:r>
      <w:r w:rsidR="005541C7">
        <w:t xml:space="preserve">nevýznamné </w:t>
      </w:r>
      <w:r w:rsidR="00862032" w:rsidRPr="00862032">
        <w:t>nedostatky</w:t>
      </w:r>
      <w:r w:rsidRPr="00A12605">
        <w:t>, které MZe následně opravilo</w:t>
      </w:r>
      <w:r w:rsidR="005541C7">
        <w:t xml:space="preserve"> </w:t>
      </w:r>
      <w:r w:rsidRPr="00A12605">
        <w:t>(viz část IV.3)</w:t>
      </w:r>
      <w:r w:rsidR="005541C7">
        <w:t>.</w:t>
      </w:r>
    </w:p>
    <w:p w14:paraId="7F236B04" w14:textId="77777777" w:rsidR="00F96BC0" w:rsidRPr="00D848BF" w:rsidRDefault="00F96BC0" w:rsidP="00A12605"/>
    <w:p w14:paraId="297E8DED" w14:textId="0EDB532B" w:rsidR="0072386A" w:rsidRPr="00F40750" w:rsidRDefault="0072386A" w:rsidP="00D5681D">
      <w:pPr>
        <w:pStyle w:val="Nadpis2"/>
      </w:pPr>
      <w:r w:rsidRPr="00F40750">
        <w:t>Vnitřní kontrolní systém MZ</w:t>
      </w:r>
      <w:r w:rsidR="00E45CA9" w:rsidRPr="00F40750">
        <w:t>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72386A" w:rsidRPr="00D71C60" w14:paraId="5DA796A3" w14:textId="77777777" w:rsidTr="000C3020">
        <w:tc>
          <w:tcPr>
            <w:tcW w:w="9060" w:type="dxa"/>
            <w:shd w:val="clear" w:color="auto" w:fill="E5F1FF"/>
          </w:tcPr>
          <w:p w14:paraId="77178DCB" w14:textId="3C12F477" w:rsidR="0072386A" w:rsidRPr="00A21AC3" w:rsidRDefault="00E45CA9" w:rsidP="001937B6">
            <w:pPr>
              <w:spacing w:before="120"/>
              <w:jc w:val="both"/>
              <w:rPr>
                <w:rFonts w:eastAsiaTheme="minorHAnsi" w:cs="Calibri"/>
                <w:b/>
              </w:rPr>
            </w:pPr>
            <w:r w:rsidRPr="00E45CA9">
              <w:rPr>
                <w:rFonts w:eastAsiaTheme="minorHAnsi" w:cs="Calibri"/>
                <w:b/>
              </w:rPr>
              <w:t xml:space="preserve">Dle </w:t>
            </w:r>
            <w:r>
              <w:rPr>
                <w:rFonts w:eastAsiaTheme="minorHAnsi" w:cs="Calibri"/>
                <w:b/>
              </w:rPr>
              <w:t>NKÚ</w:t>
            </w:r>
            <w:r w:rsidRPr="00E45CA9">
              <w:rPr>
                <w:rFonts w:eastAsiaTheme="minorHAnsi" w:cs="Calibri"/>
                <w:b/>
              </w:rPr>
              <w:t xml:space="preserve"> lze vnitřní kontrolní systém MZe v prověřovaných oblastech považovat za účinný</w:t>
            </w:r>
            <w:r w:rsidRPr="007452D2">
              <w:rPr>
                <w:rFonts w:eastAsiaTheme="minorHAnsi" w:cs="Calibri"/>
                <w:b/>
              </w:rPr>
              <w:t>.</w:t>
            </w:r>
          </w:p>
        </w:tc>
      </w:tr>
    </w:tbl>
    <w:p w14:paraId="22D9DD70" w14:textId="422103E1" w:rsidR="00EE42AF" w:rsidRPr="00A12605" w:rsidRDefault="00527850" w:rsidP="00444FEB">
      <w:pPr>
        <w:spacing w:before="120"/>
        <w:jc w:val="both"/>
      </w:pPr>
      <w:r w:rsidRPr="007E51E7">
        <w:t xml:space="preserve">NKÚ </w:t>
      </w:r>
      <w:r w:rsidRPr="00154DE5">
        <w:t xml:space="preserve">zjistil </w:t>
      </w:r>
      <w:r w:rsidR="00EE42AF" w:rsidRPr="00154DE5">
        <w:t>v oblasti účetnictví, rozpočtu a ZÚ</w:t>
      </w:r>
      <w:r w:rsidR="00B51C89">
        <w:t xml:space="preserve"> 2022 </w:t>
      </w:r>
      <w:r w:rsidR="00EE42AF" w:rsidRPr="00154DE5">
        <w:t>nevýznamné nedostatky</w:t>
      </w:r>
      <w:r w:rsidR="000D4574" w:rsidRPr="00E3245A">
        <w:t>.</w:t>
      </w:r>
      <w:r w:rsidR="00BF3EB1" w:rsidRPr="00444FEB">
        <w:t xml:space="preserve"> </w:t>
      </w:r>
      <w:r w:rsidR="00B51C89" w:rsidRPr="00154DE5">
        <w:rPr>
          <w:rFonts w:asciiTheme="minorHAnsi" w:hAnsiTheme="minorHAnsi" w:cstheme="minorHAnsi"/>
        </w:rPr>
        <w:t xml:space="preserve">MZe </w:t>
      </w:r>
      <w:r w:rsidR="00B51C89">
        <w:t>t</w:t>
      </w:r>
      <w:r w:rsidR="000D4574" w:rsidRPr="00444FEB">
        <w:t>yto n</w:t>
      </w:r>
      <w:r w:rsidR="0063286C" w:rsidRPr="007E51E7">
        <w:rPr>
          <w:rFonts w:asciiTheme="minorHAnsi" w:hAnsiTheme="minorHAnsi" w:cstheme="minorHAnsi"/>
        </w:rPr>
        <w:t xml:space="preserve">edostatky </w:t>
      </w:r>
      <w:r w:rsidR="00D5271D" w:rsidRPr="00286EF9">
        <w:t>v</w:t>
      </w:r>
      <w:r w:rsidR="00D5271D">
        <w:t> </w:t>
      </w:r>
      <w:r w:rsidR="00D5271D" w:rsidRPr="00286EF9">
        <w:t xml:space="preserve">průběhu kontroly </w:t>
      </w:r>
      <w:r w:rsidR="0063286C" w:rsidRPr="007E51E7">
        <w:rPr>
          <w:rFonts w:asciiTheme="minorHAnsi" w:hAnsiTheme="minorHAnsi" w:cstheme="minorHAnsi"/>
        </w:rPr>
        <w:t>opravilo</w:t>
      </w:r>
      <w:r w:rsidR="0063286C" w:rsidRPr="00154DE5">
        <w:rPr>
          <w:rFonts w:asciiTheme="minorHAnsi" w:hAnsiTheme="minorHAnsi" w:cstheme="minorHAnsi"/>
        </w:rPr>
        <w:t xml:space="preserve"> a</w:t>
      </w:r>
      <w:r w:rsidR="00B51C89">
        <w:rPr>
          <w:rFonts w:asciiTheme="minorHAnsi" w:hAnsiTheme="minorHAnsi" w:cstheme="minorHAnsi"/>
        </w:rPr>
        <w:t xml:space="preserve"> </w:t>
      </w:r>
      <w:r w:rsidR="0063286C" w:rsidRPr="00154DE5">
        <w:rPr>
          <w:rFonts w:asciiTheme="minorHAnsi" w:hAnsiTheme="minorHAnsi" w:cstheme="minorHAnsi"/>
        </w:rPr>
        <w:t>přijalo taková opatření ve VKS, aby k</w:t>
      </w:r>
      <w:r w:rsidR="00B51C89">
        <w:rPr>
          <w:rFonts w:asciiTheme="minorHAnsi" w:hAnsiTheme="minorHAnsi" w:cstheme="minorHAnsi"/>
        </w:rPr>
        <w:t xml:space="preserve"> </w:t>
      </w:r>
      <w:r w:rsidR="0063286C" w:rsidRPr="00154DE5">
        <w:rPr>
          <w:rFonts w:asciiTheme="minorHAnsi" w:hAnsiTheme="minorHAnsi" w:cstheme="minorHAnsi"/>
        </w:rPr>
        <w:t xml:space="preserve">nim nadále nedocházelo </w:t>
      </w:r>
      <w:r w:rsidR="00B51B7F" w:rsidRPr="000D4574">
        <w:t>(viz</w:t>
      </w:r>
      <w:r w:rsidR="000D4574">
        <w:t> </w:t>
      </w:r>
      <w:r w:rsidR="00B51B7F" w:rsidRPr="007E51E7">
        <w:rPr>
          <w:rFonts w:eastAsiaTheme="minorHAnsi" w:cs="Calibri"/>
        </w:rPr>
        <w:t>část IV.4)</w:t>
      </w:r>
      <w:r w:rsidR="00B51B7F" w:rsidRPr="00154DE5">
        <w:t>.</w:t>
      </w:r>
    </w:p>
    <w:p w14:paraId="014AC8A8" w14:textId="77777777" w:rsidR="0072386A" w:rsidRDefault="0072386A" w:rsidP="00FD1998">
      <w:pPr>
        <w:keepNext/>
        <w:jc w:val="both"/>
        <w:rPr>
          <w:b/>
        </w:rPr>
      </w:pPr>
    </w:p>
    <w:p w14:paraId="2D00758D" w14:textId="77777777" w:rsidR="0072386A" w:rsidRPr="00F40750" w:rsidRDefault="0072386A" w:rsidP="00D5681D">
      <w:pPr>
        <w:pStyle w:val="Nadpis2"/>
      </w:pPr>
      <w:r w:rsidRPr="00F40750">
        <w:t>Kontrola opatření k nápravě nedostatků zjištěných kontrolní akcí NKÚ č. 1</w:t>
      </w:r>
      <w:r w:rsidR="00E45CA9" w:rsidRPr="00F40750">
        <w:t>7</w:t>
      </w:r>
      <w:r w:rsidRPr="00F40750">
        <w:t>/3</w:t>
      </w:r>
      <w:r w:rsidR="00E45CA9" w:rsidRPr="00F40750"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386A" w:rsidRPr="00EF43E6" w14:paraId="776F1A1B" w14:textId="77777777" w:rsidTr="000C302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5F1FF"/>
          </w:tcPr>
          <w:p w14:paraId="05AA759F" w14:textId="2675E220" w:rsidR="0072386A" w:rsidRPr="009247F7" w:rsidRDefault="00A97E3D" w:rsidP="001937B6">
            <w:pPr>
              <w:spacing w:before="120"/>
              <w:jc w:val="both"/>
              <w:rPr>
                <w:rFonts w:eastAsiaTheme="minorHAnsi"/>
                <w:b/>
              </w:rPr>
            </w:pPr>
            <w:r w:rsidRPr="00A97E3D">
              <w:rPr>
                <w:rFonts w:eastAsiaTheme="minorHAnsi"/>
                <w:b/>
              </w:rPr>
              <w:t xml:space="preserve">MZe realizovalo úplně a správně všechna opatření </w:t>
            </w:r>
            <w:r w:rsidR="00E976B8">
              <w:rPr>
                <w:rFonts w:eastAsiaTheme="minorHAnsi"/>
                <w:b/>
              </w:rPr>
              <w:t>k</w:t>
            </w:r>
            <w:r w:rsidR="005144DB">
              <w:rPr>
                <w:rFonts w:eastAsiaTheme="minorHAnsi"/>
                <w:b/>
              </w:rPr>
              <w:t xml:space="preserve"> </w:t>
            </w:r>
            <w:r w:rsidR="00E976B8">
              <w:rPr>
                <w:rFonts w:eastAsiaTheme="minorHAnsi"/>
                <w:b/>
              </w:rPr>
              <w:t>nápravě nedostatků zjištěných KA</w:t>
            </w:r>
            <w:r w:rsidR="00372D13">
              <w:rPr>
                <w:rFonts w:eastAsiaTheme="minorHAnsi"/>
                <w:b/>
              </w:rPr>
              <w:t> </w:t>
            </w:r>
            <w:r w:rsidR="00E976B8">
              <w:rPr>
                <w:rFonts w:eastAsiaTheme="minorHAnsi"/>
                <w:b/>
              </w:rPr>
              <w:t>č.</w:t>
            </w:r>
            <w:r w:rsidR="008F5D5B">
              <w:rPr>
                <w:rFonts w:eastAsiaTheme="minorHAnsi"/>
                <w:b/>
              </w:rPr>
              <w:t> </w:t>
            </w:r>
            <w:r w:rsidR="00E976B8">
              <w:rPr>
                <w:rFonts w:eastAsiaTheme="minorHAnsi"/>
                <w:b/>
              </w:rPr>
              <w:t>17/31</w:t>
            </w:r>
            <w:r w:rsidR="00E871FF">
              <w:rPr>
                <w:rStyle w:val="Znakapoznpodarou"/>
                <w:rFonts w:eastAsiaTheme="minorHAnsi"/>
                <w:b/>
              </w:rPr>
              <w:footnoteReference w:id="5"/>
            </w:r>
            <w:r w:rsidR="00E976B8">
              <w:rPr>
                <w:rFonts w:eastAsiaTheme="minorHAnsi"/>
                <w:b/>
              </w:rPr>
              <w:t xml:space="preserve">, která </w:t>
            </w:r>
            <w:r w:rsidRPr="00A97E3D">
              <w:rPr>
                <w:rFonts w:eastAsiaTheme="minorHAnsi"/>
                <w:b/>
              </w:rPr>
              <w:t>vypl</w:t>
            </w:r>
            <w:r w:rsidR="00E976B8">
              <w:rPr>
                <w:rFonts w:eastAsiaTheme="minorHAnsi"/>
                <w:b/>
              </w:rPr>
              <w:t>ynula</w:t>
            </w:r>
            <w:r w:rsidRPr="00A97E3D">
              <w:rPr>
                <w:rFonts w:eastAsiaTheme="minorHAnsi"/>
                <w:b/>
              </w:rPr>
              <w:t xml:space="preserve"> z usnesení vlády</w:t>
            </w:r>
            <w:r w:rsidR="0007378C">
              <w:rPr>
                <w:rFonts w:eastAsiaTheme="minorHAnsi"/>
                <w:b/>
              </w:rPr>
              <w:t xml:space="preserve"> ČR</w:t>
            </w:r>
            <w:r w:rsidR="00A82D25">
              <w:rPr>
                <w:rFonts w:eastAsiaTheme="minorHAnsi"/>
                <w:b/>
              </w:rPr>
              <w:t xml:space="preserve"> ze dne </w:t>
            </w:r>
            <w:r w:rsidR="00B123B6" w:rsidRPr="00B123B6">
              <w:rPr>
                <w:rFonts w:eastAsiaTheme="minorHAnsi"/>
                <w:b/>
              </w:rPr>
              <w:t>7. 11. 2018 č. 717</w:t>
            </w:r>
            <w:r w:rsidR="00925BB8">
              <w:rPr>
                <w:rStyle w:val="Znakapoznpodarou"/>
                <w:rFonts w:eastAsiaTheme="minorHAnsi"/>
                <w:b/>
              </w:rPr>
              <w:footnoteReference w:id="6"/>
            </w:r>
            <w:r w:rsidR="005F72F0">
              <w:rPr>
                <w:rFonts w:eastAsiaTheme="minorHAnsi"/>
                <w:b/>
              </w:rPr>
              <w:t xml:space="preserve"> </w:t>
            </w:r>
            <w:r w:rsidR="005F72F0">
              <w:rPr>
                <w:rFonts w:eastAsiaTheme="minorHAnsi"/>
                <w:bCs/>
              </w:rPr>
              <w:t>(viz část IV.5)</w:t>
            </w:r>
            <w:r w:rsidRPr="009D6B4D">
              <w:rPr>
                <w:rFonts w:eastAsiaTheme="minorHAnsi"/>
              </w:rPr>
              <w:t>.</w:t>
            </w:r>
          </w:p>
        </w:tc>
      </w:tr>
    </w:tbl>
    <w:p w14:paraId="7C496EFC" w14:textId="77777777" w:rsidR="00E91FF5" w:rsidRPr="00D86A30" w:rsidRDefault="009706C3" w:rsidP="00E10988">
      <w:pPr>
        <w:pStyle w:val="Nadpis1"/>
      </w:pPr>
      <w:r>
        <w:rPr>
          <w:rFonts w:cs="Calibri"/>
        </w:rPr>
        <w:br w:type="page"/>
      </w:r>
      <w:r w:rsidR="00A640AE" w:rsidRPr="00D86A30">
        <w:lastRenderedPageBreak/>
        <w:t>II. Informace o kontrolované oblasti</w:t>
      </w:r>
    </w:p>
    <w:p w14:paraId="2833B4CE" w14:textId="6B20B9AC" w:rsidR="00C02B05" w:rsidRPr="006844ED" w:rsidRDefault="00C02B05" w:rsidP="00C02B05">
      <w:pPr>
        <w:jc w:val="both"/>
        <w:rPr>
          <w:rFonts w:asciiTheme="minorHAnsi" w:hAnsiTheme="minorHAnsi" w:cstheme="minorHAnsi"/>
        </w:rPr>
      </w:pPr>
      <w:r w:rsidRPr="006844ED">
        <w:rPr>
          <w:rFonts w:asciiTheme="minorHAnsi" w:hAnsiTheme="minorHAnsi" w:cstheme="minorHAnsi"/>
        </w:rPr>
        <w:t>MZe bylo zřízeno zákonem</w:t>
      </w:r>
      <w:r w:rsidR="00A2283B">
        <w:rPr>
          <w:rFonts w:asciiTheme="minorHAnsi" w:hAnsiTheme="minorHAnsi" w:cstheme="minorHAnsi"/>
        </w:rPr>
        <w:t xml:space="preserve"> České národní rady</w:t>
      </w:r>
      <w:r w:rsidRPr="006844ED">
        <w:rPr>
          <w:rFonts w:asciiTheme="minorHAnsi" w:hAnsiTheme="minorHAnsi" w:cstheme="minorHAnsi"/>
        </w:rPr>
        <w:t xml:space="preserve"> č. 2/1969 Sb.</w:t>
      </w:r>
      <w:r w:rsidRPr="006844ED">
        <w:rPr>
          <w:rStyle w:val="Znakapoznpodarou"/>
          <w:rFonts w:asciiTheme="minorHAnsi" w:hAnsiTheme="minorHAnsi" w:cstheme="minorHAnsi"/>
        </w:rPr>
        <w:footnoteReference w:id="7"/>
      </w:r>
      <w:r w:rsidRPr="006844ED">
        <w:rPr>
          <w:rFonts w:asciiTheme="minorHAnsi" w:hAnsiTheme="minorHAnsi" w:cstheme="minorHAnsi"/>
        </w:rPr>
        <w:t xml:space="preserve"> Dle tohoto zákona je MZe ústředním orgánem státní správy pro zemědělství, s výjimkou ochrany zemědělského půdního fondu, pro vodní hospodářství, s výjimkou ochrany přirozené akumulace vod, ochrany vodních zdrojů a ochrany jakosti povrchových a podzemních vod, a pro potravinářský průmysl. Je rovněž ústředním orgánem státní správy lesů, myslivosti a rybářství, s výjimkou území národních parků. MZe je dále ústředním orgánem státní správy ve věcech komoditních burz, které organizují obchody se zbožím pocházejícím ze zemědělské a lesní výroby, včetně výrobků vzniklých jeho zpracováním</w:t>
      </w:r>
      <w:r w:rsidR="00DD7797">
        <w:rPr>
          <w:rFonts w:asciiTheme="minorHAnsi" w:hAnsiTheme="minorHAnsi" w:cstheme="minorHAnsi"/>
        </w:rPr>
        <w:t>,</w:t>
      </w:r>
      <w:r w:rsidRPr="006844ED">
        <w:rPr>
          <w:rFonts w:asciiTheme="minorHAnsi" w:hAnsiTheme="minorHAnsi" w:cstheme="minorHAnsi"/>
        </w:rPr>
        <w:t xml:space="preserve"> a ve věcech veterinární péče, r</w:t>
      </w:r>
      <w:r w:rsidR="00514922">
        <w:rPr>
          <w:rFonts w:asciiTheme="minorHAnsi" w:hAnsiTheme="minorHAnsi" w:cstheme="minorHAnsi"/>
        </w:rPr>
        <w:t>o</w:t>
      </w:r>
      <w:r w:rsidRPr="006844ED">
        <w:rPr>
          <w:rFonts w:asciiTheme="minorHAnsi" w:hAnsiTheme="minorHAnsi" w:cstheme="minorHAnsi"/>
        </w:rPr>
        <w:t>stlinolékařské péče, péče o</w:t>
      </w:r>
      <w:r w:rsidR="006841E6">
        <w:rPr>
          <w:rFonts w:asciiTheme="minorHAnsi" w:hAnsiTheme="minorHAnsi" w:cstheme="minorHAnsi"/>
        </w:rPr>
        <w:t> </w:t>
      </w:r>
      <w:r w:rsidRPr="006844ED">
        <w:rPr>
          <w:rFonts w:asciiTheme="minorHAnsi" w:hAnsiTheme="minorHAnsi" w:cstheme="minorHAnsi"/>
        </w:rPr>
        <w:t>potraviny, péče o</w:t>
      </w:r>
      <w:r w:rsidR="008525D6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</w:rPr>
        <w:t>ochranu zvířat proti týrání a pro ochranu práv k novým odrůdám rostlin a</w:t>
      </w:r>
      <w:r w:rsidR="006841E6">
        <w:rPr>
          <w:rFonts w:asciiTheme="minorHAnsi" w:hAnsiTheme="minorHAnsi" w:cstheme="minorHAnsi"/>
        </w:rPr>
        <w:t> </w:t>
      </w:r>
      <w:r w:rsidRPr="006844ED">
        <w:rPr>
          <w:rFonts w:asciiTheme="minorHAnsi" w:hAnsiTheme="minorHAnsi" w:cstheme="minorHAnsi"/>
        </w:rPr>
        <w:t>plemenům zvířat.</w:t>
      </w:r>
    </w:p>
    <w:p w14:paraId="62AC1508" w14:textId="7DA441BB" w:rsidR="00C02B05" w:rsidRPr="006844ED" w:rsidRDefault="00C02B05" w:rsidP="00C02B05">
      <w:pPr>
        <w:jc w:val="both"/>
        <w:rPr>
          <w:rFonts w:asciiTheme="minorHAnsi" w:hAnsiTheme="minorHAnsi" w:cstheme="minorHAnsi"/>
        </w:rPr>
      </w:pPr>
      <w:r w:rsidRPr="006844ED">
        <w:rPr>
          <w:rFonts w:asciiTheme="minorHAnsi" w:hAnsiTheme="minorHAnsi" w:cstheme="minorHAnsi"/>
        </w:rPr>
        <w:t>V souladu se zákonem č. 219/2000 Sb.</w:t>
      </w:r>
      <w:r w:rsidRPr="006844ED">
        <w:rPr>
          <w:rFonts w:asciiTheme="minorHAnsi" w:hAnsiTheme="minorHAnsi" w:cstheme="minorHAnsi"/>
          <w:vertAlign w:val="superscript"/>
        </w:rPr>
        <w:footnoteReference w:id="8"/>
      </w:r>
      <w:r w:rsidRPr="006844ED">
        <w:rPr>
          <w:rFonts w:asciiTheme="minorHAnsi" w:hAnsiTheme="minorHAnsi" w:cstheme="minorHAnsi"/>
        </w:rPr>
        <w:t xml:space="preserve"> je MZe organizační složkou státu (dále také</w:t>
      </w:r>
      <w:r w:rsidRPr="006844ED">
        <w:rPr>
          <w:rFonts w:asciiTheme="minorHAnsi" w:hAnsiTheme="minorHAnsi" w:cstheme="minorHAnsi"/>
          <w:b/>
        </w:rPr>
        <w:t xml:space="preserve"> </w:t>
      </w:r>
      <w:r w:rsidRPr="00E60A2A">
        <w:rPr>
          <w:rFonts w:asciiTheme="minorHAnsi" w:hAnsiTheme="minorHAnsi" w:cstheme="minorHAnsi"/>
        </w:rPr>
        <w:t>„</w:t>
      </w:r>
      <w:r w:rsidRPr="00B7080B">
        <w:rPr>
          <w:rFonts w:asciiTheme="minorHAnsi" w:hAnsiTheme="minorHAnsi" w:cstheme="minorHAnsi"/>
        </w:rPr>
        <w:t>OSS</w:t>
      </w:r>
      <w:r w:rsidRPr="006844ED">
        <w:rPr>
          <w:rFonts w:asciiTheme="minorHAnsi" w:hAnsiTheme="minorHAnsi" w:cstheme="minorHAnsi"/>
        </w:rPr>
        <w:t xml:space="preserve">“) </w:t>
      </w:r>
      <w:r w:rsidR="00E871FF">
        <w:rPr>
          <w:rFonts w:asciiTheme="minorHAnsi" w:hAnsiTheme="minorHAnsi" w:cstheme="minorHAnsi"/>
        </w:rPr>
        <w:br/>
      </w:r>
      <w:r w:rsidRPr="006844ED">
        <w:rPr>
          <w:rFonts w:asciiTheme="minorHAnsi" w:hAnsiTheme="minorHAnsi" w:cstheme="minorHAnsi"/>
        </w:rPr>
        <w:t>a</w:t>
      </w:r>
      <w:r w:rsidR="00E871FF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</w:rPr>
        <w:t>dle zákona č.</w:t>
      </w:r>
      <w:r w:rsidR="00E871FF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</w:rPr>
        <w:t>563/1991 Sb.</w:t>
      </w:r>
      <w:r w:rsidRPr="006844ED">
        <w:rPr>
          <w:rFonts w:asciiTheme="minorHAnsi" w:hAnsiTheme="minorHAnsi" w:cstheme="minorHAnsi"/>
          <w:vertAlign w:val="superscript"/>
        </w:rPr>
        <w:footnoteReference w:id="9"/>
      </w:r>
      <w:r w:rsidRPr="006844ED">
        <w:rPr>
          <w:rFonts w:asciiTheme="minorHAnsi" w:hAnsiTheme="minorHAnsi" w:cstheme="minorHAnsi"/>
        </w:rPr>
        <w:t xml:space="preserve"> vybranou účetní jednotkou. MZe je ústředním orgánem státní správy a z toho</w:t>
      </w:r>
      <w:r w:rsidR="00D363A5">
        <w:rPr>
          <w:rFonts w:asciiTheme="minorHAnsi" w:hAnsiTheme="minorHAnsi" w:cstheme="minorHAnsi"/>
        </w:rPr>
        <w:t>to</w:t>
      </w:r>
      <w:r w:rsidRPr="006844ED">
        <w:rPr>
          <w:rFonts w:asciiTheme="minorHAnsi" w:hAnsiTheme="minorHAnsi" w:cstheme="minorHAnsi"/>
        </w:rPr>
        <w:t xml:space="preserve"> důvodu je v souladu se zákonem č. 218/2000 Sb.</w:t>
      </w:r>
      <w:r w:rsidRPr="006844ED">
        <w:rPr>
          <w:rFonts w:asciiTheme="minorHAnsi" w:hAnsiTheme="minorHAnsi" w:cstheme="minorHAnsi"/>
          <w:vertAlign w:val="superscript"/>
        </w:rPr>
        <w:footnoteReference w:id="10"/>
      </w:r>
      <w:r w:rsidRPr="006844ED">
        <w:rPr>
          <w:rFonts w:asciiTheme="minorHAnsi" w:hAnsiTheme="minorHAnsi" w:cstheme="minorHAnsi"/>
        </w:rPr>
        <w:t xml:space="preserve"> správcem kapitoly </w:t>
      </w:r>
      <w:r w:rsidR="00DB3612">
        <w:rPr>
          <w:rFonts w:asciiTheme="minorHAnsi" w:hAnsiTheme="minorHAnsi" w:cstheme="minorHAnsi"/>
        </w:rPr>
        <w:t>státního rozpočtu</w:t>
      </w:r>
      <w:r w:rsidRPr="006844ED">
        <w:rPr>
          <w:rFonts w:asciiTheme="minorHAnsi" w:hAnsiTheme="minorHAnsi" w:cstheme="minorHAnsi"/>
        </w:rPr>
        <w:t>.</w:t>
      </w:r>
    </w:p>
    <w:p w14:paraId="7EAFB7B5" w14:textId="77777777" w:rsidR="00C02B05" w:rsidRPr="006844ED" w:rsidRDefault="00C02B05" w:rsidP="00C02B05">
      <w:pPr>
        <w:jc w:val="both"/>
        <w:rPr>
          <w:rFonts w:asciiTheme="minorHAnsi" w:hAnsiTheme="minorHAnsi" w:cstheme="minorHAnsi"/>
        </w:rPr>
      </w:pPr>
      <w:r w:rsidRPr="006844ED">
        <w:rPr>
          <w:rFonts w:asciiTheme="minorHAnsi" w:hAnsiTheme="minorHAnsi" w:cstheme="minorHAnsi"/>
        </w:rPr>
        <w:t>MZe bylo k 31. 12. 2022 zřizovatelem 7 organizačních složek státu a 11 příspěvkových organizací (dále také „</w:t>
      </w:r>
      <w:r w:rsidRPr="00B7080B">
        <w:rPr>
          <w:rFonts w:asciiTheme="minorHAnsi" w:hAnsiTheme="minorHAnsi" w:cstheme="minorHAnsi"/>
        </w:rPr>
        <w:t>PO</w:t>
      </w:r>
      <w:r w:rsidRPr="006844ED">
        <w:rPr>
          <w:rFonts w:asciiTheme="minorHAnsi" w:hAnsiTheme="minorHAnsi" w:cstheme="minorHAnsi"/>
        </w:rPr>
        <w:t>“). V působnosti ministerstva je dále 7 veřejných výzkumných institucí</w:t>
      </w:r>
      <w:r w:rsidR="0027789B">
        <w:rPr>
          <w:rFonts w:asciiTheme="minorHAnsi" w:hAnsiTheme="minorHAnsi" w:cstheme="minorHAnsi"/>
        </w:rPr>
        <w:t>.</w:t>
      </w:r>
    </w:p>
    <w:p w14:paraId="362798DC" w14:textId="25FF3048" w:rsidR="00C02B05" w:rsidRPr="006844ED" w:rsidRDefault="00E871FF" w:rsidP="00C02B0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02B05" w:rsidRPr="006844ED">
        <w:rPr>
          <w:rFonts w:asciiTheme="minorHAnsi" w:hAnsiTheme="minorHAnsi" w:cstheme="minorHAnsi"/>
        </w:rPr>
        <w:t xml:space="preserve">řehled základních údajů </w:t>
      </w:r>
      <w:r>
        <w:rPr>
          <w:rFonts w:asciiTheme="minorHAnsi" w:hAnsiTheme="minorHAnsi" w:cstheme="minorHAnsi"/>
        </w:rPr>
        <w:t>z</w:t>
      </w:r>
      <w:r w:rsidR="005144DB">
        <w:rPr>
          <w:rFonts w:asciiTheme="minorHAnsi" w:hAnsiTheme="minorHAnsi" w:cstheme="minorHAnsi"/>
        </w:rPr>
        <w:t xml:space="preserve"> </w:t>
      </w:r>
      <w:r w:rsidR="00C02B05" w:rsidRPr="006844ED">
        <w:rPr>
          <w:rFonts w:asciiTheme="minorHAnsi" w:hAnsiTheme="minorHAnsi" w:cstheme="minorHAnsi"/>
        </w:rPr>
        <w:t>ÚZ</w:t>
      </w:r>
      <w:r>
        <w:rPr>
          <w:rFonts w:asciiTheme="minorHAnsi" w:hAnsiTheme="minorHAnsi" w:cstheme="minorHAnsi"/>
        </w:rPr>
        <w:t xml:space="preserve"> a</w:t>
      </w:r>
      <w:r w:rsidR="00D363A5">
        <w:rPr>
          <w:rFonts w:asciiTheme="minorHAnsi" w:hAnsiTheme="minorHAnsi" w:cstheme="minorHAnsi"/>
        </w:rPr>
        <w:t xml:space="preserve"> </w:t>
      </w:r>
      <w:r w:rsidR="00C02B05" w:rsidRPr="006844ED">
        <w:rPr>
          <w:rFonts w:asciiTheme="minorHAnsi" w:hAnsiTheme="minorHAnsi" w:cstheme="minorHAnsi"/>
        </w:rPr>
        <w:t xml:space="preserve">výkazu pro hodnocení plnění rozpočtu </w:t>
      </w:r>
      <w:r>
        <w:rPr>
          <w:rFonts w:asciiTheme="minorHAnsi" w:hAnsiTheme="minorHAnsi" w:cstheme="minorHAnsi"/>
        </w:rPr>
        <w:t>z</w:t>
      </w:r>
      <w:r w:rsidR="00814DEE">
        <w:rPr>
          <w:rFonts w:asciiTheme="minorHAnsi" w:hAnsiTheme="minorHAnsi" w:cstheme="minorHAnsi"/>
        </w:rPr>
        <w:t xml:space="preserve"> </w:t>
      </w:r>
      <w:r w:rsidR="00C02B05" w:rsidRPr="006844ED">
        <w:rPr>
          <w:rFonts w:asciiTheme="minorHAnsi" w:hAnsiTheme="minorHAnsi" w:cstheme="minorHAnsi"/>
        </w:rPr>
        <w:t>rozpočtové</w:t>
      </w:r>
      <w:r>
        <w:rPr>
          <w:rFonts w:asciiTheme="minorHAnsi" w:hAnsiTheme="minorHAnsi" w:cstheme="minorHAnsi"/>
        </w:rPr>
        <w:t>ho</w:t>
      </w:r>
      <w:r w:rsidR="00C02B05" w:rsidRPr="006844ED">
        <w:rPr>
          <w:rFonts w:asciiTheme="minorHAnsi" w:hAnsiTheme="minorHAnsi" w:cstheme="minorHAnsi"/>
        </w:rPr>
        <w:t xml:space="preserve"> systému</w:t>
      </w:r>
      <w:r w:rsidR="00C02B05" w:rsidRPr="006844ED">
        <w:rPr>
          <w:rStyle w:val="Znakapoznpodarou"/>
          <w:rFonts w:asciiTheme="minorHAnsi" w:hAnsiTheme="minorHAnsi" w:cstheme="minorHAnsi"/>
        </w:rPr>
        <w:footnoteReference w:id="11"/>
      </w:r>
      <w:r>
        <w:rPr>
          <w:rFonts w:asciiTheme="minorHAnsi" w:hAnsiTheme="minorHAnsi" w:cstheme="minorHAnsi"/>
        </w:rPr>
        <w:t xml:space="preserve"> je uveden v následujících tabulkách</w:t>
      </w:r>
      <w:r w:rsidR="00814DEE">
        <w:rPr>
          <w:rFonts w:asciiTheme="minorHAnsi" w:hAnsiTheme="minorHAnsi" w:cstheme="minorHAnsi"/>
        </w:rPr>
        <w:t>.</w:t>
      </w:r>
    </w:p>
    <w:p w14:paraId="281FFE60" w14:textId="77777777" w:rsidR="005705EE" w:rsidRPr="003216DC" w:rsidRDefault="005705EE" w:rsidP="00834CBA">
      <w:pPr>
        <w:jc w:val="both"/>
        <w:rPr>
          <w:rFonts w:cs="Calibri"/>
        </w:rPr>
      </w:pPr>
    </w:p>
    <w:p w14:paraId="6E6E632B" w14:textId="19FBCB95" w:rsidR="00494B0F" w:rsidRPr="00202AEC" w:rsidRDefault="00A640AE" w:rsidP="005705EE">
      <w:pPr>
        <w:keepNext/>
        <w:ind w:left="1304" w:hanging="1304"/>
        <w:jc w:val="both"/>
        <w:rPr>
          <w:rFonts w:cs="Calibri"/>
        </w:rPr>
      </w:pPr>
      <w:r w:rsidRPr="00202AEC">
        <w:rPr>
          <w:rFonts w:cs="Calibri"/>
          <w:b/>
        </w:rPr>
        <w:t xml:space="preserve">Tabulka č. </w:t>
      </w:r>
      <w:r w:rsidR="003444C4">
        <w:rPr>
          <w:rFonts w:cs="Calibri"/>
          <w:b/>
        </w:rPr>
        <w:t>1</w:t>
      </w:r>
      <w:r w:rsidRPr="00202AEC">
        <w:rPr>
          <w:rFonts w:cs="Calibri"/>
          <w:b/>
        </w:rPr>
        <w:t xml:space="preserve">: </w:t>
      </w:r>
      <w:r w:rsidRPr="00202AEC">
        <w:rPr>
          <w:rFonts w:cs="Calibri"/>
          <w:b/>
        </w:rPr>
        <w:tab/>
        <w:t xml:space="preserve">Údaje </w:t>
      </w:r>
      <w:r w:rsidR="000B3825" w:rsidRPr="00202AEC">
        <w:rPr>
          <w:rFonts w:cs="Calibri"/>
          <w:b/>
        </w:rPr>
        <w:t>ÚZ</w:t>
      </w:r>
      <w:r w:rsidRPr="00202AEC">
        <w:rPr>
          <w:rFonts w:cs="Calibri"/>
          <w:b/>
        </w:rPr>
        <w:t xml:space="preserve"> – rozvaha a výkaz zisku a</w:t>
      </w:r>
      <w:r w:rsidR="001B1CD4" w:rsidRPr="00202AEC">
        <w:rPr>
          <w:rFonts w:cs="Calibri"/>
          <w:b/>
        </w:rPr>
        <w:t xml:space="preserve"> </w:t>
      </w:r>
      <w:r w:rsidRPr="00202AEC">
        <w:rPr>
          <w:rFonts w:cs="Calibri"/>
          <w:b/>
        </w:rPr>
        <w:t xml:space="preserve">ztráty </w:t>
      </w:r>
      <w:r w:rsidR="002F271F" w:rsidRPr="00202AEC">
        <w:rPr>
          <w:rFonts w:cs="Calibri"/>
          <w:b/>
        </w:rPr>
        <w:t>(</w:t>
      </w:r>
      <w:r w:rsidRPr="00202AEC">
        <w:rPr>
          <w:rFonts w:cs="Calibri"/>
          <w:b/>
        </w:rPr>
        <w:t xml:space="preserve">údaje za </w:t>
      </w:r>
      <w:r w:rsidR="00B86C6D">
        <w:rPr>
          <w:rFonts w:cs="Calibri"/>
          <w:b/>
        </w:rPr>
        <w:t>rok 2022</w:t>
      </w:r>
      <w:r w:rsidR="002F271F" w:rsidRPr="00202AEC">
        <w:rPr>
          <w:rFonts w:cs="Calibri"/>
          <w:b/>
        </w:rPr>
        <w:t>)</w:t>
      </w:r>
    </w:p>
    <w:tbl>
      <w:tblPr>
        <w:tblW w:w="902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18"/>
      </w:tblGrid>
      <w:tr w:rsidR="007E1E0D" w14:paraId="38CCBBAE" w14:textId="77777777" w:rsidTr="00E60A2A">
        <w:trPr>
          <w:trHeight w:val="3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1BDF4E9A" w14:textId="77777777" w:rsidR="007E1E0D" w:rsidRPr="000E0B18" w:rsidRDefault="007E1E0D" w:rsidP="000C3020">
            <w:pPr>
              <w:keepNext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0E0B18">
              <w:rPr>
                <w:rFonts w:cs="Arial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60D725A9" w14:textId="77777777" w:rsidR="007E1E0D" w:rsidRPr="000E0B18" w:rsidRDefault="007E1E0D" w:rsidP="000C3020">
            <w:pPr>
              <w:keepNext/>
              <w:spacing w:after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E0B18">
              <w:rPr>
                <w:rFonts w:cs="Arial"/>
                <w:b/>
                <w:bCs/>
                <w:sz w:val="20"/>
                <w:szCs w:val="20"/>
              </w:rPr>
              <w:t>Částka v</w:t>
            </w:r>
            <w:r>
              <w:rPr>
                <w:rFonts w:cs="Arial"/>
                <w:b/>
                <w:bCs/>
                <w:sz w:val="20"/>
                <w:szCs w:val="20"/>
              </w:rPr>
              <w:t> m</w:t>
            </w:r>
            <w:r w:rsidR="00D02A6F">
              <w:rPr>
                <w:rFonts w:cs="Arial"/>
                <w:b/>
                <w:bCs/>
                <w:sz w:val="20"/>
                <w:szCs w:val="20"/>
              </w:rPr>
              <w:t>il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  <w:r w:rsidRPr="000E0B18">
              <w:rPr>
                <w:rFonts w:cs="Arial"/>
                <w:b/>
                <w:bCs/>
                <w:sz w:val="20"/>
                <w:szCs w:val="20"/>
              </w:rPr>
              <w:t>Kč</w:t>
            </w:r>
          </w:p>
        </w:tc>
      </w:tr>
      <w:tr w:rsidR="007E1E0D" w14:paraId="19665276" w14:textId="77777777" w:rsidTr="00E60A2A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E2A5" w14:textId="617FDA7E" w:rsidR="007E1E0D" w:rsidRPr="000E0B18" w:rsidRDefault="007E1E0D" w:rsidP="008D2205">
            <w:pPr>
              <w:keepNext/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0E0B18">
              <w:rPr>
                <w:rFonts w:cs="Arial"/>
                <w:sz w:val="20"/>
                <w:szCs w:val="20"/>
              </w:rPr>
              <w:t>Aktiva netto</w:t>
            </w:r>
            <w:r w:rsidRPr="005144D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  <w:r w:rsidRPr="00335FD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87CF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335FDF">
              <w:rPr>
                <w:rFonts w:asciiTheme="minorHAnsi" w:hAnsiTheme="minorHAnsi" w:cstheme="minorHAnsi"/>
                <w:sz w:val="20"/>
                <w:szCs w:val="20"/>
              </w:rPr>
              <w:t>asiva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A505" w14:textId="77777777" w:rsidR="007E1E0D" w:rsidRPr="00C40DD4" w:rsidRDefault="00B02BB8" w:rsidP="008D2205">
            <w:pPr>
              <w:keepNext/>
              <w:spacing w:after="0" w:line="360" w:lineRule="auto"/>
              <w:jc w:val="right"/>
              <w:rPr>
                <w:rFonts w:cs="Arial"/>
                <w:sz w:val="20"/>
                <w:szCs w:val="20"/>
              </w:rPr>
            </w:pPr>
            <w:r w:rsidRPr="00B02BB8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 </w:t>
            </w:r>
            <w:r w:rsidRPr="00B02BB8">
              <w:rPr>
                <w:rFonts w:cs="Arial"/>
                <w:sz w:val="20"/>
                <w:szCs w:val="20"/>
              </w:rPr>
              <w:t>304</w:t>
            </w:r>
            <w:r>
              <w:rPr>
                <w:rFonts w:cs="Arial"/>
                <w:sz w:val="20"/>
                <w:szCs w:val="20"/>
              </w:rPr>
              <w:t>,</w:t>
            </w:r>
            <w:r w:rsidRPr="00B02BB8">
              <w:rPr>
                <w:rFonts w:cs="Arial"/>
                <w:sz w:val="20"/>
                <w:szCs w:val="20"/>
              </w:rPr>
              <w:t>5</w:t>
            </w:r>
          </w:p>
        </w:tc>
      </w:tr>
      <w:tr w:rsidR="007E1E0D" w14:paraId="706638CE" w14:textId="77777777" w:rsidTr="00E60A2A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41B4" w14:textId="77777777" w:rsidR="007E1E0D" w:rsidRPr="000E0B18" w:rsidRDefault="007E1E0D" w:rsidP="008D2205">
            <w:pPr>
              <w:keepNext/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0E0B18">
              <w:rPr>
                <w:rFonts w:cs="Arial"/>
                <w:sz w:val="20"/>
                <w:szCs w:val="20"/>
              </w:rPr>
              <w:t>Náklady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38C9" w14:textId="77777777" w:rsidR="007E1E0D" w:rsidRPr="00C40DD4" w:rsidRDefault="00501D36" w:rsidP="008D2205">
            <w:pPr>
              <w:keepNext/>
              <w:spacing w:after="0" w:line="360" w:lineRule="auto"/>
              <w:jc w:val="right"/>
              <w:rPr>
                <w:rFonts w:cs="Arial"/>
                <w:sz w:val="20"/>
                <w:szCs w:val="20"/>
              </w:rPr>
            </w:pPr>
            <w:r w:rsidRPr="00501D36">
              <w:rPr>
                <w:rFonts w:cs="Arial"/>
                <w:sz w:val="20"/>
                <w:szCs w:val="20"/>
              </w:rPr>
              <w:t>62</w:t>
            </w:r>
            <w:r>
              <w:rPr>
                <w:rFonts w:cs="Arial"/>
                <w:sz w:val="20"/>
                <w:szCs w:val="20"/>
              </w:rPr>
              <w:t> </w:t>
            </w:r>
            <w:r w:rsidRPr="00501D36">
              <w:rPr>
                <w:rFonts w:cs="Arial"/>
                <w:sz w:val="20"/>
                <w:szCs w:val="20"/>
              </w:rPr>
              <w:t>573</w:t>
            </w:r>
            <w:r>
              <w:rPr>
                <w:rFonts w:cs="Arial"/>
                <w:sz w:val="20"/>
                <w:szCs w:val="20"/>
              </w:rPr>
              <w:t>,</w:t>
            </w:r>
            <w:r w:rsidR="00407F9B">
              <w:rPr>
                <w:rFonts w:cs="Arial"/>
                <w:sz w:val="20"/>
                <w:szCs w:val="20"/>
              </w:rPr>
              <w:t>7</w:t>
            </w:r>
          </w:p>
        </w:tc>
      </w:tr>
      <w:tr w:rsidR="007E1E0D" w14:paraId="49FEFEAE" w14:textId="77777777" w:rsidTr="00E60A2A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231C" w14:textId="77777777" w:rsidR="007E1E0D" w:rsidRPr="000E0B18" w:rsidRDefault="007E1E0D" w:rsidP="008D2205">
            <w:pPr>
              <w:keepNext/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0E0B18">
              <w:rPr>
                <w:rFonts w:cs="Arial"/>
                <w:sz w:val="20"/>
                <w:szCs w:val="20"/>
              </w:rPr>
              <w:t>Výnosy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AEC7" w14:textId="77777777" w:rsidR="007E1E0D" w:rsidRPr="00C40DD4" w:rsidRDefault="00501D36" w:rsidP="008D2205">
            <w:pPr>
              <w:keepNext/>
              <w:spacing w:after="0" w:line="360" w:lineRule="auto"/>
              <w:jc w:val="right"/>
              <w:rPr>
                <w:rFonts w:cs="Arial"/>
                <w:sz w:val="20"/>
                <w:szCs w:val="20"/>
              </w:rPr>
            </w:pPr>
            <w:r w:rsidRPr="00501D36">
              <w:rPr>
                <w:rFonts w:cs="Arial"/>
                <w:sz w:val="20"/>
                <w:szCs w:val="20"/>
              </w:rPr>
              <w:t>36</w:t>
            </w:r>
            <w:r>
              <w:rPr>
                <w:rFonts w:cs="Arial"/>
                <w:sz w:val="20"/>
                <w:szCs w:val="20"/>
              </w:rPr>
              <w:t> </w:t>
            </w:r>
            <w:r w:rsidRPr="00501D36">
              <w:rPr>
                <w:rFonts w:cs="Arial"/>
                <w:sz w:val="20"/>
                <w:szCs w:val="20"/>
              </w:rPr>
              <w:t>552</w:t>
            </w:r>
            <w:r>
              <w:rPr>
                <w:rFonts w:cs="Arial"/>
                <w:sz w:val="20"/>
                <w:szCs w:val="20"/>
              </w:rPr>
              <w:t>,8</w:t>
            </w:r>
          </w:p>
        </w:tc>
      </w:tr>
    </w:tbl>
    <w:p w14:paraId="567D32C0" w14:textId="00EDF9E8" w:rsidR="008D2205" w:rsidRDefault="00A640AE" w:rsidP="001828FD">
      <w:pPr>
        <w:keepNext/>
        <w:spacing w:after="0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Zdroj:</w:t>
      </w:r>
      <w:r w:rsidRPr="00D40705">
        <w:rPr>
          <w:rFonts w:cs="Arial"/>
          <w:bCs/>
          <w:sz w:val="20"/>
          <w:szCs w:val="20"/>
        </w:rPr>
        <w:t xml:space="preserve"> </w:t>
      </w:r>
      <w:r w:rsidR="000B3825" w:rsidRPr="00D40705">
        <w:rPr>
          <w:rFonts w:cs="Arial"/>
          <w:bCs/>
          <w:sz w:val="20"/>
          <w:szCs w:val="20"/>
        </w:rPr>
        <w:t>ÚZ</w:t>
      </w:r>
      <w:r w:rsidR="008D2205">
        <w:rPr>
          <w:rFonts w:cs="Arial"/>
          <w:bCs/>
          <w:sz w:val="20"/>
          <w:szCs w:val="20"/>
        </w:rPr>
        <w:t>.</w:t>
      </w:r>
    </w:p>
    <w:p w14:paraId="1C10CBEA" w14:textId="180F3B9B" w:rsidR="00640193" w:rsidRPr="001F3453" w:rsidRDefault="007E1E0D" w:rsidP="00E60A2A">
      <w:pPr>
        <w:keepNext/>
        <w:spacing w:after="0"/>
        <w:ind w:left="284" w:hanging="284"/>
        <w:jc w:val="both"/>
        <w:rPr>
          <w:rFonts w:cs="Arial"/>
          <w:bCs/>
          <w:iCs/>
        </w:rPr>
      </w:pPr>
      <w:r w:rsidRPr="008F6AC0">
        <w:rPr>
          <w:rFonts w:cs="Arial"/>
          <w:bCs/>
          <w:vertAlign w:val="superscript"/>
        </w:rPr>
        <w:t>1)</w:t>
      </w:r>
      <w:r>
        <w:rPr>
          <w:rFonts w:cs="Arial"/>
          <w:bCs/>
          <w:sz w:val="20"/>
          <w:szCs w:val="20"/>
        </w:rPr>
        <w:t xml:space="preserve"> </w:t>
      </w:r>
      <w:r w:rsidR="00E87CF4">
        <w:rPr>
          <w:rFonts w:cs="Arial"/>
          <w:bCs/>
          <w:sz w:val="20"/>
          <w:szCs w:val="20"/>
        </w:rPr>
        <w:tab/>
      </w:r>
      <w:r w:rsidR="00BB1801" w:rsidRPr="00BB1801">
        <w:rPr>
          <w:rFonts w:cs="Arial"/>
          <w:bCs/>
          <w:sz w:val="20"/>
          <w:szCs w:val="20"/>
        </w:rPr>
        <w:t xml:space="preserve">Hodnota aktiv je uvedena v netto hodnotě, brutto hodnota aktiv byla k 31. 12. 2022 ve výši </w:t>
      </w:r>
      <w:r w:rsidR="00BB1801">
        <w:rPr>
          <w:rFonts w:cs="Arial"/>
          <w:bCs/>
          <w:sz w:val="20"/>
          <w:szCs w:val="20"/>
        </w:rPr>
        <w:br/>
      </w:r>
      <w:r w:rsidR="00BB1801" w:rsidRPr="00BB1801">
        <w:rPr>
          <w:rFonts w:cs="Arial"/>
          <w:bCs/>
          <w:sz w:val="20"/>
          <w:szCs w:val="20"/>
        </w:rPr>
        <w:t>23</w:t>
      </w:r>
      <w:r w:rsidR="00501D36">
        <w:rPr>
          <w:rFonts w:cs="Arial"/>
          <w:bCs/>
          <w:sz w:val="20"/>
          <w:szCs w:val="20"/>
        </w:rPr>
        <w:t> </w:t>
      </w:r>
      <w:r w:rsidR="00BB1801" w:rsidRPr="00BB1801">
        <w:rPr>
          <w:rFonts w:cs="Arial"/>
          <w:bCs/>
          <w:sz w:val="20"/>
          <w:szCs w:val="20"/>
        </w:rPr>
        <w:t>407</w:t>
      </w:r>
      <w:r w:rsidR="00501D36">
        <w:rPr>
          <w:rFonts w:cs="Arial"/>
          <w:bCs/>
          <w:sz w:val="20"/>
          <w:szCs w:val="20"/>
        </w:rPr>
        <w:t>,</w:t>
      </w:r>
      <w:r w:rsidR="00BB1801" w:rsidRPr="00BB1801">
        <w:rPr>
          <w:rFonts w:cs="Arial"/>
          <w:bCs/>
          <w:sz w:val="20"/>
          <w:szCs w:val="20"/>
        </w:rPr>
        <w:t>8</w:t>
      </w:r>
      <w:r w:rsidR="00501D36">
        <w:rPr>
          <w:rFonts w:cs="Arial"/>
          <w:bCs/>
          <w:sz w:val="20"/>
          <w:szCs w:val="20"/>
        </w:rPr>
        <w:t xml:space="preserve"> mil.</w:t>
      </w:r>
      <w:r w:rsidR="00BB1801" w:rsidRPr="00BB1801">
        <w:rPr>
          <w:rFonts w:cs="Arial"/>
          <w:bCs/>
          <w:sz w:val="20"/>
          <w:szCs w:val="20"/>
        </w:rPr>
        <w:t xml:space="preserve"> Kč</w:t>
      </w:r>
      <w:r w:rsidR="00A640AE" w:rsidRPr="00D40705">
        <w:rPr>
          <w:rFonts w:cs="Arial"/>
          <w:bCs/>
          <w:sz w:val="20"/>
          <w:szCs w:val="20"/>
        </w:rPr>
        <w:t>.</w:t>
      </w:r>
    </w:p>
    <w:p w14:paraId="4B6B9385" w14:textId="77777777" w:rsidR="00494B0F" w:rsidRPr="00BB0827" w:rsidRDefault="00494B0F" w:rsidP="007012B8">
      <w:pPr>
        <w:spacing w:after="0"/>
        <w:ind w:left="567" w:hanging="567"/>
        <w:jc w:val="both"/>
        <w:rPr>
          <w:rFonts w:cs="Arial"/>
        </w:rPr>
      </w:pPr>
    </w:p>
    <w:p w14:paraId="7907220A" w14:textId="77777777" w:rsidR="00112BC4" w:rsidRDefault="00112BC4">
      <w:pPr>
        <w:spacing w:after="160" w:line="259" w:lineRule="auto"/>
        <w:rPr>
          <w:rFonts w:cs="Arial"/>
          <w:b/>
          <w:spacing w:val="-4"/>
        </w:rPr>
      </w:pPr>
      <w:r>
        <w:rPr>
          <w:rFonts w:cs="Arial"/>
          <w:b/>
          <w:spacing w:val="-4"/>
        </w:rPr>
        <w:br w:type="page"/>
      </w:r>
    </w:p>
    <w:p w14:paraId="21B1D9D6" w14:textId="54A6C93A" w:rsidR="00494B0F" w:rsidRPr="00D85D8F" w:rsidRDefault="00A640AE" w:rsidP="00E60A2A">
      <w:pPr>
        <w:keepNext/>
        <w:ind w:left="1304" w:hanging="1304"/>
        <w:rPr>
          <w:rFonts w:cs="Arial"/>
          <w:b/>
          <w:spacing w:val="-4"/>
        </w:rPr>
      </w:pPr>
      <w:r w:rsidRPr="00D85D8F">
        <w:rPr>
          <w:rFonts w:cs="Arial"/>
          <w:b/>
          <w:spacing w:val="-4"/>
        </w:rPr>
        <w:lastRenderedPageBreak/>
        <w:t xml:space="preserve">Tabulka č. </w:t>
      </w:r>
      <w:r w:rsidR="003444C4">
        <w:rPr>
          <w:rFonts w:cs="Arial"/>
          <w:b/>
          <w:spacing w:val="-4"/>
        </w:rPr>
        <w:t>2</w:t>
      </w:r>
      <w:r w:rsidRPr="00D85D8F">
        <w:rPr>
          <w:rFonts w:cs="Arial"/>
          <w:b/>
          <w:spacing w:val="-4"/>
        </w:rPr>
        <w:t xml:space="preserve">: </w:t>
      </w:r>
      <w:r w:rsidRPr="00D85D8F">
        <w:rPr>
          <w:rFonts w:cs="Arial"/>
          <w:b/>
          <w:spacing w:val="-4"/>
        </w:rPr>
        <w:tab/>
        <w:t xml:space="preserve">Údaje </w:t>
      </w:r>
      <w:r w:rsidR="000B3825" w:rsidRPr="00D85D8F">
        <w:rPr>
          <w:rFonts w:cs="Arial"/>
          <w:b/>
          <w:spacing w:val="-4"/>
        </w:rPr>
        <w:t>ÚZ</w:t>
      </w:r>
      <w:r w:rsidRPr="00D85D8F">
        <w:rPr>
          <w:rFonts w:cs="Arial"/>
          <w:b/>
          <w:spacing w:val="-4"/>
        </w:rPr>
        <w:t xml:space="preserve"> – informace o stavu účtů v knize podrozvahových účtů </w:t>
      </w:r>
      <w:r w:rsidR="008525D6">
        <w:rPr>
          <w:rFonts w:cs="Arial"/>
          <w:b/>
          <w:spacing w:val="-4"/>
        </w:rPr>
        <w:br/>
      </w:r>
      <w:r w:rsidR="002F271F" w:rsidRPr="00D85D8F">
        <w:rPr>
          <w:rFonts w:cs="Arial"/>
          <w:b/>
          <w:spacing w:val="-4"/>
        </w:rPr>
        <w:t>(</w:t>
      </w:r>
      <w:r w:rsidRPr="00D85D8F">
        <w:rPr>
          <w:rFonts w:cs="Arial"/>
          <w:b/>
          <w:spacing w:val="-4"/>
        </w:rPr>
        <w:t xml:space="preserve">údaje za </w:t>
      </w:r>
      <w:r w:rsidR="00B86C6D">
        <w:rPr>
          <w:rFonts w:cs="Arial"/>
          <w:b/>
          <w:spacing w:val="-4"/>
        </w:rPr>
        <w:t>rok 2022</w:t>
      </w:r>
      <w:r w:rsidR="002F271F" w:rsidRPr="00D85D8F">
        <w:rPr>
          <w:rFonts w:cs="Arial"/>
          <w:b/>
          <w:spacing w:val="-4"/>
        </w:rPr>
        <w:t>)</w:t>
      </w:r>
    </w:p>
    <w:tbl>
      <w:tblPr>
        <w:tblW w:w="90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956"/>
      </w:tblGrid>
      <w:tr w:rsidR="00BB1801" w:rsidRPr="006844ED" w14:paraId="727E16AB" w14:textId="77777777" w:rsidTr="00E60A2A">
        <w:trPr>
          <w:trHeight w:val="438"/>
          <w:tblHeader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7E7FD"/>
            <w:vAlign w:val="center"/>
            <w:hideMark/>
          </w:tcPr>
          <w:p w14:paraId="3EFEB87D" w14:textId="77777777" w:rsidR="00BB1801" w:rsidRPr="006844ED" w:rsidRDefault="00BB1801" w:rsidP="00395F1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7FD"/>
            <w:vAlign w:val="center"/>
            <w:hideMark/>
          </w:tcPr>
          <w:p w14:paraId="4CF873C4" w14:textId="77777777" w:rsidR="00BB1801" w:rsidRPr="006844ED" w:rsidRDefault="00BB1801" w:rsidP="000C302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Částka </w:t>
            </w:r>
            <w:r w:rsidR="00AE410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 m</w:t>
            </w:r>
            <w:r w:rsidR="00944C1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</w:t>
            </w:r>
            <w:r w:rsidR="00AE410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Kč</w:t>
            </w:r>
          </w:p>
        </w:tc>
      </w:tr>
      <w:tr w:rsidR="00BB1801" w:rsidRPr="006844ED" w14:paraId="2BD4D61E" w14:textId="77777777" w:rsidTr="00E60A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909C" w14:textId="77777777" w:rsidR="00BB1801" w:rsidRPr="006844ED" w:rsidRDefault="00BB1801" w:rsidP="000C30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9F7E" w14:textId="77777777" w:rsidR="00BB1801" w:rsidRPr="006844ED" w:rsidRDefault="00BB1801" w:rsidP="000C3020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Majetek a závazky účetní jednotky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710C" w14:textId="77777777" w:rsidR="00BB1801" w:rsidRPr="006844ED" w:rsidRDefault="00BB1801" w:rsidP="000C30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44C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07F9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B1801" w:rsidRPr="006844ED" w14:paraId="59087A7D" w14:textId="77777777" w:rsidTr="00E60A2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0103" w14:textId="77777777" w:rsidR="00BB1801" w:rsidRPr="006844ED" w:rsidRDefault="00BB1801" w:rsidP="000C30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P.II.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87D6" w14:textId="11319D07" w:rsidR="00BB1801" w:rsidRPr="006844ED" w:rsidRDefault="00BB1801" w:rsidP="000C3020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Krátkodobé podmíněné pohledávky z transferů a krátkodobé podmíněné závazky z</w:t>
            </w:r>
            <w:r w:rsidR="002703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 </w:t>
            </w:r>
            <w:r w:rsidRPr="006844E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transferů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FBF9" w14:textId="77777777" w:rsidR="00BB1801" w:rsidRPr="006844ED" w:rsidRDefault="00BB1801" w:rsidP="000C30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44C1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  <w:r w:rsidR="00407F9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44C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07F9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B1801" w:rsidRPr="006844ED" w14:paraId="13E77A36" w14:textId="77777777" w:rsidTr="00E60A2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F0FE" w14:textId="77777777" w:rsidR="00BB1801" w:rsidRPr="006844ED" w:rsidRDefault="00BB1801" w:rsidP="000C30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P.IV.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31C" w14:textId="77777777" w:rsidR="00BB1801" w:rsidRPr="006844ED" w:rsidRDefault="00BB1801" w:rsidP="000C3020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Další podmíněné pohledávky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23E8" w14:textId="77777777" w:rsidR="00BB1801" w:rsidRPr="006844ED" w:rsidRDefault="00BB1801" w:rsidP="000C302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  <w:r w:rsidR="00944C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B1801" w:rsidRPr="006844ED" w14:paraId="66695610" w14:textId="77777777" w:rsidTr="00E60A2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3811" w14:textId="77777777" w:rsidR="00BB1801" w:rsidRPr="006844ED" w:rsidRDefault="00BB1801" w:rsidP="000C30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P.V.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C4D6" w14:textId="3761DE4D" w:rsidR="00BB1801" w:rsidRPr="006844ED" w:rsidRDefault="00BB1801" w:rsidP="000C3020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Dlouhodobé podmíněné pohledávky z transferů a dlouhodobé podmíněné závazky z</w:t>
            </w:r>
            <w:r w:rsidR="002703E3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 </w:t>
            </w:r>
            <w:r w:rsidRPr="006844E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transferů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55B" w14:textId="77777777" w:rsidR="00BB1801" w:rsidRPr="006844ED" w:rsidRDefault="00BB1801" w:rsidP="000C302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D02A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  <w:r w:rsidR="00D02A6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07F9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BB1801" w:rsidRPr="006844ED" w14:paraId="2CE5E46F" w14:textId="77777777" w:rsidTr="00E60A2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9421" w14:textId="77777777" w:rsidR="00BB1801" w:rsidRPr="006844ED" w:rsidRDefault="00BB1801" w:rsidP="000C302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P.VII.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9A8C" w14:textId="77777777" w:rsidR="00BB1801" w:rsidRPr="006844ED" w:rsidRDefault="00BB1801" w:rsidP="000C3020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Další podmíněné závazky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9757" w14:textId="77777777" w:rsidR="00BB1801" w:rsidRPr="006844ED" w:rsidRDefault="00BB1801" w:rsidP="000C302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D02A6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6844ED">
              <w:rPr>
                <w:rFonts w:asciiTheme="minorHAnsi" w:hAnsiTheme="minorHAnsi" w:cstheme="minorHAnsi"/>
                <w:sz w:val="20"/>
                <w:szCs w:val="20"/>
              </w:rPr>
              <w:t>757</w:t>
            </w:r>
            <w:r w:rsidR="00D02A6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07F9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0A794BAC" w14:textId="1B6E6148" w:rsidR="00494B0F" w:rsidRPr="00D40705" w:rsidRDefault="00A640AE" w:rsidP="00112BC4">
      <w:pPr>
        <w:spacing w:after="0"/>
        <w:rPr>
          <w:bCs/>
          <w:sz w:val="20"/>
          <w:szCs w:val="20"/>
        </w:rPr>
      </w:pPr>
      <w:r w:rsidRPr="00D40705">
        <w:rPr>
          <w:b/>
          <w:sz w:val="20"/>
          <w:szCs w:val="20"/>
        </w:rPr>
        <w:t>Zdroj:</w:t>
      </w:r>
      <w:r w:rsidRPr="00D40705">
        <w:rPr>
          <w:bCs/>
          <w:sz w:val="20"/>
          <w:szCs w:val="20"/>
        </w:rPr>
        <w:t xml:space="preserve"> </w:t>
      </w:r>
      <w:r w:rsidR="000B3825" w:rsidRPr="00D40705">
        <w:rPr>
          <w:bCs/>
          <w:sz w:val="20"/>
          <w:szCs w:val="20"/>
        </w:rPr>
        <w:t>ÚZ</w:t>
      </w:r>
      <w:r w:rsidR="003444C4">
        <w:rPr>
          <w:bCs/>
          <w:sz w:val="20"/>
          <w:szCs w:val="20"/>
        </w:rPr>
        <w:t>.</w:t>
      </w:r>
    </w:p>
    <w:p w14:paraId="6A58B4B0" w14:textId="77777777" w:rsidR="00494B0F" w:rsidRPr="00683C72" w:rsidRDefault="00494B0F" w:rsidP="00834CBA">
      <w:pPr>
        <w:spacing w:before="120" w:after="0"/>
        <w:rPr>
          <w:highlight w:val="yellow"/>
        </w:rPr>
      </w:pPr>
    </w:p>
    <w:p w14:paraId="6818AE69" w14:textId="77777777" w:rsidR="00494B0F" w:rsidRPr="008B350A" w:rsidRDefault="00A640AE" w:rsidP="005705EE">
      <w:pPr>
        <w:keepNext/>
        <w:rPr>
          <w:rFonts w:cs="Arial"/>
          <w:b/>
        </w:rPr>
      </w:pPr>
      <w:r w:rsidRPr="008B350A">
        <w:rPr>
          <w:rFonts w:cs="Arial"/>
          <w:b/>
        </w:rPr>
        <w:t xml:space="preserve">Tabulka č. </w:t>
      </w:r>
      <w:r w:rsidR="003444C4">
        <w:rPr>
          <w:rFonts w:cs="Arial"/>
          <w:b/>
        </w:rPr>
        <w:t>3</w:t>
      </w:r>
      <w:r w:rsidRPr="008B350A">
        <w:rPr>
          <w:rFonts w:cs="Arial"/>
          <w:b/>
        </w:rPr>
        <w:t>:</w:t>
      </w:r>
      <w:r w:rsidRPr="008B350A">
        <w:rPr>
          <w:rFonts w:cs="Arial"/>
        </w:rPr>
        <w:t xml:space="preserve"> </w:t>
      </w:r>
      <w:r w:rsidRPr="008B350A">
        <w:rPr>
          <w:rFonts w:cs="Arial"/>
          <w:b/>
        </w:rPr>
        <w:t xml:space="preserve">Údaje z výkazu </w:t>
      </w:r>
      <w:r w:rsidR="00D16053" w:rsidRPr="008B350A">
        <w:rPr>
          <w:rFonts w:cs="Arial"/>
          <w:b/>
        </w:rPr>
        <w:t>FIN 1-12 OSS</w:t>
      </w:r>
    </w:p>
    <w:tbl>
      <w:tblPr>
        <w:tblW w:w="904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35"/>
      </w:tblGrid>
      <w:tr w:rsidR="00664EB2" w14:paraId="551E5580" w14:textId="77777777" w:rsidTr="00E60A2A">
        <w:trPr>
          <w:trHeight w:val="300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15E7D042" w14:textId="77777777" w:rsidR="00664EB2" w:rsidRPr="00673AEF" w:rsidRDefault="00664EB2" w:rsidP="000C3020">
            <w:pPr>
              <w:spacing w:after="0"/>
              <w:rPr>
                <w:rFonts w:cs="Arial"/>
                <w:b/>
                <w:bCs/>
                <w:sz w:val="20"/>
              </w:rPr>
            </w:pPr>
            <w:r w:rsidRPr="00673AEF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792D2CD8" w14:textId="77777777" w:rsidR="00664EB2" w:rsidRPr="00673AEF" w:rsidRDefault="00664EB2" w:rsidP="000C3020">
            <w:pPr>
              <w:spacing w:after="0"/>
              <w:jc w:val="center"/>
              <w:rPr>
                <w:rFonts w:cs="Arial"/>
                <w:b/>
                <w:bCs/>
                <w:sz w:val="20"/>
              </w:rPr>
            </w:pPr>
            <w:r w:rsidRPr="00673AEF">
              <w:rPr>
                <w:rFonts w:cs="Arial"/>
                <w:b/>
                <w:bCs/>
                <w:sz w:val="20"/>
              </w:rPr>
              <w:t>Částka v</w:t>
            </w:r>
            <w:r>
              <w:rPr>
                <w:rFonts w:cs="Arial"/>
                <w:b/>
                <w:bCs/>
                <w:sz w:val="20"/>
              </w:rPr>
              <w:t> m</w:t>
            </w:r>
            <w:r w:rsidR="00D02A6F">
              <w:rPr>
                <w:rFonts w:cs="Arial"/>
                <w:b/>
                <w:bCs/>
                <w:sz w:val="20"/>
              </w:rPr>
              <w:t>il</w:t>
            </w:r>
            <w:r>
              <w:rPr>
                <w:rFonts w:cs="Arial"/>
                <w:b/>
                <w:bCs/>
                <w:sz w:val="20"/>
              </w:rPr>
              <w:t xml:space="preserve">. </w:t>
            </w:r>
            <w:r w:rsidRPr="00673AEF">
              <w:rPr>
                <w:rFonts w:cs="Arial"/>
                <w:b/>
                <w:bCs/>
                <w:sz w:val="20"/>
              </w:rPr>
              <w:t>Kč</w:t>
            </w:r>
          </w:p>
        </w:tc>
      </w:tr>
      <w:tr w:rsidR="00664EB2" w14:paraId="7B5A96BF" w14:textId="77777777" w:rsidTr="00E60A2A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F33C" w14:textId="77777777" w:rsidR="00664EB2" w:rsidRPr="00FE62B5" w:rsidRDefault="00664EB2" w:rsidP="008D2205">
            <w:pPr>
              <w:spacing w:after="0" w:line="360" w:lineRule="auto"/>
              <w:rPr>
                <w:rFonts w:cs="Arial"/>
                <w:sz w:val="20"/>
              </w:rPr>
            </w:pPr>
            <w:r w:rsidRPr="00FE62B5">
              <w:rPr>
                <w:rFonts w:cs="Arial"/>
                <w:sz w:val="20"/>
              </w:rPr>
              <w:t>Příjmy (skutečnost celkem)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EF34" w14:textId="77777777" w:rsidR="00664EB2" w:rsidRPr="003D2549" w:rsidRDefault="00B02BB8" w:rsidP="008D2205">
            <w:pPr>
              <w:spacing w:after="0" w:line="360" w:lineRule="auto"/>
              <w:jc w:val="right"/>
              <w:rPr>
                <w:rFonts w:cs="Arial"/>
                <w:sz w:val="20"/>
              </w:rPr>
            </w:pPr>
            <w:r w:rsidRPr="00B02BB8">
              <w:rPr>
                <w:rFonts w:cs="Arial"/>
                <w:sz w:val="20"/>
              </w:rPr>
              <w:t>34</w:t>
            </w:r>
            <w:r>
              <w:rPr>
                <w:rFonts w:cs="Arial"/>
                <w:sz w:val="20"/>
              </w:rPr>
              <w:t> </w:t>
            </w:r>
            <w:r w:rsidRPr="00B02BB8">
              <w:rPr>
                <w:rFonts w:cs="Arial"/>
                <w:sz w:val="20"/>
              </w:rPr>
              <w:t>684</w:t>
            </w:r>
            <w:r>
              <w:rPr>
                <w:rFonts w:cs="Arial"/>
                <w:sz w:val="20"/>
              </w:rPr>
              <w:t>,</w:t>
            </w:r>
            <w:r w:rsidRPr="00B02BB8">
              <w:rPr>
                <w:rFonts w:cs="Arial"/>
                <w:sz w:val="20"/>
              </w:rPr>
              <w:t>7</w:t>
            </w:r>
          </w:p>
        </w:tc>
      </w:tr>
      <w:tr w:rsidR="00664EB2" w14:paraId="35065E33" w14:textId="77777777" w:rsidTr="00E60A2A">
        <w:trPr>
          <w:trHeight w:val="30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1D10" w14:textId="77777777" w:rsidR="00664EB2" w:rsidRPr="00FE62B5" w:rsidRDefault="00664EB2" w:rsidP="008D2205">
            <w:pPr>
              <w:spacing w:after="0" w:line="360" w:lineRule="auto"/>
              <w:rPr>
                <w:rFonts w:cs="Arial"/>
                <w:sz w:val="20"/>
              </w:rPr>
            </w:pPr>
            <w:r w:rsidRPr="00FE62B5">
              <w:rPr>
                <w:rFonts w:cs="Arial"/>
                <w:sz w:val="20"/>
              </w:rPr>
              <w:t>Výdaje (skutečnost celkem)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DC6F" w14:textId="77777777" w:rsidR="00664EB2" w:rsidRPr="003D2549" w:rsidRDefault="00D02A6F" w:rsidP="008D2205">
            <w:pPr>
              <w:spacing w:after="0" w:line="360" w:lineRule="auto"/>
              <w:jc w:val="right"/>
              <w:rPr>
                <w:rFonts w:cs="Arial"/>
                <w:sz w:val="20"/>
              </w:rPr>
            </w:pPr>
            <w:r w:rsidRPr="00D02A6F">
              <w:rPr>
                <w:rFonts w:cs="Arial"/>
                <w:sz w:val="20"/>
              </w:rPr>
              <w:t>62</w:t>
            </w:r>
            <w:r>
              <w:rPr>
                <w:rFonts w:cs="Arial"/>
                <w:sz w:val="20"/>
              </w:rPr>
              <w:t> </w:t>
            </w:r>
            <w:r w:rsidRPr="00D02A6F">
              <w:rPr>
                <w:rFonts w:cs="Arial"/>
                <w:sz w:val="20"/>
              </w:rPr>
              <w:t>492</w:t>
            </w:r>
            <w:r>
              <w:rPr>
                <w:rFonts w:cs="Arial"/>
                <w:sz w:val="20"/>
              </w:rPr>
              <w:t>,</w:t>
            </w:r>
            <w:r w:rsidR="00407F9B">
              <w:rPr>
                <w:rFonts w:cs="Arial"/>
                <w:sz w:val="20"/>
              </w:rPr>
              <w:t>7</w:t>
            </w:r>
          </w:p>
        </w:tc>
      </w:tr>
    </w:tbl>
    <w:p w14:paraId="50589621" w14:textId="7496D4EE" w:rsidR="00077ACA" w:rsidRPr="00D40705" w:rsidRDefault="00A640AE" w:rsidP="00112BC4">
      <w:pPr>
        <w:spacing w:after="0"/>
        <w:rPr>
          <w:bCs/>
          <w:sz w:val="20"/>
          <w:szCs w:val="20"/>
        </w:rPr>
      </w:pPr>
      <w:r w:rsidRPr="00D40705">
        <w:rPr>
          <w:b/>
          <w:sz w:val="20"/>
          <w:szCs w:val="20"/>
        </w:rPr>
        <w:t>Zdroj:</w:t>
      </w:r>
      <w:r w:rsidR="00D16053" w:rsidRPr="00D40705">
        <w:rPr>
          <w:bCs/>
          <w:sz w:val="20"/>
          <w:szCs w:val="20"/>
        </w:rPr>
        <w:t xml:space="preserve"> výkaz FIN 1-12 OSS</w:t>
      </w:r>
      <w:r w:rsidR="003444C4">
        <w:rPr>
          <w:bCs/>
          <w:sz w:val="20"/>
          <w:szCs w:val="20"/>
        </w:rPr>
        <w:t>.</w:t>
      </w:r>
    </w:p>
    <w:p w14:paraId="71845464" w14:textId="77777777" w:rsidR="009706C3" w:rsidRDefault="009706C3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7CA66973" w14:textId="77777777" w:rsidR="0033466E" w:rsidRPr="004D303D" w:rsidRDefault="00A640AE" w:rsidP="009E2240">
      <w:pPr>
        <w:pStyle w:val="Nadpis1"/>
      </w:pPr>
      <w:r w:rsidRPr="004D303D">
        <w:lastRenderedPageBreak/>
        <w:t>I</w:t>
      </w:r>
      <w:r w:rsidR="00E91FF5" w:rsidRPr="004D303D">
        <w:t>I</w:t>
      </w:r>
      <w:r w:rsidRPr="004D303D">
        <w:t>I. Rozsah kontroly</w:t>
      </w:r>
    </w:p>
    <w:p w14:paraId="17285AFD" w14:textId="2B8EE87D" w:rsidR="001A2DCC" w:rsidRPr="00D71C60" w:rsidRDefault="001A2DCC" w:rsidP="001A2DCC">
      <w:pPr>
        <w:jc w:val="both"/>
        <w:rPr>
          <w:rFonts w:eastAsiaTheme="minorHAnsi" w:cs="Calibri"/>
          <w:highlight w:val="yellow"/>
        </w:rPr>
      </w:pPr>
      <w:r w:rsidRPr="000443A1">
        <w:rPr>
          <w:rFonts w:cs="Calibri"/>
        </w:rPr>
        <w:t xml:space="preserve">KA byla kontrolou typu finanční audit a jejím cílem bylo </w:t>
      </w:r>
      <w:r w:rsidRPr="000443A1">
        <w:rPr>
          <w:rFonts w:eastAsiaTheme="minorHAnsi" w:cs="Calibri"/>
        </w:rPr>
        <w:t>prověřit, zda MZ</w:t>
      </w:r>
      <w:r>
        <w:rPr>
          <w:rFonts w:eastAsiaTheme="minorHAnsi" w:cs="Calibri"/>
        </w:rPr>
        <w:t>e</w:t>
      </w:r>
      <w:r w:rsidRPr="000443A1">
        <w:rPr>
          <w:rFonts w:eastAsiaTheme="minorHAnsi" w:cs="Calibri"/>
        </w:rPr>
        <w:t xml:space="preserve"> při vedení účetnictví </w:t>
      </w:r>
      <w:r w:rsidR="00395F17">
        <w:rPr>
          <w:rFonts w:eastAsiaTheme="minorHAnsi" w:cs="Calibri"/>
        </w:rPr>
        <w:br/>
      </w:r>
      <w:r w:rsidRPr="000443A1">
        <w:rPr>
          <w:rFonts w:eastAsiaTheme="minorHAnsi" w:cs="Calibri"/>
        </w:rPr>
        <w:t>v</w:t>
      </w:r>
      <w:r w:rsidR="00395F17"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roce 202</w:t>
      </w:r>
      <w:r>
        <w:rPr>
          <w:rFonts w:eastAsiaTheme="minorHAnsi" w:cs="Calibri"/>
        </w:rPr>
        <w:t>2</w:t>
      </w:r>
      <w:r w:rsidR="00426569">
        <w:rPr>
          <w:rFonts w:eastAsiaTheme="minorHAnsi" w:cs="Calibri"/>
        </w:rPr>
        <w:t>, při</w:t>
      </w:r>
      <w:r w:rsidR="00426569" w:rsidRPr="000443A1">
        <w:rPr>
          <w:rFonts w:eastAsiaTheme="minorHAnsi" w:cs="Calibri"/>
        </w:rPr>
        <w:t xml:space="preserve"> sestavení</w:t>
      </w:r>
      <w:r w:rsidRPr="000443A1">
        <w:rPr>
          <w:rFonts w:eastAsiaTheme="minorHAnsi" w:cs="Calibri"/>
        </w:rPr>
        <w:t xml:space="preserve"> účetní závěrky k</w:t>
      </w:r>
      <w:r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31.</w:t>
      </w:r>
      <w:r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prosinci 202</w:t>
      </w:r>
      <w:r>
        <w:rPr>
          <w:rFonts w:eastAsiaTheme="minorHAnsi" w:cs="Calibri"/>
        </w:rPr>
        <w:t>2</w:t>
      </w:r>
      <w:r w:rsidRPr="000443A1">
        <w:rPr>
          <w:rFonts w:eastAsiaTheme="minorHAnsi" w:cs="Calibri"/>
        </w:rPr>
        <w:t>, při předkládání údajů pro hodnocení plnění státního rozpočtu</w:t>
      </w:r>
      <w:r w:rsidRPr="000443A1">
        <w:rPr>
          <w:rFonts w:eastAsiaTheme="minorHAnsi" w:cs="Calibri"/>
          <w:vertAlign w:val="superscript"/>
        </w:rPr>
        <w:footnoteReference w:id="12"/>
      </w:r>
      <w:r w:rsidRPr="000443A1">
        <w:rPr>
          <w:rFonts w:eastAsiaTheme="minorHAnsi" w:cs="Calibri"/>
        </w:rPr>
        <w:t xml:space="preserve"> a při sestavení závěrečného účtu za rok 202</w:t>
      </w:r>
      <w:r>
        <w:rPr>
          <w:rFonts w:eastAsiaTheme="minorHAnsi" w:cs="Calibri"/>
        </w:rPr>
        <w:t>2</w:t>
      </w:r>
      <w:r w:rsidRPr="000443A1">
        <w:rPr>
          <w:rFonts w:eastAsiaTheme="minorHAnsi" w:cs="Calibri"/>
        </w:rPr>
        <w:t xml:space="preserve"> postupovalo v souladu s příslušnými právními předpisy.</w:t>
      </w:r>
    </w:p>
    <w:p w14:paraId="02375948" w14:textId="77777777" w:rsidR="001A2DCC" w:rsidRPr="000443A1" w:rsidRDefault="001A2DCC" w:rsidP="001A2DCC">
      <w:pPr>
        <w:jc w:val="both"/>
        <w:rPr>
          <w:rFonts w:cs="Calibri"/>
        </w:rPr>
      </w:pPr>
      <w:r w:rsidRPr="000443A1">
        <w:rPr>
          <w:rFonts w:cs="Calibri"/>
        </w:rPr>
        <w:t xml:space="preserve">Kontrolovaný objem finančních prostředků a majetku představuje hodnotu aktiv, pasiv, nákladů, výnosů a podrozvahových účtů vykázaných v ÚZ a vyčíslených v tabulkách č. 1 a 2. </w:t>
      </w:r>
      <w:r>
        <w:rPr>
          <w:rFonts w:cs="Calibri"/>
        </w:rPr>
        <w:t xml:space="preserve">Kontrolovaný objem finančních prostředků v rámci výkazu FIN 1-12 OSS představuje součet celkových příjmů a výdajů ve sloupci </w:t>
      </w:r>
      <w:r w:rsidRPr="0066297E">
        <w:rPr>
          <w:rFonts w:cs="Calibri"/>
          <w:i/>
        </w:rPr>
        <w:t>Skutečnost</w:t>
      </w:r>
      <w:r w:rsidR="00EE2B68">
        <w:rPr>
          <w:rFonts w:cs="Calibri"/>
        </w:rPr>
        <w:t>,</w:t>
      </w:r>
      <w:r>
        <w:rPr>
          <w:rFonts w:cs="Calibri"/>
        </w:rPr>
        <w:t xml:space="preserve"> </w:t>
      </w:r>
      <w:r w:rsidR="00B54373">
        <w:rPr>
          <w:rFonts w:cs="Calibri"/>
        </w:rPr>
        <w:t>jejichž hodnoty jsou uvedeny</w:t>
      </w:r>
      <w:r>
        <w:rPr>
          <w:rFonts w:cs="Calibri"/>
        </w:rPr>
        <w:t xml:space="preserve"> v tabulce č. 3.</w:t>
      </w:r>
    </w:p>
    <w:p w14:paraId="2068C991" w14:textId="71469C23" w:rsidR="001A2DCC" w:rsidRPr="00A6638A" w:rsidRDefault="001A2DCC" w:rsidP="001A2DCC">
      <w:pPr>
        <w:jc w:val="both"/>
        <w:rPr>
          <w:rFonts w:cs="Calibri"/>
          <w:bCs/>
        </w:rPr>
      </w:pPr>
      <w:r w:rsidRPr="00A6638A">
        <w:rPr>
          <w:rFonts w:cs="Calibri"/>
        </w:rPr>
        <w:t>Kontrola se zaměřila na činnosti a skutečnosti, které byly předmětem účetnictví</w:t>
      </w:r>
      <w:r w:rsidRPr="00A6638A">
        <w:rPr>
          <w:rStyle w:val="Znakapoznpodarou"/>
          <w:rFonts w:cs="Calibri"/>
        </w:rPr>
        <w:footnoteReference w:id="13"/>
      </w:r>
      <w:r w:rsidRPr="00A6638A">
        <w:rPr>
          <w:rFonts w:cs="Calibri"/>
        </w:rPr>
        <w:t xml:space="preserve"> a měly vliv na hodnotu kontrolovaných významných konečných zůstatků účtů v</w:t>
      </w:r>
      <w:r w:rsidR="00395F17">
        <w:rPr>
          <w:rFonts w:cs="Calibri"/>
        </w:rPr>
        <w:t xml:space="preserve"> </w:t>
      </w:r>
      <w:r w:rsidRPr="00A6638A">
        <w:rPr>
          <w:rFonts w:cs="Calibri"/>
        </w:rPr>
        <w:t>ÚZ a na hodnotu významných údajů předkládaných pro hodnocení plnění státního rozpočtu za rok</w:t>
      </w:r>
      <w:r>
        <w:rPr>
          <w:rFonts w:cs="Calibri"/>
        </w:rPr>
        <w:t xml:space="preserve"> </w:t>
      </w:r>
      <w:r w:rsidRPr="00A6638A">
        <w:rPr>
          <w:rFonts w:cs="Calibri"/>
        </w:rPr>
        <w:t>202</w:t>
      </w:r>
      <w:r>
        <w:rPr>
          <w:rFonts w:cs="Calibri"/>
        </w:rPr>
        <w:t>2</w:t>
      </w:r>
      <w:r w:rsidRPr="00A6638A">
        <w:rPr>
          <w:rFonts w:cs="Calibri"/>
        </w:rPr>
        <w:t xml:space="preserve"> a na ZÚ 202</w:t>
      </w:r>
      <w:r>
        <w:rPr>
          <w:rFonts w:cs="Calibri"/>
        </w:rPr>
        <w:t>2</w:t>
      </w:r>
      <w:r w:rsidRPr="00A6638A">
        <w:rPr>
          <w:rFonts w:cs="Calibri"/>
          <w:bCs/>
        </w:rPr>
        <w:t>.</w:t>
      </w:r>
    </w:p>
    <w:p w14:paraId="2C9F6036" w14:textId="435FDFC4" w:rsidR="004D7CF4" w:rsidRPr="0077622B" w:rsidRDefault="004D7CF4" w:rsidP="004D7CF4">
      <w:pPr>
        <w:jc w:val="both"/>
        <w:rPr>
          <w:rFonts w:cs="Calibri"/>
        </w:rPr>
      </w:pPr>
      <w:r w:rsidRPr="00A66CE1">
        <w:rPr>
          <w:rFonts w:cs="Calibri"/>
        </w:rPr>
        <w:t xml:space="preserve">V oblasti vedení účetnictví se kontrola zaměřila na jeho správnost, úplnost, průkaznost </w:t>
      </w:r>
      <w:r>
        <w:rPr>
          <w:rFonts w:cs="Calibri"/>
        </w:rPr>
        <w:br/>
      </w:r>
      <w:r w:rsidRPr="00A66CE1">
        <w:rPr>
          <w:rFonts w:cs="Calibri"/>
        </w:rPr>
        <w:t>a</w:t>
      </w:r>
      <w:r>
        <w:rPr>
          <w:rFonts w:cs="Calibri"/>
        </w:rPr>
        <w:t xml:space="preserve"> </w:t>
      </w:r>
      <w:r w:rsidRPr="00A66CE1">
        <w:rPr>
          <w:rFonts w:cs="Calibri"/>
        </w:rPr>
        <w:t xml:space="preserve">srozumitelnost. </w:t>
      </w:r>
      <w:r w:rsidRPr="00FD03E7">
        <w:rPr>
          <w:rFonts w:cs="Calibri"/>
        </w:rPr>
        <w:t xml:space="preserve">Prověřila </w:t>
      </w:r>
      <w:r>
        <w:rPr>
          <w:rFonts w:cs="Calibri"/>
        </w:rPr>
        <w:t xml:space="preserve">dodržování směrné účtové osnovy, </w:t>
      </w:r>
      <w:r w:rsidRPr="00FD03E7">
        <w:rPr>
          <w:rFonts w:cs="Calibri"/>
        </w:rPr>
        <w:t>správnost použív</w:t>
      </w:r>
      <w:r>
        <w:rPr>
          <w:rFonts w:cs="Calibri"/>
        </w:rPr>
        <w:t>á</w:t>
      </w:r>
      <w:r w:rsidRPr="00FD03E7">
        <w:rPr>
          <w:rFonts w:cs="Calibri"/>
        </w:rPr>
        <w:t>n</w:t>
      </w:r>
      <w:r>
        <w:rPr>
          <w:rFonts w:cs="Calibri"/>
        </w:rPr>
        <w:t>í</w:t>
      </w:r>
      <w:r w:rsidRPr="00FD03E7">
        <w:rPr>
          <w:rFonts w:cs="Calibri"/>
        </w:rPr>
        <w:t xml:space="preserve"> účetních metod a ostatních podmínek vedení účetnictví stanovených </w:t>
      </w:r>
      <w:r>
        <w:rPr>
          <w:rFonts w:cs="Calibri"/>
        </w:rPr>
        <w:t>zákonem č. 563/1991 Sb. a</w:t>
      </w:r>
      <w:r w:rsidR="006841E6">
        <w:rPr>
          <w:rFonts w:cs="Calibri"/>
        </w:rPr>
        <w:t> </w:t>
      </w:r>
      <w:r>
        <w:rPr>
          <w:rFonts w:cs="Calibri"/>
        </w:rPr>
        <w:t>vyhláškou č. 410/2009 Sb.</w:t>
      </w:r>
      <w:r>
        <w:rPr>
          <w:rStyle w:val="Znakapoznpodarou"/>
        </w:rPr>
        <w:footnoteReference w:id="14"/>
      </w:r>
      <w:r w:rsidRPr="00FD03E7">
        <w:rPr>
          <w:rFonts w:cs="Calibri"/>
        </w:rPr>
        <w:t xml:space="preserve"> U</w:t>
      </w:r>
      <w:r>
        <w:rPr>
          <w:rFonts w:cs="Calibri"/>
        </w:rPr>
        <w:t xml:space="preserve"> </w:t>
      </w:r>
      <w:r w:rsidRPr="00FD03E7">
        <w:rPr>
          <w:rFonts w:cs="Calibri"/>
        </w:rPr>
        <w:t>vybraných účetních případů byla provedena kontrola s cílem prověřit systém účtování a</w:t>
      </w:r>
      <w:r w:rsidR="001878D3">
        <w:rPr>
          <w:rFonts w:cs="Calibri"/>
        </w:rPr>
        <w:t xml:space="preserve"> </w:t>
      </w:r>
      <w:r w:rsidRPr="00FD03E7">
        <w:rPr>
          <w:rFonts w:cs="Calibri"/>
        </w:rPr>
        <w:t>vykazování informací o skutečnostech, které jsou předmětem účetnictví.</w:t>
      </w:r>
    </w:p>
    <w:p w14:paraId="5D39924D" w14:textId="501847CE" w:rsidR="001A2DCC" w:rsidRPr="003624E5" w:rsidRDefault="00190D91" w:rsidP="001A2DCC">
      <w:pPr>
        <w:jc w:val="both"/>
        <w:rPr>
          <w:rFonts w:eastAsiaTheme="minorHAnsi" w:cs="Calibri"/>
        </w:rPr>
      </w:pPr>
      <w:r w:rsidRPr="00190D91">
        <w:rPr>
          <w:rFonts w:eastAsiaTheme="minorHAnsi" w:cs="Calibri"/>
        </w:rPr>
        <w:t>V případě údajů předkládaných pro hodnocení plnění státního rozpočtu bylo prověřováno, zda byla dodržena správnost třídění příjmů a výdajů rozpočtovou skladbou z hlediska druhového, odvětvového a prostorového dle vyhlášky č. 412/2021 Sb.</w:t>
      </w:r>
      <w:r w:rsidR="001A2DCC">
        <w:rPr>
          <w:rStyle w:val="Znakapoznpodarou"/>
          <w:rFonts w:eastAsiaTheme="minorHAnsi" w:cs="Calibri"/>
        </w:rPr>
        <w:footnoteReference w:id="15"/>
      </w:r>
    </w:p>
    <w:p w14:paraId="04AE789B" w14:textId="77777777" w:rsidR="001A2DCC" w:rsidRPr="003624E5" w:rsidRDefault="001A2DCC" w:rsidP="001A2DCC">
      <w:pPr>
        <w:jc w:val="both"/>
        <w:rPr>
          <w:rFonts w:cs="Calibri"/>
        </w:rPr>
      </w:pPr>
      <w:r w:rsidRPr="003624E5">
        <w:rPr>
          <w:rFonts w:cs="Calibri"/>
        </w:rPr>
        <w:t xml:space="preserve">Výběr položek účetní závěrky a údajů předkládaných </w:t>
      </w:r>
      <w:r>
        <w:rPr>
          <w:rFonts w:cs="Calibri"/>
        </w:rPr>
        <w:t>Ministerstvem zemědělství</w:t>
      </w:r>
      <w:r w:rsidRPr="003624E5">
        <w:rPr>
          <w:rFonts w:cs="Calibri"/>
        </w:rPr>
        <w:t xml:space="preserve"> pro hodnocení plnění státního rozpočtu provedl NKÚ </w:t>
      </w:r>
      <w:r>
        <w:rPr>
          <w:rFonts w:cs="Calibri"/>
        </w:rPr>
        <w:t>s ohledem</w:t>
      </w:r>
      <w:r w:rsidRPr="003624E5">
        <w:rPr>
          <w:rFonts w:cs="Calibri"/>
        </w:rPr>
        <w:t xml:space="preserve"> na vyhodnocená rizika nesprávnosti vykázaných údajů.</w:t>
      </w:r>
    </w:p>
    <w:p w14:paraId="3455839D" w14:textId="4E878F5D" w:rsidR="001A2DCC" w:rsidRPr="003624E5" w:rsidRDefault="001A2DCC" w:rsidP="001A2DCC">
      <w:pPr>
        <w:jc w:val="both"/>
        <w:rPr>
          <w:rFonts w:eastAsiaTheme="minorHAnsi" w:cs="Calibri"/>
        </w:rPr>
      </w:pPr>
      <w:r w:rsidRPr="003624E5">
        <w:rPr>
          <w:rFonts w:eastAsiaTheme="minorHAnsi" w:cs="Calibri"/>
        </w:rPr>
        <w:t>U relevantních transakcí byl prověřován soulad s vybranými ustanoveními dalších právních předpisů, a to zejména s ustanoveními zákona č. 218/2000 Sb. a zákona č. 219/2000 Sb.</w:t>
      </w:r>
    </w:p>
    <w:p w14:paraId="4FA6E571" w14:textId="4193C158" w:rsidR="001A2DCC" w:rsidRPr="003624E5" w:rsidRDefault="001A2DCC" w:rsidP="001A2DCC">
      <w:pPr>
        <w:jc w:val="both"/>
        <w:rPr>
          <w:rFonts w:eastAsiaTheme="minorHAnsi" w:cs="Calibri"/>
        </w:rPr>
      </w:pPr>
      <w:r w:rsidRPr="003624E5">
        <w:rPr>
          <w:rFonts w:eastAsiaTheme="minorHAnsi" w:cs="Calibri"/>
        </w:rPr>
        <w:t xml:space="preserve">V případě </w:t>
      </w:r>
      <w:r>
        <w:rPr>
          <w:rFonts w:eastAsiaTheme="minorHAnsi" w:cs="Calibri"/>
        </w:rPr>
        <w:t>uzavírání</w:t>
      </w:r>
      <w:r w:rsidRPr="003624E5">
        <w:rPr>
          <w:rFonts w:eastAsiaTheme="minorHAnsi" w:cs="Calibri"/>
        </w:rPr>
        <w:t xml:space="preserve"> smluv a objednávek bylo prověřováno jejich uveřejnění v registru smluv dle zákona č. 340/2015 Sb.</w:t>
      </w:r>
      <w:r w:rsidRPr="003624E5">
        <w:rPr>
          <w:rStyle w:val="Znakapoznpodarou"/>
          <w:rFonts w:eastAsiaTheme="minorHAnsi" w:cs="Calibri"/>
        </w:rPr>
        <w:footnoteReference w:id="16"/>
      </w:r>
    </w:p>
    <w:p w14:paraId="50BCFDDC" w14:textId="5114A780" w:rsidR="00E65D68" w:rsidRDefault="001A2DCC" w:rsidP="001A2DCC">
      <w:pPr>
        <w:jc w:val="both"/>
        <w:rPr>
          <w:rFonts w:eastAsiaTheme="minorHAnsi" w:cs="Calibri"/>
        </w:rPr>
      </w:pPr>
      <w:r w:rsidRPr="00A12605">
        <w:rPr>
          <w:rFonts w:eastAsiaTheme="minorHAnsi" w:cs="Calibri"/>
        </w:rPr>
        <w:lastRenderedPageBreak/>
        <w:t>NKÚ</w:t>
      </w:r>
      <w:r w:rsidRPr="00D848BF">
        <w:rPr>
          <w:rFonts w:eastAsiaTheme="minorHAnsi" w:cs="Calibri"/>
        </w:rPr>
        <w:t xml:space="preserve"> na základě prověřovaných skutečností </w:t>
      </w:r>
      <w:r w:rsidRPr="00A12605">
        <w:rPr>
          <w:rFonts w:eastAsiaTheme="minorHAnsi" w:cs="Calibri"/>
        </w:rPr>
        <w:t>vyhodnotil nastavení VKS</w:t>
      </w:r>
      <w:r w:rsidRPr="00D848BF">
        <w:rPr>
          <w:rFonts w:eastAsiaTheme="minorHAnsi" w:cs="Calibri"/>
        </w:rPr>
        <w:t xml:space="preserve"> v oblasti účetnictví, plnění rozpočtu a závěrečného účtu</w:t>
      </w:r>
      <w:r w:rsidRPr="00742367">
        <w:rPr>
          <w:rFonts w:eastAsiaTheme="minorHAnsi" w:cs="Calibri"/>
        </w:rPr>
        <w:t xml:space="preserve"> (vnitřní předpisy, interní audit, účetní doklady, účetní</w:t>
      </w:r>
      <w:r w:rsidRPr="00E05522">
        <w:rPr>
          <w:rFonts w:eastAsiaTheme="minorHAnsi" w:cs="Calibri"/>
        </w:rPr>
        <w:t xml:space="preserve"> knihy, inventarizace majetku a závazků, účetní závěrka a schvalování účetní závěrky) dle zákonů č. 563/1991 Sb., č. 218/2000 Sb. a dalších</w:t>
      </w:r>
      <w:r>
        <w:rPr>
          <w:rFonts w:eastAsiaTheme="minorHAnsi" w:cs="Calibri"/>
        </w:rPr>
        <w:t xml:space="preserve"> právních</w:t>
      </w:r>
      <w:r w:rsidRPr="00E05522">
        <w:rPr>
          <w:rFonts w:eastAsiaTheme="minorHAnsi" w:cs="Calibri"/>
        </w:rPr>
        <w:t xml:space="preserve"> předpisů a </w:t>
      </w:r>
      <w:r w:rsidRPr="00996CD2">
        <w:rPr>
          <w:rFonts w:eastAsiaTheme="minorHAnsi" w:cs="Calibri"/>
        </w:rPr>
        <w:t>v oblasti</w:t>
      </w:r>
      <w:r w:rsidRPr="001217F1">
        <w:rPr>
          <w:rFonts w:eastAsiaTheme="minorHAnsi" w:cs="Calibri"/>
          <w:b/>
        </w:rPr>
        <w:t xml:space="preserve"> </w:t>
      </w:r>
      <w:r w:rsidRPr="00996CD2">
        <w:rPr>
          <w:rFonts w:eastAsiaTheme="minorHAnsi" w:cs="Calibri"/>
        </w:rPr>
        <w:t>řídicí kontroly</w:t>
      </w:r>
      <w:r w:rsidRPr="00E05522">
        <w:rPr>
          <w:rFonts w:eastAsiaTheme="minorHAnsi" w:cs="Calibri"/>
        </w:rPr>
        <w:t xml:space="preserve"> dle zákona č. 320/2001</w:t>
      </w:r>
      <w:r w:rsidR="008525D6" w:rsidRPr="008525D6">
        <w:rPr>
          <w:rFonts w:eastAsiaTheme="minorHAnsi" w:cs="Calibri"/>
        </w:rPr>
        <w:t xml:space="preserve"> </w:t>
      </w:r>
      <w:r w:rsidR="008525D6" w:rsidRPr="00E05522">
        <w:rPr>
          <w:rFonts w:eastAsiaTheme="minorHAnsi" w:cs="Calibri"/>
        </w:rPr>
        <w:t>Sb.</w:t>
      </w:r>
      <w:r w:rsidR="00DD24CB">
        <w:rPr>
          <w:rStyle w:val="Znakapoznpodarou"/>
          <w:rFonts w:eastAsiaTheme="minorHAnsi" w:cs="Calibri"/>
        </w:rPr>
        <w:footnoteReference w:id="17"/>
      </w:r>
      <w:r w:rsidRPr="00E05522">
        <w:rPr>
          <w:rFonts w:eastAsiaTheme="minorHAnsi" w:cs="Calibri"/>
        </w:rPr>
        <w:t xml:space="preserve"> a vyhlášky č. 416/2004 Sb.</w:t>
      </w:r>
      <w:r w:rsidRPr="00AC7068">
        <w:rPr>
          <w:rStyle w:val="Znakapoznpodarou"/>
          <w:rFonts w:eastAsiaTheme="minorHAnsi" w:cs="Calibri"/>
        </w:rPr>
        <w:footnoteReference w:id="18"/>
      </w:r>
    </w:p>
    <w:p w14:paraId="7D63CAA4" w14:textId="14DF0A20" w:rsidR="001A2DCC" w:rsidRPr="00742367" w:rsidRDefault="001A2DCC" w:rsidP="001A2DCC">
      <w:pPr>
        <w:jc w:val="both"/>
        <w:rPr>
          <w:rFonts w:eastAsiaTheme="minorHAnsi" w:cs="Calibri"/>
          <w:highlight w:val="yellow"/>
        </w:rPr>
      </w:pPr>
      <w:r w:rsidRPr="00A12605">
        <w:rPr>
          <w:rFonts w:eastAsiaTheme="minorHAnsi" w:cs="Calibri"/>
        </w:rPr>
        <w:t>NKÚ dále</w:t>
      </w:r>
      <w:r w:rsidRPr="00D848BF">
        <w:rPr>
          <w:rFonts w:eastAsiaTheme="minorHAnsi" w:cs="Calibri"/>
        </w:rPr>
        <w:t xml:space="preserve"> u prověřovaných operací v oblasti účetnictví, plnění rozpočtu a závěrečného účtu</w:t>
      </w:r>
      <w:r w:rsidRPr="0080201C">
        <w:rPr>
          <w:rFonts w:eastAsiaTheme="minorHAnsi" w:cs="Calibri"/>
        </w:rPr>
        <w:t xml:space="preserve"> dle zákonů č. 563/1991 Sb., č.</w:t>
      </w:r>
      <w:r w:rsidR="00E65D68" w:rsidRPr="00742367">
        <w:rPr>
          <w:rFonts w:eastAsiaTheme="minorHAnsi" w:cs="Calibri"/>
        </w:rPr>
        <w:t> </w:t>
      </w:r>
      <w:r w:rsidRPr="00742367">
        <w:rPr>
          <w:rFonts w:eastAsiaTheme="minorHAnsi" w:cs="Calibri"/>
        </w:rPr>
        <w:t>218/2000</w:t>
      </w:r>
      <w:r w:rsidR="002025D1" w:rsidRPr="00742367">
        <w:rPr>
          <w:rFonts w:eastAsiaTheme="minorHAnsi" w:cs="Calibri"/>
        </w:rPr>
        <w:t> </w:t>
      </w:r>
      <w:r w:rsidRPr="00742367">
        <w:rPr>
          <w:rFonts w:eastAsiaTheme="minorHAnsi" w:cs="Calibri"/>
        </w:rPr>
        <w:t>Sb. a dalších právních předpisů, v oblasti hospodaření s majetkem státu dle zákona č. 219/2000</w:t>
      </w:r>
      <w:r w:rsidR="002025D1" w:rsidRPr="00742367">
        <w:rPr>
          <w:rFonts w:eastAsiaTheme="minorHAnsi" w:cs="Calibri"/>
        </w:rPr>
        <w:t xml:space="preserve"> </w:t>
      </w:r>
      <w:r w:rsidRPr="00742367">
        <w:rPr>
          <w:rFonts w:eastAsiaTheme="minorHAnsi" w:cs="Calibri"/>
        </w:rPr>
        <w:t>Sb., finančního hospodaření dle zákona č. 218/2000</w:t>
      </w:r>
      <w:r w:rsidR="00DD53DB" w:rsidRPr="00742367">
        <w:rPr>
          <w:rFonts w:eastAsiaTheme="minorHAnsi" w:cs="Calibri"/>
        </w:rPr>
        <w:t> </w:t>
      </w:r>
      <w:r w:rsidRPr="00742367">
        <w:rPr>
          <w:rFonts w:eastAsiaTheme="minorHAnsi" w:cs="Calibri"/>
        </w:rPr>
        <w:t>Sb</w:t>
      </w:r>
      <w:r w:rsidRPr="00D848BF">
        <w:rPr>
          <w:rFonts w:eastAsiaTheme="minorHAnsi" w:cs="Calibri"/>
        </w:rPr>
        <w:t>. a dalších právních předpisů (zejména dle zákona č. 340/2015 Sb.) a v oblasti řídicí kontroly</w:t>
      </w:r>
      <w:r w:rsidRPr="0080201C">
        <w:rPr>
          <w:rFonts w:eastAsiaTheme="minorHAnsi" w:cs="Calibri"/>
        </w:rPr>
        <w:t xml:space="preserve"> dle zákona č. 320/2001 Sb. a vyhlášky č. 416/2004 Sb. </w:t>
      </w:r>
      <w:r w:rsidR="00231B4D" w:rsidRPr="00A12605">
        <w:rPr>
          <w:rFonts w:eastAsiaTheme="minorHAnsi" w:cs="Calibri"/>
        </w:rPr>
        <w:t>vyhodnotil funkčnost VKS</w:t>
      </w:r>
      <w:r w:rsidR="00873D28" w:rsidRPr="00D848BF">
        <w:rPr>
          <w:rFonts w:eastAsiaTheme="minorHAnsi" w:cs="Calibri"/>
        </w:rPr>
        <w:t xml:space="preserve">, </w:t>
      </w:r>
      <w:r w:rsidRPr="00D848BF">
        <w:rPr>
          <w:rFonts w:eastAsiaTheme="minorHAnsi" w:cs="Calibri"/>
        </w:rPr>
        <w:t>tj. zda jsou prvk</w:t>
      </w:r>
      <w:r w:rsidRPr="0080201C">
        <w:rPr>
          <w:rFonts w:eastAsiaTheme="minorHAnsi" w:cs="Calibri"/>
        </w:rPr>
        <w:t>y VKS implementovány</w:t>
      </w:r>
      <w:r w:rsidRPr="0071053B">
        <w:rPr>
          <w:rFonts w:eastAsiaTheme="minorHAnsi" w:cs="Calibri"/>
        </w:rPr>
        <w:t xml:space="preserve"> tak, aby bylo zamezeno vzniku nesprávností. </w:t>
      </w:r>
      <w:r w:rsidRPr="00742367">
        <w:rPr>
          <w:rFonts w:eastAsiaTheme="minorHAnsi" w:cs="Calibri"/>
        </w:rPr>
        <w:t>Kombinace zjištění týkajících se nastavení a funkčnosti VKS ve výše uvedených oblastech je pak podkladem pro hodnocení účinnosti vnitřního kontrolního systému MZ</w:t>
      </w:r>
      <w:r w:rsidR="00312568" w:rsidRPr="00742367">
        <w:rPr>
          <w:rFonts w:eastAsiaTheme="minorHAnsi" w:cs="Calibri"/>
        </w:rPr>
        <w:t>e</w:t>
      </w:r>
      <w:r w:rsidRPr="00742367">
        <w:rPr>
          <w:rFonts w:eastAsiaTheme="minorHAnsi" w:cs="Calibri"/>
        </w:rPr>
        <w:t>.</w:t>
      </w:r>
    </w:p>
    <w:p w14:paraId="78620117" w14:textId="77777777" w:rsidR="001A2DCC" w:rsidRPr="00742367" w:rsidRDefault="001A2DCC" w:rsidP="001A2DCC">
      <w:pPr>
        <w:jc w:val="both"/>
        <w:rPr>
          <w:rFonts w:eastAsiaTheme="minorHAnsi" w:cs="Calibri"/>
        </w:rPr>
      </w:pPr>
      <w:r w:rsidRPr="00742367">
        <w:rPr>
          <w:rFonts w:eastAsiaTheme="minorHAnsi" w:cs="Calibri"/>
        </w:rPr>
        <w:t>V rámci kontroly byla vyhodnocena také opatření přijatá k nápravě nedostatků zjištěných kontrolní akcí NKÚ č. 1</w:t>
      </w:r>
      <w:r w:rsidR="00312568" w:rsidRPr="00742367">
        <w:rPr>
          <w:rFonts w:eastAsiaTheme="minorHAnsi" w:cs="Calibri"/>
        </w:rPr>
        <w:t>7</w:t>
      </w:r>
      <w:r w:rsidRPr="00742367">
        <w:rPr>
          <w:rFonts w:eastAsiaTheme="minorHAnsi" w:cs="Calibri"/>
        </w:rPr>
        <w:t>/</w:t>
      </w:r>
      <w:r w:rsidR="00312568" w:rsidRPr="00742367">
        <w:rPr>
          <w:rFonts w:eastAsiaTheme="minorHAnsi" w:cs="Calibri"/>
        </w:rPr>
        <w:t>3</w:t>
      </w:r>
      <w:r w:rsidRPr="00742367">
        <w:rPr>
          <w:rFonts w:eastAsiaTheme="minorHAnsi" w:cs="Calibri"/>
        </w:rPr>
        <w:t>1.</w:t>
      </w:r>
    </w:p>
    <w:p w14:paraId="2BF0E074" w14:textId="65BDBD99" w:rsidR="007B3504" w:rsidRDefault="001A2DCC" w:rsidP="007B3504">
      <w:pPr>
        <w:jc w:val="both"/>
        <w:rPr>
          <w:rFonts w:cs="Calibri"/>
          <w:lang w:eastAsia="cs-CZ"/>
        </w:rPr>
      </w:pPr>
      <w:r w:rsidRPr="003624E5">
        <w:rPr>
          <w:rFonts w:cs="Calibri"/>
          <w:lang w:eastAsia="cs-CZ"/>
        </w:rPr>
        <w:t>Při kontrole ZÚ 202</w:t>
      </w:r>
      <w:r w:rsidR="00312568">
        <w:rPr>
          <w:rFonts w:cs="Calibri"/>
          <w:lang w:eastAsia="cs-CZ"/>
        </w:rPr>
        <w:t>2</w:t>
      </w:r>
      <w:r w:rsidRPr="003624E5">
        <w:rPr>
          <w:rFonts w:cs="Calibri"/>
          <w:lang w:eastAsia="cs-CZ"/>
        </w:rPr>
        <w:t xml:space="preserve"> bylo prověř</w:t>
      </w:r>
      <w:r w:rsidR="00873D28">
        <w:rPr>
          <w:rFonts w:cs="Calibri"/>
          <w:lang w:eastAsia="cs-CZ"/>
        </w:rPr>
        <w:t>eno</w:t>
      </w:r>
      <w:r w:rsidRPr="003624E5">
        <w:rPr>
          <w:rFonts w:cs="Calibri"/>
          <w:lang w:eastAsia="cs-CZ"/>
        </w:rPr>
        <w:t>, zda je závěrečný účet v souladu s požadavky vyhlášky č.</w:t>
      </w:r>
      <w:r w:rsidR="00112BC4">
        <w:rPr>
          <w:rFonts w:cs="Calibri"/>
          <w:lang w:eastAsia="cs-CZ"/>
        </w:rPr>
        <w:t> </w:t>
      </w:r>
      <w:r w:rsidRPr="003624E5">
        <w:rPr>
          <w:rFonts w:cs="Calibri"/>
          <w:lang w:eastAsia="cs-CZ"/>
        </w:rPr>
        <w:t xml:space="preserve">419/2001 Sb. a </w:t>
      </w:r>
      <w:r>
        <w:rPr>
          <w:rFonts w:cs="Calibri"/>
          <w:lang w:eastAsia="cs-CZ"/>
        </w:rPr>
        <w:t xml:space="preserve">zda je </w:t>
      </w:r>
      <w:r w:rsidRPr="003624E5">
        <w:rPr>
          <w:rFonts w:cs="Calibri"/>
          <w:lang w:eastAsia="cs-CZ"/>
        </w:rPr>
        <w:t>také v</w:t>
      </w:r>
      <w:r w:rsidR="007B3504">
        <w:rPr>
          <w:rFonts w:cs="Calibri"/>
          <w:lang w:eastAsia="cs-CZ"/>
        </w:rPr>
        <w:t xml:space="preserve"> </w:t>
      </w:r>
      <w:r w:rsidRPr="003624E5">
        <w:rPr>
          <w:rFonts w:cs="Calibri"/>
          <w:lang w:eastAsia="cs-CZ"/>
        </w:rPr>
        <w:t xml:space="preserve">souladu se skutečností, tzn. zda </w:t>
      </w:r>
      <w:r w:rsidR="007B3504" w:rsidRPr="003624E5">
        <w:rPr>
          <w:rFonts w:cs="Calibri"/>
          <w:lang w:eastAsia="cs-CZ"/>
        </w:rPr>
        <w:t xml:space="preserve">jsou </w:t>
      </w:r>
      <w:r w:rsidRPr="003624E5">
        <w:rPr>
          <w:rFonts w:cs="Calibri"/>
          <w:lang w:eastAsia="cs-CZ"/>
        </w:rPr>
        <w:t xml:space="preserve">vybrané údaje </w:t>
      </w:r>
      <w:r w:rsidR="007B3504">
        <w:rPr>
          <w:rFonts w:cs="Calibri"/>
          <w:lang w:eastAsia="cs-CZ"/>
        </w:rPr>
        <w:t xml:space="preserve">uvedené </w:t>
      </w:r>
      <w:r w:rsidRPr="003624E5">
        <w:rPr>
          <w:rFonts w:cs="Calibri"/>
          <w:lang w:eastAsia="cs-CZ"/>
        </w:rPr>
        <w:t>v závěrečném účtu správné a úplné ve srovnání s</w:t>
      </w:r>
      <w:r w:rsidR="007B3504">
        <w:rPr>
          <w:rFonts w:cs="Calibri"/>
          <w:lang w:eastAsia="cs-CZ"/>
        </w:rPr>
        <w:t>:</w:t>
      </w:r>
    </w:p>
    <w:p w14:paraId="56C26550" w14:textId="4597F250" w:rsidR="007B3504" w:rsidRPr="007B3504" w:rsidRDefault="001A2DCC" w:rsidP="00E60A2A">
      <w:pPr>
        <w:pStyle w:val="Odstavecseseznamem"/>
        <w:numPr>
          <w:ilvl w:val="0"/>
          <w:numId w:val="53"/>
        </w:numPr>
        <w:ind w:left="426" w:hanging="426"/>
        <w:contextualSpacing w:val="0"/>
        <w:jc w:val="both"/>
        <w:rPr>
          <w:rFonts w:cs="Calibri"/>
          <w:lang w:eastAsia="cs-CZ"/>
        </w:rPr>
      </w:pPr>
      <w:r w:rsidRPr="007B3504">
        <w:rPr>
          <w:rFonts w:cs="Calibri"/>
          <w:lang w:eastAsia="cs-CZ"/>
        </w:rPr>
        <w:t xml:space="preserve">finančními výkazy obsahujícími údaje pro hodnocení plnění rozpočtu, </w:t>
      </w:r>
    </w:p>
    <w:p w14:paraId="0258F508" w14:textId="7137C0C0" w:rsidR="007B3504" w:rsidRPr="007B3504" w:rsidRDefault="001A2DCC" w:rsidP="00E60A2A">
      <w:pPr>
        <w:pStyle w:val="Odstavecseseznamem"/>
        <w:numPr>
          <w:ilvl w:val="0"/>
          <w:numId w:val="53"/>
        </w:numPr>
        <w:ind w:left="426" w:hanging="426"/>
        <w:contextualSpacing w:val="0"/>
        <w:jc w:val="both"/>
        <w:rPr>
          <w:rFonts w:cs="Calibri"/>
          <w:lang w:eastAsia="cs-CZ"/>
        </w:rPr>
      </w:pPr>
      <w:r w:rsidRPr="007B3504">
        <w:rPr>
          <w:rFonts w:cs="Calibri"/>
          <w:lang w:eastAsia="cs-CZ"/>
        </w:rPr>
        <w:t xml:space="preserve">údaji </w:t>
      </w:r>
      <w:r w:rsidR="007B3504">
        <w:rPr>
          <w:rFonts w:cs="Calibri"/>
          <w:lang w:eastAsia="cs-CZ"/>
        </w:rPr>
        <w:t xml:space="preserve">uvedenými </w:t>
      </w:r>
      <w:r w:rsidRPr="007B3504">
        <w:rPr>
          <w:rFonts w:cs="Calibri"/>
          <w:lang w:eastAsia="cs-CZ"/>
        </w:rPr>
        <w:t xml:space="preserve">v účetnictví, </w:t>
      </w:r>
    </w:p>
    <w:p w14:paraId="688D902C" w14:textId="02EA6FDA" w:rsidR="007B3504" w:rsidRPr="007B3504" w:rsidRDefault="001A2DCC" w:rsidP="00E60A2A">
      <w:pPr>
        <w:pStyle w:val="Odstavecseseznamem"/>
        <w:numPr>
          <w:ilvl w:val="0"/>
          <w:numId w:val="53"/>
        </w:numPr>
        <w:ind w:left="426" w:hanging="426"/>
        <w:contextualSpacing w:val="0"/>
        <w:jc w:val="both"/>
        <w:rPr>
          <w:rFonts w:cs="Calibri"/>
          <w:lang w:eastAsia="cs-CZ"/>
        </w:rPr>
      </w:pPr>
      <w:r w:rsidRPr="007B3504">
        <w:rPr>
          <w:rFonts w:cs="Calibri"/>
          <w:lang w:eastAsia="cs-CZ"/>
        </w:rPr>
        <w:t>údaji z účetních závěrek MZ</w:t>
      </w:r>
      <w:r w:rsidR="00312568" w:rsidRPr="007B3504">
        <w:rPr>
          <w:rFonts w:cs="Calibri"/>
          <w:lang w:eastAsia="cs-CZ"/>
        </w:rPr>
        <w:t>e</w:t>
      </w:r>
      <w:r w:rsidRPr="007B3504">
        <w:rPr>
          <w:rFonts w:cs="Calibri"/>
          <w:lang w:eastAsia="cs-CZ"/>
        </w:rPr>
        <w:t xml:space="preserve"> a podřízených organizací v rámci kapitoly státního rozpočtu 3</w:t>
      </w:r>
      <w:r w:rsidR="00312568" w:rsidRPr="007B3504">
        <w:rPr>
          <w:rFonts w:cs="Calibri"/>
          <w:lang w:eastAsia="cs-CZ"/>
        </w:rPr>
        <w:t>29</w:t>
      </w:r>
      <w:r w:rsidR="007B3504">
        <w:rPr>
          <w:rFonts w:asciiTheme="minorHAnsi" w:hAnsiTheme="minorHAnsi" w:cstheme="minorHAnsi"/>
        </w:rPr>
        <w:t xml:space="preserve"> –</w:t>
      </w:r>
      <w:r w:rsidR="007B3504" w:rsidRPr="006844ED">
        <w:rPr>
          <w:rFonts w:asciiTheme="minorHAnsi" w:hAnsiTheme="minorHAnsi" w:cstheme="minorHAnsi"/>
        </w:rPr>
        <w:t xml:space="preserve"> </w:t>
      </w:r>
      <w:r w:rsidR="007B3504" w:rsidRPr="00A46479">
        <w:rPr>
          <w:rFonts w:asciiTheme="minorHAnsi" w:hAnsiTheme="minorHAnsi" w:cstheme="minorHAnsi"/>
          <w:i/>
        </w:rPr>
        <w:t>Ministerstvo zemědělství</w:t>
      </w:r>
      <w:r w:rsidRPr="007B3504">
        <w:rPr>
          <w:rFonts w:cs="Calibri"/>
          <w:lang w:eastAsia="cs-CZ"/>
        </w:rPr>
        <w:t>,</w:t>
      </w:r>
    </w:p>
    <w:p w14:paraId="3CB298BD" w14:textId="76D1B976" w:rsidR="007B3504" w:rsidRPr="007B3504" w:rsidRDefault="001A2DCC" w:rsidP="00E60A2A">
      <w:pPr>
        <w:pStyle w:val="Odstavecseseznamem"/>
        <w:numPr>
          <w:ilvl w:val="0"/>
          <w:numId w:val="53"/>
        </w:numPr>
        <w:ind w:left="426" w:hanging="426"/>
        <w:contextualSpacing w:val="0"/>
        <w:jc w:val="both"/>
        <w:rPr>
          <w:rFonts w:cs="Calibri"/>
          <w:lang w:eastAsia="cs-CZ"/>
        </w:rPr>
      </w:pPr>
      <w:r w:rsidRPr="007B3504">
        <w:rPr>
          <w:rFonts w:cs="Calibri"/>
          <w:lang w:eastAsia="cs-CZ"/>
        </w:rPr>
        <w:t>podklady jednotlivých věcně příslušných útvarů MZ</w:t>
      </w:r>
      <w:r w:rsidR="00312568" w:rsidRPr="007B3504">
        <w:rPr>
          <w:rFonts w:cs="Calibri"/>
          <w:lang w:eastAsia="cs-CZ"/>
        </w:rPr>
        <w:t>e</w:t>
      </w:r>
      <w:r w:rsidRPr="007B3504">
        <w:rPr>
          <w:rFonts w:cs="Calibri"/>
          <w:lang w:eastAsia="cs-CZ"/>
        </w:rPr>
        <w:t xml:space="preserve"> a podřízených organizací</w:t>
      </w:r>
      <w:r w:rsidR="007B3504" w:rsidRPr="007B3504">
        <w:rPr>
          <w:rFonts w:cs="Calibri"/>
          <w:lang w:eastAsia="cs-CZ"/>
        </w:rPr>
        <w:t>,</w:t>
      </w:r>
    </w:p>
    <w:p w14:paraId="62D0D7F3" w14:textId="0097054A" w:rsidR="001A2DCC" w:rsidRPr="003624E5" w:rsidRDefault="001A2DCC" w:rsidP="00E60A2A">
      <w:pPr>
        <w:pStyle w:val="Odstavecseseznamem"/>
        <w:numPr>
          <w:ilvl w:val="0"/>
          <w:numId w:val="53"/>
        </w:numPr>
        <w:ind w:left="426" w:hanging="426"/>
        <w:rPr>
          <w:lang w:eastAsia="cs-CZ"/>
        </w:rPr>
      </w:pPr>
      <w:r w:rsidRPr="003624E5">
        <w:rPr>
          <w:lang w:eastAsia="cs-CZ"/>
        </w:rPr>
        <w:t>jinými veřejně dostupnými zdroji, např. usneseními vlády ČR, veřejně přístupnými rejstříky apod.</w:t>
      </w:r>
    </w:p>
    <w:p w14:paraId="00F96437" w14:textId="4726F76D" w:rsidR="001A2DCC" w:rsidRDefault="00873D28" w:rsidP="001A2DCC">
      <w:pPr>
        <w:spacing w:after="0"/>
        <w:jc w:val="both"/>
        <w:rPr>
          <w:lang w:eastAsia="cs-CZ"/>
        </w:rPr>
      </w:pPr>
      <w:r>
        <w:rPr>
          <w:lang w:eastAsia="cs-CZ"/>
        </w:rPr>
        <w:t>V</w:t>
      </w:r>
      <w:r w:rsidR="00395F17">
        <w:rPr>
          <w:lang w:eastAsia="cs-CZ"/>
        </w:rPr>
        <w:t xml:space="preserve"> </w:t>
      </w:r>
      <w:r>
        <w:rPr>
          <w:lang w:eastAsia="cs-CZ"/>
        </w:rPr>
        <w:t xml:space="preserve">rámci kontroly byl rovněž proveden rozbor výsledku hospodaření </w:t>
      </w:r>
      <w:r w:rsidR="002025D1">
        <w:rPr>
          <w:lang w:eastAsia="cs-CZ"/>
        </w:rPr>
        <w:t>MZe</w:t>
      </w:r>
      <w:r>
        <w:rPr>
          <w:lang w:eastAsia="cs-CZ"/>
        </w:rPr>
        <w:t xml:space="preserve"> z akruálního a</w:t>
      </w:r>
      <w:r w:rsidR="00112BC4">
        <w:rPr>
          <w:lang w:eastAsia="cs-CZ"/>
        </w:rPr>
        <w:t> </w:t>
      </w:r>
      <w:r>
        <w:rPr>
          <w:lang w:eastAsia="cs-CZ"/>
        </w:rPr>
        <w:t xml:space="preserve">peněžního pohledu. Kontrola se dále zaměřila na to, zda a jak </w:t>
      </w:r>
      <w:r w:rsidR="002025D1">
        <w:rPr>
          <w:lang w:eastAsia="cs-CZ"/>
        </w:rPr>
        <w:t>MZe</w:t>
      </w:r>
      <w:r>
        <w:rPr>
          <w:lang w:eastAsia="cs-CZ"/>
        </w:rPr>
        <w:t xml:space="preserve"> využívá akruální účetní informace vč. informací vykazovaných na podrozvahových účtech</w:t>
      </w:r>
      <w:r w:rsidR="008463FE">
        <w:rPr>
          <w:lang w:eastAsia="cs-CZ"/>
        </w:rPr>
        <w:t>.</w:t>
      </w:r>
      <w:r w:rsidR="00E70864">
        <w:rPr>
          <w:lang w:eastAsia="cs-CZ"/>
        </w:rPr>
        <w:t xml:space="preserve"> </w:t>
      </w:r>
    </w:p>
    <w:p w14:paraId="7A864AC6" w14:textId="77777777" w:rsidR="001A2DCC" w:rsidRPr="00D71C60" w:rsidRDefault="001A2DCC" w:rsidP="001937B6">
      <w:pPr>
        <w:jc w:val="both"/>
        <w:rPr>
          <w:highlight w:val="yellow"/>
          <w:lang w:eastAsia="cs-CZ"/>
        </w:rPr>
      </w:pPr>
    </w:p>
    <w:p w14:paraId="0CEF8200" w14:textId="77777777" w:rsidR="001A2DCC" w:rsidRPr="00133BC2" w:rsidRDefault="001A2DCC" w:rsidP="00A12605">
      <w:pPr>
        <w:ind w:left="709" w:hanging="709"/>
        <w:jc w:val="both"/>
        <w:rPr>
          <w:rFonts w:asciiTheme="minorHAnsi" w:hAnsiTheme="minorHAnsi" w:cs="Calibri"/>
          <w:sz w:val="20"/>
          <w:szCs w:val="20"/>
        </w:rPr>
      </w:pPr>
      <w:bookmarkStart w:id="6" w:name="_Hlk107242049"/>
      <w:r w:rsidRPr="00133BC2">
        <w:rPr>
          <w:rFonts w:asciiTheme="minorHAnsi" w:hAnsiTheme="minorHAnsi" w:cs="Calibri"/>
          <w:b/>
          <w:sz w:val="20"/>
          <w:szCs w:val="20"/>
        </w:rPr>
        <w:t>Pozn.:</w:t>
      </w:r>
      <w:r w:rsidRPr="00133BC2">
        <w:rPr>
          <w:rFonts w:asciiTheme="minorHAnsi" w:hAnsiTheme="minorHAnsi" w:cs="Calibri"/>
          <w:sz w:val="20"/>
          <w:szCs w:val="20"/>
        </w:rPr>
        <w:t xml:space="preserve"> </w:t>
      </w:r>
      <w:r w:rsidRPr="00133BC2">
        <w:rPr>
          <w:rFonts w:asciiTheme="minorHAnsi" w:hAnsiTheme="minorHAnsi" w:cs="Calibri"/>
          <w:sz w:val="20"/>
          <w:szCs w:val="20"/>
        </w:rPr>
        <w:tab/>
        <w:t>Všechny právní předpisy uvedené v tomto kontrolním závěru jsou aplikovány ve znění účinném pro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133BC2">
        <w:rPr>
          <w:rFonts w:asciiTheme="minorHAnsi" w:hAnsiTheme="minorHAnsi" w:cs="Calibri"/>
          <w:sz w:val="20"/>
          <w:szCs w:val="20"/>
        </w:rPr>
        <w:t>kontrolované období.</w:t>
      </w:r>
    </w:p>
    <w:bookmarkEnd w:id="6"/>
    <w:p w14:paraId="321527EB" w14:textId="3F05D215" w:rsidR="004565F3" w:rsidRDefault="00B9784D" w:rsidP="00A12605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4565F3">
        <w:rPr>
          <w:sz w:val="20"/>
          <w:szCs w:val="20"/>
        </w:rPr>
        <w:t>odnoty uvedené v tomto kontrolním závěru byly zaokrouhlen</w:t>
      </w:r>
      <w:r>
        <w:rPr>
          <w:sz w:val="20"/>
          <w:szCs w:val="20"/>
        </w:rPr>
        <w:t>y</w:t>
      </w:r>
      <w:r w:rsidR="004565F3">
        <w:rPr>
          <w:sz w:val="20"/>
          <w:szCs w:val="20"/>
        </w:rPr>
        <w:t>, čímž může vzniknout drobný nesoulad v uváděných finančních údajích.</w:t>
      </w:r>
    </w:p>
    <w:p w14:paraId="2A42EE78" w14:textId="77777777" w:rsidR="001A2DCC" w:rsidRDefault="001A2DCC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14:paraId="64C34C1B" w14:textId="77777777" w:rsidR="0033466E" w:rsidRDefault="00A640AE" w:rsidP="009E2240">
      <w:pPr>
        <w:pStyle w:val="Nadpis1"/>
      </w:pPr>
      <w:r w:rsidRPr="00D97069">
        <w:lastRenderedPageBreak/>
        <w:t>IV. Podrobné skutečnosti zjištěné kontrolou</w:t>
      </w:r>
    </w:p>
    <w:p w14:paraId="334B91D5" w14:textId="36A16578" w:rsidR="00125571" w:rsidRPr="00E33808" w:rsidRDefault="00A02145" w:rsidP="009F54FB">
      <w:pPr>
        <w:pStyle w:val="Nadpis2"/>
        <w:numPr>
          <w:ilvl w:val="0"/>
          <w:numId w:val="48"/>
        </w:numPr>
      </w:pPr>
      <w:r>
        <w:t>Vedení účetnictví, ú</w:t>
      </w:r>
      <w:r w:rsidR="00125571" w:rsidRPr="00E33808">
        <w:t>četní opravy realizované MZ</w:t>
      </w:r>
      <w:r w:rsidR="00125571">
        <w:t>e</w:t>
      </w:r>
      <w:r w:rsidR="00125571" w:rsidRPr="00E33808">
        <w:t xml:space="preserve"> v</w:t>
      </w:r>
      <w:r w:rsidR="00395F17">
        <w:t xml:space="preserve"> </w:t>
      </w:r>
      <w:r w:rsidR="00125571" w:rsidRPr="00E33808">
        <w:t>průběhu kontroly a spolehlivost údajů ÚZ</w:t>
      </w:r>
    </w:p>
    <w:p w14:paraId="7526730A" w14:textId="005C02D2" w:rsidR="00125571" w:rsidRPr="006B6604" w:rsidRDefault="00483216" w:rsidP="00E60A2A">
      <w:pPr>
        <w:pStyle w:val="Nadpis3"/>
        <w:numPr>
          <w:ilvl w:val="0"/>
          <w:numId w:val="0"/>
        </w:numPr>
        <w:ind w:left="431" w:hanging="431"/>
      </w:pPr>
      <w:r>
        <w:t xml:space="preserve">1.1 </w:t>
      </w:r>
      <w:r w:rsidR="00125571" w:rsidRPr="006B6604">
        <w:t xml:space="preserve">Opravy chyb v účetnictví v průběhu účetního období </w:t>
      </w:r>
    </w:p>
    <w:p w14:paraId="5F183E97" w14:textId="289424A1" w:rsidR="00AA55BA" w:rsidRPr="00AA55BA" w:rsidRDefault="001A1DDA" w:rsidP="001F4F4F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spacing w:val="-2"/>
        </w:rPr>
        <w:t>NKÚ</w:t>
      </w:r>
      <w:r w:rsidR="00045109" w:rsidRPr="00010B99">
        <w:rPr>
          <w:rFonts w:asciiTheme="minorHAnsi" w:hAnsiTheme="minorHAnsi" w:cstheme="minorHAnsi"/>
          <w:spacing w:val="-2"/>
        </w:rPr>
        <w:t xml:space="preserve"> </w:t>
      </w:r>
      <w:r w:rsidR="007065AD">
        <w:rPr>
          <w:rFonts w:asciiTheme="minorHAnsi" w:hAnsiTheme="minorHAnsi" w:cstheme="minorHAnsi"/>
          <w:spacing w:val="-2"/>
        </w:rPr>
        <w:t xml:space="preserve">zahájil </w:t>
      </w:r>
      <w:r>
        <w:rPr>
          <w:rFonts w:asciiTheme="minorHAnsi" w:hAnsiTheme="minorHAnsi" w:cstheme="minorHAnsi"/>
          <w:spacing w:val="-2"/>
        </w:rPr>
        <w:t xml:space="preserve">kontrolu již </w:t>
      </w:r>
      <w:r w:rsidR="00045109" w:rsidRPr="00010B99">
        <w:rPr>
          <w:rFonts w:asciiTheme="minorHAnsi" w:hAnsiTheme="minorHAnsi" w:cstheme="minorHAnsi"/>
          <w:spacing w:val="-2"/>
        </w:rPr>
        <w:t>v průběhu účetního období 202</w:t>
      </w:r>
      <w:r w:rsidR="00492DCE">
        <w:rPr>
          <w:rFonts w:asciiTheme="minorHAnsi" w:hAnsiTheme="minorHAnsi" w:cstheme="minorHAnsi"/>
          <w:spacing w:val="-2"/>
        </w:rPr>
        <w:t>2</w:t>
      </w:r>
      <w:r w:rsidR="00045109" w:rsidRPr="00010B99">
        <w:rPr>
          <w:rFonts w:asciiTheme="minorHAnsi" w:hAnsiTheme="minorHAnsi" w:cstheme="minorHAnsi"/>
          <w:spacing w:val="-2"/>
        </w:rPr>
        <w:t xml:space="preserve">, což umožnilo </w:t>
      </w:r>
      <w:r w:rsidR="00045109">
        <w:rPr>
          <w:rFonts w:asciiTheme="minorHAnsi" w:hAnsiTheme="minorHAnsi" w:cstheme="minorHAnsi"/>
          <w:spacing w:val="-2"/>
        </w:rPr>
        <w:t xml:space="preserve">Ministerstvu </w:t>
      </w:r>
      <w:r w:rsidR="00CB3939">
        <w:rPr>
          <w:rFonts w:asciiTheme="minorHAnsi" w:hAnsiTheme="minorHAnsi" w:cstheme="minorHAnsi"/>
          <w:spacing w:val="-2"/>
        </w:rPr>
        <w:t>zemědělství</w:t>
      </w:r>
      <w:r w:rsidR="00045109" w:rsidRPr="00010B99">
        <w:rPr>
          <w:rFonts w:asciiTheme="minorHAnsi" w:hAnsiTheme="minorHAnsi" w:cstheme="minorHAnsi"/>
          <w:spacing w:val="-2"/>
        </w:rPr>
        <w:t xml:space="preserve"> </w:t>
      </w:r>
      <w:r w:rsidR="004E7FC0" w:rsidRPr="00010B99">
        <w:rPr>
          <w:rFonts w:asciiTheme="minorHAnsi" w:hAnsiTheme="minorHAnsi" w:cstheme="minorHAnsi"/>
          <w:spacing w:val="-2"/>
        </w:rPr>
        <w:t>provést oprav</w:t>
      </w:r>
      <w:r w:rsidR="00C3681A">
        <w:rPr>
          <w:rFonts w:asciiTheme="minorHAnsi" w:hAnsiTheme="minorHAnsi" w:cstheme="minorHAnsi"/>
          <w:spacing w:val="-2"/>
        </w:rPr>
        <w:t xml:space="preserve">y </w:t>
      </w:r>
      <w:r w:rsidR="005F66B6" w:rsidRPr="00010B99">
        <w:rPr>
          <w:rFonts w:asciiTheme="minorHAnsi" w:hAnsiTheme="minorHAnsi" w:cstheme="minorHAnsi"/>
          <w:spacing w:val="-2"/>
        </w:rPr>
        <w:t xml:space="preserve">nedostatků </w:t>
      </w:r>
      <w:r w:rsidR="004E7FC0" w:rsidRPr="00010B99">
        <w:rPr>
          <w:rFonts w:asciiTheme="minorHAnsi" w:hAnsiTheme="minorHAnsi" w:cstheme="minorHAnsi"/>
          <w:spacing w:val="-2"/>
        </w:rPr>
        <w:t>identifikovaných</w:t>
      </w:r>
      <w:r w:rsidR="005F66B6">
        <w:rPr>
          <w:rFonts w:asciiTheme="minorHAnsi" w:hAnsiTheme="minorHAnsi" w:cstheme="minorHAnsi"/>
          <w:spacing w:val="-2"/>
        </w:rPr>
        <w:t xml:space="preserve"> </w:t>
      </w:r>
      <w:r w:rsidR="005F66B6" w:rsidRPr="00010B99">
        <w:rPr>
          <w:rFonts w:asciiTheme="minorHAnsi" w:hAnsiTheme="minorHAnsi" w:cstheme="minorHAnsi"/>
          <w:spacing w:val="-2"/>
        </w:rPr>
        <w:t>v účetnictví</w:t>
      </w:r>
      <w:r w:rsidR="004E7FC0" w:rsidRPr="00010B99">
        <w:rPr>
          <w:rFonts w:asciiTheme="minorHAnsi" w:hAnsiTheme="minorHAnsi" w:cstheme="minorHAnsi"/>
          <w:spacing w:val="-2"/>
        </w:rPr>
        <w:t xml:space="preserve"> </w:t>
      </w:r>
      <w:r w:rsidR="00045109" w:rsidRPr="00010B99">
        <w:rPr>
          <w:rFonts w:asciiTheme="minorHAnsi" w:hAnsiTheme="minorHAnsi" w:cstheme="minorHAnsi"/>
          <w:spacing w:val="-2"/>
        </w:rPr>
        <w:t xml:space="preserve">ještě před uzavřením </w:t>
      </w:r>
      <w:r w:rsidR="004E7FC0" w:rsidRPr="00AA55BA">
        <w:rPr>
          <w:rFonts w:asciiTheme="minorHAnsi" w:hAnsiTheme="minorHAnsi"/>
        </w:rPr>
        <w:t>účetního období 202</w:t>
      </w:r>
      <w:r w:rsidR="004E7FC0">
        <w:rPr>
          <w:rFonts w:asciiTheme="minorHAnsi" w:hAnsiTheme="minorHAnsi"/>
        </w:rPr>
        <w:t>2</w:t>
      </w:r>
      <w:r w:rsidR="004E7FC0" w:rsidRPr="00AA55BA">
        <w:rPr>
          <w:rFonts w:asciiTheme="minorHAnsi" w:hAnsiTheme="minorHAnsi"/>
        </w:rPr>
        <w:t xml:space="preserve"> </w:t>
      </w:r>
      <w:r w:rsidR="00045109" w:rsidRPr="00010B99">
        <w:rPr>
          <w:rFonts w:asciiTheme="minorHAnsi" w:hAnsiTheme="minorHAnsi" w:cstheme="minorHAnsi"/>
          <w:spacing w:val="-2"/>
        </w:rPr>
        <w:t>a sestavením účetní závěr</w:t>
      </w:r>
      <w:r w:rsidR="00045109">
        <w:rPr>
          <w:rFonts w:asciiTheme="minorHAnsi" w:hAnsiTheme="minorHAnsi" w:cstheme="minorHAnsi"/>
          <w:spacing w:val="-2"/>
        </w:rPr>
        <w:t>k</w:t>
      </w:r>
      <w:r w:rsidR="00045109" w:rsidRPr="00010B99">
        <w:rPr>
          <w:rFonts w:asciiTheme="minorHAnsi" w:hAnsiTheme="minorHAnsi" w:cstheme="minorHAnsi"/>
          <w:spacing w:val="-2"/>
        </w:rPr>
        <w:t xml:space="preserve">y. </w:t>
      </w:r>
      <w:r w:rsidR="00AA55BA" w:rsidRPr="00AA55BA">
        <w:rPr>
          <w:rFonts w:asciiTheme="minorHAnsi" w:hAnsiTheme="minorHAnsi"/>
        </w:rPr>
        <w:t>Provedené účetní opravy nedostatků, jejichž souhrnný dopad na účetnictví M</w:t>
      </w:r>
      <w:r w:rsidR="001F4F4F">
        <w:rPr>
          <w:rFonts w:asciiTheme="minorHAnsi" w:hAnsiTheme="minorHAnsi"/>
        </w:rPr>
        <w:t>Ze</w:t>
      </w:r>
      <w:r w:rsidR="00AA55BA" w:rsidRPr="00AA55BA">
        <w:rPr>
          <w:rFonts w:asciiTheme="minorHAnsi" w:hAnsiTheme="minorHAnsi"/>
        </w:rPr>
        <w:t xml:space="preserve"> činil </w:t>
      </w:r>
      <w:r w:rsidR="001F4F4F">
        <w:rPr>
          <w:rFonts w:asciiTheme="minorHAnsi" w:hAnsiTheme="minorHAnsi"/>
        </w:rPr>
        <w:t>3,9 </w:t>
      </w:r>
      <w:r w:rsidR="00AA55BA" w:rsidRPr="00AA55BA">
        <w:rPr>
          <w:rFonts w:asciiTheme="minorHAnsi" w:hAnsiTheme="minorHAnsi"/>
        </w:rPr>
        <w:t>mil.</w:t>
      </w:r>
      <w:r w:rsidR="001F4F4F">
        <w:rPr>
          <w:rFonts w:asciiTheme="minorHAnsi" w:hAnsiTheme="minorHAnsi"/>
        </w:rPr>
        <w:t> </w:t>
      </w:r>
      <w:r w:rsidR="00AA55BA" w:rsidRPr="00AA55BA">
        <w:rPr>
          <w:rFonts w:asciiTheme="minorHAnsi" w:hAnsiTheme="minorHAnsi"/>
        </w:rPr>
        <w:t xml:space="preserve">Kč, spočívaly zejména v: </w:t>
      </w:r>
    </w:p>
    <w:p w14:paraId="40261FB7" w14:textId="564E0137" w:rsidR="00AA55BA" w:rsidRPr="00762F5F" w:rsidRDefault="001F4F4F" w:rsidP="00E60A2A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Theme="minorHAnsi" w:hAnsiTheme="minorHAnsi"/>
        </w:rPr>
      </w:pPr>
      <w:r w:rsidRPr="00762F5F">
        <w:rPr>
          <w:rFonts w:asciiTheme="minorHAnsi" w:hAnsiTheme="minorHAnsi"/>
        </w:rPr>
        <w:t>přeúčtování částk</w:t>
      </w:r>
      <w:r w:rsidR="008375AB" w:rsidRPr="00762F5F">
        <w:rPr>
          <w:rFonts w:asciiTheme="minorHAnsi" w:hAnsiTheme="minorHAnsi"/>
        </w:rPr>
        <w:t>y</w:t>
      </w:r>
      <w:r w:rsidRPr="00762F5F">
        <w:rPr>
          <w:rFonts w:asciiTheme="minorHAnsi" w:hAnsiTheme="minorHAnsi"/>
        </w:rPr>
        <w:t xml:space="preserve"> ve výši 2</w:t>
      </w:r>
      <w:r w:rsidR="008375AB" w:rsidRPr="00762F5F">
        <w:rPr>
          <w:rFonts w:asciiTheme="minorHAnsi" w:hAnsiTheme="minorHAnsi"/>
        </w:rPr>
        <w:t>,</w:t>
      </w:r>
      <w:r w:rsidRPr="00762F5F">
        <w:rPr>
          <w:rFonts w:asciiTheme="minorHAnsi" w:hAnsiTheme="minorHAnsi"/>
        </w:rPr>
        <w:t>7</w:t>
      </w:r>
      <w:r w:rsidR="008375AB" w:rsidRPr="00762F5F">
        <w:rPr>
          <w:rFonts w:asciiTheme="minorHAnsi" w:hAnsiTheme="minorHAnsi"/>
        </w:rPr>
        <w:t xml:space="preserve"> mil. </w:t>
      </w:r>
      <w:r w:rsidRPr="00762F5F">
        <w:rPr>
          <w:rFonts w:asciiTheme="minorHAnsi" w:hAnsiTheme="minorHAnsi"/>
        </w:rPr>
        <w:t xml:space="preserve">Kč z účtu 675 – </w:t>
      </w:r>
      <w:r w:rsidRPr="00FE573A">
        <w:rPr>
          <w:rFonts w:asciiTheme="minorHAnsi" w:hAnsiTheme="minorHAnsi"/>
          <w:i/>
        </w:rPr>
        <w:t>Výnosy vybraných ústředních vládních institucí z předfinancování transferů</w:t>
      </w:r>
      <w:r w:rsidRPr="00762F5F">
        <w:rPr>
          <w:rFonts w:asciiTheme="minorHAnsi" w:hAnsiTheme="minorHAnsi"/>
        </w:rPr>
        <w:t xml:space="preserve"> na účet 671 – </w:t>
      </w:r>
      <w:r w:rsidRPr="00FE573A">
        <w:rPr>
          <w:rFonts w:asciiTheme="minorHAnsi" w:hAnsiTheme="minorHAnsi"/>
          <w:i/>
        </w:rPr>
        <w:t>Výnosy vybraných ústředních vládních institucí z</w:t>
      </w:r>
      <w:r w:rsidR="008375AB" w:rsidRPr="00FE573A">
        <w:rPr>
          <w:rFonts w:asciiTheme="minorHAnsi" w:hAnsiTheme="minorHAnsi"/>
          <w:i/>
        </w:rPr>
        <w:t> </w:t>
      </w:r>
      <w:r w:rsidRPr="00FE573A">
        <w:rPr>
          <w:rFonts w:asciiTheme="minorHAnsi" w:hAnsiTheme="minorHAnsi"/>
          <w:i/>
        </w:rPr>
        <w:t>transferů</w:t>
      </w:r>
      <w:r w:rsidR="008375AB" w:rsidRPr="00762F5F">
        <w:rPr>
          <w:rFonts w:asciiTheme="minorHAnsi" w:hAnsiTheme="minorHAnsi"/>
        </w:rPr>
        <w:t>, neboť se v tomto případě jednalo o</w:t>
      </w:r>
      <w:r w:rsidR="008375AB" w:rsidRPr="008375AB">
        <w:t xml:space="preserve"> </w:t>
      </w:r>
      <w:r w:rsidR="008375AB" w:rsidRPr="00762F5F">
        <w:rPr>
          <w:rFonts w:asciiTheme="minorHAnsi" w:hAnsiTheme="minorHAnsi"/>
        </w:rPr>
        <w:t xml:space="preserve">refundaci netransferových výdajů konečnému příjemci </w:t>
      </w:r>
      <w:r w:rsidR="00646807">
        <w:rPr>
          <w:rFonts w:asciiTheme="minorHAnsi" w:hAnsiTheme="minorHAnsi"/>
        </w:rPr>
        <w:t>(</w:t>
      </w:r>
      <w:r w:rsidR="008375AB" w:rsidRPr="00762F5F">
        <w:rPr>
          <w:rFonts w:asciiTheme="minorHAnsi" w:hAnsiTheme="minorHAnsi"/>
        </w:rPr>
        <w:t>MZe</w:t>
      </w:r>
      <w:r w:rsidR="00646807">
        <w:rPr>
          <w:rFonts w:asciiTheme="minorHAnsi" w:hAnsiTheme="minorHAnsi"/>
        </w:rPr>
        <w:t>)</w:t>
      </w:r>
      <w:r w:rsidR="008375AB" w:rsidRPr="00762F5F">
        <w:rPr>
          <w:rFonts w:asciiTheme="minorHAnsi" w:hAnsiTheme="minorHAnsi"/>
        </w:rPr>
        <w:t xml:space="preserve"> v rámci tzv. </w:t>
      </w:r>
      <w:r w:rsidR="00646807">
        <w:rPr>
          <w:rFonts w:asciiTheme="minorHAnsi" w:hAnsiTheme="minorHAnsi"/>
        </w:rPr>
        <w:t>t</w:t>
      </w:r>
      <w:r w:rsidR="008375AB" w:rsidRPr="00762F5F">
        <w:rPr>
          <w:rFonts w:asciiTheme="minorHAnsi" w:hAnsiTheme="minorHAnsi"/>
        </w:rPr>
        <w:t xml:space="preserve">echnické pomoci (prioritní osa 10.7 – </w:t>
      </w:r>
      <w:r w:rsidR="008375AB" w:rsidRPr="00E60A2A">
        <w:rPr>
          <w:rFonts w:asciiTheme="minorHAnsi" w:hAnsiTheme="minorHAnsi"/>
          <w:i/>
        </w:rPr>
        <w:t>Technická pomoc</w:t>
      </w:r>
      <w:r w:rsidR="008375AB" w:rsidRPr="00762F5F">
        <w:rPr>
          <w:rFonts w:asciiTheme="minorHAnsi" w:hAnsiTheme="minorHAnsi"/>
        </w:rPr>
        <w:t>)</w:t>
      </w:r>
      <w:r w:rsidR="004E2403">
        <w:rPr>
          <w:rStyle w:val="Znakapoznpodarou"/>
          <w:rFonts w:asciiTheme="minorHAnsi" w:hAnsiTheme="minorHAnsi"/>
        </w:rPr>
        <w:footnoteReference w:id="19"/>
      </w:r>
      <w:r w:rsidR="00AA55BA" w:rsidRPr="00762F5F">
        <w:rPr>
          <w:rFonts w:asciiTheme="minorHAnsi" w:hAnsiTheme="minorHAnsi"/>
        </w:rPr>
        <w:t>;</w:t>
      </w:r>
    </w:p>
    <w:p w14:paraId="119B88CC" w14:textId="3C1D2B26" w:rsidR="008375AB" w:rsidRPr="00762F5F" w:rsidRDefault="00C62F08" w:rsidP="00E60A2A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Theme="minorHAnsi" w:hAnsiTheme="minorHAnsi" w:cstheme="minorHAnsi"/>
          <w:spacing w:val="-2"/>
        </w:rPr>
      </w:pPr>
      <w:r w:rsidRPr="00762F5F">
        <w:rPr>
          <w:rFonts w:asciiTheme="minorHAnsi" w:hAnsiTheme="minorHAnsi" w:cstheme="minorHAnsi"/>
          <w:spacing w:val="-2"/>
        </w:rPr>
        <w:t xml:space="preserve">provedení opravy účtování časového rozlišení výdaje </w:t>
      </w:r>
      <w:r w:rsidR="00762F5F">
        <w:rPr>
          <w:rFonts w:asciiTheme="minorHAnsi" w:hAnsiTheme="minorHAnsi" w:cstheme="minorHAnsi"/>
          <w:spacing w:val="-2"/>
        </w:rPr>
        <w:t xml:space="preserve">ve výši 1,1 mil. Kč </w:t>
      </w:r>
      <w:r w:rsidRPr="00762F5F">
        <w:rPr>
          <w:rFonts w:asciiTheme="minorHAnsi" w:hAnsiTheme="minorHAnsi" w:cstheme="minorHAnsi"/>
          <w:spacing w:val="-2"/>
        </w:rPr>
        <w:t xml:space="preserve">z </w:t>
      </w:r>
      <w:r w:rsidR="00FE573A">
        <w:rPr>
          <w:rFonts w:asciiTheme="minorHAnsi" w:hAnsiTheme="minorHAnsi" w:cstheme="minorHAnsi"/>
          <w:spacing w:val="-2"/>
        </w:rPr>
        <w:t>účtu</w:t>
      </w:r>
      <w:r w:rsidRPr="00762F5F">
        <w:rPr>
          <w:rFonts w:asciiTheme="minorHAnsi" w:hAnsiTheme="minorHAnsi" w:cstheme="minorHAnsi"/>
          <w:spacing w:val="-2"/>
        </w:rPr>
        <w:t xml:space="preserve"> 518 – </w:t>
      </w:r>
      <w:r w:rsidRPr="00FE573A">
        <w:rPr>
          <w:rFonts w:asciiTheme="minorHAnsi" w:hAnsiTheme="minorHAnsi" w:cstheme="minorHAnsi"/>
          <w:i/>
          <w:spacing w:val="-2"/>
        </w:rPr>
        <w:t>Ostatní služby</w:t>
      </w:r>
      <w:r w:rsidRPr="00762F5F">
        <w:rPr>
          <w:rFonts w:asciiTheme="minorHAnsi" w:hAnsiTheme="minorHAnsi" w:cstheme="minorHAnsi"/>
          <w:spacing w:val="-2"/>
        </w:rPr>
        <w:t xml:space="preserve"> na </w:t>
      </w:r>
      <w:r w:rsidR="00FE573A">
        <w:rPr>
          <w:rFonts w:asciiTheme="minorHAnsi" w:hAnsiTheme="minorHAnsi" w:cstheme="minorHAnsi"/>
          <w:spacing w:val="-2"/>
        </w:rPr>
        <w:t xml:space="preserve">účet </w:t>
      </w:r>
      <w:r w:rsidRPr="00762F5F">
        <w:rPr>
          <w:rFonts w:asciiTheme="minorHAnsi" w:hAnsiTheme="minorHAnsi" w:cstheme="minorHAnsi"/>
          <w:spacing w:val="-2"/>
        </w:rPr>
        <w:t xml:space="preserve">381 – </w:t>
      </w:r>
      <w:r w:rsidRPr="00FE573A">
        <w:rPr>
          <w:rFonts w:asciiTheme="minorHAnsi" w:hAnsiTheme="minorHAnsi" w:cstheme="minorHAnsi"/>
          <w:i/>
          <w:spacing w:val="-2"/>
        </w:rPr>
        <w:t>Náklady příštích období</w:t>
      </w:r>
      <w:r w:rsidRPr="00762F5F">
        <w:rPr>
          <w:rFonts w:asciiTheme="minorHAnsi" w:hAnsiTheme="minorHAnsi" w:cstheme="minorHAnsi"/>
          <w:spacing w:val="-2"/>
        </w:rPr>
        <w:t xml:space="preserve">, neboť se v uvedeném případě </w:t>
      </w:r>
      <w:r w:rsidR="00565F97" w:rsidRPr="00762F5F">
        <w:rPr>
          <w:rFonts w:asciiTheme="minorHAnsi" w:hAnsiTheme="minorHAnsi" w:cstheme="minorHAnsi"/>
          <w:spacing w:val="-2"/>
        </w:rPr>
        <w:t xml:space="preserve">nejednalo </w:t>
      </w:r>
      <w:r w:rsidR="008F6AC0">
        <w:rPr>
          <w:rFonts w:asciiTheme="minorHAnsi" w:hAnsiTheme="minorHAnsi" w:cstheme="minorHAnsi"/>
          <w:spacing w:val="-2"/>
        </w:rPr>
        <w:br/>
      </w:r>
      <w:r w:rsidR="00565F97" w:rsidRPr="00762F5F">
        <w:rPr>
          <w:rFonts w:asciiTheme="minorHAnsi" w:hAnsiTheme="minorHAnsi" w:cstheme="minorHAnsi"/>
          <w:spacing w:val="-2"/>
        </w:rPr>
        <w:t>o</w:t>
      </w:r>
      <w:r w:rsidR="008F6AC0">
        <w:rPr>
          <w:rFonts w:asciiTheme="minorHAnsi" w:hAnsiTheme="minorHAnsi" w:cstheme="minorHAnsi"/>
          <w:spacing w:val="-2"/>
        </w:rPr>
        <w:t xml:space="preserve"> </w:t>
      </w:r>
      <w:r w:rsidR="00565F97" w:rsidRPr="00762F5F">
        <w:rPr>
          <w:rFonts w:asciiTheme="minorHAnsi" w:hAnsiTheme="minorHAnsi" w:cstheme="minorHAnsi"/>
          <w:spacing w:val="-2"/>
        </w:rPr>
        <w:t xml:space="preserve">náklad MZe roku 2022, ale o výdaj </w:t>
      </w:r>
      <w:r w:rsidRPr="00762F5F">
        <w:rPr>
          <w:rFonts w:asciiTheme="minorHAnsi" w:hAnsiTheme="minorHAnsi" w:cstheme="minorHAnsi"/>
          <w:spacing w:val="-2"/>
        </w:rPr>
        <w:t xml:space="preserve">MZe na </w:t>
      </w:r>
      <w:r w:rsidR="00791438">
        <w:rPr>
          <w:rFonts w:asciiTheme="minorHAnsi" w:hAnsiTheme="minorHAnsi" w:cstheme="minorHAnsi"/>
          <w:spacing w:val="-2"/>
        </w:rPr>
        <w:t>předplatné</w:t>
      </w:r>
      <w:r w:rsidR="00791438" w:rsidRPr="00762F5F">
        <w:rPr>
          <w:rFonts w:asciiTheme="minorHAnsi" w:hAnsiTheme="minorHAnsi" w:cstheme="minorHAnsi"/>
          <w:spacing w:val="-2"/>
        </w:rPr>
        <w:t xml:space="preserve"> </w:t>
      </w:r>
      <w:r w:rsidR="00796D14">
        <w:rPr>
          <w:rFonts w:asciiTheme="minorHAnsi" w:hAnsiTheme="minorHAnsi" w:cstheme="minorHAnsi"/>
          <w:spacing w:val="-2"/>
        </w:rPr>
        <w:t xml:space="preserve">k </w:t>
      </w:r>
      <w:r w:rsidRPr="00762F5F">
        <w:rPr>
          <w:rFonts w:asciiTheme="minorHAnsi" w:hAnsiTheme="minorHAnsi" w:cstheme="minorHAnsi"/>
          <w:spacing w:val="-2"/>
        </w:rPr>
        <w:t>licencí</w:t>
      </w:r>
      <w:r w:rsidR="00796D14">
        <w:rPr>
          <w:rFonts w:asciiTheme="minorHAnsi" w:hAnsiTheme="minorHAnsi" w:cstheme="minorHAnsi"/>
          <w:spacing w:val="-2"/>
        </w:rPr>
        <w:t>m</w:t>
      </w:r>
      <w:r w:rsidRPr="00762F5F">
        <w:rPr>
          <w:rFonts w:asciiTheme="minorHAnsi" w:hAnsiTheme="minorHAnsi" w:cstheme="minorHAnsi"/>
          <w:spacing w:val="-2"/>
        </w:rPr>
        <w:t xml:space="preserve"> související s</w:t>
      </w:r>
      <w:r w:rsidR="00112BC4">
        <w:rPr>
          <w:rFonts w:asciiTheme="minorHAnsi" w:hAnsiTheme="minorHAnsi" w:cstheme="minorHAnsi"/>
          <w:spacing w:val="-2"/>
        </w:rPr>
        <w:t> </w:t>
      </w:r>
      <w:r w:rsidRPr="00762F5F">
        <w:rPr>
          <w:rFonts w:asciiTheme="minorHAnsi" w:hAnsiTheme="minorHAnsi" w:cstheme="minorHAnsi"/>
          <w:spacing w:val="-2"/>
        </w:rPr>
        <w:t>účetním obdobím roku 2023</w:t>
      </w:r>
      <w:r w:rsidR="00646807">
        <w:rPr>
          <w:rFonts w:asciiTheme="minorHAnsi" w:hAnsiTheme="minorHAnsi" w:cstheme="minorHAnsi"/>
          <w:spacing w:val="-2"/>
        </w:rPr>
        <w:t>;</w:t>
      </w:r>
    </w:p>
    <w:p w14:paraId="16DBC15E" w14:textId="36E25D78" w:rsidR="00565F97" w:rsidRPr="00762F5F" w:rsidRDefault="00A82243" w:rsidP="00E60A2A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Theme="minorHAnsi" w:hAnsiTheme="minorHAnsi" w:cstheme="minorHAnsi"/>
          <w:spacing w:val="-2"/>
        </w:rPr>
      </w:pPr>
      <w:r w:rsidRPr="00762F5F">
        <w:rPr>
          <w:rFonts w:asciiTheme="minorHAnsi" w:hAnsiTheme="minorHAnsi" w:cstheme="minorHAnsi"/>
          <w:spacing w:val="-2"/>
        </w:rPr>
        <w:t xml:space="preserve">vyřazení </w:t>
      </w:r>
      <w:r w:rsidR="00565F97" w:rsidRPr="00762F5F">
        <w:rPr>
          <w:rFonts w:asciiTheme="minorHAnsi" w:hAnsiTheme="minorHAnsi" w:cstheme="minorHAnsi"/>
          <w:spacing w:val="-2"/>
        </w:rPr>
        <w:t xml:space="preserve">majetkové položky </w:t>
      </w:r>
      <w:r w:rsidRPr="00762F5F">
        <w:rPr>
          <w:rFonts w:asciiTheme="minorHAnsi" w:hAnsiTheme="minorHAnsi" w:cstheme="minorHAnsi"/>
          <w:spacing w:val="-2"/>
        </w:rPr>
        <w:t>v částce</w:t>
      </w:r>
      <w:r w:rsidR="00565F97" w:rsidRPr="00762F5F">
        <w:rPr>
          <w:rFonts w:asciiTheme="minorHAnsi" w:hAnsiTheme="minorHAnsi" w:cstheme="minorHAnsi"/>
          <w:spacing w:val="-2"/>
        </w:rPr>
        <w:t xml:space="preserve"> </w:t>
      </w:r>
      <w:r w:rsidR="00762F5F">
        <w:rPr>
          <w:rFonts w:asciiTheme="minorHAnsi" w:hAnsiTheme="minorHAnsi" w:cstheme="minorHAnsi"/>
          <w:spacing w:val="-2"/>
        </w:rPr>
        <w:t>0,1</w:t>
      </w:r>
      <w:r w:rsidR="00814DEE">
        <w:rPr>
          <w:rFonts w:asciiTheme="minorHAnsi" w:hAnsiTheme="minorHAnsi" w:cstheme="minorHAnsi"/>
          <w:spacing w:val="-2"/>
        </w:rPr>
        <w:t xml:space="preserve"> </w:t>
      </w:r>
      <w:r w:rsidR="00762F5F">
        <w:rPr>
          <w:rFonts w:asciiTheme="minorHAnsi" w:hAnsiTheme="minorHAnsi" w:cstheme="minorHAnsi"/>
          <w:spacing w:val="-2"/>
        </w:rPr>
        <w:t>mil.</w:t>
      </w:r>
      <w:r w:rsidRPr="00762F5F">
        <w:rPr>
          <w:rFonts w:asciiTheme="minorHAnsi" w:hAnsiTheme="minorHAnsi" w:cstheme="minorHAnsi"/>
          <w:spacing w:val="-2"/>
        </w:rPr>
        <w:t xml:space="preserve"> Kč z majetkové evidence M</w:t>
      </w:r>
      <w:r w:rsidR="00FE573A">
        <w:rPr>
          <w:rFonts w:asciiTheme="minorHAnsi" w:hAnsiTheme="minorHAnsi" w:cstheme="minorHAnsi"/>
          <w:spacing w:val="-2"/>
        </w:rPr>
        <w:t>Z</w:t>
      </w:r>
      <w:r w:rsidRPr="00762F5F">
        <w:rPr>
          <w:rFonts w:asciiTheme="minorHAnsi" w:hAnsiTheme="minorHAnsi" w:cstheme="minorHAnsi"/>
          <w:spacing w:val="-2"/>
        </w:rPr>
        <w:t>e, neboť se nejednalo o majetek</w:t>
      </w:r>
      <w:r w:rsidR="00762F5F" w:rsidRPr="00762F5F">
        <w:rPr>
          <w:rFonts w:asciiTheme="minorHAnsi" w:hAnsiTheme="minorHAnsi" w:cstheme="minorHAnsi"/>
          <w:spacing w:val="-2"/>
        </w:rPr>
        <w:t xml:space="preserve">, </w:t>
      </w:r>
      <w:r w:rsidR="005033A9">
        <w:rPr>
          <w:rFonts w:asciiTheme="minorHAnsi" w:hAnsiTheme="minorHAnsi" w:cstheme="minorHAnsi"/>
          <w:spacing w:val="-2"/>
        </w:rPr>
        <w:t>ale</w:t>
      </w:r>
      <w:r w:rsidR="00565F97" w:rsidRPr="00762F5F">
        <w:rPr>
          <w:rFonts w:asciiTheme="minorHAnsi" w:hAnsiTheme="minorHAnsi" w:cstheme="minorHAnsi"/>
          <w:spacing w:val="-2"/>
        </w:rPr>
        <w:t xml:space="preserve"> </w:t>
      </w:r>
      <w:r w:rsidR="00762F5F" w:rsidRPr="00762F5F">
        <w:rPr>
          <w:rFonts w:asciiTheme="minorHAnsi" w:hAnsiTheme="minorHAnsi" w:cstheme="minorHAnsi"/>
          <w:spacing w:val="-2"/>
        </w:rPr>
        <w:t xml:space="preserve">pouze o roční podporu zakoupenou po uvedení </w:t>
      </w:r>
      <w:r w:rsidR="00FE573A">
        <w:rPr>
          <w:rFonts w:asciiTheme="minorHAnsi" w:hAnsiTheme="minorHAnsi" w:cstheme="minorHAnsi"/>
          <w:spacing w:val="-2"/>
        </w:rPr>
        <w:t>softwaru</w:t>
      </w:r>
      <w:r w:rsidR="00762F5F" w:rsidRPr="00762F5F">
        <w:rPr>
          <w:rFonts w:asciiTheme="minorHAnsi" w:hAnsiTheme="minorHAnsi" w:cstheme="minorHAnsi"/>
          <w:spacing w:val="-2"/>
        </w:rPr>
        <w:t xml:space="preserve"> do užívání.</w:t>
      </w:r>
    </w:p>
    <w:p w14:paraId="07960307" w14:textId="6A9B24C5" w:rsidR="002A4D95" w:rsidRDefault="00A9743A" w:rsidP="00FB5DEA">
      <w:pPr>
        <w:spacing w:after="0"/>
        <w:jc w:val="both"/>
        <w:rPr>
          <w:rFonts w:asciiTheme="minorHAnsi" w:hAnsiTheme="minorHAnsi" w:cstheme="minorHAnsi"/>
          <w:spacing w:val="-2"/>
        </w:rPr>
      </w:pPr>
      <w:r w:rsidRPr="00A12605">
        <w:rPr>
          <w:rFonts w:asciiTheme="minorHAnsi" w:hAnsiTheme="minorHAnsi" w:cstheme="minorHAnsi"/>
          <w:spacing w:val="-2"/>
        </w:rPr>
        <w:t>Tyto nedostatky nebyly významné a MZe je následně v průběhu kontroly opravilo</w:t>
      </w:r>
      <w:r w:rsidR="00E71BB8">
        <w:rPr>
          <w:rFonts w:asciiTheme="minorHAnsi" w:hAnsiTheme="minorHAnsi" w:cstheme="minorHAnsi"/>
          <w:spacing w:val="-2"/>
        </w:rPr>
        <w:t>.</w:t>
      </w:r>
      <w:r w:rsidRPr="00A12605">
        <w:rPr>
          <w:rFonts w:asciiTheme="minorHAnsi" w:hAnsiTheme="minorHAnsi" w:cstheme="minorHAnsi"/>
          <w:spacing w:val="-2"/>
        </w:rPr>
        <w:t xml:space="preserve"> </w:t>
      </w:r>
      <w:r w:rsidR="00FB5DEA">
        <w:rPr>
          <w:rFonts w:asciiTheme="minorHAnsi" w:hAnsiTheme="minorHAnsi" w:cstheme="minorHAnsi"/>
          <w:spacing w:val="-2"/>
        </w:rPr>
        <w:t xml:space="preserve">Např. </w:t>
      </w:r>
      <w:r w:rsidR="008F6AC0">
        <w:rPr>
          <w:rFonts w:asciiTheme="minorHAnsi" w:hAnsiTheme="minorHAnsi" w:cstheme="minorHAnsi"/>
          <w:spacing w:val="-2"/>
        </w:rPr>
        <w:br/>
      </w:r>
      <w:r w:rsidR="00FB5DEA">
        <w:rPr>
          <w:rFonts w:asciiTheme="minorHAnsi" w:hAnsiTheme="minorHAnsi" w:cstheme="minorHAnsi"/>
          <w:spacing w:val="-2"/>
        </w:rPr>
        <w:t>v</w:t>
      </w:r>
      <w:r w:rsidR="008F6AC0">
        <w:rPr>
          <w:rFonts w:asciiTheme="minorHAnsi" w:hAnsiTheme="minorHAnsi" w:cstheme="minorHAnsi"/>
          <w:spacing w:val="-2"/>
        </w:rPr>
        <w:t xml:space="preserve"> </w:t>
      </w:r>
      <w:r w:rsidR="00FB5DEA">
        <w:rPr>
          <w:rFonts w:asciiTheme="minorHAnsi" w:hAnsiTheme="minorHAnsi" w:cstheme="minorHAnsi"/>
          <w:spacing w:val="-2"/>
        </w:rPr>
        <w:t xml:space="preserve">případě refundací netransferových výdajů konečnému příjemci </w:t>
      </w:r>
      <w:r w:rsidR="00646807">
        <w:rPr>
          <w:rFonts w:asciiTheme="minorHAnsi" w:hAnsiTheme="minorHAnsi" w:cstheme="minorHAnsi"/>
          <w:spacing w:val="-2"/>
        </w:rPr>
        <w:t xml:space="preserve">provedlo </w:t>
      </w:r>
      <w:r w:rsidR="00FB5DEA">
        <w:rPr>
          <w:rFonts w:asciiTheme="minorHAnsi" w:hAnsiTheme="minorHAnsi" w:cstheme="minorHAnsi"/>
          <w:spacing w:val="-2"/>
        </w:rPr>
        <w:t>MZe v</w:t>
      </w:r>
      <w:r w:rsidR="008F6AC0">
        <w:rPr>
          <w:rFonts w:asciiTheme="minorHAnsi" w:hAnsiTheme="minorHAnsi" w:cstheme="minorHAnsi"/>
          <w:spacing w:val="-2"/>
        </w:rPr>
        <w:t xml:space="preserve"> </w:t>
      </w:r>
      <w:r w:rsidR="00FB5DEA">
        <w:rPr>
          <w:rFonts w:asciiTheme="minorHAnsi" w:hAnsiTheme="minorHAnsi" w:cstheme="minorHAnsi"/>
          <w:spacing w:val="-2"/>
        </w:rPr>
        <w:t>průběhu kontrolní akce opravu, která spočívala ve změně systémového nastavení účtování těchto případů na účet 671</w:t>
      </w:r>
      <w:r w:rsidR="00646807">
        <w:rPr>
          <w:rFonts w:asciiTheme="minorHAnsi" w:hAnsiTheme="minorHAnsi" w:cstheme="minorHAnsi"/>
          <w:spacing w:val="-2"/>
        </w:rPr>
        <w:t> </w:t>
      </w:r>
      <w:r w:rsidR="00FB5DEA">
        <w:rPr>
          <w:rFonts w:asciiTheme="minorHAnsi" w:hAnsiTheme="minorHAnsi" w:cstheme="minorHAnsi"/>
          <w:spacing w:val="-2"/>
        </w:rPr>
        <w:t>–</w:t>
      </w:r>
      <w:r w:rsidR="00646807">
        <w:rPr>
          <w:rFonts w:asciiTheme="minorHAnsi" w:hAnsiTheme="minorHAnsi" w:cstheme="minorHAnsi"/>
          <w:spacing w:val="-2"/>
        </w:rPr>
        <w:t> </w:t>
      </w:r>
      <w:r w:rsidR="00FB5DEA" w:rsidRPr="00FE573A">
        <w:rPr>
          <w:rFonts w:asciiTheme="minorHAnsi" w:hAnsiTheme="minorHAnsi"/>
          <w:i/>
        </w:rPr>
        <w:t>Výnosy vybraných ústředních vládních institucí z</w:t>
      </w:r>
      <w:r w:rsidR="00FB5DEA">
        <w:rPr>
          <w:rFonts w:asciiTheme="minorHAnsi" w:hAnsiTheme="minorHAnsi"/>
          <w:i/>
        </w:rPr>
        <w:t> </w:t>
      </w:r>
      <w:r w:rsidR="00FB5DEA" w:rsidRPr="00FE573A">
        <w:rPr>
          <w:rFonts w:asciiTheme="minorHAnsi" w:hAnsiTheme="minorHAnsi"/>
          <w:i/>
        </w:rPr>
        <w:t>transferů</w:t>
      </w:r>
      <w:r w:rsidR="00FB5DEA" w:rsidRPr="00E60A2A">
        <w:rPr>
          <w:rFonts w:asciiTheme="minorHAnsi" w:hAnsiTheme="minorHAnsi"/>
        </w:rPr>
        <w:t>.</w:t>
      </w:r>
      <w:r w:rsidR="00FB5DEA" w:rsidRPr="00A12605" w:rsidDel="00E71BB8">
        <w:rPr>
          <w:rFonts w:asciiTheme="minorHAnsi" w:hAnsiTheme="minorHAnsi" w:cstheme="minorHAnsi"/>
          <w:spacing w:val="-2"/>
        </w:rPr>
        <w:t xml:space="preserve"> </w:t>
      </w:r>
    </w:p>
    <w:p w14:paraId="20FEC8C9" w14:textId="77777777" w:rsidR="007E24A3" w:rsidRDefault="007E24A3" w:rsidP="00F0395C">
      <w:pPr>
        <w:widowControl w:val="0"/>
        <w:spacing w:after="0"/>
        <w:jc w:val="both"/>
        <w:rPr>
          <w:rFonts w:asciiTheme="minorHAnsi" w:hAnsiTheme="minorHAnsi" w:cstheme="minorHAnsi"/>
        </w:rPr>
      </w:pPr>
    </w:p>
    <w:p w14:paraId="6969850F" w14:textId="38186C7F" w:rsidR="00206E90" w:rsidRDefault="00646807" w:rsidP="00E60A2A">
      <w:pPr>
        <w:pStyle w:val="Nadpis3"/>
        <w:numPr>
          <w:ilvl w:val="0"/>
          <w:numId w:val="0"/>
        </w:numPr>
        <w:ind w:left="431" w:hanging="431"/>
      </w:pPr>
      <w:r>
        <w:t xml:space="preserve">1.2 </w:t>
      </w:r>
      <w:r w:rsidR="00206E90">
        <w:t>Inventarizace majetku</w:t>
      </w:r>
      <w:r w:rsidR="00F04C6B">
        <w:t xml:space="preserve">, u kterého příslušnost hospodaření s majetkem přešla </w:t>
      </w:r>
      <w:r w:rsidR="00B04D82">
        <w:t>na MZe</w:t>
      </w:r>
    </w:p>
    <w:p w14:paraId="10227994" w14:textId="07D0DEE8" w:rsidR="00EA5FFE" w:rsidRPr="007C6829" w:rsidRDefault="00EA5FFE" w:rsidP="00D80321">
      <w:pPr>
        <w:jc w:val="both"/>
        <w:rPr>
          <w:rFonts w:asciiTheme="minorHAnsi" w:hAnsiTheme="minorHAnsi" w:cstheme="minorHAnsi"/>
        </w:rPr>
      </w:pPr>
      <w:r w:rsidRPr="007C6829">
        <w:rPr>
          <w:rFonts w:eastAsia="Calibri"/>
          <w:szCs w:val="22"/>
        </w:rPr>
        <w:t>V majetkové evidenci MZe se nachází řada majetkových položek zařazených v účetnictví jako stavba či pozemek, které MZe převzalo po zrušené OSS, jejímž bylo zřizovatelem</w:t>
      </w:r>
      <w:r w:rsidR="00B04D82">
        <w:rPr>
          <w:rStyle w:val="Znakapoznpodarou"/>
          <w:rFonts w:eastAsia="Calibri"/>
          <w:szCs w:val="22"/>
        </w:rPr>
        <w:footnoteReference w:id="20"/>
      </w:r>
      <w:r w:rsidRPr="007C6829">
        <w:rPr>
          <w:rFonts w:eastAsia="Calibri"/>
          <w:szCs w:val="22"/>
        </w:rPr>
        <w:t>. S</w:t>
      </w:r>
      <w:r w:rsidRPr="007C6829">
        <w:rPr>
          <w:rFonts w:asciiTheme="minorHAnsi" w:hAnsiTheme="minorHAnsi" w:cstheme="minorHAnsi"/>
        </w:rPr>
        <w:t> odkazem na nepotřebnost převzatého nemovitého majetku k plnění úkolů</w:t>
      </w:r>
      <w:r w:rsidR="00646807">
        <w:rPr>
          <w:rFonts w:asciiTheme="minorHAnsi" w:hAnsiTheme="minorHAnsi" w:cstheme="minorHAnsi"/>
        </w:rPr>
        <w:t xml:space="preserve"> MZe</w:t>
      </w:r>
      <w:r w:rsidRPr="007C6829">
        <w:rPr>
          <w:rFonts w:asciiTheme="minorHAnsi" w:hAnsiTheme="minorHAnsi" w:cstheme="minorHAnsi"/>
        </w:rPr>
        <w:t xml:space="preserve"> v rámci </w:t>
      </w:r>
      <w:r w:rsidR="00646807">
        <w:rPr>
          <w:rFonts w:asciiTheme="minorHAnsi" w:hAnsiTheme="minorHAnsi" w:cstheme="minorHAnsi"/>
        </w:rPr>
        <w:t>jeho</w:t>
      </w:r>
      <w:r w:rsidRPr="007C6829">
        <w:rPr>
          <w:rFonts w:asciiTheme="minorHAnsi" w:hAnsiTheme="minorHAnsi" w:cstheme="minorHAnsi"/>
        </w:rPr>
        <w:t xml:space="preserve"> působnosti a</w:t>
      </w:r>
      <w:r w:rsidR="00112BC4">
        <w:rPr>
          <w:rFonts w:asciiTheme="minorHAnsi" w:hAnsiTheme="minorHAnsi" w:cstheme="minorHAnsi"/>
        </w:rPr>
        <w:t> </w:t>
      </w:r>
      <w:r w:rsidR="00646807">
        <w:rPr>
          <w:rFonts w:asciiTheme="minorHAnsi" w:hAnsiTheme="minorHAnsi" w:cstheme="minorHAnsi"/>
        </w:rPr>
        <w:t xml:space="preserve">vzhledem k </w:t>
      </w:r>
      <w:r w:rsidRPr="007C6829">
        <w:rPr>
          <w:rFonts w:asciiTheme="minorHAnsi" w:hAnsiTheme="minorHAnsi" w:cstheme="minorHAnsi"/>
        </w:rPr>
        <w:t xml:space="preserve">nezájmu o tento majetek ze strany dalších organizací je </w:t>
      </w:r>
      <w:r w:rsidR="00814DEE">
        <w:rPr>
          <w:rFonts w:asciiTheme="minorHAnsi" w:hAnsiTheme="minorHAnsi" w:cstheme="minorHAnsi"/>
        </w:rPr>
        <w:t>předmětný</w:t>
      </w:r>
      <w:r w:rsidRPr="007C6829">
        <w:rPr>
          <w:rFonts w:asciiTheme="minorHAnsi" w:hAnsiTheme="minorHAnsi" w:cstheme="minorHAnsi"/>
        </w:rPr>
        <w:t xml:space="preserve"> majetek postupně přebírán Úřadem pro zastupování státu ve věcech majetkových (dále také „</w:t>
      </w:r>
      <w:r w:rsidRPr="00B7080B">
        <w:rPr>
          <w:rFonts w:asciiTheme="minorHAnsi" w:hAnsiTheme="minorHAnsi" w:cstheme="minorHAnsi"/>
        </w:rPr>
        <w:t>ÚZSVM</w:t>
      </w:r>
      <w:r w:rsidRPr="007C6829">
        <w:rPr>
          <w:rFonts w:asciiTheme="minorHAnsi" w:hAnsiTheme="minorHAnsi" w:cstheme="minorHAnsi"/>
        </w:rPr>
        <w:t>“). U</w:t>
      </w:r>
      <w:r w:rsidR="00646807">
        <w:rPr>
          <w:rFonts w:asciiTheme="minorHAnsi" w:hAnsiTheme="minorHAnsi" w:cstheme="minorHAnsi"/>
        </w:rPr>
        <w:t> </w:t>
      </w:r>
      <w:r w:rsidRPr="007C6829">
        <w:rPr>
          <w:rFonts w:asciiTheme="minorHAnsi" w:hAnsiTheme="minorHAnsi" w:cstheme="minorHAnsi"/>
        </w:rPr>
        <w:t xml:space="preserve">některých majetkových položek zařazených </w:t>
      </w:r>
      <w:r w:rsidR="001B4144" w:rsidRPr="007C6829">
        <w:rPr>
          <w:rFonts w:asciiTheme="minorHAnsi" w:hAnsiTheme="minorHAnsi" w:cstheme="minorHAnsi"/>
        </w:rPr>
        <w:t>v účetnictví MZe</w:t>
      </w:r>
      <w:r w:rsidR="00B04D82">
        <w:rPr>
          <w:rFonts w:asciiTheme="minorHAnsi" w:hAnsiTheme="minorHAnsi" w:cstheme="minorHAnsi"/>
        </w:rPr>
        <w:t xml:space="preserve"> </w:t>
      </w:r>
      <w:r w:rsidRPr="007C6829">
        <w:rPr>
          <w:rFonts w:asciiTheme="minorHAnsi" w:hAnsiTheme="minorHAnsi" w:cstheme="minorHAnsi"/>
        </w:rPr>
        <w:t xml:space="preserve">jako stavba </w:t>
      </w:r>
      <w:r w:rsidR="001B4144" w:rsidRPr="007C6829">
        <w:rPr>
          <w:rFonts w:asciiTheme="minorHAnsi" w:hAnsiTheme="minorHAnsi" w:cstheme="minorHAnsi"/>
        </w:rPr>
        <w:t xml:space="preserve">však </w:t>
      </w:r>
      <w:r w:rsidR="00BC55F5" w:rsidRPr="007C6829">
        <w:rPr>
          <w:rFonts w:asciiTheme="minorHAnsi" w:hAnsiTheme="minorHAnsi" w:cstheme="minorHAnsi"/>
        </w:rPr>
        <w:t xml:space="preserve">dochází </w:t>
      </w:r>
      <w:r w:rsidRPr="007C6829">
        <w:rPr>
          <w:rFonts w:asciiTheme="minorHAnsi" w:hAnsiTheme="minorHAnsi" w:cstheme="minorHAnsi"/>
        </w:rPr>
        <w:t xml:space="preserve">při přebírání </w:t>
      </w:r>
      <w:r w:rsidR="00646807">
        <w:rPr>
          <w:rFonts w:asciiTheme="minorHAnsi" w:hAnsiTheme="minorHAnsi" w:cstheme="minorHAnsi"/>
        </w:rPr>
        <w:t xml:space="preserve">ze strany </w:t>
      </w:r>
      <w:r w:rsidRPr="007C6829">
        <w:rPr>
          <w:rFonts w:asciiTheme="minorHAnsi" w:hAnsiTheme="minorHAnsi" w:cstheme="minorHAnsi"/>
        </w:rPr>
        <w:t xml:space="preserve">ÚZSVM k rozporování jejich majetkové podstaty (existence), </w:t>
      </w:r>
      <w:r w:rsidR="002021DA">
        <w:rPr>
          <w:rFonts w:asciiTheme="minorHAnsi" w:hAnsiTheme="minorHAnsi" w:cstheme="minorHAnsi"/>
        </w:rPr>
        <w:br/>
      </w:r>
      <w:r w:rsidRPr="007C6829">
        <w:rPr>
          <w:rFonts w:asciiTheme="minorHAnsi" w:hAnsiTheme="minorHAnsi" w:cstheme="minorHAnsi"/>
        </w:rPr>
        <w:t>a</w:t>
      </w:r>
      <w:r w:rsidR="002021DA">
        <w:rPr>
          <w:rFonts w:asciiTheme="minorHAnsi" w:hAnsiTheme="minorHAnsi" w:cstheme="minorHAnsi"/>
        </w:rPr>
        <w:t xml:space="preserve"> </w:t>
      </w:r>
      <w:r w:rsidRPr="007C6829">
        <w:rPr>
          <w:rFonts w:asciiTheme="minorHAnsi" w:hAnsiTheme="minorHAnsi" w:cstheme="minorHAnsi"/>
        </w:rPr>
        <w:t>to zejména z</w:t>
      </w:r>
      <w:r w:rsidR="002021DA">
        <w:rPr>
          <w:rFonts w:asciiTheme="minorHAnsi" w:hAnsiTheme="minorHAnsi" w:cstheme="minorHAnsi"/>
        </w:rPr>
        <w:t xml:space="preserve"> </w:t>
      </w:r>
      <w:r w:rsidRPr="007C6829">
        <w:rPr>
          <w:rFonts w:asciiTheme="minorHAnsi" w:hAnsiTheme="minorHAnsi" w:cstheme="minorHAnsi"/>
        </w:rPr>
        <w:t xml:space="preserve">důvodu chybějící průvodní dokumentace. Ke dni 31. 12. 2022 byla netto hodnota </w:t>
      </w:r>
      <w:r w:rsidR="00BC55F5" w:rsidRPr="007C6829">
        <w:rPr>
          <w:rFonts w:asciiTheme="minorHAnsi" w:hAnsiTheme="minorHAnsi" w:cstheme="minorHAnsi"/>
        </w:rPr>
        <w:t>takového</w:t>
      </w:r>
      <w:r w:rsidRPr="007C6829">
        <w:rPr>
          <w:rFonts w:asciiTheme="minorHAnsi" w:hAnsiTheme="minorHAnsi" w:cstheme="minorHAnsi"/>
        </w:rPr>
        <w:t xml:space="preserve"> majetku ve výši 11,6</w:t>
      </w:r>
      <w:r w:rsidR="00252B9B">
        <w:rPr>
          <w:rFonts w:asciiTheme="minorHAnsi" w:hAnsiTheme="minorHAnsi" w:cstheme="minorHAnsi"/>
        </w:rPr>
        <w:t> </w:t>
      </w:r>
      <w:r w:rsidRPr="007C6829">
        <w:rPr>
          <w:rFonts w:asciiTheme="minorHAnsi" w:hAnsiTheme="minorHAnsi" w:cstheme="minorHAnsi"/>
        </w:rPr>
        <w:t xml:space="preserve">mil. Kč a majetek </w:t>
      </w:r>
      <w:r w:rsidR="00BC55F5" w:rsidRPr="007C6829">
        <w:rPr>
          <w:rFonts w:asciiTheme="minorHAnsi" w:hAnsiTheme="minorHAnsi" w:cstheme="minorHAnsi"/>
        </w:rPr>
        <w:t xml:space="preserve">již </w:t>
      </w:r>
      <w:r w:rsidRPr="007C6829">
        <w:rPr>
          <w:rFonts w:asciiTheme="minorHAnsi" w:hAnsiTheme="minorHAnsi" w:cstheme="minorHAnsi"/>
        </w:rPr>
        <w:t>byl z cca 80 % odepsán.</w:t>
      </w:r>
    </w:p>
    <w:p w14:paraId="159ED02D" w14:textId="6679140F" w:rsidR="00EA5FFE" w:rsidRPr="003230C6" w:rsidRDefault="00EA5FFE" w:rsidP="00D80321">
      <w:pPr>
        <w:jc w:val="both"/>
        <w:rPr>
          <w:rFonts w:eastAsia="Calibri"/>
          <w:szCs w:val="22"/>
        </w:rPr>
      </w:pPr>
      <w:r w:rsidRPr="003230C6">
        <w:rPr>
          <w:rFonts w:eastAsia="Calibri"/>
          <w:szCs w:val="22"/>
        </w:rPr>
        <w:lastRenderedPageBreak/>
        <w:t xml:space="preserve">Vzhledem k výše uvedenému existuje riziko nesprávného ocenění a vykázání tohoto majetku </w:t>
      </w:r>
      <w:r w:rsidR="002021DA">
        <w:rPr>
          <w:rFonts w:eastAsia="Calibri"/>
          <w:szCs w:val="22"/>
        </w:rPr>
        <w:br/>
      </w:r>
      <w:r w:rsidRPr="003230C6">
        <w:rPr>
          <w:rFonts w:eastAsia="Calibri"/>
          <w:szCs w:val="22"/>
        </w:rPr>
        <w:t>v</w:t>
      </w:r>
      <w:r w:rsidR="002021DA">
        <w:rPr>
          <w:rFonts w:eastAsia="Calibri"/>
          <w:szCs w:val="22"/>
        </w:rPr>
        <w:t xml:space="preserve"> </w:t>
      </w:r>
      <w:r w:rsidRPr="003230C6">
        <w:rPr>
          <w:rFonts w:eastAsia="Calibri"/>
          <w:szCs w:val="22"/>
        </w:rPr>
        <w:t>ÚZ k</w:t>
      </w:r>
      <w:r w:rsidR="002021DA">
        <w:rPr>
          <w:rFonts w:eastAsia="Calibri"/>
          <w:szCs w:val="22"/>
        </w:rPr>
        <w:t xml:space="preserve"> </w:t>
      </w:r>
      <w:r w:rsidRPr="003230C6">
        <w:rPr>
          <w:rFonts w:eastAsia="Calibri"/>
          <w:szCs w:val="22"/>
        </w:rPr>
        <w:t>31. 12. 2022. S</w:t>
      </w:r>
      <w:r w:rsidR="002021DA">
        <w:rPr>
          <w:rFonts w:eastAsia="Calibri"/>
          <w:szCs w:val="22"/>
        </w:rPr>
        <w:t xml:space="preserve"> </w:t>
      </w:r>
      <w:r w:rsidRPr="003230C6">
        <w:rPr>
          <w:rFonts w:eastAsia="Calibri"/>
          <w:szCs w:val="22"/>
        </w:rPr>
        <w:t>ohledem na zůstatkovou hodnotu majetku se však jedná o</w:t>
      </w:r>
      <w:r w:rsidR="00B84F6C">
        <w:rPr>
          <w:rFonts w:eastAsia="Calibri"/>
          <w:szCs w:val="22"/>
        </w:rPr>
        <w:t xml:space="preserve"> </w:t>
      </w:r>
      <w:r w:rsidRPr="003230C6">
        <w:rPr>
          <w:rFonts w:eastAsia="Calibri"/>
          <w:szCs w:val="22"/>
        </w:rPr>
        <w:t>riziko nevýznamné.</w:t>
      </w:r>
    </w:p>
    <w:p w14:paraId="08A504AD" w14:textId="39D82B3B" w:rsidR="00EA5FFE" w:rsidRPr="003230C6" w:rsidRDefault="00EA5FFE" w:rsidP="00D80321">
      <w:pPr>
        <w:jc w:val="both"/>
        <w:rPr>
          <w:rFonts w:eastAsia="Calibri"/>
          <w:b/>
          <w:szCs w:val="22"/>
        </w:rPr>
      </w:pPr>
      <w:r w:rsidRPr="003230C6">
        <w:rPr>
          <w:rFonts w:eastAsia="Calibri"/>
          <w:b/>
          <w:szCs w:val="22"/>
        </w:rPr>
        <w:t>NKÚ doporučuje zrevidovat stav tohoto majetku v</w:t>
      </w:r>
      <w:r w:rsidR="002021DA">
        <w:rPr>
          <w:rFonts w:eastAsia="Calibri"/>
          <w:b/>
          <w:szCs w:val="22"/>
        </w:rPr>
        <w:t xml:space="preserve"> </w:t>
      </w:r>
      <w:r w:rsidRPr="003230C6">
        <w:rPr>
          <w:rFonts w:eastAsia="Calibri"/>
          <w:b/>
          <w:szCs w:val="22"/>
        </w:rPr>
        <w:t>rámci inventarizace s</w:t>
      </w:r>
      <w:r w:rsidR="002021DA">
        <w:rPr>
          <w:rFonts w:eastAsia="Calibri"/>
          <w:b/>
          <w:szCs w:val="22"/>
        </w:rPr>
        <w:t xml:space="preserve"> </w:t>
      </w:r>
      <w:r w:rsidRPr="003230C6">
        <w:rPr>
          <w:rFonts w:eastAsia="Calibri"/>
          <w:b/>
          <w:szCs w:val="22"/>
        </w:rPr>
        <w:t>následným přeceněním a vykázáním dle skutečného stavu.</w:t>
      </w:r>
    </w:p>
    <w:p w14:paraId="3DB10869" w14:textId="77777777" w:rsidR="00EA5FFE" w:rsidRPr="00EA5FFE" w:rsidRDefault="00EA5FFE" w:rsidP="00D80321">
      <w:pPr>
        <w:spacing w:after="0"/>
      </w:pPr>
    </w:p>
    <w:p w14:paraId="4B9C7A63" w14:textId="34F0E0AA" w:rsidR="00125571" w:rsidRPr="00195280" w:rsidRDefault="00AD51F3" w:rsidP="00E60A2A">
      <w:pPr>
        <w:pStyle w:val="Nadpis3"/>
        <w:numPr>
          <w:ilvl w:val="0"/>
          <w:numId w:val="0"/>
        </w:numPr>
        <w:ind w:left="431" w:hanging="431"/>
      </w:pPr>
      <w:r>
        <w:t xml:space="preserve">1.3 </w:t>
      </w:r>
      <w:r w:rsidR="00125571" w:rsidRPr="00195280">
        <w:t xml:space="preserve">Spolehlivost údajů ÚZ </w:t>
      </w:r>
    </w:p>
    <w:p w14:paraId="4D10046D" w14:textId="2007C702" w:rsidR="00380A2A" w:rsidRDefault="00380A2A" w:rsidP="00125571">
      <w:pPr>
        <w:widowControl w:val="0"/>
        <w:jc w:val="both"/>
        <w:rPr>
          <w:rFonts w:cs="Calibri"/>
          <w:bCs/>
          <w:lang w:eastAsia="cs-CZ"/>
        </w:rPr>
      </w:pPr>
      <w:r>
        <w:rPr>
          <w:rFonts w:cs="Calibri"/>
          <w:bCs/>
          <w:lang w:eastAsia="cs-CZ"/>
        </w:rPr>
        <w:t xml:space="preserve">Údaje ÚZ byly vykázány v rozvaze, </w:t>
      </w:r>
      <w:r w:rsidR="00C3681A">
        <w:rPr>
          <w:rFonts w:cs="Calibri"/>
          <w:bCs/>
          <w:lang w:eastAsia="cs-CZ"/>
        </w:rPr>
        <w:t xml:space="preserve">ve </w:t>
      </w:r>
      <w:r>
        <w:rPr>
          <w:rFonts w:cs="Calibri"/>
          <w:bCs/>
          <w:lang w:eastAsia="cs-CZ"/>
        </w:rPr>
        <w:t xml:space="preserve">výkazu zisku a ztráty, v přehledu o peněžních tocích, </w:t>
      </w:r>
      <w:r w:rsidR="00637D7B">
        <w:rPr>
          <w:rFonts w:cs="Calibri"/>
          <w:bCs/>
          <w:lang w:eastAsia="cs-CZ"/>
        </w:rPr>
        <w:t>v </w:t>
      </w:r>
      <w:r>
        <w:rPr>
          <w:rFonts w:cs="Calibri"/>
          <w:bCs/>
          <w:lang w:eastAsia="cs-CZ"/>
        </w:rPr>
        <w:t>přehledu o změnách vlastního kapitálu a v</w:t>
      </w:r>
      <w:r w:rsidR="00AD51F3">
        <w:rPr>
          <w:rFonts w:cs="Calibri"/>
          <w:bCs/>
          <w:lang w:eastAsia="cs-CZ"/>
        </w:rPr>
        <w:t> </w:t>
      </w:r>
      <w:r>
        <w:rPr>
          <w:rFonts w:cs="Calibri"/>
          <w:bCs/>
          <w:lang w:eastAsia="cs-CZ"/>
        </w:rPr>
        <w:t>příloze</w:t>
      </w:r>
      <w:r w:rsidR="00AD51F3">
        <w:rPr>
          <w:rFonts w:cs="Calibri"/>
          <w:bCs/>
          <w:lang w:eastAsia="cs-CZ"/>
        </w:rPr>
        <w:t xml:space="preserve"> účetní závěrky</w:t>
      </w:r>
      <w:r>
        <w:rPr>
          <w:rFonts w:cs="Calibri"/>
          <w:bCs/>
          <w:lang w:eastAsia="cs-CZ"/>
        </w:rPr>
        <w:t>.</w:t>
      </w:r>
    </w:p>
    <w:p w14:paraId="7A86A8FA" w14:textId="77777777" w:rsidR="00125571" w:rsidRPr="001936EA" w:rsidRDefault="00BD5BE2" w:rsidP="00125571">
      <w:pPr>
        <w:widowControl w:val="0"/>
        <w:jc w:val="both"/>
        <w:rPr>
          <w:rFonts w:cs="Calibri"/>
          <w:bCs/>
          <w:lang w:eastAsia="cs-CZ"/>
        </w:rPr>
      </w:pPr>
      <w:r w:rsidRPr="00AB7571">
        <w:rPr>
          <w:rFonts w:cs="Calibri"/>
        </w:rPr>
        <w:t xml:space="preserve">Pro </w:t>
      </w:r>
      <w:r>
        <w:rPr>
          <w:rFonts w:cs="Calibri"/>
        </w:rPr>
        <w:t xml:space="preserve">vyhodnocení </w:t>
      </w:r>
      <w:r w:rsidRPr="00AB7571">
        <w:rPr>
          <w:rFonts w:cs="Calibri"/>
        </w:rPr>
        <w:t>spolehlivosti</w:t>
      </w:r>
      <w:r>
        <w:rPr>
          <w:rFonts w:cs="Calibri"/>
        </w:rPr>
        <w:t xml:space="preserve"> údajů </w:t>
      </w:r>
      <w:r w:rsidRPr="00AB7571">
        <w:rPr>
          <w:rFonts w:cs="Calibri"/>
        </w:rPr>
        <w:t>ÚZ</w:t>
      </w:r>
      <w:r>
        <w:rPr>
          <w:rFonts w:cs="Calibri"/>
        </w:rPr>
        <w:t xml:space="preserve"> </w:t>
      </w:r>
      <w:r w:rsidRPr="00AB7571">
        <w:rPr>
          <w:rFonts w:cs="Calibri"/>
        </w:rPr>
        <w:t xml:space="preserve">byla stanovena </w:t>
      </w:r>
      <w:r>
        <w:rPr>
          <w:rFonts w:cs="Calibri"/>
        </w:rPr>
        <w:t xml:space="preserve">hladina </w:t>
      </w:r>
      <w:r w:rsidRPr="00AB7571">
        <w:rPr>
          <w:rFonts w:cs="Calibri"/>
        </w:rPr>
        <w:t>významnost</w:t>
      </w:r>
      <w:r>
        <w:rPr>
          <w:rFonts w:cs="Calibri"/>
        </w:rPr>
        <w:t>i</w:t>
      </w:r>
      <w:r w:rsidR="00B6757B">
        <w:rPr>
          <w:rStyle w:val="Znakapoznpodarou"/>
          <w:rFonts w:cs="Calibri"/>
          <w:bCs/>
          <w:lang w:eastAsia="cs-CZ"/>
        </w:rPr>
        <w:footnoteReference w:id="21"/>
      </w:r>
      <w:r w:rsidR="00B6757B">
        <w:rPr>
          <w:rFonts w:cs="Calibri"/>
          <w:bCs/>
          <w:lang w:eastAsia="cs-CZ"/>
        </w:rPr>
        <w:t xml:space="preserve"> </w:t>
      </w:r>
      <w:r w:rsidRPr="00AB7571">
        <w:rPr>
          <w:rFonts w:cs="Calibri"/>
        </w:rPr>
        <w:t>ve výši</w:t>
      </w:r>
      <w:r w:rsidR="00E12265">
        <w:rPr>
          <w:rFonts w:cs="Calibri"/>
        </w:rPr>
        <w:t xml:space="preserve"> </w:t>
      </w:r>
      <w:r w:rsidR="00744187" w:rsidRPr="001936EA">
        <w:rPr>
          <w:rFonts w:cs="Calibri"/>
          <w:bCs/>
          <w:lang w:eastAsia="cs-CZ"/>
        </w:rPr>
        <w:t>1</w:t>
      </w:r>
      <w:r>
        <w:rPr>
          <w:rFonts w:cs="Calibri"/>
          <w:bCs/>
          <w:lang w:eastAsia="cs-CZ"/>
        </w:rPr>
        <w:t> </w:t>
      </w:r>
      <w:r w:rsidR="00744187" w:rsidRPr="001936EA">
        <w:rPr>
          <w:rFonts w:cs="Calibri"/>
          <w:bCs/>
          <w:lang w:eastAsia="cs-CZ"/>
        </w:rPr>
        <w:t>251,</w:t>
      </w:r>
      <w:r w:rsidR="009F4B98">
        <w:rPr>
          <w:rFonts w:cs="Calibri"/>
          <w:bCs/>
          <w:lang w:eastAsia="cs-CZ"/>
        </w:rPr>
        <w:t>5</w:t>
      </w:r>
      <w:r>
        <w:rPr>
          <w:rFonts w:cs="Calibri"/>
          <w:bCs/>
          <w:lang w:eastAsia="cs-CZ"/>
        </w:rPr>
        <w:t> </w:t>
      </w:r>
      <w:r w:rsidR="00125571" w:rsidRPr="001936EA">
        <w:rPr>
          <w:rFonts w:cs="Calibri"/>
          <w:bCs/>
          <w:lang w:eastAsia="cs-CZ"/>
        </w:rPr>
        <w:t>mil. Kč</w:t>
      </w:r>
      <w:r w:rsidR="001936EA" w:rsidRPr="001936EA">
        <w:rPr>
          <w:rStyle w:val="Znakapoznpodarou"/>
        </w:rPr>
        <w:footnoteReference w:id="22"/>
      </w:r>
      <w:r w:rsidR="00125571" w:rsidRPr="001936EA">
        <w:rPr>
          <w:rFonts w:cs="Calibri"/>
          <w:bCs/>
          <w:lang w:eastAsia="cs-CZ"/>
        </w:rPr>
        <w:t>.</w:t>
      </w:r>
    </w:p>
    <w:p w14:paraId="1B0D87CB" w14:textId="77777777" w:rsidR="00380A2A" w:rsidRPr="001936EA" w:rsidRDefault="00380A2A" w:rsidP="00380A2A">
      <w:pPr>
        <w:widowControl w:val="0"/>
        <w:jc w:val="both"/>
        <w:rPr>
          <w:rFonts w:cs="Calibri"/>
          <w:bCs/>
          <w:lang w:eastAsia="cs-CZ"/>
        </w:rPr>
      </w:pPr>
      <w:r w:rsidRPr="001936EA">
        <w:rPr>
          <w:rFonts w:cs="Calibri"/>
          <w:bCs/>
          <w:lang w:eastAsia="cs-CZ"/>
        </w:rPr>
        <w:t xml:space="preserve">V ÚZ sestavené po provedení oprav uvedených v části </w:t>
      </w:r>
      <w:r w:rsidRPr="006530C8">
        <w:rPr>
          <w:rFonts w:cs="Calibri"/>
          <w:bCs/>
          <w:lang w:eastAsia="cs-CZ"/>
        </w:rPr>
        <w:t>IV.1.1</w:t>
      </w:r>
      <w:r w:rsidRPr="001936EA">
        <w:rPr>
          <w:rFonts w:cs="Calibri"/>
          <w:bCs/>
          <w:lang w:eastAsia="cs-CZ"/>
        </w:rPr>
        <w:t xml:space="preserve"> tohoto kontrolního závěru nebyly zjištěny žádné neopravené nesprávnosti.</w:t>
      </w:r>
    </w:p>
    <w:p w14:paraId="711F2BB8" w14:textId="62BFE369" w:rsidR="007101D4" w:rsidRDefault="007301B8" w:rsidP="00EB716E">
      <w:pPr>
        <w:widowControl w:val="0"/>
        <w:jc w:val="both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t>D</w:t>
      </w:r>
      <w:r w:rsidR="00744187" w:rsidRPr="00744187">
        <w:rPr>
          <w:rFonts w:cs="Calibri"/>
          <w:b/>
          <w:bCs/>
          <w:lang w:eastAsia="cs-CZ"/>
        </w:rPr>
        <w:t xml:space="preserve">le </w:t>
      </w:r>
      <w:r w:rsidR="00CB6853">
        <w:rPr>
          <w:rFonts w:cs="Calibri"/>
          <w:b/>
          <w:bCs/>
          <w:lang w:eastAsia="cs-CZ"/>
        </w:rPr>
        <w:t>NKÚ</w:t>
      </w:r>
      <w:r w:rsidR="00744187" w:rsidRPr="00744187">
        <w:rPr>
          <w:rFonts w:cs="Calibri"/>
          <w:b/>
          <w:bCs/>
          <w:lang w:eastAsia="cs-CZ"/>
        </w:rPr>
        <w:t xml:space="preserve"> účetní závěrka MZe sestavená k 31. 12. 2022</w:t>
      </w:r>
      <w:r w:rsidR="007101D4">
        <w:rPr>
          <w:rFonts w:cs="Calibri"/>
          <w:b/>
          <w:bCs/>
          <w:lang w:eastAsia="cs-CZ"/>
        </w:rPr>
        <w:t xml:space="preserve"> </w:t>
      </w:r>
      <w:r w:rsidR="00B1600E" w:rsidRPr="00744187">
        <w:rPr>
          <w:rFonts w:cs="Calibri"/>
          <w:b/>
          <w:bCs/>
          <w:lang w:eastAsia="cs-CZ"/>
        </w:rPr>
        <w:t xml:space="preserve">podává </w:t>
      </w:r>
      <w:r w:rsidR="00744187" w:rsidRPr="00744187">
        <w:rPr>
          <w:rFonts w:cs="Calibri"/>
          <w:b/>
          <w:bCs/>
          <w:lang w:eastAsia="cs-CZ"/>
        </w:rPr>
        <w:t>ve všech významných ohledech věrný a poctivý obraz předmětu účetnictví a finanční situace účetní jednotky dle účetních předpisů pro některé vybrané účetní jednotky</w:t>
      </w:r>
      <w:r w:rsidR="007101D4">
        <w:rPr>
          <w:rFonts w:cs="Calibri"/>
          <w:b/>
          <w:bCs/>
          <w:lang w:eastAsia="cs-CZ"/>
        </w:rPr>
        <w:t>.</w:t>
      </w:r>
    </w:p>
    <w:p w14:paraId="53DD1BCB" w14:textId="67D338D0" w:rsidR="00637D7B" w:rsidRDefault="00637D7B" w:rsidP="009F54FB">
      <w:pPr>
        <w:jc w:val="both"/>
        <w:rPr>
          <w:iCs/>
        </w:rPr>
      </w:pPr>
      <w:r w:rsidRPr="00E45413">
        <w:rPr>
          <w:iCs/>
        </w:rPr>
        <w:t xml:space="preserve">Spolehlivé informace účetní závěrky mají dle </w:t>
      </w:r>
      <w:r w:rsidR="00195133">
        <w:rPr>
          <w:iCs/>
        </w:rPr>
        <w:t>ustanovení</w:t>
      </w:r>
      <w:r w:rsidR="00195133" w:rsidRPr="00E45413">
        <w:rPr>
          <w:iCs/>
        </w:rPr>
        <w:t xml:space="preserve"> </w:t>
      </w:r>
      <w:r w:rsidRPr="00E45413">
        <w:rPr>
          <w:iCs/>
        </w:rPr>
        <w:t xml:space="preserve">§ 7 zákona č. 563/1991 Sb. umožnit jejím uživatelům činit ekonomická rozhodnutí. </w:t>
      </w:r>
      <w:r w:rsidR="00320502">
        <w:rPr>
          <w:iCs/>
        </w:rPr>
        <w:t>NKÚ v</w:t>
      </w:r>
      <w:r w:rsidRPr="00E45413">
        <w:rPr>
          <w:iCs/>
        </w:rPr>
        <w:t xml:space="preserve"> rámci kontroly </w:t>
      </w:r>
      <w:r w:rsidR="00320502">
        <w:rPr>
          <w:iCs/>
        </w:rPr>
        <w:t>provedl</w:t>
      </w:r>
      <w:r w:rsidRPr="00E45413">
        <w:rPr>
          <w:iCs/>
        </w:rPr>
        <w:t xml:space="preserve"> rozbor výsledku hospodaření </w:t>
      </w:r>
      <w:r w:rsidR="00B1600E">
        <w:rPr>
          <w:iCs/>
        </w:rPr>
        <w:t>MZe</w:t>
      </w:r>
      <w:r w:rsidRPr="00E45413">
        <w:rPr>
          <w:iCs/>
        </w:rPr>
        <w:t xml:space="preserve"> z pohledu akruálního (účetního) a peněžního (plnění rozpočtu)</w:t>
      </w:r>
      <w:r w:rsidR="008D5602">
        <w:rPr>
          <w:iCs/>
        </w:rPr>
        <w:t xml:space="preserve">, viz </w:t>
      </w:r>
      <w:r w:rsidR="005D2B62">
        <w:rPr>
          <w:iCs/>
        </w:rPr>
        <w:t>příloha č. 1,</w:t>
      </w:r>
      <w:r w:rsidRPr="00E45413">
        <w:rPr>
          <w:iCs/>
        </w:rPr>
        <w:t xml:space="preserve"> a </w:t>
      </w:r>
      <w:r w:rsidR="00DC7879">
        <w:rPr>
          <w:iCs/>
        </w:rPr>
        <w:t>popsal</w:t>
      </w:r>
      <w:r w:rsidRPr="00E45413">
        <w:rPr>
          <w:iCs/>
        </w:rPr>
        <w:t xml:space="preserve">, zda a jak </w:t>
      </w:r>
      <w:r w:rsidR="00B1600E">
        <w:rPr>
          <w:iCs/>
        </w:rPr>
        <w:t>MZe</w:t>
      </w:r>
      <w:r w:rsidRPr="00E45413">
        <w:rPr>
          <w:iCs/>
        </w:rPr>
        <w:t xml:space="preserve"> využívá akruální účetní informace vč. informací vykazovaných na podrozvahových</w:t>
      </w:r>
      <w:r w:rsidR="00B245BF">
        <w:rPr>
          <w:iCs/>
        </w:rPr>
        <w:t xml:space="preserve"> účtech</w:t>
      </w:r>
      <w:r w:rsidR="000201F8">
        <w:rPr>
          <w:iCs/>
        </w:rPr>
        <w:t xml:space="preserve">, </w:t>
      </w:r>
      <w:r w:rsidRPr="00E45413">
        <w:rPr>
          <w:iCs/>
        </w:rPr>
        <w:t xml:space="preserve">viz příloha č. </w:t>
      </w:r>
      <w:r w:rsidR="005D2B62">
        <w:rPr>
          <w:iCs/>
        </w:rPr>
        <w:t>2</w:t>
      </w:r>
      <w:r w:rsidR="000201F8">
        <w:rPr>
          <w:iCs/>
        </w:rPr>
        <w:t xml:space="preserve"> </w:t>
      </w:r>
      <w:r w:rsidRPr="00E45413">
        <w:rPr>
          <w:iCs/>
        </w:rPr>
        <w:t>tohoto kontrolního závěru.</w:t>
      </w:r>
    </w:p>
    <w:p w14:paraId="64800E97" w14:textId="77777777" w:rsidR="00637D7B" w:rsidRDefault="00637D7B" w:rsidP="00D80321">
      <w:pPr>
        <w:widowControl w:val="0"/>
        <w:jc w:val="both"/>
        <w:rPr>
          <w:rFonts w:cs="Calibri"/>
          <w:b/>
          <w:bCs/>
          <w:lang w:eastAsia="cs-CZ"/>
        </w:rPr>
      </w:pPr>
    </w:p>
    <w:p w14:paraId="1FBC9A83" w14:textId="77777777" w:rsidR="00A75011" w:rsidRPr="005366D4" w:rsidRDefault="00A75011" w:rsidP="000147CE">
      <w:pPr>
        <w:pStyle w:val="Nadpis2"/>
      </w:pPr>
      <w:r w:rsidRPr="005366D4">
        <w:t>Údaje předkládané M</w:t>
      </w:r>
      <w:r w:rsidR="00E459A8">
        <w:t xml:space="preserve">inisterstvem </w:t>
      </w:r>
      <w:r w:rsidR="007101D4">
        <w:t>zemědělství</w:t>
      </w:r>
      <w:r w:rsidRPr="005366D4">
        <w:t xml:space="preserve"> pro hodnocení plnění státního rozpočtu za rok 202</w:t>
      </w:r>
      <w:r w:rsidR="007101D4">
        <w:t>2</w:t>
      </w:r>
    </w:p>
    <w:p w14:paraId="21805D65" w14:textId="64794EF1" w:rsidR="00BF0F09" w:rsidRDefault="007101D4" w:rsidP="007101D4">
      <w:pPr>
        <w:jc w:val="both"/>
        <w:rPr>
          <w:rFonts w:cs="Calibri"/>
          <w:bCs/>
          <w:lang w:eastAsia="cs-CZ"/>
        </w:rPr>
      </w:pPr>
      <w:r w:rsidRPr="00101A7B">
        <w:rPr>
          <w:rFonts w:cs="Calibri"/>
          <w:bCs/>
          <w:lang w:eastAsia="cs-CZ"/>
        </w:rPr>
        <w:t>Obdobně jako v</w:t>
      </w:r>
      <w:r w:rsidR="008B4657">
        <w:rPr>
          <w:rFonts w:cs="Calibri"/>
          <w:bCs/>
          <w:lang w:eastAsia="cs-CZ"/>
        </w:rPr>
        <w:t> </w:t>
      </w:r>
      <w:r w:rsidRPr="00101A7B">
        <w:rPr>
          <w:rFonts w:cs="Calibri"/>
          <w:bCs/>
          <w:lang w:eastAsia="cs-CZ"/>
        </w:rPr>
        <w:t>účetnictví zjistil NKÚ i v rozpočtovém systému MZ</w:t>
      </w:r>
      <w:r w:rsidR="00234D36">
        <w:rPr>
          <w:rFonts w:cs="Calibri"/>
          <w:bCs/>
          <w:lang w:eastAsia="cs-CZ"/>
        </w:rPr>
        <w:t>e</w:t>
      </w:r>
      <w:r w:rsidRPr="00101A7B">
        <w:rPr>
          <w:rFonts w:cs="Calibri"/>
          <w:bCs/>
          <w:lang w:eastAsia="cs-CZ"/>
        </w:rPr>
        <w:t xml:space="preserve"> v průběhu kontroly</w:t>
      </w:r>
      <w:r w:rsidR="00A77265">
        <w:rPr>
          <w:rFonts w:cs="Calibri"/>
          <w:bCs/>
          <w:lang w:eastAsia="cs-CZ"/>
        </w:rPr>
        <w:t xml:space="preserve"> pouze nevýznamné</w:t>
      </w:r>
      <w:r w:rsidRPr="00101A7B">
        <w:rPr>
          <w:rFonts w:cs="Calibri"/>
          <w:bCs/>
          <w:lang w:eastAsia="cs-CZ"/>
        </w:rPr>
        <w:t xml:space="preserve"> nedostatky</w:t>
      </w:r>
      <w:r>
        <w:rPr>
          <w:rFonts w:cs="Calibri"/>
          <w:bCs/>
          <w:lang w:eastAsia="cs-CZ"/>
        </w:rPr>
        <w:t xml:space="preserve"> (</w:t>
      </w:r>
      <w:r w:rsidRPr="00101A7B">
        <w:rPr>
          <w:rFonts w:cs="Calibri"/>
          <w:bCs/>
          <w:lang w:eastAsia="cs-CZ"/>
        </w:rPr>
        <w:t xml:space="preserve">v celkové výši </w:t>
      </w:r>
      <w:r w:rsidR="00234D36">
        <w:rPr>
          <w:rFonts w:cs="Calibri"/>
          <w:bCs/>
          <w:lang w:eastAsia="cs-CZ"/>
        </w:rPr>
        <w:t>13,3</w:t>
      </w:r>
      <w:r w:rsidRPr="00101A7B">
        <w:rPr>
          <w:rFonts w:cs="Calibri"/>
          <w:bCs/>
          <w:lang w:eastAsia="cs-CZ"/>
        </w:rPr>
        <w:t xml:space="preserve"> m</w:t>
      </w:r>
      <w:r w:rsidR="00234D36">
        <w:rPr>
          <w:rFonts w:cs="Calibri"/>
          <w:bCs/>
          <w:lang w:eastAsia="cs-CZ"/>
        </w:rPr>
        <w:t>il</w:t>
      </w:r>
      <w:r w:rsidRPr="00101A7B">
        <w:rPr>
          <w:rFonts w:cs="Calibri"/>
          <w:bCs/>
          <w:lang w:eastAsia="cs-CZ"/>
        </w:rPr>
        <w:t>. Kč</w:t>
      </w:r>
      <w:r w:rsidRPr="00D848BF">
        <w:rPr>
          <w:rFonts w:cs="Calibri"/>
          <w:bCs/>
          <w:lang w:eastAsia="cs-CZ"/>
        </w:rPr>
        <w:t>)</w:t>
      </w:r>
      <w:r w:rsidR="00157B53">
        <w:rPr>
          <w:rFonts w:cs="Calibri"/>
          <w:bCs/>
          <w:lang w:eastAsia="cs-CZ"/>
        </w:rPr>
        <w:t>.</w:t>
      </w:r>
      <w:r w:rsidR="00482332" w:rsidRPr="00A12605">
        <w:rPr>
          <w:rFonts w:cs="Calibri"/>
          <w:bCs/>
          <w:lang w:eastAsia="cs-CZ"/>
        </w:rPr>
        <w:t xml:space="preserve"> </w:t>
      </w:r>
      <w:r w:rsidRPr="00101A7B">
        <w:rPr>
          <w:rFonts w:cs="Calibri"/>
          <w:bCs/>
          <w:lang w:eastAsia="cs-CZ"/>
        </w:rPr>
        <w:t>Jednalo se o</w:t>
      </w:r>
      <w:r w:rsidR="00BF0F09">
        <w:rPr>
          <w:rFonts w:cs="Calibri"/>
          <w:bCs/>
          <w:lang w:eastAsia="cs-CZ"/>
        </w:rPr>
        <w:t>:</w:t>
      </w:r>
    </w:p>
    <w:p w14:paraId="548BC24F" w14:textId="3D7CF167" w:rsidR="007101D4" w:rsidRDefault="00322600" w:rsidP="00E60A2A">
      <w:pPr>
        <w:pStyle w:val="Odstavecseseznamem"/>
        <w:numPr>
          <w:ilvl w:val="0"/>
          <w:numId w:val="18"/>
        </w:numPr>
        <w:ind w:left="426" w:hanging="426"/>
        <w:jc w:val="both"/>
        <w:rPr>
          <w:rFonts w:cs="Calibri"/>
          <w:bCs/>
          <w:lang w:eastAsia="cs-CZ"/>
        </w:rPr>
      </w:pPr>
      <w:r w:rsidRPr="00BF0F09">
        <w:rPr>
          <w:rFonts w:cs="Calibri"/>
          <w:bCs/>
          <w:lang w:eastAsia="cs-CZ"/>
        </w:rPr>
        <w:t>zatřídění části přijatých neinvestičních prostředků</w:t>
      </w:r>
      <w:r w:rsidR="00FA5CF9">
        <w:rPr>
          <w:rFonts w:cs="Calibri"/>
          <w:bCs/>
          <w:lang w:eastAsia="cs-CZ"/>
        </w:rPr>
        <w:t xml:space="preserve"> </w:t>
      </w:r>
      <w:r w:rsidR="00FA5CF9">
        <w:rPr>
          <w:lang w:eastAsia="cs-CZ"/>
        </w:rPr>
        <w:t>z</w:t>
      </w:r>
      <w:r w:rsidR="00AD51F3">
        <w:rPr>
          <w:lang w:eastAsia="cs-CZ"/>
        </w:rPr>
        <w:t xml:space="preserve"> </w:t>
      </w:r>
      <w:r w:rsidR="00FA5CF9">
        <w:rPr>
          <w:lang w:eastAsia="cs-CZ"/>
        </w:rPr>
        <w:t>Národního fondu</w:t>
      </w:r>
      <w:r w:rsidR="00014054">
        <w:rPr>
          <w:rFonts w:cs="Calibri"/>
          <w:bCs/>
          <w:lang w:eastAsia="cs-CZ"/>
        </w:rPr>
        <w:t>,</w:t>
      </w:r>
      <w:r w:rsidRPr="00BF0F09">
        <w:rPr>
          <w:rFonts w:cs="Calibri"/>
          <w:bCs/>
          <w:lang w:eastAsia="cs-CZ"/>
        </w:rPr>
        <w:t xml:space="preserve"> které byly </w:t>
      </w:r>
      <w:r w:rsidR="00AD51F3">
        <w:rPr>
          <w:rFonts w:cs="Calibri"/>
          <w:bCs/>
          <w:lang w:eastAsia="cs-CZ"/>
        </w:rPr>
        <w:t>Ministerstvem zemědělství</w:t>
      </w:r>
      <w:r w:rsidRPr="00BF0F09">
        <w:rPr>
          <w:rFonts w:cs="Calibri"/>
          <w:bCs/>
          <w:lang w:eastAsia="cs-CZ"/>
        </w:rPr>
        <w:t xml:space="preserve"> </w:t>
      </w:r>
      <w:r w:rsidR="008B53E7" w:rsidRPr="00BF0F09">
        <w:rPr>
          <w:rFonts w:cs="Calibri"/>
          <w:bCs/>
          <w:lang w:eastAsia="cs-CZ"/>
        </w:rPr>
        <w:t xml:space="preserve">nesprávně </w:t>
      </w:r>
      <w:r w:rsidRPr="00BF0F09">
        <w:rPr>
          <w:rFonts w:cs="Calibri"/>
          <w:bCs/>
          <w:lang w:eastAsia="cs-CZ"/>
        </w:rPr>
        <w:t>klasifikovány jako prostředky investiční.</w:t>
      </w:r>
      <w:r w:rsidR="007101D4" w:rsidRPr="00BF0F09">
        <w:rPr>
          <w:rFonts w:cs="Calibri"/>
          <w:bCs/>
          <w:lang w:eastAsia="cs-CZ"/>
        </w:rPr>
        <w:t xml:space="preserve"> </w:t>
      </w:r>
    </w:p>
    <w:p w14:paraId="35A2F816" w14:textId="36DCB6C4" w:rsidR="00FB5DEA" w:rsidRPr="0002282E" w:rsidRDefault="00301467" w:rsidP="00E3245A">
      <w:pPr>
        <w:jc w:val="both"/>
        <w:rPr>
          <w:rFonts w:cs="Calibri"/>
          <w:bCs/>
          <w:lang w:eastAsia="cs-CZ"/>
        </w:rPr>
      </w:pPr>
      <w:r w:rsidRPr="00A12605">
        <w:rPr>
          <w:rFonts w:cs="Calibri"/>
          <w:bCs/>
          <w:lang w:eastAsia="cs-CZ"/>
        </w:rPr>
        <w:t xml:space="preserve">MZe </w:t>
      </w:r>
      <w:r w:rsidR="0073577C">
        <w:rPr>
          <w:rFonts w:cs="Calibri"/>
          <w:bCs/>
          <w:lang w:eastAsia="cs-CZ"/>
        </w:rPr>
        <w:t xml:space="preserve">tyto nedostatky opravilo </w:t>
      </w:r>
      <w:r w:rsidRPr="00A12605">
        <w:rPr>
          <w:rFonts w:cs="Calibri"/>
          <w:bCs/>
          <w:lang w:eastAsia="cs-CZ"/>
        </w:rPr>
        <w:t>ještě před předáním údajů pro hodnocení plnění státního rozpočtu za rok 2022</w:t>
      </w:r>
      <w:r w:rsidR="002703E3">
        <w:rPr>
          <w:rFonts w:asciiTheme="minorHAnsi" w:hAnsiTheme="minorHAnsi" w:cstheme="minorHAnsi"/>
          <w:spacing w:val="-2"/>
        </w:rPr>
        <w:t>.</w:t>
      </w:r>
    </w:p>
    <w:p w14:paraId="10AA29A4" w14:textId="77777777" w:rsidR="0079104C" w:rsidRDefault="007101D4" w:rsidP="0079104C">
      <w:pPr>
        <w:jc w:val="both"/>
        <w:rPr>
          <w:rFonts w:cs="Calibri"/>
        </w:rPr>
      </w:pPr>
      <w:r w:rsidRPr="00742B94">
        <w:rPr>
          <w:rFonts w:cs="Calibri"/>
        </w:rPr>
        <w:t xml:space="preserve">Pro posouzení významnosti zjištěných nesprávností v údajích předkládaných </w:t>
      </w:r>
      <w:r>
        <w:rPr>
          <w:rFonts w:cs="Calibri"/>
        </w:rPr>
        <w:t xml:space="preserve">Ministerstvem </w:t>
      </w:r>
      <w:r w:rsidR="00234D36">
        <w:rPr>
          <w:rFonts w:cs="Calibri"/>
        </w:rPr>
        <w:t>zemědělství</w:t>
      </w:r>
      <w:r w:rsidRPr="00742B94">
        <w:rPr>
          <w:rFonts w:cs="Calibri"/>
        </w:rPr>
        <w:t xml:space="preserve"> pro hodnocení plnění státního rozpočtu byla stanovena </w:t>
      </w:r>
      <w:r>
        <w:rPr>
          <w:rFonts w:cs="Calibri"/>
        </w:rPr>
        <w:t xml:space="preserve">hladina </w:t>
      </w:r>
      <w:r w:rsidRPr="00742B94">
        <w:rPr>
          <w:rFonts w:cs="Calibri"/>
        </w:rPr>
        <w:t>významnost</w:t>
      </w:r>
      <w:r>
        <w:rPr>
          <w:rFonts w:cs="Calibri"/>
        </w:rPr>
        <w:t>i</w:t>
      </w:r>
      <w:r w:rsidRPr="00742B94">
        <w:rPr>
          <w:rFonts w:cs="Calibri"/>
        </w:rPr>
        <w:t xml:space="preserve"> ve výši </w:t>
      </w:r>
      <w:r w:rsidR="00E421C6" w:rsidRPr="00E421C6">
        <w:rPr>
          <w:rFonts w:cs="Calibri"/>
        </w:rPr>
        <w:t>1 249,</w:t>
      </w:r>
      <w:r w:rsidR="00C73160">
        <w:rPr>
          <w:rFonts w:cs="Calibri"/>
        </w:rPr>
        <w:t>9</w:t>
      </w:r>
      <w:r w:rsidR="00E421C6" w:rsidRPr="00E421C6">
        <w:rPr>
          <w:rFonts w:cs="Calibri"/>
        </w:rPr>
        <w:t xml:space="preserve"> </w:t>
      </w:r>
      <w:r w:rsidRPr="00742B94">
        <w:rPr>
          <w:rFonts w:cs="Calibri"/>
        </w:rPr>
        <w:t>mil. Kč</w:t>
      </w:r>
      <w:r w:rsidRPr="00742B94">
        <w:rPr>
          <w:rStyle w:val="Znakapoznpodarou"/>
        </w:rPr>
        <w:footnoteReference w:id="23"/>
      </w:r>
      <w:r w:rsidRPr="00742B94">
        <w:rPr>
          <w:rFonts w:cs="Calibri"/>
        </w:rPr>
        <w:t>.</w:t>
      </w:r>
    </w:p>
    <w:p w14:paraId="6B0C435B" w14:textId="7D45D50E" w:rsidR="0079104C" w:rsidRPr="003D356E" w:rsidRDefault="0079104C" w:rsidP="0079104C">
      <w:pPr>
        <w:jc w:val="both"/>
        <w:rPr>
          <w:rFonts w:cs="Calibri"/>
        </w:rPr>
      </w:pPr>
      <w:r>
        <w:rPr>
          <w:rFonts w:cs="Calibri"/>
        </w:rPr>
        <w:lastRenderedPageBreak/>
        <w:t>NKÚ provedl ve výkazu pro hodnocení plnění rozpočtu MZe</w:t>
      </w:r>
      <w:r w:rsidR="00E41D53">
        <w:rPr>
          <w:rFonts w:cs="Calibri"/>
        </w:rPr>
        <w:t xml:space="preserve"> sestavené</w:t>
      </w:r>
      <w:r w:rsidR="00AD51F3">
        <w:rPr>
          <w:rFonts w:cs="Calibri"/>
        </w:rPr>
        <w:t>m</w:t>
      </w:r>
      <w:r w:rsidR="00E41D53">
        <w:rPr>
          <w:rFonts w:cs="Calibri"/>
        </w:rPr>
        <w:t xml:space="preserve"> k 31. 12. 2022 u</w:t>
      </w:r>
      <w:r w:rsidR="00112BC4">
        <w:rPr>
          <w:rFonts w:cs="Calibri"/>
        </w:rPr>
        <w:t> </w:t>
      </w:r>
      <w:r w:rsidR="00E41D53">
        <w:rPr>
          <w:rFonts w:cs="Calibri"/>
        </w:rPr>
        <w:t xml:space="preserve">údajů o příjmech a výdajích ve sloupci </w:t>
      </w:r>
      <w:r w:rsidR="004A2D03" w:rsidRPr="00A12605">
        <w:rPr>
          <w:rFonts w:cs="Calibri"/>
          <w:i/>
          <w:iCs/>
        </w:rPr>
        <w:t>S</w:t>
      </w:r>
      <w:r w:rsidR="00E41D53" w:rsidRPr="00A12605">
        <w:rPr>
          <w:rFonts w:cs="Calibri"/>
          <w:i/>
          <w:iCs/>
        </w:rPr>
        <w:t>kutečnost</w:t>
      </w:r>
      <w:r w:rsidR="00E41D53">
        <w:rPr>
          <w:rFonts w:cs="Calibri"/>
        </w:rPr>
        <w:t xml:space="preserve"> kontrolu správnosti jejich druhového, odvětvového a prostorového třídění dle rozpočtové skladby.</w:t>
      </w:r>
    </w:p>
    <w:p w14:paraId="5080DE89" w14:textId="5B5DC8F7" w:rsidR="00483085" w:rsidRDefault="007301B8" w:rsidP="008177A3">
      <w:pPr>
        <w:jc w:val="both"/>
        <w:rPr>
          <w:rFonts w:cs="Calibri"/>
          <w:b/>
        </w:rPr>
      </w:pPr>
      <w:r>
        <w:rPr>
          <w:rFonts w:cs="Calibri"/>
          <w:b/>
        </w:rPr>
        <w:t>D</w:t>
      </w:r>
      <w:r w:rsidR="00E421C6" w:rsidRPr="00E421C6">
        <w:rPr>
          <w:rFonts w:cs="Calibri"/>
          <w:b/>
        </w:rPr>
        <w:t xml:space="preserve">le </w:t>
      </w:r>
      <w:r w:rsidR="00E421C6">
        <w:rPr>
          <w:rFonts w:cs="Calibri"/>
          <w:b/>
        </w:rPr>
        <w:t>NKÚ</w:t>
      </w:r>
      <w:r w:rsidR="00E421C6" w:rsidRPr="00E421C6">
        <w:rPr>
          <w:rFonts w:cs="Calibri"/>
          <w:b/>
        </w:rPr>
        <w:t xml:space="preserve"> byl uvedený výkaz pro hodnocení plnění rozpočtu</w:t>
      </w:r>
      <w:r w:rsidR="00D80321">
        <w:rPr>
          <w:rFonts w:cs="Calibri"/>
          <w:b/>
        </w:rPr>
        <w:t xml:space="preserve"> </w:t>
      </w:r>
      <w:r w:rsidR="00E421C6" w:rsidRPr="00E421C6">
        <w:rPr>
          <w:rFonts w:cs="Calibri"/>
          <w:b/>
        </w:rPr>
        <w:t>ve všech významných ohledech sestaven v souladu s příslušnými právními předpisy.</w:t>
      </w:r>
    </w:p>
    <w:p w14:paraId="7AE61DEF" w14:textId="7B0B75B7" w:rsidR="00E421C6" w:rsidRDefault="00454153" w:rsidP="00E60A2A">
      <w:pPr>
        <w:jc w:val="both"/>
      </w:pPr>
      <w:r w:rsidRPr="00742B94">
        <w:rPr>
          <w:rFonts w:cs="Calibri"/>
          <w:bCs/>
          <w:lang w:eastAsia="cs-CZ"/>
        </w:rPr>
        <w:t>V</w:t>
      </w:r>
      <w:r w:rsidR="00AD51F3">
        <w:rPr>
          <w:rFonts w:cs="Calibri"/>
          <w:bCs/>
          <w:lang w:eastAsia="cs-CZ"/>
        </w:rPr>
        <w:t xml:space="preserve"> </w:t>
      </w:r>
      <w:r w:rsidRPr="00742B94">
        <w:rPr>
          <w:rFonts w:cs="Calibri"/>
          <w:bCs/>
          <w:lang w:eastAsia="cs-CZ"/>
        </w:rPr>
        <w:t xml:space="preserve">údajích </w:t>
      </w:r>
      <w:r>
        <w:rPr>
          <w:rFonts w:cs="Calibri"/>
          <w:bCs/>
          <w:lang w:eastAsia="cs-CZ"/>
        </w:rPr>
        <w:t>předkládaných</w:t>
      </w:r>
      <w:r w:rsidRPr="00742B94">
        <w:rPr>
          <w:rFonts w:cs="Calibri"/>
          <w:bCs/>
          <w:lang w:eastAsia="cs-CZ"/>
        </w:rPr>
        <w:t xml:space="preserve"> </w:t>
      </w:r>
      <w:r w:rsidRPr="00742B94">
        <w:t xml:space="preserve">pro hodnocení plnění </w:t>
      </w:r>
      <w:r w:rsidR="00AD51F3">
        <w:t xml:space="preserve">státního </w:t>
      </w:r>
      <w:r w:rsidRPr="00742B94">
        <w:t xml:space="preserve">rozpočtu </w:t>
      </w:r>
      <w:r w:rsidR="00193FB9">
        <w:t>za rok</w:t>
      </w:r>
      <w:r w:rsidRPr="00742B94">
        <w:t xml:space="preserve"> 202</w:t>
      </w:r>
      <w:r>
        <w:t>2</w:t>
      </w:r>
      <w:r w:rsidR="00370B2D">
        <w:t xml:space="preserve"> </w:t>
      </w:r>
      <w:r w:rsidR="00193FB9">
        <w:t>NKÚ nezjistil</w:t>
      </w:r>
      <w:r w:rsidR="00193FB9" w:rsidRPr="00742B94">
        <w:t xml:space="preserve"> </w:t>
      </w:r>
      <w:r w:rsidRPr="00742B94">
        <w:t>nesprávnost</w:t>
      </w:r>
      <w:r>
        <w:t>.</w:t>
      </w:r>
    </w:p>
    <w:p w14:paraId="691756CD" w14:textId="77777777" w:rsidR="00222C87" w:rsidRDefault="00222C87" w:rsidP="00834CBA">
      <w:pPr>
        <w:jc w:val="both"/>
      </w:pPr>
    </w:p>
    <w:p w14:paraId="3F69F5C7" w14:textId="77777777" w:rsidR="00A75011" w:rsidRPr="00CD0A37" w:rsidRDefault="00A75011" w:rsidP="000147CE">
      <w:pPr>
        <w:pStyle w:val="Nadpis2"/>
      </w:pPr>
      <w:r w:rsidRPr="007C303B">
        <w:t>Závěrečný účet kapitoly 3</w:t>
      </w:r>
      <w:r w:rsidR="008B53E7" w:rsidRPr="007C303B">
        <w:t>29</w:t>
      </w:r>
      <w:r w:rsidR="004B1E4C" w:rsidRPr="007C303B">
        <w:t xml:space="preserve"> </w:t>
      </w:r>
      <w:r w:rsidR="006B5348" w:rsidRPr="007C303B">
        <w:t>–</w:t>
      </w:r>
      <w:r w:rsidR="004B1E4C" w:rsidRPr="007C303B">
        <w:t xml:space="preserve"> </w:t>
      </w:r>
      <w:r w:rsidRPr="00E60A2A">
        <w:rPr>
          <w:i/>
        </w:rPr>
        <w:t>Ministerstvo</w:t>
      </w:r>
      <w:r w:rsidR="009B3540" w:rsidRPr="00E60A2A">
        <w:rPr>
          <w:i/>
        </w:rPr>
        <w:t xml:space="preserve"> </w:t>
      </w:r>
      <w:r w:rsidR="008B53E7" w:rsidRPr="00E60A2A">
        <w:rPr>
          <w:i/>
        </w:rPr>
        <w:t>zemědělství</w:t>
      </w:r>
      <w:r w:rsidRPr="007C303B">
        <w:t xml:space="preserve"> za rok 202</w:t>
      </w:r>
      <w:r w:rsidR="008B53E7" w:rsidRPr="007C303B">
        <w:t>2</w:t>
      </w:r>
    </w:p>
    <w:p w14:paraId="1BEAFD05" w14:textId="3E112922" w:rsidR="00D915E2" w:rsidRPr="00E60A2A" w:rsidRDefault="006C37C2" w:rsidP="00D915E2">
      <w:pPr>
        <w:jc w:val="both"/>
        <w:rPr>
          <w:rFonts w:asciiTheme="minorHAnsi" w:hAnsiTheme="minorHAnsi" w:cstheme="minorHAnsi"/>
        </w:rPr>
      </w:pPr>
      <w:bookmarkStart w:id="8" w:name="_Toc105083305"/>
      <w:r w:rsidRPr="00B84F6C">
        <w:rPr>
          <w:rFonts w:asciiTheme="minorHAnsi" w:hAnsiTheme="minorHAnsi" w:cs="Calibri"/>
          <w:lang w:eastAsia="cs-CZ"/>
        </w:rPr>
        <w:t>NKÚ zjistil</w:t>
      </w:r>
      <w:r w:rsidR="007A67D2" w:rsidRPr="00E60A2A">
        <w:rPr>
          <w:rFonts w:asciiTheme="minorHAnsi" w:hAnsiTheme="minorHAnsi" w:cstheme="minorHAnsi"/>
        </w:rPr>
        <w:t>, že M</w:t>
      </w:r>
      <w:r w:rsidR="00F54EA8" w:rsidRPr="00E60A2A">
        <w:rPr>
          <w:rFonts w:asciiTheme="minorHAnsi" w:hAnsiTheme="minorHAnsi" w:cstheme="minorHAnsi"/>
        </w:rPr>
        <w:t>Ze</w:t>
      </w:r>
      <w:r w:rsidR="00A1290B" w:rsidRPr="00E60A2A">
        <w:rPr>
          <w:rFonts w:asciiTheme="minorHAnsi" w:hAnsiTheme="minorHAnsi" w:cstheme="minorHAnsi"/>
        </w:rPr>
        <w:t xml:space="preserve"> v</w:t>
      </w:r>
      <w:r w:rsidR="002021DA">
        <w:rPr>
          <w:rFonts w:asciiTheme="minorHAnsi" w:hAnsiTheme="minorHAnsi" w:cstheme="minorHAnsi"/>
        </w:rPr>
        <w:t xml:space="preserve"> </w:t>
      </w:r>
      <w:r w:rsidR="00A1290B" w:rsidRPr="00E60A2A">
        <w:rPr>
          <w:rFonts w:asciiTheme="minorHAnsi" w:hAnsiTheme="minorHAnsi" w:cstheme="minorHAnsi"/>
        </w:rPr>
        <w:t>návrhu ZÚ 2022</w:t>
      </w:r>
      <w:r w:rsidR="007A67D2" w:rsidRPr="00E60A2A">
        <w:rPr>
          <w:rFonts w:asciiTheme="minorHAnsi" w:hAnsiTheme="minorHAnsi" w:cstheme="minorHAnsi"/>
        </w:rPr>
        <w:t xml:space="preserve"> neuvedlo některé skutečnosti správně. V</w:t>
      </w:r>
      <w:r w:rsidR="000742BF" w:rsidRPr="00E60A2A">
        <w:rPr>
          <w:rFonts w:asciiTheme="minorHAnsi" w:hAnsiTheme="minorHAnsi" w:cstheme="minorHAnsi"/>
        </w:rPr>
        <w:t>e většině případů se jednalo o uvedení rozdílných</w:t>
      </w:r>
      <w:r w:rsidR="00DE3794" w:rsidRPr="00E60A2A">
        <w:rPr>
          <w:rFonts w:asciiTheme="minorHAnsi" w:hAnsiTheme="minorHAnsi" w:cstheme="minorHAnsi"/>
        </w:rPr>
        <w:t xml:space="preserve"> údaj</w:t>
      </w:r>
      <w:r w:rsidR="000742BF" w:rsidRPr="00E60A2A">
        <w:rPr>
          <w:rFonts w:asciiTheme="minorHAnsi" w:hAnsiTheme="minorHAnsi" w:cstheme="minorHAnsi"/>
        </w:rPr>
        <w:t>ů</w:t>
      </w:r>
      <w:r w:rsidR="00DE3794" w:rsidRPr="00E60A2A">
        <w:rPr>
          <w:rFonts w:asciiTheme="minorHAnsi" w:hAnsiTheme="minorHAnsi" w:cstheme="minorHAnsi"/>
        </w:rPr>
        <w:t xml:space="preserve"> v doprovodných tabulkách</w:t>
      </w:r>
      <w:r w:rsidR="004625F2" w:rsidRPr="00E60A2A">
        <w:rPr>
          <w:rFonts w:asciiTheme="minorHAnsi" w:hAnsiTheme="minorHAnsi" w:cstheme="minorHAnsi"/>
        </w:rPr>
        <w:t xml:space="preserve"> </w:t>
      </w:r>
      <w:r w:rsidR="000742BF" w:rsidRPr="00E60A2A">
        <w:rPr>
          <w:rFonts w:asciiTheme="minorHAnsi" w:hAnsiTheme="minorHAnsi" w:cstheme="minorHAnsi"/>
        </w:rPr>
        <w:t xml:space="preserve">a v </w:t>
      </w:r>
      <w:r w:rsidR="004625F2" w:rsidRPr="00E60A2A">
        <w:rPr>
          <w:rFonts w:asciiTheme="minorHAnsi" w:hAnsiTheme="minorHAnsi" w:cstheme="minorHAnsi"/>
        </w:rPr>
        <w:t>textu ZÚ</w:t>
      </w:r>
      <w:r w:rsidR="00370678" w:rsidRPr="00E60A2A">
        <w:rPr>
          <w:rFonts w:asciiTheme="minorHAnsi" w:hAnsiTheme="minorHAnsi" w:cstheme="minorHAnsi"/>
        </w:rPr>
        <w:t xml:space="preserve"> </w:t>
      </w:r>
      <w:r w:rsidR="006E6542" w:rsidRPr="00E60A2A">
        <w:rPr>
          <w:rFonts w:asciiTheme="minorHAnsi" w:hAnsiTheme="minorHAnsi" w:cstheme="minorHAnsi"/>
        </w:rPr>
        <w:t>2022, příp. některé</w:t>
      </w:r>
      <w:r w:rsidR="00370678" w:rsidRPr="00E60A2A">
        <w:rPr>
          <w:rFonts w:asciiTheme="minorHAnsi" w:hAnsiTheme="minorHAnsi" w:cstheme="minorHAnsi"/>
        </w:rPr>
        <w:t xml:space="preserve"> </w:t>
      </w:r>
      <w:r w:rsidR="007A67D2" w:rsidRPr="00E60A2A">
        <w:rPr>
          <w:rFonts w:asciiTheme="minorHAnsi" w:hAnsiTheme="minorHAnsi" w:cstheme="minorHAnsi"/>
        </w:rPr>
        <w:t xml:space="preserve">údaje </w:t>
      </w:r>
      <w:r w:rsidR="00370678" w:rsidRPr="00E60A2A">
        <w:rPr>
          <w:rFonts w:asciiTheme="minorHAnsi" w:hAnsiTheme="minorHAnsi" w:cstheme="minorHAnsi"/>
        </w:rPr>
        <w:t xml:space="preserve">nebyly </w:t>
      </w:r>
      <w:r w:rsidR="007A67D2" w:rsidRPr="00E60A2A">
        <w:rPr>
          <w:rFonts w:asciiTheme="minorHAnsi" w:hAnsiTheme="minorHAnsi" w:cstheme="minorHAnsi"/>
        </w:rPr>
        <w:t>v souladu s údaji prezentovanými ve finančních výkazech</w:t>
      </w:r>
      <w:r w:rsidR="00DE3794" w:rsidRPr="00E60A2A">
        <w:rPr>
          <w:rFonts w:asciiTheme="minorHAnsi" w:hAnsiTheme="minorHAnsi" w:cstheme="minorHAnsi"/>
        </w:rPr>
        <w:t xml:space="preserve"> a další</w:t>
      </w:r>
      <w:r w:rsidR="00525FDB" w:rsidRPr="00E60A2A">
        <w:rPr>
          <w:rFonts w:asciiTheme="minorHAnsi" w:hAnsiTheme="minorHAnsi" w:cstheme="minorHAnsi"/>
        </w:rPr>
        <w:t>ch</w:t>
      </w:r>
      <w:r w:rsidR="00DE3794" w:rsidRPr="00E60A2A">
        <w:rPr>
          <w:rFonts w:asciiTheme="minorHAnsi" w:hAnsiTheme="minorHAnsi" w:cstheme="minorHAnsi"/>
        </w:rPr>
        <w:t xml:space="preserve"> podklad</w:t>
      </w:r>
      <w:r w:rsidR="00525FDB" w:rsidRPr="00E60A2A">
        <w:rPr>
          <w:rFonts w:asciiTheme="minorHAnsi" w:hAnsiTheme="minorHAnsi" w:cstheme="minorHAnsi"/>
        </w:rPr>
        <w:t>ech</w:t>
      </w:r>
      <w:r w:rsidR="00370678" w:rsidRPr="00E60A2A">
        <w:rPr>
          <w:rFonts w:asciiTheme="minorHAnsi" w:hAnsiTheme="minorHAnsi" w:cstheme="minorHAnsi"/>
        </w:rPr>
        <w:t xml:space="preserve">. </w:t>
      </w:r>
      <w:r w:rsidR="005D6AAD" w:rsidRPr="00E60A2A">
        <w:rPr>
          <w:rFonts w:asciiTheme="minorHAnsi" w:hAnsiTheme="minorHAnsi" w:cstheme="minorHAnsi"/>
        </w:rPr>
        <w:t xml:space="preserve">Dále byl v několika případech </w:t>
      </w:r>
      <w:r w:rsidR="006E6542" w:rsidRPr="00E60A2A">
        <w:rPr>
          <w:rFonts w:asciiTheme="minorHAnsi" w:hAnsiTheme="minorHAnsi" w:cstheme="minorHAnsi"/>
        </w:rPr>
        <w:t xml:space="preserve">zjištěn </w:t>
      </w:r>
      <w:r w:rsidR="005D6AAD" w:rsidRPr="00E60A2A">
        <w:rPr>
          <w:rFonts w:asciiTheme="minorHAnsi" w:hAnsiTheme="minorHAnsi" w:cstheme="minorHAnsi"/>
        </w:rPr>
        <w:t xml:space="preserve">nesoulad </w:t>
      </w:r>
      <w:r w:rsidR="004625F2" w:rsidRPr="00E60A2A">
        <w:rPr>
          <w:rFonts w:asciiTheme="minorHAnsi" w:hAnsiTheme="minorHAnsi" w:cstheme="minorHAnsi"/>
        </w:rPr>
        <w:t>mezi číselným údajem a příslušným textem</w:t>
      </w:r>
      <w:r w:rsidR="005D6AAD" w:rsidRPr="00E60A2A">
        <w:rPr>
          <w:rFonts w:asciiTheme="minorHAnsi" w:hAnsiTheme="minorHAnsi" w:cstheme="minorHAnsi"/>
        </w:rPr>
        <w:t>,</w:t>
      </w:r>
      <w:r w:rsidR="004625F2" w:rsidRPr="00E60A2A">
        <w:rPr>
          <w:rFonts w:asciiTheme="minorHAnsi" w:hAnsiTheme="minorHAnsi" w:cstheme="minorHAnsi"/>
        </w:rPr>
        <w:t xml:space="preserve"> </w:t>
      </w:r>
      <w:r w:rsidR="00370678" w:rsidRPr="00E60A2A">
        <w:rPr>
          <w:rFonts w:asciiTheme="minorHAnsi" w:hAnsiTheme="minorHAnsi" w:cstheme="minorHAnsi"/>
        </w:rPr>
        <w:t>případně</w:t>
      </w:r>
      <w:r w:rsidR="001A18C0" w:rsidRPr="00E60A2A">
        <w:rPr>
          <w:rFonts w:asciiTheme="minorHAnsi" w:hAnsiTheme="minorHAnsi" w:cstheme="minorHAnsi"/>
        </w:rPr>
        <w:t xml:space="preserve"> došlo </w:t>
      </w:r>
      <w:r w:rsidR="001A18C0" w:rsidRPr="00E60A2A">
        <w:rPr>
          <w:rFonts w:asciiTheme="minorHAnsi" w:hAnsiTheme="minorHAnsi" w:cs="Calibri"/>
          <w:color w:val="000000"/>
          <w:szCs w:val="22"/>
        </w:rPr>
        <w:t>v textu ZÚ</w:t>
      </w:r>
      <w:r w:rsidR="006E6542" w:rsidRPr="00E60A2A">
        <w:rPr>
          <w:rFonts w:asciiTheme="minorHAnsi" w:hAnsiTheme="minorHAnsi" w:cs="Calibri"/>
          <w:color w:val="000000"/>
          <w:szCs w:val="22"/>
        </w:rPr>
        <w:t> 2022 k početní chybě</w:t>
      </w:r>
      <w:r w:rsidR="007A67D2" w:rsidRPr="00E60A2A">
        <w:rPr>
          <w:rFonts w:asciiTheme="minorHAnsi" w:hAnsiTheme="minorHAnsi" w:cstheme="minorHAnsi"/>
        </w:rPr>
        <w:t xml:space="preserve">. </w:t>
      </w:r>
      <w:r w:rsidR="00D915E2" w:rsidRPr="00E60A2A">
        <w:rPr>
          <w:rFonts w:asciiTheme="minorHAnsi" w:hAnsiTheme="minorHAnsi" w:cstheme="minorHAnsi"/>
        </w:rPr>
        <w:t xml:space="preserve">Na základě upozornění NKÚ </w:t>
      </w:r>
      <w:r w:rsidR="006E6542" w:rsidRPr="00E60A2A">
        <w:rPr>
          <w:rFonts w:asciiTheme="minorHAnsi" w:hAnsiTheme="minorHAnsi" w:cstheme="minorHAnsi"/>
        </w:rPr>
        <w:t xml:space="preserve">doplnilo Ministerstvo zemědělství </w:t>
      </w:r>
      <w:r w:rsidR="00D915E2" w:rsidRPr="00E60A2A">
        <w:rPr>
          <w:rFonts w:asciiTheme="minorHAnsi" w:hAnsiTheme="minorHAnsi" w:cstheme="minorHAnsi"/>
        </w:rPr>
        <w:t>do ZÚ</w:t>
      </w:r>
      <w:r w:rsidR="006E6542" w:rsidRPr="00E60A2A">
        <w:rPr>
          <w:rFonts w:asciiTheme="minorHAnsi" w:hAnsiTheme="minorHAnsi" w:cstheme="minorHAnsi"/>
        </w:rPr>
        <w:t> </w:t>
      </w:r>
      <w:r w:rsidR="00D915E2" w:rsidRPr="00E60A2A">
        <w:rPr>
          <w:rFonts w:asciiTheme="minorHAnsi" w:hAnsiTheme="minorHAnsi" w:cstheme="minorHAnsi"/>
        </w:rPr>
        <w:t>2022 některé informace vyplývající z</w:t>
      </w:r>
      <w:r w:rsidR="006E6542" w:rsidRPr="00E60A2A">
        <w:rPr>
          <w:rFonts w:asciiTheme="minorHAnsi" w:hAnsiTheme="minorHAnsi" w:cstheme="minorHAnsi"/>
        </w:rPr>
        <w:t xml:space="preserve"> </w:t>
      </w:r>
      <w:r w:rsidR="00D915E2" w:rsidRPr="00E60A2A">
        <w:rPr>
          <w:rFonts w:asciiTheme="minorHAnsi" w:hAnsiTheme="minorHAnsi" w:cstheme="minorHAnsi"/>
        </w:rPr>
        <w:t>novelizované vyhlášky č.</w:t>
      </w:r>
      <w:r w:rsidR="0039390C" w:rsidRPr="00E60A2A">
        <w:rPr>
          <w:rFonts w:asciiTheme="minorHAnsi" w:hAnsiTheme="minorHAnsi" w:cstheme="minorHAnsi"/>
        </w:rPr>
        <w:t> </w:t>
      </w:r>
      <w:r w:rsidR="00D915E2" w:rsidRPr="00E60A2A">
        <w:rPr>
          <w:rFonts w:asciiTheme="minorHAnsi" w:hAnsiTheme="minorHAnsi" w:cstheme="minorHAnsi"/>
        </w:rPr>
        <w:t xml:space="preserve">419/2001 Sb., </w:t>
      </w:r>
      <w:r w:rsidR="006E6542" w:rsidRPr="00E60A2A">
        <w:rPr>
          <w:rFonts w:asciiTheme="minorHAnsi" w:hAnsiTheme="minorHAnsi" w:cstheme="minorHAnsi"/>
        </w:rPr>
        <w:t xml:space="preserve">která byla </w:t>
      </w:r>
      <w:r w:rsidR="00D915E2" w:rsidRPr="00E60A2A">
        <w:rPr>
          <w:rFonts w:asciiTheme="minorHAnsi" w:hAnsiTheme="minorHAnsi" w:cstheme="minorHAnsi"/>
        </w:rPr>
        <w:t>účinn</w:t>
      </w:r>
      <w:r w:rsidR="006E6542" w:rsidRPr="00E60A2A">
        <w:rPr>
          <w:rFonts w:asciiTheme="minorHAnsi" w:hAnsiTheme="minorHAnsi" w:cstheme="minorHAnsi"/>
        </w:rPr>
        <w:t>á</w:t>
      </w:r>
      <w:r w:rsidR="00D915E2" w:rsidRPr="00E60A2A">
        <w:rPr>
          <w:rFonts w:asciiTheme="minorHAnsi" w:hAnsiTheme="minorHAnsi" w:cstheme="minorHAnsi"/>
        </w:rPr>
        <w:t xml:space="preserve"> již pro závěrečné účty sestavované za rok 2022 (např. doplňující informace k dotacím). </w:t>
      </w:r>
    </w:p>
    <w:p w14:paraId="20F9728C" w14:textId="39C86D52" w:rsidR="00871C50" w:rsidRPr="00483BF4" w:rsidRDefault="006E6542" w:rsidP="00D458B5">
      <w:pPr>
        <w:jc w:val="both"/>
        <w:rPr>
          <w:rFonts w:asciiTheme="minorHAnsi" w:hAnsiTheme="minorHAnsi" w:cstheme="minorHAnsi"/>
          <w:spacing w:val="-2"/>
        </w:rPr>
      </w:pPr>
      <w:r w:rsidRPr="006844ED">
        <w:rPr>
          <w:rFonts w:asciiTheme="minorHAnsi" w:hAnsiTheme="minorHAnsi" w:cstheme="minorHAnsi"/>
          <w:lang w:eastAsia="cs-CZ"/>
        </w:rPr>
        <w:t xml:space="preserve">MZe </w:t>
      </w:r>
      <w:r>
        <w:rPr>
          <w:rFonts w:asciiTheme="minorHAnsi" w:hAnsiTheme="minorHAnsi" w:cstheme="minorHAnsi"/>
          <w:lang w:eastAsia="cs-CZ"/>
        </w:rPr>
        <w:t>v</w:t>
      </w:r>
      <w:r w:rsidR="00871C50" w:rsidRPr="006844ED">
        <w:rPr>
          <w:rFonts w:asciiTheme="minorHAnsi" w:hAnsiTheme="minorHAnsi" w:cstheme="minorHAnsi"/>
          <w:lang w:eastAsia="cs-CZ"/>
        </w:rPr>
        <w:t xml:space="preserve">šechny identifikované nedostatky </w:t>
      </w:r>
      <w:r w:rsidR="00294E9C">
        <w:rPr>
          <w:rFonts w:asciiTheme="minorHAnsi" w:hAnsiTheme="minorHAnsi" w:cstheme="minorHAnsi"/>
          <w:lang w:eastAsia="cs-CZ"/>
        </w:rPr>
        <w:t>opravilo</w:t>
      </w:r>
      <w:r w:rsidR="00021A12">
        <w:rPr>
          <w:rFonts w:asciiTheme="minorHAnsi" w:hAnsiTheme="minorHAnsi" w:cstheme="minorHAnsi"/>
          <w:lang w:eastAsia="cs-CZ"/>
        </w:rPr>
        <w:t xml:space="preserve"> a </w:t>
      </w:r>
      <w:r w:rsidR="00871C50" w:rsidRPr="006844ED">
        <w:rPr>
          <w:rFonts w:asciiTheme="minorHAnsi" w:hAnsiTheme="minorHAnsi" w:cstheme="minorHAnsi"/>
          <w:lang w:eastAsia="cs-CZ"/>
        </w:rPr>
        <w:t>ve finální verzi ZÚ</w:t>
      </w:r>
      <w:r w:rsidR="0039390C">
        <w:rPr>
          <w:rFonts w:asciiTheme="minorHAnsi" w:hAnsiTheme="minorHAnsi" w:cstheme="minorHAnsi"/>
          <w:lang w:eastAsia="cs-CZ"/>
        </w:rPr>
        <w:t> </w:t>
      </w:r>
      <w:r w:rsidR="00871C50" w:rsidRPr="006844ED">
        <w:rPr>
          <w:rFonts w:asciiTheme="minorHAnsi" w:hAnsiTheme="minorHAnsi" w:cstheme="minorHAnsi"/>
          <w:lang w:eastAsia="cs-CZ"/>
        </w:rPr>
        <w:t>2022 předložené M</w:t>
      </w:r>
      <w:r>
        <w:rPr>
          <w:rFonts w:asciiTheme="minorHAnsi" w:hAnsiTheme="minorHAnsi" w:cstheme="minorHAnsi"/>
          <w:lang w:eastAsia="cs-CZ"/>
        </w:rPr>
        <w:t>inisterstvu financí</w:t>
      </w:r>
      <w:r w:rsidR="00871C50" w:rsidRPr="006844ED">
        <w:rPr>
          <w:rFonts w:asciiTheme="minorHAnsi" w:hAnsiTheme="minorHAnsi" w:cstheme="minorHAnsi"/>
          <w:lang w:eastAsia="cs-CZ"/>
        </w:rPr>
        <w:t xml:space="preserve"> pro vypracování návrhu státního závěrečného účtu se již nevyskyt</w:t>
      </w:r>
      <w:r w:rsidR="00021A12">
        <w:rPr>
          <w:rFonts w:asciiTheme="minorHAnsi" w:hAnsiTheme="minorHAnsi" w:cstheme="minorHAnsi"/>
          <w:lang w:eastAsia="cs-CZ"/>
        </w:rPr>
        <w:t>ovaly</w:t>
      </w:r>
      <w:r w:rsidR="00871C50" w:rsidRPr="006844ED">
        <w:rPr>
          <w:rFonts w:asciiTheme="minorHAnsi" w:hAnsiTheme="minorHAnsi" w:cstheme="minorHAnsi"/>
          <w:lang w:eastAsia="cs-CZ"/>
        </w:rPr>
        <w:t>.</w:t>
      </w:r>
    </w:p>
    <w:bookmarkEnd w:id="8"/>
    <w:p w14:paraId="1CAC3483" w14:textId="7C752BE3" w:rsidR="004C26CF" w:rsidRPr="00C2046D" w:rsidRDefault="00D458B5" w:rsidP="00D458B5">
      <w:pPr>
        <w:jc w:val="both"/>
        <w:rPr>
          <w:b/>
          <w:bCs/>
          <w:lang w:eastAsia="cs-CZ"/>
        </w:rPr>
      </w:pPr>
      <w:r w:rsidRPr="00C2046D">
        <w:rPr>
          <w:b/>
          <w:bCs/>
          <w:lang w:eastAsia="cs-CZ"/>
        </w:rPr>
        <w:t xml:space="preserve">Dle NKÚ je závěrečný účet kapitoly státního rozpočtu 329 – </w:t>
      </w:r>
      <w:r w:rsidRPr="00E60A2A">
        <w:rPr>
          <w:b/>
          <w:bCs/>
          <w:i/>
          <w:lang w:eastAsia="cs-CZ"/>
        </w:rPr>
        <w:t>Ministerstvo zemědělství</w:t>
      </w:r>
      <w:r w:rsidRPr="00C2046D">
        <w:rPr>
          <w:b/>
          <w:bCs/>
          <w:lang w:eastAsia="cs-CZ"/>
        </w:rPr>
        <w:t xml:space="preserve"> za </w:t>
      </w:r>
      <w:r w:rsidR="006E6542">
        <w:rPr>
          <w:b/>
          <w:bCs/>
          <w:lang w:eastAsia="cs-CZ"/>
        </w:rPr>
        <w:br/>
      </w:r>
      <w:r w:rsidRPr="00C2046D">
        <w:rPr>
          <w:b/>
          <w:bCs/>
          <w:lang w:eastAsia="cs-CZ"/>
        </w:rPr>
        <w:t>rok</w:t>
      </w:r>
      <w:r w:rsidR="006E6542">
        <w:rPr>
          <w:b/>
          <w:bCs/>
          <w:lang w:eastAsia="cs-CZ"/>
        </w:rPr>
        <w:t xml:space="preserve"> </w:t>
      </w:r>
      <w:r w:rsidRPr="00C2046D">
        <w:rPr>
          <w:b/>
          <w:bCs/>
          <w:lang w:eastAsia="cs-CZ"/>
        </w:rPr>
        <w:t>2022</w:t>
      </w:r>
      <w:r w:rsidR="00BB3DDF" w:rsidRPr="00C2046D">
        <w:rPr>
          <w:b/>
          <w:bCs/>
          <w:lang w:eastAsia="cs-CZ"/>
        </w:rPr>
        <w:t xml:space="preserve"> </w:t>
      </w:r>
      <w:r w:rsidRPr="00C2046D">
        <w:rPr>
          <w:b/>
          <w:bCs/>
          <w:lang w:eastAsia="cs-CZ"/>
        </w:rPr>
        <w:t xml:space="preserve">sestaven v rozsahu dle vyhlášky č. 419/2001 Sb. a informace v něm uvedené odpovídají údajům v rozpočtovém systému, finančním výkazům </w:t>
      </w:r>
      <w:r w:rsidR="006E6542">
        <w:rPr>
          <w:b/>
          <w:bCs/>
          <w:lang w:eastAsia="cs-CZ"/>
        </w:rPr>
        <w:t>i</w:t>
      </w:r>
      <w:r w:rsidRPr="00C2046D">
        <w:rPr>
          <w:b/>
          <w:bCs/>
          <w:lang w:eastAsia="cs-CZ"/>
        </w:rPr>
        <w:t xml:space="preserve"> údajům z dalších evidencí.</w:t>
      </w:r>
    </w:p>
    <w:p w14:paraId="15673C4A" w14:textId="77777777" w:rsidR="00D458B5" w:rsidRDefault="00D458B5" w:rsidP="00D458B5">
      <w:pPr>
        <w:jc w:val="both"/>
        <w:rPr>
          <w:bCs/>
          <w:lang w:eastAsia="cs-CZ"/>
        </w:rPr>
      </w:pPr>
    </w:p>
    <w:p w14:paraId="3480AD4A" w14:textId="77777777" w:rsidR="00A75011" w:rsidRPr="003D3862" w:rsidRDefault="00A75011" w:rsidP="000147CE">
      <w:pPr>
        <w:pStyle w:val="Nadpis2"/>
      </w:pPr>
      <w:r w:rsidRPr="003D3862">
        <w:t>Vnitřní kontrolní systém</w:t>
      </w:r>
      <w:r w:rsidR="00652728" w:rsidRPr="003D3862">
        <w:t xml:space="preserve"> M</w:t>
      </w:r>
      <w:r w:rsidR="00A02145" w:rsidRPr="003D3862">
        <w:t>Ze</w:t>
      </w:r>
    </w:p>
    <w:p w14:paraId="4784B185" w14:textId="0AC3B504" w:rsidR="00C36D31" w:rsidRDefault="00211021" w:rsidP="00D803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E65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průběhu kontroly zjistil NKÚ v</w:t>
      </w:r>
      <w:r w:rsidR="006E65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oblasti vedení </w:t>
      </w:r>
      <w:r w:rsidR="004C6660">
        <w:rPr>
          <w:rFonts w:asciiTheme="minorHAnsi" w:hAnsiTheme="minorHAnsi" w:cstheme="minorHAnsi"/>
        </w:rPr>
        <w:t xml:space="preserve">účetnictví </w:t>
      </w:r>
      <w:r>
        <w:rPr>
          <w:rFonts w:asciiTheme="minorHAnsi" w:hAnsiTheme="minorHAnsi" w:cstheme="minorHAnsi"/>
        </w:rPr>
        <w:t xml:space="preserve">nevýznamné nedostatky, které </w:t>
      </w:r>
      <w:r w:rsidR="006E6542">
        <w:rPr>
          <w:rFonts w:asciiTheme="minorHAnsi" w:hAnsiTheme="minorHAnsi" w:cstheme="minorHAnsi"/>
        </w:rPr>
        <w:t>vnitřní kontrolní systém</w:t>
      </w:r>
      <w:r>
        <w:rPr>
          <w:rFonts w:asciiTheme="minorHAnsi" w:hAnsiTheme="minorHAnsi" w:cstheme="minorHAnsi"/>
        </w:rPr>
        <w:t xml:space="preserve"> MZe neidentifikoval. </w:t>
      </w:r>
      <w:r w:rsidR="00574636">
        <w:rPr>
          <w:rFonts w:asciiTheme="minorHAnsi" w:hAnsiTheme="minorHAnsi" w:cstheme="minorHAnsi"/>
        </w:rPr>
        <w:t>Tyto nedostatky</w:t>
      </w:r>
      <w:r w:rsidR="004C66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však </w:t>
      </w:r>
      <w:r w:rsidR="00574636">
        <w:rPr>
          <w:rFonts w:asciiTheme="minorHAnsi" w:hAnsiTheme="minorHAnsi" w:cstheme="minorHAnsi"/>
        </w:rPr>
        <w:t>MZe</w:t>
      </w:r>
      <w:r>
        <w:rPr>
          <w:rFonts w:asciiTheme="minorHAnsi" w:hAnsiTheme="minorHAnsi" w:cstheme="minorHAnsi"/>
        </w:rPr>
        <w:t xml:space="preserve"> následně v</w:t>
      </w:r>
      <w:r w:rsidR="002021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průběhu kontroly </w:t>
      </w:r>
      <w:r w:rsidRPr="00E30E14">
        <w:rPr>
          <w:rFonts w:asciiTheme="minorHAnsi" w:hAnsiTheme="minorHAnsi" w:cstheme="minorHAnsi"/>
        </w:rPr>
        <w:t>opravil</w:t>
      </w:r>
      <w:r w:rsidR="00574636">
        <w:rPr>
          <w:rFonts w:asciiTheme="minorHAnsi" w:hAnsiTheme="minorHAnsi" w:cstheme="minorHAnsi"/>
        </w:rPr>
        <w:t>o</w:t>
      </w:r>
      <w:r w:rsidRPr="00E30E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="002021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přijal</w:t>
      </w:r>
      <w:r w:rsidR="0057463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taková systémová opatření ve VKS</w:t>
      </w:r>
      <w:r w:rsidR="008D0ECD">
        <w:rPr>
          <w:rFonts w:asciiTheme="minorHAnsi" w:hAnsiTheme="minorHAnsi" w:cstheme="minorHAnsi"/>
        </w:rPr>
        <w:t>, aby k nim nadále nedocházelo</w:t>
      </w:r>
      <w:r>
        <w:rPr>
          <w:rFonts w:asciiTheme="minorHAnsi" w:hAnsiTheme="minorHAnsi" w:cstheme="minorHAnsi"/>
        </w:rPr>
        <w:t xml:space="preserve"> </w:t>
      </w:r>
      <w:r w:rsidRPr="00E30E14">
        <w:rPr>
          <w:rFonts w:asciiTheme="minorHAnsi" w:hAnsiTheme="minorHAnsi" w:cstheme="minorHAnsi"/>
        </w:rPr>
        <w:t>(viz část IV.</w:t>
      </w:r>
      <w:r w:rsidR="00574636">
        <w:rPr>
          <w:rFonts w:asciiTheme="minorHAnsi" w:hAnsiTheme="minorHAnsi" w:cstheme="minorHAnsi"/>
        </w:rPr>
        <w:t>1</w:t>
      </w:r>
      <w:r w:rsidRPr="00E30E14">
        <w:rPr>
          <w:rFonts w:asciiTheme="minorHAnsi" w:hAnsiTheme="minorHAnsi" w:cstheme="minorHAnsi"/>
        </w:rPr>
        <w:t xml:space="preserve">.1). </w:t>
      </w:r>
    </w:p>
    <w:p w14:paraId="489B19A7" w14:textId="17B0AB12" w:rsidR="000A35DF" w:rsidRDefault="00F27461" w:rsidP="00432F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Také v</w:t>
      </w:r>
      <w:r w:rsidR="002021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případě </w:t>
      </w:r>
      <w:r w:rsidRPr="00F27461">
        <w:rPr>
          <w:rFonts w:asciiTheme="minorHAnsi" w:hAnsiTheme="minorHAnsi" w:cstheme="minorHAnsi"/>
        </w:rPr>
        <w:t xml:space="preserve">údajů předkládaných </w:t>
      </w:r>
      <w:r w:rsidR="008D4339">
        <w:rPr>
          <w:rFonts w:asciiTheme="minorHAnsi" w:hAnsiTheme="minorHAnsi" w:cstheme="minorHAnsi"/>
        </w:rPr>
        <w:t>Ministerstvem zemědělství</w:t>
      </w:r>
      <w:r w:rsidRPr="00F27461">
        <w:rPr>
          <w:rFonts w:asciiTheme="minorHAnsi" w:hAnsiTheme="minorHAnsi" w:cstheme="minorHAnsi"/>
        </w:rPr>
        <w:t xml:space="preserve"> pro hodnocení plnění státního rozpočtu za rok 2022 NKÚ zjistil</w:t>
      </w:r>
      <w:r>
        <w:rPr>
          <w:rFonts w:asciiTheme="minorHAnsi" w:hAnsiTheme="minorHAnsi" w:cstheme="minorHAnsi"/>
        </w:rPr>
        <w:t xml:space="preserve"> nevýznamn</w:t>
      </w:r>
      <w:r w:rsidR="00A97C1A">
        <w:rPr>
          <w:rFonts w:asciiTheme="minorHAnsi" w:hAnsiTheme="minorHAnsi" w:cstheme="minorHAnsi"/>
        </w:rPr>
        <w:t>é</w:t>
      </w:r>
      <w:r w:rsidR="008D4339">
        <w:rPr>
          <w:rFonts w:asciiTheme="minorHAnsi" w:hAnsiTheme="minorHAnsi" w:cstheme="minorHAnsi"/>
        </w:rPr>
        <w:t xml:space="preserve"> nedostatk</w:t>
      </w:r>
      <w:r w:rsidR="00A97C1A">
        <w:rPr>
          <w:rFonts w:asciiTheme="minorHAnsi" w:hAnsiTheme="minorHAnsi" w:cstheme="minorHAnsi"/>
        </w:rPr>
        <w:t>y</w:t>
      </w:r>
      <w:r w:rsidR="008D4339">
        <w:rPr>
          <w:rFonts w:asciiTheme="minorHAnsi" w:hAnsiTheme="minorHAnsi" w:cstheme="minorHAnsi"/>
        </w:rPr>
        <w:t>, kter</w:t>
      </w:r>
      <w:r w:rsidR="00A97C1A">
        <w:rPr>
          <w:rFonts w:asciiTheme="minorHAnsi" w:hAnsiTheme="minorHAnsi" w:cstheme="minorHAnsi"/>
        </w:rPr>
        <w:t>é</w:t>
      </w:r>
      <w:r w:rsidR="008D4339">
        <w:rPr>
          <w:rFonts w:asciiTheme="minorHAnsi" w:hAnsiTheme="minorHAnsi" w:cstheme="minorHAnsi"/>
        </w:rPr>
        <w:t xml:space="preserve"> však </w:t>
      </w:r>
      <w:r w:rsidR="00C36D31">
        <w:rPr>
          <w:rFonts w:asciiTheme="minorHAnsi" w:hAnsiTheme="minorHAnsi" w:cstheme="minorHAnsi"/>
        </w:rPr>
        <w:t xml:space="preserve">MZe následně v průběhu kontroly </w:t>
      </w:r>
      <w:r w:rsidR="00C36D31" w:rsidRPr="00E30E14">
        <w:rPr>
          <w:rFonts w:asciiTheme="minorHAnsi" w:hAnsiTheme="minorHAnsi" w:cstheme="minorHAnsi"/>
        </w:rPr>
        <w:t>opravil</w:t>
      </w:r>
      <w:r w:rsidR="00C36D31">
        <w:rPr>
          <w:rFonts w:asciiTheme="minorHAnsi" w:hAnsiTheme="minorHAnsi" w:cstheme="minorHAnsi"/>
        </w:rPr>
        <w:t>o</w:t>
      </w:r>
      <w:r w:rsidR="00C36D31" w:rsidRPr="00E30E14">
        <w:rPr>
          <w:rFonts w:asciiTheme="minorHAnsi" w:hAnsiTheme="minorHAnsi" w:cstheme="minorHAnsi"/>
        </w:rPr>
        <w:t xml:space="preserve"> </w:t>
      </w:r>
      <w:r w:rsidR="00C36D31">
        <w:rPr>
          <w:rFonts w:asciiTheme="minorHAnsi" w:hAnsiTheme="minorHAnsi" w:cstheme="minorHAnsi"/>
        </w:rPr>
        <w:t>a přijalo taková opatření ve VKS,</w:t>
      </w:r>
      <w:r w:rsidR="008D0ECD">
        <w:rPr>
          <w:rFonts w:asciiTheme="minorHAnsi" w:hAnsiTheme="minorHAnsi" w:cstheme="minorHAnsi"/>
        </w:rPr>
        <w:t xml:space="preserve"> aby k nim nadále nedocházelo</w:t>
      </w:r>
      <w:r w:rsidR="00C36D31">
        <w:rPr>
          <w:rFonts w:asciiTheme="minorHAnsi" w:hAnsiTheme="minorHAnsi" w:cstheme="minorHAnsi"/>
        </w:rPr>
        <w:t xml:space="preserve"> </w:t>
      </w:r>
      <w:r w:rsidR="00C36D31" w:rsidRPr="00E30E14">
        <w:rPr>
          <w:rFonts w:asciiTheme="minorHAnsi" w:hAnsiTheme="minorHAnsi" w:cstheme="minorHAnsi"/>
        </w:rPr>
        <w:t xml:space="preserve">(viz část </w:t>
      </w:r>
      <w:r w:rsidR="00C36D31">
        <w:rPr>
          <w:rFonts w:asciiTheme="minorHAnsi" w:hAnsiTheme="minorHAnsi" w:cstheme="minorHAnsi"/>
        </w:rPr>
        <w:t>IV.2</w:t>
      </w:r>
      <w:r w:rsidR="00C36D31" w:rsidRPr="00E30E14">
        <w:rPr>
          <w:rFonts w:asciiTheme="minorHAnsi" w:hAnsiTheme="minorHAnsi" w:cstheme="minorHAnsi"/>
        </w:rPr>
        <w:t xml:space="preserve">). </w:t>
      </w:r>
    </w:p>
    <w:p w14:paraId="0133E973" w14:textId="707AA10E" w:rsidR="00432F8E" w:rsidRPr="003D1832" w:rsidRDefault="00432F8E" w:rsidP="00432F8E">
      <w:pPr>
        <w:jc w:val="both"/>
      </w:pPr>
      <w:r w:rsidRPr="001416E0">
        <w:rPr>
          <w:bCs/>
        </w:rPr>
        <w:t xml:space="preserve">NKÚ </w:t>
      </w:r>
      <w:r>
        <w:rPr>
          <w:bCs/>
        </w:rPr>
        <w:t xml:space="preserve">dále </w:t>
      </w:r>
      <w:r w:rsidR="001A603D">
        <w:rPr>
          <w:bCs/>
        </w:rPr>
        <w:t>ověřil</w:t>
      </w:r>
      <w:r>
        <w:rPr>
          <w:bCs/>
        </w:rPr>
        <w:t>, ž</w:t>
      </w:r>
      <w:r w:rsidRPr="001416E0">
        <w:rPr>
          <w:bCs/>
        </w:rPr>
        <w:t>e závěrečný účet kapitoly státního rozpočtu 3</w:t>
      </w:r>
      <w:r w:rsidR="004C6660">
        <w:rPr>
          <w:bCs/>
        </w:rPr>
        <w:t>29</w:t>
      </w:r>
      <w:r w:rsidRPr="001416E0">
        <w:rPr>
          <w:bCs/>
        </w:rPr>
        <w:t xml:space="preserve"> – </w:t>
      </w:r>
      <w:r w:rsidR="004C6660">
        <w:rPr>
          <w:bCs/>
          <w:i/>
          <w:iCs/>
        </w:rPr>
        <w:t>Ministerstvo zemědělství</w:t>
      </w:r>
      <w:r w:rsidRPr="001416E0">
        <w:rPr>
          <w:bCs/>
        </w:rPr>
        <w:t xml:space="preserve"> za rok 2022 </w:t>
      </w:r>
      <w:r>
        <w:rPr>
          <w:bCs/>
        </w:rPr>
        <w:t xml:space="preserve">byl </w:t>
      </w:r>
      <w:r w:rsidRPr="001416E0">
        <w:rPr>
          <w:bCs/>
        </w:rPr>
        <w:t>sestaven v</w:t>
      </w:r>
      <w:r w:rsidR="006E6542">
        <w:rPr>
          <w:bCs/>
        </w:rPr>
        <w:t> </w:t>
      </w:r>
      <w:r w:rsidRPr="001416E0">
        <w:rPr>
          <w:bCs/>
        </w:rPr>
        <w:t>rozsahu</w:t>
      </w:r>
      <w:r w:rsidR="006E6542">
        <w:rPr>
          <w:bCs/>
        </w:rPr>
        <w:t xml:space="preserve"> </w:t>
      </w:r>
      <w:r w:rsidRPr="001416E0">
        <w:rPr>
          <w:bCs/>
        </w:rPr>
        <w:t xml:space="preserve">dle vyhlášky č. 419/2001 Sb. a informace v něm uvedené </w:t>
      </w:r>
      <w:r>
        <w:rPr>
          <w:bCs/>
        </w:rPr>
        <w:t>odpovídají</w:t>
      </w:r>
      <w:r w:rsidRPr="001416E0">
        <w:rPr>
          <w:bCs/>
        </w:rPr>
        <w:t xml:space="preserve"> údaj</w:t>
      </w:r>
      <w:r>
        <w:rPr>
          <w:bCs/>
        </w:rPr>
        <w:t xml:space="preserve">ům </w:t>
      </w:r>
      <w:r w:rsidRPr="001416E0">
        <w:rPr>
          <w:bCs/>
        </w:rPr>
        <w:t>v rozpočtovém systému, finančním výkaz</w:t>
      </w:r>
      <w:r>
        <w:rPr>
          <w:bCs/>
        </w:rPr>
        <w:t>ům</w:t>
      </w:r>
      <w:r w:rsidRPr="001416E0">
        <w:rPr>
          <w:bCs/>
        </w:rPr>
        <w:t xml:space="preserve"> </w:t>
      </w:r>
      <w:r w:rsidR="006E6542">
        <w:rPr>
          <w:bCs/>
        </w:rPr>
        <w:t xml:space="preserve">i </w:t>
      </w:r>
      <w:r w:rsidRPr="001416E0">
        <w:rPr>
          <w:bCs/>
        </w:rPr>
        <w:t>údaj</w:t>
      </w:r>
      <w:r>
        <w:rPr>
          <w:bCs/>
        </w:rPr>
        <w:t>ům</w:t>
      </w:r>
      <w:r w:rsidRPr="001416E0">
        <w:rPr>
          <w:bCs/>
        </w:rPr>
        <w:t xml:space="preserve"> z dalších evidencí</w:t>
      </w:r>
      <w:r w:rsidRPr="001416E0" w:rsidDel="001416E0">
        <w:rPr>
          <w:bCs/>
        </w:rPr>
        <w:t xml:space="preserve"> </w:t>
      </w:r>
      <w:r w:rsidRPr="00E30E14">
        <w:t>(viz část IV.</w:t>
      </w:r>
      <w:r w:rsidR="004C6660">
        <w:t>3</w:t>
      </w:r>
      <w:r w:rsidRPr="00E30E14">
        <w:t>).</w:t>
      </w:r>
    </w:p>
    <w:p w14:paraId="534AC987" w14:textId="6135D08C" w:rsidR="00B50B80" w:rsidRDefault="00543C50" w:rsidP="00D80321">
      <w:pPr>
        <w:jc w:val="both"/>
      </w:pPr>
      <w:r>
        <w:t>V</w:t>
      </w:r>
      <w:r w:rsidR="002021DA">
        <w:t xml:space="preserve"> </w:t>
      </w:r>
      <w:r>
        <w:t>prověřovaných případech nezjistil NKÚ porušení právních předpisů upravujících hospodaření s majetkem státu a říd</w:t>
      </w:r>
      <w:r w:rsidR="006E6542">
        <w:t>i</w:t>
      </w:r>
      <w:r>
        <w:t xml:space="preserve">cí kontrolu při řízení veřejných příjmů a výdajů. </w:t>
      </w:r>
    </w:p>
    <w:p w14:paraId="7F96B18C" w14:textId="1CBE8040" w:rsidR="00AC5047" w:rsidRDefault="00AC5047" w:rsidP="00D80321">
      <w:pPr>
        <w:jc w:val="both"/>
        <w:rPr>
          <w:rFonts w:asciiTheme="minorHAnsi" w:hAnsiTheme="minorHAnsi" w:cstheme="minorHAnsi"/>
          <w:b/>
        </w:rPr>
      </w:pPr>
      <w:r w:rsidRPr="00B762F0">
        <w:rPr>
          <w:rFonts w:asciiTheme="minorHAnsi" w:hAnsiTheme="minorHAnsi" w:cstheme="minorHAnsi"/>
          <w:b/>
        </w:rPr>
        <w:t xml:space="preserve">Dle </w:t>
      </w:r>
      <w:r>
        <w:rPr>
          <w:rFonts w:asciiTheme="minorHAnsi" w:hAnsiTheme="minorHAnsi" w:cstheme="minorHAnsi"/>
          <w:b/>
        </w:rPr>
        <w:t>NKÚ</w:t>
      </w:r>
      <w:r w:rsidRPr="00B762F0">
        <w:rPr>
          <w:rFonts w:asciiTheme="minorHAnsi" w:hAnsiTheme="minorHAnsi" w:cstheme="minorHAnsi"/>
          <w:b/>
        </w:rPr>
        <w:t xml:space="preserve"> </w:t>
      </w:r>
      <w:r w:rsidR="00D617E1">
        <w:rPr>
          <w:rFonts w:asciiTheme="minorHAnsi" w:hAnsiTheme="minorHAnsi" w:cstheme="minorHAnsi"/>
          <w:b/>
        </w:rPr>
        <w:t xml:space="preserve">tak </w:t>
      </w:r>
      <w:r w:rsidRPr="00B762F0">
        <w:rPr>
          <w:rFonts w:asciiTheme="minorHAnsi" w:hAnsiTheme="minorHAnsi" w:cstheme="minorHAnsi"/>
          <w:b/>
        </w:rPr>
        <w:t>lze vnitřní kontrolní systém MZe v prověřovaných oblastech považovat za účinný.</w:t>
      </w:r>
    </w:p>
    <w:p w14:paraId="532631F5" w14:textId="0F8149DC" w:rsidR="00834CBA" w:rsidRDefault="00834CBA" w:rsidP="00C4558F">
      <w:pPr>
        <w:rPr>
          <w:rFonts w:asciiTheme="minorHAnsi" w:hAnsiTheme="minorHAnsi" w:cstheme="minorHAnsi"/>
          <w:b/>
        </w:rPr>
      </w:pPr>
    </w:p>
    <w:p w14:paraId="7B5765A2" w14:textId="77777777" w:rsidR="00A75011" w:rsidRPr="001A5FB6" w:rsidRDefault="00A75011" w:rsidP="00E60A2A">
      <w:pPr>
        <w:pStyle w:val="Nadpis2"/>
        <w:keepNext/>
        <w:ind w:left="357" w:hanging="357"/>
      </w:pPr>
      <w:r w:rsidRPr="002F02D9">
        <w:lastRenderedPageBreak/>
        <w:t>Vyhodnocení opatření přijatých k nápravě nedostatků z KA č. 1</w:t>
      </w:r>
      <w:r w:rsidR="004C23D5">
        <w:t>7</w:t>
      </w:r>
      <w:r w:rsidR="009C7016" w:rsidRPr="002F02D9">
        <w:t>/3</w:t>
      </w:r>
      <w:r w:rsidR="004C23D5">
        <w:t>1</w:t>
      </w:r>
    </w:p>
    <w:p w14:paraId="62E2EBB0" w14:textId="584CCBE2" w:rsidR="00DF6775" w:rsidRDefault="00A97E3D" w:rsidP="00C4558F">
      <w:pPr>
        <w:keepNext/>
        <w:jc w:val="both"/>
        <w:rPr>
          <w:rFonts w:cs="Calibri"/>
        </w:rPr>
      </w:pPr>
      <w:r w:rsidRPr="00A97E3D">
        <w:rPr>
          <w:rFonts w:cs="Calibri"/>
        </w:rPr>
        <w:t xml:space="preserve">Vláda </w:t>
      </w:r>
      <w:r w:rsidR="00B01C2B">
        <w:rPr>
          <w:rFonts w:cs="Calibri"/>
        </w:rPr>
        <w:t>České republiky</w:t>
      </w:r>
      <w:r w:rsidRPr="00A97E3D">
        <w:rPr>
          <w:rFonts w:cs="Calibri"/>
        </w:rPr>
        <w:t xml:space="preserve"> svým usnesením ze dne 7. </w:t>
      </w:r>
      <w:r w:rsidR="001F7398">
        <w:rPr>
          <w:rFonts w:cs="Calibri"/>
        </w:rPr>
        <w:t>listopadu</w:t>
      </w:r>
      <w:r w:rsidRPr="00A97E3D">
        <w:rPr>
          <w:rFonts w:cs="Calibri"/>
        </w:rPr>
        <w:t xml:space="preserve"> 2018 č. 717 vzala </w:t>
      </w:r>
      <w:r w:rsidR="006E6542" w:rsidRPr="00A97E3D">
        <w:rPr>
          <w:rFonts w:cs="Calibri"/>
        </w:rPr>
        <w:t xml:space="preserve">na vědomí </w:t>
      </w:r>
      <w:r w:rsidR="006E6542">
        <w:rPr>
          <w:rFonts w:cs="Calibri"/>
        </w:rPr>
        <w:t>k</w:t>
      </w:r>
      <w:r w:rsidRPr="00A97E3D">
        <w:rPr>
          <w:rFonts w:cs="Calibri"/>
        </w:rPr>
        <w:t>ontrolní závěr z</w:t>
      </w:r>
      <w:r w:rsidR="006E6542">
        <w:rPr>
          <w:rFonts w:cs="Calibri"/>
        </w:rPr>
        <w:t> </w:t>
      </w:r>
      <w:r w:rsidRPr="00A97E3D">
        <w:rPr>
          <w:rFonts w:cs="Calibri"/>
        </w:rPr>
        <w:t xml:space="preserve">KA č. 17/31 </w:t>
      </w:r>
      <w:r w:rsidR="006E6542">
        <w:rPr>
          <w:rFonts w:cs="Calibri"/>
        </w:rPr>
        <w:t>i s</w:t>
      </w:r>
      <w:r w:rsidRPr="00A97E3D">
        <w:rPr>
          <w:rFonts w:cs="Calibri"/>
        </w:rPr>
        <w:t xml:space="preserve">tanovisko MZe </w:t>
      </w:r>
      <w:r w:rsidR="006E6542">
        <w:rPr>
          <w:rFonts w:cs="Calibri"/>
        </w:rPr>
        <w:t xml:space="preserve">k tomuto kontrolnímu závěru </w:t>
      </w:r>
      <w:r w:rsidRPr="00A97E3D">
        <w:rPr>
          <w:rFonts w:cs="Calibri"/>
        </w:rPr>
        <w:t xml:space="preserve">a uložila ministru zemědělství realizovat opatření </w:t>
      </w:r>
      <w:r w:rsidR="00B01C2B">
        <w:rPr>
          <w:rFonts w:cs="Calibri"/>
        </w:rPr>
        <w:t xml:space="preserve">uvedená </w:t>
      </w:r>
      <w:r w:rsidRPr="00A97E3D">
        <w:rPr>
          <w:rFonts w:cs="Calibri"/>
        </w:rPr>
        <w:t>v</w:t>
      </w:r>
      <w:r w:rsidR="00B01C2B">
        <w:rPr>
          <w:rFonts w:cs="Calibri"/>
        </w:rPr>
        <w:t>e zmíněném s</w:t>
      </w:r>
      <w:r w:rsidRPr="00A97E3D">
        <w:rPr>
          <w:rFonts w:cs="Calibri"/>
        </w:rPr>
        <w:t>tanovisku</w:t>
      </w:r>
      <w:r w:rsidR="00B01C2B">
        <w:rPr>
          <w:rFonts w:cs="Calibri"/>
        </w:rPr>
        <w:t xml:space="preserve"> MZe</w:t>
      </w:r>
      <w:r w:rsidRPr="00A97E3D">
        <w:rPr>
          <w:rFonts w:cs="Calibri"/>
        </w:rPr>
        <w:t xml:space="preserve"> ve stanovených termínech</w:t>
      </w:r>
      <w:r w:rsidR="009E0447" w:rsidRPr="000D6F93">
        <w:rPr>
          <w:rFonts w:cs="Calibri"/>
        </w:rPr>
        <w:t xml:space="preserve">. </w:t>
      </w:r>
    </w:p>
    <w:p w14:paraId="3678B83F" w14:textId="6BB1C6A6" w:rsidR="006128FC" w:rsidRDefault="00DF6775" w:rsidP="00C4558F">
      <w:pPr>
        <w:jc w:val="both"/>
      </w:pPr>
      <w:r w:rsidRPr="00DF6775">
        <w:t>MZe realizovalo úplně a správně všechna opatření vyplývající z</w:t>
      </w:r>
      <w:r w:rsidR="001F7398">
        <w:t xml:space="preserve"> uvedeného </w:t>
      </w:r>
      <w:r w:rsidRPr="00DF6775">
        <w:t xml:space="preserve">usnesení vlády. </w:t>
      </w:r>
      <w:r w:rsidRPr="00872B70">
        <w:rPr>
          <w:bCs/>
        </w:rPr>
        <w:t>K</w:t>
      </w:r>
      <w:r w:rsidR="00C4558F">
        <w:rPr>
          <w:bCs/>
        </w:rPr>
        <w:t> </w:t>
      </w:r>
      <w:r w:rsidRPr="00872B70">
        <w:rPr>
          <w:bCs/>
        </w:rPr>
        <w:t>realizaci opatření přistoupilo systémově, tzn. provedlo nejen účetní opravy nesprávností</w:t>
      </w:r>
      <w:r w:rsidR="00B674DA">
        <w:rPr>
          <w:bCs/>
        </w:rPr>
        <w:t xml:space="preserve"> zjištěných v KA </w:t>
      </w:r>
      <w:r w:rsidR="007733EB">
        <w:rPr>
          <w:bCs/>
        </w:rPr>
        <w:t xml:space="preserve">č. </w:t>
      </w:r>
      <w:r w:rsidR="00B674DA">
        <w:rPr>
          <w:bCs/>
        </w:rPr>
        <w:t>17/31</w:t>
      </w:r>
      <w:r w:rsidRPr="00872B70">
        <w:rPr>
          <w:bCs/>
        </w:rPr>
        <w:t xml:space="preserve">, ale </w:t>
      </w:r>
      <w:r>
        <w:rPr>
          <w:bCs/>
        </w:rPr>
        <w:t xml:space="preserve">jednotlivé </w:t>
      </w:r>
      <w:r w:rsidRPr="00872B70">
        <w:rPr>
          <w:bCs/>
        </w:rPr>
        <w:t>oblasti řešilo i</w:t>
      </w:r>
      <w:r>
        <w:rPr>
          <w:bCs/>
        </w:rPr>
        <w:t> </w:t>
      </w:r>
      <w:r w:rsidR="002B4E0C">
        <w:rPr>
          <w:bCs/>
        </w:rPr>
        <w:t>úpravou své metodiky</w:t>
      </w:r>
      <w:r w:rsidRPr="00872B70">
        <w:rPr>
          <w:bCs/>
        </w:rPr>
        <w:t>.</w:t>
      </w:r>
      <w:r>
        <w:rPr>
          <w:b/>
          <w:bCs/>
        </w:rPr>
        <w:t xml:space="preserve"> </w:t>
      </w:r>
      <w:r w:rsidRPr="00DF6775">
        <w:t>Přijatá opatření vytvářejí předpoklady pro zamezení opakování těchto pochybení.</w:t>
      </w:r>
      <w:r w:rsidR="006128FC">
        <w:br w:type="page"/>
      </w:r>
    </w:p>
    <w:p w14:paraId="504125A6" w14:textId="77777777" w:rsidR="00112642" w:rsidRPr="00195280" w:rsidRDefault="00A640AE" w:rsidP="006128FC">
      <w:pPr>
        <w:pStyle w:val="Nadpis2"/>
        <w:numPr>
          <w:ilvl w:val="0"/>
          <w:numId w:val="0"/>
        </w:numPr>
      </w:pPr>
      <w:r w:rsidRPr="009E2240">
        <w:lastRenderedPageBreak/>
        <w:t>Seznam zkratek</w:t>
      </w:r>
    </w:p>
    <w:p w14:paraId="6E4E2632" w14:textId="77777777" w:rsidR="00155F56" w:rsidRDefault="00155F56" w:rsidP="0012417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8D4B68">
        <w:rPr>
          <w:rFonts w:asciiTheme="minorHAnsi" w:eastAsiaTheme="minorHAnsi" w:hAnsiTheme="minorHAnsi" w:cstheme="minorHAnsi"/>
        </w:rPr>
        <w:t>ČR</w:t>
      </w:r>
      <w:r w:rsidRPr="008D4B68">
        <w:rPr>
          <w:rFonts w:asciiTheme="minorHAnsi" w:eastAsiaTheme="minorHAnsi" w:hAnsiTheme="minorHAnsi" w:cstheme="minorHAnsi"/>
        </w:rPr>
        <w:tab/>
        <w:t xml:space="preserve">Česká republika </w:t>
      </w:r>
    </w:p>
    <w:p w14:paraId="471C44A6" w14:textId="77777777" w:rsidR="00522EC5" w:rsidRDefault="00522EC5" w:rsidP="00522EC5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ČNB</w:t>
      </w:r>
      <w:r>
        <w:rPr>
          <w:rFonts w:asciiTheme="minorHAnsi" w:eastAsiaTheme="minorHAnsi" w:hAnsiTheme="minorHAnsi" w:cstheme="minorHAnsi"/>
        </w:rPr>
        <w:tab/>
        <w:t>Česká národní banka</w:t>
      </w:r>
    </w:p>
    <w:p w14:paraId="22827125" w14:textId="77777777" w:rsidR="00522EC5" w:rsidRDefault="00522EC5" w:rsidP="00522EC5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ČSÚ</w:t>
      </w:r>
      <w:r>
        <w:rPr>
          <w:rFonts w:asciiTheme="minorHAnsi" w:eastAsiaTheme="minorHAnsi" w:hAnsiTheme="minorHAnsi" w:cstheme="minorHAnsi"/>
        </w:rPr>
        <w:tab/>
        <w:t>Český statistický úřad</w:t>
      </w:r>
    </w:p>
    <w:p w14:paraId="013B4DF2" w14:textId="77777777" w:rsidR="00A07CA1" w:rsidRDefault="00A07CA1" w:rsidP="00522EC5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EU</w:t>
      </w:r>
      <w:r w:rsidR="00D27E87">
        <w:rPr>
          <w:rFonts w:asciiTheme="minorHAnsi" w:eastAsiaTheme="minorHAnsi" w:hAnsiTheme="minorHAnsi" w:cstheme="minorHAnsi"/>
        </w:rPr>
        <w:tab/>
        <w:t>Evropská unie</w:t>
      </w:r>
    </w:p>
    <w:p w14:paraId="5B29E48D" w14:textId="77777777" w:rsidR="00522EC5" w:rsidRDefault="00522EC5" w:rsidP="00522EC5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EZFRV</w:t>
      </w:r>
      <w:r>
        <w:rPr>
          <w:rFonts w:asciiTheme="minorHAnsi" w:eastAsiaTheme="minorHAnsi" w:hAnsiTheme="minorHAnsi" w:cstheme="minorHAnsi"/>
        </w:rPr>
        <w:tab/>
      </w:r>
      <w:r w:rsidRPr="00E60A2A">
        <w:rPr>
          <w:rFonts w:asciiTheme="minorHAnsi" w:eastAsiaTheme="minorHAnsi" w:hAnsiTheme="minorHAnsi" w:cstheme="minorHAnsi"/>
          <w:i/>
        </w:rPr>
        <w:t>Evropský zemědělský fond pro rozvoj venkova</w:t>
      </w:r>
    </w:p>
    <w:p w14:paraId="7131D26F" w14:textId="39FA910F" w:rsidR="00522EC5" w:rsidRDefault="00522EC5" w:rsidP="00522EC5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EZZF</w:t>
      </w:r>
      <w:r>
        <w:rPr>
          <w:rFonts w:asciiTheme="minorHAnsi" w:eastAsiaTheme="minorHAnsi" w:hAnsiTheme="minorHAnsi" w:cstheme="minorHAnsi"/>
        </w:rPr>
        <w:tab/>
      </w:r>
      <w:r w:rsidRPr="00E60A2A">
        <w:rPr>
          <w:rFonts w:asciiTheme="minorHAnsi" w:eastAsiaTheme="minorHAnsi" w:hAnsiTheme="minorHAnsi" w:cstheme="minorHAnsi"/>
          <w:i/>
        </w:rPr>
        <w:t>Evropský zemědělský záruční fond</w:t>
      </w:r>
    </w:p>
    <w:p w14:paraId="5C9BB9D9" w14:textId="05A717A4" w:rsidR="00512C8C" w:rsidRDefault="00512C8C" w:rsidP="00522EC5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ISSAI</w:t>
      </w:r>
      <w:r>
        <w:rPr>
          <w:rFonts w:asciiTheme="minorHAnsi" w:eastAsiaTheme="minorHAnsi" w:hAnsiTheme="minorHAnsi" w:cstheme="minorHAnsi"/>
        </w:rPr>
        <w:tab/>
      </w:r>
      <w:r w:rsidRPr="00E60A2A">
        <w:rPr>
          <w:rFonts w:asciiTheme="minorHAnsi" w:eastAsiaTheme="minorHAnsi" w:hAnsiTheme="minorHAnsi" w:cstheme="minorHAnsi"/>
          <w:i/>
        </w:rPr>
        <w:t xml:space="preserve">International </w:t>
      </w:r>
      <w:r w:rsidRPr="00E60A2A">
        <w:rPr>
          <w:rFonts w:asciiTheme="minorHAnsi" w:eastAsiaTheme="minorHAnsi" w:hAnsiTheme="minorHAnsi" w:cstheme="minorHAnsi"/>
          <w:i/>
          <w:lang w:val="en-GB"/>
        </w:rPr>
        <w:t>Standards of Supreme Audit Institutions</w:t>
      </w:r>
    </w:p>
    <w:p w14:paraId="1F62D022" w14:textId="30EE5F56" w:rsidR="00155F56" w:rsidRPr="000206ED" w:rsidRDefault="00155F56" w:rsidP="00124170">
      <w:pPr>
        <w:tabs>
          <w:tab w:val="left" w:pos="2552"/>
        </w:tabs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KA</w:t>
      </w:r>
      <w:r w:rsidRPr="000206ED">
        <w:rPr>
          <w:rFonts w:asciiTheme="minorHAnsi" w:eastAsiaTheme="minorHAnsi" w:hAnsiTheme="minorHAnsi" w:cstheme="minorHAnsi"/>
        </w:rPr>
        <w:tab/>
      </w:r>
      <w:r w:rsidR="003B23D8" w:rsidRPr="000206ED">
        <w:rPr>
          <w:rFonts w:asciiTheme="minorHAnsi" w:eastAsiaTheme="minorHAnsi" w:hAnsiTheme="minorHAnsi" w:cstheme="minorHAnsi"/>
        </w:rPr>
        <w:t>k</w:t>
      </w:r>
      <w:r w:rsidRPr="000206ED">
        <w:rPr>
          <w:rFonts w:asciiTheme="minorHAnsi" w:eastAsiaTheme="minorHAnsi" w:hAnsiTheme="minorHAnsi" w:cstheme="minorHAnsi"/>
        </w:rPr>
        <w:t>ontrolní akce</w:t>
      </w:r>
      <w:r w:rsidR="003B23D8" w:rsidRPr="000206ED">
        <w:rPr>
          <w:rFonts w:asciiTheme="minorHAnsi" w:eastAsiaTheme="minorHAnsi" w:hAnsiTheme="minorHAnsi" w:cstheme="minorHAnsi"/>
        </w:rPr>
        <w:t xml:space="preserve"> </w:t>
      </w:r>
      <w:r w:rsidR="00B01C2B" w:rsidRPr="000206ED">
        <w:rPr>
          <w:rFonts w:asciiTheme="minorHAnsi" w:eastAsiaTheme="minorHAnsi" w:hAnsiTheme="minorHAnsi" w:cstheme="minorHAnsi"/>
        </w:rPr>
        <w:t>Nejvyšší</w:t>
      </w:r>
      <w:r w:rsidR="00B01C2B">
        <w:rPr>
          <w:rFonts w:asciiTheme="minorHAnsi" w:eastAsiaTheme="minorHAnsi" w:hAnsiTheme="minorHAnsi" w:cstheme="minorHAnsi"/>
        </w:rPr>
        <w:t>ho</w:t>
      </w:r>
      <w:r w:rsidR="00B01C2B" w:rsidRPr="000206ED">
        <w:rPr>
          <w:rFonts w:asciiTheme="minorHAnsi" w:eastAsiaTheme="minorHAnsi" w:hAnsiTheme="minorHAnsi" w:cstheme="minorHAnsi"/>
        </w:rPr>
        <w:t xml:space="preserve"> kontrolní</w:t>
      </w:r>
      <w:r w:rsidR="00B01C2B">
        <w:rPr>
          <w:rFonts w:asciiTheme="minorHAnsi" w:eastAsiaTheme="minorHAnsi" w:hAnsiTheme="minorHAnsi" w:cstheme="minorHAnsi"/>
        </w:rPr>
        <w:t>ho</w:t>
      </w:r>
      <w:r w:rsidR="00B01C2B" w:rsidRPr="000206ED">
        <w:rPr>
          <w:rFonts w:asciiTheme="minorHAnsi" w:eastAsiaTheme="minorHAnsi" w:hAnsiTheme="minorHAnsi" w:cstheme="minorHAnsi"/>
        </w:rPr>
        <w:t xml:space="preserve"> úřad</w:t>
      </w:r>
      <w:r w:rsidR="00B01C2B">
        <w:rPr>
          <w:rFonts w:asciiTheme="minorHAnsi" w:eastAsiaTheme="minorHAnsi" w:hAnsiTheme="minorHAnsi" w:cstheme="minorHAnsi"/>
        </w:rPr>
        <w:t>u</w:t>
      </w:r>
    </w:p>
    <w:p w14:paraId="2CD759BB" w14:textId="77777777" w:rsidR="006B570C" w:rsidRPr="000206ED" w:rsidRDefault="006B570C" w:rsidP="00124170">
      <w:pPr>
        <w:tabs>
          <w:tab w:val="left" w:pos="2552"/>
        </w:tabs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MF</w:t>
      </w:r>
      <w:r w:rsidRPr="000206ED">
        <w:rPr>
          <w:rFonts w:asciiTheme="minorHAnsi" w:eastAsiaTheme="minorHAnsi" w:hAnsiTheme="minorHAnsi" w:cstheme="minorHAnsi"/>
        </w:rPr>
        <w:tab/>
        <w:t>Ministerstvo financí</w:t>
      </w:r>
    </w:p>
    <w:p w14:paraId="5C9A294F" w14:textId="77777777" w:rsidR="00AD0BD6" w:rsidRPr="000206ED" w:rsidRDefault="00AD0BD6" w:rsidP="0012417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M</w:t>
      </w:r>
      <w:r w:rsidR="00035205">
        <w:rPr>
          <w:rFonts w:asciiTheme="minorHAnsi" w:eastAsiaTheme="minorHAnsi" w:hAnsiTheme="minorHAnsi" w:cstheme="minorHAnsi"/>
        </w:rPr>
        <w:t>Ze</w:t>
      </w:r>
      <w:r w:rsidRPr="000206ED">
        <w:rPr>
          <w:rFonts w:asciiTheme="minorHAnsi" w:eastAsiaTheme="minorHAnsi" w:hAnsiTheme="minorHAnsi" w:cstheme="minorHAnsi"/>
        </w:rPr>
        <w:tab/>
        <w:t>Ministerstv</w:t>
      </w:r>
      <w:r w:rsidR="007A4B60" w:rsidRPr="000206ED">
        <w:rPr>
          <w:rFonts w:asciiTheme="minorHAnsi" w:eastAsiaTheme="minorHAnsi" w:hAnsiTheme="minorHAnsi" w:cstheme="minorHAnsi"/>
        </w:rPr>
        <w:t xml:space="preserve">o </w:t>
      </w:r>
      <w:r w:rsidR="00035205">
        <w:rPr>
          <w:rFonts w:asciiTheme="minorHAnsi" w:eastAsiaTheme="minorHAnsi" w:hAnsiTheme="minorHAnsi" w:cstheme="minorHAnsi"/>
        </w:rPr>
        <w:t>zemědělství</w:t>
      </w:r>
    </w:p>
    <w:p w14:paraId="212F9564" w14:textId="77777777" w:rsidR="00155F56" w:rsidRPr="000206ED" w:rsidRDefault="00155F56" w:rsidP="0012417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NKÚ</w:t>
      </w:r>
      <w:r w:rsidRPr="000206ED">
        <w:rPr>
          <w:rFonts w:asciiTheme="minorHAnsi" w:eastAsiaTheme="minorHAnsi" w:hAnsiTheme="minorHAnsi" w:cstheme="minorHAnsi"/>
        </w:rPr>
        <w:tab/>
        <w:t>Nejvyšší kontrolní úřad</w:t>
      </w:r>
    </w:p>
    <w:p w14:paraId="3982E110" w14:textId="77777777" w:rsidR="00155F56" w:rsidRPr="000206ED" w:rsidRDefault="00155F56" w:rsidP="0012417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OSS</w:t>
      </w:r>
      <w:r w:rsidRPr="000206ED">
        <w:rPr>
          <w:rFonts w:asciiTheme="minorHAnsi" w:eastAsiaTheme="minorHAnsi" w:hAnsiTheme="minorHAnsi" w:cstheme="minorHAnsi"/>
        </w:rPr>
        <w:tab/>
        <w:t>organizační složka/</w:t>
      </w:r>
      <w:r w:rsidR="005121AE" w:rsidRPr="000206ED">
        <w:rPr>
          <w:rFonts w:asciiTheme="minorHAnsi" w:eastAsiaTheme="minorHAnsi" w:hAnsiTheme="minorHAnsi" w:cstheme="minorHAnsi"/>
        </w:rPr>
        <w:t>složk</w:t>
      </w:r>
      <w:r w:rsidRPr="000206ED">
        <w:rPr>
          <w:rFonts w:asciiTheme="minorHAnsi" w:eastAsiaTheme="minorHAnsi" w:hAnsiTheme="minorHAnsi" w:cstheme="minorHAnsi"/>
        </w:rPr>
        <w:t>y státu</w:t>
      </w:r>
    </w:p>
    <w:p w14:paraId="6D010471" w14:textId="77777777" w:rsidR="00155F56" w:rsidRDefault="00155F56" w:rsidP="0012417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PO</w:t>
      </w:r>
      <w:r w:rsidRPr="000206ED">
        <w:rPr>
          <w:rFonts w:asciiTheme="minorHAnsi" w:eastAsiaTheme="minorHAnsi" w:hAnsiTheme="minorHAnsi" w:cstheme="minorHAnsi"/>
        </w:rPr>
        <w:tab/>
        <w:t>příspěvková</w:t>
      </w:r>
      <w:r w:rsidR="005121AE" w:rsidRPr="000206ED">
        <w:rPr>
          <w:rFonts w:asciiTheme="minorHAnsi" w:eastAsiaTheme="minorHAnsi" w:hAnsiTheme="minorHAnsi" w:cstheme="minorHAnsi"/>
        </w:rPr>
        <w:t>/příspěvkové</w:t>
      </w:r>
      <w:r w:rsidRPr="000206ED">
        <w:rPr>
          <w:rFonts w:asciiTheme="minorHAnsi" w:eastAsiaTheme="minorHAnsi" w:hAnsiTheme="minorHAnsi" w:cstheme="minorHAnsi"/>
        </w:rPr>
        <w:t xml:space="preserve"> organizace</w:t>
      </w:r>
    </w:p>
    <w:p w14:paraId="5B1456E3" w14:textId="77777777" w:rsidR="00155F56" w:rsidRPr="000206ED" w:rsidRDefault="00155F56" w:rsidP="0012417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ÚZ</w:t>
      </w:r>
      <w:r w:rsidRPr="000206ED">
        <w:rPr>
          <w:rFonts w:asciiTheme="minorHAnsi" w:eastAsiaTheme="minorHAnsi" w:hAnsiTheme="minorHAnsi" w:cstheme="minorHAnsi"/>
        </w:rPr>
        <w:tab/>
        <w:t xml:space="preserve">účetní závěrka </w:t>
      </w:r>
      <w:r w:rsidR="00842B22" w:rsidRPr="000206ED">
        <w:rPr>
          <w:rFonts w:asciiTheme="minorHAnsi" w:eastAsiaTheme="minorHAnsi" w:hAnsiTheme="minorHAnsi" w:cstheme="minorHAnsi"/>
        </w:rPr>
        <w:t>M</w:t>
      </w:r>
      <w:r w:rsidR="0019652C" w:rsidRPr="000206ED">
        <w:rPr>
          <w:rFonts w:asciiTheme="minorHAnsi" w:eastAsiaTheme="minorHAnsi" w:hAnsiTheme="minorHAnsi" w:cstheme="minorHAnsi"/>
        </w:rPr>
        <w:t xml:space="preserve">inisterstva </w:t>
      </w:r>
      <w:r w:rsidR="00CC7A75">
        <w:rPr>
          <w:rFonts w:asciiTheme="minorHAnsi" w:eastAsiaTheme="minorHAnsi" w:hAnsiTheme="minorHAnsi" w:cstheme="minorHAnsi"/>
        </w:rPr>
        <w:t>zemědělství</w:t>
      </w:r>
      <w:r w:rsidRPr="000206ED">
        <w:rPr>
          <w:rFonts w:asciiTheme="minorHAnsi" w:eastAsiaTheme="minorHAnsi" w:hAnsiTheme="minorHAnsi" w:cstheme="minorHAnsi"/>
        </w:rPr>
        <w:t xml:space="preserve"> k 31. </w:t>
      </w:r>
      <w:r w:rsidR="00A062B4" w:rsidRPr="000206ED">
        <w:rPr>
          <w:rFonts w:asciiTheme="minorHAnsi" w:eastAsiaTheme="minorHAnsi" w:hAnsiTheme="minorHAnsi" w:cstheme="minorHAnsi"/>
        </w:rPr>
        <w:t>prosinc</w:t>
      </w:r>
      <w:r w:rsidR="00A062B4">
        <w:rPr>
          <w:rFonts w:asciiTheme="minorHAnsi" w:eastAsiaTheme="minorHAnsi" w:hAnsiTheme="minorHAnsi" w:cstheme="minorHAnsi"/>
        </w:rPr>
        <w:t>i</w:t>
      </w:r>
      <w:r w:rsidR="00A062B4" w:rsidRPr="000206ED">
        <w:rPr>
          <w:rFonts w:asciiTheme="minorHAnsi" w:eastAsiaTheme="minorHAnsi" w:hAnsiTheme="minorHAnsi" w:cstheme="minorHAnsi"/>
        </w:rPr>
        <w:t xml:space="preserve"> </w:t>
      </w:r>
      <w:r w:rsidRPr="000206ED">
        <w:rPr>
          <w:rFonts w:asciiTheme="minorHAnsi" w:eastAsiaTheme="minorHAnsi" w:hAnsiTheme="minorHAnsi" w:cstheme="minorHAnsi"/>
        </w:rPr>
        <w:t>20</w:t>
      </w:r>
      <w:r w:rsidR="00842B22" w:rsidRPr="000206ED">
        <w:rPr>
          <w:rFonts w:asciiTheme="minorHAnsi" w:eastAsiaTheme="minorHAnsi" w:hAnsiTheme="minorHAnsi" w:cstheme="minorHAnsi"/>
        </w:rPr>
        <w:t>2</w:t>
      </w:r>
      <w:r w:rsidR="00CC7A75">
        <w:rPr>
          <w:rFonts w:asciiTheme="minorHAnsi" w:eastAsiaTheme="minorHAnsi" w:hAnsiTheme="minorHAnsi" w:cstheme="minorHAnsi"/>
        </w:rPr>
        <w:t>2</w:t>
      </w:r>
      <w:r w:rsidR="009B678D" w:rsidRPr="000206ED">
        <w:rPr>
          <w:rFonts w:asciiTheme="minorHAnsi" w:eastAsiaTheme="minorHAnsi" w:hAnsiTheme="minorHAnsi" w:cstheme="minorHAnsi"/>
        </w:rPr>
        <w:t xml:space="preserve"> </w:t>
      </w:r>
    </w:p>
    <w:p w14:paraId="36563BC6" w14:textId="77777777" w:rsidR="00522EC5" w:rsidRDefault="00522EC5" w:rsidP="00522EC5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ÚZSVM</w:t>
      </w:r>
      <w:r>
        <w:rPr>
          <w:rFonts w:asciiTheme="minorHAnsi" w:eastAsiaTheme="minorHAnsi" w:hAnsiTheme="minorHAnsi" w:cstheme="minorHAnsi"/>
        </w:rPr>
        <w:tab/>
        <w:t>Úřad pro zastupování státu ve věcech majetkových</w:t>
      </w:r>
    </w:p>
    <w:p w14:paraId="253FF7B1" w14:textId="77777777" w:rsidR="00A045AE" w:rsidRPr="000206ED" w:rsidRDefault="00A045AE" w:rsidP="0012417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VKS</w:t>
      </w:r>
      <w:r w:rsidRPr="000206ED">
        <w:rPr>
          <w:rFonts w:asciiTheme="minorHAnsi" w:eastAsiaTheme="minorHAnsi" w:hAnsiTheme="minorHAnsi" w:cstheme="minorHAnsi"/>
        </w:rPr>
        <w:tab/>
        <w:t>vnitřní kontrolní systém</w:t>
      </w:r>
      <w:r w:rsidR="0019652C" w:rsidRPr="000206ED">
        <w:rPr>
          <w:rFonts w:asciiTheme="minorHAnsi" w:eastAsiaTheme="minorHAnsi" w:hAnsiTheme="minorHAnsi" w:cstheme="minorHAnsi"/>
        </w:rPr>
        <w:t xml:space="preserve"> </w:t>
      </w:r>
    </w:p>
    <w:p w14:paraId="220E1632" w14:textId="77777777" w:rsidR="00B53D75" w:rsidRDefault="00155F56" w:rsidP="00970055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výkaz FIN 1-12 OSS</w:t>
      </w:r>
      <w:r w:rsidRPr="000206ED">
        <w:rPr>
          <w:rFonts w:asciiTheme="minorHAnsi" w:eastAsiaTheme="minorHAnsi" w:hAnsiTheme="minorHAnsi" w:cstheme="minorHAnsi"/>
        </w:rPr>
        <w:tab/>
      </w:r>
      <w:r w:rsidR="00970055" w:rsidRPr="000206ED">
        <w:rPr>
          <w:rFonts w:asciiTheme="minorHAnsi" w:eastAsiaTheme="minorHAnsi" w:hAnsiTheme="minorHAnsi" w:cstheme="minorHAnsi"/>
        </w:rPr>
        <w:t>„</w:t>
      </w:r>
      <w:r w:rsidRPr="000206ED">
        <w:rPr>
          <w:rFonts w:asciiTheme="minorHAnsi" w:eastAsiaTheme="minorHAnsi" w:hAnsiTheme="minorHAnsi" w:cstheme="minorHAnsi"/>
        </w:rPr>
        <w:t>výkaz pro hodnocení plnění rozpočtu správců kapitol a organizačních složek státu</w:t>
      </w:r>
      <w:r w:rsidR="00970055" w:rsidRPr="000206ED">
        <w:rPr>
          <w:rFonts w:asciiTheme="minorHAnsi" w:eastAsiaTheme="minorHAnsi" w:hAnsiTheme="minorHAnsi" w:cstheme="minorHAnsi"/>
        </w:rPr>
        <w:t>“</w:t>
      </w:r>
      <w:r w:rsidR="00927ABA" w:rsidRPr="000206ED">
        <w:rPr>
          <w:rFonts w:asciiTheme="minorHAnsi" w:eastAsiaTheme="minorHAnsi" w:hAnsiTheme="minorHAnsi" w:cstheme="minorHAnsi"/>
        </w:rPr>
        <w:t xml:space="preserve"> M</w:t>
      </w:r>
      <w:r w:rsidR="00970055" w:rsidRPr="000206ED">
        <w:rPr>
          <w:rFonts w:asciiTheme="minorHAnsi" w:eastAsiaTheme="minorHAnsi" w:hAnsiTheme="minorHAnsi" w:cstheme="minorHAnsi"/>
        </w:rPr>
        <w:t xml:space="preserve">inisterstva </w:t>
      </w:r>
      <w:r w:rsidR="009E2240">
        <w:rPr>
          <w:rFonts w:asciiTheme="minorHAnsi" w:eastAsiaTheme="minorHAnsi" w:hAnsiTheme="minorHAnsi" w:cstheme="minorHAnsi"/>
        </w:rPr>
        <w:t>zemědělství</w:t>
      </w:r>
      <w:r w:rsidR="00786390" w:rsidRPr="000206ED">
        <w:rPr>
          <w:rFonts w:asciiTheme="minorHAnsi" w:eastAsiaTheme="minorHAnsi" w:hAnsiTheme="minorHAnsi" w:cstheme="minorHAnsi"/>
        </w:rPr>
        <w:t xml:space="preserve"> za rok </w:t>
      </w:r>
      <w:r w:rsidR="00842B22" w:rsidRPr="000206ED">
        <w:rPr>
          <w:rFonts w:asciiTheme="minorHAnsi" w:eastAsiaTheme="minorHAnsi" w:hAnsiTheme="minorHAnsi" w:cstheme="minorHAnsi"/>
        </w:rPr>
        <w:t>202</w:t>
      </w:r>
      <w:r w:rsidR="009E2240">
        <w:rPr>
          <w:rFonts w:asciiTheme="minorHAnsi" w:eastAsiaTheme="minorHAnsi" w:hAnsiTheme="minorHAnsi" w:cstheme="minorHAnsi"/>
        </w:rPr>
        <w:t>2</w:t>
      </w:r>
    </w:p>
    <w:p w14:paraId="11764E4A" w14:textId="15367E96" w:rsidR="005F3E85" w:rsidRPr="000206ED" w:rsidRDefault="005F3E85" w:rsidP="0012417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0206ED">
        <w:rPr>
          <w:rFonts w:asciiTheme="minorHAnsi" w:eastAsiaTheme="minorHAnsi" w:hAnsiTheme="minorHAnsi" w:cstheme="minorHAnsi"/>
        </w:rPr>
        <w:t>ZÚ 202</w:t>
      </w:r>
      <w:r w:rsidR="00CC7A75">
        <w:rPr>
          <w:rFonts w:asciiTheme="minorHAnsi" w:eastAsiaTheme="minorHAnsi" w:hAnsiTheme="minorHAnsi" w:cstheme="minorHAnsi"/>
        </w:rPr>
        <w:t>2</w:t>
      </w:r>
      <w:r w:rsidRPr="000206ED">
        <w:rPr>
          <w:rFonts w:asciiTheme="minorHAnsi" w:eastAsiaTheme="minorHAnsi" w:hAnsiTheme="minorHAnsi" w:cstheme="minorHAnsi"/>
        </w:rPr>
        <w:tab/>
      </w:r>
      <w:r w:rsidR="00B01C2B">
        <w:rPr>
          <w:rFonts w:asciiTheme="minorHAnsi" w:eastAsiaTheme="minorHAnsi" w:hAnsiTheme="minorHAnsi" w:cstheme="minorHAnsi"/>
        </w:rPr>
        <w:t>z</w:t>
      </w:r>
      <w:r w:rsidRPr="000206ED">
        <w:rPr>
          <w:rFonts w:asciiTheme="minorHAnsi" w:eastAsiaTheme="minorHAnsi" w:hAnsiTheme="minorHAnsi" w:cstheme="minorHAnsi"/>
        </w:rPr>
        <w:t xml:space="preserve">ávěrečný účet kapitoly </w:t>
      </w:r>
      <w:r w:rsidR="0019652C" w:rsidRPr="000206ED">
        <w:rPr>
          <w:rFonts w:asciiTheme="minorHAnsi" w:eastAsiaTheme="minorHAnsi" w:hAnsiTheme="minorHAnsi" w:cstheme="minorHAnsi"/>
        </w:rPr>
        <w:t xml:space="preserve">státního rozpočtu </w:t>
      </w:r>
      <w:r w:rsidRPr="000206ED">
        <w:rPr>
          <w:rFonts w:asciiTheme="minorHAnsi" w:eastAsiaTheme="minorHAnsi" w:hAnsiTheme="minorHAnsi" w:cstheme="minorHAnsi"/>
        </w:rPr>
        <w:t>3</w:t>
      </w:r>
      <w:r w:rsidR="00CC7A75">
        <w:rPr>
          <w:rFonts w:asciiTheme="minorHAnsi" w:eastAsiaTheme="minorHAnsi" w:hAnsiTheme="minorHAnsi" w:cstheme="minorHAnsi"/>
        </w:rPr>
        <w:t>29</w:t>
      </w:r>
      <w:r w:rsidRPr="000206ED">
        <w:rPr>
          <w:rFonts w:asciiTheme="minorHAnsi" w:eastAsiaTheme="minorHAnsi" w:hAnsiTheme="minorHAnsi" w:cstheme="minorHAnsi"/>
        </w:rPr>
        <w:t xml:space="preserve"> – </w:t>
      </w:r>
      <w:r w:rsidRPr="000206ED">
        <w:rPr>
          <w:rFonts w:asciiTheme="minorHAnsi" w:eastAsiaTheme="minorHAnsi" w:hAnsiTheme="minorHAnsi" w:cstheme="minorHAnsi"/>
          <w:i/>
          <w:iCs/>
        </w:rPr>
        <w:t>Ministerstvo</w:t>
      </w:r>
      <w:r w:rsidR="00AD0BD6" w:rsidRPr="004F37FF">
        <w:rPr>
          <w:rFonts w:asciiTheme="minorHAnsi" w:eastAsiaTheme="minorHAnsi" w:hAnsiTheme="minorHAnsi" w:cstheme="minorHAnsi"/>
          <w:i/>
          <w:iCs/>
        </w:rPr>
        <w:t xml:space="preserve"> </w:t>
      </w:r>
      <w:r w:rsidR="00CC7A75">
        <w:rPr>
          <w:rFonts w:asciiTheme="minorHAnsi" w:eastAsiaTheme="minorHAnsi" w:hAnsiTheme="minorHAnsi" w:cstheme="minorHAnsi"/>
          <w:i/>
          <w:iCs/>
        </w:rPr>
        <w:t>zemědělství</w:t>
      </w:r>
      <w:r w:rsidRPr="000206ED">
        <w:rPr>
          <w:rFonts w:asciiTheme="minorHAnsi" w:eastAsiaTheme="minorHAnsi" w:hAnsiTheme="minorHAnsi" w:cstheme="minorHAnsi"/>
        </w:rPr>
        <w:t xml:space="preserve"> za rok 202</w:t>
      </w:r>
      <w:r w:rsidR="00CC7A75">
        <w:rPr>
          <w:rFonts w:asciiTheme="minorHAnsi" w:eastAsiaTheme="minorHAnsi" w:hAnsiTheme="minorHAnsi" w:cstheme="minorHAnsi"/>
        </w:rPr>
        <w:t>2</w:t>
      </w:r>
    </w:p>
    <w:p w14:paraId="02A6235C" w14:textId="77777777" w:rsidR="00210194" w:rsidRDefault="00535C00">
      <w:pPr>
        <w:spacing w:after="160" w:line="259" w:lineRule="auto"/>
        <w:sectPr w:rsidR="00210194" w:rsidSect="00B410AD">
          <w:headerReference w:type="default" r:id="rId32"/>
          <w:footerReference w:type="default" r:id="rId33"/>
          <w:headerReference w:type="first" r:id="rId34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  <w:r>
        <w:br w:type="page"/>
      </w:r>
    </w:p>
    <w:p w14:paraId="3AA735EC" w14:textId="77777777" w:rsidR="003A0910" w:rsidRDefault="003A0910" w:rsidP="003A0910">
      <w:pPr>
        <w:pStyle w:val="Zhlav"/>
        <w:jc w:val="right"/>
      </w:pPr>
      <w:bookmarkStart w:id="9" w:name="_Hlk132983729"/>
      <w:r>
        <w:lastRenderedPageBreak/>
        <w:t>Příloha č. 1</w:t>
      </w:r>
    </w:p>
    <w:p w14:paraId="3BCC6CBD" w14:textId="77777777" w:rsidR="003A0910" w:rsidRDefault="003A0910" w:rsidP="00D84F4E"/>
    <w:p w14:paraId="2C745C83" w14:textId="77777777" w:rsidR="00F62304" w:rsidRPr="00BB6830" w:rsidRDefault="00F62304" w:rsidP="005A14B2">
      <w:pPr>
        <w:pStyle w:val="Nadpis2"/>
        <w:numPr>
          <w:ilvl w:val="0"/>
          <w:numId w:val="0"/>
        </w:numPr>
      </w:pPr>
      <w:bookmarkStart w:id="10" w:name="_Hlk136243370"/>
      <w:r>
        <w:t>R</w:t>
      </w:r>
      <w:r w:rsidRPr="00423B1E">
        <w:t xml:space="preserve">ozdíl mezi saldem peněžních toků a výsledkem hospodaření </w:t>
      </w:r>
      <w:r>
        <w:t>MZe</w:t>
      </w:r>
      <w:bookmarkEnd w:id="9"/>
    </w:p>
    <w:bookmarkEnd w:id="10"/>
    <w:p w14:paraId="070DDCDE" w14:textId="77777777" w:rsidR="00C1226E" w:rsidRDefault="00033CAF" w:rsidP="00C1226E">
      <w:pPr>
        <w:jc w:val="both"/>
      </w:pPr>
      <w:r>
        <w:t>MZe poskytuje v rámci své působnosti značné množství transferů, tj. dotací. V roce 2022 MZe poskytovalo zejména</w:t>
      </w:r>
      <w:r w:rsidR="00C1226E">
        <w:t>:</w:t>
      </w:r>
    </w:p>
    <w:p w14:paraId="39DEEADE" w14:textId="16756797" w:rsidR="00C1226E" w:rsidRPr="00E774C1" w:rsidRDefault="00C1226E" w:rsidP="00CE65FD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Theme="minorHAnsi" w:hAnsiTheme="minorHAnsi" w:cstheme="minorHAnsi"/>
          <w:spacing w:val="-2"/>
        </w:rPr>
      </w:pPr>
      <w:r w:rsidRPr="001B4144">
        <w:rPr>
          <w:rFonts w:asciiTheme="minorHAnsi" w:hAnsiTheme="minorHAnsi" w:cstheme="minorHAnsi"/>
          <w:spacing w:val="-2"/>
        </w:rPr>
        <w:t xml:space="preserve">zahraniční transfery spolufinancované ze státního rozpočtu </w:t>
      </w:r>
      <w:r w:rsidR="00CE65FD">
        <w:rPr>
          <w:rFonts w:asciiTheme="minorHAnsi" w:hAnsiTheme="minorHAnsi" w:cstheme="minorHAnsi"/>
          <w:spacing w:val="-2"/>
        </w:rPr>
        <w:t xml:space="preserve">ČR </w:t>
      </w:r>
      <w:r w:rsidRPr="001B4144">
        <w:rPr>
          <w:rFonts w:asciiTheme="minorHAnsi" w:hAnsiTheme="minorHAnsi" w:cstheme="minorHAnsi"/>
          <w:spacing w:val="-2"/>
        </w:rPr>
        <w:t>a rozpočtu EU (</w:t>
      </w:r>
      <w:r w:rsidR="00CE65FD">
        <w:rPr>
          <w:rFonts w:asciiTheme="minorHAnsi" w:hAnsiTheme="minorHAnsi" w:cstheme="minorHAnsi"/>
          <w:spacing w:val="-2"/>
        </w:rPr>
        <w:t>s</w:t>
      </w:r>
      <w:r w:rsidRPr="001B4144">
        <w:rPr>
          <w:rFonts w:asciiTheme="minorHAnsi" w:hAnsiTheme="minorHAnsi" w:cstheme="minorHAnsi"/>
          <w:spacing w:val="-2"/>
        </w:rPr>
        <w:t xml:space="preserve">polečná zemědělská politika, která </w:t>
      </w:r>
      <w:r w:rsidR="00CE65FD">
        <w:rPr>
          <w:rFonts w:asciiTheme="minorHAnsi" w:hAnsiTheme="minorHAnsi" w:cstheme="minorHAnsi"/>
          <w:spacing w:val="-2"/>
        </w:rPr>
        <w:t>zahrnuje</w:t>
      </w:r>
      <w:r w:rsidRPr="001B4144">
        <w:rPr>
          <w:rFonts w:asciiTheme="minorHAnsi" w:hAnsiTheme="minorHAnsi" w:cstheme="minorHAnsi"/>
          <w:spacing w:val="-2"/>
        </w:rPr>
        <w:t xml:space="preserve"> </w:t>
      </w:r>
      <w:r w:rsidR="00CE65FD">
        <w:rPr>
          <w:rFonts w:asciiTheme="minorHAnsi" w:hAnsiTheme="minorHAnsi" w:cstheme="minorHAnsi"/>
          <w:spacing w:val="-2"/>
        </w:rPr>
        <w:t>p</w:t>
      </w:r>
      <w:r w:rsidRPr="001B4144">
        <w:rPr>
          <w:rFonts w:asciiTheme="minorHAnsi" w:hAnsiTheme="minorHAnsi" w:cstheme="minorHAnsi"/>
          <w:spacing w:val="-2"/>
        </w:rPr>
        <w:t>řím</w:t>
      </w:r>
      <w:r w:rsidR="00CE65FD">
        <w:rPr>
          <w:rFonts w:asciiTheme="minorHAnsi" w:hAnsiTheme="minorHAnsi" w:cstheme="minorHAnsi"/>
          <w:spacing w:val="-2"/>
        </w:rPr>
        <w:t>é</w:t>
      </w:r>
      <w:r w:rsidRPr="001B4144">
        <w:rPr>
          <w:rFonts w:asciiTheme="minorHAnsi" w:hAnsiTheme="minorHAnsi" w:cstheme="minorHAnsi"/>
          <w:spacing w:val="-2"/>
        </w:rPr>
        <w:t xml:space="preserve"> plat</w:t>
      </w:r>
      <w:r w:rsidR="00CE65FD">
        <w:rPr>
          <w:rFonts w:asciiTheme="minorHAnsi" w:hAnsiTheme="minorHAnsi" w:cstheme="minorHAnsi"/>
          <w:spacing w:val="-2"/>
        </w:rPr>
        <w:t>by</w:t>
      </w:r>
      <w:r w:rsidRPr="001B4144">
        <w:rPr>
          <w:rFonts w:asciiTheme="minorHAnsi" w:hAnsiTheme="minorHAnsi" w:cstheme="minorHAnsi"/>
          <w:spacing w:val="-2"/>
        </w:rPr>
        <w:t xml:space="preserve">, </w:t>
      </w:r>
      <w:r w:rsidR="00CE65FD">
        <w:rPr>
          <w:rFonts w:asciiTheme="minorHAnsi" w:hAnsiTheme="minorHAnsi" w:cstheme="minorHAnsi"/>
          <w:spacing w:val="-2"/>
        </w:rPr>
        <w:t>s</w:t>
      </w:r>
      <w:r w:rsidRPr="001B4144">
        <w:rPr>
          <w:rFonts w:asciiTheme="minorHAnsi" w:hAnsiTheme="minorHAnsi" w:cstheme="minorHAnsi"/>
          <w:spacing w:val="-2"/>
        </w:rPr>
        <w:t>polečn</w:t>
      </w:r>
      <w:r w:rsidR="00CE65FD">
        <w:rPr>
          <w:rFonts w:asciiTheme="minorHAnsi" w:hAnsiTheme="minorHAnsi" w:cstheme="minorHAnsi"/>
          <w:spacing w:val="-2"/>
        </w:rPr>
        <w:t>ou</w:t>
      </w:r>
      <w:r w:rsidRPr="001B4144">
        <w:rPr>
          <w:rFonts w:asciiTheme="minorHAnsi" w:hAnsiTheme="minorHAnsi" w:cstheme="minorHAnsi"/>
          <w:spacing w:val="-2"/>
        </w:rPr>
        <w:t xml:space="preserve"> organizac</w:t>
      </w:r>
      <w:r w:rsidR="00CE65FD">
        <w:rPr>
          <w:rFonts w:asciiTheme="minorHAnsi" w:hAnsiTheme="minorHAnsi" w:cstheme="minorHAnsi"/>
          <w:spacing w:val="-2"/>
        </w:rPr>
        <w:t>i</w:t>
      </w:r>
      <w:r w:rsidRPr="00E774C1">
        <w:rPr>
          <w:rFonts w:asciiTheme="minorHAnsi" w:hAnsiTheme="minorHAnsi" w:cstheme="minorHAnsi"/>
          <w:spacing w:val="-2"/>
        </w:rPr>
        <w:t xml:space="preserve"> trhu a</w:t>
      </w:r>
      <w:r w:rsidR="00CE65FD">
        <w:rPr>
          <w:rFonts w:asciiTheme="minorHAnsi" w:hAnsiTheme="minorHAnsi" w:cstheme="minorHAnsi"/>
          <w:spacing w:val="-2"/>
        </w:rPr>
        <w:t xml:space="preserve"> </w:t>
      </w:r>
      <w:r w:rsidRPr="00E60A2A">
        <w:rPr>
          <w:rFonts w:asciiTheme="minorHAnsi" w:hAnsiTheme="minorHAnsi" w:cstheme="minorHAnsi"/>
          <w:i/>
          <w:spacing w:val="-2"/>
        </w:rPr>
        <w:t>Program rozvoje venkova</w:t>
      </w:r>
      <w:r w:rsidRPr="00E774C1">
        <w:rPr>
          <w:rFonts w:asciiTheme="minorHAnsi" w:hAnsiTheme="minorHAnsi" w:cstheme="minorHAnsi"/>
          <w:spacing w:val="-2"/>
        </w:rPr>
        <w:t xml:space="preserve">; dále </w:t>
      </w:r>
      <w:r w:rsidR="00CE65FD">
        <w:rPr>
          <w:rFonts w:asciiTheme="minorHAnsi" w:hAnsiTheme="minorHAnsi" w:cstheme="minorHAnsi"/>
          <w:spacing w:val="-2"/>
        </w:rPr>
        <w:t xml:space="preserve">do této oblasti patří </w:t>
      </w:r>
      <w:r w:rsidRPr="00E774C1">
        <w:rPr>
          <w:rFonts w:asciiTheme="minorHAnsi" w:hAnsiTheme="minorHAnsi" w:cstheme="minorHAnsi"/>
          <w:spacing w:val="-2"/>
        </w:rPr>
        <w:t xml:space="preserve">operační program </w:t>
      </w:r>
      <w:r w:rsidRPr="00E60A2A">
        <w:rPr>
          <w:rFonts w:asciiTheme="minorHAnsi" w:hAnsiTheme="minorHAnsi" w:cstheme="minorHAnsi"/>
          <w:i/>
          <w:spacing w:val="-2"/>
        </w:rPr>
        <w:t>Rybářství</w:t>
      </w:r>
      <w:r w:rsidRPr="00E774C1">
        <w:rPr>
          <w:rFonts w:asciiTheme="minorHAnsi" w:hAnsiTheme="minorHAnsi" w:cstheme="minorHAnsi"/>
          <w:spacing w:val="-2"/>
        </w:rPr>
        <w:t xml:space="preserve"> a </w:t>
      </w:r>
      <w:r w:rsidRPr="00E60A2A">
        <w:rPr>
          <w:rFonts w:asciiTheme="minorHAnsi" w:hAnsiTheme="minorHAnsi" w:cstheme="minorHAnsi"/>
          <w:i/>
          <w:spacing w:val="-2"/>
        </w:rPr>
        <w:t>Národní plán obnovy</w:t>
      </w:r>
      <w:r w:rsidRPr="00E774C1">
        <w:rPr>
          <w:rFonts w:asciiTheme="minorHAnsi" w:hAnsiTheme="minorHAnsi" w:cstheme="minorHAnsi"/>
          <w:spacing w:val="-2"/>
        </w:rPr>
        <w:t xml:space="preserve">); </w:t>
      </w:r>
    </w:p>
    <w:p w14:paraId="37E525A9" w14:textId="3113C09B" w:rsidR="00C1226E" w:rsidRPr="00E774C1" w:rsidRDefault="00C1226E" w:rsidP="00E60A2A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Theme="minorHAnsi" w:hAnsiTheme="minorHAnsi" w:cstheme="minorHAnsi"/>
          <w:spacing w:val="-2"/>
        </w:rPr>
      </w:pPr>
      <w:r w:rsidRPr="001B4144">
        <w:rPr>
          <w:rFonts w:asciiTheme="minorHAnsi" w:hAnsiTheme="minorHAnsi" w:cstheme="minorHAnsi"/>
          <w:spacing w:val="-2"/>
        </w:rPr>
        <w:t xml:space="preserve">národní transfery kryté pouze ze státního rozpočtu </w:t>
      </w:r>
      <w:r w:rsidR="00CE65FD">
        <w:rPr>
          <w:rFonts w:asciiTheme="minorHAnsi" w:hAnsiTheme="minorHAnsi" w:cstheme="minorHAnsi"/>
          <w:spacing w:val="-2"/>
        </w:rPr>
        <w:t xml:space="preserve">ČR </w:t>
      </w:r>
      <w:r w:rsidRPr="001B4144">
        <w:rPr>
          <w:rFonts w:asciiTheme="minorHAnsi" w:hAnsiTheme="minorHAnsi" w:cstheme="minorHAnsi"/>
          <w:spacing w:val="-2"/>
        </w:rPr>
        <w:t xml:space="preserve">(jedná se </w:t>
      </w:r>
      <w:r w:rsidR="009D056A">
        <w:rPr>
          <w:rFonts w:asciiTheme="minorHAnsi" w:hAnsiTheme="minorHAnsi" w:cstheme="minorHAnsi"/>
          <w:spacing w:val="-2"/>
        </w:rPr>
        <w:t xml:space="preserve">zejména </w:t>
      </w:r>
      <w:r w:rsidRPr="001B4144">
        <w:rPr>
          <w:rFonts w:asciiTheme="minorHAnsi" w:hAnsiTheme="minorHAnsi" w:cstheme="minorHAnsi"/>
          <w:spacing w:val="-2"/>
        </w:rPr>
        <w:t xml:space="preserve">o výdaje na zemědělství </w:t>
      </w:r>
      <w:r w:rsidR="00CE65FD">
        <w:rPr>
          <w:rFonts w:asciiTheme="minorHAnsi" w:hAnsiTheme="minorHAnsi" w:cstheme="minorHAnsi"/>
          <w:spacing w:val="-2"/>
        </w:rPr>
        <w:t xml:space="preserve">a na </w:t>
      </w:r>
      <w:r w:rsidR="001D652E" w:rsidRPr="001B4144">
        <w:rPr>
          <w:rFonts w:asciiTheme="minorHAnsi" w:hAnsiTheme="minorHAnsi" w:cstheme="minorHAnsi"/>
          <w:spacing w:val="-2"/>
        </w:rPr>
        <w:t xml:space="preserve">lesní </w:t>
      </w:r>
      <w:r w:rsidR="001D652E">
        <w:rPr>
          <w:rFonts w:asciiTheme="minorHAnsi" w:hAnsiTheme="minorHAnsi" w:cstheme="minorHAnsi"/>
          <w:spacing w:val="-2"/>
        </w:rPr>
        <w:t xml:space="preserve">a vodní </w:t>
      </w:r>
      <w:r w:rsidRPr="001B4144">
        <w:rPr>
          <w:rFonts w:asciiTheme="minorHAnsi" w:hAnsiTheme="minorHAnsi" w:cstheme="minorHAnsi"/>
          <w:spacing w:val="-2"/>
        </w:rPr>
        <w:t>hospodářství</w:t>
      </w:r>
      <w:r w:rsidR="001D652E">
        <w:rPr>
          <w:rFonts w:asciiTheme="minorHAnsi" w:hAnsiTheme="minorHAnsi" w:cstheme="minorHAnsi"/>
          <w:spacing w:val="-2"/>
        </w:rPr>
        <w:t>)</w:t>
      </w:r>
      <w:r w:rsidRPr="00E774C1">
        <w:rPr>
          <w:rFonts w:asciiTheme="minorHAnsi" w:hAnsiTheme="minorHAnsi" w:cstheme="minorHAnsi"/>
          <w:spacing w:val="-2"/>
        </w:rPr>
        <w:t xml:space="preserve">. </w:t>
      </w:r>
    </w:p>
    <w:p w14:paraId="6CE28428" w14:textId="50451C49" w:rsidR="00C1226E" w:rsidRPr="00E774C1" w:rsidRDefault="00C1226E" w:rsidP="00C1226E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E774C1">
        <w:rPr>
          <w:rFonts w:asciiTheme="minorHAnsi" w:hAnsiTheme="minorHAnsi" w:cstheme="minorHAnsi"/>
          <w:color w:val="000000"/>
          <w:shd w:val="clear" w:color="auto" w:fill="FFFFFF"/>
        </w:rPr>
        <w:t>Tyto činnosti měly zásadní vliv na vykázané účetní informace k 31. 12. 2022, kde se promítly zejména následujícím způsobem:</w:t>
      </w:r>
    </w:p>
    <w:p w14:paraId="48F4E279" w14:textId="5D27BCBF" w:rsidR="00C1226E" w:rsidRPr="00E774C1" w:rsidRDefault="00C1226E" w:rsidP="00CE65FD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Theme="minorHAnsi" w:hAnsiTheme="minorHAnsi" w:cstheme="minorHAnsi"/>
          <w:spacing w:val="-2"/>
        </w:rPr>
      </w:pPr>
      <w:r w:rsidRPr="00E774C1">
        <w:rPr>
          <w:rFonts w:asciiTheme="minorHAnsi" w:hAnsiTheme="minorHAnsi" w:cstheme="minorHAnsi"/>
          <w:spacing w:val="-2"/>
        </w:rPr>
        <w:t>prostřednictvím pohledávek z titulu krátkodobých a dlouhodobých záloh na transfery poskytnuté příjemcům ve výši 3,3 mld. Kč (</w:t>
      </w:r>
      <w:r>
        <w:rPr>
          <w:rFonts w:asciiTheme="minorHAnsi" w:hAnsiTheme="minorHAnsi" w:cstheme="minorHAnsi"/>
          <w:spacing w:val="-2"/>
        </w:rPr>
        <w:t>účty</w:t>
      </w:r>
      <w:r w:rsidRPr="00E774C1">
        <w:rPr>
          <w:rFonts w:asciiTheme="minorHAnsi" w:hAnsiTheme="minorHAnsi" w:cstheme="minorHAnsi"/>
          <w:spacing w:val="-2"/>
        </w:rPr>
        <w:t xml:space="preserve"> 373 – </w:t>
      </w:r>
      <w:r w:rsidRPr="00896612">
        <w:rPr>
          <w:rFonts w:asciiTheme="minorHAnsi" w:hAnsiTheme="minorHAnsi" w:cstheme="minorHAnsi"/>
          <w:i/>
          <w:spacing w:val="-2"/>
        </w:rPr>
        <w:t>Krátkodobé poskytnuté zálohy na transfery</w:t>
      </w:r>
      <w:r w:rsidRPr="00E774C1">
        <w:rPr>
          <w:rFonts w:asciiTheme="minorHAnsi" w:hAnsiTheme="minorHAnsi" w:cstheme="minorHAnsi"/>
          <w:spacing w:val="-2"/>
        </w:rPr>
        <w:t xml:space="preserve">, 471 – </w:t>
      </w:r>
      <w:r w:rsidRPr="00896612">
        <w:rPr>
          <w:rFonts w:asciiTheme="minorHAnsi" w:hAnsiTheme="minorHAnsi" w:cstheme="minorHAnsi"/>
          <w:i/>
          <w:spacing w:val="-2"/>
        </w:rPr>
        <w:t>Dlouhodobé poskytnuté zálohy na transfery</w:t>
      </w:r>
      <w:r w:rsidRPr="00E774C1">
        <w:rPr>
          <w:rFonts w:asciiTheme="minorHAnsi" w:hAnsiTheme="minorHAnsi" w:cstheme="minorHAnsi"/>
          <w:spacing w:val="-2"/>
        </w:rPr>
        <w:t>) a dále pohledávek EU z</w:t>
      </w:r>
      <w:r w:rsidR="00112BC4">
        <w:rPr>
          <w:rFonts w:asciiTheme="minorHAnsi" w:hAnsiTheme="minorHAnsi" w:cstheme="minorHAnsi"/>
          <w:spacing w:val="-2"/>
        </w:rPr>
        <w:t> </w:t>
      </w:r>
      <w:r w:rsidRPr="00E774C1">
        <w:rPr>
          <w:rFonts w:asciiTheme="minorHAnsi" w:hAnsiTheme="minorHAnsi" w:cstheme="minorHAnsi"/>
          <w:spacing w:val="-2"/>
        </w:rPr>
        <w:t>titulu předfinancování dotací ve výši 14,5 mld. Kč (</w:t>
      </w:r>
      <w:r>
        <w:rPr>
          <w:rFonts w:asciiTheme="minorHAnsi" w:hAnsiTheme="minorHAnsi" w:cstheme="minorHAnsi"/>
          <w:spacing w:val="-2"/>
        </w:rPr>
        <w:t>účty</w:t>
      </w:r>
      <w:r w:rsidRPr="00E774C1">
        <w:rPr>
          <w:rFonts w:asciiTheme="minorHAnsi" w:hAnsiTheme="minorHAnsi" w:cstheme="minorHAnsi"/>
          <w:spacing w:val="-2"/>
        </w:rPr>
        <w:t xml:space="preserve"> 344</w:t>
      </w:r>
      <w:r>
        <w:rPr>
          <w:rFonts w:asciiTheme="minorHAnsi" w:hAnsiTheme="minorHAnsi" w:cstheme="minorHAnsi"/>
          <w:spacing w:val="-2"/>
        </w:rPr>
        <w:t xml:space="preserve"> </w:t>
      </w:r>
      <w:r w:rsidRPr="00E774C1">
        <w:rPr>
          <w:rFonts w:asciiTheme="minorHAnsi" w:hAnsiTheme="minorHAnsi" w:cstheme="minorHAnsi"/>
          <w:spacing w:val="-2"/>
        </w:rPr>
        <w:t xml:space="preserve">– </w:t>
      </w:r>
      <w:r w:rsidRPr="00896612">
        <w:rPr>
          <w:rFonts w:asciiTheme="minorHAnsi" w:hAnsiTheme="minorHAnsi" w:cstheme="minorHAnsi"/>
          <w:i/>
          <w:spacing w:val="-2"/>
        </w:rPr>
        <w:t>Pohledávky za osobami mimo vybrané vládní instituce</w:t>
      </w:r>
      <w:r w:rsidRPr="00E774C1">
        <w:rPr>
          <w:rFonts w:asciiTheme="minorHAnsi" w:hAnsiTheme="minorHAnsi" w:cstheme="minorHAnsi"/>
          <w:spacing w:val="-2"/>
        </w:rPr>
        <w:t xml:space="preserve"> a 385 – </w:t>
      </w:r>
      <w:r w:rsidRPr="00896612">
        <w:rPr>
          <w:rFonts w:asciiTheme="minorHAnsi" w:hAnsiTheme="minorHAnsi" w:cstheme="minorHAnsi"/>
          <w:i/>
          <w:spacing w:val="-2"/>
        </w:rPr>
        <w:t>Příjmy příštích období</w:t>
      </w:r>
      <w:r w:rsidRPr="00E774C1">
        <w:rPr>
          <w:rFonts w:asciiTheme="minorHAnsi" w:hAnsiTheme="minorHAnsi" w:cstheme="minorHAnsi"/>
          <w:spacing w:val="-2"/>
        </w:rPr>
        <w:t>);</w:t>
      </w:r>
    </w:p>
    <w:p w14:paraId="75A1242E" w14:textId="31C50F1C" w:rsidR="00C1226E" w:rsidRPr="00E774C1" w:rsidRDefault="00C1226E" w:rsidP="00DC73FE">
      <w:pPr>
        <w:pStyle w:val="Odstavecseseznamem"/>
        <w:numPr>
          <w:ilvl w:val="0"/>
          <w:numId w:val="4"/>
        </w:numPr>
        <w:ind w:left="426" w:hanging="426"/>
        <w:contextualSpacing w:val="0"/>
        <w:jc w:val="both"/>
        <w:rPr>
          <w:rFonts w:asciiTheme="minorHAnsi" w:hAnsiTheme="minorHAnsi" w:cstheme="minorHAnsi"/>
          <w:spacing w:val="-2"/>
        </w:rPr>
      </w:pPr>
      <w:r w:rsidRPr="00E774C1">
        <w:rPr>
          <w:rFonts w:asciiTheme="minorHAnsi" w:hAnsiTheme="minorHAnsi" w:cstheme="minorHAnsi"/>
          <w:spacing w:val="-2"/>
        </w:rPr>
        <w:t>prostřednictvím závaz</w:t>
      </w:r>
      <w:r w:rsidR="000628DD">
        <w:rPr>
          <w:rFonts w:asciiTheme="minorHAnsi" w:hAnsiTheme="minorHAnsi" w:cstheme="minorHAnsi"/>
          <w:spacing w:val="-2"/>
        </w:rPr>
        <w:t>k</w:t>
      </w:r>
      <w:r w:rsidRPr="00E774C1">
        <w:rPr>
          <w:rFonts w:asciiTheme="minorHAnsi" w:hAnsiTheme="minorHAnsi" w:cstheme="minorHAnsi"/>
          <w:spacing w:val="-2"/>
        </w:rPr>
        <w:t>ů z titulu přijatých záloh na transfery ve výši 1,7 mld. Kč (</w:t>
      </w:r>
      <w:r>
        <w:rPr>
          <w:rFonts w:asciiTheme="minorHAnsi" w:hAnsiTheme="minorHAnsi" w:cstheme="minorHAnsi"/>
          <w:spacing w:val="-2"/>
        </w:rPr>
        <w:t>účet</w:t>
      </w:r>
      <w:r w:rsidRPr="00E774C1">
        <w:rPr>
          <w:rFonts w:asciiTheme="minorHAnsi" w:hAnsiTheme="minorHAnsi" w:cstheme="minorHAnsi"/>
          <w:spacing w:val="-2"/>
        </w:rPr>
        <w:t xml:space="preserve"> </w:t>
      </w:r>
      <w:r w:rsidR="00DC73FE">
        <w:rPr>
          <w:rFonts w:asciiTheme="minorHAnsi" w:hAnsiTheme="minorHAnsi" w:cstheme="minorHAnsi"/>
          <w:spacing w:val="-2"/>
        </w:rPr>
        <w:br/>
      </w:r>
      <w:r w:rsidRPr="00E774C1">
        <w:rPr>
          <w:rFonts w:asciiTheme="minorHAnsi" w:hAnsiTheme="minorHAnsi" w:cstheme="minorHAnsi"/>
          <w:spacing w:val="-2"/>
        </w:rPr>
        <w:t xml:space="preserve">472 – </w:t>
      </w:r>
      <w:r w:rsidRPr="00896612">
        <w:rPr>
          <w:rFonts w:asciiTheme="minorHAnsi" w:hAnsiTheme="minorHAnsi" w:cstheme="minorHAnsi"/>
          <w:i/>
          <w:spacing w:val="-2"/>
        </w:rPr>
        <w:t>Dlouhodobé přijaté zálohy na transfery</w:t>
      </w:r>
      <w:r w:rsidRPr="00E774C1">
        <w:rPr>
          <w:rFonts w:asciiTheme="minorHAnsi" w:hAnsiTheme="minorHAnsi" w:cstheme="minorHAnsi"/>
          <w:spacing w:val="-2"/>
        </w:rPr>
        <w:t>) a odhadů k nevyúčtovaným transferům ve výši 3,2 mld. Kč (</w:t>
      </w:r>
      <w:r>
        <w:rPr>
          <w:rFonts w:asciiTheme="minorHAnsi" w:hAnsiTheme="minorHAnsi" w:cstheme="minorHAnsi"/>
          <w:spacing w:val="-2"/>
        </w:rPr>
        <w:t>účet</w:t>
      </w:r>
      <w:r w:rsidRPr="00E774C1">
        <w:rPr>
          <w:rFonts w:asciiTheme="minorHAnsi" w:hAnsiTheme="minorHAnsi" w:cstheme="minorHAnsi"/>
          <w:spacing w:val="-2"/>
        </w:rPr>
        <w:t xml:space="preserve"> 389 </w:t>
      </w:r>
      <w:r>
        <w:rPr>
          <w:rFonts w:asciiTheme="minorHAnsi" w:hAnsiTheme="minorHAnsi" w:cstheme="minorHAnsi"/>
          <w:spacing w:val="-2"/>
        </w:rPr>
        <w:t>–</w:t>
      </w:r>
      <w:r w:rsidRPr="00E774C1">
        <w:rPr>
          <w:rFonts w:asciiTheme="minorHAnsi" w:hAnsiTheme="minorHAnsi" w:cstheme="minorHAnsi"/>
          <w:spacing w:val="-2"/>
        </w:rPr>
        <w:t xml:space="preserve"> </w:t>
      </w:r>
      <w:r w:rsidRPr="00896612">
        <w:rPr>
          <w:rFonts w:asciiTheme="minorHAnsi" w:hAnsiTheme="minorHAnsi" w:cstheme="minorHAnsi"/>
          <w:i/>
          <w:spacing w:val="-2"/>
        </w:rPr>
        <w:t>Dohadné účty pasivní</w:t>
      </w:r>
      <w:r w:rsidRPr="00E774C1">
        <w:rPr>
          <w:rFonts w:asciiTheme="minorHAnsi" w:hAnsiTheme="minorHAnsi" w:cstheme="minorHAnsi"/>
          <w:spacing w:val="-2"/>
        </w:rPr>
        <w:t>);</w:t>
      </w:r>
    </w:p>
    <w:p w14:paraId="41F5EBF3" w14:textId="60A2BE56" w:rsidR="00C1226E" w:rsidRPr="00E774C1" w:rsidRDefault="00C1226E" w:rsidP="00DC73FE">
      <w:pPr>
        <w:pStyle w:val="Odstavecseseznamem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pacing w:val="-2"/>
        </w:rPr>
      </w:pPr>
      <w:r w:rsidRPr="00E774C1">
        <w:rPr>
          <w:rFonts w:asciiTheme="minorHAnsi" w:hAnsiTheme="minorHAnsi" w:cstheme="minorHAnsi"/>
          <w:spacing w:val="-2"/>
        </w:rPr>
        <w:t xml:space="preserve">prostřednictvím nákladů na transfery </w:t>
      </w:r>
      <w:r w:rsidR="00FB58F5" w:rsidRPr="00E774C1">
        <w:rPr>
          <w:rFonts w:asciiTheme="minorHAnsi" w:hAnsiTheme="minorHAnsi" w:cstheme="minorHAnsi"/>
          <w:spacing w:val="-2"/>
        </w:rPr>
        <w:t>financovan</w:t>
      </w:r>
      <w:r w:rsidR="00FB58F5">
        <w:rPr>
          <w:rFonts w:asciiTheme="minorHAnsi" w:hAnsiTheme="minorHAnsi" w:cstheme="minorHAnsi"/>
          <w:spacing w:val="-2"/>
        </w:rPr>
        <w:t>é</w:t>
      </w:r>
      <w:r w:rsidR="00FB58F5" w:rsidRPr="00E774C1">
        <w:rPr>
          <w:rFonts w:asciiTheme="minorHAnsi" w:hAnsiTheme="minorHAnsi" w:cstheme="minorHAnsi"/>
          <w:spacing w:val="-2"/>
        </w:rPr>
        <w:t xml:space="preserve"> </w:t>
      </w:r>
      <w:r w:rsidRPr="00E774C1">
        <w:rPr>
          <w:rFonts w:asciiTheme="minorHAnsi" w:hAnsiTheme="minorHAnsi" w:cstheme="minorHAnsi"/>
          <w:spacing w:val="-2"/>
        </w:rPr>
        <w:t xml:space="preserve">z národních zdrojů či </w:t>
      </w:r>
      <w:r w:rsidR="00AA7DBA">
        <w:rPr>
          <w:rFonts w:asciiTheme="minorHAnsi" w:hAnsiTheme="minorHAnsi" w:cstheme="minorHAnsi"/>
          <w:spacing w:val="-2"/>
        </w:rPr>
        <w:br/>
      </w:r>
      <w:r w:rsidRPr="00E774C1">
        <w:rPr>
          <w:rFonts w:asciiTheme="minorHAnsi" w:hAnsiTheme="minorHAnsi" w:cstheme="minorHAnsi"/>
          <w:spacing w:val="-2"/>
        </w:rPr>
        <w:t>z</w:t>
      </w:r>
      <w:r w:rsidR="00AA7DBA">
        <w:rPr>
          <w:rFonts w:asciiTheme="minorHAnsi" w:hAnsiTheme="minorHAnsi" w:cstheme="minorHAnsi"/>
          <w:spacing w:val="-2"/>
        </w:rPr>
        <w:t xml:space="preserve"> </w:t>
      </w:r>
      <w:r w:rsidRPr="00E774C1">
        <w:rPr>
          <w:rFonts w:asciiTheme="minorHAnsi" w:hAnsiTheme="minorHAnsi" w:cstheme="minorHAnsi"/>
          <w:spacing w:val="-2"/>
        </w:rPr>
        <w:t>předfinancovaných zdrojů EU ve výši 60,8 mld. Kč (</w:t>
      </w:r>
      <w:r>
        <w:rPr>
          <w:rFonts w:asciiTheme="minorHAnsi" w:hAnsiTheme="minorHAnsi" w:cstheme="minorHAnsi"/>
          <w:spacing w:val="-2"/>
        </w:rPr>
        <w:t>účty</w:t>
      </w:r>
      <w:r w:rsidRPr="00E774C1">
        <w:rPr>
          <w:rFonts w:asciiTheme="minorHAnsi" w:hAnsiTheme="minorHAnsi" w:cstheme="minorHAnsi"/>
          <w:spacing w:val="-2"/>
        </w:rPr>
        <w:t xml:space="preserve"> 571 – </w:t>
      </w:r>
      <w:r w:rsidRPr="00896612">
        <w:rPr>
          <w:rFonts w:asciiTheme="minorHAnsi" w:hAnsiTheme="minorHAnsi" w:cstheme="minorHAnsi"/>
          <w:i/>
          <w:spacing w:val="-2"/>
        </w:rPr>
        <w:t>Náklady vybraných ústředních vládních institucí na transfery</w:t>
      </w:r>
      <w:r w:rsidRPr="00E774C1">
        <w:rPr>
          <w:rFonts w:asciiTheme="minorHAnsi" w:hAnsiTheme="minorHAnsi" w:cstheme="minorHAnsi"/>
          <w:spacing w:val="-2"/>
        </w:rPr>
        <w:t xml:space="preserve"> a 575 –</w:t>
      </w:r>
      <w:r w:rsidRPr="00426161">
        <w:rPr>
          <w:rFonts w:asciiTheme="minorHAnsi" w:hAnsiTheme="minorHAnsi" w:cstheme="minorHAnsi"/>
          <w:spacing w:val="-2"/>
        </w:rPr>
        <w:t xml:space="preserve"> </w:t>
      </w:r>
      <w:r w:rsidRPr="00896612">
        <w:rPr>
          <w:rFonts w:asciiTheme="minorHAnsi" w:hAnsiTheme="minorHAnsi" w:cstheme="minorHAnsi"/>
          <w:i/>
          <w:spacing w:val="-2"/>
        </w:rPr>
        <w:t>Náklady vybraných ústředních vládních institucí na předfinancování transferů</w:t>
      </w:r>
      <w:r w:rsidRPr="00E774C1">
        <w:rPr>
          <w:rFonts w:asciiTheme="minorHAnsi" w:hAnsiTheme="minorHAnsi" w:cstheme="minorHAnsi"/>
          <w:spacing w:val="-2"/>
        </w:rPr>
        <w:t>) a dále výnosů z předfinancovaných transferů EU ve výši 31,</w:t>
      </w:r>
      <w:r w:rsidR="009E29BC" w:rsidRPr="00E774C1">
        <w:rPr>
          <w:rFonts w:asciiTheme="minorHAnsi" w:hAnsiTheme="minorHAnsi" w:cstheme="minorHAnsi"/>
          <w:spacing w:val="-2"/>
        </w:rPr>
        <w:t xml:space="preserve">8 </w:t>
      </w:r>
      <w:r w:rsidR="009E29BC">
        <w:rPr>
          <w:rFonts w:asciiTheme="minorHAnsi" w:hAnsiTheme="minorHAnsi" w:cstheme="minorHAnsi"/>
          <w:spacing w:val="-2"/>
        </w:rPr>
        <w:t>mld.</w:t>
      </w:r>
      <w:r w:rsidRPr="00E774C1">
        <w:rPr>
          <w:rFonts w:asciiTheme="minorHAnsi" w:hAnsiTheme="minorHAnsi" w:cstheme="minorHAnsi"/>
          <w:spacing w:val="-2"/>
        </w:rPr>
        <w:t xml:space="preserve"> </w:t>
      </w:r>
      <w:r w:rsidR="0075661E">
        <w:rPr>
          <w:rFonts w:asciiTheme="minorHAnsi" w:hAnsiTheme="minorHAnsi" w:cstheme="minorHAnsi"/>
          <w:spacing w:val="-2"/>
        </w:rPr>
        <w:t xml:space="preserve">Kč </w:t>
      </w:r>
      <w:r w:rsidRPr="00E774C1">
        <w:rPr>
          <w:rFonts w:asciiTheme="minorHAnsi" w:hAnsiTheme="minorHAnsi" w:cstheme="minorHAnsi"/>
          <w:spacing w:val="-2"/>
        </w:rPr>
        <w:t>(</w:t>
      </w:r>
      <w:r>
        <w:rPr>
          <w:rFonts w:asciiTheme="minorHAnsi" w:hAnsiTheme="minorHAnsi" w:cstheme="minorHAnsi"/>
          <w:spacing w:val="-2"/>
        </w:rPr>
        <w:t>účet</w:t>
      </w:r>
      <w:r w:rsidRPr="00E774C1">
        <w:rPr>
          <w:rFonts w:asciiTheme="minorHAnsi" w:hAnsiTheme="minorHAnsi" w:cstheme="minorHAnsi"/>
          <w:spacing w:val="-2"/>
        </w:rPr>
        <w:t xml:space="preserve"> 675</w:t>
      </w:r>
      <w:r w:rsidRPr="00426161">
        <w:rPr>
          <w:rFonts w:asciiTheme="minorHAnsi" w:hAnsiTheme="minorHAnsi" w:cstheme="minorHAnsi"/>
          <w:spacing w:val="-2"/>
        </w:rPr>
        <w:t xml:space="preserve"> –</w:t>
      </w:r>
      <w:r w:rsidRPr="001B4144">
        <w:rPr>
          <w:rFonts w:asciiTheme="minorHAnsi" w:hAnsiTheme="minorHAnsi" w:cstheme="minorHAnsi"/>
          <w:spacing w:val="-2"/>
        </w:rPr>
        <w:t xml:space="preserve"> </w:t>
      </w:r>
      <w:r w:rsidRPr="00896612">
        <w:rPr>
          <w:rFonts w:asciiTheme="minorHAnsi" w:hAnsiTheme="minorHAnsi" w:cstheme="minorHAnsi"/>
          <w:i/>
          <w:spacing w:val="-2"/>
        </w:rPr>
        <w:t>Výnosy vybraných ústředních vládních institucí z předfinancování transferů</w:t>
      </w:r>
      <w:r w:rsidRPr="00E774C1">
        <w:rPr>
          <w:rFonts w:asciiTheme="minorHAnsi" w:hAnsiTheme="minorHAnsi" w:cstheme="minorHAnsi"/>
          <w:spacing w:val="-2"/>
        </w:rPr>
        <w:t>);</w:t>
      </w:r>
    </w:p>
    <w:p w14:paraId="1269B135" w14:textId="41D5DC3F" w:rsidR="00C1226E" w:rsidRPr="00E774C1" w:rsidRDefault="00C1226E" w:rsidP="00DC73FE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pacing w:val="-2"/>
        </w:rPr>
      </w:pPr>
      <w:r w:rsidRPr="00E774C1">
        <w:rPr>
          <w:rFonts w:asciiTheme="minorHAnsi" w:hAnsiTheme="minorHAnsi" w:cstheme="minorHAnsi"/>
          <w:spacing w:val="-2"/>
        </w:rPr>
        <w:t>prostřednictvím podmíněných pohledávek a závazků z transferů ve výši 16,1 mld. Kč.</w:t>
      </w:r>
    </w:p>
    <w:p w14:paraId="7BBFEF41" w14:textId="77777777" w:rsidR="00C1226E" w:rsidRDefault="00C1226E" w:rsidP="005A525D">
      <w:pPr>
        <w:jc w:val="both"/>
      </w:pPr>
    </w:p>
    <w:p w14:paraId="0D4A88E0" w14:textId="2EAF8FC1" w:rsidR="005A525D" w:rsidRDefault="005A525D" w:rsidP="005A525D">
      <w:pPr>
        <w:jc w:val="both"/>
      </w:pPr>
      <w:r>
        <w:t xml:space="preserve">Na hospodaření MZe </w:t>
      </w:r>
      <w:r w:rsidR="004A6359">
        <w:t>se dá</w:t>
      </w:r>
      <w:r>
        <w:t xml:space="preserve"> nahlížet </w:t>
      </w:r>
      <w:r w:rsidR="00C44D2B">
        <w:t>dvěma různými způsoby:</w:t>
      </w:r>
    </w:p>
    <w:p w14:paraId="7F71C161" w14:textId="202AB3B6" w:rsidR="005A525D" w:rsidRDefault="00C44D2B" w:rsidP="00CE65FD">
      <w:pPr>
        <w:pStyle w:val="Odstavecseseznamem"/>
        <w:numPr>
          <w:ilvl w:val="0"/>
          <w:numId w:val="37"/>
        </w:numPr>
        <w:ind w:left="426" w:hanging="426"/>
        <w:contextualSpacing w:val="0"/>
        <w:jc w:val="both"/>
      </w:pPr>
      <w:r>
        <w:t xml:space="preserve">lze sledovat </w:t>
      </w:r>
      <w:r w:rsidR="005A525D">
        <w:t xml:space="preserve">plnění rozpočtu, tj. </w:t>
      </w:r>
      <w:r>
        <w:t xml:space="preserve">využívat výkaznictví založené </w:t>
      </w:r>
      <w:r w:rsidR="005A525D">
        <w:t>na peněžní bázi</w:t>
      </w:r>
      <w:r w:rsidR="005A525D">
        <w:rPr>
          <w:rStyle w:val="Znakapoznpodarou"/>
        </w:rPr>
        <w:footnoteReference w:id="24"/>
      </w:r>
      <w:r w:rsidR="005A525D">
        <w:t>,</w:t>
      </w:r>
    </w:p>
    <w:p w14:paraId="4A14956E" w14:textId="51BF8A2C" w:rsidR="005A525D" w:rsidRDefault="00C44D2B" w:rsidP="00E60A2A">
      <w:pPr>
        <w:pStyle w:val="Odstavecseseznamem"/>
        <w:numPr>
          <w:ilvl w:val="0"/>
          <w:numId w:val="37"/>
        </w:numPr>
        <w:ind w:left="426" w:hanging="426"/>
        <w:contextualSpacing w:val="0"/>
        <w:jc w:val="both"/>
      </w:pPr>
      <w:r>
        <w:t xml:space="preserve">nebo </w:t>
      </w:r>
      <w:r w:rsidR="004A6359">
        <w:t xml:space="preserve">lze </w:t>
      </w:r>
      <w:r>
        <w:t xml:space="preserve">sledovat </w:t>
      </w:r>
      <w:r w:rsidR="005A525D">
        <w:t>údaj</w:t>
      </w:r>
      <w:r>
        <w:t>e</w:t>
      </w:r>
      <w:r w:rsidR="005A525D">
        <w:t xml:space="preserve"> z účetnictví, tj. </w:t>
      </w:r>
      <w:r>
        <w:t xml:space="preserve">používat výkaznictví založené </w:t>
      </w:r>
      <w:r w:rsidR="005A525D">
        <w:t>na akruální bázi</w:t>
      </w:r>
      <w:r w:rsidR="005A525D">
        <w:rPr>
          <w:rStyle w:val="Znakapoznpodarou"/>
        </w:rPr>
        <w:footnoteReference w:id="25"/>
      </w:r>
      <w:r w:rsidR="005A525D">
        <w:t>.</w:t>
      </w:r>
    </w:p>
    <w:p w14:paraId="12B58C15" w14:textId="77777777" w:rsidR="00D62A7A" w:rsidRDefault="00D62A7A" w:rsidP="005A525D">
      <w:pPr>
        <w:jc w:val="both"/>
        <w:rPr>
          <w:rFonts w:asciiTheme="minorHAnsi" w:hAnsiTheme="minorHAnsi" w:cstheme="minorHAnsi"/>
        </w:rPr>
      </w:pPr>
    </w:p>
    <w:p w14:paraId="59CBC36A" w14:textId="1F08D34E" w:rsidR="000D0B77" w:rsidRDefault="005A525D" w:rsidP="005A525D">
      <w:pPr>
        <w:jc w:val="both"/>
        <w:rPr>
          <w:rFonts w:cs="Calibri"/>
        </w:rPr>
      </w:pPr>
      <w:r w:rsidRPr="006844ED">
        <w:rPr>
          <w:rFonts w:asciiTheme="minorHAnsi" w:hAnsiTheme="minorHAnsi" w:cstheme="minorHAnsi"/>
        </w:rPr>
        <w:t xml:space="preserve">Porovnáním výsledku rozpočtového hospodaření MZe za rok 2022 hodnoceného na bázi peněžních toků dle finančního výkazu </w:t>
      </w:r>
      <w:r>
        <w:rPr>
          <w:rFonts w:asciiTheme="minorHAnsi" w:hAnsiTheme="minorHAnsi" w:cstheme="minorHAnsi"/>
        </w:rPr>
        <w:t>(</w:t>
      </w:r>
      <w:r w:rsidRPr="006844ED">
        <w:rPr>
          <w:rFonts w:asciiTheme="minorHAnsi" w:hAnsiTheme="minorHAnsi" w:cstheme="minorHAnsi"/>
        </w:rPr>
        <w:t>deficit ve výši 27 807,98 mil. Kč</w:t>
      </w:r>
      <w:r>
        <w:rPr>
          <w:rFonts w:asciiTheme="minorHAnsi" w:hAnsiTheme="minorHAnsi" w:cstheme="minorHAnsi"/>
        </w:rPr>
        <w:t xml:space="preserve">) </w:t>
      </w:r>
      <w:r w:rsidR="000D0B77" w:rsidRPr="000D0B77">
        <w:rPr>
          <w:rFonts w:asciiTheme="minorHAnsi" w:hAnsiTheme="minorHAnsi" w:cstheme="minorHAnsi"/>
        </w:rPr>
        <w:t xml:space="preserve">a výsledku dle akruální </w:t>
      </w:r>
      <w:r w:rsidR="000D0B77" w:rsidRPr="000D0B77">
        <w:rPr>
          <w:rFonts w:asciiTheme="minorHAnsi" w:hAnsiTheme="minorHAnsi" w:cstheme="minorHAnsi"/>
        </w:rPr>
        <w:lastRenderedPageBreak/>
        <w:t>báze, tj. výsledku hospodaření běžného účetního období dle výkazu zisku a ztráty</w:t>
      </w:r>
      <w:r>
        <w:rPr>
          <w:rFonts w:asciiTheme="minorHAnsi" w:hAnsiTheme="minorHAnsi" w:cstheme="minorHAnsi"/>
        </w:rPr>
        <w:t xml:space="preserve"> (</w:t>
      </w:r>
      <w:r w:rsidRPr="006844ED">
        <w:rPr>
          <w:rFonts w:asciiTheme="minorHAnsi" w:hAnsiTheme="minorHAnsi" w:cstheme="minorHAnsi"/>
        </w:rPr>
        <w:t>ztráta ve výši 26 020,89 mil. Kč</w:t>
      </w:r>
      <w:r>
        <w:rPr>
          <w:rFonts w:asciiTheme="minorHAnsi" w:hAnsiTheme="minorHAnsi" w:cstheme="minorHAnsi"/>
        </w:rPr>
        <w:t>)</w:t>
      </w:r>
      <w:r w:rsidR="00CE221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</w:rPr>
        <w:t xml:space="preserve">byl zjištěn rozdíl ve výši </w:t>
      </w:r>
      <w:r w:rsidRPr="006844ED">
        <w:rPr>
          <w:rFonts w:asciiTheme="minorHAnsi" w:hAnsiTheme="minorHAnsi" w:cstheme="minorHAnsi"/>
          <w:b/>
        </w:rPr>
        <w:t>1 787,09 mil. Kč</w:t>
      </w:r>
      <w:r w:rsidRPr="00E60A2A">
        <w:rPr>
          <w:rFonts w:asciiTheme="minorHAnsi" w:hAnsiTheme="minorHAnsi" w:cstheme="minorHAnsi"/>
          <w:b/>
        </w:rPr>
        <w:t>.</w:t>
      </w:r>
      <w:r w:rsidRPr="006844ED">
        <w:rPr>
          <w:rFonts w:asciiTheme="minorHAnsi" w:hAnsiTheme="minorHAnsi" w:cstheme="minorHAnsi"/>
        </w:rPr>
        <w:t xml:space="preserve"> </w:t>
      </w:r>
    </w:p>
    <w:p w14:paraId="7914A5C7" w14:textId="7A14BBB3" w:rsidR="005A525D" w:rsidRDefault="00EA6FD5" w:rsidP="005A525D">
      <w:pPr>
        <w:jc w:val="both"/>
        <w:rPr>
          <w:rFonts w:cs="Calibri"/>
        </w:rPr>
      </w:pPr>
      <w:r>
        <w:rPr>
          <w:rFonts w:cs="Calibri"/>
        </w:rPr>
        <w:t>Tento r</w:t>
      </w:r>
      <w:r w:rsidR="000D0B77" w:rsidRPr="000D0B77">
        <w:rPr>
          <w:rFonts w:cs="Calibri"/>
        </w:rPr>
        <w:t xml:space="preserve">ozdíl </w:t>
      </w:r>
      <w:r w:rsidR="005A525D" w:rsidRPr="000C762D">
        <w:rPr>
          <w:rFonts w:cs="Calibri"/>
        </w:rPr>
        <w:t xml:space="preserve">představují </w:t>
      </w:r>
      <w:r w:rsidR="005A525D">
        <w:rPr>
          <w:rFonts w:cs="Calibri"/>
        </w:rPr>
        <w:t xml:space="preserve">zejména </w:t>
      </w:r>
      <w:r w:rsidR="005A525D" w:rsidRPr="000C762D">
        <w:rPr>
          <w:rFonts w:cs="Calibri"/>
        </w:rPr>
        <w:t>výnosy bez realizace souvisejících příjmů</w:t>
      </w:r>
      <w:r w:rsidR="00E6693C">
        <w:rPr>
          <w:rFonts w:cs="Calibri"/>
        </w:rPr>
        <w:t>; výnosy z transferů z </w:t>
      </w:r>
      <w:r w:rsidR="005A525D" w:rsidRPr="00E60A2A">
        <w:rPr>
          <w:rFonts w:cs="Calibri"/>
          <w:i/>
        </w:rPr>
        <w:t>Evropsk</w:t>
      </w:r>
      <w:r w:rsidR="00E6693C" w:rsidRPr="00E60A2A">
        <w:rPr>
          <w:rFonts w:cs="Calibri"/>
          <w:i/>
        </w:rPr>
        <w:t>ého</w:t>
      </w:r>
      <w:r w:rsidR="005A525D" w:rsidRPr="00E60A2A">
        <w:rPr>
          <w:rFonts w:cs="Calibri"/>
          <w:i/>
        </w:rPr>
        <w:t xml:space="preserve"> zemědělsk</w:t>
      </w:r>
      <w:r w:rsidR="00E6693C" w:rsidRPr="00E60A2A">
        <w:rPr>
          <w:rFonts w:cs="Calibri"/>
          <w:i/>
        </w:rPr>
        <w:t>ého</w:t>
      </w:r>
      <w:r w:rsidR="005A525D" w:rsidRPr="00E60A2A">
        <w:rPr>
          <w:rFonts w:cs="Calibri"/>
          <w:i/>
        </w:rPr>
        <w:t xml:space="preserve"> záruční</w:t>
      </w:r>
      <w:r w:rsidR="00E6693C" w:rsidRPr="00E60A2A">
        <w:rPr>
          <w:rFonts w:cs="Calibri"/>
          <w:i/>
        </w:rPr>
        <w:t>ho</w:t>
      </w:r>
      <w:r w:rsidR="005A525D" w:rsidRPr="00E60A2A">
        <w:rPr>
          <w:rFonts w:cs="Calibri"/>
          <w:i/>
        </w:rPr>
        <w:t xml:space="preserve"> fond</w:t>
      </w:r>
      <w:r w:rsidR="00E6693C" w:rsidRPr="00E60A2A">
        <w:rPr>
          <w:rFonts w:cs="Calibri"/>
          <w:i/>
        </w:rPr>
        <w:t>u</w:t>
      </w:r>
      <w:r w:rsidR="005A525D" w:rsidRPr="008A1162">
        <w:rPr>
          <w:rFonts w:cs="Calibri"/>
        </w:rPr>
        <w:t xml:space="preserve"> (dále </w:t>
      </w:r>
      <w:r w:rsidR="00E6693C">
        <w:rPr>
          <w:rFonts w:cs="Calibri"/>
        </w:rPr>
        <w:t xml:space="preserve">jen </w:t>
      </w:r>
      <w:r w:rsidR="005A525D" w:rsidRPr="008A1162">
        <w:rPr>
          <w:rFonts w:cs="Calibri"/>
        </w:rPr>
        <w:t>„</w:t>
      </w:r>
      <w:r w:rsidR="005A525D" w:rsidRPr="00B7080B">
        <w:rPr>
          <w:rFonts w:cs="Calibri"/>
        </w:rPr>
        <w:t>EZZF</w:t>
      </w:r>
      <w:r w:rsidR="005A525D" w:rsidRPr="008A1162">
        <w:rPr>
          <w:rFonts w:cs="Calibri"/>
        </w:rPr>
        <w:t xml:space="preserve">“) a </w:t>
      </w:r>
      <w:r w:rsidR="005A525D" w:rsidRPr="00E60A2A">
        <w:rPr>
          <w:rFonts w:cs="Calibri"/>
          <w:i/>
        </w:rPr>
        <w:t>Evropsk</w:t>
      </w:r>
      <w:r w:rsidR="00E6693C" w:rsidRPr="00E60A2A">
        <w:rPr>
          <w:rFonts w:cs="Calibri"/>
          <w:i/>
        </w:rPr>
        <w:t>ého</w:t>
      </w:r>
      <w:r w:rsidR="005A525D" w:rsidRPr="00E60A2A">
        <w:rPr>
          <w:rFonts w:cs="Calibri"/>
          <w:i/>
        </w:rPr>
        <w:t xml:space="preserve"> zemědělsk</w:t>
      </w:r>
      <w:r w:rsidR="00E6693C" w:rsidRPr="00E60A2A">
        <w:rPr>
          <w:rFonts w:cs="Calibri"/>
          <w:i/>
        </w:rPr>
        <w:t>ého</w:t>
      </w:r>
      <w:r w:rsidR="005A525D" w:rsidRPr="00E60A2A">
        <w:rPr>
          <w:rFonts w:cs="Calibri"/>
          <w:i/>
        </w:rPr>
        <w:t xml:space="preserve"> fond</w:t>
      </w:r>
      <w:r w:rsidR="00E6693C" w:rsidRPr="00E60A2A">
        <w:rPr>
          <w:rFonts w:cs="Calibri"/>
          <w:i/>
        </w:rPr>
        <w:t>u</w:t>
      </w:r>
      <w:r w:rsidR="005A525D" w:rsidRPr="00E60A2A">
        <w:rPr>
          <w:rFonts w:cs="Calibri"/>
          <w:i/>
        </w:rPr>
        <w:t xml:space="preserve"> pro rozvoj venkova</w:t>
      </w:r>
      <w:r w:rsidR="005A525D" w:rsidRPr="008A1162">
        <w:rPr>
          <w:rFonts w:cs="Calibri"/>
        </w:rPr>
        <w:t xml:space="preserve"> (dále</w:t>
      </w:r>
      <w:r w:rsidR="00E6693C">
        <w:rPr>
          <w:rFonts w:cs="Calibri"/>
        </w:rPr>
        <w:t xml:space="preserve"> jen</w:t>
      </w:r>
      <w:r w:rsidR="005A525D" w:rsidRPr="008A1162">
        <w:rPr>
          <w:rFonts w:cs="Calibri"/>
        </w:rPr>
        <w:t xml:space="preserve"> „</w:t>
      </w:r>
      <w:r w:rsidR="005A525D" w:rsidRPr="00B7080B">
        <w:rPr>
          <w:rFonts w:cs="Calibri"/>
        </w:rPr>
        <w:t>EZFRV</w:t>
      </w:r>
      <w:r w:rsidR="005A525D" w:rsidRPr="008A1162">
        <w:rPr>
          <w:rFonts w:cs="Calibri"/>
        </w:rPr>
        <w:t xml:space="preserve">“) </w:t>
      </w:r>
      <w:r w:rsidR="00E6693C">
        <w:rPr>
          <w:rFonts w:cs="Calibri"/>
        </w:rPr>
        <w:t>byly totiž v souladu s akruálním principem zaúčtovány (</w:t>
      </w:r>
      <w:r w:rsidR="00E6693C" w:rsidRPr="008A1162">
        <w:rPr>
          <w:rFonts w:cs="Calibri"/>
        </w:rPr>
        <w:t>ve výši 1</w:t>
      </w:r>
      <w:r w:rsidR="00E6693C">
        <w:rPr>
          <w:rFonts w:cs="Calibri"/>
        </w:rPr>
        <w:t> </w:t>
      </w:r>
      <w:r w:rsidR="00E6693C" w:rsidRPr="008A1162">
        <w:rPr>
          <w:rFonts w:cs="Calibri"/>
        </w:rPr>
        <w:t>753,54 mil. Kč</w:t>
      </w:r>
      <w:r w:rsidR="00E6693C">
        <w:rPr>
          <w:rFonts w:cs="Calibri"/>
        </w:rPr>
        <w:t>) do jiného časového období, než ve kterém se reálně uskutečnil příjem peněžních prostředků.</w:t>
      </w:r>
    </w:p>
    <w:p w14:paraId="2828AF31" w14:textId="77777777" w:rsidR="00EA6FD5" w:rsidRDefault="00EA6FD5" w:rsidP="00EA6FD5">
      <w:pPr>
        <w:spacing w:after="0"/>
        <w:jc w:val="both"/>
        <w:rPr>
          <w:rFonts w:cs="Calibri"/>
        </w:rPr>
      </w:pPr>
      <w:r w:rsidRPr="00E05B63">
        <w:rPr>
          <w:rFonts w:cs="Calibri"/>
        </w:rPr>
        <w:t xml:space="preserve">Další hlavní důvody vzniku rozdílu mezi saldem peněžních toků a hospodářským výsledkem běžného účetního období jsou uvedeny v </w:t>
      </w:r>
      <w:r>
        <w:rPr>
          <w:rFonts w:cs="Calibri"/>
        </w:rPr>
        <w:t>následující tabulce</w:t>
      </w:r>
      <w:r w:rsidRPr="00E05B63">
        <w:rPr>
          <w:rFonts w:cs="Calibri"/>
        </w:rPr>
        <w:t>.</w:t>
      </w:r>
    </w:p>
    <w:p w14:paraId="3BD5B3DB" w14:textId="77777777" w:rsidR="00EA6FD5" w:rsidRDefault="00EA6FD5" w:rsidP="00834CAF">
      <w:pPr>
        <w:rPr>
          <w:rFonts w:asciiTheme="minorHAnsi" w:hAnsiTheme="minorHAnsi" w:cstheme="minorHAnsi"/>
          <w:b/>
          <w:bCs/>
          <w:szCs w:val="22"/>
        </w:rPr>
      </w:pPr>
    </w:p>
    <w:p w14:paraId="1061B639" w14:textId="79908698" w:rsidR="00834CAF" w:rsidRPr="006844ED" w:rsidRDefault="00834CAF" w:rsidP="00E60A2A">
      <w:pPr>
        <w:tabs>
          <w:tab w:val="right" w:pos="9070"/>
        </w:tabs>
        <w:ind w:left="1304" w:hanging="1304"/>
        <w:rPr>
          <w:rFonts w:asciiTheme="minorHAnsi" w:hAnsiTheme="minorHAnsi" w:cstheme="minorHAnsi"/>
          <w:b/>
          <w:bCs/>
          <w:szCs w:val="22"/>
        </w:rPr>
      </w:pPr>
      <w:r w:rsidRPr="006844ED">
        <w:rPr>
          <w:rFonts w:asciiTheme="minorHAnsi" w:hAnsiTheme="minorHAnsi" w:cstheme="minorHAnsi"/>
          <w:b/>
          <w:bCs/>
          <w:szCs w:val="22"/>
        </w:rPr>
        <w:t xml:space="preserve">Tabulka </w:t>
      </w:r>
      <w:r w:rsidR="00E6693C">
        <w:rPr>
          <w:rFonts w:asciiTheme="minorHAnsi" w:hAnsiTheme="minorHAnsi" w:cstheme="minorHAnsi"/>
          <w:b/>
          <w:bCs/>
          <w:szCs w:val="22"/>
        </w:rPr>
        <w:t xml:space="preserve">č. </w:t>
      </w:r>
      <w:r w:rsidR="00C94274">
        <w:rPr>
          <w:rFonts w:asciiTheme="minorHAnsi" w:hAnsiTheme="minorHAnsi" w:cstheme="minorHAnsi"/>
          <w:b/>
          <w:bCs/>
          <w:szCs w:val="22"/>
        </w:rPr>
        <w:t>1</w:t>
      </w:r>
      <w:r w:rsidRPr="006844ED">
        <w:rPr>
          <w:rFonts w:asciiTheme="minorHAnsi" w:hAnsiTheme="minorHAnsi" w:cstheme="minorHAnsi"/>
          <w:b/>
          <w:bCs/>
          <w:szCs w:val="22"/>
        </w:rPr>
        <w:t xml:space="preserve">: </w:t>
      </w:r>
      <w:r w:rsidR="00E6693C">
        <w:rPr>
          <w:rFonts w:asciiTheme="minorHAnsi" w:hAnsiTheme="minorHAnsi" w:cstheme="minorHAnsi"/>
          <w:b/>
          <w:bCs/>
          <w:szCs w:val="22"/>
        </w:rPr>
        <w:tab/>
      </w:r>
      <w:r w:rsidRPr="006844ED">
        <w:rPr>
          <w:rFonts w:asciiTheme="minorHAnsi" w:hAnsiTheme="minorHAnsi" w:cstheme="minorHAnsi"/>
          <w:b/>
          <w:bCs/>
          <w:szCs w:val="22"/>
        </w:rPr>
        <w:t>Významné účetní operace</w:t>
      </w:r>
      <w:r w:rsidR="00D80E19">
        <w:rPr>
          <w:rFonts w:asciiTheme="minorHAnsi" w:hAnsiTheme="minorHAnsi" w:cstheme="minorHAnsi"/>
          <w:b/>
          <w:bCs/>
          <w:szCs w:val="22"/>
        </w:rPr>
        <w:t>, které mají vliv na rozdíl</w:t>
      </w:r>
      <w:r w:rsidRPr="006844ED">
        <w:rPr>
          <w:rFonts w:asciiTheme="minorHAnsi" w:hAnsiTheme="minorHAnsi" w:cstheme="minorHAnsi"/>
          <w:b/>
          <w:bCs/>
          <w:szCs w:val="22"/>
        </w:rPr>
        <w:t xml:space="preserve"> mezi saldem peněžních toků a výsledkem hospodaření MZe k 31. 12. 2022 </w:t>
      </w:r>
      <w:r w:rsidR="00E6693C">
        <w:rPr>
          <w:rFonts w:asciiTheme="minorHAnsi" w:hAnsiTheme="minorHAnsi" w:cstheme="minorHAnsi"/>
          <w:b/>
          <w:bCs/>
          <w:szCs w:val="22"/>
        </w:rPr>
        <w:tab/>
      </w:r>
      <w:r w:rsidRPr="006844ED">
        <w:rPr>
          <w:rFonts w:asciiTheme="minorHAnsi" w:hAnsiTheme="minorHAnsi" w:cstheme="minorHAnsi"/>
          <w:b/>
          <w:bCs/>
          <w:szCs w:val="22"/>
        </w:rPr>
        <w:t>(v mil.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4"/>
        <w:gridCol w:w="1904"/>
        <w:gridCol w:w="2071"/>
        <w:gridCol w:w="1901"/>
      </w:tblGrid>
      <w:tr w:rsidR="00834CAF" w:rsidRPr="006844ED" w14:paraId="63600562" w14:textId="77777777" w:rsidTr="004A6359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0F985E22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Účetní operace způsobující rozdíl mezi příjmy a výnosy</w:t>
            </w:r>
          </w:p>
        </w:tc>
      </w:tr>
      <w:tr w:rsidR="00834CAF" w:rsidRPr="006844ED" w14:paraId="31AD90A2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FD"/>
            <w:vAlign w:val="center"/>
            <w:hideMark/>
          </w:tcPr>
          <w:p w14:paraId="75BB61EE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30A8E5CB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Vliv na příjmy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5A8459D0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Vliv na výnosy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7FD"/>
            <w:vAlign w:val="center"/>
            <w:hideMark/>
          </w:tcPr>
          <w:p w14:paraId="22765BD4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Rozdíl</w:t>
            </w:r>
          </w:p>
        </w:tc>
      </w:tr>
      <w:tr w:rsidR="00834CAF" w:rsidRPr="006844ED" w14:paraId="60E2CF3D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6EAA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Rozdíl v transferech EZZF, EZFRV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6B78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89CD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1 753,54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4196" w14:textId="0871CE26" w:rsidR="00834CAF" w:rsidRPr="006844ED" w:rsidRDefault="005823C4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E60A2A">
              <w:rPr>
                <w:rFonts w:cs="Calibri"/>
                <w:sz w:val="20"/>
                <w:szCs w:val="20"/>
              </w:rPr>
              <w:t>−</w:t>
            </w:r>
            <w:r w:rsidR="00834CAF"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1 753,54</w:t>
            </w:r>
          </w:p>
        </w:tc>
      </w:tr>
      <w:tr w:rsidR="00834CAF" w:rsidRPr="006844ED" w14:paraId="0441B60D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664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955D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CE28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114,55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7EF2" w14:textId="10FE2EB2" w:rsidR="00834CAF" w:rsidRPr="006844ED" w:rsidRDefault="005823C4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168F5">
              <w:rPr>
                <w:rFonts w:cs="Calibri"/>
                <w:sz w:val="20"/>
                <w:szCs w:val="20"/>
              </w:rPr>
              <w:t>−</w:t>
            </w:r>
            <w:r w:rsidR="00834CAF"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114,55</w:t>
            </w:r>
          </w:p>
        </w:tc>
      </w:tr>
      <w:tr w:rsidR="00834CAF" w:rsidRPr="006844ED" w14:paraId="4DA15AAF" w14:textId="77777777" w:rsidTr="004A6359">
        <w:trPr>
          <w:trHeight w:val="454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BC4"/>
            <w:noWrap/>
            <w:vAlign w:val="center"/>
            <w:hideMark/>
          </w:tcPr>
          <w:p w14:paraId="67F1C3AC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Rozdíl mezi příjmy a výnosy za významné operace celkem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BBC4"/>
            <w:noWrap/>
            <w:vAlign w:val="center"/>
            <w:hideMark/>
          </w:tcPr>
          <w:p w14:paraId="40EC8B1B" w14:textId="0252208F" w:rsidR="00834CAF" w:rsidRPr="006844ED" w:rsidRDefault="005823C4" w:rsidP="005823C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9168F5">
              <w:rPr>
                <w:rFonts w:cs="Calibri"/>
                <w:sz w:val="20"/>
                <w:szCs w:val="20"/>
              </w:rPr>
              <w:t>−</w:t>
            </w:r>
            <w:r w:rsidR="00834CAF"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1 868,09</w:t>
            </w:r>
          </w:p>
        </w:tc>
      </w:tr>
      <w:tr w:rsidR="00834CAF" w:rsidRPr="006844ED" w14:paraId="7C201DC0" w14:textId="77777777" w:rsidTr="004A6359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4220B72D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Účetní operace způsobující rozdíl mezi výdaji a náklady</w:t>
            </w:r>
          </w:p>
        </w:tc>
      </w:tr>
      <w:tr w:rsidR="00834CAF" w:rsidRPr="006844ED" w14:paraId="61AD6C36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7FD"/>
            <w:vAlign w:val="center"/>
            <w:hideMark/>
          </w:tcPr>
          <w:p w14:paraId="772237DF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76C66037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Vliv na výdaje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7FD"/>
            <w:noWrap/>
            <w:vAlign w:val="center"/>
            <w:hideMark/>
          </w:tcPr>
          <w:p w14:paraId="33662813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Vliv na náklady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E7FD"/>
            <w:vAlign w:val="center"/>
            <w:hideMark/>
          </w:tcPr>
          <w:p w14:paraId="711C31BF" w14:textId="77777777" w:rsidR="00834CAF" w:rsidRPr="006844ED" w:rsidRDefault="00834CAF" w:rsidP="005823C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Rozdíl</w:t>
            </w:r>
          </w:p>
        </w:tc>
      </w:tr>
      <w:tr w:rsidR="00834CAF" w:rsidRPr="006844ED" w14:paraId="6F8CC100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F53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Odpisy </w:t>
            </w:r>
            <w:r w:rsidR="00F62304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dlouhodobého majetku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F8B8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9552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107,79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228A" w14:textId="23B7C2C7" w:rsidR="00834CAF" w:rsidRPr="006844ED" w:rsidRDefault="005823C4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168F5">
              <w:rPr>
                <w:rFonts w:cs="Calibri"/>
                <w:sz w:val="20"/>
                <w:szCs w:val="20"/>
              </w:rPr>
              <w:t>−</w:t>
            </w:r>
            <w:r w:rsidR="00834CAF"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107,79</w:t>
            </w:r>
          </w:p>
        </w:tc>
      </w:tr>
      <w:tr w:rsidR="00834CAF" w:rsidRPr="006844ED" w14:paraId="7FCFA618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1809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Opravné položky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CEA2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13FD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7,40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A367" w14:textId="5BB801F1" w:rsidR="00834CAF" w:rsidRPr="006844ED" w:rsidRDefault="005823C4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168F5">
              <w:rPr>
                <w:rFonts w:cs="Calibri"/>
                <w:sz w:val="20"/>
                <w:szCs w:val="20"/>
              </w:rPr>
              <w:t>−</w:t>
            </w:r>
            <w:r w:rsidR="00834CAF"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7,40</w:t>
            </w:r>
          </w:p>
        </w:tc>
      </w:tr>
      <w:tr w:rsidR="00834CAF" w:rsidRPr="006844ED" w14:paraId="5688760F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D456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Manka a škody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DD8D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328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0,49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D5D0" w14:textId="3D2F6D7E" w:rsidR="00834CAF" w:rsidRPr="006844ED" w:rsidRDefault="005823C4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168F5">
              <w:rPr>
                <w:rFonts w:cs="Calibri"/>
                <w:sz w:val="20"/>
                <w:szCs w:val="20"/>
              </w:rPr>
              <w:t>−</w:t>
            </w:r>
            <w:r w:rsidR="00834CAF"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0,49</w:t>
            </w:r>
          </w:p>
        </w:tc>
      </w:tr>
      <w:tr w:rsidR="00834CAF" w:rsidRPr="006844ED" w14:paraId="0157E5AF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40F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Výdaje na pořízení dlouhodobého majetku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71E4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226,81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2DFE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2DFC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226,81</w:t>
            </w:r>
          </w:p>
        </w:tc>
      </w:tr>
      <w:tr w:rsidR="00834CAF" w:rsidRPr="006844ED" w14:paraId="500C3F05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97B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Rezervy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524A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3,14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E41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19A3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3,14</w:t>
            </w:r>
          </w:p>
        </w:tc>
      </w:tr>
      <w:tr w:rsidR="00834CAF" w:rsidRPr="006844ED" w14:paraId="587F2408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8E0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Kurzové rozdíly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E145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013D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159,45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590C" w14:textId="5F8846AD" w:rsidR="00834CAF" w:rsidRPr="006844ED" w:rsidRDefault="005823C4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168F5">
              <w:rPr>
                <w:rFonts w:cs="Calibri"/>
                <w:sz w:val="20"/>
                <w:szCs w:val="20"/>
              </w:rPr>
              <w:t>−</w:t>
            </w:r>
            <w:r w:rsidR="00834CAF"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159,45</w:t>
            </w:r>
          </w:p>
        </w:tc>
      </w:tr>
      <w:tr w:rsidR="00834CAF" w:rsidRPr="006844ED" w14:paraId="5CC2673A" w14:textId="77777777" w:rsidTr="004A6359">
        <w:trPr>
          <w:trHeight w:val="454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3EB8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DD54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BA1B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35,83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6870" w14:textId="0A0C34C4" w:rsidR="00834CAF" w:rsidRPr="006844ED" w:rsidRDefault="005823C4" w:rsidP="005823C4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9168F5">
              <w:rPr>
                <w:rFonts w:cs="Calibri"/>
                <w:sz w:val="20"/>
                <w:szCs w:val="20"/>
              </w:rPr>
              <w:t>−</w:t>
            </w:r>
            <w:r w:rsidR="00834CAF" w:rsidRPr="006844ED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35,83</w:t>
            </w:r>
          </w:p>
        </w:tc>
      </w:tr>
      <w:tr w:rsidR="00834CAF" w:rsidRPr="006844ED" w14:paraId="1959FF51" w14:textId="77777777" w:rsidTr="004A6359">
        <w:trPr>
          <w:trHeight w:val="454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BC4"/>
            <w:noWrap/>
            <w:vAlign w:val="center"/>
            <w:hideMark/>
          </w:tcPr>
          <w:p w14:paraId="28FF1468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Rozdíl mezi výdaji a náklady za významné operace celkem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BBC4"/>
            <w:noWrap/>
            <w:vAlign w:val="center"/>
            <w:hideMark/>
          </w:tcPr>
          <w:p w14:paraId="5CBEA8AE" w14:textId="1150F57C" w:rsidR="00834CAF" w:rsidRPr="006844ED" w:rsidRDefault="005823C4" w:rsidP="005823C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9168F5">
              <w:rPr>
                <w:rFonts w:cs="Calibri"/>
                <w:sz w:val="20"/>
                <w:szCs w:val="20"/>
              </w:rPr>
              <w:t>−</w:t>
            </w:r>
            <w:r w:rsidR="00834CAF"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81,00</w:t>
            </w:r>
          </w:p>
        </w:tc>
      </w:tr>
      <w:tr w:rsidR="00834CAF" w:rsidRPr="006844ED" w14:paraId="75EF18A1" w14:textId="77777777" w:rsidTr="005823C4">
        <w:trPr>
          <w:trHeight w:val="510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BBC4"/>
            <w:vAlign w:val="center"/>
            <w:hideMark/>
          </w:tcPr>
          <w:p w14:paraId="2CA493AE" w14:textId="77777777" w:rsidR="00834CAF" w:rsidRPr="006844ED" w:rsidRDefault="00834CAF" w:rsidP="005823C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Rozdíl mezi saldem peněžních toků a výsledkem hospodaření MZe za významné operace celkem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BBC4"/>
            <w:noWrap/>
            <w:vAlign w:val="center"/>
            <w:hideMark/>
          </w:tcPr>
          <w:p w14:paraId="40C2381A" w14:textId="77777777" w:rsidR="00834CAF" w:rsidRPr="006844ED" w:rsidRDefault="00834CAF" w:rsidP="005823C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6844E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1 787,09</w:t>
            </w:r>
          </w:p>
        </w:tc>
      </w:tr>
    </w:tbl>
    <w:p w14:paraId="7090DADC" w14:textId="41F0133E" w:rsidR="00834CAF" w:rsidRPr="00E60A2A" w:rsidRDefault="00834CAF" w:rsidP="00E8040B">
      <w:pPr>
        <w:rPr>
          <w:rFonts w:asciiTheme="minorHAnsi" w:hAnsiTheme="minorHAnsi" w:cstheme="minorHAnsi"/>
          <w:iCs/>
          <w:sz w:val="20"/>
          <w:szCs w:val="20"/>
        </w:rPr>
      </w:pPr>
      <w:r w:rsidRPr="00E12265">
        <w:rPr>
          <w:rFonts w:asciiTheme="minorHAnsi" w:hAnsiTheme="minorHAnsi" w:cstheme="minorHAnsi"/>
          <w:b/>
          <w:iCs/>
          <w:sz w:val="20"/>
          <w:szCs w:val="20"/>
        </w:rPr>
        <w:t>Zdroj:</w:t>
      </w:r>
      <w:r w:rsidRPr="00DD229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A4AFA" w:rsidRPr="00E60A2A">
        <w:rPr>
          <w:rFonts w:asciiTheme="minorHAnsi" w:hAnsiTheme="minorHAnsi" w:cstheme="minorHAnsi"/>
          <w:iCs/>
          <w:sz w:val="20"/>
          <w:szCs w:val="20"/>
        </w:rPr>
        <w:t>účetní data MZe za rok 2022</w:t>
      </w:r>
      <w:r w:rsidRPr="00E60A2A">
        <w:rPr>
          <w:rFonts w:asciiTheme="minorHAnsi" w:hAnsiTheme="minorHAnsi" w:cstheme="minorHAnsi"/>
          <w:iCs/>
          <w:sz w:val="20"/>
          <w:szCs w:val="20"/>
        </w:rPr>
        <w:t>, ÚZ</w:t>
      </w:r>
      <w:r w:rsidR="00E6693C">
        <w:rPr>
          <w:rFonts w:asciiTheme="minorHAnsi" w:hAnsiTheme="minorHAnsi" w:cstheme="minorHAnsi"/>
          <w:iCs/>
          <w:sz w:val="20"/>
          <w:szCs w:val="20"/>
        </w:rPr>
        <w:t>;</w:t>
      </w:r>
      <w:r w:rsidRPr="00E60A2A">
        <w:rPr>
          <w:rFonts w:asciiTheme="minorHAnsi" w:hAnsiTheme="minorHAnsi" w:cstheme="minorHAnsi"/>
          <w:iCs/>
          <w:sz w:val="20"/>
          <w:szCs w:val="20"/>
        </w:rPr>
        <w:t xml:space="preserve"> vlastní zpracování</w:t>
      </w:r>
      <w:r w:rsidR="00EA4AFA" w:rsidRPr="00E60A2A">
        <w:rPr>
          <w:rFonts w:asciiTheme="minorHAnsi" w:hAnsiTheme="minorHAnsi" w:cstheme="minorHAnsi"/>
          <w:iCs/>
          <w:sz w:val="20"/>
          <w:szCs w:val="20"/>
        </w:rPr>
        <w:t xml:space="preserve"> NKÚ.</w:t>
      </w:r>
    </w:p>
    <w:p w14:paraId="00292C3A" w14:textId="77777777" w:rsidR="00341B0D" w:rsidRPr="00DD2292" w:rsidRDefault="00341B0D">
      <w:pPr>
        <w:spacing w:after="160" w:line="259" w:lineRule="auto"/>
        <w:rPr>
          <w:rFonts w:cstheme="minorHAnsi"/>
          <w:b/>
          <w:bCs/>
          <w:sz w:val="20"/>
          <w:szCs w:val="20"/>
        </w:rPr>
        <w:sectPr w:rsidR="00341B0D" w:rsidRPr="00DD2292" w:rsidSect="0009514A">
          <w:headerReference w:type="default" r:id="rId35"/>
          <w:headerReference w:type="first" r:id="rId36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925BC0" w14:textId="77777777" w:rsidR="00EF3FF3" w:rsidRDefault="00EF3FF3" w:rsidP="007261A2">
      <w:pPr>
        <w:pStyle w:val="Zhlav"/>
        <w:jc w:val="right"/>
      </w:pPr>
      <w:r>
        <w:lastRenderedPageBreak/>
        <w:t>Příloha č. 2</w:t>
      </w:r>
    </w:p>
    <w:p w14:paraId="77D6B4CE" w14:textId="77777777" w:rsidR="00EF3FF3" w:rsidRDefault="00EF3FF3" w:rsidP="00EF3FF3">
      <w:pPr>
        <w:pStyle w:val="Zhlav"/>
        <w:jc w:val="right"/>
      </w:pPr>
    </w:p>
    <w:p w14:paraId="02E34C2F" w14:textId="77777777" w:rsidR="005A525D" w:rsidRPr="00770CAA" w:rsidRDefault="005A525D" w:rsidP="00614F4A">
      <w:pPr>
        <w:pStyle w:val="Nadpis2"/>
        <w:numPr>
          <w:ilvl w:val="0"/>
          <w:numId w:val="40"/>
        </w:numPr>
      </w:pPr>
      <w:r w:rsidRPr="000147CE">
        <w:t xml:space="preserve">Využívání účetních informací </w:t>
      </w:r>
      <w:r>
        <w:t>v podmínkách MZe</w:t>
      </w:r>
    </w:p>
    <w:p w14:paraId="64EE589A" w14:textId="321EF9C1" w:rsidR="00A62F45" w:rsidRPr="003230C6" w:rsidRDefault="00A62F45" w:rsidP="00A62F45">
      <w:pPr>
        <w:jc w:val="both"/>
        <w:rPr>
          <w:rFonts w:cs="Calibri"/>
        </w:rPr>
      </w:pPr>
      <w:r w:rsidRPr="003230C6">
        <w:rPr>
          <w:rFonts w:cs="Calibri"/>
        </w:rPr>
        <w:t xml:space="preserve">Účetními informacemi jsou myšleny údaje z účetních závěrek i údaje, na jejichž základě je účetní závěrka sestavena a které mají vazbu na údaje z účetní závěrky (tj. účetní knihy a další z nich vycházející </w:t>
      </w:r>
      <w:r w:rsidR="004A6359">
        <w:rPr>
          <w:rFonts w:cs="Calibri"/>
        </w:rPr>
        <w:t>data</w:t>
      </w:r>
      <w:r w:rsidRPr="003230C6">
        <w:rPr>
          <w:rFonts w:cs="Calibri"/>
        </w:rPr>
        <w:t xml:space="preserve"> a sestavy).</w:t>
      </w:r>
    </w:p>
    <w:p w14:paraId="26C9E843" w14:textId="45B94CE9" w:rsidR="00A62F45" w:rsidRDefault="00A62F45" w:rsidP="00A62F45">
      <w:pPr>
        <w:spacing w:before="120"/>
        <w:jc w:val="both"/>
        <w:rPr>
          <w:rFonts w:cs="Calibri"/>
        </w:rPr>
      </w:pPr>
      <w:r w:rsidRPr="0069020F">
        <w:rPr>
          <w:rFonts w:cs="Calibri"/>
        </w:rPr>
        <w:t xml:space="preserve">Zákon </w:t>
      </w:r>
      <w:r>
        <w:rPr>
          <w:rFonts w:cs="Calibri"/>
        </w:rPr>
        <w:t>č. 563/1991 Sb.</w:t>
      </w:r>
      <w:r w:rsidRPr="0069020F">
        <w:rPr>
          <w:rFonts w:cs="Calibri"/>
        </w:rPr>
        <w:t xml:space="preserve"> v u</w:t>
      </w:r>
      <w:r>
        <w:rPr>
          <w:rFonts w:cs="Calibri"/>
        </w:rPr>
        <w:t>s</w:t>
      </w:r>
      <w:r w:rsidRPr="0069020F">
        <w:rPr>
          <w:rFonts w:cs="Calibri"/>
        </w:rPr>
        <w:t xml:space="preserve">tanovení § 7 odst. 1 stanoví požadavek, aby sestavená účetní závěrka mohla uživatelům sloužit k činění ekonomických rozhodnutí. Právní předpisy ovšem nevyžadují, aby organizační složky státu použily </w:t>
      </w:r>
      <w:r w:rsidR="004A6359" w:rsidRPr="0069020F">
        <w:rPr>
          <w:rFonts w:cs="Calibri"/>
        </w:rPr>
        <w:t>účetní dat</w:t>
      </w:r>
      <w:r w:rsidR="004A6359">
        <w:rPr>
          <w:rFonts w:cs="Calibri"/>
        </w:rPr>
        <w:t>a nebo</w:t>
      </w:r>
      <w:r w:rsidR="004A6359" w:rsidRPr="0069020F">
        <w:rPr>
          <w:rFonts w:cs="Calibri"/>
        </w:rPr>
        <w:t xml:space="preserve"> </w:t>
      </w:r>
      <w:r w:rsidRPr="0069020F">
        <w:rPr>
          <w:rFonts w:cs="Calibri"/>
        </w:rPr>
        <w:t>informac</w:t>
      </w:r>
      <w:r>
        <w:rPr>
          <w:rFonts w:cs="Calibri"/>
        </w:rPr>
        <w:t>e</w:t>
      </w:r>
      <w:r w:rsidRPr="0069020F">
        <w:rPr>
          <w:rFonts w:cs="Calibri"/>
        </w:rPr>
        <w:t xml:space="preserve"> ze svých účetních závěrek pro sv</w:t>
      </w:r>
      <w:r w:rsidR="0073640D">
        <w:rPr>
          <w:rFonts w:cs="Calibri"/>
        </w:rPr>
        <w:t>é</w:t>
      </w:r>
      <w:r w:rsidRPr="0069020F">
        <w:rPr>
          <w:rFonts w:cs="Calibri"/>
        </w:rPr>
        <w:t xml:space="preserve"> konkrétní ekonomick</w:t>
      </w:r>
      <w:r w:rsidR="0073640D">
        <w:rPr>
          <w:rFonts w:cs="Calibri"/>
        </w:rPr>
        <w:t>é</w:t>
      </w:r>
      <w:r w:rsidRPr="0069020F">
        <w:rPr>
          <w:rFonts w:cs="Calibri"/>
        </w:rPr>
        <w:t xml:space="preserve"> rozhodování. Je </w:t>
      </w:r>
      <w:r>
        <w:rPr>
          <w:rFonts w:cs="Calibri"/>
        </w:rPr>
        <w:t xml:space="preserve">pak </w:t>
      </w:r>
      <w:r w:rsidRPr="0069020F">
        <w:rPr>
          <w:rFonts w:cs="Calibri"/>
        </w:rPr>
        <w:t>na účetních jednotkách, zda je pro tyto účely použijí</w:t>
      </w:r>
      <w:r w:rsidR="00131164">
        <w:rPr>
          <w:rFonts w:cs="Calibri"/>
        </w:rPr>
        <w:t xml:space="preserve"> (např. pro plánování sestavení rozpočtu, pro rozhodování o obnově dlouhodobého majetku a další)</w:t>
      </w:r>
      <w:r w:rsidRPr="0069020F">
        <w:rPr>
          <w:rFonts w:cs="Calibri"/>
        </w:rPr>
        <w:t xml:space="preserve">. </w:t>
      </w:r>
    </w:p>
    <w:p w14:paraId="5036E3D1" w14:textId="3F8D3925" w:rsidR="00EF0038" w:rsidRDefault="005A525D" w:rsidP="005A525D">
      <w:pPr>
        <w:jc w:val="both"/>
        <w:rPr>
          <w:rFonts w:asciiTheme="minorHAnsi" w:hAnsiTheme="minorHAnsi" w:cstheme="minorHAnsi"/>
        </w:rPr>
      </w:pPr>
      <w:r w:rsidRPr="00D51194">
        <w:rPr>
          <w:rFonts w:asciiTheme="minorHAnsi" w:hAnsiTheme="minorHAnsi" w:cstheme="minorHAnsi"/>
        </w:rPr>
        <w:t xml:space="preserve">Dle vyjádření </w:t>
      </w:r>
      <w:r w:rsidR="004A6359">
        <w:rPr>
          <w:rFonts w:asciiTheme="minorHAnsi" w:hAnsiTheme="minorHAnsi" w:cstheme="minorHAnsi"/>
        </w:rPr>
        <w:t xml:space="preserve">Ministerstva zemědělství </w:t>
      </w:r>
      <w:r w:rsidR="004A6359" w:rsidRPr="00D51194">
        <w:rPr>
          <w:rFonts w:asciiTheme="minorHAnsi" w:hAnsiTheme="minorHAnsi" w:cstheme="minorHAnsi"/>
        </w:rPr>
        <w:t xml:space="preserve">pracují </w:t>
      </w:r>
      <w:r w:rsidRPr="00D51194">
        <w:rPr>
          <w:rFonts w:asciiTheme="minorHAnsi" w:hAnsiTheme="minorHAnsi" w:cstheme="minorHAnsi"/>
        </w:rPr>
        <w:t xml:space="preserve">s údaji </w:t>
      </w:r>
      <w:r w:rsidR="004A6359">
        <w:rPr>
          <w:rFonts w:asciiTheme="minorHAnsi" w:hAnsiTheme="minorHAnsi" w:cstheme="minorHAnsi"/>
        </w:rPr>
        <w:t xml:space="preserve">z </w:t>
      </w:r>
      <w:r w:rsidRPr="00D51194">
        <w:rPr>
          <w:rFonts w:asciiTheme="minorHAnsi" w:hAnsiTheme="minorHAnsi" w:cstheme="minorHAnsi"/>
        </w:rPr>
        <w:t>účetní</w:t>
      </w:r>
      <w:r w:rsidR="004A6359">
        <w:rPr>
          <w:rFonts w:asciiTheme="minorHAnsi" w:hAnsiTheme="minorHAnsi" w:cstheme="minorHAnsi"/>
        </w:rPr>
        <w:t>ch</w:t>
      </w:r>
      <w:r w:rsidRPr="00D51194">
        <w:rPr>
          <w:rFonts w:asciiTheme="minorHAnsi" w:hAnsiTheme="minorHAnsi" w:cstheme="minorHAnsi"/>
        </w:rPr>
        <w:t xml:space="preserve"> závěr</w:t>
      </w:r>
      <w:r w:rsidR="004A6359">
        <w:rPr>
          <w:rFonts w:asciiTheme="minorHAnsi" w:hAnsiTheme="minorHAnsi" w:cstheme="minorHAnsi"/>
        </w:rPr>
        <w:t>e</w:t>
      </w:r>
      <w:r w:rsidRPr="00D51194">
        <w:rPr>
          <w:rFonts w:asciiTheme="minorHAnsi" w:hAnsiTheme="minorHAnsi" w:cstheme="minorHAnsi"/>
        </w:rPr>
        <w:t xml:space="preserve">k </w:t>
      </w:r>
      <w:r w:rsidR="004A6359">
        <w:rPr>
          <w:rFonts w:asciiTheme="minorHAnsi" w:hAnsiTheme="minorHAnsi" w:cstheme="minorHAnsi"/>
        </w:rPr>
        <w:t xml:space="preserve">MZe </w:t>
      </w:r>
      <w:r w:rsidRPr="00D51194">
        <w:rPr>
          <w:rFonts w:asciiTheme="minorHAnsi" w:hAnsiTheme="minorHAnsi" w:cstheme="minorHAnsi"/>
        </w:rPr>
        <w:t>zejména</w:t>
      </w:r>
      <w:r w:rsidR="004A635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64F63010" w14:textId="27D62705" w:rsidR="00EF0038" w:rsidRPr="00E60A2A" w:rsidRDefault="005A525D" w:rsidP="00AA7DBA">
      <w:pPr>
        <w:pStyle w:val="Odstavecseseznamem"/>
        <w:numPr>
          <w:ilvl w:val="0"/>
          <w:numId w:val="54"/>
        </w:numPr>
        <w:ind w:left="426" w:hanging="426"/>
        <w:rPr>
          <w:rFonts w:asciiTheme="minorHAnsi" w:hAnsiTheme="minorHAnsi" w:cstheme="minorHAnsi"/>
        </w:rPr>
      </w:pPr>
      <w:r w:rsidRPr="00E60A2A">
        <w:rPr>
          <w:rFonts w:asciiTheme="minorHAnsi" w:hAnsiTheme="minorHAnsi" w:cstheme="minorHAnsi"/>
        </w:rPr>
        <w:t xml:space="preserve">MF – při sestavování konsolidovaných účetních závěrek za ČR a při zveřejňování účetních výkazů </w:t>
      </w:r>
      <w:r w:rsidR="00EF0038">
        <w:rPr>
          <w:rFonts w:asciiTheme="minorHAnsi" w:hAnsiTheme="minorHAnsi" w:cstheme="minorHAnsi"/>
        </w:rPr>
        <w:t>v informačním portálu MONITOR,</w:t>
      </w:r>
      <w:r w:rsidRPr="00E60A2A">
        <w:rPr>
          <w:rFonts w:asciiTheme="minorHAnsi" w:hAnsiTheme="minorHAnsi" w:cstheme="minorHAnsi"/>
        </w:rPr>
        <w:t xml:space="preserve"> </w:t>
      </w:r>
    </w:p>
    <w:p w14:paraId="0AAB60FF" w14:textId="6CD0A8D1" w:rsidR="00EF0038" w:rsidRPr="00E60A2A" w:rsidRDefault="005A525D" w:rsidP="00E60A2A">
      <w:pPr>
        <w:pStyle w:val="Odstavecseseznamem"/>
        <w:numPr>
          <w:ilvl w:val="0"/>
          <w:numId w:val="54"/>
        </w:numPr>
        <w:ind w:left="426" w:hanging="426"/>
        <w:rPr>
          <w:rFonts w:asciiTheme="minorHAnsi" w:hAnsiTheme="minorHAnsi" w:cstheme="minorHAnsi"/>
        </w:rPr>
      </w:pPr>
      <w:r w:rsidRPr="00E60A2A">
        <w:rPr>
          <w:rFonts w:asciiTheme="minorHAnsi" w:hAnsiTheme="minorHAnsi" w:cstheme="minorHAnsi"/>
        </w:rPr>
        <w:t xml:space="preserve">ČSÚ – při sestavování </w:t>
      </w:r>
      <w:r w:rsidR="00EF0038">
        <w:rPr>
          <w:rFonts w:asciiTheme="minorHAnsi" w:hAnsiTheme="minorHAnsi" w:cstheme="minorHAnsi"/>
        </w:rPr>
        <w:t>n</w:t>
      </w:r>
      <w:r w:rsidRPr="00E60A2A">
        <w:rPr>
          <w:rFonts w:asciiTheme="minorHAnsi" w:hAnsiTheme="minorHAnsi" w:cstheme="minorHAnsi"/>
        </w:rPr>
        <w:t>árodních účtů za ČR a vládní statistiky</w:t>
      </w:r>
      <w:r w:rsidR="00EF0038">
        <w:rPr>
          <w:rFonts w:asciiTheme="minorHAnsi" w:hAnsiTheme="minorHAnsi" w:cstheme="minorHAnsi"/>
        </w:rPr>
        <w:t>,</w:t>
      </w:r>
      <w:r w:rsidRPr="00E60A2A">
        <w:rPr>
          <w:rFonts w:asciiTheme="minorHAnsi" w:hAnsiTheme="minorHAnsi" w:cstheme="minorHAnsi"/>
        </w:rPr>
        <w:t xml:space="preserve"> </w:t>
      </w:r>
    </w:p>
    <w:p w14:paraId="13FF3216" w14:textId="1BE9417B" w:rsidR="00EF0038" w:rsidRPr="00E60A2A" w:rsidRDefault="005A525D" w:rsidP="00E60A2A">
      <w:pPr>
        <w:pStyle w:val="Odstavecseseznamem"/>
        <w:numPr>
          <w:ilvl w:val="0"/>
          <w:numId w:val="54"/>
        </w:numPr>
        <w:ind w:left="426" w:hanging="426"/>
        <w:rPr>
          <w:rFonts w:asciiTheme="minorHAnsi" w:hAnsiTheme="minorHAnsi" w:cstheme="minorHAnsi"/>
        </w:rPr>
      </w:pPr>
      <w:r w:rsidRPr="00E60A2A">
        <w:rPr>
          <w:rFonts w:asciiTheme="minorHAnsi" w:hAnsiTheme="minorHAnsi" w:cstheme="minorHAnsi"/>
        </w:rPr>
        <w:t>ČNB – při sestavování čtvrtletních finančních účtů, vládní finanční statistiky a platební bilance</w:t>
      </w:r>
      <w:r w:rsidR="00EF0038" w:rsidRPr="00E60A2A">
        <w:rPr>
          <w:rFonts w:asciiTheme="minorHAnsi" w:hAnsiTheme="minorHAnsi" w:cstheme="minorHAnsi"/>
        </w:rPr>
        <w:t>,</w:t>
      </w:r>
    </w:p>
    <w:p w14:paraId="68022740" w14:textId="77777777" w:rsidR="00EF0038" w:rsidRPr="00E60A2A" w:rsidRDefault="005A525D" w:rsidP="00E60A2A">
      <w:pPr>
        <w:pStyle w:val="Odstavecseseznamem"/>
        <w:numPr>
          <w:ilvl w:val="0"/>
          <w:numId w:val="54"/>
        </w:numPr>
        <w:ind w:left="426" w:hanging="426"/>
        <w:rPr>
          <w:rFonts w:asciiTheme="minorHAnsi" w:hAnsiTheme="minorHAnsi" w:cstheme="minorHAnsi"/>
        </w:rPr>
      </w:pPr>
      <w:r w:rsidRPr="00E60A2A">
        <w:rPr>
          <w:rFonts w:asciiTheme="minorHAnsi" w:hAnsiTheme="minorHAnsi" w:cstheme="minorHAnsi"/>
        </w:rPr>
        <w:t xml:space="preserve">NKÚ – při </w:t>
      </w:r>
      <w:r w:rsidR="001F021B" w:rsidRPr="00E60A2A">
        <w:rPr>
          <w:rFonts w:asciiTheme="minorHAnsi" w:hAnsiTheme="minorHAnsi" w:cstheme="minorHAnsi"/>
        </w:rPr>
        <w:t xml:space="preserve">výkonu </w:t>
      </w:r>
      <w:r w:rsidRPr="00E60A2A">
        <w:rPr>
          <w:rFonts w:asciiTheme="minorHAnsi" w:hAnsiTheme="minorHAnsi" w:cstheme="minorHAnsi"/>
        </w:rPr>
        <w:t xml:space="preserve">kontrolní činnosti. </w:t>
      </w:r>
    </w:p>
    <w:p w14:paraId="2AE0146E" w14:textId="13BDAA0B" w:rsidR="005A525D" w:rsidRDefault="005A525D" w:rsidP="005A525D">
      <w:pPr>
        <w:jc w:val="both"/>
        <w:rPr>
          <w:rFonts w:asciiTheme="minorHAnsi" w:hAnsiTheme="minorHAnsi" w:cstheme="minorHAnsi"/>
        </w:rPr>
      </w:pPr>
      <w:r w:rsidRPr="006844ED">
        <w:rPr>
          <w:rFonts w:asciiTheme="minorHAnsi" w:hAnsiTheme="minorHAnsi" w:cstheme="minorHAnsi"/>
        </w:rPr>
        <w:t xml:space="preserve">Mimo kontrolní akce NKÚ jsou nejčastější zpětnou vazbou od externích uživatelů upřesňující dotazy MF v průběhu tzv. křížových kontrol a konsolidačních křížových kontrol. Spíše výjimečně se na MZe s dotazy týkajícími </w:t>
      </w:r>
      <w:r w:rsidR="00EF0038">
        <w:rPr>
          <w:rFonts w:asciiTheme="minorHAnsi" w:hAnsiTheme="minorHAnsi" w:cstheme="minorHAnsi"/>
        </w:rPr>
        <w:t xml:space="preserve">se </w:t>
      </w:r>
      <w:r w:rsidRPr="006844ED">
        <w:rPr>
          <w:rFonts w:asciiTheme="minorHAnsi" w:hAnsiTheme="minorHAnsi" w:cstheme="minorHAnsi"/>
        </w:rPr>
        <w:t xml:space="preserve">údajů z ÚZ obracejí </w:t>
      </w:r>
      <w:r w:rsidR="00EF0038">
        <w:rPr>
          <w:rFonts w:asciiTheme="minorHAnsi" w:hAnsiTheme="minorHAnsi" w:cstheme="minorHAnsi"/>
        </w:rPr>
        <w:t xml:space="preserve">i </w:t>
      </w:r>
      <w:r w:rsidRPr="006844ED">
        <w:rPr>
          <w:rFonts w:asciiTheme="minorHAnsi" w:hAnsiTheme="minorHAnsi" w:cstheme="minorHAnsi"/>
        </w:rPr>
        <w:t>jiní uživatelé (média, občané).</w:t>
      </w:r>
    </w:p>
    <w:p w14:paraId="717C7B60" w14:textId="5451F412" w:rsidR="005A525D" w:rsidRDefault="005A525D" w:rsidP="005A525D">
      <w:pPr>
        <w:jc w:val="both"/>
        <w:rPr>
          <w:rFonts w:asciiTheme="minorHAnsi" w:hAnsiTheme="minorHAnsi" w:cstheme="minorHAnsi"/>
        </w:rPr>
      </w:pPr>
      <w:r w:rsidRPr="006844ED">
        <w:rPr>
          <w:rFonts w:asciiTheme="minorHAnsi" w:hAnsiTheme="minorHAnsi" w:cstheme="minorHAnsi"/>
        </w:rPr>
        <w:t xml:space="preserve">Účetní údaje jiných organizací </w:t>
      </w:r>
      <w:r w:rsidR="00D848BF">
        <w:rPr>
          <w:rFonts w:asciiTheme="minorHAnsi" w:hAnsiTheme="minorHAnsi" w:cstheme="minorHAnsi"/>
        </w:rPr>
        <w:t>využívá</w:t>
      </w:r>
      <w:r w:rsidRPr="006844ED">
        <w:rPr>
          <w:rFonts w:asciiTheme="minorHAnsi" w:hAnsiTheme="minorHAnsi" w:cstheme="minorHAnsi"/>
        </w:rPr>
        <w:t xml:space="preserve"> </w:t>
      </w:r>
      <w:r w:rsidR="007D3900">
        <w:rPr>
          <w:rFonts w:asciiTheme="minorHAnsi" w:hAnsiTheme="minorHAnsi" w:cstheme="minorHAnsi"/>
        </w:rPr>
        <w:t xml:space="preserve">MZe </w:t>
      </w:r>
      <w:r w:rsidRPr="006844ED">
        <w:rPr>
          <w:rFonts w:asciiTheme="minorHAnsi" w:hAnsiTheme="minorHAnsi" w:cstheme="minorHAnsi"/>
        </w:rPr>
        <w:t>zejména při schvalování účetních závěrek re</w:t>
      </w:r>
      <w:r w:rsidR="007D3900">
        <w:rPr>
          <w:rFonts w:asciiTheme="minorHAnsi" w:hAnsiTheme="minorHAnsi" w:cstheme="minorHAnsi"/>
        </w:rPr>
        <w:t>s</w:t>
      </w:r>
      <w:r w:rsidRPr="006844ED">
        <w:rPr>
          <w:rFonts w:asciiTheme="minorHAnsi" w:hAnsiTheme="minorHAnsi" w:cstheme="minorHAnsi"/>
        </w:rPr>
        <w:t>ortních organizací a při řízení podřízených státních příspěvkových organizací. Kontrola výkazů je u PO založena zejména na prověření dosaženého hospodářského výsledku a dalšího nakládání s</w:t>
      </w:r>
      <w:r w:rsidR="00B42DA6">
        <w:rPr>
          <w:rFonts w:asciiTheme="minorHAnsi" w:hAnsiTheme="minorHAnsi" w:cstheme="minorHAnsi"/>
        </w:rPr>
        <w:t> </w:t>
      </w:r>
      <w:r w:rsidRPr="006844ED">
        <w:rPr>
          <w:rFonts w:asciiTheme="minorHAnsi" w:hAnsiTheme="minorHAnsi" w:cstheme="minorHAnsi"/>
        </w:rPr>
        <w:t>ním</w:t>
      </w:r>
      <w:r w:rsidR="00B42DA6">
        <w:rPr>
          <w:rFonts w:asciiTheme="minorHAnsi" w:hAnsiTheme="minorHAnsi" w:cstheme="minorHAnsi"/>
        </w:rPr>
        <w:t>, případně se zaměřuje</w:t>
      </w:r>
      <w:r w:rsidRPr="006844ED">
        <w:rPr>
          <w:rFonts w:asciiTheme="minorHAnsi" w:hAnsiTheme="minorHAnsi" w:cstheme="minorHAnsi"/>
        </w:rPr>
        <w:t xml:space="preserve"> na</w:t>
      </w:r>
      <w:r w:rsidR="00B42DA6" w:rsidRPr="006844ED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</w:rPr>
        <w:t>rizikové údaje v</w:t>
      </w:r>
      <w:r w:rsidR="00B35617">
        <w:rPr>
          <w:rFonts w:asciiTheme="minorHAnsi" w:hAnsiTheme="minorHAnsi" w:cstheme="minorHAnsi"/>
        </w:rPr>
        <w:t>e schvalovaných</w:t>
      </w:r>
      <w:r w:rsidR="007D3900">
        <w:rPr>
          <w:rFonts w:asciiTheme="minorHAnsi" w:hAnsiTheme="minorHAnsi" w:cstheme="minorHAnsi"/>
        </w:rPr>
        <w:t xml:space="preserve"> účetních závěrkách </w:t>
      </w:r>
      <w:r w:rsidRPr="006844ED">
        <w:rPr>
          <w:rFonts w:asciiTheme="minorHAnsi" w:hAnsiTheme="minorHAnsi" w:cstheme="minorHAnsi"/>
        </w:rPr>
        <w:t>(například chybějící účty, které by v </w:t>
      </w:r>
      <w:r w:rsidR="007D3900">
        <w:rPr>
          <w:rFonts w:asciiTheme="minorHAnsi" w:hAnsiTheme="minorHAnsi" w:cstheme="minorHAnsi"/>
        </w:rPr>
        <w:t>účetní závěrce</w:t>
      </w:r>
      <w:r w:rsidRPr="006844ED">
        <w:rPr>
          <w:rFonts w:asciiTheme="minorHAnsi" w:hAnsiTheme="minorHAnsi" w:cstheme="minorHAnsi"/>
        </w:rPr>
        <w:t xml:space="preserve"> </w:t>
      </w:r>
      <w:r w:rsidR="00D9704B" w:rsidRPr="006844ED">
        <w:rPr>
          <w:rFonts w:asciiTheme="minorHAnsi" w:hAnsiTheme="minorHAnsi" w:cstheme="minorHAnsi"/>
        </w:rPr>
        <w:t xml:space="preserve">měly </w:t>
      </w:r>
      <w:r w:rsidRPr="006844ED">
        <w:rPr>
          <w:rFonts w:asciiTheme="minorHAnsi" w:hAnsiTheme="minorHAnsi" w:cstheme="minorHAnsi"/>
        </w:rPr>
        <w:t>být, nebo naopak účty, které nejsou v </w:t>
      </w:r>
      <w:r w:rsidR="007D3900">
        <w:rPr>
          <w:rFonts w:asciiTheme="minorHAnsi" w:hAnsiTheme="minorHAnsi" w:cstheme="minorHAnsi"/>
        </w:rPr>
        <w:t>účetní závěrce</w:t>
      </w:r>
      <w:r w:rsidRPr="006844ED">
        <w:rPr>
          <w:rFonts w:asciiTheme="minorHAnsi" w:hAnsiTheme="minorHAnsi" w:cstheme="minorHAnsi"/>
        </w:rPr>
        <w:t xml:space="preserve"> standardně vykazovány). Hodnoceny jsou i pohledávky po splatnosti (tj. se splatností vyšší než 90 dnů) a</w:t>
      </w:r>
      <w:r w:rsidR="00EB08D2">
        <w:rPr>
          <w:rFonts w:asciiTheme="minorHAnsi" w:hAnsiTheme="minorHAnsi" w:cstheme="minorHAnsi"/>
        </w:rPr>
        <w:t> </w:t>
      </w:r>
      <w:r w:rsidRPr="006844ED">
        <w:rPr>
          <w:rFonts w:asciiTheme="minorHAnsi" w:hAnsiTheme="minorHAnsi" w:cstheme="minorHAnsi"/>
        </w:rPr>
        <w:t xml:space="preserve">nakládání s nimi. </w:t>
      </w:r>
    </w:p>
    <w:p w14:paraId="4F9613A6" w14:textId="7F6905B8" w:rsidR="005A525D" w:rsidRPr="00183D3D" w:rsidRDefault="005A525D" w:rsidP="005A525D">
      <w:pPr>
        <w:jc w:val="both"/>
        <w:rPr>
          <w:rFonts w:asciiTheme="minorHAnsi" w:hAnsiTheme="minorHAnsi" w:cstheme="minorHAnsi"/>
        </w:rPr>
      </w:pPr>
      <w:r w:rsidRPr="00183D3D">
        <w:rPr>
          <w:rFonts w:asciiTheme="minorHAnsi" w:hAnsiTheme="minorHAnsi" w:cstheme="minorHAnsi"/>
        </w:rPr>
        <w:t xml:space="preserve">Pro účely vlastního rozhodování a řízení využívá </w:t>
      </w:r>
      <w:r w:rsidR="007D3900" w:rsidRPr="00183D3D">
        <w:rPr>
          <w:rFonts w:asciiTheme="minorHAnsi" w:hAnsiTheme="minorHAnsi" w:cstheme="minorHAnsi"/>
        </w:rPr>
        <w:t xml:space="preserve">MZe </w:t>
      </w:r>
      <w:r w:rsidRPr="00183D3D">
        <w:rPr>
          <w:rFonts w:asciiTheme="minorHAnsi" w:hAnsiTheme="minorHAnsi" w:cstheme="minorHAnsi"/>
        </w:rPr>
        <w:t>zejména údaje o nákladech a výnosech z</w:t>
      </w:r>
      <w:r w:rsidR="00EB08D2">
        <w:rPr>
          <w:rFonts w:asciiTheme="minorHAnsi" w:hAnsiTheme="minorHAnsi" w:cstheme="minorHAnsi"/>
        </w:rPr>
        <w:t> </w:t>
      </w:r>
      <w:r w:rsidRPr="00183D3D">
        <w:rPr>
          <w:rFonts w:asciiTheme="minorHAnsi" w:hAnsiTheme="minorHAnsi" w:cstheme="minorHAnsi"/>
        </w:rPr>
        <w:t>činnosti, výnosech z transferů, finančním majetku, fondech a výsledku hospodaření, a to při posuzování požadavků podřízených příspěvkových organizací na poskytnutí příspěvku. Výstupy a vstupy odboru účetnictví jsou tedy částečně závislé na ostatních organizačních útvarech MZe.</w:t>
      </w:r>
    </w:p>
    <w:p w14:paraId="4B7CB839" w14:textId="48FDFD83" w:rsidR="005A525D" w:rsidRDefault="005A525D" w:rsidP="005A525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MZe dále uvedlo,</w:t>
      </w:r>
      <w:r w:rsidRPr="00D511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Pr="00183D3D">
        <w:rPr>
          <w:rFonts w:asciiTheme="minorHAnsi" w:hAnsiTheme="minorHAnsi" w:cstheme="minorHAnsi"/>
        </w:rPr>
        <w:t xml:space="preserve">íra využití účetních informací uvnitř </w:t>
      </w:r>
      <w:r>
        <w:rPr>
          <w:rFonts w:asciiTheme="minorHAnsi" w:hAnsiTheme="minorHAnsi" w:cstheme="minorHAnsi"/>
        </w:rPr>
        <w:t>ministerstva</w:t>
      </w:r>
      <w:r w:rsidRPr="00183D3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 </w:t>
      </w:r>
      <w:r w:rsidRPr="00183D3D">
        <w:rPr>
          <w:rFonts w:asciiTheme="minorHAnsi" w:hAnsiTheme="minorHAnsi" w:cstheme="minorHAnsi"/>
        </w:rPr>
        <w:t xml:space="preserve">velmi nízká, </w:t>
      </w:r>
      <w:r>
        <w:rPr>
          <w:rFonts w:asciiTheme="minorHAnsi" w:hAnsiTheme="minorHAnsi" w:cstheme="minorHAnsi"/>
        </w:rPr>
        <w:t>neboť</w:t>
      </w:r>
      <w:r w:rsidRPr="00183D3D">
        <w:rPr>
          <w:rFonts w:asciiTheme="minorHAnsi" w:hAnsiTheme="minorHAnsi" w:cstheme="minorHAnsi"/>
        </w:rPr>
        <w:t xml:space="preserve"> na jednotlivých úsecích řízení </w:t>
      </w:r>
      <w:r>
        <w:rPr>
          <w:rFonts w:asciiTheme="minorHAnsi" w:hAnsiTheme="minorHAnsi" w:cstheme="minorHAnsi"/>
        </w:rPr>
        <w:t xml:space="preserve">MZe je </w:t>
      </w:r>
      <w:r w:rsidRPr="00183D3D">
        <w:rPr>
          <w:rFonts w:asciiTheme="minorHAnsi" w:hAnsiTheme="minorHAnsi" w:cstheme="minorHAnsi"/>
        </w:rPr>
        <w:t xml:space="preserve">preferováno využívání údajů o rozpočtu a jeho čerpání. Dle předaných informací </w:t>
      </w:r>
      <w:r w:rsidR="007D3900" w:rsidRPr="00183D3D">
        <w:rPr>
          <w:rFonts w:asciiTheme="minorHAnsi" w:hAnsiTheme="minorHAnsi" w:cstheme="minorHAnsi"/>
        </w:rPr>
        <w:t xml:space="preserve">nedochází </w:t>
      </w:r>
      <w:r w:rsidRPr="00183D3D">
        <w:rPr>
          <w:rFonts w:asciiTheme="minorHAnsi" w:hAnsiTheme="minorHAnsi" w:cstheme="minorHAnsi"/>
        </w:rPr>
        <w:t xml:space="preserve">na MZe </w:t>
      </w:r>
      <w:r>
        <w:rPr>
          <w:rFonts w:asciiTheme="minorHAnsi" w:hAnsiTheme="minorHAnsi" w:cstheme="minorHAnsi"/>
        </w:rPr>
        <w:t xml:space="preserve">ani </w:t>
      </w:r>
      <w:r w:rsidRPr="00183D3D">
        <w:rPr>
          <w:rFonts w:asciiTheme="minorHAnsi" w:hAnsiTheme="minorHAnsi" w:cstheme="minorHAnsi"/>
        </w:rPr>
        <w:t>k žádným procesům spočívajícím v</w:t>
      </w:r>
      <w:r w:rsidR="00EB08D2">
        <w:rPr>
          <w:rFonts w:asciiTheme="minorHAnsi" w:hAnsiTheme="minorHAnsi" w:cstheme="minorHAnsi"/>
        </w:rPr>
        <w:t> </w:t>
      </w:r>
      <w:r w:rsidRPr="00183D3D">
        <w:rPr>
          <w:rFonts w:asciiTheme="minorHAnsi" w:hAnsiTheme="minorHAnsi" w:cstheme="minorHAnsi"/>
        </w:rPr>
        <w:t xml:space="preserve">propojení účetního a rozpočtového </w:t>
      </w:r>
      <w:r w:rsidR="00DC73FE">
        <w:rPr>
          <w:rFonts w:asciiTheme="minorHAnsi" w:hAnsiTheme="minorHAnsi" w:cstheme="minorHAnsi"/>
        </w:rPr>
        <w:t>principu</w:t>
      </w:r>
      <w:r w:rsidRPr="00183D3D">
        <w:rPr>
          <w:rFonts w:asciiTheme="minorHAnsi" w:hAnsiTheme="minorHAnsi" w:cstheme="minorHAnsi"/>
        </w:rPr>
        <w:t xml:space="preserve">. </w:t>
      </w:r>
    </w:p>
    <w:p w14:paraId="0AB43249" w14:textId="77777777" w:rsidR="005A525D" w:rsidRPr="005F7769" w:rsidRDefault="005A525D" w:rsidP="005A525D">
      <w:pPr>
        <w:spacing w:after="0"/>
        <w:jc w:val="both"/>
        <w:rPr>
          <w:rFonts w:asciiTheme="minorHAnsi" w:hAnsiTheme="minorHAnsi" w:cstheme="minorHAnsi"/>
        </w:rPr>
      </w:pPr>
    </w:p>
    <w:p w14:paraId="3DF9CA40" w14:textId="77777777" w:rsidR="004A2A32" w:rsidRDefault="004A2A32">
      <w:pPr>
        <w:spacing w:after="160" w:line="259" w:lineRule="auto"/>
        <w:rPr>
          <w:rFonts w:asciiTheme="minorHAnsi" w:eastAsia="Calibri" w:hAnsiTheme="minorHAnsi" w:cstheme="minorHAnsi"/>
          <w:b/>
        </w:rPr>
      </w:pPr>
      <w:r>
        <w:br w:type="page"/>
      </w:r>
    </w:p>
    <w:p w14:paraId="32D0C7C7" w14:textId="77777777" w:rsidR="005A525D" w:rsidRPr="006B6604" w:rsidRDefault="005A525D" w:rsidP="00614F4A">
      <w:pPr>
        <w:pStyle w:val="Nadpis2"/>
        <w:numPr>
          <w:ilvl w:val="0"/>
          <w:numId w:val="40"/>
        </w:numPr>
      </w:pPr>
      <w:r>
        <w:lastRenderedPageBreak/>
        <w:t>I</w:t>
      </w:r>
      <w:r w:rsidRPr="006B6604">
        <w:t>nformac</w:t>
      </w:r>
      <w:r>
        <w:t>e</w:t>
      </w:r>
      <w:r w:rsidRPr="006B6604">
        <w:t xml:space="preserve"> vykazovan</w:t>
      </w:r>
      <w:r>
        <w:t>é</w:t>
      </w:r>
      <w:r w:rsidRPr="006B6604">
        <w:t xml:space="preserve"> na podrozvahových účtech MZe</w:t>
      </w:r>
    </w:p>
    <w:p w14:paraId="0E8CDE8F" w14:textId="2DFA45FD" w:rsidR="00D11582" w:rsidRDefault="00D11582" w:rsidP="00D11582">
      <w:pPr>
        <w:jc w:val="both"/>
        <w:rPr>
          <w:rFonts w:cs="Calibri"/>
        </w:rPr>
      </w:pPr>
      <w:r w:rsidRPr="008330BF">
        <w:rPr>
          <w:rFonts w:cs="Calibri"/>
        </w:rPr>
        <w:t>Na podrozvahových účtech se účtuje o sk</w:t>
      </w:r>
      <w:r>
        <w:rPr>
          <w:rFonts w:cs="Calibri"/>
        </w:rPr>
        <w:t>ut</w:t>
      </w:r>
      <w:r w:rsidRPr="008330BF">
        <w:rPr>
          <w:rFonts w:cs="Calibri"/>
        </w:rPr>
        <w:t xml:space="preserve">ečnostech, </w:t>
      </w:r>
      <w:r>
        <w:rPr>
          <w:rFonts w:cs="Calibri"/>
        </w:rPr>
        <w:t>o nichž</w:t>
      </w:r>
      <w:r w:rsidRPr="008330BF">
        <w:rPr>
          <w:rFonts w:cs="Calibri"/>
        </w:rPr>
        <w:t xml:space="preserve"> se neúčtuje na rozvahových účtech</w:t>
      </w:r>
      <w:r>
        <w:rPr>
          <w:rFonts w:cs="Calibri"/>
        </w:rPr>
        <w:t xml:space="preserve">. Jedná se </w:t>
      </w:r>
      <w:r w:rsidRPr="008330BF">
        <w:rPr>
          <w:rFonts w:cs="Calibri"/>
        </w:rPr>
        <w:t>o</w:t>
      </w:r>
      <w:r>
        <w:rPr>
          <w:rFonts w:cs="Calibri"/>
        </w:rPr>
        <w:t xml:space="preserve"> tzv.</w:t>
      </w:r>
      <w:r w:rsidRPr="008330BF">
        <w:rPr>
          <w:rFonts w:cs="Calibri"/>
        </w:rPr>
        <w:t xml:space="preserve"> podmíněn</w:t>
      </w:r>
      <w:r>
        <w:rPr>
          <w:rFonts w:cs="Calibri"/>
        </w:rPr>
        <w:t>é</w:t>
      </w:r>
      <w:r w:rsidRPr="008330BF">
        <w:rPr>
          <w:rFonts w:cs="Calibri"/>
        </w:rPr>
        <w:t xml:space="preserve"> pohledávk</w:t>
      </w:r>
      <w:r>
        <w:rPr>
          <w:rFonts w:cs="Calibri"/>
        </w:rPr>
        <w:t>y</w:t>
      </w:r>
      <w:r w:rsidRPr="008330BF">
        <w:rPr>
          <w:rFonts w:cs="Calibri"/>
        </w:rPr>
        <w:t>, podmíněn</w:t>
      </w:r>
      <w:r>
        <w:rPr>
          <w:rFonts w:cs="Calibri"/>
        </w:rPr>
        <w:t>é</w:t>
      </w:r>
      <w:r w:rsidRPr="008330BF">
        <w:rPr>
          <w:rFonts w:cs="Calibri"/>
        </w:rPr>
        <w:t xml:space="preserve"> závaz</w:t>
      </w:r>
      <w:r>
        <w:rPr>
          <w:rFonts w:cs="Calibri"/>
        </w:rPr>
        <w:t>ky</w:t>
      </w:r>
      <w:r w:rsidRPr="008330BF">
        <w:rPr>
          <w:rFonts w:cs="Calibri"/>
        </w:rPr>
        <w:t xml:space="preserve"> a další podrozvahov</w:t>
      </w:r>
      <w:r>
        <w:rPr>
          <w:rFonts w:cs="Calibri"/>
        </w:rPr>
        <w:t>á</w:t>
      </w:r>
      <w:r w:rsidRPr="008330BF">
        <w:rPr>
          <w:rFonts w:cs="Calibri"/>
        </w:rPr>
        <w:t xml:space="preserve"> aktiv</w:t>
      </w:r>
      <w:r>
        <w:rPr>
          <w:rFonts w:cs="Calibri"/>
        </w:rPr>
        <w:t>a</w:t>
      </w:r>
      <w:r w:rsidRPr="008330BF">
        <w:rPr>
          <w:rFonts w:cs="Calibri"/>
        </w:rPr>
        <w:t xml:space="preserve"> a pasiv</w:t>
      </w:r>
      <w:r>
        <w:rPr>
          <w:rFonts w:cs="Calibri"/>
        </w:rPr>
        <w:t>a, která souvis</w:t>
      </w:r>
      <w:r w:rsidR="006E7E56">
        <w:rPr>
          <w:rFonts w:cs="Calibri"/>
        </w:rPr>
        <w:t>ej</w:t>
      </w:r>
      <w:r>
        <w:rPr>
          <w:rFonts w:cs="Calibri"/>
        </w:rPr>
        <w:t>í</w:t>
      </w:r>
      <w:r w:rsidRPr="00223F0D">
        <w:rPr>
          <w:rFonts w:cs="Calibri"/>
        </w:rPr>
        <w:t xml:space="preserve"> s budoucím přírůstkem nebo úbytkem </w:t>
      </w:r>
      <w:r w:rsidR="006E7E56">
        <w:rPr>
          <w:rFonts w:cs="Calibri"/>
        </w:rPr>
        <w:t>(</w:t>
      </w:r>
      <w:r w:rsidRPr="00223F0D">
        <w:rPr>
          <w:rFonts w:cs="Calibri"/>
        </w:rPr>
        <w:t>majetku nebo jiného aktiva, závazku nebo jiného pasiva</w:t>
      </w:r>
      <w:r w:rsidR="006E7E56">
        <w:rPr>
          <w:rFonts w:cs="Calibri"/>
        </w:rPr>
        <w:t>)</w:t>
      </w:r>
      <w:r w:rsidRPr="00223F0D">
        <w:rPr>
          <w:rFonts w:cs="Calibri"/>
        </w:rPr>
        <w:t>, ke kterému může dojít na základě stanovené podmínky nebo podmínek</w:t>
      </w:r>
      <w:r>
        <w:rPr>
          <w:rFonts w:cs="Calibri"/>
        </w:rPr>
        <w:t xml:space="preserve">. </w:t>
      </w:r>
    </w:p>
    <w:p w14:paraId="4D42CF71" w14:textId="52F37776" w:rsidR="005A525D" w:rsidRPr="007B74DC" w:rsidRDefault="00B50B90" w:rsidP="005A525D">
      <w:pPr>
        <w:pStyle w:val="odrka"/>
        <w:numPr>
          <w:ilvl w:val="0"/>
          <w:numId w:val="0"/>
        </w:numPr>
        <w:spacing w:after="120" w:line="240" w:lineRule="auto"/>
        <w:rPr>
          <w:rFonts w:cstheme="minorHAnsi"/>
          <w:sz w:val="24"/>
          <w:szCs w:val="24"/>
        </w:rPr>
      </w:pPr>
      <w:r w:rsidRPr="00B50B90">
        <w:rPr>
          <w:rFonts w:cstheme="minorHAnsi"/>
          <w:sz w:val="24"/>
          <w:szCs w:val="24"/>
        </w:rPr>
        <w:t xml:space="preserve">Z celkového počtu účetních zápisů, které </w:t>
      </w:r>
      <w:r>
        <w:rPr>
          <w:rFonts w:cstheme="minorHAnsi"/>
          <w:sz w:val="24"/>
          <w:szCs w:val="24"/>
        </w:rPr>
        <w:t>MZe</w:t>
      </w:r>
      <w:r w:rsidRPr="00B50B90">
        <w:rPr>
          <w:rFonts w:cstheme="minorHAnsi"/>
          <w:sz w:val="24"/>
          <w:szCs w:val="24"/>
        </w:rPr>
        <w:t xml:space="preserve"> v roce 2022 zaúčtoval</w:t>
      </w:r>
      <w:r>
        <w:rPr>
          <w:rFonts w:cstheme="minorHAnsi"/>
          <w:sz w:val="24"/>
          <w:szCs w:val="24"/>
        </w:rPr>
        <w:t>o</w:t>
      </w:r>
      <w:r w:rsidR="00CE2211">
        <w:rPr>
          <w:rFonts w:cstheme="minorHAnsi"/>
          <w:sz w:val="24"/>
          <w:szCs w:val="24"/>
        </w:rPr>
        <w:t>,</w:t>
      </w:r>
      <w:r w:rsidRPr="00B50B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</w:t>
      </w:r>
      <w:r w:rsidR="005A525D" w:rsidRPr="007B74DC">
        <w:rPr>
          <w:rFonts w:cstheme="minorHAnsi"/>
          <w:sz w:val="24"/>
          <w:szCs w:val="24"/>
        </w:rPr>
        <w:t xml:space="preserve"> </w:t>
      </w:r>
      <w:r w:rsidR="005A525D" w:rsidRPr="007B74DC">
        <w:rPr>
          <w:rFonts w:cstheme="minorHAnsi"/>
          <w:b/>
          <w:sz w:val="24"/>
          <w:szCs w:val="24"/>
        </w:rPr>
        <w:t>2,16 %</w:t>
      </w:r>
      <w:r w:rsidR="005A525D" w:rsidRPr="007B74DC">
        <w:rPr>
          <w:rFonts w:cstheme="minorHAnsi"/>
          <w:sz w:val="24"/>
          <w:szCs w:val="24"/>
        </w:rPr>
        <w:t xml:space="preserve"> zápisů týkalo podrozvahových účtů.</w:t>
      </w:r>
      <w:r w:rsidR="005A525D" w:rsidRPr="007B74DC">
        <w:rPr>
          <w:rStyle w:val="Znakapoznpodarou"/>
          <w:rFonts w:cstheme="minorHAnsi"/>
          <w:sz w:val="24"/>
          <w:szCs w:val="24"/>
        </w:rPr>
        <w:footnoteReference w:id="26"/>
      </w:r>
      <w:r w:rsidR="005A525D" w:rsidRPr="007B74DC">
        <w:rPr>
          <w:rFonts w:cstheme="minorHAnsi"/>
          <w:sz w:val="24"/>
          <w:szCs w:val="24"/>
        </w:rPr>
        <w:t xml:space="preserve"> </w:t>
      </w:r>
    </w:p>
    <w:p w14:paraId="171D046F" w14:textId="1272EEFA" w:rsidR="005A525D" w:rsidRPr="003D3862" w:rsidRDefault="005A525D" w:rsidP="005A525D">
      <w:pPr>
        <w:pStyle w:val="odrka"/>
        <w:numPr>
          <w:ilvl w:val="0"/>
          <w:numId w:val="0"/>
        </w:numPr>
        <w:spacing w:after="120" w:line="240" w:lineRule="auto"/>
        <w:rPr>
          <w:rFonts w:cstheme="minorHAnsi"/>
          <w:sz w:val="24"/>
          <w:szCs w:val="24"/>
        </w:rPr>
      </w:pPr>
      <w:r w:rsidRPr="003D3862">
        <w:rPr>
          <w:bCs/>
          <w:sz w:val="24"/>
          <w:szCs w:val="24"/>
        </w:rPr>
        <w:t>V ÚZ vykázalo MZe k</w:t>
      </w:r>
      <w:r w:rsidRPr="003D3862">
        <w:rPr>
          <w:rFonts w:cstheme="minorHAnsi"/>
          <w:sz w:val="24"/>
          <w:szCs w:val="24"/>
        </w:rPr>
        <w:t> 31. 12. 2022</w:t>
      </w:r>
      <w:r w:rsidRPr="003D3862">
        <w:rPr>
          <w:bCs/>
          <w:sz w:val="24"/>
          <w:szCs w:val="24"/>
        </w:rPr>
        <w:t xml:space="preserve"> </w:t>
      </w:r>
      <w:r w:rsidRPr="003D3862">
        <w:rPr>
          <w:b/>
          <w:bCs/>
          <w:sz w:val="24"/>
          <w:szCs w:val="24"/>
        </w:rPr>
        <w:t>podmíněná aktiva ve výši</w:t>
      </w:r>
      <w:r w:rsidRPr="003D3862">
        <w:rPr>
          <w:rFonts w:cstheme="minorHAnsi"/>
          <w:b/>
          <w:sz w:val="24"/>
          <w:szCs w:val="24"/>
        </w:rPr>
        <w:t xml:space="preserve"> 9,37 mld. Kč</w:t>
      </w:r>
      <w:r w:rsidRPr="00E60A2A">
        <w:rPr>
          <w:rFonts w:cstheme="minorHAnsi"/>
          <w:b/>
          <w:sz w:val="24"/>
          <w:szCs w:val="24"/>
        </w:rPr>
        <w:t>.</w:t>
      </w:r>
      <w:r w:rsidRPr="003D3862">
        <w:rPr>
          <w:rFonts w:cstheme="minorHAnsi"/>
          <w:sz w:val="24"/>
          <w:szCs w:val="24"/>
        </w:rPr>
        <w:t xml:space="preserve"> Jedná se</w:t>
      </w:r>
      <w:r w:rsidRPr="003D3862">
        <w:rPr>
          <w:bCs/>
          <w:sz w:val="24"/>
          <w:szCs w:val="24"/>
        </w:rPr>
        <w:t xml:space="preserve"> </w:t>
      </w:r>
      <w:r w:rsidRPr="003D3862">
        <w:rPr>
          <w:rFonts w:eastAsiaTheme="minorHAnsi"/>
          <w:bCs/>
          <w:sz w:val="24"/>
          <w:szCs w:val="24"/>
        </w:rPr>
        <w:t xml:space="preserve">zejména </w:t>
      </w:r>
      <w:r w:rsidR="006E7E56">
        <w:rPr>
          <w:rFonts w:eastAsiaTheme="minorHAnsi"/>
          <w:bCs/>
          <w:sz w:val="24"/>
          <w:szCs w:val="24"/>
        </w:rPr>
        <w:br/>
      </w:r>
      <w:r w:rsidRPr="006E7E56">
        <w:rPr>
          <w:rFonts w:eastAsiaTheme="minorHAnsi"/>
          <w:bCs/>
          <w:spacing w:val="-1"/>
          <w:sz w:val="24"/>
          <w:szCs w:val="24"/>
        </w:rPr>
        <w:t>o</w:t>
      </w:r>
      <w:r w:rsidR="006E7E56" w:rsidRPr="006E7E56">
        <w:rPr>
          <w:rFonts w:eastAsiaTheme="minorHAnsi"/>
          <w:bCs/>
          <w:spacing w:val="-1"/>
          <w:sz w:val="24"/>
          <w:szCs w:val="24"/>
        </w:rPr>
        <w:t xml:space="preserve"> </w:t>
      </w:r>
      <w:r w:rsidRPr="006E7E56">
        <w:rPr>
          <w:rFonts w:eastAsiaTheme="minorHAnsi"/>
          <w:bCs/>
          <w:spacing w:val="-1"/>
          <w:sz w:val="24"/>
          <w:szCs w:val="24"/>
        </w:rPr>
        <w:t>krátkodobé a dlouhodobé podmíněné pohledávky z</w:t>
      </w:r>
      <w:r w:rsidR="006E7E56" w:rsidRPr="006E7E56">
        <w:rPr>
          <w:rFonts w:eastAsiaTheme="minorHAnsi"/>
          <w:bCs/>
          <w:spacing w:val="-1"/>
          <w:sz w:val="24"/>
          <w:szCs w:val="24"/>
        </w:rPr>
        <w:t xml:space="preserve"> </w:t>
      </w:r>
      <w:r w:rsidRPr="006E7E56">
        <w:rPr>
          <w:rFonts w:eastAsiaTheme="minorHAnsi"/>
          <w:bCs/>
          <w:spacing w:val="-1"/>
          <w:sz w:val="24"/>
          <w:szCs w:val="24"/>
        </w:rPr>
        <w:t>předfinancování transferů a</w:t>
      </w:r>
      <w:r w:rsidR="006E7E56">
        <w:rPr>
          <w:rFonts w:eastAsiaTheme="minorHAnsi"/>
          <w:bCs/>
          <w:spacing w:val="-1"/>
          <w:sz w:val="24"/>
          <w:szCs w:val="24"/>
        </w:rPr>
        <w:t xml:space="preserve"> </w:t>
      </w:r>
      <w:r w:rsidRPr="006E7E56">
        <w:rPr>
          <w:rFonts w:eastAsiaTheme="minorHAnsi"/>
          <w:bCs/>
          <w:spacing w:val="-1"/>
          <w:sz w:val="24"/>
          <w:szCs w:val="24"/>
        </w:rPr>
        <w:t>dlouhodobé</w:t>
      </w:r>
      <w:r w:rsidRPr="003D3862">
        <w:rPr>
          <w:rFonts w:eastAsiaTheme="minorHAnsi"/>
          <w:bCs/>
          <w:sz w:val="24"/>
          <w:szCs w:val="24"/>
        </w:rPr>
        <w:t xml:space="preserve"> podmíněné pohledávky ze zahraničních transferů. Dále pak o krátkodobé a</w:t>
      </w:r>
      <w:r w:rsidR="006E7E56">
        <w:rPr>
          <w:rFonts w:eastAsiaTheme="minorHAnsi"/>
          <w:bCs/>
          <w:sz w:val="24"/>
          <w:szCs w:val="24"/>
        </w:rPr>
        <w:t xml:space="preserve"> </w:t>
      </w:r>
      <w:r w:rsidRPr="003D3862">
        <w:rPr>
          <w:rFonts w:eastAsiaTheme="minorHAnsi"/>
          <w:bCs/>
          <w:sz w:val="24"/>
          <w:szCs w:val="24"/>
        </w:rPr>
        <w:t xml:space="preserve">dlouhodobé pohledávky ze smluv a jiný drobný dlouhodobý hmotný majetek. </w:t>
      </w:r>
      <w:r w:rsidRPr="003D3862">
        <w:rPr>
          <w:rFonts w:cstheme="minorHAnsi"/>
          <w:sz w:val="24"/>
          <w:szCs w:val="24"/>
        </w:rPr>
        <w:t>Podmíněná aktiva, kter</w:t>
      </w:r>
      <w:r w:rsidR="006E7E56">
        <w:rPr>
          <w:rFonts w:cstheme="minorHAnsi"/>
          <w:sz w:val="24"/>
          <w:szCs w:val="24"/>
        </w:rPr>
        <w:t>á</w:t>
      </w:r>
      <w:r w:rsidRPr="003D3862">
        <w:rPr>
          <w:rFonts w:cstheme="minorHAnsi"/>
          <w:sz w:val="24"/>
          <w:szCs w:val="24"/>
        </w:rPr>
        <w:t xml:space="preserve"> MZe vykázalo k</w:t>
      </w:r>
      <w:r w:rsidR="006E7E56">
        <w:rPr>
          <w:rFonts w:cstheme="minorHAnsi"/>
          <w:sz w:val="24"/>
          <w:szCs w:val="24"/>
        </w:rPr>
        <w:t xml:space="preserve"> </w:t>
      </w:r>
      <w:r w:rsidRPr="003D3862">
        <w:rPr>
          <w:rFonts w:cstheme="minorHAnsi"/>
          <w:sz w:val="24"/>
          <w:szCs w:val="24"/>
        </w:rPr>
        <w:t>31. 12. 2022</w:t>
      </w:r>
      <w:r w:rsidR="008E3E7E">
        <w:rPr>
          <w:rFonts w:cstheme="minorHAnsi"/>
          <w:sz w:val="24"/>
          <w:szCs w:val="24"/>
        </w:rPr>
        <w:t>, byla hodnotově významná (</w:t>
      </w:r>
      <w:r w:rsidRPr="003D3862">
        <w:rPr>
          <w:rFonts w:cstheme="minorHAnsi"/>
          <w:sz w:val="24"/>
          <w:szCs w:val="24"/>
        </w:rPr>
        <w:t>činila přibližně polovinu hodnoty</w:t>
      </w:r>
      <w:r w:rsidR="006E7E56">
        <w:rPr>
          <w:rFonts w:cstheme="minorHAnsi"/>
          <w:sz w:val="24"/>
          <w:szCs w:val="24"/>
        </w:rPr>
        <w:t xml:space="preserve"> </w:t>
      </w:r>
      <w:r w:rsidRPr="003D3862">
        <w:rPr>
          <w:rFonts w:cstheme="minorHAnsi"/>
          <w:sz w:val="24"/>
          <w:szCs w:val="24"/>
        </w:rPr>
        <w:t>celkových aktiv MZe</w:t>
      </w:r>
      <w:r w:rsidR="008E3E7E">
        <w:rPr>
          <w:rFonts w:cstheme="minorHAnsi"/>
          <w:sz w:val="24"/>
          <w:szCs w:val="24"/>
        </w:rPr>
        <w:t xml:space="preserve">, </w:t>
      </w:r>
      <w:r w:rsidR="006E7E56">
        <w:rPr>
          <w:rFonts w:cstheme="minorHAnsi"/>
          <w:sz w:val="24"/>
          <w:szCs w:val="24"/>
        </w:rPr>
        <w:t>konkrétně</w:t>
      </w:r>
      <w:r w:rsidR="0073640D">
        <w:rPr>
          <w:rFonts w:cstheme="minorHAnsi"/>
          <w:sz w:val="24"/>
          <w:szCs w:val="24"/>
        </w:rPr>
        <w:t xml:space="preserve"> </w:t>
      </w:r>
      <w:r w:rsidRPr="003D3862">
        <w:rPr>
          <w:rFonts w:cstheme="minorHAnsi"/>
          <w:sz w:val="24"/>
          <w:szCs w:val="24"/>
        </w:rPr>
        <w:t>46,2 %).</w:t>
      </w:r>
    </w:p>
    <w:p w14:paraId="4F3FDCC2" w14:textId="25019622" w:rsidR="005A525D" w:rsidRPr="003D3862" w:rsidRDefault="005A525D" w:rsidP="005A525D">
      <w:pPr>
        <w:pStyle w:val="odrka"/>
        <w:numPr>
          <w:ilvl w:val="0"/>
          <w:numId w:val="0"/>
        </w:numPr>
        <w:spacing w:after="120" w:line="240" w:lineRule="auto"/>
        <w:rPr>
          <w:rFonts w:eastAsiaTheme="minorHAnsi"/>
          <w:bCs/>
          <w:sz w:val="24"/>
          <w:szCs w:val="24"/>
        </w:rPr>
      </w:pPr>
      <w:r w:rsidRPr="003D3862">
        <w:rPr>
          <w:rFonts w:cstheme="minorHAnsi"/>
          <w:sz w:val="24"/>
          <w:szCs w:val="24"/>
        </w:rPr>
        <w:t>Ke stejnému datu vykázalo MZe v ÚZ</w:t>
      </w:r>
      <w:r w:rsidRPr="003D3862">
        <w:rPr>
          <w:b/>
          <w:bCs/>
          <w:sz w:val="24"/>
          <w:szCs w:val="24"/>
        </w:rPr>
        <w:t xml:space="preserve"> podmíněné závazky ve výši 8,66 mld. Kč</w:t>
      </w:r>
      <w:r w:rsidRPr="00E60A2A">
        <w:rPr>
          <w:rFonts w:cstheme="minorHAnsi"/>
          <w:b/>
          <w:sz w:val="24"/>
          <w:szCs w:val="24"/>
        </w:rPr>
        <w:t>,</w:t>
      </w:r>
      <w:r w:rsidRPr="003D3862">
        <w:rPr>
          <w:rFonts w:cstheme="minorHAnsi"/>
          <w:sz w:val="24"/>
          <w:szCs w:val="24"/>
        </w:rPr>
        <w:t xml:space="preserve"> které vyplývají </w:t>
      </w:r>
      <w:r w:rsidRPr="003D3862">
        <w:rPr>
          <w:rFonts w:eastAsiaTheme="minorHAnsi"/>
          <w:bCs/>
          <w:sz w:val="24"/>
          <w:szCs w:val="24"/>
        </w:rPr>
        <w:t>především z</w:t>
      </w:r>
      <w:r w:rsidR="00AA7DBA">
        <w:rPr>
          <w:rFonts w:eastAsiaTheme="minorHAnsi"/>
          <w:bCs/>
          <w:sz w:val="24"/>
          <w:szCs w:val="24"/>
        </w:rPr>
        <w:t xml:space="preserve"> </w:t>
      </w:r>
      <w:r w:rsidRPr="003D3862">
        <w:rPr>
          <w:rFonts w:eastAsiaTheme="minorHAnsi"/>
          <w:bCs/>
          <w:sz w:val="24"/>
          <w:szCs w:val="24"/>
        </w:rPr>
        <w:t xml:space="preserve">předfinancování transferů a zahraničních transferů </w:t>
      </w:r>
      <w:r w:rsidR="006E7E56">
        <w:rPr>
          <w:rFonts w:eastAsiaTheme="minorHAnsi"/>
          <w:bCs/>
          <w:sz w:val="24"/>
          <w:szCs w:val="24"/>
        </w:rPr>
        <w:t>–</w:t>
      </w:r>
      <w:r w:rsidRPr="003D3862">
        <w:rPr>
          <w:rFonts w:eastAsiaTheme="minorHAnsi"/>
          <w:bCs/>
          <w:sz w:val="24"/>
          <w:szCs w:val="24"/>
        </w:rPr>
        <w:t xml:space="preserve"> tj. </w:t>
      </w:r>
      <w:r w:rsidR="006E7E56">
        <w:rPr>
          <w:rFonts w:eastAsiaTheme="minorHAnsi"/>
          <w:bCs/>
          <w:sz w:val="24"/>
          <w:szCs w:val="24"/>
        </w:rPr>
        <w:t xml:space="preserve">z </w:t>
      </w:r>
      <w:r w:rsidRPr="003D3862">
        <w:rPr>
          <w:rFonts w:eastAsiaTheme="minorHAnsi"/>
          <w:bCs/>
          <w:sz w:val="24"/>
          <w:szCs w:val="24"/>
        </w:rPr>
        <w:t>vydan</w:t>
      </w:r>
      <w:r w:rsidR="006E7E56">
        <w:rPr>
          <w:rFonts w:eastAsiaTheme="minorHAnsi"/>
          <w:bCs/>
          <w:sz w:val="24"/>
          <w:szCs w:val="24"/>
        </w:rPr>
        <w:t>ých</w:t>
      </w:r>
      <w:r w:rsidRPr="003D3862">
        <w:rPr>
          <w:rFonts w:eastAsiaTheme="minorHAnsi"/>
          <w:bCs/>
          <w:sz w:val="24"/>
          <w:szCs w:val="24"/>
        </w:rPr>
        <w:t xml:space="preserve"> rozhodnutí </w:t>
      </w:r>
      <w:r w:rsidR="006E7E56">
        <w:rPr>
          <w:rFonts w:eastAsiaTheme="minorHAnsi"/>
          <w:bCs/>
          <w:sz w:val="24"/>
          <w:szCs w:val="24"/>
        </w:rPr>
        <w:br/>
      </w:r>
      <w:r w:rsidRPr="003D3862">
        <w:rPr>
          <w:rFonts w:eastAsiaTheme="minorHAnsi"/>
          <w:bCs/>
          <w:sz w:val="24"/>
          <w:szCs w:val="24"/>
        </w:rPr>
        <w:t>o</w:t>
      </w:r>
      <w:r w:rsidR="006E7E56">
        <w:rPr>
          <w:rFonts w:eastAsiaTheme="minorHAnsi"/>
          <w:bCs/>
          <w:sz w:val="24"/>
          <w:szCs w:val="24"/>
        </w:rPr>
        <w:t xml:space="preserve"> </w:t>
      </w:r>
      <w:r w:rsidRPr="003D3862">
        <w:rPr>
          <w:rFonts w:eastAsiaTheme="minorHAnsi"/>
          <w:bCs/>
          <w:sz w:val="24"/>
          <w:szCs w:val="24"/>
        </w:rPr>
        <w:t xml:space="preserve">poskytnutí dotace. Dále se jedná o krátkodobé a dlouhodobé podmíněné závazky z uzavřených smluv a dlouhodobé podmíněné závazky ze soudních sporů. </w:t>
      </w:r>
      <w:r w:rsidRPr="003D3862">
        <w:rPr>
          <w:rFonts w:cstheme="minorHAnsi"/>
          <w:sz w:val="24"/>
          <w:szCs w:val="24"/>
        </w:rPr>
        <w:t>Podmíněné závazky, vykázané MZe k rozvahovému dni, byly</w:t>
      </w:r>
      <w:r w:rsidR="008E3E7E" w:rsidRPr="008E3E7E">
        <w:rPr>
          <w:rFonts w:cstheme="minorHAnsi"/>
          <w:sz w:val="24"/>
          <w:szCs w:val="24"/>
        </w:rPr>
        <w:t xml:space="preserve"> </w:t>
      </w:r>
      <w:r w:rsidR="008E3E7E">
        <w:rPr>
          <w:rFonts w:cstheme="minorHAnsi"/>
          <w:sz w:val="24"/>
          <w:szCs w:val="24"/>
        </w:rPr>
        <w:t>hodnotově významné (</w:t>
      </w:r>
      <w:r w:rsidR="006E7E56">
        <w:rPr>
          <w:rFonts w:cstheme="minorHAnsi"/>
          <w:sz w:val="24"/>
          <w:szCs w:val="24"/>
        </w:rPr>
        <w:t>dosáhly</w:t>
      </w:r>
      <w:r w:rsidRPr="003D3862">
        <w:rPr>
          <w:rFonts w:cstheme="minorHAnsi"/>
          <w:sz w:val="24"/>
          <w:szCs w:val="24"/>
        </w:rPr>
        <w:t xml:space="preserve"> výš</w:t>
      </w:r>
      <w:r w:rsidR="006E7E56">
        <w:rPr>
          <w:rFonts w:cstheme="minorHAnsi"/>
          <w:sz w:val="24"/>
          <w:szCs w:val="24"/>
        </w:rPr>
        <w:t>e</w:t>
      </w:r>
      <w:r w:rsidRPr="003D3862">
        <w:rPr>
          <w:rFonts w:cstheme="minorHAnsi"/>
          <w:sz w:val="24"/>
          <w:szCs w:val="24"/>
        </w:rPr>
        <w:t xml:space="preserve"> 146,3 % hodnoty cizích zdrojů v rozvaze</w:t>
      </w:r>
      <w:r w:rsidR="00454629">
        <w:rPr>
          <w:rFonts w:cstheme="minorHAnsi"/>
          <w:sz w:val="24"/>
          <w:szCs w:val="24"/>
        </w:rPr>
        <w:t>)</w:t>
      </w:r>
      <w:r w:rsidR="00A91317">
        <w:rPr>
          <w:rFonts w:cstheme="minorHAnsi"/>
          <w:sz w:val="24"/>
          <w:szCs w:val="24"/>
        </w:rPr>
        <w:t>.</w:t>
      </w:r>
      <w:r w:rsidRPr="003D3862">
        <w:rPr>
          <w:rFonts w:cstheme="minorHAnsi"/>
          <w:sz w:val="24"/>
          <w:szCs w:val="24"/>
        </w:rPr>
        <w:t xml:space="preserve"> </w:t>
      </w:r>
    </w:p>
    <w:p w14:paraId="6004CE6C" w14:textId="242D6B58" w:rsidR="005A525D" w:rsidRPr="007B74DC" w:rsidRDefault="005A525D" w:rsidP="005A525D">
      <w:pPr>
        <w:jc w:val="both"/>
        <w:rPr>
          <w:rFonts w:asciiTheme="minorHAnsi" w:hAnsiTheme="minorHAnsi" w:cstheme="minorHAnsi"/>
        </w:rPr>
      </w:pPr>
      <w:r w:rsidRPr="007B74DC">
        <w:rPr>
          <w:rFonts w:asciiTheme="minorHAnsi" w:hAnsiTheme="minorHAnsi" w:cstheme="minorHAnsi"/>
        </w:rPr>
        <w:t>Podmíněné závazky lze rozdělit do tří kategorií z hlediska pravděpodobnosti jejich vzniku, a</w:t>
      </w:r>
      <w:r w:rsidR="00EB08D2">
        <w:rPr>
          <w:rFonts w:asciiTheme="minorHAnsi" w:hAnsiTheme="minorHAnsi" w:cstheme="minorHAnsi"/>
        </w:rPr>
        <w:t> </w:t>
      </w:r>
      <w:r w:rsidRPr="007B74DC">
        <w:rPr>
          <w:rFonts w:asciiTheme="minorHAnsi" w:hAnsiTheme="minorHAnsi" w:cstheme="minorHAnsi"/>
        </w:rPr>
        <w:t xml:space="preserve">tedy poté jejich zachycení v rozvaze. Rozdělení do těchto kategorií </w:t>
      </w:r>
      <w:r w:rsidR="006E7E56">
        <w:rPr>
          <w:rFonts w:asciiTheme="minorHAnsi" w:hAnsiTheme="minorHAnsi" w:cstheme="minorHAnsi"/>
        </w:rPr>
        <w:t>u</w:t>
      </w:r>
      <w:r w:rsidRPr="007B74DC">
        <w:rPr>
          <w:rFonts w:asciiTheme="minorHAnsi" w:hAnsiTheme="minorHAnsi" w:cstheme="minorHAnsi"/>
        </w:rPr>
        <w:t xml:space="preserve"> MZe uvádí následující tabulka.</w:t>
      </w:r>
    </w:p>
    <w:p w14:paraId="336FFE2B" w14:textId="7D7BDDCA" w:rsidR="005A525D" w:rsidRDefault="005A525D" w:rsidP="00E60A2A">
      <w:pPr>
        <w:pStyle w:val="Titulek"/>
        <w:ind w:left="1304" w:right="-2" w:hanging="1304"/>
        <w:rPr>
          <w:rFonts w:asciiTheme="minorHAnsi" w:hAnsiTheme="minorHAnsi" w:cstheme="minorHAnsi"/>
          <w:szCs w:val="22"/>
        </w:rPr>
      </w:pPr>
      <w:r w:rsidRPr="006844ED">
        <w:rPr>
          <w:rFonts w:asciiTheme="minorHAnsi" w:hAnsiTheme="minorHAnsi" w:cstheme="minorHAnsi"/>
          <w:szCs w:val="22"/>
        </w:rPr>
        <w:t xml:space="preserve">Tabulka </w:t>
      </w:r>
      <w:r w:rsidR="006E7E56">
        <w:rPr>
          <w:rFonts w:asciiTheme="minorHAnsi" w:hAnsiTheme="minorHAnsi" w:cstheme="minorHAnsi"/>
          <w:szCs w:val="22"/>
        </w:rPr>
        <w:t xml:space="preserve">č. </w:t>
      </w:r>
      <w:r w:rsidR="00DD2292">
        <w:rPr>
          <w:rFonts w:asciiTheme="minorHAnsi" w:hAnsiTheme="minorHAnsi" w:cstheme="minorHAnsi"/>
          <w:bCs w:val="0"/>
          <w:iCs/>
          <w:szCs w:val="22"/>
        </w:rPr>
        <w:t>1</w:t>
      </w:r>
      <w:r w:rsidRPr="006844ED">
        <w:rPr>
          <w:rFonts w:asciiTheme="minorHAnsi" w:hAnsiTheme="minorHAnsi" w:cstheme="minorHAnsi"/>
          <w:szCs w:val="22"/>
        </w:rPr>
        <w:t xml:space="preserve">: </w:t>
      </w:r>
      <w:r w:rsidR="007B6608">
        <w:rPr>
          <w:rFonts w:asciiTheme="minorHAnsi" w:hAnsiTheme="minorHAnsi" w:cstheme="minorHAnsi"/>
          <w:szCs w:val="22"/>
        </w:rPr>
        <w:tab/>
      </w:r>
      <w:bookmarkStart w:id="11" w:name="_Hlk137212239"/>
      <w:r w:rsidR="006E7E56">
        <w:rPr>
          <w:rFonts w:asciiTheme="minorHAnsi" w:hAnsiTheme="minorHAnsi" w:cstheme="minorHAnsi"/>
          <w:szCs w:val="22"/>
        </w:rPr>
        <w:t>Přehled</w:t>
      </w:r>
      <w:r w:rsidRPr="006844ED">
        <w:rPr>
          <w:rFonts w:asciiTheme="minorHAnsi" w:hAnsiTheme="minorHAnsi" w:cstheme="minorHAnsi"/>
          <w:szCs w:val="22"/>
        </w:rPr>
        <w:t xml:space="preserve"> podmíněných závazků</w:t>
      </w:r>
      <w:r w:rsidR="006E7E56">
        <w:rPr>
          <w:rFonts w:asciiTheme="minorHAnsi" w:hAnsiTheme="minorHAnsi" w:cstheme="minorHAnsi"/>
          <w:szCs w:val="22"/>
        </w:rPr>
        <w:t xml:space="preserve"> MZe k 31. 12. 2022 (v členění dle jednotlivých kategorií)</w:t>
      </w:r>
      <w:bookmarkEnd w:id="11"/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1531"/>
        <w:gridCol w:w="1587"/>
        <w:gridCol w:w="4876"/>
        <w:gridCol w:w="1066"/>
      </w:tblGrid>
      <w:tr w:rsidR="007B6608" w:rsidRPr="00483ACF" w14:paraId="736FE3C4" w14:textId="77777777" w:rsidTr="007B6608">
        <w:trPr>
          <w:cantSplit/>
          <w:trHeight w:val="987"/>
          <w:tblHeader/>
        </w:trPr>
        <w:tc>
          <w:tcPr>
            <w:tcW w:w="1531" w:type="dxa"/>
            <w:shd w:val="clear" w:color="auto" w:fill="C7E7FD"/>
            <w:vAlign w:val="center"/>
          </w:tcPr>
          <w:p w14:paraId="6A7697E7" w14:textId="77777777" w:rsidR="00306087" w:rsidRPr="00483ACF" w:rsidRDefault="00306087" w:rsidP="005A5B1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Kategorie podmíněných závazků</w:t>
            </w:r>
          </w:p>
        </w:tc>
        <w:tc>
          <w:tcPr>
            <w:tcW w:w="1587" w:type="dxa"/>
            <w:shd w:val="clear" w:color="auto" w:fill="C7E7FD"/>
            <w:vAlign w:val="center"/>
          </w:tcPr>
          <w:p w14:paraId="62AE626A" w14:textId="77777777" w:rsidR="00306087" w:rsidRPr="00483ACF" w:rsidRDefault="00306087" w:rsidP="005A5B1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Výše zůstatku </w:t>
            </w:r>
          </w:p>
          <w:p w14:paraId="5702731E" w14:textId="12A8124C" w:rsidR="00306087" w:rsidRPr="00483ACF" w:rsidRDefault="00306087" w:rsidP="005A5B1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 31.</w:t>
            </w:r>
            <w:r w:rsidR="006E7E5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12.</w:t>
            </w:r>
            <w:r w:rsidR="006E7E5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2022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="006E7E5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mil.</w:t>
            </w: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Kč</w:t>
            </w:r>
            <w:r w:rsidR="006E7E5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5942" w:type="dxa"/>
            <w:gridSpan w:val="2"/>
            <w:shd w:val="clear" w:color="auto" w:fill="C7E7FD"/>
            <w:vAlign w:val="center"/>
          </w:tcPr>
          <w:p w14:paraId="14073459" w14:textId="77777777" w:rsidR="00306087" w:rsidRPr="00483ACF" w:rsidRDefault="00306087" w:rsidP="00053F1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Podrozvahové účty a jejich zůstatky</w:t>
            </w: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</w:t>
            </w: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mil.</w:t>
            </w:r>
            <w:r w:rsidRPr="00483AC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Kč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7B6608" w:rsidRPr="00483ACF" w14:paraId="3ACA1C2E" w14:textId="77777777" w:rsidTr="007B6608">
        <w:trPr>
          <w:cantSplit/>
        </w:trPr>
        <w:tc>
          <w:tcPr>
            <w:tcW w:w="1531" w:type="dxa"/>
            <w:vMerge w:val="restart"/>
            <w:vAlign w:val="center"/>
            <w:hideMark/>
          </w:tcPr>
          <w:p w14:paraId="2681C134" w14:textId="5960B273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V podstatě jisté a</w:t>
            </w:r>
            <w:r w:rsidR="006E7E56">
              <w:rPr>
                <w:rFonts w:cstheme="minorHAnsi"/>
                <w:sz w:val="20"/>
                <w:szCs w:val="20"/>
              </w:rPr>
              <w:t> </w:t>
            </w:r>
            <w:r w:rsidRPr="00483ACF">
              <w:rPr>
                <w:rFonts w:cstheme="minorHAnsi"/>
                <w:sz w:val="20"/>
                <w:szCs w:val="20"/>
              </w:rPr>
              <w:t>očekávané</w:t>
            </w:r>
            <w:r w:rsidR="00A85E3C" w:rsidRPr="00A91317">
              <w:rPr>
                <w:rFonts w:cstheme="minorHAnsi"/>
                <w:sz w:val="24"/>
                <w:szCs w:val="24"/>
                <w:vertAlign w:val="superscript"/>
              </w:rPr>
              <w:t>1</w:t>
            </w:r>
            <w:r w:rsidR="006D1171" w:rsidRPr="00A91317">
              <w:rPr>
                <w:rFonts w:cstheme="minorHAnsi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87" w:type="dxa"/>
            <w:vMerge w:val="restart"/>
            <w:vAlign w:val="center"/>
            <w:hideMark/>
          </w:tcPr>
          <w:p w14:paraId="5ADDAA0D" w14:textId="77777777" w:rsidR="005A525D" w:rsidRPr="00483ACF" w:rsidRDefault="005A525D" w:rsidP="005A5B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AC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483ACF">
              <w:rPr>
                <w:rFonts w:asciiTheme="minorHAnsi" w:hAnsiTheme="minorHAnsi" w:cstheme="minorHAnsi"/>
                <w:b/>
                <w:sz w:val="20"/>
                <w:szCs w:val="20"/>
              </w:rPr>
              <w:t>071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483ACF">
              <w:rPr>
                <w:rFonts w:asciiTheme="minorHAnsi" w:hAnsiTheme="minorHAnsi"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4876" w:type="dxa"/>
          </w:tcPr>
          <w:p w14:paraId="04D19D7A" w14:textId="42015C8C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916</w:t>
            </w:r>
            <w:r w:rsidRPr="00483ACF">
              <w:rPr>
                <w:rFonts w:cstheme="minorHAnsi"/>
                <w:sz w:val="20"/>
                <w:szCs w:val="20"/>
              </w:rPr>
              <w:t xml:space="preserve"> – 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Ostatní krátkodobé podmíněné závazky z</w:t>
            </w:r>
            <w:r w:rsidR="006E7E56">
              <w:rPr>
                <w:rFonts w:cstheme="minorHAnsi"/>
                <w:i/>
                <w:iCs/>
                <w:sz w:val="20"/>
                <w:szCs w:val="20"/>
              </w:rPr>
              <w:t> 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transferů</w:t>
            </w:r>
          </w:p>
        </w:tc>
        <w:tc>
          <w:tcPr>
            <w:tcW w:w="1066" w:type="dxa"/>
          </w:tcPr>
          <w:p w14:paraId="7893023F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895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83ACF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B6608" w:rsidRPr="00483ACF" w14:paraId="77DB8ED8" w14:textId="77777777" w:rsidTr="007B6608">
        <w:trPr>
          <w:cantSplit/>
        </w:trPr>
        <w:tc>
          <w:tcPr>
            <w:tcW w:w="1531" w:type="dxa"/>
            <w:vMerge/>
            <w:vAlign w:val="center"/>
            <w:hideMark/>
          </w:tcPr>
          <w:p w14:paraId="76A7DCC3" w14:textId="77777777" w:rsidR="005A525D" w:rsidRPr="00483ACF" w:rsidRDefault="005A525D" w:rsidP="005A5B1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14:paraId="20CD0CB1" w14:textId="77777777" w:rsidR="005A525D" w:rsidRPr="00483ACF" w:rsidRDefault="005A525D" w:rsidP="005A5B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76" w:type="dxa"/>
          </w:tcPr>
          <w:p w14:paraId="756CB2D9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952</w:t>
            </w:r>
            <w:r w:rsidRPr="00483ACF">
              <w:rPr>
                <w:rFonts w:cstheme="minorHAnsi"/>
                <w:sz w:val="20"/>
                <w:szCs w:val="20"/>
              </w:rPr>
              <w:t xml:space="preserve"> – 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Dlouhodobé podmíněné závazky z předfinancování transferů</w:t>
            </w:r>
          </w:p>
        </w:tc>
        <w:tc>
          <w:tcPr>
            <w:tcW w:w="1066" w:type="dxa"/>
          </w:tcPr>
          <w:p w14:paraId="661612C9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339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83ACF">
              <w:rPr>
                <w:rFonts w:cstheme="minorHAnsi"/>
                <w:sz w:val="20"/>
                <w:szCs w:val="20"/>
              </w:rPr>
              <w:t>05</w:t>
            </w:r>
          </w:p>
        </w:tc>
      </w:tr>
      <w:tr w:rsidR="007B6608" w:rsidRPr="00483ACF" w14:paraId="1BB81C1D" w14:textId="77777777" w:rsidTr="007B6608">
        <w:trPr>
          <w:cantSplit/>
        </w:trPr>
        <w:tc>
          <w:tcPr>
            <w:tcW w:w="1531" w:type="dxa"/>
            <w:vMerge/>
            <w:vAlign w:val="center"/>
            <w:hideMark/>
          </w:tcPr>
          <w:p w14:paraId="3D03EEE7" w14:textId="77777777" w:rsidR="005A525D" w:rsidRPr="00483ACF" w:rsidRDefault="005A525D" w:rsidP="005A5B1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14:paraId="5AF0E643" w14:textId="77777777" w:rsidR="005A525D" w:rsidRPr="00483ACF" w:rsidRDefault="005A525D" w:rsidP="005A5B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76" w:type="dxa"/>
          </w:tcPr>
          <w:p w14:paraId="66BE8A14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954</w:t>
            </w:r>
            <w:r w:rsidRPr="00483ACF">
              <w:rPr>
                <w:rFonts w:cstheme="minorHAnsi"/>
                <w:sz w:val="20"/>
                <w:szCs w:val="20"/>
              </w:rPr>
              <w:t xml:space="preserve"> – 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Dlouhodobé podmíněné závazky ze zahraničních transferů</w:t>
            </w:r>
          </w:p>
        </w:tc>
        <w:tc>
          <w:tcPr>
            <w:tcW w:w="1066" w:type="dxa"/>
          </w:tcPr>
          <w:p w14:paraId="36C41721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18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83ACF">
              <w:rPr>
                <w:rFonts w:cstheme="minorHAnsi"/>
                <w:sz w:val="20"/>
                <w:szCs w:val="20"/>
              </w:rPr>
              <w:t>72</w:t>
            </w:r>
          </w:p>
        </w:tc>
      </w:tr>
      <w:tr w:rsidR="007B6608" w:rsidRPr="00483ACF" w14:paraId="0C0D73C4" w14:textId="77777777" w:rsidTr="007B6608">
        <w:trPr>
          <w:cantSplit/>
        </w:trPr>
        <w:tc>
          <w:tcPr>
            <w:tcW w:w="1531" w:type="dxa"/>
            <w:vMerge/>
            <w:vAlign w:val="center"/>
            <w:hideMark/>
          </w:tcPr>
          <w:p w14:paraId="011B572F" w14:textId="77777777" w:rsidR="005A525D" w:rsidRPr="00483ACF" w:rsidRDefault="005A525D" w:rsidP="005A5B1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14:paraId="10EC66F7" w14:textId="77777777" w:rsidR="005A525D" w:rsidRPr="00483ACF" w:rsidRDefault="005A525D" w:rsidP="005A5B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76" w:type="dxa"/>
          </w:tcPr>
          <w:p w14:paraId="5836D0BF" w14:textId="494851B5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956</w:t>
            </w:r>
            <w:r w:rsidRPr="00483ACF">
              <w:rPr>
                <w:rFonts w:cstheme="minorHAnsi"/>
                <w:sz w:val="20"/>
                <w:szCs w:val="20"/>
              </w:rPr>
              <w:t xml:space="preserve"> – 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Ostatní dlouhodobé podmíněné závazky z</w:t>
            </w:r>
            <w:r w:rsidR="006E7E56">
              <w:rPr>
                <w:rFonts w:cstheme="minorHAnsi"/>
                <w:i/>
                <w:iCs/>
                <w:sz w:val="20"/>
                <w:szCs w:val="20"/>
              </w:rPr>
              <w:t> 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transferů</w:t>
            </w:r>
          </w:p>
        </w:tc>
        <w:tc>
          <w:tcPr>
            <w:tcW w:w="1066" w:type="dxa"/>
          </w:tcPr>
          <w:p w14:paraId="49F30B83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83ACF">
              <w:rPr>
                <w:rFonts w:cstheme="minorHAnsi"/>
                <w:sz w:val="20"/>
                <w:szCs w:val="20"/>
              </w:rPr>
              <w:t>647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83ACF">
              <w:rPr>
                <w:rFonts w:cstheme="minorHAnsi"/>
                <w:sz w:val="20"/>
                <w:szCs w:val="20"/>
              </w:rPr>
              <w:t>87</w:t>
            </w:r>
          </w:p>
        </w:tc>
      </w:tr>
      <w:tr w:rsidR="007B6608" w:rsidRPr="00483ACF" w14:paraId="64F5D22A" w14:textId="77777777" w:rsidTr="007B6608">
        <w:trPr>
          <w:cantSplit/>
        </w:trPr>
        <w:tc>
          <w:tcPr>
            <w:tcW w:w="1531" w:type="dxa"/>
            <w:vMerge/>
            <w:vAlign w:val="center"/>
            <w:hideMark/>
          </w:tcPr>
          <w:p w14:paraId="7B1ECB24" w14:textId="77777777" w:rsidR="005A525D" w:rsidRPr="00483ACF" w:rsidRDefault="005A525D" w:rsidP="005A5B1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14:paraId="676412F8" w14:textId="77777777" w:rsidR="005A525D" w:rsidRPr="00483ACF" w:rsidRDefault="005A525D" w:rsidP="005A5B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76" w:type="dxa"/>
          </w:tcPr>
          <w:p w14:paraId="0538ADB5" w14:textId="7673675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971</w:t>
            </w:r>
            <w:r w:rsidRPr="00483ACF">
              <w:rPr>
                <w:rFonts w:cstheme="minorHAnsi"/>
                <w:sz w:val="20"/>
                <w:szCs w:val="20"/>
              </w:rPr>
              <w:t xml:space="preserve"> – 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Krátkodobé podmíněné závazky ze smluv o</w:t>
            </w:r>
            <w:r w:rsidR="006E7E56">
              <w:rPr>
                <w:rFonts w:cstheme="minorHAnsi"/>
                <w:i/>
                <w:iCs/>
                <w:sz w:val="20"/>
                <w:szCs w:val="20"/>
              </w:rPr>
              <w:t> 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pořízení dlouhodobého majetku</w:t>
            </w:r>
          </w:p>
        </w:tc>
        <w:tc>
          <w:tcPr>
            <w:tcW w:w="1066" w:type="dxa"/>
          </w:tcPr>
          <w:p w14:paraId="6A6CA4A9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83ACF">
              <w:rPr>
                <w:rFonts w:cstheme="minorHAnsi"/>
                <w:sz w:val="20"/>
                <w:szCs w:val="20"/>
              </w:rPr>
              <w:t>90</w:t>
            </w:r>
          </w:p>
        </w:tc>
      </w:tr>
      <w:tr w:rsidR="007B6608" w:rsidRPr="00483ACF" w14:paraId="4BD6FA68" w14:textId="77777777" w:rsidTr="007B6608">
        <w:trPr>
          <w:cantSplit/>
        </w:trPr>
        <w:tc>
          <w:tcPr>
            <w:tcW w:w="1531" w:type="dxa"/>
            <w:vMerge/>
            <w:vAlign w:val="center"/>
            <w:hideMark/>
          </w:tcPr>
          <w:p w14:paraId="458C8F3E" w14:textId="77777777" w:rsidR="005A525D" w:rsidRPr="00483ACF" w:rsidRDefault="005A525D" w:rsidP="005A5B1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14:paraId="3C600C46" w14:textId="77777777" w:rsidR="005A525D" w:rsidRPr="00483ACF" w:rsidRDefault="005A525D" w:rsidP="005A5B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76" w:type="dxa"/>
          </w:tcPr>
          <w:p w14:paraId="4BC3AF99" w14:textId="44506599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972</w:t>
            </w:r>
            <w:r w:rsidRPr="00483ACF">
              <w:rPr>
                <w:rFonts w:cstheme="minorHAnsi"/>
                <w:sz w:val="20"/>
                <w:szCs w:val="20"/>
              </w:rPr>
              <w:t xml:space="preserve"> – 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Dlouhodobé podmíněné závazky ze smluv o</w:t>
            </w:r>
            <w:r w:rsidR="006E7E56">
              <w:rPr>
                <w:rFonts w:cstheme="minorHAnsi"/>
                <w:i/>
                <w:iCs/>
                <w:sz w:val="20"/>
                <w:szCs w:val="20"/>
              </w:rPr>
              <w:t> 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pořízení dlouhodobého majetku</w:t>
            </w:r>
          </w:p>
        </w:tc>
        <w:tc>
          <w:tcPr>
            <w:tcW w:w="1066" w:type="dxa"/>
          </w:tcPr>
          <w:p w14:paraId="2D345614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232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83ACF"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7B6608" w:rsidRPr="00483ACF" w14:paraId="46D2F3B4" w14:textId="77777777" w:rsidTr="007B6608">
        <w:trPr>
          <w:cantSplit/>
        </w:trPr>
        <w:tc>
          <w:tcPr>
            <w:tcW w:w="1531" w:type="dxa"/>
            <w:vMerge/>
            <w:vAlign w:val="center"/>
            <w:hideMark/>
          </w:tcPr>
          <w:p w14:paraId="11514A04" w14:textId="77777777" w:rsidR="005A525D" w:rsidRPr="00483ACF" w:rsidRDefault="005A525D" w:rsidP="005A5B1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14:paraId="769133F2" w14:textId="77777777" w:rsidR="005A525D" w:rsidRPr="00483ACF" w:rsidRDefault="005A525D" w:rsidP="005A5B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76" w:type="dxa"/>
          </w:tcPr>
          <w:p w14:paraId="3B82C978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973</w:t>
            </w:r>
            <w:r w:rsidRPr="00483ACF">
              <w:rPr>
                <w:rFonts w:cstheme="minorHAnsi"/>
                <w:sz w:val="20"/>
                <w:szCs w:val="20"/>
              </w:rPr>
              <w:t xml:space="preserve"> – 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Krátkodobé podmíněné závazky z jiných smluv</w:t>
            </w:r>
          </w:p>
        </w:tc>
        <w:tc>
          <w:tcPr>
            <w:tcW w:w="1066" w:type="dxa"/>
          </w:tcPr>
          <w:p w14:paraId="2377D27E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65</w:t>
            </w:r>
            <w:r>
              <w:rPr>
                <w:rFonts w:cstheme="minorHAnsi"/>
                <w:sz w:val="20"/>
                <w:szCs w:val="20"/>
              </w:rPr>
              <w:t>,90</w:t>
            </w:r>
          </w:p>
        </w:tc>
      </w:tr>
      <w:tr w:rsidR="007B6608" w:rsidRPr="00483ACF" w14:paraId="7D14FCB6" w14:textId="77777777" w:rsidTr="007B6608">
        <w:trPr>
          <w:cantSplit/>
        </w:trPr>
        <w:tc>
          <w:tcPr>
            <w:tcW w:w="1531" w:type="dxa"/>
            <w:vMerge/>
            <w:vAlign w:val="center"/>
            <w:hideMark/>
          </w:tcPr>
          <w:p w14:paraId="25DC289E" w14:textId="77777777" w:rsidR="005A525D" w:rsidRPr="00483ACF" w:rsidRDefault="005A525D" w:rsidP="005A5B1A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14:paraId="0A0F0247" w14:textId="77777777" w:rsidR="005A525D" w:rsidRPr="00483ACF" w:rsidRDefault="005A525D" w:rsidP="005A5B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76" w:type="dxa"/>
          </w:tcPr>
          <w:p w14:paraId="7CD71F34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974</w:t>
            </w:r>
            <w:r w:rsidRPr="00483ACF">
              <w:rPr>
                <w:rFonts w:cstheme="minorHAnsi"/>
                <w:sz w:val="20"/>
                <w:szCs w:val="20"/>
              </w:rPr>
              <w:t xml:space="preserve"> – 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Dlouhodobé podmíněné závazky z jiných smluv</w:t>
            </w:r>
          </w:p>
        </w:tc>
        <w:tc>
          <w:tcPr>
            <w:tcW w:w="1066" w:type="dxa"/>
          </w:tcPr>
          <w:p w14:paraId="63D4FDAF" w14:textId="76528C1F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870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83ACF">
              <w:rPr>
                <w:rFonts w:cstheme="minorHAnsi"/>
                <w:sz w:val="20"/>
                <w:szCs w:val="20"/>
              </w:rPr>
              <w:t>42</w:t>
            </w:r>
          </w:p>
        </w:tc>
      </w:tr>
      <w:tr w:rsidR="007B6608" w:rsidRPr="00483ACF" w14:paraId="3565272B" w14:textId="77777777" w:rsidTr="00811F0F">
        <w:trPr>
          <w:cantSplit/>
          <w:trHeight w:val="364"/>
        </w:trPr>
        <w:tc>
          <w:tcPr>
            <w:tcW w:w="1531" w:type="dxa"/>
            <w:vAlign w:val="center"/>
            <w:hideMark/>
          </w:tcPr>
          <w:p w14:paraId="292FBFAA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lastRenderedPageBreak/>
              <w:t>Podmíněné specifickým rizikem</w:t>
            </w:r>
            <w:r w:rsidR="00A91317" w:rsidRPr="00A91317">
              <w:rPr>
                <w:rFonts w:cstheme="minorHAnsi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587" w:type="dxa"/>
            <w:vAlign w:val="center"/>
            <w:hideMark/>
          </w:tcPr>
          <w:p w14:paraId="27D8A5D1" w14:textId="77777777" w:rsidR="005A525D" w:rsidRPr="00483ACF" w:rsidRDefault="005A525D" w:rsidP="005A5B1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ACF">
              <w:rPr>
                <w:rFonts w:asciiTheme="minorHAnsi" w:hAnsiTheme="minorHAnsi" w:cstheme="minorHAnsi"/>
                <w:b/>
                <w:sz w:val="20"/>
                <w:szCs w:val="20"/>
              </w:rPr>
              <w:t>586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483AC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76" w:type="dxa"/>
          </w:tcPr>
          <w:p w14:paraId="3D5DFA39" w14:textId="77777777" w:rsidR="005A525D" w:rsidRPr="00483ACF" w:rsidRDefault="005A525D" w:rsidP="00811F0F">
            <w:pPr>
              <w:pStyle w:val="odrka"/>
              <w:numPr>
                <w:ilvl w:val="0"/>
                <w:numId w:val="0"/>
              </w:numPr>
              <w:spacing w:before="6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986</w:t>
            </w:r>
            <w:r w:rsidRPr="00483ACF">
              <w:rPr>
                <w:rFonts w:cstheme="minorHAnsi"/>
                <w:sz w:val="20"/>
                <w:szCs w:val="20"/>
              </w:rPr>
              <w:t xml:space="preserve"> – </w:t>
            </w:r>
            <w:r w:rsidRPr="00483ACF">
              <w:rPr>
                <w:rFonts w:cstheme="minorHAnsi"/>
                <w:i/>
                <w:iCs/>
                <w:sz w:val="20"/>
                <w:szCs w:val="20"/>
              </w:rPr>
              <w:t>Dlouhodobé podmíněné závazky ze soudních sporů, správních řízení a jiných řízení</w:t>
            </w:r>
          </w:p>
        </w:tc>
        <w:tc>
          <w:tcPr>
            <w:tcW w:w="1066" w:type="dxa"/>
          </w:tcPr>
          <w:p w14:paraId="5955387E" w14:textId="57D68429" w:rsidR="005A525D" w:rsidRPr="00483ACF" w:rsidRDefault="005A525D" w:rsidP="00811F0F">
            <w:pPr>
              <w:pStyle w:val="odrka"/>
              <w:numPr>
                <w:ilvl w:val="0"/>
                <w:numId w:val="0"/>
              </w:numPr>
              <w:spacing w:before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586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483ACF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7B6608" w:rsidRPr="00483ACF" w14:paraId="4ECCE330" w14:textId="77777777" w:rsidTr="007B6608">
        <w:trPr>
          <w:cantSplit/>
          <w:trHeight w:val="283"/>
        </w:trPr>
        <w:tc>
          <w:tcPr>
            <w:tcW w:w="1531" w:type="dxa"/>
            <w:vAlign w:val="center"/>
            <w:hideMark/>
          </w:tcPr>
          <w:p w14:paraId="0298D19C" w14:textId="58F312F5" w:rsidR="005A525D" w:rsidRPr="00483ACF" w:rsidRDefault="005A525D" w:rsidP="007B6608">
            <w:pPr>
              <w:pStyle w:val="odrka"/>
              <w:numPr>
                <w:ilvl w:val="0"/>
                <w:numId w:val="0"/>
              </w:numPr>
              <w:spacing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6D1171">
              <w:rPr>
                <w:rFonts w:cstheme="minorHAnsi"/>
                <w:sz w:val="20"/>
                <w:szCs w:val="20"/>
              </w:rPr>
              <w:t>Nejisté, neočekávané k</w:t>
            </w:r>
            <w:r w:rsidR="007B6608">
              <w:rPr>
                <w:rFonts w:cstheme="minorHAnsi"/>
                <w:sz w:val="20"/>
                <w:szCs w:val="20"/>
              </w:rPr>
              <w:t> </w:t>
            </w:r>
            <w:r w:rsidRPr="006D1171">
              <w:rPr>
                <w:rFonts w:cstheme="minorHAnsi"/>
                <w:sz w:val="20"/>
                <w:szCs w:val="20"/>
              </w:rPr>
              <w:t>plnění</w:t>
            </w:r>
            <w:r w:rsidR="006D1171" w:rsidRPr="00A91317">
              <w:rPr>
                <w:rFonts w:ascii="Calibri" w:hAnsi="Calibri" w:cstheme="minorHAnsi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587" w:type="dxa"/>
            <w:vAlign w:val="center"/>
            <w:hideMark/>
          </w:tcPr>
          <w:p w14:paraId="3BAE0A97" w14:textId="77777777" w:rsidR="005A525D" w:rsidRPr="00483ACF" w:rsidRDefault="005A525D" w:rsidP="005A5B1A">
            <w:pPr>
              <w:pStyle w:val="odrka"/>
              <w:numPr>
                <w:ilvl w:val="0"/>
                <w:numId w:val="0"/>
              </w:numPr>
              <w:spacing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83ACF"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4876" w:type="dxa"/>
            <w:vAlign w:val="center"/>
          </w:tcPr>
          <w:p w14:paraId="1ED91030" w14:textId="5B56751F" w:rsidR="005A525D" w:rsidRPr="00483ACF" w:rsidRDefault="006E7E56" w:rsidP="006E7E56">
            <w:pPr>
              <w:pStyle w:val="odrka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–</w:t>
            </w:r>
          </w:p>
        </w:tc>
        <w:tc>
          <w:tcPr>
            <w:tcW w:w="1066" w:type="dxa"/>
            <w:vAlign w:val="center"/>
          </w:tcPr>
          <w:p w14:paraId="084EB6F1" w14:textId="1ED81E99" w:rsidR="005A525D" w:rsidRPr="00483ACF" w:rsidRDefault="006E7E56" w:rsidP="00811F0F">
            <w:pPr>
              <w:pStyle w:val="odrka"/>
              <w:numPr>
                <w:ilvl w:val="0"/>
                <w:numId w:val="0"/>
              </w:num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3ACF">
              <w:rPr>
                <w:rFonts w:cstheme="minorHAnsi"/>
                <w:sz w:val="20"/>
                <w:szCs w:val="20"/>
              </w:rPr>
              <w:t>–</w:t>
            </w:r>
          </w:p>
        </w:tc>
      </w:tr>
    </w:tbl>
    <w:p w14:paraId="253485A6" w14:textId="0884A628" w:rsidR="005A525D" w:rsidRPr="007B6608" w:rsidRDefault="005A525D" w:rsidP="00811F0F">
      <w:pPr>
        <w:pStyle w:val="Zdroj"/>
        <w:spacing w:before="60"/>
        <w:rPr>
          <w:rFonts w:asciiTheme="minorHAnsi" w:hAnsiTheme="minorHAnsi"/>
          <w:i w:val="0"/>
        </w:rPr>
      </w:pPr>
      <w:r w:rsidRPr="00E12265">
        <w:rPr>
          <w:rFonts w:asciiTheme="minorHAnsi" w:hAnsiTheme="minorHAnsi"/>
          <w:b/>
          <w:i w:val="0"/>
        </w:rPr>
        <w:t>Zdroj</w:t>
      </w:r>
      <w:r w:rsidRPr="007B6608">
        <w:rPr>
          <w:rFonts w:asciiTheme="minorHAnsi" w:hAnsiTheme="minorHAnsi"/>
          <w:b/>
          <w:i w:val="0"/>
        </w:rPr>
        <w:t>:</w:t>
      </w:r>
      <w:r w:rsidR="007B6608" w:rsidRPr="007B6608">
        <w:rPr>
          <w:rFonts w:asciiTheme="minorHAnsi" w:hAnsiTheme="minorHAnsi"/>
          <w:i w:val="0"/>
        </w:rPr>
        <w:t xml:space="preserve"> </w:t>
      </w:r>
      <w:r w:rsidRPr="007B6608">
        <w:rPr>
          <w:rFonts w:asciiTheme="minorHAnsi" w:hAnsiTheme="minorHAnsi"/>
          <w:i w:val="0"/>
        </w:rPr>
        <w:t>výpočet provedl NKÚ na základě dat získaných kontrolou; členění</w:t>
      </w:r>
      <w:r w:rsidR="00D516D5">
        <w:rPr>
          <w:rFonts w:asciiTheme="minorHAnsi" w:hAnsiTheme="minorHAnsi"/>
          <w:i w:val="0"/>
        </w:rPr>
        <w:t xml:space="preserve"> vypracoval</w:t>
      </w:r>
      <w:r w:rsidR="009D6B4D">
        <w:rPr>
          <w:rFonts w:asciiTheme="minorHAnsi" w:hAnsiTheme="minorHAnsi"/>
          <w:i w:val="0"/>
        </w:rPr>
        <w:t xml:space="preserve"> NKÚ</w:t>
      </w:r>
      <w:r w:rsidRPr="007B6608">
        <w:rPr>
          <w:rFonts w:asciiTheme="minorHAnsi" w:hAnsiTheme="minorHAnsi"/>
          <w:i w:val="0"/>
        </w:rPr>
        <w:t>.</w:t>
      </w:r>
    </w:p>
    <w:p w14:paraId="6AF809A5" w14:textId="77777777" w:rsidR="003E6826" w:rsidRPr="00966A1B" w:rsidRDefault="003E6826" w:rsidP="00EB08D2">
      <w:pPr>
        <w:keepNext/>
        <w:spacing w:after="0"/>
        <w:ind w:left="709" w:hanging="709"/>
        <w:jc w:val="both"/>
        <w:rPr>
          <w:rFonts w:cs="Arial"/>
          <w:b/>
          <w:sz w:val="20"/>
          <w:szCs w:val="20"/>
        </w:rPr>
      </w:pPr>
      <w:r w:rsidRPr="00966A1B">
        <w:rPr>
          <w:rFonts w:cs="Arial"/>
          <w:b/>
          <w:sz w:val="20"/>
          <w:szCs w:val="20"/>
        </w:rPr>
        <w:t>Pozn</w:t>
      </w:r>
      <w:r w:rsidR="00A768C9">
        <w:rPr>
          <w:rFonts w:cs="Arial"/>
          <w:b/>
          <w:sz w:val="20"/>
          <w:szCs w:val="20"/>
        </w:rPr>
        <w:t>.</w:t>
      </w:r>
      <w:r w:rsidRPr="00966A1B">
        <w:rPr>
          <w:rFonts w:cs="Arial"/>
          <w:b/>
          <w:sz w:val="20"/>
          <w:szCs w:val="20"/>
        </w:rPr>
        <w:t>:</w:t>
      </w:r>
    </w:p>
    <w:p w14:paraId="4896DEB3" w14:textId="77777777" w:rsidR="003E6826" w:rsidRPr="00DD2292" w:rsidRDefault="006D1171" w:rsidP="007B6608">
      <w:pPr>
        <w:spacing w:after="0"/>
        <w:ind w:left="284" w:hanging="284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A91317">
        <w:rPr>
          <w:rFonts w:asciiTheme="minorHAnsi" w:eastAsiaTheme="minorHAnsi" w:hAnsiTheme="minorHAnsi" w:cstheme="minorHAnsi"/>
          <w:bCs/>
          <w:vertAlign w:val="superscript"/>
        </w:rPr>
        <w:t>1)</w:t>
      </w:r>
      <w:r w:rsidR="003E6826" w:rsidRPr="00DD2292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923C23" w:rsidRPr="00DD2292">
        <w:rPr>
          <w:rFonts w:asciiTheme="minorHAnsi" w:eastAsiaTheme="minorHAnsi" w:hAnsiTheme="minorHAnsi" w:cs="Calibri"/>
          <w:bCs/>
          <w:sz w:val="20"/>
          <w:szCs w:val="20"/>
        </w:rPr>
        <w:tab/>
      </w:r>
      <w:r w:rsidR="00E470EA" w:rsidRPr="00DD2292">
        <w:rPr>
          <w:rFonts w:asciiTheme="minorHAnsi" w:eastAsiaTheme="minorHAnsi" w:hAnsiTheme="minorHAnsi" w:cs="Calibri"/>
          <w:bCs/>
          <w:sz w:val="20"/>
          <w:szCs w:val="20"/>
        </w:rPr>
        <w:t>Zejména z uzavřených smluv, u kterých je úhrada závazku rozpočtována a je jen otázkou času, kdy k plnění dojde.</w:t>
      </w:r>
    </w:p>
    <w:p w14:paraId="5EEA5842" w14:textId="1787D23F" w:rsidR="003E6826" w:rsidRPr="00DD2292" w:rsidRDefault="006D1171" w:rsidP="007B6608">
      <w:pPr>
        <w:spacing w:after="0"/>
        <w:ind w:left="284" w:hanging="284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A91317">
        <w:rPr>
          <w:rFonts w:asciiTheme="minorHAnsi" w:eastAsiaTheme="minorHAnsi" w:hAnsiTheme="minorHAnsi" w:cstheme="minorHAnsi"/>
          <w:bCs/>
          <w:vertAlign w:val="superscript"/>
        </w:rPr>
        <w:t>2)</w:t>
      </w:r>
      <w:r w:rsidR="00923C23" w:rsidRPr="00DD2292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="00E470EA" w:rsidRPr="00DD2292">
        <w:rPr>
          <w:rFonts w:asciiTheme="minorHAnsi" w:eastAsiaTheme="minorHAnsi" w:hAnsiTheme="minorHAnsi" w:cs="Calibri"/>
          <w:bCs/>
          <w:sz w:val="20"/>
          <w:szCs w:val="20"/>
        </w:rPr>
        <w:t>Mohou nastat, výsledek ale není pod kontrolou účetní jednotky, a proto pro jednotku představují sledované riziko</w:t>
      </w:r>
      <w:r w:rsidR="00C33808">
        <w:rPr>
          <w:rFonts w:asciiTheme="minorHAnsi" w:eastAsiaTheme="minorHAnsi" w:hAnsiTheme="minorHAnsi" w:cs="Calibri"/>
          <w:bCs/>
          <w:sz w:val="20"/>
          <w:szCs w:val="20"/>
        </w:rPr>
        <w:t xml:space="preserve">, </w:t>
      </w:r>
      <w:r w:rsidR="00E470EA" w:rsidRPr="00DD2292">
        <w:rPr>
          <w:rFonts w:asciiTheme="minorHAnsi" w:eastAsiaTheme="minorHAnsi" w:hAnsiTheme="minorHAnsi" w:cs="Calibri"/>
          <w:bCs/>
          <w:sz w:val="20"/>
          <w:szCs w:val="20"/>
        </w:rPr>
        <w:t>např. soudní spory, poskytnuté záruky aj.</w:t>
      </w:r>
    </w:p>
    <w:p w14:paraId="5F48D702" w14:textId="641AA27B" w:rsidR="003E6826" w:rsidRPr="00DD2292" w:rsidRDefault="006D1171" w:rsidP="007B6608">
      <w:pPr>
        <w:spacing w:after="0"/>
        <w:ind w:left="284" w:hanging="284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A91317">
        <w:rPr>
          <w:rFonts w:asciiTheme="minorHAnsi" w:eastAsiaTheme="minorHAnsi" w:hAnsiTheme="minorHAnsi" w:cstheme="minorHAnsi"/>
          <w:bCs/>
          <w:vertAlign w:val="superscript"/>
        </w:rPr>
        <w:t>3)</w:t>
      </w:r>
      <w:r w:rsidR="003E6826" w:rsidRPr="00DD2292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923C23" w:rsidRPr="00DD2292">
        <w:rPr>
          <w:rFonts w:asciiTheme="minorHAnsi" w:eastAsiaTheme="minorHAnsi" w:hAnsiTheme="minorHAnsi" w:cs="Calibri"/>
          <w:bCs/>
          <w:sz w:val="20"/>
          <w:szCs w:val="20"/>
        </w:rPr>
        <w:tab/>
      </w:r>
      <w:r w:rsidR="00E470EA" w:rsidRPr="00DD2292">
        <w:rPr>
          <w:rFonts w:asciiTheme="minorHAnsi" w:hAnsiTheme="minorHAnsi" w:cstheme="minorHAnsi"/>
          <w:sz w:val="20"/>
          <w:szCs w:val="20"/>
        </w:rPr>
        <w:t>Jsou hypotetické, jejich vznik, a tedy ani plnění nejsou předpokládány</w:t>
      </w:r>
      <w:r w:rsidR="00C33808">
        <w:rPr>
          <w:rFonts w:asciiTheme="minorHAnsi" w:hAnsiTheme="minorHAnsi" w:cstheme="minorHAnsi"/>
          <w:sz w:val="20"/>
          <w:szCs w:val="20"/>
        </w:rPr>
        <w:t>,</w:t>
      </w:r>
      <w:r w:rsidR="00E470EA" w:rsidRPr="00DD2292">
        <w:rPr>
          <w:rFonts w:asciiTheme="minorHAnsi" w:hAnsiTheme="minorHAnsi" w:cstheme="minorHAnsi"/>
          <w:sz w:val="20"/>
          <w:szCs w:val="20"/>
        </w:rPr>
        <w:t xml:space="preserve"> např. náhrada </w:t>
      </w:r>
      <w:r w:rsidR="00811F0F">
        <w:rPr>
          <w:rFonts w:asciiTheme="minorHAnsi" w:hAnsiTheme="minorHAnsi" w:cstheme="minorHAnsi"/>
          <w:sz w:val="20"/>
          <w:szCs w:val="20"/>
        </w:rPr>
        <w:t>z</w:t>
      </w:r>
      <w:r w:rsidR="00E470EA" w:rsidRPr="00DD2292">
        <w:rPr>
          <w:rFonts w:asciiTheme="minorHAnsi" w:hAnsiTheme="minorHAnsi" w:cstheme="minorHAnsi"/>
          <w:sz w:val="20"/>
          <w:szCs w:val="20"/>
        </w:rPr>
        <w:t>a případné zničení vypůjčeného majetk</w:t>
      </w:r>
      <w:r w:rsidR="003F4418">
        <w:rPr>
          <w:rFonts w:asciiTheme="minorHAnsi" w:hAnsiTheme="minorHAnsi" w:cstheme="minorHAnsi"/>
          <w:sz w:val="20"/>
          <w:szCs w:val="20"/>
        </w:rPr>
        <w:t>u.</w:t>
      </w:r>
    </w:p>
    <w:p w14:paraId="086D4B4F" w14:textId="77777777" w:rsidR="005A525D" w:rsidRPr="00F7131F" w:rsidRDefault="005A525D" w:rsidP="005A525D">
      <w:pPr>
        <w:spacing w:after="0"/>
        <w:jc w:val="both"/>
        <w:rPr>
          <w:rFonts w:cs="Calibri"/>
          <w:sz w:val="22"/>
          <w:szCs w:val="22"/>
        </w:rPr>
      </w:pPr>
    </w:p>
    <w:p w14:paraId="63EED889" w14:textId="6CD82CC9" w:rsidR="005A525D" w:rsidRPr="009D3908" w:rsidRDefault="005A525D" w:rsidP="008362D2">
      <w:pPr>
        <w:pStyle w:val="odrka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MZe</w:t>
      </w:r>
      <w:r w:rsidRPr="009D3908">
        <w:rPr>
          <w:sz w:val="24"/>
        </w:rPr>
        <w:t xml:space="preserve"> </w:t>
      </w:r>
      <w:r>
        <w:rPr>
          <w:sz w:val="24"/>
        </w:rPr>
        <w:t xml:space="preserve">přistupuje </w:t>
      </w:r>
      <w:r w:rsidRPr="009D3908">
        <w:rPr>
          <w:sz w:val="24"/>
        </w:rPr>
        <w:t>k</w:t>
      </w:r>
      <w:r>
        <w:rPr>
          <w:sz w:val="24"/>
        </w:rPr>
        <w:t>e</w:t>
      </w:r>
      <w:r w:rsidRPr="009D3908">
        <w:rPr>
          <w:sz w:val="24"/>
        </w:rPr>
        <w:t xml:space="preserve"> </w:t>
      </w:r>
      <w:r>
        <w:rPr>
          <w:sz w:val="24"/>
        </w:rPr>
        <w:t>k</w:t>
      </w:r>
      <w:r w:rsidRPr="009D3908">
        <w:rPr>
          <w:sz w:val="24"/>
        </w:rPr>
        <w:t xml:space="preserve">líčovým oblastem </w:t>
      </w:r>
      <w:r>
        <w:rPr>
          <w:sz w:val="24"/>
        </w:rPr>
        <w:t xml:space="preserve">týkajícím </w:t>
      </w:r>
      <w:r w:rsidRPr="009D3908">
        <w:rPr>
          <w:sz w:val="24"/>
        </w:rPr>
        <w:t xml:space="preserve">se </w:t>
      </w:r>
      <w:r>
        <w:rPr>
          <w:sz w:val="24"/>
        </w:rPr>
        <w:t>vykazování</w:t>
      </w:r>
      <w:r w:rsidRPr="009D3908">
        <w:rPr>
          <w:sz w:val="24"/>
        </w:rPr>
        <w:t xml:space="preserve"> na podrozva</w:t>
      </w:r>
      <w:r w:rsidR="00B52155">
        <w:rPr>
          <w:sz w:val="24"/>
        </w:rPr>
        <w:t>hových účtech (dále též „podrozvaha“)</w:t>
      </w:r>
      <w:r>
        <w:rPr>
          <w:sz w:val="24"/>
        </w:rPr>
        <w:t xml:space="preserve"> následovně</w:t>
      </w:r>
      <w:r w:rsidRPr="009D3908">
        <w:rPr>
          <w:sz w:val="24"/>
        </w:rPr>
        <w:t>:</w:t>
      </w:r>
    </w:p>
    <w:p w14:paraId="5CF5DA82" w14:textId="77777777" w:rsidR="005A525D" w:rsidRPr="004846F2" w:rsidRDefault="005A525D" w:rsidP="00CE65FD">
      <w:pPr>
        <w:pStyle w:val="Odstavecseseznamem"/>
        <w:numPr>
          <w:ilvl w:val="0"/>
          <w:numId w:val="14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4846F2">
        <w:rPr>
          <w:rFonts w:asciiTheme="minorHAnsi" w:hAnsiTheme="minorHAnsi" w:cstheme="minorHAnsi"/>
          <w:b/>
        </w:rPr>
        <w:t xml:space="preserve">Významnost </w:t>
      </w:r>
      <w:r w:rsidRPr="004846F2">
        <w:rPr>
          <w:rFonts w:asciiTheme="minorHAnsi" w:hAnsiTheme="minorHAnsi" w:cstheme="minorHAnsi"/>
        </w:rPr>
        <w:t xml:space="preserve">pro vykazování </w:t>
      </w:r>
      <w:r w:rsidRPr="004846F2">
        <w:rPr>
          <w:rFonts w:asciiTheme="minorHAnsi" w:hAnsiTheme="minorHAnsi" w:cstheme="minorHAnsi"/>
          <w:b/>
        </w:rPr>
        <w:t>podmíněných pohledávek/závazků</w:t>
      </w:r>
      <w:r w:rsidRPr="004846F2">
        <w:rPr>
          <w:rFonts w:asciiTheme="minorHAnsi" w:hAnsiTheme="minorHAnsi" w:cstheme="minorHAnsi"/>
        </w:rPr>
        <w:t xml:space="preserve"> stanovilo MZe takto:</w:t>
      </w:r>
    </w:p>
    <w:p w14:paraId="5ECC85CA" w14:textId="3C3B0EA2" w:rsidR="005A525D" w:rsidRPr="006844ED" w:rsidRDefault="005A525D" w:rsidP="00E60A2A">
      <w:pPr>
        <w:pStyle w:val="Odstavecseseznamem"/>
        <w:numPr>
          <w:ilvl w:val="1"/>
          <w:numId w:val="14"/>
        </w:numPr>
        <w:spacing w:after="0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6844ED">
        <w:rPr>
          <w:rFonts w:asciiTheme="minorHAnsi" w:hAnsiTheme="minorHAnsi" w:cstheme="minorHAnsi"/>
        </w:rPr>
        <w:t>o podmíněných pohledávkách</w:t>
      </w:r>
      <w:r>
        <w:rPr>
          <w:rFonts w:asciiTheme="minorHAnsi" w:hAnsiTheme="minorHAnsi" w:cstheme="minorHAnsi"/>
        </w:rPr>
        <w:t>/závazcích</w:t>
      </w:r>
      <w:r w:rsidRPr="006844ED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  <w:b/>
        </w:rPr>
        <w:t>ze smluv</w:t>
      </w:r>
      <w:r w:rsidRPr="006844ED">
        <w:rPr>
          <w:rFonts w:asciiTheme="minorHAnsi" w:hAnsiTheme="minorHAnsi" w:cstheme="minorHAnsi"/>
        </w:rPr>
        <w:t xml:space="preserve"> se účtuje na podrozvaze, pokud předpokládaná výše budoucí pohledávky</w:t>
      </w:r>
      <w:r>
        <w:rPr>
          <w:rFonts w:asciiTheme="minorHAnsi" w:hAnsiTheme="minorHAnsi" w:cstheme="minorHAnsi"/>
        </w:rPr>
        <w:t>/závazku</w:t>
      </w:r>
      <w:r w:rsidRPr="006844ED">
        <w:rPr>
          <w:rFonts w:asciiTheme="minorHAnsi" w:hAnsiTheme="minorHAnsi" w:cstheme="minorHAnsi"/>
        </w:rPr>
        <w:t xml:space="preserve"> z</w:t>
      </w:r>
      <w:r w:rsidR="002E1219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</w:rPr>
        <w:t xml:space="preserve">uzavřené smlouvy je </w:t>
      </w:r>
      <w:r w:rsidRPr="006844ED">
        <w:rPr>
          <w:rFonts w:asciiTheme="minorHAnsi" w:hAnsiTheme="minorHAnsi" w:cstheme="minorHAnsi"/>
          <w:b/>
        </w:rPr>
        <w:t>nejméně 3 </w:t>
      </w:r>
      <w:r>
        <w:rPr>
          <w:rFonts w:asciiTheme="minorHAnsi" w:hAnsiTheme="minorHAnsi" w:cstheme="minorHAnsi"/>
          <w:b/>
        </w:rPr>
        <w:t>mil.</w:t>
      </w:r>
      <w:r w:rsidRPr="006844ED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  <w:b/>
        </w:rPr>
        <w:t>Kč</w:t>
      </w:r>
      <w:r w:rsidRPr="00E60A2A">
        <w:rPr>
          <w:rFonts w:asciiTheme="minorHAnsi" w:hAnsiTheme="minorHAnsi" w:cstheme="minorHAnsi"/>
          <w:b/>
        </w:rPr>
        <w:t>,</w:t>
      </w:r>
      <w:r w:rsidRPr="006844ED">
        <w:rPr>
          <w:rFonts w:asciiTheme="minorHAnsi" w:hAnsiTheme="minorHAnsi" w:cstheme="minorHAnsi"/>
        </w:rPr>
        <w:t xml:space="preserve"> přičemž u smluv na dobu neurčitou se podmíněná pohledávka</w:t>
      </w:r>
      <w:r w:rsidR="00B5215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/</w:t>
      </w:r>
      <w:r w:rsidR="00B52155">
        <w:rPr>
          <w:rFonts w:asciiTheme="minorHAnsi" w:hAnsiTheme="minorHAnsi" w:cstheme="minorHAnsi"/>
        </w:rPr>
        <w:t xml:space="preserve"> podmíněný </w:t>
      </w:r>
      <w:r>
        <w:rPr>
          <w:rFonts w:asciiTheme="minorHAnsi" w:hAnsiTheme="minorHAnsi" w:cstheme="minorHAnsi"/>
        </w:rPr>
        <w:t>závazek</w:t>
      </w:r>
      <w:r w:rsidR="00F916FB">
        <w:rPr>
          <w:rFonts w:asciiTheme="minorHAnsi" w:hAnsiTheme="minorHAnsi" w:cstheme="minorHAnsi"/>
        </w:rPr>
        <w:t xml:space="preserve"> oceňuje </w:t>
      </w:r>
      <w:r w:rsidRPr="006844ED">
        <w:rPr>
          <w:rFonts w:asciiTheme="minorHAnsi" w:hAnsiTheme="minorHAnsi" w:cstheme="minorHAnsi"/>
        </w:rPr>
        <w:t xml:space="preserve">ve výši </w:t>
      </w:r>
      <w:r w:rsidRPr="006844ED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 </w:t>
      </w:r>
      <w:r w:rsidRPr="006844ED">
        <w:rPr>
          <w:rFonts w:asciiTheme="minorHAnsi" w:hAnsiTheme="minorHAnsi" w:cstheme="minorHAnsi"/>
          <w:b/>
        </w:rPr>
        <w:t xml:space="preserve">kalendářních </w:t>
      </w:r>
      <w:r>
        <w:rPr>
          <w:rFonts w:asciiTheme="minorHAnsi" w:hAnsiTheme="minorHAnsi" w:cstheme="minorHAnsi"/>
          <w:b/>
        </w:rPr>
        <w:t>let</w:t>
      </w:r>
      <w:r w:rsidRPr="006844ED">
        <w:rPr>
          <w:rFonts w:asciiTheme="minorHAnsi" w:hAnsiTheme="minorHAnsi" w:cstheme="minorHAnsi"/>
          <w:b/>
        </w:rPr>
        <w:t>,</w:t>
      </w:r>
    </w:p>
    <w:p w14:paraId="67358B0B" w14:textId="716709F6" w:rsidR="005A525D" w:rsidRPr="006844ED" w:rsidRDefault="005A525D" w:rsidP="00E60A2A">
      <w:pPr>
        <w:pStyle w:val="Odstavecseseznamem"/>
        <w:numPr>
          <w:ilvl w:val="1"/>
          <w:numId w:val="14"/>
        </w:numPr>
        <w:spacing w:after="0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6844ED">
        <w:rPr>
          <w:rFonts w:asciiTheme="minorHAnsi" w:hAnsiTheme="minorHAnsi" w:cstheme="minorHAnsi"/>
        </w:rPr>
        <w:t>o podmíněných pohledávkách</w:t>
      </w:r>
      <w:r>
        <w:rPr>
          <w:rFonts w:asciiTheme="minorHAnsi" w:hAnsiTheme="minorHAnsi" w:cstheme="minorHAnsi"/>
        </w:rPr>
        <w:t>/závazcích</w:t>
      </w:r>
      <w:r w:rsidRPr="006844ED">
        <w:rPr>
          <w:rFonts w:asciiTheme="minorHAnsi" w:hAnsiTheme="minorHAnsi" w:cstheme="minorHAnsi"/>
        </w:rPr>
        <w:t xml:space="preserve"> z předfinancování </w:t>
      </w:r>
      <w:r w:rsidRPr="006844ED">
        <w:rPr>
          <w:rFonts w:asciiTheme="minorHAnsi" w:hAnsiTheme="minorHAnsi" w:cstheme="minorHAnsi"/>
          <w:b/>
        </w:rPr>
        <w:t>transferů</w:t>
      </w:r>
      <w:r w:rsidRPr="006844ED">
        <w:rPr>
          <w:rFonts w:asciiTheme="minorHAnsi" w:hAnsiTheme="minorHAnsi" w:cstheme="minorHAnsi"/>
        </w:rPr>
        <w:t xml:space="preserve"> </w:t>
      </w:r>
      <w:r w:rsidR="002E1219">
        <w:rPr>
          <w:rFonts w:asciiTheme="minorHAnsi" w:hAnsiTheme="minorHAnsi" w:cstheme="minorHAnsi"/>
        </w:rPr>
        <w:t xml:space="preserve">a </w:t>
      </w:r>
      <w:r w:rsidRPr="006844ED">
        <w:rPr>
          <w:rFonts w:asciiTheme="minorHAnsi" w:hAnsiTheme="minorHAnsi" w:cstheme="minorHAnsi"/>
        </w:rPr>
        <w:t xml:space="preserve">zahraničních </w:t>
      </w:r>
      <w:r w:rsidR="00FB22DC">
        <w:rPr>
          <w:rFonts w:asciiTheme="minorHAnsi" w:hAnsiTheme="minorHAnsi" w:cstheme="minorHAnsi"/>
        </w:rPr>
        <w:br/>
      </w:r>
      <w:r w:rsidRPr="006844ED">
        <w:rPr>
          <w:rFonts w:asciiTheme="minorHAnsi" w:hAnsiTheme="minorHAnsi" w:cstheme="minorHAnsi"/>
        </w:rPr>
        <w:t>a</w:t>
      </w:r>
      <w:r w:rsidR="00FB22DC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</w:rPr>
        <w:t>tuzemských transferů souvisejících se zahraničními transfery se účtuje na podrozvaze v předpokládané výši (</w:t>
      </w:r>
      <w:r w:rsidRPr="006844ED">
        <w:rPr>
          <w:rFonts w:asciiTheme="minorHAnsi" w:hAnsiTheme="minorHAnsi" w:cstheme="minorHAnsi"/>
          <w:b/>
        </w:rPr>
        <w:t>bez limitu</w:t>
      </w:r>
      <w:r w:rsidRPr="006844ED">
        <w:rPr>
          <w:rFonts w:asciiTheme="minorHAnsi" w:hAnsiTheme="minorHAnsi" w:cstheme="minorHAnsi"/>
        </w:rPr>
        <w:t>)</w:t>
      </w:r>
      <w:r w:rsidR="00B52155">
        <w:rPr>
          <w:rFonts w:asciiTheme="minorHAnsi" w:hAnsiTheme="minorHAnsi" w:cstheme="minorHAnsi"/>
        </w:rPr>
        <w:t>,</w:t>
      </w:r>
    </w:p>
    <w:p w14:paraId="0C241E15" w14:textId="0554F3DD" w:rsidR="005A525D" w:rsidRPr="006844ED" w:rsidRDefault="005A525D" w:rsidP="00E60A2A">
      <w:pPr>
        <w:pStyle w:val="Odstavecseseznamem"/>
        <w:numPr>
          <w:ilvl w:val="1"/>
          <w:numId w:val="14"/>
        </w:numPr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6844ED">
        <w:rPr>
          <w:rFonts w:asciiTheme="minorHAnsi" w:hAnsiTheme="minorHAnsi" w:cstheme="minorHAnsi"/>
        </w:rPr>
        <w:t>o podmíněných pohledávkách</w:t>
      </w:r>
      <w:r>
        <w:rPr>
          <w:rFonts w:asciiTheme="minorHAnsi" w:hAnsiTheme="minorHAnsi" w:cstheme="minorHAnsi"/>
        </w:rPr>
        <w:t xml:space="preserve">/závazcích </w:t>
      </w:r>
      <w:r w:rsidRPr="006844ED">
        <w:rPr>
          <w:rFonts w:asciiTheme="minorHAnsi" w:hAnsiTheme="minorHAnsi" w:cstheme="minorHAnsi"/>
        </w:rPr>
        <w:t>z</w:t>
      </w:r>
      <w:r w:rsidR="002E1219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  <w:b/>
        </w:rPr>
        <w:t>ostatních transferů</w:t>
      </w:r>
      <w:r w:rsidRPr="00E60A2A">
        <w:rPr>
          <w:rFonts w:asciiTheme="minorHAnsi" w:hAnsiTheme="minorHAnsi" w:cstheme="minorHAnsi"/>
          <w:b/>
        </w:rPr>
        <w:t>,</w:t>
      </w:r>
      <w:r w:rsidRPr="006844ED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  <w:b/>
        </w:rPr>
        <w:t>soudních sporů</w:t>
      </w:r>
      <w:r w:rsidRPr="00E60A2A">
        <w:rPr>
          <w:rFonts w:asciiTheme="minorHAnsi" w:hAnsiTheme="minorHAnsi" w:cstheme="minorHAnsi"/>
          <w:b/>
        </w:rPr>
        <w:t>,</w:t>
      </w:r>
      <w:r w:rsidRPr="006844ED">
        <w:rPr>
          <w:rFonts w:asciiTheme="minorHAnsi" w:hAnsiTheme="minorHAnsi" w:cstheme="minorHAnsi"/>
        </w:rPr>
        <w:t xml:space="preserve"> </w:t>
      </w:r>
      <w:r w:rsidRPr="006844ED">
        <w:rPr>
          <w:rFonts w:asciiTheme="minorHAnsi" w:hAnsiTheme="minorHAnsi" w:cstheme="minorHAnsi"/>
          <w:b/>
        </w:rPr>
        <w:t>správních řízení</w:t>
      </w:r>
      <w:r w:rsidRPr="006844ED">
        <w:rPr>
          <w:rFonts w:asciiTheme="minorHAnsi" w:hAnsiTheme="minorHAnsi" w:cstheme="minorHAnsi"/>
        </w:rPr>
        <w:t xml:space="preserve"> a jiných řízení se účtuje na podrozvaze, pokud předpokládaná výše budoucí pohledávky</w:t>
      </w:r>
      <w:r w:rsidR="00B5215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/</w:t>
      </w:r>
      <w:r w:rsidR="00B52155">
        <w:rPr>
          <w:rFonts w:asciiTheme="minorHAnsi" w:hAnsiTheme="minorHAnsi" w:cstheme="minorHAnsi"/>
        </w:rPr>
        <w:t xml:space="preserve"> budoucího </w:t>
      </w:r>
      <w:r>
        <w:rPr>
          <w:rFonts w:asciiTheme="minorHAnsi" w:hAnsiTheme="minorHAnsi" w:cstheme="minorHAnsi"/>
        </w:rPr>
        <w:t>závazku</w:t>
      </w:r>
      <w:r w:rsidRPr="006844ED">
        <w:rPr>
          <w:rFonts w:asciiTheme="minorHAnsi" w:hAnsiTheme="minorHAnsi" w:cstheme="minorHAnsi"/>
        </w:rPr>
        <w:t xml:space="preserve"> dosahuje </w:t>
      </w:r>
      <w:r w:rsidRPr="006844ED">
        <w:rPr>
          <w:rFonts w:asciiTheme="minorHAnsi" w:hAnsiTheme="minorHAnsi" w:cstheme="minorHAnsi"/>
          <w:b/>
        </w:rPr>
        <w:t>nejméně 1 </w:t>
      </w:r>
      <w:r>
        <w:rPr>
          <w:rFonts w:asciiTheme="minorHAnsi" w:hAnsiTheme="minorHAnsi" w:cstheme="minorHAnsi"/>
          <w:b/>
        </w:rPr>
        <w:t>mil.</w:t>
      </w:r>
      <w:r w:rsidRPr="006844ED">
        <w:rPr>
          <w:rFonts w:asciiTheme="minorHAnsi" w:hAnsiTheme="minorHAnsi" w:cstheme="minorHAnsi"/>
          <w:b/>
        </w:rPr>
        <w:t xml:space="preserve"> Kč</w:t>
      </w:r>
      <w:r w:rsidRPr="00E60A2A">
        <w:rPr>
          <w:rFonts w:asciiTheme="minorHAnsi" w:hAnsiTheme="minorHAnsi" w:cstheme="minorHAnsi"/>
          <w:b/>
        </w:rPr>
        <w:t>.</w:t>
      </w:r>
    </w:p>
    <w:p w14:paraId="60A2D37C" w14:textId="7D0C0D0E" w:rsidR="00DD5F36" w:rsidRDefault="005A525D" w:rsidP="00CE65FD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</w:pPr>
      <w:r w:rsidRPr="0009514A">
        <w:rPr>
          <w:rFonts w:asciiTheme="minorHAnsi" w:hAnsiTheme="minorHAnsi" w:cstheme="minorHAnsi"/>
        </w:rPr>
        <w:t>MZe rozděl</w:t>
      </w:r>
      <w:r w:rsidR="00B52155">
        <w:rPr>
          <w:rFonts w:asciiTheme="minorHAnsi" w:hAnsiTheme="minorHAnsi" w:cstheme="minorHAnsi"/>
        </w:rPr>
        <w:t>uje</w:t>
      </w:r>
      <w:r w:rsidRPr="0009514A">
        <w:rPr>
          <w:rFonts w:asciiTheme="minorHAnsi" w:hAnsiTheme="minorHAnsi" w:cstheme="minorHAnsi"/>
        </w:rPr>
        <w:t xml:space="preserve"> podmíněn</w:t>
      </w:r>
      <w:r w:rsidR="00B52155">
        <w:rPr>
          <w:rFonts w:asciiTheme="minorHAnsi" w:hAnsiTheme="minorHAnsi" w:cstheme="minorHAnsi"/>
        </w:rPr>
        <w:t>é</w:t>
      </w:r>
      <w:r w:rsidRPr="0009514A">
        <w:rPr>
          <w:rFonts w:asciiTheme="minorHAnsi" w:hAnsiTheme="minorHAnsi" w:cstheme="minorHAnsi"/>
        </w:rPr>
        <w:t xml:space="preserve"> pohledáv</w:t>
      </w:r>
      <w:r w:rsidR="00B52155">
        <w:rPr>
          <w:rFonts w:asciiTheme="minorHAnsi" w:hAnsiTheme="minorHAnsi" w:cstheme="minorHAnsi"/>
        </w:rPr>
        <w:t>ky</w:t>
      </w:r>
      <w:r w:rsidRPr="0009514A">
        <w:rPr>
          <w:rFonts w:asciiTheme="minorHAnsi" w:hAnsiTheme="minorHAnsi" w:cstheme="minorHAnsi"/>
        </w:rPr>
        <w:t xml:space="preserve"> a závazk</w:t>
      </w:r>
      <w:r w:rsidR="00B52155">
        <w:rPr>
          <w:rFonts w:asciiTheme="minorHAnsi" w:hAnsiTheme="minorHAnsi" w:cstheme="minorHAnsi"/>
        </w:rPr>
        <w:t>y</w:t>
      </w:r>
      <w:r w:rsidRPr="0009514A">
        <w:rPr>
          <w:rFonts w:asciiTheme="minorHAnsi" w:hAnsiTheme="minorHAnsi" w:cstheme="minorHAnsi"/>
        </w:rPr>
        <w:t xml:space="preserve"> </w:t>
      </w:r>
      <w:r w:rsidRPr="0009514A">
        <w:rPr>
          <w:rFonts w:asciiTheme="minorHAnsi" w:hAnsiTheme="minorHAnsi" w:cstheme="minorHAnsi"/>
          <w:b/>
        </w:rPr>
        <w:t>na krátkodobé a</w:t>
      </w:r>
      <w:r w:rsidR="00B52155">
        <w:rPr>
          <w:rFonts w:asciiTheme="minorHAnsi" w:hAnsiTheme="minorHAnsi" w:cstheme="minorHAnsi"/>
          <w:b/>
        </w:rPr>
        <w:t xml:space="preserve"> </w:t>
      </w:r>
      <w:r w:rsidRPr="0009514A">
        <w:rPr>
          <w:rFonts w:asciiTheme="minorHAnsi" w:hAnsiTheme="minorHAnsi" w:cstheme="minorHAnsi"/>
          <w:b/>
        </w:rPr>
        <w:t>dlouhodobé</w:t>
      </w:r>
      <w:r w:rsidRPr="0009514A">
        <w:rPr>
          <w:rFonts w:asciiTheme="minorHAnsi" w:hAnsiTheme="minorHAnsi" w:cstheme="minorHAnsi"/>
        </w:rPr>
        <w:t xml:space="preserve"> v souladu s požadavky </w:t>
      </w:r>
      <w:r w:rsidR="003D47AA">
        <w:rPr>
          <w:rFonts w:asciiTheme="minorHAnsi" w:hAnsiTheme="minorHAnsi" w:cstheme="minorHAnsi"/>
        </w:rPr>
        <w:t xml:space="preserve">ustanovení </w:t>
      </w:r>
      <w:r w:rsidRPr="0009514A">
        <w:rPr>
          <w:rFonts w:asciiTheme="minorHAnsi" w:hAnsiTheme="minorHAnsi" w:cstheme="minorHAnsi"/>
        </w:rPr>
        <w:t>§ 48 odst. 6 vyhlášky č. 410/2009 Sb.</w:t>
      </w:r>
      <w:r w:rsidR="00B71FB0">
        <w:rPr>
          <w:rStyle w:val="Znakapoznpodarou"/>
          <w:rFonts w:asciiTheme="minorHAnsi" w:hAnsiTheme="minorHAnsi" w:cstheme="minorHAnsi"/>
        </w:rPr>
        <w:footnoteReference w:id="27"/>
      </w:r>
      <w:r w:rsidRPr="0009514A">
        <w:rPr>
          <w:rFonts w:asciiTheme="minorHAnsi" w:hAnsiTheme="minorHAnsi" w:cstheme="minorHAnsi"/>
        </w:rPr>
        <w:t xml:space="preserve"> </w:t>
      </w:r>
      <w:r w:rsidR="00DD5F36">
        <w:t xml:space="preserve">V případě vzniku podmíněného závazku vyplývajícího ze smlouvy uzavřené na dobu delší než jeden rok účtuje </w:t>
      </w:r>
      <w:r w:rsidR="00B52155">
        <w:t xml:space="preserve">MZe </w:t>
      </w:r>
      <w:r w:rsidR="00DD5F36">
        <w:t>o předpokládaném plnění do jednoho roku jako o krátkodobém podmíněném závazku, o zbývající části předpokládaného plnění účtuje jako o</w:t>
      </w:r>
      <w:r w:rsidR="00B52155">
        <w:t xml:space="preserve"> </w:t>
      </w:r>
      <w:r w:rsidR="00DD5F36">
        <w:t>dlouhodobém podmíněném závazku</w:t>
      </w:r>
      <w:r w:rsidR="00FF05BD">
        <w:t xml:space="preserve">. </w:t>
      </w:r>
      <w:r w:rsidR="00C96719">
        <w:t>MZe</w:t>
      </w:r>
      <w:r w:rsidR="00DB64AA">
        <w:t xml:space="preserve"> </w:t>
      </w:r>
      <w:r w:rsidR="00511D8D">
        <w:t xml:space="preserve">v souladu s právními předpisy </w:t>
      </w:r>
      <w:r w:rsidR="001D1763">
        <w:t xml:space="preserve">nepřetřiďuje </w:t>
      </w:r>
      <w:r w:rsidR="00DB64AA">
        <w:t>k rozvahov</w:t>
      </w:r>
      <w:r w:rsidR="00920AF3">
        <w:t>ému</w:t>
      </w:r>
      <w:r w:rsidR="00DB64AA">
        <w:t xml:space="preserve"> dni</w:t>
      </w:r>
      <w:r w:rsidR="00DD5F36">
        <w:t xml:space="preserve"> </w:t>
      </w:r>
      <w:r w:rsidR="00DB64AA">
        <w:t>dlouhodob</w:t>
      </w:r>
      <w:r w:rsidR="00451F89">
        <w:t>ý</w:t>
      </w:r>
      <w:r w:rsidR="00DB64AA">
        <w:t xml:space="preserve"> </w:t>
      </w:r>
      <w:r w:rsidR="00DB64AA" w:rsidRPr="00DB64AA">
        <w:t>podmíněn</w:t>
      </w:r>
      <w:r w:rsidR="00451F89">
        <w:t>ý</w:t>
      </w:r>
      <w:r w:rsidR="00DB64AA" w:rsidRPr="00DB64AA">
        <w:t xml:space="preserve"> závaz</w:t>
      </w:r>
      <w:r w:rsidR="00451F89">
        <w:t>e</w:t>
      </w:r>
      <w:r w:rsidR="00DB64AA" w:rsidRPr="00DB64AA">
        <w:t>k na krátkodobý</w:t>
      </w:r>
      <w:r w:rsidR="00DD5F36">
        <w:t>.</w:t>
      </w:r>
      <w:r w:rsidR="00DD5F36" w:rsidRPr="00DB64AA">
        <w:rPr>
          <w:sz w:val="22"/>
          <w:szCs w:val="22"/>
          <w:lang w:eastAsia="cs-CZ"/>
        </w:rPr>
        <w:t xml:space="preserve"> </w:t>
      </w:r>
    </w:p>
    <w:p w14:paraId="61981D4D" w14:textId="525DD403" w:rsidR="005A525D" w:rsidRDefault="005A525D" w:rsidP="00E60A2A">
      <w:pPr>
        <w:pStyle w:val="Odstavecseseznamem"/>
        <w:numPr>
          <w:ilvl w:val="0"/>
          <w:numId w:val="14"/>
        </w:numPr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4846F2">
        <w:rPr>
          <w:rFonts w:asciiTheme="minorHAnsi" w:hAnsiTheme="minorHAnsi" w:cstheme="minorHAnsi"/>
        </w:rPr>
        <w:t xml:space="preserve">Podmíněné pohledávky a závazky </w:t>
      </w:r>
      <w:r w:rsidRPr="004846F2">
        <w:rPr>
          <w:rFonts w:asciiTheme="minorHAnsi" w:hAnsiTheme="minorHAnsi" w:cstheme="minorHAnsi"/>
          <w:b/>
        </w:rPr>
        <w:t xml:space="preserve">oceňuje </w:t>
      </w:r>
      <w:r w:rsidR="002E1219" w:rsidRPr="004846F2">
        <w:rPr>
          <w:rFonts w:asciiTheme="minorHAnsi" w:hAnsiTheme="minorHAnsi" w:cstheme="minorHAnsi"/>
        </w:rPr>
        <w:t xml:space="preserve">MZe </w:t>
      </w:r>
      <w:r w:rsidRPr="004846F2">
        <w:rPr>
          <w:rFonts w:asciiTheme="minorHAnsi" w:hAnsiTheme="minorHAnsi" w:cstheme="minorHAnsi"/>
          <w:b/>
        </w:rPr>
        <w:t>v předpokládané výši pohledávek</w:t>
      </w:r>
      <w:r w:rsidRPr="00E60A2A">
        <w:rPr>
          <w:rFonts w:asciiTheme="minorHAnsi" w:hAnsiTheme="minorHAnsi" w:cstheme="minorHAnsi"/>
          <w:b/>
        </w:rPr>
        <w:t>,</w:t>
      </w:r>
      <w:r w:rsidRPr="004846F2">
        <w:rPr>
          <w:rFonts w:asciiTheme="minorHAnsi" w:hAnsiTheme="minorHAnsi" w:cstheme="minorHAnsi"/>
        </w:rPr>
        <w:t xml:space="preserve"> resp. </w:t>
      </w:r>
      <w:r w:rsidRPr="004846F2">
        <w:rPr>
          <w:rFonts w:asciiTheme="minorHAnsi" w:hAnsiTheme="minorHAnsi" w:cstheme="minorHAnsi"/>
          <w:b/>
        </w:rPr>
        <w:t>závazků</w:t>
      </w:r>
      <w:r w:rsidRPr="00E60A2A">
        <w:rPr>
          <w:rFonts w:asciiTheme="minorHAnsi" w:hAnsiTheme="minorHAnsi" w:cstheme="minorHAnsi"/>
          <w:b/>
        </w:rPr>
        <w:t>,</w:t>
      </w:r>
      <w:r w:rsidRPr="004846F2">
        <w:rPr>
          <w:rFonts w:asciiTheme="minorHAnsi" w:hAnsiTheme="minorHAnsi" w:cstheme="minorHAnsi"/>
        </w:rPr>
        <w:t xml:space="preserve"> </w:t>
      </w:r>
      <w:r w:rsidRPr="004846F2">
        <w:rPr>
          <w:rFonts w:asciiTheme="minorHAnsi" w:hAnsiTheme="minorHAnsi" w:cstheme="minorHAnsi"/>
          <w:b/>
        </w:rPr>
        <w:t>které za stanovených podmínek mohou vzniknout</w:t>
      </w:r>
      <w:r w:rsidRPr="00E60A2A">
        <w:rPr>
          <w:rFonts w:asciiTheme="minorHAnsi" w:hAnsiTheme="minorHAnsi" w:cstheme="minorHAnsi"/>
          <w:b/>
        </w:rPr>
        <w:t>.</w:t>
      </w:r>
      <w:r w:rsidRPr="004846F2">
        <w:rPr>
          <w:rFonts w:asciiTheme="minorHAnsi" w:hAnsiTheme="minorHAnsi" w:cstheme="minorHAnsi"/>
        </w:rPr>
        <w:t xml:space="preserve"> </w:t>
      </w:r>
    </w:p>
    <w:p w14:paraId="1CD16C38" w14:textId="77777777" w:rsidR="00C4114E" w:rsidRDefault="005A525D" w:rsidP="00E60A2A">
      <w:pPr>
        <w:pStyle w:val="Odstavecseseznamem"/>
        <w:numPr>
          <w:ilvl w:val="0"/>
          <w:numId w:val="14"/>
        </w:numPr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C4114E">
        <w:rPr>
          <w:rFonts w:asciiTheme="minorHAnsi" w:hAnsiTheme="minorHAnsi" w:cstheme="minorHAnsi"/>
          <w:b/>
        </w:rPr>
        <w:t>Zaúčtování na podrozvahovém účtu</w:t>
      </w:r>
      <w:r w:rsidRPr="00C4114E">
        <w:rPr>
          <w:rFonts w:asciiTheme="minorHAnsi" w:hAnsiTheme="minorHAnsi" w:cstheme="minorHAnsi"/>
        </w:rPr>
        <w:t xml:space="preserve"> provádí MZe k okamžiku, kdy nastanou důvody pro zaúčtování na podrozvahový účet, </w:t>
      </w:r>
      <w:r w:rsidRPr="00C4114E">
        <w:rPr>
          <w:rFonts w:asciiTheme="minorHAnsi" w:hAnsiTheme="minorHAnsi" w:cstheme="minorHAnsi"/>
          <w:b/>
        </w:rPr>
        <w:t>nejpozději však k rozvahovému dni</w:t>
      </w:r>
      <w:r w:rsidRPr="00E60A2A">
        <w:rPr>
          <w:rFonts w:asciiTheme="minorHAnsi" w:hAnsiTheme="minorHAnsi" w:cstheme="minorHAnsi"/>
          <w:b/>
        </w:rPr>
        <w:t>.</w:t>
      </w:r>
    </w:p>
    <w:p w14:paraId="26FE4648" w14:textId="054E8E35" w:rsidR="000206ED" w:rsidRPr="00C4114E" w:rsidRDefault="005A525D" w:rsidP="00E60A2A">
      <w:pPr>
        <w:pStyle w:val="Odstavecseseznamem"/>
        <w:numPr>
          <w:ilvl w:val="0"/>
          <w:numId w:val="14"/>
        </w:numPr>
        <w:spacing w:after="0"/>
        <w:ind w:left="426" w:hanging="426"/>
        <w:contextualSpacing w:val="0"/>
        <w:jc w:val="both"/>
        <w:rPr>
          <w:rFonts w:cstheme="minorHAnsi"/>
          <w:b/>
          <w:bCs/>
        </w:rPr>
      </w:pPr>
      <w:r w:rsidRPr="00C4114E">
        <w:rPr>
          <w:rFonts w:asciiTheme="minorHAnsi" w:hAnsiTheme="minorHAnsi" w:cstheme="minorHAnsi"/>
        </w:rPr>
        <w:t xml:space="preserve">V příloze </w:t>
      </w:r>
      <w:r w:rsidR="002E1219">
        <w:rPr>
          <w:rFonts w:asciiTheme="minorHAnsi" w:hAnsiTheme="minorHAnsi" w:cstheme="minorHAnsi"/>
        </w:rPr>
        <w:t>účetní závěrky</w:t>
      </w:r>
      <w:r w:rsidRPr="00C4114E">
        <w:rPr>
          <w:rFonts w:asciiTheme="minorHAnsi" w:hAnsiTheme="minorHAnsi" w:cstheme="minorHAnsi"/>
        </w:rPr>
        <w:t xml:space="preserve"> uvádí MZe </w:t>
      </w:r>
      <w:r w:rsidRPr="00C4114E">
        <w:rPr>
          <w:rFonts w:asciiTheme="minorHAnsi" w:hAnsiTheme="minorHAnsi" w:cstheme="minorHAnsi"/>
          <w:b/>
        </w:rPr>
        <w:t>pouze informace týkající se soudních sporů</w:t>
      </w:r>
      <w:r w:rsidRPr="00E60A2A">
        <w:rPr>
          <w:rFonts w:asciiTheme="minorHAnsi" w:hAnsiTheme="minorHAnsi" w:cstheme="minorHAnsi"/>
          <w:b/>
        </w:rPr>
        <w:t>.</w:t>
      </w:r>
    </w:p>
    <w:sectPr w:rsidR="000206ED" w:rsidRPr="00C4114E" w:rsidSect="0009514A">
      <w:headerReference w:type="default" r:id="rId37"/>
      <w:headerReference w:type="first" r:id="rId3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6A65" w14:textId="77777777" w:rsidR="00814DEE" w:rsidRDefault="00814DEE">
      <w:pPr>
        <w:spacing w:after="0"/>
      </w:pPr>
      <w:r>
        <w:separator/>
      </w:r>
    </w:p>
  </w:endnote>
  <w:endnote w:type="continuationSeparator" w:id="0">
    <w:p w14:paraId="6D29B1C3" w14:textId="77777777" w:rsidR="00814DEE" w:rsidRDefault="00814DEE">
      <w:pPr>
        <w:spacing w:after="0"/>
      </w:pPr>
      <w:r>
        <w:continuationSeparator/>
      </w:r>
    </w:p>
  </w:endnote>
  <w:endnote w:type="continuationNotice" w:id="1">
    <w:p w14:paraId="49894E39" w14:textId="77777777" w:rsidR="00814DEE" w:rsidRDefault="00814D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242651"/>
      <w:docPartObj>
        <w:docPartGallery w:val="Page Numbers (Bottom of Page)"/>
        <w:docPartUnique/>
      </w:docPartObj>
    </w:sdtPr>
    <w:sdtEndPr/>
    <w:sdtContent>
      <w:p w14:paraId="14A93FB9" w14:textId="77777777" w:rsidR="00814DEE" w:rsidRDefault="00814D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BFE58E6" w14:textId="77777777" w:rsidR="00814DEE" w:rsidRDefault="00814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CB2C" w14:textId="77777777" w:rsidR="00814DEE" w:rsidRDefault="00814DEE" w:rsidP="002B7978">
      <w:pPr>
        <w:spacing w:after="0"/>
      </w:pPr>
      <w:r>
        <w:separator/>
      </w:r>
    </w:p>
  </w:footnote>
  <w:footnote w:type="continuationSeparator" w:id="0">
    <w:p w14:paraId="419DE571" w14:textId="77777777" w:rsidR="00814DEE" w:rsidRDefault="00814DEE" w:rsidP="002B7978">
      <w:pPr>
        <w:spacing w:after="0"/>
      </w:pPr>
      <w:r>
        <w:continuationSeparator/>
      </w:r>
    </w:p>
  </w:footnote>
  <w:footnote w:type="continuationNotice" w:id="1">
    <w:p w14:paraId="51B1FD66" w14:textId="77777777" w:rsidR="00814DEE" w:rsidRDefault="00814DEE">
      <w:pPr>
        <w:spacing w:after="0"/>
      </w:pPr>
    </w:p>
  </w:footnote>
  <w:footnote w:id="2">
    <w:p w14:paraId="31530B18" w14:textId="77777777" w:rsidR="00814DEE" w:rsidRDefault="00814DEE" w:rsidP="00B41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87A71">
        <w:t>Vybranými účetními jednotkami jsou podle ustanovení § 1 odst. 3 zákona č. 563/1991 Sb.</w:t>
      </w:r>
      <w:r>
        <w:t xml:space="preserve">, o účetnictví, </w:t>
      </w:r>
      <w:r w:rsidRPr="00B87A71">
        <w:t>organizační složky státu, státní fondy podle rozpočtových pravidel, územní samosprávné celky, dobrovolné svazky obcí, příspěvkové organizace a zdravotní pojišťovny</w:t>
      </w:r>
      <w:r>
        <w:t>.</w:t>
      </w:r>
    </w:p>
  </w:footnote>
  <w:footnote w:id="3">
    <w:p w14:paraId="5E3D2FF7" w14:textId="1D97582C" w:rsidR="00814DEE" w:rsidRDefault="00814DEE" w:rsidP="00B410AD">
      <w:pPr>
        <w:pStyle w:val="Textpoznpodarou"/>
      </w:pPr>
      <w:r w:rsidRPr="00231B4D">
        <w:rPr>
          <w:rStyle w:val="Znakapoznpodarou"/>
        </w:rPr>
        <w:footnoteRef/>
      </w:r>
      <w:r>
        <w:t xml:space="preserve"> </w:t>
      </w:r>
      <w:r>
        <w:tab/>
      </w:r>
      <w:r w:rsidRPr="00752157">
        <w:rPr>
          <w:iCs/>
        </w:rPr>
        <w:t>Portál</w:t>
      </w:r>
      <w:r w:rsidRPr="00752157">
        <w:rPr>
          <w:i/>
          <w:iCs/>
        </w:rPr>
        <w:t xml:space="preserve"> </w:t>
      </w:r>
      <w:r w:rsidRPr="00752157">
        <w:rPr>
          <w:iCs/>
        </w:rPr>
        <w:t>MONITOR</w:t>
      </w:r>
      <w:r w:rsidRPr="00752157">
        <w:t xml:space="preserve"> [online]. Výkaz pro hodnocení plnění rozpočtu [cit. 2</w:t>
      </w:r>
      <w:r>
        <w:t>5</w:t>
      </w:r>
      <w:r w:rsidRPr="00752157">
        <w:t>.</w:t>
      </w:r>
      <w:r>
        <w:t> </w:t>
      </w:r>
      <w:r w:rsidRPr="00752157">
        <w:t>5.</w:t>
      </w:r>
      <w:r>
        <w:t> </w:t>
      </w:r>
      <w:r w:rsidRPr="00752157">
        <w:t>2023].</w:t>
      </w:r>
      <w:r>
        <w:rPr>
          <w:rStyle w:val="Znakapoznpodarou"/>
        </w:rPr>
        <w:t xml:space="preserve"> </w:t>
      </w:r>
      <w:r w:rsidRPr="005705EE">
        <w:t xml:space="preserve">Dostupné </w:t>
      </w:r>
      <w:r>
        <w:t>na adrese</w:t>
      </w:r>
      <w:r w:rsidRPr="005705EE">
        <w:t>:</w:t>
      </w:r>
      <w:r>
        <w:t xml:space="preserve"> </w:t>
      </w:r>
      <w:hyperlink r:id="rId1" w:history="1">
        <w:r>
          <w:rPr>
            <w:rStyle w:val="Hypertextovodkaz"/>
          </w:rPr>
          <w:t>https://monitor.statnipokladna.cz/ucetni-jednotka/00020478/rozpocet/souhrnny</w:t>
        </w:r>
      </w:hyperlink>
      <w:r w:rsidRPr="00B410AD">
        <w:rPr>
          <w:rStyle w:val="Hypertextovodkaz"/>
          <w:color w:val="auto"/>
          <w:u w:val="none"/>
        </w:rPr>
        <w:t xml:space="preserve">. </w:t>
      </w:r>
      <w:hyperlink w:history="1"/>
    </w:p>
  </w:footnote>
  <w:footnote w:id="4">
    <w:p w14:paraId="1BE21496" w14:textId="73A0AEF0" w:rsidR="00814DEE" w:rsidRDefault="00814DEE" w:rsidP="00B41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419/2001 Sb., </w:t>
      </w:r>
      <w:r w:rsidRPr="00562004">
        <w:t>o předkládání údajů pro vypracování návrhu státního závěrečného účtu</w:t>
      </w:r>
      <w:r>
        <w:t>.</w:t>
      </w:r>
    </w:p>
  </w:footnote>
  <w:footnote w:id="5">
    <w:p w14:paraId="44F528F1" w14:textId="70DC9669" w:rsidR="00E871FF" w:rsidRDefault="00E871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KA č. 17/31 – </w:t>
      </w:r>
      <w:r w:rsidRPr="004B48F0">
        <w:rPr>
          <w:i/>
        </w:rPr>
        <w:t>Závěrečný účet kapitoly státního rozpočtu Ministerstvo zemědělství za rok 2017, účetní závěrka Ministerstva zemědělství za rok 2017 a údaje předkládané Ministerstvem zemědělství pro hodnocení plnění státního rozpočtu za rok 2017</w:t>
      </w:r>
      <w:r>
        <w:t>.</w:t>
      </w:r>
    </w:p>
  </w:footnote>
  <w:footnote w:id="6">
    <w:p w14:paraId="0B6E23D0" w14:textId="4CC50E03" w:rsidR="00814DEE" w:rsidRDefault="00814DEE" w:rsidP="00B41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České republiky ze dne 7. listopadu 2018 č. 717, </w:t>
      </w:r>
      <w:r w:rsidRPr="00E60A2A">
        <w:rPr>
          <w:i/>
        </w:rPr>
        <w:t>ke Kontrolnímu závěru NKÚ z KA č. 17/31 Závěrečný účet kapitoly státního rozpočtu Ministerstvo zemědělství za rok 2017, účetní závěrka Ministerstva zemědělství za rok 2017 a údaje předkládané Ministerstvem zemědělství pro hodnocení plnění státního rozpočtu za rok 2017</w:t>
      </w:r>
      <w:r>
        <w:t>.</w:t>
      </w:r>
    </w:p>
  </w:footnote>
  <w:footnote w:id="7">
    <w:p w14:paraId="69F85CBC" w14:textId="5B808640" w:rsidR="00814DEE" w:rsidRPr="00E87CF4" w:rsidRDefault="00814DEE" w:rsidP="00B410AD">
      <w:pPr>
        <w:pStyle w:val="Textpoznpodarou"/>
      </w:pPr>
      <w:r w:rsidRPr="00E60A2A">
        <w:rPr>
          <w:rStyle w:val="Znakapoznpodarou"/>
        </w:rPr>
        <w:footnoteRef/>
      </w:r>
      <w:r w:rsidRPr="00E60A2A">
        <w:t xml:space="preserve"> </w:t>
      </w:r>
      <w:r w:rsidRPr="00E60A2A">
        <w:tab/>
      </w:r>
      <w:r w:rsidRPr="00B410AD">
        <w:t>Zákon České národní rady č. 2/1969 Sb., o zřízení ministerstev a jiných ústředních orgánů státní správy České republiky</w:t>
      </w:r>
      <w:r w:rsidRPr="00E87CF4">
        <w:t>.</w:t>
      </w:r>
    </w:p>
  </w:footnote>
  <w:footnote w:id="8">
    <w:p w14:paraId="780A986C" w14:textId="77777777" w:rsidR="00814DEE" w:rsidRPr="00B410AD" w:rsidRDefault="00814DEE" w:rsidP="00B410AD">
      <w:pPr>
        <w:pStyle w:val="Textpoznpodarou"/>
      </w:pPr>
      <w:r w:rsidRPr="00B410AD">
        <w:rPr>
          <w:rStyle w:val="Znakapoznpodarou"/>
        </w:rPr>
        <w:footnoteRef/>
      </w:r>
      <w:r w:rsidRPr="00B410AD">
        <w:t xml:space="preserve"> </w:t>
      </w:r>
      <w:r w:rsidRPr="00B410AD">
        <w:tab/>
        <w:t>Zákon č. 219/2000 Sb., o majetku České republiky a jejím vystupování v právních vztazích.</w:t>
      </w:r>
    </w:p>
  </w:footnote>
  <w:footnote w:id="9">
    <w:p w14:paraId="4986584D" w14:textId="77777777" w:rsidR="00814DEE" w:rsidRPr="00B410AD" w:rsidRDefault="00814DEE" w:rsidP="00B410AD">
      <w:pPr>
        <w:pStyle w:val="Textpoznpodarou"/>
      </w:pPr>
      <w:r w:rsidRPr="00B410AD">
        <w:rPr>
          <w:rStyle w:val="Znakapoznpodarou"/>
        </w:rPr>
        <w:footnoteRef/>
      </w:r>
      <w:r w:rsidRPr="00B410AD">
        <w:t xml:space="preserve"> </w:t>
      </w:r>
      <w:r w:rsidRPr="00B410AD">
        <w:tab/>
        <w:t>Zákon č. 563/1991 Sb., o účetnictví.</w:t>
      </w:r>
    </w:p>
  </w:footnote>
  <w:footnote w:id="10">
    <w:p w14:paraId="41F65F8F" w14:textId="77777777" w:rsidR="00814DEE" w:rsidRPr="00B410AD" w:rsidRDefault="00814DEE" w:rsidP="00B410AD">
      <w:pPr>
        <w:pStyle w:val="Textpoznpodarou"/>
      </w:pPr>
      <w:r w:rsidRPr="00B410AD">
        <w:rPr>
          <w:rStyle w:val="Znakapoznpodarou"/>
        </w:rPr>
        <w:footnoteRef/>
      </w:r>
      <w:r w:rsidRPr="00B410AD">
        <w:t xml:space="preserve"> </w:t>
      </w:r>
      <w:r w:rsidRPr="00B410AD">
        <w:tab/>
        <w:t>Zákon č. 218/2000 Sb., o rozpočtových pravidlech a o změně některých souvisejících zákonů (rozpočtová pravidla).</w:t>
      </w:r>
    </w:p>
  </w:footnote>
  <w:footnote w:id="11">
    <w:p w14:paraId="23BCC5C5" w14:textId="55182121" w:rsidR="00814DEE" w:rsidRPr="00B410AD" w:rsidRDefault="00814DEE" w:rsidP="00B410AD">
      <w:pPr>
        <w:pStyle w:val="Textpoznpodarou"/>
        <w:rPr>
          <w:iCs/>
        </w:rPr>
      </w:pPr>
      <w:r w:rsidRPr="00B410AD">
        <w:rPr>
          <w:rStyle w:val="Znakapoznpodarou"/>
        </w:rPr>
        <w:footnoteRef/>
      </w:r>
      <w:r w:rsidRPr="00B410AD">
        <w:t xml:space="preserve"> </w:t>
      </w:r>
      <w:r w:rsidRPr="00B410AD">
        <w:tab/>
        <w:t>Dle ustanovení § 3 písm. o) zákona č. 218/2000 Sb. je rozpočtový systém informačním systémem veřejné správy, v němž se mj. soustřeďují údaje pro hodnocení plnění státního rozpočtu</w:t>
      </w:r>
      <w:r w:rsidRPr="00B410AD">
        <w:rPr>
          <w:iCs/>
        </w:rPr>
        <w:t>.</w:t>
      </w:r>
    </w:p>
  </w:footnote>
  <w:footnote w:id="12">
    <w:p w14:paraId="1BFBE1B9" w14:textId="77777777" w:rsidR="00814DEE" w:rsidRPr="00B410AD" w:rsidRDefault="00814DEE" w:rsidP="00B410AD">
      <w:pPr>
        <w:pStyle w:val="Textpoznpodarou"/>
      </w:pPr>
      <w:r w:rsidRPr="00B410AD">
        <w:rPr>
          <w:rStyle w:val="Znakapoznpodarou"/>
          <w:rFonts w:cs="Calibri"/>
        </w:rPr>
        <w:footnoteRef/>
      </w:r>
      <w:r w:rsidRPr="00B410AD">
        <w:t xml:space="preserve"> </w:t>
      </w:r>
      <w:r w:rsidRPr="00B410AD">
        <w:tab/>
        <w:t>Dle ustanovení § 20 odst. 4 zákona č. 218/2000 Sb.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 a rozpočtů dobrovolných svazků obcí. Dle ustanovení § 5 odst. 1 a dle přílohy č. 1 této vyhlášky zpracovávají OSS údaje pro hodnocení plnění státního rozpočtu přímo v rozpočtovém systému, ve kterém je z nich následně sestavován výkaz FIN 1-12 OSS.</w:t>
      </w:r>
    </w:p>
  </w:footnote>
  <w:footnote w:id="13">
    <w:p w14:paraId="290F30CD" w14:textId="77777777" w:rsidR="00814DEE" w:rsidRPr="00B410AD" w:rsidRDefault="00814DEE" w:rsidP="00B410AD">
      <w:pPr>
        <w:pStyle w:val="Textpoznpodarou"/>
      </w:pPr>
      <w:r w:rsidRPr="00E60A2A">
        <w:rPr>
          <w:rStyle w:val="Znakapoznpodarou"/>
        </w:rPr>
        <w:footnoteRef/>
      </w:r>
      <w:r w:rsidRPr="00B410AD">
        <w:t xml:space="preserve"> </w:t>
      </w:r>
      <w:r w:rsidRPr="00B410AD">
        <w:tab/>
        <w:t>MZe jakožto OSS je povinno v souladu se zákonem č. 563/1991 Sb. účtovat o stavu a pohybu majetku a jiných aktiv, závazků a jiných pasiv, o nákladech a výnosech a o výsledku hospodaření.</w:t>
      </w:r>
      <w:r w:rsidRPr="00E87CF4">
        <w:t xml:space="preserve"> Informace, které předkládá v účetní závěrce, musí být spolehlivé, srovnatelné, srozumitelné a posuzují se z hlediska významnosti.</w:t>
      </w:r>
    </w:p>
  </w:footnote>
  <w:footnote w:id="14">
    <w:p w14:paraId="60BEA475" w14:textId="189BCDFC" w:rsidR="00814DEE" w:rsidRPr="00395F17" w:rsidRDefault="00814DEE" w:rsidP="004D7CF4">
      <w:pPr>
        <w:spacing w:after="0"/>
        <w:ind w:left="284" w:hanging="284"/>
        <w:jc w:val="both"/>
        <w:rPr>
          <w:rStyle w:val="Znakapoznpodarou"/>
          <w:sz w:val="20"/>
          <w:szCs w:val="20"/>
          <w:vertAlign w:val="baseline"/>
        </w:rPr>
      </w:pPr>
      <w:r w:rsidRPr="00B410AD">
        <w:rPr>
          <w:rStyle w:val="Znakapoznpodarou"/>
          <w:sz w:val="20"/>
          <w:szCs w:val="20"/>
        </w:rPr>
        <w:footnoteRef/>
      </w:r>
      <w:r w:rsidRPr="00B410AD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410AD">
        <w:rPr>
          <w:rStyle w:val="Znakapoznpodarou"/>
          <w:sz w:val="20"/>
          <w:szCs w:val="20"/>
          <w:vertAlign w:val="baseline"/>
        </w:rPr>
        <w:t>Vyhláška č. 410/2009 Sb., kterou se provádějí některá ustanovení zákona č. 563/1991 Sb., o účetnictví, ve</w:t>
      </w:r>
      <w:r w:rsidRPr="00E87CF4">
        <w:rPr>
          <w:sz w:val="20"/>
          <w:szCs w:val="20"/>
        </w:rPr>
        <w:t> </w:t>
      </w:r>
      <w:r w:rsidRPr="00E87CF4">
        <w:rPr>
          <w:rStyle w:val="Znakapoznpodarou"/>
          <w:sz w:val="20"/>
          <w:szCs w:val="20"/>
          <w:vertAlign w:val="baseline"/>
        </w:rPr>
        <w:t>znění</w:t>
      </w:r>
      <w:r w:rsidR="00395F17">
        <w:rPr>
          <w:sz w:val="20"/>
          <w:szCs w:val="20"/>
        </w:rPr>
        <w:t xml:space="preserve"> </w:t>
      </w:r>
      <w:r w:rsidRPr="00E87CF4">
        <w:rPr>
          <w:rStyle w:val="Znakapoznpodarou"/>
          <w:sz w:val="20"/>
          <w:szCs w:val="20"/>
          <w:vertAlign w:val="baseline"/>
        </w:rPr>
        <w:t>pozdějších předpisů, pro některé vybrané účetní jednotky</w:t>
      </w:r>
      <w:r w:rsidRPr="00E87CF4">
        <w:rPr>
          <w:sz w:val="20"/>
          <w:szCs w:val="20"/>
        </w:rPr>
        <w:t>.</w:t>
      </w:r>
    </w:p>
  </w:footnote>
  <w:footnote w:id="15">
    <w:p w14:paraId="46D003F6" w14:textId="19BBD318" w:rsidR="00814DEE" w:rsidRPr="00B410AD" w:rsidRDefault="00814DEE" w:rsidP="00E60A2A">
      <w:pPr>
        <w:pStyle w:val="Textpoznpodarou"/>
      </w:pPr>
      <w:r w:rsidRPr="00E60A2A">
        <w:rPr>
          <w:rStyle w:val="Znakapoznpodarou"/>
        </w:rPr>
        <w:footnoteRef/>
      </w:r>
      <w:r w:rsidRPr="00B410AD">
        <w:t xml:space="preserve"> </w:t>
      </w:r>
      <w:r w:rsidRPr="00B410AD">
        <w:tab/>
        <w:t>Vyhláška č. 412/2021 Sb., o rozpočtové skladbě.</w:t>
      </w:r>
    </w:p>
  </w:footnote>
  <w:footnote w:id="16">
    <w:p w14:paraId="3534C5E4" w14:textId="77777777" w:rsidR="00814DEE" w:rsidRPr="00B410AD" w:rsidRDefault="00814DEE" w:rsidP="00B410AD">
      <w:pPr>
        <w:pStyle w:val="Textpoznpodarou"/>
      </w:pPr>
      <w:r w:rsidRPr="00E60A2A">
        <w:rPr>
          <w:rStyle w:val="Znakapoznpodarou"/>
        </w:rPr>
        <w:footnoteRef/>
      </w:r>
      <w:r w:rsidRPr="00B410AD">
        <w:t xml:space="preserve"> </w:t>
      </w:r>
      <w:r w:rsidRPr="00B410AD">
        <w:tab/>
        <w:t>Zákon č. 340/2015 Sb., o zvláštních podmínkách účinnosti některých smluv, uveřejňování těchto smluv a o registru smluv (zákon o registru smluv).</w:t>
      </w:r>
    </w:p>
  </w:footnote>
  <w:footnote w:id="17">
    <w:p w14:paraId="44988748" w14:textId="7121920C" w:rsidR="00814DEE" w:rsidRPr="00B410AD" w:rsidRDefault="00814DEE" w:rsidP="00B410AD">
      <w:pPr>
        <w:pStyle w:val="Textpoznpodarou"/>
      </w:pPr>
      <w:r w:rsidRPr="00E87CF4">
        <w:rPr>
          <w:rStyle w:val="Znakapoznpodarou"/>
        </w:rPr>
        <w:footnoteRef/>
      </w:r>
      <w:r w:rsidRPr="00E87CF4">
        <w:t xml:space="preserve"> </w:t>
      </w:r>
      <w:r w:rsidRPr="00B410AD">
        <w:tab/>
        <w:t>Zákon č. 320/2001 Sb., o finanční kontrole ve veřejné správě a o změně některých zákonů (zákon o finanční kontrole).</w:t>
      </w:r>
    </w:p>
  </w:footnote>
  <w:footnote w:id="18">
    <w:p w14:paraId="2A8AABA0" w14:textId="304745D7" w:rsidR="00814DEE" w:rsidRPr="00B410AD" w:rsidRDefault="00814DEE" w:rsidP="00B410AD">
      <w:pPr>
        <w:pStyle w:val="Textpoznpodarou"/>
        <w:rPr>
          <w:highlight w:val="yellow"/>
        </w:rPr>
      </w:pPr>
      <w:r w:rsidRPr="00E60A2A">
        <w:rPr>
          <w:rStyle w:val="Znakapoznpodarou"/>
        </w:rPr>
        <w:footnoteRef/>
      </w:r>
      <w:r w:rsidRPr="00B410AD">
        <w:t xml:space="preserve"> </w:t>
      </w:r>
      <w:r w:rsidRPr="00B410AD">
        <w:tab/>
      </w:r>
      <w:r w:rsidRPr="00E87CF4">
        <w:t xml:space="preserve">Vyhláška č. 416/2004 Sb., kterou se provádí zákon č. 320/2001 Sb., o finanční kontrole ve veřejné správě </w:t>
      </w:r>
      <w:r>
        <w:br/>
      </w:r>
      <w:r w:rsidRPr="00E87CF4">
        <w:t>a</w:t>
      </w:r>
      <w:r>
        <w:t xml:space="preserve"> </w:t>
      </w:r>
      <w:r w:rsidRPr="00E87CF4">
        <w:t>o</w:t>
      </w:r>
      <w:r>
        <w:t xml:space="preserve"> </w:t>
      </w:r>
      <w:r w:rsidRPr="00E87CF4">
        <w:t>změně některých zákonů (zákon o finanční kontrole), ve znění zákona č. 309/2002 Sb., zákona č. 320/2002 Sb. a zákona č. 123/2003 Sb.</w:t>
      </w:r>
    </w:p>
  </w:footnote>
  <w:footnote w:id="19">
    <w:p w14:paraId="695E7D57" w14:textId="7DA19842" w:rsidR="00814DEE" w:rsidRDefault="00814DEE" w:rsidP="00E87C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Projekty financované z </w:t>
      </w:r>
      <w:r w:rsidRPr="00E60A2A">
        <w:rPr>
          <w:i/>
        </w:rPr>
        <w:t>Technické pomoci</w:t>
      </w:r>
      <w:r w:rsidRPr="00A12605">
        <w:t xml:space="preserve"> jsou zaměřeny na přípravu, řízení, monitorování a hodnocení operačního programu </w:t>
      </w:r>
      <w:r w:rsidRPr="00E60A2A">
        <w:rPr>
          <w:i/>
        </w:rPr>
        <w:t>Rybářství</w:t>
      </w:r>
      <w:r w:rsidRPr="00A12605">
        <w:t xml:space="preserve"> a dále na informování a komunikaci (publicitu), realizaci propagačních opatření, řešení stížností a kontroly.</w:t>
      </w:r>
    </w:p>
  </w:footnote>
  <w:footnote w:id="20">
    <w:p w14:paraId="7CF7E476" w14:textId="23BF0102" w:rsidR="00814DEE" w:rsidRDefault="00814DEE" w:rsidP="00E87C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42725">
        <w:t xml:space="preserve">OSS Zemědělská vodohospodářská správa byla zrušena </w:t>
      </w:r>
      <w:bookmarkStart w:id="7" w:name="_Hlk135651132"/>
      <w:r w:rsidRPr="00942725">
        <w:t xml:space="preserve">opatřením Ministerstva zemědělství </w:t>
      </w:r>
      <w:r>
        <w:t>(</w:t>
      </w:r>
      <w:r w:rsidRPr="00942725">
        <w:t>čj.</w:t>
      </w:r>
      <w:r>
        <w:t> </w:t>
      </w:r>
      <w:r w:rsidRPr="00942725">
        <w:t>192140/2011-MZE-12142 ze dne 9. 12. 2011</w:t>
      </w:r>
      <w:bookmarkEnd w:id="7"/>
      <w:r>
        <w:t>)</w:t>
      </w:r>
      <w:r w:rsidRPr="00942725">
        <w:t xml:space="preserve"> ke dni 30.</w:t>
      </w:r>
      <w:r w:rsidR="002021DA">
        <w:t xml:space="preserve"> </w:t>
      </w:r>
      <w:r w:rsidRPr="00942725">
        <w:t>6.</w:t>
      </w:r>
      <w:r w:rsidR="002021DA">
        <w:t xml:space="preserve"> </w:t>
      </w:r>
      <w:r w:rsidRPr="00942725">
        <w:t>2012 s</w:t>
      </w:r>
      <w:r w:rsidR="002021DA">
        <w:t xml:space="preserve"> </w:t>
      </w:r>
      <w:r w:rsidRPr="00942725">
        <w:t>tím, že příslušnost hospodařit s</w:t>
      </w:r>
      <w:r w:rsidR="002021DA">
        <w:t xml:space="preserve"> </w:t>
      </w:r>
      <w:r w:rsidRPr="00942725">
        <w:t>veškerým majetkem, právy a</w:t>
      </w:r>
      <w:r w:rsidR="002021DA">
        <w:t xml:space="preserve"> </w:t>
      </w:r>
      <w:r w:rsidRPr="00942725">
        <w:t>závazky, vyjma závazků z pracovněprávních vztahů</w:t>
      </w:r>
      <w:r>
        <w:t>,</w:t>
      </w:r>
      <w:r w:rsidRPr="00942725">
        <w:t xml:space="preserve"> přešla dnem 1. 7. 2012 na zřizovatele, tedy na Ministerstvo zemědělství</w:t>
      </w:r>
      <w:r>
        <w:t>.</w:t>
      </w:r>
    </w:p>
  </w:footnote>
  <w:footnote w:id="21">
    <w:p w14:paraId="48CA9902" w14:textId="77777777" w:rsidR="00814DEE" w:rsidRDefault="00814DEE" w:rsidP="00E87C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D5BE2">
        <w:t xml:space="preserve">Významnost (materialita) reprezentuje u ÚZ hodnotu nesprávností, jejíž překročení by již mohlo ovlivnit přiměřeně znalého uživatele. Při stanovení významnosti postupuje NKÚ v souladu s </w:t>
      </w:r>
      <w:r w:rsidRPr="00E60A2A">
        <w:rPr>
          <w:i/>
        </w:rPr>
        <w:t>Kontrolními standardy NKÚ</w:t>
      </w:r>
      <w:r w:rsidRPr="00BD5BE2">
        <w:t xml:space="preserve"> a zohledňuje příklady dobré praxe vyplývající z mezinárodních standardů nejvyšších kontrolních institucí (ISSAI) pro finanční audit.</w:t>
      </w:r>
    </w:p>
  </w:footnote>
  <w:footnote w:id="22">
    <w:p w14:paraId="1F5CC575" w14:textId="4CE79A53" w:rsidR="00814DEE" w:rsidRPr="00D554C8" w:rsidRDefault="00814DEE">
      <w:pPr>
        <w:pStyle w:val="Textpoznpodarou"/>
      </w:pPr>
      <w:r w:rsidRPr="00D554C8">
        <w:rPr>
          <w:rStyle w:val="Znakapoznpodarou"/>
        </w:rPr>
        <w:footnoteRef/>
      </w:r>
      <w:r w:rsidRPr="00D554C8">
        <w:t xml:space="preserve"> </w:t>
      </w:r>
      <w:r w:rsidRPr="00D554C8">
        <w:tab/>
      </w:r>
      <w:r w:rsidRPr="009A0401">
        <w:t xml:space="preserve">Pro posouzení významnosti zjištěných nesprávností v údajích ÚZ byla stanovena hladina významnosti ve výši 2 % z celkových nákladů, které byly k 31. 12. 2022 vykázány </w:t>
      </w:r>
      <w:r>
        <w:t xml:space="preserve">v hodnotě </w:t>
      </w:r>
      <w:r w:rsidRPr="00240459">
        <w:t>62,</w:t>
      </w:r>
      <w:r>
        <w:t>6</w:t>
      </w:r>
      <w:r w:rsidRPr="00240459">
        <w:t xml:space="preserve"> mld. Kč</w:t>
      </w:r>
      <w:r w:rsidRPr="00D554C8">
        <w:t>.</w:t>
      </w:r>
    </w:p>
  </w:footnote>
  <w:footnote w:id="23">
    <w:p w14:paraId="450FEA47" w14:textId="6C183CF7" w:rsidR="00814DEE" w:rsidRPr="00D554C8" w:rsidRDefault="00814DEE">
      <w:pPr>
        <w:pStyle w:val="Textpoznpodarou"/>
      </w:pPr>
      <w:r w:rsidRPr="00D554C8">
        <w:rPr>
          <w:rStyle w:val="Znakapoznpodarou"/>
        </w:rPr>
        <w:footnoteRef/>
      </w:r>
      <w:r w:rsidRPr="00D554C8">
        <w:t xml:space="preserve"> </w:t>
      </w:r>
      <w:r w:rsidRPr="00D554C8">
        <w:tab/>
      </w:r>
      <w:r w:rsidRPr="00CB6853">
        <w:t xml:space="preserve">Pro posouzení významnosti zjištěných nesprávností v údajích předkládaných pro hodnocení plnění rozpočtu byla stanovena hladina významnosti ve výši 2 % z celkových výdajů, které byly k 31. 12. 2022 vykázány </w:t>
      </w:r>
      <w:r>
        <w:t xml:space="preserve">v objemu </w:t>
      </w:r>
      <w:r w:rsidRPr="00240459">
        <w:t>62,5 mld. Kč</w:t>
      </w:r>
      <w:r w:rsidRPr="00CB6853">
        <w:t>.</w:t>
      </w:r>
    </w:p>
  </w:footnote>
  <w:footnote w:id="24">
    <w:p w14:paraId="0E9B784B" w14:textId="77777777" w:rsidR="00814DEE" w:rsidRPr="00CA1A26" w:rsidRDefault="00814D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A1A26">
        <w:t xml:space="preserve">Peněžní báze </w:t>
      </w:r>
      <w:r>
        <w:t>zachycuje příjmy a výdaje peněžních prostředků.</w:t>
      </w:r>
    </w:p>
  </w:footnote>
  <w:footnote w:id="25">
    <w:p w14:paraId="7D628832" w14:textId="78E7AF43" w:rsidR="00814DEE" w:rsidRPr="00B87A71" w:rsidRDefault="00814DEE">
      <w:pPr>
        <w:pStyle w:val="Textpoznpodarou"/>
      </w:pPr>
      <w:r w:rsidRPr="00B87A71">
        <w:rPr>
          <w:rStyle w:val="Znakapoznpodarou"/>
        </w:rPr>
        <w:footnoteRef/>
      </w:r>
      <w:r w:rsidRPr="00B87A71">
        <w:t xml:space="preserve"> </w:t>
      </w:r>
      <w:r>
        <w:tab/>
      </w:r>
      <w:r w:rsidRPr="00B87A71">
        <w:t xml:space="preserve">Akruální </w:t>
      </w:r>
      <w:r>
        <w:t>báze</w:t>
      </w:r>
      <w:r w:rsidRPr="00B87A71">
        <w:t xml:space="preserve"> (nebo také </w:t>
      </w:r>
      <w:r>
        <w:t>princip</w:t>
      </w:r>
      <w:r w:rsidRPr="00B87A71">
        <w:t xml:space="preserve">, koncept) je jedna ze základních účetních zásad a spočívá v tom, že náklady a výnosy se účtují do období, se kterým věcně a časově souvisejí, aniž by bylo bráno v úvahu, kdy došlo </w:t>
      </w:r>
      <w:r>
        <w:t>k</w:t>
      </w:r>
      <w:r w:rsidRPr="00B87A71">
        <w:t> reálnému pohybu peněz</w:t>
      </w:r>
      <w:r>
        <w:t>,</w:t>
      </w:r>
      <w:r w:rsidRPr="00B87A71">
        <w:t xml:space="preserve"> a zároveň se účtuje o nárocích (pohledávkách) </w:t>
      </w:r>
      <w:r>
        <w:t xml:space="preserve">a </w:t>
      </w:r>
      <w:r w:rsidRPr="00B87A71">
        <w:t>závazcích.</w:t>
      </w:r>
    </w:p>
  </w:footnote>
  <w:footnote w:id="26">
    <w:p w14:paraId="480FD3C9" w14:textId="1F4506E7" w:rsidR="00814DEE" w:rsidRPr="00B410AD" w:rsidRDefault="00814DEE">
      <w:pPr>
        <w:pStyle w:val="Textpoznpodarou"/>
      </w:pPr>
      <w:r w:rsidRPr="00E60A2A">
        <w:rPr>
          <w:rStyle w:val="Znakapoznpodarou"/>
        </w:rPr>
        <w:footnoteRef/>
      </w:r>
      <w:r w:rsidRPr="00B410AD">
        <w:t xml:space="preserve"> </w:t>
      </w:r>
      <w:r w:rsidRPr="00B410AD">
        <w:tab/>
        <w:t>Z celkových 409 177 řádků v účetním deníku se podrozvahových účtů týkalo 8 822 řádků. V tom však není zahrnut</w:t>
      </w:r>
      <w:r w:rsidRPr="00E87CF4">
        <w:t xml:space="preserve">o 68 113 účetních zápisů provedených na podrozvahovém účtu 999 – </w:t>
      </w:r>
      <w:r w:rsidRPr="00E87CF4">
        <w:rPr>
          <w:i/>
        </w:rPr>
        <w:t>Vyrovnávací účet k</w:t>
      </w:r>
      <w:r w:rsidRPr="00B410AD">
        <w:rPr>
          <w:i/>
        </w:rPr>
        <w:t> podrozvahovým účtům</w:t>
      </w:r>
      <w:r>
        <w:t>.</w:t>
      </w:r>
      <w:r w:rsidRPr="00B410AD">
        <w:t xml:space="preserve"> </w:t>
      </w:r>
      <w:r>
        <w:t>Tyto zápisy</w:t>
      </w:r>
      <w:r w:rsidRPr="00B410AD">
        <w:t xml:space="preserve"> MZe využívá k opravám údajů souvisejících s rozpočtem a účtuje </w:t>
      </w:r>
      <w:r>
        <w:t xml:space="preserve">je </w:t>
      </w:r>
      <w:r w:rsidRPr="00B410AD">
        <w:t xml:space="preserve">na stranu </w:t>
      </w:r>
      <w:r>
        <w:t>„</w:t>
      </w:r>
      <w:r w:rsidRPr="00B410AD">
        <w:t xml:space="preserve">Má </w:t>
      </w:r>
      <w:r>
        <w:t>d</w:t>
      </w:r>
      <w:r w:rsidRPr="00B410AD">
        <w:t>áti</w:t>
      </w:r>
      <w:r>
        <w:t>“</w:t>
      </w:r>
      <w:r w:rsidRPr="00B410AD">
        <w:t xml:space="preserve"> a zároveň i na stranu </w:t>
      </w:r>
      <w:r>
        <w:t>„</w:t>
      </w:r>
      <w:r w:rsidRPr="00B410AD">
        <w:t>D</w:t>
      </w:r>
      <w:r>
        <w:t>al“</w:t>
      </w:r>
      <w:r w:rsidRPr="00B410AD">
        <w:t xml:space="preserve"> podrozvahového účtu 999 – </w:t>
      </w:r>
      <w:r w:rsidRPr="00B410AD">
        <w:rPr>
          <w:i/>
        </w:rPr>
        <w:t>Vyrovnávací účet k podrozvahovým účtům</w:t>
      </w:r>
      <w:r w:rsidRPr="00B410AD">
        <w:t xml:space="preserve"> ve stejné hodnotě.</w:t>
      </w:r>
    </w:p>
  </w:footnote>
  <w:footnote w:id="27">
    <w:p w14:paraId="223C95F8" w14:textId="36269786" w:rsidR="00814DEE" w:rsidRDefault="00814D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410/2009 Sb., </w:t>
      </w:r>
      <w:r w:rsidRPr="00B71FB0">
        <w:t>kterou se provádějí některá ustanovení zákona č. 563/1991 Sb., o účetnictví, ve</w:t>
      </w:r>
      <w:r>
        <w:t> </w:t>
      </w:r>
      <w:r w:rsidRPr="00B71FB0">
        <w:t>znění pozdějších předpisů, pro některé vybrané účetní jednotky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467D" w14:textId="77777777" w:rsidR="00814DEE" w:rsidRDefault="00814DEE" w:rsidP="00124170">
    <w:pPr>
      <w:pStyle w:val="Zhlav"/>
      <w:tabs>
        <w:tab w:val="clear" w:pos="9072"/>
        <w:tab w:val="right" w:pos="90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B30D5" w14:textId="6DA70E1F" w:rsidR="00814DEE" w:rsidRDefault="00814DEE" w:rsidP="00194792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3FF4" w14:textId="77777777" w:rsidR="00814DEE" w:rsidRDefault="00814DEE" w:rsidP="00614F4A">
    <w:pPr>
      <w:pStyle w:val="Zhlav"/>
      <w:jc w:val="right"/>
    </w:pPr>
  </w:p>
  <w:p w14:paraId="0B646383" w14:textId="77777777" w:rsidR="00814DEE" w:rsidRDefault="00814DEE" w:rsidP="00124170">
    <w:pPr>
      <w:pStyle w:val="Zhlav"/>
      <w:tabs>
        <w:tab w:val="clear" w:pos="9072"/>
        <w:tab w:val="right" w:pos="907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CD4E" w14:textId="77777777" w:rsidR="00814DEE" w:rsidRDefault="00814DEE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6399" w14:textId="77777777" w:rsidR="00814DEE" w:rsidRDefault="00814DEE" w:rsidP="007F192D">
    <w:pPr>
      <w:pStyle w:val="Zhlav"/>
      <w:jc w:val="center"/>
    </w:pPr>
  </w:p>
  <w:p w14:paraId="1C28DA5F" w14:textId="77777777" w:rsidR="00814DEE" w:rsidRDefault="00814DEE" w:rsidP="00124170">
    <w:pPr>
      <w:pStyle w:val="Zhlav"/>
      <w:tabs>
        <w:tab w:val="clear" w:pos="9072"/>
        <w:tab w:val="right" w:pos="907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414E3" w14:textId="77777777" w:rsidR="00814DEE" w:rsidRDefault="00814D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432F"/>
    <w:multiLevelType w:val="hybridMultilevel"/>
    <w:tmpl w:val="3E0809B4"/>
    <w:lvl w:ilvl="0" w:tplc="FBDA99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04802"/>
    <w:multiLevelType w:val="hybridMultilevel"/>
    <w:tmpl w:val="84288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7B9A"/>
    <w:multiLevelType w:val="hybridMultilevel"/>
    <w:tmpl w:val="296A5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6007"/>
    <w:multiLevelType w:val="hybridMultilevel"/>
    <w:tmpl w:val="5F4ECAA8"/>
    <w:lvl w:ilvl="0" w:tplc="24E25BD8">
      <w:start w:val="3"/>
      <w:numFmt w:val="bullet"/>
      <w:pStyle w:val="odrka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28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F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F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4F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2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621B"/>
    <w:multiLevelType w:val="hybridMultilevel"/>
    <w:tmpl w:val="08F28FD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0E5D4161"/>
    <w:multiLevelType w:val="hybridMultilevel"/>
    <w:tmpl w:val="CFAA5E80"/>
    <w:lvl w:ilvl="0" w:tplc="FA16B54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FD6"/>
    <w:multiLevelType w:val="hybridMultilevel"/>
    <w:tmpl w:val="E666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1AA0"/>
    <w:multiLevelType w:val="hybridMultilevel"/>
    <w:tmpl w:val="51E4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722E6"/>
    <w:multiLevelType w:val="hybridMultilevel"/>
    <w:tmpl w:val="16504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12814"/>
    <w:multiLevelType w:val="multilevel"/>
    <w:tmpl w:val="ADFABDA6"/>
    <w:lvl w:ilvl="0">
      <w:start w:val="1"/>
      <w:numFmt w:val="decimal"/>
      <w:pStyle w:val="rov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rove3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pStyle w:val="rove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rove1"/>
      <w:lvlText w:val="%1.%2.%3.%4.%5."/>
      <w:lvlJc w:val="left"/>
      <w:pPr>
        <w:ind w:left="934" w:hanging="792"/>
      </w:pPr>
      <w:rPr>
        <w:rFonts w:cs="Times New Roman"/>
      </w:rPr>
    </w:lvl>
    <w:lvl w:ilvl="5">
      <w:start w:val="1"/>
      <w:numFmt w:val="decimal"/>
      <w:pStyle w:val="rove2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9DF0F03"/>
    <w:multiLevelType w:val="multilevel"/>
    <w:tmpl w:val="CE4822C0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150A8E"/>
    <w:multiLevelType w:val="hybridMultilevel"/>
    <w:tmpl w:val="7D7A0D4E"/>
    <w:lvl w:ilvl="0" w:tplc="FBDA99E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954090A"/>
    <w:multiLevelType w:val="hybridMultilevel"/>
    <w:tmpl w:val="2678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04D98"/>
    <w:multiLevelType w:val="hybridMultilevel"/>
    <w:tmpl w:val="0FA47716"/>
    <w:lvl w:ilvl="0" w:tplc="668A2086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A6F2F"/>
    <w:multiLevelType w:val="hybridMultilevel"/>
    <w:tmpl w:val="4ECE846A"/>
    <w:lvl w:ilvl="0" w:tplc="CE2C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02F03C">
      <w:start w:val="1"/>
      <w:numFmt w:val="lowerLetter"/>
      <w:lvlText w:val="%2."/>
      <w:lvlJc w:val="left"/>
      <w:pPr>
        <w:ind w:left="1080" w:hanging="360"/>
      </w:pPr>
    </w:lvl>
    <w:lvl w:ilvl="2" w:tplc="ADE6C7EE" w:tentative="1">
      <w:start w:val="1"/>
      <w:numFmt w:val="lowerRoman"/>
      <w:lvlText w:val="%3."/>
      <w:lvlJc w:val="right"/>
      <w:pPr>
        <w:ind w:left="1800" w:hanging="180"/>
      </w:pPr>
    </w:lvl>
    <w:lvl w:ilvl="3" w:tplc="A98E3622" w:tentative="1">
      <w:start w:val="1"/>
      <w:numFmt w:val="decimal"/>
      <w:lvlText w:val="%4."/>
      <w:lvlJc w:val="left"/>
      <w:pPr>
        <w:ind w:left="2520" w:hanging="360"/>
      </w:pPr>
    </w:lvl>
    <w:lvl w:ilvl="4" w:tplc="FE6AD990" w:tentative="1">
      <w:start w:val="1"/>
      <w:numFmt w:val="lowerLetter"/>
      <w:lvlText w:val="%5."/>
      <w:lvlJc w:val="left"/>
      <w:pPr>
        <w:ind w:left="3240" w:hanging="360"/>
      </w:pPr>
    </w:lvl>
    <w:lvl w:ilvl="5" w:tplc="F84C1D10" w:tentative="1">
      <w:start w:val="1"/>
      <w:numFmt w:val="lowerRoman"/>
      <w:lvlText w:val="%6."/>
      <w:lvlJc w:val="right"/>
      <w:pPr>
        <w:ind w:left="3960" w:hanging="180"/>
      </w:pPr>
    </w:lvl>
    <w:lvl w:ilvl="6" w:tplc="4F10AFD4" w:tentative="1">
      <w:start w:val="1"/>
      <w:numFmt w:val="decimal"/>
      <w:lvlText w:val="%7."/>
      <w:lvlJc w:val="left"/>
      <w:pPr>
        <w:ind w:left="4680" w:hanging="360"/>
      </w:pPr>
    </w:lvl>
    <w:lvl w:ilvl="7" w:tplc="C2E42DB0" w:tentative="1">
      <w:start w:val="1"/>
      <w:numFmt w:val="lowerLetter"/>
      <w:lvlText w:val="%8."/>
      <w:lvlJc w:val="left"/>
      <w:pPr>
        <w:ind w:left="5400" w:hanging="360"/>
      </w:pPr>
    </w:lvl>
    <w:lvl w:ilvl="8" w:tplc="0DF025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61764"/>
    <w:multiLevelType w:val="hybridMultilevel"/>
    <w:tmpl w:val="F82065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FB3448B"/>
    <w:multiLevelType w:val="hybridMultilevel"/>
    <w:tmpl w:val="9252C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C69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B819D8"/>
    <w:multiLevelType w:val="hybridMultilevel"/>
    <w:tmpl w:val="47BC71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234D"/>
    <w:multiLevelType w:val="hybridMultilevel"/>
    <w:tmpl w:val="DB98105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A0B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A904C9"/>
    <w:multiLevelType w:val="hybridMultilevel"/>
    <w:tmpl w:val="F15CF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224B8"/>
    <w:multiLevelType w:val="hybridMultilevel"/>
    <w:tmpl w:val="AB16DDEA"/>
    <w:lvl w:ilvl="0" w:tplc="174C2D0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3"/>
  </w:num>
  <w:num w:numId="7">
    <w:abstractNumId w:val="19"/>
  </w:num>
  <w:num w:numId="8">
    <w:abstractNumId w:val="12"/>
  </w:num>
  <w:num w:numId="9">
    <w:abstractNumId w:val="1"/>
  </w:num>
  <w:num w:numId="10">
    <w:abstractNumId w:val="14"/>
  </w:num>
  <w:num w:numId="11">
    <w:abstractNumId w:val="14"/>
  </w:num>
  <w:num w:numId="12">
    <w:abstractNumId w:val="14"/>
  </w:num>
  <w:num w:numId="13">
    <w:abstractNumId w:val="9"/>
  </w:num>
  <w:num w:numId="14">
    <w:abstractNumId w:val="11"/>
  </w:num>
  <w:num w:numId="15">
    <w:abstractNumId w:val="3"/>
  </w:num>
  <w:num w:numId="16">
    <w:abstractNumId w:val="6"/>
  </w:num>
  <w:num w:numId="17">
    <w:abstractNumId w:val="0"/>
  </w:num>
  <w:num w:numId="18">
    <w:abstractNumId w:val="15"/>
  </w:num>
  <w:num w:numId="19">
    <w:abstractNumId w:val="14"/>
  </w:num>
  <w:num w:numId="20">
    <w:abstractNumId w:val="20"/>
  </w:num>
  <w:num w:numId="21">
    <w:abstractNumId w:val="20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7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7"/>
  </w:num>
  <w:num w:numId="38">
    <w:abstractNumId w:val="18"/>
  </w:num>
  <w:num w:numId="39">
    <w:abstractNumId w:val="10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5"/>
  </w:num>
  <w:num w:numId="52">
    <w:abstractNumId w:val="22"/>
  </w:num>
  <w:num w:numId="53">
    <w:abstractNumId w:val="16"/>
  </w:num>
  <w:num w:numId="54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293"/>
    <w:rsid w:val="00000F8C"/>
    <w:rsid w:val="000010CB"/>
    <w:rsid w:val="000014B7"/>
    <w:rsid w:val="000015DC"/>
    <w:rsid w:val="00001659"/>
    <w:rsid w:val="00001D77"/>
    <w:rsid w:val="00002B29"/>
    <w:rsid w:val="00002B9A"/>
    <w:rsid w:val="00002F92"/>
    <w:rsid w:val="000030C9"/>
    <w:rsid w:val="00003812"/>
    <w:rsid w:val="00003878"/>
    <w:rsid w:val="000039E4"/>
    <w:rsid w:val="00003EC4"/>
    <w:rsid w:val="00003F86"/>
    <w:rsid w:val="000042FB"/>
    <w:rsid w:val="00004DA7"/>
    <w:rsid w:val="00004EF9"/>
    <w:rsid w:val="000050EC"/>
    <w:rsid w:val="00005413"/>
    <w:rsid w:val="0000654C"/>
    <w:rsid w:val="00006589"/>
    <w:rsid w:val="00006AE8"/>
    <w:rsid w:val="00006F9D"/>
    <w:rsid w:val="000102DC"/>
    <w:rsid w:val="000102EF"/>
    <w:rsid w:val="00010565"/>
    <w:rsid w:val="00010948"/>
    <w:rsid w:val="00010B7B"/>
    <w:rsid w:val="00010BF4"/>
    <w:rsid w:val="000116D6"/>
    <w:rsid w:val="000116ED"/>
    <w:rsid w:val="000118B2"/>
    <w:rsid w:val="00012047"/>
    <w:rsid w:val="00012090"/>
    <w:rsid w:val="000121C2"/>
    <w:rsid w:val="00012334"/>
    <w:rsid w:val="00012409"/>
    <w:rsid w:val="0001308F"/>
    <w:rsid w:val="000132EB"/>
    <w:rsid w:val="000136D6"/>
    <w:rsid w:val="00013D01"/>
    <w:rsid w:val="00013F4A"/>
    <w:rsid w:val="00014054"/>
    <w:rsid w:val="00014250"/>
    <w:rsid w:val="00014278"/>
    <w:rsid w:val="000147CE"/>
    <w:rsid w:val="000150C6"/>
    <w:rsid w:val="0001554C"/>
    <w:rsid w:val="00015BEA"/>
    <w:rsid w:val="00015EAA"/>
    <w:rsid w:val="00015F85"/>
    <w:rsid w:val="00016328"/>
    <w:rsid w:val="0001655D"/>
    <w:rsid w:val="00016A37"/>
    <w:rsid w:val="000178C8"/>
    <w:rsid w:val="00017CCE"/>
    <w:rsid w:val="00017D5E"/>
    <w:rsid w:val="00017EA4"/>
    <w:rsid w:val="000201F8"/>
    <w:rsid w:val="000205FD"/>
    <w:rsid w:val="000206ED"/>
    <w:rsid w:val="000209B1"/>
    <w:rsid w:val="0002107A"/>
    <w:rsid w:val="00021226"/>
    <w:rsid w:val="00021A12"/>
    <w:rsid w:val="00021C6E"/>
    <w:rsid w:val="00022153"/>
    <w:rsid w:val="000221DC"/>
    <w:rsid w:val="0002282E"/>
    <w:rsid w:val="000233DE"/>
    <w:rsid w:val="0002359A"/>
    <w:rsid w:val="00024CEB"/>
    <w:rsid w:val="000254A6"/>
    <w:rsid w:val="00025582"/>
    <w:rsid w:val="000263DE"/>
    <w:rsid w:val="00026AC4"/>
    <w:rsid w:val="00026B84"/>
    <w:rsid w:val="00026FB4"/>
    <w:rsid w:val="00027067"/>
    <w:rsid w:val="0002708F"/>
    <w:rsid w:val="000274A8"/>
    <w:rsid w:val="00027C18"/>
    <w:rsid w:val="000305CE"/>
    <w:rsid w:val="00030656"/>
    <w:rsid w:val="00030EA5"/>
    <w:rsid w:val="00031291"/>
    <w:rsid w:val="00031611"/>
    <w:rsid w:val="00031DBA"/>
    <w:rsid w:val="00031FF6"/>
    <w:rsid w:val="000325A3"/>
    <w:rsid w:val="0003264D"/>
    <w:rsid w:val="00033006"/>
    <w:rsid w:val="000339E8"/>
    <w:rsid w:val="00033CAF"/>
    <w:rsid w:val="00034204"/>
    <w:rsid w:val="000342EB"/>
    <w:rsid w:val="00034564"/>
    <w:rsid w:val="00034649"/>
    <w:rsid w:val="00034672"/>
    <w:rsid w:val="0003469E"/>
    <w:rsid w:val="00035205"/>
    <w:rsid w:val="000352F5"/>
    <w:rsid w:val="0003552A"/>
    <w:rsid w:val="00035C23"/>
    <w:rsid w:val="00035D25"/>
    <w:rsid w:val="000365ED"/>
    <w:rsid w:val="00036961"/>
    <w:rsid w:val="00036B02"/>
    <w:rsid w:val="00036B07"/>
    <w:rsid w:val="000370E9"/>
    <w:rsid w:val="000377B3"/>
    <w:rsid w:val="00037E92"/>
    <w:rsid w:val="000404C7"/>
    <w:rsid w:val="00040C1D"/>
    <w:rsid w:val="0004116C"/>
    <w:rsid w:val="00041308"/>
    <w:rsid w:val="00041A5A"/>
    <w:rsid w:val="00041B06"/>
    <w:rsid w:val="00041D83"/>
    <w:rsid w:val="00042662"/>
    <w:rsid w:val="000428C2"/>
    <w:rsid w:val="00042F32"/>
    <w:rsid w:val="00042F6E"/>
    <w:rsid w:val="0004311E"/>
    <w:rsid w:val="00043ED9"/>
    <w:rsid w:val="00044446"/>
    <w:rsid w:val="00044496"/>
    <w:rsid w:val="00044B71"/>
    <w:rsid w:val="00044F4C"/>
    <w:rsid w:val="00045109"/>
    <w:rsid w:val="0004536D"/>
    <w:rsid w:val="000453AD"/>
    <w:rsid w:val="0004554B"/>
    <w:rsid w:val="0004593F"/>
    <w:rsid w:val="00045D1D"/>
    <w:rsid w:val="00045D4B"/>
    <w:rsid w:val="0004614B"/>
    <w:rsid w:val="00046890"/>
    <w:rsid w:val="000473BB"/>
    <w:rsid w:val="00047B94"/>
    <w:rsid w:val="00050275"/>
    <w:rsid w:val="00050496"/>
    <w:rsid w:val="00050674"/>
    <w:rsid w:val="00050BF8"/>
    <w:rsid w:val="00050E07"/>
    <w:rsid w:val="00051A3C"/>
    <w:rsid w:val="000521DE"/>
    <w:rsid w:val="000521FD"/>
    <w:rsid w:val="0005245C"/>
    <w:rsid w:val="00052B02"/>
    <w:rsid w:val="00052C46"/>
    <w:rsid w:val="00052EE3"/>
    <w:rsid w:val="0005321F"/>
    <w:rsid w:val="0005356E"/>
    <w:rsid w:val="00053F1C"/>
    <w:rsid w:val="000542D1"/>
    <w:rsid w:val="00054662"/>
    <w:rsid w:val="000547CF"/>
    <w:rsid w:val="000548CE"/>
    <w:rsid w:val="00054A5F"/>
    <w:rsid w:val="00054D70"/>
    <w:rsid w:val="00054DA8"/>
    <w:rsid w:val="00054FDC"/>
    <w:rsid w:val="00055114"/>
    <w:rsid w:val="00055401"/>
    <w:rsid w:val="00055581"/>
    <w:rsid w:val="000562E0"/>
    <w:rsid w:val="0005659D"/>
    <w:rsid w:val="00056E1C"/>
    <w:rsid w:val="00056E58"/>
    <w:rsid w:val="00056F1A"/>
    <w:rsid w:val="000570C7"/>
    <w:rsid w:val="00057428"/>
    <w:rsid w:val="00057CB7"/>
    <w:rsid w:val="00060038"/>
    <w:rsid w:val="00060485"/>
    <w:rsid w:val="00060CDE"/>
    <w:rsid w:val="000615D0"/>
    <w:rsid w:val="000618A6"/>
    <w:rsid w:val="00062738"/>
    <w:rsid w:val="000628DD"/>
    <w:rsid w:val="00062D47"/>
    <w:rsid w:val="00063109"/>
    <w:rsid w:val="00063528"/>
    <w:rsid w:val="00063906"/>
    <w:rsid w:val="00063C45"/>
    <w:rsid w:val="000641B2"/>
    <w:rsid w:val="00064B9B"/>
    <w:rsid w:val="0006539C"/>
    <w:rsid w:val="00065568"/>
    <w:rsid w:val="000663B6"/>
    <w:rsid w:val="00066AC4"/>
    <w:rsid w:val="00066AD0"/>
    <w:rsid w:val="00066F74"/>
    <w:rsid w:val="00067305"/>
    <w:rsid w:val="000679D3"/>
    <w:rsid w:val="0007038C"/>
    <w:rsid w:val="00071B5F"/>
    <w:rsid w:val="00071E3F"/>
    <w:rsid w:val="0007244A"/>
    <w:rsid w:val="000728F2"/>
    <w:rsid w:val="00072E4C"/>
    <w:rsid w:val="00073218"/>
    <w:rsid w:val="0007378C"/>
    <w:rsid w:val="00073F3C"/>
    <w:rsid w:val="000742BF"/>
    <w:rsid w:val="0007439D"/>
    <w:rsid w:val="000744FC"/>
    <w:rsid w:val="00074829"/>
    <w:rsid w:val="000752E6"/>
    <w:rsid w:val="0007561C"/>
    <w:rsid w:val="00075A94"/>
    <w:rsid w:val="00075BC6"/>
    <w:rsid w:val="00075CF8"/>
    <w:rsid w:val="00076191"/>
    <w:rsid w:val="00076557"/>
    <w:rsid w:val="00076EA6"/>
    <w:rsid w:val="00076F89"/>
    <w:rsid w:val="000773AB"/>
    <w:rsid w:val="00077ACA"/>
    <w:rsid w:val="00080728"/>
    <w:rsid w:val="00080832"/>
    <w:rsid w:val="00080853"/>
    <w:rsid w:val="00080A5F"/>
    <w:rsid w:val="00080C2B"/>
    <w:rsid w:val="00080C55"/>
    <w:rsid w:val="0008172A"/>
    <w:rsid w:val="00081853"/>
    <w:rsid w:val="00081878"/>
    <w:rsid w:val="00081916"/>
    <w:rsid w:val="000819E2"/>
    <w:rsid w:val="00081F46"/>
    <w:rsid w:val="00082128"/>
    <w:rsid w:val="000822BF"/>
    <w:rsid w:val="00082C74"/>
    <w:rsid w:val="00082D91"/>
    <w:rsid w:val="0008321B"/>
    <w:rsid w:val="000834FD"/>
    <w:rsid w:val="0008352C"/>
    <w:rsid w:val="00083751"/>
    <w:rsid w:val="0008453D"/>
    <w:rsid w:val="00084BDF"/>
    <w:rsid w:val="000851F9"/>
    <w:rsid w:val="00085476"/>
    <w:rsid w:val="000855CD"/>
    <w:rsid w:val="00085C0A"/>
    <w:rsid w:val="00085C40"/>
    <w:rsid w:val="00085D01"/>
    <w:rsid w:val="00085F24"/>
    <w:rsid w:val="00086337"/>
    <w:rsid w:val="00086431"/>
    <w:rsid w:val="000867C9"/>
    <w:rsid w:val="000872BF"/>
    <w:rsid w:val="00090DB9"/>
    <w:rsid w:val="00090F01"/>
    <w:rsid w:val="00090F49"/>
    <w:rsid w:val="00090FA5"/>
    <w:rsid w:val="00091AD5"/>
    <w:rsid w:val="0009214F"/>
    <w:rsid w:val="0009232A"/>
    <w:rsid w:val="0009258D"/>
    <w:rsid w:val="00092816"/>
    <w:rsid w:val="00093120"/>
    <w:rsid w:val="00093B70"/>
    <w:rsid w:val="00094908"/>
    <w:rsid w:val="0009514A"/>
    <w:rsid w:val="00095418"/>
    <w:rsid w:val="000957EE"/>
    <w:rsid w:val="0009689F"/>
    <w:rsid w:val="00096FA3"/>
    <w:rsid w:val="0009702E"/>
    <w:rsid w:val="00097E88"/>
    <w:rsid w:val="000A0E8B"/>
    <w:rsid w:val="000A13E8"/>
    <w:rsid w:val="000A1657"/>
    <w:rsid w:val="000A1E9B"/>
    <w:rsid w:val="000A1F45"/>
    <w:rsid w:val="000A1F86"/>
    <w:rsid w:val="000A2C62"/>
    <w:rsid w:val="000A35DF"/>
    <w:rsid w:val="000A36E9"/>
    <w:rsid w:val="000A3E7E"/>
    <w:rsid w:val="000A3F7E"/>
    <w:rsid w:val="000A4006"/>
    <w:rsid w:val="000A4749"/>
    <w:rsid w:val="000A49D5"/>
    <w:rsid w:val="000A5267"/>
    <w:rsid w:val="000A56F7"/>
    <w:rsid w:val="000A5714"/>
    <w:rsid w:val="000A5A79"/>
    <w:rsid w:val="000A5BDF"/>
    <w:rsid w:val="000A5C4F"/>
    <w:rsid w:val="000A5D44"/>
    <w:rsid w:val="000A5ECA"/>
    <w:rsid w:val="000A5F4A"/>
    <w:rsid w:val="000A61B3"/>
    <w:rsid w:val="000A6A0F"/>
    <w:rsid w:val="000A7032"/>
    <w:rsid w:val="000A7370"/>
    <w:rsid w:val="000A75DF"/>
    <w:rsid w:val="000A78B3"/>
    <w:rsid w:val="000B08C1"/>
    <w:rsid w:val="000B0C14"/>
    <w:rsid w:val="000B0DBC"/>
    <w:rsid w:val="000B169C"/>
    <w:rsid w:val="000B1794"/>
    <w:rsid w:val="000B2255"/>
    <w:rsid w:val="000B2425"/>
    <w:rsid w:val="000B25A8"/>
    <w:rsid w:val="000B3407"/>
    <w:rsid w:val="000B3825"/>
    <w:rsid w:val="000B3B5F"/>
    <w:rsid w:val="000B3F41"/>
    <w:rsid w:val="000B4ABD"/>
    <w:rsid w:val="000B4B25"/>
    <w:rsid w:val="000B4B91"/>
    <w:rsid w:val="000B5531"/>
    <w:rsid w:val="000B57EF"/>
    <w:rsid w:val="000B59DC"/>
    <w:rsid w:val="000B63A1"/>
    <w:rsid w:val="000B78EB"/>
    <w:rsid w:val="000B7B7B"/>
    <w:rsid w:val="000B7E39"/>
    <w:rsid w:val="000B7ED0"/>
    <w:rsid w:val="000C04E6"/>
    <w:rsid w:val="000C06CC"/>
    <w:rsid w:val="000C164D"/>
    <w:rsid w:val="000C1D99"/>
    <w:rsid w:val="000C1DDA"/>
    <w:rsid w:val="000C2026"/>
    <w:rsid w:val="000C2191"/>
    <w:rsid w:val="000C2C88"/>
    <w:rsid w:val="000C3020"/>
    <w:rsid w:val="000C3CE9"/>
    <w:rsid w:val="000C3F19"/>
    <w:rsid w:val="000C48B1"/>
    <w:rsid w:val="000C499E"/>
    <w:rsid w:val="000C4CB0"/>
    <w:rsid w:val="000C591E"/>
    <w:rsid w:val="000C656B"/>
    <w:rsid w:val="000C69E5"/>
    <w:rsid w:val="000C6BCC"/>
    <w:rsid w:val="000C6C3C"/>
    <w:rsid w:val="000C6DC8"/>
    <w:rsid w:val="000C762D"/>
    <w:rsid w:val="000C7BCB"/>
    <w:rsid w:val="000C7DE9"/>
    <w:rsid w:val="000C7E19"/>
    <w:rsid w:val="000D0B77"/>
    <w:rsid w:val="000D0E97"/>
    <w:rsid w:val="000D1BFE"/>
    <w:rsid w:val="000D1EC1"/>
    <w:rsid w:val="000D22A5"/>
    <w:rsid w:val="000D2D2B"/>
    <w:rsid w:val="000D2F73"/>
    <w:rsid w:val="000D3C04"/>
    <w:rsid w:val="000D4574"/>
    <w:rsid w:val="000D5877"/>
    <w:rsid w:val="000D5B3A"/>
    <w:rsid w:val="000D6F93"/>
    <w:rsid w:val="000D70F7"/>
    <w:rsid w:val="000D72DE"/>
    <w:rsid w:val="000D791D"/>
    <w:rsid w:val="000D7A6A"/>
    <w:rsid w:val="000D7A9E"/>
    <w:rsid w:val="000D7B59"/>
    <w:rsid w:val="000D7EB0"/>
    <w:rsid w:val="000E044D"/>
    <w:rsid w:val="000E04F4"/>
    <w:rsid w:val="000E0723"/>
    <w:rsid w:val="000E082C"/>
    <w:rsid w:val="000E0A92"/>
    <w:rsid w:val="000E0B18"/>
    <w:rsid w:val="000E0D20"/>
    <w:rsid w:val="000E12F1"/>
    <w:rsid w:val="000E220A"/>
    <w:rsid w:val="000E25B5"/>
    <w:rsid w:val="000E2690"/>
    <w:rsid w:val="000E2836"/>
    <w:rsid w:val="000E295D"/>
    <w:rsid w:val="000E31D2"/>
    <w:rsid w:val="000E3621"/>
    <w:rsid w:val="000E38D3"/>
    <w:rsid w:val="000E4E62"/>
    <w:rsid w:val="000E4ED7"/>
    <w:rsid w:val="000E4F78"/>
    <w:rsid w:val="000E5E80"/>
    <w:rsid w:val="000E6702"/>
    <w:rsid w:val="000E6A8C"/>
    <w:rsid w:val="000E747D"/>
    <w:rsid w:val="000E7644"/>
    <w:rsid w:val="000E7694"/>
    <w:rsid w:val="000E7D3E"/>
    <w:rsid w:val="000F03C4"/>
    <w:rsid w:val="000F09F5"/>
    <w:rsid w:val="000F1837"/>
    <w:rsid w:val="000F209F"/>
    <w:rsid w:val="000F2220"/>
    <w:rsid w:val="000F25E0"/>
    <w:rsid w:val="000F2B19"/>
    <w:rsid w:val="000F36E2"/>
    <w:rsid w:val="000F3D0A"/>
    <w:rsid w:val="000F3E30"/>
    <w:rsid w:val="000F42EF"/>
    <w:rsid w:val="000F449D"/>
    <w:rsid w:val="000F49CB"/>
    <w:rsid w:val="000F55E2"/>
    <w:rsid w:val="000F5927"/>
    <w:rsid w:val="000F5C65"/>
    <w:rsid w:val="000F6318"/>
    <w:rsid w:val="000F635B"/>
    <w:rsid w:val="000F69DF"/>
    <w:rsid w:val="000F707F"/>
    <w:rsid w:val="000F7A2B"/>
    <w:rsid w:val="000F7AA7"/>
    <w:rsid w:val="00100233"/>
    <w:rsid w:val="00100FAA"/>
    <w:rsid w:val="00101036"/>
    <w:rsid w:val="00101CB1"/>
    <w:rsid w:val="00101CEF"/>
    <w:rsid w:val="0010292B"/>
    <w:rsid w:val="00103B0E"/>
    <w:rsid w:val="00103E92"/>
    <w:rsid w:val="001055C3"/>
    <w:rsid w:val="00105C43"/>
    <w:rsid w:val="00106409"/>
    <w:rsid w:val="00106704"/>
    <w:rsid w:val="001076FC"/>
    <w:rsid w:val="00107771"/>
    <w:rsid w:val="001077EB"/>
    <w:rsid w:val="0011015A"/>
    <w:rsid w:val="001102D7"/>
    <w:rsid w:val="001106BD"/>
    <w:rsid w:val="001111F7"/>
    <w:rsid w:val="001117A1"/>
    <w:rsid w:val="001118F1"/>
    <w:rsid w:val="00111FB1"/>
    <w:rsid w:val="00112638"/>
    <w:rsid w:val="00112642"/>
    <w:rsid w:val="00112BC4"/>
    <w:rsid w:val="00112DFF"/>
    <w:rsid w:val="001130AB"/>
    <w:rsid w:val="001137F7"/>
    <w:rsid w:val="00113B06"/>
    <w:rsid w:val="00113F2D"/>
    <w:rsid w:val="00114033"/>
    <w:rsid w:val="001141E0"/>
    <w:rsid w:val="00114527"/>
    <w:rsid w:val="00114660"/>
    <w:rsid w:val="001147B0"/>
    <w:rsid w:val="00114968"/>
    <w:rsid w:val="00115015"/>
    <w:rsid w:val="001158C5"/>
    <w:rsid w:val="00115AEA"/>
    <w:rsid w:val="00116A85"/>
    <w:rsid w:val="00116DD9"/>
    <w:rsid w:val="00117093"/>
    <w:rsid w:val="0011741A"/>
    <w:rsid w:val="00120064"/>
    <w:rsid w:val="001202CB"/>
    <w:rsid w:val="00120431"/>
    <w:rsid w:val="00121D77"/>
    <w:rsid w:val="00121D7E"/>
    <w:rsid w:val="0012286C"/>
    <w:rsid w:val="00122BD1"/>
    <w:rsid w:val="00122E3A"/>
    <w:rsid w:val="00122E42"/>
    <w:rsid w:val="001231C4"/>
    <w:rsid w:val="00124170"/>
    <w:rsid w:val="00124183"/>
    <w:rsid w:val="001248DC"/>
    <w:rsid w:val="00124C3F"/>
    <w:rsid w:val="00124CA1"/>
    <w:rsid w:val="00124FA7"/>
    <w:rsid w:val="0012538B"/>
    <w:rsid w:val="00125571"/>
    <w:rsid w:val="001256DB"/>
    <w:rsid w:val="0012623F"/>
    <w:rsid w:val="00126542"/>
    <w:rsid w:val="00126597"/>
    <w:rsid w:val="0012677A"/>
    <w:rsid w:val="001268C7"/>
    <w:rsid w:val="001276E3"/>
    <w:rsid w:val="00131164"/>
    <w:rsid w:val="00131441"/>
    <w:rsid w:val="001316F9"/>
    <w:rsid w:val="001317BD"/>
    <w:rsid w:val="001318BD"/>
    <w:rsid w:val="0013203D"/>
    <w:rsid w:val="00132721"/>
    <w:rsid w:val="001327CC"/>
    <w:rsid w:val="00133A17"/>
    <w:rsid w:val="00133CBE"/>
    <w:rsid w:val="001343CE"/>
    <w:rsid w:val="001344EE"/>
    <w:rsid w:val="00134B8F"/>
    <w:rsid w:val="00135042"/>
    <w:rsid w:val="00135658"/>
    <w:rsid w:val="00135727"/>
    <w:rsid w:val="00135C1E"/>
    <w:rsid w:val="0013635E"/>
    <w:rsid w:val="00136461"/>
    <w:rsid w:val="00136983"/>
    <w:rsid w:val="00136A02"/>
    <w:rsid w:val="00136AB9"/>
    <w:rsid w:val="001371D8"/>
    <w:rsid w:val="00137C89"/>
    <w:rsid w:val="00141652"/>
    <w:rsid w:val="00141ABF"/>
    <w:rsid w:val="00141F5F"/>
    <w:rsid w:val="001426BF"/>
    <w:rsid w:val="001426DD"/>
    <w:rsid w:val="001433FE"/>
    <w:rsid w:val="001441BA"/>
    <w:rsid w:val="00144E09"/>
    <w:rsid w:val="00144E9E"/>
    <w:rsid w:val="00145A5E"/>
    <w:rsid w:val="001468C2"/>
    <w:rsid w:val="00146B0E"/>
    <w:rsid w:val="00147136"/>
    <w:rsid w:val="00147308"/>
    <w:rsid w:val="00147320"/>
    <w:rsid w:val="00147575"/>
    <w:rsid w:val="0014774F"/>
    <w:rsid w:val="00147CF6"/>
    <w:rsid w:val="0015019D"/>
    <w:rsid w:val="00150253"/>
    <w:rsid w:val="0015058F"/>
    <w:rsid w:val="00150A18"/>
    <w:rsid w:val="00151458"/>
    <w:rsid w:val="001519E4"/>
    <w:rsid w:val="0015279D"/>
    <w:rsid w:val="00152A8D"/>
    <w:rsid w:val="00152AD3"/>
    <w:rsid w:val="00153444"/>
    <w:rsid w:val="00153478"/>
    <w:rsid w:val="00153EAA"/>
    <w:rsid w:val="00154191"/>
    <w:rsid w:val="00154952"/>
    <w:rsid w:val="00154CBC"/>
    <w:rsid w:val="00154DE5"/>
    <w:rsid w:val="001556C6"/>
    <w:rsid w:val="0015589D"/>
    <w:rsid w:val="00155F56"/>
    <w:rsid w:val="001569F8"/>
    <w:rsid w:val="00157042"/>
    <w:rsid w:val="00157675"/>
    <w:rsid w:val="001579AE"/>
    <w:rsid w:val="00157B53"/>
    <w:rsid w:val="00157F5E"/>
    <w:rsid w:val="001601CC"/>
    <w:rsid w:val="00160398"/>
    <w:rsid w:val="001604D9"/>
    <w:rsid w:val="00160E1A"/>
    <w:rsid w:val="00160F7E"/>
    <w:rsid w:val="00161C6F"/>
    <w:rsid w:val="0016246A"/>
    <w:rsid w:val="001629E7"/>
    <w:rsid w:val="0016378F"/>
    <w:rsid w:val="00163B83"/>
    <w:rsid w:val="00163CD9"/>
    <w:rsid w:val="00164014"/>
    <w:rsid w:val="001645E7"/>
    <w:rsid w:val="00164B81"/>
    <w:rsid w:val="00164D18"/>
    <w:rsid w:val="001655C6"/>
    <w:rsid w:val="0016566E"/>
    <w:rsid w:val="001658FB"/>
    <w:rsid w:val="00165CC6"/>
    <w:rsid w:val="00166481"/>
    <w:rsid w:val="0016709F"/>
    <w:rsid w:val="00167536"/>
    <w:rsid w:val="0016764F"/>
    <w:rsid w:val="00167779"/>
    <w:rsid w:val="00171017"/>
    <w:rsid w:val="00171682"/>
    <w:rsid w:val="00172348"/>
    <w:rsid w:val="001746CB"/>
    <w:rsid w:val="00174733"/>
    <w:rsid w:val="00174ACB"/>
    <w:rsid w:val="00174F1F"/>
    <w:rsid w:val="001755B0"/>
    <w:rsid w:val="00175C4F"/>
    <w:rsid w:val="00175DD4"/>
    <w:rsid w:val="00175EAB"/>
    <w:rsid w:val="00175F87"/>
    <w:rsid w:val="00176D6E"/>
    <w:rsid w:val="00176EDB"/>
    <w:rsid w:val="0017780A"/>
    <w:rsid w:val="00177BB7"/>
    <w:rsid w:val="00180384"/>
    <w:rsid w:val="00180B90"/>
    <w:rsid w:val="00180BF7"/>
    <w:rsid w:val="00180F04"/>
    <w:rsid w:val="00181225"/>
    <w:rsid w:val="00181402"/>
    <w:rsid w:val="00181725"/>
    <w:rsid w:val="00181B91"/>
    <w:rsid w:val="0018212D"/>
    <w:rsid w:val="0018243E"/>
    <w:rsid w:val="00182811"/>
    <w:rsid w:val="001828FD"/>
    <w:rsid w:val="00182A77"/>
    <w:rsid w:val="00182DA3"/>
    <w:rsid w:val="00182ED1"/>
    <w:rsid w:val="00183A42"/>
    <w:rsid w:val="00183D3D"/>
    <w:rsid w:val="00183D64"/>
    <w:rsid w:val="00183D9E"/>
    <w:rsid w:val="00183E45"/>
    <w:rsid w:val="001842ED"/>
    <w:rsid w:val="001846E7"/>
    <w:rsid w:val="00184895"/>
    <w:rsid w:val="001848D6"/>
    <w:rsid w:val="00184BF9"/>
    <w:rsid w:val="0018590A"/>
    <w:rsid w:val="001866A7"/>
    <w:rsid w:val="00186742"/>
    <w:rsid w:val="00186EEC"/>
    <w:rsid w:val="00186F3C"/>
    <w:rsid w:val="001878D3"/>
    <w:rsid w:val="00187AEF"/>
    <w:rsid w:val="00187C99"/>
    <w:rsid w:val="00190D91"/>
    <w:rsid w:val="0019218B"/>
    <w:rsid w:val="001922C8"/>
    <w:rsid w:val="0019297D"/>
    <w:rsid w:val="00192BAA"/>
    <w:rsid w:val="00192E62"/>
    <w:rsid w:val="001936EA"/>
    <w:rsid w:val="001937B5"/>
    <w:rsid w:val="001937B6"/>
    <w:rsid w:val="001937CB"/>
    <w:rsid w:val="00193837"/>
    <w:rsid w:val="00193A3D"/>
    <w:rsid w:val="00193FB9"/>
    <w:rsid w:val="0019444D"/>
    <w:rsid w:val="00194792"/>
    <w:rsid w:val="00194BE1"/>
    <w:rsid w:val="00194BE8"/>
    <w:rsid w:val="00194E00"/>
    <w:rsid w:val="00195133"/>
    <w:rsid w:val="00195280"/>
    <w:rsid w:val="0019652C"/>
    <w:rsid w:val="001967A4"/>
    <w:rsid w:val="00196D13"/>
    <w:rsid w:val="00197FB2"/>
    <w:rsid w:val="001A07D1"/>
    <w:rsid w:val="001A1027"/>
    <w:rsid w:val="001A1065"/>
    <w:rsid w:val="001A164B"/>
    <w:rsid w:val="001A18C0"/>
    <w:rsid w:val="001A1DDA"/>
    <w:rsid w:val="001A2699"/>
    <w:rsid w:val="001A2929"/>
    <w:rsid w:val="001A2DCC"/>
    <w:rsid w:val="001A3920"/>
    <w:rsid w:val="001A3A51"/>
    <w:rsid w:val="001A447E"/>
    <w:rsid w:val="001A4824"/>
    <w:rsid w:val="001A482C"/>
    <w:rsid w:val="001A4B3A"/>
    <w:rsid w:val="001A5200"/>
    <w:rsid w:val="001A58EA"/>
    <w:rsid w:val="001A5FB6"/>
    <w:rsid w:val="001A601C"/>
    <w:rsid w:val="001A603D"/>
    <w:rsid w:val="001A6174"/>
    <w:rsid w:val="001A6A35"/>
    <w:rsid w:val="001A6D72"/>
    <w:rsid w:val="001A7309"/>
    <w:rsid w:val="001A730F"/>
    <w:rsid w:val="001A77C1"/>
    <w:rsid w:val="001A79A3"/>
    <w:rsid w:val="001B06A1"/>
    <w:rsid w:val="001B0BE7"/>
    <w:rsid w:val="001B110A"/>
    <w:rsid w:val="001B1165"/>
    <w:rsid w:val="001B189F"/>
    <w:rsid w:val="001B190D"/>
    <w:rsid w:val="001B19A8"/>
    <w:rsid w:val="001B1CD4"/>
    <w:rsid w:val="001B2E9E"/>
    <w:rsid w:val="001B35E0"/>
    <w:rsid w:val="001B4144"/>
    <w:rsid w:val="001B4272"/>
    <w:rsid w:val="001B45C5"/>
    <w:rsid w:val="001B461B"/>
    <w:rsid w:val="001B48A7"/>
    <w:rsid w:val="001B4D88"/>
    <w:rsid w:val="001B5272"/>
    <w:rsid w:val="001B571E"/>
    <w:rsid w:val="001B5B1F"/>
    <w:rsid w:val="001B5FEE"/>
    <w:rsid w:val="001B654E"/>
    <w:rsid w:val="001B65AD"/>
    <w:rsid w:val="001B67E6"/>
    <w:rsid w:val="001B76BE"/>
    <w:rsid w:val="001B7A5B"/>
    <w:rsid w:val="001B7E65"/>
    <w:rsid w:val="001C0001"/>
    <w:rsid w:val="001C088A"/>
    <w:rsid w:val="001C0B74"/>
    <w:rsid w:val="001C1977"/>
    <w:rsid w:val="001C1C2E"/>
    <w:rsid w:val="001C2B16"/>
    <w:rsid w:val="001C2F89"/>
    <w:rsid w:val="001C3B96"/>
    <w:rsid w:val="001C3BBD"/>
    <w:rsid w:val="001C456E"/>
    <w:rsid w:val="001C48EB"/>
    <w:rsid w:val="001C492F"/>
    <w:rsid w:val="001C4B29"/>
    <w:rsid w:val="001C4BBF"/>
    <w:rsid w:val="001C555C"/>
    <w:rsid w:val="001C649A"/>
    <w:rsid w:val="001C718B"/>
    <w:rsid w:val="001C7DCC"/>
    <w:rsid w:val="001C7EAA"/>
    <w:rsid w:val="001D0A2A"/>
    <w:rsid w:val="001D0B2E"/>
    <w:rsid w:val="001D0C3D"/>
    <w:rsid w:val="001D1027"/>
    <w:rsid w:val="001D10FA"/>
    <w:rsid w:val="001D163A"/>
    <w:rsid w:val="001D1680"/>
    <w:rsid w:val="001D1763"/>
    <w:rsid w:val="001D1E4D"/>
    <w:rsid w:val="001D24A7"/>
    <w:rsid w:val="001D24FB"/>
    <w:rsid w:val="001D2A6F"/>
    <w:rsid w:val="001D2F47"/>
    <w:rsid w:val="001D2FF8"/>
    <w:rsid w:val="001D3546"/>
    <w:rsid w:val="001D3757"/>
    <w:rsid w:val="001D383E"/>
    <w:rsid w:val="001D4050"/>
    <w:rsid w:val="001D4C2D"/>
    <w:rsid w:val="001D5309"/>
    <w:rsid w:val="001D57E4"/>
    <w:rsid w:val="001D652E"/>
    <w:rsid w:val="001D794A"/>
    <w:rsid w:val="001D7EAE"/>
    <w:rsid w:val="001E0315"/>
    <w:rsid w:val="001E0C8B"/>
    <w:rsid w:val="001E0CB2"/>
    <w:rsid w:val="001E1607"/>
    <w:rsid w:val="001E1956"/>
    <w:rsid w:val="001E1CD4"/>
    <w:rsid w:val="001E26F3"/>
    <w:rsid w:val="001E2F46"/>
    <w:rsid w:val="001E31D8"/>
    <w:rsid w:val="001E389E"/>
    <w:rsid w:val="001E416B"/>
    <w:rsid w:val="001E43F6"/>
    <w:rsid w:val="001E451A"/>
    <w:rsid w:val="001E453B"/>
    <w:rsid w:val="001E45D2"/>
    <w:rsid w:val="001E4748"/>
    <w:rsid w:val="001E47E6"/>
    <w:rsid w:val="001E4832"/>
    <w:rsid w:val="001E5596"/>
    <w:rsid w:val="001E58E4"/>
    <w:rsid w:val="001E5A98"/>
    <w:rsid w:val="001E5C3B"/>
    <w:rsid w:val="001E5E41"/>
    <w:rsid w:val="001E63C1"/>
    <w:rsid w:val="001E641B"/>
    <w:rsid w:val="001E668D"/>
    <w:rsid w:val="001E68B2"/>
    <w:rsid w:val="001E68F5"/>
    <w:rsid w:val="001E6D4C"/>
    <w:rsid w:val="001E6D9E"/>
    <w:rsid w:val="001E7624"/>
    <w:rsid w:val="001E76D5"/>
    <w:rsid w:val="001E79D0"/>
    <w:rsid w:val="001E7AE0"/>
    <w:rsid w:val="001E7D4B"/>
    <w:rsid w:val="001E7FFC"/>
    <w:rsid w:val="001F0066"/>
    <w:rsid w:val="001F021B"/>
    <w:rsid w:val="001F0BB9"/>
    <w:rsid w:val="001F0BC1"/>
    <w:rsid w:val="001F1561"/>
    <w:rsid w:val="001F1A92"/>
    <w:rsid w:val="001F1C3A"/>
    <w:rsid w:val="001F1F57"/>
    <w:rsid w:val="001F217D"/>
    <w:rsid w:val="001F2188"/>
    <w:rsid w:val="001F24A6"/>
    <w:rsid w:val="001F264B"/>
    <w:rsid w:val="001F26A2"/>
    <w:rsid w:val="001F2AF2"/>
    <w:rsid w:val="001F3453"/>
    <w:rsid w:val="001F396F"/>
    <w:rsid w:val="001F3DD9"/>
    <w:rsid w:val="001F41D0"/>
    <w:rsid w:val="001F4BFD"/>
    <w:rsid w:val="001F4F4F"/>
    <w:rsid w:val="001F4F92"/>
    <w:rsid w:val="001F5A2A"/>
    <w:rsid w:val="001F5FEA"/>
    <w:rsid w:val="001F6076"/>
    <w:rsid w:val="001F6159"/>
    <w:rsid w:val="001F6607"/>
    <w:rsid w:val="001F68CD"/>
    <w:rsid w:val="001F711E"/>
    <w:rsid w:val="001F7398"/>
    <w:rsid w:val="001F740C"/>
    <w:rsid w:val="001F78DB"/>
    <w:rsid w:val="001F7AB7"/>
    <w:rsid w:val="0020003C"/>
    <w:rsid w:val="0020035A"/>
    <w:rsid w:val="002007B3"/>
    <w:rsid w:val="002008C3"/>
    <w:rsid w:val="002010CA"/>
    <w:rsid w:val="002014C2"/>
    <w:rsid w:val="00201C4F"/>
    <w:rsid w:val="00201CD3"/>
    <w:rsid w:val="002021DA"/>
    <w:rsid w:val="002025D1"/>
    <w:rsid w:val="00202AEC"/>
    <w:rsid w:val="00202D4D"/>
    <w:rsid w:val="00202E1D"/>
    <w:rsid w:val="00203788"/>
    <w:rsid w:val="002038B2"/>
    <w:rsid w:val="00203C00"/>
    <w:rsid w:val="00203DF0"/>
    <w:rsid w:val="00203F77"/>
    <w:rsid w:val="00204070"/>
    <w:rsid w:val="0020473E"/>
    <w:rsid w:val="0020520F"/>
    <w:rsid w:val="002053F1"/>
    <w:rsid w:val="002055DA"/>
    <w:rsid w:val="002059FD"/>
    <w:rsid w:val="00205C1D"/>
    <w:rsid w:val="00205DE4"/>
    <w:rsid w:val="0020630C"/>
    <w:rsid w:val="002065FA"/>
    <w:rsid w:val="00206C3F"/>
    <w:rsid w:val="00206E90"/>
    <w:rsid w:val="00206F66"/>
    <w:rsid w:val="0020705B"/>
    <w:rsid w:val="002072B8"/>
    <w:rsid w:val="002073BC"/>
    <w:rsid w:val="0020792D"/>
    <w:rsid w:val="00207A52"/>
    <w:rsid w:val="00207AE7"/>
    <w:rsid w:val="00207EEB"/>
    <w:rsid w:val="00210194"/>
    <w:rsid w:val="0021020D"/>
    <w:rsid w:val="002104AF"/>
    <w:rsid w:val="0021095E"/>
    <w:rsid w:val="00210EA9"/>
    <w:rsid w:val="00211021"/>
    <w:rsid w:val="00211287"/>
    <w:rsid w:val="002112A1"/>
    <w:rsid w:val="00211708"/>
    <w:rsid w:val="00211909"/>
    <w:rsid w:val="00211E0B"/>
    <w:rsid w:val="00212478"/>
    <w:rsid w:val="0021388F"/>
    <w:rsid w:val="002141AD"/>
    <w:rsid w:val="0021422E"/>
    <w:rsid w:val="002142FC"/>
    <w:rsid w:val="00214446"/>
    <w:rsid w:val="002145B6"/>
    <w:rsid w:val="00215580"/>
    <w:rsid w:val="00215612"/>
    <w:rsid w:val="00215974"/>
    <w:rsid w:val="002165FA"/>
    <w:rsid w:val="002202D3"/>
    <w:rsid w:val="0022055C"/>
    <w:rsid w:val="00220657"/>
    <w:rsid w:val="00220FB8"/>
    <w:rsid w:val="002214E0"/>
    <w:rsid w:val="00221698"/>
    <w:rsid w:val="00221B06"/>
    <w:rsid w:val="00221E5F"/>
    <w:rsid w:val="00221ED8"/>
    <w:rsid w:val="00222C87"/>
    <w:rsid w:val="00222E27"/>
    <w:rsid w:val="002239F2"/>
    <w:rsid w:val="00223C06"/>
    <w:rsid w:val="00223E25"/>
    <w:rsid w:val="00224178"/>
    <w:rsid w:val="00224342"/>
    <w:rsid w:val="00224417"/>
    <w:rsid w:val="0022512B"/>
    <w:rsid w:val="002255A2"/>
    <w:rsid w:val="002256BA"/>
    <w:rsid w:val="00225771"/>
    <w:rsid w:val="002257CC"/>
    <w:rsid w:val="00225E1A"/>
    <w:rsid w:val="002263EC"/>
    <w:rsid w:val="00226438"/>
    <w:rsid w:val="00226BA6"/>
    <w:rsid w:val="00227273"/>
    <w:rsid w:val="002272FC"/>
    <w:rsid w:val="002279CF"/>
    <w:rsid w:val="00227A36"/>
    <w:rsid w:val="00230275"/>
    <w:rsid w:val="00230568"/>
    <w:rsid w:val="00230AA0"/>
    <w:rsid w:val="00230C75"/>
    <w:rsid w:val="002310EC"/>
    <w:rsid w:val="00231A23"/>
    <w:rsid w:val="00231B4D"/>
    <w:rsid w:val="00231E37"/>
    <w:rsid w:val="00232029"/>
    <w:rsid w:val="00232234"/>
    <w:rsid w:val="002322B2"/>
    <w:rsid w:val="00232A76"/>
    <w:rsid w:val="00232F32"/>
    <w:rsid w:val="00233035"/>
    <w:rsid w:val="00233606"/>
    <w:rsid w:val="00233B65"/>
    <w:rsid w:val="00233F17"/>
    <w:rsid w:val="00234399"/>
    <w:rsid w:val="002344E6"/>
    <w:rsid w:val="00234D36"/>
    <w:rsid w:val="002352D7"/>
    <w:rsid w:val="00235911"/>
    <w:rsid w:val="0023597E"/>
    <w:rsid w:val="0023599C"/>
    <w:rsid w:val="00235BAE"/>
    <w:rsid w:val="00236288"/>
    <w:rsid w:val="00236493"/>
    <w:rsid w:val="00236760"/>
    <w:rsid w:val="00236DA8"/>
    <w:rsid w:val="00237D37"/>
    <w:rsid w:val="00240459"/>
    <w:rsid w:val="0024097D"/>
    <w:rsid w:val="00241495"/>
    <w:rsid w:val="002415A2"/>
    <w:rsid w:val="002416AF"/>
    <w:rsid w:val="00241B52"/>
    <w:rsid w:val="00241BCB"/>
    <w:rsid w:val="00241C95"/>
    <w:rsid w:val="0024277A"/>
    <w:rsid w:val="00243613"/>
    <w:rsid w:val="0024378E"/>
    <w:rsid w:val="00243906"/>
    <w:rsid w:val="00243A2D"/>
    <w:rsid w:val="00243D16"/>
    <w:rsid w:val="00244B9B"/>
    <w:rsid w:val="002450D1"/>
    <w:rsid w:val="00245288"/>
    <w:rsid w:val="002454E6"/>
    <w:rsid w:val="00245850"/>
    <w:rsid w:val="002468A1"/>
    <w:rsid w:val="00247040"/>
    <w:rsid w:val="00247441"/>
    <w:rsid w:val="002477D6"/>
    <w:rsid w:val="00247804"/>
    <w:rsid w:val="00247A0D"/>
    <w:rsid w:val="00247A8C"/>
    <w:rsid w:val="00247AFD"/>
    <w:rsid w:val="00247EF9"/>
    <w:rsid w:val="0025010E"/>
    <w:rsid w:val="00250115"/>
    <w:rsid w:val="00250B8A"/>
    <w:rsid w:val="002513FC"/>
    <w:rsid w:val="0025166D"/>
    <w:rsid w:val="0025175D"/>
    <w:rsid w:val="00252262"/>
    <w:rsid w:val="002524C8"/>
    <w:rsid w:val="00252999"/>
    <w:rsid w:val="00252B9B"/>
    <w:rsid w:val="00252CA2"/>
    <w:rsid w:val="00252E43"/>
    <w:rsid w:val="00253B9C"/>
    <w:rsid w:val="00253D78"/>
    <w:rsid w:val="0025480F"/>
    <w:rsid w:val="00254A73"/>
    <w:rsid w:val="002553C7"/>
    <w:rsid w:val="00255EB2"/>
    <w:rsid w:val="002560D8"/>
    <w:rsid w:val="002565D8"/>
    <w:rsid w:val="00256992"/>
    <w:rsid w:val="002576B1"/>
    <w:rsid w:val="00260562"/>
    <w:rsid w:val="00260677"/>
    <w:rsid w:val="00260714"/>
    <w:rsid w:val="00261A10"/>
    <w:rsid w:val="00261E6F"/>
    <w:rsid w:val="00261EB6"/>
    <w:rsid w:val="00261F08"/>
    <w:rsid w:val="002633BE"/>
    <w:rsid w:val="00263AF9"/>
    <w:rsid w:val="00263E20"/>
    <w:rsid w:val="00263FC0"/>
    <w:rsid w:val="002640B7"/>
    <w:rsid w:val="00264B64"/>
    <w:rsid w:val="002653B6"/>
    <w:rsid w:val="0026553D"/>
    <w:rsid w:val="0026678A"/>
    <w:rsid w:val="0026684F"/>
    <w:rsid w:val="002668D3"/>
    <w:rsid w:val="0026773F"/>
    <w:rsid w:val="00267A31"/>
    <w:rsid w:val="00267DF1"/>
    <w:rsid w:val="0027012B"/>
    <w:rsid w:val="002701E8"/>
    <w:rsid w:val="002703E3"/>
    <w:rsid w:val="00270555"/>
    <w:rsid w:val="002705EA"/>
    <w:rsid w:val="002706A7"/>
    <w:rsid w:val="00270CEC"/>
    <w:rsid w:val="00270EFB"/>
    <w:rsid w:val="00271621"/>
    <w:rsid w:val="0027260F"/>
    <w:rsid w:val="00273C0E"/>
    <w:rsid w:val="002741F3"/>
    <w:rsid w:val="002748AE"/>
    <w:rsid w:val="00274F84"/>
    <w:rsid w:val="00275193"/>
    <w:rsid w:val="00276907"/>
    <w:rsid w:val="00276D86"/>
    <w:rsid w:val="00276FF1"/>
    <w:rsid w:val="0027789B"/>
    <w:rsid w:val="0028022D"/>
    <w:rsid w:val="002806CD"/>
    <w:rsid w:val="00280738"/>
    <w:rsid w:val="002807DA"/>
    <w:rsid w:val="00280913"/>
    <w:rsid w:val="00280CE6"/>
    <w:rsid w:val="002811B0"/>
    <w:rsid w:val="00281339"/>
    <w:rsid w:val="00281B56"/>
    <w:rsid w:val="00281BAF"/>
    <w:rsid w:val="0028215D"/>
    <w:rsid w:val="0028239D"/>
    <w:rsid w:val="00282745"/>
    <w:rsid w:val="00282A5D"/>
    <w:rsid w:val="00282CC9"/>
    <w:rsid w:val="00282DD5"/>
    <w:rsid w:val="00282F47"/>
    <w:rsid w:val="00282F61"/>
    <w:rsid w:val="002831E1"/>
    <w:rsid w:val="0028335E"/>
    <w:rsid w:val="00283E98"/>
    <w:rsid w:val="00283F9D"/>
    <w:rsid w:val="00283FE5"/>
    <w:rsid w:val="0028508F"/>
    <w:rsid w:val="002856DF"/>
    <w:rsid w:val="00285731"/>
    <w:rsid w:val="002858E0"/>
    <w:rsid w:val="00285B82"/>
    <w:rsid w:val="00285C02"/>
    <w:rsid w:val="00286527"/>
    <w:rsid w:val="00286962"/>
    <w:rsid w:val="00286992"/>
    <w:rsid w:val="00286A25"/>
    <w:rsid w:val="00286B8D"/>
    <w:rsid w:val="00287651"/>
    <w:rsid w:val="00287DDE"/>
    <w:rsid w:val="00290260"/>
    <w:rsid w:val="002902ED"/>
    <w:rsid w:val="002902F1"/>
    <w:rsid w:val="0029075C"/>
    <w:rsid w:val="00290CBF"/>
    <w:rsid w:val="00291417"/>
    <w:rsid w:val="002914B3"/>
    <w:rsid w:val="002920CE"/>
    <w:rsid w:val="002922C5"/>
    <w:rsid w:val="00292355"/>
    <w:rsid w:val="0029287A"/>
    <w:rsid w:val="0029328F"/>
    <w:rsid w:val="002940F9"/>
    <w:rsid w:val="00294E64"/>
    <w:rsid w:val="00294E9C"/>
    <w:rsid w:val="0029520A"/>
    <w:rsid w:val="00295A93"/>
    <w:rsid w:val="00295B5D"/>
    <w:rsid w:val="00295EFC"/>
    <w:rsid w:val="0029650F"/>
    <w:rsid w:val="00296AA5"/>
    <w:rsid w:val="00297661"/>
    <w:rsid w:val="0029772B"/>
    <w:rsid w:val="00297BF1"/>
    <w:rsid w:val="00297D3D"/>
    <w:rsid w:val="002A0082"/>
    <w:rsid w:val="002A0552"/>
    <w:rsid w:val="002A091A"/>
    <w:rsid w:val="002A1679"/>
    <w:rsid w:val="002A1F17"/>
    <w:rsid w:val="002A20E9"/>
    <w:rsid w:val="002A2279"/>
    <w:rsid w:val="002A28B1"/>
    <w:rsid w:val="002A2937"/>
    <w:rsid w:val="002A2D90"/>
    <w:rsid w:val="002A39A3"/>
    <w:rsid w:val="002A3A62"/>
    <w:rsid w:val="002A3B98"/>
    <w:rsid w:val="002A4667"/>
    <w:rsid w:val="002A46D6"/>
    <w:rsid w:val="002A4B22"/>
    <w:rsid w:val="002A4CFB"/>
    <w:rsid w:val="002A4D95"/>
    <w:rsid w:val="002A5276"/>
    <w:rsid w:val="002A60BD"/>
    <w:rsid w:val="002A6752"/>
    <w:rsid w:val="002A6C4B"/>
    <w:rsid w:val="002A7059"/>
    <w:rsid w:val="002A706D"/>
    <w:rsid w:val="002A77B5"/>
    <w:rsid w:val="002A7B0C"/>
    <w:rsid w:val="002A7E0D"/>
    <w:rsid w:val="002B0534"/>
    <w:rsid w:val="002B0775"/>
    <w:rsid w:val="002B0C1D"/>
    <w:rsid w:val="002B1337"/>
    <w:rsid w:val="002B25DC"/>
    <w:rsid w:val="002B2D52"/>
    <w:rsid w:val="002B33D1"/>
    <w:rsid w:val="002B33E9"/>
    <w:rsid w:val="002B3F57"/>
    <w:rsid w:val="002B40AF"/>
    <w:rsid w:val="002B4541"/>
    <w:rsid w:val="002B48A1"/>
    <w:rsid w:val="002B4ACE"/>
    <w:rsid w:val="002B4BE1"/>
    <w:rsid w:val="002B4E0C"/>
    <w:rsid w:val="002B4FE0"/>
    <w:rsid w:val="002B5103"/>
    <w:rsid w:val="002B520E"/>
    <w:rsid w:val="002B52C2"/>
    <w:rsid w:val="002B593E"/>
    <w:rsid w:val="002B59BC"/>
    <w:rsid w:val="002B5BBD"/>
    <w:rsid w:val="002B5BE9"/>
    <w:rsid w:val="002B5E89"/>
    <w:rsid w:val="002B6311"/>
    <w:rsid w:val="002B6C82"/>
    <w:rsid w:val="002B70D5"/>
    <w:rsid w:val="002B738A"/>
    <w:rsid w:val="002B7978"/>
    <w:rsid w:val="002B7E11"/>
    <w:rsid w:val="002B7F11"/>
    <w:rsid w:val="002C0371"/>
    <w:rsid w:val="002C06ED"/>
    <w:rsid w:val="002C113A"/>
    <w:rsid w:val="002C1255"/>
    <w:rsid w:val="002C1566"/>
    <w:rsid w:val="002C1F2D"/>
    <w:rsid w:val="002C1FF8"/>
    <w:rsid w:val="002C3AA9"/>
    <w:rsid w:val="002C3C7D"/>
    <w:rsid w:val="002C4053"/>
    <w:rsid w:val="002C4476"/>
    <w:rsid w:val="002C44C1"/>
    <w:rsid w:val="002C4512"/>
    <w:rsid w:val="002C45B7"/>
    <w:rsid w:val="002C4E95"/>
    <w:rsid w:val="002C4FDC"/>
    <w:rsid w:val="002C561D"/>
    <w:rsid w:val="002C58BB"/>
    <w:rsid w:val="002C5963"/>
    <w:rsid w:val="002C5BF8"/>
    <w:rsid w:val="002C5DFF"/>
    <w:rsid w:val="002C610A"/>
    <w:rsid w:val="002C616D"/>
    <w:rsid w:val="002C6339"/>
    <w:rsid w:val="002C6539"/>
    <w:rsid w:val="002C66A8"/>
    <w:rsid w:val="002C6A7C"/>
    <w:rsid w:val="002C7334"/>
    <w:rsid w:val="002C7709"/>
    <w:rsid w:val="002C78CF"/>
    <w:rsid w:val="002D0B15"/>
    <w:rsid w:val="002D0C97"/>
    <w:rsid w:val="002D0F71"/>
    <w:rsid w:val="002D134F"/>
    <w:rsid w:val="002D139F"/>
    <w:rsid w:val="002D1806"/>
    <w:rsid w:val="002D24CD"/>
    <w:rsid w:val="002D2A4C"/>
    <w:rsid w:val="002D30C7"/>
    <w:rsid w:val="002D3495"/>
    <w:rsid w:val="002D42BE"/>
    <w:rsid w:val="002D454E"/>
    <w:rsid w:val="002D4862"/>
    <w:rsid w:val="002D48CE"/>
    <w:rsid w:val="002D5086"/>
    <w:rsid w:val="002D512A"/>
    <w:rsid w:val="002D6C5A"/>
    <w:rsid w:val="002D7DF3"/>
    <w:rsid w:val="002E0571"/>
    <w:rsid w:val="002E090C"/>
    <w:rsid w:val="002E0E60"/>
    <w:rsid w:val="002E0FA2"/>
    <w:rsid w:val="002E0FF5"/>
    <w:rsid w:val="002E1219"/>
    <w:rsid w:val="002E16B9"/>
    <w:rsid w:val="002E1B90"/>
    <w:rsid w:val="002E1E39"/>
    <w:rsid w:val="002E291B"/>
    <w:rsid w:val="002E2B4E"/>
    <w:rsid w:val="002E2CFA"/>
    <w:rsid w:val="002E324C"/>
    <w:rsid w:val="002E3346"/>
    <w:rsid w:val="002E38EF"/>
    <w:rsid w:val="002E391D"/>
    <w:rsid w:val="002E391F"/>
    <w:rsid w:val="002E41BB"/>
    <w:rsid w:val="002E46CB"/>
    <w:rsid w:val="002E4A55"/>
    <w:rsid w:val="002E4D79"/>
    <w:rsid w:val="002E54F7"/>
    <w:rsid w:val="002E55E4"/>
    <w:rsid w:val="002E5FCA"/>
    <w:rsid w:val="002E71F6"/>
    <w:rsid w:val="002E74EE"/>
    <w:rsid w:val="002E75BF"/>
    <w:rsid w:val="002E78A7"/>
    <w:rsid w:val="002E7E66"/>
    <w:rsid w:val="002F02D9"/>
    <w:rsid w:val="002F03D1"/>
    <w:rsid w:val="002F05A9"/>
    <w:rsid w:val="002F13D4"/>
    <w:rsid w:val="002F196C"/>
    <w:rsid w:val="002F19A3"/>
    <w:rsid w:val="002F1EEF"/>
    <w:rsid w:val="002F222D"/>
    <w:rsid w:val="002F271F"/>
    <w:rsid w:val="002F2E23"/>
    <w:rsid w:val="002F375E"/>
    <w:rsid w:val="002F5762"/>
    <w:rsid w:val="002F584E"/>
    <w:rsid w:val="002F62E6"/>
    <w:rsid w:val="002F660E"/>
    <w:rsid w:val="002F6DB7"/>
    <w:rsid w:val="002F6F90"/>
    <w:rsid w:val="002F71C4"/>
    <w:rsid w:val="002F7BA5"/>
    <w:rsid w:val="002F7E8C"/>
    <w:rsid w:val="003008F2"/>
    <w:rsid w:val="00300DE8"/>
    <w:rsid w:val="00301467"/>
    <w:rsid w:val="00301691"/>
    <w:rsid w:val="003026D8"/>
    <w:rsid w:val="00302AEA"/>
    <w:rsid w:val="00302EA8"/>
    <w:rsid w:val="003033EF"/>
    <w:rsid w:val="00303714"/>
    <w:rsid w:val="00303AD6"/>
    <w:rsid w:val="00303BD9"/>
    <w:rsid w:val="00303DFA"/>
    <w:rsid w:val="0030463F"/>
    <w:rsid w:val="00304A16"/>
    <w:rsid w:val="00306087"/>
    <w:rsid w:val="003060FB"/>
    <w:rsid w:val="003061F0"/>
    <w:rsid w:val="0030657D"/>
    <w:rsid w:val="003065EB"/>
    <w:rsid w:val="003065F1"/>
    <w:rsid w:val="00306A28"/>
    <w:rsid w:val="00306A34"/>
    <w:rsid w:val="00306CED"/>
    <w:rsid w:val="00306DB7"/>
    <w:rsid w:val="00307089"/>
    <w:rsid w:val="003074CF"/>
    <w:rsid w:val="00310273"/>
    <w:rsid w:val="00312568"/>
    <w:rsid w:val="003125AE"/>
    <w:rsid w:val="003135C0"/>
    <w:rsid w:val="00313968"/>
    <w:rsid w:val="0031446D"/>
    <w:rsid w:val="00314558"/>
    <w:rsid w:val="0031459F"/>
    <w:rsid w:val="0031551F"/>
    <w:rsid w:val="00315B0B"/>
    <w:rsid w:val="00315F85"/>
    <w:rsid w:val="00315FB7"/>
    <w:rsid w:val="003165D4"/>
    <w:rsid w:val="00316BCB"/>
    <w:rsid w:val="00317CD3"/>
    <w:rsid w:val="00320502"/>
    <w:rsid w:val="00321595"/>
    <w:rsid w:val="003216DC"/>
    <w:rsid w:val="00322358"/>
    <w:rsid w:val="00322600"/>
    <w:rsid w:val="003230C6"/>
    <w:rsid w:val="00323475"/>
    <w:rsid w:val="00323ED7"/>
    <w:rsid w:val="00324328"/>
    <w:rsid w:val="00325142"/>
    <w:rsid w:val="003252EC"/>
    <w:rsid w:val="00325610"/>
    <w:rsid w:val="00325D2E"/>
    <w:rsid w:val="00325E3E"/>
    <w:rsid w:val="00326274"/>
    <w:rsid w:val="00326719"/>
    <w:rsid w:val="00326D70"/>
    <w:rsid w:val="003271E7"/>
    <w:rsid w:val="003275F1"/>
    <w:rsid w:val="0032762F"/>
    <w:rsid w:val="00327D20"/>
    <w:rsid w:val="00330263"/>
    <w:rsid w:val="003309DF"/>
    <w:rsid w:val="00330EE9"/>
    <w:rsid w:val="003311E2"/>
    <w:rsid w:val="003319DD"/>
    <w:rsid w:val="003319F8"/>
    <w:rsid w:val="0033247B"/>
    <w:rsid w:val="00333E78"/>
    <w:rsid w:val="00333F86"/>
    <w:rsid w:val="0033466E"/>
    <w:rsid w:val="00334C15"/>
    <w:rsid w:val="00334D28"/>
    <w:rsid w:val="003356AC"/>
    <w:rsid w:val="00335A64"/>
    <w:rsid w:val="003367E9"/>
    <w:rsid w:val="00336C97"/>
    <w:rsid w:val="00336FCE"/>
    <w:rsid w:val="0033740F"/>
    <w:rsid w:val="00337885"/>
    <w:rsid w:val="00337CCB"/>
    <w:rsid w:val="0034002E"/>
    <w:rsid w:val="003403DF"/>
    <w:rsid w:val="00340E3C"/>
    <w:rsid w:val="003411FB"/>
    <w:rsid w:val="0034133D"/>
    <w:rsid w:val="00341AF7"/>
    <w:rsid w:val="00341B0D"/>
    <w:rsid w:val="00341D71"/>
    <w:rsid w:val="00341F93"/>
    <w:rsid w:val="003422CC"/>
    <w:rsid w:val="003426E4"/>
    <w:rsid w:val="003432D5"/>
    <w:rsid w:val="00343AB1"/>
    <w:rsid w:val="00343EC8"/>
    <w:rsid w:val="003444C4"/>
    <w:rsid w:val="0034549B"/>
    <w:rsid w:val="0034638C"/>
    <w:rsid w:val="00346ADF"/>
    <w:rsid w:val="00346E29"/>
    <w:rsid w:val="00347457"/>
    <w:rsid w:val="00347A93"/>
    <w:rsid w:val="00347EDF"/>
    <w:rsid w:val="00350202"/>
    <w:rsid w:val="00350785"/>
    <w:rsid w:val="00350CE5"/>
    <w:rsid w:val="0035175F"/>
    <w:rsid w:val="0035229C"/>
    <w:rsid w:val="00352670"/>
    <w:rsid w:val="003539A6"/>
    <w:rsid w:val="00354510"/>
    <w:rsid w:val="003546DF"/>
    <w:rsid w:val="00354B16"/>
    <w:rsid w:val="0035533B"/>
    <w:rsid w:val="003558C9"/>
    <w:rsid w:val="003558CF"/>
    <w:rsid w:val="00355AB0"/>
    <w:rsid w:val="00356980"/>
    <w:rsid w:val="00356B7D"/>
    <w:rsid w:val="00356C66"/>
    <w:rsid w:val="003570EC"/>
    <w:rsid w:val="00357F64"/>
    <w:rsid w:val="00360D8E"/>
    <w:rsid w:val="0036124F"/>
    <w:rsid w:val="00361537"/>
    <w:rsid w:val="00361C7A"/>
    <w:rsid w:val="00362548"/>
    <w:rsid w:val="003634E8"/>
    <w:rsid w:val="003637BB"/>
    <w:rsid w:val="00363867"/>
    <w:rsid w:val="003640D1"/>
    <w:rsid w:val="00364606"/>
    <w:rsid w:val="00364649"/>
    <w:rsid w:val="00364878"/>
    <w:rsid w:val="00364A5C"/>
    <w:rsid w:val="00365115"/>
    <w:rsid w:val="003652CE"/>
    <w:rsid w:val="00365903"/>
    <w:rsid w:val="00366026"/>
    <w:rsid w:val="0036604E"/>
    <w:rsid w:val="00366204"/>
    <w:rsid w:val="00366365"/>
    <w:rsid w:val="003664A1"/>
    <w:rsid w:val="00366983"/>
    <w:rsid w:val="00366B32"/>
    <w:rsid w:val="00366BC2"/>
    <w:rsid w:val="00366F60"/>
    <w:rsid w:val="0036729E"/>
    <w:rsid w:val="00367CD1"/>
    <w:rsid w:val="00367E2A"/>
    <w:rsid w:val="00370481"/>
    <w:rsid w:val="00370637"/>
    <w:rsid w:val="00370678"/>
    <w:rsid w:val="00370B2D"/>
    <w:rsid w:val="00370E6F"/>
    <w:rsid w:val="00371092"/>
    <w:rsid w:val="0037115E"/>
    <w:rsid w:val="003715A0"/>
    <w:rsid w:val="00371BF4"/>
    <w:rsid w:val="00371CEF"/>
    <w:rsid w:val="00371D47"/>
    <w:rsid w:val="00371E79"/>
    <w:rsid w:val="00372237"/>
    <w:rsid w:val="00372D13"/>
    <w:rsid w:val="00372E24"/>
    <w:rsid w:val="00373044"/>
    <w:rsid w:val="00373721"/>
    <w:rsid w:val="003738A8"/>
    <w:rsid w:val="00373F7B"/>
    <w:rsid w:val="00374646"/>
    <w:rsid w:val="00375032"/>
    <w:rsid w:val="003759B6"/>
    <w:rsid w:val="003760E0"/>
    <w:rsid w:val="003761D0"/>
    <w:rsid w:val="00376FAE"/>
    <w:rsid w:val="0037709C"/>
    <w:rsid w:val="00377130"/>
    <w:rsid w:val="0037750C"/>
    <w:rsid w:val="00377C5F"/>
    <w:rsid w:val="00380502"/>
    <w:rsid w:val="0038058B"/>
    <w:rsid w:val="00380685"/>
    <w:rsid w:val="003808DA"/>
    <w:rsid w:val="00380A2A"/>
    <w:rsid w:val="00380FFF"/>
    <w:rsid w:val="0038145B"/>
    <w:rsid w:val="00381D52"/>
    <w:rsid w:val="00381DAD"/>
    <w:rsid w:val="00381F56"/>
    <w:rsid w:val="003823BD"/>
    <w:rsid w:val="003824F8"/>
    <w:rsid w:val="00382976"/>
    <w:rsid w:val="00382BBC"/>
    <w:rsid w:val="00382FBD"/>
    <w:rsid w:val="0038314C"/>
    <w:rsid w:val="0038395C"/>
    <w:rsid w:val="00383F1A"/>
    <w:rsid w:val="003841A5"/>
    <w:rsid w:val="0038445D"/>
    <w:rsid w:val="003861AF"/>
    <w:rsid w:val="003862F0"/>
    <w:rsid w:val="0038682F"/>
    <w:rsid w:val="00387118"/>
    <w:rsid w:val="00387263"/>
    <w:rsid w:val="003873A4"/>
    <w:rsid w:val="00387654"/>
    <w:rsid w:val="003879E9"/>
    <w:rsid w:val="00387A0E"/>
    <w:rsid w:val="00387D65"/>
    <w:rsid w:val="00390044"/>
    <w:rsid w:val="0039075E"/>
    <w:rsid w:val="0039087D"/>
    <w:rsid w:val="00391B34"/>
    <w:rsid w:val="003921D0"/>
    <w:rsid w:val="00392303"/>
    <w:rsid w:val="00392434"/>
    <w:rsid w:val="003929D8"/>
    <w:rsid w:val="00393398"/>
    <w:rsid w:val="003933AB"/>
    <w:rsid w:val="0039390C"/>
    <w:rsid w:val="00393A72"/>
    <w:rsid w:val="003948F4"/>
    <w:rsid w:val="00395031"/>
    <w:rsid w:val="00395544"/>
    <w:rsid w:val="003957E2"/>
    <w:rsid w:val="00395ED1"/>
    <w:rsid w:val="00395F17"/>
    <w:rsid w:val="003964D2"/>
    <w:rsid w:val="00396FF7"/>
    <w:rsid w:val="00397AD4"/>
    <w:rsid w:val="00397C78"/>
    <w:rsid w:val="003A00C2"/>
    <w:rsid w:val="003A0216"/>
    <w:rsid w:val="003A04B9"/>
    <w:rsid w:val="003A0501"/>
    <w:rsid w:val="003A0562"/>
    <w:rsid w:val="003A0800"/>
    <w:rsid w:val="003A0910"/>
    <w:rsid w:val="003A18CF"/>
    <w:rsid w:val="003A1E97"/>
    <w:rsid w:val="003A21C5"/>
    <w:rsid w:val="003A2BAB"/>
    <w:rsid w:val="003A2FA5"/>
    <w:rsid w:val="003A3268"/>
    <w:rsid w:val="003A3AFF"/>
    <w:rsid w:val="003A4395"/>
    <w:rsid w:val="003A4602"/>
    <w:rsid w:val="003A4862"/>
    <w:rsid w:val="003A4B77"/>
    <w:rsid w:val="003A521B"/>
    <w:rsid w:val="003A5587"/>
    <w:rsid w:val="003A5F72"/>
    <w:rsid w:val="003A61A5"/>
    <w:rsid w:val="003A6213"/>
    <w:rsid w:val="003A6939"/>
    <w:rsid w:val="003A6C7D"/>
    <w:rsid w:val="003A6E50"/>
    <w:rsid w:val="003A72B7"/>
    <w:rsid w:val="003A73FE"/>
    <w:rsid w:val="003A78E6"/>
    <w:rsid w:val="003A7B55"/>
    <w:rsid w:val="003A7E6F"/>
    <w:rsid w:val="003B0128"/>
    <w:rsid w:val="003B09A2"/>
    <w:rsid w:val="003B0AC7"/>
    <w:rsid w:val="003B0C90"/>
    <w:rsid w:val="003B0E12"/>
    <w:rsid w:val="003B0F9A"/>
    <w:rsid w:val="003B1447"/>
    <w:rsid w:val="003B21F7"/>
    <w:rsid w:val="003B23D8"/>
    <w:rsid w:val="003B2AF1"/>
    <w:rsid w:val="003B2F3E"/>
    <w:rsid w:val="003B32FC"/>
    <w:rsid w:val="003B3341"/>
    <w:rsid w:val="003B36C3"/>
    <w:rsid w:val="003B392E"/>
    <w:rsid w:val="003B3B2E"/>
    <w:rsid w:val="003B42BC"/>
    <w:rsid w:val="003B4E0F"/>
    <w:rsid w:val="003B54C8"/>
    <w:rsid w:val="003B5B51"/>
    <w:rsid w:val="003B5E7F"/>
    <w:rsid w:val="003B6303"/>
    <w:rsid w:val="003B668F"/>
    <w:rsid w:val="003B6769"/>
    <w:rsid w:val="003B699F"/>
    <w:rsid w:val="003B6CDF"/>
    <w:rsid w:val="003B702B"/>
    <w:rsid w:val="003B7543"/>
    <w:rsid w:val="003C023B"/>
    <w:rsid w:val="003C089A"/>
    <w:rsid w:val="003C0A57"/>
    <w:rsid w:val="003C1E0F"/>
    <w:rsid w:val="003C1FEE"/>
    <w:rsid w:val="003C21D3"/>
    <w:rsid w:val="003C2AF9"/>
    <w:rsid w:val="003C30C4"/>
    <w:rsid w:val="003C3550"/>
    <w:rsid w:val="003C3C48"/>
    <w:rsid w:val="003C3F82"/>
    <w:rsid w:val="003C3FA7"/>
    <w:rsid w:val="003C4974"/>
    <w:rsid w:val="003C5AF5"/>
    <w:rsid w:val="003C6B59"/>
    <w:rsid w:val="003C6C3A"/>
    <w:rsid w:val="003C6E4B"/>
    <w:rsid w:val="003C7D04"/>
    <w:rsid w:val="003C7EA9"/>
    <w:rsid w:val="003D0007"/>
    <w:rsid w:val="003D0A7A"/>
    <w:rsid w:val="003D0BF4"/>
    <w:rsid w:val="003D138C"/>
    <w:rsid w:val="003D167A"/>
    <w:rsid w:val="003D19D1"/>
    <w:rsid w:val="003D2077"/>
    <w:rsid w:val="003D2240"/>
    <w:rsid w:val="003D22BE"/>
    <w:rsid w:val="003D2549"/>
    <w:rsid w:val="003D2874"/>
    <w:rsid w:val="003D2AEE"/>
    <w:rsid w:val="003D2C17"/>
    <w:rsid w:val="003D3350"/>
    <w:rsid w:val="003D3386"/>
    <w:rsid w:val="003D356E"/>
    <w:rsid w:val="003D3862"/>
    <w:rsid w:val="003D4130"/>
    <w:rsid w:val="003D43EB"/>
    <w:rsid w:val="003D47AA"/>
    <w:rsid w:val="003D4CF9"/>
    <w:rsid w:val="003D5337"/>
    <w:rsid w:val="003D5D9E"/>
    <w:rsid w:val="003D78EF"/>
    <w:rsid w:val="003D7BCD"/>
    <w:rsid w:val="003D7F0F"/>
    <w:rsid w:val="003E0084"/>
    <w:rsid w:val="003E0CEF"/>
    <w:rsid w:val="003E0E52"/>
    <w:rsid w:val="003E102C"/>
    <w:rsid w:val="003E1666"/>
    <w:rsid w:val="003E177A"/>
    <w:rsid w:val="003E1793"/>
    <w:rsid w:val="003E1DB6"/>
    <w:rsid w:val="003E2252"/>
    <w:rsid w:val="003E2779"/>
    <w:rsid w:val="003E298D"/>
    <w:rsid w:val="003E3066"/>
    <w:rsid w:val="003E466F"/>
    <w:rsid w:val="003E4AEB"/>
    <w:rsid w:val="003E5981"/>
    <w:rsid w:val="003E5E47"/>
    <w:rsid w:val="003E5F30"/>
    <w:rsid w:val="003E5FE8"/>
    <w:rsid w:val="003E60DB"/>
    <w:rsid w:val="003E6826"/>
    <w:rsid w:val="003E71FF"/>
    <w:rsid w:val="003E75D3"/>
    <w:rsid w:val="003E7636"/>
    <w:rsid w:val="003F0136"/>
    <w:rsid w:val="003F0379"/>
    <w:rsid w:val="003F06AC"/>
    <w:rsid w:val="003F0EB8"/>
    <w:rsid w:val="003F0EE8"/>
    <w:rsid w:val="003F12C5"/>
    <w:rsid w:val="003F1BB0"/>
    <w:rsid w:val="003F1D52"/>
    <w:rsid w:val="003F247B"/>
    <w:rsid w:val="003F265F"/>
    <w:rsid w:val="003F2C4F"/>
    <w:rsid w:val="003F31C8"/>
    <w:rsid w:val="003F327E"/>
    <w:rsid w:val="003F36CA"/>
    <w:rsid w:val="003F40F6"/>
    <w:rsid w:val="003F4418"/>
    <w:rsid w:val="003F4B91"/>
    <w:rsid w:val="003F4BD0"/>
    <w:rsid w:val="003F4DEB"/>
    <w:rsid w:val="003F4E76"/>
    <w:rsid w:val="003F5954"/>
    <w:rsid w:val="003F65AE"/>
    <w:rsid w:val="003F66C4"/>
    <w:rsid w:val="003F6D54"/>
    <w:rsid w:val="003F709A"/>
    <w:rsid w:val="003F731A"/>
    <w:rsid w:val="003F77EA"/>
    <w:rsid w:val="003F7927"/>
    <w:rsid w:val="00400943"/>
    <w:rsid w:val="00401044"/>
    <w:rsid w:val="00401592"/>
    <w:rsid w:val="00401CFF"/>
    <w:rsid w:val="00401DFC"/>
    <w:rsid w:val="00402643"/>
    <w:rsid w:val="00402A9E"/>
    <w:rsid w:val="00402B73"/>
    <w:rsid w:val="00402F5B"/>
    <w:rsid w:val="00403262"/>
    <w:rsid w:val="004035F3"/>
    <w:rsid w:val="00403FB0"/>
    <w:rsid w:val="00404F7D"/>
    <w:rsid w:val="00405668"/>
    <w:rsid w:val="00405F08"/>
    <w:rsid w:val="00406CE8"/>
    <w:rsid w:val="00406D71"/>
    <w:rsid w:val="00406FE3"/>
    <w:rsid w:val="00407D50"/>
    <w:rsid w:val="00407F9B"/>
    <w:rsid w:val="00410562"/>
    <w:rsid w:val="00410963"/>
    <w:rsid w:val="00410F0E"/>
    <w:rsid w:val="00410F93"/>
    <w:rsid w:val="00411296"/>
    <w:rsid w:val="00411527"/>
    <w:rsid w:val="00411630"/>
    <w:rsid w:val="004117CE"/>
    <w:rsid w:val="004123A2"/>
    <w:rsid w:val="00412462"/>
    <w:rsid w:val="00412A41"/>
    <w:rsid w:val="004132BA"/>
    <w:rsid w:val="004136E6"/>
    <w:rsid w:val="0041378F"/>
    <w:rsid w:val="004139C8"/>
    <w:rsid w:val="00413AA2"/>
    <w:rsid w:val="00414014"/>
    <w:rsid w:val="004142BC"/>
    <w:rsid w:val="004145B5"/>
    <w:rsid w:val="00414829"/>
    <w:rsid w:val="00414922"/>
    <w:rsid w:val="00415138"/>
    <w:rsid w:val="00415F77"/>
    <w:rsid w:val="00416341"/>
    <w:rsid w:val="004163D3"/>
    <w:rsid w:val="00416404"/>
    <w:rsid w:val="00416B49"/>
    <w:rsid w:val="004173DA"/>
    <w:rsid w:val="00417569"/>
    <w:rsid w:val="00417F82"/>
    <w:rsid w:val="00420B57"/>
    <w:rsid w:val="00420E03"/>
    <w:rsid w:val="00421431"/>
    <w:rsid w:val="004214B4"/>
    <w:rsid w:val="00421551"/>
    <w:rsid w:val="004218DF"/>
    <w:rsid w:val="0042198F"/>
    <w:rsid w:val="004219C5"/>
    <w:rsid w:val="00421A49"/>
    <w:rsid w:val="00421C51"/>
    <w:rsid w:val="00421CCE"/>
    <w:rsid w:val="004228A6"/>
    <w:rsid w:val="00422CFF"/>
    <w:rsid w:val="0042309E"/>
    <w:rsid w:val="004232AD"/>
    <w:rsid w:val="004236A2"/>
    <w:rsid w:val="00423EA0"/>
    <w:rsid w:val="00423F09"/>
    <w:rsid w:val="004240B5"/>
    <w:rsid w:val="004241CD"/>
    <w:rsid w:val="004245EB"/>
    <w:rsid w:val="0042481C"/>
    <w:rsid w:val="004249DB"/>
    <w:rsid w:val="00424DE4"/>
    <w:rsid w:val="0042576A"/>
    <w:rsid w:val="00425BA9"/>
    <w:rsid w:val="00426161"/>
    <w:rsid w:val="00426569"/>
    <w:rsid w:val="00426B40"/>
    <w:rsid w:val="00426C29"/>
    <w:rsid w:val="00426C9B"/>
    <w:rsid w:val="004270B8"/>
    <w:rsid w:val="00427658"/>
    <w:rsid w:val="00427D98"/>
    <w:rsid w:val="0043045F"/>
    <w:rsid w:val="00430D48"/>
    <w:rsid w:val="0043145D"/>
    <w:rsid w:val="0043187C"/>
    <w:rsid w:val="00431D15"/>
    <w:rsid w:val="00431F30"/>
    <w:rsid w:val="00432127"/>
    <w:rsid w:val="00432855"/>
    <w:rsid w:val="00432F8E"/>
    <w:rsid w:val="0043303A"/>
    <w:rsid w:val="00433FFC"/>
    <w:rsid w:val="004340BC"/>
    <w:rsid w:val="004340F7"/>
    <w:rsid w:val="004343FB"/>
    <w:rsid w:val="00434AE7"/>
    <w:rsid w:val="00434D8A"/>
    <w:rsid w:val="00434F47"/>
    <w:rsid w:val="00435402"/>
    <w:rsid w:val="004360FE"/>
    <w:rsid w:val="00436F99"/>
    <w:rsid w:val="00436FAE"/>
    <w:rsid w:val="004378C7"/>
    <w:rsid w:val="00437C41"/>
    <w:rsid w:val="004409DB"/>
    <w:rsid w:val="00440FAF"/>
    <w:rsid w:val="00441288"/>
    <w:rsid w:val="004412F2"/>
    <w:rsid w:val="00441627"/>
    <w:rsid w:val="0044274D"/>
    <w:rsid w:val="00443BAF"/>
    <w:rsid w:val="004441CB"/>
    <w:rsid w:val="00444FEB"/>
    <w:rsid w:val="00445147"/>
    <w:rsid w:val="00445738"/>
    <w:rsid w:val="00445900"/>
    <w:rsid w:val="00445CBB"/>
    <w:rsid w:val="00445E50"/>
    <w:rsid w:val="004469C7"/>
    <w:rsid w:val="00446B25"/>
    <w:rsid w:val="00446B75"/>
    <w:rsid w:val="004470F3"/>
    <w:rsid w:val="00447180"/>
    <w:rsid w:val="0044736D"/>
    <w:rsid w:val="00447728"/>
    <w:rsid w:val="00450781"/>
    <w:rsid w:val="00450883"/>
    <w:rsid w:val="004508AB"/>
    <w:rsid w:val="0045093D"/>
    <w:rsid w:val="00450C45"/>
    <w:rsid w:val="004512E1"/>
    <w:rsid w:val="00451F89"/>
    <w:rsid w:val="00452ACB"/>
    <w:rsid w:val="00452CBF"/>
    <w:rsid w:val="00453B6A"/>
    <w:rsid w:val="00454153"/>
    <w:rsid w:val="0045416F"/>
    <w:rsid w:val="00454629"/>
    <w:rsid w:val="00454860"/>
    <w:rsid w:val="00454A54"/>
    <w:rsid w:val="004550FC"/>
    <w:rsid w:val="0045581D"/>
    <w:rsid w:val="00456329"/>
    <w:rsid w:val="004565F3"/>
    <w:rsid w:val="004566B8"/>
    <w:rsid w:val="00456AEA"/>
    <w:rsid w:val="00456FCA"/>
    <w:rsid w:val="00457435"/>
    <w:rsid w:val="004577B1"/>
    <w:rsid w:val="00457B47"/>
    <w:rsid w:val="00457D3E"/>
    <w:rsid w:val="00460377"/>
    <w:rsid w:val="0046154A"/>
    <w:rsid w:val="00461A34"/>
    <w:rsid w:val="00462094"/>
    <w:rsid w:val="004625F2"/>
    <w:rsid w:val="00462BF9"/>
    <w:rsid w:val="00462E1E"/>
    <w:rsid w:val="00463376"/>
    <w:rsid w:val="004638F2"/>
    <w:rsid w:val="00464118"/>
    <w:rsid w:val="004641C2"/>
    <w:rsid w:val="00464329"/>
    <w:rsid w:val="00464393"/>
    <w:rsid w:val="004649BF"/>
    <w:rsid w:val="00465B7F"/>
    <w:rsid w:val="00465DAF"/>
    <w:rsid w:val="00466905"/>
    <w:rsid w:val="00466BA1"/>
    <w:rsid w:val="00466F8F"/>
    <w:rsid w:val="004670CA"/>
    <w:rsid w:val="0046732E"/>
    <w:rsid w:val="00467C0B"/>
    <w:rsid w:val="004702F1"/>
    <w:rsid w:val="004707B3"/>
    <w:rsid w:val="00470BE0"/>
    <w:rsid w:val="00470CEF"/>
    <w:rsid w:val="00471A12"/>
    <w:rsid w:val="00471CBB"/>
    <w:rsid w:val="004726A3"/>
    <w:rsid w:val="004728E1"/>
    <w:rsid w:val="00473588"/>
    <w:rsid w:val="0047376D"/>
    <w:rsid w:val="004743AC"/>
    <w:rsid w:val="004749DB"/>
    <w:rsid w:val="00474B53"/>
    <w:rsid w:val="00474B60"/>
    <w:rsid w:val="004751E7"/>
    <w:rsid w:val="004751E9"/>
    <w:rsid w:val="004753F9"/>
    <w:rsid w:val="00476545"/>
    <w:rsid w:val="0047654A"/>
    <w:rsid w:val="0047696E"/>
    <w:rsid w:val="00476B20"/>
    <w:rsid w:val="004776B3"/>
    <w:rsid w:val="00477F42"/>
    <w:rsid w:val="00480446"/>
    <w:rsid w:val="00480AAF"/>
    <w:rsid w:val="00480BF6"/>
    <w:rsid w:val="00481008"/>
    <w:rsid w:val="0048142A"/>
    <w:rsid w:val="004814C4"/>
    <w:rsid w:val="00481547"/>
    <w:rsid w:val="00481E9E"/>
    <w:rsid w:val="00482332"/>
    <w:rsid w:val="004825FB"/>
    <w:rsid w:val="00482A55"/>
    <w:rsid w:val="00483085"/>
    <w:rsid w:val="004830A7"/>
    <w:rsid w:val="00483216"/>
    <w:rsid w:val="00483BF4"/>
    <w:rsid w:val="00483CB1"/>
    <w:rsid w:val="00483F2C"/>
    <w:rsid w:val="004845A2"/>
    <w:rsid w:val="00484687"/>
    <w:rsid w:val="004846F2"/>
    <w:rsid w:val="004850D2"/>
    <w:rsid w:val="00485E1A"/>
    <w:rsid w:val="00485FED"/>
    <w:rsid w:val="004876AD"/>
    <w:rsid w:val="004907BB"/>
    <w:rsid w:val="004907D9"/>
    <w:rsid w:val="00491140"/>
    <w:rsid w:val="00491B61"/>
    <w:rsid w:val="00491E98"/>
    <w:rsid w:val="00492821"/>
    <w:rsid w:val="0049296C"/>
    <w:rsid w:val="00492DCE"/>
    <w:rsid w:val="004931F3"/>
    <w:rsid w:val="00493351"/>
    <w:rsid w:val="00493895"/>
    <w:rsid w:val="00493991"/>
    <w:rsid w:val="00493A7D"/>
    <w:rsid w:val="00493FDA"/>
    <w:rsid w:val="004946A3"/>
    <w:rsid w:val="004947A7"/>
    <w:rsid w:val="00494B0F"/>
    <w:rsid w:val="00494B9F"/>
    <w:rsid w:val="00494D7D"/>
    <w:rsid w:val="00495715"/>
    <w:rsid w:val="004957E9"/>
    <w:rsid w:val="00495AA8"/>
    <w:rsid w:val="00495EFD"/>
    <w:rsid w:val="004966AD"/>
    <w:rsid w:val="004967CB"/>
    <w:rsid w:val="00497D9A"/>
    <w:rsid w:val="00497DD3"/>
    <w:rsid w:val="00497E3E"/>
    <w:rsid w:val="00497F32"/>
    <w:rsid w:val="004A017B"/>
    <w:rsid w:val="004A052B"/>
    <w:rsid w:val="004A0534"/>
    <w:rsid w:val="004A0949"/>
    <w:rsid w:val="004A0ADF"/>
    <w:rsid w:val="004A0E04"/>
    <w:rsid w:val="004A1717"/>
    <w:rsid w:val="004A17E9"/>
    <w:rsid w:val="004A2A32"/>
    <w:rsid w:val="004A2AFE"/>
    <w:rsid w:val="004A2D03"/>
    <w:rsid w:val="004A2DEB"/>
    <w:rsid w:val="004A2E8F"/>
    <w:rsid w:val="004A30BA"/>
    <w:rsid w:val="004A31AC"/>
    <w:rsid w:val="004A3606"/>
    <w:rsid w:val="004A3BB1"/>
    <w:rsid w:val="004A43A8"/>
    <w:rsid w:val="004A482D"/>
    <w:rsid w:val="004A4AEB"/>
    <w:rsid w:val="004A4FC0"/>
    <w:rsid w:val="004A4FD6"/>
    <w:rsid w:val="004A52DD"/>
    <w:rsid w:val="004A5A3E"/>
    <w:rsid w:val="004A60A3"/>
    <w:rsid w:val="004A6359"/>
    <w:rsid w:val="004A6ED0"/>
    <w:rsid w:val="004A7344"/>
    <w:rsid w:val="004B01FD"/>
    <w:rsid w:val="004B022C"/>
    <w:rsid w:val="004B04D2"/>
    <w:rsid w:val="004B0569"/>
    <w:rsid w:val="004B16DD"/>
    <w:rsid w:val="004B172D"/>
    <w:rsid w:val="004B1E4C"/>
    <w:rsid w:val="004B2913"/>
    <w:rsid w:val="004B3919"/>
    <w:rsid w:val="004B3999"/>
    <w:rsid w:val="004B4069"/>
    <w:rsid w:val="004B45EC"/>
    <w:rsid w:val="004B4AF0"/>
    <w:rsid w:val="004B583B"/>
    <w:rsid w:val="004B588D"/>
    <w:rsid w:val="004B645D"/>
    <w:rsid w:val="004B6B24"/>
    <w:rsid w:val="004C0A38"/>
    <w:rsid w:val="004C15A4"/>
    <w:rsid w:val="004C19BA"/>
    <w:rsid w:val="004C1B38"/>
    <w:rsid w:val="004C1EC8"/>
    <w:rsid w:val="004C2048"/>
    <w:rsid w:val="004C23D5"/>
    <w:rsid w:val="004C25B7"/>
    <w:rsid w:val="004C26CF"/>
    <w:rsid w:val="004C287D"/>
    <w:rsid w:val="004C2AA2"/>
    <w:rsid w:val="004C2AF7"/>
    <w:rsid w:val="004C2E08"/>
    <w:rsid w:val="004C33C8"/>
    <w:rsid w:val="004C3BD3"/>
    <w:rsid w:val="004C5471"/>
    <w:rsid w:val="004C5487"/>
    <w:rsid w:val="004C5793"/>
    <w:rsid w:val="004C5BCF"/>
    <w:rsid w:val="004C5C8D"/>
    <w:rsid w:val="004C6660"/>
    <w:rsid w:val="004C6E57"/>
    <w:rsid w:val="004C73BA"/>
    <w:rsid w:val="004C759B"/>
    <w:rsid w:val="004C76A5"/>
    <w:rsid w:val="004C7981"/>
    <w:rsid w:val="004D05B3"/>
    <w:rsid w:val="004D0AC8"/>
    <w:rsid w:val="004D1174"/>
    <w:rsid w:val="004D1438"/>
    <w:rsid w:val="004D19E7"/>
    <w:rsid w:val="004D1C8E"/>
    <w:rsid w:val="004D2490"/>
    <w:rsid w:val="004D271D"/>
    <w:rsid w:val="004D2F5D"/>
    <w:rsid w:val="004D303D"/>
    <w:rsid w:val="004D3692"/>
    <w:rsid w:val="004D3B82"/>
    <w:rsid w:val="004D3BC8"/>
    <w:rsid w:val="004D3CAA"/>
    <w:rsid w:val="004D3CF9"/>
    <w:rsid w:val="004D45A2"/>
    <w:rsid w:val="004D4B30"/>
    <w:rsid w:val="004D4CE9"/>
    <w:rsid w:val="004D50FD"/>
    <w:rsid w:val="004D5986"/>
    <w:rsid w:val="004D5A4F"/>
    <w:rsid w:val="004D5EA9"/>
    <w:rsid w:val="004D6020"/>
    <w:rsid w:val="004D653C"/>
    <w:rsid w:val="004D6A01"/>
    <w:rsid w:val="004D6D6E"/>
    <w:rsid w:val="004D7694"/>
    <w:rsid w:val="004D7CF4"/>
    <w:rsid w:val="004E0006"/>
    <w:rsid w:val="004E0283"/>
    <w:rsid w:val="004E0354"/>
    <w:rsid w:val="004E0EF5"/>
    <w:rsid w:val="004E1935"/>
    <w:rsid w:val="004E1DEA"/>
    <w:rsid w:val="004E1F14"/>
    <w:rsid w:val="004E2403"/>
    <w:rsid w:val="004E24D7"/>
    <w:rsid w:val="004E2AF6"/>
    <w:rsid w:val="004E2BD6"/>
    <w:rsid w:val="004E2DFE"/>
    <w:rsid w:val="004E2EFE"/>
    <w:rsid w:val="004E326B"/>
    <w:rsid w:val="004E33C5"/>
    <w:rsid w:val="004E37D7"/>
    <w:rsid w:val="004E3929"/>
    <w:rsid w:val="004E4207"/>
    <w:rsid w:val="004E4586"/>
    <w:rsid w:val="004E45DC"/>
    <w:rsid w:val="004E47F2"/>
    <w:rsid w:val="004E51D8"/>
    <w:rsid w:val="004E5472"/>
    <w:rsid w:val="004E57EC"/>
    <w:rsid w:val="004E5CB5"/>
    <w:rsid w:val="004E5F90"/>
    <w:rsid w:val="004E62D1"/>
    <w:rsid w:val="004E64E1"/>
    <w:rsid w:val="004E681A"/>
    <w:rsid w:val="004E6877"/>
    <w:rsid w:val="004E6DB5"/>
    <w:rsid w:val="004E75BD"/>
    <w:rsid w:val="004E7FC0"/>
    <w:rsid w:val="004F0384"/>
    <w:rsid w:val="004F070E"/>
    <w:rsid w:val="004F0B43"/>
    <w:rsid w:val="004F153B"/>
    <w:rsid w:val="004F17CC"/>
    <w:rsid w:val="004F2707"/>
    <w:rsid w:val="004F3336"/>
    <w:rsid w:val="004F373C"/>
    <w:rsid w:val="004F37FF"/>
    <w:rsid w:val="004F3C4D"/>
    <w:rsid w:val="004F408E"/>
    <w:rsid w:val="004F4B9C"/>
    <w:rsid w:val="004F5BF8"/>
    <w:rsid w:val="004F5C73"/>
    <w:rsid w:val="004F6213"/>
    <w:rsid w:val="004F65C1"/>
    <w:rsid w:val="004F66EA"/>
    <w:rsid w:val="004F6901"/>
    <w:rsid w:val="004F7A10"/>
    <w:rsid w:val="004F7DC0"/>
    <w:rsid w:val="0050080C"/>
    <w:rsid w:val="00500A39"/>
    <w:rsid w:val="00500A46"/>
    <w:rsid w:val="00501308"/>
    <w:rsid w:val="00501406"/>
    <w:rsid w:val="00501D36"/>
    <w:rsid w:val="0050225B"/>
    <w:rsid w:val="005022D7"/>
    <w:rsid w:val="00502A56"/>
    <w:rsid w:val="00502E84"/>
    <w:rsid w:val="005033A9"/>
    <w:rsid w:val="005037D0"/>
    <w:rsid w:val="005039D3"/>
    <w:rsid w:val="00503EC8"/>
    <w:rsid w:val="005041A5"/>
    <w:rsid w:val="005042EA"/>
    <w:rsid w:val="00504F77"/>
    <w:rsid w:val="005058AE"/>
    <w:rsid w:val="00505E75"/>
    <w:rsid w:val="00506710"/>
    <w:rsid w:val="00506EB4"/>
    <w:rsid w:val="00507C05"/>
    <w:rsid w:val="00507F82"/>
    <w:rsid w:val="00510107"/>
    <w:rsid w:val="00510195"/>
    <w:rsid w:val="00510368"/>
    <w:rsid w:val="00511295"/>
    <w:rsid w:val="00511B04"/>
    <w:rsid w:val="00511D8D"/>
    <w:rsid w:val="00512024"/>
    <w:rsid w:val="005121AE"/>
    <w:rsid w:val="0051220C"/>
    <w:rsid w:val="005122C8"/>
    <w:rsid w:val="005127E7"/>
    <w:rsid w:val="00512C8C"/>
    <w:rsid w:val="00512D9D"/>
    <w:rsid w:val="0051353E"/>
    <w:rsid w:val="005138A0"/>
    <w:rsid w:val="005141FD"/>
    <w:rsid w:val="00514471"/>
    <w:rsid w:val="005144DB"/>
    <w:rsid w:val="005145B8"/>
    <w:rsid w:val="00514807"/>
    <w:rsid w:val="00514888"/>
    <w:rsid w:val="00514922"/>
    <w:rsid w:val="00514AB2"/>
    <w:rsid w:val="00515564"/>
    <w:rsid w:val="005167CF"/>
    <w:rsid w:val="005172C4"/>
    <w:rsid w:val="0052081C"/>
    <w:rsid w:val="00521611"/>
    <w:rsid w:val="00521F59"/>
    <w:rsid w:val="005226B4"/>
    <w:rsid w:val="005229EA"/>
    <w:rsid w:val="00522D34"/>
    <w:rsid w:val="00522EC5"/>
    <w:rsid w:val="00523F3B"/>
    <w:rsid w:val="00523F52"/>
    <w:rsid w:val="0052401E"/>
    <w:rsid w:val="005243D9"/>
    <w:rsid w:val="00524918"/>
    <w:rsid w:val="00524C7A"/>
    <w:rsid w:val="00525867"/>
    <w:rsid w:val="0052587D"/>
    <w:rsid w:val="00525D4F"/>
    <w:rsid w:val="00525FDB"/>
    <w:rsid w:val="00525FE4"/>
    <w:rsid w:val="0052634B"/>
    <w:rsid w:val="0052665D"/>
    <w:rsid w:val="00526B56"/>
    <w:rsid w:val="00526CA5"/>
    <w:rsid w:val="00526ED1"/>
    <w:rsid w:val="00527850"/>
    <w:rsid w:val="00531239"/>
    <w:rsid w:val="00531553"/>
    <w:rsid w:val="00531F20"/>
    <w:rsid w:val="005322AA"/>
    <w:rsid w:val="0053282F"/>
    <w:rsid w:val="00533382"/>
    <w:rsid w:val="005335DE"/>
    <w:rsid w:val="0053413D"/>
    <w:rsid w:val="00534338"/>
    <w:rsid w:val="005346C6"/>
    <w:rsid w:val="00534B79"/>
    <w:rsid w:val="00535837"/>
    <w:rsid w:val="00535BBA"/>
    <w:rsid w:val="00535C00"/>
    <w:rsid w:val="00535EDF"/>
    <w:rsid w:val="00535FCD"/>
    <w:rsid w:val="005362DD"/>
    <w:rsid w:val="005366D4"/>
    <w:rsid w:val="00536BDC"/>
    <w:rsid w:val="005375BA"/>
    <w:rsid w:val="005377D4"/>
    <w:rsid w:val="00537A17"/>
    <w:rsid w:val="00537E27"/>
    <w:rsid w:val="0054059A"/>
    <w:rsid w:val="005407AE"/>
    <w:rsid w:val="005408FF"/>
    <w:rsid w:val="005409DD"/>
    <w:rsid w:val="00541078"/>
    <w:rsid w:val="005413F2"/>
    <w:rsid w:val="005413F5"/>
    <w:rsid w:val="0054167E"/>
    <w:rsid w:val="00541808"/>
    <w:rsid w:val="00542098"/>
    <w:rsid w:val="005422BD"/>
    <w:rsid w:val="005425BF"/>
    <w:rsid w:val="005432E4"/>
    <w:rsid w:val="005433DB"/>
    <w:rsid w:val="00543C50"/>
    <w:rsid w:val="005446DB"/>
    <w:rsid w:val="0054480A"/>
    <w:rsid w:val="005449FF"/>
    <w:rsid w:val="005451C0"/>
    <w:rsid w:val="005453FA"/>
    <w:rsid w:val="0054565C"/>
    <w:rsid w:val="0054571C"/>
    <w:rsid w:val="00545F54"/>
    <w:rsid w:val="005463C0"/>
    <w:rsid w:val="005465F2"/>
    <w:rsid w:val="005466A4"/>
    <w:rsid w:val="0054674E"/>
    <w:rsid w:val="00546DCA"/>
    <w:rsid w:val="00547CC6"/>
    <w:rsid w:val="00547D0C"/>
    <w:rsid w:val="00547F59"/>
    <w:rsid w:val="0055014D"/>
    <w:rsid w:val="00550879"/>
    <w:rsid w:val="00550D79"/>
    <w:rsid w:val="00550F2D"/>
    <w:rsid w:val="005511B4"/>
    <w:rsid w:val="005512FE"/>
    <w:rsid w:val="0055132B"/>
    <w:rsid w:val="005517FD"/>
    <w:rsid w:val="00552340"/>
    <w:rsid w:val="005529DF"/>
    <w:rsid w:val="00552DE6"/>
    <w:rsid w:val="00552E2B"/>
    <w:rsid w:val="00553060"/>
    <w:rsid w:val="005530D4"/>
    <w:rsid w:val="00553238"/>
    <w:rsid w:val="005537E3"/>
    <w:rsid w:val="005541C7"/>
    <w:rsid w:val="00554620"/>
    <w:rsid w:val="00554837"/>
    <w:rsid w:val="00554E3B"/>
    <w:rsid w:val="00555345"/>
    <w:rsid w:val="00555820"/>
    <w:rsid w:val="0055653C"/>
    <w:rsid w:val="00556590"/>
    <w:rsid w:val="0055661D"/>
    <w:rsid w:val="00556A45"/>
    <w:rsid w:val="00556BF1"/>
    <w:rsid w:val="00556D1E"/>
    <w:rsid w:val="00557201"/>
    <w:rsid w:val="00557379"/>
    <w:rsid w:val="00557716"/>
    <w:rsid w:val="00560141"/>
    <w:rsid w:val="005604FE"/>
    <w:rsid w:val="00560E20"/>
    <w:rsid w:val="0056112E"/>
    <w:rsid w:val="00561D7A"/>
    <w:rsid w:val="00561EB2"/>
    <w:rsid w:val="00562004"/>
    <w:rsid w:val="00562411"/>
    <w:rsid w:val="00562690"/>
    <w:rsid w:val="0056281B"/>
    <w:rsid w:val="005630B8"/>
    <w:rsid w:val="00563186"/>
    <w:rsid w:val="00563BD7"/>
    <w:rsid w:val="00563BEB"/>
    <w:rsid w:val="00563D05"/>
    <w:rsid w:val="00563E22"/>
    <w:rsid w:val="00563FEE"/>
    <w:rsid w:val="00564083"/>
    <w:rsid w:val="00564B23"/>
    <w:rsid w:val="00564E8F"/>
    <w:rsid w:val="00565349"/>
    <w:rsid w:val="00565512"/>
    <w:rsid w:val="005655FB"/>
    <w:rsid w:val="00565BC2"/>
    <w:rsid w:val="00565F97"/>
    <w:rsid w:val="00566D43"/>
    <w:rsid w:val="00567815"/>
    <w:rsid w:val="00567866"/>
    <w:rsid w:val="005700F1"/>
    <w:rsid w:val="005705EE"/>
    <w:rsid w:val="00570FB0"/>
    <w:rsid w:val="0057113F"/>
    <w:rsid w:val="0057162B"/>
    <w:rsid w:val="0057196D"/>
    <w:rsid w:val="00571BE9"/>
    <w:rsid w:val="00571C45"/>
    <w:rsid w:val="00571F58"/>
    <w:rsid w:val="005721CF"/>
    <w:rsid w:val="00572230"/>
    <w:rsid w:val="0057232B"/>
    <w:rsid w:val="0057256E"/>
    <w:rsid w:val="0057259C"/>
    <w:rsid w:val="00572ADC"/>
    <w:rsid w:val="0057330E"/>
    <w:rsid w:val="00573430"/>
    <w:rsid w:val="00573587"/>
    <w:rsid w:val="005735E6"/>
    <w:rsid w:val="00573729"/>
    <w:rsid w:val="00574536"/>
    <w:rsid w:val="005745AB"/>
    <w:rsid w:val="00574636"/>
    <w:rsid w:val="00574826"/>
    <w:rsid w:val="00574BBD"/>
    <w:rsid w:val="00574E94"/>
    <w:rsid w:val="005759AF"/>
    <w:rsid w:val="00575BE8"/>
    <w:rsid w:val="00575E1B"/>
    <w:rsid w:val="00576C0A"/>
    <w:rsid w:val="005772E3"/>
    <w:rsid w:val="005773AE"/>
    <w:rsid w:val="005775F0"/>
    <w:rsid w:val="0057798A"/>
    <w:rsid w:val="00577F86"/>
    <w:rsid w:val="0058089B"/>
    <w:rsid w:val="00580947"/>
    <w:rsid w:val="0058153C"/>
    <w:rsid w:val="00581B21"/>
    <w:rsid w:val="00581BC6"/>
    <w:rsid w:val="00581CE8"/>
    <w:rsid w:val="00581D6B"/>
    <w:rsid w:val="00581F77"/>
    <w:rsid w:val="00581F8E"/>
    <w:rsid w:val="005823C4"/>
    <w:rsid w:val="00582484"/>
    <w:rsid w:val="005824C0"/>
    <w:rsid w:val="005825EF"/>
    <w:rsid w:val="00582C01"/>
    <w:rsid w:val="005838FC"/>
    <w:rsid w:val="00583B04"/>
    <w:rsid w:val="00583C50"/>
    <w:rsid w:val="00584EF9"/>
    <w:rsid w:val="00584F2C"/>
    <w:rsid w:val="0058538D"/>
    <w:rsid w:val="005858DA"/>
    <w:rsid w:val="00585A06"/>
    <w:rsid w:val="00585DC0"/>
    <w:rsid w:val="00585EF8"/>
    <w:rsid w:val="00585F30"/>
    <w:rsid w:val="005863F1"/>
    <w:rsid w:val="00586C12"/>
    <w:rsid w:val="005874C0"/>
    <w:rsid w:val="0058758A"/>
    <w:rsid w:val="00590193"/>
    <w:rsid w:val="0059028E"/>
    <w:rsid w:val="005903C0"/>
    <w:rsid w:val="005913B7"/>
    <w:rsid w:val="005915AB"/>
    <w:rsid w:val="00591832"/>
    <w:rsid w:val="00592193"/>
    <w:rsid w:val="00592864"/>
    <w:rsid w:val="005928CF"/>
    <w:rsid w:val="00593273"/>
    <w:rsid w:val="00593BE0"/>
    <w:rsid w:val="005949A4"/>
    <w:rsid w:val="00594BAC"/>
    <w:rsid w:val="00595357"/>
    <w:rsid w:val="00595A8B"/>
    <w:rsid w:val="00595C6F"/>
    <w:rsid w:val="00595E0E"/>
    <w:rsid w:val="00596B90"/>
    <w:rsid w:val="00596BDB"/>
    <w:rsid w:val="005975ED"/>
    <w:rsid w:val="00597612"/>
    <w:rsid w:val="0059774E"/>
    <w:rsid w:val="0059781D"/>
    <w:rsid w:val="005A02C0"/>
    <w:rsid w:val="005A07A0"/>
    <w:rsid w:val="005A0F92"/>
    <w:rsid w:val="005A1156"/>
    <w:rsid w:val="005A14B2"/>
    <w:rsid w:val="005A1523"/>
    <w:rsid w:val="005A194D"/>
    <w:rsid w:val="005A260B"/>
    <w:rsid w:val="005A26D1"/>
    <w:rsid w:val="005A3F1A"/>
    <w:rsid w:val="005A496A"/>
    <w:rsid w:val="005A4DBA"/>
    <w:rsid w:val="005A50CA"/>
    <w:rsid w:val="005A525D"/>
    <w:rsid w:val="005A528B"/>
    <w:rsid w:val="005A5B1A"/>
    <w:rsid w:val="005A66F4"/>
    <w:rsid w:val="005A689C"/>
    <w:rsid w:val="005A6A6F"/>
    <w:rsid w:val="005A6EBA"/>
    <w:rsid w:val="005A7618"/>
    <w:rsid w:val="005B0176"/>
    <w:rsid w:val="005B02BD"/>
    <w:rsid w:val="005B02D0"/>
    <w:rsid w:val="005B02E5"/>
    <w:rsid w:val="005B042E"/>
    <w:rsid w:val="005B0805"/>
    <w:rsid w:val="005B1200"/>
    <w:rsid w:val="005B12F6"/>
    <w:rsid w:val="005B1D2A"/>
    <w:rsid w:val="005B1FC6"/>
    <w:rsid w:val="005B28D7"/>
    <w:rsid w:val="005B29AF"/>
    <w:rsid w:val="005B2A02"/>
    <w:rsid w:val="005B2C05"/>
    <w:rsid w:val="005B3644"/>
    <w:rsid w:val="005B379B"/>
    <w:rsid w:val="005B385D"/>
    <w:rsid w:val="005B3C72"/>
    <w:rsid w:val="005B3ED7"/>
    <w:rsid w:val="005B3F29"/>
    <w:rsid w:val="005B4062"/>
    <w:rsid w:val="005B41D9"/>
    <w:rsid w:val="005B4736"/>
    <w:rsid w:val="005B4815"/>
    <w:rsid w:val="005B4BB8"/>
    <w:rsid w:val="005B4C77"/>
    <w:rsid w:val="005B584C"/>
    <w:rsid w:val="005B5988"/>
    <w:rsid w:val="005B70AC"/>
    <w:rsid w:val="005B73E0"/>
    <w:rsid w:val="005B7807"/>
    <w:rsid w:val="005B7F8B"/>
    <w:rsid w:val="005C025E"/>
    <w:rsid w:val="005C061D"/>
    <w:rsid w:val="005C077C"/>
    <w:rsid w:val="005C0B8E"/>
    <w:rsid w:val="005C0EE8"/>
    <w:rsid w:val="005C1299"/>
    <w:rsid w:val="005C12DA"/>
    <w:rsid w:val="005C15FF"/>
    <w:rsid w:val="005C25B2"/>
    <w:rsid w:val="005C304C"/>
    <w:rsid w:val="005C3250"/>
    <w:rsid w:val="005C3755"/>
    <w:rsid w:val="005C3BCA"/>
    <w:rsid w:val="005C3BF4"/>
    <w:rsid w:val="005C3C2B"/>
    <w:rsid w:val="005C411C"/>
    <w:rsid w:val="005C4475"/>
    <w:rsid w:val="005C44D1"/>
    <w:rsid w:val="005C451D"/>
    <w:rsid w:val="005C4956"/>
    <w:rsid w:val="005C4963"/>
    <w:rsid w:val="005C4D00"/>
    <w:rsid w:val="005C519D"/>
    <w:rsid w:val="005C56B4"/>
    <w:rsid w:val="005C5B58"/>
    <w:rsid w:val="005C5D48"/>
    <w:rsid w:val="005C5E11"/>
    <w:rsid w:val="005C5EB9"/>
    <w:rsid w:val="005C6382"/>
    <w:rsid w:val="005C65B5"/>
    <w:rsid w:val="005C66C2"/>
    <w:rsid w:val="005C6864"/>
    <w:rsid w:val="005C692A"/>
    <w:rsid w:val="005C6D0C"/>
    <w:rsid w:val="005C7088"/>
    <w:rsid w:val="005C70C8"/>
    <w:rsid w:val="005C7D48"/>
    <w:rsid w:val="005D0173"/>
    <w:rsid w:val="005D031D"/>
    <w:rsid w:val="005D033A"/>
    <w:rsid w:val="005D0F32"/>
    <w:rsid w:val="005D1545"/>
    <w:rsid w:val="005D207F"/>
    <w:rsid w:val="005D2441"/>
    <w:rsid w:val="005D2B62"/>
    <w:rsid w:val="005D2E6D"/>
    <w:rsid w:val="005D3033"/>
    <w:rsid w:val="005D39A7"/>
    <w:rsid w:val="005D3ABB"/>
    <w:rsid w:val="005D3F57"/>
    <w:rsid w:val="005D4DD4"/>
    <w:rsid w:val="005D5236"/>
    <w:rsid w:val="005D5D2C"/>
    <w:rsid w:val="005D5FF4"/>
    <w:rsid w:val="005D6067"/>
    <w:rsid w:val="005D62FB"/>
    <w:rsid w:val="005D63BA"/>
    <w:rsid w:val="005D665F"/>
    <w:rsid w:val="005D67D6"/>
    <w:rsid w:val="005D6AAD"/>
    <w:rsid w:val="005D723B"/>
    <w:rsid w:val="005D79F3"/>
    <w:rsid w:val="005D7D07"/>
    <w:rsid w:val="005E09BA"/>
    <w:rsid w:val="005E1329"/>
    <w:rsid w:val="005E1998"/>
    <w:rsid w:val="005E1B69"/>
    <w:rsid w:val="005E1F6A"/>
    <w:rsid w:val="005E231D"/>
    <w:rsid w:val="005E23AC"/>
    <w:rsid w:val="005E2524"/>
    <w:rsid w:val="005E273E"/>
    <w:rsid w:val="005E2C33"/>
    <w:rsid w:val="005E2F9B"/>
    <w:rsid w:val="005E356F"/>
    <w:rsid w:val="005E36C3"/>
    <w:rsid w:val="005E387D"/>
    <w:rsid w:val="005E3951"/>
    <w:rsid w:val="005E41D6"/>
    <w:rsid w:val="005E5E30"/>
    <w:rsid w:val="005E6054"/>
    <w:rsid w:val="005E6841"/>
    <w:rsid w:val="005E6DB1"/>
    <w:rsid w:val="005E7C33"/>
    <w:rsid w:val="005F0312"/>
    <w:rsid w:val="005F07CD"/>
    <w:rsid w:val="005F0A0B"/>
    <w:rsid w:val="005F0BAE"/>
    <w:rsid w:val="005F1C00"/>
    <w:rsid w:val="005F237A"/>
    <w:rsid w:val="005F263F"/>
    <w:rsid w:val="005F2754"/>
    <w:rsid w:val="005F2A20"/>
    <w:rsid w:val="005F327A"/>
    <w:rsid w:val="005F3BC0"/>
    <w:rsid w:val="005F3D78"/>
    <w:rsid w:val="005F3DD6"/>
    <w:rsid w:val="005F3E85"/>
    <w:rsid w:val="005F462F"/>
    <w:rsid w:val="005F4DAE"/>
    <w:rsid w:val="005F4E99"/>
    <w:rsid w:val="005F51F6"/>
    <w:rsid w:val="005F5320"/>
    <w:rsid w:val="005F56C3"/>
    <w:rsid w:val="005F59BC"/>
    <w:rsid w:val="005F5F16"/>
    <w:rsid w:val="005F5F9E"/>
    <w:rsid w:val="005F5FA7"/>
    <w:rsid w:val="005F6102"/>
    <w:rsid w:val="005F61DD"/>
    <w:rsid w:val="005F65C6"/>
    <w:rsid w:val="005F6676"/>
    <w:rsid w:val="005F66B6"/>
    <w:rsid w:val="005F6886"/>
    <w:rsid w:val="005F6DA2"/>
    <w:rsid w:val="005F7187"/>
    <w:rsid w:val="005F72F0"/>
    <w:rsid w:val="005F745F"/>
    <w:rsid w:val="005F7727"/>
    <w:rsid w:val="005F7769"/>
    <w:rsid w:val="005F7AE1"/>
    <w:rsid w:val="006005A6"/>
    <w:rsid w:val="0060076C"/>
    <w:rsid w:val="00600E54"/>
    <w:rsid w:val="0060106A"/>
    <w:rsid w:val="006016CF"/>
    <w:rsid w:val="0060227B"/>
    <w:rsid w:val="006027A3"/>
    <w:rsid w:val="006043BA"/>
    <w:rsid w:val="0060463E"/>
    <w:rsid w:val="00604D2C"/>
    <w:rsid w:val="00604FB2"/>
    <w:rsid w:val="00604FC7"/>
    <w:rsid w:val="00605746"/>
    <w:rsid w:val="00606269"/>
    <w:rsid w:val="0060687A"/>
    <w:rsid w:val="00606AFB"/>
    <w:rsid w:val="00606D90"/>
    <w:rsid w:val="00606DED"/>
    <w:rsid w:val="00607066"/>
    <w:rsid w:val="006070FB"/>
    <w:rsid w:val="00607210"/>
    <w:rsid w:val="00607FF5"/>
    <w:rsid w:val="006102DE"/>
    <w:rsid w:val="0061037D"/>
    <w:rsid w:val="00611102"/>
    <w:rsid w:val="006115F5"/>
    <w:rsid w:val="0061190F"/>
    <w:rsid w:val="0061214E"/>
    <w:rsid w:val="006128FC"/>
    <w:rsid w:val="00612A11"/>
    <w:rsid w:val="00612D84"/>
    <w:rsid w:val="00612FE3"/>
    <w:rsid w:val="00614E11"/>
    <w:rsid w:val="00614F4A"/>
    <w:rsid w:val="00615A72"/>
    <w:rsid w:val="00615B53"/>
    <w:rsid w:val="00615E4C"/>
    <w:rsid w:val="00615F42"/>
    <w:rsid w:val="00616144"/>
    <w:rsid w:val="0061633E"/>
    <w:rsid w:val="00616A11"/>
    <w:rsid w:val="00616FC6"/>
    <w:rsid w:val="00617045"/>
    <w:rsid w:val="00617271"/>
    <w:rsid w:val="0061735F"/>
    <w:rsid w:val="00617556"/>
    <w:rsid w:val="0061766C"/>
    <w:rsid w:val="00617B27"/>
    <w:rsid w:val="00617E2D"/>
    <w:rsid w:val="006202A7"/>
    <w:rsid w:val="006204DA"/>
    <w:rsid w:val="00620640"/>
    <w:rsid w:val="00620AB5"/>
    <w:rsid w:val="0062177D"/>
    <w:rsid w:val="00621846"/>
    <w:rsid w:val="006221B8"/>
    <w:rsid w:val="00622561"/>
    <w:rsid w:val="00622AA1"/>
    <w:rsid w:val="00622DEC"/>
    <w:rsid w:val="00622F49"/>
    <w:rsid w:val="00623BED"/>
    <w:rsid w:val="0062404B"/>
    <w:rsid w:val="00624A7F"/>
    <w:rsid w:val="00624DD7"/>
    <w:rsid w:val="00624F83"/>
    <w:rsid w:val="0062642D"/>
    <w:rsid w:val="0062674F"/>
    <w:rsid w:val="006268C3"/>
    <w:rsid w:val="00627021"/>
    <w:rsid w:val="00627C46"/>
    <w:rsid w:val="00627EF3"/>
    <w:rsid w:val="006316A6"/>
    <w:rsid w:val="0063180E"/>
    <w:rsid w:val="00631C8F"/>
    <w:rsid w:val="00631DD0"/>
    <w:rsid w:val="006325DF"/>
    <w:rsid w:val="0063286C"/>
    <w:rsid w:val="00632EB8"/>
    <w:rsid w:val="006332FE"/>
    <w:rsid w:val="006335D5"/>
    <w:rsid w:val="006335DD"/>
    <w:rsid w:val="00633830"/>
    <w:rsid w:val="00633C2B"/>
    <w:rsid w:val="006347BE"/>
    <w:rsid w:val="006348B8"/>
    <w:rsid w:val="00634A5E"/>
    <w:rsid w:val="00634CBB"/>
    <w:rsid w:val="0063520C"/>
    <w:rsid w:val="00635224"/>
    <w:rsid w:val="006353AB"/>
    <w:rsid w:val="00635CD5"/>
    <w:rsid w:val="00635D62"/>
    <w:rsid w:val="0063621B"/>
    <w:rsid w:val="006366D4"/>
    <w:rsid w:val="00637284"/>
    <w:rsid w:val="006378F2"/>
    <w:rsid w:val="00637D23"/>
    <w:rsid w:val="00637D7B"/>
    <w:rsid w:val="00637D90"/>
    <w:rsid w:val="00640193"/>
    <w:rsid w:val="00640C33"/>
    <w:rsid w:val="0064135C"/>
    <w:rsid w:val="006419A8"/>
    <w:rsid w:val="006421C7"/>
    <w:rsid w:val="0064287A"/>
    <w:rsid w:val="006432CB"/>
    <w:rsid w:val="006439C2"/>
    <w:rsid w:val="0064527C"/>
    <w:rsid w:val="006453B4"/>
    <w:rsid w:val="006455AD"/>
    <w:rsid w:val="00646807"/>
    <w:rsid w:val="00646D22"/>
    <w:rsid w:val="00646E23"/>
    <w:rsid w:val="006479F3"/>
    <w:rsid w:val="00647A73"/>
    <w:rsid w:val="00650153"/>
    <w:rsid w:val="00650215"/>
    <w:rsid w:val="0065031F"/>
    <w:rsid w:val="00650738"/>
    <w:rsid w:val="00650CD7"/>
    <w:rsid w:val="0065188E"/>
    <w:rsid w:val="00651E08"/>
    <w:rsid w:val="00652728"/>
    <w:rsid w:val="00652B25"/>
    <w:rsid w:val="00652BB4"/>
    <w:rsid w:val="00652E21"/>
    <w:rsid w:val="00653083"/>
    <w:rsid w:val="006530C8"/>
    <w:rsid w:val="00653311"/>
    <w:rsid w:val="006538FD"/>
    <w:rsid w:val="006548B8"/>
    <w:rsid w:val="00654ABF"/>
    <w:rsid w:val="00655F71"/>
    <w:rsid w:val="00656961"/>
    <w:rsid w:val="00656B7E"/>
    <w:rsid w:val="00657BC9"/>
    <w:rsid w:val="006601ED"/>
    <w:rsid w:val="0066026C"/>
    <w:rsid w:val="00661075"/>
    <w:rsid w:val="00661742"/>
    <w:rsid w:val="00661E69"/>
    <w:rsid w:val="006621E5"/>
    <w:rsid w:val="00662E03"/>
    <w:rsid w:val="00663442"/>
    <w:rsid w:val="00663657"/>
    <w:rsid w:val="00663ED6"/>
    <w:rsid w:val="00664091"/>
    <w:rsid w:val="00664567"/>
    <w:rsid w:val="006645BB"/>
    <w:rsid w:val="006647CF"/>
    <w:rsid w:val="0066496A"/>
    <w:rsid w:val="00664A0E"/>
    <w:rsid w:val="00664C01"/>
    <w:rsid w:val="00664D24"/>
    <w:rsid w:val="00664DC0"/>
    <w:rsid w:val="00664EB2"/>
    <w:rsid w:val="006659FE"/>
    <w:rsid w:val="0066647F"/>
    <w:rsid w:val="00666C40"/>
    <w:rsid w:val="00666C8F"/>
    <w:rsid w:val="00666DCA"/>
    <w:rsid w:val="00666F1B"/>
    <w:rsid w:val="00666FB3"/>
    <w:rsid w:val="0066717D"/>
    <w:rsid w:val="00667396"/>
    <w:rsid w:val="00667599"/>
    <w:rsid w:val="006678BB"/>
    <w:rsid w:val="00667F99"/>
    <w:rsid w:val="006700B2"/>
    <w:rsid w:val="00671290"/>
    <w:rsid w:val="00671DA0"/>
    <w:rsid w:val="00671DD6"/>
    <w:rsid w:val="00671F37"/>
    <w:rsid w:val="006722DD"/>
    <w:rsid w:val="0067235D"/>
    <w:rsid w:val="00672F55"/>
    <w:rsid w:val="00672F76"/>
    <w:rsid w:val="00672FC0"/>
    <w:rsid w:val="00673511"/>
    <w:rsid w:val="00673642"/>
    <w:rsid w:val="00673AEF"/>
    <w:rsid w:val="00673EB8"/>
    <w:rsid w:val="006744B0"/>
    <w:rsid w:val="006744FD"/>
    <w:rsid w:val="00674982"/>
    <w:rsid w:val="00674FF2"/>
    <w:rsid w:val="00675283"/>
    <w:rsid w:val="00675A11"/>
    <w:rsid w:val="00675A54"/>
    <w:rsid w:val="00676B98"/>
    <w:rsid w:val="00677035"/>
    <w:rsid w:val="0068060F"/>
    <w:rsid w:val="00680AF5"/>
    <w:rsid w:val="00680D51"/>
    <w:rsid w:val="00680E41"/>
    <w:rsid w:val="00680F28"/>
    <w:rsid w:val="00681B87"/>
    <w:rsid w:val="00681C83"/>
    <w:rsid w:val="00681D82"/>
    <w:rsid w:val="0068234C"/>
    <w:rsid w:val="0068234D"/>
    <w:rsid w:val="006823AB"/>
    <w:rsid w:val="0068285B"/>
    <w:rsid w:val="00682A34"/>
    <w:rsid w:val="00682FEA"/>
    <w:rsid w:val="00683C72"/>
    <w:rsid w:val="0068404C"/>
    <w:rsid w:val="006840FC"/>
    <w:rsid w:val="006841E6"/>
    <w:rsid w:val="006847C5"/>
    <w:rsid w:val="00684871"/>
    <w:rsid w:val="00684BE4"/>
    <w:rsid w:val="00684F20"/>
    <w:rsid w:val="00684FE1"/>
    <w:rsid w:val="00685420"/>
    <w:rsid w:val="006855EE"/>
    <w:rsid w:val="0068573A"/>
    <w:rsid w:val="00685B79"/>
    <w:rsid w:val="00685C5C"/>
    <w:rsid w:val="00686898"/>
    <w:rsid w:val="00686A98"/>
    <w:rsid w:val="00686CF7"/>
    <w:rsid w:val="006870DA"/>
    <w:rsid w:val="00687A4F"/>
    <w:rsid w:val="00687D48"/>
    <w:rsid w:val="006902D7"/>
    <w:rsid w:val="00690CC4"/>
    <w:rsid w:val="00690CEB"/>
    <w:rsid w:val="00691047"/>
    <w:rsid w:val="006917CF"/>
    <w:rsid w:val="00691F01"/>
    <w:rsid w:val="0069206B"/>
    <w:rsid w:val="00692D27"/>
    <w:rsid w:val="006934D4"/>
    <w:rsid w:val="00693FEF"/>
    <w:rsid w:val="00694594"/>
    <w:rsid w:val="00694678"/>
    <w:rsid w:val="00694BD3"/>
    <w:rsid w:val="006952DC"/>
    <w:rsid w:val="006957FD"/>
    <w:rsid w:val="00695A31"/>
    <w:rsid w:val="006960EB"/>
    <w:rsid w:val="006963EA"/>
    <w:rsid w:val="0069760A"/>
    <w:rsid w:val="0069766A"/>
    <w:rsid w:val="006976BB"/>
    <w:rsid w:val="00697969"/>
    <w:rsid w:val="00697C52"/>
    <w:rsid w:val="006A1155"/>
    <w:rsid w:val="006A161C"/>
    <w:rsid w:val="006A2096"/>
    <w:rsid w:val="006A2419"/>
    <w:rsid w:val="006A256A"/>
    <w:rsid w:val="006A2890"/>
    <w:rsid w:val="006A3369"/>
    <w:rsid w:val="006A4948"/>
    <w:rsid w:val="006A4E4E"/>
    <w:rsid w:val="006A5F7C"/>
    <w:rsid w:val="006A6565"/>
    <w:rsid w:val="006A7365"/>
    <w:rsid w:val="006A763D"/>
    <w:rsid w:val="006A7CAA"/>
    <w:rsid w:val="006A7E85"/>
    <w:rsid w:val="006B01C7"/>
    <w:rsid w:val="006B05F9"/>
    <w:rsid w:val="006B13FF"/>
    <w:rsid w:val="006B1BCA"/>
    <w:rsid w:val="006B25A0"/>
    <w:rsid w:val="006B270A"/>
    <w:rsid w:val="006B2761"/>
    <w:rsid w:val="006B30AD"/>
    <w:rsid w:val="006B3281"/>
    <w:rsid w:val="006B4171"/>
    <w:rsid w:val="006B49C2"/>
    <w:rsid w:val="006B4B15"/>
    <w:rsid w:val="006B4DEB"/>
    <w:rsid w:val="006B5348"/>
    <w:rsid w:val="006B570C"/>
    <w:rsid w:val="006B59F6"/>
    <w:rsid w:val="006B5A6B"/>
    <w:rsid w:val="006B5E4A"/>
    <w:rsid w:val="006B6604"/>
    <w:rsid w:val="006B685D"/>
    <w:rsid w:val="006B6A77"/>
    <w:rsid w:val="006B6AD1"/>
    <w:rsid w:val="006B6CF2"/>
    <w:rsid w:val="006B71B6"/>
    <w:rsid w:val="006B7F5A"/>
    <w:rsid w:val="006C0537"/>
    <w:rsid w:val="006C0608"/>
    <w:rsid w:val="006C0725"/>
    <w:rsid w:val="006C0E9F"/>
    <w:rsid w:val="006C0F8E"/>
    <w:rsid w:val="006C11D9"/>
    <w:rsid w:val="006C236A"/>
    <w:rsid w:val="006C2664"/>
    <w:rsid w:val="006C2990"/>
    <w:rsid w:val="006C29BB"/>
    <w:rsid w:val="006C2BF4"/>
    <w:rsid w:val="006C2F01"/>
    <w:rsid w:val="006C37C2"/>
    <w:rsid w:val="006C3E1F"/>
    <w:rsid w:val="006C3FC5"/>
    <w:rsid w:val="006C4114"/>
    <w:rsid w:val="006C468D"/>
    <w:rsid w:val="006C5A9E"/>
    <w:rsid w:val="006C5D57"/>
    <w:rsid w:val="006C5FF3"/>
    <w:rsid w:val="006C60CB"/>
    <w:rsid w:val="006C650B"/>
    <w:rsid w:val="006C6938"/>
    <w:rsid w:val="006C6A42"/>
    <w:rsid w:val="006C6B19"/>
    <w:rsid w:val="006C6E80"/>
    <w:rsid w:val="006C7027"/>
    <w:rsid w:val="006C76DC"/>
    <w:rsid w:val="006C7725"/>
    <w:rsid w:val="006C781D"/>
    <w:rsid w:val="006D04A6"/>
    <w:rsid w:val="006D10C7"/>
    <w:rsid w:val="006D1134"/>
    <w:rsid w:val="006D1171"/>
    <w:rsid w:val="006D11DC"/>
    <w:rsid w:val="006D1468"/>
    <w:rsid w:val="006D19AE"/>
    <w:rsid w:val="006D1C09"/>
    <w:rsid w:val="006D212E"/>
    <w:rsid w:val="006D249F"/>
    <w:rsid w:val="006D28BD"/>
    <w:rsid w:val="006D29C7"/>
    <w:rsid w:val="006D35D1"/>
    <w:rsid w:val="006D3799"/>
    <w:rsid w:val="006D42F4"/>
    <w:rsid w:val="006D4A26"/>
    <w:rsid w:val="006D5259"/>
    <w:rsid w:val="006D52EC"/>
    <w:rsid w:val="006D53BF"/>
    <w:rsid w:val="006D5C75"/>
    <w:rsid w:val="006D6480"/>
    <w:rsid w:val="006D64B1"/>
    <w:rsid w:val="006D77F8"/>
    <w:rsid w:val="006E0067"/>
    <w:rsid w:val="006E0B6F"/>
    <w:rsid w:val="006E0BA4"/>
    <w:rsid w:val="006E0C3E"/>
    <w:rsid w:val="006E1090"/>
    <w:rsid w:val="006E214E"/>
    <w:rsid w:val="006E2F21"/>
    <w:rsid w:val="006E42AC"/>
    <w:rsid w:val="006E4D88"/>
    <w:rsid w:val="006E4F11"/>
    <w:rsid w:val="006E504C"/>
    <w:rsid w:val="006E6303"/>
    <w:rsid w:val="006E6542"/>
    <w:rsid w:val="006E6758"/>
    <w:rsid w:val="006E693A"/>
    <w:rsid w:val="006E6A10"/>
    <w:rsid w:val="006E7435"/>
    <w:rsid w:val="006E7E56"/>
    <w:rsid w:val="006F0279"/>
    <w:rsid w:val="006F07AB"/>
    <w:rsid w:val="006F0ECE"/>
    <w:rsid w:val="006F1217"/>
    <w:rsid w:val="006F151D"/>
    <w:rsid w:val="006F1961"/>
    <w:rsid w:val="006F1CD5"/>
    <w:rsid w:val="006F20BA"/>
    <w:rsid w:val="006F2E83"/>
    <w:rsid w:val="006F2FA0"/>
    <w:rsid w:val="006F3417"/>
    <w:rsid w:val="006F3F69"/>
    <w:rsid w:val="006F4FE2"/>
    <w:rsid w:val="006F5829"/>
    <w:rsid w:val="006F592E"/>
    <w:rsid w:val="006F5B9A"/>
    <w:rsid w:val="006F649E"/>
    <w:rsid w:val="006F655F"/>
    <w:rsid w:val="006F6874"/>
    <w:rsid w:val="006F73DF"/>
    <w:rsid w:val="0070021B"/>
    <w:rsid w:val="00700DDE"/>
    <w:rsid w:val="007012B8"/>
    <w:rsid w:val="00702396"/>
    <w:rsid w:val="00702D4B"/>
    <w:rsid w:val="007030FE"/>
    <w:rsid w:val="0070334C"/>
    <w:rsid w:val="00703420"/>
    <w:rsid w:val="007034EE"/>
    <w:rsid w:val="00703907"/>
    <w:rsid w:val="007040AA"/>
    <w:rsid w:val="00704387"/>
    <w:rsid w:val="007048FA"/>
    <w:rsid w:val="007050C7"/>
    <w:rsid w:val="0070588C"/>
    <w:rsid w:val="007058D8"/>
    <w:rsid w:val="007062A0"/>
    <w:rsid w:val="007065AD"/>
    <w:rsid w:val="0070660A"/>
    <w:rsid w:val="00706A27"/>
    <w:rsid w:val="00706A6C"/>
    <w:rsid w:val="00706F07"/>
    <w:rsid w:val="00707634"/>
    <w:rsid w:val="00707C82"/>
    <w:rsid w:val="00707E4A"/>
    <w:rsid w:val="00707FFE"/>
    <w:rsid w:val="007101D4"/>
    <w:rsid w:val="007102F6"/>
    <w:rsid w:val="007104C2"/>
    <w:rsid w:val="0071053B"/>
    <w:rsid w:val="007109D7"/>
    <w:rsid w:val="00710DCE"/>
    <w:rsid w:val="00711621"/>
    <w:rsid w:val="00711910"/>
    <w:rsid w:val="0071270C"/>
    <w:rsid w:val="00713BE7"/>
    <w:rsid w:val="00714385"/>
    <w:rsid w:val="007143E4"/>
    <w:rsid w:val="007149A5"/>
    <w:rsid w:val="00714C91"/>
    <w:rsid w:val="00714F53"/>
    <w:rsid w:val="00714F84"/>
    <w:rsid w:val="007150C6"/>
    <w:rsid w:val="007153BF"/>
    <w:rsid w:val="00715624"/>
    <w:rsid w:val="007161EF"/>
    <w:rsid w:val="007165F3"/>
    <w:rsid w:val="0071755D"/>
    <w:rsid w:val="00717569"/>
    <w:rsid w:val="00717B10"/>
    <w:rsid w:val="00717FC5"/>
    <w:rsid w:val="00720C07"/>
    <w:rsid w:val="00720EA2"/>
    <w:rsid w:val="00720F55"/>
    <w:rsid w:val="007215AD"/>
    <w:rsid w:val="007217CE"/>
    <w:rsid w:val="007222F8"/>
    <w:rsid w:val="0072283D"/>
    <w:rsid w:val="00723343"/>
    <w:rsid w:val="007233AF"/>
    <w:rsid w:val="0072386A"/>
    <w:rsid w:val="00723890"/>
    <w:rsid w:val="00723C33"/>
    <w:rsid w:val="00723D8E"/>
    <w:rsid w:val="00725015"/>
    <w:rsid w:val="007254E8"/>
    <w:rsid w:val="00725BFD"/>
    <w:rsid w:val="00725FF3"/>
    <w:rsid w:val="007261A2"/>
    <w:rsid w:val="007266D1"/>
    <w:rsid w:val="00727131"/>
    <w:rsid w:val="00727173"/>
    <w:rsid w:val="00727C29"/>
    <w:rsid w:val="007301B8"/>
    <w:rsid w:val="00730684"/>
    <w:rsid w:val="00730759"/>
    <w:rsid w:val="00731036"/>
    <w:rsid w:val="00731920"/>
    <w:rsid w:val="007320C8"/>
    <w:rsid w:val="007321E0"/>
    <w:rsid w:val="00733027"/>
    <w:rsid w:val="0073319F"/>
    <w:rsid w:val="007331FA"/>
    <w:rsid w:val="007340FF"/>
    <w:rsid w:val="007341AE"/>
    <w:rsid w:val="007345FA"/>
    <w:rsid w:val="00734988"/>
    <w:rsid w:val="00735157"/>
    <w:rsid w:val="0073577C"/>
    <w:rsid w:val="0073640D"/>
    <w:rsid w:val="00736987"/>
    <w:rsid w:val="00736F0B"/>
    <w:rsid w:val="00736F70"/>
    <w:rsid w:val="007372F3"/>
    <w:rsid w:val="00737568"/>
    <w:rsid w:val="00737849"/>
    <w:rsid w:val="00740753"/>
    <w:rsid w:val="00741367"/>
    <w:rsid w:val="007415AC"/>
    <w:rsid w:val="007421DB"/>
    <w:rsid w:val="00742367"/>
    <w:rsid w:val="00742506"/>
    <w:rsid w:val="0074292C"/>
    <w:rsid w:val="00742E28"/>
    <w:rsid w:val="00742F61"/>
    <w:rsid w:val="00742F9E"/>
    <w:rsid w:val="00743797"/>
    <w:rsid w:val="00743B19"/>
    <w:rsid w:val="007440F8"/>
    <w:rsid w:val="00744135"/>
    <w:rsid w:val="00744187"/>
    <w:rsid w:val="00744482"/>
    <w:rsid w:val="0074455A"/>
    <w:rsid w:val="00744718"/>
    <w:rsid w:val="00744848"/>
    <w:rsid w:val="00744B55"/>
    <w:rsid w:val="00744C1A"/>
    <w:rsid w:val="00744E74"/>
    <w:rsid w:val="00744F09"/>
    <w:rsid w:val="00745253"/>
    <w:rsid w:val="007452D2"/>
    <w:rsid w:val="007461F4"/>
    <w:rsid w:val="007467AC"/>
    <w:rsid w:val="00746938"/>
    <w:rsid w:val="00746C9B"/>
    <w:rsid w:val="00747AB8"/>
    <w:rsid w:val="00747F0D"/>
    <w:rsid w:val="00747FFC"/>
    <w:rsid w:val="007505CF"/>
    <w:rsid w:val="00750FBA"/>
    <w:rsid w:val="00751341"/>
    <w:rsid w:val="007514A1"/>
    <w:rsid w:val="00751A84"/>
    <w:rsid w:val="00751CE9"/>
    <w:rsid w:val="00751F00"/>
    <w:rsid w:val="00752399"/>
    <w:rsid w:val="007525AE"/>
    <w:rsid w:val="00752A7B"/>
    <w:rsid w:val="00752AD1"/>
    <w:rsid w:val="0075404C"/>
    <w:rsid w:val="00754E83"/>
    <w:rsid w:val="007558B8"/>
    <w:rsid w:val="00755C99"/>
    <w:rsid w:val="00755DD7"/>
    <w:rsid w:val="0075661E"/>
    <w:rsid w:val="007567C6"/>
    <w:rsid w:val="00757313"/>
    <w:rsid w:val="00757611"/>
    <w:rsid w:val="00757862"/>
    <w:rsid w:val="0076032B"/>
    <w:rsid w:val="007603FF"/>
    <w:rsid w:val="007608A8"/>
    <w:rsid w:val="00760ABF"/>
    <w:rsid w:val="00761129"/>
    <w:rsid w:val="00761B25"/>
    <w:rsid w:val="00761ED4"/>
    <w:rsid w:val="007620B8"/>
    <w:rsid w:val="007620E1"/>
    <w:rsid w:val="007626B8"/>
    <w:rsid w:val="00762F5F"/>
    <w:rsid w:val="00763197"/>
    <w:rsid w:val="007631C1"/>
    <w:rsid w:val="007638E7"/>
    <w:rsid w:val="007640A8"/>
    <w:rsid w:val="00764375"/>
    <w:rsid w:val="00765366"/>
    <w:rsid w:val="00765737"/>
    <w:rsid w:val="00765792"/>
    <w:rsid w:val="00765818"/>
    <w:rsid w:val="00765BC9"/>
    <w:rsid w:val="00765E2A"/>
    <w:rsid w:val="00766569"/>
    <w:rsid w:val="00766589"/>
    <w:rsid w:val="007668FB"/>
    <w:rsid w:val="00766A9F"/>
    <w:rsid w:val="00767827"/>
    <w:rsid w:val="00770322"/>
    <w:rsid w:val="007704AB"/>
    <w:rsid w:val="00770506"/>
    <w:rsid w:val="00770CAA"/>
    <w:rsid w:val="00770CF6"/>
    <w:rsid w:val="007719D3"/>
    <w:rsid w:val="00772221"/>
    <w:rsid w:val="00772A28"/>
    <w:rsid w:val="00773100"/>
    <w:rsid w:val="007733EB"/>
    <w:rsid w:val="00773C38"/>
    <w:rsid w:val="00774227"/>
    <w:rsid w:val="00774240"/>
    <w:rsid w:val="00774579"/>
    <w:rsid w:val="007745F6"/>
    <w:rsid w:val="00774805"/>
    <w:rsid w:val="00774A7B"/>
    <w:rsid w:val="00774E76"/>
    <w:rsid w:val="0077574B"/>
    <w:rsid w:val="0077709F"/>
    <w:rsid w:val="00777119"/>
    <w:rsid w:val="007771C2"/>
    <w:rsid w:val="007771FA"/>
    <w:rsid w:val="00777390"/>
    <w:rsid w:val="007774C3"/>
    <w:rsid w:val="007777A7"/>
    <w:rsid w:val="00780970"/>
    <w:rsid w:val="00780E48"/>
    <w:rsid w:val="007812C4"/>
    <w:rsid w:val="007814C9"/>
    <w:rsid w:val="00782503"/>
    <w:rsid w:val="00782830"/>
    <w:rsid w:val="00782FF9"/>
    <w:rsid w:val="00783492"/>
    <w:rsid w:val="00783550"/>
    <w:rsid w:val="007836DC"/>
    <w:rsid w:val="0078374F"/>
    <w:rsid w:val="0078422D"/>
    <w:rsid w:val="00784650"/>
    <w:rsid w:val="00784E24"/>
    <w:rsid w:val="00785614"/>
    <w:rsid w:val="007856E6"/>
    <w:rsid w:val="00786318"/>
    <w:rsid w:val="00786390"/>
    <w:rsid w:val="00786C2B"/>
    <w:rsid w:val="00787578"/>
    <w:rsid w:val="00787729"/>
    <w:rsid w:val="00787F69"/>
    <w:rsid w:val="007900C8"/>
    <w:rsid w:val="00790173"/>
    <w:rsid w:val="0079022A"/>
    <w:rsid w:val="0079035C"/>
    <w:rsid w:val="0079078A"/>
    <w:rsid w:val="00790A4A"/>
    <w:rsid w:val="00790ECD"/>
    <w:rsid w:val="0079104C"/>
    <w:rsid w:val="00791438"/>
    <w:rsid w:val="007917EF"/>
    <w:rsid w:val="007932B5"/>
    <w:rsid w:val="00794491"/>
    <w:rsid w:val="007950B2"/>
    <w:rsid w:val="007955B1"/>
    <w:rsid w:val="00795D3E"/>
    <w:rsid w:val="007961E6"/>
    <w:rsid w:val="007966BE"/>
    <w:rsid w:val="00796D14"/>
    <w:rsid w:val="0079712A"/>
    <w:rsid w:val="0079722E"/>
    <w:rsid w:val="00797997"/>
    <w:rsid w:val="007A04E4"/>
    <w:rsid w:val="007A062A"/>
    <w:rsid w:val="007A08CA"/>
    <w:rsid w:val="007A0E0E"/>
    <w:rsid w:val="007A1057"/>
    <w:rsid w:val="007A11CD"/>
    <w:rsid w:val="007A1349"/>
    <w:rsid w:val="007A1654"/>
    <w:rsid w:val="007A1B5D"/>
    <w:rsid w:val="007A1D4F"/>
    <w:rsid w:val="007A22F9"/>
    <w:rsid w:val="007A2400"/>
    <w:rsid w:val="007A29CA"/>
    <w:rsid w:val="007A2C17"/>
    <w:rsid w:val="007A2D3D"/>
    <w:rsid w:val="007A2D46"/>
    <w:rsid w:val="007A2D83"/>
    <w:rsid w:val="007A31B7"/>
    <w:rsid w:val="007A34F0"/>
    <w:rsid w:val="007A3C4B"/>
    <w:rsid w:val="007A45A6"/>
    <w:rsid w:val="007A49F0"/>
    <w:rsid w:val="007A4B60"/>
    <w:rsid w:val="007A53D6"/>
    <w:rsid w:val="007A5AC5"/>
    <w:rsid w:val="007A63FF"/>
    <w:rsid w:val="007A64BA"/>
    <w:rsid w:val="007A66A1"/>
    <w:rsid w:val="007A67D2"/>
    <w:rsid w:val="007A67D6"/>
    <w:rsid w:val="007A6CFB"/>
    <w:rsid w:val="007A748F"/>
    <w:rsid w:val="007A7522"/>
    <w:rsid w:val="007A7591"/>
    <w:rsid w:val="007A7757"/>
    <w:rsid w:val="007B01E8"/>
    <w:rsid w:val="007B0677"/>
    <w:rsid w:val="007B100C"/>
    <w:rsid w:val="007B1148"/>
    <w:rsid w:val="007B1430"/>
    <w:rsid w:val="007B1AC1"/>
    <w:rsid w:val="007B2087"/>
    <w:rsid w:val="007B23C1"/>
    <w:rsid w:val="007B2B0C"/>
    <w:rsid w:val="007B2DC7"/>
    <w:rsid w:val="007B2FBD"/>
    <w:rsid w:val="007B309C"/>
    <w:rsid w:val="007B3504"/>
    <w:rsid w:val="007B3BA0"/>
    <w:rsid w:val="007B46B9"/>
    <w:rsid w:val="007B48F9"/>
    <w:rsid w:val="007B498C"/>
    <w:rsid w:val="007B4E02"/>
    <w:rsid w:val="007B553A"/>
    <w:rsid w:val="007B6245"/>
    <w:rsid w:val="007B6608"/>
    <w:rsid w:val="007B6924"/>
    <w:rsid w:val="007B74DC"/>
    <w:rsid w:val="007C05E5"/>
    <w:rsid w:val="007C088E"/>
    <w:rsid w:val="007C0E64"/>
    <w:rsid w:val="007C1A7D"/>
    <w:rsid w:val="007C1D16"/>
    <w:rsid w:val="007C1D86"/>
    <w:rsid w:val="007C1E01"/>
    <w:rsid w:val="007C2EE5"/>
    <w:rsid w:val="007C303B"/>
    <w:rsid w:val="007C34C4"/>
    <w:rsid w:val="007C3530"/>
    <w:rsid w:val="007C389D"/>
    <w:rsid w:val="007C3C40"/>
    <w:rsid w:val="007C3F78"/>
    <w:rsid w:val="007C40EC"/>
    <w:rsid w:val="007C4176"/>
    <w:rsid w:val="007C43B0"/>
    <w:rsid w:val="007C478E"/>
    <w:rsid w:val="007C48B9"/>
    <w:rsid w:val="007C49AC"/>
    <w:rsid w:val="007C5750"/>
    <w:rsid w:val="007C5D7D"/>
    <w:rsid w:val="007C5E0B"/>
    <w:rsid w:val="007C6483"/>
    <w:rsid w:val="007C6607"/>
    <w:rsid w:val="007C6829"/>
    <w:rsid w:val="007C6E35"/>
    <w:rsid w:val="007C70F9"/>
    <w:rsid w:val="007C726D"/>
    <w:rsid w:val="007C7A96"/>
    <w:rsid w:val="007C7C81"/>
    <w:rsid w:val="007D0244"/>
    <w:rsid w:val="007D05BC"/>
    <w:rsid w:val="007D0987"/>
    <w:rsid w:val="007D0B38"/>
    <w:rsid w:val="007D0CF8"/>
    <w:rsid w:val="007D15FE"/>
    <w:rsid w:val="007D18DF"/>
    <w:rsid w:val="007D1AE2"/>
    <w:rsid w:val="007D1BDA"/>
    <w:rsid w:val="007D1DFC"/>
    <w:rsid w:val="007D251A"/>
    <w:rsid w:val="007D285D"/>
    <w:rsid w:val="007D2B98"/>
    <w:rsid w:val="007D2F7E"/>
    <w:rsid w:val="007D3126"/>
    <w:rsid w:val="007D343F"/>
    <w:rsid w:val="007D3900"/>
    <w:rsid w:val="007D39CE"/>
    <w:rsid w:val="007D3B53"/>
    <w:rsid w:val="007D3EC2"/>
    <w:rsid w:val="007D4146"/>
    <w:rsid w:val="007D42C6"/>
    <w:rsid w:val="007D44C4"/>
    <w:rsid w:val="007D4CAA"/>
    <w:rsid w:val="007D4D7C"/>
    <w:rsid w:val="007D50B9"/>
    <w:rsid w:val="007D5C02"/>
    <w:rsid w:val="007D66A0"/>
    <w:rsid w:val="007D6987"/>
    <w:rsid w:val="007D6F6E"/>
    <w:rsid w:val="007D72C5"/>
    <w:rsid w:val="007D7EE3"/>
    <w:rsid w:val="007D7F74"/>
    <w:rsid w:val="007E0113"/>
    <w:rsid w:val="007E146D"/>
    <w:rsid w:val="007E1669"/>
    <w:rsid w:val="007E1E0D"/>
    <w:rsid w:val="007E207B"/>
    <w:rsid w:val="007E22DF"/>
    <w:rsid w:val="007E24A3"/>
    <w:rsid w:val="007E24CE"/>
    <w:rsid w:val="007E2718"/>
    <w:rsid w:val="007E2903"/>
    <w:rsid w:val="007E311F"/>
    <w:rsid w:val="007E3BF4"/>
    <w:rsid w:val="007E3F8F"/>
    <w:rsid w:val="007E467D"/>
    <w:rsid w:val="007E4881"/>
    <w:rsid w:val="007E48AB"/>
    <w:rsid w:val="007E490A"/>
    <w:rsid w:val="007E4F1C"/>
    <w:rsid w:val="007E519A"/>
    <w:rsid w:val="007E51E7"/>
    <w:rsid w:val="007E5640"/>
    <w:rsid w:val="007E58AE"/>
    <w:rsid w:val="007E5DD4"/>
    <w:rsid w:val="007E6100"/>
    <w:rsid w:val="007E6185"/>
    <w:rsid w:val="007E6AE6"/>
    <w:rsid w:val="007E6DE3"/>
    <w:rsid w:val="007E6F1A"/>
    <w:rsid w:val="007E72FB"/>
    <w:rsid w:val="007E755D"/>
    <w:rsid w:val="007E7613"/>
    <w:rsid w:val="007E7DD7"/>
    <w:rsid w:val="007F0574"/>
    <w:rsid w:val="007F0A88"/>
    <w:rsid w:val="007F120A"/>
    <w:rsid w:val="007F14A6"/>
    <w:rsid w:val="007F192D"/>
    <w:rsid w:val="007F196A"/>
    <w:rsid w:val="007F1CE1"/>
    <w:rsid w:val="007F239C"/>
    <w:rsid w:val="007F23E6"/>
    <w:rsid w:val="007F2456"/>
    <w:rsid w:val="007F2704"/>
    <w:rsid w:val="007F2798"/>
    <w:rsid w:val="007F2B6B"/>
    <w:rsid w:val="007F2E81"/>
    <w:rsid w:val="007F325E"/>
    <w:rsid w:val="007F352D"/>
    <w:rsid w:val="007F391B"/>
    <w:rsid w:val="007F4097"/>
    <w:rsid w:val="007F40EC"/>
    <w:rsid w:val="007F42B0"/>
    <w:rsid w:val="007F4AF3"/>
    <w:rsid w:val="007F4B00"/>
    <w:rsid w:val="007F5317"/>
    <w:rsid w:val="007F55F5"/>
    <w:rsid w:val="007F56D1"/>
    <w:rsid w:val="007F5915"/>
    <w:rsid w:val="007F5B5C"/>
    <w:rsid w:val="007F646A"/>
    <w:rsid w:val="007F70AA"/>
    <w:rsid w:val="007F7406"/>
    <w:rsid w:val="007F74B2"/>
    <w:rsid w:val="007F75E3"/>
    <w:rsid w:val="007F766D"/>
    <w:rsid w:val="00800204"/>
    <w:rsid w:val="00800516"/>
    <w:rsid w:val="00801AD6"/>
    <w:rsid w:val="0080201C"/>
    <w:rsid w:val="00802046"/>
    <w:rsid w:val="008020CA"/>
    <w:rsid w:val="0080259A"/>
    <w:rsid w:val="008026C9"/>
    <w:rsid w:val="0080282E"/>
    <w:rsid w:val="008033C3"/>
    <w:rsid w:val="008033FE"/>
    <w:rsid w:val="00804139"/>
    <w:rsid w:val="008046B3"/>
    <w:rsid w:val="0080552E"/>
    <w:rsid w:val="00805B7A"/>
    <w:rsid w:val="00806D30"/>
    <w:rsid w:val="00810189"/>
    <w:rsid w:val="00810D39"/>
    <w:rsid w:val="00810DF1"/>
    <w:rsid w:val="00811613"/>
    <w:rsid w:val="00811C28"/>
    <w:rsid w:val="00811CF7"/>
    <w:rsid w:val="00811F0F"/>
    <w:rsid w:val="00812390"/>
    <w:rsid w:val="00812617"/>
    <w:rsid w:val="008126B8"/>
    <w:rsid w:val="00812BFF"/>
    <w:rsid w:val="00812CBE"/>
    <w:rsid w:val="00813203"/>
    <w:rsid w:val="0081324E"/>
    <w:rsid w:val="00813437"/>
    <w:rsid w:val="0081347E"/>
    <w:rsid w:val="00813857"/>
    <w:rsid w:val="00813907"/>
    <w:rsid w:val="00813BFC"/>
    <w:rsid w:val="00813EF6"/>
    <w:rsid w:val="0081445F"/>
    <w:rsid w:val="008144FE"/>
    <w:rsid w:val="008149BA"/>
    <w:rsid w:val="00814CF6"/>
    <w:rsid w:val="00814DEE"/>
    <w:rsid w:val="00814DFE"/>
    <w:rsid w:val="00814E79"/>
    <w:rsid w:val="00815346"/>
    <w:rsid w:val="0081557C"/>
    <w:rsid w:val="00816C6F"/>
    <w:rsid w:val="00816E58"/>
    <w:rsid w:val="0081730C"/>
    <w:rsid w:val="0081739D"/>
    <w:rsid w:val="00817526"/>
    <w:rsid w:val="008177A3"/>
    <w:rsid w:val="008203C0"/>
    <w:rsid w:val="0082057F"/>
    <w:rsid w:val="00820829"/>
    <w:rsid w:val="00820AC0"/>
    <w:rsid w:val="00820E5C"/>
    <w:rsid w:val="00821266"/>
    <w:rsid w:val="00821ED3"/>
    <w:rsid w:val="008222AC"/>
    <w:rsid w:val="00823D7E"/>
    <w:rsid w:val="0082484B"/>
    <w:rsid w:val="00824D16"/>
    <w:rsid w:val="00825348"/>
    <w:rsid w:val="0082603F"/>
    <w:rsid w:val="008269E4"/>
    <w:rsid w:val="008273C3"/>
    <w:rsid w:val="00827E24"/>
    <w:rsid w:val="00830DD9"/>
    <w:rsid w:val="008312A0"/>
    <w:rsid w:val="0083141C"/>
    <w:rsid w:val="008315D7"/>
    <w:rsid w:val="0083186F"/>
    <w:rsid w:val="00831872"/>
    <w:rsid w:val="00831FC3"/>
    <w:rsid w:val="008324E3"/>
    <w:rsid w:val="00832DBA"/>
    <w:rsid w:val="0083314C"/>
    <w:rsid w:val="00833A3E"/>
    <w:rsid w:val="008341ED"/>
    <w:rsid w:val="008343DE"/>
    <w:rsid w:val="008348B0"/>
    <w:rsid w:val="00834976"/>
    <w:rsid w:val="00834CAF"/>
    <w:rsid w:val="00834CBA"/>
    <w:rsid w:val="00834DB6"/>
    <w:rsid w:val="00834E7E"/>
    <w:rsid w:val="008353FE"/>
    <w:rsid w:val="00835618"/>
    <w:rsid w:val="0083594B"/>
    <w:rsid w:val="0083604E"/>
    <w:rsid w:val="008362D2"/>
    <w:rsid w:val="008363E6"/>
    <w:rsid w:val="008375AB"/>
    <w:rsid w:val="008379F2"/>
    <w:rsid w:val="00837EDF"/>
    <w:rsid w:val="0084031C"/>
    <w:rsid w:val="0084044E"/>
    <w:rsid w:val="0084049B"/>
    <w:rsid w:val="00840A6E"/>
    <w:rsid w:val="0084115F"/>
    <w:rsid w:val="008416B4"/>
    <w:rsid w:val="00841975"/>
    <w:rsid w:val="00841FBE"/>
    <w:rsid w:val="0084279E"/>
    <w:rsid w:val="00842B22"/>
    <w:rsid w:val="00842C6A"/>
    <w:rsid w:val="00842EED"/>
    <w:rsid w:val="00843327"/>
    <w:rsid w:val="00843D00"/>
    <w:rsid w:val="00843DF1"/>
    <w:rsid w:val="00843F0C"/>
    <w:rsid w:val="00843FA7"/>
    <w:rsid w:val="0084436D"/>
    <w:rsid w:val="00845240"/>
    <w:rsid w:val="00845827"/>
    <w:rsid w:val="00845CDF"/>
    <w:rsid w:val="008463FE"/>
    <w:rsid w:val="008465AF"/>
    <w:rsid w:val="008467AB"/>
    <w:rsid w:val="00846B49"/>
    <w:rsid w:val="00847737"/>
    <w:rsid w:val="00847D64"/>
    <w:rsid w:val="00847E60"/>
    <w:rsid w:val="00850382"/>
    <w:rsid w:val="00850510"/>
    <w:rsid w:val="008505C7"/>
    <w:rsid w:val="0085093F"/>
    <w:rsid w:val="008509C9"/>
    <w:rsid w:val="00851238"/>
    <w:rsid w:val="008513DC"/>
    <w:rsid w:val="008516C2"/>
    <w:rsid w:val="00851DC3"/>
    <w:rsid w:val="00852210"/>
    <w:rsid w:val="008525D6"/>
    <w:rsid w:val="00853140"/>
    <w:rsid w:val="0085346A"/>
    <w:rsid w:val="00853787"/>
    <w:rsid w:val="00853A11"/>
    <w:rsid w:val="00854846"/>
    <w:rsid w:val="008551B0"/>
    <w:rsid w:val="00856025"/>
    <w:rsid w:val="00856754"/>
    <w:rsid w:val="008571E7"/>
    <w:rsid w:val="0085777C"/>
    <w:rsid w:val="00857C61"/>
    <w:rsid w:val="00857CB8"/>
    <w:rsid w:val="00857E67"/>
    <w:rsid w:val="00857EEF"/>
    <w:rsid w:val="008601E3"/>
    <w:rsid w:val="00860294"/>
    <w:rsid w:val="00860AB2"/>
    <w:rsid w:val="00860CEC"/>
    <w:rsid w:val="00860D14"/>
    <w:rsid w:val="00860D6A"/>
    <w:rsid w:val="00861261"/>
    <w:rsid w:val="008615D8"/>
    <w:rsid w:val="00861E3F"/>
    <w:rsid w:val="00862032"/>
    <w:rsid w:val="00862171"/>
    <w:rsid w:val="008621B6"/>
    <w:rsid w:val="00862374"/>
    <w:rsid w:val="00862A2E"/>
    <w:rsid w:val="008630B0"/>
    <w:rsid w:val="00863945"/>
    <w:rsid w:val="00864D96"/>
    <w:rsid w:val="00865A96"/>
    <w:rsid w:val="00865CC2"/>
    <w:rsid w:val="00866402"/>
    <w:rsid w:val="00866425"/>
    <w:rsid w:val="008664C0"/>
    <w:rsid w:val="00866505"/>
    <w:rsid w:val="0086705E"/>
    <w:rsid w:val="00867315"/>
    <w:rsid w:val="00867AC8"/>
    <w:rsid w:val="00870767"/>
    <w:rsid w:val="0087086A"/>
    <w:rsid w:val="00870930"/>
    <w:rsid w:val="008716CC"/>
    <w:rsid w:val="0087180F"/>
    <w:rsid w:val="00871C50"/>
    <w:rsid w:val="00871F13"/>
    <w:rsid w:val="008728F6"/>
    <w:rsid w:val="008729D8"/>
    <w:rsid w:val="00872B70"/>
    <w:rsid w:val="0087383B"/>
    <w:rsid w:val="00873BDF"/>
    <w:rsid w:val="00873D28"/>
    <w:rsid w:val="00873EAF"/>
    <w:rsid w:val="008743CF"/>
    <w:rsid w:val="00874981"/>
    <w:rsid w:val="00874FE5"/>
    <w:rsid w:val="008753F7"/>
    <w:rsid w:val="00875471"/>
    <w:rsid w:val="00876846"/>
    <w:rsid w:val="00876A46"/>
    <w:rsid w:val="00876B67"/>
    <w:rsid w:val="00877036"/>
    <w:rsid w:val="008770EC"/>
    <w:rsid w:val="00877106"/>
    <w:rsid w:val="008771E3"/>
    <w:rsid w:val="00877DC8"/>
    <w:rsid w:val="0088013F"/>
    <w:rsid w:val="008809F3"/>
    <w:rsid w:val="00880B4B"/>
    <w:rsid w:val="00880DAA"/>
    <w:rsid w:val="008810F4"/>
    <w:rsid w:val="008814BA"/>
    <w:rsid w:val="008818D0"/>
    <w:rsid w:val="00881AF7"/>
    <w:rsid w:val="00881C61"/>
    <w:rsid w:val="008827CC"/>
    <w:rsid w:val="00883298"/>
    <w:rsid w:val="00884BFC"/>
    <w:rsid w:val="00884D89"/>
    <w:rsid w:val="00884E6E"/>
    <w:rsid w:val="00885A50"/>
    <w:rsid w:val="00885ACA"/>
    <w:rsid w:val="008862B9"/>
    <w:rsid w:val="00886315"/>
    <w:rsid w:val="00886497"/>
    <w:rsid w:val="00886903"/>
    <w:rsid w:val="008872DE"/>
    <w:rsid w:val="008873E9"/>
    <w:rsid w:val="0088750C"/>
    <w:rsid w:val="008876A2"/>
    <w:rsid w:val="0088786B"/>
    <w:rsid w:val="00890040"/>
    <w:rsid w:val="00890197"/>
    <w:rsid w:val="00890925"/>
    <w:rsid w:val="00890B80"/>
    <w:rsid w:val="00890F72"/>
    <w:rsid w:val="008921A7"/>
    <w:rsid w:val="0089247E"/>
    <w:rsid w:val="00892698"/>
    <w:rsid w:val="008940E5"/>
    <w:rsid w:val="00894656"/>
    <w:rsid w:val="008946B9"/>
    <w:rsid w:val="00894C8E"/>
    <w:rsid w:val="0089628F"/>
    <w:rsid w:val="00896409"/>
    <w:rsid w:val="00896612"/>
    <w:rsid w:val="00896E6E"/>
    <w:rsid w:val="00897C8D"/>
    <w:rsid w:val="008A0176"/>
    <w:rsid w:val="008A03BD"/>
    <w:rsid w:val="008A113F"/>
    <w:rsid w:val="008A1162"/>
    <w:rsid w:val="008A160F"/>
    <w:rsid w:val="008A1A05"/>
    <w:rsid w:val="008A1BEE"/>
    <w:rsid w:val="008A1D6D"/>
    <w:rsid w:val="008A1FF1"/>
    <w:rsid w:val="008A265D"/>
    <w:rsid w:val="008A26DF"/>
    <w:rsid w:val="008A2FF6"/>
    <w:rsid w:val="008A3054"/>
    <w:rsid w:val="008A3135"/>
    <w:rsid w:val="008A31C1"/>
    <w:rsid w:val="008A3328"/>
    <w:rsid w:val="008A34C3"/>
    <w:rsid w:val="008A3DEC"/>
    <w:rsid w:val="008A49CA"/>
    <w:rsid w:val="008A49F7"/>
    <w:rsid w:val="008A4CC0"/>
    <w:rsid w:val="008A4EED"/>
    <w:rsid w:val="008A53A8"/>
    <w:rsid w:val="008A5535"/>
    <w:rsid w:val="008A66B6"/>
    <w:rsid w:val="008A7077"/>
    <w:rsid w:val="008A7641"/>
    <w:rsid w:val="008A7E7C"/>
    <w:rsid w:val="008B0836"/>
    <w:rsid w:val="008B2046"/>
    <w:rsid w:val="008B26E1"/>
    <w:rsid w:val="008B350A"/>
    <w:rsid w:val="008B36C2"/>
    <w:rsid w:val="008B4657"/>
    <w:rsid w:val="008B48D4"/>
    <w:rsid w:val="008B4910"/>
    <w:rsid w:val="008B4951"/>
    <w:rsid w:val="008B4AB2"/>
    <w:rsid w:val="008B4BAA"/>
    <w:rsid w:val="008B514B"/>
    <w:rsid w:val="008B5183"/>
    <w:rsid w:val="008B53E7"/>
    <w:rsid w:val="008B56C9"/>
    <w:rsid w:val="008B59A0"/>
    <w:rsid w:val="008B5D16"/>
    <w:rsid w:val="008B601B"/>
    <w:rsid w:val="008B6763"/>
    <w:rsid w:val="008B797C"/>
    <w:rsid w:val="008B7A59"/>
    <w:rsid w:val="008B7A99"/>
    <w:rsid w:val="008B7B0C"/>
    <w:rsid w:val="008B7EC5"/>
    <w:rsid w:val="008C0614"/>
    <w:rsid w:val="008C06F3"/>
    <w:rsid w:val="008C072D"/>
    <w:rsid w:val="008C1467"/>
    <w:rsid w:val="008C14D7"/>
    <w:rsid w:val="008C1CDF"/>
    <w:rsid w:val="008C1F91"/>
    <w:rsid w:val="008C2AE1"/>
    <w:rsid w:val="008C31D5"/>
    <w:rsid w:val="008C3C42"/>
    <w:rsid w:val="008C3C67"/>
    <w:rsid w:val="008C3F00"/>
    <w:rsid w:val="008C4441"/>
    <w:rsid w:val="008C4A3A"/>
    <w:rsid w:val="008C54C3"/>
    <w:rsid w:val="008C5754"/>
    <w:rsid w:val="008C5896"/>
    <w:rsid w:val="008C58D2"/>
    <w:rsid w:val="008C62BE"/>
    <w:rsid w:val="008C6461"/>
    <w:rsid w:val="008C6B5E"/>
    <w:rsid w:val="008C6C35"/>
    <w:rsid w:val="008C7A13"/>
    <w:rsid w:val="008D027C"/>
    <w:rsid w:val="008D07F6"/>
    <w:rsid w:val="008D0A0E"/>
    <w:rsid w:val="008D0ECD"/>
    <w:rsid w:val="008D2181"/>
    <w:rsid w:val="008D2205"/>
    <w:rsid w:val="008D230E"/>
    <w:rsid w:val="008D2BCC"/>
    <w:rsid w:val="008D2F65"/>
    <w:rsid w:val="008D313B"/>
    <w:rsid w:val="008D381A"/>
    <w:rsid w:val="008D40FA"/>
    <w:rsid w:val="008D4339"/>
    <w:rsid w:val="008D49BB"/>
    <w:rsid w:val="008D4B68"/>
    <w:rsid w:val="008D5035"/>
    <w:rsid w:val="008D5602"/>
    <w:rsid w:val="008D562A"/>
    <w:rsid w:val="008D56B8"/>
    <w:rsid w:val="008D5A72"/>
    <w:rsid w:val="008D5F5E"/>
    <w:rsid w:val="008D6124"/>
    <w:rsid w:val="008D6130"/>
    <w:rsid w:val="008D655F"/>
    <w:rsid w:val="008D6D79"/>
    <w:rsid w:val="008D7339"/>
    <w:rsid w:val="008D77C2"/>
    <w:rsid w:val="008D77C5"/>
    <w:rsid w:val="008D7A23"/>
    <w:rsid w:val="008D7FE9"/>
    <w:rsid w:val="008E00DF"/>
    <w:rsid w:val="008E0642"/>
    <w:rsid w:val="008E077B"/>
    <w:rsid w:val="008E18AD"/>
    <w:rsid w:val="008E1AA9"/>
    <w:rsid w:val="008E1C89"/>
    <w:rsid w:val="008E1CBC"/>
    <w:rsid w:val="008E2479"/>
    <w:rsid w:val="008E2B4A"/>
    <w:rsid w:val="008E2B9F"/>
    <w:rsid w:val="008E3663"/>
    <w:rsid w:val="008E3E7E"/>
    <w:rsid w:val="008E4736"/>
    <w:rsid w:val="008E498B"/>
    <w:rsid w:val="008E4E1E"/>
    <w:rsid w:val="008E56BF"/>
    <w:rsid w:val="008E58FF"/>
    <w:rsid w:val="008E5DA3"/>
    <w:rsid w:val="008E5E28"/>
    <w:rsid w:val="008E5FBA"/>
    <w:rsid w:val="008E62DB"/>
    <w:rsid w:val="008E6938"/>
    <w:rsid w:val="008E6E48"/>
    <w:rsid w:val="008E6FF5"/>
    <w:rsid w:val="008E71A5"/>
    <w:rsid w:val="008E7F33"/>
    <w:rsid w:val="008F0508"/>
    <w:rsid w:val="008F0BC1"/>
    <w:rsid w:val="008F0BC4"/>
    <w:rsid w:val="008F117B"/>
    <w:rsid w:val="008F1B3E"/>
    <w:rsid w:val="008F24F1"/>
    <w:rsid w:val="008F288D"/>
    <w:rsid w:val="008F2934"/>
    <w:rsid w:val="008F2E27"/>
    <w:rsid w:val="008F310C"/>
    <w:rsid w:val="008F44BC"/>
    <w:rsid w:val="008F46EE"/>
    <w:rsid w:val="008F4798"/>
    <w:rsid w:val="008F490C"/>
    <w:rsid w:val="008F4BB3"/>
    <w:rsid w:val="008F4DAA"/>
    <w:rsid w:val="008F5D5B"/>
    <w:rsid w:val="008F6AC0"/>
    <w:rsid w:val="008F6EA5"/>
    <w:rsid w:val="008F7230"/>
    <w:rsid w:val="008F73A9"/>
    <w:rsid w:val="008F7D80"/>
    <w:rsid w:val="008F7F32"/>
    <w:rsid w:val="00901331"/>
    <w:rsid w:val="009013D4"/>
    <w:rsid w:val="0090153E"/>
    <w:rsid w:val="00901897"/>
    <w:rsid w:val="00902397"/>
    <w:rsid w:val="00902664"/>
    <w:rsid w:val="0090292C"/>
    <w:rsid w:val="00902AB6"/>
    <w:rsid w:val="00902CF1"/>
    <w:rsid w:val="00902E90"/>
    <w:rsid w:val="00903359"/>
    <w:rsid w:val="00903B2F"/>
    <w:rsid w:val="00903D51"/>
    <w:rsid w:val="00904187"/>
    <w:rsid w:val="00904232"/>
    <w:rsid w:val="0090450E"/>
    <w:rsid w:val="00904871"/>
    <w:rsid w:val="00904F96"/>
    <w:rsid w:val="0090552B"/>
    <w:rsid w:val="00905668"/>
    <w:rsid w:val="00906654"/>
    <w:rsid w:val="00906808"/>
    <w:rsid w:val="00906C63"/>
    <w:rsid w:val="00906D08"/>
    <w:rsid w:val="00906E8F"/>
    <w:rsid w:val="0090721E"/>
    <w:rsid w:val="0090755D"/>
    <w:rsid w:val="009076F7"/>
    <w:rsid w:val="00907808"/>
    <w:rsid w:val="00907DD2"/>
    <w:rsid w:val="009107FE"/>
    <w:rsid w:val="00910C07"/>
    <w:rsid w:val="00910C92"/>
    <w:rsid w:val="00911643"/>
    <w:rsid w:val="00911D19"/>
    <w:rsid w:val="00911FAA"/>
    <w:rsid w:val="009121D7"/>
    <w:rsid w:val="00912554"/>
    <w:rsid w:val="009127B0"/>
    <w:rsid w:val="00912B31"/>
    <w:rsid w:val="00913200"/>
    <w:rsid w:val="0091376A"/>
    <w:rsid w:val="00913A70"/>
    <w:rsid w:val="00914E7F"/>
    <w:rsid w:val="00914F50"/>
    <w:rsid w:val="00914FA0"/>
    <w:rsid w:val="00915F3D"/>
    <w:rsid w:val="00916072"/>
    <w:rsid w:val="00916785"/>
    <w:rsid w:val="00917228"/>
    <w:rsid w:val="009172AF"/>
    <w:rsid w:val="0091775D"/>
    <w:rsid w:val="00917D91"/>
    <w:rsid w:val="0092005D"/>
    <w:rsid w:val="00920135"/>
    <w:rsid w:val="00920AF3"/>
    <w:rsid w:val="00920BDB"/>
    <w:rsid w:val="00920E6B"/>
    <w:rsid w:val="0092137A"/>
    <w:rsid w:val="00921543"/>
    <w:rsid w:val="009218C8"/>
    <w:rsid w:val="00921B54"/>
    <w:rsid w:val="00921D5F"/>
    <w:rsid w:val="00921D7F"/>
    <w:rsid w:val="00921FAA"/>
    <w:rsid w:val="0092230C"/>
    <w:rsid w:val="00922B87"/>
    <w:rsid w:val="0092300A"/>
    <w:rsid w:val="0092312B"/>
    <w:rsid w:val="00923633"/>
    <w:rsid w:val="00923725"/>
    <w:rsid w:val="00923C23"/>
    <w:rsid w:val="00923D0D"/>
    <w:rsid w:val="0092400A"/>
    <w:rsid w:val="00924384"/>
    <w:rsid w:val="0092441A"/>
    <w:rsid w:val="0092476E"/>
    <w:rsid w:val="0092482A"/>
    <w:rsid w:val="00924D4E"/>
    <w:rsid w:val="0092527D"/>
    <w:rsid w:val="00925451"/>
    <w:rsid w:val="0092584F"/>
    <w:rsid w:val="00925B64"/>
    <w:rsid w:val="00925BB8"/>
    <w:rsid w:val="00926311"/>
    <w:rsid w:val="00926363"/>
    <w:rsid w:val="00926B71"/>
    <w:rsid w:val="0092707C"/>
    <w:rsid w:val="009273FF"/>
    <w:rsid w:val="009276CE"/>
    <w:rsid w:val="009277AD"/>
    <w:rsid w:val="00927ABA"/>
    <w:rsid w:val="00927DAB"/>
    <w:rsid w:val="00927F39"/>
    <w:rsid w:val="00930479"/>
    <w:rsid w:val="00930576"/>
    <w:rsid w:val="00930A11"/>
    <w:rsid w:val="0093114E"/>
    <w:rsid w:val="0093118E"/>
    <w:rsid w:val="009315FE"/>
    <w:rsid w:val="0093166E"/>
    <w:rsid w:val="009317ED"/>
    <w:rsid w:val="00931D82"/>
    <w:rsid w:val="00931F13"/>
    <w:rsid w:val="0093276B"/>
    <w:rsid w:val="00932DC4"/>
    <w:rsid w:val="00933065"/>
    <w:rsid w:val="00933CC9"/>
    <w:rsid w:val="00933D6A"/>
    <w:rsid w:val="00933FEA"/>
    <w:rsid w:val="0093444C"/>
    <w:rsid w:val="009348E8"/>
    <w:rsid w:val="00934952"/>
    <w:rsid w:val="00934A8D"/>
    <w:rsid w:val="00934AB7"/>
    <w:rsid w:val="00934E77"/>
    <w:rsid w:val="009350ED"/>
    <w:rsid w:val="00935DF3"/>
    <w:rsid w:val="009363E5"/>
    <w:rsid w:val="00936C02"/>
    <w:rsid w:val="00936D3F"/>
    <w:rsid w:val="00936D60"/>
    <w:rsid w:val="00936E37"/>
    <w:rsid w:val="009374F1"/>
    <w:rsid w:val="00937703"/>
    <w:rsid w:val="00937A73"/>
    <w:rsid w:val="009402CE"/>
    <w:rsid w:val="0094154E"/>
    <w:rsid w:val="009416E0"/>
    <w:rsid w:val="00941984"/>
    <w:rsid w:val="00941B6E"/>
    <w:rsid w:val="00941CA4"/>
    <w:rsid w:val="00941E2F"/>
    <w:rsid w:val="00941E8B"/>
    <w:rsid w:val="00941E90"/>
    <w:rsid w:val="00941F14"/>
    <w:rsid w:val="009420C1"/>
    <w:rsid w:val="00942463"/>
    <w:rsid w:val="00942492"/>
    <w:rsid w:val="009425DD"/>
    <w:rsid w:val="00942B30"/>
    <w:rsid w:val="00942BF3"/>
    <w:rsid w:val="00942E3E"/>
    <w:rsid w:val="009431F8"/>
    <w:rsid w:val="00943257"/>
    <w:rsid w:val="00943CBE"/>
    <w:rsid w:val="00944173"/>
    <w:rsid w:val="009447B5"/>
    <w:rsid w:val="00944C1E"/>
    <w:rsid w:val="00945618"/>
    <w:rsid w:val="00945B98"/>
    <w:rsid w:val="0094606F"/>
    <w:rsid w:val="009478E1"/>
    <w:rsid w:val="00950912"/>
    <w:rsid w:val="0095095D"/>
    <w:rsid w:val="00950D12"/>
    <w:rsid w:val="00951261"/>
    <w:rsid w:val="0095134F"/>
    <w:rsid w:val="00952D1F"/>
    <w:rsid w:val="00952FA0"/>
    <w:rsid w:val="0095304B"/>
    <w:rsid w:val="0095341D"/>
    <w:rsid w:val="009536C8"/>
    <w:rsid w:val="00953BB7"/>
    <w:rsid w:val="00953F8F"/>
    <w:rsid w:val="0095492C"/>
    <w:rsid w:val="00955127"/>
    <w:rsid w:val="00955325"/>
    <w:rsid w:val="0095566B"/>
    <w:rsid w:val="00955BFB"/>
    <w:rsid w:val="00955DA1"/>
    <w:rsid w:val="00955E99"/>
    <w:rsid w:val="00956567"/>
    <w:rsid w:val="00957889"/>
    <w:rsid w:val="009603A1"/>
    <w:rsid w:val="00960FE9"/>
    <w:rsid w:val="009610AC"/>
    <w:rsid w:val="00961E51"/>
    <w:rsid w:val="009620BE"/>
    <w:rsid w:val="0096299D"/>
    <w:rsid w:val="009634A1"/>
    <w:rsid w:val="00963E66"/>
    <w:rsid w:val="0096405F"/>
    <w:rsid w:val="009643C8"/>
    <w:rsid w:val="0096488A"/>
    <w:rsid w:val="0096495F"/>
    <w:rsid w:val="009652C2"/>
    <w:rsid w:val="009652DC"/>
    <w:rsid w:val="00965820"/>
    <w:rsid w:val="00965F90"/>
    <w:rsid w:val="00966331"/>
    <w:rsid w:val="00966A1B"/>
    <w:rsid w:val="009674A3"/>
    <w:rsid w:val="009675BF"/>
    <w:rsid w:val="00967A31"/>
    <w:rsid w:val="00970055"/>
    <w:rsid w:val="0097061F"/>
    <w:rsid w:val="009706C3"/>
    <w:rsid w:val="00970ED5"/>
    <w:rsid w:val="009710D3"/>
    <w:rsid w:val="009712DF"/>
    <w:rsid w:val="00972764"/>
    <w:rsid w:val="00973537"/>
    <w:rsid w:val="009748B7"/>
    <w:rsid w:val="00974B4A"/>
    <w:rsid w:val="0097519D"/>
    <w:rsid w:val="009755B4"/>
    <w:rsid w:val="00975A15"/>
    <w:rsid w:val="00975E4C"/>
    <w:rsid w:val="00976762"/>
    <w:rsid w:val="009773EE"/>
    <w:rsid w:val="0097756E"/>
    <w:rsid w:val="0097792E"/>
    <w:rsid w:val="009812E4"/>
    <w:rsid w:val="009817CF"/>
    <w:rsid w:val="00981B3C"/>
    <w:rsid w:val="00981BEB"/>
    <w:rsid w:val="00981E2D"/>
    <w:rsid w:val="00982993"/>
    <w:rsid w:val="00983025"/>
    <w:rsid w:val="0098311D"/>
    <w:rsid w:val="0098384B"/>
    <w:rsid w:val="00983B72"/>
    <w:rsid w:val="00983C54"/>
    <w:rsid w:val="00984055"/>
    <w:rsid w:val="009845A6"/>
    <w:rsid w:val="00985482"/>
    <w:rsid w:val="00985587"/>
    <w:rsid w:val="0098569D"/>
    <w:rsid w:val="0098622B"/>
    <w:rsid w:val="0098626D"/>
    <w:rsid w:val="00986748"/>
    <w:rsid w:val="00986F24"/>
    <w:rsid w:val="009870AA"/>
    <w:rsid w:val="00987C68"/>
    <w:rsid w:val="00987C9F"/>
    <w:rsid w:val="0099108B"/>
    <w:rsid w:val="00991368"/>
    <w:rsid w:val="009919D8"/>
    <w:rsid w:val="00991BFC"/>
    <w:rsid w:val="009923B1"/>
    <w:rsid w:val="009925F7"/>
    <w:rsid w:val="00992A5D"/>
    <w:rsid w:val="00993667"/>
    <w:rsid w:val="00993907"/>
    <w:rsid w:val="00993D99"/>
    <w:rsid w:val="00993E50"/>
    <w:rsid w:val="00994290"/>
    <w:rsid w:val="009942A4"/>
    <w:rsid w:val="0099622C"/>
    <w:rsid w:val="0099645D"/>
    <w:rsid w:val="00996660"/>
    <w:rsid w:val="00996850"/>
    <w:rsid w:val="00997573"/>
    <w:rsid w:val="0099768D"/>
    <w:rsid w:val="009976A6"/>
    <w:rsid w:val="00997893"/>
    <w:rsid w:val="009A0289"/>
    <w:rsid w:val="009A02B1"/>
    <w:rsid w:val="009A0401"/>
    <w:rsid w:val="009A0566"/>
    <w:rsid w:val="009A0CA5"/>
    <w:rsid w:val="009A19A3"/>
    <w:rsid w:val="009A1F98"/>
    <w:rsid w:val="009A267D"/>
    <w:rsid w:val="009A3431"/>
    <w:rsid w:val="009A3647"/>
    <w:rsid w:val="009A4156"/>
    <w:rsid w:val="009A4237"/>
    <w:rsid w:val="009A5088"/>
    <w:rsid w:val="009A50E5"/>
    <w:rsid w:val="009A5755"/>
    <w:rsid w:val="009A5ED2"/>
    <w:rsid w:val="009A6157"/>
    <w:rsid w:val="009A6A9B"/>
    <w:rsid w:val="009A6E25"/>
    <w:rsid w:val="009A74F8"/>
    <w:rsid w:val="009A785F"/>
    <w:rsid w:val="009B0828"/>
    <w:rsid w:val="009B10FD"/>
    <w:rsid w:val="009B1465"/>
    <w:rsid w:val="009B148F"/>
    <w:rsid w:val="009B1581"/>
    <w:rsid w:val="009B2607"/>
    <w:rsid w:val="009B3540"/>
    <w:rsid w:val="009B386A"/>
    <w:rsid w:val="009B4738"/>
    <w:rsid w:val="009B57B3"/>
    <w:rsid w:val="009B59DC"/>
    <w:rsid w:val="009B5B9E"/>
    <w:rsid w:val="009B6040"/>
    <w:rsid w:val="009B60D4"/>
    <w:rsid w:val="009B6778"/>
    <w:rsid w:val="009B678D"/>
    <w:rsid w:val="009B6ABB"/>
    <w:rsid w:val="009B6B45"/>
    <w:rsid w:val="009B6B90"/>
    <w:rsid w:val="009B6FFA"/>
    <w:rsid w:val="009B71EA"/>
    <w:rsid w:val="009B7410"/>
    <w:rsid w:val="009C01FF"/>
    <w:rsid w:val="009C1214"/>
    <w:rsid w:val="009C1432"/>
    <w:rsid w:val="009C16AC"/>
    <w:rsid w:val="009C1955"/>
    <w:rsid w:val="009C295F"/>
    <w:rsid w:val="009C301F"/>
    <w:rsid w:val="009C3736"/>
    <w:rsid w:val="009C3A50"/>
    <w:rsid w:val="009C3CD0"/>
    <w:rsid w:val="009C475A"/>
    <w:rsid w:val="009C4862"/>
    <w:rsid w:val="009C4CCE"/>
    <w:rsid w:val="009C5484"/>
    <w:rsid w:val="009C54D5"/>
    <w:rsid w:val="009C559B"/>
    <w:rsid w:val="009C6098"/>
    <w:rsid w:val="009C6BE5"/>
    <w:rsid w:val="009C6CCA"/>
    <w:rsid w:val="009C7016"/>
    <w:rsid w:val="009C7296"/>
    <w:rsid w:val="009C779F"/>
    <w:rsid w:val="009D056A"/>
    <w:rsid w:val="009D1037"/>
    <w:rsid w:val="009D10CF"/>
    <w:rsid w:val="009D182C"/>
    <w:rsid w:val="009D254F"/>
    <w:rsid w:val="009D355F"/>
    <w:rsid w:val="009D3780"/>
    <w:rsid w:val="009D3800"/>
    <w:rsid w:val="009D397E"/>
    <w:rsid w:val="009D3CEA"/>
    <w:rsid w:val="009D42AF"/>
    <w:rsid w:val="009D4806"/>
    <w:rsid w:val="009D4B10"/>
    <w:rsid w:val="009D504B"/>
    <w:rsid w:val="009D5159"/>
    <w:rsid w:val="009D6B4D"/>
    <w:rsid w:val="009D6BD8"/>
    <w:rsid w:val="009D6FEE"/>
    <w:rsid w:val="009D7C97"/>
    <w:rsid w:val="009D7CA4"/>
    <w:rsid w:val="009D7CE8"/>
    <w:rsid w:val="009D7EB8"/>
    <w:rsid w:val="009E0289"/>
    <w:rsid w:val="009E0447"/>
    <w:rsid w:val="009E060C"/>
    <w:rsid w:val="009E0787"/>
    <w:rsid w:val="009E1123"/>
    <w:rsid w:val="009E18F1"/>
    <w:rsid w:val="009E1D5E"/>
    <w:rsid w:val="009E1F6A"/>
    <w:rsid w:val="009E2240"/>
    <w:rsid w:val="009E2554"/>
    <w:rsid w:val="009E25C3"/>
    <w:rsid w:val="009E29BC"/>
    <w:rsid w:val="009E3692"/>
    <w:rsid w:val="009E37AF"/>
    <w:rsid w:val="009E46A4"/>
    <w:rsid w:val="009E4CF9"/>
    <w:rsid w:val="009E52D7"/>
    <w:rsid w:val="009E57D6"/>
    <w:rsid w:val="009E5BD7"/>
    <w:rsid w:val="009E5D40"/>
    <w:rsid w:val="009E5F24"/>
    <w:rsid w:val="009E6906"/>
    <w:rsid w:val="009E69F0"/>
    <w:rsid w:val="009E712F"/>
    <w:rsid w:val="009E715B"/>
    <w:rsid w:val="009E7304"/>
    <w:rsid w:val="009E753F"/>
    <w:rsid w:val="009E7696"/>
    <w:rsid w:val="009E775D"/>
    <w:rsid w:val="009E7F05"/>
    <w:rsid w:val="009F018F"/>
    <w:rsid w:val="009F0793"/>
    <w:rsid w:val="009F0BFE"/>
    <w:rsid w:val="009F0CA6"/>
    <w:rsid w:val="009F1B47"/>
    <w:rsid w:val="009F20AA"/>
    <w:rsid w:val="009F2352"/>
    <w:rsid w:val="009F2E65"/>
    <w:rsid w:val="009F2F90"/>
    <w:rsid w:val="009F35C8"/>
    <w:rsid w:val="009F38B1"/>
    <w:rsid w:val="009F3BD4"/>
    <w:rsid w:val="009F44E6"/>
    <w:rsid w:val="009F469A"/>
    <w:rsid w:val="009F4763"/>
    <w:rsid w:val="009F485A"/>
    <w:rsid w:val="009F4B98"/>
    <w:rsid w:val="009F4DBB"/>
    <w:rsid w:val="009F53DB"/>
    <w:rsid w:val="009F54FB"/>
    <w:rsid w:val="009F57CC"/>
    <w:rsid w:val="009F6D1C"/>
    <w:rsid w:val="009F6F55"/>
    <w:rsid w:val="009F7037"/>
    <w:rsid w:val="009F797B"/>
    <w:rsid w:val="009F7D01"/>
    <w:rsid w:val="009F7F1E"/>
    <w:rsid w:val="00A00010"/>
    <w:rsid w:val="00A00033"/>
    <w:rsid w:val="00A00963"/>
    <w:rsid w:val="00A00F11"/>
    <w:rsid w:val="00A01F1B"/>
    <w:rsid w:val="00A02145"/>
    <w:rsid w:val="00A02511"/>
    <w:rsid w:val="00A02900"/>
    <w:rsid w:val="00A02C0D"/>
    <w:rsid w:val="00A02D75"/>
    <w:rsid w:val="00A0370E"/>
    <w:rsid w:val="00A039D0"/>
    <w:rsid w:val="00A039F2"/>
    <w:rsid w:val="00A03D68"/>
    <w:rsid w:val="00A045AE"/>
    <w:rsid w:val="00A04607"/>
    <w:rsid w:val="00A04800"/>
    <w:rsid w:val="00A04AED"/>
    <w:rsid w:val="00A054E6"/>
    <w:rsid w:val="00A06092"/>
    <w:rsid w:val="00A062B4"/>
    <w:rsid w:val="00A06EE9"/>
    <w:rsid w:val="00A07476"/>
    <w:rsid w:val="00A0762F"/>
    <w:rsid w:val="00A07916"/>
    <w:rsid w:val="00A07CA1"/>
    <w:rsid w:val="00A07DE6"/>
    <w:rsid w:val="00A100BE"/>
    <w:rsid w:val="00A10162"/>
    <w:rsid w:val="00A11916"/>
    <w:rsid w:val="00A11FF6"/>
    <w:rsid w:val="00A121D3"/>
    <w:rsid w:val="00A1220E"/>
    <w:rsid w:val="00A12605"/>
    <w:rsid w:val="00A12882"/>
    <w:rsid w:val="00A1290B"/>
    <w:rsid w:val="00A12D3A"/>
    <w:rsid w:val="00A13158"/>
    <w:rsid w:val="00A13246"/>
    <w:rsid w:val="00A13258"/>
    <w:rsid w:val="00A138A9"/>
    <w:rsid w:val="00A139AA"/>
    <w:rsid w:val="00A13A73"/>
    <w:rsid w:val="00A15F37"/>
    <w:rsid w:val="00A160A1"/>
    <w:rsid w:val="00A160DA"/>
    <w:rsid w:val="00A16219"/>
    <w:rsid w:val="00A165C6"/>
    <w:rsid w:val="00A16619"/>
    <w:rsid w:val="00A1675E"/>
    <w:rsid w:val="00A16E32"/>
    <w:rsid w:val="00A1771E"/>
    <w:rsid w:val="00A17978"/>
    <w:rsid w:val="00A17F6A"/>
    <w:rsid w:val="00A200CD"/>
    <w:rsid w:val="00A204D4"/>
    <w:rsid w:val="00A20D1E"/>
    <w:rsid w:val="00A21360"/>
    <w:rsid w:val="00A21415"/>
    <w:rsid w:val="00A21459"/>
    <w:rsid w:val="00A2184F"/>
    <w:rsid w:val="00A219F0"/>
    <w:rsid w:val="00A21FD5"/>
    <w:rsid w:val="00A2283B"/>
    <w:rsid w:val="00A22952"/>
    <w:rsid w:val="00A24407"/>
    <w:rsid w:val="00A2472A"/>
    <w:rsid w:val="00A24AAC"/>
    <w:rsid w:val="00A24C8F"/>
    <w:rsid w:val="00A24EEB"/>
    <w:rsid w:val="00A25186"/>
    <w:rsid w:val="00A2585B"/>
    <w:rsid w:val="00A25BE9"/>
    <w:rsid w:val="00A25F14"/>
    <w:rsid w:val="00A26691"/>
    <w:rsid w:val="00A269ED"/>
    <w:rsid w:val="00A26C28"/>
    <w:rsid w:val="00A2778E"/>
    <w:rsid w:val="00A278EA"/>
    <w:rsid w:val="00A30220"/>
    <w:rsid w:val="00A3048B"/>
    <w:rsid w:val="00A30CD9"/>
    <w:rsid w:val="00A3170C"/>
    <w:rsid w:val="00A319C0"/>
    <w:rsid w:val="00A322CB"/>
    <w:rsid w:val="00A3282F"/>
    <w:rsid w:val="00A32BFF"/>
    <w:rsid w:val="00A33361"/>
    <w:rsid w:val="00A33719"/>
    <w:rsid w:val="00A34AFB"/>
    <w:rsid w:val="00A34C9E"/>
    <w:rsid w:val="00A35684"/>
    <w:rsid w:val="00A35838"/>
    <w:rsid w:val="00A35F6B"/>
    <w:rsid w:val="00A36905"/>
    <w:rsid w:val="00A36C62"/>
    <w:rsid w:val="00A36F3A"/>
    <w:rsid w:val="00A37324"/>
    <w:rsid w:val="00A3736C"/>
    <w:rsid w:val="00A3756B"/>
    <w:rsid w:val="00A379EB"/>
    <w:rsid w:val="00A37B3C"/>
    <w:rsid w:val="00A37B6F"/>
    <w:rsid w:val="00A4077C"/>
    <w:rsid w:val="00A40A8C"/>
    <w:rsid w:val="00A414C8"/>
    <w:rsid w:val="00A4166A"/>
    <w:rsid w:val="00A41DA2"/>
    <w:rsid w:val="00A41E4F"/>
    <w:rsid w:val="00A428DD"/>
    <w:rsid w:val="00A42FE7"/>
    <w:rsid w:val="00A449CE"/>
    <w:rsid w:val="00A45819"/>
    <w:rsid w:val="00A45C55"/>
    <w:rsid w:val="00A46339"/>
    <w:rsid w:val="00A46958"/>
    <w:rsid w:val="00A46FBF"/>
    <w:rsid w:val="00A4707E"/>
    <w:rsid w:val="00A473DF"/>
    <w:rsid w:val="00A500B4"/>
    <w:rsid w:val="00A50219"/>
    <w:rsid w:val="00A5083A"/>
    <w:rsid w:val="00A50B68"/>
    <w:rsid w:val="00A5208D"/>
    <w:rsid w:val="00A52745"/>
    <w:rsid w:val="00A527A6"/>
    <w:rsid w:val="00A52BF7"/>
    <w:rsid w:val="00A52F21"/>
    <w:rsid w:val="00A5334C"/>
    <w:rsid w:val="00A5396F"/>
    <w:rsid w:val="00A53E83"/>
    <w:rsid w:val="00A54100"/>
    <w:rsid w:val="00A544C0"/>
    <w:rsid w:val="00A54AE1"/>
    <w:rsid w:val="00A5506D"/>
    <w:rsid w:val="00A562BD"/>
    <w:rsid w:val="00A5665E"/>
    <w:rsid w:val="00A56AEA"/>
    <w:rsid w:val="00A56B67"/>
    <w:rsid w:val="00A57020"/>
    <w:rsid w:val="00A57079"/>
    <w:rsid w:val="00A602EE"/>
    <w:rsid w:val="00A60C5D"/>
    <w:rsid w:val="00A60E2B"/>
    <w:rsid w:val="00A60F40"/>
    <w:rsid w:val="00A6157A"/>
    <w:rsid w:val="00A628FA"/>
    <w:rsid w:val="00A62F45"/>
    <w:rsid w:val="00A63102"/>
    <w:rsid w:val="00A637FA"/>
    <w:rsid w:val="00A640AE"/>
    <w:rsid w:val="00A644FC"/>
    <w:rsid w:val="00A64509"/>
    <w:rsid w:val="00A64646"/>
    <w:rsid w:val="00A647F4"/>
    <w:rsid w:val="00A64976"/>
    <w:rsid w:val="00A64B1B"/>
    <w:rsid w:val="00A65BF9"/>
    <w:rsid w:val="00A664D6"/>
    <w:rsid w:val="00A66CE1"/>
    <w:rsid w:val="00A67C1C"/>
    <w:rsid w:val="00A67F9E"/>
    <w:rsid w:val="00A707AB"/>
    <w:rsid w:val="00A70D4E"/>
    <w:rsid w:val="00A71002"/>
    <w:rsid w:val="00A7261F"/>
    <w:rsid w:val="00A72717"/>
    <w:rsid w:val="00A72919"/>
    <w:rsid w:val="00A729B8"/>
    <w:rsid w:val="00A7348F"/>
    <w:rsid w:val="00A73898"/>
    <w:rsid w:val="00A7436E"/>
    <w:rsid w:val="00A7490F"/>
    <w:rsid w:val="00A75011"/>
    <w:rsid w:val="00A75139"/>
    <w:rsid w:val="00A752F1"/>
    <w:rsid w:val="00A75773"/>
    <w:rsid w:val="00A75D02"/>
    <w:rsid w:val="00A75F33"/>
    <w:rsid w:val="00A768C9"/>
    <w:rsid w:val="00A771A5"/>
    <w:rsid w:val="00A77239"/>
    <w:rsid w:val="00A77265"/>
    <w:rsid w:val="00A772B2"/>
    <w:rsid w:val="00A7759D"/>
    <w:rsid w:val="00A77642"/>
    <w:rsid w:val="00A77C5B"/>
    <w:rsid w:val="00A8039A"/>
    <w:rsid w:val="00A80924"/>
    <w:rsid w:val="00A80B37"/>
    <w:rsid w:val="00A81C41"/>
    <w:rsid w:val="00A82243"/>
    <w:rsid w:val="00A8236D"/>
    <w:rsid w:val="00A82D25"/>
    <w:rsid w:val="00A83AB5"/>
    <w:rsid w:val="00A83D7A"/>
    <w:rsid w:val="00A857A5"/>
    <w:rsid w:val="00A85918"/>
    <w:rsid w:val="00A859D0"/>
    <w:rsid w:val="00A85E3C"/>
    <w:rsid w:val="00A86A19"/>
    <w:rsid w:val="00A86D2F"/>
    <w:rsid w:val="00A87013"/>
    <w:rsid w:val="00A870A6"/>
    <w:rsid w:val="00A877B4"/>
    <w:rsid w:val="00A87800"/>
    <w:rsid w:val="00A9052F"/>
    <w:rsid w:val="00A91317"/>
    <w:rsid w:val="00A9194D"/>
    <w:rsid w:val="00A91955"/>
    <w:rsid w:val="00A91CF0"/>
    <w:rsid w:val="00A92319"/>
    <w:rsid w:val="00A93504"/>
    <w:rsid w:val="00A93E91"/>
    <w:rsid w:val="00A941A9"/>
    <w:rsid w:val="00A94CCD"/>
    <w:rsid w:val="00A94DE1"/>
    <w:rsid w:val="00A94FB6"/>
    <w:rsid w:val="00A95084"/>
    <w:rsid w:val="00A952C9"/>
    <w:rsid w:val="00A95548"/>
    <w:rsid w:val="00A956E7"/>
    <w:rsid w:val="00A959A4"/>
    <w:rsid w:val="00A95AE3"/>
    <w:rsid w:val="00A95B4F"/>
    <w:rsid w:val="00A95DCE"/>
    <w:rsid w:val="00A96ACC"/>
    <w:rsid w:val="00A96EC8"/>
    <w:rsid w:val="00A96FF6"/>
    <w:rsid w:val="00A973F3"/>
    <w:rsid w:val="00A9743A"/>
    <w:rsid w:val="00A97466"/>
    <w:rsid w:val="00A97504"/>
    <w:rsid w:val="00A97C1A"/>
    <w:rsid w:val="00A97E3D"/>
    <w:rsid w:val="00A97EE7"/>
    <w:rsid w:val="00AA0261"/>
    <w:rsid w:val="00AA04F9"/>
    <w:rsid w:val="00AA099C"/>
    <w:rsid w:val="00AA09C4"/>
    <w:rsid w:val="00AA0E4E"/>
    <w:rsid w:val="00AA18A7"/>
    <w:rsid w:val="00AA197B"/>
    <w:rsid w:val="00AA20E7"/>
    <w:rsid w:val="00AA2533"/>
    <w:rsid w:val="00AA28DF"/>
    <w:rsid w:val="00AA2B67"/>
    <w:rsid w:val="00AA32CA"/>
    <w:rsid w:val="00AA34F9"/>
    <w:rsid w:val="00AA3707"/>
    <w:rsid w:val="00AA3C31"/>
    <w:rsid w:val="00AA3C3C"/>
    <w:rsid w:val="00AA3F92"/>
    <w:rsid w:val="00AA4143"/>
    <w:rsid w:val="00AA4755"/>
    <w:rsid w:val="00AA4E17"/>
    <w:rsid w:val="00AA4FD5"/>
    <w:rsid w:val="00AA514B"/>
    <w:rsid w:val="00AA55BA"/>
    <w:rsid w:val="00AA633C"/>
    <w:rsid w:val="00AA6542"/>
    <w:rsid w:val="00AA6AA1"/>
    <w:rsid w:val="00AA6FD3"/>
    <w:rsid w:val="00AA72A1"/>
    <w:rsid w:val="00AA7522"/>
    <w:rsid w:val="00AA7C08"/>
    <w:rsid w:val="00AA7DBA"/>
    <w:rsid w:val="00AB0849"/>
    <w:rsid w:val="00AB0B60"/>
    <w:rsid w:val="00AB0DFB"/>
    <w:rsid w:val="00AB0FF4"/>
    <w:rsid w:val="00AB0FFB"/>
    <w:rsid w:val="00AB10C6"/>
    <w:rsid w:val="00AB129E"/>
    <w:rsid w:val="00AB2072"/>
    <w:rsid w:val="00AB3083"/>
    <w:rsid w:val="00AB4161"/>
    <w:rsid w:val="00AB46AB"/>
    <w:rsid w:val="00AB49AD"/>
    <w:rsid w:val="00AB4BA0"/>
    <w:rsid w:val="00AB50E7"/>
    <w:rsid w:val="00AB5A6D"/>
    <w:rsid w:val="00AB5DF0"/>
    <w:rsid w:val="00AB60D9"/>
    <w:rsid w:val="00AB61E3"/>
    <w:rsid w:val="00AB6AA5"/>
    <w:rsid w:val="00AB7571"/>
    <w:rsid w:val="00AB7EA8"/>
    <w:rsid w:val="00AC0627"/>
    <w:rsid w:val="00AC07EB"/>
    <w:rsid w:val="00AC0ACE"/>
    <w:rsid w:val="00AC0D6A"/>
    <w:rsid w:val="00AC112F"/>
    <w:rsid w:val="00AC1417"/>
    <w:rsid w:val="00AC15F8"/>
    <w:rsid w:val="00AC1867"/>
    <w:rsid w:val="00AC2412"/>
    <w:rsid w:val="00AC334F"/>
    <w:rsid w:val="00AC34D2"/>
    <w:rsid w:val="00AC3932"/>
    <w:rsid w:val="00AC39BD"/>
    <w:rsid w:val="00AC3D08"/>
    <w:rsid w:val="00AC4259"/>
    <w:rsid w:val="00AC44B1"/>
    <w:rsid w:val="00AC4596"/>
    <w:rsid w:val="00AC4D22"/>
    <w:rsid w:val="00AC5047"/>
    <w:rsid w:val="00AC5352"/>
    <w:rsid w:val="00AC5728"/>
    <w:rsid w:val="00AC5806"/>
    <w:rsid w:val="00AC5B2E"/>
    <w:rsid w:val="00AC5CDD"/>
    <w:rsid w:val="00AC6B2D"/>
    <w:rsid w:val="00AC738F"/>
    <w:rsid w:val="00AC7770"/>
    <w:rsid w:val="00AC7CAF"/>
    <w:rsid w:val="00AC7DB5"/>
    <w:rsid w:val="00AC7DF4"/>
    <w:rsid w:val="00AD0109"/>
    <w:rsid w:val="00AD0BD6"/>
    <w:rsid w:val="00AD0D04"/>
    <w:rsid w:val="00AD2396"/>
    <w:rsid w:val="00AD3131"/>
    <w:rsid w:val="00AD330B"/>
    <w:rsid w:val="00AD3ED5"/>
    <w:rsid w:val="00AD4107"/>
    <w:rsid w:val="00AD4ADD"/>
    <w:rsid w:val="00AD51F3"/>
    <w:rsid w:val="00AD6D5A"/>
    <w:rsid w:val="00AD7002"/>
    <w:rsid w:val="00AD7007"/>
    <w:rsid w:val="00AD7C22"/>
    <w:rsid w:val="00AD7C84"/>
    <w:rsid w:val="00AD7D39"/>
    <w:rsid w:val="00AD7ED6"/>
    <w:rsid w:val="00AD7F2B"/>
    <w:rsid w:val="00AE1893"/>
    <w:rsid w:val="00AE1FFB"/>
    <w:rsid w:val="00AE224A"/>
    <w:rsid w:val="00AE26FF"/>
    <w:rsid w:val="00AE378A"/>
    <w:rsid w:val="00AE4107"/>
    <w:rsid w:val="00AE4708"/>
    <w:rsid w:val="00AE4B12"/>
    <w:rsid w:val="00AE5596"/>
    <w:rsid w:val="00AE55B5"/>
    <w:rsid w:val="00AE5757"/>
    <w:rsid w:val="00AE5B52"/>
    <w:rsid w:val="00AE6249"/>
    <w:rsid w:val="00AE6823"/>
    <w:rsid w:val="00AE7A36"/>
    <w:rsid w:val="00AF004C"/>
    <w:rsid w:val="00AF022B"/>
    <w:rsid w:val="00AF050E"/>
    <w:rsid w:val="00AF0AB0"/>
    <w:rsid w:val="00AF0C4B"/>
    <w:rsid w:val="00AF12FA"/>
    <w:rsid w:val="00AF1BA7"/>
    <w:rsid w:val="00AF2925"/>
    <w:rsid w:val="00AF2BE9"/>
    <w:rsid w:val="00AF3204"/>
    <w:rsid w:val="00AF32CA"/>
    <w:rsid w:val="00AF379A"/>
    <w:rsid w:val="00AF3A64"/>
    <w:rsid w:val="00AF3C62"/>
    <w:rsid w:val="00AF3FC2"/>
    <w:rsid w:val="00AF4A6C"/>
    <w:rsid w:val="00AF4B43"/>
    <w:rsid w:val="00AF5183"/>
    <w:rsid w:val="00AF5440"/>
    <w:rsid w:val="00AF6D72"/>
    <w:rsid w:val="00AF74A2"/>
    <w:rsid w:val="00AF750E"/>
    <w:rsid w:val="00AF751F"/>
    <w:rsid w:val="00AF758E"/>
    <w:rsid w:val="00AF7599"/>
    <w:rsid w:val="00AF7B55"/>
    <w:rsid w:val="00B003C8"/>
    <w:rsid w:val="00B0051F"/>
    <w:rsid w:val="00B007A2"/>
    <w:rsid w:val="00B00AEC"/>
    <w:rsid w:val="00B01C2B"/>
    <w:rsid w:val="00B01CAE"/>
    <w:rsid w:val="00B01E55"/>
    <w:rsid w:val="00B022F8"/>
    <w:rsid w:val="00B02581"/>
    <w:rsid w:val="00B027D7"/>
    <w:rsid w:val="00B02BB8"/>
    <w:rsid w:val="00B02E65"/>
    <w:rsid w:val="00B03460"/>
    <w:rsid w:val="00B0347B"/>
    <w:rsid w:val="00B035D1"/>
    <w:rsid w:val="00B0383A"/>
    <w:rsid w:val="00B03BEC"/>
    <w:rsid w:val="00B03EA6"/>
    <w:rsid w:val="00B03FD6"/>
    <w:rsid w:val="00B03FEA"/>
    <w:rsid w:val="00B048D5"/>
    <w:rsid w:val="00B04D82"/>
    <w:rsid w:val="00B057B3"/>
    <w:rsid w:val="00B05F4F"/>
    <w:rsid w:val="00B06707"/>
    <w:rsid w:val="00B06726"/>
    <w:rsid w:val="00B068C9"/>
    <w:rsid w:val="00B07170"/>
    <w:rsid w:val="00B078B1"/>
    <w:rsid w:val="00B1117E"/>
    <w:rsid w:val="00B1171E"/>
    <w:rsid w:val="00B123B6"/>
    <w:rsid w:val="00B12570"/>
    <w:rsid w:val="00B12B25"/>
    <w:rsid w:val="00B131BF"/>
    <w:rsid w:val="00B13568"/>
    <w:rsid w:val="00B13D7B"/>
    <w:rsid w:val="00B1428B"/>
    <w:rsid w:val="00B143AD"/>
    <w:rsid w:val="00B144F7"/>
    <w:rsid w:val="00B14B4C"/>
    <w:rsid w:val="00B14B51"/>
    <w:rsid w:val="00B15087"/>
    <w:rsid w:val="00B15320"/>
    <w:rsid w:val="00B1578F"/>
    <w:rsid w:val="00B15DF8"/>
    <w:rsid w:val="00B15EA8"/>
    <w:rsid w:val="00B1600E"/>
    <w:rsid w:val="00B160BC"/>
    <w:rsid w:val="00B169CD"/>
    <w:rsid w:val="00B16BE9"/>
    <w:rsid w:val="00B171F6"/>
    <w:rsid w:val="00B17FF9"/>
    <w:rsid w:val="00B209EE"/>
    <w:rsid w:val="00B21492"/>
    <w:rsid w:val="00B214CA"/>
    <w:rsid w:val="00B223ED"/>
    <w:rsid w:val="00B237C8"/>
    <w:rsid w:val="00B2390A"/>
    <w:rsid w:val="00B245BF"/>
    <w:rsid w:val="00B246DA"/>
    <w:rsid w:val="00B25776"/>
    <w:rsid w:val="00B2613B"/>
    <w:rsid w:val="00B27066"/>
    <w:rsid w:val="00B2722B"/>
    <w:rsid w:val="00B2755C"/>
    <w:rsid w:val="00B27974"/>
    <w:rsid w:val="00B279AF"/>
    <w:rsid w:val="00B3079B"/>
    <w:rsid w:val="00B30899"/>
    <w:rsid w:val="00B30F37"/>
    <w:rsid w:val="00B31304"/>
    <w:rsid w:val="00B3239A"/>
    <w:rsid w:val="00B327E0"/>
    <w:rsid w:val="00B32C03"/>
    <w:rsid w:val="00B32E06"/>
    <w:rsid w:val="00B33394"/>
    <w:rsid w:val="00B339DE"/>
    <w:rsid w:val="00B33BF7"/>
    <w:rsid w:val="00B33CC7"/>
    <w:rsid w:val="00B342CC"/>
    <w:rsid w:val="00B34FDB"/>
    <w:rsid w:val="00B35036"/>
    <w:rsid w:val="00B351C5"/>
    <w:rsid w:val="00B35351"/>
    <w:rsid w:val="00B35617"/>
    <w:rsid w:val="00B35632"/>
    <w:rsid w:val="00B35C4A"/>
    <w:rsid w:val="00B35CB1"/>
    <w:rsid w:val="00B35F48"/>
    <w:rsid w:val="00B360DC"/>
    <w:rsid w:val="00B36609"/>
    <w:rsid w:val="00B370E8"/>
    <w:rsid w:val="00B37CEC"/>
    <w:rsid w:val="00B37F07"/>
    <w:rsid w:val="00B402EB"/>
    <w:rsid w:val="00B406C8"/>
    <w:rsid w:val="00B40BB1"/>
    <w:rsid w:val="00B41084"/>
    <w:rsid w:val="00B410AD"/>
    <w:rsid w:val="00B41352"/>
    <w:rsid w:val="00B4161E"/>
    <w:rsid w:val="00B41E33"/>
    <w:rsid w:val="00B41F11"/>
    <w:rsid w:val="00B4276F"/>
    <w:rsid w:val="00B42AE8"/>
    <w:rsid w:val="00B42DA6"/>
    <w:rsid w:val="00B438FA"/>
    <w:rsid w:val="00B43E0A"/>
    <w:rsid w:val="00B44033"/>
    <w:rsid w:val="00B442CE"/>
    <w:rsid w:val="00B45498"/>
    <w:rsid w:val="00B45D41"/>
    <w:rsid w:val="00B45F00"/>
    <w:rsid w:val="00B4665B"/>
    <w:rsid w:val="00B4679C"/>
    <w:rsid w:val="00B468C8"/>
    <w:rsid w:val="00B472B4"/>
    <w:rsid w:val="00B4738C"/>
    <w:rsid w:val="00B500E7"/>
    <w:rsid w:val="00B50776"/>
    <w:rsid w:val="00B5079B"/>
    <w:rsid w:val="00B507A7"/>
    <w:rsid w:val="00B5096E"/>
    <w:rsid w:val="00B5098D"/>
    <w:rsid w:val="00B50B80"/>
    <w:rsid w:val="00B50B90"/>
    <w:rsid w:val="00B5152A"/>
    <w:rsid w:val="00B51B7F"/>
    <w:rsid w:val="00B51C89"/>
    <w:rsid w:val="00B51F7E"/>
    <w:rsid w:val="00B52155"/>
    <w:rsid w:val="00B52B0E"/>
    <w:rsid w:val="00B52F6F"/>
    <w:rsid w:val="00B5318E"/>
    <w:rsid w:val="00B53683"/>
    <w:rsid w:val="00B53D75"/>
    <w:rsid w:val="00B54373"/>
    <w:rsid w:val="00B54967"/>
    <w:rsid w:val="00B54C77"/>
    <w:rsid w:val="00B54F45"/>
    <w:rsid w:val="00B554FA"/>
    <w:rsid w:val="00B55890"/>
    <w:rsid w:val="00B5636C"/>
    <w:rsid w:val="00B56AA2"/>
    <w:rsid w:val="00B56CEA"/>
    <w:rsid w:val="00B57013"/>
    <w:rsid w:val="00B60F15"/>
    <w:rsid w:val="00B614D4"/>
    <w:rsid w:val="00B6192D"/>
    <w:rsid w:val="00B62493"/>
    <w:rsid w:val="00B630BC"/>
    <w:rsid w:val="00B6341D"/>
    <w:rsid w:val="00B6380A"/>
    <w:rsid w:val="00B638AB"/>
    <w:rsid w:val="00B63BBF"/>
    <w:rsid w:val="00B63DFD"/>
    <w:rsid w:val="00B63E5D"/>
    <w:rsid w:val="00B6407F"/>
    <w:rsid w:val="00B647D9"/>
    <w:rsid w:val="00B64CF6"/>
    <w:rsid w:val="00B65AA7"/>
    <w:rsid w:val="00B65B6A"/>
    <w:rsid w:val="00B65BDC"/>
    <w:rsid w:val="00B660AB"/>
    <w:rsid w:val="00B671A7"/>
    <w:rsid w:val="00B671FC"/>
    <w:rsid w:val="00B6741C"/>
    <w:rsid w:val="00B674DA"/>
    <w:rsid w:val="00B6757B"/>
    <w:rsid w:val="00B67C67"/>
    <w:rsid w:val="00B67E6D"/>
    <w:rsid w:val="00B7018D"/>
    <w:rsid w:val="00B7080B"/>
    <w:rsid w:val="00B70C6C"/>
    <w:rsid w:val="00B71402"/>
    <w:rsid w:val="00B7140B"/>
    <w:rsid w:val="00B718E0"/>
    <w:rsid w:val="00B7190B"/>
    <w:rsid w:val="00B71C3A"/>
    <w:rsid w:val="00B71EB5"/>
    <w:rsid w:val="00B71FB0"/>
    <w:rsid w:val="00B7238F"/>
    <w:rsid w:val="00B727A4"/>
    <w:rsid w:val="00B72D4A"/>
    <w:rsid w:val="00B72EDD"/>
    <w:rsid w:val="00B733E5"/>
    <w:rsid w:val="00B73817"/>
    <w:rsid w:val="00B7485A"/>
    <w:rsid w:val="00B7495C"/>
    <w:rsid w:val="00B74CBD"/>
    <w:rsid w:val="00B754DD"/>
    <w:rsid w:val="00B7593C"/>
    <w:rsid w:val="00B75F66"/>
    <w:rsid w:val="00B762F0"/>
    <w:rsid w:val="00B76C7C"/>
    <w:rsid w:val="00B773AD"/>
    <w:rsid w:val="00B776CC"/>
    <w:rsid w:val="00B77ECB"/>
    <w:rsid w:val="00B8061C"/>
    <w:rsid w:val="00B807C5"/>
    <w:rsid w:val="00B819C1"/>
    <w:rsid w:val="00B82E1F"/>
    <w:rsid w:val="00B83057"/>
    <w:rsid w:val="00B832F8"/>
    <w:rsid w:val="00B839E3"/>
    <w:rsid w:val="00B8437D"/>
    <w:rsid w:val="00B844B8"/>
    <w:rsid w:val="00B849C2"/>
    <w:rsid w:val="00B84ED8"/>
    <w:rsid w:val="00B84F6C"/>
    <w:rsid w:val="00B85259"/>
    <w:rsid w:val="00B85592"/>
    <w:rsid w:val="00B85827"/>
    <w:rsid w:val="00B85D2E"/>
    <w:rsid w:val="00B85E6B"/>
    <w:rsid w:val="00B8607C"/>
    <w:rsid w:val="00B86C6D"/>
    <w:rsid w:val="00B871A3"/>
    <w:rsid w:val="00B9024A"/>
    <w:rsid w:val="00B90A56"/>
    <w:rsid w:val="00B922BC"/>
    <w:rsid w:val="00B9236E"/>
    <w:rsid w:val="00B9251A"/>
    <w:rsid w:val="00B92712"/>
    <w:rsid w:val="00B92BDD"/>
    <w:rsid w:val="00B92D9A"/>
    <w:rsid w:val="00B931B2"/>
    <w:rsid w:val="00B936B2"/>
    <w:rsid w:val="00B938FC"/>
    <w:rsid w:val="00B93BAE"/>
    <w:rsid w:val="00B93CEB"/>
    <w:rsid w:val="00B94144"/>
    <w:rsid w:val="00B9426B"/>
    <w:rsid w:val="00B94677"/>
    <w:rsid w:val="00B94944"/>
    <w:rsid w:val="00B950BD"/>
    <w:rsid w:val="00B95554"/>
    <w:rsid w:val="00B95A07"/>
    <w:rsid w:val="00B964BE"/>
    <w:rsid w:val="00B96841"/>
    <w:rsid w:val="00B97465"/>
    <w:rsid w:val="00B9754B"/>
    <w:rsid w:val="00B9784D"/>
    <w:rsid w:val="00B97C4B"/>
    <w:rsid w:val="00B97D51"/>
    <w:rsid w:val="00BA001C"/>
    <w:rsid w:val="00BA0414"/>
    <w:rsid w:val="00BA0F46"/>
    <w:rsid w:val="00BA10E7"/>
    <w:rsid w:val="00BA1342"/>
    <w:rsid w:val="00BA157C"/>
    <w:rsid w:val="00BA1A35"/>
    <w:rsid w:val="00BA20EC"/>
    <w:rsid w:val="00BA273E"/>
    <w:rsid w:val="00BA2B34"/>
    <w:rsid w:val="00BA2B93"/>
    <w:rsid w:val="00BA2DD6"/>
    <w:rsid w:val="00BA2E1C"/>
    <w:rsid w:val="00BA33D4"/>
    <w:rsid w:val="00BA40F3"/>
    <w:rsid w:val="00BA429B"/>
    <w:rsid w:val="00BA4A08"/>
    <w:rsid w:val="00BA4DF7"/>
    <w:rsid w:val="00BA61B4"/>
    <w:rsid w:val="00BA6374"/>
    <w:rsid w:val="00BA6850"/>
    <w:rsid w:val="00BA6990"/>
    <w:rsid w:val="00BA6E7E"/>
    <w:rsid w:val="00BA6F35"/>
    <w:rsid w:val="00BA71D5"/>
    <w:rsid w:val="00BA71FA"/>
    <w:rsid w:val="00BA7A07"/>
    <w:rsid w:val="00BA7C86"/>
    <w:rsid w:val="00BA7F5E"/>
    <w:rsid w:val="00BB0827"/>
    <w:rsid w:val="00BB174F"/>
    <w:rsid w:val="00BB1801"/>
    <w:rsid w:val="00BB1A96"/>
    <w:rsid w:val="00BB1D4B"/>
    <w:rsid w:val="00BB20C2"/>
    <w:rsid w:val="00BB21E7"/>
    <w:rsid w:val="00BB2B8B"/>
    <w:rsid w:val="00BB36DA"/>
    <w:rsid w:val="00BB39A6"/>
    <w:rsid w:val="00BB3DDF"/>
    <w:rsid w:val="00BB4028"/>
    <w:rsid w:val="00BB4931"/>
    <w:rsid w:val="00BB4B3B"/>
    <w:rsid w:val="00BB522A"/>
    <w:rsid w:val="00BB5BEC"/>
    <w:rsid w:val="00BB6720"/>
    <w:rsid w:val="00BB6844"/>
    <w:rsid w:val="00BB7053"/>
    <w:rsid w:val="00BB7137"/>
    <w:rsid w:val="00BB725E"/>
    <w:rsid w:val="00BB7329"/>
    <w:rsid w:val="00BB74C7"/>
    <w:rsid w:val="00BB76D4"/>
    <w:rsid w:val="00BB77D1"/>
    <w:rsid w:val="00BB7D14"/>
    <w:rsid w:val="00BB7DA9"/>
    <w:rsid w:val="00BB7ECE"/>
    <w:rsid w:val="00BC00C1"/>
    <w:rsid w:val="00BC0C34"/>
    <w:rsid w:val="00BC13B9"/>
    <w:rsid w:val="00BC18A7"/>
    <w:rsid w:val="00BC2383"/>
    <w:rsid w:val="00BC47BC"/>
    <w:rsid w:val="00BC4BCC"/>
    <w:rsid w:val="00BC5215"/>
    <w:rsid w:val="00BC55F5"/>
    <w:rsid w:val="00BC6074"/>
    <w:rsid w:val="00BC60EA"/>
    <w:rsid w:val="00BC6C74"/>
    <w:rsid w:val="00BC6C9B"/>
    <w:rsid w:val="00BC6D95"/>
    <w:rsid w:val="00BC7598"/>
    <w:rsid w:val="00BC7A40"/>
    <w:rsid w:val="00BD0976"/>
    <w:rsid w:val="00BD0A52"/>
    <w:rsid w:val="00BD0DA4"/>
    <w:rsid w:val="00BD1756"/>
    <w:rsid w:val="00BD17EB"/>
    <w:rsid w:val="00BD1851"/>
    <w:rsid w:val="00BD1935"/>
    <w:rsid w:val="00BD1BB5"/>
    <w:rsid w:val="00BD21EA"/>
    <w:rsid w:val="00BD23A2"/>
    <w:rsid w:val="00BD4356"/>
    <w:rsid w:val="00BD47DE"/>
    <w:rsid w:val="00BD4838"/>
    <w:rsid w:val="00BD4892"/>
    <w:rsid w:val="00BD489D"/>
    <w:rsid w:val="00BD4B1F"/>
    <w:rsid w:val="00BD4B5D"/>
    <w:rsid w:val="00BD4C75"/>
    <w:rsid w:val="00BD4E31"/>
    <w:rsid w:val="00BD5488"/>
    <w:rsid w:val="00BD55A4"/>
    <w:rsid w:val="00BD5BE2"/>
    <w:rsid w:val="00BD5CCE"/>
    <w:rsid w:val="00BD5E93"/>
    <w:rsid w:val="00BD6244"/>
    <w:rsid w:val="00BD6285"/>
    <w:rsid w:val="00BD6A61"/>
    <w:rsid w:val="00BD6CCF"/>
    <w:rsid w:val="00BD6EEC"/>
    <w:rsid w:val="00BE051E"/>
    <w:rsid w:val="00BE08D3"/>
    <w:rsid w:val="00BE0DA1"/>
    <w:rsid w:val="00BE0E9F"/>
    <w:rsid w:val="00BE1738"/>
    <w:rsid w:val="00BE17E5"/>
    <w:rsid w:val="00BE1F4E"/>
    <w:rsid w:val="00BE272F"/>
    <w:rsid w:val="00BE2766"/>
    <w:rsid w:val="00BE28C6"/>
    <w:rsid w:val="00BE4A12"/>
    <w:rsid w:val="00BE4CFF"/>
    <w:rsid w:val="00BE5004"/>
    <w:rsid w:val="00BE52B3"/>
    <w:rsid w:val="00BE5F9D"/>
    <w:rsid w:val="00BE64AF"/>
    <w:rsid w:val="00BE6577"/>
    <w:rsid w:val="00BE6F64"/>
    <w:rsid w:val="00BE7214"/>
    <w:rsid w:val="00BE73C9"/>
    <w:rsid w:val="00BF035D"/>
    <w:rsid w:val="00BF0440"/>
    <w:rsid w:val="00BF07E8"/>
    <w:rsid w:val="00BF0AE6"/>
    <w:rsid w:val="00BF0C6B"/>
    <w:rsid w:val="00BF0C81"/>
    <w:rsid w:val="00BF0DAB"/>
    <w:rsid w:val="00BF0F09"/>
    <w:rsid w:val="00BF0F90"/>
    <w:rsid w:val="00BF299D"/>
    <w:rsid w:val="00BF29E2"/>
    <w:rsid w:val="00BF2BCA"/>
    <w:rsid w:val="00BF36E0"/>
    <w:rsid w:val="00BF3B13"/>
    <w:rsid w:val="00BF3EB1"/>
    <w:rsid w:val="00BF4251"/>
    <w:rsid w:val="00BF433E"/>
    <w:rsid w:val="00BF51C0"/>
    <w:rsid w:val="00BF536A"/>
    <w:rsid w:val="00BF59BC"/>
    <w:rsid w:val="00BF5BC2"/>
    <w:rsid w:val="00BF5F53"/>
    <w:rsid w:val="00BF634C"/>
    <w:rsid w:val="00BF6772"/>
    <w:rsid w:val="00BF6997"/>
    <w:rsid w:val="00BF6E9E"/>
    <w:rsid w:val="00BF726F"/>
    <w:rsid w:val="00BF749F"/>
    <w:rsid w:val="00BF7606"/>
    <w:rsid w:val="00BF7B4C"/>
    <w:rsid w:val="00C0030F"/>
    <w:rsid w:val="00C004D6"/>
    <w:rsid w:val="00C0057C"/>
    <w:rsid w:val="00C006CE"/>
    <w:rsid w:val="00C00B71"/>
    <w:rsid w:val="00C01049"/>
    <w:rsid w:val="00C014E4"/>
    <w:rsid w:val="00C01538"/>
    <w:rsid w:val="00C01BE5"/>
    <w:rsid w:val="00C01F55"/>
    <w:rsid w:val="00C01FE3"/>
    <w:rsid w:val="00C02436"/>
    <w:rsid w:val="00C02608"/>
    <w:rsid w:val="00C02639"/>
    <w:rsid w:val="00C02855"/>
    <w:rsid w:val="00C02B05"/>
    <w:rsid w:val="00C03629"/>
    <w:rsid w:val="00C03A4A"/>
    <w:rsid w:val="00C03B01"/>
    <w:rsid w:val="00C04075"/>
    <w:rsid w:val="00C04489"/>
    <w:rsid w:val="00C04B9F"/>
    <w:rsid w:val="00C05510"/>
    <w:rsid w:val="00C05582"/>
    <w:rsid w:val="00C05A88"/>
    <w:rsid w:val="00C0657A"/>
    <w:rsid w:val="00C06665"/>
    <w:rsid w:val="00C0679B"/>
    <w:rsid w:val="00C074F1"/>
    <w:rsid w:val="00C07715"/>
    <w:rsid w:val="00C07986"/>
    <w:rsid w:val="00C1005A"/>
    <w:rsid w:val="00C107F1"/>
    <w:rsid w:val="00C11DE4"/>
    <w:rsid w:val="00C1226E"/>
    <w:rsid w:val="00C12C40"/>
    <w:rsid w:val="00C12DE0"/>
    <w:rsid w:val="00C130DC"/>
    <w:rsid w:val="00C13157"/>
    <w:rsid w:val="00C132CC"/>
    <w:rsid w:val="00C132DE"/>
    <w:rsid w:val="00C1340A"/>
    <w:rsid w:val="00C13B15"/>
    <w:rsid w:val="00C13CB8"/>
    <w:rsid w:val="00C14926"/>
    <w:rsid w:val="00C14C19"/>
    <w:rsid w:val="00C14D2E"/>
    <w:rsid w:val="00C156EF"/>
    <w:rsid w:val="00C15718"/>
    <w:rsid w:val="00C15752"/>
    <w:rsid w:val="00C159BE"/>
    <w:rsid w:val="00C160E1"/>
    <w:rsid w:val="00C166AE"/>
    <w:rsid w:val="00C16899"/>
    <w:rsid w:val="00C1695F"/>
    <w:rsid w:val="00C16A35"/>
    <w:rsid w:val="00C16E3A"/>
    <w:rsid w:val="00C172CD"/>
    <w:rsid w:val="00C17855"/>
    <w:rsid w:val="00C1796B"/>
    <w:rsid w:val="00C2002F"/>
    <w:rsid w:val="00C2018D"/>
    <w:rsid w:val="00C20336"/>
    <w:rsid w:val="00C2046D"/>
    <w:rsid w:val="00C20965"/>
    <w:rsid w:val="00C210D1"/>
    <w:rsid w:val="00C212D0"/>
    <w:rsid w:val="00C21FB6"/>
    <w:rsid w:val="00C22291"/>
    <w:rsid w:val="00C22D02"/>
    <w:rsid w:val="00C22E30"/>
    <w:rsid w:val="00C23184"/>
    <w:rsid w:val="00C231DE"/>
    <w:rsid w:val="00C234CE"/>
    <w:rsid w:val="00C23A97"/>
    <w:rsid w:val="00C23F04"/>
    <w:rsid w:val="00C245BF"/>
    <w:rsid w:val="00C24CD6"/>
    <w:rsid w:val="00C26892"/>
    <w:rsid w:val="00C26CB1"/>
    <w:rsid w:val="00C271FD"/>
    <w:rsid w:val="00C2751F"/>
    <w:rsid w:val="00C2778F"/>
    <w:rsid w:val="00C277E2"/>
    <w:rsid w:val="00C302DE"/>
    <w:rsid w:val="00C30899"/>
    <w:rsid w:val="00C310A7"/>
    <w:rsid w:val="00C317B0"/>
    <w:rsid w:val="00C31821"/>
    <w:rsid w:val="00C31BF9"/>
    <w:rsid w:val="00C32364"/>
    <w:rsid w:val="00C32A01"/>
    <w:rsid w:val="00C32C07"/>
    <w:rsid w:val="00C33132"/>
    <w:rsid w:val="00C331DA"/>
    <w:rsid w:val="00C3322A"/>
    <w:rsid w:val="00C33362"/>
    <w:rsid w:val="00C33752"/>
    <w:rsid w:val="00C33808"/>
    <w:rsid w:val="00C33F3F"/>
    <w:rsid w:val="00C341C2"/>
    <w:rsid w:val="00C34CC0"/>
    <w:rsid w:val="00C34FEC"/>
    <w:rsid w:val="00C35359"/>
    <w:rsid w:val="00C3595F"/>
    <w:rsid w:val="00C35D38"/>
    <w:rsid w:val="00C35E3B"/>
    <w:rsid w:val="00C366FC"/>
    <w:rsid w:val="00C36755"/>
    <w:rsid w:val="00C3681A"/>
    <w:rsid w:val="00C36889"/>
    <w:rsid w:val="00C36D31"/>
    <w:rsid w:val="00C36D3F"/>
    <w:rsid w:val="00C404F6"/>
    <w:rsid w:val="00C40653"/>
    <w:rsid w:val="00C40742"/>
    <w:rsid w:val="00C40841"/>
    <w:rsid w:val="00C40956"/>
    <w:rsid w:val="00C409E7"/>
    <w:rsid w:val="00C40DD4"/>
    <w:rsid w:val="00C4114E"/>
    <w:rsid w:val="00C417B7"/>
    <w:rsid w:val="00C4180E"/>
    <w:rsid w:val="00C4243F"/>
    <w:rsid w:val="00C424ED"/>
    <w:rsid w:val="00C426C9"/>
    <w:rsid w:val="00C42DC4"/>
    <w:rsid w:val="00C42E11"/>
    <w:rsid w:val="00C439E8"/>
    <w:rsid w:val="00C43B6A"/>
    <w:rsid w:val="00C43C6E"/>
    <w:rsid w:val="00C4486B"/>
    <w:rsid w:val="00C44ADE"/>
    <w:rsid w:val="00C44AE0"/>
    <w:rsid w:val="00C44D2B"/>
    <w:rsid w:val="00C451F0"/>
    <w:rsid w:val="00C452A0"/>
    <w:rsid w:val="00C4558F"/>
    <w:rsid w:val="00C45B56"/>
    <w:rsid w:val="00C45E22"/>
    <w:rsid w:val="00C46423"/>
    <w:rsid w:val="00C46BD9"/>
    <w:rsid w:val="00C46F6A"/>
    <w:rsid w:val="00C47251"/>
    <w:rsid w:val="00C47AB0"/>
    <w:rsid w:val="00C47BC0"/>
    <w:rsid w:val="00C507A3"/>
    <w:rsid w:val="00C5131D"/>
    <w:rsid w:val="00C5166C"/>
    <w:rsid w:val="00C516E5"/>
    <w:rsid w:val="00C51914"/>
    <w:rsid w:val="00C51F0F"/>
    <w:rsid w:val="00C51F38"/>
    <w:rsid w:val="00C520E8"/>
    <w:rsid w:val="00C52804"/>
    <w:rsid w:val="00C52A59"/>
    <w:rsid w:val="00C52E1A"/>
    <w:rsid w:val="00C538CA"/>
    <w:rsid w:val="00C53B82"/>
    <w:rsid w:val="00C54283"/>
    <w:rsid w:val="00C546B6"/>
    <w:rsid w:val="00C55985"/>
    <w:rsid w:val="00C56885"/>
    <w:rsid w:val="00C56B0C"/>
    <w:rsid w:val="00C56DED"/>
    <w:rsid w:val="00C57B17"/>
    <w:rsid w:val="00C60D60"/>
    <w:rsid w:val="00C60EDD"/>
    <w:rsid w:val="00C610CC"/>
    <w:rsid w:val="00C6174B"/>
    <w:rsid w:val="00C617AE"/>
    <w:rsid w:val="00C61E7D"/>
    <w:rsid w:val="00C61E85"/>
    <w:rsid w:val="00C62B22"/>
    <w:rsid w:val="00C62F08"/>
    <w:rsid w:val="00C633EB"/>
    <w:rsid w:val="00C63FBD"/>
    <w:rsid w:val="00C640A9"/>
    <w:rsid w:val="00C64E66"/>
    <w:rsid w:val="00C656D0"/>
    <w:rsid w:val="00C65D93"/>
    <w:rsid w:val="00C6684D"/>
    <w:rsid w:val="00C66B9F"/>
    <w:rsid w:val="00C66C5F"/>
    <w:rsid w:val="00C67232"/>
    <w:rsid w:val="00C673C2"/>
    <w:rsid w:val="00C67835"/>
    <w:rsid w:val="00C67C92"/>
    <w:rsid w:val="00C71097"/>
    <w:rsid w:val="00C7194B"/>
    <w:rsid w:val="00C71B0C"/>
    <w:rsid w:val="00C71B56"/>
    <w:rsid w:val="00C721BF"/>
    <w:rsid w:val="00C727F6"/>
    <w:rsid w:val="00C72B37"/>
    <w:rsid w:val="00C72EA3"/>
    <w:rsid w:val="00C73160"/>
    <w:rsid w:val="00C7349C"/>
    <w:rsid w:val="00C73645"/>
    <w:rsid w:val="00C73754"/>
    <w:rsid w:val="00C73D75"/>
    <w:rsid w:val="00C746E4"/>
    <w:rsid w:val="00C74B55"/>
    <w:rsid w:val="00C75699"/>
    <w:rsid w:val="00C763F6"/>
    <w:rsid w:val="00C7651B"/>
    <w:rsid w:val="00C76B39"/>
    <w:rsid w:val="00C76D9A"/>
    <w:rsid w:val="00C771B9"/>
    <w:rsid w:val="00C777AA"/>
    <w:rsid w:val="00C779B6"/>
    <w:rsid w:val="00C801D9"/>
    <w:rsid w:val="00C80B0F"/>
    <w:rsid w:val="00C811A3"/>
    <w:rsid w:val="00C81244"/>
    <w:rsid w:val="00C81454"/>
    <w:rsid w:val="00C814EE"/>
    <w:rsid w:val="00C817FB"/>
    <w:rsid w:val="00C81AD9"/>
    <w:rsid w:val="00C81DB5"/>
    <w:rsid w:val="00C824F8"/>
    <w:rsid w:val="00C82699"/>
    <w:rsid w:val="00C82CB8"/>
    <w:rsid w:val="00C83265"/>
    <w:rsid w:val="00C83821"/>
    <w:rsid w:val="00C83D50"/>
    <w:rsid w:val="00C83FD1"/>
    <w:rsid w:val="00C84584"/>
    <w:rsid w:val="00C8482D"/>
    <w:rsid w:val="00C84949"/>
    <w:rsid w:val="00C84A5E"/>
    <w:rsid w:val="00C853A1"/>
    <w:rsid w:val="00C853FE"/>
    <w:rsid w:val="00C854EE"/>
    <w:rsid w:val="00C857DF"/>
    <w:rsid w:val="00C85F67"/>
    <w:rsid w:val="00C863D5"/>
    <w:rsid w:val="00C8645C"/>
    <w:rsid w:val="00C86573"/>
    <w:rsid w:val="00C86DF1"/>
    <w:rsid w:val="00C86E71"/>
    <w:rsid w:val="00C8761C"/>
    <w:rsid w:val="00C87CA3"/>
    <w:rsid w:val="00C87D77"/>
    <w:rsid w:val="00C903D4"/>
    <w:rsid w:val="00C90644"/>
    <w:rsid w:val="00C907BA"/>
    <w:rsid w:val="00C90E95"/>
    <w:rsid w:val="00C910FE"/>
    <w:rsid w:val="00C91418"/>
    <w:rsid w:val="00C91659"/>
    <w:rsid w:val="00C919FB"/>
    <w:rsid w:val="00C936AD"/>
    <w:rsid w:val="00C937C0"/>
    <w:rsid w:val="00C94274"/>
    <w:rsid w:val="00C94485"/>
    <w:rsid w:val="00C94EEE"/>
    <w:rsid w:val="00C9525D"/>
    <w:rsid w:val="00C952E0"/>
    <w:rsid w:val="00C95394"/>
    <w:rsid w:val="00C95F58"/>
    <w:rsid w:val="00C96719"/>
    <w:rsid w:val="00C96B06"/>
    <w:rsid w:val="00C97371"/>
    <w:rsid w:val="00C975CE"/>
    <w:rsid w:val="00C97ED8"/>
    <w:rsid w:val="00CA063F"/>
    <w:rsid w:val="00CA0747"/>
    <w:rsid w:val="00CA113C"/>
    <w:rsid w:val="00CA1396"/>
    <w:rsid w:val="00CA1E22"/>
    <w:rsid w:val="00CA1E8D"/>
    <w:rsid w:val="00CA221F"/>
    <w:rsid w:val="00CA2D2A"/>
    <w:rsid w:val="00CA30C9"/>
    <w:rsid w:val="00CA3561"/>
    <w:rsid w:val="00CA4F9F"/>
    <w:rsid w:val="00CA50F5"/>
    <w:rsid w:val="00CA519E"/>
    <w:rsid w:val="00CA587F"/>
    <w:rsid w:val="00CA5B95"/>
    <w:rsid w:val="00CA5C04"/>
    <w:rsid w:val="00CA6819"/>
    <w:rsid w:val="00CA72AE"/>
    <w:rsid w:val="00CA744D"/>
    <w:rsid w:val="00CA7B4E"/>
    <w:rsid w:val="00CA7D90"/>
    <w:rsid w:val="00CB00FC"/>
    <w:rsid w:val="00CB0944"/>
    <w:rsid w:val="00CB0B53"/>
    <w:rsid w:val="00CB100C"/>
    <w:rsid w:val="00CB1690"/>
    <w:rsid w:val="00CB2851"/>
    <w:rsid w:val="00CB2BAC"/>
    <w:rsid w:val="00CB304D"/>
    <w:rsid w:val="00CB3939"/>
    <w:rsid w:val="00CB39F5"/>
    <w:rsid w:val="00CB3E98"/>
    <w:rsid w:val="00CB3EC2"/>
    <w:rsid w:val="00CB4561"/>
    <w:rsid w:val="00CB4645"/>
    <w:rsid w:val="00CB4ED4"/>
    <w:rsid w:val="00CB4EE1"/>
    <w:rsid w:val="00CB51BB"/>
    <w:rsid w:val="00CB530B"/>
    <w:rsid w:val="00CB541E"/>
    <w:rsid w:val="00CB5A34"/>
    <w:rsid w:val="00CB5F84"/>
    <w:rsid w:val="00CB6633"/>
    <w:rsid w:val="00CB6853"/>
    <w:rsid w:val="00CB6E32"/>
    <w:rsid w:val="00CB7A50"/>
    <w:rsid w:val="00CB7B14"/>
    <w:rsid w:val="00CC0706"/>
    <w:rsid w:val="00CC07F8"/>
    <w:rsid w:val="00CC09DC"/>
    <w:rsid w:val="00CC0B2A"/>
    <w:rsid w:val="00CC0E75"/>
    <w:rsid w:val="00CC1AFE"/>
    <w:rsid w:val="00CC1F40"/>
    <w:rsid w:val="00CC207A"/>
    <w:rsid w:val="00CC21FD"/>
    <w:rsid w:val="00CC2710"/>
    <w:rsid w:val="00CC272D"/>
    <w:rsid w:val="00CC2ADF"/>
    <w:rsid w:val="00CC4B48"/>
    <w:rsid w:val="00CC4E20"/>
    <w:rsid w:val="00CC583A"/>
    <w:rsid w:val="00CC594A"/>
    <w:rsid w:val="00CC62DF"/>
    <w:rsid w:val="00CC68CE"/>
    <w:rsid w:val="00CC75E7"/>
    <w:rsid w:val="00CC7A75"/>
    <w:rsid w:val="00CC7C07"/>
    <w:rsid w:val="00CD03AB"/>
    <w:rsid w:val="00CD0A37"/>
    <w:rsid w:val="00CD2009"/>
    <w:rsid w:val="00CD2142"/>
    <w:rsid w:val="00CD24E7"/>
    <w:rsid w:val="00CD26E7"/>
    <w:rsid w:val="00CD2841"/>
    <w:rsid w:val="00CD2FE1"/>
    <w:rsid w:val="00CD41AB"/>
    <w:rsid w:val="00CD4AE2"/>
    <w:rsid w:val="00CD5914"/>
    <w:rsid w:val="00CD5C63"/>
    <w:rsid w:val="00CD5CFD"/>
    <w:rsid w:val="00CD5ECD"/>
    <w:rsid w:val="00CD609F"/>
    <w:rsid w:val="00CD6334"/>
    <w:rsid w:val="00CD6F48"/>
    <w:rsid w:val="00CD739C"/>
    <w:rsid w:val="00CD75D0"/>
    <w:rsid w:val="00CD7785"/>
    <w:rsid w:val="00CE0036"/>
    <w:rsid w:val="00CE0195"/>
    <w:rsid w:val="00CE0DC1"/>
    <w:rsid w:val="00CE1601"/>
    <w:rsid w:val="00CE1D2B"/>
    <w:rsid w:val="00CE2211"/>
    <w:rsid w:val="00CE2317"/>
    <w:rsid w:val="00CE25BF"/>
    <w:rsid w:val="00CE325D"/>
    <w:rsid w:val="00CE3276"/>
    <w:rsid w:val="00CE360E"/>
    <w:rsid w:val="00CE3980"/>
    <w:rsid w:val="00CE3CCA"/>
    <w:rsid w:val="00CE4009"/>
    <w:rsid w:val="00CE43ED"/>
    <w:rsid w:val="00CE4424"/>
    <w:rsid w:val="00CE44E0"/>
    <w:rsid w:val="00CE4D3D"/>
    <w:rsid w:val="00CE5746"/>
    <w:rsid w:val="00CE5E3A"/>
    <w:rsid w:val="00CE5E4F"/>
    <w:rsid w:val="00CE649D"/>
    <w:rsid w:val="00CE65FD"/>
    <w:rsid w:val="00CE668D"/>
    <w:rsid w:val="00CE6A01"/>
    <w:rsid w:val="00CE748B"/>
    <w:rsid w:val="00CE7A77"/>
    <w:rsid w:val="00CF0464"/>
    <w:rsid w:val="00CF05CF"/>
    <w:rsid w:val="00CF138E"/>
    <w:rsid w:val="00CF14A6"/>
    <w:rsid w:val="00CF1835"/>
    <w:rsid w:val="00CF18F9"/>
    <w:rsid w:val="00CF2F57"/>
    <w:rsid w:val="00CF31E5"/>
    <w:rsid w:val="00CF32E5"/>
    <w:rsid w:val="00CF35ED"/>
    <w:rsid w:val="00CF3A80"/>
    <w:rsid w:val="00CF3DC3"/>
    <w:rsid w:val="00CF3DC6"/>
    <w:rsid w:val="00CF3F86"/>
    <w:rsid w:val="00CF4288"/>
    <w:rsid w:val="00CF46DA"/>
    <w:rsid w:val="00CF48DC"/>
    <w:rsid w:val="00CF5141"/>
    <w:rsid w:val="00CF5191"/>
    <w:rsid w:val="00CF6602"/>
    <w:rsid w:val="00CF6C7E"/>
    <w:rsid w:val="00CF6E17"/>
    <w:rsid w:val="00CF6F2F"/>
    <w:rsid w:val="00CF72B0"/>
    <w:rsid w:val="00CF7492"/>
    <w:rsid w:val="00D000E9"/>
    <w:rsid w:val="00D003BD"/>
    <w:rsid w:val="00D00521"/>
    <w:rsid w:val="00D00566"/>
    <w:rsid w:val="00D010F5"/>
    <w:rsid w:val="00D0179F"/>
    <w:rsid w:val="00D01870"/>
    <w:rsid w:val="00D01DFA"/>
    <w:rsid w:val="00D01E14"/>
    <w:rsid w:val="00D02265"/>
    <w:rsid w:val="00D029FF"/>
    <w:rsid w:val="00D02A6F"/>
    <w:rsid w:val="00D02C5A"/>
    <w:rsid w:val="00D0424A"/>
    <w:rsid w:val="00D04F88"/>
    <w:rsid w:val="00D0512F"/>
    <w:rsid w:val="00D05209"/>
    <w:rsid w:val="00D05A27"/>
    <w:rsid w:val="00D05CF9"/>
    <w:rsid w:val="00D05DC3"/>
    <w:rsid w:val="00D05E4C"/>
    <w:rsid w:val="00D06D43"/>
    <w:rsid w:val="00D07E2D"/>
    <w:rsid w:val="00D100CD"/>
    <w:rsid w:val="00D10294"/>
    <w:rsid w:val="00D10374"/>
    <w:rsid w:val="00D104F0"/>
    <w:rsid w:val="00D10667"/>
    <w:rsid w:val="00D10C0B"/>
    <w:rsid w:val="00D113F2"/>
    <w:rsid w:val="00D11582"/>
    <w:rsid w:val="00D1177A"/>
    <w:rsid w:val="00D118FD"/>
    <w:rsid w:val="00D123A9"/>
    <w:rsid w:val="00D129A7"/>
    <w:rsid w:val="00D12A57"/>
    <w:rsid w:val="00D12E29"/>
    <w:rsid w:val="00D148CE"/>
    <w:rsid w:val="00D14953"/>
    <w:rsid w:val="00D14FC9"/>
    <w:rsid w:val="00D15221"/>
    <w:rsid w:val="00D1552C"/>
    <w:rsid w:val="00D15B19"/>
    <w:rsid w:val="00D16053"/>
    <w:rsid w:val="00D1607C"/>
    <w:rsid w:val="00D16408"/>
    <w:rsid w:val="00D16A1D"/>
    <w:rsid w:val="00D16D62"/>
    <w:rsid w:val="00D16EAD"/>
    <w:rsid w:val="00D179FB"/>
    <w:rsid w:val="00D17E40"/>
    <w:rsid w:val="00D201FC"/>
    <w:rsid w:val="00D20529"/>
    <w:rsid w:val="00D2056F"/>
    <w:rsid w:val="00D207EA"/>
    <w:rsid w:val="00D20A79"/>
    <w:rsid w:val="00D20A84"/>
    <w:rsid w:val="00D20ADB"/>
    <w:rsid w:val="00D20CC3"/>
    <w:rsid w:val="00D211D5"/>
    <w:rsid w:val="00D213E8"/>
    <w:rsid w:val="00D22252"/>
    <w:rsid w:val="00D223F2"/>
    <w:rsid w:val="00D224D8"/>
    <w:rsid w:val="00D226BB"/>
    <w:rsid w:val="00D22BDC"/>
    <w:rsid w:val="00D24148"/>
    <w:rsid w:val="00D24AF4"/>
    <w:rsid w:val="00D25171"/>
    <w:rsid w:val="00D258F4"/>
    <w:rsid w:val="00D25ADF"/>
    <w:rsid w:val="00D25AE1"/>
    <w:rsid w:val="00D25BD9"/>
    <w:rsid w:val="00D2616D"/>
    <w:rsid w:val="00D263E6"/>
    <w:rsid w:val="00D26592"/>
    <w:rsid w:val="00D2666B"/>
    <w:rsid w:val="00D2679A"/>
    <w:rsid w:val="00D26A1A"/>
    <w:rsid w:val="00D26B45"/>
    <w:rsid w:val="00D26BAC"/>
    <w:rsid w:val="00D273C1"/>
    <w:rsid w:val="00D275F9"/>
    <w:rsid w:val="00D27704"/>
    <w:rsid w:val="00D27E87"/>
    <w:rsid w:val="00D30101"/>
    <w:rsid w:val="00D30AE6"/>
    <w:rsid w:val="00D30EF2"/>
    <w:rsid w:val="00D316CD"/>
    <w:rsid w:val="00D31D2D"/>
    <w:rsid w:val="00D31E6E"/>
    <w:rsid w:val="00D329ED"/>
    <w:rsid w:val="00D32BC9"/>
    <w:rsid w:val="00D32D62"/>
    <w:rsid w:val="00D32E37"/>
    <w:rsid w:val="00D32FF5"/>
    <w:rsid w:val="00D3347A"/>
    <w:rsid w:val="00D335A0"/>
    <w:rsid w:val="00D33605"/>
    <w:rsid w:val="00D33C70"/>
    <w:rsid w:val="00D34071"/>
    <w:rsid w:val="00D34E69"/>
    <w:rsid w:val="00D3510A"/>
    <w:rsid w:val="00D3522D"/>
    <w:rsid w:val="00D354C2"/>
    <w:rsid w:val="00D35A8B"/>
    <w:rsid w:val="00D35EB6"/>
    <w:rsid w:val="00D35F62"/>
    <w:rsid w:val="00D363A5"/>
    <w:rsid w:val="00D365B8"/>
    <w:rsid w:val="00D365F9"/>
    <w:rsid w:val="00D366A4"/>
    <w:rsid w:val="00D367E6"/>
    <w:rsid w:val="00D370D4"/>
    <w:rsid w:val="00D37A9B"/>
    <w:rsid w:val="00D37E4D"/>
    <w:rsid w:val="00D40705"/>
    <w:rsid w:val="00D4126E"/>
    <w:rsid w:val="00D4139E"/>
    <w:rsid w:val="00D416E6"/>
    <w:rsid w:val="00D417E3"/>
    <w:rsid w:val="00D42FC4"/>
    <w:rsid w:val="00D43444"/>
    <w:rsid w:val="00D43A95"/>
    <w:rsid w:val="00D43CEF"/>
    <w:rsid w:val="00D44055"/>
    <w:rsid w:val="00D4412C"/>
    <w:rsid w:val="00D44352"/>
    <w:rsid w:val="00D44814"/>
    <w:rsid w:val="00D4489F"/>
    <w:rsid w:val="00D44F9E"/>
    <w:rsid w:val="00D45124"/>
    <w:rsid w:val="00D458B5"/>
    <w:rsid w:val="00D4751B"/>
    <w:rsid w:val="00D47ACB"/>
    <w:rsid w:val="00D47F83"/>
    <w:rsid w:val="00D50375"/>
    <w:rsid w:val="00D510FC"/>
    <w:rsid w:val="00D51194"/>
    <w:rsid w:val="00D515FB"/>
    <w:rsid w:val="00D516D5"/>
    <w:rsid w:val="00D51A1F"/>
    <w:rsid w:val="00D5271D"/>
    <w:rsid w:val="00D52A12"/>
    <w:rsid w:val="00D53232"/>
    <w:rsid w:val="00D537F9"/>
    <w:rsid w:val="00D53856"/>
    <w:rsid w:val="00D5389A"/>
    <w:rsid w:val="00D53A6E"/>
    <w:rsid w:val="00D542D3"/>
    <w:rsid w:val="00D54758"/>
    <w:rsid w:val="00D54DAC"/>
    <w:rsid w:val="00D559EC"/>
    <w:rsid w:val="00D55B2D"/>
    <w:rsid w:val="00D56081"/>
    <w:rsid w:val="00D5627E"/>
    <w:rsid w:val="00D5681D"/>
    <w:rsid w:val="00D5772A"/>
    <w:rsid w:val="00D57B0C"/>
    <w:rsid w:val="00D6011A"/>
    <w:rsid w:val="00D605C4"/>
    <w:rsid w:val="00D6064E"/>
    <w:rsid w:val="00D6078C"/>
    <w:rsid w:val="00D60C26"/>
    <w:rsid w:val="00D60E50"/>
    <w:rsid w:val="00D60F5E"/>
    <w:rsid w:val="00D61033"/>
    <w:rsid w:val="00D61187"/>
    <w:rsid w:val="00D61605"/>
    <w:rsid w:val="00D617AB"/>
    <w:rsid w:val="00D617E1"/>
    <w:rsid w:val="00D61A7A"/>
    <w:rsid w:val="00D61A7F"/>
    <w:rsid w:val="00D61EA5"/>
    <w:rsid w:val="00D624A5"/>
    <w:rsid w:val="00D6286B"/>
    <w:rsid w:val="00D62A7A"/>
    <w:rsid w:val="00D62D53"/>
    <w:rsid w:val="00D62F68"/>
    <w:rsid w:val="00D6379A"/>
    <w:rsid w:val="00D63817"/>
    <w:rsid w:val="00D63F70"/>
    <w:rsid w:val="00D6436C"/>
    <w:rsid w:val="00D64495"/>
    <w:rsid w:val="00D65274"/>
    <w:rsid w:val="00D6552A"/>
    <w:rsid w:val="00D6629E"/>
    <w:rsid w:val="00D6680B"/>
    <w:rsid w:val="00D66ADA"/>
    <w:rsid w:val="00D66B50"/>
    <w:rsid w:val="00D675C5"/>
    <w:rsid w:val="00D67738"/>
    <w:rsid w:val="00D67801"/>
    <w:rsid w:val="00D67970"/>
    <w:rsid w:val="00D67E9C"/>
    <w:rsid w:val="00D700AC"/>
    <w:rsid w:val="00D71194"/>
    <w:rsid w:val="00D72107"/>
    <w:rsid w:val="00D72428"/>
    <w:rsid w:val="00D72F27"/>
    <w:rsid w:val="00D73036"/>
    <w:rsid w:val="00D7331F"/>
    <w:rsid w:val="00D73A36"/>
    <w:rsid w:val="00D74128"/>
    <w:rsid w:val="00D74282"/>
    <w:rsid w:val="00D743D0"/>
    <w:rsid w:val="00D744E4"/>
    <w:rsid w:val="00D74791"/>
    <w:rsid w:val="00D74D66"/>
    <w:rsid w:val="00D75277"/>
    <w:rsid w:val="00D75415"/>
    <w:rsid w:val="00D75A0B"/>
    <w:rsid w:val="00D75EAE"/>
    <w:rsid w:val="00D75F19"/>
    <w:rsid w:val="00D7644E"/>
    <w:rsid w:val="00D76A27"/>
    <w:rsid w:val="00D76A4D"/>
    <w:rsid w:val="00D76AC4"/>
    <w:rsid w:val="00D77688"/>
    <w:rsid w:val="00D77BA0"/>
    <w:rsid w:val="00D80263"/>
    <w:rsid w:val="00D80321"/>
    <w:rsid w:val="00D80E19"/>
    <w:rsid w:val="00D816F4"/>
    <w:rsid w:val="00D81912"/>
    <w:rsid w:val="00D8238F"/>
    <w:rsid w:val="00D825D6"/>
    <w:rsid w:val="00D848BF"/>
    <w:rsid w:val="00D84EC5"/>
    <w:rsid w:val="00D84F4E"/>
    <w:rsid w:val="00D8512C"/>
    <w:rsid w:val="00D85452"/>
    <w:rsid w:val="00D85514"/>
    <w:rsid w:val="00D85D8F"/>
    <w:rsid w:val="00D8683C"/>
    <w:rsid w:val="00D86A30"/>
    <w:rsid w:val="00D879BB"/>
    <w:rsid w:val="00D9059D"/>
    <w:rsid w:val="00D90A66"/>
    <w:rsid w:val="00D90B09"/>
    <w:rsid w:val="00D915E2"/>
    <w:rsid w:val="00D91EA7"/>
    <w:rsid w:val="00D92085"/>
    <w:rsid w:val="00D9217D"/>
    <w:rsid w:val="00D9218A"/>
    <w:rsid w:val="00D9229A"/>
    <w:rsid w:val="00D9255C"/>
    <w:rsid w:val="00D92EA4"/>
    <w:rsid w:val="00D9354C"/>
    <w:rsid w:val="00D93FE4"/>
    <w:rsid w:val="00D941DE"/>
    <w:rsid w:val="00D9452A"/>
    <w:rsid w:val="00D945A5"/>
    <w:rsid w:val="00D95C64"/>
    <w:rsid w:val="00D95F53"/>
    <w:rsid w:val="00D960EB"/>
    <w:rsid w:val="00D96176"/>
    <w:rsid w:val="00D96206"/>
    <w:rsid w:val="00D966F6"/>
    <w:rsid w:val="00D96722"/>
    <w:rsid w:val="00D9681D"/>
    <w:rsid w:val="00D96F12"/>
    <w:rsid w:val="00D9704B"/>
    <w:rsid w:val="00D97069"/>
    <w:rsid w:val="00D979EE"/>
    <w:rsid w:val="00D97E65"/>
    <w:rsid w:val="00DA031C"/>
    <w:rsid w:val="00DA040F"/>
    <w:rsid w:val="00DA0869"/>
    <w:rsid w:val="00DA13E2"/>
    <w:rsid w:val="00DA1772"/>
    <w:rsid w:val="00DA1D73"/>
    <w:rsid w:val="00DA24ED"/>
    <w:rsid w:val="00DA26B6"/>
    <w:rsid w:val="00DA26D8"/>
    <w:rsid w:val="00DA2E28"/>
    <w:rsid w:val="00DA2E59"/>
    <w:rsid w:val="00DA3169"/>
    <w:rsid w:val="00DA3605"/>
    <w:rsid w:val="00DA38B0"/>
    <w:rsid w:val="00DA41D9"/>
    <w:rsid w:val="00DA56BB"/>
    <w:rsid w:val="00DA5B07"/>
    <w:rsid w:val="00DA5F54"/>
    <w:rsid w:val="00DA609B"/>
    <w:rsid w:val="00DA6286"/>
    <w:rsid w:val="00DA6583"/>
    <w:rsid w:val="00DA6A88"/>
    <w:rsid w:val="00DA6D62"/>
    <w:rsid w:val="00DA7442"/>
    <w:rsid w:val="00DA77D7"/>
    <w:rsid w:val="00DB01B1"/>
    <w:rsid w:val="00DB0290"/>
    <w:rsid w:val="00DB2AC1"/>
    <w:rsid w:val="00DB2CD6"/>
    <w:rsid w:val="00DB31F1"/>
    <w:rsid w:val="00DB3612"/>
    <w:rsid w:val="00DB3899"/>
    <w:rsid w:val="00DB408A"/>
    <w:rsid w:val="00DB40CF"/>
    <w:rsid w:val="00DB44A2"/>
    <w:rsid w:val="00DB44C5"/>
    <w:rsid w:val="00DB49A5"/>
    <w:rsid w:val="00DB49B4"/>
    <w:rsid w:val="00DB51A7"/>
    <w:rsid w:val="00DB5321"/>
    <w:rsid w:val="00DB58E3"/>
    <w:rsid w:val="00DB5A84"/>
    <w:rsid w:val="00DB5E19"/>
    <w:rsid w:val="00DB5EA6"/>
    <w:rsid w:val="00DB62B6"/>
    <w:rsid w:val="00DB63C9"/>
    <w:rsid w:val="00DB64AA"/>
    <w:rsid w:val="00DB6B6B"/>
    <w:rsid w:val="00DB6C92"/>
    <w:rsid w:val="00DB6CF2"/>
    <w:rsid w:val="00DB783D"/>
    <w:rsid w:val="00DC0696"/>
    <w:rsid w:val="00DC06D0"/>
    <w:rsid w:val="00DC0A33"/>
    <w:rsid w:val="00DC0B9C"/>
    <w:rsid w:val="00DC0DA4"/>
    <w:rsid w:val="00DC0F11"/>
    <w:rsid w:val="00DC1380"/>
    <w:rsid w:val="00DC1804"/>
    <w:rsid w:val="00DC1D48"/>
    <w:rsid w:val="00DC1F27"/>
    <w:rsid w:val="00DC2378"/>
    <w:rsid w:val="00DC2519"/>
    <w:rsid w:val="00DC3639"/>
    <w:rsid w:val="00DC4129"/>
    <w:rsid w:val="00DC435C"/>
    <w:rsid w:val="00DC663F"/>
    <w:rsid w:val="00DC68F7"/>
    <w:rsid w:val="00DC6D7B"/>
    <w:rsid w:val="00DC73FE"/>
    <w:rsid w:val="00DC7496"/>
    <w:rsid w:val="00DC7879"/>
    <w:rsid w:val="00DC7A44"/>
    <w:rsid w:val="00DD1E81"/>
    <w:rsid w:val="00DD2292"/>
    <w:rsid w:val="00DD24CB"/>
    <w:rsid w:val="00DD25B5"/>
    <w:rsid w:val="00DD2EAC"/>
    <w:rsid w:val="00DD2EDD"/>
    <w:rsid w:val="00DD2FF3"/>
    <w:rsid w:val="00DD321E"/>
    <w:rsid w:val="00DD3464"/>
    <w:rsid w:val="00DD3903"/>
    <w:rsid w:val="00DD3FBB"/>
    <w:rsid w:val="00DD516E"/>
    <w:rsid w:val="00DD517A"/>
    <w:rsid w:val="00DD52FB"/>
    <w:rsid w:val="00DD53DB"/>
    <w:rsid w:val="00DD56F0"/>
    <w:rsid w:val="00DD5AEB"/>
    <w:rsid w:val="00DD5C1A"/>
    <w:rsid w:val="00DD5F2D"/>
    <w:rsid w:val="00DD5F36"/>
    <w:rsid w:val="00DD6B68"/>
    <w:rsid w:val="00DD6C78"/>
    <w:rsid w:val="00DD72E9"/>
    <w:rsid w:val="00DD7797"/>
    <w:rsid w:val="00DD7863"/>
    <w:rsid w:val="00DD7970"/>
    <w:rsid w:val="00DE0188"/>
    <w:rsid w:val="00DE022C"/>
    <w:rsid w:val="00DE03E4"/>
    <w:rsid w:val="00DE06F3"/>
    <w:rsid w:val="00DE11C2"/>
    <w:rsid w:val="00DE13D3"/>
    <w:rsid w:val="00DE17F7"/>
    <w:rsid w:val="00DE1985"/>
    <w:rsid w:val="00DE23D3"/>
    <w:rsid w:val="00DE25AC"/>
    <w:rsid w:val="00DE25C1"/>
    <w:rsid w:val="00DE2737"/>
    <w:rsid w:val="00DE3790"/>
    <w:rsid w:val="00DE3794"/>
    <w:rsid w:val="00DE3CF0"/>
    <w:rsid w:val="00DE3F53"/>
    <w:rsid w:val="00DE410E"/>
    <w:rsid w:val="00DE421E"/>
    <w:rsid w:val="00DE42E3"/>
    <w:rsid w:val="00DE48F1"/>
    <w:rsid w:val="00DE4C84"/>
    <w:rsid w:val="00DE4D51"/>
    <w:rsid w:val="00DE51EE"/>
    <w:rsid w:val="00DE5644"/>
    <w:rsid w:val="00DE6626"/>
    <w:rsid w:val="00DE7025"/>
    <w:rsid w:val="00DE78CB"/>
    <w:rsid w:val="00DE7AAD"/>
    <w:rsid w:val="00DE7BC3"/>
    <w:rsid w:val="00DF0B7D"/>
    <w:rsid w:val="00DF1568"/>
    <w:rsid w:val="00DF19B1"/>
    <w:rsid w:val="00DF1B14"/>
    <w:rsid w:val="00DF1C73"/>
    <w:rsid w:val="00DF1ECF"/>
    <w:rsid w:val="00DF2873"/>
    <w:rsid w:val="00DF28B3"/>
    <w:rsid w:val="00DF2C0F"/>
    <w:rsid w:val="00DF2E71"/>
    <w:rsid w:val="00DF2E75"/>
    <w:rsid w:val="00DF373B"/>
    <w:rsid w:val="00DF37D3"/>
    <w:rsid w:val="00DF4D59"/>
    <w:rsid w:val="00DF573B"/>
    <w:rsid w:val="00DF5EC8"/>
    <w:rsid w:val="00DF6276"/>
    <w:rsid w:val="00DF63F9"/>
    <w:rsid w:val="00DF676F"/>
    <w:rsid w:val="00DF6775"/>
    <w:rsid w:val="00DF6819"/>
    <w:rsid w:val="00DF6987"/>
    <w:rsid w:val="00DF6E06"/>
    <w:rsid w:val="00E002C5"/>
    <w:rsid w:val="00E00B66"/>
    <w:rsid w:val="00E00E2E"/>
    <w:rsid w:val="00E00F70"/>
    <w:rsid w:val="00E0117C"/>
    <w:rsid w:val="00E01478"/>
    <w:rsid w:val="00E016D0"/>
    <w:rsid w:val="00E01895"/>
    <w:rsid w:val="00E01C21"/>
    <w:rsid w:val="00E01DBC"/>
    <w:rsid w:val="00E022C3"/>
    <w:rsid w:val="00E028E5"/>
    <w:rsid w:val="00E02C88"/>
    <w:rsid w:val="00E02D50"/>
    <w:rsid w:val="00E02ED8"/>
    <w:rsid w:val="00E02F7D"/>
    <w:rsid w:val="00E0309E"/>
    <w:rsid w:val="00E0387D"/>
    <w:rsid w:val="00E04821"/>
    <w:rsid w:val="00E04E50"/>
    <w:rsid w:val="00E05753"/>
    <w:rsid w:val="00E058BB"/>
    <w:rsid w:val="00E058F6"/>
    <w:rsid w:val="00E0626F"/>
    <w:rsid w:val="00E062F7"/>
    <w:rsid w:val="00E0671D"/>
    <w:rsid w:val="00E06946"/>
    <w:rsid w:val="00E06E8A"/>
    <w:rsid w:val="00E06FB3"/>
    <w:rsid w:val="00E0735B"/>
    <w:rsid w:val="00E073A2"/>
    <w:rsid w:val="00E0797F"/>
    <w:rsid w:val="00E07C86"/>
    <w:rsid w:val="00E10332"/>
    <w:rsid w:val="00E1052F"/>
    <w:rsid w:val="00E10598"/>
    <w:rsid w:val="00E1077D"/>
    <w:rsid w:val="00E108AF"/>
    <w:rsid w:val="00E1090B"/>
    <w:rsid w:val="00E1096B"/>
    <w:rsid w:val="00E10988"/>
    <w:rsid w:val="00E10CE1"/>
    <w:rsid w:val="00E11157"/>
    <w:rsid w:val="00E111AA"/>
    <w:rsid w:val="00E112A5"/>
    <w:rsid w:val="00E11ED6"/>
    <w:rsid w:val="00E11F05"/>
    <w:rsid w:val="00E11F44"/>
    <w:rsid w:val="00E1206A"/>
    <w:rsid w:val="00E12265"/>
    <w:rsid w:val="00E12426"/>
    <w:rsid w:val="00E12918"/>
    <w:rsid w:val="00E1340F"/>
    <w:rsid w:val="00E13BD4"/>
    <w:rsid w:val="00E13E06"/>
    <w:rsid w:val="00E14C27"/>
    <w:rsid w:val="00E14DF3"/>
    <w:rsid w:val="00E14F49"/>
    <w:rsid w:val="00E153D6"/>
    <w:rsid w:val="00E15B38"/>
    <w:rsid w:val="00E15BD3"/>
    <w:rsid w:val="00E1609A"/>
    <w:rsid w:val="00E16149"/>
    <w:rsid w:val="00E16299"/>
    <w:rsid w:val="00E16499"/>
    <w:rsid w:val="00E16C86"/>
    <w:rsid w:val="00E20209"/>
    <w:rsid w:val="00E20979"/>
    <w:rsid w:val="00E20D3B"/>
    <w:rsid w:val="00E211B4"/>
    <w:rsid w:val="00E21231"/>
    <w:rsid w:val="00E21748"/>
    <w:rsid w:val="00E21FE5"/>
    <w:rsid w:val="00E22024"/>
    <w:rsid w:val="00E2221E"/>
    <w:rsid w:val="00E23194"/>
    <w:rsid w:val="00E232F0"/>
    <w:rsid w:val="00E235CA"/>
    <w:rsid w:val="00E23807"/>
    <w:rsid w:val="00E23B2E"/>
    <w:rsid w:val="00E243CE"/>
    <w:rsid w:val="00E24B84"/>
    <w:rsid w:val="00E253AD"/>
    <w:rsid w:val="00E2659A"/>
    <w:rsid w:val="00E2678B"/>
    <w:rsid w:val="00E26CF4"/>
    <w:rsid w:val="00E2765A"/>
    <w:rsid w:val="00E27A10"/>
    <w:rsid w:val="00E27E54"/>
    <w:rsid w:val="00E27E65"/>
    <w:rsid w:val="00E301D2"/>
    <w:rsid w:val="00E31130"/>
    <w:rsid w:val="00E311D9"/>
    <w:rsid w:val="00E313C2"/>
    <w:rsid w:val="00E319E0"/>
    <w:rsid w:val="00E31A3B"/>
    <w:rsid w:val="00E31F00"/>
    <w:rsid w:val="00E31F69"/>
    <w:rsid w:val="00E3245A"/>
    <w:rsid w:val="00E3250E"/>
    <w:rsid w:val="00E325EB"/>
    <w:rsid w:val="00E32AFC"/>
    <w:rsid w:val="00E32D63"/>
    <w:rsid w:val="00E3337E"/>
    <w:rsid w:val="00E33943"/>
    <w:rsid w:val="00E3406A"/>
    <w:rsid w:val="00E3419E"/>
    <w:rsid w:val="00E35131"/>
    <w:rsid w:val="00E35685"/>
    <w:rsid w:val="00E360E3"/>
    <w:rsid w:val="00E366BF"/>
    <w:rsid w:val="00E368D8"/>
    <w:rsid w:val="00E37232"/>
    <w:rsid w:val="00E3748D"/>
    <w:rsid w:val="00E376BE"/>
    <w:rsid w:val="00E40494"/>
    <w:rsid w:val="00E4114E"/>
    <w:rsid w:val="00E415EE"/>
    <w:rsid w:val="00E4163B"/>
    <w:rsid w:val="00E41647"/>
    <w:rsid w:val="00E418A4"/>
    <w:rsid w:val="00E41AF3"/>
    <w:rsid w:val="00E41D53"/>
    <w:rsid w:val="00E421C6"/>
    <w:rsid w:val="00E424A1"/>
    <w:rsid w:val="00E42812"/>
    <w:rsid w:val="00E43E22"/>
    <w:rsid w:val="00E43E8A"/>
    <w:rsid w:val="00E43F6E"/>
    <w:rsid w:val="00E4425E"/>
    <w:rsid w:val="00E4439F"/>
    <w:rsid w:val="00E452F5"/>
    <w:rsid w:val="00E4545C"/>
    <w:rsid w:val="00E455D4"/>
    <w:rsid w:val="00E459A0"/>
    <w:rsid w:val="00E459A8"/>
    <w:rsid w:val="00E45AFC"/>
    <w:rsid w:val="00E45CA9"/>
    <w:rsid w:val="00E45F42"/>
    <w:rsid w:val="00E462B8"/>
    <w:rsid w:val="00E462CE"/>
    <w:rsid w:val="00E468AC"/>
    <w:rsid w:val="00E468DD"/>
    <w:rsid w:val="00E470EA"/>
    <w:rsid w:val="00E4748C"/>
    <w:rsid w:val="00E47BA8"/>
    <w:rsid w:val="00E47E27"/>
    <w:rsid w:val="00E50060"/>
    <w:rsid w:val="00E500A1"/>
    <w:rsid w:val="00E500FD"/>
    <w:rsid w:val="00E50587"/>
    <w:rsid w:val="00E50600"/>
    <w:rsid w:val="00E50B34"/>
    <w:rsid w:val="00E50CB0"/>
    <w:rsid w:val="00E51204"/>
    <w:rsid w:val="00E51C0B"/>
    <w:rsid w:val="00E51FDF"/>
    <w:rsid w:val="00E525CC"/>
    <w:rsid w:val="00E534B0"/>
    <w:rsid w:val="00E5430D"/>
    <w:rsid w:val="00E5459F"/>
    <w:rsid w:val="00E55A17"/>
    <w:rsid w:val="00E55D04"/>
    <w:rsid w:val="00E55EBF"/>
    <w:rsid w:val="00E55EED"/>
    <w:rsid w:val="00E55FAC"/>
    <w:rsid w:val="00E56191"/>
    <w:rsid w:val="00E56B76"/>
    <w:rsid w:val="00E5747C"/>
    <w:rsid w:val="00E57CFB"/>
    <w:rsid w:val="00E57F84"/>
    <w:rsid w:val="00E60494"/>
    <w:rsid w:val="00E60A2A"/>
    <w:rsid w:val="00E612A2"/>
    <w:rsid w:val="00E613A1"/>
    <w:rsid w:val="00E61C51"/>
    <w:rsid w:val="00E6240D"/>
    <w:rsid w:val="00E62519"/>
    <w:rsid w:val="00E626B7"/>
    <w:rsid w:val="00E6291C"/>
    <w:rsid w:val="00E63173"/>
    <w:rsid w:val="00E636EB"/>
    <w:rsid w:val="00E64BFF"/>
    <w:rsid w:val="00E64EBD"/>
    <w:rsid w:val="00E65114"/>
    <w:rsid w:val="00E6515A"/>
    <w:rsid w:val="00E65D68"/>
    <w:rsid w:val="00E65F8D"/>
    <w:rsid w:val="00E65FAC"/>
    <w:rsid w:val="00E65FFF"/>
    <w:rsid w:val="00E66394"/>
    <w:rsid w:val="00E66681"/>
    <w:rsid w:val="00E6693C"/>
    <w:rsid w:val="00E674DF"/>
    <w:rsid w:val="00E676DA"/>
    <w:rsid w:val="00E67DBF"/>
    <w:rsid w:val="00E67F77"/>
    <w:rsid w:val="00E701AC"/>
    <w:rsid w:val="00E705A4"/>
    <w:rsid w:val="00E706AA"/>
    <w:rsid w:val="00E70864"/>
    <w:rsid w:val="00E70A20"/>
    <w:rsid w:val="00E70D32"/>
    <w:rsid w:val="00E70E87"/>
    <w:rsid w:val="00E70F1A"/>
    <w:rsid w:val="00E71898"/>
    <w:rsid w:val="00E71BB8"/>
    <w:rsid w:val="00E71D49"/>
    <w:rsid w:val="00E720D7"/>
    <w:rsid w:val="00E72C9A"/>
    <w:rsid w:val="00E73343"/>
    <w:rsid w:val="00E73779"/>
    <w:rsid w:val="00E74095"/>
    <w:rsid w:val="00E74C2D"/>
    <w:rsid w:val="00E74CF9"/>
    <w:rsid w:val="00E75224"/>
    <w:rsid w:val="00E7535E"/>
    <w:rsid w:val="00E75AFA"/>
    <w:rsid w:val="00E75CF2"/>
    <w:rsid w:val="00E76612"/>
    <w:rsid w:val="00E76B63"/>
    <w:rsid w:val="00E76D23"/>
    <w:rsid w:val="00E774C1"/>
    <w:rsid w:val="00E77529"/>
    <w:rsid w:val="00E77BBF"/>
    <w:rsid w:val="00E77D9E"/>
    <w:rsid w:val="00E80263"/>
    <w:rsid w:val="00E80277"/>
    <w:rsid w:val="00E8040B"/>
    <w:rsid w:val="00E805FE"/>
    <w:rsid w:val="00E80840"/>
    <w:rsid w:val="00E80D8B"/>
    <w:rsid w:val="00E80DD0"/>
    <w:rsid w:val="00E80E88"/>
    <w:rsid w:val="00E81474"/>
    <w:rsid w:val="00E81D3A"/>
    <w:rsid w:val="00E82839"/>
    <w:rsid w:val="00E82AF6"/>
    <w:rsid w:val="00E82CE8"/>
    <w:rsid w:val="00E83304"/>
    <w:rsid w:val="00E833CD"/>
    <w:rsid w:val="00E835F2"/>
    <w:rsid w:val="00E83899"/>
    <w:rsid w:val="00E83C37"/>
    <w:rsid w:val="00E84A53"/>
    <w:rsid w:val="00E84C9A"/>
    <w:rsid w:val="00E84EA4"/>
    <w:rsid w:val="00E851D5"/>
    <w:rsid w:val="00E85A61"/>
    <w:rsid w:val="00E85EFE"/>
    <w:rsid w:val="00E86085"/>
    <w:rsid w:val="00E8637D"/>
    <w:rsid w:val="00E866E0"/>
    <w:rsid w:val="00E871FF"/>
    <w:rsid w:val="00E87CCE"/>
    <w:rsid w:val="00E87CF4"/>
    <w:rsid w:val="00E9004D"/>
    <w:rsid w:val="00E90143"/>
    <w:rsid w:val="00E901EB"/>
    <w:rsid w:val="00E9032A"/>
    <w:rsid w:val="00E909E6"/>
    <w:rsid w:val="00E91034"/>
    <w:rsid w:val="00E915EB"/>
    <w:rsid w:val="00E917E1"/>
    <w:rsid w:val="00E919A1"/>
    <w:rsid w:val="00E91FF5"/>
    <w:rsid w:val="00E92318"/>
    <w:rsid w:val="00E9262F"/>
    <w:rsid w:val="00E92D6D"/>
    <w:rsid w:val="00E92FC0"/>
    <w:rsid w:val="00E93037"/>
    <w:rsid w:val="00E933AF"/>
    <w:rsid w:val="00E9390B"/>
    <w:rsid w:val="00E93B2F"/>
    <w:rsid w:val="00E93E4A"/>
    <w:rsid w:val="00E93E9F"/>
    <w:rsid w:val="00E9563C"/>
    <w:rsid w:val="00E95E7D"/>
    <w:rsid w:val="00E96004"/>
    <w:rsid w:val="00E960EE"/>
    <w:rsid w:val="00E9679A"/>
    <w:rsid w:val="00E96E6B"/>
    <w:rsid w:val="00E976B8"/>
    <w:rsid w:val="00E97DED"/>
    <w:rsid w:val="00EA0637"/>
    <w:rsid w:val="00EA06A4"/>
    <w:rsid w:val="00EA0855"/>
    <w:rsid w:val="00EA0AC2"/>
    <w:rsid w:val="00EA0BDA"/>
    <w:rsid w:val="00EA0CE7"/>
    <w:rsid w:val="00EA0DB3"/>
    <w:rsid w:val="00EA1240"/>
    <w:rsid w:val="00EA129E"/>
    <w:rsid w:val="00EA1E03"/>
    <w:rsid w:val="00EA1F6B"/>
    <w:rsid w:val="00EA2223"/>
    <w:rsid w:val="00EA2406"/>
    <w:rsid w:val="00EA296E"/>
    <w:rsid w:val="00EA29CC"/>
    <w:rsid w:val="00EA2AF8"/>
    <w:rsid w:val="00EA3340"/>
    <w:rsid w:val="00EA37AC"/>
    <w:rsid w:val="00EA37CC"/>
    <w:rsid w:val="00EA3FD4"/>
    <w:rsid w:val="00EA4390"/>
    <w:rsid w:val="00EA44A3"/>
    <w:rsid w:val="00EA4AFA"/>
    <w:rsid w:val="00EA4CF3"/>
    <w:rsid w:val="00EA563D"/>
    <w:rsid w:val="00EA569E"/>
    <w:rsid w:val="00EA573B"/>
    <w:rsid w:val="00EA5FFE"/>
    <w:rsid w:val="00EA60C1"/>
    <w:rsid w:val="00EA628D"/>
    <w:rsid w:val="00EA6647"/>
    <w:rsid w:val="00EA66CC"/>
    <w:rsid w:val="00EA6C1D"/>
    <w:rsid w:val="00EA6CA8"/>
    <w:rsid w:val="00EA6E7C"/>
    <w:rsid w:val="00EA6FD5"/>
    <w:rsid w:val="00EA71EB"/>
    <w:rsid w:val="00EA736C"/>
    <w:rsid w:val="00EB0560"/>
    <w:rsid w:val="00EB0724"/>
    <w:rsid w:val="00EB08D2"/>
    <w:rsid w:val="00EB0A96"/>
    <w:rsid w:val="00EB100C"/>
    <w:rsid w:val="00EB1041"/>
    <w:rsid w:val="00EB1948"/>
    <w:rsid w:val="00EB212D"/>
    <w:rsid w:val="00EB25EA"/>
    <w:rsid w:val="00EB3291"/>
    <w:rsid w:val="00EB3448"/>
    <w:rsid w:val="00EB3FE1"/>
    <w:rsid w:val="00EB50B6"/>
    <w:rsid w:val="00EB530D"/>
    <w:rsid w:val="00EB57E9"/>
    <w:rsid w:val="00EB5838"/>
    <w:rsid w:val="00EB5A98"/>
    <w:rsid w:val="00EB5F0C"/>
    <w:rsid w:val="00EB5F6F"/>
    <w:rsid w:val="00EB60F3"/>
    <w:rsid w:val="00EB6AD7"/>
    <w:rsid w:val="00EB716E"/>
    <w:rsid w:val="00EB764A"/>
    <w:rsid w:val="00EC0D56"/>
    <w:rsid w:val="00EC1B25"/>
    <w:rsid w:val="00EC20BA"/>
    <w:rsid w:val="00EC2BBE"/>
    <w:rsid w:val="00EC2FB2"/>
    <w:rsid w:val="00EC339E"/>
    <w:rsid w:val="00EC38FA"/>
    <w:rsid w:val="00EC3A0D"/>
    <w:rsid w:val="00EC3E31"/>
    <w:rsid w:val="00EC4136"/>
    <w:rsid w:val="00EC4B64"/>
    <w:rsid w:val="00EC4E38"/>
    <w:rsid w:val="00EC5B74"/>
    <w:rsid w:val="00EC60DD"/>
    <w:rsid w:val="00EC6196"/>
    <w:rsid w:val="00EC6500"/>
    <w:rsid w:val="00EC6B2A"/>
    <w:rsid w:val="00EC6F03"/>
    <w:rsid w:val="00EC722B"/>
    <w:rsid w:val="00EC7650"/>
    <w:rsid w:val="00EC79D2"/>
    <w:rsid w:val="00EC7AA1"/>
    <w:rsid w:val="00EC7FEE"/>
    <w:rsid w:val="00ED0B0F"/>
    <w:rsid w:val="00ED1ECF"/>
    <w:rsid w:val="00ED1EF3"/>
    <w:rsid w:val="00ED2790"/>
    <w:rsid w:val="00ED2A35"/>
    <w:rsid w:val="00ED2B66"/>
    <w:rsid w:val="00ED2C84"/>
    <w:rsid w:val="00ED2DBF"/>
    <w:rsid w:val="00ED2F1E"/>
    <w:rsid w:val="00ED3047"/>
    <w:rsid w:val="00ED3205"/>
    <w:rsid w:val="00ED347C"/>
    <w:rsid w:val="00ED3C1B"/>
    <w:rsid w:val="00ED3E43"/>
    <w:rsid w:val="00ED3F44"/>
    <w:rsid w:val="00ED42A5"/>
    <w:rsid w:val="00ED5143"/>
    <w:rsid w:val="00ED6174"/>
    <w:rsid w:val="00ED6741"/>
    <w:rsid w:val="00ED6997"/>
    <w:rsid w:val="00ED69DA"/>
    <w:rsid w:val="00ED6C08"/>
    <w:rsid w:val="00ED6C77"/>
    <w:rsid w:val="00ED73DF"/>
    <w:rsid w:val="00ED7820"/>
    <w:rsid w:val="00ED7FAD"/>
    <w:rsid w:val="00EE018D"/>
    <w:rsid w:val="00EE1666"/>
    <w:rsid w:val="00EE189C"/>
    <w:rsid w:val="00EE1DA4"/>
    <w:rsid w:val="00EE1E93"/>
    <w:rsid w:val="00EE27A5"/>
    <w:rsid w:val="00EE2B02"/>
    <w:rsid w:val="00EE2B68"/>
    <w:rsid w:val="00EE2D5D"/>
    <w:rsid w:val="00EE2E74"/>
    <w:rsid w:val="00EE2F7E"/>
    <w:rsid w:val="00EE36C4"/>
    <w:rsid w:val="00EE3E4B"/>
    <w:rsid w:val="00EE41BD"/>
    <w:rsid w:val="00EE42AF"/>
    <w:rsid w:val="00EE492B"/>
    <w:rsid w:val="00EE4D8E"/>
    <w:rsid w:val="00EE4F63"/>
    <w:rsid w:val="00EE5C0F"/>
    <w:rsid w:val="00EE63BB"/>
    <w:rsid w:val="00EE6DFE"/>
    <w:rsid w:val="00EE6F0D"/>
    <w:rsid w:val="00EE7930"/>
    <w:rsid w:val="00EE7AF3"/>
    <w:rsid w:val="00EE7C77"/>
    <w:rsid w:val="00EF0038"/>
    <w:rsid w:val="00EF0089"/>
    <w:rsid w:val="00EF05DE"/>
    <w:rsid w:val="00EF2443"/>
    <w:rsid w:val="00EF284B"/>
    <w:rsid w:val="00EF3204"/>
    <w:rsid w:val="00EF32F8"/>
    <w:rsid w:val="00EF3FF3"/>
    <w:rsid w:val="00EF4B27"/>
    <w:rsid w:val="00EF5D04"/>
    <w:rsid w:val="00EF6018"/>
    <w:rsid w:val="00EF6151"/>
    <w:rsid w:val="00EF663E"/>
    <w:rsid w:val="00EF6828"/>
    <w:rsid w:val="00EF68A3"/>
    <w:rsid w:val="00EF70B9"/>
    <w:rsid w:val="00EF7D5B"/>
    <w:rsid w:val="00F004FC"/>
    <w:rsid w:val="00F00A24"/>
    <w:rsid w:val="00F00C1B"/>
    <w:rsid w:val="00F0144D"/>
    <w:rsid w:val="00F01C29"/>
    <w:rsid w:val="00F020C3"/>
    <w:rsid w:val="00F02134"/>
    <w:rsid w:val="00F0213D"/>
    <w:rsid w:val="00F0275F"/>
    <w:rsid w:val="00F034B3"/>
    <w:rsid w:val="00F0366E"/>
    <w:rsid w:val="00F038B7"/>
    <w:rsid w:val="00F0395C"/>
    <w:rsid w:val="00F03BD1"/>
    <w:rsid w:val="00F03FDF"/>
    <w:rsid w:val="00F04633"/>
    <w:rsid w:val="00F04BD7"/>
    <w:rsid w:val="00F04C6B"/>
    <w:rsid w:val="00F05073"/>
    <w:rsid w:val="00F054EE"/>
    <w:rsid w:val="00F06243"/>
    <w:rsid w:val="00F063A5"/>
    <w:rsid w:val="00F063BC"/>
    <w:rsid w:val="00F068A3"/>
    <w:rsid w:val="00F06F8E"/>
    <w:rsid w:val="00F0746C"/>
    <w:rsid w:val="00F0755A"/>
    <w:rsid w:val="00F07D07"/>
    <w:rsid w:val="00F07FB3"/>
    <w:rsid w:val="00F11332"/>
    <w:rsid w:val="00F11463"/>
    <w:rsid w:val="00F117F2"/>
    <w:rsid w:val="00F11D2B"/>
    <w:rsid w:val="00F11D8F"/>
    <w:rsid w:val="00F124C6"/>
    <w:rsid w:val="00F127DF"/>
    <w:rsid w:val="00F1295A"/>
    <w:rsid w:val="00F1328E"/>
    <w:rsid w:val="00F13BB9"/>
    <w:rsid w:val="00F13C39"/>
    <w:rsid w:val="00F14289"/>
    <w:rsid w:val="00F142FA"/>
    <w:rsid w:val="00F143F7"/>
    <w:rsid w:val="00F145F5"/>
    <w:rsid w:val="00F14722"/>
    <w:rsid w:val="00F14BE6"/>
    <w:rsid w:val="00F1558F"/>
    <w:rsid w:val="00F15777"/>
    <w:rsid w:val="00F15907"/>
    <w:rsid w:val="00F15AE8"/>
    <w:rsid w:val="00F15E93"/>
    <w:rsid w:val="00F15F28"/>
    <w:rsid w:val="00F160BE"/>
    <w:rsid w:val="00F16CC4"/>
    <w:rsid w:val="00F16E98"/>
    <w:rsid w:val="00F1719F"/>
    <w:rsid w:val="00F172AF"/>
    <w:rsid w:val="00F17530"/>
    <w:rsid w:val="00F17CB7"/>
    <w:rsid w:val="00F2026B"/>
    <w:rsid w:val="00F21C42"/>
    <w:rsid w:val="00F21E06"/>
    <w:rsid w:val="00F21E3B"/>
    <w:rsid w:val="00F21FAB"/>
    <w:rsid w:val="00F2233D"/>
    <w:rsid w:val="00F22575"/>
    <w:rsid w:val="00F2295D"/>
    <w:rsid w:val="00F2298B"/>
    <w:rsid w:val="00F230DA"/>
    <w:rsid w:val="00F233E1"/>
    <w:rsid w:val="00F23A8D"/>
    <w:rsid w:val="00F23E0C"/>
    <w:rsid w:val="00F24D4F"/>
    <w:rsid w:val="00F254E7"/>
    <w:rsid w:val="00F25AA6"/>
    <w:rsid w:val="00F26302"/>
    <w:rsid w:val="00F26646"/>
    <w:rsid w:val="00F26A7B"/>
    <w:rsid w:val="00F270A2"/>
    <w:rsid w:val="00F27461"/>
    <w:rsid w:val="00F27594"/>
    <w:rsid w:val="00F279C1"/>
    <w:rsid w:val="00F27C73"/>
    <w:rsid w:val="00F27DC8"/>
    <w:rsid w:val="00F30112"/>
    <w:rsid w:val="00F30BA1"/>
    <w:rsid w:val="00F30F2D"/>
    <w:rsid w:val="00F31657"/>
    <w:rsid w:val="00F323B3"/>
    <w:rsid w:val="00F32448"/>
    <w:rsid w:val="00F32922"/>
    <w:rsid w:val="00F32C40"/>
    <w:rsid w:val="00F33638"/>
    <w:rsid w:val="00F3395E"/>
    <w:rsid w:val="00F33FBC"/>
    <w:rsid w:val="00F34EC5"/>
    <w:rsid w:val="00F34FCB"/>
    <w:rsid w:val="00F3504D"/>
    <w:rsid w:val="00F3598C"/>
    <w:rsid w:val="00F35D08"/>
    <w:rsid w:val="00F37279"/>
    <w:rsid w:val="00F37663"/>
    <w:rsid w:val="00F37799"/>
    <w:rsid w:val="00F37D4B"/>
    <w:rsid w:val="00F400EB"/>
    <w:rsid w:val="00F40713"/>
    <w:rsid w:val="00F40750"/>
    <w:rsid w:val="00F4099F"/>
    <w:rsid w:val="00F40CE2"/>
    <w:rsid w:val="00F410B5"/>
    <w:rsid w:val="00F413ED"/>
    <w:rsid w:val="00F41954"/>
    <w:rsid w:val="00F41A40"/>
    <w:rsid w:val="00F41CF4"/>
    <w:rsid w:val="00F42496"/>
    <w:rsid w:val="00F4297B"/>
    <w:rsid w:val="00F42BEB"/>
    <w:rsid w:val="00F42D25"/>
    <w:rsid w:val="00F4342A"/>
    <w:rsid w:val="00F43636"/>
    <w:rsid w:val="00F43846"/>
    <w:rsid w:val="00F43BD3"/>
    <w:rsid w:val="00F4469E"/>
    <w:rsid w:val="00F44D38"/>
    <w:rsid w:val="00F44E64"/>
    <w:rsid w:val="00F45712"/>
    <w:rsid w:val="00F45904"/>
    <w:rsid w:val="00F45AA0"/>
    <w:rsid w:val="00F45D35"/>
    <w:rsid w:val="00F46CDD"/>
    <w:rsid w:val="00F47FFB"/>
    <w:rsid w:val="00F502C4"/>
    <w:rsid w:val="00F50EFC"/>
    <w:rsid w:val="00F5117E"/>
    <w:rsid w:val="00F51365"/>
    <w:rsid w:val="00F51D71"/>
    <w:rsid w:val="00F520D0"/>
    <w:rsid w:val="00F52215"/>
    <w:rsid w:val="00F526E0"/>
    <w:rsid w:val="00F52D53"/>
    <w:rsid w:val="00F53CB6"/>
    <w:rsid w:val="00F545FE"/>
    <w:rsid w:val="00F54BD6"/>
    <w:rsid w:val="00F54EA8"/>
    <w:rsid w:val="00F55060"/>
    <w:rsid w:val="00F5532B"/>
    <w:rsid w:val="00F55A83"/>
    <w:rsid w:val="00F55D67"/>
    <w:rsid w:val="00F56051"/>
    <w:rsid w:val="00F561D0"/>
    <w:rsid w:val="00F563A5"/>
    <w:rsid w:val="00F564D5"/>
    <w:rsid w:val="00F56A6C"/>
    <w:rsid w:val="00F56C49"/>
    <w:rsid w:val="00F57351"/>
    <w:rsid w:val="00F57790"/>
    <w:rsid w:val="00F578F2"/>
    <w:rsid w:val="00F57B2D"/>
    <w:rsid w:val="00F60458"/>
    <w:rsid w:val="00F608F9"/>
    <w:rsid w:val="00F60919"/>
    <w:rsid w:val="00F617AD"/>
    <w:rsid w:val="00F61D7F"/>
    <w:rsid w:val="00F6225B"/>
    <w:rsid w:val="00F62304"/>
    <w:rsid w:val="00F62882"/>
    <w:rsid w:val="00F633CE"/>
    <w:rsid w:val="00F63871"/>
    <w:rsid w:val="00F6387D"/>
    <w:rsid w:val="00F64046"/>
    <w:rsid w:val="00F64160"/>
    <w:rsid w:val="00F647F8"/>
    <w:rsid w:val="00F64ABD"/>
    <w:rsid w:val="00F65158"/>
    <w:rsid w:val="00F65353"/>
    <w:rsid w:val="00F653D9"/>
    <w:rsid w:val="00F654BA"/>
    <w:rsid w:val="00F657C0"/>
    <w:rsid w:val="00F667EA"/>
    <w:rsid w:val="00F6689F"/>
    <w:rsid w:val="00F6696E"/>
    <w:rsid w:val="00F67554"/>
    <w:rsid w:val="00F67683"/>
    <w:rsid w:val="00F67693"/>
    <w:rsid w:val="00F676E4"/>
    <w:rsid w:val="00F70464"/>
    <w:rsid w:val="00F70932"/>
    <w:rsid w:val="00F70E42"/>
    <w:rsid w:val="00F70EAC"/>
    <w:rsid w:val="00F710D1"/>
    <w:rsid w:val="00F7131F"/>
    <w:rsid w:val="00F7140E"/>
    <w:rsid w:val="00F71588"/>
    <w:rsid w:val="00F71891"/>
    <w:rsid w:val="00F71A27"/>
    <w:rsid w:val="00F71CBF"/>
    <w:rsid w:val="00F71FC9"/>
    <w:rsid w:val="00F72425"/>
    <w:rsid w:val="00F725CF"/>
    <w:rsid w:val="00F72678"/>
    <w:rsid w:val="00F727D7"/>
    <w:rsid w:val="00F729E7"/>
    <w:rsid w:val="00F73BEB"/>
    <w:rsid w:val="00F73C4A"/>
    <w:rsid w:val="00F73E57"/>
    <w:rsid w:val="00F741D2"/>
    <w:rsid w:val="00F74AD4"/>
    <w:rsid w:val="00F74C0E"/>
    <w:rsid w:val="00F754C2"/>
    <w:rsid w:val="00F762BF"/>
    <w:rsid w:val="00F76AE7"/>
    <w:rsid w:val="00F7741A"/>
    <w:rsid w:val="00F77E1F"/>
    <w:rsid w:val="00F80074"/>
    <w:rsid w:val="00F802FB"/>
    <w:rsid w:val="00F80462"/>
    <w:rsid w:val="00F80D3B"/>
    <w:rsid w:val="00F8142C"/>
    <w:rsid w:val="00F815B8"/>
    <w:rsid w:val="00F82318"/>
    <w:rsid w:val="00F8246C"/>
    <w:rsid w:val="00F835BA"/>
    <w:rsid w:val="00F83A3B"/>
    <w:rsid w:val="00F8401C"/>
    <w:rsid w:val="00F84367"/>
    <w:rsid w:val="00F84DF6"/>
    <w:rsid w:val="00F850D4"/>
    <w:rsid w:val="00F856EE"/>
    <w:rsid w:val="00F858EC"/>
    <w:rsid w:val="00F85AA8"/>
    <w:rsid w:val="00F85B6F"/>
    <w:rsid w:val="00F85EEF"/>
    <w:rsid w:val="00F860C4"/>
    <w:rsid w:val="00F8743A"/>
    <w:rsid w:val="00F87C66"/>
    <w:rsid w:val="00F90072"/>
    <w:rsid w:val="00F91286"/>
    <w:rsid w:val="00F91483"/>
    <w:rsid w:val="00F916FB"/>
    <w:rsid w:val="00F921A7"/>
    <w:rsid w:val="00F92B8C"/>
    <w:rsid w:val="00F92FE5"/>
    <w:rsid w:val="00F938C3"/>
    <w:rsid w:val="00F93A3B"/>
    <w:rsid w:val="00F93B03"/>
    <w:rsid w:val="00F93D3D"/>
    <w:rsid w:val="00F94683"/>
    <w:rsid w:val="00F946C1"/>
    <w:rsid w:val="00F94732"/>
    <w:rsid w:val="00F947FE"/>
    <w:rsid w:val="00F94AFE"/>
    <w:rsid w:val="00F94EE7"/>
    <w:rsid w:val="00F94F3C"/>
    <w:rsid w:val="00F957E2"/>
    <w:rsid w:val="00F9608B"/>
    <w:rsid w:val="00F96647"/>
    <w:rsid w:val="00F96BC0"/>
    <w:rsid w:val="00F96F26"/>
    <w:rsid w:val="00F97A53"/>
    <w:rsid w:val="00F97BE1"/>
    <w:rsid w:val="00F97C68"/>
    <w:rsid w:val="00FA08FC"/>
    <w:rsid w:val="00FA0928"/>
    <w:rsid w:val="00FA1361"/>
    <w:rsid w:val="00FA17CE"/>
    <w:rsid w:val="00FA1A3E"/>
    <w:rsid w:val="00FA1B5D"/>
    <w:rsid w:val="00FA1C67"/>
    <w:rsid w:val="00FA1F9F"/>
    <w:rsid w:val="00FA1FEB"/>
    <w:rsid w:val="00FA269D"/>
    <w:rsid w:val="00FA2AEB"/>
    <w:rsid w:val="00FA2FE2"/>
    <w:rsid w:val="00FA347F"/>
    <w:rsid w:val="00FA3A2E"/>
    <w:rsid w:val="00FA3D83"/>
    <w:rsid w:val="00FA3F34"/>
    <w:rsid w:val="00FA4217"/>
    <w:rsid w:val="00FA430A"/>
    <w:rsid w:val="00FA46DC"/>
    <w:rsid w:val="00FA4CA0"/>
    <w:rsid w:val="00FA4E90"/>
    <w:rsid w:val="00FA59C5"/>
    <w:rsid w:val="00FA5A96"/>
    <w:rsid w:val="00FA5CF9"/>
    <w:rsid w:val="00FA5FAB"/>
    <w:rsid w:val="00FA673B"/>
    <w:rsid w:val="00FA6899"/>
    <w:rsid w:val="00FA6988"/>
    <w:rsid w:val="00FA739C"/>
    <w:rsid w:val="00FA7E9D"/>
    <w:rsid w:val="00FB06CC"/>
    <w:rsid w:val="00FB0C28"/>
    <w:rsid w:val="00FB12CD"/>
    <w:rsid w:val="00FB15C1"/>
    <w:rsid w:val="00FB1942"/>
    <w:rsid w:val="00FB2152"/>
    <w:rsid w:val="00FB2260"/>
    <w:rsid w:val="00FB22DC"/>
    <w:rsid w:val="00FB2D9F"/>
    <w:rsid w:val="00FB30C0"/>
    <w:rsid w:val="00FB30FC"/>
    <w:rsid w:val="00FB38AA"/>
    <w:rsid w:val="00FB3B00"/>
    <w:rsid w:val="00FB3BBE"/>
    <w:rsid w:val="00FB3BF5"/>
    <w:rsid w:val="00FB3E27"/>
    <w:rsid w:val="00FB4E08"/>
    <w:rsid w:val="00FB4F9E"/>
    <w:rsid w:val="00FB50A5"/>
    <w:rsid w:val="00FB518D"/>
    <w:rsid w:val="00FB5471"/>
    <w:rsid w:val="00FB54EB"/>
    <w:rsid w:val="00FB58F5"/>
    <w:rsid w:val="00FB5DEA"/>
    <w:rsid w:val="00FB6581"/>
    <w:rsid w:val="00FB67B9"/>
    <w:rsid w:val="00FB7387"/>
    <w:rsid w:val="00FB7802"/>
    <w:rsid w:val="00FB79FB"/>
    <w:rsid w:val="00FC010F"/>
    <w:rsid w:val="00FC0886"/>
    <w:rsid w:val="00FC1099"/>
    <w:rsid w:val="00FC1382"/>
    <w:rsid w:val="00FC14E4"/>
    <w:rsid w:val="00FC1892"/>
    <w:rsid w:val="00FC18FB"/>
    <w:rsid w:val="00FC1967"/>
    <w:rsid w:val="00FC2246"/>
    <w:rsid w:val="00FC25C0"/>
    <w:rsid w:val="00FC26A7"/>
    <w:rsid w:val="00FC289A"/>
    <w:rsid w:val="00FC2C95"/>
    <w:rsid w:val="00FC2E22"/>
    <w:rsid w:val="00FC2E6F"/>
    <w:rsid w:val="00FC33CB"/>
    <w:rsid w:val="00FC3463"/>
    <w:rsid w:val="00FC3B7E"/>
    <w:rsid w:val="00FC4202"/>
    <w:rsid w:val="00FC46E9"/>
    <w:rsid w:val="00FC4832"/>
    <w:rsid w:val="00FC4A54"/>
    <w:rsid w:val="00FC4A9D"/>
    <w:rsid w:val="00FC4DE7"/>
    <w:rsid w:val="00FC5172"/>
    <w:rsid w:val="00FC517B"/>
    <w:rsid w:val="00FC53F8"/>
    <w:rsid w:val="00FC5922"/>
    <w:rsid w:val="00FC5B72"/>
    <w:rsid w:val="00FC5F8D"/>
    <w:rsid w:val="00FC606C"/>
    <w:rsid w:val="00FC6F63"/>
    <w:rsid w:val="00FC728E"/>
    <w:rsid w:val="00FD03E7"/>
    <w:rsid w:val="00FD17E3"/>
    <w:rsid w:val="00FD1998"/>
    <w:rsid w:val="00FD1B81"/>
    <w:rsid w:val="00FD364D"/>
    <w:rsid w:val="00FD417D"/>
    <w:rsid w:val="00FD4424"/>
    <w:rsid w:val="00FD4E62"/>
    <w:rsid w:val="00FD51E0"/>
    <w:rsid w:val="00FD598D"/>
    <w:rsid w:val="00FD5E03"/>
    <w:rsid w:val="00FD5F9E"/>
    <w:rsid w:val="00FD606C"/>
    <w:rsid w:val="00FD643A"/>
    <w:rsid w:val="00FD713B"/>
    <w:rsid w:val="00FD7464"/>
    <w:rsid w:val="00FD7CB7"/>
    <w:rsid w:val="00FD7DA7"/>
    <w:rsid w:val="00FD7F20"/>
    <w:rsid w:val="00FE0BEE"/>
    <w:rsid w:val="00FE0C3E"/>
    <w:rsid w:val="00FE0D61"/>
    <w:rsid w:val="00FE1AB7"/>
    <w:rsid w:val="00FE22FF"/>
    <w:rsid w:val="00FE2590"/>
    <w:rsid w:val="00FE2C6E"/>
    <w:rsid w:val="00FE3CA3"/>
    <w:rsid w:val="00FE431B"/>
    <w:rsid w:val="00FE479E"/>
    <w:rsid w:val="00FE51CC"/>
    <w:rsid w:val="00FE5672"/>
    <w:rsid w:val="00FE56C6"/>
    <w:rsid w:val="00FE573A"/>
    <w:rsid w:val="00FE5D0E"/>
    <w:rsid w:val="00FE62B5"/>
    <w:rsid w:val="00FE63AA"/>
    <w:rsid w:val="00FE68FB"/>
    <w:rsid w:val="00FE6FAD"/>
    <w:rsid w:val="00FE78BA"/>
    <w:rsid w:val="00FE79CF"/>
    <w:rsid w:val="00FF054A"/>
    <w:rsid w:val="00FF05BD"/>
    <w:rsid w:val="00FF0785"/>
    <w:rsid w:val="00FF0989"/>
    <w:rsid w:val="00FF100A"/>
    <w:rsid w:val="00FF12E5"/>
    <w:rsid w:val="00FF141F"/>
    <w:rsid w:val="00FF1830"/>
    <w:rsid w:val="00FF23C6"/>
    <w:rsid w:val="00FF2554"/>
    <w:rsid w:val="00FF39DF"/>
    <w:rsid w:val="00FF41EF"/>
    <w:rsid w:val="00FF4223"/>
    <w:rsid w:val="00FF4466"/>
    <w:rsid w:val="00FF474B"/>
    <w:rsid w:val="00FF480A"/>
    <w:rsid w:val="00FF5260"/>
    <w:rsid w:val="00FF5995"/>
    <w:rsid w:val="00FF5EA1"/>
    <w:rsid w:val="00FF64F9"/>
    <w:rsid w:val="00FF6D62"/>
    <w:rsid w:val="00FF714A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6E643E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801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2240"/>
    <w:pPr>
      <w:keepNext/>
      <w:spacing w:after="240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0147CE"/>
    <w:pPr>
      <w:numPr>
        <w:numId w:val="3"/>
      </w:numPr>
      <w:contextualSpacing w:val="0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0147CE"/>
    <w:pPr>
      <w:keepNext/>
      <w:numPr>
        <w:ilvl w:val="1"/>
        <w:numId w:val="3"/>
      </w:numPr>
      <w:ind w:left="431" w:hanging="431"/>
      <w:contextualSpacing w:val="0"/>
      <w:jc w:val="both"/>
      <w:outlineLvl w:val="2"/>
    </w:pPr>
    <w:rPr>
      <w:rFonts w:eastAsia="Calibri" w:cs="Calibr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240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List Paragraph,Odstavec cíl se seznamem,List Paragraph (Czech Tourism),Odstavec se seznamem5,Odstavec_muj1,Odstavec_muj2,Odstavec_muj3,Nad1,List Paragraph1,Odstavec_muj4,Nad2,3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List Paragraph Char,Odstavec cíl se seznamem Char,List Paragraph (Czech Tourism) Char,Odstavec se seznamem5 Char,Odstavec_muj1 Char,Nad1 Char"/>
    <w:link w:val="Odstavecseseznamem"/>
    <w:uiPriority w:val="34"/>
    <w:qFormat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147CE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147CE"/>
    <w:rPr>
      <w:rFonts w:ascii="Calibri" w:eastAsia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BVI fnr,Footnote symbol,Footnote Reference Superscript,Appel note de bas de p,Appel note de bas de page,Légende,Char Car Car Car Car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 Char Char Char"/>
    <w:basedOn w:val="Normln"/>
    <w:link w:val="TextpoznpodarouChar"/>
    <w:autoRedefine/>
    <w:uiPriority w:val="99"/>
    <w:qFormat/>
    <w:rsid w:val="00B410AD"/>
    <w:pPr>
      <w:spacing w:after="0"/>
      <w:ind w:left="284" w:hanging="284"/>
      <w:jc w:val="both"/>
    </w:pPr>
    <w:rPr>
      <w:rFonts w:asciiTheme="minorHAnsi" w:hAnsiTheme="minorHAnsi" w:cstheme="minorHAnsi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rsid w:val="00B410AD"/>
    <w:rPr>
      <w:rFonts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22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numbering" w:customStyle="1" w:styleId="Bezseznamu1">
    <w:name w:val="Bez seznamu1"/>
    <w:next w:val="Bezseznamu"/>
    <w:uiPriority w:val="99"/>
    <w:semiHidden/>
    <w:unhideWhenUsed/>
    <w:rsid w:val="00B53D75"/>
  </w:style>
  <w:style w:type="table" w:customStyle="1" w:styleId="Mkatabulky1">
    <w:name w:val="Mřížka tabulky1"/>
    <w:basedOn w:val="Normlntabulka"/>
    <w:next w:val="Mkatabulky"/>
    <w:uiPriority w:val="59"/>
    <w:rsid w:val="00B53D7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36DA8"/>
    <w:rPr>
      <w:i/>
      <w:iCs/>
    </w:rPr>
  </w:style>
  <w:style w:type="numbering" w:customStyle="1" w:styleId="Bezseznamu2">
    <w:name w:val="Bez seznamu2"/>
    <w:next w:val="Bezseznamu"/>
    <w:uiPriority w:val="99"/>
    <w:semiHidden/>
    <w:unhideWhenUsed/>
    <w:rsid w:val="00E6240D"/>
  </w:style>
  <w:style w:type="character" w:styleId="slostrnky">
    <w:name w:val="page number"/>
    <w:basedOn w:val="Standardnpsmoodstavce"/>
    <w:semiHidden/>
    <w:rsid w:val="00E6240D"/>
  </w:style>
  <w:style w:type="numbering" w:customStyle="1" w:styleId="Bezseznamu11">
    <w:name w:val="Bez seznamu11"/>
    <w:next w:val="Bezseznamu"/>
    <w:uiPriority w:val="99"/>
    <w:semiHidden/>
    <w:unhideWhenUsed/>
    <w:rsid w:val="00E6240D"/>
  </w:style>
  <w:style w:type="paragraph" w:customStyle="1" w:styleId="Titulek1">
    <w:name w:val="Titulek1"/>
    <w:basedOn w:val="Normln"/>
    <w:next w:val="Normln"/>
    <w:uiPriority w:val="35"/>
    <w:unhideWhenUsed/>
    <w:qFormat/>
    <w:rsid w:val="00E6240D"/>
    <w:pPr>
      <w:keepNext/>
      <w:tabs>
        <w:tab w:val="left" w:pos="1134"/>
        <w:tab w:val="right" w:pos="9356"/>
      </w:tabs>
      <w:spacing w:after="40"/>
      <w:jc w:val="both"/>
    </w:pPr>
    <w:rPr>
      <w:b/>
      <w:iCs/>
      <w:sz w:val="20"/>
      <w:szCs w:val="18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E6240D"/>
    <w:pPr>
      <w:spacing w:after="0"/>
      <w:jc w:val="both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240D"/>
    <w:pPr>
      <w:keepLines/>
      <w:pageBreakBefore/>
      <w:spacing w:before="240"/>
      <w:ind w:left="432" w:hanging="432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E6240D"/>
    <w:pPr>
      <w:spacing w:after="100"/>
      <w:jc w:val="both"/>
    </w:pPr>
    <w:rPr>
      <w:rFonts w:eastAsia="Calibri"/>
      <w:szCs w:val="22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E6240D"/>
    <w:pPr>
      <w:spacing w:after="100"/>
      <w:ind w:left="240"/>
      <w:jc w:val="both"/>
    </w:pPr>
    <w:rPr>
      <w:rFonts w:eastAsia="Calibri"/>
      <w:szCs w:val="22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E6240D"/>
    <w:pPr>
      <w:spacing w:after="100"/>
      <w:ind w:left="480"/>
      <w:jc w:val="both"/>
    </w:pPr>
    <w:rPr>
      <w:rFonts w:eastAsia="Calibri"/>
      <w:szCs w:val="22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E6240D"/>
    <w:pPr>
      <w:spacing w:after="100" w:line="259" w:lineRule="auto"/>
      <w:ind w:left="660"/>
      <w:jc w:val="both"/>
    </w:pPr>
    <w:rPr>
      <w:sz w:val="22"/>
      <w:szCs w:val="22"/>
      <w:lang w:eastAsia="cs-CZ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E6240D"/>
    <w:pPr>
      <w:spacing w:after="100" w:line="259" w:lineRule="auto"/>
      <w:ind w:left="880"/>
      <w:jc w:val="both"/>
    </w:pPr>
    <w:rPr>
      <w:sz w:val="22"/>
      <w:szCs w:val="22"/>
      <w:lang w:eastAsia="cs-CZ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E6240D"/>
    <w:pPr>
      <w:spacing w:after="100" w:line="259" w:lineRule="auto"/>
      <w:ind w:left="1100"/>
      <w:jc w:val="both"/>
    </w:pPr>
    <w:rPr>
      <w:sz w:val="22"/>
      <w:szCs w:val="22"/>
      <w:lang w:eastAsia="cs-CZ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E6240D"/>
    <w:pPr>
      <w:spacing w:after="100" w:line="259" w:lineRule="auto"/>
      <w:ind w:left="1320"/>
      <w:jc w:val="both"/>
    </w:pPr>
    <w:rPr>
      <w:sz w:val="22"/>
      <w:szCs w:val="22"/>
      <w:lang w:eastAsia="cs-CZ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E6240D"/>
    <w:pPr>
      <w:spacing w:after="100" w:line="259" w:lineRule="auto"/>
      <w:ind w:left="1540"/>
      <w:jc w:val="both"/>
    </w:pPr>
    <w:rPr>
      <w:sz w:val="22"/>
      <w:szCs w:val="22"/>
      <w:lang w:eastAsia="cs-CZ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E6240D"/>
    <w:pPr>
      <w:spacing w:after="100" w:line="259" w:lineRule="auto"/>
      <w:ind w:left="1760"/>
      <w:jc w:val="both"/>
    </w:pPr>
    <w:rPr>
      <w:sz w:val="22"/>
      <w:szCs w:val="22"/>
      <w:lang w:eastAsia="cs-CZ"/>
    </w:rPr>
  </w:style>
  <w:style w:type="character" w:customStyle="1" w:styleId="Hypertextovodkaz1">
    <w:name w:val="Hypertextový odkaz1"/>
    <w:basedOn w:val="Standardnpsmoodstavce"/>
    <w:uiPriority w:val="99"/>
    <w:unhideWhenUsed/>
    <w:rsid w:val="00E6240D"/>
    <w:rPr>
      <w:color w:val="0563C1"/>
      <w:u w:val="single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E6240D"/>
    <w:pPr>
      <w:spacing w:after="0"/>
      <w:jc w:val="both"/>
    </w:pPr>
    <w:rPr>
      <w:rFonts w:eastAsia="Calibri"/>
      <w:szCs w:val="22"/>
    </w:rPr>
  </w:style>
  <w:style w:type="paragraph" w:customStyle="1" w:styleId="Textkomente1">
    <w:name w:val="Text komentáře1"/>
    <w:basedOn w:val="Normln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b/>
      <w:bCs/>
    </w:rPr>
  </w:style>
  <w:style w:type="table" w:customStyle="1" w:styleId="Mkatabulky11">
    <w:name w:val="Mřížka tabulky11"/>
    <w:basedOn w:val="Normlntabulka"/>
    <w:next w:val="Mkatabulky"/>
    <w:uiPriority w:val="3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E6240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97612"/>
    <w:rPr>
      <w:color w:val="000000"/>
      <w:sz w:val="28"/>
      <w:szCs w:val="28"/>
    </w:rPr>
  </w:style>
  <w:style w:type="character" w:customStyle="1" w:styleId="A4">
    <w:name w:val="A4"/>
    <w:uiPriority w:val="99"/>
    <w:rsid w:val="00597612"/>
    <w:rPr>
      <w:color w:val="000000"/>
      <w:sz w:val="60"/>
      <w:szCs w:val="60"/>
    </w:rPr>
  </w:style>
  <w:style w:type="character" w:customStyle="1" w:styleId="A5">
    <w:name w:val="A5"/>
    <w:uiPriority w:val="99"/>
    <w:rsid w:val="00597612"/>
    <w:rPr>
      <w:b/>
      <w:bCs/>
      <w:color w:val="000000"/>
      <w:sz w:val="40"/>
      <w:szCs w:val="4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5EE"/>
    <w:rPr>
      <w:color w:val="605E5C"/>
      <w:shd w:val="clear" w:color="auto" w:fill="E1DFDD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D50375"/>
    <w:rPr>
      <w:rFonts w:ascii="Calibri" w:hAnsi="Calibri" w:cs="Calibri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D5035"/>
    <w:rPr>
      <w:color w:val="605E5C"/>
      <w:shd w:val="clear" w:color="auto" w:fill="E1DFDD"/>
    </w:rPr>
  </w:style>
  <w:style w:type="paragraph" w:customStyle="1" w:styleId="rove1">
    <w:name w:val="úroveň 1"/>
    <w:basedOn w:val="Nadpis1"/>
    <w:qFormat/>
    <w:rsid w:val="000C3020"/>
    <w:pPr>
      <w:numPr>
        <w:ilvl w:val="4"/>
        <w:numId w:val="13"/>
      </w:numPr>
      <w:spacing w:before="120" w:after="120" w:line="360" w:lineRule="auto"/>
      <w:ind w:left="360" w:hanging="360"/>
      <w:jc w:val="left"/>
    </w:pPr>
    <w:rPr>
      <w:rFonts w:ascii="Arial" w:eastAsia="Times New Roman" w:hAnsi="Arial" w:cs="Arial"/>
      <w:szCs w:val="24"/>
    </w:rPr>
  </w:style>
  <w:style w:type="paragraph" w:customStyle="1" w:styleId="rove2">
    <w:name w:val="úroveň 2"/>
    <w:basedOn w:val="rove1"/>
    <w:qFormat/>
    <w:rsid w:val="000C3020"/>
    <w:pPr>
      <w:numPr>
        <w:ilvl w:val="5"/>
      </w:numPr>
      <w:ind w:left="792" w:hanging="432"/>
      <w:jc w:val="both"/>
    </w:pPr>
    <w:rPr>
      <w:sz w:val="24"/>
    </w:rPr>
  </w:style>
  <w:style w:type="paragraph" w:customStyle="1" w:styleId="rove3">
    <w:name w:val="úroveň3"/>
    <w:basedOn w:val="Normln"/>
    <w:qFormat/>
    <w:rsid w:val="000C3020"/>
    <w:pPr>
      <w:keepNext/>
      <w:numPr>
        <w:ilvl w:val="2"/>
        <w:numId w:val="13"/>
      </w:numPr>
      <w:spacing w:before="120" w:after="0" w:line="360" w:lineRule="auto"/>
      <w:ind w:left="709" w:hanging="709"/>
      <w:jc w:val="both"/>
      <w:outlineLvl w:val="0"/>
    </w:pPr>
    <w:rPr>
      <w:rFonts w:ascii="Arial" w:hAnsi="Arial" w:cs="Arial"/>
      <w:b/>
      <w:sz w:val="22"/>
    </w:rPr>
  </w:style>
  <w:style w:type="paragraph" w:customStyle="1" w:styleId="rove4">
    <w:name w:val="úroveň4"/>
    <w:basedOn w:val="rove3"/>
    <w:qFormat/>
    <w:rsid w:val="000C3020"/>
    <w:pPr>
      <w:numPr>
        <w:ilvl w:val="3"/>
      </w:numPr>
      <w:ind w:left="567" w:hanging="567"/>
    </w:pPr>
    <w:rPr>
      <w:i/>
    </w:rPr>
  </w:style>
  <w:style w:type="character" w:customStyle="1" w:styleId="odrkaChar">
    <w:name w:val="odrážka Char"/>
    <w:basedOn w:val="Standardnpsmoodstavce"/>
    <w:link w:val="odrka"/>
    <w:locked/>
    <w:rsid w:val="000C3020"/>
    <w:rPr>
      <w:rFonts w:cs="Calibri"/>
    </w:rPr>
  </w:style>
  <w:style w:type="paragraph" w:customStyle="1" w:styleId="odrka">
    <w:name w:val="odrážka"/>
    <w:basedOn w:val="Normln"/>
    <w:link w:val="odrkaChar"/>
    <w:qFormat/>
    <w:rsid w:val="000C3020"/>
    <w:pPr>
      <w:numPr>
        <w:numId w:val="15"/>
      </w:numPr>
      <w:spacing w:after="0" w:line="264" w:lineRule="auto"/>
      <w:jc w:val="both"/>
    </w:pPr>
    <w:rPr>
      <w:rFonts w:asciiTheme="minorHAnsi" w:hAnsi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fontTable" Target="fontTable.xml"/><Relationship Id="rId21" Type="http://schemas.microsoft.com/office/2007/relationships/diagramDrawing" Target="diagrams/drawing2.xm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oter" Target="footer1.xml"/><Relationship Id="rId38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openxmlformats.org/officeDocument/2006/relationships/header" Target="header1.xml"/><Relationship Id="rId37" Type="http://schemas.openxmlformats.org/officeDocument/2006/relationships/header" Target="header5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nitor.statnipokladna.cz/ucetni-jednotka/00020478/rozpocet/souhrnny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ÚČETNÍ ZÁVĚRKA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 opravy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VÝKAZ PRO HODNOCENÍ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PLNĚNÍ ROZPOČTU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 opravy</a:t>
          </a: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ZÁVĚREČNÝ ÚČET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 opravy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VNITŘNÍ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KONTROLNÍ SYSTÉM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endParaRPr lang="cs-CZ" sz="1200">
            <a:solidFill>
              <a:schemeClr val="tx1"/>
            </a:solidFill>
          </a:endParaRP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nedostatků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ÚČETNÍ ZÁVĚRKA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 opravy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VÝKAZ PRO HODNOCENÍ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PLNĚNÍ ROZPOČTU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 opravy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ZÁVĚREČNÝ ÚČET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 opravy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VNITŘNÍ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KONTROLNÍ SYSTÉM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>
            <a:solidFill>
              <a:schemeClr val="tx1"/>
            </a:solidFill>
          </a:endParaRP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nedostatků</a:t>
          </a:r>
        </a:p>
      </dsp:txBody>
      <dsp:txXfrm>
        <a:off x="4271683" y="20923"/>
        <a:ext cx="1474470" cy="672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E8A74-8651-4F92-B98B-04E39542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F923-7150-41FF-A829-D5640C567F8E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E99F5-4E73-4A52-8847-B1F854B5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4660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22/17 - Závěrečný účet kapitoly státního rozpočtu Ministerstvo zemědělství za rok 2022, účetní závěrka Ministerstva zemědělství za rok 2022 a údaje předkládané Ministerstvem zemědělství pro hodnocení plnění státního</vt:lpstr>
    </vt:vector>
  </TitlesOfParts>
  <Company>NKU</Company>
  <LinksUpToDate>false</LinksUpToDate>
  <CharactersWithSpaces>32094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22/17 - Závěrečný účet kapitoly státního rozpočtu Ministerstvo zemědělství za rok 2022, účetní závěrka Ministerstva zemědělství za rok 2022 a údaje předkládané Ministerstvem zemědělství pro hodnocení plnění státního rozpočtu za rok 2022</dc:title>
  <dc:subject>Kontrolní závěr z kontrolní akce NKÚ č. 22/17 - Závěrečný účet kapitoly státního rozpočtu Ministerstvo zemědělství za rok 2022, účetní závěrka Ministerstva zemědělství za rok 2022 a údaje předkládané Ministerstvem zemědělství pro hodnocení plnění státního rozpočtu za rok 2022</dc:subject>
  <dc:creator>Nejvyšší kontrolní úřad</dc:creator>
  <cp:keywords>kontrolní závěr, MZe, účetnictví</cp:keywords>
  <cp:lastModifiedBy>KOKRDA Daniel</cp:lastModifiedBy>
  <cp:revision>3</cp:revision>
  <cp:lastPrinted>2023-06-06T07:39:00Z</cp:lastPrinted>
  <dcterms:created xsi:type="dcterms:W3CDTF">2023-06-26T06:49:00Z</dcterms:created>
  <dcterms:modified xsi:type="dcterms:W3CDTF">2023-06-26T06:53:00Z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</Properties>
</file>