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C0D86" w14:textId="7E0E9A43" w:rsidR="00635769" w:rsidRPr="0069391C" w:rsidRDefault="009C4343" w:rsidP="0069391C">
      <w:pPr>
        <w:spacing w:after="0" w:line="240" w:lineRule="auto"/>
        <w:jc w:val="center"/>
        <w:rPr>
          <w:rFonts w:cstheme="minorHAnsi"/>
          <w:sz w:val="24"/>
          <w:szCs w:val="24"/>
        </w:rPr>
      </w:pPr>
      <w:r w:rsidRPr="0069391C">
        <w:rPr>
          <w:noProof/>
          <w:sz w:val="24"/>
          <w:szCs w:val="24"/>
          <w:lang w:eastAsia="cs-CZ"/>
        </w:rPr>
        <w:drawing>
          <wp:anchor distT="0" distB="0" distL="114300" distR="114300" simplePos="0" relativeHeight="251658240" behindDoc="0" locked="0" layoutInCell="1" allowOverlap="1" wp14:anchorId="7A1B7C38" wp14:editId="0B795799">
            <wp:simplePos x="0" y="0"/>
            <wp:positionH relativeFrom="margin">
              <wp:posOffset>2479040</wp:posOffset>
            </wp:positionH>
            <wp:positionV relativeFrom="paragraph">
              <wp:posOffset>0</wp:posOffset>
            </wp:positionV>
            <wp:extent cx="792480" cy="559435"/>
            <wp:effectExtent l="0" t="0" r="7620" b="0"/>
            <wp:wrapTopAndBottom/>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92480" cy="559435"/>
                    </a:xfrm>
                    <a:prstGeom prst="rect">
                      <a:avLst/>
                    </a:prstGeom>
                    <a:noFill/>
                  </pic:spPr>
                </pic:pic>
              </a:graphicData>
            </a:graphic>
            <wp14:sizeRelV relativeFrom="margin">
              <wp14:pctHeight>0</wp14:pctHeight>
            </wp14:sizeRelV>
          </wp:anchor>
        </w:drawing>
      </w:r>
      <w:bookmarkStart w:id="0" w:name="_GoBack"/>
      <w:bookmarkEnd w:id="0"/>
    </w:p>
    <w:p w14:paraId="6B7FAC63" w14:textId="77777777" w:rsidR="00635769" w:rsidRPr="0069391C" w:rsidRDefault="00635769" w:rsidP="0069391C">
      <w:pPr>
        <w:spacing w:after="0" w:line="240" w:lineRule="auto"/>
        <w:jc w:val="center"/>
        <w:rPr>
          <w:rFonts w:cstheme="minorHAnsi"/>
          <w:sz w:val="24"/>
          <w:szCs w:val="24"/>
        </w:rPr>
      </w:pPr>
    </w:p>
    <w:p w14:paraId="1C054296" w14:textId="77777777" w:rsidR="0069391C" w:rsidRPr="0069391C" w:rsidRDefault="0069391C" w:rsidP="0069391C">
      <w:pPr>
        <w:spacing w:after="0" w:line="240" w:lineRule="auto"/>
        <w:jc w:val="center"/>
        <w:rPr>
          <w:rFonts w:cstheme="minorHAnsi"/>
          <w:sz w:val="24"/>
          <w:szCs w:val="24"/>
        </w:rPr>
      </w:pPr>
    </w:p>
    <w:p w14:paraId="10D82845" w14:textId="77777777" w:rsidR="00036DCF" w:rsidRPr="00635769" w:rsidRDefault="009C4343" w:rsidP="00241D97">
      <w:pPr>
        <w:spacing w:after="0" w:line="240" w:lineRule="auto"/>
        <w:jc w:val="center"/>
        <w:rPr>
          <w:b/>
          <w:sz w:val="32"/>
          <w:szCs w:val="32"/>
        </w:rPr>
      </w:pPr>
      <w:bookmarkStart w:id="1" w:name="_Hlk146007675"/>
      <w:r w:rsidRPr="00EC3A0D">
        <w:rPr>
          <w:rFonts w:cstheme="minorHAnsi"/>
          <w:b/>
          <w:sz w:val="28"/>
          <w:szCs w:val="28"/>
        </w:rPr>
        <w:t>Kontrolní závěr z kontrolní akce</w:t>
      </w:r>
    </w:p>
    <w:p w14:paraId="4F8DA63F" w14:textId="77777777" w:rsidR="004F2B40" w:rsidRDefault="004F2B40" w:rsidP="00A20F64">
      <w:pPr>
        <w:spacing w:after="0" w:line="240" w:lineRule="auto"/>
        <w:jc w:val="center"/>
      </w:pPr>
    </w:p>
    <w:p w14:paraId="082FAE29" w14:textId="77777777" w:rsidR="00036DCF" w:rsidRPr="00EC3A0D" w:rsidRDefault="009C4343" w:rsidP="00A20F64">
      <w:pPr>
        <w:spacing w:after="0" w:line="240" w:lineRule="auto"/>
        <w:jc w:val="center"/>
        <w:rPr>
          <w:rFonts w:cstheme="minorHAnsi"/>
          <w:b/>
          <w:sz w:val="28"/>
          <w:szCs w:val="28"/>
        </w:rPr>
      </w:pPr>
      <w:r>
        <w:rPr>
          <w:rFonts w:cstheme="minorHAnsi"/>
          <w:b/>
          <w:sz w:val="28"/>
          <w:szCs w:val="28"/>
        </w:rPr>
        <w:t>2</w:t>
      </w:r>
      <w:r w:rsidR="00D25518">
        <w:rPr>
          <w:rFonts w:cstheme="minorHAnsi"/>
          <w:b/>
          <w:sz w:val="28"/>
          <w:szCs w:val="28"/>
        </w:rPr>
        <w:t>2</w:t>
      </w:r>
      <w:r w:rsidRPr="00EC3A0D">
        <w:rPr>
          <w:rFonts w:cstheme="minorHAnsi"/>
          <w:b/>
          <w:sz w:val="28"/>
          <w:szCs w:val="28"/>
        </w:rPr>
        <w:t>/</w:t>
      </w:r>
      <w:r>
        <w:rPr>
          <w:rFonts w:cstheme="minorHAnsi"/>
          <w:b/>
          <w:sz w:val="28"/>
          <w:szCs w:val="28"/>
        </w:rPr>
        <w:t>26</w:t>
      </w:r>
    </w:p>
    <w:p w14:paraId="28390442" w14:textId="77777777" w:rsidR="00036DCF" w:rsidRDefault="00036DCF" w:rsidP="00A20F64">
      <w:pPr>
        <w:spacing w:after="0" w:line="240" w:lineRule="auto"/>
        <w:jc w:val="center"/>
      </w:pPr>
    </w:p>
    <w:p w14:paraId="2E6515A5" w14:textId="77777777" w:rsidR="00F11C48" w:rsidRDefault="009C4343" w:rsidP="009C4343">
      <w:pPr>
        <w:pStyle w:val="Default"/>
        <w:jc w:val="center"/>
        <w:rPr>
          <w:rFonts w:cstheme="minorHAnsi"/>
          <w:b/>
          <w:sz w:val="28"/>
          <w:szCs w:val="28"/>
        </w:rPr>
      </w:pPr>
      <w:r w:rsidRPr="0045046D">
        <w:rPr>
          <w:rFonts w:cstheme="minorHAnsi"/>
          <w:b/>
          <w:sz w:val="28"/>
          <w:szCs w:val="28"/>
        </w:rPr>
        <w:t xml:space="preserve">Peněžní prostředky </w:t>
      </w:r>
      <w:r w:rsidRPr="009C4343">
        <w:rPr>
          <w:rFonts w:cstheme="minorHAnsi"/>
          <w:b/>
          <w:sz w:val="28"/>
          <w:szCs w:val="28"/>
        </w:rPr>
        <w:t>vynakládané na zvýšení bezpečnosti silničního provozu</w:t>
      </w:r>
    </w:p>
    <w:p w14:paraId="76FC2139" w14:textId="77777777" w:rsidR="009C4343" w:rsidRDefault="009C4343" w:rsidP="009C4343">
      <w:pPr>
        <w:pStyle w:val="Default"/>
        <w:jc w:val="both"/>
      </w:pPr>
    </w:p>
    <w:p w14:paraId="41937015" w14:textId="77777777" w:rsidR="0069391C" w:rsidRPr="004F2B40" w:rsidRDefault="0069391C" w:rsidP="0069391C">
      <w:pPr>
        <w:pStyle w:val="KPnormalni"/>
      </w:pPr>
    </w:p>
    <w:p w14:paraId="503FB084" w14:textId="77777777" w:rsidR="00036DCF" w:rsidRPr="004F2B40" w:rsidRDefault="009C4343" w:rsidP="0069391C">
      <w:pPr>
        <w:pStyle w:val="KPnormalni"/>
      </w:pPr>
      <w:r w:rsidRPr="004F2B40">
        <w:t>Kontrolní akce byla zařazena do plánu kontrolní činnosti Nejvyššího kontrolního úřadu (dále také „NKÚ“) na rok 20</w:t>
      </w:r>
      <w:r w:rsidR="00284276">
        <w:t>2</w:t>
      </w:r>
      <w:r w:rsidR="00D25518">
        <w:t>2</w:t>
      </w:r>
      <w:r w:rsidRPr="004F2B40">
        <w:t xml:space="preserve"> pod číslem </w:t>
      </w:r>
      <w:r w:rsidR="00284276">
        <w:t>2</w:t>
      </w:r>
      <w:r w:rsidR="00D25518">
        <w:t>2</w:t>
      </w:r>
      <w:r w:rsidRPr="004F2B40">
        <w:t>/</w:t>
      </w:r>
      <w:r>
        <w:t>26</w:t>
      </w:r>
      <w:r w:rsidRPr="004F2B40">
        <w:t>. Kontrolní akci řídil a kontrolní závěr vypracoval člen</w:t>
      </w:r>
      <w:r w:rsidR="00F755F0">
        <w:t> </w:t>
      </w:r>
      <w:r w:rsidRPr="004F2B40">
        <w:t>NKÚ Ing. Jan Kinšt.</w:t>
      </w:r>
    </w:p>
    <w:p w14:paraId="36639E75" w14:textId="77777777" w:rsidR="00036DCF" w:rsidRPr="004F2B40" w:rsidRDefault="00036DCF" w:rsidP="00241D97">
      <w:pPr>
        <w:pStyle w:val="KPnormalni"/>
      </w:pPr>
    </w:p>
    <w:p w14:paraId="26C2B490" w14:textId="77777777" w:rsidR="00284276" w:rsidRPr="009C4343" w:rsidRDefault="009C4343" w:rsidP="009C4343">
      <w:pPr>
        <w:pStyle w:val="Default"/>
        <w:jc w:val="both"/>
      </w:pPr>
      <w:r w:rsidRPr="00284276">
        <w:rPr>
          <w:bCs/>
        </w:rPr>
        <w:t xml:space="preserve">Cílem </w:t>
      </w:r>
      <w:r w:rsidRPr="00DA574B">
        <w:t>kontroly</w:t>
      </w:r>
      <w:r w:rsidRPr="00284276">
        <w:rPr>
          <w:bCs/>
        </w:rPr>
        <w:t xml:space="preserve"> </w:t>
      </w:r>
      <w:r w:rsidRPr="009C4343">
        <w:t xml:space="preserve">bylo </w:t>
      </w:r>
      <w:bookmarkStart w:id="2" w:name="_Hlk87435700"/>
      <w:r w:rsidR="0045046D">
        <w:t>p</w:t>
      </w:r>
      <w:r w:rsidR="0045046D" w:rsidRPr="00543EBF">
        <w:t xml:space="preserve">rověřit, </w:t>
      </w:r>
      <w:bookmarkStart w:id="3" w:name="_Hlk97728612"/>
      <w:bookmarkEnd w:id="2"/>
      <w:r w:rsidRPr="009C4343">
        <w:t xml:space="preserve">zda resort Ministerstva dopravy řídil a realizoval vybraná opatření pro zvýšení bezpečnosti silničního provozu tak, aby peněžní prostředky určené </w:t>
      </w:r>
      <w:r>
        <w:br/>
      </w:r>
      <w:r w:rsidRPr="009C4343">
        <w:t xml:space="preserve">na dosažení vybraných cílů </w:t>
      </w:r>
      <w:r w:rsidRPr="008B37AD">
        <w:rPr>
          <w:i/>
        </w:rPr>
        <w:t xml:space="preserve">Národní strategie bezpečnosti silničního provozu 2011–2020 </w:t>
      </w:r>
      <w:r w:rsidRPr="008B37AD">
        <w:rPr>
          <w:i/>
        </w:rPr>
        <w:br/>
      </w:r>
      <w:r w:rsidRPr="002C7C06">
        <w:t xml:space="preserve">a </w:t>
      </w:r>
      <w:r w:rsidRPr="008B37AD">
        <w:rPr>
          <w:i/>
        </w:rPr>
        <w:t>Strategie BESIP 2021</w:t>
      </w:r>
      <w:r w:rsidR="00D8520E" w:rsidRPr="008B37AD">
        <w:rPr>
          <w:i/>
        </w:rPr>
        <w:t>–</w:t>
      </w:r>
      <w:r w:rsidRPr="008B37AD">
        <w:rPr>
          <w:i/>
        </w:rPr>
        <w:t xml:space="preserve">2030 </w:t>
      </w:r>
      <w:r w:rsidRPr="009C4343">
        <w:t>byly vynaloženy účelně a hospodárně.</w:t>
      </w:r>
      <w:bookmarkEnd w:id="3"/>
    </w:p>
    <w:p w14:paraId="1695CBC9" w14:textId="77777777" w:rsidR="00284276" w:rsidRDefault="00284276" w:rsidP="0069391C">
      <w:pPr>
        <w:spacing w:after="0" w:line="240" w:lineRule="auto"/>
        <w:jc w:val="both"/>
        <w:rPr>
          <w:rFonts w:ascii="Calibri" w:hAnsi="Calibri" w:cs="Calibri"/>
          <w:bCs/>
          <w:sz w:val="24"/>
          <w:szCs w:val="24"/>
        </w:rPr>
      </w:pPr>
    </w:p>
    <w:p w14:paraId="0BB79ED6" w14:textId="77777777" w:rsidR="00F11C48" w:rsidRPr="005D2CEC" w:rsidRDefault="009C4343" w:rsidP="0069391C">
      <w:pPr>
        <w:spacing w:after="0" w:line="240" w:lineRule="auto"/>
        <w:jc w:val="both"/>
        <w:rPr>
          <w:rFonts w:ascii="Calibri" w:hAnsi="Calibri" w:cs="Calibri"/>
          <w:b/>
          <w:sz w:val="24"/>
          <w:szCs w:val="24"/>
        </w:rPr>
      </w:pPr>
      <w:r w:rsidRPr="005D2CEC">
        <w:rPr>
          <w:rFonts w:ascii="Calibri" w:hAnsi="Calibri" w:cs="Calibri"/>
          <w:b/>
          <w:sz w:val="24"/>
          <w:szCs w:val="24"/>
        </w:rPr>
        <w:t>Kontrolované osoby</w:t>
      </w:r>
      <w:r w:rsidR="00036DCF" w:rsidRPr="005D2CEC">
        <w:rPr>
          <w:rFonts w:ascii="Calibri" w:hAnsi="Calibri" w:cs="Calibri"/>
          <w:b/>
          <w:sz w:val="24"/>
          <w:szCs w:val="24"/>
        </w:rPr>
        <w:t>:</w:t>
      </w:r>
    </w:p>
    <w:p w14:paraId="1E552FCA" w14:textId="77777777" w:rsidR="00284276" w:rsidRPr="005D2CEC" w:rsidRDefault="009C4343" w:rsidP="00241D97">
      <w:pPr>
        <w:pStyle w:val="KPnormalni"/>
      </w:pPr>
      <w:r w:rsidRPr="005D2CEC">
        <w:t xml:space="preserve">Ministerstvo </w:t>
      </w:r>
      <w:r>
        <w:t>dopravy</w:t>
      </w:r>
      <w:r w:rsidRPr="005D2CEC">
        <w:t xml:space="preserve"> </w:t>
      </w:r>
      <w:r w:rsidR="0007424F" w:rsidRPr="005D2CEC">
        <w:t>(dále také „</w:t>
      </w:r>
      <w:r w:rsidRPr="005D2CEC">
        <w:t>M</w:t>
      </w:r>
      <w:r>
        <w:t>D</w:t>
      </w:r>
      <w:r w:rsidR="0007424F" w:rsidRPr="005D2CEC">
        <w:t>“);</w:t>
      </w:r>
    </w:p>
    <w:p w14:paraId="45172D20" w14:textId="77777777" w:rsidR="00284276" w:rsidRDefault="009C4343" w:rsidP="00241D97">
      <w:pPr>
        <w:pStyle w:val="KPnormalni"/>
      </w:pPr>
      <w:r>
        <w:t>Ředitelství silnic a dálnic ČR</w:t>
      </w:r>
      <w:r w:rsidR="00B32BC4" w:rsidRPr="005D2CEC">
        <w:t>, Praha</w:t>
      </w:r>
      <w:r w:rsidRPr="005D2CEC">
        <w:t xml:space="preserve"> </w:t>
      </w:r>
      <w:r w:rsidR="0007424F" w:rsidRPr="005D2CEC">
        <w:t>(dále také „</w:t>
      </w:r>
      <w:r>
        <w:t>ŘSD</w:t>
      </w:r>
      <w:r w:rsidR="00313B39" w:rsidRPr="005D2CEC">
        <w:t>“)</w:t>
      </w:r>
      <w:r w:rsidRPr="005D2CEC">
        <w:t>;</w:t>
      </w:r>
    </w:p>
    <w:p w14:paraId="252B0F2D" w14:textId="77777777" w:rsidR="009C4343" w:rsidRPr="005D2CEC" w:rsidRDefault="009C4343" w:rsidP="00241D97">
      <w:pPr>
        <w:pStyle w:val="KPnormalni"/>
      </w:pPr>
      <w:r>
        <w:t>Centrum služeb pro silniční dopravu, Praha (dále také „CSPSD“).</w:t>
      </w:r>
    </w:p>
    <w:p w14:paraId="7FF1F00F" w14:textId="77777777" w:rsidR="00284276" w:rsidRDefault="00284276" w:rsidP="0069391C">
      <w:pPr>
        <w:pStyle w:val="KPnormalni"/>
      </w:pPr>
    </w:p>
    <w:p w14:paraId="7F9370EC" w14:textId="77777777" w:rsidR="00036DCF" w:rsidRPr="004F2B40" w:rsidRDefault="009C4343" w:rsidP="0069391C">
      <w:pPr>
        <w:pStyle w:val="KPnormalni"/>
      </w:pPr>
      <w:r w:rsidRPr="004F2B40">
        <w:t xml:space="preserve">Kontrolováno bylo období </w:t>
      </w:r>
      <w:r w:rsidR="001660DA">
        <w:t xml:space="preserve">od roku </w:t>
      </w:r>
      <w:r w:rsidRPr="004F2B40">
        <w:t>201</w:t>
      </w:r>
      <w:r>
        <w:t>7</w:t>
      </w:r>
      <w:r w:rsidR="001660DA">
        <w:t xml:space="preserve"> do roku </w:t>
      </w:r>
      <w:r w:rsidRPr="004F2B40">
        <w:t>20</w:t>
      </w:r>
      <w:r w:rsidR="00284276">
        <w:t>2</w:t>
      </w:r>
      <w:r w:rsidR="00D25518">
        <w:t>2</w:t>
      </w:r>
      <w:r w:rsidRPr="004F2B40">
        <w:t>, v případě věcných souvislostí i období předcházející</w:t>
      </w:r>
      <w:r w:rsidR="003F37D7">
        <w:t xml:space="preserve"> </w:t>
      </w:r>
      <w:r w:rsidR="003F37D7" w:rsidRPr="00D12CD2">
        <w:t>a následující</w:t>
      </w:r>
      <w:r w:rsidRPr="004F2B40">
        <w:t>.</w:t>
      </w:r>
    </w:p>
    <w:p w14:paraId="56600924" w14:textId="77777777" w:rsidR="00036DCF" w:rsidRPr="004F2B40" w:rsidRDefault="00036DCF" w:rsidP="0069391C">
      <w:pPr>
        <w:pStyle w:val="KPnormalni"/>
      </w:pPr>
    </w:p>
    <w:p w14:paraId="3D4B8A36" w14:textId="77777777" w:rsidR="00036DCF" w:rsidRPr="004F2B40" w:rsidRDefault="009C4343" w:rsidP="0069391C">
      <w:pPr>
        <w:pStyle w:val="KPnormalni"/>
      </w:pPr>
      <w:r w:rsidRPr="004F2B40">
        <w:t xml:space="preserve">Kontrola byla prováděna </w:t>
      </w:r>
      <w:r w:rsidR="003165DA" w:rsidRPr="004F2B40">
        <w:t>u kontrolovaných osob</w:t>
      </w:r>
      <w:r w:rsidRPr="004F2B40">
        <w:t xml:space="preserve"> v době </w:t>
      </w:r>
      <w:r w:rsidRPr="00656227">
        <w:t xml:space="preserve">od </w:t>
      </w:r>
      <w:r>
        <w:t>listopad</w:t>
      </w:r>
      <w:r w:rsidR="001D76DD">
        <w:t>u</w:t>
      </w:r>
      <w:r w:rsidR="0045046D">
        <w:t xml:space="preserve"> 202</w:t>
      </w:r>
      <w:r w:rsidR="00D25518">
        <w:t>2</w:t>
      </w:r>
      <w:r w:rsidR="00284276" w:rsidRPr="00656227">
        <w:t xml:space="preserve"> </w:t>
      </w:r>
      <w:r w:rsidRPr="00656227">
        <w:t xml:space="preserve">do </w:t>
      </w:r>
      <w:r>
        <w:t>června</w:t>
      </w:r>
      <w:r w:rsidR="003165DA" w:rsidRPr="00656227">
        <w:t xml:space="preserve"> </w:t>
      </w:r>
      <w:r w:rsidRPr="00656227">
        <w:t>20</w:t>
      </w:r>
      <w:r w:rsidR="00284276" w:rsidRPr="00656227">
        <w:t>2</w:t>
      </w:r>
      <w:r>
        <w:t>3</w:t>
      </w:r>
      <w:r w:rsidRPr="004F2B40">
        <w:t>.</w:t>
      </w:r>
    </w:p>
    <w:bookmarkEnd w:id="1"/>
    <w:p w14:paraId="1602152F" w14:textId="77777777" w:rsidR="00F11C48" w:rsidRPr="004F2B40" w:rsidRDefault="00F11C48" w:rsidP="0069391C">
      <w:pPr>
        <w:pStyle w:val="KPnormalni"/>
      </w:pPr>
    </w:p>
    <w:p w14:paraId="68F35E33" w14:textId="77777777" w:rsidR="00036DCF" w:rsidRPr="004F2B40" w:rsidRDefault="009C4343" w:rsidP="00A20F64">
      <w:pPr>
        <w:spacing w:line="240" w:lineRule="auto"/>
        <w:jc w:val="both"/>
        <w:rPr>
          <w:rFonts w:ascii="Calibri" w:hAnsi="Calibri" w:cs="Calibri"/>
          <w:sz w:val="24"/>
          <w:szCs w:val="24"/>
        </w:rPr>
      </w:pPr>
      <w:r w:rsidRPr="004F2B40">
        <w:rPr>
          <w:rFonts w:ascii="Calibri" w:hAnsi="Calibri" w:cs="Calibri"/>
          <w:b/>
          <w:bCs/>
          <w:i/>
          <w:iCs/>
          <w:spacing w:val="60"/>
          <w:sz w:val="24"/>
          <w:szCs w:val="24"/>
        </w:rPr>
        <w:t>Kolegium</w:t>
      </w:r>
      <w:r w:rsidRPr="004F2B40">
        <w:rPr>
          <w:rFonts w:ascii="Calibri" w:hAnsi="Calibri" w:cs="Calibri"/>
          <w:b/>
          <w:bCs/>
          <w:i/>
          <w:iCs/>
          <w:sz w:val="24"/>
          <w:szCs w:val="24"/>
        </w:rPr>
        <w:t xml:space="preserve">   </w:t>
      </w:r>
      <w:r w:rsidRPr="004F2B40">
        <w:rPr>
          <w:rFonts w:ascii="Calibri" w:hAnsi="Calibri" w:cs="Calibri"/>
          <w:b/>
          <w:bCs/>
          <w:i/>
          <w:iCs/>
          <w:spacing w:val="60"/>
          <w:sz w:val="24"/>
          <w:szCs w:val="24"/>
        </w:rPr>
        <w:t>NKÚ</w:t>
      </w:r>
      <w:r w:rsidRPr="004F2B40">
        <w:rPr>
          <w:rFonts w:ascii="Calibri" w:hAnsi="Calibri" w:cs="Calibri"/>
          <w:sz w:val="24"/>
          <w:szCs w:val="24"/>
        </w:rPr>
        <w:t xml:space="preserve">   </w:t>
      </w:r>
      <w:r w:rsidRPr="00646562">
        <w:rPr>
          <w:rFonts w:ascii="Calibri" w:hAnsi="Calibri" w:cs="Calibri"/>
          <w:sz w:val="24"/>
          <w:szCs w:val="24"/>
        </w:rPr>
        <w:t>na svém</w:t>
      </w:r>
      <w:r w:rsidR="001C5850" w:rsidRPr="00646562">
        <w:rPr>
          <w:rFonts w:ascii="Calibri" w:hAnsi="Calibri" w:cs="Calibri"/>
          <w:sz w:val="24"/>
          <w:szCs w:val="24"/>
        </w:rPr>
        <w:t xml:space="preserve"> </w:t>
      </w:r>
      <w:r w:rsidR="00681B21">
        <w:rPr>
          <w:rFonts w:ascii="Calibri" w:hAnsi="Calibri" w:cs="Calibri"/>
          <w:sz w:val="24"/>
          <w:szCs w:val="24"/>
        </w:rPr>
        <w:t>XIV.</w:t>
      </w:r>
      <w:r w:rsidRPr="00646562">
        <w:rPr>
          <w:rFonts w:ascii="Calibri" w:hAnsi="Calibri" w:cs="Calibri"/>
          <w:sz w:val="24"/>
          <w:szCs w:val="24"/>
        </w:rPr>
        <w:t xml:space="preserve"> jednání</w:t>
      </w:r>
      <w:r w:rsidRPr="004F2B40">
        <w:rPr>
          <w:rFonts w:ascii="Calibri" w:hAnsi="Calibri" w:cs="Calibri"/>
          <w:sz w:val="24"/>
          <w:szCs w:val="24"/>
        </w:rPr>
        <w:t>, které se konalo dne</w:t>
      </w:r>
      <w:r w:rsidR="001A0B55">
        <w:rPr>
          <w:rFonts w:ascii="Calibri" w:hAnsi="Calibri" w:cs="Calibri"/>
          <w:sz w:val="24"/>
          <w:szCs w:val="24"/>
        </w:rPr>
        <w:t xml:space="preserve"> </w:t>
      </w:r>
      <w:r w:rsidR="00681B21" w:rsidRPr="00681B21">
        <w:rPr>
          <w:rFonts w:ascii="Calibri" w:hAnsi="Calibri" w:cs="Calibri"/>
          <w:sz w:val="24"/>
          <w:szCs w:val="24"/>
        </w:rPr>
        <w:t>18</w:t>
      </w:r>
      <w:r w:rsidR="00B36CDE" w:rsidRPr="00681B21">
        <w:rPr>
          <w:rFonts w:ascii="Calibri" w:hAnsi="Calibri" w:cs="Calibri"/>
          <w:sz w:val="24"/>
          <w:szCs w:val="24"/>
        </w:rPr>
        <w:t>.</w:t>
      </w:r>
      <w:r w:rsidR="00306808" w:rsidRPr="00B36CDE">
        <w:rPr>
          <w:rFonts w:ascii="Calibri" w:hAnsi="Calibri" w:cs="Calibri"/>
          <w:sz w:val="24"/>
          <w:szCs w:val="24"/>
        </w:rPr>
        <w:t> </w:t>
      </w:r>
      <w:r>
        <w:rPr>
          <w:rFonts w:ascii="Calibri" w:hAnsi="Calibri" w:cs="Calibri"/>
          <w:sz w:val="24"/>
          <w:szCs w:val="24"/>
        </w:rPr>
        <w:t>září</w:t>
      </w:r>
      <w:r w:rsidR="001A0B55" w:rsidRPr="00B36CDE">
        <w:rPr>
          <w:rFonts w:ascii="Calibri" w:hAnsi="Calibri" w:cs="Calibri"/>
          <w:sz w:val="24"/>
          <w:szCs w:val="24"/>
        </w:rPr>
        <w:t xml:space="preserve"> 202</w:t>
      </w:r>
      <w:r>
        <w:rPr>
          <w:rFonts w:ascii="Calibri" w:hAnsi="Calibri" w:cs="Calibri"/>
          <w:sz w:val="24"/>
          <w:szCs w:val="24"/>
        </w:rPr>
        <w:t>3</w:t>
      </w:r>
      <w:r w:rsidR="001A0B55">
        <w:rPr>
          <w:rFonts w:ascii="Calibri" w:hAnsi="Calibri" w:cs="Calibri"/>
          <w:sz w:val="24"/>
          <w:szCs w:val="24"/>
        </w:rPr>
        <w:t>,</w:t>
      </w:r>
    </w:p>
    <w:p w14:paraId="5B71B839" w14:textId="77777777" w:rsidR="00036DCF" w:rsidRPr="004F2B40" w:rsidRDefault="009C4343" w:rsidP="00A20F64">
      <w:pPr>
        <w:spacing w:line="240" w:lineRule="auto"/>
        <w:jc w:val="both"/>
        <w:rPr>
          <w:rFonts w:ascii="Calibri" w:hAnsi="Calibri" w:cs="Calibri"/>
          <w:sz w:val="24"/>
          <w:szCs w:val="24"/>
        </w:rPr>
      </w:pPr>
      <w:r w:rsidRPr="004F2B40">
        <w:rPr>
          <w:rFonts w:ascii="Calibri" w:hAnsi="Calibri" w:cs="Calibri"/>
          <w:b/>
          <w:bCs/>
          <w:i/>
          <w:iCs/>
          <w:spacing w:val="60"/>
          <w:sz w:val="24"/>
          <w:szCs w:val="24"/>
        </w:rPr>
        <w:t>schválilo</w:t>
      </w:r>
      <w:r w:rsidRPr="004F2B40">
        <w:rPr>
          <w:rFonts w:ascii="Calibri" w:hAnsi="Calibri" w:cs="Calibri"/>
          <w:sz w:val="24"/>
          <w:szCs w:val="24"/>
        </w:rPr>
        <w:t xml:space="preserve">   usnesením č.</w:t>
      </w:r>
      <w:r w:rsidR="001A0B55">
        <w:rPr>
          <w:rFonts w:ascii="Calibri" w:hAnsi="Calibri" w:cs="Calibri"/>
          <w:sz w:val="24"/>
          <w:szCs w:val="24"/>
        </w:rPr>
        <w:t xml:space="preserve"> </w:t>
      </w:r>
      <w:r w:rsidR="00F36FF3">
        <w:rPr>
          <w:rFonts w:ascii="Calibri" w:hAnsi="Calibri" w:cs="Calibri"/>
          <w:sz w:val="24"/>
          <w:szCs w:val="24"/>
        </w:rPr>
        <w:t>11</w:t>
      </w:r>
      <w:r w:rsidR="005775EC">
        <w:rPr>
          <w:rFonts w:ascii="Calibri" w:hAnsi="Calibri" w:cs="Calibri"/>
          <w:sz w:val="24"/>
          <w:szCs w:val="24"/>
        </w:rPr>
        <w:t>/</w:t>
      </w:r>
      <w:r w:rsidR="00681B21">
        <w:rPr>
          <w:rFonts w:ascii="Calibri" w:hAnsi="Calibri" w:cs="Calibri"/>
          <w:sz w:val="24"/>
          <w:szCs w:val="24"/>
        </w:rPr>
        <w:t>XIV</w:t>
      </w:r>
      <w:r w:rsidR="005775EC">
        <w:rPr>
          <w:rFonts w:ascii="Calibri" w:hAnsi="Calibri" w:cs="Calibri"/>
          <w:sz w:val="24"/>
          <w:szCs w:val="24"/>
        </w:rPr>
        <w:t>/202</w:t>
      </w:r>
      <w:r>
        <w:rPr>
          <w:rFonts w:ascii="Calibri" w:hAnsi="Calibri" w:cs="Calibri"/>
          <w:sz w:val="24"/>
          <w:szCs w:val="24"/>
        </w:rPr>
        <w:t>3</w:t>
      </w:r>
    </w:p>
    <w:p w14:paraId="34B5398D" w14:textId="77777777" w:rsidR="004F2B40" w:rsidRDefault="009C4343" w:rsidP="00124B87">
      <w:pPr>
        <w:spacing w:line="240" w:lineRule="auto"/>
        <w:jc w:val="both"/>
        <w:rPr>
          <w:rFonts w:ascii="Calibri" w:hAnsi="Calibri" w:cs="Calibri"/>
          <w:sz w:val="24"/>
          <w:szCs w:val="24"/>
        </w:rPr>
      </w:pPr>
      <w:r w:rsidRPr="004F2B40">
        <w:rPr>
          <w:rFonts w:ascii="Calibri" w:hAnsi="Calibri" w:cs="Calibri"/>
          <w:b/>
          <w:bCs/>
          <w:i/>
          <w:iCs/>
          <w:spacing w:val="60"/>
          <w:sz w:val="24"/>
          <w:szCs w:val="24"/>
        </w:rPr>
        <w:t>kontrolní</w:t>
      </w:r>
      <w:r w:rsidRPr="004F2B40">
        <w:rPr>
          <w:rFonts w:ascii="Calibri" w:hAnsi="Calibri" w:cs="Calibri"/>
          <w:b/>
          <w:bCs/>
          <w:i/>
          <w:iCs/>
          <w:sz w:val="24"/>
          <w:szCs w:val="24"/>
        </w:rPr>
        <w:t xml:space="preserve">   </w:t>
      </w:r>
      <w:r w:rsidRPr="004F2B40">
        <w:rPr>
          <w:rFonts w:ascii="Calibri" w:hAnsi="Calibri" w:cs="Calibri"/>
          <w:b/>
          <w:bCs/>
          <w:i/>
          <w:iCs/>
          <w:spacing w:val="60"/>
          <w:sz w:val="24"/>
          <w:szCs w:val="24"/>
        </w:rPr>
        <w:t>závěr</w:t>
      </w:r>
      <w:r w:rsidRPr="004F2B40">
        <w:rPr>
          <w:rFonts w:ascii="Calibri" w:hAnsi="Calibri" w:cs="Calibri"/>
          <w:sz w:val="24"/>
          <w:szCs w:val="24"/>
        </w:rPr>
        <w:t xml:space="preserve">   v tomto znění:</w:t>
      </w:r>
    </w:p>
    <w:p w14:paraId="276D9DB5" w14:textId="77777777" w:rsidR="0069391C" w:rsidRDefault="009C4343">
      <w:pPr>
        <w:rPr>
          <w:rFonts w:ascii="Calibri" w:hAnsi="Calibri" w:cs="Calibri"/>
          <w:sz w:val="24"/>
          <w:szCs w:val="24"/>
        </w:rPr>
      </w:pPr>
      <w:r>
        <w:rPr>
          <w:rFonts w:ascii="Calibri" w:hAnsi="Calibri" w:cs="Calibri"/>
          <w:sz w:val="24"/>
          <w:szCs w:val="24"/>
        </w:rPr>
        <w:br w:type="page"/>
      </w:r>
    </w:p>
    <w:p w14:paraId="3347E72C" w14:textId="77777777" w:rsidR="00913354" w:rsidRDefault="00913354" w:rsidP="00913354">
      <w:pPr>
        <w:spacing w:after="0" w:line="240" w:lineRule="auto"/>
        <w:jc w:val="center"/>
        <w:rPr>
          <w:rStyle w:val="A4"/>
          <w:rFonts w:ascii="Calibri" w:hAnsi="Calibri" w:cs="Calibri"/>
          <w:b/>
          <w:color w:val="2E74B5" w:themeColor="accent1" w:themeShade="BF"/>
          <w:sz w:val="40"/>
          <w:szCs w:val="40"/>
        </w:rPr>
      </w:pPr>
      <w:r>
        <w:rPr>
          <w:rStyle w:val="A4"/>
          <w:rFonts w:ascii="Calibri" w:hAnsi="Calibri" w:cs="Calibri"/>
          <w:b/>
          <w:color w:val="2E74B5" w:themeColor="accent1" w:themeShade="BF"/>
          <w:sz w:val="40"/>
          <w:szCs w:val="40"/>
        </w:rPr>
        <w:lastRenderedPageBreak/>
        <w:t>Bezpečnost silničního provozu v ČR</w:t>
      </w:r>
    </w:p>
    <w:p w14:paraId="687C4239" w14:textId="77777777" w:rsidR="00913354" w:rsidRPr="00411A59" w:rsidRDefault="00913354" w:rsidP="00913354">
      <w:pPr>
        <w:spacing w:after="0" w:line="240" w:lineRule="auto"/>
        <w:jc w:val="center"/>
        <w:rPr>
          <w:rStyle w:val="A4"/>
          <w:rFonts w:ascii="Calibri" w:hAnsi="Calibri" w:cs="Calibri"/>
          <w:b/>
          <w:color w:val="2E74B5" w:themeColor="accent1" w:themeShade="BF"/>
          <w:sz w:val="32"/>
          <w:szCs w:val="32"/>
        </w:rPr>
      </w:pPr>
      <w:r w:rsidRPr="00411A59">
        <w:rPr>
          <w:rStyle w:val="A4"/>
          <w:rFonts w:ascii="Calibri" w:hAnsi="Calibri" w:cs="Calibri"/>
          <w:b/>
          <w:color w:val="2E74B5" w:themeColor="accent1" w:themeShade="BF"/>
          <w:sz w:val="32"/>
          <w:szCs w:val="32"/>
        </w:rPr>
        <w:t>Klíčová data</w:t>
      </w:r>
    </w:p>
    <w:p w14:paraId="02056A3D" w14:textId="77777777" w:rsidR="000E1B3B" w:rsidRPr="009E1937" w:rsidRDefault="00DF7DC9" w:rsidP="00C80602">
      <w:pPr>
        <w:spacing w:after="0" w:line="240" w:lineRule="auto"/>
        <w:jc w:val="center"/>
        <w:rPr>
          <w:rStyle w:val="A4"/>
          <w:rFonts w:ascii="Calibri" w:hAnsi="Calibri" w:cs="Calibri"/>
          <w:b/>
          <w:color w:val="2E74B5" w:themeColor="accent1" w:themeShade="BF"/>
          <w:sz w:val="40"/>
          <w:szCs w:val="40"/>
        </w:rPr>
      </w:pPr>
      <w:r w:rsidRPr="009E1937">
        <w:rPr>
          <w:rStyle w:val="A14"/>
          <w:rFonts w:ascii="Calibri" w:hAnsi="Calibri" w:cs="Calibri"/>
          <w:b w:val="0"/>
          <w:noProof/>
          <w:color w:val="2E74B5" w:themeColor="accent1" w:themeShade="BF"/>
          <w:sz w:val="40"/>
          <w:szCs w:val="40"/>
        </w:rPr>
        <mc:AlternateContent>
          <mc:Choice Requires="wps">
            <w:drawing>
              <wp:anchor distT="0" distB="0" distL="114300" distR="114300" simplePos="0" relativeHeight="251670538" behindDoc="0" locked="0" layoutInCell="1" allowOverlap="1" wp14:anchorId="492247BF" wp14:editId="432748F2">
                <wp:simplePos x="0" y="0"/>
                <wp:positionH relativeFrom="margin">
                  <wp:posOffset>1574800</wp:posOffset>
                </wp:positionH>
                <wp:positionV relativeFrom="paragraph">
                  <wp:posOffset>2047875</wp:posOffset>
                </wp:positionV>
                <wp:extent cx="2588260" cy="1336040"/>
                <wp:effectExtent l="0" t="0" r="21590" b="16510"/>
                <wp:wrapTopAndBottom/>
                <wp:docPr id="5" name="Obdélník: se zakulacenými rohy 5"/>
                <wp:cNvGraphicFramePr/>
                <a:graphic xmlns:a="http://schemas.openxmlformats.org/drawingml/2006/main">
                  <a:graphicData uri="http://schemas.microsoft.com/office/word/2010/wordprocessingShape">
                    <wps:wsp>
                      <wps:cNvSpPr/>
                      <wps:spPr>
                        <a:xfrm>
                          <a:off x="0" y="0"/>
                          <a:ext cx="2588260" cy="1336040"/>
                        </a:xfrm>
                        <a:prstGeom prst="roundRect">
                          <a:avLst/>
                        </a:prstGeom>
                        <a:solidFill>
                          <a:srgbClr val="004595"/>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DE33F7" w14:textId="77777777" w:rsidR="006F3836" w:rsidRPr="00664648" w:rsidRDefault="006F3836" w:rsidP="00DF7DC9">
                            <w:pPr>
                              <w:suppressOverlap/>
                              <w:jc w:val="center"/>
                              <w:rPr>
                                <w:b/>
                                <w:sz w:val="36"/>
                                <w:szCs w:val="36"/>
                              </w:rPr>
                            </w:pPr>
                            <w:r w:rsidRPr="00664648">
                              <w:rPr>
                                <w:b/>
                                <w:sz w:val="36"/>
                                <w:szCs w:val="36"/>
                              </w:rPr>
                              <w:t>135 mld. Kč</w:t>
                            </w:r>
                          </w:p>
                          <w:p w14:paraId="7F7C762D" w14:textId="77777777" w:rsidR="006F3836" w:rsidRPr="00664648" w:rsidRDefault="006F3836" w:rsidP="00DF7DC9">
                            <w:pPr>
                              <w:suppressOverlap/>
                              <w:jc w:val="center"/>
                              <w:rPr>
                                <w:b/>
                                <w:sz w:val="24"/>
                                <w:szCs w:val="24"/>
                              </w:rPr>
                            </w:pPr>
                            <w:r w:rsidRPr="00664648">
                              <w:rPr>
                                <w:b/>
                                <w:sz w:val="24"/>
                                <w:szCs w:val="24"/>
                              </w:rPr>
                              <w:t>Odhad celkových ekonomických ztrát z</w:t>
                            </w:r>
                            <w:r>
                              <w:rPr>
                                <w:b/>
                                <w:sz w:val="24"/>
                                <w:szCs w:val="24"/>
                              </w:rPr>
                              <w:t xml:space="preserve">e silniční </w:t>
                            </w:r>
                            <w:r w:rsidRPr="00664648">
                              <w:rPr>
                                <w:b/>
                                <w:sz w:val="24"/>
                                <w:szCs w:val="24"/>
                              </w:rPr>
                              <w:t>dopravní nehodovosti v roce 2022</w:t>
                            </w:r>
                          </w:p>
                          <w:p w14:paraId="64CE8878" w14:textId="77777777" w:rsidR="006F3836" w:rsidRPr="008B1789" w:rsidRDefault="006F3836" w:rsidP="00DF7DC9">
                            <w:pPr>
                              <w:suppressOverlap/>
                              <w:jc w:val="center"/>
                              <w:rPr>
                                <w:b/>
                                <w:sz w:val="24"/>
                                <w:szCs w:val="24"/>
                              </w:rPr>
                            </w:pP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247BF" id="Obdélník: se zakulacenými rohy 5" o:spid="_x0000_s1026" style="position:absolute;left:0;text-align:left;margin-left:124pt;margin-top:161.25pt;width:203.8pt;height:105.2pt;z-index:2516705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" fillcolor="#004595" strokecolor="#1f4d78 [1604]" strokeweight="1pt">
                <v:stroke joinstyle="miter"/>
                <v:textbox>
                  <w:txbxContent>
                    <w:p w14:paraId="78DE33F7" w14:textId="77777777" w:rsidR="006F3836" w:rsidRPr="00664648" w:rsidRDefault="006F3836" w:rsidP="00DF7DC9">
                      <w:pPr>
                        <w:suppressOverlap/>
                        <w:jc w:val="center"/>
                        <w:rPr>
                          <w:b/>
                          <w:sz w:val="36"/>
                          <w:szCs w:val="36"/>
                        </w:rPr>
                      </w:pPr>
                      <w:r w:rsidRPr="00664648">
                        <w:rPr>
                          <w:b/>
                          <w:sz w:val="36"/>
                          <w:szCs w:val="36"/>
                        </w:rPr>
                        <w:t>135 mld. Kč</w:t>
                      </w:r>
                    </w:p>
                    <w:p w14:paraId="7F7C762D" w14:textId="77777777" w:rsidR="006F3836" w:rsidRPr="00664648" w:rsidRDefault="006F3836" w:rsidP="00DF7DC9">
                      <w:pPr>
                        <w:suppressOverlap/>
                        <w:jc w:val="center"/>
                        <w:rPr>
                          <w:b/>
                          <w:sz w:val="24"/>
                          <w:szCs w:val="24"/>
                        </w:rPr>
                      </w:pPr>
                      <w:r w:rsidRPr="00664648">
                        <w:rPr>
                          <w:b/>
                          <w:sz w:val="24"/>
                          <w:szCs w:val="24"/>
                        </w:rPr>
                        <w:t>Odhad celkových ekonomických ztrát z</w:t>
                      </w:r>
                      <w:r>
                        <w:rPr>
                          <w:b/>
                          <w:sz w:val="24"/>
                          <w:szCs w:val="24"/>
                        </w:rPr>
                        <w:t xml:space="preserve">e silniční </w:t>
                      </w:r>
                      <w:r w:rsidRPr="00664648">
                        <w:rPr>
                          <w:b/>
                          <w:sz w:val="24"/>
                          <w:szCs w:val="24"/>
                        </w:rPr>
                        <w:t>dopravní nehodovosti v roce 2022</w:t>
                      </w:r>
                    </w:p>
                    <w:p w14:paraId="64CE8878" w14:textId="77777777" w:rsidR="006F3836" w:rsidRPr="008B1789" w:rsidRDefault="006F3836" w:rsidP="00DF7DC9">
                      <w:pPr>
                        <w:suppressOverlap/>
                        <w:jc w:val="center"/>
                        <w:rPr>
                          <w:b/>
                          <w:sz w:val="24"/>
                          <w:szCs w:val="24"/>
                        </w:rPr>
                      </w:pPr>
                    </w:p>
                  </w:txbxContent>
                </v:textbox>
                <w10:wrap type="topAndBottom" anchorx="margin"/>
              </v:roundrect>
            </w:pict>
          </mc:Fallback>
        </mc:AlternateContent>
      </w:r>
      <w:r w:rsidR="003D0C77" w:rsidRPr="009E1937">
        <w:rPr>
          <w:rStyle w:val="A4"/>
          <w:rFonts w:ascii="Calibri" w:hAnsi="Calibri" w:cs="Calibri"/>
          <w:b/>
          <w:noProof/>
          <w:color w:val="2E74B5" w:themeColor="accent1" w:themeShade="BF"/>
          <w:sz w:val="40"/>
          <w:szCs w:val="40"/>
        </w:rPr>
        <mc:AlternateContent>
          <mc:Choice Requires="wps">
            <w:drawing>
              <wp:anchor distT="0" distB="0" distL="114300" distR="114300" simplePos="0" relativeHeight="251658241" behindDoc="0" locked="0" layoutInCell="1" allowOverlap="1" wp14:anchorId="55264E98" wp14:editId="39A1FF86">
                <wp:simplePos x="0" y="0"/>
                <wp:positionH relativeFrom="column">
                  <wp:posOffset>-7620</wp:posOffset>
                </wp:positionH>
                <wp:positionV relativeFrom="paragraph">
                  <wp:posOffset>490855</wp:posOffset>
                </wp:positionV>
                <wp:extent cx="2588260" cy="1336040"/>
                <wp:effectExtent l="0" t="0" r="21590" b="16510"/>
                <wp:wrapTopAndBottom/>
                <wp:docPr id="2" name="Obdélník: se zakulacenými rohy 2"/>
                <wp:cNvGraphicFramePr/>
                <a:graphic xmlns:a="http://schemas.openxmlformats.org/drawingml/2006/main">
                  <a:graphicData uri="http://schemas.microsoft.com/office/word/2010/wordprocessingShape">
                    <wps:wsp>
                      <wps:cNvSpPr/>
                      <wps:spPr>
                        <a:xfrm>
                          <a:off x="0" y="0"/>
                          <a:ext cx="2588260" cy="1336040"/>
                        </a:xfrm>
                        <a:prstGeom prst="roundRect">
                          <a:avLst/>
                        </a:prstGeom>
                        <a:solidFill>
                          <a:srgbClr val="004595"/>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2095C2" w14:textId="77777777" w:rsidR="006F3836" w:rsidRPr="00664648" w:rsidRDefault="006F3836" w:rsidP="009E1937">
                            <w:pPr>
                              <w:suppressOverlap/>
                              <w:jc w:val="center"/>
                              <w:rPr>
                                <w:b/>
                                <w:sz w:val="36"/>
                                <w:szCs w:val="36"/>
                              </w:rPr>
                            </w:pPr>
                            <w:r>
                              <w:rPr>
                                <w:b/>
                                <w:sz w:val="36"/>
                                <w:szCs w:val="36"/>
                              </w:rPr>
                              <w:t>6 803</w:t>
                            </w:r>
                          </w:p>
                          <w:p w14:paraId="571DE5E7" w14:textId="77777777" w:rsidR="006F3836" w:rsidRPr="008B1789" w:rsidRDefault="006F3836" w:rsidP="00566D4B">
                            <w:pPr>
                              <w:suppressOverlap/>
                              <w:jc w:val="center"/>
                              <w:rPr>
                                <w:b/>
                                <w:sz w:val="24"/>
                                <w:szCs w:val="24"/>
                              </w:rPr>
                            </w:pPr>
                            <w:r w:rsidRPr="00664648">
                              <w:rPr>
                                <w:b/>
                                <w:sz w:val="24"/>
                                <w:szCs w:val="24"/>
                              </w:rPr>
                              <w:t xml:space="preserve">Počet osob usmrcených při </w:t>
                            </w:r>
                            <w:r>
                              <w:rPr>
                                <w:b/>
                                <w:sz w:val="24"/>
                                <w:szCs w:val="24"/>
                              </w:rPr>
                              <w:t xml:space="preserve">silničních </w:t>
                            </w:r>
                            <w:r w:rsidRPr="00664648">
                              <w:rPr>
                                <w:b/>
                                <w:sz w:val="24"/>
                                <w:szCs w:val="24"/>
                              </w:rPr>
                              <w:t>dopravních nehodách v letech 201</w:t>
                            </w:r>
                            <w:r>
                              <w:rPr>
                                <w:b/>
                                <w:sz w:val="24"/>
                                <w:szCs w:val="24"/>
                              </w:rPr>
                              <w:t>1–</w:t>
                            </w:r>
                            <w:r w:rsidRPr="00664648">
                              <w:rPr>
                                <w:b/>
                                <w:sz w:val="24"/>
                                <w:szCs w:val="24"/>
                              </w:rPr>
                              <w:t>2022</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264E98" id="Obdélník: se zakulacenými rohy 2" o:spid="_x0000_s1027" style="position:absolute;left:0;text-align:left;margin-left:-.6pt;margin-top:38.65pt;width:203.8pt;height:105.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" fillcolor="#004595" strokecolor="#1f4d78 [1604]" strokeweight="1pt">
                <v:stroke joinstyle="miter"/>
                <v:textbox>
                  <w:txbxContent>
                    <w:p w14:paraId="222095C2" w14:textId="77777777" w:rsidR="006F3836" w:rsidRPr="00664648" w:rsidRDefault="006F3836" w:rsidP="009E1937">
                      <w:pPr>
                        <w:suppressOverlap/>
                        <w:jc w:val="center"/>
                        <w:rPr>
                          <w:b/>
                          <w:sz w:val="36"/>
                          <w:szCs w:val="36"/>
                        </w:rPr>
                      </w:pPr>
                      <w:r>
                        <w:rPr>
                          <w:b/>
                          <w:sz w:val="36"/>
                          <w:szCs w:val="36"/>
                        </w:rPr>
                        <w:t>6 803</w:t>
                      </w:r>
                    </w:p>
                    <w:p w14:paraId="571DE5E7" w14:textId="77777777" w:rsidR="006F3836" w:rsidRPr="008B1789" w:rsidRDefault="006F3836" w:rsidP="00566D4B">
                      <w:pPr>
                        <w:suppressOverlap/>
                        <w:jc w:val="center"/>
                        <w:rPr>
                          <w:b/>
                          <w:sz w:val="24"/>
                          <w:szCs w:val="24"/>
                        </w:rPr>
                      </w:pPr>
                      <w:r w:rsidRPr="00664648">
                        <w:rPr>
                          <w:b/>
                          <w:sz w:val="24"/>
                          <w:szCs w:val="24"/>
                        </w:rPr>
                        <w:t xml:space="preserve">Počet osob usmrcených při </w:t>
                      </w:r>
                      <w:r>
                        <w:rPr>
                          <w:b/>
                          <w:sz w:val="24"/>
                          <w:szCs w:val="24"/>
                        </w:rPr>
                        <w:t xml:space="preserve">silničních </w:t>
                      </w:r>
                      <w:r w:rsidRPr="00664648">
                        <w:rPr>
                          <w:b/>
                          <w:sz w:val="24"/>
                          <w:szCs w:val="24"/>
                        </w:rPr>
                        <w:t>dopravních nehodách v letech 201</w:t>
                      </w:r>
                      <w:r>
                        <w:rPr>
                          <w:b/>
                          <w:sz w:val="24"/>
                          <w:szCs w:val="24"/>
                        </w:rPr>
                        <w:t>1–</w:t>
                      </w:r>
                      <w:r w:rsidRPr="00664648">
                        <w:rPr>
                          <w:b/>
                          <w:sz w:val="24"/>
                          <w:szCs w:val="24"/>
                        </w:rPr>
                        <w:t>2022</w:t>
                      </w:r>
                    </w:p>
                  </w:txbxContent>
                </v:textbox>
                <w10:wrap type="topAndBottom"/>
              </v:roundrect>
            </w:pict>
          </mc:Fallback>
        </mc:AlternateContent>
      </w:r>
      <w:r w:rsidR="003D0C77" w:rsidRPr="009E1937">
        <w:rPr>
          <w:rStyle w:val="A14"/>
          <w:rFonts w:ascii="Calibri" w:hAnsi="Calibri" w:cs="Calibri"/>
          <w:b w:val="0"/>
          <w:noProof/>
          <w:color w:val="2E74B5" w:themeColor="accent1" w:themeShade="BF"/>
          <w:sz w:val="40"/>
          <w:szCs w:val="40"/>
        </w:rPr>
        <mc:AlternateContent>
          <mc:Choice Requires="wps">
            <w:drawing>
              <wp:anchor distT="0" distB="0" distL="114300" distR="114300" simplePos="0" relativeHeight="251664394" behindDoc="0" locked="0" layoutInCell="1" allowOverlap="1" wp14:anchorId="16D49D83" wp14:editId="75AB584B">
                <wp:simplePos x="0" y="0"/>
                <wp:positionH relativeFrom="column">
                  <wp:posOffset>3284220</wp:posOffset>
                </wp:positionH>
                <wp:positionV relativeFrom="paragraph">
                  <wp:posOffset>490855</wp:posOffset>
                </wp:positionV>
                <wp:extent cx="2588260" cy="1329055"/>
                <wp:effectExtent l="0" t="0" r="21590" b="23495"/>
                <wp:wrapTopAndBottom/>
                <wp:docPr id="11" name="Obdélník: se zakulacenými rohy 11"/>
                <wp:cNvGraphicFramePr/>
                <a:graphic xmlns:a="http://schemas.openxmlformats.org/drawingml/2006/main">
                  <a:graphicData uri="http://schemas.microsoft.com/office/word/2010/wordprocessingShape">
                    <wps:wsp>
                      <wps:cNvSpPr/>
                      <wps:spPr>
                        <a:xfrm>
                          <a:off x="0" y="0"/>
                          <a:ext cx="2588260" cy="1329055"/>
                        </a:xfrm>
                        <a:prstGeom prst="roundRect">
                          <a:avLst/>
                        </a:prstGeom>
                        <a:solidFill>
                          <a:srgbClr val="004595"/>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033BFB" w14:textId="77777777" w:rsidR="006F3836" w:rsidRPr="009E1937" w:rsidRDefault="006F3836" w:rsidP="00AE44B8">
                            <w:pPr>
                              <w:suppressOverlap/>
                              <w:jc w:val="center"/>
                              <w:rPr>
                                <w:b/>
                                <w:sz w:val="36"/>
                                <w:szCs w:val="36"/>
                              </w:rPr>
                            </w:pPr>
                            <w:r>
                              <w:rPr>
                                <w:b/>
                                <w:sz w:val="36"/>
                                <w:szCs w:val="36"/>
                              </w:rPr>
                              <w:t>28 821</w:t>
                            </w:r>
                          </w:p>
                          <w:p w14:paraId="0320FB88" w14:textId="77777777" w:rsidR="006F3836" w:rsidRPr="009E1937" w:rsidRDefault="006F3836" w:rsidP="00AE44B8">
                            <w:pPr>
                              <w:suppressOverlap/>
                              <w:jc w:val="center"/>
                              <w:rPr>
                                <w:b/>
                                <w:sz w:val="24"/>
                                <w:szCs w:val="24"/>
                              </w:rPr>
                            </w:pPr>
                            <w:r w:rsidRPr="009E1937">
                              <w:rPr>
                                <w:b/>
                                <w:sz w:val="24"/>
                                <w:szCs w:val="24"/>
                              </w:rPr>
                              <w:t xml:space="preserve">Počet osob těžce zraněných při </w:t>
                            </w:r>
                            <w:r>
                              <w:rPr>
                                <w:b/>
                                <w:sz w:val="24"/>
                                <w:szCs w:val="24"/>
                              </w:rPr>
                              <w:t xml:space="preserve">silničních </w:t>
                            </w:r>
                            <w:r w:rsidRPr="009E1937">
                              <w:rPr>
                                <w:b/>
                                <w:sz w:val="24"/>
                                <w:szCs w:val="24"/>
                              </w:rPr>
                              <w:t>dopravních nehodách v letech 201</w:t>
                            </w:r>
                            <w:r>
                              <w:rPr>
                                <w:b/>
                                <w:sz w:val="24"/>
                                <w:szCs w:val="24"/>
                              </w:rPr>
                              <w:t>1–</w:t>
                            </w:r>
                            <w:r w:rsidRPr="009E1937">
                              <w:rPr>
                                <w:b/>
                                <w:sz w:val="24"/>
                                <w:szCs w:val="24"/>
                              </w:rPr>
                              <w:t>2022</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D49D83" id="Obdélník: se zakulacenými rohy 11" o:spid="_x0000_s1028" style="position:absolute;left:0;text-align:left;margin-left:258.6pt;margin-top:38.65pt;width:203.8pt;height:104.65pt;z-index:2516643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" fillcolor="#004595" strokecolor="#1f4d78 [1604]" strokeweight="1pt">
                <v:stroke joinstyle="miter"/>
                <v:textbox>
                  <w:txbxContent>
                    <w:p w14:paraId="5C033BFB" w14:textId="77777777" w:rsidR="006F3836" w:rsidRPr="009E1937" w:rsidRDefault="006F3836" w:rsidP="00AE44B8">
                      <w:pPr>
                        <w:suppressOverlap/>
                        <w:jc w:val="center"/>
                        <w:rPr>
                          <w:b/>
                          <w:sz w:val="36"/>
                          <w:szCs w:val="36"/>
                        </w:rPr>
                      </w:pPr>
                      <w:r>
                        <w:rPr>
                          <w:b/>
                          <w:sz w:val="36"/>
                          <w:szCs w:val="36"/>
                        </w:rPr>
                        <w:t>28 821</w:t>
                      </w:r>
                    </w:p>
                    <w:p w14:paraId="0320FB88" w14:textId="77777777" w:rsidR="006F3836" w:rsidRPr="009E1937" w:rsidRDefault="006F3836" w:rsidP="00AE44B8">
                      <w:pPr>
                        <w:suppressOverlap/>
                        <w:jc w:val="center"/>
                        <w:rPr>
                          <w:b/>
                          <w:sz w:val="24"/>
                          <w:szCs w:val="24"/>
                        </w:rPr>
                      </w:pPr>
                      <w:r w:rsidRPr="009E1937">
                        <w:rPr>
                          <w:b/>
                          <w:sz w:val="24"/>
                          <w:szCs w:val="24"/>
                        </w:rPr>
                        <w:t xml:space="preserve">Počet osob těžce zraněných při </w:t>
                      </w:r>
                      <w:r>
                        <w:rPr>
                          <w:b/>
                          <w:sz w:val="24"/>
                          <w:szCs w:val="24"/>
                        </w:rPr>
                        <w:t xml:space="preserve">silničních </w:t>
                      </w:r>
                      <w:r w:rsidRPr="009E1937">
                        <w:rPr>
                          <w:b/>
                          <w:sz w:val="24"/>
                          <w:szCs w:val="24"/>
                        </w:rPr>
                        <w:t>dopravních nehodách v letech 201</w:t>
                      </w:r>
                      <w:r>
                        <w:rPr>
                          <w:b/>
                          <w:sz w:val="24"/>
                          <w:szCs w:val="24"/>
                        </w:rPr>
                        <w:t>1–</w:t>
                      </w:r>
                      <w:r w:rsidRPr="009E1937">
                        <w:rPr>
                          <w:b/>
                          <w:sz w:val="24"/>
                          <w:szCs w:val="24"/>
                        </w:rPr>
                        <w:t>2022</w:t>
                      </w:r>
                    </w:p>
                  </w:txbxContent>
                </v:textbox>
                <w10:wrap type="topAndBottom"/>
              </v:roundrect>
            </w:pict>
          </mc:Fallback>
        </mc:AlternateContent>
      </w:r>
    </w:p>
    <w:p w14:paraId="24C95E5C" w14:textId="77777777" w:rsidR="003D7731" w:rsidRDefault="003D7731" w:rsidP="00C011B7">
      <w:pPr>
        <w:spacing w:after="0" w:line="240" w:lineRule="atLeast"/>
        <w:ind w:left="142"/>
        <w:jc w:val="center"/>
        <w:rPr>
          <w:b/>
          <w:sz w:val="28"/>
          <w:szCs w:val="28"/>
        </w:rPr>
      </w:pPr>
    </w:p>
    <w:p w14:paraId="5C35ABBD" w14:textId="77777777" w:rsidR="00432FCB" w:rsidRDefault="00432FCB" w:rsidP="00432FCB">
      <w:pPr>
        <w:spacing w:after="0" w:line="240" w:lineRule="atLeast"/>
        <w:ind w:left="142"/>
        <w:jc w:val="center"/>
        <w:rPr>
          <w:b/>
          <w:sz w:val="28"/>
          <w:szCs w:val="28"/>
        </w:rPr>
      </w:pPr>
      <w:r w:rsidRPr="003D7731">
        <w:rPr>
          <w:noProof/>
        </w:rPr>
        <mc:AlternateContent>
          <mc:Choice Requires="wps">
            <w:drawing>
              <wp:anchor distT="0" distB="0" distL="114300" distR="114300" simplePos="0" relativeHeight="251658244" behindDoc="0" locked="0" layoutInCell="1" allowOverlap="1" wp14:anchorId="49672DCE" wp14:editId="16551BB8">
                <wp:simplePos x="0" y="0"/>
                <wp:positionH relativeFrom="margin">
                  <wp:align>left</wp:align>
                </wp:positionH>
                <wp:positionV relativeFrom="paragraph">
                  <wp:posOffset>320040</wp:posOffset>
                </wp:positionV>
                <wp:extent cx="1835150" cy="533400"/>
                <wp:effectExtent l="0" t="0" r="12700" b="19050"/>
                <wp:wrapTopAndBottom/>
                <wp:docPr id="1" name="Obdélník: se zakulacenými rohy 1"/>
                <wp:cNvGraphicFramePr/>
                <a:graphic xmlns:a="http://schemas.openxmlformats.org/drawingml/2006/main">
                  <a:graphicData uri="http://schemas.microsoft.com/office/word/2010/wordprocessingShape">
                    <wps:wsp>
                      <wps:cNvSpPr/>
                      <wps:spPr>
                        <a:xfrm>
                          <a:off x="0" y="0"/>
                          <a:ext cx="1835150" cy="533400"/>
                        </a:xfrm>
                        <a:prstGeom prst="round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E64C34" w14:textId="77777777" w:rsidR="006F3836" w:rsidRPr="00C71D4F" w:rsidRDefault="006F3836" w:rsidP="00432FCB">
                            <w:pPr>
                              <w:spacing w:after="0"/>
                              <w:suppressOverlap/>
                              <w:jc w:val="center"/>
                              <w:rPr>
                                <w:b/>
                                <w:sz w:val="36"/>
                                <w:szCs w:val="36"/>
                              </w:rPr>
                            </w:pPr>
                            <w:r>
                              <w:rPr>
                                <w:b/>
                                <w:sz w:val="36"/>
                                <w:szCs w:val="36"/>
                              </w:rPr>
                              <w:t>35,8</w:t>
                            </w:r>
                            <w:r w:rsidRPr="00C71D4F">
                              <w:rPr>
                                <w:b/>
                                <w:sz w:val="36"/>
                                <w:szCs w:val="36"/>
                              </w:rPr>
                              <w:t xml:space="preserve"> %</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72DCE" id="Obdélník: se zakulacenými rohy 1" o:spid="_x0000_s1029" style="position:absolute;left:0;text-align:left;margin-left:0;margin-top:25.2pt;width:144.5pt;height:42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" fillcolor="#538135 [2409]" strokecolor="#538135 [2409]" strokeweight="1pt">
                <v:stroke joinstyle="miter"/>
                <v:textbox>
                  <w:txbxContent>
                    <w:p w14:paraId="71E64C34" w14:textId="77777777" w:rsidR="006F3836" w:rsidRPr="00C71D4F" w:rsidRDefault="006F3836" w:rsidP="00432FCB">
                      <w:pPr>
                        <w:spacing w:after="0"/>
                        <w:suppressOverlap/>
                        <w:jc w:val="center"/>
                        <w:rPr>
                          <w:b/>
                          <w:sz w:val="36"/>
                          <w:szCs w:val="36"/>
                        </w:rPr>
                      </w:pPr>
                      <w:r>
                        <w:rPr>
                          <w:b/>
                          <w:sz w:val="36"/>
                          <w:szCs w:val="36"/>
                        </w:rPr>
                        <w:t>35,8</w:t>
                      </w:r>
                      <w:r w:rsidRPr="00C71D4F">
                        <w:rPr>
                          <w:b/>
                          <w:sz w:val="36"/>
                          <w:szCs w:val="36"/>
                        </w:rPr>
                        <w:t xml:space="preserve"> %</w:t>
                      </w:r>
                    </w:p>
                  </w:txbxContent>
                </v:textbox>
                <w10:wrap type="topAndBottom" anchorx="margin"/>
              </v:roundrect>
            </w:pict>
          </mc:Fallback>
        </mc:AlternateContent>
      </w:r>
      <w:r>
        <w:rPr>
          <w:noProof/>
        </w:rPr>
        <mc:AlternateContent>
          <mc:Choice Requires="wps">
            <w:drawing>
              <wp:anchor distT="0" distB="0" distL="114300" distR="114300" simplePos="0" relativeHeight="251658246" behindDoc="0" locked="0" layoutInCell="1" allowOverlap="1" wp14:anchorId="5A151A30" wp14:editId="769A940D">
                <wp:simplePos x="0" y="0"/>
                <wp:positionH relativeFrom="column">
                  <wp:posOffset>1862026</wp:posOffset>
                </wp:positionH>
                <wp:positionV relativeFrom="paragraph">
                  <wp:posOffset>320040</wp:posOffset>
                </wp:positionV>
                <wp:extent cx="4059301" cy="523269"/>
                <wp:effectExtent l="0" t="0" r="0" b="0"/>
                <wp:wrapNone/>
                <wp:docPr id="17" name="Textové pole 17"/>
                <wp:cNvGraphicFramePr/>
                <a:graphic xmlns:a="http://schemas.openxmlformats.org/drawingml/2006/main">
                  <a:graphicData uri="http://schemas.microsoft.com/office/word/2010/wordprocessingShape">
                    <wps:wsp>
                      <wps:cNvSpPr txBox="1"/>
                      <wps:spPr>
                        <a:xfrm>
                          <a:off x="0" y="0"/>
                          <a:ext cx="4059301" cy="523269"/>
                        </a:xfrm>
                        <a:prstGeom prst="rect">
                          <a:avLst/>
                        </a:prstGeom>
                        <a:solidFill>
                          <a:schemeClr val="lt1"/>
                        </a:solidFill>
                        <a:ln w="6350">
                          <a:noFill/>
                        </a:ln>
                      </wps:spPr>
                      <wps:txbx>
                        <w:txbxContent>
                          <w:p w14:paraId="30406EF2" w14:textId="77777777" w:rsidR="006F3836" w:rsidRDefault="006F3836" w:rsidP="002C7C06">
                            <w:pPr>
                              <w:rPr>
                                <w:color w:val="000000" w:themeColor="text1"/>
                                <w:sz w:val="24"/>
                                <w:szCs w:val="24"/>
                              </w:rPr>
                            </w:pPr>
                            <w:r>
                              <w:rPr>
                                <w:color w:val="000000" w:themeColor="text1"/>
                                <w:sz w:val="24"/>
                                <w:szCs w:val="24"/>
                              </w:rPr>
                              <w:t>Pokles počtu osob usmrcených při silničních dopravních nehodách v roce 2022 oproti roku 2011.</w:t>
                            </w:r>
                          </w:p>
                          <w:p w14:paraId="32ED0EE2" w14:textId="77777777" w:rsidR="006F3836" w:rsidRDefault="006F3836" w:rsidP="00432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151A30" id="_x0000_t202" coordsize="21600,21600" o:spt="202" path="m,l,21600r21600,l21600,xe">
                <v:stroke joinstyle="miter"/>
                <v:path gradientshapeok="t" o:connecttype="rect"/>
              </v:shapetype>
              <v:shape id="Textové pole 17" o:spid="_x0000_s1030" type="#_x0000_t202" style="position:absolute;left:0;text-align:left;margin-left:146.6pt;margin-top:25.2pt;width:319.65pt;height:41.2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" fillcolor="white [3201]" stroked="f" strokeweight=".5pt">
                <v:textbox>
                  <w:txbxContent>
                    <w:p w14:paraId="30406EF2" w14:textId="77777777" w:rsidR="006F3836" w:rsidRDefault="006F3836" w:rsidP="002C7C06">
                      <w:pPr>
                        <w:rPr>
                          <w:color w:val="000000" w:themeColor="text1"/>
                          <w:sz w:val="24"/>
                          <w:szCs w:val="24"/>
                        </w:rPr>
                      </w:pPr>
                      <w:r>
                        <w:rPr>
                          <w:color w:val="000000" w:themeColor="text1"/>
                          <w:sz w:val="24"/>
                          <w:szCs w:val="24"/>
                        </w:rPr>
                        <w:t>Pokles počtu osob usmrcených při silničních dopravních nehodách v roce 2022 oproti roku 2011.</w:t>
                      </w:r>
                    </w:p>
                    <w:p w14:paraId="32ED0EE2" w14:textId="77777777" w:rsidR="006F3836" w:rsidRDefault="006F3836" w:rsidP="00432FCB"/>
                  </w:txbxContent>
                </v:textbox>
              </v:shape>
            </w:pict>
          </mc:Fallback>
        </mc:AlternateContent>
      </w:r>
    </w:p>
    <w:p w14:paraId="120A6AF9" w14:textId="77777777" w:rsidR="00432FCB" w:rsidRDefault="00432FCB" w:rsidP="00432FCB">
      <w:pPr>
        <w:spacing w:after="0" w:line="240" w:lineRule="atLeast"/>
        <w:ind w:left="142"/>
        <w:jc w:val="center"/>
        <w:rPr>
          <w:b/>
          <w:sz w:val="28"/>
          <w:szCs w:val="28"/>
        </w:rPr>
      </w:pPr>
      <w:r>
        <w:rPr>
          <w:noProof/>
        </w:rPr>
        <mc:AlternateContent>
          <mc:Choice Requires="wps">
            <w:drawing>
              <wp:anchor distT="0" distB="0" distL="114300" distR="114300" simplePos="0" relativeHeight="251658250" behindDoc="0" locked="0" layoutInCell="1" allowOverlap="1" wp14:anchorId="232EB727" wp14:editId="52351388">
                <wp:simplePos x="0" y="0"/>
                <wp:positionH relativeFrom="column">
                  <wp:posOffset>1871345</wp:posOffset>
                </wp:positionH>
                <wp:positionV relativeFrom="paragraph">
                  <wp:posOffset>1569648</wp:posOffset>
                </wp:positionV>
                <wp:extent cx="4058920" cy="746567"/>
                <wp:effectExtent l="0" t="0" r="0" b="0"/>
                <wp:wrapNone/>
                <wp:docPr id="20" name="Textové pole 20"/>
                <wp:cNvGraphicFramePr/>
                <a:graphic xmlns:a="http://schemas.openxmlformats.org/drawingml/2006/main">
                  <a:graphicData uri="http://schemas.microsoft.com/office/word/2010/wordprocessingShape">
                    <wps:wsp>
                      <wps:cNvSpPr txBox="1"/>
                      <wps:spPr>
                        <a:xfrm>
                          <a:off x="0" y="0"/>
                          <a:ext cx="4058920" cy="746567"/>
                        </a:xfrm>
                        <a:prstGeom prst="rect">
                          <a:avLst/>
                        </a:prstGeom>
                        <a:solidFill>
                          <a:schemeClr val="lt1"/>
                        </a:solidFill>
                        <a:ln w="6350">
                          <a:noFill/>
                        </a:ln>
                      </wps:spPr>
                      <wps:txbx>
                        <w:txbxContent>
                          <w:p w14:paraId="5BACA984" w14:textId="77777777" w:rsidR="006F3836" w:rsidRPr="002D0B98" w:rsidRDefault="006F3836" w:rsidP="002C7C06">
                            <w:pPr>
                              <w:rPr>
                                <w:color w:val="000000" w:themeColor="text1"/>
                                <w:sz w:val="24"/>
                                <w:szCs w:val="24"/>
                              </w:rPr>
                            </w:pPr>
                            <w:r w:rsidRPr="0061623A">
                              <w:rPr>
                                <w:color w:val="000000" w:themeColor="text1"/>
                                <w:sz w:val="24"/>
                                <w:szCs w:val="24"/>
                              </w:rPr>
                              <w:t xml:space="preserve">Nedosažení strategického cíle snížení počtu osob usmrcených při </w:t>
                            </w:r>
                            <w:r>
                              <w:rPr>
                                <w:color w:val="000000" w:themeColor="text1"/>
                                <w:sz w:val="24"/>
                                <w:szCs w:val="24"/>
                              </w:rPr>
                              <w:t xml:space="preserve">silničních </w:t>
                            </w:r>
                            <w:r w:rsidRPr="0061623A">
                              <w:rPr>
                                <w:color w:val="000000" w:themeColor="text1"/>
                                <w:sz w:val="24"/>
                                <w:szCs w:val="24"/>
                              </w:rPr>
                              <w:t>dopravních nehodách v roce 2020</w:t>
                            </w:r>
                            <w:r>
                              <w:rPr>
                                <w:color w:val="000000" w:themeColor="text1"/>
                                <w:sz w:val="24"/>
                                <w:szCs w:val="24"/>
                              </w:rPr>
                              <w:t xml:space="preserve"> (o tuto hodnotu byl počet usmrcených osob vyšší oproti cíli).</w:t>
                            </w:r>
                          </w:p>
                          <w:p w14:paraId="09F00932" w14:textId="77777777" w:rsidR="006F3836" w:rsidRDefault="006F3836" w:rsidP="00432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2EB727" id="Textové pole 20" o:spid="_x0000_s1031" type="#_x0000_t202" style="position:absolute;left:0;text-align:left;margin-left:147.35pt;margin-top:123.6pt;width:319.6pt;height:58.8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" fillcolor="white [3201]" stroked="f" strokeweight=".5pt">
                <v:textbox>
                  <w:txbxContent>
                    <w:p w14:paraId="5BACA984" w14:textId="77777777" w:rsidR="006F3836" w:rsidRPr="002D0B98" w:rsidRDefault="006F3836" w:rsidP="002C7C06">
                      <w:pPr>
                        <w:rPr>
                          <w:color w:val="000000" w:themeColor="text1"/>
                          <w:sz w:val="24"/>
                          <w:szCs w:val="24"/>
                        </w:rPr>
                      </w:pPr>
                      <w:r w:rsidRPr="0061623A">
                        <w:rPr>
                          <w:color w:val="000000" w:themeColor="text1"/>
                          <w:sz w:val="24"/>
                          <w:szCs w:val="24"/>
                        </w:rPr>
                        <w:t xml:space="preserve">Nedosažení strategického cíle snížení počtu osob usmrcených při </w:t>
                      </w:r>
                      <w:r>
                        <w:rPr>
                          <w:color w:val="000000" w:themeColor="text1"/>
                          <w:sz w:val="24"/>
                          <w:szCs w:val="24"/>
                        </w:rPr>
                        <w:t xml:space="preserve">silničních </w:t>
                      </w:r>
                      <w:r w:rsidRPr="0061623A">
                        <w:rPr>
                          <w:color w:val="000000" w:themeColor="text1"/>
                          <w:sz w:val="24"/>
                          <w:szCs w:val="24"/>
                        </w:rPr>
                        <w:t>dopravních nehodách v roce 2020</w:t>
                      </w:r>
                      <w:r>
                        <w:rPr>
                          <w:color w:val="000000" w:themeColor="text1"/>
                          <w:sz w:val="24"/>
                          <w:szCs w:val="24"/>
                        </w:rPr>
                        <w:t xml:space="preserve"> (o tuto hodnotu byl počet usmrcených osob vyšší oproti cíli).</w:t>
                      </w:r>
                    </w:p>
                    <w:p w14:paraId="09F00932" w14:textId="77777777" w:rsidR="006F3836" w:rsidRDefault="006F3836" w:rsidP="00432FCB"/>
                  </w:txbxContent>
                </v:textbox>
              </v:shape>
            </w:pict>
          </mc:Fallback>
        </mc:AlternateContent>
      </w:r>
      <w:r>
        <w:rPr>
          <w:noProof/>
        </w:rPr>
        <mc:AlternateContent>
          <mc:Choice Requires="wps">
            <w:drawing>
              <wp:anchor distT="0" distB="0" distL="114300" distR="114300" simplePos="0" relativeHeight="251658248" behindDoc="0" locked="0" layoutInCell="1" allowOverlap="1" wp14:anchorId="593B235E" wp14:editId="4CC8BA9E">
                <wp:simplePos x="0" y="0"/>
                <wp:positionH relativeFrom="column">
                  <wp:posOffset>1862455</wp:posOffset>
                </wp:positionH>
                <wp:positionV relativeFrom="paragraph">
                  <wp:posOffset>867839</wp:posOffset>
                </wp:positionV>
                <wp:extent cx="4058920" cy="523240"/>
                <wp:effectExtent l="0" t="0" r="0" b="0"/>
                <wp:wrapNone/>
                <wp:docPr id="15" name="Textové pole 15"/>
                <wp:cNvGraphicFramePr/>
                <a:graphic xmlns:a="http://schemas.openxmlformats.org/drawingml/2006/main">
                  <a:graphicData uri="http://schemas.microsoft.com/office/word/2010/wordprocessingShape">
                    <wps:wsp>
                      <wps:cNvSpPr txBox="1"/>
                      <wps:spPr>
                        <a:xfrm>
                          <a:off x="0" y="0"/>
                          <a:ext cx="4058920" cy="523240"/>
                        </a:xfrm>
                        <a:prstGeom prst="rect">
                          <a:avLst/>
                        </a:prstGeom>
                        <a:solidFill>
                          <a:schemeClr val="lt1"/>
                        </a:solidFill>
                        <a:ln w="6350">
                          <a:noFill/>
                        </a:ln>
                      </wps:spPr>
                      <wps:txbx>
                        <w:txbxContent>
                          <w:p w14:paraId="298FFDC3" w14:textId="77777777" w:rsidR="006F3836" w:rsidRDefault="006F3836" w:rsidP="002C7C06">
                            <w:pPr>
                              <w:rPr>
                                <w:color w:val="000000" w:themeColor="text1"/>
                                <w:sz w:val="24"/>
                                <w:szCs w:val="24"/>
                              </w:rPr>
                            </w:pPr>
                            <w:r>
                              <w:rPr>
                                <w:color w:val="000000" w:themeColor="text1"/>
                                <w:sz w:val="24"/>
                                <w:szCs w:val="24"/>
                              </w:rPr>
                              <w:t>Pokles počtu osob těžce zraněných při silničních dopravních nehodách v roce 2022 oproti roku 2011.</w:t>
                            </w:r>
                          </w:p>
                          <w:p w14:paraId="1406FC0E" w14:textId="77777777" w:rsidR="006F3836" w:rsidRDefault="006F3836" w:rsidP="00432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3B235E" id="Textové pole 15" o:spid="_x0000_s1032" type="#_x0000_t202" style="position:absolute;left:0;text-align:left;margin-left:146.65pt;margin-top:68.35pt;width:319.6pt;height:41.2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" fillcolor="white [3201]" stroked="f" strokeweight=".5pt">
                <v:textbox>
                  <w:txbxContent>
                    <w:p w14:paraId="298FFDC3" w14:textId="77777777" w:rsidR="006F3836" w:rsidRDefault="006F3836" w:rsidP="002C7C06">
                      <w:pPr>
                        <w:rPr>
                          <w:color w:val="000000" w:themeColor="text1"/>
                          <w:sz w:val="24"/>
                          <w:szCs w:val="24"/>
                        </w:rPr>
                      </w:pPr>
                      <w:r>
                        <w:rPr>
                          <w:color w:val="000000" w:themeColor="text1"/>
                          <w:sz w:val="24"/>
                          <w:szCs w:val="24"/>
                        </w:rPr>
                        <w:t>Pokles počtu osob těžce zraněných při silničních dopravních nehodách v roce 2022 oproti roku 2011.</w:t>
                      </w:r>
                    </w:p>
                    <w:p w14:paraId="1406FC0E" w14:textId="77777777" w:rsidR="006F3836" w:rsidRDefault="006F3836" w:rsidP="00432FCB"/>
                  </w:txbxContent>
                </v:textbox>
              </v:shape>
            </w:pict>
          </mc:Fallback>
        </mc:AlternateContent>
      </w:r>
      <w:r w:rsidRPr="003D7731">
        <w:rPr>
          <w:noProof/>
        </w:rPr>
        <mc:AlternateContent>
          <mc:Choice Requires="wps">
            <w:drawing>
              <wp:anchor distT="0" distB="0" distL="114300" distR="114300" simplePos="0" relativeHeight="251658247" behindDoc="0" locked="0" layoutInCell="1" allowOverlap="1" wp14:anchorId="4BAC27B3" wp14:editId="4B206D66">
                <wp:simplePos x="0" y="0"/>
                <wp:positionH relativeFrom="margin">
                  <wp:posOffset>0</wp:posOffset>
                </wp:positionH>
                <wp:positionV relativeFrom="paragraph">
                  <wp:posOffset>877570</wp:posOffset>
                </wp:positionV>
                <wp:extent cx="1835150" cy="533400"/>
                <wp:effectExtent l="0" t="0" r="12700" b="19050"/>
                <wp:wrapTopAndBottom/>
                <wp:docPr id="4" name="Obdélník: se zakulacenými rohy 4"/>
                <wp:cNvGraphicFramePr/>
                <a:graphic xmlns:a="http://schemas.openxmlformats.org/drawingml/2006/main">
                  <a:graphicData uri="http://schemas.microsoft.com/office/word/2010/wordprocessingShape">
                    <wps:wsp>
                      <wps:cNvSpPr/>
                      <wps:spPr>
                        <a:xfrm>
                          <a:off x="0" y="0"/>
                          <a:ext cx="1835150" cy="533400"/>
                        </a:xfrm>
                        <a:prstGeom prst="round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51AFF3" w14:textId="77777777" w:rsidR="006F3836" w:rsidRPr="00C71D4F" w:rsidRDefault="006F3836" w:rsidP="00432FCB">
                            <w:pPr>
                              <w:spacing w:after="0"/>
                              <w:suppressOverlap/>
                              <w:jc w:val="center"/>
                              <w:rPr>
                                <w:b/>
                                <w:sz w:val="36"/>
                                <w:szCs w:val="36"/>
                              </w:rPr>
                            </w:pPr>
                            <w:r>
                              <w:rPr>
                                <w:b/>
                                <w:sz w:val="36"/>
                                <w:szCs w:val="36"/>
                              </w:rPr>
                              <w:t>43,9</w:t>
                            </w:r>
                            <w:r w:rsidRPr="00C71D4F">
                              <w:rPr>
                                <w:b/>
                                <w:sz w:val="36"/>
                                <w:szCs w:val="36"/>
                              </w:rPr>
                              <w:t xml:space="preserve"> %</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AC27B3" id="Obdélník: se zakulacenými rohy 4" o:spid="_x0000_s1033" style="position:absolute;left:0;text-align:left;margin-left:0;margin-top:69.1pt;width:144.5pt;height:42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" fillcolor="#538135 [2409]" strokecolor="#538135 [2409]" strokeweight="1pt">
                <v:stroke joinstyle="miter"/>
                <v:textbox>
                  <w:txbxContent>
                    <w:p w14:paraId="0B51AFF3" w14:textId="77777777" w:rsidR="006F3836" w:rsidRPr="00C71D4F" w:rsidRDefault="006F3836" w:rsidP="00432FCB">
                      <w:pPr>
                        <w:spacing w:after="0"/>
                        <w:suppressOverlap/>
                        <w:jc w:val="center"/>
                        <w:rPr>
                          <w:b/>
                          <w:sz w:val="36"/>
                          <w:szCs w:val="36"/>
                        </w:rPr>
                      </w:pPr>
                      <w:r>
                        <w:rPr>
                          <w:b/>
                          <w:sz w:val="36"/>
                          <w:szCs w:val="36"/>
                        </w:rPr>
                        <w:t>43,9</w:t>
                      </w:r>
                      <w:r w:rsidRPr="00C71D4F">
                        <w:rPr>
                          <w:b/>
                          <w:sz w:val="36"/>
                          <w:szCs w:val="36"/>
                        </w:rPr>
                        <w:t xml:space="preserve"> %</w:t>
                      </w:r>
                    </w:p>
                  </w:txbxContent>
                </v:textbox>
                <w10:wrap type="topAndBottom" anchorx="margin"/>
              </v:roundrect>
            </w:pict>
          </mc:Fallback>
        </mc:AlternateContent>
      </w:r>
    </w:p>
    <w:p w14:paraId="34B688DB" w14:textId="77777777" w:rsidR="00432FCB" w:rsidRDefault="00432FCB" w:rsidP="00432FCB">
      <w:pPr>
        <w:spacing w:after="0" w:line="240" w:lineRule="atLeast"/>
        <w:rPr>
          <w:b/>
          <w:sz w:val="28"/>
          <w:szCs w:val="28"/>
        </w:rPr>
      </w:pPr>
      <w:r w:rsidRPr="003D7731">
        <w:rPr>
          <w:noProof/>
        </w:rPr>
        <mc:AlternateContent>
          <mc:Choice Requires="wps">
            <w:drawing>
              <wp:anchor distT="0" distB="0" distL="114300" distR="114300" simplePos="0" relativeHeight="251658249" behindDoc="0" locked="0" layoutInCell="1" allowOverlap="1" wp14:anchorId="772F3BAA" wp14:editId="3611B394">
                <wp:simplePos x="0" y="0"/>
                <wp:positionH relativeFrom="margin">
                  <wp:posOffset>0</wp:posOffset>
                </wp:positionH>
                <wp:positionV relativeFrom="paragraph">
                  <wp:posOffset>774065</wp:posOffset>
                </wp:positionV>
                <wp:extent cx="1835150" cy="533400"/>
                <wp:effectExtent l="0" t="0" r="12700" b="19050"/>
                <wp:wrapTopAndBottom/>
                <wp:docPr id="19" name="Obdélník: se zakulacenými rohy 19"/>
                <wp:cNvGraphicFramePr/>
                <a:graphic xmlns:a="http://schemas.openxmlformats.org/drawingml/2006/main">
                  <a:graphicData uri="http://schemas.microsoft.com/office/word/2010/wordprocessingShape">
                    <wps:wsp>
                      <wps:cNvSpPr/>
                      <wps:spPr>
                        <a:xfrm>
                          <a:off x="0" y="0"/>
                          <a:ext cx="1835150" cy="533400"/>
                        </a:xfrm>
                        <a:prstGeom prst="round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34BE58" w14:textId="77777777" w:rsidR="006F3836" w:rsidRPr="00C71D4F" w:rsidRDefault="006F3836" w:rsidP="00432FCB">
                            <w:pPr>
                              <w:spacing w:after="0"/>
                              <w:suppressOverlap/>
                              <w:jc w:val="center"/>
                              <w:rPr>
                                <w:b/>
                                <w:sz w:val="36"/>
                                <w:szCs w:val="36"/>
                              </w:rPr>
                            </w:pPr>
                            <w:r w:rsidRPr="003474F1">
                              <w:rPr>
                                <w:b/>
                                <w:sz w:val="36"/>
                                <w:szCs w:val="36"/>
                              </w:rPr>
                              <w:t>127 osob</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2F3BAA" id="Obdélník: se zakulacenými rohy 19" o:spid="_x0000_s1034" style="position:absolute;margin-left:0;margin-top:60.95pt;width:144.5pt;height:42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" fillcolor="#c00000" strokecolor="#c00000" strokeweight="1pt">
                <v:stroke joinstyle="miter"/>
                <v:textbox>
                  <w:txbxContent>
                    <w:p w14:paraId="0734BE58" w14:textId="77777777" w:rsidR="006F3836" w:rsidRPr="00C71D4F" w:rsidRDefault="006F3836" w:rsidP="00432FCB">
                      <w:pPr>
                        <w:spacing w:after="0"/>
                        <w:suppressOverlap/>
                        <w:jc w:val="center"/>
                        <w:rPr>
                          <w:b/>
                          <w:sz w:val="36"/>
                          <w:szCs w:val="36"/>
                        </w:rPr>
                      </w:pPr>
                      <w:r w:rsidRPr="003474F1">
                        <w:rPr>
                          <w:b/>
                          <w:sz w:val="36"/>
                          <w:szCs w:val="36"/>
                        </w:rPr>
                        <w:t>127 osob</w:t>
                      </w:r>
                    </w:p>
                  </w:txbxContent>
                </v:textbox>
                <w10:wrap type="topAndBottom" anchorx="margin"/>
              </v:roundrect>
            </w:pict>
          </mc:Fallback>
        </mc:AlternateContent>
      </w:r>
    </w:p>
    <w:p w14:paraId="59AD0E73" w14:textId="77777777" w:rsidR="00432FCB" w:rsidRDefault="00432FCB" w:rsidP="00432FCB">
      <w:pPr>
        <w:spacing w:after="0" w:line="240" w:lineRule="atLeast"/>
        <w:ind w:left="142"/>
        <w:jc w:val="center"/>
        <w:rPr>
          <w:b/>
          <w:sz w:val="28"/>
          <w:szCs w:val="28"/>
        </w:rPr>
      </w:pPr>
    </w:p>
    <w:p w14:paraId="5F104A43" w14:textId="77777777" w:rsidR="00432FCB" w:rsidRPr="003D7731" w:rsidRDefault="00432FCB" w:rsidP="00432FCB">
      <w:pPr>
        <w:spacing w:after="0" w:line="240" w:lineRule="atLeast"/>
        <w:ind w:left="142"/>
        <w:jc w:val="center"/>
        <w:rPr>
          <w:b/>
          <w:sz w:val="28"/>
          <w:szCs w:val="28"/>
        </w:rPr>
      </w:pPr>
      <w:r w:rsidRPr="0047313F">
        <w:rPr>
          <w:rFonts w:ascii="Calibri" w:eastAsia="Calibri" w:hAnsi="Calibri" w:cs="Times New Roman"/>
          <w:noProof/>
        </w:rPr>
        <mc:AlternateContent>
          <mc:Choice Requires="wps">
            <w:drawing>
              <wp:anchor distT="0" distB="0" distL="114300" distR="114300" simplePos="0" relativeHeight="251658245" behindDoc="0" locked="0" layoutInCell="1" allowOverlap="1" wp14:anchorId="235ED2CB" wp14:editId="07C96F4B">
                <wp:simplePos x="0" y="0"/>
                <wp:positionH relativeFrom="margin">
                  <wp:posOffset>0</wp:posOffset>
                </wp:positionH>
                <wp:positionV relativeFrom="paragraph">
                  <wp:posOffset>401320</wp:posOffset>
                </wp:positionV>
                <wp:extent cx="5931535" cy="835660"/>
                <wp:effectExtent l="0" t="0" r="12065" b="21590"/>
                <wp:wrapTopAndBottom/>
                <wp:docPr id="14" name="Obdélník: se zakulacenými rohy 14"/>
                <wp:cNvGraphicFramePr/>
                <a:graphic xmlns:a="http://schemas.openxmlformats.org/drawingml/2006/main">
                  <a:graphicData uri="http://schemas.microsoft.com/office/word/2010/wordprocessingShape">
                    <wps:wsp>
                      <wps:cNvSpPr/>
                      <wps:spPr>
                        <a:xfrm>
                          <a:off x="0" y="0"/>
                          <a:ext cx="5931535" cy="835660"/>
                        </a:xfrm>
                        <a:prstGeom prst="roundRect">
                          <a:avLst/>
                        </a:prstGeom>
                        <a:solidFill>
                          <a:srgbClr val="C00000"/>
                        </a:solidFill>
                        <a:ln w="12700" cap="flat" cmpd="sng" algn="ctr">
                          <a:solidFill>
                            <a:srgbClr val="C00000"/>
                          </a:solidFill>
                          <a:prstDash val="solid"/>
                          <a:miter lim="800000"/>
                        </a:ln>
                        <a:effectLst/>
                      </wps:spPr>
                      <wps:txbx>
                        <w:txbxContent>
                          <w:p w14:paraId="24655D6B" w14:textId="77777777" w:rsidR="006F3836" w:rsidRDefault="006F3836" w:rsidP="00432FCB">
                            <w:pPr>
                              <w:spacing w:after="0"/>
                              <w:suppressOverlap/>
                              <w:jc w:val="center"/>
                              <w:rPr>
                                <w:b/>
                                <w:color w:val="FFFFFF" w:themeColor="background1"/>
                                <w:sz w:val="24"/>
                                <w:szCs w:val="24"/>
                              </w:rPr>
                            </w:pPr>
                            <w:r w:rsidRPr="0090265E">
                              <w:rPr>
                                <w:b/>
                                <w:color w:val="FFFFFF" w:themeColor="background1"/>
                                <w:sz w:val="24"/>
                                <w:szCs w:val="24"/>
                              </w:rPr>
                              <w:t xml:space="preserve">Splnění cíle snížení počtu usmrcených osob v důsledku </w:t>
                            </w:r>
                            <w:r>
                              <w:rPr>
                                <w:b/>
                                <w:color w:val="FFFFFF" w:themeColor="background1"/>
                                <w:sz w:val="24"/>
                                <w:szCs w:val="24"/>
                              </w:rPr>
                              <w:t xml:space="preserve">silničních </w:t>
                            </w:r>
                            <w:r w:rsidRPr="0090265E">
                              <w:rPr>
                                <w:b/>
                                <w:color w:val="FFFFFF" w:themeColor="background1"/>
                                <w:sz w:val="24"/>
                                <w:szCs w:val="24"/>
                              </w:rPr>
                              <w:t xml:space="preserve">dopravních nehod </w:t>
                            </w:r>
                          </w:p>
                          <w:p w14:paraId="5FBD9408" w14:textId="77777777" w:rsidR="006F3836" w:rsidRPr="0090265E" w:rsidRDefault="006F3836" w:rsidP="00432FCB">
                            <w:pPr>
                              <w:spacing w:after="0"/>
                              <w:suppressOverlap/>
                              <w:jc w:val="center"/>
                              <w:rPr>
                                <w:b/>
                                <w:color w:val="FFFFFF" w:themeColor="background1"/>
                                <w:sz w:val="36"/>
                                <w:szCs w:val="36"/>
                              </w:rPr>
                            </w:pPr>
                            <w:r>
                              <w:rPr>
                                <w:b/>
                                <w:color w:val="FFFFFF" w:themeColor="background1"/>
                                <w:sz w:val="24"/>
                                <w:szCs w:val="24"/>
                              </w:rPr>
                              <w:t xml:space="preserve">pod stanovený počet </w:t>
                            </w:r>
                            <w:r w:rsidRPr="0090265E">
                              <w:rPr>
                                <w:b/>
                                <w:color w:val="FFFFFF" w:themeColor="background1"/>
                                <w:sz w:val="24"/>
                                <w:szCs w:val="24"/>
                              </w:rPr>
                              <w:t xml:space="preserve">do roku 2030 nepovažuje </w:t>
                            </w:r>
                            <w:r>
                              <w:rPr>
                                <w:b/>
                                <w:color w:val="FFFFFF" w:themeColor="background1"/>
                                <w:sz w:val="24"/>
                                <w:szCs w:val="24"/>
                              </w:rPr>
                              <w:t xml:space="preserve">NKÚ </w:t>
                            </w:r>
                            <w:r w:rsidRPr="0090265E">
                              <w:rPr>
                                <w:b/>
                                <w:color w:val="FFFFFF" w:themeColor="background1"/>
                                <w:sz w:val="24"/>
                                <w:szCs w:val="24"/>
                              </w:rPr>
                              <w:t xml:space="preserve">za </w:t>
                            </w:r>
                            <w:r>
                              <w:rPr>
                                <w:b/>
                                <w:color w:val="FFFFFF" w:themeColor="background1"/>
                                <w:sz w:val="24"/>
                                <w:szCs w:val="24"/>
                              </w:rPr>
                              <w:t xml:space="preserve">příliš </w:t>
                            </w:r>
                            <w:r w:rsidRPr="0090265E">
                              <w:rPr>
                                <w:b/>
                                <w:color w:val="FFFFFF" w:themeColor="background1"/>
                                <w:sz w:val="24"/>
                                <w:szCs w:val="24"/>
                              </w:rPr>
                              <w:t>pravděpodob</w:t>
                            </w:r>
                            <w:r>
                              <w:rPr>
                                <w:b/>
                                <w:color w:val="FFFFFF" w:themeColor="background1"/>
                                <w:sz w:val="24"/>
                                <w:szCs w:val="24"/>
                              </w:rPr>
                              <w:t>né.</w:t>
                            </w:r>
                            <w:r w:rsidRPr="0090265E">
                              <w:rPr>
                                <w:b/>
                                <w:color w:val="FFFFFF" w:themeColor="background1"/>
                                <w:sz w:val="36"/>
                                <w:szCs w:val="36"/>
                              </w:rPr>
                              <w:t xml:space="preserve"> </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5ED2CB" id="Obdélník: se zakulacenými rohy 14" o:spid="_x0000_s1035" style="position:absolute;left:0;text-align:left;margin-left:0;margin-top:31.6pt;width:467.05pt;height:65.8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" fillcolor="#c00000" strokecolor="#c00000" strokeweight="1pt">
                <v:stroke joinstyle="miter"/>
                <v:textbox>
                  <w:txbxContent>
                    <w:p w14:paraId="24655D6B" w14:textId="77777777" w:rsidR="006F3836" w:rsidRDefault="006F3836" w:rsidP="00432FCB">
                      <w:pPr>
                        <w:spacing w:after="0"/>
                        <w:suppressOverlap/>
                        <w:jc w:val="center"/>
                        <w:rPr>
                          <w:b/>
                          <w:color w:val="FFFFFF" w:themeColor="background1"/>
                          <w:sz w:val="24"/>
                          <w:szCs w:val="24"/>
                        </w:rPr>
                      </w:pPr>
                      <w:r w:rsidRPr="0090265E">
                        <w:rPr>
                          <w:b/>
                          <w:color w:val="FFFFFF" w:themeColor="background1"/>
                          <w:sz w:val="24"/>
                          <w:szCs w:val="24"/>
                        </w:rPr>
                        <w:t xml:space="preserve">Splnění cíle snížení počtu usmrcených osob v důsledku </w:t>
                      </w:r>
                      <w:r>
                        <w:rPr>
                          <w:b/>
                          <w:color w:val="FFFFFF" w:themeColor="background1"/>
                          <w:sz w:val="24"/>
                          <w:szCs w:val="24"/>
                        </w:rPr>
                        <w:t xml:space="preserve">silničních </w:t>
                      </w:r>
                      <w:r w:rsidRPr="0090265E">
                        <w:rPr>
                          <w:b/>
                          <w:color w:val="FFFFFF" w:themeColor="background1"/>
                          <w:sz w:val="24"/>
                          <w:szCs w:val="24"/>
                        </w:rPr>
                        <w:t xml:space="preserve">dopravních nehod </w:t>
                      </w:r>
                    </w:p>
                    <w:p w14:paraId="5FBD9408" w14:textId="77777777" w:rsidR="006F3836" w:rsidRPr="0090265E" w:rsidRDefault="006F3836" w:rsidP="00432FCB">
                      <w:pPr>
                        <w:spacing w:after="0"/>
                        <w:suppressOverlap/>
                        <w:jc w:val="center"/>
                        <w:rPr>
                          <w:b/>
                          <w:color w:val="FFFFFF" w:themeColor="background1"/>
                          <w:sz w:val="36"/>
                          <w:szCs w:val="36"/>
                        </w:rPr>
                      </w:pPr>
                      <w:r>
                        <w:rPr>
                          <w:b/>
                          <w:color w:val="FFFFFF" w:themeColor="background1"/>
                          <w:sz w:val="24"/>
                          <w:szCs w:val="24"/>
                        </w:rPr>
                        <w:t xml:space="preserve">pod stanovený počet </w:t>
                      </w:r>
                      <w:r w:rsidRPr="0090265E">
                        <w:rPr>
                          <w:b/>
                          <w:color w:val="FFFFFF" w:themeColor="background1"/>
                          <w:sz w:val="24"/>
                          <w:szCs w:val="24"/>
                        </w:rPr>
                        <w:t xml:space="preserve">do roku 2030 nepovažuje </w:t>
                      </w:r>
                      <w:r>
                        <w:rPr>
                          <w:b/>
                          <w:color w:val="FFFFFF" w:themeColor="background1"/>
                          <w:sz w:val="24"/>
                          <w:szCs w:val="24"/>
                        </w:rPr>
                        <w:t xml:space="preserve">NKÚ </w:t>
                      </w:r>
                      <w:r w:rsidRPr="0090265E">
                        <w:rPr>
                          <w:b/>
                          <w:color w:val="FFFFFF" w:themeColor="background1"/>
                          <w:sz w:val="24"/>
                          <w:szCs w:val="24"/>
                        </w:rPr>
                        <w:t xml:space="preserve">za </w:t>
                      </w:r>
                      <w:r>
                        <w:rPr>
                          <w:b/>
                          <w:color w:val="FFFFFF" w:themeColor="background1"/>
                          <w:sz w:val="24"/>
                          <w:szCs w:val="24"/>
                        </w:rPr>
                        <w:t xml:space="preserve">příliš </w:t>
                      </w:r>
                      <w:r w:rsidRPr="0090265E">
                        <w:rPr>
                          <w:b/>
                          <w:color w:val="FFFFFF" w:themeColor="background1"/>
                          <w:sz w:val="24"/>
                          <w:szCs w:val="24"/>
                        </w:rPr>
                        <w:t>pravděpodob</w:t>
                      </w:r>
                      <w:r>
                        <w:rPr>
                          <w:b/>
                          <w:color w:val="FFFFFF" w:themeColor="background1"/>
                          <w:sz w:val="24"/>
                          <w:szCs w:val="24"/>
                        </w:rPr>
                        <w:t>né.</w:t>
                      </w:r>
                      <w:r w:rsidRPr="0090265E">
                        <w:rPr>
                          <w:b/>
                          <w:color w:val="FFFFFF" w:themeColor="background1"/>
                          <w:sz w:val="36"/>
                          <w:szCs w:val="36"/>
                        </w:rPr>
                        <w:t xml:space="preserve"> </w:t>
                      </w:r>
                    </w:p>
                  </w:txbxContent>
                </v:textbox>
                <w10:wrap type="topAndBottom" anchorx="margin"/>
              </v:roundrect>
            </w:pict>
          </mc:Fallback>
        </mc:AlternateContent>
      </w:r>
      <w:r>
        <w:rPr>
          <w:b/>
          <w:sz w:val="28"/>
          <w:szCs w:val="28"/>
        </w:rPr>
        <w:t xml:space="preserve">Predikce NKÚ </w:t>
      </w:r>
      <w:r w:rsidR="00F359F8">
        <w:rPr>
          <w:b/>
          <w:sz w:val="28"/>
          <w:szCs w:val="28"/>
        </w:rPr>
        <w:t xml:space="preserve">ohledně </w:t>
      </w:r>
      <w:r>
        <w:rPr>
          <w:b/>
          <w:sz w:val="28"/>
          <w:szCs w:val="28"/>
        </w:rPr>
        <w:t>plnění strategických cílů do roku 2030</w:t>
      </w:r>
    </w:p>
    <w:p w14:paraId="0EFDC92E" w14:textId="77777777" w:rsidR="003D7731" w:rsidRDefault="003D7731" w:rsidP="00432FCB">
      <w:pPr>
        <w:spacing w:after="0" w:line="240" w:lineRule="atLeast"/>
        <w:ind w:firstLine="142"/>
        <w:jc w:val="both"/>
        <w:rPr>
          <w:b/>
          <w:sz w:val="28"/>
          <w:szCs w:val="28"/>
        </w:rPr>
      </w:pPr>
    </w:p>
    <w:p w14:paraId="391B9F36" w14:textId="77777777" w:rsidR="000309B6" w:rsidRPr="00737D9A" w:rsidRDefault="009C4343" w:rsidP="005E68DD">
      <w:pPr>
        <w:pStyle w:val="Nadpis1"/>
      </w:pPr>
      <w:r w:rsidRPr="00737D9A">
        <w:lastRenderedPageBreak/>
        <w:t>I. Shrnutí a vyhodnocení</w:t>
      </w:r>
    </w:p>
    <w:p w14:paraId="73B7A89D" w14:textId="229E8063" w:rsidR="002C460D" w:rsidRDefault="008E6B1D" w:rsidP="006972E8">
      <w:pPr>
        <w:pStyle w:val="JK1"/>
        <w:tabs>
          <w:tab w:val="clear" w:pos="567"/>
        </w:tabs>
        <w:ind w:left="426" w:hanging="426"/>
        <w:rPr>
          <w:color w:val="auto"/>
        </w:rPr>
      </w:pPr>
      <w:bookmarkStart w:id="4" w:name="_Hlk118030900"/>
      <w:r>
        <w:t xml:space="preserve">Oblast bezpečnosti silničního provozu (dále </w:t>
      </w:r>
      <w:r w:rsidRPr="000D4154">
        <w:t>také „BESIP</w:t>
      </w:r>
      <w:r w:rsidR="00677513">
        <w:t>“</w:t>
      </w:r>
      <w:r w:rsidR="009F7C28">
        <w:rPr>
          <w:rStyle w:val="Znakapoznpodarou"/>
        </w:rPr>
        <w:footnoteReference w:id="2"/>
      </w:r>
      <w:r w:rsidRPr="000D4154">
        <w:t>) je</w:t>
      </w:r>
      <w:r>
        <w:t xml:space="preserve"> významným celospolečenským tématem. Vedle dopadu na lidské životy a zdraví mají dopravní nehody a jejich následky negativní vliv také na ekonomiku ČR. Hlavním současným strategickým cíl</w:t>
      </w:r>
      <w:r w:rsidR="00677513">
        <w:t>em</w:t>
      </w:r>
      <w:r>
        <w:t xml:space="preserve"> v</w:t>
      </w:r>
      <w:r w:rsidR="00186DDC">
        <w:t xml:space="preserve"> </w:t>
      </w:r>
      <w:r w:rsidR="000E11F1">
        <w:t xml:space="preserve">této </w:t>
      </w:r>
      <w:r>
        <w:t>oblasti j</w:t>
      </w:r>
      <w:r w:rsidR="00677513">
        <w:t>e</w:t>
      </w:r>
      <w:r>
        <w:t xml:space="preserve"> snížení počtu osob usmrcených a těžce zraněných v</w:t>
      </w:r>
      <w:r w:rsidR="00186DDC">
        <w:t xml:space="preserve"> </w:t>
      </w:r>
      <w:r>
        <w:t>silničním provozu v roce 2030 na polovinu oproti průměru let 2017 až 2019</w:t>
      </w:r>
      <w:r w:rsidR="009E04AB" w:rsidRPr="002C460D">
        <w:rPr>
          <w:color w:val="auto"/>
        </w:rPr>
        <w:t xml:space="preserve">. </w:t>
      </w:r>
    </w:p>
    <w:p w14:paraId="67CC929B" w14:textId="7691692A" w:rsidR="00737D9A" w:rsidRPr="002C460D" w:rsidRDefault="008E6B1D" w:rsidP="006972E8">
      <w:pPr>
        <w:pStyle w:val="JK1"/>
        <w:tabs>
          <w:tab w:val="clear" w:pos="567"/>
        </w:tabs>
        <w:ind w:left="426" w:hanging="426"/>
        <w:rPr>
          <w:color w:val="auto"/>
        </w:rPr>
      </w:pPr>
      <w:r>
        <w:t xml:space="preserve">NKÚ provedl </w:t>
      </w:r>
      <w:r w:rsidR="00336DAA">
        <w:t>v</w:t>
      </w:r>
      <w:r w:rsidR="00186DDC">
        <w:t xml:space="preserve"> </w:t>
      </w:r>
      <w:r w:rsidR="00336DAA">
        <w:t xml:space="preserve">resortu MD </w:t>
      </w:r>
      <w:r>
        <w:t>kontrolu vynakládání peněžních prostředků na zvýšení bezpečnosti silničního provozu</w:t>
      </w:r>
      <w:r w:rsidR="004450EB">
        <w:t xml:space="preserve">. </w:t>
      </w:r>
      <w:r>
        <w:t>MD provádí prevenci v</w:t>
      </w:r>
      <w:r w:rsidR="00186DDC">
        <w:t xml:space="preserve"> </w:t>
      </w:r>
      <w:r>
        <w:t xml:space="preserve">oblasti </w:t>
      </w:r>
      <w:r w:rsidR="00A042D7">
        <w:t>bezpečnosti silničního provozu</w:t>
      </w:r>
      <w:r>
        <w:t xml:space="preserve">, zpracovává strategické dokumenty pro tuto oblast a je koordinátorem plnění opatření </w:t>
      </w:r>
      <w:r w:rsidR="00A042D7">
        <w:t>bezpečnosti silničního provozu</w:t>
      </w:r>
      <w:r>
        <w:t xml:space="preserve"> na národní úrovni. Cílem kontroly bylo prověřit, zda resort MD řídil a realizoval vybraná opatření pro zvýšení bezpečnosti silničního provozu tak, aby peněžní prostředky určené na dosažení vybraných cílů </w:t>
      </w:r>
      <w:r w:rsidRPr="002C7C06">
        <w:rPr>
          <w:i/>
        </w:rPr>
        <w:t>Národní strategie bezpečnosti silničního provozu 2011–2020</w:t>
      </w:r>
      <w:r>
        <w:t xml:space="preserve"> a </w:t>
      </w:r>
      <w:r w:rsidRPr="002C7C06">
        <w:rPr>
          <w:i/>
        </w:rPr>
        <w:t>Strategie BESIP 2021–2030</w:t>
      </w:r>
      <w:r>
        <w:t xml:space="preserve"> byly vynaloženy účelně a hospodárně. Kontrola byla provedena u MD a dále u CSPSD a ŘSD, které realizují aktivity s dopadem na bezpečnost silničního provozu v ČR. Kontrolovaný objem peněžních prostředků vynaložených na aktivity související s bezpečností silničního provozu činil 97,9</w:t>
      </w:r>
      <w:r w:rsidR="007D62F3">
        <w:t> </w:t>
      </w:r>
      <w:r>
        <w:t>mil.</w:t>
      </w:r>
      <w:r w:rsidR="00677513">
        <w:t> </w:t>
      </w:r>
      <w:r>
        <w:t>Kč</w:t>
      </w:r>
      <w:r w:rsidR="005A6F0F" w:rsidRPr="005A6F0F">
        <w:rPr>
          <w:color w:val="auto"/>
        </w:rPr>
        <w:t>.</w:t>
      </w:r>
    </w:p>
    <w:bookmarkEnd w:id="4"/>
    <w:p w14:paraId="2E214304" w14:textId="77777777" w:rsidR="003F7A55" w:rsidRDefault="00D34B08" w:rsidP="00D34B08">
      <w:pPr>
        <w:pStyle w:val="JK1"/>
        <w:ind w:left="426"/>
        <w:rPr>
          <w:b/>
          <w:color w:val="auto"/>
        </w:rPr>
      </w:pPr>
      <w:r w:rsidRPr="00D34B08">
        <w:rPr>
          <w:b/>
          <w:color w:val="auto"/>
        </w:rPr>
        <w:t>NKÚ konstatuje, že v období let 201</w:t>
      </w:r>
      <w:r w:rsidR="00625A4E">
        <w:rPr>
          <w:b/>
          <w:color w:val="auto"/>
        </w:rPr>
        <w:t>1</w:t>
      </w:r>
      <w:r w:rsidR="00910387">
        <w:rPr>
          <w:b/>
          <w:color w:val="auto"/>
        </w:rPr>
        <w:t xml:space="preserve"> až </w:t>
      </w:r>
      <w:r w:rsidRPr="00D34B08">
        <w:rPr>
          <w:b/>
          <w:color w:val="auto"/>
        </w:rPr>
        <w:t>2022</w:t>
      </w:r>
      <w:r w:rsidR="00625A4E">
        <w:rPr>
          <w:rStyle w:val="Znakapoznpodarou"/>
          <w:b/>
          <w:color w:val="auto"/>
        </w:rPr>
        <w:footnoteReference w:id="3"/>
      </w:r>
      <w:r w:rsidRPr="00D34B08">
        <w:rPr>
          <w:b/>
          <w:color w:val="auto"/>
        </w:rPr>
        <w:t xml:space="preserve"> došlo k celkovému </w:t>
      </w:r>
      <w:r w:rsidR="000E11F1">
        <w:rPr>
          <w:b/>
          <w:color w:val="auto"/>
        </w:rPr>
        <w:t>zvýšení</w:t>
      </w:r>
      <w:r w:rsidR="000E11F1" w:rsidRPr="00D34B08">
        <w:rPr>
          <w:b/>
          <w:color w:val="auto"/>
        </w:rPr>
        <w:t xml:space="preserve"> </w:t>
      </w:r>
      <w:r w:rsidRPr="00D34B08">
        <w:rPr>
          <w:b/>
          <w:color w:val="auto"/>
        </w:rPr>
        <w:t xml:space="preserve">bezpečnosti na </w:t>
      </w:r>
      <w:r w:rsidR="000E11F1">
        <w:rPr>
          <w:b/>
          <w:color w:val="auto"/>
        </w:rPr>
        <w:t>pozemních komunikacích</w:t>
      </w:r>
      <w:r w:rsidR="000E11F1" w:rsidRPr="00D34B08">
        <w:rPr>
          <w:b/>
          <w:color w:val="auto"/>
        </w:rPr>
        <w:t xml:space="preserve"> </w:t>
      </w:r>
      <w:r w:rsidRPr="00D34B08">
        <w:rPr>
          <w:b/>
          <w:color w:val="auto"/>
        </w:rPr>
        <w:t xml:space="preserve">ČR, což dokazují </w:t>
      </w:r>
      <w:r w:rsidR="000E11F1">
        <w:rPr>
          <w:b/>
          <w:color w:val="auto"/>
        </w:rPr>
        <w:t>dosažené hodnoty ukazatelů</w:t>
      </w:r>
      <w:r w:rsidR="000E11F1" w:rsidRPr="00D34B08">
        <w:rPr>
          <w:b/>
          <w:color w:val="auto"/>
        </w:rPr>
        <w:t xml:space="preserve"> </w:t>
      </w:r>
      <w:r w:rsidRPr="00D34B08">
        <w:rPr>
          <w:b/>
          <w:color w:val="auto"/>
        </w:rPr>
        <w:t xml:space="preserve">závažných následků dopravních nehod. Počet osob usmrcených při dopravních nehodách klesl </w:t>
      </w:r>
      <w:r w:rsidR="000E11F1">
        <w:rPr>
          <w:b/>
          <w:color w:val="auto"/>
        </w:rPr>
        <w:t xml:space="preserve">za </w:t>
      </w:r>
      <w:r w:rsidR="00677513">
        <w:rPr>
          <w:b/>
          <w:color w:val="auto"/>
        </w:rPr>
        <w:t>uvedené</w:t>
      </w:r>
      <w:r w:rsidRPr="00D34B08">
        <w:rPr>
          <w:b/>
          <w:color w:val="auto"/>
        </w:rPr>
        <w:t xml:space="preserve"> období o </w:t>
      </w:r>
      <w:r w:rsidR="00625A4E">
        <w:rPr>
          <w:b/>
          <w:color w:val="auto"/>
        </w:rPr>
        <w:t>35,8</w:t>
      </w:r>
      <w:r w:rsidRPr="00D34B08">
        <w:rPr>
          <w:b/>
          <w:color w:val="auto"/>
        </w:rPr>
        <w:t xml:space="preserve"> %, počet těžce zraněných osob ve stejném období klesl o</w:t>
      </w:r>
      <w:r w:rsidR="00677513">
        <w:rPr>
          <w:b/>
          <w:color w:val="auto"/>
        </w:rPr>
        <w:t> </w:t>
      </w:r>
      <w:r w:rsidR="00625A4E">
        <w:rPr>
          <w:b/>
          <w:color w:val="auto"/>
        </w:rPr>
        <w:t>43,9</w:t>
      </w:r>
      <w:r w:rsidR="00677513">
        <w:rPr>
          <w:b/>
          <w:color w:val="auto"/>
        </w:rPr>
        <w:t> </w:t>
      </w:r>
      <w:r w:rsidRPr="00D34B08">
        <w:rPr>
          <w:b/>
          <w:color w:val="auto"/>
        </w:rPr>
        <w:t xml:space="preserve">%. </w:t>
      </w:r>
    </w:p>
    <w:p w14:paraId="4D14A9D9" w14:textId="77777777" w:rsidR="00D34B08" w:rsidRPr="00D34B08" w:rsidRDefault="007A7DAC" w:rsidP="00723514">
      <w:pPr>
        <w:pStyle w:val="JK1"/>
        <w:numPr>
          <w:ilvl w:val="0"/>
          <w:numId w:val="0"/>
        </w:numPr>
        <w:ind w:left="426"/>
        <w:rPr>
          <w:b/>
          <w:color w:val="auto"/>
        </w:rPr>
      </w:pPr>
      <w:r>
        <w:rPr>
          <w:b/>
          <w:color w:val="auto"/>
        </w:rPr>
        <w:t xml:space="preserve">I přes zmíněné </w:t>
      </w:r>
      <w:r w:rsidR="000E11F1">
        <w:rPr>
          <w:b/>
          <w:color w:val="auto"/>
        </w:rPr>
        <w:t xml:space="preserve">zvýšení </w:t>
      </w:r>
      <w:r>
        <w:rPr>
          <w:b/>
          <w:color w:val="auto"/>
        </w:rPr>
        <w:t xml:space="preserve">bezpečnosti silničního provozu </w:t>
      </w:r>
      <w:r w:rsidR="00D34B08" w:rsidRPr="00D34B08">
        <w:rPr>
          <w:b/>
          <w:color w:val="auto"/>
        </w:rPr>
        <w:t xml:space="preserve">se </w:t>
      </w:r>
      <w:r>
        <w:rPr>
          <w:b/>
          <w:color w:val="auto"/>
        </w:rPr>
        <w:t xml:space="preserve">však </w:t>
      </w:r>
      <w:r w:rsidR="00D34B08" w:rsidRPr="00D34B08">
        <w:rPr>
          <w:b/>
          <w:color w:val="auto"/>
        </w:rPr>
        <w:t>nepodařilo dosáhnout jednoho ze dvou strategických cílů</w:t>
      </w:r>
      <w:r>
        <w:rPr>
          <w:b/>
          <w:color w:val="auto"/>
        </w:rPr>
        <w:t>, a to</w:t>
      </w:r>
      <w:r w:rsidR="00D34B08" w:rsidRPr="00D34B08">
        <w:rPr>
          <w:b/>
          <w:color w:val="auto"/>
        </w:rPr>
        <w:t xml:space="preserve"> sníž</w:t>
      </w:r>
      <w:r w:rsidR="00677513">
        <w:rPr>
          <w:b/>
          <w:color w:val="auto"/>
        </w:rPr>
        <w:t>it</w:t>
      </w:r>
      <w:r w:rsidR="00D34B08" w:rsidRPr="00D34B08">
        <w:rPr>
          <w:b/>
          <w:color w:val="auto"/>
        </w:rPr>
        <w:t xml:space="preserve"> poč</w:t>
      </w:r>
      <w:r w:rsidR="00677513">
        <w:rPr>
          <w:b/>
          <w:color w:val="auto"/>
        </w:rPr>
        <w:t>e</w:t>
      </w:r>
      <w:r w:rsidR="00D34B08" w:rsidRPr="00D34B08">
        <w:rPr>
          <w:b/>
          <w:color w:val="auto"/>
        </w:rPr>
        <w:t>t usmrcených osob</w:t>
      </w:r>
      <w:r>
        <w:rPr>
          <w:b/>
          <w:color w:val="auto"/>
        </w:rPr>
        <w:t xml:space="preserve"> </w:t>
      </w:r>
      <w:r w:rsidR="003E58D9">
        <w:rPr>
          <w:b/>
          <w:color w:val="auto"/>
        </w:rPr>
        <w:t>pod</w:t>
      </w:r>
      <w:r w:rsidR="003E58D9" w:rsidRPr="00D34B08">
        <w:rPr>
          <w:b/>
          <w:color w:val="auto"/>
        </w:rPr>
        <w:t xml:space="preserve"> </w:t>
      </w:r>
      <w:r w:rsidR="00D34B08" w:rsidRPr="00D34B08">
        <w:rPr>
          <w:b/>
          <w:color w:val="auto"/>
        </w:rPr>
        <w:t>stanovenou úroveň</w:t>
      </w:r>
      <w:r>
        <w:rPr>
          <w:b/>
          <w:color w:val="auto"/>
        </w:rPr>
        <w:t xml:space="preserve"> v cílovém roce prvního období, tedy v roce 2020. </w:t>
      </w:r>
      <w:r w:rsidR="00677513">
        <w:rPr>
          <w:b/>
          <w:color w:val="auto"/>
        </w:rPr>
        <w:t xml:space="preserve">Dle predikce </w:t>
      </w:r>
      <w:r>
        <w:rPr>
          <w:b/>
          <w:color w:val="auto"/>
        </w:rPr>
        <w:t xml:space="preserve">NKÚ </w:t>
      </w:r>
      <w:r w:rsidR="00677513">
        <w:rPr>
          <w:b/>
          <w:color w:val="auto"/>
        </w:rPr>
        <w:t xml:space="preserve">není </w:t>
      </w:r>
      <w:r w:rsidR="00C56E3B">
        <w:rPr>
          <w:b/>
          <w:color w:val="auto"/>
        </w:rPr>
        <w:t xml:space="preserve">příliš </w:t>
      </w:r>
      <w:r w:rsidR="00D34B08" w:rsidRPr="00D34B08">
        <w:rPr>
          <w:b/>
          <w:color w:val="auto"/>
        </w:rPr>
        <w:t>pravděpodobné, že se stanoveného cíle ve snížení počtu usmrcených v důsledku dopravních nehod podaří dosáhnout na konci současného strategického období, tedy v</w:t>
      </w:r>
      <w:r w:rsidR="00253B48">
        <w:rPr>
          <w:b/>
          <w:color w:val="auto"/>
        </w:rPr>
        <w:t> </w:t>
      </w:r>
      <w:r w:rsidR="00D34B08" w:rsidRPr="00D34B08">
        <w:rPr>
          <w:b/>
          <w:color w:val="auto"/>
        </w:rPr>
        <w:t>roce 2030.</w:t>
      </w:r>
    </w:p>
    <w:p w14:paraId="2CC4C8EB" w14:textId="77777777" w:rsidR="00D34B08" w:rsidRPr="00D34B08" w:rsidRDefault="00D34B08" w:rsidP="00D34B08">
      <w:pPr>
        <w:pStyle w:val="JK1"/>
        <w:numPr>
          <w:ilvl w:val="0"/>
          <w:numId w:val="0"/>
        </w:numPr>
        <w:ind w:left="426"/>
        <w:rPr>
          <w:b/>
          <w:color w:val="auto"/>
        </w:rPr>
      </w:pPr>
      <w:r w:rsidRPr="00D34B08">
        <w:rPr>
          <w:b/>
          <w:color w:val="auto"/>
        </w:rPr>
        <w:t>Kontrolované aktivity realizované MD a CSPSD podle akčních plán</w:t>
      </w:r>
      <w:r w:rsidR="00001CF1">
        <w:rPr>
          <w:b/>
          <w:color w:val="auto"/>
        </w:rPr>
        <w:t>ů</w:t>
      </w:r>
      <w:r w:rsidRPr="00D34B08">
        <w:rPr>
          <w:b/>
          <w:color w:val="auto"/>
        </w:rPr>
        <w:t xml:space="preserve"> k naplnění strategických dokumentů, tj. preventivně informační aktivity, kampaně a další činnosti krajských </w:t>
      </w:r>
      <w:r w:rsidRPr="00A042D7">
        <w:rPr>
          <w:b/>
          <w:color w:val="auto"/>
        </w:rPr>
        <w:t xml:space="preserve">koordinátorů </w:t>
      </w:r>
      <w:r w:rsidR="00A042D7" w:rsidRPr="00A042D7">
        <w:rPr>
          <w:b/>
        </w:rPr>
        <w:t>bezpečnosti silničního provozu</w:t>
      </w:r>
      <w:r w:rsidRPr="00A042D7">
        <w:rPr>
          <w:b/>
          <w:color w:val="auto"/>
        </w:rPr>
        <w:t xml:space="preserve">, mají jednoznačně potenciál přispět k plnění strategických cílů </w:t>
      </w:r>
      <w:r w:rsidR="00A042D7" w:rsidRPr="00A042D7">
        <w:rPr>
          <w:b/>
        </w:rPr>
        <w:t>bezpečnosti silničního provozu</w:t>
      </w:r>
      <w:r w:rsidRPr="00A042D7">
        <w:rPr>
          <w:b/>
          <w:color w:val="auto"/>
        </w:rPr>
        <w:t>. NKÚ</w:t>
      </w:r>
      <w:r w:rsidRPr="00D34B08">
        <w:rPr>
          <w:b/>
          <w:color w:val="auto"/>
        </w:rPr>
        <w:t xml:space="preserve"> však shledal nedostatky</w:t>
      </w:r>
      <w:r w:rsidR="00C32FE0">
        <w:rPr>
          <w:b/>
          <w:color w:val="auto"/>
        </w:rPr>
        <w:t xml:space="preserve">, které negativně ovlivnily vynakládání peněžních prostředků z hlediska účelnosti a hospodárnosti. </w:t>
      </w:r>
      <w:r w:rsidRPr="00D34B08">
        <w:rPr>
          <w:b/>
          <w:color w:val="auto"/>
        </w:rPr>
        <w:t>Jako nedostatečnou vyhodnotil NKÚ zejména říd</w:t>
      </w:r>
      <w:r w:rsidR="00677513">
        <w:rPr>
          <w:b/>
          <w:color w:val="auto"/>
        </w:rPr>
        <w:t>i</w:t>
      </w:r>
      <w:r w:rsidRPr="00D34B08">
        <w:rPr>
          <w:b/>
          <w:color w:val="auto"/>
        </w:rPr>
        <w:t xml:space="preserve">cí </w:t>
      </w:r>
      <w:r w:rsidR="00677513">
        <w:rPr>
          <w:b/>
          <w:color w:val="auto"/>
        </w:rPr>
        <w:br/>
      </w:r>
      <w:r w:rsidRPr="00D34B08">
        <w:rPr>
          <w:b/>
          <w:color w:val="auto"/>
        </w:rPr>
        <w:t>a</w:t>
      </w:r>
      <w:r w:rsidR="00677513">
        <w:rPr>
          <w:b/>
          <w:color w:val="auto"/>
        </w:rPr>
        <w:t xml:space="preserve"> </w:t>
      </w:r>
      <w:r w:rsidRPr="00D34B08">
        <w:rPr>
          <w:b/>
          <w:color w:val="auto"/>
        </w:rPr>
        <w:t>kontrolní činnost CSPSD, která vedla k</w:t>
      </w:r>
      <w:r w:rsidR="00677513">
        <w:rPr>
          <w:b/>
          <w:color w:val="auto"/>
        </w:rPr>
        <w:t xml:space="preserve"> </w:t>
      </w:r>
      <w:r w:rsidR="00C32FE0">
        <w:rPr>
          <w:b/>
          <w:color w:val="auto"/>
        </w:rPr>
        <w:t>významnému snížení</w:t>
      </w:r>
      <w:r w:rsidRPr="00D34B08">
        <w:rPr>
          <w:b/>
          <w:color w:val="auto"/>
        </w:rPr>
        <w:t xml:space="preserve"> </w:t>
      </w:r>
      <w:r w:rsidR="00C32FE0">
        <w:rPr>
          <w:b/>
          <w:color w:val="auto"/>
        </w:rPr>
        <w:t>účelnosti a</w:t>
      </w:r>
      <w:r w:rsidR="00344FEE">
        <w:rPr>
          <w:b/>
          <w:color w:val="auto"/>
        </w:rPr>
        <w:t> </w:t>
      </w:r>
      <w:r w:rsidR="00C32FE0">
        <w:rPr>
          <w:b/>
          <w:color w:val="auto"/>
        </w:rPr>
        <w:t>k</w:t>
      </w:r>
      <w:r w:rsidR="00344FEE">
        <w:rPr>
          <w:b/>
          <w:color w:val="auto"/>
        </w:rPr>
        <w:t> </w:t>
      </w:r>
      <w:r w:rsidRPr="00D34B08">
        <w:rPr>
          <w:b/>
          <w:color w:val="auto"/>
        </w:rPr>
        <w:t>nehospodárn</w:t>
      </w:r>
      <w:r w:rsidR="00C32FE0">
        <w:rPr>
          <w:b/>
          <w:color w:val="auto"/>
        </w:rPr>
        <w:t>osti</w:t>
      </w:r>
      <w:r w:rsidRPr="00D34B08">
        <w:rPr>
          <w:b/>
          <w:color w:val="auto"/>
        </w:rPr>
        <w:t xml:space="preserve"> </w:t>
      </w:r>
      <w:r w:rsidR="0019139C">
        <w:rPr>
          <w:b/>
          <w:color w:val="auto"/>
        </w:rPr>
        <w:t>vynakládání</w:t>
      </w:r>
      <w:r w:rsidRPr="00D34B08">
        <w:rPr>
          <w:b/>
          <w:color w:val="auto"/>
        </w:rPr>
        <w:t xml:space="preserve"> peněžních prostředků. </w:t>
      </w:r>
      <w:r w:rsidR="00C32FE0" w:rsidRPr="00C32FE0">
        <w:rPr>
          <w:b/>
          <w:color w:val="auto"/>
        </w:rPr>
        <w:t xml:space="preserve">MD také neuskutečnilo dvě </w:t>
      </w:r>
      <w:r w:rsidR="00A12AD1">
        <w:rPr>
          <w:b/>
          <w:color w:val="auto"/>
        </w:rPr>
        <w:t>aktivity zaměřené na legislativní úpravy</w:t>
      </w:r>
      <w:r w:rsidR="00C32FE0" w:rsidRPr="00C32FE0">
        <w:rPr>
          <w:b/>
          <w:color w:val="auto"/>
        </w:rPr>
        <w:t xml:space="preserve">, ačkoliv samo </w:t>
      </w:r>
      <w:r w:rsidR="00A12AD1">
        <w:rPr>
          <w:b/>
          <w:color w:val="auto"/>
        </w:rPr>
        <w:t xml:space="preserve">předpokládalo </w:t>
      </w:r>
      <w:r w:rsidR="00C32FE0" w:rsidRPr="00C32FE0">
        <w:rPr>
          <w:b/>
          <w:color w:val="auto"/>
        </w:rPr>
        <w:t xml:space="preserve">jejich </w:t>
      </w:r>
      <w:r w:rsidR="000E11F1">
        <w:rPr>
          <w:b/>
          <w:color w:val="auto"/>
        </w:rPr>
        <w:t>přínos pro bezpečnost silničního provozu</w:t>
      </w:r>
      <w:r w:rsidR="00C32FE0" w:rsidRPr="00C32FE0">
        <w:rPr>
          <w:b/>
          <w:color w:val="auto"/>
        </w:rPr>
        <w:t>.</w:t>
      </w:r>
    </w:p>
    <w:p w14:paraId="145CA61B" w14:textId="77777777" w:rsidR="008378ED" w:rsidRPr="009D4B42" w:rsidRDefault="00D34B08" w:rsidP="00D34B08">
      <w:pPr>
        <w:pStyle w:val="JK1"/>
        <w:numPr>
          <w:ilvl w:val="0"/>
          <w:numId w:val="0"/>
        </w:numPr>
        <w:ind w:left="426"/>
        <w:rPr>
          <w:b/>
          <w:color w:val="auto"/>
        </w:rPr>
      </w:pPr>
      <w:r w:rsidRPr="00D34B08">
        <w:rPr>
          <w:b/>
          <w:color w:val="auto"/>
        </w:rPr>
        <w:t xml:space="preserve">NKÚ vyhodnotil jako účelné a hospodárné </w:t>
      </w:r>
      <w:r w:rsidR="0019139C">
        <w:rPr>
          <w:b/>
          <w:color w:val="auto"/>
        </w:rPr>
        <w:t>vynakládání</w:t>
      </w:r>
      <w:r w:rsidRPr="00D34B08">
        <w:rPr>
          <w:b/>
          <w:color w:val="auto"/>
        </w:rPr>
        <w:t xml:space="preserve"> peněžních prostředků ŘSD na činnosti spojené s odstraňováním nepovolených reklamních zařízení a zavádění vybraného dopravního značení. Naopak NKÚ shled</w:t>
      </w:r>
      <w:r w:rsidRPr="00A042D7">
        <w:rPr>
          <w:b/>
          <w:color w:val="auto"/>
        </w:rPr>
        <w:t xml:space="preserve">al nedostatky v činnosti ŘSD </w:t>
      </w:r>
      <w:r w:rsidR="00D106F7" w:rsidRPr="00A042D7">
        <w:rPr>
          <w:b/>
          <w:color w:val="auto"/>
        </w:rPr>
        <w:t>při</w:t>
      </w:r>
      <w:r w:rsidRPr="00A042D7">
        <w:rPr>
          <w:b/>
          <w:color w:val="auto"/>
        </w:rPr>
        <w:t xml:space="preserve"> </w:t>
      </w:r>
      <w:r w:rsidRPr="00A042D7">
        <w:rPr>
          <w:b/>
          <w:color w:val="auto"/>
        </w:rPr>
        <w:lastRenderedPageBreak/>
        <w:t xml:space="preserve">realizaci opatření pro </w:t>
      </w:r>
      <w:r w:rsidR="00A042D7" w:rsidRPr="00A042D7">
        <w:rPr>
          <w:b/>
        </w:rPr>
        <w:t>bezpečnost silničního provozu</w:t>
      </w:r>
      <w:r w:rsidRPr="00A042D7">
        <w:rPr>
          <w:b/>
          <w:color w:val="auto"/>
        </w:rPr>
        <w:t xml:space="preserve"> vyplývajících</w:t>
      </w:r>
      <w:r w:rsidRPr="00D34B08">
        <w:rPr>
          <w:b/>
          <w:color w:val="auto"/>
        </w:rPr>
        <w:t xml:space="preserve"> z auditů bezpečnosti pozemních komunikací, bezpečnostních inspekcí pozemních komunikací a identifikace a řešení nehodových lokalit. Tyto nedostatky snižují účelnost peněžních prostředků</w:t>
      </w:r>
      <w:r w:rsidR="000E11F1">
        <w:rPr>
          <w:b/>
          <w:color w:val="auto"/>
        </w:rPr>
        <w:t xml:space="preserve"> vynaložených na uvedené aktivity</w:t>
      </w:r>
      <w:r w:rsidRPr="00D34B08">
        <w:rPr>
          <w:b/>
          <w:color w:val="auto"/>
        </w:rPr>
        <w:t>.</w:t>
      </w:r>
    </w:p>
    <w:p w14:paraId="415D1F44" w14:textId="77777777" w:rsidR="003003FE" w:rsidRPr="00B511E9" w:rsidRDefault="009C4343" w:rsidP="002250BA">
      <w:pPr>
        <w:pStyle w:val="JK1"/>
        <w:tabs>
          <w:tab w:val="clear" w:pos="567"/>
        </w:tabs>
        <w:ind w:left="425" w:hanging="425"/>
        <w:rPr>
          <w:color w:val="auto"/>
        </w:rPr>
      </w:pPr>
      <w:r w:rsidRPr="009C4343">
        <w:rPr>
          <w:color w:val="auto"/>
        </w:rPr>
        <w:t xml:space="preserve">Toto </w:t>
      </w:r>
      <w:r w:rsidR="00241B9A" w:rsidRPr="009C4343">
        <w:rPr>
          <w:color w:val="auto"/>
        </w:rPr>
        <w:t>celko</w:t>
      </w:r>
      <w:r w:rsidR="00241B9A" w:rsidRPr="00B511E9">
        <w:rPr>
          <w:color w:val="auto"/>
        </w:rPr>
        <w:t>vé zhodnocení se opírá především o následující skutečnosti zjištěné v kontrole</w:t>
      </w:r>
      <w:r w:rsidRPr="00B511E9">
        <w:rPr>
          <w:color w:val="auto"/>
        </w:rPr>
        <w:t>:</w:t>
      </w:r>
    </w:p>
    <w:p w14:paraId="2C855C28" w14:textId="0250B8ED" w:rsidR="00241B9A" w:rsidRPr="00B511E9" w:rsidRDefault="00241B9A" w:rsidP="00335087">
      <w:pPr>
        <w:pStyle w:val="JK1"/>
        <w:numPr>
          <w:ilvl w:val="0"/>
          <w:numId w:val="7"/>
        </w:numPr>
        <w:ind w:left="851" w:hanging="425"/>
        <w:rPr>
          <w:color w:val="auto"/>
        </w:rPr>
      </w:pPr>
      <w:r w:rsidRPr="00B511E9">
        <w:rPr>
          <w:color w:val="auto"/>
        </w:rPr>
        <w:t xml:space="preserve">Od roku </w:t>
      </w:r>
      <w:r w:rsidR="00085A35" w:rsidRPr="00B511E9">
        <w:rPr>
          <w:color w:val="auto"/>
        </w:rPr>
        <w:t>201</w:t>
      </w:r>
      <w:r w:rsidR="00085A35">
        <w:rPr>
          <w:color w:val="auto"/>
        </w:rPr>
        <w:t>1</w:t>
      </w:r>
      <w:r w:rsidR="00085A35" w:rsidRPr="00B511E9">
        <w:rPr>
          <w:color w:val="auto"/>
        </w:rPr>
        <w:t xml:space="preserve"> </w:t>
      </w:r>
      <w:r w:rsidRPr="00B511E9">
        <w:rPr>
          <w:color w:val="auto"/>
        </w:rPr>
        <w:t>do</w:t>
      </w:r>
      <w:r w:rsidR="00677513">
        <w:rPr>
          <w:color w:val="auto"/>
        </w:rPr>
        <w:t>šlo</w:t>
      </w:r>
      <w:r w:rsidRPr="00B511E9">
        <w:rPr>
          <w:color w:val="auto"/>
        </w:rPr>
        <w:t xml:space="preserve"> v</w:t>
      </w:r>
      <w:r w:rsidR="00186DDC">
        <w:rPr>
          <w:color w:val="auto"/>
        </w:rPr>
        <w:t xml:space="preserve"> </w:t>
      </w:r>
      <w:r w:rsidRPr="00B511E9">
        <w:rPr>
          <w:color w:val="auto"/>
        </w:rPr>
        <w:t>ČR</w:t>
      </w:r>
      <w:r w:rsidR="00CA16B6">
        <w:rPr>
          <w:color w:val="auto"/>
        </w:rPr>
        <w:t xml:space="preserve"> dle statistiky</w:t>
      </w:r>
      <w:r w:rsidRPr="00B511E9">
        <w:rPr>
          <w:color w:val="auto"/>
        </w:rPr>
        <w:t xml:space="preserve"> ke zlepšení </w:t>
      </w:r>
      <w:r w:rsidR="000E11F1">
        <w:rPr>
          <w:color w:val="auto"/>
        </w:rPr>
        <w:t xml:space="preserve">bilance </w:t>
      </w:r>
      <w:r w:rsidRPr="00B511E9">
        <w:rPr>
          <w:color w:val="auto"/>
        </w:rPr>
        <w:t>závažných následků dopravních nehod</w:t>
      </w:r>
      <w:r w:rsidR="00677513">
        <w:rPr>
          <w:color w:val="auto"/>
        </w:rPr>
        <w:t>;</w:t>
      </w:r>
      <w:r w:rsidRPr="00B511E9">
        <w:rPr>
          <w:color w:val="auto"/>
        </w:rPr>
        <w:t xml:space="preserve"> počet osob usmrcených při dopravních nehodách </w:t>
      </w:r>
      <w:r w:rsidR="000E11F1">
        <w:rPr>
          <w:color w:val="auto"/>
        </w:rPr>
        <w:t xml:space="preserve">klesl </w:t>
      </w:r>
      <w:r w:rsidR="00085A35">
        <w:rPr>
          <w:color w:val="auto"/>
        </w:rPr>
        <w:t>v</w:t>
      </w:r>
      <w:r w:rsidR="00172E0F">
        <w:rPr>
          <w:color w:val="auto"/>
        </w:rPr>
        <w:t xml:space="preserve"> </w:t>
      </w:r>
      <w:r w:rsidR="00085A35">
        <w:rPr>
          <w:color w:val="auto"/>
        </w:rPr>
        <w:t>roce 2022 oproti roku 2011</w:t>
      </w:r>
      <w:r w:rsidRPr="00B511E9">
        <w:rPr>
          <w:color w:val="auto"/>
        </w:rPr>
        <w:t xml:space="preserve"> o </w:t>
      </w:r>
      <w:r w:rsidR="00A55C67">
        <w:rPr>
          <w:color w:val="auto"/>
        </w:rPr>
        <w:t>253</w:t>
      </w:r>
      <w:r w:rsidRPr="00B511E9">
        <w:rPr>
          <w:color w:val="auto"/>
        </w:rPr>
        <w:t xml:space="preserve"> osob, tj. o </w:t>
      </w:r>
      <w:r w:rsidR="00A55C67">
        <w:rPr>
          <w:color w:val="auto"/>
        </w:rPr>
        <w:t>35,8</w:t>
      </w:r>
      <w:r w:rsidRPr="00B511E9">
        <w:rPr>
          <w:color w:val="auto"/>
        </w:rPr>
        <w:t xml:space="preserve"> %, počet těžce zraněných osob pak ve stejném období klesl o </w:t>
      </w:r>
      <w:r w:rsidR="00A55C67">
        <w:rPr>
          <w:color w:val="auto"/>
        </w:rPr>
        <w:t>1 358</w:t>
      </w:r>
      <w:r w:rsidRPr="00B511E9">
        <w:rPr>
          <w:color w:val="auto"/>
        </w:rPr>
        <w:t xml:space="preserve"> osob, tj. o </w:t>
      </w:r>
      <w:r w:rsidR="00A55C67">
        <w:rPr>
          <w:color w:val="auto"/>
        </w:rPr>
        <w:t>43,9</w:t>
      </w:r>
      <w:r w:rsidRPr="00B511E9">
        <w:rPr>
          <w:color w:val="auto"/>
        </w:rPr>
        <w:t xml:space="preserve"> % (viz odst. 4.2 a</w:t>
      </w:r>
      <w:r w:rsidR="00421D63">
        <w:rPr>
          <w:color w:val="auto"/>
        </w:rPr>
        <w:t>ž</w:t>
      </w:r>
      <w:r w:rsidRPr="00B511E9">
        <w:rPr>
          <w:color w:val="auto"/>
        </w:rPr>
        <w:t xml:space="preserve"> 4.</w:t>
      </w:r>
      <w:r w:rsidR="00421D63">
        <w:rPr>
          <w:color w:val="auto"/>
        </w:rPr>
        <w:t>4</w:t>
      </w:r>
      <w:r w:rsidRPr="00B511E9">
        <w:rPr>
          <w:color w:val="auto"/>
        </w:rPr>
        <w:t>).</w:t>
      </w:r>
    </w:p>
    <w:p w14:paraId="132D25F4" w14:textId="00970AC7" w:rsidR="00241B9A" w:rsidRPr="00B511E9" w:rsidRDefault="00A55C67" w:rsidP="00335087">
      <w:pPr>
        <w:pStyle w:val="JK1"/>
        <w:numPr>
          <w:ilvl w:val="0"/>
          <w:numId w:val="7"/>
        </w:numPr>
        <w:ind w:left="851" w:hanging="425"/>
        <w:rPr>
          <w:color w:val="auto"/>
        </w:rPr>
      </w:pPr>
      <w:r>
        <w:rPr>
          <w:color w:val="auto"/>
        </w:rPr>
        <w:t>I přes uveden</w:t>
      </w:r>
      <w:r w:rsidR="00066581">
        <w:rPr>
          <w:color w:val="auto"/>
        </w:rPr>
        <w:t>é</w:t>
      </w:r>
      <w:r>
        <w:rPr>
          <w:color w:val="auto"/>
        </w:rPr>
        <w:t xml:space="preserve"> zlepšení se však</w:t>
      </w:r>
      <w:r w:rsidR="00241B9A" w:rsidRPr="00B511E9">
        <w:rPr>
          <w:color w:val="auto"/>
        </w:rPr>
        <w:t xml:space="preserve"> </w:t>
      </w:r>
      <w:r w:rsidR="00CA16B6">
        <w:rPr>
          <w:color w:val="auto"/>
        </w:rPr>
        <w:t xml:space="preserve">cíl </w:t>
      </w:r>
      <w:r w:rsidR="00241B9A" w:rsidRPr="00B511E9">
        <w:rPr>
          <w:color w:val="auto"/>
        </w:rPr>
        <w:t xml:space="preserve">snižování počtu usmrcených a těžce zraněných na </w:t>
      </w:r>
      <w:r w:rsidR="000E11F1">
        <w:rPr>
          <w:color w:val="auto"/>
        </w:rPr>
        <w:t>pozemních komunikacích</w:t>
      </w:r>
      <w:r w:rsidR="000E11F1" w:rsidRPr="00B511E9">
        <w:rPr>
          <w:color w:val="auto"/>
        </w:rPr>
        <w:t xml:space="preserve"> </w:t>
      </w:r>
      <w:r w:rsidR="00241B9A" w:rsidRPr="00B511E9">
        <w:rPr>
          <w:color w:val="auto"/>
        </w:rPr>
        <w:t>v ČR na stanovenou úroveň v</w:t>
      </w:r>
      <w:r w:rsidR="00856964">
        <w:rPr>
          <w:color w:val="auto"/>
        </w:rPr>
        <w:t>e strategickém</w:t>
      </w:r>
      <w:r w:rsidR="00241B9A" w:rsidRPr="00B511E9">
        <w:rPr>
          <w:color w:val="auto"/>
        </w:rPr>
        <w:t xml:space="preserve"> období </w:t>
      </w:r>
      <w:r w:rsidR="00C07A89" w:rsidRPr="00B511E9">
        <w:rPr>
          <w:color w:val="auto"/>
        </w:rPr>
        <w:t>201</w:t>
      </w:r>
      <w:r w:rsidR="00C07A89">
        <w:rPr>
          <w:color w:val="auto"/>
        </w:rPr>
        <w:t>1</w:t>
      </w:r>
      <w:r w:rsidR="00C07A89" w:rsidRPr="00B511E9">
        <w:rPr>
          <w:color w:val="auto"/>
        </w:rPr>
        <w:t xml:space="preserve"> </w:t>
      </w:r>
      <w:r w:rsidR="00241B9A" w:rsidRPr="00B511E9">
        <w:rPr>
          <w:color w:val="auto"/>
        </w:rPr>
        <w:t xml:space="preserve">až 2020 dařilo plnit jen částečně. Zatímco </w:t>
      </w:r>
      <w:r w:rsidR="00234D08">
        <w:rPr>
          <w:color w:val="auto"/>
        </w:rPr>
        <w:t xml:space="preserve">došlo ke </w:t>
      </w:r>
      <w:r w:rsidR="00241B9A" w:rsidRPr="00B511E9">
        <w:rPr>
          <w:color w:val="auto"/>
        </w:rPr>
        <w:t>sníž</w:t>
      </w:r>
      <w:r w:rsidR="00234D08">
        <w:rPr>
          <w:color w:val="auto"/>
        </w:rPr>
        <w:t>ení</w:t>
      </w:r>
      <w:r w:rsidR="00241B9A" w:rsidRPr="00B511E9">
        <w:rPr>
          <w:color w:val="auto"/>
        </w:rPr>
        <w:t xml:space="preserve"> počt</w:t>
      </w:r>
      <w:r w:rsidR="00234D08">
        <w:rPr>
          <w:color w:val="auto"/>
        </w:rPr>
        <w:t>u</w:t>
      </w:r>
      <w:r w:rsidR="00241B9A" w:rsidRPr="00B511E9">
        <w:rPr>
          <w:color w:val="auto"/>
        </w:rPr>
        <w:t xml:space="preserve"> osob těžce zraněných pod požadovanou úroveň, počet usmrcených v</w:t>
      </w:r>
      <w:r w:rsidR="00856964">
        <w:rPr>
          <w:color w:val="auto"/>
        </w:rPr>
        <w:t xml:space="preserve"> </w:t>
      </w:r>
      <w:r w:rsidR="00241B9A" w:rsidRPr="00B511E9">
        <w:rPr>
          <w:color w:val="auto"/>
        </w:rPr>
        <w:t xml:space="preserve">roce 2020 byl </w:t>
      </w:r>
      <w:r w:rsidR="00234D08">
        <w:rPr>
          <w:color w:val="auto"/>
        </w:rPr>
        <w:t xml:space="preserve">naopak </w:t>
      </w:r>
      <w:r w:rsidR="00241B9A" w:rsidRPr="00B511E9">
        <w:rPr>
          <w:color w:val="auto"/>
        </w:rPr>
        <w:t xml:space="preserve">o 38,1 % </w:t>
      </w:r>
      <w:r w:rsidR="00085A35">
        <w:rPr>
          <w:color w:val="auto"/>
        </w:rPr>
        <w:t>(</w:t>
      </w:r>
      <w:r w:rsidR="00856964">
        <w:rPr>
          <w:color w:val="auto"/>
        </w:rPr>
        <w:t>tj.</w:t>
      </w:r>
      <w:r w:rsidR="0003748F">
        <w:rPr>
          <w:color w:val="auto"/>
        </w:rPr>
        <w:t> </w:t>
      </w:r>
      <w:r w:rsidR="00085A35">
        <w:rPr>
          <w:color w:val="auto"/>
        </w:rPr>
        <w:t>o</w:t>
      </w:r>
      <w:r w:rsidR="001524C4">
        <w:rPr>
          <w:color w:val="auto"/>
        </w:rPr>
        <w:t> </w:t>
      </w:r>
      <w:r w:rsidR="00085A35">
        <w:rPr>
          <w:color w:val="auto"/>
        </w:rPr>
        <w:t xml:space="preserve">127 osob) </w:t>
      </w:r>
      <w:r w:rsidR="00856964" w:rsidRPr="00B511E9">
        <w:rPr>
          <w:color w:val="auto"/>
        </w:rPr>
        <w:t>vyšší</w:t>
      </w:r>
      <w:r w:rsidR="00856964">
        <w:rPr>
          <w:color w:val="auto"/>
        </w:rPr>
        <w:t xml:space="preserve"> </w:t>
      </w:r>
      <w:r w:rsidR="00085A35">
        <w:rPr>
          <w:color w:val="auto"/>
        </w:rPr>
        <w:t xml:space="preserve">než </w:t>
      </w:r>
      <w:r w:rsidR="00856964">
        <w:rPr>
          <w:color w:val="auto"/>
        </w:rPr>
        <w:t>stanoven</w:t>
      </w:r>
      <w:r w:rsidR="00785398">
        <w:rPr>
          <w:color w:val="auto"/>
        </w:rPr>
        <w:t>ý</w:t>
      </w:r>
      <w:r w:rsidR="00856964">
        <w:rPr>
          <w:color w:val="auto"/>
        </w:rPr>
        <w:t xml:space="preserve"> cíl</w:t>
      </w:r>
      <w:r w:rsidR="000E11F1">
        <w:rPr>
          <w:color w:val="auto"/>
        </w:rPr>
        <w:t xml:space="preserve"> </w:t>
      </w:r>
      <w:r w:rsidR="00085A35">
        <w:rPr>
          <w:color w:val="auto"/>
        </w:rPr>
        <w:t xml:space="preserve">pro </w:t>
      </w:r>
      <w:r w:rsidR="00856964">
        <w:rPr>
          <w:color w:val="auto"/>
        </w:rPr>
        <w:t xml:space="preserve">tento </w:t>
      </w:r>
      <w:r w:rsidR="00085A35">
        <w:rPr>
          <w:color w:val="auto"/>
        </w:rPr>
        <w:t>rok</w:t>
      </w:r>
      <w:r w:rsidR="00241B9A" w:rsidRPr="00B511E9">
        <w:rPr>
          <w:color w:val="auto"/>
        </w:rPr>
        <w:t>. A to i navzdory skutečnosti, že intenzita silničního provozu</w:t>
      </w:r>
      <w:r w:rsidR="00640578">
        <w:rPr>
          <w:color w:val="auto"/>
        </w:rPr>
        <w:t>,</w:t>
      </w:r>
      <w:r w:rsidR="00241B9A" w:rsidRPr="00B511E9">
        <w:rPr>
          <w:color w:val="auto"/>
        </w:rPr>
        <w:t xml:space="preserve"> a tedy i</w:t>
      </w:r>
      <w:r w:rsidR="00677513">
        <w:rPr>
          <w:color w:val="auto"/>
        </w:rPr>
        <w:t xml:space="preserve"> </w:t>
      </w:r>
      <w:r w:rsidR="00241B9A" w:rsidRPr="00B511E9">
        <w:rPr>
          <w:color w:val="auto"/>
        </w:rPr>
        <w:t xml:space="preserve">nehodovost byly v cílovém roce 2020 nižší vzhledem k </w:t>
      </w:r>
      <w:r w:rsidR="00677513">
        <w:rPr>
          <w:color w:val="auto"/>
        </w:rPr>
        <w:t>dopadům</w:t>
      </w:r>
      <w:r w:rsidR="00241B9A" w:rsidRPr="00B511E9">
        <w:rPr>
          <w:color w:val="auto"/>
        </w:rPr>
        <w:t xml:space="preserve"> pandemi</w:t>
      </w:r>
      <w:r w:rsidR="00677513">
        <w:rPr>
          <w:color w:val="auto"/>
        </w:rPr>
        <w:t>e</w:t>
      </w:r>
      <w:r w:rsidR="006F099F">
        <w:rPr>
          <w:color w:val="auto"/>
        </w:rPr>
        <w:t xml:space="preserve"> </w:t>
      </w:r>
      <w:r w:rsidR="00241B9A" w:rsidRPr="00B511E9">
        <w:rPr>
          <w:color w:val="auto"/>
        </w:rPr>
        <w:t>covid</w:t>
      </w:r>
      <w:r w:rsidR="00677513">
        <w:rPr>
          <w:color w:val="auto"/>
        </w:rPr>
        <w:t>u</w:t>
      </w:r>
      <w:r w:rsidR="00241B9A" w:rsidRPr="00B511E9">
        <w:rPr>
          <w:color w:val="auto"/>
        </w:rPr>
        <w:t>-19 a s ní spojený</w:t>
      </w:r>
      <w:r w:rsidR="00677513">
        <w:rPr>
          <w:color w:val="auto"/>
        </w:rPr>
        <w:t>ch</w:t>
      </w:r>
      <w:r w:rsidR="00241B9A" w:rsidRPr="00B511E9">
        <w:rPr>
          <w:color w:val="auto"/>
        </w:rPr>
        <w:t xml:space="preserve"> restriktivní</w:t>
      </w:r>
      <w:r w:rsidR="00677513">
        <w:rPr>
          <w:color w:val="auto"/>
        </w:rPr>
        <w:t>ch</w:t>
      </w:r>
      <w:r w:rsidR="00241B9A" w:rsidRPr="00B511E9">
        <w:rPr>
          <w:color w:val="auto"/>
        </w:rPr>
        <w:t xml:space="preserve"> opatření. Pokud jde o následující strategické období</w:t>
      </w:r>
      <w:r w:rsidR="00856964">
        <w:rPr>
          <w:color w:val="auto"/>
        </w:rPr>
        <w:t xml:space="preserve"> 2021 až 2030</w:t>
      </w:r>
      <w:r w:rsidR="00241B9A" w:rsidRPr="00B511E9">
        <w:rPr>
          <w:color w:val="auto"/>
        </w:rPr>
        <w:t xml:space="preserve">, zatímco v letech 2021 a 2022 se dařilo plnit stanovené milníky ve zmíněných dvou ukazatelích, podle predikce NKÚ to v případě počtu usmrcených </w:t>
      </w:r>
      <w:r w:rsidR="00AC57BA">
        <w:rPr>
          <w:color w:val="auto"/>
        </w:rPr>
        <w:t xml:space="preserve">již </w:t>
      </w:r>
      <w:r w:rsidR="00241B9A" w:rsidRPr="00B511E9">
        <w:rPr>
          <w:color w:val="auto"/>
        </w:rPr>
        <w:t xml:space="preserve">v roce 2023 není na základě dostupných dat za první pololetí roku pravděpodobné. Stejně tak </w:t>
      </w:r>
      <w:r w:rsidR="0003748F" w:rsidRPr="00B511E9">
        <w:rPr>
          <w:color w:val="auto"/>
        </w:rPr>
        <w:t xml:space="preserve">NKÚ </w:t>
      </w:r>
      <w:r w:rsidR="00241B9A" w:rsidRPr="00B511E9">
        <w:rPr>
          <w:color w:val="auto"/>
        </w:rPr>
        <w:t xml:space="preserve">nepovažuje za </w:t>
      </w:r>
      <w:r w:rsidR="006F0B92">
        <w:rPr>
          <w:color w:val="auto"/>
        </w:rPr>
        <w:t xml:space="preserve">příliš </w:t>
      </w:r>
      <w:r w:rsidR="00241B9A" w:rsidRPr="00B511E9">
        <w:rPr>
          <w:color w:val="auto"/>
        </w:rPr>
        <w:t>pravděpodobné splnění strategického ukazatele ve snížení počtu usmrcených v</w:t>
      </w:r>
      <w:r w:rsidR="001524C4">
        <w:rPr>
          <w:color w:val="auto"/>
        </w:rPr>
        <w:t> </w:t>
      </w:r>
      <w:r w:rsidR="00241B9A" w:rsidRPr="00B511E9">
        <w:rPr>
          <w:color w:val="auto"/>
        </w:rPr>
        <w:t>cílovém roce 2030 na polovinu oproti průměru let 2017 až 2019 (viz odst. 4.</w:t>
      </w:r>
      <w:r w:rsidR="00421D63">
        <w:rPr>
          <w:color w:val="auto"/>
        </w:rPr>
        <w:t>5</w:t>
      </w:r>
      <w:r w:rsidR="00241B9A" w:rsidRPr="00B511E9">
        <w:rPr>
          <w:color w:val="auto"/>
        </w:rPr>
        <w:t xml:space="preserve"> až</w:t>
      </w:r>
      <w:r w:rsidR="00186DDC">
        <w:rPr>
          <w:color w:val="auto"/>
        </w:rPr>
        <w:t> </w:t>
      </w:r>
      <w:r w:rsidR="00241B9A" w:rsidRPr="00B511E9">
        <w:rPr>
          <w:color w:val="auto"/>
        </w:rPr>
        <w:t>4.1</w:t>
      </w:r>
      <w:r w:rsidR="00507C06">
        <w:rPr>
          <w:color w:val="auto"/>
        </w:rPr>
        <w:t>2</w:t>
      </w:r>
      <w:r w:rsidR="00241B9A" w:rsidRPr="00B511E9">
        <w:rPr>
          <w:color w:val="auto"/>
        </w:rPr>
        <w:t xml:space="preserve">). </w:t>
      </w:r>
    </w:p>
    <w:p w14:paraId="4615B6B1" w14:textId="77777777" w:rsidR="00241B9A" w:rsidRPr="00B511E9" w:rsidRDefault="00241B9A" w:rsidP="00335087">
      <w:pPr>
        <w:pStyle w:val="JK1"/>
        <w:numPr>
          <w:ilvl w:val="0"/>
          <w:numId w:val="7"/>
        </w:numPr>
        <w:ind w:left="851" w:hanging="425"/>
        <w:rPr>
          <w:color w:val="auto"/>
        </w:rPr>
      </w:pPr>
      <w:r w:rsidRPr="00B511E9">
        <w:rPr>
          <w:color w:val="auto"/>
        </w:rPr>
        <w:t xml:space="preserve">NKÚ zjistil, že MD aktivity akčních plánů k plnění strategií </w:t>
      </w:r>
      <w:r w:rsidR="00A042D7">
        <w:rPr>
          <w:color w:val="auto"/>
        </w:rPr>
        <w:t xml:space="preserve">v oblasti </w:t>
      </w:r>
      <w:r w:rsidR="00A042D7">
        <w:t>bezpečnosti silničního provozu</w:t>
      </w:r>
      <w:r w:rsidRPr="00B511E9">
        <w:rPr>
          <w:color w:val="auto"/>
        </w:rPr>
        <w:t xml:space="preserve"> v období </w:t>
      </w:r>
      <w:r w:rsidR="00F77EFE" w:rsidRPr="00B511E9">
        <w:rPr>
          <w:color w:val="auto"/>
        </w:rPr>
        <w:t>201</w:t>
      </w:r>
      <w:r w:rsidR="00F77EFE">
        <w:rPr>
          <w:color w:val="auto"/>
        </w:rPr>
        <w:t>1</w:t>
      </w:r>
      <w:r w:rsidR="00F77EFE" w:rsidRPr="00B511E9">
        <w:rPr>
          <w:color w:val="auto"/>
        </w:rPr>
        <w:t xml:space="preserve"> </w:t>
      </w:r>
      <w:r w:rsidRPr="00B511E9">
        <w:rPr>
          <w:color w:val="auto"/>
        </w:rPr>
        <w:t xml:space="preserve">až 2024 nenastavilo způsobem, který by umožňoval účinný monitoring a hodnocení jejich plnění. V případě akčního plánu na období </w:t>
      </w:r>
      <w:r w:rsidR="00C07A89" w:rsidRPr="00B511E9">
        <w:rPr>
          <w:color w:val="auto"/>
        </w:rPr>
        <w:t>201</w:t>
      </w:r>
      <w:r w:rsidR="00C07A89">
        <w:rPr>
          <w:color w:val="auto"/>
        </w:rPr>
        <w:t>1</w:t>
      </w:r>
      <w:r w:rsidR="00C07A89" w:rsidRPr="00B511E9">
        <w:rPr>
          <w:color w:val="auto"/>
        </w:rPr>
        <w:t xml:space="preserve"> </w:t>
      </w:r>
      <w:r w:rsidRPr="00B511E9">
        <w:rPr>
          <w:color w:val="auto"/>
        </w:rPr>
        <w:t xml:space="preserve">až 2020 nestanovilo </w:t>
      </w:r>
      <w:r w:rsidR="00066581">
        <w:rPr>
          <w:color w:val="auto"/>
        </w:rPr>
        <w:t xml:space="preserve">MD </w:t>
      </w:r>
      <w:r w:rsidR="00066581" w:rsidRPr="00B511E9">
        <w:rPr>
          <w:color w:val="auto"/>
        </w:rPr>
        <w:t xml:space="preserve">u 68 % aktivit </w:t>
      </w:r>
      <w:r w:rsidRPr="00B511E9">
        <w:rPr>
          <w:color w:val="auto"/>
        </w:rPr>
        <w:t xml:space="preserve">měřitelné ukazatele, podle kterých by mohlo hodnotit splnění dané aktivity. NKÚ považuje za </w:t>
      </w:r>
      <w:r w:rsidR="00507C06">
        <w:rPr>
          <w:color w:val="auto"/>
        </w:rPr>
        <w:t>vhodné</w:t>
      </w:r>
      <w:r w:rsidRPr="00B511E9">
        <w:rPr>
          <w:color w:val="auto"/>
        </w:rPr>
        <w:t>, že v dalším strategickém období připravuje MD již jen dvouleté akční plány a že jednotlivé jejich aktivity již mají měřitelné ukazatele. Na druh</w:t>
      </w:r>
      <w:r w:rsidR="0003748F">
        <w:rPr>
          <w:color w:val="auto"/>
        </w:rPr>
        <w:t>ou</w:t>
      </w:r>
      <w:r w:rsidRPr="00B511E9">
        <w:rPr>
          <w:color w:val="auto"/>
        </w:rPr>
        <w:t xml:space="preserve"> stran</w:t>
      </w:r>
      <w:r w:rsidR="0003748F">
        <w:rPr>
          <w:color w:val="auto"/>
        </w:rPr>
        <w:t>u</w:t>
      </w:r>
      <w:r w:rsidRPr="00B511E9">
        <w:rPr>
          <w:color w:val="auto"/>
        </w:rPr>
        <w:t xml:space="preserve"> ani v tomto období nebyla u všech z nich stanovena cílová hodnota, které je třeba dosáhnout, </w:t>
      </w:r>
      <w:r w:rsidR="006F099F" w:rsidRPr="00E7571D">
        <w:rPr>
          <w:rFonts w:asciiTheme="minorHAnsi" w:hAnsiTheme="minorHAnsi" w:cstheme="minorHAnsi"/>
          <w:bCs/>
          <w:color w:val="auto"/>
        </w:rPr>
        <w:t xml:space="preserve">aby peněžní prostředky vynaložené na tyto aktivity bylo možné hodnotit </w:t>
      </w:r>
      <w:r w:rsidR="006F0B92">
        <w:rPr>
          <w:rFonts w:asciiTheme="minorHAnsi" w:hAnsiTheme="minorHAnsi" w:cstheme="minorHAnsi"/>
          <w:bCs/>
          <w:color w:val="auto"/>
        </w:rPr>
        <w:t>z hlediska účelnosti</w:t>
      </w:r>
      <w:r w:rsidR="006F099F" w:rsidRPr="00E7571D">
        <w:rPr>
          <w:color w:val="auto"/>
        </w:rPr>
        <w:t>; např. v akčním plánu na období 2023–2024 NKÚ</w:t>
      </w:r>
      <w:r w:rsidR="006F099F" w:rsidRPr="00E7571D" w:rsidDel="006F099F">
        <w:rPr>
          <w:color w:val="auto"/>
        </w:rPr>
        <w:t xml:space="preserve"> </w:t>
      </w:r>
      <w:r w:rsidRPr="00E7571D">
        <w:rPr>
          <w:color w:val="auto"/>
        </w:rPr>
        <w:t>zjistil takto nedostatečné nasta</w:t>
      </w:r>
      <w:r w:rsidRPr="00B511E9">
        <w:rPr>
          <w:color w:val="auto"/>
        </w:rPr>
        <w:t>vení u poloviny ze všech aktivit (viz odst. 4.1</w:t>
      </w:r>
      <w:r w:rsidR="00507C06">
        <w:rPr>
          <w:color w:val="auto"/>
        </w:rPr>
        <w:t>3</w:t>
      </w:r>
      <w:r w:rsidRPr="00B511E9">
        <w:rPr>
          <w:color w:val="auto"/>
        </w:rPr>
        <w:t xml:space="preserve"> až 4.2</w:t>
      </w:r>
      <w:r w:rsidR="00507C06">
        <w:rPr>
          <w:color w:val="auto"/>
        </w:rPr>
        <w:t>1</w:t>
      </w:r>
      <w:r w:rsidRPr="00B511E9">
        <w:rPr>
          <w:color w:val="auto"/>
        </w:rPr>
        <w:t>).</w:t>
      </w:r>
    </w:p>
    <w:p w14:paraId="4A0E6EDB" w14:textId="77777777" w:rsidR="00241B9A" w:rsidRPr="00B511E9" w:rsidRDefault="00241B9A" w:rsidP="00335087">
      <w:pPr>
        <w:pStyle w:val="JK1"/>
        <w:numPr>
          <w:ilvl w:val="0"/>
          <w:numId w:val="7"/>
        </w:numPr>
        <w:ind w:left="851" w:hanging="425"/>
        <w:rPr>
          <w:color w:val="auto"/>
        </w:rPr>
      </w:pPr>
      <w:r w:rsidRPr="00B511E9">
        <w:rPr>
          <w:color w:val="auto"/>
        </w:rPr>
        <w:t xml:space="preserve">MD do akčních plánů zařadilo také </w:t>
      </w:r>
      <w:r w:rsidR="006F0B92">
        <w:rPr>
          <w:color w:val="auto"/>
        </w:rPr>
        <w:t xml:space="preserve">své </w:t>
      </w:r>
      <w:r w:rsidRPr="00B511E9">
        <w:rPr>
          <w:color w:val="auto"/>
        </w:rPr>
        <w:t>aktivity zaměřené na legislativní úpravy s</w:t>
      </w:r>
      <w:r w:rsidR="00DA2AA4">
        <w:rPr>
          <w:color w:val="auto"/>
        </w:rPr>
        <w:t> </w:t>
      </w:r>
      <w:r w:rsidRPr="00B511E9">
        <w:rPr>
          <w:color w:val="auto"/>
        </w:rPr>
        <w:t xml:space="preserve">potenciálem přispět k plnění strategických cílů </w:t>
      </w:r>
      <w:r w:rsidR="006F099F" w:rsidRPr="00B511E9">
        <w:rPr>
          <w:color w:val="auto"/>
        </w:rPr>
        <w:t xml:space="preserve">a </w:t>
      </w:r>
      <w:r w:rsidR="006F099F">
        <w:rPr>
          <w:color w:val="auto"/>
        </w:rPr>
        <w:t>zvýšení</w:t>
      </w:r>
      <w:r w:rsidR="006F099F" w:rsidRPr="00B511E9">
        <w:rPr>
          <w:color w:val="auto"/>
        </w:rPr>
        <w:t xml:space="preserve"> </w:t>
      </w:r>
      <w:r w:rsidR="006F099F">
        <w:rPr>
          <w:color w:val="auto"/>
        </w:rPr>
        <w:t>bezpečnosti silničního provozu</w:t>
      </w:r>
      <w:r w:rsidRPr="00B511E9">
        <w:rPr>
          <w:color w:val="auto"/>
        </w:rPr>
        <w:t>. NKÚ zjistil, že ve dvou případech MD ustoupilo od realizace takových aktivit</w:t>
      </w:r>
      <w:r w:rsidR="001F4A6F">
        <w:rPr>
          <w:color w:val="auto"/>
        </w:rPr>
        <w:t xml:space="preserve"> a navíc</w:t>
      </w:r>
      <w:r w:rsidRPr="00B511E9">
        <w:rPr>
          <w:color w:val="auto"/>
        </w:rPr>
        <w:t xml:space="preserve"> takový krok dostatečně a přesvědčivě </w:t>
      </w:r>
      <w:r w:rsidR="00066581">
        <w:rPr>
          <w:color w:val="auto"/>
        </w:rPr>
        <w:t>ne</w:t>
      </w:r>
      <w:r w:rsidRPr="00B511E9">
        <w:rPr>
          <w:color w:val="auto"/>
        </w:rPr>
        <w:t xml:space="preserve">zdůvodnilo. Jedná se o povinné používání přileb pro cyklisty bez ohledu na věk a zavedení alkolocku jako účinného technického řešení pro zamezení jízdy pod vlivem alkoholu, zvláště u profesionálních a recidivujících řidičů. Obě tato opatření přitom samo MD vyhodnotilo ve strategických dokumentech jako účinná ke snížení počtu usmrcených a těžce zraněných na </w:t>
      </w:r>
      <w:r w:rsidR="006F099F">
        <w:rPr>
          <w:color w:val="auto"/>
        </w:rPr>
        <w:t>pozemních komunikacích</w:t>
      </w:r>
      <w:r w:rsidR="006F099F" w:rsidRPr="00B511E9">
        <w:rPr>
          <w:color w:val="auto"/>
        </w:rPr>
        <w:t xml:space="preserve"> </w:t>
      </w:r>
      <w:r w:rsidRPr="00B511E9">
        <w:rPr>
          <w:color w:val="auto"/>
        </w:rPr>
        <w:t>(viz odst. 4.2</w:t>
      </w:r>
      <w:r w:rsidR="00507C06">
        <w:rPr>
          <w:color w:val="auto"/>
        </w:rPr>
        <w:t>2</w:t>
      </w:r>
      <w:r w:rsidRPr="00B511E9">
        <w:rPr>
          <w:color w:val="auto"/>
        </w:rPr>
        <w:t xml:space="preserve"> až 4.2</w:t>
      </w:r>
      <w:r w:rsidR="00507C06">
        <w:rPr>
          <w:color w:val="auto"/>
        </w:rPr>
        <w:t>5</w:t>
      </w:r>
      <w:r w:rsidRPr="00B511E9">
        <w:rPr>
          <w:color w:val="auto"/>
        </w:rPr>
        <w:t>).</w:t>
      </w:r>
    </w:p>
    <w:p w14:paraId="26BF9722" w14:textId="77777777" w:rsidR="00241B9A" w:rsidRPr="00B511E9" w:rsidRDefault="00241B9A" w:rsidP="00335087">
      <w:pPr>
        <w:pStyle w:val="JK1"/>
        <w:numPr>
          <w:ilvl w:val="0"/>
          <w:numId w:val="7"/>
        </w:numPr>
        <w:ind w:left="851" w:hanging="425"/>
        <w:rPr>
          <w:color w:val="auto"/>
        </w:rPr>
      </w:pPr>
      <w:r w:rsidRPr="00B511E9">
        <w:rPr>
          <w:color w:val="auto"/>
        </w:rPr>
        <w:t>MD nestanovilo pro jednotlivé preventivně informační ak</w:t>
      </w:r>
      <w:r w:rsidR="009F6FA2">
        <w:rPr>
          <w:color w:val="auto"/>
        </w:rPr>
        <w:t>tivity</w:t>
      </w:r>
      <w:r w:rsidRPr="00B511E9">
        <w:rPr>
          <w:color w:val="auto"/>
        </w:rPr>
        <w:t xml:space="preserve"> </w:t>
      </w:r>
      <w:r w:rsidR="00906D4E">
        <w:rPr>
          <w:color w:val="auto"/>
        </w:rPr>
        <w:t>a</w:t>
      </w:r>
      <w:r w:rsidR="00906D4E" w:rsidRPr="00B511E9">
        <w:rPr>
          <w:color w:val="auto"/>
        </w:rPr>
        <w:t xml:space="preserve"> </w:t>
      </w:r>
      <w:r w:rsidRPr="00B511E9">
        <w:rPr>
          <w:color w:val="auto"/>
        </w:rPr>
        <w:t>kampaně vždy jednoznačná a měřitelná kritéria hodnocení jejich splnění</w:t>
      </w:r>
      <w:r w:rsidR="00906D4E">
        <w:rPr>
          <w:color w:val="auto"/>
        </w:rPr>
        <w:t xml:space="preserve">, nestanovilo </w:t>
      </w:r>
      <w:r w:rsidRPr="00B511E9">
        <w:rPr>
          <w:color w:val="auto"/>
        </w:rPr>
        <w:t xml:space="preserve">způsob </w:t>
      </w:r>
      <w:r w:rsidRPr="00B511E9">
        <w:rPr>
          <w:color w:val="auto"/>
        </w:rPr>
        <w:lastRenderedPageBreak/>
        <w:t>a</w:t>
      </w:r>
      <w:r w:rsidR="00DA2AA4">
        <w:rPr>
          <w:color w:val="auto"/>
        </w:rPr>
        <w:t> </w:t>
      </w:r>
      <w:r w:rsidRPr="00B511E9">
        <w:rPr>
          <w:color w:val="auto"/>
        </w:rPr>
        <w:t xml:space="preserve">rozsah zapojení CSPSD a nevytvořilo systém účinného monitoringu přínosu těchto aktivit pro </w:t>
      </w:r>
      <w:r w:rsidR="00A042D7">
        <w:t>bezpečnost silničního provozu</w:t>
      </w:r>
      <w:r w:rsidRPr="00B511E9">
        <w:rPr>
          <w:color w:val="auto"/>
        </w:rPr>
        <w:t xml:space="preserve">. </w:t>
      </w:r>
      <w:r w:rsidR="00214D4C">
        <w:rPr>
          <w:color w:val="auto"/>
        </w:rPr>
        <w:t>NKÚ</w:t>
      </w:r>
      <w:r w:rsidRPr="00B511E9">
        <w:rPr>
          <w:color w:val="auto"/>
        </w:rPr>
        <w:t xml:space="preserve"> shledal</w:t>
      </w:r>
      <w:r w:rsidR="00214D4C">
        <w:rPr>
          <w:color w:val="auto"/>
        </w:rPr>
        <w:t xml:space="preserve"> nedostatky</w:t>
      </w:r>
      <w:r w:rsidRPr="00B511E9">
        <w:rPr>
          <w:color w:val="auto"/>
        </w:rPr>
        <w:t xml:space="preserve"> v účelnosti </w:t>
      </w:r>
      <w:r w:rsidR="0019139C">
        <w:rPr>
          <w:color w:val="auto"/>
        </w:rPr>
        <w:t>vynakládání</w:t>
      </w:r>
      <w:r w:rsidRPr="00B511E9">
        <w:rPr>
          <w:color w:val="auto"/>
        </w:rPr>
        <w:t xml:space="preserve"> peněžních prostředků na komunikaci s</w:t>
      </w:r>
      <w:r w:rsidR="0003748F">
        <w:rPr>
          <w:color w:val="auto"/>
        </w:rPr>
        <w:t xml:space="preserve"> </w:t>
      </w:r>
      <w:r w:rsidRPr="00B511E9">
        <w:rPr>
          <w:color w:val="auto"/>
        </w:rPr>
        <w:t xml:space="preserve">účastníky u některých aktivit. </w:t>
      </w:r>
      <w:r w:rsidR="003649D9" w:rsidRPr="003649D9">
        <w:rPr>
          <w:color w:val="auto"/>
        </w:rPr>
        <w:t>Zatímco u čtyř kampaní realizovaných M</w:t>
      </w:r>
      <w:r w:rsidR="0003748F">
        <w:rPr>
          <w:color w:val="auto"/>
        </w:rPr>
        <w:t>inisterstvem dopravy</w:t>
      </w:r>
      <w:r w:rsidR="003649D9" w:rsidRPr="003649D9">
        <w:rPr>
          <w:color w:val="auto"/>
        </w:rPr>
        <w:t xml:space="preserve"> neshledal </w:t>
      </w:r>
      <w:r w:rsidR="0003748F" w:rsidRPr="003649D9">
        <w:rPr>
          <w:color w:val="auto"/>
        </w:rPr>
        <w:t xml:space="preserve">NKÚ </w:t>
      </w:r>
      <w:r w:rsidR="003649D9" w:rsidRPr="003649D9">
        <w:rPr>
          <w:color w:val="auto"/>
        </w:rPr>
        <w:t xml:space="preserve">nedostatky z hlediska hospodárnosti </w:t>
      </w:r>
      <w:r w:rsidR="0019139C">
        <w:rPr>
          <w:color w:val="auto"/>
        </w:rPr>
        <w:t>vynakládání</w:t>
      </w:r>
      <w:r w:rsidR="003649D9" w:rsidRPr="003649D9">
        <w:rPr>
          <w:color w:val="auto"/>
        </w:rPr>
        <w:t xml:space="preserve"> peněžních prostředků, u</w:t>
      </w:r>
      <w:r w:rsidR="0003748F">
        <w:rPr>
          <w:color w:val="auto"/>
        </w:rPr>
        <w:t xml:space="preserve"> </w:t>
      </w:r>
      <w:r w:rsidR="003649D9" w:rsidRPr="003649D9">
        <w:rPr>
          <w:color w:val="auto"/>
        </w:rPr>
        <w:t xml:space="preserve">CSPSD </w:t>
      </w:r>
      <w:r w:rsidR="00135029">
        <w:rPr>
          <w:color w:val="auto"/>
        </w:rPr>
        <w:br/>
      </w:r>
      <w:r w:rsidR="003649D9" w:rsidRPr="003649D9">
        <w:rPr>
          <w:color w:val="auto"/>
        </w:rPr>
        <w:t>v</w:t>
      </w:r>
      <w:r w:rsidR="00135029">
        <w:rPr>
          <w:color w:val="auto"/>
        </w:rPr>
        <w:t xml:space="preserve"> </w:t>
      </w:r>
      <w:r w:rsidR="00C617C1">
        <w:rPr>
          <w:color w:val="auto"/>
        </w:rPr>
        <w:t xml:space="preserve">jednom </w:t>
      </w:r>
      <w:r w:rsidR="0003748F">
        <w:rPr>
          <w:color w:val="auto"/>
        </w:rPr>
        <w:t>ze tří ověřovaných</w:t>
      </w:r>
      <w:r w:rsidR="0003748F" w:rsidRPr="003649D9">
        <w:rPr>
          <w:color w:val="auto"/>
        </w:rPr>
        <w:t xml:space="preserve"> </w:t>
      </w:r>
      <w:r w:rsidR="003649D9" w:rsidRPr="003649D9">
        <w:rPr>
          <w:color w:val="auto"/>
        </w:rPr>
        <w:t>případ</w:t>
      </w:r>
      <w:r w:rsidR="0003748F">
        <w:rPr>
          <w:color w:val="auto"/>
        </w:rPr>
        <w:t>ů</w:t>
      </w:r>
      <w:r w:rsidR="003649D9" w:rsidRPr="003649D9">
        <w:rPr>
          <w:color w:val="auto"/>
        </w:rPr>
        <w:t xml:space="preserve"> nákup</w:t>
      </w:r>
      <w:r w:rsidR="0003748F">
        <w:rPr>
          <w:color w:val="auto"/>
        </w:rPr>
        <w:t>ů</w:t>
      </w:r>
      <w:r w:rsidR="003649D9" w:rsidRPr="003649D9">
        <w:rPr>
          <w:color w:val="auto"/>
        </w:rPr>
        <w:t xml:space="preserve"> služeb pro kampaně a</w:t>
      </w:r>
      <w:r w:rsidR="0003748F">
        <w:rPr>
          <w:color w:val="auto"/>
        </w:rPr>
        <w:t xml:space="preserve"> </w:t>
      </w:r>
      <w:r w:rsidR="006F099F">
        <w:rPr>
          <w:color w:val="auto"/>
        </w:rPr>
        <w:t>preventivně informační aktivity</w:t>
      </w:r>
      <w:r w:rsidR="00A55370">
        <w:rPr>
          <w:color w:val="auto"/>
        </w:rPr>
        <w:t xml:space="preserve"> </w:t>
      </w:r>
      <w:r w:rsidR="003649D9" w:rsidRPr="003649D9">
        <w:rPr>
          <w:color w:val="auto"/>
        </w:rPr>
        <w:t>zjistil nedostatky v zadávacím řízení a ve složení skutečně nakupovaných služeb vzhledem k</w:t>
      </w:r>
      <w:r w:rsidR="00135029">
        <w:rPr>
          <w:color w:val="auto"/>
        </w:rPr>
        <w:t xml:space="preserve"> </w:t>
      </w:r>
      <w:r w:rsidR="003649D9" w:rsidRPr="003649D9">
        <w:rPr>
          <w:color w:val="auto"/>
        </w:rPr>
        <w:t>původně stanoveným požadavkům a</w:t>
      </w:r>
      <w:r w:rsidR="0003748F">
        <w:rPr>
          <w:color w:val="auto"/>
        </w:rPr>
        <w:t xml:space="preserve"> </w:t>
      </w:r>
      <w:r w:rsidR="003649D9" w:rsidRPr="003649D9">
        <w:rPr>
          <w:color w:val="auto"/>
        </w:rPr>
        <w:t xml:space="preserve">vyhodnotil </w:t>
      </w:r>
      <w:r w:rsidR="0019139C">
        <w:rPr>
          <w:color w:val="auto"/>
        </w:rPr>
        <w:t>vyna</w:t>
      </w:r>
      <w:r w:rsidR="00066581">
        <w:rPr>
          <w:color w:val="auto"/>
        </w:rPr>
        <w:t>lože</w:t>
      </w:r>
      <w:r w:rsidR="0019139C">
        <w:rPr>
          <w:color w:val="auto"/>
        </w:rPr>
        <w:t>ní</w:t>
      </w:r>
      <w:r w:rsidR="003649D9" w:rsidRPr="003649D9">
        <w:rPr>
          <w:color w:val="auto"/>
        </w:rPr>
        <w:t xml:space="preserve"> peněžních prostředků v</w:t>
      </w:r>
      <w:r w:rsidR="00C06DB7">
        <w:rPr>
          <w:color w:val="auto"/>
        </w:rPr>
        <w:t xml:space="preserve"> </w:t>
      </w:r>
      <w:r w:rsidR="003649D9" w:rsidRPr="003649D9">
        <w:rPr>
          <w:color w:val="auto"/>
        </w:rPr>
        <w:t>objemu 1,0 mil. Kč jako nehospodárné (viz odst.</w:t>
      </w:r>
      <w:r w:rsidR="00C06DB7">
        <w:rPr>
          <w:color w:val="auto"/>
        </w:rPr>
        <w:t> </w:t>
      </w:r>
      <w:r w:rsidR="003649D9" w:rsidRPr="003649D9">
        <w:rPr>
          <w:color w:val="auto"/>
        </w:rPr>
        <w:t>4.26 až 4.41).</w:t>
      </w:r>
    </w:p>
    <w:p w14:paraId="1F15C972" w14:textId="77777777" w:rsidR="00241B9A" w:rsidRPr="00B511E9" w:rsidRDefault="00241B9A" w:rsidP="00335087">
      <w:pPr>
        <w:pStyle w:val="JK1"/>
        <w:numPr>
          <w:ilvl w:val="0"/>
          <w:numId w:val="7"/>
        </w:numPr>
        <w:ind w:left="851" w:hanging="425"/>
        <w:rPr>
          <w:color w:val="auto"/>
        </w:rPr>
      </w:pPr>
      <w:r w:rsidRPr="00B511E9">
        <w:rPr>
          <w:color w:val="auto"/>
        </w:rPr>
        <w:t xml:space="preserve">NKÚ vyhodnotil </w:t>
      </w:r>
      <w:r w:rsidR="00906D4E">
        <w:rPr>
          <w:color w:val="auto"/>
        </w:rPr>
        <w:t>negativně</w:t>
      </w:r>
      <w:r w:rsidR="00906D4E" w:rsidRPr="00B511E9">
        <w:rPr>
          <w:color w:val="auto"/>
        </w:rPr>
        <w:t xml:space="preserve"> </w:t>
      </w:r>
      <w:r w:rsidR="001F4A6F">
        <w:rPr>
          <w:color w:val="auto"/>
        </w:rPr>
        <w:t>říd</w:t>
      </w:r>
      <w:r w:rsidR="0003748F">
        <w:rPr>
          <w:color w:val="auto"/>
        </w:rPr>
        <w:t>i</w:t>
      </w:r>
      <w:r w:rsidR="001F4A6F">
        <w:rPr>
          <w:color w:val="auto"/>
        </w:rPr>
        <w:t xml:space="preserve">cí a kontrolní činnost </w:t>
      </w:r>
      <w:r w:rsidRPr="00B511E9">
        <w:rPr>
          <w:color w:val="auto"/>
        </w:rPr>
        <w:t>CSPSD</w:t>
      </w:r>
      <w:r w:rsidR="00492452">
        <w:rPr>
          <w:color w:val="auto"/>
        </w:rPr>
        <w:t xml:space="preserve">, </w:t>
      </w:r>
      <w:r w:rsidR="006F099F">
        <w:rPr>
          <w:color w:val="auto"/>
        </w:rPr>
        <w:t>protože řídilo činnosti krajských koordinátorů</w:t>
      </w:r>
      <w:r w:rsidR="00812A59">
        <w:rPr>
          <w:color w:val="auto"/>
        </w:rPr>
        <w:t xml:space="preserve"> bezpečnosti silničního provozu</w:t>
      </w:r>
      <w:r w:rsidR="006F099F">
        <w:rPr>
          <w:color w:val="auto"/>
        </w:rPr>
        <w:t xml:space="preserve"> </w:t>
      </w:r>
      <w:r w:rsidR="006F099F" w:rsidRPr="00B511E9">
        <w:rPr>
          <w:color w:val="auto"/>
        </w:rPr>
        <w:t>(dále také „</w:t>
      </w:r>
      <w:r w:rsidR="0099328D">
        <w:rPr>
          <w:color w:val="auto"/>
        </w:rPr>
        <w:t>krajští koordinátoři</w:t>
      </w:r>
      <w:r w:rsidR="006F099F" w:rsidRPr="00B511E9">
        <w:rPr>
          <w:color w:val="auto"/>
        </w:rPr>
        <w:t>“)</w:t>
      </w:r>
      <w:r w:rsidR="006F099F">
        <w:rPr>
          <w:color w:val="auto"/>
        </w:rPr>
        <w:t xml:space="preserve"> způsobem</w:t>
      </w:r>
      <w:r w:rsidR="006F099F" w:rsidRPr="00B511E9">
        <w:rPr>
          <w:color w:val="auto"/>
        </w:rPr>
        <w:t xml:space="preserve">, </w:t>
      </w:r>
      <w:r w:rsidRPr="00B511E9">
        <w:rPr>
          <w:color w:val="auto"/>
        </w:rPr>
        <w:t>který</w:t>
      </w:r>
      <w:r w:rsidR="00492452">
        <w:rPr>
          <w:color w:val="auto"/>
        </w:rPr>
        <w:t xml:space="preserve"> </w:t>
      </w:r>
      <w:r w:rsidRPr="00B511E9">
        <w:rPr>
          <w:color w:val="auto"/>
        </w:rPr>
        <w:t>vedl k</w:t>
      </w:r>
      <w:r w:rsidR="00C617C1">
        <w:rPr>
          <w:color w:val="auto"/>
        </w:rPr>
        <w:t> významnému snížení</w:t>
      </w:r>
      <w:r w:rsidRPr="00B511E9">
        <w:rPr>
          <w:color w:val="auto"/>
        </w:rPr>
        <w:t xml:space="preserve"> účeln</w:t>
      </w:r>
      <w:r w:rsidR="00C617C1">
        <w:rPr>
          <w:color w:val="auto"/>
        </w:rPr>
        <w:t>osti</w:t>
      </w:r>
      <w:r w:rsidRPr="00B511E9">
        <w:rPr>
          <w:color w:val="auto"/>
        </w:rPr>
        <w:t xml:space="preserve"> a</w:t>
      </w:r>
      <w:r w:rsidR="001524C4">
        <w:rPr>
          <w:color w:val="auto"/>
        </w:rPr>
        <w:t> </w:t>
      </w:r>
      <w:r w:rsidRPr="00B511E9">
        <w:rPr>
          <w:color w:val="auto"/>
        </w:rPr>
        <w:t>hospodárn</w:t>
      </w:r>
      <w:r w:rsidR="00C617C1">
        <w:rPr>
          <w:color w:val="auto"/>
        </w:rPr>
        <w:t>osti</w:t>
      </w:r>
      <w:r w:rsidRPr="00B511E9">
        <w:rPr>
          <w:color w:val="auto"/>
        </w:rPr>
        <w:t xml:space="preserve"> </w:t>
      </w:r>
      <w:r w:rsidR="0019139C">
        <w:rPr>
          <w:color w:val="auto"/>
        </w:rPr>
        <w:t>vynakládání</w:t>
      </w:r>
      <w:r w:rsidRPr="00B511E9">
        <w:rPr>
          <w:color w:val="auto"/>
        </w:rPr>
        <w:t xml:space="preserve"> peněžních prostředků. CSPSD nestanovilo pro </w:t>
      </w:r>
      <w:r w:rsidR="002B0D05">
        <w:rPr>
          <w:color w:val="auto"/>
        </w:rPr>
        <w:t xml:space="preserve">krajské </w:t>
      </w:r>
      <w:r w:rsidR="007256E9">
        <w:rPr>
          <w:rFonts w:cstheme="minorHAnsi"/>
        </w:rPr>
        <w:t>koordinátory</w:t>
      </w:r>
      <w:r w:rsidRPr="00B511E9">
        <w:rPr>
          <w:color w:val="auto"/>
        </w:rPr>
        <w:t xml:space="preserve"> konkrétní cíle jejich činností, jejichž naplnění by mohlo sledovat. Jen zcela formálně sledovalo služby, které </w:t>
      </w:r>
      <w:r w:rsidR="002B0D05">
        <w:rPr>
          <w:color w:val="auto"/>
        </w:rPr>
        <w:t xml:space="preserve">krajští </w:t>
      </w:r>
      <w:r w:rsidR="00E03249">
        <w:rPr>
          <w:color w:val="auto"/>
        </w:rPr>
        <w:t>koordinátoři</w:t>
      </w:r>
      <w:r w:rsidRPr="00B511E9">
        <w:rPr>
          <w:color w:val="auto"/>
        </w:rPr>
        <w:t xml:space="preserve"> vykazovali a</w:t>
      </w:r>
      <w:r w:rsidR="00DA2AA4">
        <w:rPr>
          <w:color w:val="auto"/>
        </w:rPr>
        <w:t> </w:t>
      </w:r>
      <w:r w:rsidRPr="00B511E9">
        <w:rPr>
          <w:color w:val="auto"/>
        </w:rPr>
        <w:t>požadovali jejich proplacení, a nehodnotil</w:t>
      </w:r>
      <w:r w:rsidR="00507C06">
        <w:rPr>
          <w:color w:val="auto"/>
        </w:rPr>
        <w:t>o</w:t>
      </w:r>
      <w:r w:rsidRPr="00B511E9">
        <w:rPr>
          <w:color w:val="auto"/>
        </w:rPr>
        <w:t xml:space="preserve"> jejich účelnost pro cíle </w:t>
      </w:r>
      <w:r w:rsidR="00E23B23">
        <w:rPr>
          <w:color w:val="auto"/>
        </w:rPr>
        <w:t>v oblasti bezpečnosti silničního provozu</w:t>
      </w:r>
      <w:r w:rsidRPr="00B511E9">
        <w:rPr>
          <w:color w:val="auto"/>
        </w:rPr>
        <w:t xml:space="preserve">. CSPSD také proplácelo činnosti, které </w:t>
      </w:r>
      <w:r w:rsidR="002B0D05">
        <w:rPr>
          <w:color w:val="auto"/>
        </w:rPr>
        <w:t xml:space="preserve">krajští </w:t>
      </w:r>
      <w:r w:rsidR="007256E9">
        <w:rPr>
          <w:rFonts w:cstheme="minorHAnsi"/>
        </w:rPr>
        <w:t>koordinátoři</w:t>
      </w:r>
      <w:r w:rsidRPr="00B511E9">
        <w:rPr>
          <w:color w:val="auto"/>
        </w:rPr>
        <w:t xml:space="preserve"> vykonávali v rozporu s uzavřenými smlouvami</w:t>
      </w:r>
      <w:r w:rsidR="00CD3333">
        <w:rPr>
          <w:color w:val="auto"/>
        </w:rPr>
        <w:t>,</w:t>
      </w:r>
      <w:r w:rsidRPr="00B511E9">
        <w:rPr>
          <w:color w:val="auto"/>
        </w:rPr>
        <w:t xml:space="preserve"> a </w:t>
      </w:r>
      <w:r w:rsidR="00CD3333" w:rsidRPr="00B511E9">
        <w:rPr>
          <w:color w:val="auto"/>
        </w:rPr>
        <w:t xml:space="preserve">měsíčně </w:t>
      </w:r>
      <w:r w:rsidRPr="00B511E9">
        <w:rPr>
          <w:color w:val="auto"/>
        </w:rPr>
        <w:t xml:space="preserve">proplácelo i stovky hodin činností, které neměly vliv na </w:t>
      </w:r>
      <w:r w:rsidR="00E23B23">
        <w:rPr>
          <w:color w:val="auto"/>
        </w:rPr>
        <w:t>úroveň bezpečnosti silničního provozu</w:t>
      </w:r>
      <w:r w:rsidRPr="00B511E9">
        <w:rPr>
          <w:color w:val="auto"/>
        </w:rPr>
        <w:t xml:space="preserve"> </w:t>
      </w:r>
      <w:r w:rsidR="00CD3333">
        <w:rPr>
          <w:color w:val="auto"/>
        </w:rPr>
        <w:t>(</w:t>
      </w:r>
      <w:r w:rsidRPr="00B511E9">
        <w:rPr>
          <w:color w:val="auto"/>
        </w:rPr>
        <w:t>administrativ</w:t>
      </w:r>
      <w:r w:rsidR="00CD3333">
        <w:rPr>
          <w:color w:val="auto"/>
        </w:rPr>
        <w:t>ní činnosti,</w:t>
      </w:r>
      <w:r w:rsidRPr="00B511E9">
        <w:rPr>
          <w:color w:val="auto"/>
        </w:rPr>
        <w:t xml:space="preserve"> práce ve skladu</w:t>
      </w:r>
      <w:r w:rsidR="00CD3333">
        <w:rPr>
          <w:color w:val="auto"/>
        </w:rPr>
        <w:t>)</w:t>
      </w:r>
      <w:r w:rsidRPr="00B511E9">
        <w:rPr>
          <w:color w:val="auto"/>
        </w:rPr>
        <w:t>, aniž by ověřovalo, zda vykazování takto vysokého počtu hodin odpovídá realitě</w:t>
      </w:r>
      <w:r w:rsidR="00BF76CB">
        <w:rPr>
          <w:color w:val="auto"/>
        </w:rPr>
        <w:t xml:space="preserve"> (</w:t>
      </w:r>
      <w:r w:rsidRPr="00B511E9">
        <w:rPr>
          <w:color w:val="auto"/>
        </w:rPr>
        <w:t>viz odst. 4.4</w:t>
      </w:r>
      <w:r w:rsidR="00507C06">
        <w:rPr>
          <w:color w:val="auto"/>
        </w:rPr>
        <w:t>2</w:t>
      </w:r>
      <w:r w:rsidRPr="00B511E9">
        <w:rPr>
          <w:color w:val="auto"/>
        </w:rPr>
        <w:t xml:space="preserve"> až </w:t>
      </w:r>
      <w:r w:rsidR="00DD61FC">
        <w:rPr>
          <w:color w:val="auto"/>
        </w:rPr>
        <w:t>4.50</w:t>
      </w:r>
      <w:r w:rsidRPr="00B511E9">
        <w:rPr>
          <w:color w:val="auto"/>
        </w:rPr>
        <w:t>).</w:t>
      </w:r>
    </w:p>
    <w:p w14:paraId="21DDE8F1" w14:textId="77777777" w:rsidR="00241B9A" w:rsidRPr="00B511E9" w:rsidRDefault="00241B9A" w:rsidP="00335087">
      <w:pPr>
        <w:pStyle w:val="JK1"/>
        <w:numPr>
          <w:ilvl w:val="0"/>
          <w:numId w:val="7"/>
        </w:numPr>
        <w:ind w:left="851" w:hanging="425"/>
        <w:rPr>
          <w:color w:val="auto"/>
        </w:rPr>
      </w:pPr>
      <w:r w:rsidRPr="00B511E9">
        <w:rPr>
          <w:color w:val="auto"/>
        </w:rPr>
        <w:t xml:space="preserve">NKÚ ověřil, že ŘSD postupovalo účelně a hospodárně při vynakládání peněžních prostředků na odstraňování nepovolených reklamních zařízení a při zavádění dopravního značení k zabránění vjetí do protisměru. </w:t>
      </w:r>
      <w:r w:rsidR="00167F5E">
        <w:rPr>
          <w:color w:val="auto"/>
        </w:rPr>
        <w:t>Z</w:t>
      </w:r>
      <w:r w:rsidR="00CD3333">
        <w:rPr>
          <w:color w:val="auto"/>
        </w:rPr>
        <w:t xml:space="preserve"> </w:t>
      </w:r>
      <w:r w:rsidR="00214D4C">
        <w:rPr>
          <w:color w:val="auto"/>
        </w:rPr>
        <w:t>hlediska hospodárného vynakládání peněžních prostředků</w:t>
      </w:r>
      <w:r w:rsidRPr="00B511E9">
        <w:rPr>
          <w:color w:val="auto"/>
        </w:rPr>
        <w:t xml:space="preserve"> </w:t>
      </w:r>
      <w:r w:rsidR="00CD3333" w:rsidRPr="00B511E9">
        <w:rPr>
          <w:color w:val="auto"/>
        </w:rPr>
        <w:t xml:space="preserve">vyhodnotil </w:t>
      </w:r>
      <w:r w:rsidR="00167F5E" w:rsidRPr="00B511E9">
        <w:rPr>
          <w:color w:val="auto"/>
        </w:rPr>
        <w:t xml:space="preserve">NKÚ </w:t>
      </w:r>
      <w:r w:rsidR="00167F5E">
        <w:rPr>
          <w:color w:val="auto"/>
        </w:rPr>
        <w:t xml:space="preserve">pozitivně i </w:t>
      </w:r>
      <w:r w:rsidRPr="00B511E9">
        <w:rPr>
          <w:color w:val="auto"/>
        </w:rPr>
        <w:t>pozastav</w:t>
      </w:r>
      <w:r w:rsidR="00167F5E">
        <w:rPr>
          <w:color w:val="auto"/>
        </w:rPr>
        <w:t>ení</w:t>
      </w:r>
      <w:r w:rsidRPr="00B511E9">
        <w:rPr>
          <w:color w:val="auto"/>
        </w:rPr>
        <w:t xml:space="preserve"> aktivity </w:t>
      </w:r>
      <w:r w:rsidR="009A03D9">
        <w:rPr>
          <w:color w:val="auto"/>
        </w:rPr>
        <w:t xml:space="preserve">týkající se </w:t>
      </w:r>
      <w:r w:rsidRPr="00B511E9">
        <w:rPr>
          <w:color w:val="auto"/>
        </w:rPr>
        <w:t>rozšíření dopravního značení k dodržení správného odstupu mezi vozidly</w:t>
      </w:r>
      <w:r w:rsidR="00CD3333">
        <w:rPr>
          <w:color w:val="auto"/>
        </w:rPr>
        <w:t>, neboť se v této oblasti očekává změna</w:t>
      </w:r>
      <w:r w:rsidRPr="00B511E9">
        <w:rPr>
          <w:color w:val="auto"/>
        </w:rPr>
        <w:t xml:space="preserve"> </w:t>
      </w:r>
      <w:r w:rsidR="00CD3333">
        <w:rPr>
          <w:color w:val="auto"/>
        </w:rPr>
        <w:t>legislativy</w:t>
      </w:r>
      <w:r w:rsidRPr="00B511E9">
        <w:rPr>
          <w:color w:val="auto"/>
        </w:rPr>
        <w:t xml:space="preserve"> (vi</w:t>
      </w:r>
      <w:r w:rsidR="00CD3333">
        <w:rPr>
          <w:color w:val="auto"/>
        </w:rPr>
        <w:t>z</w:t>
      </w:r>
      <w:r w:rsidRPr="00B511E9">
        <w:rPr>
          <w:color w:val="auto"/>
        </w:rPr>
        <w:t xml:space="preserve"> odst. </w:t>
      </w:r>
      <w:r w:rsidR="00DD61FC">
        <w:rPr>
          <w:color w:val="auto"/>
        </w:rPr>
        <w:t>4.51 až 4.56</w:t>
      </w:r>
      <w:r w:rsidRPr="00B511E9">
        <w:rPr>
          <w:color w:val="auto"/>
        </w:rPr>
        <w:t>).</w:t>
      </w:r>
    </w:p>
    <w:p w14:paraId="593E26D0" w14:textId="77777777" w:rsidR="00241B9A" w:rsidRPr="00B511E9" w:rsidRDefault="00241B9A" w:rsidP="00335087">
      <w:pPr>
        <w:pStyle w:val="JK1"/>
        <w:numPr>
          <w:ilvl w:val="0"/>
          <w:numId w:val="7"/>
        </w:numPr>
        <w:ind w:left="851" w:hanging="425"/>
        <w:rPr>
          <w:color w:val="auto"/>
        </w:rPr>
      </w:pPr>
      <w:r w:rsidRPr="00B511E9">
        <w:rPr>
          <w:color w:val="auto"/>
        </w:rPr>
        <w:t xml:space="preserve">NKÚ naopak u ŘSD shledal nedostatky v účelnosti i hospodárnosti </w:t>
      </w:r>
      <w:r w:rsidR="0019139C">
        <w:rPr>
          <w:color w:val="auto"/>
        </w:rPr>
        <w:t>vynakládání</w:t>
      </w:r>
      <w:r w:rsidRPr="00B511E9">
        <w:rPr>
          <w:color w:val="auto"/>
        </w:rPr>
        <w:t xml:space="preserve"> peněžních prostředků na </w:t>
      </w:r>
      <w:r w:rsidR="00C07A89">
        <w:rPr>
          <w:color w:val="auto"/>
        </w:rPr>
        <w:t>využívání</w:t>
      </w:r>
      <w:r w:rsidR="00C07A89" w:rsidRPr="00B511E9">
        <w:rPr>
          <w:color w:val="auto"/>
        </w:rPr>
        <w:t xml:space="preserve"> </w:t>
      </w:r>
      <w:r w:rsidRPr="00B511E9">
        <w:rPr>
          <w:color w:val="auto"/>
        </w:rPr>
        <w:t xml:space="preserve">nástrojů pro zvýšení bezpečnosti pozemních komunikací podporovaných strategickými dokumenty </w:t>
      </w:r>
      <w:r w:rsidR="00A042D7">
        <w:rPr>
          <w:color w:val="auto"/>
        </w:rPr>
        <w:t xml:space="preserve">v oblasti </w:t>
      </w:r>
      <w:r w:rsidR="00A042D7">
        <w:t>bezpečnosti silničního provozu</w:t>
      </w:r>
      <w:r w:rsidRPr="00B511E9">
        <w:rPr>
          <w:color w:val="auto"/>
        </w:rPr>
        <w:t>. Těmi byly v</w:t>
      </w:r>
      <w:r w:rsidR="0044309A">
        <w:rPr>
          <w:color w:val="auto"/>
        </w:rPr>
        <w:t> </w:t>
      </w:r>
      <w:r w:rsidRPr="00B511E9">
        <w:rPr>
          <w:color w:val="auto"/>
        </w:rPr>
        <w:t xml:space="preserve">kontrolovaném období audity bezpečnosti pozemních komunikací, bezpečnostní inspekce pozemních komunikací a identifikace a řešení nehodových lokalit. </w:t>
      </w:r>
      <w:r w:rsidR="00970CF2" w:rsidRPr="00B511E9">
        <w:rPr>
          <w:color w:val="auto"/>
        </w:rPr>
        <w:t xml:space="preserve">Tyto </w:t>
      </w:r>
      <w:r w:rsidR="00970CF2">
        <w:rPr>
          <w:color w:val="auto"/>
        </w:rPr>
        <w:t>nástroje</w:t>
      </w:r>
      <w:r w:rsidR="00970CF2" w:rsidRPr="00B511E9">
        <w:rPr>
          <w:color w:val="auto"/>
        </w:rPr>
        <w:t xml:space="preserve"> mají pozitivní vliv na bezpečnost na pozemních komunikacích, avšak nedostatky zjištěné kontrolou NKÚ</w:t>
      </w:r>
      <w:r w:rsidR="00970CF2">
        <w:rPr>
          <w:color w:val="auto"/>
        </w:rPr>
        <w:t xml:space="preserve">, týkající se </w:t>
      </w:r>
      <w:r w:rsidR="00970CF2">
        <w:t xml:space="preserve">např. </w:t>
      </w:r>
      <w:r w:rsidR="00D33E2A">
        <w:t xml:space="preserve">neprovedení auditů bezpečnosti pozemních komunikací </w:t>
      </w:r>
      <w:r w:rsidR="007045B3">
        <w:t>v</w:t>
      </w:r>
      <w:r w:rsidR="00D33E2A">
        <w:t xml:space="preserve"> některých </w:t>
      </w:r>
      <w:r w:rsidR="00B51ED4">
        <w:t xml:space="preserve">fázích </w:t>
      </w:r>
      <w:r w:rsidR="00D33E2A">
        <w:t>staveb pozemních komunikací sít</w:t>
      </w:r>
      <w:r w:rsidR="00CD3333">
        <w:t>ě</w:t>
      </w:r>
      <w:r w:rsidR="00D33E2A">
        <w:t xml:space="preserve"> TEN-T</w:t>
      </w:r>
      <w:r w:rsidR="00D33E2A">
        <w:rPr>
          <w:rStyle w:val="Znakapoznpodarou"/>
        </w:rPr>
        <w:footnoteReference w:id="4"/>
      </w:r>
      <w:r w:rsidR="00D33E2A">
        <w:t xml:space="preserve">, </w:t>
      </w:r>
      <w:r w:rsidR="00970CF2">
        <w:t>neupřednost</w:t>
      </w:r>
      <w:r w:rsidR="00005195">
        <w:t>n</w:t>
      </w:r>
      <w:r w:rsidR="00970CF2">
        <w:t xml:space="preserve">ění odstraňování </w:t>
      </w:r>
      <w:r w:rsidR="00D33E2A">
        <w:t xml:space="preserve">dopravně bezpečnostních </w:t>
      </w:r>
      <w:r w:rsidR="00970CF2">
        <w:t>deficitů v</w:t>
      </w:r>
      <w:r w:rsidR="00CD3333">
        <w:t xml:space="preserve"> </w:t>
      </w:r>
      <w:r w:rsidR="00970CF2">
        <w:t>kategorii primárních sanačních opatření</w:t>
      </w:r>
      <w:r w:rsidR="00D33E2A">
        <w:t>, případně</w:t>
      </w:r>
      <w:r w:rsidR="00970CF2">
        <w:t xml:space="preserve"> neodstranění všech identifikovaných rizik v nehodových lokalitách</w:t>
      </w:r>
      <w:r w:rsidR="00970CF2">
        <w:rPr>
          <w:color w:val="auto"/>
        </w:rPr>
        <w:t>,</w:t>
      </w:r>
      <w:r w:rsidR="00970CF2" w:rsidRPr="00B511E9">
        <w:rPr>
          <w:color w:val="auto"/>
        </w:rPr>
        <w:t xml:space="preserve"> tento vliv snižují </w:t>
      </w:r>
      <w:r w:rsidRPr="00B511E9">
        <w:rPr>
          <w:color w:val="auto"/>
        </w:rPr>
        <w:t xml:space="preserve">(viz odst. </w:t>
      </w:r>
      <w:r w:rsidR="00DD61FC">
        <w:rPr>
          <w:color w:val="auto"/>
        </w:rPr>
        <w:t>4.57 až 4.68</w:t>
      </w:r>
      <w:r w:rsidRPr="00B511E9">
        <w:rPr>
          <w:color w:val="auto"/>
        </w:rPr>
        <w:t>).</w:t>
      </w:r>
    </w:p>
    <w:p w14:paraId="4063DB6B" w14:textId="77777777" w:rsidR="006F088E" w:rsidRPr="00B511E9" w:rsidRDefault="000959BE" w:rsidP="006F088E">
      <w:pPr>
        <w:pStyle w:val="JK1"/>
        <w:tabs>
          <w:tab w:val="clear" w:pos="567"/>
        </w:tabs>
        <w:ind w:left="425" w:hanging="425"/>
        <w:rPr>
          <w:color w:val="auto"/>
        </w:rPr>
      </w:pPr>
      <w:r>
        <w:rPr>
          <w:color w:val="auto"/>
        </w:rPr>
        <w:t>Nejvyšší kontrolní úřad n</w:t>
      </w:r>
      <w:r w:rsidR="006F088E" w:rsidRPr="00B511E9">
        <w:rPr>
          <w:color w:val="auto"/>
        </w:rPr>
        <w:t>a základě výsledků kontroly doporučuje</w:t>
      </w:r>
      <w:r w:rsidR="00241B9A" w:rsidRPr="00B511E9">
        <w:rPr>
          <w:color w:val="auto"/>
        </w:rPr>
        <w:t>:</w:t>
      </w:r>
    </w:p>
    <w:p w14:paraId="51E57A40" w14:textId="77777777" w:rsidR="00B511E9" w:rsidRPr="00B511E9" w:rsidRDefault="00B511E9" w:rsidP="00335087">
      <w:pPr>
        <w:pStyle w:val="JK1"/>
        <w:numPr>
          <w:ilvl w:val="0"/>
          <w:numId w:val="11"/>
        </w:numPr>
        <w:ind w:left="851" w:hanging="425"/>
        <w:rPr>
          <w:color w:val="auto"/>
        </w:rPr>
      </w:pPr>
      <w:r w:rsidRPr="00B511E9">
        <w:rPr>
          <w:color w:val="auto"/>
        </w:rPr>
        <w:t xml:space="preserve">Ministerstvu dopravy u všech aktivit </w:t>
      </w:r>
      <w:r w:rsidR="006F099F">
        <w:rPr>
          <w:color w:val="auto"/>
        </w:rPr>
        <w:t>akčních plánů</w:t>
      </w:r>
      <w:r w:rsidRPr="00B511E9">
        <w:rPr>
          <w:color w:val="auto"/>
        </w:rPr>
        <w:t xml:space="preserve"> stanovit měřitelné ukazatele </w:t>
      </w:r>
      <w:r w:rsidR="00135029">
        <w:rPr>
          <w:color w:val="auto"/>
        </w:rPr>
        <w:br/>
      </w:r>
      <w:r w:rsidRPr="00B511E9">
        <w:rPr>
          <w:color w:val="auto"/>
        </w:rPr>
        <w:t>a</w:t>
      </w:r>
      <w:r w:rsidR="00135029">
        <w:rPr>
          <w:color w:val="auto"/>
        </w:rPr>
        <w:t xml:space="preserve"> </w:t>
      </w:r>
      <w:r w:rsidRPr="00B511E9">
        <w:rPr>
          <w:color w:val="auto"/>
        </w:rPr>
        <w:t xml:space="preserve">jejich hodnoty, kterých je potřeba danou aktivitou dosáhnout, aby </w:t>
      </w:r>
      <w:r w:rsidR="0019139C">
        <w:rPr>
          <w:color w:val="auto"/>
        </w:rPr>
        <w:t>vynakládání</w:t>
      </w:r>
      <w:r w:rsidRPr="00B511E9">
        <w:rPr>
          <w:color w:val="auto"/>
        </w:rPr>
        <w:t xml:space="preserve"> </w:t>
      </w:r>
      <w:r w:rsidRPr="00B511E9">
        <w:rPr>
          <w:color w:val="auto"/>
        </w:rPr>
        <w:lastRenderedPageBreak/>
        <w:t xml:space="preserve">peněžních prostředků na ni bylo </w:t>
      </w:r>
      <w:r w:rsidR="00916A62">
        <w:rPr>
          <w:color w:val="auto"/>
        </w:rPr>
        <w:t>možné vyhodnotit z hlediska účelnosti</w:t>
      </w:r>
      <w:r w:rsidRPr="00B511E9">
        <w:rPr>
          <w:color w:val="auto"/>
        </w:rPr>
        <w:t xml:space="preserve">. V případě neplnění stanovených </w:t>
      </w:r>
      <w:r w:rsidR="00507C06">
        <w:rPr>
          <w:color w:val="auto"/>
        </w:rPr>
        <w:t xml:space="preserve">hodnot </w:t>
      </w:r>
      <w:r w:rsidRPr="00B511E9">
        <w:rPr>
          <w:color w:val="auto"/>
        </w:rPr>
        <w:t>ukazatelů učinit nápravná opatření k zajištění účelnosti vyna</w:t>
      </w:r>
      <w:r w:rsidR="00066581">
        <w:rPr>
          <w:color w:val="auto"/>
        </w:rPr>
        <w:t>kláda</w:t>
      </w:r>
      <w:r w:rsidRPr="00B511E9">
        <w:rPr>
          <w:color w:val="auto"/>
        </w:rPr>
        <w:t xml:space="preserve">ných </w:t>
      </w:r>
      <w:r w:rsidR="00066581">
        <w:rPr>
          <w:color w:val="auto"/>
        </w:rPr>
        <w:t xml:space="preserve">peněžních </w:t>
      </w:r>
      <w:r w:rsidRPr="00B511E9">
        <w:rPr>
          <w:color w:val="auto"/>
        </w:rPr>
        <w:t xml:space="preserve">prostředků, příp. v takové aktivitě v dalších </w:t>
      </w:r>
      <w:r w:rsidR="006F099F">
        <w:rPr>
          <w:color w:val="auto"/>
        </w:rPr>
        <w:t>akčních plánech</w:t>
      </w:r>
      <w:r w:rsidR="006F099F" w:rsidRPr="00B511E9">
        <w:rPr>
          <w:color w:val="auto"/>
        </w:rPr>
        <w:t xml:space="preserve"> </w:t>
      </w:r>
      <w:r w:rsidRPr="00B511E9">
        <w:rPr>
          <w:color w:val="auto"/>
        </w:rPr>
        <w:t>nepokračovat. Takové kvantitativní ukazatele s očekávanou cílovou hodnotou stanovit nejen ve formě výstupu, ale i výsledku (např. poč</w:t>
      </w:r>
      <w:r w:rsidR="000959BE">
        <w:rPr>
          <w:color w:val="auto"/>
        </w:rPr>
        <w:t>e</w:t>
      </w:r>
      <w:r w:rsidRPr="00B511E9">
        <w:rPr>
          <w:color w:val="auto"/>
        </w:rPr>
        <w:t>t oslovených osob z cílové skupiny), a</w:t>
      </w:r>
      <w:r w:rsidR="000959BE">
        <w:rPr>
          <w:color w:val="auto"/>
        </w:rPr>
        <w:t xml:space="preserve"> tam,</w:t>
      </w:r>
      <w:r w:rsidRPr="00B511E9">
        <w:rPr>
          <w:color w:val="auto"/>
        </w:rPr>
        <w:t xml:space="preserve"> kde je to možné</w:t>
      </w:r>
      <w:r w:rsidR="000959BE">
        <w:rPr>
          <w:color w:val="auto"/>
        </w:rPr>
        <w:t>,</w:t>
      </w:r>
      <w:r w:rsidRPr="00B511E9">
        <w:rPr>
          <w:color w:val="auto"/>
        </w:rPr>
        <w:t xml:space="preserve"> sledovat i trend snižování daného typu dopravních nehod, jimž by měla </w:t>
      </w:r>
      <w:r w:rsidR="006F099F">
        <w:rPr>
          <w:color w:val="auto"/>
        </w:rPr>
        <w:t>příslušná</w:t>
      </w:r>
      <w:r w:rsidR="006F099F" w:rsidRPr="00B511E9">
        <w:rPr>
          <w:color w:val="auto"/>
        </w:rPr>
        <w:t xml:space="preserve"> </w:t>
      </w:r>
      <w:r w:rsidRPr="00B511E9">
        <w:rPr>
          <w:color w:val="auto"/>
        </w:rPr>
        <w:t>aktivita pomoci předcházet.</w:t>
      </w:r>
    </w:p>
    <w:p w14:paraId="6B8FD60B" w14:textId="77777777" w:rsidR="00B511E9" w:rsidRPr="00B511E9" w:rsidRDefault="00B511E9" w:rsidP="00335087">
      <w:pPr>
        <w:pStyle w:val="JK1"/>
        <w:numPr>
          <w:ilvl w:val="0"/>
          <w:numId w:val="11"/>
        </w:numPr>
        <w:ind w:left="851" w:hanging="425"/>
        <w:rPr>
          <w:color w:val="auto"/>
        </w:rPr>
      </w:pPr>
      <w:r w:rsidRPr="00B511E9">
        <w:rPr>
          <w:color w:val="auto"/>
        </w:rPr>
        <w:t xml:space="preserve">Ministerstvu dopravy realizovat </w:t>
      </w:r>
      <w:r w:rsidR="009A03D9">
        <w:rPr>
          <w:rFonts w:asciiTheme="minorHAnsi" w:hAnsiTheme="minorHAnsi" w:cstheme="minorHAnsi"/>
          <w:bCs/>
        </w:rPr>
        <w:t>aktivity zaměřené na legislativní úpravy</w:t>
      </w:r>
      <w:r w:rsidRPr="00B511E9">
        <w:rPr>
          <w:color w:val="auto"/>
        </w:rPr>
        <w:t xml:space="preserve">, </w:t>
      </w:r>
      <w:r w:rsidR="003838F1">
        <w:rPr>
          <w:color w:val="auto"/>
        </w:rPr>
        <w:t>u kterých</w:t>
      </w:r>
      <w:r w:rsidRPr="00B511E9">
        <w:rPr>
          <w:color w:val="auto"/>
        </w:rPr>
        <w:t xml:space="preserve"> samo potvrzuje jejich potenciál pro </w:t>
      </w:r>
      <w:r w:rsidR="00A042D7">
        <w:t>bezpečnost silničního provozu</w:t>
      </w:r>
      <w:r w:rsidR="009A03D9">
        <w:rPr>
          <w:color w:val="auto"/>
        </w:rPr>
        <w:t>,</w:t>
      </w:r>
      <w:r w:rsidRPr="00B511E9">
        <w:rPr>
          <w:color w:val="auto"/>
        </w:rPr>
        <w:t xml:space="preserve"> především ve smyslu snížení počtu usmrcených a těžce zraněných osob vlivem dopravních nehod. </w:t>
      </w:r>
    </w:p>
    <w:p w14:paraId="08135A50" w14:textId="104BA398" w:rsidR="00B511E9" w:rsidRPr="00B511E9" w:rsidRDefault="00B511E9" w:rsidP="00335087">
      <w:pPr>
        <w:pStyle w:val="JK1"/>
        <w:numPr>
          <w:ilvl w:val="0"/>
          <w:numId w:val="11"/>
        </w:numPr>
        <w:ind w:left="851" w:hanging="425"/>
        <w:rPr>
          <w:color w:val="auto"/>
        </w:rPr>
      </w:pPr>
      <w:r w:rsidRPr="00B511E9">
        <w:rPr>
          <w:color w:val="auto"/>
        </w:rPr>
        <w:t xml:space="preserve">Ministerstvu dopravy stanovit krajským koordinátorům </w:t>
      </w:r>
      <w:r w:rsidR="0099328D">
        <w:rPr>
          <w:color w:val="auto"/>
        </w:rPr>
        <w:t xml:space="preserve">bezpečnosti silničního provozu </w:t>
      </w:r>
      <w:r w:rsidRPr="00B511E9">
        <w:rPr>
          <w:color w:val="auto"/>
        </w:rPr>
        <w:t>konkrétní cíle jejich činností a jejich naplňování sledovat a vyhodnocovat. Uznávat za způsobilé a</w:t>
      </w:r>
      <w:r w:rsidR="000959BE">
        <w:rPr>
          <w:color w:val="auto"/>
        </w:rPr>
        <w:t xml:space="preserve"> </w:t>
      </w:r>
      <w:r w:rsidRPr="00B511E9">
        <w:rPr>
          <w:color w:val="auto"/>
        </w:rPr>
        <w:t xml:space="preserve">proplácet jen výdaje za služby jednoznačně směřující k cílům </w:t>
      </w:r>
      <w:r w:rsidR="00186DDC">
        <w:rPr>
          <w:color w:val="auto"/>
        </w:rPr>
        <w:br/>
      </w:r>
      <w:r w:rsidR="00A042D7">
        <w:rPr>
          <w:color w:val="auto"/>
        </w:rPr>
        <w:t>v</w:t>
      </w:r>
      <w:r w:rsidR="00186DDC">
        <w:rPr>
          <w:color w:val="auto"/>
        </w:rPr>
        <w:t xml:space="preserve"> </w:t>
      </w:r>
      <w:r w:rsidR="00A042D7">
        <w:rPr>
          <w:color w:val="auto"/>
        </w:rPr>
        <w:t xml:space="preserve">oblasti </w:t>
      </w:r>
      <w:r w:rsidR="00A042D7">
        <w:t>bezpečnosti silničního provozu</w:t>
      </w:r>
      <w:r w:rsidRPr="00B511E9">
        <w:rPr>
          <w:color w:val="auto"/>
        </w:rPr>
        <w:t xml:space="preserve"> a stanovit </w:t>
      </w:r>
      <w:r w:rsidR="000959BE">
        <w:rPr>
          <w:color w:val="auto"/>
        </w:rPr>
        <w:t>pro</w:t>
      </w:r>
      <w:r w:rsidRPr="00B511E9">
        <w:rPr>
          <w:color w:val="auto"/>
        </w:rPr>
        <w:t xml:space="preserve"> podpůrné činnosti typu administrativy či skladových prací</w:t>
      </w:r>
      <w:r w:rsidR="000959BE" w:rsidRPr="000959BE">
        <w:rPr>
          <w:color w:val="auto"/>
        </w:rPr>
        <w:t xml:space="preserve"> </w:t>
      </w:r>
      <w:r w:rsidR="000959BE" w:rsidRPr="00B511E9">
        <w:rPr>
          <w:color w:val="auto"/>
        </w:rPr>
        <w:t>měsíční limit</w:t>
      </w:r>
      <w:r w:rsidRPr="00B511E9">
        <w:rPr>
          <w:color w:val="auto"/>
        </w:rPr>
        <w:t>, který bude proplácet. K</w:t>
      </w:r>
      <w:r w:rsidR="00507C06">
        <w:rPr>
          <w:color w:val="auto"/>
        </w:rPr>
        <w:t xml:space="preserve"> hodnocení</w:t>
      </w:r>
      <w:r w:rsidRPr="00B511E9">
        <w:rPr>
          <w:color w:val="auto"/>
        </w:rPr>
        <w:t xml:space="preserve"> účelnosti a hospodárnosti peněžních prostředků </w:t>
      </w:r>
      <w:r w:rsidR="00507C06">
        <w:rPr>
          <w:color w:val="auto"/>
        </w:rPr>
        <w:t>vynakládaných na činnost</w:t>
      </w:r>
      <w:r w:rsidRPr="00B511E9">
        <w:rPr>
          <w:color w:val="auto"/>
        </w:rPr>
        <w:t xml:space="preserve"> </w:t>
      </w:r>
      <w:r w:rsidR="002B0D05">
        <w:rPr>
          <w:color w:val="auto"/>
        </w:rPr>
        <w:t xml:space="preserve">krajských </w:t>
      </w:r>
      <w:r w:rsidR="00E03249">
        <w:rPr>
          <w:color w:val="auto"/>
        </w:rPr>
        <w:t>koordinátorů</w:t>
      </w:r>
      <w:r w:rsidRPr="00B511E9">
        <w:rPr>
          <w:color w:val="auto"/>
        </w:rPr>
        <w:t xml:space="preserve"> využí</w:t>
      </w:r>
      <w:r w:rsidR="000959BE">
        <w:rPr>
          <w:color w:val="auto"/>
        </w:rPr>
        <w:t>va</w:t>
      </w:r>
      <w:r w:rsidRPr="00B511E9">
        <w:rPr>
          <w:color w:val="auto"/>
        </w:rPr>
        <w:t>t srovnávací metody.</w:t>
      </w:r>
    </w:p>
    <w:p w14:paraId="697C5B58" w14:textId="77777777" w:rsidR="006F088E" w:rsidRPr="00B511E9" w:rsidRDefault="00B511E9" w:rsidP="00335087">
      <w:pPr>
        <w:pStyle w:val="JK1"/>
        <w:numPr>
          <w:ilvl w:val="0"/>
          <w:numId w:val="11"/>
        </w:numPr>
        <w:tabs>
          <w:tab w:val="clear" w:pos="567"/>
        </w:tabs>
        <w:ind w:left="851" w:hanging="425"/>
        <w:rPr>
          <w:color w:val="auto"/>
        </w:rPr>
      </w:pPr>
      <w:r w:rsidRPr="00B511E9">
        <w:rPr>
          <w:color w:val="auto"/>
        </w:rPr>
        <w:t xml:space="preserve">Ředitelství silnic a dálnic ČR účelně využívat výsledky nástrojů pro zvýšení bezpečnosti silničního provozu. </w:t>
      </w:r>
      <w:r w:rsidR="00BE284C" w:rsidRPr="00B511E9">
        <w:rPr>
          <w:color w:val="auto"/>
        </w:rPr>
        <w:t xml:space="preserve">Za tím účelem zajistit důsledné naplňování ustanovení zákona </w:t>
      </w:r>
      <w:r w:rsidR="00135029">
        <w:rPr>
          <w:color w:val="auto"/>
        </w:rPr>
        <w:br/>
      </w:r>
      <w:r w:rsidR="00BE284C" w:rsidRPr="00B511E9">
        <w:rPr>
          <w:color w:val="auto"/>
        </w:rPr>
        <w:t>č.</w:t>
      </w:r>
      <w:r w:rsidR="00135029">
        <w:rPr>
          <w:color w:val="auto"/>
        </w:rPr>
        <w:t xml:space="preserve"> </w:t>
      </w:r>
      <w:r w:rsidR="00BE284C" w:rsidRPr="00B511E9">
        <w:rPr>
          <w:color w:val="auto"/>
        </w:rPr>
        <w:t>13/1997 Sb.</w:t>
      </w:r>
      <w:r w:rsidR="00043E08">
        <w:rPr>
          <w:rStyle w:val="Znakapoznpodarou"/>
          <w:color w:val="auto"/>
        </w:rPr>
        <w:footnoteReference w:id="5"/>
      </w:r>
      <w:r w:rsidR="00BE284C" w:rsidRPr="00B511E9">
        <w:rPr>
          <w:color w:val="auto"/>
        </w:rPr>
        <w:t xml:space="preserve"> v</w:t>
      </w:r>
      <w:r w:rsidR="002B0D05">
        <w:rPr>
          <w:color w:val="auto"/>
        </w:rPr>
        <w:t> </w:t>
      </w:r>
      <w:r w:rsidR="00BE284C" w:rsidRPr="00B511E9">
        <w:rPr>
          <w:color w:val="auto"/>
        </w:rPr>
        <w:t xml:space="preserve">provádění </w:t>
      </w:r>
      <w:r w:rsidR="009F6FA2">
        <w:rPr>
          <w:color w:val="auto"/>
        </w:rPr>
        <w:t>auditů bezpečnosti pozemních komunikací</w:t>
      </w:r>
      <w:r w:rsidR="001E136C">
        <w:rPr>
          <w:color w:val="auto"/>
        </w:rPr>
        <w:t>, a to</w:t>
      </w:r>
      <w:r w:rsidR="00BE284C" w:rsidRPr="00B511E9">
        <w:rPr>
          <w:color w:val="auto"/>
        </w:rPr>
        <w:t xml:space="preserve"> </w:t>
      </w:r>
      <w:r w:rsidR="00BE284C">
        <w:rPr>
          <w:color w:val="auto"/>
        </w:rPr>
        <w:t xml:space="preserve">jak </w:t>
      </w:r>
      <w:r w:rsidR="00BE284C" w:rsidRPr="00B511E9">
        <w:rPr>
          <w:color w:val="auto"/>
        </w:rPr>
        <w:t>u</w:t>
      </w:r>
      <w:r w:rsidR="0044309A">
        <w:rPr>
          <w:color w:val="auto"/>
        </w:rPr>
        <w:t> </w:t>
      </w:r>
      <w:r w:rsidR="00BE284C" w:rsidRPr="00B511E9">
        <w:rPr>
          <w:color w:val="auto"/>
        </w:rPr>
        <w:t>komunikací zařazených do sítě TEN-T</w:t>
      </w:r>
      <w:r w:rsidR="001E136C">
        <w:rPr>
          <w:color w:val="auto"/>
        </w:rPr>
        <w:t>,</w:t>
      </w:r>
      <w:r w:rsidR="00BE284C" w:rsidRPr="00B511E9">
        <w:rPr>
          <w:color w:val="auto"/>
        </w:rPr>
        <w:t xml:space="preserve"> </w:t>
      </w:r>
      <w:r w:rsidR="00BE284C">
        <w:rPr>
          <w:color w:val="auto"/>
        </w:rPr>
        <w:t>tak</w:t>
      </w:r>
      <w:r w:rsidR="00BE284C" w:rsidRPr="00B511E9">
        <w:rPr>
          <w:color w:val="auto"/>
        </w:rPr>
        <w:t xml:space="preserve"> i mimo síť TEN-</w:t>
      </w:r>
      <w:r w:rsidR="00BE284C">
        <w:rPr>
          <w:color w:val="auto"/>
        </w:rPr>
        <w:t>T</w:t>
      </w:r>
      <w:r w:rsidR="00BE284C" w:rsidRPr="00B511E9">
        <w:rPr>
          <w:color w:val="auto"/>
        </w:rPr>
        <w:t xml:space="preserve">, zejména pak na silnicích </w:t>
      </w:r>
      <w:r w:rsidR="00BE284C">
        <w:rPr>
          <w:color w:val="auto"/>
        </w:rPr>
        <w:t>I</w:t>
      </w:r>
      <w:r w:rsidR="00BE284C" w:rsidRPr="00B511E9">
        <w:rPr>
          <w:color w:val="auto"/>
        </w:rPr>
        <w:t xml:space="preserve">. třídy, které </w:t>
      </w:r>
      <w:r w:rsidR="000959BE">
        <w:rPr>
          <w:color w:val="auto"/>
        </w:rPr>
        <w:t>vykazují</w:t>
      </w:r>
      <w:r w:rsidR="00BE284C" w:rsidRPr="00B511E9">
        <w:rPr>
          <w:color w:val="auto"/>
        </w:rPr>
        <w:t xml:space="preserve"> vysokou míru nehodovosti s</w:t>
      </w:r>
      <w:r w:rsidR="002B0D05">
        <w:rPr>
          <w:color w:val="auto"/>
        </w:rPr>
        <w:t> </w:t>
      </w:r>
      <w:r w:rsidR="00BE284C" w:rsidRPr="00B511E9">
        <w:rPr>
          <w:color w:val="auto"/>
        </w:rPr>
        <w:t xml:space="preserve">vážnými následky. </w:t>
      </w:r>
      <w:r w:rsidRPr="00B511E9">
        <w:rPr>
          <w:color w:val="auto"/>
        </w:rPr>
        <w:t xml:space="preserve">Výrazně také zvýšit míru odstraňování </w:t>
      </w:r>
      <w:r w:rsidR="00AE0693">
        <w:rPr>
          <w:color w:val="auto"/>
        </w:rPr>
        <w:t xml:space="preserve">dopravně </w:t>
      </w:r>
      <w:r w:rsidRPr="00B511E9">
        <w:rPr>
          <w:color w:val="auto"/>
        </w:rPr>
        <w:t xml:space="preserve">bezpečnostních deficitů </w:t>
      </w:r>
      <w:r w:rsidR="00EB02C8">
        <w:rPr>
          <w:color w:val="auto"/>
        </w:rPr>
        <w:t>identifikovaných</w:t>
      </w:r>
      <w:r w:rsidRPr="00B511E9">
        <w:rPr>
          <w:color w:val="auto"/>
        </w:rPr>
        <w:t xml:space="preserve"> realizovaný</w:t>
      </w:r>
      <w:r w:rsidR="00EB02C8">
        <w:rPr>
          <w:color w:val="auto"/>
        </w:rPr>
        <w:t>mi</w:t>
      </w:r>
      <w:r w:rsidRPr="00B511E9">
        <w:rPr>
          <w:color w:val="auto"/>
        </w:rPr>
        <w:t xml:space="preserve"> </w:t>
      </w:r>
      <w:r w:rsidR="00264D15">
        <w:rPr>
          <w:rFonts w:cs="Calibri"/>
        </w:rPr>
        <w:t>bezpečnostními inspekcemi</w:t>
      </w:r>
      <w:r w:rsidR="009F6FA2">
        <w:rPr>
          <w:rFonts w:cs="Calibri"/>
        </w:rPr>
        <w:t xml:space="preserve"> pozemních komunikací</w:t>
      </w:r>
      <w:r w:rsidRPr="00B511E9">
        <w:rPr>
          <w:color w:val="auto"/>
        </w:rPr>
        <w:t>, zejména těch, které byly zařazeny do kategorie primárních sanačních opatření. Obdobně významně zvýšit také míru realizovaných opatření ve prospěch bezpečnosti silničního provozu plynoucí</w:t>
      </w:r>
      <w:r w:rsidR="000959BE">
        <w:rPr>
          <w:color w:val="auto"/>
        </w:rPr>
        <w:t>ch</w:t>
      </w:r>
      <w:r w:rsidRPr="00B511E9">
        <w:rPr>
          <w:color w:val="auto"/>
        </w:rPr>
        <w:t xml:space="preserve"> z</w:t>
      </w:r>
      <w:r w:rsidR="002B0D05">
        <w:rPr>
          <w:color w:val="auto"/>
        </w:rPr>
        <w:t> </w:t>
      </w:r>
      <w:r w:rsidRPr="00B511E9">
        <w:rPr>
          <w:color w:val="auto"/>
        </w:rPr>
        <w:t>provedené identifikace a řešení nehodových lokalit.</w:t>
      </w:r>
    </w:p>
    <w:p w14:paraId="62C92638" w14:textId="77777777" w:rsidR="006A6BA0" w:rsidRPr="009C4343" w:rsidRDefault="009C4343" w:rsidP="005E68DD">
      <w:pPr>
        <w:pStyle w:val="Nadpis1"/>
      </w:pPr>
      <w:r w:rsidRPr="009C4343">
        <w:t>II. Informace o kontrolované oblasti</w:t>
      </w:r>
    </w:p>
    <w:p w14:paraId="59CC17B8" w14:textId="77777777" w:rsidR="000D5372" w:rsidRPr="007E6EF5" w:rsidRDefault="00A72FBF" w:rsidP="000D5372">
      <w:pPr>
        <w:pStyle w:val="JK2"/>
        <w:numPr>
          <w:ilvl w:val="0"/>
          <w:numId w:val="0"/>
        </w:numPr>
        <w:rPr>
          <w:b/>
          <w:i/>
        </w:rPr>
      </w:pPr>
      <w:r>
        <w:rPr>
          <w:b/>
          <w:i/>
        </w:rPr>
        <w:t>P</w:t>
      </w:r>
      <w:r w:rsidR="00ED38E0">
        <w:rPr>
          <w:b/>
          <w:i/>
        </w:rPr>
        <w:t xml:space="preserve">rávní, institucionální a strategický </w:t>
      </w:r>
      <w:r w:rsidR="000D5372">
        <w:rPr>
          <w:b/>
          <w:i/>
        </w:rPr>
        <w:t xml:space="preserve">rámec </w:t>
      </w:r>
      <w:r w:rsidR="00ED38E0">
        <w:rPr>
          <w:b/>
          <w:i/>
        </w:rPr>
        <w:t xml:space="preserve">oblasti </w:t>
      </w:r>
      <w:r w:rsidR="00A042D7" w:rsidRPr="00A042D7">
        <w:rPr>
          <w:b/>
          <w:i/>
        </w:rPr>
        <w:t>bezpečnosti silničního provozu</w:t>
      </w:r>
      <w:r w:rsidR="00ED38E0">
        <w:rPr>
          <w:b/>
          <w:i/>
        </w:rPr>
        <w:t xml:space="preserve"> v</w:t>
      </w:r>
      <w:r w:rsidR="002B0D05">
        <w:rPr>
          <w:b/>
          <w:i/>
        </w:rPr>
        <w:t> </w:t>
      </w:r>
      <w:r w:rsidR="00ED38E0">
        <w:rPr>
          <w:b/>
          <w:i/>
        </w:rPr>
        <w:t>ČR</w:t>
      </w:r>
    </w:p>
    <w:p w14:paraId="05B6E4D5" w14:textId="77777777" w:rsidR="00D11EFA" w:rsidRPr="00833D79" w:rsidRDefault="00BB725C" w:rsidP="00C32C9A">
      <w:pPr>
        <w:pStyle w:val="JK2"/>
        <w:tabs>
          <w:tab w:val="clear" w:pos="567"/>
        </w:tabs>
        <w:spacing w:after="0"/>
        <w:ind w:left="0" w:firstLine="0"/>
        <w:rPr>
          <w:color w:val="auto"/>
        </w:rPr>
      </w:pPr>
      <w:r>
        <w:rPr>
          <w:color w:val="auto"/>
        </w:rPr>
        <w:t xml:space="preserve">Oblast bezpečnosti silničního provozu je významným celospolečenským tématem. </w:t>
      </w:r>
      <w:r w:rsidR="00615DF8" w:rsidRPr="00D773C1">
        <w:rPr>
          <w:color w:val="auto"/>
        </w:rPr>
        <w:t>Ze</w:t>
      </w:r>
      <w:r w:rsidR="000959BE">
        <w:rPr>
          <w:color w:val="auto"/>
        </w:rPr>
        <w:t xml:space="preserve"> </w:t>
      </w:r>
      <w:r w:rsidR="00615DF8" w:rsidRPr="00D773C1">
        <w:rPr>
          <w:color w:val="auto"/>
        </w:rPr>
        <w:t xml:space="preserve">statistických údajů o dopravních </w:t>
      </w:r>
      <w:r w:rsidR="00615DF8" w:rsidRPr="004E4975">
        <w:rPr>
          <w:color w:val="auto"/>
        </w:rPr>
        <w:t>nehodách</w:t>
      </w:r>
      <w:r w:rsidR="000F2E09" w:rsidRPr="004E4975">
        <w:rPr>
          <w:rStyle w:val="Znakapoznpodarou"/>
          <w:color w:val="auto"/>
        </w:rPr>
        <w:footnoteReference w:id="6"/>
      </w:r>
      <w:r w:rsidR="00615DF8" w:rsidRPr="004E4975">
        <w:rPr>
          <w:color w:val="auto"/>
        </w:rPr>
        <w:t xml:space="preserve"> </w:t>
      </w:r>
      <w:r w:rsidR="000C0368" w:rsidRPr="004E4975">
        <w:rPr>
          <w:color w:val="auto"/>
        </w:rPr>
        <w:t>(</w:t>
      </w:r>
      <w:r w:rsidR="000C0368" w:rsidRPr="00262D83">
        <w:rPr>
          <w:color w:val="auto"/>
        </w:rPr>
        <w:t>dále také „statistika nehodovosti</w:t>
      </w:r>
      <w:r w:rsidR="008E6B1D" w:rsidRPr="00262D83">
        <w:rPr>
          <w:color w:val="auto"/>
        </w:rPr>
        <w:t xml:space="preserve"> </w:t>
      </w:r>
      <w:r w:rsidR="00FD73E4" w:rsidRPr="00262D83">
        <w:rPr>
          <w:color w:val="auto"/>
        </w:rPr>
        <w:t>PČR</w:t>
      </w:r>
      <w:r w:rsidR="000C0368" w:rsidRPr="00262D83">
        <w:rPr>
          <w:color w:val="auto"/>
        </w:rPr>
        <w:t xml:space="preserve">“) </w:t>
      </w:r>
      <w:r w:rsidR="00615DF8" w:rsidRPr="00262D83">
        <w:rPr>
          <w:color w:val="auto"/>
        </w:rPr>
        <w:t>vyplývá, že v</w:t>
      </w:r>
      <w:r w:rsidR="002B0D05">
        <w:rPr>
          <w:color w:val="auto"/>
        </w:rPr>
        <w:t> </w:t>
      </w:r>
      <w:r w:rsidR="00615DF8" w:rsidRPr="00262D83">
        <w:rPr>
          <w:color w:val="auto"/>
        </w:rPr>
        <w:t>letech 201</w:t>
      </w:r>
      <w:r w:rsidR="00043E08">
        <w:rPr>
          <w:color w:val="auto"/>
        </w:rPr>
        <w:t>1</w:t>
      </w:r>
      <w:r w:rsidR="00520870" w:rsidRPr="00262D83">
        <w:rPr>
          <w:color w:val="auto"/>
        </w:rPr>
        <w:t>–</w:t>
      </w:r>
      <w:r w:rsidR="00615DF8" w:rsidRPr="00262D83">
        <w:rPr>
          <w:color w:val="auto"/>
        </w:rPr>
        <w:t>2022 bylo v</w:t>
      </w:r>
      <w:r w:rsidR="002B0D05">
        <w:rPr>
          <w:color w:val="auto"/>
        </w:rPr>
        <w:t> </w:t>
      </w:r>
      <w:r w:rsidR="00615DF8" w:rsidRPr="00262D83">
        <w:rPr>
          <w:color w:val="auto"/>
        </w:rPr>
        <w:t xml:space="preserve">důsledku dopravních nehod na </w:t>
      </w:r>
      <w:r w:rsidR="00043E08">
        <w:rPr>
          <w:color w:val="auto"/>
        </w:rPr>
        <w:t>pozemních komunikacích</w:t>
      </w:r>
      <w:r w:rsidR="00043E08" w:rsidRPr="00262D83">
        <w:rPr>
          <w:color w:val="auto"/>
        </w:rPr>
        <w:t xml:space="preserve"> </w:t>
      </w:r>
      <w:r w:rsidR="00615DF8" w:rsidRPr="00262D83">
        <w:rPr>
          <w:color w:val="auto"/>
        </w:rPr>
        <w:t xml:space="preserve">České republiky usmrceno </w:t>
      </w:r>
      <w:r w:rsidR="00043E08">
        <w:rPr>
          <w:color w:val="auto"/>
        </w:rPr>
        <w:t>6 803</w:t>
      </w:r>
      <w:r w:rsidR="00615DF8" w:rsidRPr="00262D83">
        <w:rPr>
          <w:color w:val="auto"/>
        </w:rPr>
        <w:t xml:space="preserve"> osob a </w:t>
      </w:r>
      <w:r w:rsidR="00043E08">
        <w:rPr>
          <w:color w:val="auto"/>
        </w:rPr>
        <w:t>28 821</w:t>
      </w:r>
      <w:r w:rsidR="00615DF8" w:rsidRPr="00262D83">
        <w:rPr>
          <w:color w:val="auto"/>
        </w:rPr>
        <w:t xml:space="preserve"> osob bylo těžce zraněno. </w:t>
      </w:r>
      <w:r w:rsidR="009A03D9">
        <w:rPr>
          <w:color w:val="auto"/>
        </w:rPr>
        <w:t>Z</w:t>
      </w:r>
      <w:r w:rsidR="002B0D05">
        <w:rPr>
          <w:color w:val="auto"/>
        </w:rPr>
        <w:t> </w:t>
      </w:r>
      <w:r w:rsidR="009A03D9">
        <w:rPr>
          <w:color w:val="auto"/>
        </w:rPr>
        <w:t>toho</w:t>
      </w:r>
      <w:r w:rsidR="00043E08">
        <w:rPr>
          <w:color w:val="auto"/>
        </w:rPr>
        <w:t xml:space="preserve"> v</w:t>
      </w:r>
      <w:r w:rsidR="002B0D05">
        <w:rPr>
          <w:color w:val="auto"/>
        </w:rPr>
        <w:t> </w:t>
      </w:r>
      <w:r w:rsidR="00615DF8" w:rsidRPr="00262D83">
        <w:rPr>
          <w:color w:val="auto"/>
        </w:rPr>
        <w:t>roce 202</w:t>
      </w:r>
      <w:r w:rsidR="00D773C1" w:rsidRPr="00262D83">
        <w:rPr>
          <w:color w:val="auto"/>
        </w:rPr>
        <w:t>2</w:t>
      </w:r>
      <w:r w:rsidR="00615DF8" w:rsidRPr="00262D83">
        <w:rPr>
          <w:color w:val="auto"/>
        </w:rPr>
        <w:t xml:space="preserve"> se</w:t>
      </w:r>
      <w:r w:rsidR="000959BE">
        <w:rPr>
          <w:color w:val="auto"/>
        </w:rPr>
        <w:t xml:space="preserve"> </w:t>
      </w:r>
      <w:r w:rsidR="00615DF8" w:rsidRPr="00262D83">
        <w:rPr>
          <w:color w:val="auto"/>
        </w:rPr>
        <w:t>jednalo o</w:t>
      </w:r>
      <w:r w:rsidR="000959BE">
        <w:rPr>
          <w:color w:val="auto"/>
        </w:rPr>
        <w:t xml:space="preserve"> </w:t>
      </w:r>
      <w:r w:rsidR="00615DF8" w:rsidRPr="00262D83">
        <w:rPr>
          <w:color w:val="auto"/>
        </w:rPr>
        <w:t>4</w:t>
      </w:r>
      <w:r w:rsidR="00D773C1" w:rsidRPr="00262D83">
        <w:rPr>
          <w:color w:val="auto"/>
        </w:rPr>
        <w:t>54</w:t>
      </w:r>
      <w:r w:rsidR="00615DF8" w:rsidRPr="00262D83">
        <w:rPr>
          <w:color w:val="auto"/>
        </w:rPr>
        <w:t xml:space="preserve"> usmrcených a 1 </w:t>
      </w:r>
      <w:r w:rsidR="00D773C1" w:rsidRPr="00262D83">
        <w:rPr>
          <w:color w:val="auto"/>
        </w:rPr>
        <w:t>734</w:t>
      </w:r>
      <w:r w:rsidR="00615DF8" w:rsidRPr="00262D83">
        <w:rPr>
          <w:color w:val="auto"/>
        </w:rPr>
        <w:t xml:space="preserve"> těžce zraněných osob</w:t>
      </w:r>
      <w:r w:rsidR="006772CE" w:rsidRPr="00262D83">
        <w:rPr>
          <w:color w:val="auto"/>
        </w:rPr>
        <w:t>. V</w:t>
      </w:r>
      <w:r w:rsidR="002B0D05">
        <w:rPr>
          <w:color w:val="auto"/>
        </w:rPr>
        <w:t> </w:t>
      </w:r>
      <w:r w:rsidR="00615DF8" w:rsidRPr="00262D83">
        <w:rPr>
          <w:color w:val="auto"/>
        </w:rPr>
        <w:t>rámci zemí EU patřila</w:t>
      </w:r>
      <w:r w:rsidR="00112987" w:rsidRPr="00262D83">
        <w:rPr>
          <w:color w:val="auto"/>
        </w:rPr>
        <w:t xml:space="preserve"> ČR</w:t>
      </w:r>
      <w:r w:rsidR="00615DF8" w:rsidRPr="00262D83">
        <w:rPr>
          <w:color w:val="auto"/>
        </w:rPr>
        <w:t xml:space="preserve"> v</w:t>
      </w:r>
      <w:r w:rsidR="002B0D05">
        <w:rPr>
          <w:color w:val="auto"/>
        </w:rPr>
        <w:t> </w:t>
      </w:r>
      <w:r w:rsidR="00615DF8" w:rsidRPr="00262D83">
        <w:rPr>
          <w:color w:val="auto"/>
        </w:rPr>
        <w:t>roce 202</w:t>
      </w:r>
      <w:r w:rsidR="00D773C1" w:rsidRPr="00262D83">
        <w:rPr>
          <w:color w:val="auto"/>
        </w:rPr>
        <w:t>2</w:t>
      </w:r>
      <w:r w:rsidR="00615DF8" w:rsidRPr="00262D83">
        <w:rPr>
          <w:color w:val="auto"/>
        </w:rPr>
        <w:t xml:space="preserve"> s</w:t>
      </w:r>
      <w:r w:rsidR="000959BE">
        <w:rPr>
          <w:color w:val="auto"/>
        </w:rPr>
        <w:t xml:space="preserve"> </w:t>
      </w:r>
      <w:r w:rsidR="00615DF8" w:rsidRPr="00262D83">
        <w:rPr>
          <w:color w:val="auto"/>
        </w:rPr>
        <w:t>cca</w:t>
      </w:r>
      <w:r w:rsidR="000959BE">
        <w:rPr>
          <w:color w:val="auto"/>
        </w:rPr>
        <w:t xml:space="preserve"> </w:t>
      </w:r>
      <w:r w:rsidR="00615DF8" w:rsidRPr="00262D83">
        <w:rPr>
          <w:color w:val="auto"/>
        </w:rPr>
        <w:t>50</w:t>
      </w:r>
      <w:r w:rsidR="000959BE">
        <w:rPr>
          <w:color w:val="auto"/>
        </w:rPr>
        <w:t xml:space="preserve"> </w:t>
      </w:r>
      <w:r w:rsidR="00615DF8" w:rsidRPr="00262D83">
        <w:rPr>
          <w:color w:val="auto"/>
        </w:rPr>
        <w:t>usmrcenými osobami</w:t>
      </w:r>
      <w:r w:rsidR="000F2E09" w:rsidRPr="00262D83">
        <w:rPr>
          <w:color w:val="auto"/>
        </w:rPr>
        <w:t xml:space="preserve"> </w:t>
      </w:r>
      <w:r w:rsidR="00615DF8" w:rsidRPr="00262D83">
        <w:rPr>
          <w:color w:val="auto"/>
        </w:rPr>
        <w:t>na 1 milion obyvatel na 1</w:t>
      </w:r>
      <w:r w:rsidR="00BC01E9" w:rsidRPr="00262D83">
        <w:rPr>
          <w:color w:val="auto"/>
        </w:rPr>
        <w:t>7</w:t>
      </w:r>
      <w:r w:rsidR="00615DF8" w:rsidRPr="00262D83">
        <w:rPr>
          <w:color w:val="auto"/>
        </w:rPr>
        <w:t>.</w:t>
      </w:r>
      <w:r w:rsidR="006C46B9" w:rsidRPr="00262D83">
        <w:rPr>
          <w:color w:val="auto"/>
        </w:rPr>
        <w:t>–19.</w:t>
      </w:r>
      <w:r w:rsidR="00615DF8" w:rsidRPr="00262D83">
        <w:rPr>
          <w:color w:val="auto"/>
        </w:rPr>
        <w:t xml:space="preserve"> místo</w:t>
      </w:r>
      <w:r w:rsidR="005D7EEB" w:rsidRPr="00262D83">
        <w:rPr>
          <w:color w:val="auto"/>
        </w:rPr>
        <w:t xml:space="preserve"> a je v</w:t>
      </w:r>
      <w:r w:rsidR="000959BE">
        <w:rPr>
          <w:color w:val="auto"/>
        </w:rPr>
        <w:t xml:space="preserve"> </w:t>
      </w:r>
      <w:r w:rsidR="005D7EEB" w:rsidRPr="00262D83">
        <w:rPr>
          <w:color w:val="auto"/>
        </w:rPr>
        <w:t>těchto klíčových statistikách horší</w:t>
      </w:r>
      <w:r w:rsidR="00F762BD" w:rsidRPr="00262D83">
        <w:rPr>
          <w:color w:val="auto"/>
        </w:rPr>
        <w:t>,</w:t>
      </w:r>
      <w:r w:rsidR="005D7EEB" w:rsidRPr="00262D83">
        <w:rPr>
          <w:color w:val="auto"/>
        </w:rPr>
        <w:t xml:space="preserve"> než j</w:t>
      </w:r>
      <w:r w:rsidRPr="00262D83">
        <w:rPr>
          <w:color w:val="auto"/>
        </w:rPr>
        <w:t>e průměr</w:t>
      </w:r>
      <w:r w:rsidR="005D7EEB" w:rsidRPr="00262D83">
        <w:rPr>
          <w:color w:val="auto"/>
        </w:rPr>
        <w:t xml:space="preserve"> za celou EU</w:t>
      </w:r>
      <w:r w:rsidR="00D35177" w:rsidRPr="00262D83">
        <w:rPr>
          <w:color w:val="auto"/>
        </w:rPr>
        <w:t xml:space="preserve"> (viz příloha č. 1)</w:t>
      </w:r>
      <w:r w:rsidR="00615DF8" w:rsidRPr="00262D83">
        <w:rPr>
          <w:color w:val="auto"/>
        </w:rPr>
        <w:t>.</w:t>
      </w:r>
      <w:r w:rsidR="00D773C1" w:rsidRPr="00262D83">
        <w:rPr>
          <w:color w:val="auto"/>
        </w:rPr>
        <w:t xml:space="preserve"> </w:t>
      </w:r>
      <w:r w:rsidR="00615DF8" w:rsidRPr="00262D83">
        <w:rPr>
          <w:color w:val="auto"/>
        </w:rPr>
        <w:t xml:space="preserve">Vedle dopadu na lidské životy a zdraví mají dopravní nehody a jejich následky negativní </w:t>
      </w:r>
      <w:r w:rsidR="000959BE">
        <w:rPr>
          <w:color w:val="auto"/>
        </w:rPr>
        <w:t>vliv</w:t>
      </w:r>
      <w:r w:rsidR="00615DF8" w:rsidRPr="00262D83">
        <w:rPr>
          <w:color w:val="auto"/>
        </w:rPr>
        <w:t xml:space="preserve"> také na ekonomiku ČR.</w:t>
      </w:r>
      <w:r w:rsidR="00D11EFA" w:rsidRPr="00262D83">
        <w:rPr>
          <w:color w:val="auto"/>
        </w:rPr>
        <w:t xml:space="preserve"> Např. v</w:t>
      </w:r>
      <w:r w:rsidR="002B0D05">
        <w:rPr>
          <w:color w:val="auto"/>
        </w:rPr>
        <w:t> </w:t>
      </w:r>
      <w:r w:rsidR="00D11EFA" w:rsidRPr="00262D83">
        <w:rPr>
          <w:color w:val="auto"/>
        </w:rPr>
        <w:t xml:space="preserve">roce 2022 </w:t>
      </w:r>
      <w:r w:rsidR="0034275F" w:rsidRPr="00262D83">
        <w:rPr>
          <w:color w:val="auto"/>
        </w:rPr>
        <w:t>činil odhad</w:t>
      </w:r>
      <w:r w:rsidR="00D11EFA" w:rsidRPr="00262D83">
        <w:rPr>
          <w:color w:val="auto"/>
        </w:rPr>
        <w:t xml:space="preserve"> celkov</w:t>
      </w:r>
      <w:r w:rsidR="0034275F" w:rsidRPr="00262D83">
        <w:rPr>
          <w:color w:val="auto"/>
        </w:rPr>
        <w:t>ých</w:t>
      </w:r>
      <w:r w:rsidR="00D11EFA" w:rsidRPr="00262D83">
        <w:rPr>
          <w:color w:val="auto"/>
        </w:rPr>
        <w:t xml:space="preserve"> roční</w:t>
      </w:r>
      <w:r w:rsidR="0034275F" w:rsidRPr="00262D83">
        <w:rPr>
          <w:color w:val="auto"/>
        </w:rPr>
        <w:t>ch</w:t>
      </w:r>
      <w:r w:rsidR="00D11EFA" w:rsidRPr="00262D83">
        <w:rPr>
          <w:color w:val="auto"/>
        </w:rPr>
        <w:t xml:space="preserve"> ekonomick</w:t>
      </w:r>
      <w:r w:rsidR="0034275F" w:rsidRPr="00262D83">
        <w:rPr>
          <w:color w:val="auto"/>
        </w:rPr>
        <w:t>ých</w:t>
      </w:r>
      <w:r w:rsidR="00D11EFA" w:rsidRPr="00262D83">
        <w:rPr>
          <w:color w:val="auto"/>
        </w:rPr>
        <w:t xml:space="preserve"> ztrát z</w:t>
      </w:r>
      <w:r w:rsidR="002B0D05">
        <w:rPr>
          <w:color w:val="auto"/>
        </w:rPr>
        <w:t> </w:t>
      </w:r>
      <w:r w:rsidR="00D11EFA" w:rsidRPr="00262D83">
        <w:rPr>
          <w:color w:val="auto"/>
        </w:rPr>
        <w:t xml:space="preserve">dopravní nehodovosti </w:t>
      </w:r>
      <w:r w:rsidR="00D11EFA" w:rsidRPr="00262D83">
        <w:rPr>
          <w:color w:val="auto"/>
        </w:rPr>
        <w:lastRenderedPageBreak/>
        <w:t>na pozemních komunikacích</w:t>
      </w:r>
      <w:r w:rsidR="00D208EC" w:rsidRPr="00262D83">
        <w:rPr>
          <w:color w:val="auto"/>
        </w:rPr>
        <w:t xml:space="preserve"> (dále také „PK“)</w:t>
      </w:r>
      <w:r w:rsidR="00D11EFA" w:rsidRPr="00262D83">
        <w:rPr>
          <w:color w:val="auto"/>
        </w:rPr>
        <w:t xml:space="preserve"> téměř 135 mld. Kč, c</w:t>
      </w:r>
      <w:r w:rsidR="00D11EFA" w:rsidRPr="00833D79">
        <w:rPr>
          <w:color w:val="auto"/>
        </w:rPr>
        <w:t>ož</w:t>
      </w:r>
      <w:r w:rsidR="00C06DB7">
        <w:rPr>
          <w:color w:val="auto"/>
        </w:rPr>
        <w:t xml:space="preserve"> </w:t>
      </w:r>
      <w:r w:rsidR="00D11EFA" w:rsidRPr="00833D79">
        <w:rPr>
          <w:color w:val="auto"/>
        </w:rPr>
        <w:t>představuje přibližně 2,2</w:t>
      </w:r>
      <w:r w:rsidR="00C06DB7">
        <w:rPr>
          <w:color w:val="auto"/>
        </w:rPr>
        <w:t> </w:t>
      </w:r>
      <w:r w:rsidR="00D11EFA" w:rsidRPr="00833D79">
        <w:rPr>
          <w:color w:val="auto"/>
        </w:rPr>
        <w:t>% hrubého domácího produktu ČR</w:t>
      </w:r>
      <w:r w:rsidR="00B60FC2" w:rsidRPr="007E6EF5">
        <w:rPr>
          <w:rStyle w:val="Znakapoznpodarou"/>
          <w:color w:val="auto"/>
        </w:rPr>
        <w:footnoteReference w:id="7"/>
      </w:r>
      <w:r w:rsidR="00D11EFA" w:rsidRPr="00833D79">
        <w:rPr>
          <w:color w:val="auto"/>
        </w:rPr>
        <w:t xml:space="preserve">. </w:t>
      </w:r>
    </w:p>
    <w:p w14:paraId="547583F0" w14:textId="77777777" w:rsidR="008D7D7B" w:rsidRPr="006772CE" w:rsidRDefault="00384903" w:rsidP="00C32C9A">
      <w:pPr>
        <w:pStyle w:val="JK2"/>
        <w:tabs>
          <w:tab w:val="clear" w:pos="567"/>
        </w:tabs>
        <w:spacing w:after="0"/>
        <w:ind w:left="0" w:firstLine="0"/>
        <w:rPr>
          <w:rFonts w:ascii="CIDFont+F1" w:hAnsi="CIDFont+F1" w:cs="CIDFont+F1"/>
        </w:rPr>
      </w:pPr>
      <w:r w:rsidRPr="007E6EF5">
        <w:rPr>
          <w:color w:val="auto"/>
        </w:rPr>
        <w:t>Základní právní rámec bezpečnosti silničního provozu</w:t>
      </w:r>
      <w:r w:rsidR="00EF04D9" w:rsidRPr="007E6EF5">
        <w:rPr>
          <w:color w:val="auto"/>
        </w:rPr>
        <w:t xml:space="preserve"> </w:t>
      </w:r>
      <w:r w:rsidRPr="007E6EF5">
        <w:rPr>
          <w:color w:val="auto"/>
        </w:rPr>
        <w:t>v</w:t>
      </w:r>
      <w:r w:rsidR="002B0D05">
        <w:rPr>
          <w:color w:val="auto"/>
        </w:rPr>
        <w:t> </w:t>
      </w:r>
      <w:r w:rsidRPr="007E6EF5">
        <w:rPr>
          <w:color w:val="auto"/>
        </w:rPr>
        <w:t xml:space="preserve">ČR </w:t>
      </w:r>
      <w:r w:rsidR="006F3CF3">
        <w:rPr>
          <w:color w:val="auto"/>
        </w:rPr>
        <w:t>upravuje</w:t>
      </w:r>
      <w:r w:rsidRPr="007E6EF5">
        <w:rPr>
          <w:color w:val="auto"/>
        </w:rPr>
        <w:t xml:space="preserve"> </w:t>
      </w:r>
      <w:bookmarkStart w:id="5" w:name="_Hlk140844571"/>
      <w:r w:rsidRPr="007E6EF5">
        <w:rPr>
          <w:color w:val="auto"/>
        </w:rPr>
        <w:t>zákon č.</w:t>
      </w:r>
      <w:r w:rsidR="00061A9C">
        <w:rPr>
          <w:color w:val="auto"/>
        </w:rPr>
        <w:t> </w:t>
      </w:r>
      <w:r w:rsidRPr="007E6EF5">
        <w:rPr>
          <w:color w:val="auto"/>
        </w:rPr>
        <w:t>361/2000</w:t>
      </w:r>
      <w:r w:rsidR="00061A9C">
        <w:rPr>
          <w:color w:val="auto"/>
        </w:rPr>
        <w:t> </w:t>
      </w:r>
      <w:r w:rsidRPr="007E6EF5">
        <w:rPr>
          <w:color w:val="auto"/>
        </w:rPr>
        <w:t>Sb.</w:t>
      </w:r>
      <w:bookmarkEnd w:id="5"/>
      <w:r w:rsidR="008D7D7B" w:rsidRPr="007E6EF5">
        <w:rPr>
          <w:rStyle w:val="Znakapoznpodarou"/>
          <w:color w:val="auto"/>
        </w:rPr>
        <w:footnoteReference w:id="8"/>
      </w:r>
      <w:r w:rsidRPr="007E6EF5">
        <w:rPr>
          <w:color w:val="auto"/>
        </w:rPr>
        <w:t xml:space="preserve"> </w:t>
      </w:r>
      <w:r w:rsidR="006F3CF3">
        <w:t xml:space="preserve">Stanovuje </w:t>
      </w:r>
      <w:r w:rsidR="008D7D7B" w:rsidRPr="007E6EF5">
        <w:t>zejména</w:t>
      </w:r>
      <w:r w:rsidR="008E78F6" w:rsidRPr="007E6EF5">
        <w:t xml:space="preserve"> </w:t>
      </w:r>
      <w:r w:rsidR="0062639D" w:rsidRPr="007E6EF5">
        <w:rPr>
          <w:rFonts w:ascii="CIDFont+F1" w:hAnsi="CIDFont+F1" w:cs="CIDFont+F1"/>
        </w:rPr>
        <w:t xml:space="preserve">práva a povinnosti účastníků provozu na </w:t>
      </w:r>
      <w:r w:rsidR="000247F0" w:rsidRPr="007E6EF5">
        <w:rPr>
          <w:rFonts w:ascii="CIDFont+F1" w:hAnsi="CIDFont+F1" w:cs="CIDFont+F1"/>
        </w:rPr>
        <w:t>PK</w:t>
      </w:r>
      <w:r w:rsidR="008E78F6" w:rsidRPr="007E6EF5">
        <w:rPr>
          <w:rFonts w:ascii="CIDFont+F1" w:hAnsi="CIDFont+F1" w:cs="CIDFont+F1"/>
        </w:rPr>
        <w:t xml:space="preserve">, </w:t>
      </w:r>
      <w:r w:rsidRPr="007E6EF5">
        <w:rPr>
          <w:rFonts w:ascii="CIDFont+F1" w:hAnsi="CIDFont+F1" w:cs="CIDFont+F1"/>
        </w:rPr>
        <w:t>úpravu a</w:t>
      </w:r>
      <w:r w:rsidR="005B2ADF">
        <w:rPr>
          <w:rFonts w:ascii="CIDFont+F1" w:hAnsi="CIDFont+F1" w:cs="CIDFont+F1"/>
        </w:rPr>
        <w:t> </w:t>
      </w:r>
      <w:r w:rsidRPr="007E6EF5">
        <w:rPr>
          <w:rFonts w:ascii="CIDFont+F1" w:hAnsi="CIDFont+F1" w:cs="CIDFont+F1"/>
        </w:rPr>
        <w:t xml:space="preserve">řízení provozu na </w:t>
      </w:r>
      <w:r w:rsidR="000247F0" w:rsidRPr="007E6EF5">
        <w:rPr>
          <w:rFonts w:ascii="CIDFont+F1" w:hAnsi="CIDFont+F1" w:cs="CIDFont+F1"/>
        </w:rPr>
        <w:t>PK</w:t>
      </w:r>
      <w:r w:rsidRPr="007E6EF5">
        <w:rPr>
          <w:rFonts w:ascii="CIDFont+F1" w:hAnsi="CIDFont+F1" w:cs="CIDFont+F1"/>
        </w:rPr>
        <w:t xml:space="preserve"> </w:t>
      </w:r>
      <w:r w:rsidR="008E78F6" w:rsidRPr="007E6EF5">
        <w:rPr>
          <w:rFonts w:ascii="CIDFont+F1" w:hAnsi="CIDFont+F1" w:cs="CIDFont+F1"/>
        </w:rPr>
        <w:t xml:space="preserve">a </w:t>
      </w:r>
      <w:r w:rsidRPr="007E6EF5">
        <w:rPr>
          <w:rFonts w:ascii="CIDFont+F1" w:hAnsi="CIDFont+F1" w:cs="CIDFont+F1"/>
        </w:rPr>
        <w:t>působnost a pravomoc</w:t>
      </w:r>
      <w:r w:rsidR="000959BE">
        <w:rPr>
          <w:rFonts w:ascii="CIDFont+F1" w:hAnsi="CIDFont+F1" w:cs="CIDFont+F1"/>
        </w:rPr>
        <w:t>i</w:t>
      </w:r>
      <w:r w:rsidRPr="007E6EF5">
        <w:rPr>
          <w:rFonts w:ascii="CIDFont+F1" w:hAnsi="CIDFont+F1" w:cs="CIDFont+F1"/>
        </w:rPr>
        <w:t xml:space="preserve"> orgánů státní správy a</w:t>
      </w:r>
      <w:r w:rsidR="000959BE">
        <w:rPr>
          <w:rFonts w:ascii="CIDFont+F1" w:hAnsi="CIDFont+F1" w:cs="CIDFont+F1"/>
        </w:rPr>
        <w:t xml:space="preserve"> </w:t>
      </w:r>
      <w:r w:rsidRPr="007E6EF5">
        <w:rPr>
          <w:rFonts w:ascii="CIDFont+F1" w:hAnsi="CIDFont+F1" w:cs="CIDFont+F1"/>
        </w:rPr>
        <w:t xml:space="preserve">Policie ČR ve věcech provozu na </w:t>
      </w:r>
      <w:r w:rsidR="000247F0" w:rsidRPr="007E6EF5">
        <w:rPr>
          <w:rFonts w:ascii="CIDFont+F1" w:hAnsi="CIDFont+F1" w:cs="CIDFont+F1"/>
        </w:rPr>
        <w:t>PK</w:t>
      </w:r>
      <w:r w:rsidRPr="007E6EF5">
        <w:rPr>
          <w:rFonts w:ascii="CIDFont+F1" w:hAnsi="CIDFont+F1" w:cs="CIDFont+F1"/>
        </w:rPr>
        <w:t xml:space="preserve">. </w:t>
      </w:r>
      <w:r w:rsidR="006F3CF3">
        <w:t>O</w:t>
      </w:r>
      <w:r w:rsidRPr="007E6EF5">
        <w:t xml:space="preserve">blast bezpečnosti pozemních komunikací </w:t>
      </w:r>
      <w:r w:rsidR="000D5372">
        <w:t xml:space="preserve">jako </w:t>
      </w:r>
      <w:r w:rsidR="00540FA5">
        <w:t xml:space="preserve">nedílnou </w:t>
      </w:r>
      <w:r w:rsidR="000D5372">
        <w:t xml:space="preserve">součást </w:t>
      </w:r>
      <w:r w:rsidR="00A042D7">
        <w:t>bezpečnosti silničního provozu</w:t>
      </w:r>
      <w:r w:rsidR="000D5372">
        <w:t xml:space="preserve"> </w:t>
      </w:r>
      <w:r w:rsidR="006F3CF3">
        <w:t>upravuje</w:t>
      </w:r>
      <w:r w:rsidRPr="007E6EF5">
        <w:t xml:space="preserve"> </w:t>
      </w:r>
      <w:bookmarkStart w:id="6" w:name="_Hlk140845325"/>
      <w:r w:rsidRPr="006772CE">
        <w:rPr>
          <w:color w:val="auto"/>
        </w:rPr>
        <w:t>zákon č.</w:t>
      </w:r>
      <w:r w:rsidR="00135029">
        <w:rPr>
          <w:color w:val="auto"/>
        </w:rPr>
        <w:t xml:space="preserve"> </w:t>
      </w:r>
      <w:r w:rsidRPr="006772CE">
        <w:rPr>
          <w:color w:val="auto"/>
        </w:rPr>
        <w:t>13/1997 Sb</w:t>
      </w:r>
      <w:r w:rsidRPr="007E6EF5">
        <w:t>.</w:t>
      </w:r>
      <w:bookmarkEnd w:id="6"/>
      <w:r w:rsidR="008D7D7B" w:rsidRPr="007E6EF5">
        <w:rPr>
          <w:rStyle w:val="Znakapoznpodarou"/>
          <w:color w:val="auto"/>
        </w:rPr>
        <w:footnoteReference w:id="9"/>
      </w:r>
      <w:r w:rsidR="008D7D7B" w:rsidRPr="006772CE">
        <w:rPr>
          <w:color w:val="auto"/>
        </w:rPr>
        <w:t xml:space="preserve"> </w:t>
      </w:r>
      <w:r w:rsidR="00187B95" w:rsidRPr="007E6EF5">
        <w:t>Ten</w:t>
      </w:r>
      <w:r w:rsidR="008D7D7B" w:rsidRPr="007E6EF5">
        <w:t xml:space="preserve"> </w:t>
      </w:r>
      <w:r w:rsidR="00CC6A2C">
        <w:t>stanoví</w:t>
      </w:r>
      <w:r w:rsidR="008D7D7B" w:rsidRPr="007E6EF5">
        <w:t xml:space="preserve"> zejména</w:t>
      </w:r>
      <w:r w:rsidR="008E78F6" w:rsidRPr="007E6EF5">
        <w:t xml:space="preserve"> </w:t>
      </w:r>
      <w:r w:rsidR="008D7D7B" w:rsidRPr="006772CE">
        <w:rPr>
          <w:rFonts w:ascii="CIDFont+F1" w:hAnsi="CIDFont+F1" w:cs="CIDFont+F1"/>
        </w:rPr>
        <w:t>kategorizaci pozemních komunikací, podmínky</w:t>
      </w:r>
      <w:r w:rsidR="00CC6A2C">
        <w:rPr>
          <w:rFonts w:ascii="CIDFont+F1" w:hAnsi="CIDFont+F1" w:cs="CIDFont+F1"/>
        </w:rPr>
        <w:t xml:space="preserve"> jejich stavby,</w:t>
      </w:r>
      <w:r w:rsidR="008D7D7B" w:rsidRPr="006772CE">
        <w:rPr>
          <w:rFonts w:ascii="CIDFont+F1" w:hAnsi="CIDFont+F1" w:cs="CIDFont+F1"/>
        </w:rPr>
        <w:t xml:space="preserve"> užívání a ochran</w:t>
      </w:r>
      <w:r w:rsidR="00CC6A2C">
        <w:rPr>
          <w:rFonts w:ascii="CIDFont+F1" w:hAnsi="CIDFont+F1" w:cs="CIDFont+F1"/>
        </w:rPr>
        <w:t>y</w:t>
      </w:r>
      <w:r w:rsidR="008D7D7B" w:rsidRPr="006772CE">
        <w:rPr>
          <w:rFonts w:ascii="CIDFont+F1" w:hAnsi="CIDFont+F1" w:cs="CIDFont+F1"/>
        </w:rPr>
        <w:t xml:space="preserve">, </w:t>
      </w:r>
      <w:r w:rsidR="009420A8" w:rsidRPr="006772CE">
        <w:rPr>
          <w:rFonts w:ascii="CIDFont+F1" w:hAnsi="CIDFont+F1" w:cs="CIDFont+F1"/>
        </w:rPr>
        <w:t xml:space="preserve">pravidla pro </w:t>
      </w:r>
      <w:r w:rsidR="0062639D" w:rsidRPr="006772CE">
        <w:rPr>
          <w:rFonts w:ascii="CIDFont+F1" w:hAnsi="CIDFont+F1" w:cs="CIDFont+F1"/>
        </w:rPr>
        <w:t>pos</w:t>
      </w:r>
      <w:r w:rsidR="009420A8" w:rsidRPr="006772CE">
        <w:rPr>
          <w:rFonts w:ascii="CIDFont+F1" w:hAnsi="CIDFont+F1" w:cs="CIDFont+F1"/>
        </w:rPr>
        <w:t>ouzen</w:t>
      </w:r>
      <w:r w:rsidR="0062639D" w:rsidRPr="006772CE">
        <w:rPr>
          <w:rFonts w:ascii="CIDFont+F1" w:hAnsi="CIDFont+F1" w:cs="CIDFont+F1"/>
        </w:rPr>
        <w:t xml:space="preserve">í bezpečnosti </w:t>
      </w:r>
      <w:r w:rsidR="000247F0" w:rsidRPr="006772CE">
        <w:rPr>
          <w:rFonts w:ascii="CIDFont+F1" w:hAnsi="CIDFont+F1" w:cs="CIDFont+F1"/>
        </w:rPr>
        <w:t>PK</w:t>
      </w:r>
      <w:r w:rsidR="0062639D" w:rsidRPr="006772CE">
        <w:rPr>
          <w:rFonts w:ascii="CIDFont+F1" w:hAnsi="CIDFont+F1" w:cs="CIDFont+F1"/>
        </w:rPr>
        <w:t xml:space="preserve"> z</w:t>
      </w:r>
      <w:r w:rsidR="000959BE">
        <w:rPr>
          <w:rFonts w:ascii="CIDFont+F1" w:hAnsi="CIDFont+F1" w:cs="CIDFont+F1"/>
        </w:rPr>
        <w:t xml:space="preserve"> </w:t>
      </w:r>
      <w:r w:rsidR="0062639D" w:rsidRPr="006772CE">
        <w:rPr>
          <w:rFonts w:ascii="CIDFont+F1" w:hAnsi="CIDFont+F1" w:cs="CIDFont+F1"/>
        </w:rPr>
        <w:t>hlediska rizika dopravních nehod a závažnosti jejich dopadů,</w:t>
      </w:r>
      <w:r w:rsidR="008E78F6" w:rsidRPr="006772CE">
        <w:rPr>
          <w:rFonts w:ascii="CIDFont+F1" w:hAnsi="CIDFont+F1" w:cs="CIDFont+F1"/>
        </w:rPr>
        <w:t xml:space="preserve"> </w:t>
      </w:r>
      <w:r w:rsidR="008D7D7B" w:rsidRPr="006772CE">
        <w:rPr>
          <w:rFonts w:ascii="CIDFont+F1" w:hAnsi="CIDFont+F1" w:cs="CIDFont+F1"/>
        </w:rPr>
        <w:t>práva a</w:t>
      </w:r>
      <w:r w:rsidR="001524C4">
        <w:rPr>
          <w:rFonts w:ascii="CIDFont+F1" w:hAnsi="CIDFont+F1" w:cs="CIDFont+F1"/>
        </w:rPr>
        <w:t> </w:t>
      </w:r>
      <w:r w:rsidR="008D7D7B" w:rsidRPr="006772CE">
        <w:rPr>
          <w:rFonts w:ascii="CIDFont+F1" w:hAnsi="CIDFont+F1" w:cs="CIDFont+F1"/>
        </w:rPr>
        <w:t xml:space="preserve">povinnosti vlastníků </w:t>
      </w:r>
      <w:r w:rsidR="000247F0" w:rsidRPr="006772CE">
        <w:rPr>
          <w:rFonts w:ascii="CIDFont+F1" w:hAnsi="CIDFont+F1" w:cs="CIDFont+F1"/>
        </w:rPr>
        <w:t>PK</w:t>
      </w:r>
      <w:r w:rsidR="008D7D7B" w:rsidRPr="006772CE">
        <w:rPr>
          <w:rFonts w:ascii="CIDFont+F1" w:hAnsi="CIDFont+F1" w:cs="CIDFont+F1"/>
        </w:rPr>
        <w:t xml:space="preserve"> a jejich uživatelů</w:t>
      </w:r>
      <w:r w:rsidR="008E78F6" w:rsidRPr="006772CE">
        <w:rPr>
          <w:rFonts w:ascii="CIDFont+F1" w:hAnsi="CIDFont+F1" w:cs="CIDFont+F1"/>
        </w:rPr>
        <w:t xml:space="preserve"> a </w:t>
      </w:r>
      <w:r w:rsidR="008D7D7B" w:rsidRPr="006772CE">
        <w:rPr>
          <w:rFonts w:ascii="CIDFont+F1" w:hAnsi="CIDFont+F1" w:cs="CIDFont+F1"/>
        </w:rPr>
        <w:t xml:space="preserve">výkon státní správy ve věcech </w:t>
      </w:r>
      <w:r w:rsidR="000247F0" w:rsidRPr="006772CE">
        <w:rPr>
          <w:rFonts w:ascii="CIDFont+F1" w:hAnsi="CIDFont+F1" w:cs="CIDFont+F1"/>
        </w:rPr>
        <w:t xml:space="preserve">PK </w:t>
      </w:r>
      <w:r w:rsidR="008D7D7B" w:rsidRPr="006772CE">
        <w:rPr>
          <w:rFonts w:ascii="CIDFont+F1" w:hAnsi="CIDFont+F1" w:cs="CIDFont+F1"/>
        </w:rPr>
        <w:t>příslušnými silničními správními úřady.</w:t>
      </w:r>
    </w:p>
    <w:p w14:paraId="3B536FBF" w14:textId="77777777" w:rsidR="00384903" w:rsidRPr="00262D83" w:rsidRDefault="001605CF" w:rsidP="00C32C9A">
      <w:pPr>
        <w:pStyle w:val="JK2"/>
        <w:tabs>
          <w:tab w:val="clear" w:pos="567"/>
        </w:tabs>
        <w:spacing w:after="0"/>
        <w:ind w:left="0" w:firstLine="0"/>
      </w:pPr>
      <w:r w:rsidRPr="00C32C9A">
        <w:rPr>
          <w:color w:val="auto"/>
        </w:rPr>
        <w:t>Ministerstv</w:t>
      </w:r>
      <w:r w:rsidR="006F3CF3" w:rsidRPr="00C32C9A">
        <w:rPr>
          <w:color w:val="auto"/>
        </w:rPr>
        <w:t>o</w:t>
      </w:r>
      <w:r w:rsidRPr="007E6EF5">
        <w:t xml:space="preserve"> dopravy je ústředním orgánem státní správy </w:t>
      </w:r>
      <w:r w:rsidR="00384903" w:rsidRPr="007E6EF5">
        <w:t>ve věcech provozu na</w:t>
      </w:r>
      <w:r w:rsidR="000959BE">
        <w:t xml:space="preserve"> </w:t>
      </w:r>
      <w:r w:rsidR="001E136C">
        <w:t>PK</w:t>
      </w:r>
      <w:r w:rsidR="00384903" w:rsidRPr="007E6EF5">
        <w:t xml:space="preserve"> </w:t>
      </w:r>
      <w:r w:rsidR="006F3CF3">
        <w:t>(</w:t>
      </w:r>
      <w:r w:rsidR="00384903" w:rsidRPr="007E6EF5">
        <w:t>s</w:t>
      </w:r>
      <w:r w:rsidR="005B2ADF">
        <w:t> </w:t>
      </w:r>
      <w:r w:rsidR="00384903" w:rsidRPr="007E6EF5">
        <w:t>výjimkou dohledu na</w:t>
      </w:r>
      <w:r w:rsidR="00361C6B">
        <w:t>d</w:t>
      </w:r>
      <w:r w:rsidR="00384903" w:rsidRPr="007E6EF5">
        <w:t xml:space="preserve"> bezpečnost</w:t>
      </w:r>
      <w:r w:rsidR="00361C6B">
        <w:t>í</w:t>
      </w:r>
      <w:r w:rsidR="00384903" w:rsidRPr="007E6EF5">
        <w:t xml:space="preserve"> a plynulost</w:t>
      </w:r>
      <w:r w:rsidR="00361C6B">
        <w:t>í</w:t>
      </w:r>
      <w:r w:rsidR="00384903" w:rsidRPr="007E6EF5">
        <w:t xml:space="preserve"> provozu</w:t>
      </w:r>
      <w:r w:rsidR="006F3CF3">
        <w:t xml:space="preserve">, </w:t>
      </w:r>
      <w:r w:rsidR="000959BE">
        <w:t>tento dohled</w:t>
      </w:r>
      <w:r w:rsidR="006F3CF3">
        <w:t xml:space="preserve"> spadá do působnosti </w:t>
      </w:r>
      <w:r w:rsidR="00361C6B">
        <w:t>Policie ČR)</w:t>
      </w:r>
      <w:r w:rsidR="00384903" w:rsidRPr="007E6EF5">
        <w:t xml:space="preserve">. </w:t>
      </w:r>
      <w:bookmarkStart w:id="7" w:name="_Hlk140041588"/>
      <w:r w:rsidR="00384903" w:rsidRPr="007E6EF5">
        <w:t>V</w:t>
      </w:r>
      <w:r w:rsidR="002B0D05">
        <w:t> </w:t>
      </w:r>
      <w:r w:rsidR="00384903" w:rsidRPr="007E6EF5">
        <w:t xml:space="preserve">souladu </w:t>
      </w:r>
      <w:r w:rsidR="00080B24" w:rsidRPr="007E6EF5">
        <w:rPr>
          <w:color w:val="auto"/>
        </w:rPr>
        <w:t xml:space="preserve">se </w:t>
      </w:r>
      <w:r w:rsidR="00080B24" w:rsidRPr="007E6EF5">
        <w:rPr>
          <w:rFonts w:cs="Calibri"/>
          <w:color w:val="auto"/>
        </w:rPr>
        <w:t>zákonem č. 361/2000 Sb.</w:t>
      </w:r>
      <w:r w:rsidR="00080B24" w:rsidRPr="007E6EF5">
        <w:rPr>
          <w:rStyle w:val="Znakapoznpodarou"/>
          <w:rFonts w:cs="Calibri"/>
          <w:color w:val="auto"/>
        </w:rPr>
        <w:footnoteReference w:id="10"/>
      </w:r>
      <w:r w:rsidR="00384903" w:rsidRPr="007E6EF5">
        <w:rPr>
          <w:color w:val="auto"/>
        </w:rPr>
        <w:t xml:space="preserve"> </w:t>
      </w:r>
      <w:r w:rsidR="00384903" w:rsidRPr="007E6EF5">
        <w:t>provádí</w:t>
      </w:r>
      <w:r w:rsidR="00252C06" w:rsidRPr="007E6EF5">
        <w:t xml:space="preserve"> MD</w:t>
      </w:r>
      <w:r w:rsidR="00384903" w:rsidRPr="007E6EF5">
        <w:t xml:space="preserve"> prevenci v</w:t>
      </w:r>
      <w:r w:rsidR="002B0D05">
        <w:t> </w:t>
      </w:r>
      <w:r w:rsidR="00384903" w:rsidRPr="007E6EF5">
        <w:t xml:space="preserve">oblasti bezpečnosti provozu na </w:t>
      </w:r>
      <w:r w:rsidR="000247F0" w:rsidRPr="007E6EF5">
        <w:t>PK</w:t>
      </w:r>
      <w:r w:rsidR="005D1F09">
        <w:t>.</w:t>
      </w:r>
      <w:r w:rsidR="00384903" w:rsidRPr="007E6EF5">
        <w:rPr>
          <w:rStyle w:val="Znakapoznpodarou"/>
        </w:rPr>
        <w:footnoteReference w:id="11"/>
      </w:r>
      <w:r w:rsidR="00384903" w:rsidRPr="007E6EF5">
        <w:t xml:space="preserve"> MD je </w:t>
      </w:r>
      <w:bookmarkEnd w:id="7"/>
      <w:r w:rsidRPr="007E6EF5">
        <w:t xml:space="preserve">zároveň tvůrcem </w:t>
      </w:r>
      <w:r w:rsidR="00290CA0" w:rsidRPr="007E6EF5">
        <w:t>s</w:t>
      </w:r>
      <w:r w:rsidRPr="007E6EF5">
        <w:t>trategických dokumentů BESIP. V</w:t>
      </w:r>
      <w:r w:rsidR="00C06DB7">
        <w:t xml:space="preserve"> </w:t>
      </w:r>
      <w:r w:rsidRPr="007E6EF5">
        <w:t>souladu s</w:t>
      </w:r>
      <w:r w:rsidR="002B0D05">
        <w:t> </w:t>
      </w:r>
      <w:r w:rsidRPr="007E6EF5">
        <w:t>příslušnými usneseními vlády</w:t>
      </w:r>
      <w:r w:rsidR="00796AA8">
        <w:t xml:space="preserve"> </w:t>
      </w:r>
      <w:r w:rsidR="00043E08">
        <w:t>České republiky</w:t>
      </w:r>
      <w:r w:rsidR="008E78F6" w:rsidRPr="00262D83">
        <w:rPr>
          <w:rStyle w:val="Znakapoznpodarou"/>
        </w:rPr>
        <w:footnoteReference w:id="12"/>
      </w:r>
      <w:r w:rsidRPr="00262D83">
        <w:t xml:space="preserve">, kterými byly </w:t>
      </w:r>
      <w:r w:rsidR="00290CA0" w:rsidRPr="00262D83">
        <w:t>s</w:t>
      </w:r>
      <w:r w:rsidRPr="00262D83">
        <w:t>trategické dokumenty BESIP schváleny, je MD koordinátorem plnění opatření</w:t>
      </w:r>
      <w:r w:rsidR="00252C06" w:rsidRPr="00262D83">
        <w:t xml:space="preserve"> BESIP</w:t>
      </w:r>
      <w:r w:rsidRPr="00262D83">
        <w:t xml:space="preserve">. </w:t>
      </w:r>
    </w:p>
    <w:p w14:paraId="0AF2B8E6" w14:textId="77777777" w:rsidR="00095C39" w:rsidRPr="00262D83" w:rsidRDefault="00DF23AF" w:rsidP="00C32C9A">
      <w:pPr>
        <w:pStyle w:val="JK2"/>
        <w:tabs>
          <w:tab w:val="clear" w:pos="567"/>
        </w:tabs>
        <w:spacing w:after="0"/>
        <w:ind w:left="0" w:firstLine="0"/>
        <w:rPr>
          <w:rFonts w:asciiTheme="minorHAnsi" w:hAnsiTheme="minorHAnsi" w:cstheme="minorHAnsi"/>
        </w:rPr>
      </w:pPr>
      <w:r w:rsidRPr="00C32C9A">
        <w:rPr>
          <w:color w:val="auto"/>
        </w:rPr>
        <w:t>Dle</w:t>
      </w:r>
      <w:r w:rsidRPr="00262D83">
        <w:rPr>
          <w:rFonts w:asciiTheme="minorHAnsi" w:hAnsiTheme="minorHAnsi" w:cstheme="minorHAnsi"/>
        </w:rPr>
        <w:t xml:space="preserve"> organizačního řádu MD účinného v</w:t>
      </w:r>
      <w:r w:rsidR="002B0D05">
        <w:rPr>
          <w:rFonts w:asciiTheme="minorHAnsi" w:hAnsiTheme="minorHAnsi" w:cstheme="minorHAnsi"/>
        </w:rPr>
        <w:t> </w:t>
      </w:r>
      <w:r w:rsidRPr="00262D83">
        <w:rPr>
          <w:rFonts w:asciiTheme="minorHAnsi" w:hAnsiTheme="minorHAnsi" w:cstheme="minorHAnsi"/>
        </w:rPr>
        <w:t xml:space="preserve">době realizace kontroly </w:t>
      </w:r>
      <w:r w:rsidR="00252C06" w:rsidRPr="00262D83">
        <w:rPr>
          <w:rFonts w:asciiTheme="minorHAnsi" w:hAnsiTheme="minorHAnsi" w:cstheme="minorHAnsi"/>
        </w:rPr>
        <w:t>patří</w:t>
      </w:r>
      <w:r w:rsidR="00095C39" w:rsidRPr="00262D83">
        <w:rPr>
          <w:rFonts w:asciiTheme="minorHAnsi" w:hAnsiTheme="minorHAnsi" w:cstheme="minorHAnsi"/>
        </w:rPr>
        <w:t xml:space="preserve"> </w:t>
      </w:r>
      <w:r w:rsidR="00252C06" w:rsidRPr="00262D83">
        <w:rPr>
          <w:rFonts w:asciiTheme="minorHAnsi" w:hAnsiTheme="minorHAnsi" w:cstheme="minorHAnsi"/>
        </w:rPr>
        <w:t xml:space="preserve">mezi </w:t>
      </w:r>
      <w:r w:rsidR="00095C39" w:rsidRPr="00262D83">
        <w:rPr>
          <w:rFonts w:asciiTheme="minorHAnsi" w:hAnsiTheme="minorHAnsi" w:cstheme="minorHAnsi"/>
        </w:rPr>
        <w:t xml:space="preserve">agendy vykonávané </w:t>
      </w:r>
      <w:r w:rsidR="000959BE" w:rsidRPr="00C32C9A">
        <w:rPr>
          <w:color w:val="auto"/>
        </w:rPr>
        <w:t>Ministerstv</w:t>
      </w:r>
      <w:r w:rsidR="000959BE">
        <w:rPr>
          <w:color w:val="auto"/>
        </w:rPr>
        <w:t>em</w:t>
      </w:r>
      <w:r w:rsidR="000959BE" w:rsidRPr="007E6EF5">
        <w:t xml:space="preserve"> dopravy </w:t>
      </w:r>
      <w:r w:rsidR="00B701A3">
        <w:rPr>
          <w:rFonts w:asciiTheme="minorHAnsi" w:hAnsiTheme="minorHAnsi" w:cstheme="minorHAnsi"/>
        </w:rPr>
        <w:t>v oblasti BESIP</w:t>
      </w:r>
      <w:r w:rsidR="00095C39" w:rsidRPr="00262D83">
        <w:rPr>
          <w:rFonts w:asciiTheme="minorHAnsi" w:hAnsiTheme="minorHAnsi" w:cstheme="minorHAnsi"/>
        </w:rPr>
        <w:t xml:space="preserve"> mj.:</w:t>
      </w:r>
    </w:p>
    <w:p w14:paraId="1CAC001C" w14:textId="77777777" w:rsidR="00095C39" w:rsidRPr="003A617E" w:rsidRDefault="00095C39" w:rsidP="003A617E">
      <w:pPr>
        <w:pStyle w:val="Odstavecseseznamem"/>
        <w:numPr>
          <w:ilvl w:val="0"/>
          <w:numId w:val="12"/>
        </w:numPr>
        <w:autoSpaceDE w:val="0"/>
        <w:autoSpaceDN w:val="0"/>
        <w:adjustRightInd w:val="0"/>
        <w:spacing w:after="0" w:line="240" w:lineRule="auto"/>
        <w:ind w:left="714" w:hanging="357"/>
        <w:contextualSpacing w:val="0"/>
        <w:jc w:val="both"/>
        <w:rPr>
          <w:rFonts w:cstheme="minorHAnsi"/>
          <w:sz w:val="24"/>
          <w:szCs w:val="24"/>
        </w:rPr>
      </w:pPr>
      <w:r w:rsidRPr="003A617E">
        <w:rPr>
          <w:rFonts w:cstheme="minorHAnsi"/>
          <w:sz w:val="24"/>
          <w:szCs w:val="24"/>
        </w:rPr>
        <w:t>tvorba strategických materiálů v</w:t>
      </w:r>
      <w:r w:rsidR="002B0D05">
        <w:rPr>
          <w:rFonts w:cstheme="minorHAnsi"/>
          <w:sz w:val="24"/>
          <w:szCs w:val="24"/>
        </w:rPr>
        <w:t> </w:t>
      </w:r>
      <w:r w:rsidRPr="003A617E">
        <w:rPr>
          <w:rFonts w:cstheme="minorHAnsi"/>
          <w:sz w:val="24"/>
          <w:szCs w:val="24"/>
        </w:rPr>
        <w:t>oblasti bezpečnostního plánování;</w:t>
      </w:r>
    </w:p>
    <w:p w14:paraId="0D8D00A0" w14:textId="77777777" w:rsidR="00095C39" w:rsidRPr="003A617E" w:rsidRDefault="00095C39" w:rsidP="00C9479A">
      <w:pPr>
        <w:pStyle w:val="Odstavecseseznamem"/>
        <w:numPr>
          <w:ilvl w:val="0"/>
          <w:numId w:val="12"/>
        </w:numPr>
        <w:autoSpaceDE w:val="0"/>
        <w:autoSpaceDN w:val="0"/>
        <w:adjustRightInd w:val="0"/>
        <w:spacing w:after="0" w:line="240" w:lineRule="auto"/>
        <w:jc w:val="both"/>
        <w:rPr>
          <w:rFonts w:cstheme="minorHAnsi"/>
          <w:sz w:val="24"/>
          <w:szCs w:val="24"/>
        </w:rPr>
      </w:pPr>
      <w:r w:rsidRPr="003A617E">
        <w:rPr>
          <w:rFonts w:cstheme="minorHAnsi"/>
          <w:sz w:val="24"/>
          <w:szCs w:val="24"/>
        </w:rPr>
        <w:t>metodické vedení a koordinace provádění prevence v</w:t>
      </w:r>
      <w:r w:rsidR="002B0D05">
        <w:rPr>
          <w:rFonts w:cstheme="minorHAnsi"/>
          <w:sz w:val="24"/>
          <w:szCs w:val="24"/>
        </w:rPr>
        <w:t> </w:t>
      </w:r>
      <w:r w:rsidRPr="003A617E">
        <w:rPr>
          <w:rFonts w:cstheme="minorHAnsi"/>
          <w:sz w:val="24"/>
          <w:szCs w:val="24"/>
        </w:rPr>
        <w:t>oblasti BESIP a dopravní výchovy v</w:t>
      </w:r>
      <w:r w:rsidR="002B0D05">
        <w:rPr>
          <w:rFonts w:cstheme="minorHAnsi"/>
          <w:sz w:val="24"/>
          <w:szCs w:val="24"/>
        </w:rPr>
        <w:t> </w:t>
      </w:r>
      <w:r w:rsidRPr="003A617E">
        <w:rPr>
          <w:rFonts w:cstheme="minorHAnsi"/>
          <w:sz w:val="24"/>
          <w:szCs w:val="24"/>
        </w:rPr>
        <w:t>jednotlivých krajích ČR prostřednictvím CSPSD;</w:t>
      </w:r>
    </w:p>
    <w:p w14:paraId="755DB46B" w14:textId="77777777" w:rsidR="00095C39" w:rsidRPr="003A617E" w:rsidRDefault="00095C39" w:rsidP="00C9479A">
      <w:pPr>
        <w:pStyle w:val="Odstavecseseznamem"/>
        <w:numPr>
          <w:ilvl w:val="0"/>
          <w:numId w:val="12"/>
        </w:numPr>
        <w:autoSpaceDE w:val="0"/>
        <w:autoSpaceDN w:val="0"/>
        <w:adjustRightInd w:val="0"/>
        <w:spacing w:after="0" w:line="240" w:lineRule="auto"/>
        <w:jc w:val="both"/>
        <w:rPr>
          <w:rFonts w:cstheme="minorHAnsi"/>
          <w:sz w:val="24"/>
          <w:szCs w:val="24"/>
        </w:rPr>
      </w:pPr>
      <w:r w:rsidRPr="003A617E">
        <w:rPr>
          <w:rFonts w:cstheme="minorHAnsi"/>
          <w:sz w:val="24"/>
          <w:szCs w:val="24"/>
        </w:rPr>
        <w:t>koordinace vybraných projektů</w:t>
      </w:r>
      <w:r w:rsidR="002620C7" w:rsidRPr="003A617E">
        <w:rPr>
          <w:rFonts w:cstheme="minorHAnsi"/>
          <w:sz w:val="24"/>
          <w:szCs w:val="24"/>
        </w:rPr>
        <w:t xml:space="preserve"> a </w:t>
      </w:r>
      <w:r w:rsidRPr="003A617E">
        <w:rPr>
          <w:rFonts w:cstheme="minorHAnsi"/>
          <w:sz w:val="24"/>
          <w:szCs w:val="24"/>
        </w:rPr>
        <w:t xml:space="preserve">programů </w:t>
      </w:r>
      <w:r w:rsidR="002620C7" w:rsidRPr="003A617E">
        <w:rPr>
          <w:rFonts w:cstheme="minorHAnsi"/>
          <w:sz w:val="24"/>
          <w:szCs w:val="24"/>
        </w:rPr>
        <w:t>k</w:t>
      </w:r>
      <w:r w:rsidRPr="003A617E">
        <w:rPr>
          <w:rFonts w:cstheme="minorHAnsi"/>
          <w:sz w:val="24"/>
          <w:szCs w:val="24"/>
        </w:rPr>
        <w:t>e zvýšení BESIP</w:t>
      </w:r>
      <w:r w:rsidR="002620C7" w:rsidRPr="003A617E">
        <w:rPr>
          <w:rFonts w:cstheme="minorHAnsi"/>
          <w:sz w:val="24"/>
          <w:szCs w:val="24"/>
        </w:rPr>
        <w:t>;</w:t>
      </w:r>
    </w:p>
    <w:p w14:paraId="26DF52DA" w14:textId="77777777" w:rsidR="002620C7" w:rsidRPr="003A617E" w:rsidRDefault="002620C7" w:rsidP="00C9479A">
      <w:pPr>
        <w:pStyle w:val="Odstavecseseznamem"/>
        <w:numPr>
          <w:ilvl w:val="0"/>
          <w:numId w:val="12"/>
        </w:numPr>
        <w:autoSpaceDE w:val="0"/>
        <w:autoSpaceDN w:val="0"/>
        <w:adjustRightInd w:val="0"/>
        <w:spacing w:after="0" w:line="240" w:lineRule="auto"/>
        <w:jc w:val="both"/>
        <w:rPr>
          <w:rFonts w:cstheme="minorHAnsi"/>
          <w:sz w:val="24"/>
          <w:szCs w:val="24"/>
        </w:rPr>
      </w:pPr>
      <w:r w:rsidRPr="003A617E">
        <w:rPr>
          <w:rFonts w:cstheme="minorHAnsi"/>
          <w:sz w:val="24"/>
          <w:szCs w:val="24"/>
        </w:rPr>
        <w:t xml:space="preserve">realizace kampaní se zaměřením na zvýšení </w:t>
      </w:r>
      <w:r w:rsidR="00EF04D9" w:rsidRPr="003A617E">
        <w:rPr>
          <w:rFonts w:cstheme="minorHAnsi"/>
          <w:sz w:val="24"/>
          <w:szCs w:val="24"/>
        </w:rPr>
        <w:t>BESIP</w:t>
      </w:r>
      <w:r w:rsidRPr="003A617E">
        <w:rPr>
          <w:rFonts w:cstheme="minorHAnsi"/>
          <w:sz w:val="24"/>
          <w:szCs w:val="24"/>
        </w:rPr>
        <w:t xml:space="preserve"> na </w:t>
      </w:r>
      <w:r w:rsidR="000247F0" w:rsidRPr="003A617E">
        <w:rPr>
          <w:rFonts w:cstheme="minorHAnsi"/>
          <w:sz w:val="24"/>
          <w:szCs w:val="24"/>
        </w:rPr>
        <w:t>PK</w:t>
      </w:r>
      <w:r w:rsidRPr="003A617E">
        <w:rPr>
          <w:rFonts w:cstheme="minorHAnsi"/>
          <w:sz w:val="24"/>
          <w:szCs w:val="24"/>
        </w:rPr>
        <w:t>;</w:t>
      </w:r>
    </w:p>
    <w:p w14:paraId="607A30E9" w14:textId="77777777" w:rsidR="00095C39" w:rsidRPr="003A617E" w:rsidRDefault="00095C39" w:rsidP="003A617E">
      <w:pPr>
        <w:pStyle w:val="Odstavecseseznamem"/>
        <w:numPr>
          <w:ilvl w:val="0"/>
          <w:numId w:val="12"/>
        </w:numPr>
        <w:autoSpaceDE w:val="0"/>
        <w:autoSpaceDN w:val="0"/>
        <w:adjustRightInd w:val="0"/>
        <w:spacing w:after="60" w:line="240" w:lineRule="auto"/>
        <w:ind w:left="714" w:hanging="357"/>
        <w:contextualSpacing w:val="0"/>
        <w:jc w:val="both"/>
        <w:rPr>
          <w:rFonts w:cstheme="minorHAnsi"/>
          <w:sz w:val="24"/>
          <w:szCs w:val="24"/>
        </w:rPr>
      </w:pPr>
      <w:r w:rsidRPr="003A617E">
        <w:rPr>
          <w:rFonts w:cstheme="minorHAnsi"/>
          <w:sz w:val="24"/>
          <w:szCs w:val="24"/>
        </w:rPr>
        <w:t>účast v</w:t>
      </w:r>
      <w:r w:rsidR="002B0D05">
        <w:rPr>
          <w:rFonts w:cstheme="minorHAnsi"/>
          <w:sz w:val="24"/>
          <w:szCs w:val="24"/>
        </w:rPr>
        <w:t> </w:t>
      </w:r>
      <w:r w:rsidRPr="003A617E">
        <w:rPr>
          <w:rFonts w:cstheme="minorHAnsi"/>
          <w:sz w:val="24"/>
          <w:szCs w:val="24"/>
        </w:rPr>
        <w:t>orgánech EU a mezinárodní spolupráce v</w:t>
      </w:r>
      <w:r w:rsidR="002B0D05">
        <w:rPr>
          <w:rFonts w:cstheme="minorHAnsi"/>
          <w:sz w:val="24"/>
          <w:szCs w:val="24"/>
        </w:rPr>
        <w:t> </w:t>
      </w:r>
      <w:r w:rsidRPr="003A617E">
        <w:rPr>
          <w:rFonts w:cstheme="minorHAnsi"/>
          <w:sz w:val="24"/>
          <w:szCs w:val="24"/>
        </w:rPr>
        <w:t xml:space="preserve">oblasti bezpečnosti provozu na </w:t>
      </w:r>
      <w:r w:rsidR="000247F0" w:rsidRPr="003A617E">
        <w:rPr>
          <w:rFonts w:cstheme="minorHAnsi"/>
          <w:sz w:val="24"/>
          <w:szCs w:val="24"/>
        </w:rPr>
        <w:t>PK</w:t>
      </w:r>
      <w:r w:rsidR="002620C7" w:rsidRPr="003A617E">
        <w:rPr>
          <w:rFonts w:cstheme="minorHAnsi"/>
          <w:sz w:val="24"/>
          <w:szCs w:val="24"/>
        </w:rPr>
        <w:t>.</w:t>
      </w:r>
    </w:p>
    <w:p w14:paraId="4AB351EE" w14:textId="77777777" w:rsidR="001605CF" w:rsidRDefault="001605CF" w:rsidP="003A617E">
      <w:pPr>
        <w:pStyle w:val="JK2"/>
        <w:numPr>
          <w:ilvl w:val="0"/>
          <w:numId w:val="0"/>
        </w:numPr>
        <w:spacing w:before="0"/>
        <w:rPr>
          <w:rFonts w:asciiTheme="minorHAnsi" w:hAnsiTheme="minorHAnsi" w:cstheme="minorHAnsi"/>
        </w:rPr>
      </w:pPr>
      <w:r w:rsidRPr="003A617E">
        <w:rPr>
          <w:rFonts w:asciiTheme="minorHAnsi" w:hAnsiTheme="minorHAnsi" w:cstheme="minorHAnsi"/>
        </w:rPr>
        <w:t xml:space="preserve">Na oblast bezpečnosti silničního provozu </w:t>
      </w:r>
      <w:r w:rsidR="002620C7" w:rsidRPr="003A617E">
        <w:rPr>
          <w:rFonts w:asciiTheme="minorHAnsi" w:hAnsiTheme="minorHAnsi" w:cstheme="minorHAnsi"/>
        </w:rPr>
        <w:t xml:space="preserve">vynaložilo </w:t>
      </w:r>
      <w:r w:rsidRPr="003A617E">
        <w:rPr>
          <w:rFonts w:asciiTheme="minorHAnsi" w:hAnsiTheme="minorHAnsi" w:cstheme="minorHAnsi"/>
        </w:rPr>
        <w:t>MD</w:t>
      </w:r>
      <w:r w:rsidR="002620C7" w:rsidRPr="003A617E">
        <w:rPr>
          <w:rFonts w:asciiTheme="minorHAnsi" w:hAnsiTheme="minorHAnsi" w:cstheme="minorHAnsi"/>
        </w:rPr>
        <w:t xml:space="preserve"> </w:t>
      </w:r>
      <w:r w:rsidRPr="003A617E">
        <w:rPr>
          <w:rFonts w:asciiTheme="minorHAnsi" w:hAnsiTheme="minorHAnsi" w:cstheme="minorHAnsi"/>
        </w:rPr>
        <w:t>v</w:t>
      </w:r>
      <w:r w:rsidR="002B0D05">
        <w:rPr>
          <w:rFonts w:asciiTheme="minorHAnsi" w:hAnsiTheme="minorHAnsi" w:cstheme="minorHAnsi"/>
        </w:rPr>
        <w:t> </w:t>
      </w:r>
      <w:r w:rsidRPr="003A617E">
        <w:rPr>
          <w:rFonts w:asciiTheme="minorHAnsi" w:hAnsiTheme="minorHAnsi" w:cstheme="minorHAnsi"/>
        </w:rPr>
        <w:t xml:space="preserve">kontrolovaném období </w:t>
      </w:r>
      <w:r w:rsidR="007561C9" w:rsidRPr="003A617E">
        <w:rPr>
          <w:rFonts w:asciiTheme="minorHAnsi" w:hAnsiTheme="minorHAnsi" w:cstheme="minorHAnsi"/>
        </w:rPr>
        <w:t>peněžní prostředky ve výši</w:t>
      </w:r>
      <w:r w:rsidRPr="003A617E">
        <w:rPr>
          <w:rFonts w:asciiTheme="minorHAnsi" w:hAnsiTheme="minorHAnsi" w:cstheme="minorHAnsi"/>
        </w:rPr>
        <w:t xml:space="preserve"> 129,7 mil. Kč. </w:t>
      </w:r>
    </w:p>
    <w:p w14:paraId="5C5AF7E4" w14:textId="77777777" w:rsidR="00917390" w:rsidRDefault="00917390" w:rsidP="003A617E">
      <w:pPr>
        <w:pStyle w:val="JK2"/>
        <w:numPr>
          <w:ilvl w:val="0"/>
          <w:numId w:val="0"/>
        </w:numPr>
        <w:spacing w:before="0"/>
        <w:rPr>
          <w:rFonts w:asciiTheme="minorHAnsi" w:hAnsiTheme="minorHAnsi" w:cstheme="minorHAnsi"/>
        </w:rPr>
      </w:pPr>
    </w:p>
    <w:p w14:paraId="28E4DD44" w14:textId="77777777" w:rsidR="00917390" w:rsidRPr="003A617E" w:rsidRDefault="00917390" w:rsidP="003A617E">
      <w:pPr>
        <w:pStyle w:val="JK2"/>
        <w:numPr>
          <w:ilvl w:val="0"/>
          <w:numId w:val="0"/>
        </w:numPr>
        <w:spacing w:before="0"/>
        <w:rPr>
          <w:rFonts w:asciiTheme="minorHAnsi" w:hAnsiTheme="minorHAnsi" w:cstheme="minorHAnsi"/>
        </w:rPr>
      </w:pPr>
    </w:p>
    <w:p w14:paraId="6F0941B5" w14:textId="77777777" w:rsidR="001605CF" w:rsidRPr="007E6EF5" w:rsidRDefault="001605CF" w:rsidP="00C32C9A">
      <w:pPr>
        <w:pStyle w:val="JK2"/>
        <w:tabs>
          <w:tab w:val="clear" w:pos="567"/>
        </w:tabs>
        <w:spacing w:after="0"/>
        <w:ind w:left="0" w:firstLine="0"/>
      </w:pPr>
      <w:r w:rsidRPr="00C32C9A">
        <w:rPr>
          <w:color w:val="auto"/>
        </w:rPr>
        <w:lastRenderedPageBreak/>
        <w:t>Centr</w:t>
      </w:r>
      <w:r w:rsidR="006F3CF3" w:rsidRPr="00C32C9A">
        <w:rPr>
          <w:color w:val="auto"/>
        </w:rPr>
        <w:t>um</w:t>
      </w:r>
      <w:r w:rsidRPr="007E6EF5">
        <w:t xml:space="preserve"> služeb pro silniční dopravu je státní příspěvkovou organizací, jejímž zřizovatelem je MD</w:t>
      </w:r>
      <w:r w:rsidR="006F3CF3">
        <w:t>.</w:t>
      </w:r>
      <w:r w:rsidRPr="007E6EF5">
        <w:t xml:space="preserve"> </w:t>
      </w:r>
      <w:r w:rsidR="006F3CF3">
        <w:t>P</w:t>
      </w:r>
      <w:r w:rsidRPr="007E6EF5">
        <w:t xml:space="preserve">odílí </w:t>
      </w:r>
      <w:r w:rsidR="006F3CF3">
        <w:t xml:space="preserve">se </w:t>
      </w:r>
      <w:r w:rsidRPr="007E6EF5">
        <w:t>na zajišťování činností v</w:t>
      </w:r>
      <w:r w:rsidR="002B0D05">
        <w:t> </w:t>
      </w:r>
      <w:r w:rsidRPr="007E6EF5">
        <w:t xml:space="preserve">oblasti bezpečnosti silničního provozu na základě </w:t>
      </w:r>
      <w:r w:rsidR="00252C06" w:rsidRPr="007E6EF5">
        <w:t>z</w:t>
      </w:r>
      <w:r w:rsidRPr="007E6EF5">
        <w:t xml:space="preserve">řizovací listiny a dle požadavků MD. Tyto činnosti realizuje </w:t>
      </w:r>
      <w:r w:rsidR="004D2ADA" w:rsidRPr="007E6EF5">
        <w:t xml:space="preserve">CSPSD </w:t>
      </w:r>
      <w:r w:rsidR="00252C06" w:rsidRPr="007E6EF5">
        <w:t>prostřednictvím</w:t>
      </w:r>
      <w:r w:rsidRPr="007E6EF5">
        <w:t xml:space="preserve"> </w:t>
      </w:r>
      <w:r w:rsidR="0034368E" w:rsidRPr="007E6EF5">
        <w:t>krajských koordinátorů</w:t>
      </w:r>
      <w:r w:rsidR="00611734">
        <w:rPr>
          <w:rStyle w:val="Znakapoznpodarou"/>
        </w:rPr>
        <w:footnoteReference w:id="13"/>
      </w:r>
      <w:r w:rsidR="0034368E" w:rsidRPr="007E6EF5">
        <w:t xml:space="preserve"> a </w:t>
      </w:r>
      <w:r w:rsidR="002C1923">
        <w:t>poskytovatele</w:t>
      </w:r>
      <w:r w:rsidR="0034368E" w:rsidRPr="007E6EF5">
        <w:t xml:space="preserve"> BESIP Teamu</w:t>
      </w:r>
      <w:r w:rsidR="005D1F09">
        <w:t>.</w:t>
      </w:r>
      <w:r w:rsidR="006D68AA">
        <w:rPr>
          <w:rStyle w:val="Znakapoznpodarou"/>
        </w:rPr>
        <w:footnoteReference w:id="14"/>
      </w:r>
      <w:r w:rsidR="00794B85">
        <w:t xml:space="preserve"> </w:t>
      </w:r>
      <w:r w:rsidR="000A0E7A">
        <w:t>S</w:t>
      </w:r>
      <w:r w:rsidR="004D2ADA">
        <w:t xml:space="preserve"> </w:t>
      </w:r>
      <w:r w:rsidR="000A0E7A">
        <w:t>krajskými koordinátory i</w:t>
      </w:r>
      <w:r w:rsidR="005B2ADF">
        <w:t> </w:t>
      </w:r>
      <w:r w:rsidR="002C1923">
        <w:t xml:space="preserve">poskytovatelem </w:t>
      </w:r>
      <w:r w:rsidR="000A0E7A">
        <w:t>BESIP Team</w:t>
      </w:r>
      <w:r w:rsidR="00EB02C8">
        <w:t>u</w:t>
      </w:r>
      <w:r w:rsidR="000A0E7A">
        <w:t xml:space="preserve"> uzavřelo CSPSD na </w:t>
      </w:r>
      <w:r w:rsidR="002C1923">
        <w:t xml:space="preserve">zajištění </w:t>
      </w:r>
      <w:r w:rsidR="000A0E7A">
        <w:t xml:space="preserve">těchto činností dodavatelské smlouvy. </w:t>
      </w:r>
      <w:r w:rsidRPr="007E6EF5">
        <w:t xml:space="preserve">Na </w:t>
      </w:r>
      <w:r w:rsidR="00A668FD" w:rsidRPr="007E6EF5">
        <w:t>výdaje</w:t>
      </w:r>
      <w:r w:rsidRPr="007E6EF5">
        <w:t xml:space="preserve"> související s</w:t>
      </w:r>
      <w:r w:rsidR="004D2ADA">
        <w:t xml:space="preserve"> </w:t>
      </w:r>
      <w:r w:rsidRPr="007E6EF5">
        <w:t xml:space="preserve">oblastí </w:t>
      </w:r>
      <w:r w:rsidR="006A0A5E" w:rsidRPr="007E6EF5">
        <w:t xml:space="preserve">BESIP obdrželo </w:t>
      </w:r>
      <w:r w:rsidRPr="007E6EF5">
        <w:t>CSPSD od svého zřizovatele v</w:t>
      </w:r>
      <w:r w:rsidR="002B0D05">
        <w:t> </w:t>
      </w:r>
      <w:r w:rsidRPr="007E6EF5">
        <w:t xml:space="preserve">kontrolovaném období </w:t>
      </w:r>
      <w:r w:rsidR="004A785F" w:rsidRPr="007E6EF5">
        <w:t>příspěvek</w:t>
      </w:r>
      <w:r w:rsidR="004A453D">
        <w:t xml:space="preserve"> na provoz</w:t>
      </w:r>
      <w:r w:rsidR="004A785F" w:rsidRPr="007E6EF5">
        <w:t xml:space="preserve"> ve</w:t>
      </w:r>
      <w:r w:rsidR="007841F8">
        <w:t> </w:t>
      </w:r>
      <w:r w:rsidR="004A785F" w:rsidRPr="007E6EF5">
        <w:t>výši</w:t>
      </w:r>
      <w:r w:rsidRPr="007E6EF5">
        <w:t xml:space="preserve"> 19</w:t>
      </w:r>
      <w:r w:rsidR="0034368E" w:rsidRPr="007E6EF5">
        <w:t>1</w:t>
      </w:r>
      <w:r w:rsidR="00D06791">
        <w:t>,0</w:t>
      </w:r>
      <w:r w:rsidRPr="007E6EF5">
        <w:t xml:space="preserve"> mil. Kč.</w:t>
      </w:r>
    </w:p>
    <w:p w14:paraId="512AABF2" w14:textId="6E8769F5" w:rsidR="001605CF" w:rsidRPr="007E6EF5" w:rsidRDefault="002E6F94" w:rsidP="00C32C9A">
      <w:pPr>
        <w:pStyle w:val="JK2"/>
        <w:tabs>
          <w:tab w:val="clear" w:pos="567"/>
        </w:tabs>
        <w:spacing w:after="0"/>
        <w:ind w:left="0" w:firstLine="0"/>
      </w:pPr>
      <w:r>
        <w:t xml:space="preserve"> </w:t>
      </w:r>
      <w:r w:rsidRPr="00C32C9A">
        <w:rPr>
          <w:color w:val="auto"/>
        </w:rPr>
        <w:t>Oblast</w:t>
      </w:r>
      <w:r>
        <w:t xml:space="preserve"> BESIP spadá i do působnosti </w:t>
      </w:r>
      <w:r w:rsidR="001605CF" w:rsidRPr="007E6EF5">
        <w:t>Ředitelství silnic a dálnic</w:t>
      </w:r>
      <w:r w:rsidR="00EB02C8">
        <w:t xml:space="preserve"> ČR</w:t>
      </w:r>
      <w:r w:rsidR="001605CF" w:rsidRPr="007E6EF5">
        <w:t xml:space="preserve">, které je </w:t>
      </w:r>
      <w:r w:rsidR="008E6B1D">
        <w:t xml:space="preserve">státní </w:t>
      </w:r>
      <w:r w:rsidR="001605CF" w:rsidRPr="007E6EF5">
        <w:t>příspěvkovou organizací</w:t>
      </w:r>
      <w:r w:rsidR="00032F29">
        <w:t xml:space="preserve"> zřízenou</w:t>
      </w:r>
      <w:r w:rsidR="001605CF" w:rsidRPr="007E6EF5">
        <w:t xml:space="preserve"> MD. </w:t>
      </w:r>
      <w:r w:rsidR="0062639D" w:rsidRPr="007E6EF5">
        <w:rPr>
          <w:rFonts w:cs="Calibri"/>
        </w:rPr>
        <w:t>V</w:t>
      </w:r>
      <w:r w:rsidR="002B0D05">
        <w:rPr>
          <w:rFonts w:cs="Calibri"/>
        </w:rPr>
        <w:t> </w:t>
      </w:r>
      <w:r w:rsidR="0062639D" w:rsidRPr="007E6EF5">
        <w:rPr>
          <w:rFonts w:cs="Calibri"/>
        </w:rPr>
        <w:t>souladu s</w:t>
      </w:r>
      <w:r w:rsidR="00080B24" w:rsidRPr="007E6EF5">
        <w:rPr>
          <w:rFonts w:cs="Calibri"/>
        </w:rPr>
        <w:t>e</w:t>
      </w:r>
      <w:r w:rsidR="00080B24" w:rsidRPr="007E6EF5">
        <w:rPr>
          <w:color w:val="auto"/>
        </w:rPr>
        <w:t xml:space="preserve"> z</w:t>
      </w:r>
      <w:r w:rsidR="00080B24" w:rsidRPr="007E6EF5">
        <w:rPr>
          <w:rFonts w:cs="Calibri"/>
          <w:color w:val="auto"/>
        </w:rPr>
        <w:t>ákonem č. 13/1997 Sb.</w:t>
      </w:r>
      <w:r w:rsidR="00080B24" w:rsidRPr="007E6EF5">
        <w:rPr>
          <w:rStyle w:val="Znakapoznpodarou"/>
          <w:rFonts w:cs="Calibri"/>
          <w:color w:val="auto"/>
        </w:rPr>
        <w:footnoteReference w:id="15"/>
      </w:r>
      <w:r w:rsidR="00D66FE8">
        <w:rPr>
          <w:rFonts w:cs="Calibri"/>
          <w:color w:val="auto"/>
        </w:rPr>
        <w:t xml:space="preserve"> </w:t>
      </w:r>
      <w:r w:rsidR="0062639D" w:rsidRPr="007E6EF5">
        <w:rPr>
          <w:rFonts w:cs="Calibri"/>
        </w:rPr>
        <w:t>má ŘSD právo hospodařit s</w:t>
      </w:r>
      <w:r w:rsidR="00D66FE8">
        <w:rPr>
          <w:rFonts w:cs="Calibri"/>
        </w:rPr>
        <w:t xml:space="preserve"> </w:t>
      </w:r>
      <w:r w:rsidR="0062639D" w:rsidRPr="007E6EF5">
        <w:rPr>
          <w:rFonts w:cs="Calibri"/>
        </w:rPr>
        <w:t xml:space="preserve">dálnicemi a silnicemi I. třídy, je jejich správcem a současně zajišťuje výstavbu dálnic a silnic I. třídy. </w:t>
      </w:r>
      <w:r w:rsidR="00080B24" w:rsidRPr="007E6EF5">
        <w:rPr>
          <w:rFonts w:cs="Calibri"/>
        </w:rPr>
        <w:t>Z</w:t>
      </w:r>
      <w:r w:rsidR="001605CF" w:rsidRPr="007E6EF5">
        <w:rPr>
          <w:rFonts w:cs="Calibri"/>
        </w:rPr>
        <w:t xml:space="preserve">ároveň </w:t>
      </w:r>
      <w:r w:rsidR="00D66FE8" w:rsidRPr="007E6EF5">
        <w:rPr>
          <w:rFonts w:cs="Calibri"/>
        </w:rPr>
        <w:t xml:space="preserve">ŘSD </w:t>
      </w:r>
      <w:r w:rsidR="00D12CD2" w:rsidRPr="007E6EF5">
        <w:rPr>
          <w:rFonts w:cs="Calibri"/>
        </w:rPr>
        <w:t>v</w:t>
      </w:r>
      <w:r w:rsidR="002B0D05">
        <w:rPr>
          <w:rFonts w:cs="Calibri"/>
        </w:rPr>
        <w:t> </w:t>
      </w:r>
      <w:r w:rsidR="00D12CD2" w:rsidRPr="007E6EF5">
        <w:rPr>
          <w:rFonts w:cs="Calibri"/>
        </w:rPr>
        <w:t>souladu s</w:t>
      </w:r>
      <w:r w:rsidR="00080B24" w:rsidRPr="007E6EF5">
        <w:rPr>
          <w:rFonts w:cs="Calibri"/>
        </w:rPr>
        <w:t>e</w:t>
      </w:r>
      <w:r w:rsidR="00D66FE8">
        <w:rPr>
          <w:rFonts w:cs="Calibri"/>
        </w:rPr>
        <w:t xml:space="preserve"> </w:t>
      </w:r>
      <w:r w:rsidR="00080B24" w:rsidRPr="007E6EF5">
        <w:rPr>
          <w:color w:val="auto"/>
        </w:rPr>
        <w:t>z</w:t>
      </w:r>
      <w:r w:rsidR="00080B24" w:rsidRPr="007E6EF5">
        <w:rPr>
          <w:rFonts w:cs="Calibri"/>
          <w:color w:val="auto"/>
        </w:rPr>
        <w:t>ákonem č. 13/1997 Sb</w:t>
      </w:r>
      <w:r w:rsidR="00D12CD2" w:rsidRPr="007E6EF5">
        <w:rPr>
          <w:rFonts w:cs="Calibri"/>
        </w:rPr>
        <w:t>.</w:t>
      </w:r>
      <w:r w:rsidR="00080B24" w:rsidRPr="007E6EF5">
        <w:rPr>
          <w:rStyle w:val="Znakapoznpodarou"/>
          <w:rFonts w:cs="Calibri"/>
        </w:rPr>
        <w:footnoteReference w:id="16"/>
      </w:r>
      <w:r w:rsidR="001605CF" w:rsidRPr="007E6EF5">
        <w:rPr>
          <w:rFonts w:cs="Calibri"/>
        </w:rPr>
        <w:t xml:space="preserve"> zabezpečuje činnosti související se zakrýváním, odstraňováním a likvidací nepovolených reklamních zařízení na dálnicích a</w:t>
      </w:r>
      <w:r w:rsidR="00D66FE8">
        <w:rPr>
          <w:rFonts w:cs="Calibri"/>
        </w:rPr>
        <w:t xml:space="preserve"> </w:t>
      </w:r>
      <w:r w:rsidR="001605CF" w:rsidRPr="007E6EF5">
        <w:rPr>
          <w:rFonts w:cs="Calibri"/>
        </w:rPr>
        <w:t>silnicích I. třídy a v</w:t>
      </w:r>
      <w:r w:rsidR="00D66FE8">
        <w:rPr>
          <w:rFonts w:cs="Calibri"/>
        </w:rPr>
        <w:t xml:space="preserve"> </w:t>
      </w:r>
      <w:r w:rsidR="001605CF" w:rsidRPr="007E6EF5">
        <w:rPr>
          <w:rFonts w:cs="Calibri"/>
        </w:rPr>
        <w:t>jejich silničních ochranných pásmech</w:t>
      </w:r>
      <w:r w:rsidR="001605CF" w:rsidRPr="007E6EF5">
        <w:t xml:space="preserve">. </w:t>
      </w:r>
      <w:r w:rsidR="007561C9" w:rsidRPr="007E6EF5">
        <w:t>Současně</w:t>
      </w:r>
      <w:r w:rsidR="001605CF" w:rsidRPr="007E6EF5">
        <w:t xml:space="preserve"> je ŘSD </w:t>
      </w:r>
      <w:r w:rsidR="00290CA0" w:rsidRPr="007E6EF5">
        <w:t>s</w:t>
      </w:r>
      <w:r w:rsidR="001605CF" w:rsidRPr="007E6EF5">
        <w:t xml:space="preserve">trategickými dokumenty BESIP </w:t>
      </w:r>
      <w:r w:rsidR="0034368E" w:rsidRPr="007E6EF5">
        <w:t>určeno</w:t>
      </w:r>
      <w:r w:rsidR="001605CF" w:rsidRPr="007E6EF5">
        <w:t xml:space="preserve"> jako subjekt odpovědný za realizaci </w:t>
      </w:r>
      <w:r w:rsidR="004A376B" w:rsidRPr="007E6EF5">
        <w:t>některých</w:t>
      </w:r>
      <w:r w:rsidR="001605CF" w:rsidRPr="007E6EF5">
        <w:t xml:space="preserve"> </w:t>
      </w:r>
      <w:r w:rsidR="00C803CF" w:rsidRPr="007E6EF5">
        <w:t xml:space="preserve">aktivit </w:t>
      </w:r>
      <w:r w:rsidR="00C803CF">
        <w:t>akčních programů/plánů (dále také „AP“)</w:t>
      </w:r>
      <w:r w:rsidR="00C803CF" w:rsidRPr="007E6EF5">
        <w:t xml:space="preserve">. </w:t>
      </w:r>
      <w:r w:rsidR="00C803CF">
        <w:t>Na</w:t>
      </w:r>
      <w:r w:rsidR="00C803CF" w:rsidRPr="007E6EF5">
        <w:t xml:space="preserve"> </w:t>
      </w:r>
      <w:r w:rsidR="00D66FE8">
        <w:t>kontrolované</w:t>
      </w:r>
      <w:r w:rsidR="00694DFA" w:rsidRPr="007E6EF5">
        <w:t xml:space="preserve"> aktivity</w:t>
      </w:r>
      <w:r w:rsidR="007561C9" w:rsidRPr="007E6EF5">
        <w:t xml:space="preserve"> související s</w:t>
      </w:r>
      <w:r w:rsidR="00D66FE8">
        <w:t xml:space="preserve"> </w:t>
      </w:r>
      <w:r w:rsidR="007561C9" w:rsidRPr="007E6EF5">
        <w:t>oblastí bezpečnosti silničního provozu</w:t>
      </w:r>
      <w:r w:rsidR="00435CD0" w:rsidRPr="007E6EF5">
        <w:t xml:space="preserve"> </w:t>
      </w:r>
      <w:r w:rsidR="00D66FE8" w:rsidRPr="007E6EF5">
        <w:t xml:space="preserve">vynaložilo </w:t>
      </w:r>
      <w:r w:rsidR="00435CD0" w:rsidRPr="007E6EF5">
        <w:t xml:space="preserve">ŘSD </w:t>
      </w:r>
      <w:r w:rsidR="007561C9" w:rsidRPr="007E6EF5">
        <w:t>v</w:t>
      </w:r>
      <w:r w:rsidR="00D66FE8">
        <w:t xml:space="preserve"> </w:t>
      </w:r>
      <w:r w:rsidR="007561C9" w:rsidRPr="007E6EF5">
        <w:t xml:space="preserve">období </w:t>
      </w:r>
      <w:r w:rsidR="00D66FE8">
        <w:t xml:space="preserve">let </w:t>
      </w:r>
      <w:r w:rsidR="00D66FE8" w:rsidRPr="004F2B40">
        <w:t>201</w:t>
      </w:r>
      <w:r w:rsidR="00D66FE8">
        <w:t xml:space="preserve">7 až </w:t>
      </w:r>
      <w:r w:rsidR="00D66FE8" w:rsidRPr="004F2B40">
        <w:t>20</w:t>
      </w:r>
      <w:r w:rsidR="00D66FE8">
        <w:t xml:space="preserve">22 </w:t>
      </w:r>
      <w:r w:rsidR="007561C9" w:rsidRPr="007E6EF5">
        <w:t xml:space="preserve">peněžní prostředky ve </w:t>
      </w:r>
      <w:r w:rsidR="007561C9" w:rsidRPr="007E6EF5">
        <w:rPr>
          <w:color w:val="auto"/>
        </w:rPr>
        <w:t xml:space="preserve">výši </w:t>
      </w:r>
      <w:r w:rsidR="00FC4775" w:rsidRPr="007E6EF5">
        <w:rPr>
          <w:color w:val="auto"/>
        </w:rPr>
        <w:t>104</w:t>
      </w:r>
      <w:r w:rsidR="00D06791">
        <w:rPr>
          <w:color w:val="auto"/>
        </w:rPr>
        <w:t>,5</w:t>
      </w:r>
      <w:r w:rsidR="00FA5FBA" w:rsidRPr="007E6EF5">
        <w:rPr>
          <w:color w:val="auto"/>
        </w:rPr>
        <w:t xml:space="preserve"> </w:t>
      </w:r>
      <w:r w:rsidR="007561C9" w:rsidRPr="007E6EF5">
        <w:rPr>
          <w:color w:val="auto"/>
        </w:rPr>
        <w:t xml:space="preserve">mil. </w:t>
      </w:r>
      <w:r w:rsidR="007561C9" w:rsidRPr="007E6EF5">
        <w:t>Kč</w:t>
      </w:r>
      <w:r w:rsidR="005D1F09">
        <w:t>.</w:t>
      </w:r>
      <w:r w:rsidR="00FA5FBA" w:rsidRPr="007E6EF5">
        <w:rPr>
          <w:rStyle w:val="Znakapoznpodarou"/>
        </w:rPr>
        <w:footnoteReference w:id="17"/>
      </w:r>
      <w:r w:rsidR="00252C06" w:rsidRPr="007E6EF5">
        <w:t xml:space="preserve"> </w:t>
      </w:r>
    </w:p>
    <w:p w14:paraId="6D135208" w14:textId="77777777" w:rsidR="00642EBD" w:rsidRPr="008202A0" w:rsidRDefault="0005195A" w:rsidP="00C32C9A">
      <w:pPr>
        <w:pStyle w:val="JK2"/>
        <w:tabs>
          <w:tab w:val="clear" w:pos="567"/>
        </w:tabs>
        <w:spacing w:after="0"/>
        <w:ind w:left="0" w:firstLine="0"/>
        <w:rPr>
          <w:color w:val="auto"/>
        </w:rPr>
      </w:pPr>
      <w:r w:rsidRPr="00C32C9A">
        <w:rPr>
          <w:color w:val="auto"/>
        </w:rPr>
        <w:t>S</w:t>
      </w:r>
      <w:r w:rsidR="0056693C" w:rsidRPr="00C32C9A">
        <w:rPr>
          <w:color w:val="auto"/>
        </w:rPr>
        <w:t>naha</w:t>
      </w:r>
      <w:r w:rsidR="0056693C" w:rsidRPr="007E6EF5">
        <w:t xml:space="preserve"> minimalizovat závažné následky dopravních nehod je</w:t>
      </w:r>
      <w:r w:rsidR="000D5372">
        <w:t xml:space="preserve"> nejen národním, ale i</w:t>
      </w:r>
      <w:r w:rsidR="008202A0">
        <w:t> </w:t>
      </w:r>
      <w:r w:rsidR="002E6F94">
        <w:t>celo</w:t>
      </w:r>
      <w:r w:rsidRPr="007E6EF5">
        <w:t xml:space="preserve">evropským </w:t>
      </w:r>
      <w:r w:rsidR="0056693C" w:rsidRPr="007E6EF5">
        <w:t xml:space="preserve">tématem. </w:t>
      </w:r>
      <w:r w:rsidRPr="007E6EF5">
        <w:t>V</w:t>
      </w:r>
      <w:r w:rsidR="002B0D05">
        <w:t> </w:t>
      </w:r>
      <w:r w:rsidRPr="007E6EF5">
        <w:t xml:space="preserve">roce </w:t>
      </w:r>
      <w:r w:rsidRPr="00262D83">
        <w:t xml:space="preserve">2011 stanovila </w:t>
      </w:r>
      <w:r w:rsidR="00294AD5" w:rsidRPr="00262D83">
        <w:t xml:space="preserve">Evropská komise (dále také „EK“) </w:t>
      </w:r>
      <w:r w:rsidRPr="00262D83">
        <w:t>pro</w:t>
      </w:r>
      <w:r w:rsidR="0056693C" w:rsidRPr="00262D83">
        <w:t xml:space="preserve"> oblast </w:t>
      </w:r>
      <w:r w:rsidRPr="00262D83">
        <w:t>BESIP</w:t>
      </w:r>
      <w:r w:rsidR="0056693C" w:rsidRPr="00262D83">
        <w:t xml:space="preserve"> v</w:t>
      </w:r>
      <w:r w:rsidR="002B0D05">
        <w:t> </w:t>
      </w:r>
      <w:r w:rsidR="0056693C" w:rsidRPr="00262D83">
        <w:t xml:space="preserve">rámci tzv. VIZE NULA </w:t>
      </w:r>
      <w:r w:rsidRPr="00262D83">
        <w:t xml:space="preserve">cíl </w:t>
      </w:r>
      <w:r w:rsidR="0056693C" w:rsidRPr="00262D83">
        <w:t xml:space="preserve">snížit do roku 2020 počet </w:t>
      </w:r>
      <w:r w:rsidRPr="00262D83">
        <w:t xml:space="preserve">závažných </w:t>
      </w:r>
      <w:r w:rsidR="0056693C" w:rsidRPr="00262D83">
        <w:t>následků dopravních nehod na polovinu a do roku 2050 snížit počet úmrtí v</w:t>
      </w:r>
      <w:r w:rsidR="002B0D05">
        <w:t> </w:t>
      </w:r>
      <w:r w:rsidR="0056693C" w:rsidRPr="00262D83">
        <w:t>silniční dopravě téměř na nulu.</w:t>
      </w:r>
      <w:r w:rsidR="0056693C" w:rsidRPr="002C7C06">
        <w:rPr>
          <w:color w:val="auto"/>
        </w:rPr>
        <w:t xml:space="preserve"> </w:t>
      </w:r>
      <w:r w:rsidR="0056693C" w:rsidRPr="00262D83">
        <w:rPr>
          <w:rFonts w:cs="Calibri"/>
        </w:rPr>
        <w:t>V</w:t>
      </w:r>
      <w:r w:rsidR="002B0D05">
        <w:rPr>
          <w:rFonts w:cs="Calibri"/>
        </w:rPr>
        <w:t> </w:t>
      </w:r>
      <w:r w:rsidR="0056693C" w:rsidRPr="00262D83">
        <w:rPr>
          <w:rFonts w:cs="Calibri"/>
        </w:rPr>
        <w:t xml:space="preserve">březnu 2017 Evropská unie </w:t>
      </w:r>
      <w:r w:rsidR="00CD3A3A" w:rsidRPr="00262D83">
        <w:rPr>
          <w:rFonts w:cs="Calibri"/>
        </w:rPr>
        <w:t xml:space="preserve">(dále také „EU“) </w:t>
      </w:r>
      <w:r w:rsidR="0056693C" w:rsidRPr="00262D83">
        <w:rPr>
          <w:rFonts w:cs="Calibri"/>
        </w:rPr>
        <w:t>přijala tzv.</w:t>
      </w:r>
      <w:r w:rsidR="00D66FE8">
        <w:rPr>
          <w:rFonts w:cs="Calibri"/>
        </w:rPr>
        <w:t xml:space="preserve"> </w:t>
      </w:r>
      <w:r w:rsidR="0056693C" w:rsidRPr="002C7C06">
        <w:rPr>
          <w:rFonts w:cs="Calibri"/>
          <w:i/>
        </w:rPr>
        <w:t>Vallet</w:t>
      </w:r>
      <w:r w:rsidR="00C803CF" w:rsidRPr="002C7C06">
        <w:rPr>
          <w:rFonts w:cs="Calibri"/>
          <w:i/>
        </w:rPr>
        <w:t>t</w:t>
      </w:r>
      <w:r w:rsidR="0056693C" w:rsidRPr="002C7C06">
        <w:rPr>
          <w:rFonts w:cs="Calibri"/>
          <w:i/>
        </w:rPr>
        <w:t>skou deklaraci o bezpečnosti silničního provozu</w:t>
      </w:r>
      <w:r w:rsidR="0056693C" w:rsidRPr="00262D83">
        <w:rPr>
          <w:rFonts w:cs="Calibri"/>
        </w:rPr>
        <w:t>, která stanovila strategický</w:t>
      </w:r>
      <w:r w:rsidR="0056693C" w:rsidRPr="007E6EF5">
        <w:rPr>
          <w:rFonts w:cs="Calibri"/>
        </w:rPr>
        <w:t xml:space="preserve"> cíl směřující ke snížení počtu usmrcených a těžce zraněných v</w:t>
      </w:r>
      <w:r w:rsidR="002B0D05">
        <w:rPr>
          <w:rFonts w:cs="Calibri"/>
        </w:rPr>
        <w:t> </w:t>
      </w:r>
      <w:r w:rsidR="0056693C" w:rsidRPr="007E6EF5">
        <w:rPr>
          <w:rFonts w:cs="Calibri"/>
        </w:rPr>
        <w:t xml:space="preserve">roce 2030 na polovinu oproti roku </w:t>
      </w:r>
      <w:r w:rsidR="0056693C" w:rsidRPr="008202A0">
        <w:rPr>
          <w:rFonts w:cs="Calibri"/>
          <w:color w:val="auto"/>
        </w:rPr>
        <w:t xml:space="preserve">2020. Tento strategický cíl potvrdil </w:t>
      </w:r>
      <w:r w:rsidR="0056693C" w:rsidRPr="008202A0">
        <w:rPr>
          <w:rFonts w:eastAsiaTheme="minorHAnsi" w:cs="Calibri"/>
          <w:color w:val="auto"/>
          <w:lang w:eastAsia="en-US"/>
        </w:rPr>
        <w:t>v</w:t>
      </w:r>
      <w:r w:rsidR="002B0D05">
        <w:rPr>
          <w:rFonts w:eastAsiaTheme="minorHAnsi" w:cs="Calibri"/>
          <w:color w:val="auto"/>
          <w:lang w:eastAsia="en-US"/>
        </w:rPr>
        <w:t> </w:t>
      </w:r>
      <w:r w:rsidR="0056693C" w:rsidRPr="008202A0">
        <w:rPr>
          <w:rFonts w:eastAsiaTheme="minorHAnsi" w:cs="Calibri"/>
          <w:color w:val="auto"/>
          <w:lang w:eastAsia="en-US"/>
        </w:rPr>
        <w:t>roce 2021 i Evropský parlament.</w:t>
      </w:r>
    </w:p>
    <w:p w14:paraId="193EE50F" w14:textId="291122A7" w:rsidR="00A66F42" w:rsidRPr="00032F29" w:rsidRDefault="009A4F16" w:rsidP="00C32C9A">
      <w:pPr>
        <w:pStyle w:val="JK2"/>
        <w:tabs>
          <w:tab w:val="clear" w:pos="567"/>
        </w:tabs>
        <w:spacing w:after="0"/>
        <w:ind w:left="0" w:firstLine="0"/>
        <w:rPr>
          <w:color w:val="auto"/>
        </w:rPr>
      </w:pPr>
      <w:r w:rsidRPr="00C32C9A">
        <w:rPr>
          <w:color w:val="auto"/>
        </w:rPr>
        <w:t>V</w:t>
      </w:r>
      <w:r w:rsidR="002B0D05">
        <w:t> </w:t>
      </w:r>
      <w:r w:rsidRPr="007E6EF5">
        <w:t>návaznosti na výše uvedené vláda ČR postupně na jednotlivá víceletá období schválila strategické dokumenty BESIP, jejichž součástí byly vytyčené cíle, kterých chce dosáhnou</w:t>
      </w:r>
      <w:r w:rsidR="008202A0">
        <w:t>t</w:t>
      </w:r>
      <w:r w:rsidR="004A453D">
        <w:t>,</w:t>
      </w:r>
      <w:r w:rsidR="008202A0">
        <w:t xml:space="preserve"> </w:t>
      </w:r>
      <w:r w:rsidR="007738E2">
        <w:br/>
      </w:r>
      <w:r w:rsidRPr="007E6EF5">
        <w:t>a</w:t>
      </w:r>
      <w:r w:rsidR="007738E2">
        <w:t xml:space="preserve"> </w:t>
      </w:r>
      <w:r w:rsidRPr="007E6EF5">
        <w:t>současně akční programy/plány zahrnující aktivity s</w:t>
      </w:r>
      <w:r w:rsidR="00D66FE8">
        <w:t xml:space="preserve"> </w:t>
      </w:r>
      <w:r w:rsidRPr="007E6EF5">
        <w:t>potenciálem tyto cíle naplňovat.</w:t>
      </w:r>
      <w:r w:rsidR="00013EA7" w:rsidRPr="007E6EF5">
        <w:rPr>
          <w:color w:val="auto"/>
        </w:rPr>
        <w:t xml:space="preserve"> </w:t>
      </w:r>
      <w:r w:rsidR="00354069" w:rsidRPr="00032F29">
        <w:rPr>
          <w:color w:val="auto"/>
        </w:rPr>
        <w:t xml:space="preserve">Schválené </w:t>
      </w:r>
      <w:r w:rsidRPr="00032F29">
        <w:rPr>
          <w:color w:val="auto"/>
        </w:rPr>
        <w:t>s</w:t>
      </w:r>
      <w:r w:rsidR="00354069" w:rsidRPr="00032F29">
        <w:rPr>
          <w:color w:val="auto"/>
        </w:rPr>
        <w:t>trategické dokumenty BESIP,</w:t>
      </w:r>
      <w:r w:rsidR="00A66F42" w:rsidRPr="00032F29">
        <w:rPr>
          <w:color w:val="auto"/>
        </w:rPr>
        <w:t xml:space="preserve"> a jejich jednotlivá opatření, vycház</w:t>
      </w:r>
      <w:r w:rsidR="00D66FE8">
        <w:rPr>
          <w:color w:val="auto"/>
        </w:rPr>
        <w:t>ej</w:t>
      </w:r>
      <w:r w:rsidR="00A66F42" w:rsidRPr="00032F29">
        <w:rPr>
          <w:color w:val="auto"/>
        </w:rPr>
        <w:t>í mj. z</w:t>
      </w:r>
      <w:r w:rsidR="002B0D05">
        <w:rPr>
          <w:color w:val="auto"/>
        </w:rPr>
        <w:t> </w:t>
      </w:r>
      <w:r w:rsidR="00A66F42" w:rsidRPr="00032F29">
        <w:rPr>
          <w:color w:val="auto"/>
        </w:rPr>
        <w:t xml:space="preserve">analýz dat a informací o dopravních nehodách. Na základě analytických poznatků jsou tyto dokumenty </w:t>
      </w:r>
      <w:r w:rsidR="00A66F42" w:rsidRPr="00032F29">
        <w:rPr>
          <w:color w:val="auto"/>
        </w:rPr>
        <w:lastRenderedPageBreak/>
        <w:t xml:space="preserve">postaveny na třech základních pilířích, </w:t>
      </w:r>
      <w:r w:rsidR="00354069" w:rsidRPr="00032F29">
        <w:rPr>
          <w:color w:val="auto"/>
        </w:rPr>
        <w:t xml:space="preserve">kterými jsou hlavní faktory podílející se </w:t>
      </w:r>
      <w:r w:rsidR="00A66F42" w:rsidRPr="00032F29">
        <w:rPr>
          <w:color w:val="auto"/>
        </w:rPr>
        <w:t>na vzniku dopravních nehod:</w:t>
      </w:r>
    </w:p>
    <w:p w14:paraId="1CE63682" w14:textId="77777777" w:rsidR="00A66F42" w:rsidRPr="007E6EF5" w:rsidRDefault="00A66F42" w:rsidP="00A66F42">
      <w:pPr>
        <w:pStyle w:val="KPnormal"/>
        <w:numPr>
          <w:ilvl w:val="0"/>
          <w:numId w:val="10"/>
        </w:numPr>
        <w:spacing w:before="0" w:line="240" w:lineRule="auto"/>
        <w:ind w:left="850" w:hanging="357"/>
        <w:rPr>
          <w:color w:val="auto"/>
        </w:rPr>
      </w:pPr>
      <w:r w:rsidRPr="007E6EF5">
        <w:rPr>
          <w:color w:val="auto"/>
        </w:rPr>
        <w:t>chování účastníka</w:t>
      </w:r>
      <w:r w:rsidR="00D66FE8">
        <w:rPr>
          <w:color w:val="auto"/>
        </w:rPr>
        <w:t>,</w:t>
      </w:r>
    </w:p>
    <w:p w14:paraId="46C5ECB2" w14:textId="77777777" w:rsidR="00A66F42" w:rsidRPr="007E6EF5" w:rsidRDefault="00C803CF" w:rsidP="00A66F42">
      <w:pPr>
        <w:pStyle w:val="KPnormal"/>
        <w:numPr>
          <w:ilvl w:val="0"/>
          <w:numId w:val="10"/>
        </w:numPr>
        <w:spacing w:before="0" w:line="240" w:lineRule="auto"/>
        <w:ind w:left="850" w:hanging="357"/>
        <w:rPr>
          <w:color w:val="auto"/>
        </w:rPr>
      </w:pPr>
      <w:r>
        <w:rPr>
          <w:color w:val="auto"/>
        </w:rPr>
        <w:t xml:space="preserve">stavební a dopravně technický stav </w:t>
      </w:r>
      <w:r w:rsidR="00A66F42" w:rsidRPr="007E6EF5">
        <w:rPr>
          <w:color w:val="auto"/>
        </w:rPr>
        <w:t>pozemní komunikace</w:t>
      </w:r>
      <w:r w:rsidR="00917390">
        <w:rPr>
          <w:color w:val="auto"/>
        </w:rPr>
        <w:t>,</w:t>
      </w:r>
    </w:p>
    <w:p w14:paraId="32164FD7" w14:textId="77777777" w:rsidR="00A66F42" w:rsidRDefault="00A66F42" w:rsidP="00A66F42">
      <w:pPr>
        <w:pStyle w:val="KPnormal"/>
        <w:numPr>
          <w:ilvl w:val="0"/>
          <w:numId w:val="10"/>
        </w:numPr>
        <w:spacing w:before="0" w:line="240" w:lineRule="auto"/>
        <w:ind w:left="850" w:hanging="357"/>
        <w:rPr>
          <w:color w:val="auto"/>
        </w:rPr>
      </w:pPr>
      <w:r w:rsidRPr="007E6EF5">
        <w:rPr>
          <w:color w:val="auto"/>
        </w:rPr>
        <w:t>technický stav vozidla.</w:t>
      </w:r>
    </w:p>
    <w:p w14:paraId="1D01C984" w14:textId="77777777" w:rsidR="00725626" w:rsidRDefault="00725626" w:rsidP="00725626">
      <w:pPr>
        <w:pStyle w:val="KPnormal"/>
        <w:spacing w:before="0" w:line="240" w:lineRule="auto"/>
        <w:ind w:left="850" w:firstLine="0"/>
        <w:rPr>
          <w:color w:val="auto"/>
        </w:rPr>
      </w:pPr>
    </w:p>
    <w:p w14:paraId="689CA1B2" w14:textId="77777777" w:rsidR="00725626" w:rsidRPr="007E6EF5" w:rsidRDefault="00725626" w:rsidP="00725626">
      <w:pPr>
        <w:pStyle w:val="JK2"/>
        <w:numPr>
          <w:ilvl w:val="0"/>
          <w:numId w:val="0"/>
        </w:numPr>
        <w:rPr>
          <w:b/>
          <w:i/>
        </w:rPr>
      </w:pPr>
      <w:r w:rsidRPr="007E6EF5">
        <w:rPr>
          <w:b/>
          <w:i/>
        </w:rPr>
        <w:t>Strategické období 2011</w:t>
      </w:r>
      <w:r w:rsidR="008C3EC7">
        <w:rPr>
          <w:b/>
          <w:i/>
        </w:rPr>
        <w:t>–</w:t>
      </w:r>
      <w:r w:rsidRPr="007E6EF5">
        <w:rPr>
          <w:b/>
          <w:i/>
        </w:rPr>
        <w:t>2020</w:t>
      </w:r>
    </w:p>
    <w:p w14:paraId="5BF41436" w14:textId="77777777" w:rsidR="00C608DF" w:rsidRPr="00C32C9A" w:rsidRDefault="00F31C2D" w:rsidP="00C32C9A">
      <w:pPr>
        <w:pStyle w:val="JK2"/>
        <w:ind w:left="0" w:firstLine="0"/>
      </w:pPr>
      <w:r w:rsidRPr="007E6EF5">
        <w:t>Pro období let 2011</w:t>
      </w:r>
      <w:r w:rsidR="002F42B4">
        <w:t>–</w:t>
      </w:r>
      <w:r w:rsidRPr="007E6EF5">
        <w:t xml:space="preserve">2020 vláda schválila </w:t>
      </w:r>
      <w:r w:rsidRPr="002C7C06">
        <w:rPr>
          <w:i/>
        </w:rPr>
        <w:t>Národní strategii bezpečnosti silničního provozu na období 2011–2020</w:t>
      </w:r>
      <w:r w:rsidR="00B849EB" w:rsidRPr="007E6EF5">
        <w:t xml:space="preserve"> (dále </w:t>
      </w:r>
      <w:r w:rsidR="00B849EB" w:rsidRPr="00262D83">
        <w:t>také „NSBSP 2020“)</w:t>
      </w:r>
      <w:r w:rsidR="005D1F09">
        <w:t>.</w:t>
      </w:r>
      <w:r w:rsidR="006A4688" w:rsidRPr="00D400D5">
        <w:rPr>
          <w:vertAlign w:val="superscript"/>
        </w:rPr>
        <w:footnoteReference w:id="18"/>
      </w:r>
      <w:r w:rsidR="00F34D17" w:rsidRPr="00262D83">
        <w:t xml:space="preserve"> </w:t>
      </w:r>
      <w:r w:rsidR="00F34D17" w:rsidRPr="00C32C9A">
        <w:t xml:space="preserve">Současně uložila ministru dopravy koordinovat plnění opatření vyplývajících ze schválené </w:t>
      </w:r>
      <w:r w:rsidR="00B849EB" w:rsidRPr="00C32C9A">
        <w:t>NSBSP 2020</w:t>
      </w:r>
      <w:r w:rsidR="00951012" w:rsidRPr="00C32C9A">
        <w:t xml:space="preserve"> a jednou ročně informovat vládu o vyhodnocení</w:t>
      </w:r>
      <w:r w:rsidR="00673191" w:rsidRPr="00C32C9A">
        <w:t xml:space="preserve"> jejich</w:t>
      </w:r>
      <w:r w:rsidR="00951012" w:rsidRPr="00C32C9A">
        <w:t xml:space="preserve"> plnění.</w:t>
      </w:r>
      <w:r w:rsidR="00725626" w:rsidRPr="00C32C9A">
        <w:t xml:space="preserve"> </w:t>
      </w:r>
    </w:p>
    <w:p w14:paraId="3DB840B2" w14:textId="677E63E1" w:rsidR="009A4F16" w:rsidRPr="00C608DF" w:rsidRDefault="001E4C36" w:rsidP="00C32C9A">
      <w:pPr>
        <w:pStyle w:val="JK2"/>
        <w:ind w:left="0" w:firstLine="0"/>
      </w:pPr>
      <w:r w:rsidRPr="00725626">
        <w:rPr>
          <w:color w:val="auto"/>
        </w:rPr>
        <w:t>Strategickým</w:t>
      </w:r>
      <w:r w:rsidR="00C001B4" w:rsidRPr="00725626">
        <w:rPr>
          <w:color w:val="auto"/>
        </w:rPr>
        <w:t>i</w:t>
      </w:r>
      <w:r w:rsidRPr="00725626">
        <w:rPr>
          <w:color w:val="auto"/>
        </w:rPr>
        <w:t xml:space="preserve"> cíl</w:t>
      </w:r>
      <w:r w:rsidR="00C001B4" w:rsidRPr="00725626">
        <w:rPr>
          <w:color w:val="auto"/>
        </w:rPr>
        <w:t>i</w:t>
      </w:r>
      <w:r w:rsidR="00087163" w:rsidRPr="00725626">
        <w:rPr>
          <w:color w:val="auto"/>
        </w:rPr>
        <w:t>,</w:t>
      </w:r>
      <w:r w:rsidRPr="00725626">
        <w:rPr>
          <w:color w:val="auto"/>
        </w:rPr>
        <w:t xml:space="preserve"> kter</w:t>
      </w:r>
      <w:r w:rsidR="00C001B4" w:rsidRPr="00725626">
        <w:rPr>
          <w:color w:val="auto"/>
        </w:rPr>
        <w:t>ých</w:t>
      </w:r>
      <w:r w:rsidRPr="00725626">
        <w:rPr>
          <w:color w:val="auto"/>
        </w:rPr>
        <w:t xml:space="preserve"> chtěl resort dopravy do konce roku 2020 dosáhnout,</w:t>
      </w:r>
      <w:r w:rsidR="00725626">
        <w:rPr>
          <w:color w:val="auto"/>
        </w:rPr>
        <w:t xml:space="preserve"> </w:t>
      </w:r>
      <w:r w:rsidRPr="00725626">
        <w:rPr>
          <w:color w:val="auto"/>
        </w:rPr>
        <w:t xml:space="preserve">bylo </w:t>
      </w:r>
      <w:r w:rsidR="00A11496" w:rsidRPr="00725626">
        <w:rPr>
          <w:color w:val="auto"/>
        </w:rPr>
        <w:br/>
      </w:r>
      <w:r w:rsidRPr="00725626">
        <w:rPr>
          <w:color w:val="auto"/>
        </w:rPr>
        <w:t xml:space="preserve">ve </w:t>
      </w:r>
      <w:r w:rsidRPr="00C32C9A">
        <w:t>srovnání</w:t>
      </w:r>
      <w:r w:rsidRPr="00725626">
        <w:rPr>
          <w:color w:val="auto"/>
        </w:rPr>
        <w:t xml:space="preserve"> s</w:t>
      </w:r>
      <w:r w:rsidR="007738E2">
        <w:rPr>
          <w:color w:val="auto"/>
        </w:rPr>
        <w:t xml:space="preserve"> </w:t>
      </w:r>
      <w:r w:rsidRPr="00725626">
        <w:rPr>
          <w:color w:val="auto"/>
        </w:rPr>
        <w:t>rokem 2009 snížit počet usmrcených v</w:t>
      </w:r>
      <w:r w:rsidR="007738E2">
        <w:rPr>
          <w:color w:val="auto"/>
        </w:rPr>
        <w:t xml:space="preserve"> </w:t>
      </w:r>
      <w:r w:rsidRPr="00725626">
        <w:rPr>
          <w:color w:val="auto"/>
        </w:rPr>
        <w:t>silničním provozu na úroveň průměru evropských zemí (v podmínkách ČR se jednalo o snížení o 60 %) a dále pak snížit počet těžce zraněných o 40 %. V</w:t>
      </w:r>
      <w:r w:rsidR="00917390">
        <w:rPr>
          <w:color w:val="auto"/>
        </w:rPr>
        <w:t xml:space="preserve"> </w:t>
      </w:r>
      <w:r w:rsidRPr="00725626">
        <w:rPr>
          <w:color w:val="auto"/>
        </w:rPr>
        <w:t>roce 2020 tak nemělo být na pozemních komunikacích v</w:t>
      </w:r>
      <w:r w:rsidR="00917390">
        <w:rPr>
          <w:color w:val="auto"/>
        </w:rPr>
        <w:t xml:space="preserve"> </w:t>
      </w:r>
      <w:r w:rsidRPr="00725626">
        <w:rPr>
          <w:color w:val="auto"/>
        </w:rPr>
        <w:t xml:space="preserve">důsledku dopravních nehod usmrceno více než 333 osob a těžce zraněno více než 2 122 osob. </w:t>
      </w:r>
      <w:r w:rsidR="00827E75" w:rsidRPr="00C608DF">
        <w:rPr>
          <w:rFonts w:asciiTheme="minorHAnsi" w:hAnsiTheme="minorHAnsi" w:cstheme="minorHAnsi"/>
        </w:rPr>
        <w:t xml:space="preserve">Nedílnou součástí NSBSP 2020 byl </w:t>
      </w:r>
      <w:r w:rsidR="00827E75">
        <w:rPr>
          <w:rFonts w:asciiTheme="minorHAnsi" w:hAnsiTheme="minorHAnsi" w:cstheme="minorHAnsi"/>
        </w:rPr>
        <w:t>AP</w:t>
      </w:r>
      <w:r w:rsidR="00827E75" w:rsidRPr="00C608DF">
        <w:rPr>
          <w:rFonts w:asciiTheme="minorHAnsi" w:hAnsiTheme="minorHAnsi" w:cstheme="minorHAnsi"/>
        </w:rPr>
        <w:t>, který představoval</w:t>
      </w:r>
      <w:r w:rsidR="00C608DF" w:rsidRPr="00C608DF">
        <w:rPr>
          <w:rFonts w:asciiTheme="minorHAnsi" w:hAnsiTheme="minorHAnsi" w:cstheme="minorHAnsi"/>
        </w:rPr>
        <w:t xml:space="preserve"> </w:t>
      </w:r>
      <w:r w:rsidR="00827E75" w:rsidRPr="00C608DF">
        <w:rPr>
          <w:rFonts w:asciiTheme="minorHAnsi" w:hAnsiTheme="minorHAnsi" w:cstheme="minorHAnsi"/>
        </w:rPr>
        <w:t>realizační část strategického dokumentu a</w:t>
      </w:r>
      <w:r w:rsidR="00473E43">
        <w:rPr>
          <w:rFonts w:asciiTheme="minorHAnsi" w:hAnsiTheme="minorHAnsi" w:cstheme="minorHAnsi"/>
        </w:rPr>
        <w:t> </w:t>
      </w:r>
      <w:r w:rsidR="00827E75" w:rsidRPr="00C608DF">
        <w:rPr>
          <w:rFonts w:asciiTheme="minorHAnsi" w:hAnsiTheme="minorHAnsi" w:cstheme="minorHAnsi"/>
        </w:rPr>
        <w:t xml:space="preserve">zahrnoval celkem 107 aktivit, jejichž </w:t>
      </w:r>
      <w:r w:rsidR="009A4F16" w:rsidRPr="00C608DF">
        <w:rPr>
          <w:rFonts w:asciiTheme="minorHAnsi" w:hAnsiTheme="minorHAnsi" w:cstheme="minorHAnsi"/>
        </w:rPr>
        <w:t>uskutečnění mělo</w:t>
      </w:r>
      <w:r w:rsidR="00411A27" w:rsidRPr="00C608DF">
        <w:rPr>
          <w:rFonts w:asciiTheme="minorHAnsi" w:hAnsiTheme="minorHAnsi" w:cstheme="minorHAnsi"/>
        </w:rPr>
        <w:t xml:space="preserve"> směřovat k</w:t>
      </w:r>
      <w:r w:rsidR="002B0D05">
        <w:rPr>
          <w:rFonts w:asciiTheme="minorHAnsi" w:hAnsiTheme="minorHAnsi" w:cstheme="minorHAnsi"/>
        </w:rPr>
        <w:t> </w:t>
      </w:r>
      <w:r w:rsidR="00411A27" w:rsidRPr="00C608DF">
        <w:rPr>
          <w:rFonts w:asciiTheme="minorHAnsi" w:hAnsiTheme="minorHAnsi" w:cstheme="minorHAnsi"/>
        </w:rPr>
        <w:t>naplnění strategických cílů NSBSP 2020.</w:t>
      </w:r>
      <w:r w:rsidR="00827E75" w:rsidRPr="00C608DF">
        <w:rPr>
          <w:rFonts w:asciiTheme="minorHAnsi" w:hAnsiTheme="minorHAnsi" w:cstheme="minorHAnsi"/>
        </w:rPr>
        <w:t xml:space="preserve"> </w:t>
      </w:r>
      <w:r w:rsidR="009A4F16" w:rsidRPr="007E6EF5">
        <w:t>V</w:t>
      </w:r>
      <w:r w:rsidR="00917390">
        <w:t xml:space="preserve"> </w:t>
      </w:r>
      <w:r w:rsidR="009A4F16" w:rsidRPr="007E6EF5">
        <w:t>reakci na nedostatečné plnění strategických cílů, zejména v</w:t>
      </w:r>
      <w:r w:rsidR="00917390">
        <w:t xml:space="preserve"> </w:t>
      </w:r>
      <w:r w:rsidR="009A4F16" w:rsidRPr="007E6EF5">
        <w:t>oblasti snižování počtu usmrcených osob, schválila vláda ČR v</w:t>
      </w:r>
      <w:r w:rsidR="00917390">
        <w:t xml:space="preserve"> </w:t>
      </w:r>
      <w:r w:rsidR="009A4F16" w:rsidRPr="007E6EF5">
        <w:t xml:space="preserve">roce 2017 </w:t>
      </w:r>
      <w:bookmarkStart w:id="8" w:name="_Hlk135207403"/>
      <w:r w:rsidR="009A4F16" w:rsidRPr="007E6EF5">
        <w:t xml:space="preserve">dokument </w:t>
      </w:r>
      <w:r w:rsidR="009A4F16" w:rsidRPr="002C7C06">
        <w:rPr>
          <w:i/>
        </w:rPr>
        <w:t xml:space="preserve">Revize </w:t>
      </w:r>
      <w:r w:rsidR="00917390">
        <w:rPr>
          <w:i/>
        </w:rPr>
        <w:br/>
      </w:r>
      <w:r w:rsidR="009A4F16" w:rsidRPr="002C7C06">
        <w:rPr>
          <w:i/>
        </w:rPr>
        <w:t>a</w:t>
      </w:r>
      <w:r w:rsidR="00917390">
        <w:rPr>
          <w:i/>
        </w:rPr>
        <w:t xml:space="preserve"> </w:t>
      </w:r>
      <w:r w:rsidR="009A4F16" w:rsidRPr="002C7C06">
        <w:rPr>
          <w:i/>
        </w:rPr>
        <w:t xml:space="preserve">aktualizace </w:t>
      </w:r>
      <w:r w:rsidR="00917390">
        <w:rPr>
          <w:i/>
        </w:rPr>
        <w:t>N</w:t>
      </w:r>
      <w:r w:rsidR="009A4F16" w:rsidRPr="002C7C06">
        <w:rPr>
          <w:i/>
        </w:rPr>
        <w:t>árodní strategie bezpečnosti silničního provozu na období 2011–2020 s</w:t>
      </w:r>
      <w:r w:rsidR="002B0D05" w:rsidRPr="002C7C06">
        <w:rPr>
          <w:i/>
        </w:rPr>
        <w:t> </w:t>
      </w:r>
      <w:r w:rsidR="009A4F16" w:rsidRPr="002C7C06">
        <w:rPr>
          <w:i/>
        </w:rPr>
        <w:t>platností od roku 2017</w:t>
      </w:r>
      <w:r w:rsidR="009A4F16" w:rsidRPr="007E6EF5">
        <w:t xml:space="preserve"> </w:t>
      </w:r>
      <w:bookmarkEnd w:id="8"/>
      <w:r w:rsidR="009A4F16" w:rsidRPr="007E6EF5">
        <w:t xml:space="preserve">(dále </w:t>
      </w:r>
      <w:r w:rsidR="009A4F16" w:rsidRPr="00262D83">
        <w:t>také „Revize NSBSP 2020“)</w:t>
      </w:r>
      <w:r w:rsidR="005D1F09">
        <w:t>.</w:t>
      </w:r>
      <w:r w:rsidR="006A4688" w:rsidRPr="00262D83">
        <w:rPr>
          <w:rStyle w:val="Znakapoznpodarou"/>
        </w:rPr>
        <w:footnoteReference w:id="19"/>
      </w:r>
      <w:r w:rsidR="009A4F16" w:rsidRPr="00262D83">
        <w:t xml:space="preserve"> Revizí</w:t>
      </w:r>
      <w:r w:rsidR="009A4F16" w:rsidRPr="007E6EF5">
        <w:t xml:space="preserve"> NSBSP 2020 nedošlo ke změně platných strategických cílů, ale byl schválen aktualizovaný AP, který zahrnoval celkem 116 aktivit.</w:t>
      </w:r>
    </w:p>
    <w:p w14:paraId="6096C7C6" w14:textId="77777777" w:rsidR="00C608DF" w:rsidRDefault="00C608DF" w:rsidP="00F31C2D">
      <w:pPr>
        <w:pStyle w:val="JK2"/>
        <w:numPr>
          <w:ilvl w:val="0"/>
          <w:numId w:val="0"/>
        </w:numPr>
        <w:rPr>
          <w:b/>
          <w:i/>
        </w:rPr>
      </w:pPr>
    </w:p>
    <w:p w14:paraId="137AF257" w14:textId="77777777" w:rsidR="00F31C2D" w:rsidRPr="007E6EF5" w:rsidRDefault="00F31C2D" w:rsidP="00F31C2D">
      <w:pPr>
        <w:pStyle w:val="JK2"/>
        <w:numPr>
          <w:ilvl w:val="0"/>
          <w:numId w:val="0"/>
        </w:numPr>
      </w:pPr>
      <w:r w:rsidRPr="007E6EF5">
        <w:rPr>
          <w:b/>
          <w:i/>
        </w:rPr>
        <w:t>Strategické období 2021</w:t>
      </w:r>
      <w:r w:rsidR="008C3EC7">
        <w:rPr>
          <w:b/>
          <w:i/>
        </w:rPr>
        <w:t>–</w:t>
      </w:r>
      <w:r w:rsidRPr="007E6EF5">
        <w:rPr>
          <w:b/>
          <w:i/>
        </w:rPr>
        <w:t>2030</w:t>
      </w:r>
    </w:p>
    <w:p w14:paraId="6EAFAD4C" w14:textId="77777777" w:rsidR="00725626" w:rsidRDefault="009A4F16" w:rsidP="00C32C9A">
      <w:pPr>
        <w:pStyle w:val="JK2"/>
        <w:ind w:left="0" w:firstLine="0"/>
      </w:pPr>
      <w:r w:rsidRPr="007E6EF5">
        <w:t>Pro období let 2021</w:t>
      </w:r>
      <w:r w:rsidR="008C3EC7">
        <w:t>–</w:t>
      </w:r>
      <w:r w:rsidRPr="007E6EF5">
        <w:t xml:space="preserve">2030 vláda schválila navazující a aktuálně platnou </w:t>
      </w:r>
      <w:r w:rsidRPr="002C7C06">
        <w:rPr>
          <w:i/>
        </w:rPr>
        <w:t>Strategii BESIP 2021</w:t>
      </w:r>
      <w:r w:rsidR="008C3EC7" w:rsidRPr="002C7C06">
        <w:rPr>
          <w:i/>
        </w:rPr>
        <w:t>–</w:t>
      </w:r>
      <w:r w:rsidRPr="002C7C06">
        <w:rPr>
          <w:i/>
        </w:rPr>
        <w:t>2030</w:t>
      </w:r>
      <w:r w:rsidRPr="007E6EF5">
        <w:t xml:space="preserve"> (dále </w:t>
      </w:r>
      <w:r w:rsidRPr="00262D83">
        <w:t>také „Strategie BESIP 2030“)</w:t>
      </w:r>
      <w:r w:rsidR="005D1F09">
        <w:t>.</w:t>
      </w:r>
      <w:r w:rsidR="006A4688" w:rsidRPr="00262D83">
        <w:rPr>
          <w:rStyle w:val="Znakapoznpodarou"/>
        </w:rPr>
        <w:footnoteReference w:id="20"/>
      </w:r>
      <w:r w:rsidRPr="00262D83">
        <w:t xml:space="preserve"> Obdobně</w:t>
      </w:r>
      <w:r w:rsidRPr="007E6EF5">
        <w:t xml:space="preserve"> jako v</w:t>
      </w:r>
      <w:r w:rsidR="00C06DB7">
        <w:t xml:space="preserve"> </w:t>
      </w:r>
      <w:r w:rsidRPr="007E6EF5">
        <w:t xml:space="preserve">případě předchozí </w:t>
      </w:r>
      <w:r w:rsidR="00673191" w:rsidRPr="007E6EF5">
        <w:t>NSBSP</w:t>
      </w:r>
      <w:r w:rsidR="00C06DB7">
        <w:t> </w:t>
      </w:r>
      <w:r w:rsidRPr="007E6EF5">
        <w:t xml:space="preserve">2020 uložila ministru dopravy koordinovat plnění opatření </w:t>
      </w:r>
      <w:r w:rsidR="00673191" w:rsidRPr="007E6EF5">
        <w:t>a</w:t>
      </w:r>
      <w:r w:rsidRPr="007E6EF5">
        <w:t xml:space="preserve"> jednou ročně informovat vládu o</w:t>
      </w:r>
      <w:r w:rsidR="007F64D3">
        <w:t> </w:t>
      </w:r>
      <w:r w:rsidRPr="007E6EF5">
        <w:rPr>
          <w:rFonts w:asciiTheme="minorHAnsi" w:hAnsiTheme="minorHAnsi" w:cstheme="minorHAnsi"/>
        </w:rPr>
        <w:t>vyhodnocení</w:t>
      </w:r>
      <w:r w:rsidR="00673191" w:rsidRPr="007E6EF5">
        <w:rPr>
          <w:rFonts w:asciiTheme="minorHAnsi" w:hAnsiTheme="minorHAnsi" w:cstheme="minorHAnsi"/>
        </w:rPr>
        <w:t xml:space="preserve"> jejich</w:t>
      </w:r>
      <w:r w:rsidRPr="007E6EF5">
        <w:rPr>
          <w:rFonts w:asciiTheme="minorHAnsi" w:hAnsiTheme="minorHAnsi" w:cstheme="minorHAnsi"/>
        </w:rPr>
        <w:t xml:space="preserve"> plnění.</w:t>
      </w:r>
      <w:r w:rsidR="00725626">
        <w:t xml:space="preserve"> </w:t>
      </w:r>
    </w:p>
    <w:p w14:paraId="64983791" w14:textId="77777777" w:rsidR="0061500B" w:rsidRPr="007E6EF5" w:rsidRDefault="009A4F16" w:rsidP="00292993">
      <w:pPr>
        <w:pStyle w:val="JK2"/>
        <w:numPr>
          <w:ilvl w:val="1"/>
          <w:numId w:val="37"/>
        </w:numPr>
        <w:tabs>
          <w:tab w:val="clear" w:pos="567"/>
          <w:tab w:val="left" w:pos="0"/>
        </w:tabs>
        <w:spacing w:after="0"/>
        <w:ind w:left="0" w:firstLine="0"/>
      </w:pPr>
      <w:r w:rsidRPr="007E6EF5">
        <w:t>Strategickým cíl</w:t>
      </w:r>
      <w:r w:rsidR="00917390">
        <w:t>em</w:t>
      </w:r>
      <w:r w:rsidRPr="007E6EF5">
        <w:t xml:space="preserve"> aktuálně účinné Strategie BESIP 2030 je snížení počtu</w:t>
      </w:r>
      <w:r w:rsidR="00725626">
        <w:t xml:space="preserve"> </w:t>
      </w:r>
      <w:r w:rsidRPr="007E6EF5">
        <w:t xml:space="preserve">usmrcených </w:t>
      </w:r>
      <w:r w:rsidRPr="007E6EF5">
        <w:br/>
        <w:t>a těžce zraněných osob na pozemních komunikacích v</w:t>
      </w:r>
      <w:r w:rsidR="00042885">
        <w:t xml:space="preserve"> </w:t>
      </w:r>
      <w:r w:rsidRPr="007E6EF5">
        <w:t>důsledku dopravních nehod na polovinu, tzn. v</w:t>
      </w:r>
      <w:r w:rsidR="00042885">
        <w:t xml:space="preserve"> </w:t>
      </w:r>
      <w:r w:rsidRPr="007E6EF5">
        <w:t xml:space="preserve">roce 2030 o 50 % méně </w:t>
      </w:r>
      <w:r w:rsidR="00917390">
        <w:t>ve srovnání s</w:t>
      </w:r>
      <w:r w:rsidRPr="007E6EF5">
        <w:t xml:space="preserve"> výchozím stav</w:t>
      </w:r>
      <w:r w:rsidR="00917390">
        <w:t>em</w:t>
      </w:r>
      <w:r w:rsidRPr="007E6EF5">
        <w:t>. S</w:t>
      </w:r>
      <w:r w:rsidR="002B0D05">
        <w:t> </w:t>
      </w:r>
      <w:r w:rsidRPr="007E6EF5">
        <w:t xml:space="preserve">ohledem na vliv pandemie </w:t>
      </w:r>
      <w:r w:rsidR="00C037E2">
        <w:t>covid</w:t>
      </w:r>
      <w:r w:rsidR="00042885">
        <w:t>u</w:t>
      </w:r>
      <w:r w:rsidRPr="007E6EF5">
        <w:t xml:space="preserve">-19, jejíž průběh </w:t>
      </w:r>
      <w:r w:rsidR="00042885" w:rsidRPr="007E6EF5">
        <w:t xml:space="preserve">měl </w:t>
      </w:r>
      <w:r w:rsidR="00462954">
        <w:t>v</w:t>
      </w:r>
      <w:r w:rsidR="00042885">
        <w:t xml:space="preserve"> </w:t>
      </w:r>
      <w:r w:rsidR="00462954">
        <w:t xml:space="preserve">letech 2020 a 2021 </w:t>
      </w:r>
      <w:r w:rsidRPr="007E6EF5">
        <w:t>výrazný vliv na snížení intenzity dopravy a</w:t>
      </w:r>
      <w:r w:rsidR="00042885">
        <w:t xml:space="preserve"> </w:t>
      </w:r>
      <w:r w:rsidRPr="007E6EF5">
        <w:t>v</w:t>
      </w:r>
      <w:r w:rsidR="00042885">
        <w:t xml:space="preserve"> </w:t>
      </w:r>
      <w:r w:rsidRPr="007E6EF5">
        <w:t>souvislosti s</w:t>
      </w:r>
      <w:r w:rsidR="00042885">
        <w:t xml:space="preserve"> </w:t>
      </w:r>
      <w:r w:rsidRPr="007E6EF5">
        <w:t>tím i na nižší počet závažných následků dopravních nehod</w:t>
      </w:r>
      <w:r w:rsidR="007F64D3">
        <w:rPr>
          <w:rStyle w:val="Znakapoznpodarou"/>
        </w:rPr>
        <w:footnoteReference w:id="21"/>
      </w:r>
      <w:r w:rsidRPr="007E6EF5">
        <w:t xml:space="preserve">, je výchozím </w:t>
      </w:r>
      <w:r w:rsidR="00294BB3">
        <w:t>stavem</w:t>
      </w:r>
      <w:r w:rsidR="00294BB3" w:rsidRPr="007E6EF5">
        <w:t xml:space="preserve"> </w:t>
      </w:r>
      <w:r w:rsidRPr="007E6EF5">
        <w:t xml:space="preserve">průměr </w:t>
      </w:r>
      <w:r w:rsidR="00F26122">
        <w:t xml:space="preserve">hodnot </w:t>
      </w:r>
      <w:r w:rsidRPr="007E6EF5">
        <w:t>ukazatelů z</w:t>
      </w:r>
      <w:r w:rsidR="002B0D05">
        <w:t> </w:t>
      </w:r>
      <w:r w:rsidRPr="007E6EF5">
        <w:t>let 2017</w:t>
      </w:r>
      <w:r w:rsidR="00473E43">
        <w:t>–</w:t>
      </w:r>
      <w:r w:rsidRPr="007E6EF5">
        <w:t xml:space="preserve">2019, </w:t>
      </w:r>
      <w:r w:rsidR="00042885">
        <w:t>tj.</w:t>
      </w:r>
      <w:r w:rsidRPr="007E6EF5">
        <w:t xml:space="preserve"> počet usmrcených v</w:t>
      </w:r>
      <w:r w:rsidR="002B0D05">
        <w:t> </w:t>
      </w:r>
      <w:r w:rsidRPr="007E6EF5">
        <w:t xml:space="preserve">silniční </w:t>
      </w:r>
      <w:r w:rsidRPr="007E6EF5">
        <w:lastRenderedPageBreak/>
        <w:t xml:space="preserve">dopravě </w:t>
      </w:r>
      <w:r w:rsidR="00E9257E" w:rsidRPr="007E6EF5">
        <w:t>538</w:t>
      </w:r>
      <w:r w:rsidRPr="007E6EF5">
        <w:t xml:space="preserve"> osob a</w:t>
      </w:r>
      <w:r w:rsidR="00042885">
        <w:t xml:space="preserve"> </w:t>
      </w:r>
      <w:r w:rsidRPr="007E6EF5">
        <w:t xml:space="preserve">počet těžce zraněných </w:t>
      </w:r>
      <w:r w:rsidR="00E9257E" w:rsidRPr="007E6EF5">
        <w:t>2 305</w:t>
      </w:r>
      <w:r w:rsidRPr="007E6EF5">
        <w:t xml:space="preserve"> osob. V</w:t>
      </w:r>
      <w:r w:rsidR="002B0D05">
        <w:t> </w:t>
      </w:r>
      <w:r w:rsidRPr="007E6EF5">
        <w:t xml:space="preserve">roce 2030 by tak nemělo být </w:t>
      </w:r>
      <w:r w:rsidR="00EB02C8">
        <w:t xml:space="preserve">na </w:t>
      </w:r>
      <w:r w:rsidR="00C803CF">
        <w:t xml:space="preserve">pozemních komunikacích </w:t>
      </w:r>
      <w:r w:rsidR="00EB02C8">
        <w:t>v</w:t>
      </w:r>
      <w:r w:rsidR="00042885">
        <w:t xml:space="preserve"> </w:t>
      </w:r>
      <w:r w:rsidR="00EB02C8">
        <w:t xml:space="preserve">ČR </w:t>
      </w:r>
      <w:r w:rsidRPr="007E6EF5">
        <w:t>usmrceno více než 269 osob a</w:t>
      </w:r>
      <w:r w:rsidR="00042885">
        <w:t xml:space="preserve"> </w:t>
      </w:r>
      <w:r w:rsidRPr="007E6EF5">
        <w:t>těžce zraněno více než 1</w:t>
      </w:r>
      <w:r w:rsidR="00042885">
        <w:t> </w:t>
      </w:r>
      <w:r w:rsidRPr="007E6EF5">
        <w:t>153</w:t>
      </w:r>
      <w:r w:rsidR="00042885">
        <w:t> </w:t>
      </w:r>
      <w:r w:rsidRPr="007E6EF5">
        <w:t>osob.</w:t>
      </w:r>
      <w:r w:rsidR="00462954">
        <w:t xml:space="preserve"> </w:t>
      </w:r>
      <w:r w:rsidR="0061500B" w:rsidRPr="007E6EF5">
        <w:t>Nedílnou součástí Strategie BESIP 2030 jsou</w:t>
      </w:r>
      <w:r w:rsidR="00462954">
        <w:t xml:space="preserve"> AP</w:t>
      </w:r>
      <w:r w:rsidR="0061500B" w:rsidRPr="007E6EF5">
        <w:t>, které</w:t>
      </w:r>
      <w:r w:rsidR="00EA5D66" w:rsidRPr="007E6EF5">
        <w:t xml:space="preserve"> </w:t>
      </w:r>
      <w:r w:rsidR="0061500B" w:rsidRPr="007E6EF5">
        <w:t>na rozdíl od předchozího strategického období 2011–2020</w:t>
      </w:r>
      <w:r w:rsidR="00EA5D66" w:rsidRPr="007E6EF5">
        <w:t xml:space="preserve"> s</w:t>
      </w:r>
      <w:r w:rsidR="0061500B" w:rsidRPr="007E6EF5">
        <w:t xml:space="preserve">chvaluje </w:t>
      </w:r>
      <w:r w:rsidR="00EA5D66" w:rsidRPr="007E6EF5">
        <w:t>vláda</w:t>
      </w:r>
      <w:r w:rsidR="0061500B" w:rsidRPr="007E6EF5">
        <w:t xml:space="preserve"> na dvouletá období</w:t>
      </w:r>
      <w:r w:rsidR="005D1F09">
        <w:t>.</w:t>
      </w:r>
      <w:r w:rsidR="006A4688" w:rsidRPr="007E6EF5">
        <w:rPr>
          <w:rStyle w:val="Znakapoznpodarou"/>
        </w:rPr>
        <w:footnoteReference w:id="22"/>
      </w:r>
      <w:r w:rsidR="0061500B" w:rsidRPr="007E6EF5">
        <w:t xml:space="preserve"> </w:t>
      </w:r>
    </w:p>
    <w:p w14:paraId="3E98925D" w14:textId="77777777" w:rsidR="004C3DB2" w:rsidRPr="007E6EF5" w:rsidRDefault="004C3DB2" w:rsidP="00725626">
      <w:pPr>
        <w:pStyle w:val="JK2"/>
        <w:numPr>
          <w:ilvl w:val="0"/>
          <w:numId w:val="0"/>
        </w:numPr>
        <w:spacing w:after="0"/>
      </w:pPr>
    </w:p>
    <w:p w14:paraId="7E33C7B5" w14:textId="77777777" w:rsidR="00E25029" w:rsidRPr="007E6EF5" w:rsidRDefault="00E25029" w:rsidP="00E25029">
      <w:pPr>
        <w:pStyle w:val="JK2"/>
        <w:numPr>
          <w:ilvl w:val="0"/>
          <w:numId w:val="0"/>
        </w:numPr>
        <w:rPr>
          <w:b/>
          <w:i/>
        </w:rPr>
      </w:pPr>
      <w:r w:rsidRPr="007E6EF5">
        <w:rPr>
          <w:b/>
          <w:i/>
        </w:rPr>
        <w:t>Financování BESIP</w:t>
      </w:r>
    </w:p>
    <w:p w14:paraId="2381675D" w14:textId="52F58400" w:rsidR="00E25029" w:rsidRPr="00262D83" w:rsidRDefault="00E42ADB" w:rsidP="00292993">
      <w:pPr>
        <w:pStyle w:val="JK2"/>
        <w:numPr>
          <w:ilvl w:val="1"/>
          <w:numId w:val="37"/>
        </w:numPr>
        <w:tabs>
          <w:tab w:val="clear" w:pos="567"/>
          <w:tab w:val="left" w:pos="0"/>
        </w:tabs>
        <w:ind w:left="0" w:firstLine="0"/>
      </w:pPr>
      <w:r>
        <w:t>F</w:t>
      </w:r>
      <w:r w:rsidR="00E25029" w:rsidRPr="007E6EF5">
        <w:t xml:space="preserve">inancování BESIP </w:t>
      </w:r>
      <w:r>
        <w:t>je v</w:t>
      </w:r>
      <w:r w:rsidR="002B0D05">
        <w:t> </w:t>
      </w:r>
      <w:r>
        <w:t xml:space="preserve">ČR </w:t>
      </w:r>
      <w:r w:rsidR="00E25029" w:rsidRPr="007E6EF5">
        <w:t>realizováno prostřednictvím rozpočt</w:t>
      </w:r>
      <w:r w:rsidR="007B5989" w:rsidRPr="007E6EF5">
        <w:t>ů</w:t>
      </w:r>
      <w:r w:rsidR="00E25029" w:rsidRPr="007E6EF5">
        <w:t xml:space="preserve"> subjektů odpovědných za realizaci konkrétních opatření</w:t>
      </w:r>
      <w:r w:rsidR="000D5372">
        <w:t xml:space="preserve"> (viz </w:t>
      </w:r>
      <w:r w:rsidR="000D5372" w:rsidRPr="00262D83">
        <w:t xml:space="preserve">také </w:t>
      </w:r>
      <w:r w:rsidR="00665ED6" w:rsidRPr="00262D83">
        <w:t xml:space="preserve">např. </w:t>
      </w:r>
      <w:r w:rsidR="000D5372" w:rsidRPr="00262D83">
        <w:t>odst. 2.4 a 2.</w:t>
      </w:r>
      <w:r w:rsidR="00665ED6" w:rsidRPr="00262D83">
        <w:t>5</w:t>
      </w:r>
      <w:r w:rsidR="000D5372" w:rsidRPr="00262D83">
        <w:t>)</w:t>
      </w:r>
      <w:r w:rsidR="00E25029" w:rsidRPr="00262D83">
        <w:t xml:space="preserve">. </w:t>
      </w:r>
      <w:r w:rsidR="00BB725C" w:rsidRPr="00262D83">
        <w:t xml:space="preserve">Doplňkovým zdrojem financování je </w:t>
      </w:r>
      <w:r w:rsidR="00BB725C" w:rsidRPr="002C7C06">
        <w:rPr>
          <w:i/>
        </w:rPr>
        <w:t>Fond zábrany škod</w:t>
      </w:r>
      <w:r w:rsidR="00BB725C" w:rsidRPr="00262D83">
        <w:t xml:space="preserve"> (dále také „FZŠ“)</w:t>
      </w:r>
      <w:r w:rsidR="005D1F09">
        <w:t>.</w:t>
      </w:r>
      <w:r w:rsidR="00BB725C" w:rsidRPr="00262D83">
        <w:rPr>
          <w:rStyle w:val="Znakapoznpodarou"/>
        </w:rPr>
        <w:footnoteReference w:id="23"/>
      </w:r>
      <w:r w:rsidR="00BB725C" w:rsidRPr="00262D83">
        <w:t xml:space="preserve"> FZŠ</w:t>
      </w:r>
      <w:r w:rsidR="00BB725C" w:rsidRPr="00262D83">
        <w:rPr>
          <w:rFonts w:asciiTheme="minorHAnsi" w:hAnsiTheme="minorHAnsi" w:cstheme="minorHAnsi"/>
        </w:rPr>
        <w:t xml:space="preserve"> sdružuje finanční příspěvky od</w:t>
      </w:r>
      <w:r w:rsidR="00172E0F">
        <w:rPr>
          <w:rFonts w:asciiTheme="minorHAnsi" w:hAnsiTheme="minorHAnsi" w:cstheme="minorHAnsi"/>
        </w:rPr>
        <w:t xml:space="preserve"> </w:t>
      </w:r>
      <w:r w:rsidR="00BB725C" w:rsidRPr="00262D83">
        <w:rPr>
          <w:rFonts w:asciiTheme="minorHAnsi" w:hAnsiTheme="minorHAnsi" w:cstheme="minorHAnsi"/>
        </w:rPr>
        <w:t>členských pojišťoven České kanceláře pojistitelů (dále také „ČKP“). Finanční</w:t>
      </w:r>
      <w:r w:rsidR="00BB725C" w:rsidRPr="007E6EF5">
        <w:rPr>
          <w:rFonts w:asciiTheme="minorHAnsi" w:hAnsiTheme="minorHAnsi" w:cstheme="minorHAnsi"/>
        </w:rPr>
        <w:t xml:space="preserve"> prostředky FZŠ lze použít mj. na realizac</w:t>
      </w:r>
      <w:r w:rsidR="00755916">
        <w:rPr>
          <w:rFonts w:asciiTheme="minorHAnsi" w:hAnsiTheme="minorHAnsi" w:cstheme="minorHAnsi"/>
        </w:rPr>
        <w:t>i</w:t>
      </w:r>
      <w:r w:rsidR="00BB725C" w:rsidRPr="007E6EF5">
        <w:rPr>
          <w:rFonts w:asciiTheme="minorHAnsi" w:hAnsiTheme="minorHAnsi" w:cstheme="minorHAnsi"/>
        </w:rPr>
        <w:t xml:space="preserve"> projektů</w:t>
      </w:r>
      <w:r w:rsidR="00755916">
        <w:rPr>
          <w:rFonts w:asciiTheme="minorHAnsi" w:hAnsiTheme="minorHAnsi" w:cstheme="minorHAnsi"/>
        </w:rPr>
        <w:t>, které jsou zaměřeny</w:t>
      </w:r>
      <w:r w:rsidR="00BB725C" w:rsidRPr="007E6EF5">
        <w:rPr>
          <w:rFonts w:asciiTheme="minorHAnsi" w:hAnsiTheme="minorHAnsi" w:cstheme="minorHAnsi"/>
        </w:rPr>
        <w:t xml:space="preserve"> na BESIP </w:t>
      </w:r>
      <w:r w:rsidR="00755916">
        <w:rPr>
          <w:rFonts w:asciiTheme="minorHAnsi" w:hAnsiTheme="minorHAnsi" w:cstheme="minorHAnsi"/>
        </w:rPr>
        <w:t xml:space="preserve">a byly </w:t>
      </w:r>
      <w:r w:rsidR="00BB725C" w:rsidRPr="007E6EF5">
        <w:rPr>
          <w:rFonts w:asciiTheme="minorHAnsi" w:hAnsiTheme="minorHAnsi" w:cstheme="minorHAnsi"/>
        </w:rPr>
        <w:t>schválen</w:t>
      </w:r>
      <w:r w:rsidR="00755916">
        <w:rPr>
          <w:rFonts w:asciiTheme="minorHAnsi" w:hAnsiTheme="minorHAnsi" w:cstheme="minorHAnsi"/>
        </w:rPr>
        <w:t>y</w:t>
      </w:r>
      <w:r w:rsidR="00BB725C" w:rsidRPr="007E6EF5">
        <w:rPr>
          <w:rFonts w:asciiTheme="minorHAnsi" w:hAnsiTheme="minorHAnsi" w:cstheme="minorHAnsi"/>
        </w:rPr>
        <w:t xml:space="preserve"> </w:t>
      </w:r>
      <w:r w:rsidR="00755916">
        <w:rPr>
          <w:rFonts w:asciiTheme="minorHAnsi" w:hAnsiTheme="minorHAnsi" w:cstheme="minorHAnsi"/>
        </w:rPr>
        <w:t>k</w:t>
      </w:r>
      <w:r w:rsidR="00BB725C" w:rsidRPr="007E6EF5">
        <w:rPr>
          <w:rFonts w:asciiTheme="minorHAnsi" w:hAnsiTheme="minorHAnsi" w:cstheme="minorHAnsi"/>
        </w:rPr>
        <w:t xml:space="preserve">omisí </w:t>
      </w:r>
      <w:r w:rsidR="00BB725C" w:rsidRPr="007E6EF5">
        <w:t>ČKP</w:t>
      </w:r>
      <w:r w:rsidR="00BB725C">
        <w:t xml:space="preserve">. </w:t>
      </w:r>
      <w:r w:rsidR="00F52BD0" w:rsidRPr="007E6EF5">
        <w:t>Přehled čerpání peněžních prostředků ze</w:t>
      </w:r>
      <w:r w:rsidR="00755916">
        <w:t xml:space="preserve"> </w:t>
      </w:r>
      <w:r w:rsidR="00F52BD0" w:rsidRPr="007E6EF5">
        <w:t xml:space="preserve">strany </w:t>
      </w:r>
      <w:r w:rsidR="005C6205">
        <w:t>MD</w:t>
      </w:r>
      <w:r w:rsidR="005D7EEB">
        <w:t xml:space="preserve"> </w:t>
      </w:r>
      <w:r w:rsidR="00BB725C">
        <w:t xml:space="preserve">(včetně použití prostředků FZŠ) </w:t>
      </w:r>
      <w:r w:rsidR="005D7EEB">
        <w:t xml:space="preserve">a </w:t>
      </w:r>
      <w:r w:rsidR="00755916">
        <w:t xml:space="preserve">čerpání </w:t>
      </w:r>
      <w:r w:rsidR="005D7EEB">
        <w:t>příspěvku</w:t>
      </w:r>
      <w:r w:rsidR="00F52BD0" w:rsidRPr="007E6EF5">
        <w:t>, který MD v</w:t>
      </w:r>
      <w:r w:rsidR="002B0D05">
        <w:t> </w:t>
      </w:r>
      <w:r w:rsidR="00F52BD0" w:rsidRPr="007E6EF5">
        <w:t>kontrolovaném</w:t>
      </w:r>
      <w:r w:rsidR="00F52BD0">
        <w:t xml:space="preserve"> období poskytlo</w:t>
      </w:r>
      <w:r w:rsidR="00F52BD0" w:rsidRPr="004A785F">
        <w:t xml:space="preserve"> příspěvkové organizac</w:t>
      </w:r>
      <w:r w:rsidR="00F52BD0">
        <w:t>i</w:t>
      </w:r>
      <w:r w:rsidR="00F52BD0" w:rsidRPr="004A785F">
        <w:t xml:space="preserve"> CSPSD</w:t>
      </w:r>
      <w:r w:rsidR="005D7EEB">
        <w:t xml:space="preserve">, </w:t>
      </w:r>
      <w:r w:rsidR="00755916">
        <w:t xml:space="preserve">uvádí </w:t>
      </w:r>
      <w:r w:rsidR="005D7EEB" w:rsidRPr="00262D83">
        <w:t>přílo</w:t>
      </w:r>
      <w:r w:rsidR="00755916">
        <w:t>ha</w:t>
      </w:r>
      <w:r w:rsidR="005D7EEB" w:rsidRPr="00262D83">
        <w:t xml:space="preserve"> č. 2</w:t>
      </w:r>
      <w:r w:rsidR="00F52BD0" w:rsidRPr="00262D83">
        <w:t>.</w:t>
      </w:r>
    </w:p>
    <w:p w14:paraId="366710F6" w14:textId="77777777" w:rsidR="00E25029" w:rsidRDefault="00F52BD0" w:rsidP="00292993">
      <w:pPr>
        <w:pStyle w:val="JK2"/>
        <w:numPr>
          <w:ilvl w:val="1"/>
          <w:numId w:val="37"/>
        </w:numPr>
        <w:tabs>
          <w:tab w:val="clear" w:pos="567"/>
          <w:tab w:val="left" w:pos="0"/>
        </w:tabs>
        <w:ind w:left="0" w:firstLine="0"/>
      </w:pPr>
      <w:bookmarkStart w:id="9" w:name="_Hlk140068233"/>
      <w:r w:rsidRPr="00262D83">
        <w:t>O</w:t>
      </w:r>
      <w:r w:rsidR="0035367E" w:rsidRPr="00262D83">
        <w:t>blast</w:t>
      </w:r>
      <w:r w:rsidR="00E25029" w:rsidRPr="00262D83">
        <w:t xml:space="preserve"> BESIP </w:t>
      </w:r>
      <w:r w:rsidRPr="00262D83">
        <w:t xml:space="preserve">je financována i prostřednictvím </w:t>
      </w:r>
      <w:r w:rsidR="005D7EEB" w:rsidRPr="00262D83">
        <w:t xml:space="preserve">vynakládání </w:t>
      </w:r>
      <w:r w:rsidRPr="00262D83">
        <w:t>peněžních prostředků</w:t>
      </w:r>
      <w:r w:rsidR="002B5AC5" w:rsidRPr="00262D83">
        <w:t xml:space="preserve"> </w:t>
      </w:r>
      <w:r w:rsidR="00AE7254" w:rsidRPr="00262D83">
        <w:t>na</w:t>
      </w:r>
      <w:r w:rsidR="00C06DB7">
        <w:t xml:space="preserve"> </w:t>
      </w:r>
      <w:r w:rsidR="00E25029" w:rsidRPr="00262D83">
        <w:t>výstavbu, rekonstrukc</w:t>
      </w:r>
      <w:r w:rsidR="00AE7254" w:rsidRPr="00262D83">
        <w:t>e</w:t>
      </w:r>
      <w:r w:rsidR="00E25029" w:rsidRPr="00262D83">
        <w:t xml:space="preserve"> a oprav</w:t>
      </w:r>
      <w:r w:rsidR="00AE7254" w:rsidRPr="00262D83">
        <w:t>y</w:t>
      </w:r>
      <w:r w:rsidR="00E25029" w:rsidRPr="00262D83">
        <w:t xml:space="preserve"> </w:t>
      </w:r>
      <w:r w:rsidR="00AE7254" w:rsidRPr="00262D83">
        <w:t xml:space="preserve">pozemních komunikací. Tyto aktivity </w:t>
      </w:r>
      <w:r w:rsidR="00E25029" w:rsidRPr="00262D83">
        <w:t>nesou prvek</w:t>
      </w:r>
      <w:r w:rsidR="00E25029" w:rsidRPr="007E6EF5">
        <w:t xml:space="preserve"> zvýšení bezpečnosti</w:t>
      </w:r>
      <w:r w:rsidR="005D7EEB">
        <w:t xml:space="preserve"> silničního provozu</w:t>
      </w:r>
      <w:r w:rsidR="00E25029" w:rsidRPr="007E6EF5">
        <w:t xml:space="preserve">. </w:t>
      </w:r>
      <w:r w:rsidR="0035367E" w:rsidRPr="007E6EF5">
        <w:t xml:space="preserve">Peněžní prostředky vynakládané na </w:t>
      </w:r>
      <w:r w:rsidR="005D7EEB">
        <w:t xml:space="preserve">ně </w:t>
      </w:r>
      <w:r w:rsidR="0035367E" w:rsidRPr="007E6EF5">
        <w:t>jsou</w:t>
      </w:r>
      <w:r w:rsidR="00E25029" w:rsidRPr="007E6EF5">
        <w:t xml:space="preserve"> součástí investičních a provozních </w:t>
      </w:r>
      <w:r w:rsidR="00694DFA" w:rsidRPr="007E6EF5">
        <w:t>výdajů</w:t>
      </w:r>
      <w:r w:rsidR="0035367E" w:rsidRPr="007E6EF5">
        <w:t xml:space="preserve"> hrazených </w:t>
      </w:r>
      <w:r w:rsidR="00E25029" w:rsidRPr="007E6EF5">
        <w:t>z</w:t>
      </w:r>
      <w:r w:rsidR="002B0D05">
        <w:t> </w:t>
      </w:r>
      <w:r w:rsidR="00E25029" w:rsidRPr="007E6EF5">
        <w:t>rozpočt</w:t>
      </w:r>
      <w:r w:rsidR="0035367E" w:rsidRPr="007E6EF5">
        <w:t>ů</w:t>
      </w:r>
      <w:r w:rsidR="00E25029" w:rsidRPr="007E6EF5">
        <w:t xml:space="preserve"> vlastníků pozemních komunikací</w:t>
      </w:r>
      <w:r>
        <w:t>, tedy státu, krajů a obcí</w:t>
      </w:r>
      <w:r w:rsidR="005D7EEB">
        <w:t>,</w:t>
      </w:r>
      <w:r w:rsidR="0035367E" w:rsidRPr="007E6EF5">
        <w:t xml:space="preserve"> a</w:t>
      </w:r>
      <w:r w:rsidR="00755916">
        <w:t>však</w:t>
      </w:r>
      <w:r w:rsidR="0035367E" w:rsidRPr="007E6EF5">
        <w:t xml:space="preserve"> nelze jednoznačně</w:t>
      </w:r>
      <w:r>
        <w:t xml:space="preserve"> </w:t>
      </w:r>
      <w:r w:rsidR="0035367E" w:rsidRPr="007E6EF5">
        <w:t>stanovit objem</w:t>
      </w:r>
      <w:r w:rsidR="005D7EEB">
        <w:t xml:space="preserve"> specificky se týkající BESIP</w:t>
      </w:r>
      <w:r w:rsidR="0035367E" w:rsidRPr="007E6EF5">
        <w:t>.</w:t>
      </w:r>
    </w:p>
    <w:p w14:paraId="2B026D5C" w14:textId="77777777" w:rsidR="002C0197" w:rsidRDefault="002C0197" w:rsidP="002C0197">
      <w:pPr>
        <w:pStyle w:val="JK2"/>
        <w:numPr>
          <w:ilvl w:val="0"/>
          <w:numId w:val="0"/>
        </w:numPr>
        <w:tabs>
          <w:tab w:val="clear" w:pos="567"/>
          <w:tab w:val="left" w:pos="0"/>
        </w:tabs>
      </w:pPr>
    </w:p>
    <w:p w14:paraId="172A1A8C" w14:textId="77777777" w:rsidR="00230A73" w:rsidRDefault="00230A73" w:rsidP="003474F1">
      <w:pPr>
        <w:pStyle w:val="JK2"/>
        <w:numPr>
          <w:ilvl w:val="0"/>
          <w:numId w:val="0"/>
        </w:numPr>
        <w:tabs>
          <w:tab w:val="clear" w:pos="567"/>
          <w:tab w:val="left" w:pos="0"/>
        </w:tabs>
      </w:pPr>
      <w:r>
        <w:rPr>
          <w:b/>
          <w:i/>
        </w:rPr>
        <w:t>Informace o organizační změně</w:t>
      </w:r>
    </w:p>
    <w:p w14:paraId="45492235" w14:textId="77777777" w:rsidR="00230A73" w:rsidRPr="007E6EF5" w:rsidRDefault="00755916" w:rsidP="00292993">
      <w:pPr>
        <w:pStyle w:val="JK2"/>
        <w:numPr>
          <w:ilvl w:val="1"/>
          <w:numId w:val="37"/>
        </w:numPr>
        <w:tabs>
          <w:tab w:val="clear" w:pos="567"/>
          <w:tab w:val="left" w:pos="0"/>
        </w:tabs>
        <w:ind w:left="0" w:firstLine="0"/>
      </w:pPr>
      <w:r w:rsidRPr="00230A73">
        <w:t xml:space="preserve">NKÚ </w:t>
      </w:r>
      <w:r>
        <w:t>p</w:t>
      </w:r>
      <w:r w:rsidR="00230A73" w:rsidRPr="00230A73">
        <w:t xml:space="preserve">o ukončení kontroly zjistil </w:t>
      </w:r>
      <w:r>
        <w:t>z</w:t>
      </w:r>
      <w:r w:rsidR="00230A73" w:rsidRPr="00230A73">
        <w:t xml:space="preserve"> webových stránek MD</w:t>
      </w:r>
      <w:r w:rsidR="005F7CA7">
        <w:rPr>
          <w:rStyle w:val="Znakapoznpodarou"/>
        </w:rPr>
        <w:footnoteReference w:id="24"/>
      </w:r>
      <w:r w:rsidR="00230A73" w:rsidRPr="00230A73">
        <w:t>, že k</w:t>
      </w:r>
      <w:r w:rsidR="002B0D05">
        <w:t> </w:t>
      </w:r>
      <w:r w:rsidR="00230A73" w:rsidRPr="00230A73">
        <w:t xml:space="preserve">1. 7. 2023 provedl ministr dopravy organizační změnu, kdy činnost </w:t>
      </w:r>
      <w:r w:rsidR="002B0D05">
        <w:t xml:space="preserve">krajských </w:t>
      </w:r>
      <w:r w:rsidR="00230A73" w:rsidRPr="00230A73">
        <w:t xml:space="preserve">koordinátorů v 14 krajích převedl do kompetence </w:t>
      </w:r>
      <w:r w:rsidR="005C6205">
        <w:t>MD</w:t>
      </w:r>
      <w:r w:rsidR="00230A73" w:rsidRPr="00230A73">
        <w:t>. S</w:t>
      </w:r>
      <w:r w:rsidR="00EB59BD">
        <w:t xml:space="preserve"> </w:t>
      </w:r>
      <w:r w:rsidR="00230A73" w:rsidRPr="00230A73">
        <w:t>účinností k stejnému datu také změnil zřizovací listinu CSPSD</w:t>
      </w:r>
      <w:r w:rsidR="005F7CA7">
        <w:rPr>
          <w:rStyle w:val="Znakapoznpodarou"/>
        </w:rPr>
        <w:footnoteReference w:id="25"/>
      </w:r>
      <w:r w:rsidR="00230A73" w:rsidRPr="00230A73">
        <w:t>, kdy činnosti s</w:t>
      </w:r>
      <w:r w:rsidR="00EB59BD">
        <w:t xml:space="preserve"> </w:t>
      </w:r>
      <w:r w:rsidR="00230A73" w:rsidRPr="00230A73">
        <w:t>vazbou mj. na zajišťování kampaní v</w:t>
      </w:r>
      <w:r w:rsidR="00EB59BD">
        <w:t xml:space="preserve"> </w:t>
      </w:r>
      <w:r w:rsidR="00230A73" w:rsidRPr="00230A73">
        <w:t>oblasti BESIP a zabezpečování činností spojených s</w:t>
      </w:r>
      <w:r w:rsidR="002B0D05">
        <w:t> </w:t>
      </w:r>
      <w:r w:rsidR="00230A73" w:rsidRPr="00230A73">
        <w:t>prezentací BESIP na výstavách či jiných akcích vyňa</w:t>
      </w:r>
      <w:r>
        <w:t>l</w:t>
      </w:r>
      <w:r w:rsidR="00230A73" w:rsidRPr="00230A73">
        <w:t xml:space="preserve"> z</w:t>
      </w:r>
      <w:r w:rsidR="002B0D05">
        <w:t> </w:t>
      </w:r>
      <w:r w:rsidR="00230A73" w:rsidRPr="00230A73">
        <w:t>předmětu činnosti CSPSD. MD a CSPSD uzavřely s</w:t>
      </w:r>
      <w:r w:rsidR="002B0D05">
        <w:t> </w:t>
      </w:r>
      <w:r w:rsidR="00230A73" w:rsidRPr="00230A73">
        <w:t xml:space="preserve">účinností od 1. 7. 2023 </w:t>
      </w:r>
      <w:r w:rsidR="00AC57BA">
        <w:t>„</w:t>
      </w:r>
      <w:r w:rsidRPr="002C7C06">
        <w:rPr>
          <w:i/>
        </w:rPr>
        <w:t>d</w:t>
      </w:r>
      <w:r w:rsidR="00230A73" w:rsidRPr="002C7C06">
        <w:rPr>
          <w:i/>
        </w:rPr>
        <w:t>ohodu o postoupení smluv</w:t>
      </w:r>
      <w:r w:rsidR="00AC57BA">
        <w:t>“</w:t>
      </w:r>
      <w:r w:rsidR="00230A73" w:rsidRPr="00230A73">
        <w:t xml:space="preserve">, </w:t>
      </w:r>
      <w:r>
        <w:t xml:space="preserve">na </w:t>
      </w:r>
      <w:r w:rsidR="00230A73" w:rsidRPr="00230A73">
        <w:t xml:space="preserve">jejímž </w:t>
      </w:r>
      <w:r>
        <w:t xml:space="preserve">základě byly smlouvy </w:t>
      </w:r>
      <w:r w:rsidR="00230A73" w:rsidRPr="00230A73">
        <w:t>uzavřen</w:t>
      </w:r>
      <w:r>
        <w:t>é</w:t>
      </w:r>
      <w:r w:rsidR="00230A73" w:rsidRPr="00230A73">
        <w:t xml:space="preserve"> s</w:t>
      </w:r>
      <w:r w:rsidR="00EB59BD">
        <w:t xml:space="preserve"> </w:t>
      </w:r>
      <w:r w:rsidR="002B0D05">
        <w:t xml:space="preserve">krajskými </w:t>
      </w:r>
      <w:r w:rsidR="00230A73" w:rsidRPr="00230A73">
        <w:t>koordinátory a z nich vyplývající práv</w:t>
      </w:r>
      <w:r>
        <w:t>a</w:t>
      </w:r>
      <w:r w:rsidR="00230A73" w:rsidRPr="00230A73">
        <w:t xml:space="preserve"> a povinnost</w:t>
      </w:r>
      <w:r>
        <w:t>i</w:t>
      </w:r>
      <w:r w:rsidR="00230A73" w:rsidRPr="00230A73">
        <w:t xml:space="preserve"> </w:t>
      </w:r>
      <w:r>
        <w:t xml:space="preserve">převedeny </w:t>
      </w:r>
      <w:r w:rsidR="00230A73" w:rsidRPr="00230A73">
        <w:t>na MD.</w:t>
      </w:r>
    </w:p>
    <w:p w14:paraId="21B231AF" w14:textId="77777777" w:rsidR="007935B8" w:rsidRDefault="007935B8" w:rsidP="005E68DD">
      <w:pPr>
        <w:pStyle w:val="Nadpis1"/>
      </w:pPr>
      <w:bookmarkStart w:id="10" w:name="_Hlk97728594"/>
      <w:bookmarkEnd w:id="9"/>
    </w:p>
    <w:p w14:paraId="4C28C5AA" w14:textId="77777777" w:rsidR="006D791D" w:rsidRPr="00CF657E" w:rsidRDefault="009C4343" w:rsidP="005E68DD">
      <w:pPr>
        <w:pStyle w:val="Nadpis1"/>
      </w:pPr>
      <w:r w:rsidRPr="00615DF8">
        <w:t xml:space="preserve">III. </w:t>
      </w:r>
      <w:r w:rsidR="000624C9" w:rsidRPr="00CF657E">
        <w:t>Rozsah kontroly</w:t>
      </w:r>
    </w:p>
    <w:p w14:paraId="5333E259" w14:textId="77777777" w:rsidR="00E37BC5" w:rsidRDefault="00CF657E" w:rsidP="002D675A">
      <w:pPr>
        <w:pStyle w:val="JK3"/>
      </w:pPr>
      <w:bookmarkStart w:id="11" w:name="_Hlk97729707"/>
      <w:bookmarkEnd w:id="10"/>
      <w:r w:rsidRPr="00724EE2">
        <w:t xml:space="preserve">Cílem kontroly bylo </w:t>
      </w:r>
      <w:bookmarkStart w:id="12" w:name="_Hlk138409264"/>
      <w:r w:rsidRPr="00724EE2">
        <w:t>prověřit</w:t>
      </w:r>
      <w:r w:rsidRPr="00CF657E">
        <w:t xml:space="preserve">, </w:t>
      </w:r>
      <w:r w:rsidR="0074619F" w:rsidRPr="0074619F">
        <w:t xml:space="preserve">zda resort Ministerstva dopravy řídil a realizoval vybraná opatření pro zvýšení bezpečnosti silničního provozu tak, aby peněžní prostředky určené </w:t>
      </w:r>
      <w:r w:rsidR="00A11496">
        <w:br/>
      </w:r>
      <w:r w:rsidR="0074619F" w:rsidRPr="0074619F">
        <w:t xml:space="preserve">na dosažení vybraných cílů </w:t>
      </w:r>
      <w:r w:rsidR="0074619F" w:rsidRPr="002C7C06">
        <w:rPr>
          <w:i/>
        </w:rPr>
        <w:t xml:space="preserve">Národní strategie bezpečnosti silničního provozu 2011–2020 </w:t>
      </w:r>
      <w:r w:rsidR="00A11496" w:rsidRPr="002C7C06">
        <w:rPr>
          <w:i/>
        </w:rPr>
        <w:br/>
      </w:r>
      <w:r w:rsidR="0074619F" w:rsidRPr="00EB59BD">
        <w:t xml:space="preserve">a </w:t>
      </w:r>
      <w:r w:rsidR="0074619F" w:rsidRPr="002C7C06">
        <w:rPr>
          <w:i/>
        </w:rPr>
        <w:t>Strategie BESIP 2021–2030</w:t>
      </w:r>
      <w:r w:rsidR="0074619F" w:rsidRPr="0074619F">
        <w:t xml:space="preserve"> byly vynaloženy účelně a hospodárně</w:t>
      </w:r>
      <w:r w:rsidR="0074619F">
        <w:t>.</w:t>
      </w:r>
    </w:p>
    <w:p w14:paraId="087F5723" w14:textId="77777777" w:rsidR="00B37045" w:rsidRPr="007E6EF5" w:rsidRDefault="009C4343" w:rsidP="002D675A">
      <w:pPr>
        <w:pStyle w:val="JK3"/>
      </w:pPr>
      <w:bookmarkStart w:id="13" w:name="_Ref118030275"/>
      <w:bookmarkStart w:id="14" w:name="_Hlk139979962"/>
      <w:bookmarkEnd w:id="12"/>
      <w:r w:rsidRPr="00724EE2">
        <w:t xml:space="preserve">Za účelné se </w:t>
      </w:r>
      <w:r w:rsidRPr="00B37045">
        <w:t xml:space="preserve">považuje </w:t>
      </w:r>
      <w:r w:rsidRPr="007E6EF5">
        <w:t>takové použití veřejných prostředků, které zajistí optimální míru dosažení cílů při plnění stanovených úkolů</w:t>
      </w:r>
      <w:r w:rsidR="005D1F09">
        <w:t>.</w:t>
      </w:r>
      <w:r w:rsidR="006A4688" w:rsidRPr="007E6EF5">
        <w:rPr>
          <w:rStyle w:val="Znakapoznpodarou"/>
        </w:rPr>
        <w:footnoteReference w:id="26"/>
      </w:r>
      <w:r w:rsidRPr="007E6EF5">
        <w:t xml:space="preserve"> </w:t>
      </w:r>
      <w:r w:rsidR="00B37045" w:rsidRPr="007E6EF5">
        <w:t>Č</w:t>
      </w:r>
      <w:r w:rsidRPr="007E6EF5">
        <w:t xml:space="preserve">erpání peněžních prostředků bylo tedy účelné, </w:t>
      </w:r>
      <w:r w:rsidR="00207539" w:rsidRPr="007E6EF5">
        <w:t>pokud</w:t>
      </w:r>
      <w:r w:rsidRPr="007E6EF5">
        <w:t xml:space="preserve"> </w:t>
      </w:r>
      <w:r w:rsidR="00B37045" w:rsidRPr="007E6EF5">
        <w:t xml:space="preserve">jejich </w:t>
      </w:r>
      <w:r w:rsidR="0019139C">
        <w:t>vynakládání</w:t>
      </w:r>
      <w:r w:rsidR="00B37045" w:rsidRPr="007E6EF5">
        <w:t xml:space="preserve"> na vybrané aktivity vedlo k</w:t>
      </w:r>
      <w:r w:rsidR="005B09DF">
        <w:t xml:space="preserve"> optimálnímu </w:t>
      </w:r>
      <w:r w:rsidR="00B37045" w:rsidRPr="007E6EF5">
        <w:t xml:space="preserve">dosažení </w:t>
      </w:r>
      <w:r w:rsidRPr="007E6EF5">
        <w:t>stanovených cílů</w:t>
      </w:r>
      <w:r w:rsidR="00FB6BF9">
        <w:t xml:space="preserve"> na úrovni strategie a jednotlivých aktivit</w:t>
      </w:r>
      <w:r w:rsidRPr="007E6EF5">
        <w:t xml:space="preserve">, </w:t>
      </w:r>
      <w:r w:rsidR="00B37045" w:rsidRPr="007E6EF5">
        <w:t>případně k jiný</w:t>
      </w:r>
      <w:r w:rsidR="008F2BFB" w:rsidRPr="007E6EF5">
        <w:t>m</w:t>
      </w:r>
      <w:r w:rsidR="00B37045" w:rsidRPr="007E6EF5">
        <w:t xml:space="preserve"> pozitivní</w:t>
      </w:r>
      <w:r w:rsidR="008F2BFB" w:rsidRPr="007E6EF5">
        <w:t>m</w:t>
      </w:r>
      <w:r w:rsidR="00B37045" w:rsidRPr="007E6EF5">
        <w:t xml:space="preserve"> dopadů</w:t>
      </w:r>
      <w:r w:rsidR="008F2BFB" w:rsidRPr="007E6EF5">
        <w:t>m</w:t>
      </w:r>
      <w:r w:rsidR="00B37045" w:rsidRPr="007E6EF5">
        <w:t xml:space="preserve"> na BESIP.</w:t>
      </w:r>
      <w:bookmarkEnd w:id="13"/>
    </w:p>
    <w:p w14:paraId="183E9549" w14:textId="77777777" w:rsidR="001546B8" w:rsidRDefault="009C4343" w:rsidP="002D675A">
      <w:pPr>
        <w:pStyle w:val="JK3"/>
        <w:rPr>
          <w:szCs w:val="24"/>
        </w:rPr>
      </w:pPr>
      <w:bookmarkStart w:id="15" w:name="_Ref118030304"/>
      <w:bookmarkStart w:id="16" w:name="_Hlk138931596"/>
      <w:r w:rsidRPr="007E6EF5">
        <w:t xml:space="preserve">Za </w:t>
      </w:r>
      <w:r w:rsidR="00435B07" w:rsidRPr="007E6EF5">
        <w:t>hospodárné</w:t>
      </w:r>
      <w:r w:rsidRPr="007E6EF5">
        <w:t xml:space="preserve"> se považuje takové </w:t>
      </w:r>
      <w:r w:rsidR="00E15073" w:rsidRPr="007E6EF5">
        <w:t>použití veřejných prostředků</w:t>
      </w:r>
      <w:r w:rsidR="00053F0E" w:rsidRPr="007E6EF5">
        <w:t xml:space="preserve">, které zajistí plnění </w:t>
      </w:r>
      <w:r w:rsidR="00E15073" w:rsidRPr="007E6EF5">
        <w:t xml:space="preserve">stanovených úkolů s co nejnižším </w:t>
      </w:r>
      <w:r w:rsidR="0019139C">
        <w:t>vynakládání</w:t>
      </w:r>
      <w:r w:rsidR="00E15073" w:rsidRPr="007E6EF5">
        <w:t xml:space="preserve">m těchto prostředků, a to při dodržení odpovídající kvality plněných </w:t>
      </w:r>
      <w:r w:rsidR="005F7CA7" w:rsidRPr="007E6EF5">
        <w:t>úkolů</w:t>
      </w:r>
      <w:r w:rsidR="004A453D">
        <w:t>.</w:t>
      </w:r>
      <w:r w:rsidR="005F7CA7">
        <w:rPr>
          <w:rStyle w:val="Znakapoznpodarou"/>
        </w:rPr>
        <w:footnoteReference w:id="27"/>
      </w:r>
      <w:r w:rsidRPr="007E6EF5">
        <w:t xml:space="preserve"> </w:t>
      </w:r>
      <w:r w:rsidR="00B37045" w:rsidRPr="007E6EF5">
        <w:t>Č</w:t>
      </w:r>
      <w:r w:rsidRPr="007E6EF5">
        <w:t xml:space="preserve">erpání peněžních prostředků bylo tedy </w:t>
      </w:r>
      <w:r w:rsidR="00E15073" w:rsidRPr="007E6EF5">
        <w:t>hospodárné</w:t>
      </w:r>
      <w:r w:rsidRPr="007E6EF5">
        <w:t>,</w:t>
      </w:r>
      <w:r w:rsidR="00B37045" w:rsidRPr="007E6EF5">
        <w:t xml:space="preserve"> pokud </w:t>
      </w:r>
      <w:r w:rsidR="00462954">
        <w:t>došlo</w:t>
      </w:r>
      <w:r w:rsidR="00B37045" w:rsidRPr="007E6EF5">
        <w:t xml:space="preserve"> k výběru nabídky</w:t>
      </w:r>
      <w:r w:rsidR="00462954">
        <w:t xml:space="preserve"> zboží či </w:t>
      </w:r>
      <w:r w:rsidR="00462954" w:rsidRPr="005C17F8">
        <w:t xml:space="preserve">služeb </w:t>
      </w:r>
      <w:r w:rsidR="00856964" w:rsidRPr="005C17F8">
        <w:rPr>
          <w:rFonts w:ascii="Calibri" w:hAnsi="Calibri" w:cs="Calibri"/>
          <w:bCs/>
        </w:rPr>
        <w:t>s nejnižší cenou</w:t>
      </w:r>
      <w:r w:rsidR="0059496A" w:rsidRPr="005C17F8">
        <w:rPr>
          <w:rFonts w:ascii="Calibri" w:hAnsi="Calibri" w:cs="Calibri"/>
          <w:bCs/>
        </w:rPr>
        <w:t xml:space="preserve"> při dodržení odpovídající kvality plněných úkolů</w:t>
      </w:r>
      <w:r w:rsidR="00B37045" w:rsidRPr="005C17F8">
        <w:t>, za</w:t>
      </w:r>
      <w:r w:rsidR="00412BDF">
        <w:t xml:space="preserve"> </w:t>
      </w:r>
      <w:r w:rsidR="00B37045" w:rsidRPr="005C17F8">
        <w:t>současného předpokladu, že takto získané plnění bude mít přínos pro splnění vytyčených cílů v</w:t>
      </w:r>
      <w:r w:rsidR="002773B0" w:rsidRPr="005C17F8">
        <w:t xml:space="preserve"> kontrolované </w:t>
      </w:r>
      <w:r w:rsidR="00B37045" w:rsidRPr="00B37045">
        <w:t>oblasti. Druhou úroveň posouzení hospodárnosti peněžních prostředků vynaložených na vybrané aktivity představ</w:t>
      </w:r>
      <w:r w:rsidR="003C3012">
        <w:t>ovalo</w:t>
      </w:r>
      <w:r w:rsidR="00B37045" w:rsidRPr="00B37045">
        <w:t xml:space="preserve"> posouzení souladu nasmlouvaného a skutečného plnění, tj. zda nedošlo k odchýle</w:t>
      </w:r>
      <w:r w:rsidR="00B37045" w:rsidRPr="003C3012">
        <w:t xml:space="preserve">ní se </w:t>
      </w:r>
      <w:r w:rsidR="00B37045" w:rsidRPr="003D6BA4">
        <w:rPr>
          <w:szCs w:val="24"/>
        </w:rPr>
        <w:t xml:space="preserve">od nasmlouvaného předmětu </w:t>
      </w:r>
      <w:r w:rsidR="005B09DF" w:rsidRPr="003D6BA4">
        <w:rPr>
          <w:szCs w:val="24"/>
        </w:rPr>
        <w:t>plnění</w:t>
      </w:r>
      <w:r w:rsidR="005B09DF">
        <w:rPr>
          <w:szCs w:val="24"/>
        </w:rPr>
        <w:t xml:space="preserve"> bez pozitivního přínosu pro splnění vytyčených cílů</w:t>
      </w:r>
      <w:r w:rsidR="00B37045" w:rsidRPr="00362124">
        <w:rPr>
          <w:szCs w:val="24"/>
        </w:rPr>
        <w:t xml:space="preserve">. </w:t>
      </w:r>
      <w:bookmarkEnd w:id="15"/>
      <w:bookmarkEnd w:id="16"/>
    </w:p>
    <w:bookmarkEnd w:id="14"/>
    <w:p w14:paraId="33F1D482" w14:textId="77777777" w:rsidR="001546B8" w:rsidRPr="001546B8" w:rsidRDefault="001546B8" w:rsidP="002D675A">
      <w:pPr>
        <w:pStyle w:val="JK3"/>
      </w:pPr>
      <w:r w:rsidRPr="00724EE2">
        <w:t>Kontrola</w:t>
      </w:r>
      <w:r w:rsidRPr="001546B8">
        <w:t xml:space="preserve"> u MD se </w:t>
      </w:r>
      <w:r w:rsidR="00462954">
        <w:t xml:space="preserve">zejména </w:t>
      </w:r>
      <w:r w:rsidRPr="001546B8">
        <w:t>zaměřila</w:t>
      </w:r>
      <w:r w:rsidR="00462954">
        <w:t xml:space="preserve"> na</w:t>
      </w:r>
      <w:r w:rsidRPr="001546B8">
        <w:t>:</w:t>
      </w:r>
    </w:p>
    <w:p w14:paraId="5F724189" w14:textId="77777777" w:rsidR="001546B8" w:rsidRPr="001546B8" w:rsidRDefault="001546B8" w:rsidP="001546B8">
      <w:pPr>
        <w:pStyle w:val="KPnormal"/>
        <w:numPr>
          <w:ilvl w:val="0"/>
          <w:numId w:val="10"/>
        </w:numPr>
        <w:spacing w:before="0" w:line="240" w:lineRule="auto"/>
        <w:ind w:left="850" w:hanging="357"/>
        <w:rPr>
          <w:color w:val="auto"/>
        </w:rPr>
      </w:pPr>
      <w:r w:rsidRPr="001546B8">
        <w:rPr>
          <w:color w:val="auto"/>
        </w:rPr>
        <w:t>soulad strategických dokumentů BESIP se souvisejícími dokumenty ČR a EU</w:t>
      </w:r>
      <w:r w:rsidR="0015024C">
        <w:rPr>
          <w:color w:val="auto"/>
        </w:rPr>
        <w:t xml:space="preserve"> a</w:t>
      </w:r>
      <w:r w:rsidR="002B5AC5">
        <w:rPr>
          <w:color w:val="auto"/>
        </w:rPr>
        <w:t> </w:t>
      </w:r>
      <w:r w:rsidR="0015024C">
        <w:rPr>
          <w:color w:val="auto"/>
        </w:rPr>
        <w:t>dosahování stanovených cílů BESIP</w:t>
      </w:r>
      <w:r>
        <w:rPr>
          <w:color w:val="auto"/>
        </w:rPr>
        <w:t>;</w:t>
      </w:r>
    </w:p>
    <w:p w14:paraId="3D491B75" w14:textId="77777777" w:rsidR="001546B8" w:rsidRPr="001546B8" w:rsidRDefault="001546B8" w:rsidP="001546B8">
      <w:pPr>
        <w:pStyle w:val="KPnormal"/>
        <w:numPr>
          <w:ilvl w:val="0"/>
          <w:numId w:val="10"/>
        </w:numPr>
        <w:spacing w:before="0" w:line="240" w:lineRule="auto"/>
        <w:ind w:left="850" w:hanging="357"/>
        <w:rPr>
          <w:color w:val="auto"/>
        </w:rPr>
      </w:pPr>
      <w:r w:rsidRPr="001546B8">
        <w:rPr>
          <w:color w:val="auto"/>
        </w:rPr>
        <w:t xml:space="preserve">zacílení </w:t>
      </w:r>
      <w:r>
        <w:rPr>
          <w:color w:val="auto"/>
        </w:rPr>
        <w:t xml:space="preserve">strategických dokumentů BESIP </w:t>
      </w:r>
      <w:r w:rsidRPr="001546B8">
        <w:rPr>
          <w:color w:val="auto"/>
        </w:rPr>
        <w:t xml:space="preserve">s ohledem na aktuální </w:t>
      </w:r>
      <w:r w:rsidR="00BC0943">
        <w:rPr>
          <w:color w:val="auto"/>
        </w:rPr>
        <w:t>stav</w:t>
      </w:r>
      <w:r w:rsidRPr="001546B8">
        <w:rPr>
          <w:color w:val="auto"/>
        </w:rPr>
        <w:t xml:space="preserve"> BESIP v</w:t>
      </w:r>
      <w:r>
        <w:rPr>
          <w:color w:val="auto"/>
        </w:rPr>
        <w:t> </w:t>
      </w:r>
      <w:r w:rsidRPr="001546B8">
        <w:rPr>
          <w:color w:val="auto"/>
        </w:rPr>
        <w:t>ČR</w:t>
      </w:r>
      <w:r>
        <w:rPr>
          <w:color w:val="auto"/>
        </w:rPr>
        <w:t>;</w:t>
      </w:r>
    </w:p>
    <w:p w14:paraId="38AF268E" w14:textId="77777777" w:rsidR="001546B8" w:rsidRPr="001546B8" w:rsidRDefault="001546B8" w:rsidP="001546B8">
      <w:pPr>
        <w:pStyle w:val="KPnormal"/>
        <w:numPr>
          <w:ilvl w:val="0"/>
          <w:numId w:val="10"/>
        </w:numPr>
        <w:spacing w:before="0" w:line="240" w:lineRule="auto"/>
        <w:ind w:left="850" w:hanging="357"/>
        <w:rPr>
          <w:color w:val="auto"/>
        </w:rPr>
      </w:pPr>
      <w:r w:rsidRPr="001546B8">
        <w:rPr>
          <w:color w:val="auto"/>
        </w:rPr>
        <w:t>potenciál</w:t>
      </w:r>
      <w:r w:rsidR="0051200B">
        <w:rPr>
          <w:color w:val="auto"/>
        </w:rPr>
        <w:t xml:space="preserve"> aktivit</w:t>
      </w:r>
      <w:r w:rsidR="00D1393C">
        <w:rPr>
          <w:color w:val="auto"/>
        </w:rPr>
        <w:t xml:space="preserve"> AP</w:t>
      </w:r>
      <w:r w:rsidRPr="001546B8">
        <w:rPr>
          <w:color w:val="auto"/>
        </w:rPr>
        <w:t xml:space="preserve"> přispět k naplnění strategických cílů</w:t>
      </w:r>
      <w:r w:rsidR="002D56E4">
        <w:rPr>
          <w:color w:val="auto"/>
        </w:rPr>
        <w:t>,</w:t>
      </w:r>
      <w:r w:rsidRPr="001546B8">
        <w:rPr>
          <w:color w:val="auto"/>
        </w:rPr>
        <w:t xml:space="preserve"> </w:t>
      </w:r>
      <w:r w:rsidR="00D1393C">
        <w:rPr>
          <w:color w:val="auto"/>
        </w:rPr>
        <w:t xml:space="preserve">případně </w:t>
      </w:r>
      <w:r w:rsidR="005B09DF">
        <w:rPr>
          <w:color w:val="auto"/>
        </w:rPr>
        <w:t xml:space="preserve">zvýšení </w:t>
      </w:r>
      <w:r w:rsidRPr="001546B8">
        <w:rPr>
          <w:color w:val="auto"/>
        </w:rPr>
        <w:t>bezpečnosti silničního provozu</w:t>
      </w:r>
      <w:r w:rsidR="00D1393C">
        <w:rPr>
          <w:color w:val="auto"/>
        </w:rPr>
        <w:t xml:space="preserve"> v ČR</w:t>
      </w:r>
      <w:r>
        <w:rPr>
          <w:color w:val="auto"/>
        </w:rPr>
        <w:t>;</w:t>
      </w:r>
      <w:r w:rsidRPr="001546B8">
        <w:rPr>
          <w:color w:val="auto"/>
        </w:rPr>
        <w:t xml:space="preserve"> </w:t>
      </w:r>
    </w:p>
    <w:p w14:paraId="3266E144" w14:textId="77777777" w:rsidR="001546B8" w:rsidRPr="001546B8" w:rsidRDefault="00BC0943" w:rsidP="001546B8">
      <w:pPr>
        <w:pStyle w:val="KPnormal"/>
        <w:numPr>
          <w:ilvl w:val="0"/>
          <w:numId w:val="10"/>
        </w:numPr>
        <w:spacing w:before="0" w:line="240" w:lineRule="auto"/>
        <w:ind w:left="850" w:hanging="357"/>
        <w:rPr>
          <w:color w:val="auto"/>
        </w:rPr>
      </w:pPr>
      <w:r>
        <w:rPr>
          <w:color w:val="auto"/>
        </w:rPr>
        <w:t>nastavení</w:t>
      </w:r>
      <w:r w:rsidR="001546B8" w:rsidRPr="001546B8">
        <w:rPr>
          <w:color w:val="auto"/>
        </w:rPr>
        <w:t xml:space="preserve"> </w:t>
      </w:r>
      <w:r>
        <w:rPr>
          <w:color w:val="auto"/>
        </w:rPr>
        <w:t>s</w:t>
      </w:r>
      <w:r w:rsidR="001546B8" w:rsidRPr="001546B8">
        <w:rPr>
          <w:color w:val="auto"/>
        </w:rPr>
        <w:t>trategick</w:t>
      </w:r>
      <w:r>
        <w:rPr>
          <w:color w:val="auto"/>
        </w:rPr>
        <w:t>ých</w:t>
      </w:r>
      <w:r w:rsidR="001546B8" w:rsidRPr="001546B8">
        <w:rPr>
          <w:color w:val="auto"/>
        </w:rPr>
        <w:t xml:space="preserve"> cíl</w:t>
      </w:r>
      <w:r>
        <w:rPr>
          <w:color w:val="auto"/>
        </w:rPr>
        <w:t>ů</w:t>
      </w:r>
      <w:r w:rsidR="001546B8" w:rsidRPr="001546B8">
        <w:rPr>
          <w:color w:val="auto"/>
        </w:rPr>
        <w:t xml:space="preserve"> a související</w:t>
      </w:r>
      <w:r>
        <w:rPr>
          <w:color w:val="auto"/>
        </w:rPr>
        <w:t>ch</w:t>
      </w:r>
      <w:r w:rsidR="001546B8" w:rsidRPr="001546B8">
        <w:rPr>
          <w:color w:val="auto"/>
        </w:rPr>
        <w:t xml:space="preserve"> aktivit AP způsobem, který umožní </w:t>
      </w:r>
      <w:r w:rsidR="00462954">
        <w:rPr>
          <w:color w:val="auto"/>
        </w:rPr>
        <w:t xml:space="preserve">jejich </w:t>
      </w:r>
      <w:r w:rsidR="001546B8" w:rsidRPr="001546B8">
        <w:rPr>
          <w:color w:val="auto"/>
        </w:rPr>
        <w:t>monitor</w:t>
      </w:r>
      <w:r w:rsidR="001546B8">
        <w:rPr>
          <w:color w:val="auto"/>
        </w:rPr>
        <w:t>ing</w:t>
      </w:r>
      <w:r w:rsidR="001546B8" w:rsidRPr="001546B8">
        <w:rPr>
          <w:color w:val="auto"/>
        </w:rPr>
        <w:t xml:space="preserve"> a vyhodnoc</w:t>
      </w:r>
      <w:r w:rsidR="001546B8">
        <w:rPr>
          <w:color w:val="auto"/>
        </w:rPr>
        <w:t>ení jejich plnění;</w:t>
      </w:r>
    </w:p>
    <w:p w14:paraId="2FDCB2B7" w14:textId="77777777" w:rsidR="001546B8" w:rsidRPr="001546B8" w:rsidRDefault="00D1393C" w:rsidP="001546B8">
      <w:pPr>
        <w:pStyle w:val="KPnormal"/>
        <w:numPr>
          <w:ilvl w:val="0"/>
          <w:numId w:val="10"/>
        </w:numPr>
        <w:spacing w:before="0" w:line="240" w:lineRule="auto"/>
        <w:ind w:left="850" w:hanging="357"/>
        <w:rPr>
          <w:color w:val="auto"/>
        </w:rPr>
      </w:pPr>
      <w:r>
        <w:rPr>
          <w:color w:val="auto"/>
        </w:rPr>
        <w:t>realizaci</w:t>
      </w:r>
      <w:r w:rsidR="001546B8" w:rsidRPr="001546B8">
        <w:rPr>
          <w:color w:val="auto"/>
        </w:rPr>
        <w:t xml:space="preserve"> monitoring</w:t>
      </w:r>
      <w:r>
        <w:rPr>
          <w:color w:val="auto"/>
        </w:rPr>
        <w:t>u</w:t>
      </w:r>
      <w:r w:rsidR="001546B8" w:rsidRPr="001546B8">
        <w:rPr>
          <w:color w:val="auto"/>
        </w:rPr>
        <w:t xml:space="preserve"> a vyhodnocování</w:t>
      </w:r>
      <w:r w:rsidR="001546B8">
        <w:rPr>
          <w:color w:val="auto"/>
        </w:rPr>
        <w:t xml:space="preserve"> plnění</w:t>
      </w:r>
      <w:r w:rsidR="00BC0943">
        <w:rPr>
          <w:color w:val="auto"/>
        </w:rPr>
        <w:t xml:space="preserve"> strategických cílů a </w:t>
      </w:r>
      <w:r w:rsidR="001546B8" w:rsidRPr="001546B8">
        <w:rPr>
          <w:color w:val="auto"/>
        </w:rPr>
        <w:t>aktivit AP</w:t>
      </w:r>
      <w:r w:rsidR="00462954">
        <w:rPr>
          <w:color w:val="auto"/>
        </w:rPr>
        <w:t xml:space="preserve"> zaměřených</w:t>
      </w:r>
      <w:r w:rsidR="001546B8" w:rsidRPr="001546B8">
        <w:rPr>
          <w:color w:val="auto"/>
        </w:rPr>
        <w:t xml:space="preserve"> na účelnost a hospodárnost vynaložených peněžních prostředků</w:t>
      </w:r>
      <w:r w:rsidR="001546B8">
        <w:rPr>
          <w:color w:val="auto"/>
        </w:rPr>
        <w:t>;</w:t>
      </w:r>
    </w:p>
    <w:p w14:paraId="40C0D51F" w14:textId="77777777" w:rsidR="00412BDF" w:rsidRDefault="00412BDF" w:rsidP="00412BDF">
      <w:pPr>
        <w:pStyle w:val="KPnormal"/>
        <w:numPr>
          <w:ilvl w:val="0"/>
          <w:numId w:val="10"/>
        </w:numPr>
        <w:spacing w:before="0" w:line="240" w:lineRule="auto"/>
        <w:ind w:left="850" w:hanging="357"/>
      </w:pPr>
      <w:r>
        <w:t>hospodárnost vynakládání peněžních prostředků na aktivity BESIP realizované přímo MD.</w:t>
      </w:r>
    </w:p>
    <w:p w14:paraId="40BCDA68" w14:textId="77777777" w:rsidR="0015024C" w:rsidRDefault="00412BDF" w:rsidP="002C7C06">
      <w:pPr>
        <w:pStyle w:val="KPnormal"/>
        <w:spacing w:before="0" w:line="240" w:lineRule="auto"/>
        <w:ind w:left="567" w:firstLine="0"/>
      </w:pPr>
      <w:r>
        <w:t xml:space="preserve">S </w:t>
      </w:r>
      <w:r w:rsidR="0015024C">
        <w:t>ohledem na aktuální stav statistik nehodovosti v</w:t>
      </w:r>
      <w:r>
        <w:t xml:space="preserve"> </w:t>
      </w:r>
      <w:r w:rsidR="0015024C">
        <w:t xml:space="preserve">ČR </w:t>
      </w:r>
      <w:r>
        <w:t xml:space="preserve">provedl </w:t>
      </w:r>
      <w:r w:rsidR="0015024C">
        <w:t xml:space="preserve">NKÚ zároveň predikci budoucího vývoje plnění strategických cílů a </w:t>
      </w:r>
      <w:r>
        <w:t>odhad pravděpodobnosti</w:t>
      </w:r>
      <w:r w:rsidR="0015024C">
        <w:t xml:space="preserve"> jejich splnění do roku 2030</w:t>
      </w:r>
      <w:r w:rsidR="00462954">
        <w:t xml:space="preserve"> jako ukazatelů účelnosti vynaložených peněžních prostředků</w:t>
      </w:r>
      <w:r>
        <w:t>.</w:t>
      </w:r>
    </w:p>
    <w:p w14:paraId="2813A0F3" w14:textId="77777777" w:rsidR="009A3D7A" w:rsidRPr="00262D83" w:rsidRDefault="004E678B" w:rsidP="002D675A">
      <w:pPr>
        <w:pStyle w:val="JK3"/>
      </w:pPr>
      <w:r w:rsidRPr="004E678B">
        <w:t xml:space="preserve">U MD byly ke kontrole účelnosti, resp. hospodárnosti vybrány oblasti preventivně </w:t>
      </w:r>
      <w:r w:rsidRPr="005C17F8">
        <w:t>informačních aktivit a</w:t>
      </w:r>
      <w:r w:rsidR="001C079B" w:rsidRPr="005C17F8">
        <w:t> </w:t>
      </w:r>
      <w:r w:rsidR="002D56E4" w:rsidRPr="005C17F8">
        <w:rPr>
          <w:rFonts w:cstheme="minorHAnsi"/>
          <w:bCs/>
        </w:rPr>
        <w:t>aktivit zaměřených na legislativní úpravy</w:t>
      </w:r>
      <w:r w:rsidR="00412BDF">
        <w:rPr>
          <w:rFonts w:cstheme="minorHAnsi"/>
          <w:bCs/>
        </w:rPr>
        <w:t xml:space="preserve"> (výběr byl proveden </w:t>
      </w:r>
      <w:r w:rsidR="00412BDF" w:rsidRPr="004E678B">
        <w:t>s ohledem na předpokládaný potenciál dopadu na stav BESIP</w:t>
      </w:r>
      <w:r w:rsidR="00412BDF">
        <w:rPr>
          <w:rFonts w:cstheme="minorHAnsi"/>
          <w:bCs/>
        </w:rPr>
        <w:t>)</w:t>
      </w:r>
      <w:r w:rsidRPr="005C17F8">
        <w:t>.</w:t>
      </w:r>
      <w:r w:rsidR="0072269C" w:rsidRPr="005C17F8">
        <w:t xml:space="preserve"> </w:t>
      </w:r>
      <w:r w:rsidR="00071898" w:rsidRPr="005C17F8">
        <w:t xml:space="preserve">NKÚ podrobil kontrole </w:t>
      </w:r>
      <w:r w:rsidR="0072269C" w:rsidRPr="005C17F8">
        <w:t>veškeré</w:t>
      </w:r>
      <w:r w:rsidR="00FF6BD5" w:rsidRPr="005C17F8">
        <w:t xml:space="preserve"> peněžní </w:t>
      </w:r>
      <w:r w:rsidR="00FF6BD5" w:rsidRPr="005C17F8">
        <w:lastRenderedPageBreak/>
        <w:t>prostředky vynakládané na</w:t>
      </w:r>
      <w:r w:rsidR="0072269C" w:rsidRPr="005C17F8">
        <w:t xml:space="preserve"> tyto aktivity</w:t>
      </w:r>
      <w:r w:rsidR="00071898" w:rsidRPr="005C17F8">
        <w:t xml:space="preserve"> realizované MD v</w:t>
      </w:r>
      <w:r w:rsidR="0073332F">
        <w:t xml:space="preserve"> </w:t>
      </w:r>
      <w:r w:rsidR="00071898" w:rsidRPr="005C17F8">
        <w:t>kontrolovaném období</w:t>
      </w:r>
      <w:r w:rsidR="00CF7846" w:rsidRPr="005C17F8">
        <w:t xml:space="preserve">. Přehled </w:t>
      </w:r>
      <w:r w:rsidR="00071898" w:rsidRPr="005C17F8">
        <w:t xml:space="preserve">těchto </w:t>
      </w:r>
      <w:r w:rsidR="00CF7846" w:rsidRPr="005C17F8">
        <w:t xml:space="preserve">aktivit </w:t>
      </w:r>
      <w:r w:rsidR="0073332F">
        <w:t>obsahuje</w:t>
      </w:r>
      <w:r w:rsidR="00CF7846" w:rsidRPr="005C17F8">
        <w:t xml:space="preserve"> příloh</w:t>
      </w:r>
      <w:r w:rsidR="0073332F">
        <w:t>a</w:t>
      </w:r>
      <w:r w:rsidR="00CF7846" w:rsidRPr="005C17F8">
        <w:t xml:space="preserve"> č. </w:t>
      </w:r>
      <w:r w:rsidR="00E25029" w:rsidRPr="005C17F8">
        <w:t>3</w:t>
      </w:r>
      <w:r w:rsidR="00CF7846" w:rsidRPr="005C17F8">
        <w:t>.</w:t>
      </w:r>
      <w:r w:rsidR="00BA05C3" w:rsidRPr="005C17F8">
        <w:t xml:space="preserve"> </w:t>
      </w:r>
      <w:r w:rsidR="00CF7846" w:rsidRPr="005C17F8">
        <w:t>Zároveň byl u MD ke ko</w:t>
      </w:r>
      <w:r w:rsidR="00CF7846" w:rsidRPr="00262D83">
        <w:t xml:space="preserve">ntrole účelnosti a hospodárnosti vynaložených peněžních prostředků vybrán vzorek </w:t>
      </w:r>
      <w:r w:rsidR="00CB0127" w:rsidRPr="00262D83">
        <w:t xml:space="preserve">čtyř </w:t>
      </w:r>
      <w:r w:rsidR="008F0F66" w:rsidRPr="00262D83">
        <w:t xml:space="preserve">ze 17 </w:t>
      </w:r>
      <w:r w:rsidR="00CF7846" w:rsidRPr="00262D83">
        <w:t xml:space="preserve">dopravně bezpečnostních </w:t>
      </w:r>
      <w:r w:rsidR="0018591D" w:rsidRPr="00262D83">
        <w:t>kampaní</w:t>
      </w:r>
      <w:r w:rsidR="00CF7846" w:rsidRPr="00262D83">
        <w:t xml:space="preserve"> (dále také „kampaně“)</w:t>
      </w:r>
      <w:r w:rsidR="00CB0127" w:rsidRPr="00262D83">
        <w:rPr>
          <w:rStyle w:val="Znakapoznpodarou"/>
        </w:rPr>
        <w:footnoteReference w:id="28"/>
      </w:r>
      <w:r w:rsidR="00071898" w:rsidRPr="00262D83">
        <w:t xml:space="preserve">, které v souhrnu představovaly </w:t>
      </w:r>
      <w:r w:rsidR="00DD7FEA" w:rsidRPr="00262D83">
        <w:t>6</w:t>
      </w:r>
      <w:r w:rsidR="0092104F" w:rsidRPr="00262D83">
        <w:t>6</w:t>
      </w:r>
      <w:r w:rsidR="00DD7FEA" w:rsidRPr="00262D83">
        <w:t>,</w:t>
      </w:r>
      <w:r w:rsidR="0092104F" w:rsidRPr="00262D83">
        <w:t>8</w:t>
      </w:r>
      <w:r w:rsidR="00DD7FEA" w:rsidRPr="00262D83">
        <w:t xml:space="preserve"> % z celkového objemu peněžních prostředků vynaložených</w:t>
      </w:r>
      <w:r w:rsidR="0055102E" w:rsidRPr="00262D83">
        <w:t xml:space="preserve"> na</w:t>
      </w:r>
      <w:r w:rsidR="0073332F">
        <w:t xml:space="preserve"> </w:t>
      </w:r>
      <w:r w:rsidR="006C37EF" w:rsidRPr="00262D83">
        <w:t>kampan</w:t>
      </w:r>
      <w:r w:rsidR="0055102E" w:rsidRPr="00262D83">
        <w:t>ě</w:t>
      </w:r>
      <w:r w:rsidR="00DD7FEA" w:rsidRPr="00262D83">
        <w:t>.</w:t>
      </w:r>
      <w:r w:rsidR="00B63455" w:rsidRPr="00262D83">
        <w:t xml:space="preserve"> </w:t>
      </w:r>
      <w:bookmarkStart w:id="17" w:name="_Hlk139282472"/>
      <w:bookmarkStart w:id="18" w:name="_Hlk139282461"/>
      <w:r w:rsidR="0018591D" w:rsidRPr="00262D83">
        <w:t xml:space="preserve">Přehled </w:t>
      </w:r>
      <w:r w:rsidR="002773B0" w:rsidRPr="00262D83">
        <w:t>dopravně bezpečnostních</w:t>
      </w:r>
      <w:r w:rsidR="0018591D" w:rsidRPr="00262D83">
        <w:t xml:space="preserve"> kampaní </w:t>
      </w:r>
      <w:r w:rsidR="002B0478" w:rsidRPr="00262D83">
        <w:t xml:space="preserve">vybraných ke kontrole </w:t>
      </w:r>
      <w:r w:rsidR="0018591D" w:rsidRPr="00262D83">
        <w:t xml:space="preserve">je </w:t>
      </w:r>
      <w:r w:rsidR="0073332F">
        <w:t>uveden v příloze</w:t>
      </w:r>
      <w:r w:rsidR="0018591D" w:rsidRPr="00262D83">
        <w:t xml:space="preserve"> č.</w:t>
      </w:r>
      <w:bookmarkEnd w:id="17"/>
      <w:r w:rsidR="0018591D" w:rsidRPr="00262D83">
        <w:t xml:space="preserve"> </w:t>
      </w:r>
      <w:r w:rsidR="00E25029" w:rsidRPr="00262D83">
        <w:t>4</w:t>
      </w:r>
      <w:r w:rsidR="0018591D" w:rsidRPr="00262D83">
        <w:t>.</w:t>
      </w:r>
      <w:bookmarkEnd w:id="18"/>
    </w:p>
    <w:p w14:paraId="1412439A" w14:textId="77777777" w:rsidR="002773B0" w:rsidRPr="007E6EF5" w:rsidRDefault="00323C41" w:rsidP="002D675A">
      <w:pPr>
        <w:pStyle w:val="JK3"/>
      </w:pPr>
      <w:r w:rsidRPr="00262D83">
        <w:rPr>
          <w:szCs w:val="24"/>
        </w:rPr>
        <w:t>Kontrola u</w:t>
      </w:r>
      <w:r w:rsidR="005840D0" w:rsidRPr="00262D83">
        <w:rPr>
          <w:szCs w:val="24"/>
        </w:rPr>
        <w:t xml:space="preserve"> CSPSD se </w:t>
      </w:r>
      <w:r w:rsidRPr="00262D83">
        <w:rPr>
          <w:szCs w:val="24"/>
        </w:rPr>
        <w:t>zaměřila na</w:t>
      </w:r>
      <w:r w:rsidR="005840D0" w:rsidRPr="00262D83">
        <w:rPr>
          <w:szCs w:val="24"/>
        </w:rPr>
        <w:t xml:space="preserve"> </w:t>
      </w:r>
      <w:r w:rsidRPr="00262D83">
        <w:rPr>
          <w:szCs w:val="24"/>
        </w:rPr>
        <w:t xml:space="preserve">ověření </w:t>
      </w:r>
      <w:r w:rsidR="005840D0" w:rsidRPr="00262D83">
        <w:t>účelnost</w:t>
      </w:r>
      <w:r w:rsidRPr="00262D83">
        <w:t>i</w:t>
      </w:r>
      <w:r w:rsidR="005840D0" w:rsidRPr="00262D83">
        <w:t xml:space="preserve"> a hospodárnosti peněžních prostředků </w:t>
      </w:r>
      <w:r w:rsidRPr="00262D83">
        <w:t>vynaložených</w:t>
      </w:r>
      <w:r w:rsidR="005840D0" w:rsidRPr="00262D83">
        <w:t xml:space="preserve"> na plnění </w:t>
      </w:r>
      <w:r w:rsidR="007E65AF">
        <w:t xml:space="preserve">preventivně informačních aktivit (dále také </w:t>
      </w:r>
      <w:r w:rsidR="00F61C5B">
        <w:t>„</w:t>
      </w:r>
      <w:r w:rsidR="007E65AF" w:rsidRPr="00262D83">
        <w:t>PIA</w:t>
      </w:r>
      <w:r w:rsidR="007E65AF">
        <w:t>“)</w:t>
      </w:r>
      <w:r w:rsidR="007E65AF" w:rsidRPr="00262D83">
        <w:t xml:space="preserve"> </w:t>
      </w:r>
      <w:r w:rsidR="007113BB" w:rsidRPr="00262D83">
        <w:t>a kampaní</w:t>
      </w:r>
      <w:r w:rsidR="005840D0" w:rsidRPr="00262D83">
        <w:t>, na jejichž realizaci se CSPSD podílelo.</w:t>
      </w:r>
      <w:r w:rsidR="005F4CBC" w:rsidRPr="00262D83">
        <w:t xml:space="preserve"> </w:t>
      </w:r>
      <w:r w:rsidR="00071898" w:rsidRPr="00262D83">
        <w:t>Jedná se o</w:t>
      </w:r>
      <w:r w:rsidR="00FB75FE" w:rsidRPr="00262D83">
        <w:t> </w:t>
      </w:r>
      <w:r w:rsidR="00071898" w:rsidRPr="00262D83">
        <w:t xml:space="preserve">shodné </w:t>
      </w:r>
      <w:r w:rsidR="005F4CBC" w:rsidRPr="00262D83">
        <w:t>aktivit</w:t>
      </w:r>
      <w:r w:rsidR="00071898" w:rsidRPr="00262D83">
        <w:t>y, které NKÚ kontroloval i u</w:t>
      </w:r>
      <w:r w:rsidR="005F4CBC" w:rsidRPr="00262D83">
        <w:t xml:space="preserve"> MD</w:t>
      </w:r>
      <w:r w:rsidR="005F4CBC" w:rsidRPr="007E6EF5">
        <w:t>.</w:t>
      </w:r>
      <w:r w:rsidR="009A3D7A" w:rsidRPr="007E6EF5">
        <w:t xml:space="preserve"> </w:t>
      </w:r>
      <w:r w:rsidR="00D85FDF" w:rsidRPr="007E6EF5">
        <w:t>Dále</w:t>
      </w:r>
      <w:r w:rsidR="002773B0" w:rsidRPr="007E6EF5">
        <w:rPr>
          <w:rFonts w:cstheme="minorHAnsi"/>
          <w:szCs w:val="24"/>
        </w:rPr>
        <w:t xml:space="preserve"> </w:t>
      </w:r>
      <w:r w:rsidR="009A3D7A" w:rsidRPr="007E6EF5">
        <w:rPr>
          <w:rFonts w:cstheme="minorHAnsi"/>
          <w:szCs w:val="24"/>
        </w:rPr>
        <w:t xml:space="preserve">se NKÚ zaměřil </w:t>
      </w:r>
      <w:r w:rsidR="0055102E" w:rsidRPr="007E6EF5">
        <w:rPr>
          <w:rFonts w:cstheme="minorHAnsi"/>
          <w:szCs w:val="24"/>
        </w:rPr>
        <w:t xml:space="preserve">na </w:t>
      </w:r>
      <w:r w:rsidR="00361C6B">
        <w:rPr>
          <w:rFonts w:cstheme="minorHAnsi"/>
          <w:szCs w:val="24"/>
        </w:rPr>
        <w:t>ověření účelnosti a</w:t>
      </w:r>
      <w:r w:rsidR="00FB75FE">
        <w:rPr>
          <w:rFonts w:cstheme="minorHAnsi"/>
          <w:szCs w:val="24"/>
        </w:rPr>
        <w:t> </w:t>
      </w:r>
      <w:r w:rsidR="00361C6B">
        <w:rPr>
          <w:rFonts w:cstheme="minorHAnsi"/>
          <w:szCs w:val="24"/>
        </w:rPr>
        <w:t xml:space="preserve">hospodárnosti </w:t>
      </w:r>
      <w:r w:rsidR="00205A24">
        <w:rPr>
          <w:rFonts w:cstheme="minorHAnsi"/>
          <w:szCs w:val="24"/>
        </w:rPr>
        <w:t xml:space="preserve">peněžních </w:t>
      </w:r>
      <w:r w:rsidR="00361C6B">
        <w:rPr>
          <w:rFonts w:cstheme="minorHAnsi"/>
          <w:szCs w:val="24"/>
        </w:rPr>
        <w:t xml:space="preserve">prostředků </w:t>
      </w:r>
      <w:r w:rsidR="0073332F">
        <w:rPr>
          <w:rFonts w:cstheme="minorHAnsi"/>
          <w:szCs w:val="24"/>
        </w:rPr>
        <w:t xml:space="preserve">vynaložených </w:t>
      </w:r>
      <w:r w:rsidR="00361C6B">
        <w:rPr>
          <w:rFonts w:cstheme="minorHAnsi"/>
          <w:szCs w:val="24"/>
        </w:rPr>
        <w:t xml:space="preserve">na </w:t>
      </w:r>
      <w:r w:rsidR="0055102E" w:rsidRPr="007E6EF5">
        <w:rPr>
          <w:rFonts w:cstheme="minorHAnsi"/>
          <w:szCs w:val="24"/>
        </w:rPr>
        <w:t xml:space="preserve">smluvně zajištěné služby </w:t>
      </w:r>
      <w:r w:rsidR="002B0D05">
        <w:rPr>
          <w:rFonts w:cstheme="minorHAnsi"/>
          <w:szCs w:val="24"/>
        </w:rPr>
        <w:t xml:space="preserve">krajských </w:t>
      </w:r>
      <w:r w:rsidR="00E03249">
        <w:rPr>
          <w:rFonts w:cstheme="minorHAnsi"/>
          <w:szCs w:val="24"/>
        </w:rPr>
        <w:t>koordinátorů</w:t>
      </w:r>
      <w:r w:rsidR="009A3D7A" w:rsidRPr="007E6EF5">
        <w:rPr>
          <w:rFonts w:cstheme="minorHAnsi"/>
          <w:szCs w:val="24"/>
        </w:rPr>
        <w:t xml:space="preserve">. </w:t>
      </w:r>
      <w:r w:rsidR="0055102E" w:rsidRPr="007E6EF5">
        <w:rPr>
          <w:rFonts w:cstheme="minorHAnsi"/>
          <w:szCs w:val="24"/>
        </w:rPr>
        <w:t xml:space="preserve">Do kontrolního vzorku vybral </w:t>
      </w:r>
      <w:r w:rsidR="0073332F" w:rsidRPr="007E6EF5">
        <w:rPr>
          <w:rFonts w:cstheme="minorHAnsi"/>
          <w:szCs w:val="24"/>
        </w:rPr>
        <w:t xml:space="preserve">NKÚ </w:t>
      </w:r>
      <w:r w:rsidR="0055102E" w:rsidRPr="007E6EF5">
        <w:rPr>
          <w:rFonts w:cstheme="minorHAnsi"/>
          <w:szCs w:val="24"/>
        </w:rPr>
        <w:t>šest</w:t>
      </w:r>
      <w:r w:rsidR="009A3D7A" w:rsidRPr="007E6EF5">
        <w:rPr>
          <w:rFonts w:cstheme="minorHAnsi"/>
          <w:szCs w:val="24"/>
        </w:rPr>
        <w:t xml:space="preserve"> </w:t>
      </w:r>
      <w:r w:rsidR="00FB75FE">
        <w:rPr>
          <w:rFonts w:cstheme="minorHAnsi"/>
          <w:szCs w:val="24"/>
        </w:rPr>
        <w:t xml:space="preserve">ze 14 </w:t>
      </w:r>
      <w:r w:rsidR="002B0D05">
        <w:rPr>
          <w:rFonts w:cstheme="minorHAnsi"/>
          <w:szCs w:val="24"/>
        </w:rPr>
        <w:t xml:space="preserve">krajských </w:t>
      </w:r>
      <w:r w:rsidR="00E03249">
        <w:rPr>
          <w:rFonts w:cstheme="minorHAnsi"/>
          <w:szCs w:val="24"/>
        </w:rPr>
        <w:t>koordinátorů</w:t>
      </w:r>
      <w:r w:rsidR="00D00B38">
        <w:rPr>
          <w:rStyle w:val="Znakapoznpodarou"/>
          <w:rFonts w:cstheme="minorHAnsi"/>
          <w:szCs w:val="24"/>
        </w:rPr>
        <w:footnoteReference w:id="29"/>
      </w:r>
      <w:r w:rsidR="009A3D7A" w:rsidRPr="007E6EF5">
        <w:rPr>
          <w:rFonts w:cstheme="minorHAnsi"/>
          <w:szCs w:val="24"/>
        </w:rPr>
        <w:t xml:space="preserve">, přičemž při jejich výběru zohlednil </w:t>
      </w:r>
      <w:r w:rsidR="0055102E" w:rsidRPr="007E6EF5">
        <w:rPr>
          <w:rFonts w:cstheme="minorHAnsi"/>
          <w:szCs w:val="24"/>
        </w:rPr>
        <w:t xml:space="preserve">zejména </w:t>
      </w:r>
      <w:r w:rsidR="009A3D7A" w:rsidRPr="007E6EF5">
        <w:rPr>
          <w:rFonts w:cstheme="minorHAnsi"/>
          <w:szCs w:val="24"/>
        </w:rPr>
        <w:t>výši úhrad za</w:t>
      </w:r>
      <w:r w:rsidR="0073332F">
        <w:rPr>
          <w:rFonts w:cstheme="minorHAnsi"/>
          <w:szCs w:val="24"/>
        </w:rPr>
        <w:t xml:space="preserve"> </w:t>
      </w:r>
      <w:r w:rsidR="009A3D7A" w:rsidRPr="007E6EF5">
        <w:rPr>
          <w:rFonts w:cstheme="minorHAnsi"/>
          <w:szCs w:val="24"/>
        </w:rPr>
        <w:t>jejich služby</w:t>
      </w:r>
      <w:r w:rsidR="0055102E" w:rsidRPr="007E6EF5">
        <w:rPr>
          <w:rFonts w:cstheme="minorHAnsi"/>
          <w:szCs w:val="24"/>
        </w:rPr>
        <w:t>, počet obyvatel krajů</w:t>
      </w:r>
      <w:r w:rsidR="00BA05C3">
        <w:rPr>
          <w:rFonts w:cstheme="minorHAnsi"/>
          <w:szCs w:val="24"/>
        </w:rPr>
        <w:t>, příp.</w:t>
      </w:r>
      <w:r w:rsidR="0055102E" w:rsidRPr="007E6EF5">
        <w:rPr>
          <w:rFonts w:cstheme="minorHAnsi"/>
          <w:szCs w:val="24"/>
        </w:rPr>
        <w:t xml:space="preserve"> </w:t>
      </w:r>
      <w:r w:rsidR="009A3D7A" w:rsidRPr="007E6EF5">
        <w:rPr>
          <w:rFonts w:cstheme="minorHAnsi"/>
          <w:szCs w:val="24"/>
        </w:rPr>
        <w:t>délku trvání smlouvy</w:t>
      </w:r>
      <w:r w:rsidR="00BA05C3">
        <w:rPr>
          <w:rFonts w:cstheme="minorHAnsi"/>
          <w:szCs w:val="24"/>
        </w:rPr>
        <w:t xml:space="preserve"> s</w:t>
      </w:r>
      <w:r w:rsidR="002B0D05">
        <w:rPr>
          <w:rFonts w:cstheme="minorHAnsi"/>
          <w:szCs w:val="24"/>
        </w:rPr>
        <w:t xml:space="preserve"> krajskými </w:t>
      </w:r>
      <w:r w:rsidR="00E03249">
        <w:rPr>
          <w:rFonts w:cstheme="minorHAnsi"/>
          <w:szCs w:val="24"/>
        </w:rPr>
        <w:t>koordinátory</w:t>
      </w:r>
      <w:r w:rsidR="009A3D7A" w:rsidRPr="007E6EF5">
        <w:rPr>
          <w:rFonts w:cstheme="minorHAnsi"/>
          <w:szCs w:val="24"/>
        </w:rPr>
        <w:t>.</w:t>
      </w:r>
      <w:r w:rsidR="00815288" w:rsidRPr="002C7C06">
        <w:rPr>
          <w:b/>
        </w:rPr>
        <w:t xml:space="preserve"> </w:t>
      </w:r>
    </w:p>
    <w:p w14:paraId="1BB81CB3" w14:textId="77777777" w:rsidR="009D03A4" w:rsidRPr="00262D83" w:rsidRDefault="002607E7" w:rsidP="002D675A">
      <w:pPr>
        <w:pStyle w:val="JK3"/>
        <w:rPr>
          <w:rFonts w:ascii="Calibri" w:hAnsi="Calibri" w:cs="Calibri"/>
          <w:color w:val="000000"/>
        </w:rPr>
      </w:pPr>
      <w:bookmarkStart w:id="19" w:name="_Hlk140067776"/>
      <w:r w:rsidRPr="007E6EF5">
        <w:rPr>
          <w:rFonts w:ascii="Calibri" w:hAnsi="Calibri" w:cs="Calibri"/>
          <w:color w:val="000000"/>
        </w:rPr>
        <w:t xml:space="preserve">Kontrola u ŘSD se zaměřila na </w:t>
      </w:r>
      <w:r w:rsidRPr="007E6EF5">
        <w:t>posouzení účelnosti a hospodárnosti peněžních prostředků</w:t>
      </w:r>
      <w:r w:rsidR="00816251" w:rsidRPr="007E6EF5">
        <w:t xml:space="preserve"> vynaložených</w:t>
      </w:r>
      <w:r w:rsidRPr="007E6EF5">
        <w:t xml:space="preserve"> </w:t>
      </w:r>
      <w:r w:rsidR="009438AA" w:rsidRPr="007E6EF5">
        <w:t>na</w:t>
      </w:r>
      <w:r w:rsidRPr="007E6EF5">
        <w:t xml:space="preserve"> </w:t>
      </w:r>
      <w:r w:rsidR="00227536" w:rsidRPr="007E6EF5">
        <w:t>tři aktuálně realizované</w:t>
      </w:r>
      <w:r w:rsidRPr="007E6EF5">
        <w:t xml:space="preserve"> aktivit</w:t>
      </w:r>
      <w:r w:rsidR="009438AA" w:rsidRPr="007E6EF5">
        <w:t>y</w:t>
      </w:r>
      <w:r w:rsidRPr="007E6EF5">
        <w:t xml:space="preserve"> na pozemních komunikacích</w:t>
      </w:r>
      <w:r w:rsidR="005F4CBC" w:rsidRPr="007E6EF5">
        <w:t xml:space="preserve"> </w:t>
      </w:r>
      <w:r w:rsidR="00227536" w:rsidRPr="007E6EF5">
        <w:t>a dále na</w:t>
      </w:r>
      <w:r w:rsidR="0073332F">
        <w:t xml:space="preserve"> používání</w:t>
      </w:r>
      <w:r w:rsidR="00227536" w:rsidRPr="007E6EF5">
        <w:t xml:space="preserve"> </w:t>
      </w:r>
      <w:r w:rsidR="00227536" w:rsidRPr="00262D83">
        <w:t>nástrojů bezpečné infrastruktury</w:t>
      </w:r>
      <w:r w:rsidR="00361450" w:rsidRPr="00262D83">
        <w:t>.</w:t>
      </w:r>
      <w:r w:rsidR="00FD51FE" w:rsidRPr="00262D83">
        <w:t xml:space="preserve"> </w:t>
      </w:r>
      <w:r w:rsidR="00227536" w:rsidRPr="00262D83">
        <w:t>P</w:t>
      </w:r>
      <w:r w:rsidR="00FD51FE" w:rsidRPr="00262D83">
        <w:t>řehled</w:t>
      </w:r>
      <w:r w:rsidR="00227536" w:rsidRPr="00262D83">
        <w:t xml:space="preserve"> aktivit a nástrojů vybraných ke</w:t>
      </w:r>
      <w:r w:rsidR="0073332F">
        <w:t xml:space="preserve"> </w:t>
      </w:r>
      <w:r w:rsidR="00227536" w:rsidRPr="00262D83">
        <w:t>kontrole</w:t>
      </w:r>
      <w:r w:rsidR="00FD51FE" w:rsidRPr="00262D83">
        <w:t xml:space="preserve"> </w:t>
      </w:r>
      <w:r w:rsidR="0073332F">
        <w:t>uvádí</w:t>
      </w:r>
      <w:r w:rsidR="009D03A4" w:rsidRPr="00262D83">
        <w:t xml:space="preserve"> příloh</w:t>
      </w:r>
      <w:r w:rsidR="0073332F">
        <w:t>a</w:t>
      </w:r>
      <w:r w:rsidR="009D03A4" w:rsidRPr="00262D83">
        <w:t xml:space="preserve"> č. </w:t>
      </w:r>
      <w:r w:rsidR="00D00B38" w:rsidRPr="00262D83">
        <w:t>5</w:t>
      </w:r>
      <w:r w:rsidR="00FD51FE" w:rsidRPr="00262D83">
        <w:t>.</w:t>
      </w:r>
    </w:p>
    <w:bookmarkEnd w:id="19"/>
    <w:p w14:paraId="0131C9E3" w14:textId="77777777" w:rsidR="00BD2616" w:rsidRPr="007E6EF5" w:rsidRDefault="002607E7" w:rsidP="002D675A">
      <w:pPr>
        <w:pStyle w:val="JK3"/>
      </w:pPr>
      <w:r w:rsidRPr="00262D83">
        <w:t>NKÚ posuzoval řízení a realizaci</w:t>
      </w:r>
      <w:r w:rsidRPr="007E6EF5">
        <w:t xml:space="preserve"> opatření v oblasti bezpečnosti silniční dopravy výlučně v resortu MD. </w:t>
      </w:r>
      <w:r w:rsidR="00A05E30" w:rsidRPr="007E6EF5">
        <w:t>Mezi kontrolované osoby</w:t>
      </w:r>
      <w:r w:rsidRPr="007E6EF5">
        <w:t xml:space="preserve"> </w:t>
      </w:r>
      <w:r w:rsidR="00A05E30" w:rsidRPr="007E6EF5">
        <w:t xml:space="preserve">nebyly zařazeny </w:t>
      </w:r>
      <w:r w:rsidR="00510F98">
        <w:t>další</w:t>
      </w:r>
      <w:r w:rsidR="00A05E30" w:rsidRPr="007E6EF5">
        <w:t xml:space="preserve"> subjekty, jejichž činnost </w:t>
      </w:r>
      <w:r w:rsidR="0073332F">
        <w:t xml:space="preserve">má </w:t>
      </w:r>
      <w:r w:rsidR="0055168A" w:rsidRPr="007E6EF5">
        <w:t>vliv</w:t>
      </w:r>
      <w:r w:rsidR="00A05E30" w:rsidRPr="007E6EF5">
        <w:t xml:space="preserve"> </w:t>
      </w:r>
      <w:r w:rsidR="0073332F">
        <w:t xml:space="preserve">na </w:t>
      </w:r>
      <w:r w:rsidR="00A05E30" w:rsidRPr="007E6EF5">
        <w:t xml:space="preserve">stav </w:t>
      </w:r>
      <w:r w:rsidR="0055168A" w:rsidRPr="007E6EF5">
        <w:t>BESIP</w:t>
      </w:r>
      <w:r w:rsidR="00A05E30" w:rsidRPr="007E6EF5">
        <w:t xml:space="preserve">. Jedná se zejména o </w:t>
      </w:r>
      <w:r w:rsidR="00BF45C6">
        <w:t>Ministerstvo vnitra</w:t>
      </w:r>
      <w:r w:rsidR="00384903" w:rsidRPr="007E6EF5">
        <w:t>, které v</w:t>
      </w:r>
      <w:r w:rsidR="0073332F">
        <w:t xml:space="preserve"> </w:t>
      </w:r>
      <w:r w:rsidR="00384903" w:rsidRPr="007E6EF5">
        <w:t xml:space="preserve">souladu se </w:t>
      </w:r>
      <w:r w:rsidR="003D0548" w:rsidRPr="007E6EF5">
        <w:rPr>
          <w:rFonts w:cs="Calibri"/>
          <w:szCs w:val="24"/>
        </w:rPr>
        <w:t>zákonem č.</w:t>
      </w:r>
      <w:r w:rsidR="001C079B">
        <w:rPr>
          <w:rFonts w:cs="Calibri"/>
          <w:szCs w:val="24"/>
        </w:rPr>
        <w:t> </w:t>
      </w:r>
      <w:r w:rsidR="003D0548" w:rsidRPr="007E6EF5">
        <w:rPr>
          <w:rFonts w:cs="Calibri"/>
          <w:szCs w:val="24"/>
        </w:rPr>
        <w:t>361/2000</w:t>
      </w:r>
      <w:r w:rsidR="0073332F">
        <w:rPr>
          <w:rFonts w:cs="Calibri"/>
          <w:szCs w:val="24"/>
        </w:rPr>
        <w:t> </w:t>
      </w:r>
      <w:r w:rsidR="003D0548" w:rsidRPr="007E6EF5">
        <w:rPr>
          <w:rFonts w:cs="Calibri"/>
          <w:szCs w:val="24"/>
        </w:rPr>
        <w:t>Sb.</w:t>
      </w:r>
      <w:r w:rsidR="0004384F" w:rsidRPr="007E6EF5">
        <w:rPr>
          <w:rStyle w:val="Znakapoznpodarou"/>
          <w:rFonts w:cs="Calibri"/>
          <w:szCs w:val="24"/>
        </w:rPr>
        <w:footnoteReference w:id="30"/>
      </w:r>
      <w:r w:rsidR="00384903" w:rsidRPr="007E6EF5">
        <w:t xml:space="preserve"> provádí ve spolupráci s</w:t>
      </w:r>
      <w:r w:rsidR="0073332F">
        <w:t xml:space="preserve"> </w:t>
      </w:r>
      <w:r w:rsidR="00384903" w:rsidRPr="007E6EF5">
        <w:t>MD prevenci v</w:t>
      </w:r>
      <w:r w:rsidR="0073332F">
        <w:t xml:space="preserve"> </w:t>
      </w:r>
      <w:r w:rsidR="00384903" w:rsidRPr="007E6EF5">
        <w:t xml:space="preserve">oblasti bezpečnosti provozu na pozemních komunikacích, </w:t>
      </w:r>
      <w:r w:rsidR="00205A24">
        <w:t>a</w:t>
      </w:r>
      <w:r w:rsidR="00A05E30" w:rsidRPr="007E6EF5">
        <w:t xml:space="preserve"> Policii </w:t>
      </w:r>
      <w:r w:rsidR="005A7A61" w:rsidRPr="007E6EF5">
        <w:t>ČR</w:t>
      </w:r>
      <w:r w:rsidR="00A05E30" w:rsidRPr="007E6EF5">
        <w:t xml:space="preserve">, která </w:t>
      </w:r>
      <w:r w:rsidR="0004384F" w:rsidRPr="007E6EF5">
        <w:t>v souladu s tímto zákonem</w:t>
      </w:r>
      <w:r w:rsidR="0004384F" w:rsidRPr="007E6EF5">
        <w:rPr>
          <w:rStyle w:val="Znakapoznpodarou"/>
          <w:color w:val="000000" w:themeColor="text1"/>
        </w:rPr>
        <w:footnoteReference w:id="31"/>
      </w:r>
      <w:r w:rsidR="0004384F" w:rsidRPr="007E6EF5">
        <w:t xml:space="preserve"> vykonává dohled na</w:t>
      </w:r>
      <w:r w:rsidR="00361C6B">
        <w:t>d</w:t>
      </w:r>
      <w:r w:rsidR="0073332F">
        <w:t xml:space="preserve"> </w:t>
      </w:r>
      <w:r w:rsidR="0004384F" w:rsidRPr="007E6EF5">
        <w:t>bezpečnost</w:t>
      </w:r>
      <w:r w:rsidR="00361C6B">
        <w:t>í</w:t>
      </w:r>
      <w:r w:rsidR="0004384F" w:rsidRPr="007E6EF5">
        <w:t xml:space="preserve"> a plynulost</w:t>
      </w:r>
      <w:r w:rsidR="00361C6B">
        <w:t>í</w:t>
      </w:r>
      <w:r w:rsidR="0004384F" w:rsidRPr="007E6EF5">
        <w:t xml:space="preserve"> provozu na PK</w:t>
      </w:r>
      <w:r w:rsidR="0055168A" w:rsidRPr="007E6EF5">
        <w:t xml:space="preserve">. </w:t>
      </w:r>
    </w:p>
    <w:p w14:paraId="6E1AA82F" w14:textId="77777777" w:rsidR="00C608DF" w:rsidRDefault="002A5DB7" w:rsidP="002D675A">
      <w:pPr>
        <w:pStyle w:val="JK3"/>
      </w:pPr>
      <w:r>
        <w:t>Kontrolovány</w:t>
      </w:r>
      <w:r w:rsidR="00BD2616" w:rsidRPr="007E6EF5">
        <w:t xml:space="preserve"> nebyly kraje a obce, </w:t>
      </w:r>
      <w:r w:rsidR="00877A1C" w:rsidRPr="007E6EF5">
        <w:t xml:space="preserve">které jsou vlastníky </w:t>
      </w:r>
      <w:r w:rsidR="004E5428">
        <w:t>silnic</w:t>
      </w:r>
      <w:r w:rsidR="00877A1C" w:rsidRPr="007E6EF5">
        <w:t xml:space="preserve"> nižších tříd</w:t>
      </w:r>
      <w:r w:rsidR="005F7CA7">
        <w:rPr>
          <w:rStyle w:val="Znakapoznpodarou"/>
          <w:color w:val="000000" w:themeColor="text1"/>
        </w:rPr>
        <w:footnoteReference w:id="32"/>
      </w:r>
      <w:r w:rsidR="00877A1C" w:rsidRPr="007E6EF5">
        <w:t xml:space="preserve">, </w:t>
      </w:r>
      <w:r w:rsidR="00BD2616" w:rsidRPr="007E6EF5">
        <w:t>případně další subjekty odpovědné za správu</w:t>
      </w:r>
      <w:r w:rsidR="00877A1C" w:rsidRPr="007E6EF5">
        <w:t xml:space="preserve"> </w:t>
      </w:r>
      <w:r w:rsidR="00CA266D" w:rsidRPr="007E6EF5">
        <w:t xml:space="preserve">těchto </w:t>
      </w:r>
      <w:r w:rsidR="00BD2616" w:rsidRPr="007E6EF5">
        <w:t>komunikací</w:t>
      </w:r>
      <w:r w:rsidR="00877A1C" w:rsidRPr="007E6EF5">
        <w:t xml:space="preserve">. NKÚ není oprávněn </w:t>
      </w:r>
      <w:r>
        <w:t xml:space="preserve">vykonávat </w:t>
      </w:r>
      <w:r w:rsidR="00877A1C" w:rsidRPr="007E6EF5">
        <w:t>kontrol</w:t>
      </w:r>
      <w:r>
        <w:t>u</w:t>
      </w:r>
      <w:r w:rsidR="00877A1C" w:rsidRPr="007E6EF5">
        <w:t xml:space="preserve"> hospodaření </w:t>
      </w:r>
      <w:r w:rsidR="003A65F1">
        <w:t xml:space="preserve">územních samosprávných celků </w:t>
      </w:r>
      <w:r w:rsidR="00877A1C" w:rsidRPr="007E6EF5">
        <w:t xml:space="preserve">ani jejich </w:t>
      </w:r>
      <w:r w:rsidR="005F7CA7">
        <w:t>organizací</w:t>
      </w:r>
      <w:r w:rsidR="00877A1C" w:rsidRPr="007E6EF5">
        <w:t xml:space="preserve">. </w:t>
      </w:r>
      <w:r w:rsidR="004E678B">
        <w:t>Z</w:t>
      </w:r>
      <w:r w:rsidR="00877A1C" w:rsidRPr="007E6EF5">
        <w:t xml:space="preserve">e statistik nehodovosti </w:t>
      </w:r>
      <w:r w:rsidR="001703BB" w:rsidRPr="007E6EF5">
        <w:t xml:space="preserve">dlouhodobě </w:t>
      </w:r>
      <w:r w:rsidR="00877A1C" w:rsidRPr="007E6EF5">
        <w:t xml:space="preserve">vyplývá, že </w:t>
      </w:r>
      <w:r w:rsidR="001703BB" w:rsidRPr="007E6EF5">
        <w:t>počet osob usmrcených při</w:t>
      </w:r>
      <w:r w:rsidR="00FB75FE">
        <w:t> </w:t>
      </w:r>
      <w:r w:rsidR="001703BB" w:rsidRPr="007E6EF5">
        <w:t>dopravních nehodách na silnicích nižších tříd činí cca 58 %</w:t>
      </w:r>
      <w:r w:rsidR="00A52839" w:rsidRPr="007E6EF5">
        <w:t xml:space="preserve"> </w:t>
      </w:r>
      <w:r w:rsidR="001703BB" w:rsidRPr="007E6EF5">
        <w:t>z celkového počtu osob usmrcených při dopravních nehodách</w:t>
      </w:r>
      <w:r w:rsidR="00C71BAB">
        <w:t>.</w:t>
      </w:r>
      <w:r w:rsidR="00FF018A" w:rsidRPr="007E6EF5">
        <w:rPr>
          <w:rStyle w:val="Znakapoznpodarou"/>
          <w:color w:val="000000" w:themeColor="text1"/>
        </w:rPr>
        <w:footnoteReference w:id="33"/>
      </w:r>
      <w:r w:rsidR="001703BB" w:rsidRPr="007E6EF5">
        <w:t xml:space="preserve"> Počet </w:t>
      </w:r>
      <w:r w:rsidR="0073332F" w:rsidRPr="007E6EF5">
        <w:t xml:space="preserve">osob </w:t>
      </w:r>
      <w:r w:rsidR="001703BB" w:rsidRPr="007E6EF5">
        <w:t>těžce zraněných při dopravních nehodách na silnicích nižších tříd pak činí cca 7</w:t>
      </w:r>
      <w:r w:rsidR="00AC57BA">
        <w:t>3</w:t>
      </w:r>
      <w:r w:rsidR="001703BB" w:rsidRPr="007E6EF5">
        <w:t xml:space="preserve"> % z celkového počtu osob </w:t>
      </w:r>
      <w:r w:rsidR="00FF018A" w:rsidRPr="007E6EF5">
        <w:t>těžce zraněných</w:t>
      </w:r>
      <w:r w:rsidR="001703BB" w:rsidRPr="007E6EF5">
        <w:t xml:space="preserve"> při dopravních nehodách</w:t>
      </w:r>
      <w:r w:rsidR="00C71BAB">
        <w:t>.</w:t>
      </w:r>
      <w:r w:rsidR="00FF018A" w:rsidRPr="007E6EF5">
        <w:rPr>
          <w:rStyle w:val="Znakapoznpodarou"/>
          <w:color w:val="000000" w:themeColor="text1"/>
        </w:rPr>
        <w:footnoteReference w:id="34"/>
      </w:r>
      <w:r w:rsidR="00CA266D" w:rsidRPr="007E6EF5">
        <w:t xml:space="preserve"> </w:t>
      </w:r>
    </w:p>
    <w:p w14:paraId="0FB2FF0D" w14:textId="77777777" w:rsidR="005E3BBE" w:rsidRDefault="005E3BBE" w:rsidP="002D675A">
      <w:pPr>
        <w:pStyle w:val="JK3"/>
      </w:pPr>
      <w:r>
        <w:t>Činnosti subjektů uvedených v odst. 3.8 a 3.9</w:t>
      </w:r>
      <w:r w:rsidRPr="007E6EF5">
        <w:t xml:space="preserve"> mají významný dopad na úroveň BESIP včetně plnění vytyčených strategických cílů</w:t>
      </w:r>
      <w:r>
        <w:t>,</w:t>
      </w:r>
      <w:r w:rsidRPr="00C53066">
        <w:t xml:space="preserve"> </w:t>
      </w:r>
      <w:r>
        <w:t>a t</w:t>
      </w:r>
      <w:r w:rsidR="0073332F">
        <w:t>udíž</w:t>
      </w:r>
      <w:r>
        <w:t xml:space="preserve"> nelze veškerou odpovědnost za stav bezpečnosti silničního provozu připisovat pouze na vrub činnosti </w:t>
      </w:r>
      <w:r w:rsidRPr="00C53066">
        <w:t>M</w:t>
      </w:r>
      <w:r>
        <w:t xml:space="preserve">D. </w:t>
      </w:r>
      <w:r w:rsidRPr="00C53066">
        <w:t>Zároveň</w:t>
      </w:r>
      <w:r>
        <w:t xml:space="preserve"> NKÚ upozorňuje, že dosažení cílů </w:t>
      </w:r>
      <w:r w:rsidR="0073332F">
        <w:t xml:space="preserve">v </w:t>
      </w:r>
      <w:r>
        <w:t xml:space="preserve">oblasti bezpečnosti silničního provozu je také odvislé od </w:t>
      </w:r>
      <w:r>
        <w:lastRenderedPageBreak/>
        <w:t>skutečností, na které mají kontrolované osoby jen omezený nebo žádný vliv (bezpečnost a</w:t>
      </w:r>
      <w:r w:rsidR="006E7AC3">
        <w:t> </w:t>
      </w:r>
      <w:r>
        <w:t>technický stav vozidel, klimatické podmínky apod.).</w:t>
      </w:r>
    </w:p>
    <w:p w14:paraId="60EF4AFF" w14:textId="77777777" w:rsidR="005846CC" w:rsidRPr="00C608DF" w:rsidRDefault="00BA5F29" w:rsidP="002D675A">
      <w:pPr>
        <w:pStyle w:val="JK3"/>
        <w:rPr>
          <w:color w:val="000000" w:themeColor="text1"/>
        </w:rPr>
      </w:pPr>
      <w:r w:rsidRPr="007E6EF5">
        <w:t>Kontrolovaný</w:t>
      </w:r>
      <w:r w:rsidRPr="00C608DF">
        <w:rPr>
          <w:color w:val="000000" w:themeColor="text1"/>
        </w:rPr>
        <w:t xml:space="preserve"> objem </w:t>
      </w:r>
      <w:r w:rsidR="00421D63">
        <w:rPr>
          <w:color w:val="000000" w:themeColor="text1"/>
        </w:rPr>
        <w:t>peněž</w:t>
      </w:r>
      <w:r w:rsidRPr="00C608DF">
        <w:rPr>
          <w:color w:val="000000" w:themeColor="text1"/>
        </w:rPr>
        <w:t>ních prostředků činil u</w:t>
      </w:r>
      <w:r w:rsidR="00282174" w:rsidRPr="00C608DF">
        <w:rPr>
          <w:color w:val="000000" w:themeColor="text1"/>
        </w:rPr>
        <w:t xml:space="preserve"> MD </w:t>
      </w:r>
      <w:r w:rsidRPr="007E6EF5">
        <w:t xml:space="preserve">celkem </w:t>
      </w:r>
      <w:r w:rsidR="00724340">
        <w:t xml:space="preserve">cca </w:t>
      </w:r>
      <w:r w:rsidRPr="007E6EF5">
        <w:t>51</w:t>
      </w:r>
      <w:r w:rsidR="00724340">
        <w:t>,1 mil.</w:t>
      </w:r>
      <w:r w:rsidRPr="007E6EF5">
        <w:t xml:space="preserve"> Kč</w:t>
      </w:r>
      <w:r w:rsidR="00282174" w:rsidRPr="007E6EF5">
        <w:t xml:space="preserve">, u CSPSD celkem </w:t>
      </w:r>
      <w:r w:rsidR="00724340">
        <w:t xml:space="preserve">cca </w:t>
      </w:r>
      <w:r w:rsidR="00282174" w:rsidRPr="007E6EF5">
        <w:t>21</w:t>
      </w:r>
      <w:r w:rsidR="00724340">
        <w:t>,9 mil.</w:t>
      </w:r>
      <w:r w:rsidR="00282174" w:rsidRPr="007E6EF5">
        <w:t xml:space="preserve"> Kč</w:t>
      </w:r>
      <w:r w:rsidR="00282174">
        <w:t xml:space="preserve"> a u ŘSD celkem </w:t>
      </w:r>
      <w:r w:rsidR="00724340">
        <w:t xml:space="preserve">cca </w:t>
      </w:r>
      <w:r w:rsidR="00077050" w:rsidRPr="00282174">
        <w:t>24</w:t>
      </w:r>
      <w:r w:rsidR="00724340">
        <w:t>,9 mil.</w:t>
      </w:r>
      <w:r w:rsidR="00077050" w:rsidRPr="00282174">
        <w:t xml:space="preserve"> Kč.</w:t>
      </w:r>
      <w:r w:rsidR="00C608DF">
        <w:t xml:space="preserve"> </w:t>
      </w:r>
      <w:r w:rsidR="009C4343" w:rsidRPr="00724EE2">
        <w:t>Kontrolovaným obdobím byly roky</w:t>
      </w:r>
      <w:r w:rsidR="009C4343" w:rsidRPr="002C14E5">
        <w:t xml:space="preserve"> 201</w:t>
      </w:r>
      <w:r w:rsidR="002C14E5" w:rsidRPr="002C14E5">
        <w:t>7</w:t>
      </w:r>
      <w:r w:rsidR="009C4343" w:rsidRPr="002C14E5">
        <w:t xml:space="preserve"> až 202</w:t>
      </w:r>
      <w:r w:rsidR="001A3CA9" w:rsidRPr="002C14E5">
        <w:t>2</w:t>
      </w:r>
      <w:r w:rsidR="009C4343" w:rsidRPr="002C14E5">
        <w:t>, v případě věcných souvislostí i období předcházející</w:t>
      </w:r>
      <w:r w:rsidR="002607E7">
        <w:t xml:space="preserve"> </w:t>
      </w:r>
      <w:r w:rsidR="001546B8">
        <w:t>a</w:t>
      </w:r>
      <w:r w:rsidR="002607E7">
        <w:t xml:space="preserve"> následující</w:t>
      </w:r>
      <w:r w:rsidR="009C4343" w:rsidRPr="002C14E5">
        <w:t>.</w:t>
      </w:r>
      <w:r w:rsidR="00CF6D33" w:rsidRPr="002C14E5">
        <w:t xml:space="preserve"> </w:t>
      </w:r>
    </w:p>
    <w:p w14:paraId="571CF818" w14:textId="77777777" w:rsidR="00305742" w:rsidRPr="008C6111" w:rsidRDefault="009C4343" w:rsidP="005846CC">
      <w:pPr>
        <w:spacing w:before="120" w:after="120" w:line="240" w:lineRule="auto"/>
        <w:ind w:left="567" w:hanging="567"/>
        <w:jc w:val="both"/>
        <w:rPr>
          <w:sz w:val="20"/>
        </w:rPr>
      </w:pPr>
      <w:bookmarkStart w:id="20" w:name="_Hlk146007785"/>
      <w:r w:rsidRPr="002C14E5">
        <w:rPr>
          <w:b/>
          <w:sz w:val="20"/>
        </w:rPr>
        <w:t>Pozn.:</w:t>
      </w:r>
      <w:r w:rsidRPr="002C14E5">
        <w:rPr>
          <w:sz w:val="20"/>
        </w:rPr>
        <w:tab/>
      </w:r>
      <w:r w:rsidR="00CF6D33" w:rsidRPr="008C6111">
        <w:rPr>
          <w:sz w:val="20"/>
        </w:rPr>
        <w:t>Právní předpisy uvedené v tomto kontrolním závěru jsou aplikovány ve znění účinném pro kontrolované období.</w:t>
      </w:r>
    </w:p>
    <w:bookmarkEnd w:id="11"/>
    <w:bookmarkEnd w:id="20"/>
    <w:p w14:paraId="0D669A4C" w14:textId="77777777" w:rsidR="00EA05A6" w:rsidRPr="008C6111" w:rsidRDefault="009C4343" w:rsidP="005E68DD">
      <w:pPr>
        <w:pStyle w:val="Nadpis1"/>
      </w:pPr>
      <w:r w:rsidRPr="008C6111">
        <w:t xml:space="preserve">IV. </w:t>
      </w:r>
      <w:r w:rsidR="000E366F" w:rsidRPr="008C6111">
        <w:t>Podrobné skutečnosti zjištěné kontrolou</w:t>
      </w:r>
    </w:p>
    <w:p w14:paraId="343A0677" w14:textId="77777777" w:rsidR="00A139DA" w:rsidRPr="005A3CD4" w:rsidRDefault="00FF5D19" w:rsidP="00C643E3">
      <w:pPr>
        <w:pStyle w:val="PodkapitolystiIVKZ"/>
        <w:ind w:left="284" w:hanging="284"/>
        <w:rPr>
          <w:color w:val="2E74B5" w:themeColor="accent1" w:themeShade="BF"/>
        </w:rPr>
      </w:pPr>
      <w:r w:rsidRPr="005A3CD4">
        <w:rPr>
          <w:color w:val="2E74B5" w:themeColor="accent1" w:themeShade="BF"/>
        </w:rPr>
        <w:t>Strategické cíle a jejich plnění</w:t>
      </w:r>
    </w:p>
    <w:p w14:paraId="3116C731" w14:textId="77777777" w:rsidR="00136AD7" w:rsidRDefault="00C22BEA" w:rsidP="005E2807">
      <w:pPr>
        <w:pStyle w:val="JK4"/>
        <w:ind w:left="0" w:firstLine="0"/>
      </w:pPr>
      <w:r w:rsidRPr="0042191D">
        <w:t xml:space="preserve">Jedním ze základních předpokladů pro zajištění účelnosti peněžních prostředků </w:t>
      </w:r>
      <w:r w:rsidR="006E7AC3">
        <w:t xml:space="preserve">vynakládaných </w:t>
      </w:r>
      <w:r w:rsidR="001E2503">
        <w:t>k</w:t>
      </w:r>
      <w:r w:rsidR="00D4589E">
        <w:t> </w:t>
      </w:r>
      <w:r w:rsidRPr="0042191D">
        <w:t>dosažení stanovených</w:t>
      </w:r>
      <w:r w:rsidRPr="00C22BEA">
        <w:t xml:space="preserve"> strategických cílů je správné nastavení </w:t>
      </w:r>
      <w:r w:rsidR="00AF427F">
        <w:t xml:space="preserve">jak </w:t>
      </w:r>
      <w:r w:rsidRPr="00C22BEA">
        <w:t>těchto cílů</w:t>
      </w:r>
      <w:r w:rsidR="00AF427F">
        <w:t xml:space="preserve">, tak jednotlivých aktivit AP, včetně </w:t>
      </w:r>
      <w:r w:rsidR="003E01E1">
        <w:t>jejich monitorovacích a hodnot</w:t>
      </w:r>
      <w:r w:rsidR="006E7AC3">
        <w:t>i</w:t>
      </w:r>
      <w:r w:rsidR="003E01E1">
        <w:t xml:space="preserve">cích </w:t>
      </w:r>
      <w:r w:rsidRPr="00C22BEA">
        <w:t>indikátorů. Správně nastaven</w:t>
      </w:r>
      <w:r w:rsidR="00B44CA1">
        <w:t>ý monitoring plnění</w:t>
      </w:r>
      <w:r w:rsidRPr="00C22BEA">
        <w:t xml:space="preserve"> cíl</w:t>
      </w:r>
      <w:r w:rsidR="00B44CA1">
        <w:t>ů</w:t>
      </w:r>
      <w:r w:rsidRPr="00C22BEA">
        <w:t xml:space="preserve"> a indikátor</w:t>
      </w:r>
      <w:r w:rsidR="00B44CA1">
        <w:t>ů</w:t>
      </w:r>
      <w:r w:rsidRPr="00C22BEA">
        <w:t xml:space="preserve"> </w:t>
      </w:r>
      <w:r w:rsidR="00AF427F">
        <w:t>poskytuj</w:t>
      </w:r>
      <w:r w:rsidR="00B44CA1">
        <w:t>e</w:t>
      </w:r>
      <w:r w:rsidRPr="00C22BEA">
        <w:t xml:space="preserve"> průběžné informace o dosahované účelnosti vynaložených peněžních prostředků a </w:t>
      </w:r>
      <w:r w:rsidR="00B44CA1">
        <w:t>v</w:t>
      </w:r>
      <w:r w:rsidR="006E7AC3">
        <w:t xml:space="preserve"> </w:t>
      </w:r>
      <w:r w:rsidR="00B44CA1">
        <w:t xml:space="preserve">případě neplnění </w:t>
      </w:r>
      <w:r w:rsidR="006E7AC3">
        <w:t xml:space="preserve">cílů </w:t>
      </w:r>
      <w:r w:rsidR="00B44CA1">
        <w:t>je jedním z</w:t>
      </w:r>
      <w:r w:rsidR="002E4C2E">
        <w:t> </w:t>
      </w:r>
      <w:r w:rsidR="00B44CA1">
        <w:t>předpokladů</w:t>
      </w:r>
      <w:r w:rsidR="00AF427F">
        <w:t xml:space="preserve"> </w:t>
      </w:r>
      <w:r w:rsidRPr="00C22BEA">
        <w:t xml:space="preserve">k lepšímu zacílení </w:t>
      </w:r>
      <w:r w:rsidR="00AF427F">
        <w:t>aktivit</w:t>
      </w:r>
      <w:r w:rsidR="00703DE3">
        <w:t>.</w:t>
      </w:r>
      <w:r w:rsidR="00AF427F">
        <w:t xml:space="preserve"> </w:t>
      </w:r>
    </w:p>
    <w:p w14:paraId="51E472F9" w14:textId="77777777" w:rsidR="00456DC9" w:rsidRPr="00156F9B" w:rsidRDefault="00703DE3" w:rsidP="00156F9B">
      <w:pPr>
        <w:pStyle w:val="Mluvcnadpis"/>
      </w:pPr>
      <w:r w:rsidRPr="00156F9B">
        <w:t>→</w:t>
      </w:r>
      <w:r w:rsidRPr="00156F9B">
        <w:tab/>
      </w:r>
      <w:bookmarkStart w:id="21" w:name="_Hlk140491653"/>
      <w:r w:rsidR="00B44CA1">
        <w:t>MD definovalo s</w:t>
      </w:r>
      <w:r w:rsidRPr="00156F9B">
        <w:t xml:space="preserve">trategické cíle </w:t>
      </w:r>
      <w:r w:rsidR="00963167" w:rsidRPr="00156F9B">
        <w:t xml:space="preserve">BESIP </w:t>
      </w:r>
      <w:r w:rsidR="00CC5F3D" w:rsidRPr="00156F9B">
        <w:t xml:space="preserve">a aktivity k jejich dosažení relevantním </w:t>
      </w:r>
      <w:r w:rsidRPr="00156F9B">
        <w:t>způsobem</w:t>
      </w:r>
      <w:bookmarkEnd w:id="21"/>
      <w:r w:rsidR="00402297">
        <w:t>,</w:t>
      </w:r>
      <w:r w:rsidR="00B44CA1">
        <w:t xml:space="preserve"> .</w:t>
      </w:r>
      <w:r w:rsidR="00CB505E">
        <w:t>..</w:t>
      </w:r>
      <w:r w:rsidR="00456DC9" w:rsidRPr="00156F9B">
        <w:t xml:space="preserve"> </w:t>
      </w:r>
    </w:p>
    <w:p w14:paraId="441BA1EF" w14:textId="77777777" w:rsidR="00CD3A3A" w:rsidRDefault="00B44CA1" w:rsidP="005E2807">
      <w:pPr>
        <w:pStyle w:val="JK4"/>
        <w:ind w:left="0" w:firstLine="0"/>
      </w:pPr>
      <w:r>
        <w:t xml:space="preserve">NKÚ ověřil, že </w:t>
      </w:r>
      <w:r w:rsidR="00CD3A3A">
        <w:t xml:space="preserve">strategické cíle </w:t>
      </w:r>
      <w:r w:rsidR="00F23D6D">
        <w:t xml:space="preserve">ČR </w:t>
      </w:r>
      <w:r w:rsidR="00CD3A3A">
        <w:t>vycház</w:t>
      </w:r>
      <w:r w:rsidR="006E7AC3">
        <w:t>ej</w:t>
      </w:r>
      <w:r w:rsidR="00F23D6D">
        <w:t>í</w:t>
      </w:r>
      <w:r w:rsidR="00CD3A3A">
        <w:t xml:space="preserve"> ze strategických</w:t>
      </w:r>
      <w:r w:rsidR="006E7AC3">
        <w:t xml:space="preserve"> </w:t>
      </w:r>
      <w:r w:rsidR="00CD3A3A">
        <w:t xml:space="preserve">cílů EU (viz </w:t>
      </w:r>
      <w:r w:rsidR="00CD3A3A" w:rsidRPr="00262D83">
        <w:t>také např. odst.</w:t>
      </w:r>
      <w:r w:rsidR="006E7AC3">
        <w:t> </w:t>
      </w:r>
      <w:r w:rsidR="00CD3A3A" w:rsidRPr="00262D83">
        <w:t>2.7). Tytéž cíle př</w:t>
      </w:r>
      <w:r w:rsidR="00CB3EE4" w:rsidRPr="00262D83">
        <w:t>i</w:t>
      </w:r>
      <w:r w:rsidR="00CD3A3A" w:rsidRPr="00262D83">
        <w:t>jaly i další země EU, přičemž většina z nich převzala i základní cí</w:t>
      </w:r>
      <w:r w:rsidR="00CD3A3A">
        <w:t xml:space="preserve">lové hodnoty EU, zejména pokud </w:t>
      </w:r>
      <w:r w:rsidR="006E7AC3">
        <w:t>jde</w:t>
      </w:r>
      <w:r w:rsidR="00CD3A3A">
        <w:t xml:space="preserve"> o snížení po</w:t>
      </w:r>
      <w:r w:rsidR="00011E56">
        <w:t>č</w:t>
      </w:r>
      <w:r w:rsidR="00CD3A3A">
        <w:t>tu osob</w:t>
      </w:r>
      <w:r w:rsidR="00011E56">
        <w:t xml:space="preserve"> usmrcených při dopravních nehodách na polovinu oproti výchozímu období</w:t>
      </w:r>
      <w:r w:rsidR="00CD3A3A">
        <w:t xml:space="preserve">. </w:t>
      </w:r>
    </w:p>
    <w:p w14:paraId="732021BE" w14:textId="77777777" w:rsidR="00D4589E" w:rsidRPr="006436AD" w:rsidRDefault="00CD3A3A" w:rsidP="005E2807">
      <w:pPr>
        <w:pStyle w:val="JK4"/>
        <w:ind w:left="0" w:firstLine="0"/>
      </w:pPr>
      <w:r>
        <w:t xml:space="preserve">NKÚ zároveň ověřil, že </w:t>
      </w:r>
      <w:r w:rsidR="00187B26" w:rsidRPr="009D6382">
        <w:t xml:space="preserve">pro obě strategická období </w:t>
      </w:r>
      <w:r w:rsidR="006E7AC3" w:rsidRPr="009D6382">
        <w:t xml:space="preserve">stanovilo </w:t>
      </w:r>
      <w:r w:rsidR="00187B26" w:rsidRPr="009D6382">
        <w:t xml:space="preserve">MD </w:t>
      </w:r>
      <w:r w:rsidR="00D4589E">
        <w:t>s</w:t>
      </w:r>
      <w:r w:rsidR="00D4589E" w:rsidRPr="009D6382">
        <w:t xml:space="preserve">trategické </w:t>
      </w:r>
      <w:r w:rsidR="00703DE3" w:rsidRPr="009D6382">
        <w:t>cíle a jejich hodnoty jednoznačným a měřitelným způsobem</w:t>
      </w:r>
      <w:r w:rsidR="00B44CA1">
        <w:t xml:space="preserve">. </w:t>
      </w:r>
      <w:r w:rsidR="00B44CA1" w:rsidRPr="007E6EF5">
        <w:t>Navržené strategické cíle a aktivity k jejich dosažení vláda schválila v</w:t>
      </w:r>
      <w:r w:rsidR="005802C0">
        <w:t xml:space="preserve"> </w:t>
      </w:r>
      <w:r w:rsidR="00B44CA1" w:rsidRPr="007E6EF5">
        <w:t>rámci strategických dokumentů BESIP</w:t>
      </w:r>
      <w:r w:rsidR="00A07041">
        <w:t>.</w:t>
      </w:r>
      <w:r w:rsidR="00B44CA1" w:rsidRPr="007E6EF5">
        <w:rPr>
          <w:rStyle w:val="Znakapoznpodarou"/>
        </w:rPr>
        <w:footnoteReference w:id="35"/>
      </w:r>
      <w:r w:rsidR="00703DE3" w:rsidRPr="009D6382">
        <w:t xml:space="preserve"> </w:t>
      </w:r>
      <w:r w:rsidR="00187B26">
        <w:t>Díky</w:t>
      </w:r>
      <w:r w:rsidR="00703DE3" w:rsidRPr="006436AD">
        <w:t xml:space="preserve"> monitoringu statistiky nehodovosti </w:t>
      </w:r>
      <w:r w:rsidR="005802C0">
        <w:t xml:space="preserve">i </w:t>
      </w:r>
      <w:r w:rsidR="00703DE3" w:rsidRPr="006436AD">
        <w:t>další</w:t>
      </w:r>
      <w:r w:rsidR="005802C0">
        <w:t>m</w:t>
      </w:r>
      <w:r w:rsidR="00703DE3" w:rsidRPr="006436AD">
        <w:t xml:space="preserve"> relevantní</w:t>
      </w:r>
      <w:r w:rsidR="005802C0">
        <w:t>m</w:t>
      </w:r>
      <w:r w:rsidR="00703DE3" w:rsidRPr="006436AD">
        <w:t xml:space="preserve"> ukazatelů</w:t>
      </w:r>
      <w:r w:rsidR="005802C0">
        <w:t>m</w:t>
      </w:r>
      <w:r w:rsidR="00703DE3" w:rsidRPr="006436AD">
        <w:t xml:space="preserve"> mělo MD přehled o</w:t>
      </w:r>
      <w:r w:rsidR="005802C0">
        <w:t xml:space="preserve"> </w:t>
      </w:r>
      <w:r w:rsidR="00703DE3" w:rsidRPr="006436AD">
        <w:t>aktuálním vývoji plnění strategických cílů</w:t>
      </w:r>
      <w:r w:rsidR="006E7AC3">
        <w:t xml:space="preserve"> a</w:t>
      </w:r>
      <w:r w:rsidR="00703DE3" w:rsidRPr="006436AD">
        <w:t xml:space="preserve"> o </w:t>
      </w:r>
      <w:r w:rsidR="006E7AC3">
        <w:t>tomto vývoji</w:t>
      </w:r>
      <w:r w:rsidR="00703DE3" w:rsidRPr="006436AD">
        <w:t xml:space="preserve"> jednou ročně informovalo vládu. </w:t>
      </w:r>
      <w:r w:rsidR="00B44CA1">
        <w:t>NKÚ dále ověřil, že MD v</w:t>
      </w:r>
      <w:r w:rsidR="00187B26">
        <w:t> </w:t>
      </w:r>
      <w:r w:rsidR="00703DE3" w:rsidRPr="006436AD">
        <w:t>rámci přípravy strategických dokumentů BESIP analyzovalo informace o</w:t>
      </w:r>
      <w:r w:rsidR="00187B26">
        <w:t xml:space="preserve"> </w:t>
      </w:r>
      <w:r w:rsidR="00703DE3" w:rsidRPr="006436AD">
        <w:t>dopravní</w:t>
      </w:r>
      <w:r w:rsidR="00456DC9" w:rsidRPr="006436AD">
        <w:t>ch</w:t>
      </w:r>
      <w:r w:rsidR="00703DE3" w:rsidRPr="006436AD">
        <w:t xml:space="preserve"> nehod</w:t>
      </w:r>
      <w:r w:rsidR="00456DC9" w:rsidRPr="006436AD">
        <w:t>ách</w:t>
      </w:r>
      <w:r w:rsidR="00703DE3" w:rsidRPr="006436AD">
        <w:t xml:space="preserve"> a jejich příčinách </w:t>
      </w:r>
      <w:r w:rsidR="00456DC9" w:rsidRPr="006436AD">
        <w:t>a</w:t>
      </w:r>
      <w:r w:rsidR="00703DE3" w:rsidRPr="006436AD">
        <w:t xml:space="preserve"> také o chování účastníků silničního provozu</w:t>
      </w:r>
      <w:r w:rsidR="00456DC9" w:rsidRPr="006436AD">
        <w:t xml:space="preserve">. </w:t>
      </w:r>
      <w:r w:rsidR="00703DE3" w:rsidRPr="006436AD">
        <w:t>Výsledkem analýzy bylo definování výchozího stavu a potřeb ČR v</w:t>
      </w:r>
      <w:r w:rsidR="00187B26">
        <w:t xml:space="preserve"> </w:t>
      </w:r>
      <w:r w:rsidR="00703DE3" w:rsidRPr="006436AD">
        <w:t>oblasti BESIP a</w:t>
      </w:r>
      <w:r w:rsidR="00187B26">
        <w:t xml:space="preserve"> </w:t>
      </w:r>
      <w:r w:rsidR="00703DE3" w:rsidRPr="006436AD">
        <w:t xml:space="preserve">návrh </w:t>
      </w:r>
      <w:r w:rsidR="00456DC9" w:rsidRPr="006436AD">
        <w:t>AP zahrnující aktivity</w:t>
      </w:r>
      <w:r w:rsidR="00CC5F3D" w:rsidRPr="006436AD">
        <w:t xml:space="preserve"> s</w:t>
      </w:r>
      <w:r w:rsidR="00187B26">
        <w:t> </w:t>
      </w:r>
      <w:r w:rsidR="00703DE3" w:rsidRPr="006436AD">
        <w:t>potenciálem přispět k splnění strategických cílů a</w:t>
      </w:r>
      <w:r w:rsidR="00D4589E" w:rsidRPr="006436AD">
        <w:t> </w:t>
      </w:r>
      <w:r w:rsidR="00703DE3" w:rsidRPr="006436AD">
        <w:t xml:space="preserve">současně </w:t>
      </w:r>
      <w:r w:rsidR="004E5428">
        <w:t>zvýšit</w:t>
      </w:r>
      <w:r w:rsidR="00703DE3" w:rsidRPr="006436AD">
        <w:t xml:space="preserve"> silniční bezpečnost v ČR.</w:t>
      </w:r>
      <w:r w:rsidR="00456DC9" w:rsidRPr="006436AD">
        <w:t xml:space="preserve"> </w:t>
      </w:r>
    </w:p>
    <w:p w14:paraId="32BB60A6" w14:textId="77777777" w:rsidR="00136AD7" w:rsidRPr="00156F9B" w:rsidRDefault="00136AD7" w:rsidP="00156F9B">
      <w:pPr>
        <w:pStyle w:val="Mluvcnadpis"/>
      </w:pPr>
      <w:r w:rsidRPr="00156F9B">
        <w:t>→</w:t>
      </w:r>
      <w:r w:rsidRPr="00156F9B">
        <w:tab/>
      </w:r>
      <w:bookmarkStart w:id="22" w:name="_Hlk140491641"/>
      <w:r w:rsidR="00402297">
        <w:t xml:space="preserve">... </w:t>
      </w:r>
      <w:r w:rsidRPr="00156F9B">
        <w:t>da</w:t>
      </w:r>
      <w:r w:rsidR="0009176D" w:rsidRPr="00156F9B">
        <w:t>ř</w:t>
      </w:r>
      <w:r w:rsidRPr="00156F9B">
        <w:t xml:space="preserve">í </w:t>
      </w:r>
      <w:r w:rsidR="00402297">
        <w:t xml:space="preserve">se je však </w:t>
      </w:r>
      <w:r w:rsidRPr="00156F9B">
        <w:t>plnit pouze částečně</w:t>
      </w:r>
      <w:r w:rsidR="00025F12">
        <w:t>; ani a</w:t>
      </w:r>
      <w:r w:rsidR="00025F12" w:rsidRPr="007E6EF5">
        <w:t>ktuální vývoj plnění cíle snížení počtu usmrcených osob není příznivý</w:t>
      </w:r>
      <w:r w:rsidR="0025767A" w:rsidRPr="00156F9B">
        <w:t>.</w:t>
      </w:r>
      <w:bookmarkEnd w:id="22"/>
    </w:p>
    <w:p w14:paraId="59778610" w14:textId="77777777" w:rsidR="00F80499" w:rsidRPr="00F04613" w:rsidRDefault="00F80499" w:rsidP="005E2807">
      <w:pPr>
        <w:pStyle w:val="JK4"/>
        <w:ind w:left="0" w:firstLine="0"/>
        <w:rPr>
          <w:lang w:eastAsia="cs-CZ"/>
        </w:rPr>
      </w:pPr>
      <w:r w:rsidRPr="00C4066C">
        <w:rPr>
          <w:lang w:eastAsia="cs-CZ"/>
        </w:rPr>
        <w:t> </w:t>
      </w:r>
      <w:r w:rsidRPr="00136AD7">
        <w:t>V</w:t>
      </w:r>
      <w:r>
        <w:rPr>
          <w:lang w:eastAsia="cs-CZ"/>
        </w:rPr>
        <w:t> </w:t>
      </w:r>
      <w:r>
        <w:t>absolutních</w:t>
      </w:r>
      <w:r>
        <w:rPr>
          <w:lang w:eastAsia="cs-CZ"/>
        </w:rPr>
        <w:t xml:space="preserve"> číslech</w:t>
      </w:r>
      <w:r w:rsidR="00D02835">
        <w:rPr>
          <w:lang w:eastAsia="cs-CZ"/>
        </w:rPr>
        <w:t xml:space="preserve"> </w:t>
      </w:r>
      <w:r>
        <w:rPr>
          <w:lang w:eastAsia="cs-CZ"/>
        </w:rPr>
        <w:t xml:space="preserve">je nepochybné, </w:t>
      </w:r>
      <w:r w:rsidRPr="0091557B">
        <w:t>že od roku 201</w:t>
      </w:r>
      <w:r w:rsidR="006C3C49">
        <w:t>1</w:t>
      </w:r>
      <w:r w:rsidRPr="0091557B">
        <w:t xml:space="preserve"> v ČR dochází ke</w:t>
      </w:r>
      <w:r w:rsidR="005802C0">
        <w:t xml:space="preserve"> </w:t>
      </w:r>
      <w:r w:rsidRPr="0091557B">
        <w:t>zlepšení</w:t>
      </w:r>
      <w:r w:rsidR="005802C0">
        <w:t xml:space="preserve"> </w:t>
      </w:r>
      <w:r w:rsidR="004E5428">
        <w:t>statistiky</w:t>
      </w:r>
      <w:r w:rsidR="005802C0">
        <w:t xml:space="preserve"> </w:t>
      </w:r>
      <w:r w:rsidR="00D02835">
        <w:t>závažných následků dopravních nehod</w:t>
      </w:r>
      <w:r w:rsidRPr="0091557B">
        <w:t xml:space="preserve">. Počet osob usmrcených při dopravních nehodách </w:t>
      </w:r>
      <w:r w:rsidR="00D02835">
        <w:t>mezi</w:t>
      </w:r>
      <w:r w:rsidRPr="0091557B">
        <w:t xml:space="preserve"> </w:t>
      </w:r>
      <w:r w:rsidRPr="0091557B">
        <w:lastRenderedPageBreak/>
        <w:t>let</w:t>
      </w:r>
      <w:r w:rsidR="00D02835">
        <w:t>y</w:t>
      </w:r>
      <w:r w:rsidRPr="0091557B">
        <w:t xml:space="preserve"> 201</w:t>
      </w:r>
      <w:r w:rsidR="007A11B3">
        <w:t>1</w:t>
      </w:r>
      <w:r w:rsidR="00BE3ED4">
        <w:t>–</w:t>
      </w:r>
      <w:r w:rsidRPr="0091557B">
        <w:t xml:space="preserve">2022 klesl o </w:t>
      </w:r>
      <w:r w:rsidR="007A11B3">
        <w:t>253</w:t>
      </w:r>
      <w:r w:rsidRPr="0091557B">
        <w:t xml:space="preserve"> osob (</w:t>
      </w:r>
      <w:r w:rsidR="00402297">
        <w:t xml:space="preserve">tj. o </w:t>
      </w:r>
      <w:r w:rsidRPr="0091557B">
        <w:t>3</w:t>
      </w:r>
      <w:r w:rsidR="007A11B3">
        <w:t>5,8</w:t>
      </w:r>
      <w:r w:rsidRPr="0091557B">
        <w:t xml:space="preserve"> %), počet těžce zraněných osob </w:t>
      </w:r>
      <w:r w:rsidR="00402297">
        <w:t xml:space="preserve">pak </w:t>
      </w:r>
      <w:r w:rsidRPr="0091557B">
        <w:t>ve stejném období klesl o 1 </w:t>
      </w:r>
      <w:r w:rsidR="007A11B3">
        <w:t>358</w:t>
      </w:r>
      <w:r w:rsidRPr="0091557B">
        <w:t xml:space="preserve"> osob (</w:t>
      </w:r>
      <w:r w:rsidR="00402297">
        <w:t xml:space="preserve">tj. o </w:t>
      </w:r>
      <w:r w:rsidR="007A11B3">
        <w:t>43,9</w:t>
      </w:r>
      <w:r w:rsidRPr="0091557B">
        <w:t xml:space="preserve"> %).</w:t>
      </w:r>
    </w:p>
    <w:p w14:paraId="595EF1C5" w14:textId="77777777" w:rsidR="00136AD7" w:rsidRPr="00030FDF" w:rsidRDefault="00402297" w:rsidP="005E2807">
      <w:pPr>
        <w:pStyle w:val="JK4"/>
        <w:ind w:left="0" w:firstLine="0"/>
      </w:pPr>
      <w:r>
        <w:t>Na druh</w:t>
      </w:r>
      <w:r w:rsidR="00141D1B">
        <w:t>ou</w:t>
      </w:r>
      <w:r>
        <w:t xml:space="preserve"> stran</w:t>
      </w:r>
      <w:r w:rsidR="00141D1B">
        <w:t>u</w:t>
      </w:r>
      <w:r>
        <w:t xml:space="preserve"> s</w:t>
      </w:r>
      <w:r w:rsidR="00A553AB">
        <w:t>trategick</w:t>
      </w:r>
      <w:r w:rsidR="00502E2F">
        <w:t>ý</w:t>
      </w:r>
      <w:r w:rsidR="00A553AB">
        <w:t xml:space="preserve"> cíl „</w:t>
      </w:r>
      <w:r w:rsidR="00A553AB" w:rsidRPr="00050CFC">
        <w:rPr>
          <w:i/>
        </w:rPr>
        <w:t>snížení počtu usmrcených osob</w:t>
      </w:r>
      <w:r w:rsidR="00A553AB">
        <w:t xml:space="preserve">“ </w:t>
      </w:r>
      <w:r>
        <w:t>stanovený</w:t>
      </w:r>
      <w:r w:rsidR="00A553AB">
        <w:t xml:space="preserve"> </w:t>
      </w:r>
      <w:r>
        <w:t xml:space="preserve">k milníku </w:t>
      </w:r>
      <w:r w:rsidR="00B20A06">
        <w:t xml:space="preserve">v roce 2020 </w:t>
      </w:r>
      <w:r>
        <w:t>splněn nebyl</w:t>
      </w:r>
      <w:r w:rsidR="00B20A06">
        <w:t>. Na silnicích ČR v roce 2020 zemřelo 460 osob, což je o 127 více</w:t>
      </w:r>
      <w:r>
        <w:t xml:space="preserve"> (</w:t>
      </w:r>
      <w:r w:rsidR="00025F12">
        <w:t>tj.</w:t>
      </w:r>
      <w:r w:rsidR="00D1628C">
        <w:t> </w:t>
      </w:r>
      <w:r w:rsidR="00BE3650">
        <w:t>o</w:t>
      </w:r>
      <w:r w:rsidR="00D1628C">
        <w:t> </w:t>
      </w:r>
      <w:r w:rsidR="00BE3650">
        <w:t>cca</w:t>
      </w:r>
      <w:r>
        <w:t xml:space="preserve"> 38</w:t>
      </w:r>
      <w:r w:rsidR="00BE3650">
        <w:t>,1</w:t>
      </w:r>
      <w:r>
        <w:t xml:space="preserve"> %)</w:t>
      </w:r>
      <w:r w:rsidR="00B20A06">
        <w:t>, než byl vytyčený strategický cíl</w:t>
      </w:r>
      <w:r w:rsidR="00510F98">
        <w:t>, který činil 333 osob</w:t>
      </w:r>
      <w:r w:rsidR="00B20A06">
        <w:t>.</w:t>
      </w:r>
      <w:r w:rsidR="00A553AB">
        <w:t xml:space="preserve"> </w:t>
      </w:r>
      <w:r w:rsidR="0071417A">
        <w:t xml:space="preserve">Samotný rok 2020 byl </w:t>
      </w:r>
      <w:r w:rsidR="00025F12">
        <w:t>přitom</w:t>
      </w:r>
      <w:r w:rsidR="0071417A">
        <w:t xml:space="preserve"> prvním rokem, kdy provoz na pozemních komunikacích</w:t>
      </w:r>
      <w:r w:rsidR="002C1FAE">
        <w:t>,</w:t>
      </w:r>
      <w:r w:rsidR="0071417A">
        <w:t xml:space="preserve"> a tedy i mír</w:t>
      </w:r>
      <w:r w:rsidR="00141D1B">
        <w:t>u</w:t>
      </w:r>
      <w:r w:rsidR="0071417A">
        <w:t xml:space="preserve"> nehodovosti ovlivn</w:t>
      </w:r>
      <w:r w:rsidR="00141D1B">
        <w:t>ila</w:t>
      </w:r>
      <w:r w:rsidR="0071417A">
        <w:t xml:space="preserve"> pandemi</w:t>
      </w:r>
      <w:r w:rsidR="00141D1B">
        <w:t>e</w:t>
      </w:r>
      <w:r w:rsidR="0071417A">
        <w:t xml:space="preserve"> nemoci covid</w:t>
      </w:r>
      <w:r w:rsidR="0071417A" w:rsidRPr="00030FDF">
        <w:t>-19</w:t>
      </w:r>
      <w:r w:rsidR="00025F12" w:rsidRPr="00030FDF">
        <w:t xml:space="preserve"> (viz odst. 2.1</w:t>
      </w:r>
      <w:r w:rsidR="006436AD" w:rsidRPr="00030FDF">
        <w:t>2</w:t>
      </w:r>
      <w:r w:rsidR="00025F12" w:rsidRPr="00030FDF">
        <w:t xml:space="preserve">). I tak zůstal cíl </w:t>
      </w:r>
      <w:r w:rsidR="003A65F1">
        <w:t>spočívající ve</w:t>
      </w:r>
      <w:r w:rsidR="00025F12" w:rsidRPr="00030FDF">
        <w:t xml:space="preserve"> snížení počtu usmrcených osob významně nesplněn. </w:t>
      </w:r>
      <w:r w:rsidR="00A553AB" w:rsidRPr="00030FDF">
        <w:t>Naopak strategický cíl „</w:t>
      </w:r>
      <w:r w:rsidR="00A553AB" w:rsidRPr="00030FDF">
        <w:rPr>
          <w:i/>
        </w:rPr>
        <w:t>snížení počtu těžce zraněných osob</w:t>
      </w:r>
      <w:r w:rsidR="00A553AB" w:rsidRPr="00030FDF">
        <w:t>“ se</w:t>
      </w:r>
      <w:r w:rsidR="00141D1B">
        <w:t xml:space="preserve"> </w:t>
      </w:r>
      <w:r w:rsidR="00A553AB" w:rsidRPr="00030FDF">
        <w:t>splnit podařilo.</w:t>
      </w:r>
      <w:r w:rsidR="00B3707D" w:rsidRPr="00030FDF">
        <w:t xml:space="preserve"> </w:t>
      </w:r>
      <w:r w:rsidR="00050CFC" w:rsidRPr="00030FDF">
        <w:t xml:space="preserve">V roce 2020 se při dopravních nehodách těžce zranilo 1 807 osob, </w:t>
      </w:r>
      <w:r w:rsidR="00141D1B">
        <w:t>tedy</w:t>
      </w:r>
      <w:r w:rsidR="00050CFC" w:rsidRPr="00030FDF">
        <w:t xml:space="preserve"> </w:t>
      </w:r>
      <w:r w:rsidR="00B3707D" w:rsidRPr="00030FDF">
        <w:t>o</w:t>
      </w:r>
      <w:r w:rsidR="002C1FAE" w:rsidRPr="00030FDF">
        <w:t> </w:t>
      </w:r>
      <w:r w:rsidR="00B3707D" w:rsidRPr="00030FDF">
        <w:t>315 méně, než byl vytyčený strategický cíl</w:t>
      </w:r>
      <w:r w:rsidR="00510F98" w:rsidRPr="00030FDF">
        <w:t>, který činil 2 122 osob</w:t>
      </w:r>
      <w:r w:rsidR="00E35DD9" w:rsidRPr="00030FDF">
        <w:t xml:space="preserve"> (viz tabulka č. 1).</w:t>
      </w:r>
    </w:p>
    <w:p w14:paraId="2A6E0A3B" w14:textId="77777777" w:rsidR="00136AD7" w:rsidRPr="0042191D" w:rsidRDefault="00136AD7" w:rsidP="002C7C06">
      <w:pPr>
        <w:pStyle w:val="Titulek"/>
        <w:keepNext/>
        <w:spacing w:after="0"/>
        <w:ind w:right="-144"/>
        <w:rPr>
          <w:rFonts w:cstheme="minorHAnsi"/>
          <w:b/>
          <w:bCs/>
          <w:i w:val="0"/>
          <w:iCs w:val="0"/>
          <w:color w:val="auto"/>
          <w:sz w:val="24"/>
          <w:szCs w:val="24"/>
        </w:rPr>
      </w:pPr>
      <w:r w:rsidRPr="007E6EF5">
        <w:rPr>
          <w:rFonts w:cstheme="minorHAnsi"/>
          <w:b/>
          <w:bCs/>
          <w:i w:val="0"/>
          <w:iCs w:val="0"/>
          <w:color w:val="auto"/>
          <w:sz w:val="24"/>
          <w:szCs w:val="24"/>
        </w:rPr>
        <w:t xml:space="preserve">Tabulka č. </w:t>
      </w:r>
      <w:r w:rsidRPr="007E6EF5">
        <w:rPr>
          <w:rFonts w:cstheme="minorHAnsi"/>
          <w:b/>
          <w:i w:val="0"/>
          <w:color w:val="auto"/>
          <w:sz w:val="24"/>
          <w:szCs w:val="24"/>
        </w:rPr>
        <w:t>1</w:t>
      </w:r>
      <w:r w:rsidRPr="007E6EF5">
        <w:rPr>
          <w:rFonts w:cstheme="minorHAnsi"/>
          <w:b/>
          <w:bCs/>
          <w:i w:val="0"/>
          <w:iCs w:val="0"/>
          <w:color w:val="auto"/>
          <w:sz w:val="24"/>
          <w:szCs w:val="24"/>
        </w:rPr>
        <w:t xml:space="preserve">: </w:t>
      </w:r>
      <w:r w:rsidRPr="00141D1B">
        <w:rPr>
          <w:rFonts w:cstheme="minorHAnsi"/>
          <w:b/>
          <w:bCs/>
          <w:i w:val="0"/>
          <w:iCs w:val="0"/>
          <w:color w:val="auto"/>
          <w:spacing w:val="-1"/>
          <w:sz w:val="24"/>
          <w:szCs w:val="24"/>
        </w:rPr>
        <w:t xml:space="preserve">Srovnání předpokládaných a skutečných </w:t>
      </w:r>
      <w:r w:rsidR="00141D1B" w:rsidRPr="00141D1B">
        <w:rPr>
          <w:rFonts w:cstheme="minorHAnsi"/>
          <w:b/>
          <w:bCs/>
          <w:i w:val="0"/>
          <w:iCs w:val="0"/>
          <w:color w:val="auto"/>
          <w:spacing w:val="-1"/>
          <w:sz w:val="24"/>
          <w:szCs w:val="24"/>
        </w:rPr>
        <w:t xml:space="preserve">hodnot </w:t>
      </w:r>
      <w:r w:rsidRPr="00141D1B">
        <w:rPr>
          <w:rFonts w:cstheme="minorHAnsi"/>
          <w:b/>
          <w:bCs/>
          <w:i w:val="0"/>
          <w:iCs w:val="0"/>
          <w:color w:val="auto"/>
          <w:spacing w:val="-1"/>
          <w:sz w:val="24"/>
          <w:szCs w:val="24"/>
        </w:rPr>
        <w:t>ukazatelů v letech 2011</w:t>
      </w:r>
      <w:r w:rsidR="00BE3ED4" w:rsidRPr="00141D1B">
        <w:rPr>
          <w:rFonts w:cstheme="minorHAnsi"/>
          <w:b/>
          <w:bCs/>
          <w:i w:val="0"/>
          <w:iCs w:val="0"/>
          <w:color w:val="auto"/>
          <w:spacing w:val="-1"/>
          <w:sz w:val="24"/>
          <w:szCs w:val="24"/>
        </w:rPr>
        <w:t>–</w:t>
      </w:r>
      <w:r w:rsidRPr="00141D1B">
        <w:rPr>
          <w:rFonts w:cstheme="minorHAnsi"/>
          <w:b/>
          <w:bCs/>
          <w:i w:val="0"/>
          <w:iCs w:val="0"/>
          <w:color w:val="auto"/>
          <w:spacing w:val="-1"/>
          <w:sz w:val="24"/>
          <w:szCs w:val="24"/>
        </w:rPr>
        <w:t>2020</w:t>
      </w:r>
    </w:p>
    <w:tbl>
      <w:tblPr>
        <w:tblStyle w:val="Mkatabulky"/>
        <w:tblW w:w="0" w:type="auto"/>
        <w:tblLook w:val="04A0" w:firstRow="1" w:lastRow="0" w:firstColumn="1" w:lastColumn="0" w:noHBand="0" w:noVBand="1"/>
      </w:tblPr>
      <w:tblGrid>
        <w:gridCol w:w="1200"/>
        <w:gridCol w:w="1184"/>
        <w:gridCol w:w="667"/>
        <w:gridCol w:w="668"/>
        <w:gridCol w:w="667"/>
        <w:gridCol w:w="668"/>
        <w:gridCol w:w="668"/>
        <w:gridCol w:w="667"/>
        <w:gridCol w:w="668"/>
        <w:gridCol w:w="667"/>
        <w:gridCol w:w="668"/>
        <w:gridCol w:w="668"/>
      </w:tblGrid>
      <w:tr w:rsidR="008854D1" w:rsidRPr="0042191D" w14:paraId="269D5209" w14:textId="77777777" w:rsidTr="002C7C06">
        <w:trPr>
          <w:trHeight w:val="340"/>
        </w:trPr>
        <w:tc>
          <w:tcPr>
            <w:tcW w:w="2384" w:type="dxa"/>
            <w:gridSpan w:val="2"/>
            <w:tcBorders>
              <w:top w:val="single" w:sz="4" w:space="0" w:color="auto"/>
              <w:left w:val="single" w:sz="4" w:space="0" w:color="auto"/>
              <w:bottom w:val="single" w:sz="4" w:space="0" w:color="auto"/>
              <w:right w:val="single" w:sz="4" w:space="0" w:color="auto"/>
            </w:tcBorders>
            <w:shd w:val="clear" w:color="auto" w:fill="E5F1FF"/>
            <w:vAlign w:val="center"/>
          </w:tcPr>
          <w:p w14:paraId="5A8B2FFB" w14:textId="77777777" w:rsidR="008854D1" w:rsidRPr="0042191D" w:rsidRDefault="008854D1" w:rsidP="00845083">
            <w:pPr>
              <w:jc w:val="center"/>
              <w:rPr>
                <w:rFonts w:cstheme="minorHAnsi"/>
                <w:b/>
                <w:sz w:val="20"/>
                <w:szCs w:val="20"/>
              </w:rPr>
            </w:pPr>
            <w:r w:rsidRPr="0042191D">
              <w:rPr>
                <w:rFonts w:cstheme="minorHAnsi"/>
                <w:b/>
                <w:sz w:val="20"/>
                <w:szCs w:val="20"/>
              </w:rPr>
              <w:t>Strategický cíl</w:t>
            </w:r>
          </w:p>
        </w:tc>
        <w:tc>
          <w:tcPr>
            <w:tcW w:w="667" w:type="dxa"/>
            <w:tcBorders>
              <w:top w:val="single" w:sz="4" w:space="0" w:color="auto"/>
              <w:left w:val="single" w:sz="4" w:space="0" w:color="auto"/>
              <w:bottom w:val="single" w:sz="4" w:space="0" w:color="auto"/>
              <w:right w:val="single" w:sz="4" w:space="0" w:color="auto"/>
            </w:tcBorders>
            <w:shd w:val="clear" w:color="auto" w:fill="E5F1FF"/>
            <w:vAlign w:val="center"/>
          </w:tcPr>
          <w:p w14:paraId="28BC9304" w14:textId="77777777" w:rsidR="008854D1" w:rsidRPr="0042191D" w:rsidRDefault="008854D1" w:rsidP="00845083">
            <w:pPr>
              <w:jc w:val="center"/>
              <w:rPr>
                <w:rFonts w:cstheme="minorHAnsi"/>
                <w:b/>
                <w:sz w:val="20"/>
                <w:szCs w:val="20"/>
              </w:rPr>
            </w:pPr>
            <w:r w:rsidRPr="0042191D">
              <w:rPr>
                <w:rFonts w:cstheme="minorHAnsi"/>
                <w:b/>
                <w:sz w:val="20"/>
                <w:szCs w:val="20"/>
              </w:rPr>
              <w:t>2011</w:t>
            </w:r>
          </w:p>
        </w:tc>
        <w:tc>
          <w:tcPr>
            <w:tcW w:w="668" w:type="dxa"/>
            <w:tcBorders>
              <w:top w:val="single" w:sz="4" w:space="0" w:color="auto"/>
              <w:left w:val="single" w:sz="4" w:space="0" w:color="auto"/>
              <w:bottom w:val="single" w:sz="4" w:space="0" w:color="auto"/>
              <w:right w:val="single" w:sz="4" w:space="0" w:color="auto"/>
            </w:tcBorders>
            <w:shd w:val="clear" w:color="auto" w:fill="E5F1FF"/>
            <w:vAlign w:val="center"/>
          </w:tcPr>
          <w:p w14:paraId="6560CA55" w14:textId="77777777" w:rsidR="008854D1" w:rsidRPr="0042191D" w:rsidRDefault="008854D1" w:rsidP="00845083">
            <w:pPr>
              <w:jc w:val="center"/>
              <w:rPr>
                <w:rFonts w:cstheme="minorHAnsi"/>
                <w:b/>
                <w:sz w:val="20"/>
                <w:szCs w:val="20"/>
              </w:rPr>
            </w:pPr>
            <w:r w:rsidRPr="0042191D">
              <w:rPr>
                <w:rFonts w:cstheme="minorHAnsi"/>
                <w:b/>
                <w:sz w:val="20"/>
                <w:szCs w:val="20"/>
              </w:rPr>
              <w:t>2012</w:t>
            </w:r>
          </w:p>
        </w:tc>
        <w:tc>
          <w:tcPr>
            <w:tcW w:w="667" w:type="dxa"/>
            <w:tcBorders>
              <w:top w:val="single" w:sz="4" w:space="0" w:color="auto"/>
              <w:left w:val="single" w:sz="4" w:space="0" w:color="auto"/>
              <w:bottom w:val="single" w:sz="4" w:space="0" w:color="auto"/>
              <w:right w:val="single" w:sz="4" w:space="0" w:color="auto"/>
            </w:tcBorders>
            <w:shd w:val="clear" w:color="auto" w:fill="E5F1FF"/>
            <w:vAlign w:val="center"/>
          </w:tcPr>
          <w:p w14:paraId="4D3EFC77" w14:textId="77777777" w:rsidR="008854D1" w:rsidRPr="0042191D" w:rsidRDefault="008854D1" w:rsidP="00845083">
            <w:pPr>
              <w:jc w:val="center"/>
              <w:rPr>
                <w:rFonts w:cstheme="minorHAnsi"/>
                <w:b/>
                <w:sz w:val="20"/>
                <w:szCs w:val="20"/>
              </w:rPr>
            </w:pPr>
            <w:r w:rsidRPr="0042191D">
              <w:rPr>
                <w:rFonts w:cstheme="minorHAnsi"/>
                <w:b/>
                <w:sz w:val="20"/>
                <w:szCs w:val="20"/>
              </w:rPr>
              <w:t>2013</w:t>
            </w:r>
          </w:p>
        </w:tc>
        <w:tc>
          <w:tcPr>
            <w:tcW w:w="668" w:type="dxa"/>
            <w:tcBorders>
              <w:top w:val="single" w:sz="4" w:space="0" w:color="auto"/>
              <w:left w:val="single" w:sz="4" w:space="0" w:color="auto"/>
              <w:bottom w:val="single" w:sz="4" w:space="0" w:color="auto"/>
              <w:right w:val="single" w:sz="4" w:space="0" w:color="auto"/>
            </w:tcBorders>
            <w:shd w:val="clear" w:color="auto" w:fill="E5F1FF"/>
            <w:vAlign w:val="center"/>
          </w:tcPr>
          <w:p w14:paraId="0468360E" w14:textId="77777777" w:rsidR="008854D1" w:rsidRPr="0042191D" w:rsidRDefault="008854D1" w:rsidP="00845083">
            <w:pPr>
              <w:jc w:val="center"/>
              <w:rPr>
                <w:rFonts w:cstheme="minorHAnsi"/>
                <w:b/>
                <w:sz w:val="20"/>
                <w:szCs w:val="20"/>
              </w:rPr>
            </w:pPr>
            <w:r w:rsidRPr="0042191D">
              <w:rPr>
                <w:rFonts w:cstheme="minorHAnsi"/>
                <w:b/>
                <w:sz w:val="20"/>
                <w:szCs w:val="20"/>
              </w:rPr>
              <w:t>2014</w:t>
            </w:r>
          </w:p>
        </w:tc>
        <w:tc>
          <w:tcPr>
            <w:tcW w:w="668" w:type="dxa"/>
            <w:tcBorders>
              <w:top w:val="single" w:sz="4" w:space="0" w:color="auto"/>
              <w:left w:val="single" w:sz="4" w:space="0" w:color="auto"/>
              <w:bottom w:val="single" w:sz="4" w:space="0" w:color="auto"/>
              <w:right w:val="single" w:sz="4" w:space="0" w:color="auto"/>
            </w:tcBorders>
            <w:shd w:val="clear" w:color="auto" w:fill="E5F1FF"/>
            <w:vAlign w:val="center"/>
          </w:tcPr>
          <w:p w14:paraId="2CEE5BE1" w14:textId="77777777" w:rsidR="008854D1" w:rsidRPr="0042191D" w:rsidRDefault="008854D1" w:rsidP="00845083">
            <w:pPr>
              <w:jc w:val="center"/>
              <w:rPr>
                <w:rFonts w:cstheme="minorHAnsi"/>
                <w:b/>
                <w:sz w:val="20"/>
                <w:szCs w:val="20"/>
              </w:rPr>
            </w:pPr>
            <w:r w:rsidRPr="0042191D">
              <w:rPr>
                <w:rFonts w:cstheme="minorHAnsi"/>
                <w:b/>
                <w:sz w:val="20"/>
                <w:szCs w:val="20"/>
              </w:rPr>
              <w:t>2015</w:t>
            </w:r>
          </w:p>
        </w:tc>
        <w:tc>
          <w:tcPr>
            <w:tcW w:w="667" w:type="dxa"/>
            <w:tcBorders>
              <w:top w:val="single" w:sz="4" w:space="0" w:color="auto"/>
              <w:left w:val="single" w:sz="4" w:space="0" w:color="auto"/>
              <w:bottom w:val="single" w:sz="4" w:space="0" w:color="auto"/>
              <w:right w:val="single" w:sz="4" w:space="0" w:color="auto"/>
            </w:tcBorders>
            <w:shd w:val="clear" w:color="auto" w:fill="E5F1FF"/>
            <w:vAlign w:val="center"/>
          </w:tcPr>
          <w:p w14:paraId="4F478155" w14:textId="77777777" w:rsidR="008854D1" w:rsidRPr="0042191D" w:rsidRDefault="008854D1" w:rsidP="00845083">
            <w:pPr>
              <w:jc w:val="center"/>
              <w:rPr>
                <w:rFonts w:cstheme="minorHAnsi"/>
                <w:b/>
                <w:sz w:val="20"/>
                <w:szCs w:val="20"/>
              </w:rPr>
            </w:pPr>
            <w:r w:rsidRPr="0042191D">
              <w:rPr>
                <w:rFonts w:cstheme="minorHAnsi"/>
                <w:b/>
                <w:sz w:val="20"/>
                <w:szCs w:val="20"/>
              </w:rPr>
              <w:t>2016</w:t>
            </w:r>
          </w:p>
        </w:tc>
        <w:tc>
          <w:tcPr>
            <w:tcW w:w="668" w:type="dxa"/>
            <w:tcBorders>
              <w:top w:val="single" w:sz="4" w:space="0" w:color="auto"/>
              <w:left w:val="single" w:sz="4" w:space="0" w:color="auto"/>
              <w:bottom w:val="single" w:sz="4" w:space="0" w:color="auto"/>
              <w:right w:val="single" w:sz="4" w:space="0" w:color="auto"/>
            </w:tcBorders>
            <w:shd w:val="clear" w:color="auto" w:fill="E5F1FF"/>
            <w:vAlign w:val="center"/>
          </w:tcPr>
          <w:p w14:paraId="0539755F" w14:textId="77777777" w:rsidR="008854D1" w:rsidRPr="0042191D" w:rsidRDefault="008854D1" w:rsidP="00845083">
            <w:pPr>
              <w:jc w:val="center"/>
              <w:rPr>
                <w:rFonts w:cstheme="minorHAnsi"/>
                <w:b/>
                <w:sz w:val="20"/>
                <w:szCs w:val="20"/>
              </w:rPr>
            </w:pPr>
            <w:r w:rsidRPr="0042191D">
              <w:rPr>
                <w:rFonts w:cstheme="minorHAnsi"/>
                <w:b/>
                <w:sz w:val="20"/>
                <w:szCs w:val="20"/>
              </w:rPr>
              <w:t>2017</w:t>
            </w:r>
          </w:p>
        </w:tc>
        <w:tc>
          <w:tcPr>
            <w:tcW w:w="667" w:type="dxa"/>
            <w:tcBorders>
              <w:top w:val="single" w:sz="4" w:space="0" w:color="auto"/>
              <w:left w:val="single" w:sz="4" w:space="0" w:color="auto"/>
              <w:bottom w:val="single" w:sz="4" w:space="0" w:color="auto"/>
              <w:right w:val="single" w:sz="4" w:space="0" w:color="auto"/>
            </w:tcBorders>
            <w:shd w:val="clear" w:color="auto" w:fill="E5F1FF"/>
            <w:vAlign w:val="center"/>
          </w:tcPr>
          <w:p w14:paraId="085868AD" w14:textId="77777777" w:rsidR="008854D1" w:rsidRPr="0042191D" w:rsidRDefault="008854D1" w:rsidP="00845083">
            <w:pPr>
              <w:jc w:val="center"/>
              <w:rPr>
                <w:rFonts w:cstheme="minorHAnsi"/>
                <w:b/>
                <w:sz w:val="20"/>
                <w:szCs w:val="20"/>
              </w:rPr>
            </w:pPr>
            <w:r w:rsidRPr="0042191D">
              <w:rPr>
                <w:rFonts w:cstheme="minorHAnsi"/>
                <w:b/>
                <w:sz w:val="20"/>
                <w:szCs w:val="20"/>
              </w:rPr>
              <w:t>2018</w:t>
            </w:r>
          </w:p>
        </w:tc>
        <w:tc>
          <w:tcPr>
            <w:tcW w:w="668" w:type="dxa"/>
            <w:tcBorders>
              <w:top w:val="single" w:sz="4" w:space="0" w:color="auto"/>
              <w:left w:val="single" w:sz="4" w:space="0" w:color="auto"/>
              <w:bottom w:val="single" w:sz="4" w:space="0" w:color="auto"/>
              <w:right w:val="single" w:sz="4" w:space="0" w:color="auto"/>
            </w:tcBorders>
            <w:shd w:val="clear" w:color="auto" w:fill="E5F1FF"/>
            <w:vAlign w:val="center"/>
          </w:tcPr>
          <w:p w14:paraId="42B459F0" w14:textId="77777777" w:rsidR="008854D1" w:rsidRPr="0042191D" w:rsidRDefault="008854D1" w:rsidP="00845083">
            <w:pPr>
              <w:jc w:val="center"/>
              <w:rPr>
                <w:rFonts w:cstheme="minorHAnsi"/>
                <w:b/>
                <w:sz w:val="20"/>
                <w:szCs w:val="20"/>
              </w:rPr>
            </w:pPr>
            <w:r w:rsidRPr="0042191D">
              <w:rPr>
                <w:rFonts w:cstheme="minorHAnsi"/>
                <w:b/>
                <w:sz w:val="20"/>
                <w:szCs w:val="20"/>
              </w:rPr>
              <w:t>2019</w:t>
            </w:r>
          </w:p>
        </w:tc>
        <w:tc>
          <w:tcPr>
            <w:tcW w:w="668" w:type="dxa"/>
            <w:tcBorders>
              <w:top w:val="single" w:sz="4" w:space="0" w:color="auto"/>
              <w:left w:val="single" w:sz="4" w:space="0" w:color="auto"/>
              <w:bottom w:val="single" w:sz="4" w:space="0" w:color="auto"/>
              <w:right w:val="single" w:sz="4" w:space="0" w:color="auto"/>
            </w:tcBorders>
            <w:shd w:val="clear" w:color="auto" w:fill="E5F1FF"/>
            <w:vAlign w:val="center"/>
          </w:tcPr>
          <w:p w14:paraId="1BEB22A8" w14:textId="77777777" w:rsidR="008854D1" w:rsidRPr="0042191D" w:rsidRDefault="008854D1" w:rsidP="00845083">
            <w:pPr>
              <w:jc w:val="center"/>
              <w:rPr>
                <w:rFonts w:cstheme="minorHAnsi"/>
                <w:b/>
                <w:sz w:val="20"/>
                <w:szCs w:val="20"/>
              </w:rPr>
            </w:pPr>
            <w:r w:rsidRPr="0042191D">
              <w:rPr>
                <w:rFonts w:cstheme="minorHAnsi"/>
                <w:b/>
                <w:sz w:val="20"/>
                <w:szCs w:val="20"/>
              </w:rPr>
              <w:t>2020</w:t>
            </w:r>
          </w:p>
        </w:tc>
      </w:tr>
      <w:tr w:rsidR="00AB0DBE" w:rsidRPr="0042191D" w14:paraId="405285D8" w14:textId="77777777" w:rsidTr="00141D1B">
        <w:tc>
          <w:tcPr>
            <w:tcW w:w="1200" w:type="dxa"/>
            <w:vMerge w:val="restart"/>
            <w:tcBorders>
              <w:top w:val="single" w:sz="4" w:space="0" w:color="auto"/>
            </w:tcBorders>
            <w:shd w:val="clear" w:color="auto" w:fill="F2F2F2" w:themeFill="background1" w:themeFillShade="F2"/>
            <w:vAlign w:val="center"/>
          </w:tcPr>
          <w:p w14:paraId="7C60F649" w14:textId="77777777" w:rsidR="00AB0DBE" w:rsidRPr="0042191D" w:rsidRDefault="00F2616B" w:rsidP="00AB0DBE">
            <w:pPr>
              <w:rPr>
                <w:rFonts w:cstheme="minorHAnsi"/>
                <w:sz w:val="20"/>
                <w:szCs w:val="20"/>
              </w:rPr>
            </w:pPr>
            <w:r>
              <w:rPr>
                <w:rFonts w:cstheme="minorHAnsi"/>
                <w:sz w:val="20"/>
                <w:szCs w:val="20"/>
              </w:rPr>
              <w:t>P</w:t>
            </w:r>
            <w:r w:rsidR="00AB0DBE" w:rsidRPr="0042191D">
              <w:rPr>
                <w:rFonts w:cstheme="minorHAnsi"/>
                <w:sz w:val="20"/>
                <w:szCs w:val="20"/>
              </w:rPr>
              <w:t>očet usmrcených</w:t>
            </w:r>
          </w:p>
        </w:tc>
        <w:tc>
          <w:tcPr>
            <w:tcW w:w="1184" w:type="dxa"/>
            <w:tcBorders>
              <w:top w:val="single" w:sz="4" w:space="0" w:color="auto"/>
              <w:bottom w:val="single" w:sz="4" w:space="0" w:color="auto"/>
            </w:tcBorders>
            <w:shd w:val="clear" w:color="auto" w:fill="F2F2F2" w:themeFill="background1" w:themeFillShade="F2"/>
            <w:vAlign w:val="center"/>
          </w:tcPr>
          <w:p w14:paraId="2ED5589D" w14:textId="77777777" w:rsidR="00AB0DBE" w:rsidRPr="0042191D" w:rsidRDefault="00AB0DBE" w:rsidP="00AB0DBE">
            <w:pPr>
              <w:rPr>
                <w:rFonts w:cstheme="minorHAnsi"/>
                <w:sz w:val="20"/>
                <w:szCs w:val="20"/>
              </w:rPr>
            </w:pPr>
            <w:r w:rsidRPr="0042191D">
              <w:rPr>
                <w:rFonts w:cstheme="minorHAnsi"/>
                <w:sz w:val="20"/>
                <w:szCs w:val="20"/>
              </w:rPr>
              <w:t>předpoklad</w:t>
            </w:r>
          </w:p>
        </w:tc>
        <w:tc>
          <w:tcPr>
            <w:tcW w:w="667" w:type="dxa"/>
            <w:tcBorders>
              <w:top w:val="single" w:sz="4" w:space="0" w:color="auto"/>
              <w:bottom w:val="single" w:sz="4" w:space="0" w:color="auto"/>
            </w:tcBorders>
            <w:shd w:val="clear" w:color="auto" w:fill="F2F2F2" w:themeFill="background1" w:themeFillShade="F2"/>
            <w:vAlign w:val="center"/>
          </w:tcPr>
          <w:p w14:paraId="49B54FE2" w14:textId="77777777" w:rsidR="00AB0DBE" w:rsidRPr="0042191D" w:rsidRDefault="00AB0DBE" w:rsidP="00141D1B">
            <w:pPr>
              <w:jc w:val="right"/>
              <w:rPr>
                <w:rFonts w:cstheme="minorHAnsi"/>
                <w:sz w:val="18"/>
                <w:szCs w:val="18"/>
              </w:rPr>
            </w:pPr>
            <w:r w:rsidRPr="0042191D">
              <w:rPr>
                <w:rFonts w:cstheme="minorHAnsi"/>
                <w:sz w:val="18"/>
                <w:szCs w:val="18"/>
              </w:rPr>
              <w:t>704</w:t>
            </w:r>
          </w:p>
        </w:tc>
        <w:tc>
          <w:tcPr>
            <w:tcW w:w="668" w:type="dxa"/>
            <w:tcBorders>
              <w:top w:val="single" w:sz="4" w:space="0" w:color="auto"/>
              <w:bottom w:val="single" w:sz="4" w:space="0" w:color="auto"/>
            </w:tcBorders>
            <w:shd w:val="clear" w:color="auto" w:fill="F2F2F2" w:themeFill="background1" w:themeFillShade="F2"/>
            <w:vAlign w:val="center"/>
          </w:tcPr>
          <w:p w14:paraId="4BC66A91" w14:textId="77777777" w:rsidR="00AB0DBE" w:rsidRPr="0042191D" w:rsidRDefault="00AB0DBE" w:rsidP="00141D1B">
            <w:pPr>
              <w:jc w:val="right"/>
              <w:rPr>
                <w:rFonts w:cstheme="minorHAnsi"/>
                <w:sz w:val="18"/>
                <w:szCs w:val="18"/>
              </w:rPr>
            </w:pPr>
            <w:r w:rsidRPr="0042191D">
              <w:rPr>
                <w:rFonts w:cstheme="minorHAnsi"/>
                <w:sz w:val="18"/>
                <w:szCs w:val="18"/>
              </w:rPr>
              <w:t>648</w:t>
            </w:r>
          </w:p>
        </w:tc>
        <w:tc>
          <w:tcPr>
            <w:tcW w:w="667" w:type="dxa"/>
            <w:tcBorders>
              <w:top w:val="single" w:sz="4" w:space="0" w:color="auto"/>
              <w:bottom w:val="single" w:sz="4" w:space="0" w:color="auto"/>
            </w:tcBorders>
            <w:shd w:val="clear" w:color="auto" w:fill="F2F2F2" w:themeFill="background1" w:themeFillShade="F2"/>
            <w:vAlign w:val="center"/>
          </w:tcPr>
          <w:p w14:paraId="15F311DF" w14:textId="77777777" w:rsidR="00AB0DBE" w:rsidRPr="0042191D" w:rsidRDefault="00AB0DBE" w:rsidP="00141D1B">
            <w:pPr>
              <w:jc w:val="right"/>
              <w:rPr>
                <w:rFonts w:cstheme="minorHAnsi"/>
                <w:sz w:val="18"/>
                <w:szCs w:val="18"/>
              </w:rPr>
            </w:pPr>
            <w:r w:rsidRPr="0042191D">
              <w:rPr>
                <w:rFonts w:cstheme="minorHAnsi"/>
                <w:sz w:val="18"/>
                <w:szCs w:val="18"/>
              </w:rPr>
              <w:t>596</w:t>
            </w:r>
          </w:p>
        </w:tc>
        <w:tc>
          <w:tcPr>
            <w:tcW w:w="668" w:type="dxa"/>
            <w:tcBorders>
              <w:top w:val="single" w:sz="4" w:space="0" w:color="auto"/>
              <w:bottom w:val="single" w:sz="4" w:space="0" w:color="auto"/>
            </w:tcBorders>
            <w:shd w:val="clear" w:color="auto" w:fill="F2F2F2" w:themeFill="background1" w:themeFillShade="F2"/>
            <w:vAlign w:val="center"/>
          </w:tcPr>
          <w:p w14:paraId="29015FA5" w14:textId="77777777" w:rsidR="00AB0DBE" w:rsidRPr="0042191D" w:rsidRDefault="00AB0DBE" w:rsidP="00141D1B">
            <w:pPr>
              <w:jc w:val="right"/>
              <w:rPr>
                <w:rFonts w:cstheme="minorHAnsi"/>
                <w:sz w:val="18"/>
                <w:szCs w:val="18"/>
              </w:rPr>
            </w:pPr>
            <w:r w:rsidRPr="0042191D">
              <w:rPr>
                <w:rFonts w:cstheme="minorHAnsi"/>
                <w:sz w:val="18"/>
                <w:szCs w:val="18"/>
              </w:rPr>
              <w:t>549</w:t>
            </w:r>
          </w:p>
        </w:tc>
        <w:tc>
          <w:tcPr>
            <w:tcW w:w="668" w:type="dxa"/>
            <w:tcBorders>
              <w:top w:val="single" w:sz="4" w:space="0" w:color="auto"/>
              <w:bottom w:val="single" w:sz="4" w:space="0" w:color="auto"/>
            </w:tcBorders>
            <w:shd w:val="clear" w:color="auto" w:fill="F2F2F2" w:themeFill="background1" w:themeFillShade="F2"/>
            <w:vAlign w:val="center"/>
          </w:tcPr>
          <w:p w14:paraId="34BF094B" w14:textId="77777777" w:rsidR="00AB0DBE" w:rsidRPr="0042191D" w:rsidRDefault="00AB0DBE" w:rsidP="00141D1B">
            <w:pPr>
              <w:jc w:val="right"/>
              <w:rPr>
                <w:rFonts w:cstheme="minorHAnsi"/>
                <w:sz w:val="18"/>
                <w:szCs w:val="18"/>
              </w:rPr>
            </w:pPr>
            <w:r w:rsidRPr="0042191D">
              <w:rPr>
                <w:rFonts w:cstheme="minorHAnsi"/>
                <w:sz w:val="18"/>
                <w:szCs w:val="18"/>
              </w:rPr>
              <w:t>505</w:t>
            </w:r>
          </w:p>
        </w:tc>
        <w:tc>
          <w:tcPr>
            <w:tcW w:w="667" w:type="dxa"/>
            <w:tcBorders>
              <w:top w:val="single" w:sz="4" w:space="0" w:color="auto"/>
              <w:bottom w:val="single" w:sz="4" w:space="0" w:color="auto"/>
            </w:tcBorders>
            <w:shd w:val="clear" w:color="auto" w:fill="F2F2F2" w:themeFill="background1" w:themeFillShade="F2"/>
            <w:vAlign w:val="center"/>
          </w:tcPr>
          <w:p w14:paraId="1FD45F9C" w14:textId="77777777" w:rsidR="00AB0DBE" w:rsidRPr="0042191D" w:rsidRDefault="00AB0DBE" w:rsidP="00141D1B">
            <w:pPr>
              <w:jc w:val="right"/>
              <w:rPr>
                <w:rFonts w:cstheme="minorHAnsi"/>
                <w:sz w:val="18"/>
                <w:szCs w:val="18"/>
              </w:rPr>
            </w:pPr>
            <w:r w:rsidRPr="0042191D">
              <w:rPr>
                <w:rFonts w:cstheme="minorHAnsi"/>
                <w:sz w:val="18"/>
                <w:szCs w:val="18"/>
              </w:rPr>
              <w:t>464</w:t>
            </w:r>
          </w:p>
        </w:tc>
        <w:tc>
          <w:tcPr>
            <w:tcW w:w="668" w:type="dxa"/>
            <w:tcBorders>
              <w:top w:val="single" w:sz="4" w:space="0" w:color="auto"/>
              <w:bottom w:val="single" w:sz="4" w:space="0" w:color="auto"/>
            </w:tcBorders>
            <w:shd w:val="clear" w:color="auto" w:fill="F2F2F2" w:themeFill="background1" w:themeFillShade="F2"/>
            <w:vAlign w:val="center"/>
          </w:tcPr>
          <w:p w14:paraId="3164A396" w14:textId="77777777" w:rsidR="00AB0DBE" w:rsidRPr="0042191D" w:rsidRDefault="00AB0DBE" w:rsidP="00141D1B">
            <w:pPr>
              <w:jc w:val="right"/>
              <w:rPr>
                <w:rFonts w:cstheme="minorHAnsi"/>
                <w:sz w:val="18"/>
                <w:szCs w:val="18"/>
              </w:rPr>
            </w:pPr>
            <w:r w:rsidRPr="0042191D">
              <w:rPr>
                <w:rFonts w:cstheme="minorHAnsi"/>
                <w:sz w:val="18"/>
                <w:szCs w:val="18"/>
              </w:rPr>
              <w:t>427</w:t>
            </w:r>
          </w:p>
        </w:tc>
        <w:tc>
          <w:tcPr>
            <w:tcW w:w="667" w:type="dxa"/>
            <w:tcBorders>
              <w:top w:val="single" w:sz="4" w:space="0" w:color="auto"/>
              <w:bottom w:val="single" w:sz="4" w:space="0" w:color="auto"/>
            </w:tcBorders>
            <w:shd w:val="clear" w:color="auto" w:fill="F2F2F2" w:themeFill="background1" w:themeFillShade="F2"/>
            <w:vAlign w:val="center"/>
          </w:tcPr>
          <w:p w14:paraId="7CE48901" w14:textId="77777777" w:rsidR="00AB0DBE" w:rsidRPr="0042191D" w:rsidRDefault="00AB0DBE" w:rsidP="00141D1B">
            <w:pPr>
              <w:jc w:val="right"/>
              <w:rPr>
                <w:rFonts w:cstheme="minorHAnsi"/>
                <w:sz w:val="18"/>
                <w:szCs w:val="18"/>
              </w:rPr>
            </w:pPr>
            <w:r w:rsidRPr="0042191D">
              <w:rPr>
                <w:rFonts w:cstheme="minorHAnsi"/>
                <w:sz w:val="18"/>
                <w:szCs w:val="18"/>
              </w:rPr>
              <w:t>393</w:t>
            </w:r>
          </w:p>
        </w:tc>
        <w:tc>
          <w:tcPr>
            <w:tcW w:w="668" w:type="dxa"/>
            <w:tcBorders>
              <w:top w:val="single" w:sz="4" w:space="0" w:color="auto"/>
              <w:bottom w:val="single" w:sz="4" w:space="0" w:color="auto"/>
            </w:tcBorders>
            <w:shd w:val="clear" w:color="auto" w:fill="F2F2F2" w:themeFill="background1" w:themeFillShade="F2"/>
            <w:vAlign w:val="center"/>
          </w:tcPr>
          <w:p w14:paraId="6668F18F" w14:textId="77777777" w:rsidR="00AB0DBE" w:rsidRPr="0042191D" w:rsidRDefault="00AB0DBE" w:rsidP="00141D1B">
            <w:pPr>
              <w:jc w:val="right"/>
              <w:rPr>
                <w:rFonts w:cstheme="minorHAnsi"/>
                <w:sz w:val="18"/>
                <w:szCs w:val="18"/>
              </w:rPr>
            </w:pPr>
            <w:r w:rsidRPr="0042191D">
              <w:rPr>
                <w:rFonts w:cstheme="minorHAnsi"/>
                <w:sz w:val="18"/>
                <w:szCs w:val="18"/>
              </w:rPr>
              <w:t>362</w:t>
            </w:r>
          </w:p>
        </w:tc>
        <w:tc>
          <w:tcPr>
            <w:tcW w:w="668" w:type="dxa"/>
            <w:tcBorders>
              <w:top w:val="single" w:sz="4" w:space="0" w:color="auto"/>
              <w:bottom w:val="single" w:sz="4" w:space="0" w:color="auto"/>
            </w:tcBorders>
            <w:shd w:val="clear" w:color="auto" w:fill="F2F2F2" w:themeFill="background1" w:themeFillShade="F2"/>
            <w:vAlign w:val="center"/>
          </w:tcPr>
          <w:p w14:paraId="6307E113" w14:textId="77777777" w:rsidR="00AB0DBE" w:rsidRPr="0042191D" w:rsidRDefault="00AB0DBE" w:rsidP="00141D1B">
            <w:pPr>
              <w:jc w:val="right"/>
              <w:rPr>
                <w:rFonts w:cstheme="minorHAnsi"/>
                <w:sz w:val="18"/>
                <w:szCs w:val="18"/>
              </w:rPr>
            </w:pPr>
            <w:r w:rsidRPr="0042191D">
              <w:rPr>
                <w:rFonts w:cstheme="minorHAnsi"/>
                <w:sz w:val="18"/>
                <w:szCs w:val="18"/>
              </w:rPr>
              <w:t>333</w:t>
            </w:r>
          </w:p>
        </w:tc>
      </w:tr>
      <w:tr w:rsidR="00AB0DBE" w:rsidRPr="0042191D" w14:paraId="41818853" w14:textId="77777777" w:rsidTr="00141D1B">
        <w:tc>
          <w:tcPr>
            <w:tcW w:w="1200" w:type="dxa"/>
            <w:vMerge/>
            <w:shd w:val="clear" w:color="auto" w:fill="F2F2F2" w:themeFill="background1" w:themeFillShade="F2"/>
            <w:vAlign w:val="center"/>
          </w:tcPr>
          <w:p w14:paraId="38E5978B" w14:textId="77777777" w:rsidR="00AB0DBE" w:rsidRPr="0042191D" w:rsidRDefault="00AB0DBE" w:rsidP="00AB0DBE">
            <w:pPr>
              <w:rPr>
                <w:rFonts w:cstheme="minorHAnsi"/>
                <w:sz w:val="20"/>
                <w:szCs w:val="20"/>
              </w:rPr>
            </w:pPr>
          </w:p>
        </w:tc>
        <w:tc>
          <w:tcPr>
            <w:tcW w:w="1184" w:type="dxa"/>
            <w:tcBorders>
              <w:bottom w:val="single" w:sz="4" w:space="0" w:color="auto"/>
              <w:right w:val="single" w:sz="4" w:space="0" w:color="auto"/>
            </w:tcBorders>
            <w:shd w:val="clear" w:color="auto" w:fill="auto"/>
            <w:vAlign w:val="center"/>
          </w:tcPr>
          <w:p w14:paraId="5AF394CC" w14:textId="77777777" w:rsidR="00AB0DBE" w:rsidRPr="0042191D" w:rsidRDefault="00AB0DBE" w:rsidP="00AB0DBE">
            <w:pPr>
              <w:rPr>
                <w:rFonts w:cstheme="minorHAnsi"/>
                <w:sz w:val="20"/>
                <w:szCs w:val="20"/>
              </w:rPr>
            </w:pPr>
            <w:r w:rsidRPr="0042191D">
              <w:rPr>
                <w:rFonts w:cstheme="minorHAnsi"/>
                <w:sz w:val="20"/>
                <w:szCs w:val="20"/>
              </w:rPr>
              <w:t>skutečnost</w:t>
            </w:r>
          </w:p>
        </w:tc>
        <w:tc>
          <w:tcPr>
            <w:tcW w:w="667" w:type="dxa"/>
            <w:tcBorders>
              <w:left w:val="single" w:sz="4" w:space="0" w:color="auto"/>
              <w:bottom w:val="single" w:sz="4" w:space="0" w:color="auto"/>
              <w:right w:val="single" w:sz="4" w:space="0" w:color="auto"/>
            </w:tcBorders>
            <w:shd w:val="clear" w:color="auto" w:fill="auto"/>
            <w:vAlign w:val="center"/>
          </w:tcPr>
          <w:p w14:paraId="4DA04620" w14:textId="77777777" w:rsidR="00AB0DBE" w:rsidRPr="0042191D" w:rsidRDefault="00AB0DBE" w:rsidP="00141D1B">
            <w:pPr>
              <w:jc w:val="right"/>
              <w:rPr>
                <w:rFonts w:cstheme="minorHAnsi"/>
                <w:sz w:val="18"/>
                <w:szCs w:val="18"/>
              </w:rPr>
            </w:pPr>
            <w:r w:rsidRPr="0042191D">
              <w:rPr>
                <w:rFonts w:cstheme="minorHAnsi"/>
                <w:sz w:val="18"/>
                <w:szCs w:val="18"/>
              </w:rPr>
              <w:t>707</w:t>
            </w:r>
          </w:p>
        </w:tc>
        <w:tc>
          <w:tcPr>
            <w:tcW w:w="668" w:type="dxa"/>
            <w:tcBorders>
              <w:left w:val="single" w:sz="4" w:space="0" w:color="auto"/>
              <w:bottom w:val="single" w:sz="4" w:space="0" w:color="auto"/>
              <w:right w:val="single" w:sz="4" w:space="0" w:color="auto"/>
            </w:tcBorders>
            <w:shd w:val="clear" w:color="auto" w:fill="auto"/>
            <w:vAlign w:val="center"/>
          </w:tcPr>
          <w:p w14:paraId="18AF28AC" w14:textId="77777777" w:rsidR="00AB0DBE" w:rsidRPr="0042191D" w:rsidRDefault="00AB0DBE" w:rsidP="00141D1B">
            <w:pPr>
              <w:jc w:val="right"/>
              <w:rPr>
                <w:rFonts w:cstheme="minorHAnsi"/>
                <w:sz w:val="18"/>
                <w:szCs w:val="18"/>
              </w:rPr>
            </w:pPr>
            <w:r w:rsidRPr="0042191D">
              <w:rPr>
                <w:rFonts w:cstheme="minorHAnsi"/>
                <w:sz w:val="18"/>
                <w:szCs w:val="18"/>
              </w:rPr>
              <w:t>681</w:t>
            </w:r>
          </w:p>
        </w:tc>
        <w:tc>
          <w:tcPr>
            <w:tcW w:w="667" w:type="dxa"/>
            <w:tcBorders>
              <w:left w:val="single" w:sz="4" w:space="0" w:color="auto"/>
              <w:bottom w:val="single" w:sz="4" w:space="0" w:color="auto"/>
              <w:right w:val="single" w:sz="4" w:space="0" w:color="auto"/>
            </w:tcBorders>
            <w:shd w:val="clear" w:color="auto" w:fill="auto"/>
            <w:vAlign w:val="center"/>
          </w:tcPr>
          <w:p w14:paraId="12B8094E" w14:textId="77777777" w:rsidR="00AB0DBE" w:rsidRPr="0042191D" w:rsidRDefault="00AB0DBE" w:rsidP="00141D1B">
            <w:pPr>
              <w:jc w:val="right"/>
              <w:rPr>
                <w:rFonts w:cstheme="minorHAnsi"/>
                <w:sz w:val="18"/>
                <w:szCs w:val="18"/>
              </w:rPr>
            </w:pPr>
            <w:r w:rsidRPr="0042191D">
              <w:rPr>
                <w:rFonts w:cstheme="minorHAnsi"/>
                <w:sz w:val="18"/>
                <w:szCs w:val="18"/>
              </w:rPr>
              <w:t>583</w:t>
            </w:r>
          </w:p>
        </w:tc>
        <w:tc>
          <w:tcPr>
            <w:tcW w:w="668" w:type="dxa"/>
            <w:tcBorders>
              <w:left w:val="single" w:sz="4" w:space="0" w:color="auto"/>
              <w:bottom w:val="single" w:sz="4" w:space="0" w:color="auto"/>
              <w:right w:val="single" w:sz="4" w:space="0" w:color="auto"/>
            </w:tcBorders>
            <w:shd w:val="clear" w:color="auto" w:fill="auto"/>
            <w:vAlign w:val="center"/>
          </w:tcPr>
          <w:p w14:paraId="3949BF5E" w14:textId="77777777" w:rsidR="00AB0DBE" w:rsidRPr="0042191D" w:rsidRDefault="00AB0DBE" w:rsidP="00141D1B">
            <w:pPr>
              <w:jc w:val="right"/>
              <w:rPr>
                <w:rFonts w:cstheme="minorHAnsi"/>
                <w:sz w:val="18"/>
                <w:szCs w:val="18"/>
              </w:rPr>
            </w:pPr>
            <w:r w:rsidRPr="0042191D">
              <w:rPr>
                <w:rFonts w:cstheme="minorHAnsi"/>
                <w:sz w:val="18"/>
                <w:szCs w:val="18"/>
              </w:rPr>
              <w:t>629</w:t>
            </w:r>
          </w:p>
        </w:tc>
        <w:tc>
          <w:tcPr>
            <w:tcW w:w="668" w:type="dxa"/>
            <w:tcBorders>
              <w:left w:val="single" w:sz="4" w:space="0" w:color="auto"/>
              <w:bottom w:val="single" w:sz="4" w:space="0" w:color="auto"/>
              <w:right w:val="single" w:sz="4" w:space="0" w:color="auto"/>
            </w:tcBorders>
            <w:shd w:val="clear" w:color="auto" w:fill="auto"/>
            <w:vAlign w:val="center"/>
          </w:tcPr>
          <w:p w14:paraId="5D3F3E4E" w14:textId="77777777" w:rsidR="00AB0DBE" w:rsidRPr="0042191D" w:rsidRDefault="00AB0DBE" w:rsidP="00141D1B">
            <w:pPr>
              <w:jc w:val="right"/>
              <w:rPr>
                <w:rFonts w:cstheme="minorHAnsi"/>
                <w:sz w:val="18"/>
                <w:szCs w:val="18"/>
              </w:rPr>
            </w:pPr>
            <w:r w:rsidRPr="0042191D">
              <w:rPr>
                <w:rFonts w:cstheme="minorHAnsi"/>
                <w:sz w:val="18"/>
                <w:szCs w:val="18"/>
              </w:rPr>
              <w:t>660</w:t>
            </w:r>
          </w:p>
        </w:tc>
        <w:tc>
          <w:tcPr>
            <w:tcW w:w="667" w:type="dxa"/>
            <w:tcBorders>
              <w:left w:val="single" w:sz="4" w:space="0" w:color="auto"/>
              <w:bottom w:val="single" w:sz="4" w:space="0" w:color="auto"/>
              <w:right w:val="single" w:sz="4" w:space="0" w:color="auto"/>
            </w:tcBorders>
            <w:shd w:val="clear" w:color="auto" w:fill="auto"/>
            <w:vAlign w:val="center"/>
          </w:tcPr>
          <w:p w14:paraId="5E462946" w14:textId="77777777" w:rsidR="00AB0DBE" w:rsidRPr="0042191D" w:rsidRDefault="00AB0DBE" w:rsidP="00141D1B">
            <w:pPr>
              <w:jc w:val="right"/>
              <w:rPr>
                <w:rFonts w:cstheme="minorHAnsi"/>
                <w:sz w:val="18"/>
                <w:szCs w:val="18"/>
              </w:rPr>
            </w:pPr>
            <w:r w:rsidRPr="0042191D">
              <w:rPr>
                <w:rFonts w:cstheme="minorHAnsi"/>
                <w:sz w:val="18"/>
                <w:szCs w:val="18"/>
              </w:rPr>
              <w:t>545</w:t>
            </w:r>
          </w:p>
        </w:tc>
        <w:tc>
          <w:tcPr>
            <w:tcW w:w="668" w:type="dxa"/>
            <w:tcBorders>
              <w:left w:val="single" w:sz="4" w:space="0" w:color="auto"/>
              <w:bottom w:val="single" w:sz="4" w:space="0" w:color="auto"/>
              <w:right w:val="single" w:sz="4" w:space="0" w:color="auto"/>
            </w:tcBorders>
            <w:shd w:val="clear" w:color="auto" w:fill="auto"/>
            <w:vAlign w:val="center"/>
          </w:tcPr>
          <w:p w14:paraId="44AA54B2" w14:textId="77777777" w:rsidR="00AB0DBE" w:rsidRPr="0042191D" w:rsidRDefault="00AB0DBE" w:rsidP="00141D1B">
            <w:pPr>
              <w:jc w:val="right"/>
              <w:rPr>
                <w:rFonts w:cstheme="minorHAnsi"/>
                <w:sz w:val="18"/>
                <w:szCs w:val="18"/>
              </w:rPr>
            </w:pPr>
            <w:r w:rsidRPr="0042191D">
              <w:rPr>
                <w:rFonts w:cstheme="minorHAnsi"/>
                <w:sz w:val="18"/>
                <w:szCs w:val="18"/>
              </w:rPr>
              <w:t>502</w:t>
            </w:r>
          </w:p>
        </w:tc>
        <w:tc>
          <w:tcPr>
            <w:tcW w:w="667" w:type="dxa"/>
            <w:tcBorders>
              <w:left w:val="single" w:sz="4" w:space="0" w:color="auto"/>
              <w:bottom w:val="single" w:sz="4" w:space="0" w:color="auto"/>
              <w:right w:val="single" w:sz="4" w:space="0" w:color="auto"/>
            </w:tcBorders>
            <w:shd w:val="clear" w:color="auto" w:fill="auto"/>
            <w:vAlign w:val="center"/>
          </w:tcPr>
          <w:p w14:paraId="55800A94" w14:textId="77777777" w:rsidR="00AB0DBE" w:rsidRPr="0042191D" w:rsidRDefault="00AB0DBE" w:rsidP="00141D1B">
            <w:pPr>
              <w:jc w:val="right"/>
              <w:rPr>
                <w:rFonts w:cstheme="minorHAnsi"/>
                <w:sz w:val="18"/>
                <w:szCs w:val="18"/>
              </w:rPr>
            </w:pPr>
            <w:r w:rsidRPr="0042191D">
              <w:rPr>
                <w:rFonts w:cstheme="minorHAnsi"/>
                <w:sz w:val="18"/>
                <w:szCs w:val="18"/>
              </w:rPr>
              <w:t>565</w:t>
            </w:r>
          </w:p>
        </w:tc>
        <w:tc>
          <w:tcPr>
            <w:tcW w:w="668" w:type="dxa"/>
            <w:tcBorders>
              <w:left w:val="single" w:sz="4" w:space="0" w:color="auto"/>
              <w:bottom w:val="single" w:sz="4" w:space="0" w:color="auto"/>
              <w:right w:val="single" w:sz="4" w:space="0" w:color="auto"/>
            </w:tcBorders>
            <w:shd w:val="clear" w:color="auto" w:fill="auto"/>
            <w:vAlign w:val="center"/>
          </w:tcPr>
          <w:p w14:paraId="2C22A868" w14:textId="77777777" w:rsidR="00AB0DBE" w:rsidRPr="0042191D" w:rsidRDefault="00AB0DBE" w:rsidP="00141D1B">
            <w:pPr>
              <w:jc w:val="right"/>
              <w:rPr>
                <w:rFonts w:cstheme="minorHAnsi"/>
                <w:sz w:val="18"/>
                <w:szCs w:val="18"/>
              </w:rPr>
            </w:pPr>
            <w:r w:rsidRPr="0042191D">
              <w:rPr>
                <w:rFonts w:cstheme="minorHAnsi"/>
                <w:sz w:val="18"/>
                <w:szCs w:val="18"/>
              </w:rPr>
              <w:t>547</w:t>
            </w:r>
          </w:p>
        </w:tc>
        <w:tc>
          <w:tcPr>
            <w:tcW w:w="668" w:type="dxa"/>
            <w:tcBorders>
              <w:left w:val="single" w:sz="4" w:space="0" w:color="auto"/>
              <w:bottom w:val="single" w:sz="4" w:space="0" w:color="auto"/>
            </w:tcBorders>
            <w:shd w:val="clear" w:color="auto" w:fill="auto"/>
            <w:vAlign w:val="center"/>
          </w:tcPr>
          <w:p w14:paraId="48A3730D" w14:textId="77777777" w:rsidR="00AB0DBE" w:rsidRPr="0042191D" w:rsidRDefault="00AB0DBE" w:rsidP="00141D1B">
            <w:pPr>
              <w:jc w:val="right"/>
              <w:rPr>
                <w:rFonts w:cstheme="minorHAnsi"/>
                <w:sz w:val="18"/>
                <w:szCs w:val="18"/>
              </w:rPr>
            </w:pPr>
            <w:r w:rsidRPr="0042191D">
              <w:rPr>
                <w:rFonts w:cstheme="minorHAnsi"/>
                <w:sz w:val="18"/>
                <w:szCs w:val="18"/>
              </w:rPr>
              <w:t>460</w:t>
            </w:r>
          </w:p>
        </w:tc>
      </w:tr>
      <w:tr w:rsidR="00AB0DBE" w:rsidRPr="0042191D" w14:paraId="1B93282F" w14:textId="77777777" w:rsidTr="00141D1B">
        <w:tc>
          <w:tcPr>
            <w:tcW w:w="1200" w:type="dxa"/>
            <w:vMerge/>
            <w:shd w:val="clear" w:color="auto" w:fill="F2F2F2" w:themeFill="background1" w:themeFillShade="F2"/>
            <w:vAlign w:val="center"/>
          </w:tcPr>
          <w:p w14:paraId="2157A063" w14:textId="77777777" w:rsidR="00AB0DBE" w:rsidRPr="0042191D" w:rsidRDefault="00AB0DBE" w:rsidP="00AB0DBE">
            <w:pPr>
              <w:rPr>
                <w:rFonts w:cstheme="minorHAnsi"/>
                <w:sz w:val="20"/>
                <w:szCs w:val="20"/>
              </w:rPr>
            </w:pPr>
          </w:p>
        </w:tc>
        <w:tc>
          <w:tcPr>
            <w:tcW w:w="1184" w:type="dxa"/>
            <w:tcBorders>
              <w:bottom w:val="single" w:sz="4" w:space="0" w:color="auto"/>
              <w:right w:val="single" w:sz="4" w:space="0" w:color="auto"/>
            </w:tcBorders>
            <w:shd w:val="clear" w:color="auto" w:fill="auto"/>
            <w:vAlign w:val="center"/>
          </w:tcPr>
          <w:p w14:paraId="39B0AD56" w14:textId="77777777" w:rsidR="00AB0DBE" w:rsidRPr="0042191D" w:rsidRDefault="00AB0DBE" w:rsidP="00AB0DBE">
            <w:pPr>
              <w:rPr>
                <w:rFonts w:cstheme="minorHAnsi"/>
                <w:sz w:val="20"/>
                <w:szCs w:val="20"/>
              </w:rPr>
            </w:pPr>
            <w:r w:rsidRPr="0042191D">
              <w:rPr>
                <w:rFonts w:cstheme="minorHAnsi"/>
                <w:sz w:val="20"/>
                <w:szCs w:val="20"/>
              </w:rPr>
              <w:t>rozdíl</w:t>
            </w:r>
          </w:p>
        </w:tc>
        <w:tc>
          <w:tcPr>
            <w:tcW w:w="667" w:type="dxa"/>
            <w:tcBorders>
              <w:left w:val="single" w:sz="4" w:space="0" w:color="auto"/>
              <w:bottom w:val="single" w:sz="4" w:space="0" w:color="auto"/>
              <w:right w:val="single" w:sz="4" w:space="0" w:color="auto"/>
            </w:tcBorders>
            <w:shd w:val="clear" w:color="auto" w:fill="auto"/>
            <w:vAlign w:val="center"/>
          </w:tcPr>
          <w:p w14:paraId="49F69EFF" w14:textId="77777777" w:rsidR="00AB0DBE" w:rsidRPr="0042191D" w:rsidRDefault="00AB0DBE" w:rsidP="00141D1B">
            <w:pPr>
              <w:jc w:val="right"/>
              <w:rPr>
                <w:rFonts w:cstheme="minorHAnsi"/>
                <w:b/>
                <w:color w:val="FF0000"/>
                <w:sz w:val="18"/>
                <w:szCs w:val="18"/>
              </w:rPr>
            </w:pPr>
            <w:r w:rsidRPr="0042191D">
              <w:rPr>
                <w:rFonts w:cstheme="minorHAnsi"/>
                <w:b/>
                <w:color w:val="FF0000"/>
                <w:sz w:val="18"/>
                <w:szCs w:val="18"/>
              </w:rPr>
              <w:t>3</w:t>
            </w:r>
          </w:p>
        </w:tc>
        <w:tc>
          <w:tcPr>
            <w:tcW w:w="668" w:type="dxa"/>
            <w:tcBorders>
              <w:left w:val="single" w:sz="4" w:space="0" w:color="auto"/>
              <w:bottom w:val="single" w:sz="4" w:space="0" w:color="auto"/>
              <w:right w:val="single" w:sz="4" w:space="0" w:color="auto"/>
            </w:tcBorders>
            <w:shd w:val="clear" w:color="auto" w:fill="auto"/>
            <w:vAlign w:val="center"/>
          </w:tcPr>
          <w:p w14:paraId="153E85EA" w14:textId="77777777" w:rsidR="00AB0DBE" w:rsidRPr="0042191D" w:rsidRDefault="00AB0DBE" w:rsidP="00141D1B">
            <w:pPr>
              <w:jc w:val="right"/>
              <w:rPr>
                <w:rFonts w:cstheme="minorHAnsi"/>
                <w:b/>
                <w:color w:val="FF0000"/>
                <w:sz w:val="18"/>
                <w:szCs w:val="18"/>
              </w:rPr>
            </w:pPr>
            <w:r w:rsidRPr="0042191D">
              <w:rPr>
                <w:rFonts w:cstheme="minorHAnsi"/>
                <w:b/>
                <w:color w:val="FF0000"/>
                <w:sz w:val="18"/>
                <w:szCs w:val="18"/>
              </w:rPr>
              <w:t>33</w:t>
            </w:r>
          </w:p>
        </w:tc>
        <w:tc>
          <w:tcPr>
            <w:tcW w:w="667" w:type="dxa"/>
            <w:tcBorders>
              <w:left w:val="single" w:sz="4" w:space="0" w:color="auto"/>
              <w:bottom w:val="single" w:sz="4" w:space="0" w:color="auto"/>
              <w:right w:val="single" w:sz="4" w:space="0" w:color="auto"/>
            </w:tcBorders>
            <w:shd w:val="clear" w:color="auto" w:fill="auto"/>
            <w:vAlign w:val="center"/>
          </w:tcPr>
          <w:p w14:paraId="1AA41D5B" w14:textId="77777777" w:rsidR="00AB0DBE" w:rsidRPr="0042191D" w:rsidRDefault="00AB0DBE" w:rsidP="00141D1B">
            <w:pPr>
              <w:jc w:val="right"/>
              <w:rPr>
                <w:rFonts w:cstheme="minorHAnsi"/>
                <w:b/>
                <w:sz w:val="18"/>
                <w:szCs w:val="18"/>
              </w:rPr>
            </w:pPr>
            <w:r w:rsidRPr="005D2D1A">
              <w:rPr>
                <w:rFonts w:cstheme="minorHAnsi"/>
                <w:b/>
                <w:color w:val="00B050"/>
                <w:sz w:val="18"/>
                <w:szCs w:val="18"/>
              </w:rPr>
              <w:t>13</w:t>
            </w:r>
          </w:p>
        </w:tc>
        <w:tc>
          <w:tcPr>
            <w:tcW w:w="668" w:type="dxa"/>
            <w:tcBorders>
              <w:left w:val="single" w:sz="4" w:space="0" w:color="auto"/>
              <w:bottom w:val="single" w:sz="4" w:space="0" w:color="auto"/>
              <w:right w:val="single" w:sz="4" w:space="0" w:color="auto"/>
            </w:tcBorders>
            <w:shd w:val="clear" w:color="auto" w:fill="auto"/>
            <w:vAlign w:val="center"/>
          </w:tcPr>
          <w:p w14:paraId="2506DA24" w14:textId="77777777" w:rsidR="00AB0DBE" w:rsidRPr="0042191D" w:rsidRDefault="00AB0DBE" w:rsidP="00141D1B">
            <w:pPr>
              <w:jc w:val="right"/>
              <w:rPr>
                <w:rFonts w:cstheme="minorHAnsi"/>
                <w:b/>
                <w:color w:val="FF0000"/>
                <w:sz w:val="18"/>
                <w:szCs w:val="18"/>
              </w:rPr>
            </w:pPr>
            <w:r w:rsidRPr="0042191D">
              <w:rPr>
                <w:rFonts w:cstheme="minorHAnsi"/>
                <w:b/>
                <w:color w:val="FF0000"/>
                <w:sz w:val="18"/>
                <w:szCs w:val="18"/>
              </w:rPr>
              <w:t>80</w:t>
            </w:r>
          </w:p>
        </w:tc>
        <w:tc>
          <w:tcPr>
            <w:tcW w:w="668" w:type="dxa"/>
            <w:tcBorders>
              <w:left w:val="single" w:sz="4" w:space="0" w:color="auto"/>
              <w:bottom w:val="single" w:sz="4" w:space="0" w:color="auto"/>
              <w:right w:val="single" w:sz="4" w:space="0" w:color="auto"/>
            </w:tcBorders>
            <w:shd w:val="clear" w:color="auto" w:fill="auto"/>
            <w:vAlign w:val="center"/>
          </w:tcPr>
          <w:p w14:paraId="12EB65C2" w14:textId="77777777" w:rsidR="00AB0DBE" w:rsidRPr="0042191D" w:rsidRDefault="00AB0DBE" w:rsidP="00141D1B">
            <w:pPr>
              <w:jc w:val="right"/>
              <w:rPr>
                <w:rFonts w:cstheme="minorHAnsi"/>
                <w:b/>
                <w:color w:val="FF0000"/>
                <w:sz w:val="18"/>
                <w:szCs w:val="18"/>
              </w:rPr>
            </w:pPr>
            <w:r w:rsidRPr="0042191D">
              <w:rPr>
                <w:rFonts w:cstheme="minorHAnsi"/>
                <w:b/>
                <w:color w:val="FF0000"/>
                <w:sz w:val="18"/>
                <w:szCs w:val="18"/>
              </w:rPr>
              <w:t>155</w:t>
            </w:r>
          </w:p>
        </w:tc>
        <w:tc>
          <w:tcPr>
            <w:tcW w:w="667" w:type="dxa"/>
            <w:tcBorders>
              <w:left w:val="single" w:sz="4" w:space="0" w:color="auto"/>
              <w:bottom w:val="single" w:sz="4" w:space="0" w:color="auto"/>
              <w:right w:val="single" w:sz="4" w:space="0" w:color="auto"/>
            </w:tcBorders>
            <w:shd w:val="clear" w:color="auto" w:fill="auto"/>
            <w:vAlign w:val="center"/>
          </w:tcPr>
          <w:p w14:paraId="6BAB6C4F" w14:textId="77777777" w:rsidR="00AB0DBE" w:rsidRPr="0042191D" w:rsidRDefault="00AB0DBE" w:rsidP="00141D1B">
            <w:pPr>
              <w:jc w:val="right"/>
              <w:rPr>
                <w:rFonts w:cstheme="minorHAnsi"/>
                <w:b/>
                <w:color w:val="FF0000"/>
                <w:sz w:val="18"/>
                <w:szCs w:val="18"/>
              </w:rPr>
            </w:pPr>
            <w:r w:rsidRPr="0042191D">
              <w:rPr>
                <w:rFonts w:cstheme="minorHAnsi"/>
                <w:b/>
                <w:color w:val="FF0000"/>
                <w:sz w:val="18"/>
                <w:szCs w:val="18"/>
              </w:rPr>
              <w:t>81</w:t>
            </w:r>
          </w:p>
        </w:tc>
        <w:tc>
          <w:tcPr>
            <w:tcW w:w="668" w:type="dxa"/>
            <w:tcBorders>
              <w:left w:val="single" w:sz="4" w:space="0" w:color="auto"/>
              <w:bottom w:val="single" w:sz="4" w:space="0" w:color="auto"/>
              <w:right w:val="single" w:sz="4" w:space="0" w:color="auto"/>
            </w:tcBorders>
            <w:shd w:val="clear" w:color="auto" w:fill="auto"/>
            <w:vAlign w:val="center"/>
          </w:tcPr>
          <w:p w14:paraId="2A6712AE" w14:textId="77777777" w:rsidR="00AB0DBE" w:rsidRPr="0042191D" w:rsidRDefault="00AB0DBE" w:rsidP="00141D1B">
            <w:pPr>
              <w:jc w:val="right"/>
              <w:rPr>
                <w:rFonts w:cstheme="minorHAnsi"/>
                <w:b/>
                <w:color w:val="FF0000"/>
                <w:sz w:val="18"/>
                <w:szCs w:val="18"/>
              </w:rPr>
            </w:pPr>
            <w:r w:rsidRPr="0042191D">
              <w:rPr>
                <w:rFonts w:cstheme="minorHAnsi"/>
                <w:b/>
                <w:color w:val="FF0000"/>
                <w:sz w:val="18"/>
                <w:szCs w:val="18"/>
              </w:rPr>
              <w:t>75</w:t>
            </w:r>
          </w:p>
        </w:tc>
        <w:tc>
          <w:tcPr>
            <w:tcW w:w="667" w:type="dxa"/>
            <w:tcBorders>
              <w:left w:val="single" w:sz="4" w:space="0" w:color="auto"/>
              <w:bottom w:val="single" w:sz="4" w:space="0" w:color="auto"/>
              <w:right w:val="single" w:sz="4" w:space="0" w:color="auto"/>
            </w:tcBorders>
            <w:shd w:val="clear" w:color="auto" w:fill="auto"/>
            <w:vAlign w:val="center"/>
          </w:tcPr>
          <w:p w14:paraId="4F4459FA" w14:textId="77777777" w:rsidR="00AB0DBE" w:rsidRPr="0042191D" w:rsidRDefault="00AB0DBE" w:rsidP="00141D1B">
            <w:pPr>
              <w:jc w:val="right"/>
              <w:rPr>
                <w:rFonts w:cstheme="minorHAnsi"/>
                <w:b/>
                <w:color w:val="FF0000"/>
                <w:sz w:val="18"/>
                <w:szCs w:val="18"/>
              </w:rPr>
            </w:pPr>
            <w:r w:rsidRPr="0042191D">
              <w:rPr>
                <w:rFonts w:cstheme="minorHAnsi"/>
                <w:b/>
                <w:color w:val="FF0000"/>
                <w:sz w:val="18"/>
                <w:szCs w:val="18"/>
              </w:rPr>
              <w:t>172</w:t>
            </w:r>
          </w:p>
        </w:tc>
        <w:tc>
          <w:tcPr>
            <w:tcW w:w="668" w:type="dxa"/>
            <w:tcBorders>
              <w:left w:val="single" w:sz="4" w:space="0" w:color="auto"/>
              <w:bottom w:val="single" w:sz="4" w:space="0" w:color="auto"/>
              <w:right w:val="single" w:sz="4" w:space="0" w:color="auto"/>
            </w:tcBorders>
            <w:shd w:val="clear" w:color="auto" w:fill="auto"/>
            <w:vAlign w:val="center"/>
          </w:tcPr>
          <w:p w14:paraId="0C3CB194" w14:textId="77777777" w:rsidR="00AB0DBE" w:rsidRPr="0042191D" w:rsidRDefault="00AB0DBE" w:rsidP="00141D1B">
            <w:pPr>
              <w:jc w:val="right"/>
              <w:rPr>
                <w:rFonts w:cstheme="minorHAnsi"/>
                <w:b/>
                <w:color w:val="FF0000"/>
                <w:sz w:val="18"/>
                <w:szCs w:val="18"/>
              </w:rPr>
            </w:pPr>
            <w:r w:rsidRPr="0042191D">
              <w:rPr>
                <w:rFonts w:cstheme="minorHAnsi"/>
                <w:b/>
                <w:color w:val="FF0000"/>
                <w:sz w:val="18"/>
                <w:szCs w:val="18"/>
              </w:rPr>
              <w:t>185</w:t>
            </w:r>
          </w:p>
        </w:tc>
        <w:tc>
          <w:tcPr>
            <w:tcW w:w="668" w:type="dxa"/>
            <w:tcBorders>
              <w:left w:val="single" w:sz="4" w:space="0" w:color="auto"/>
              <w:bottom w:val="single" w:sz="4" w:space="0" w:color="auto"/>
            </w:tcBorders>
            <w:shd w:val="clear" w:color="auto" w:fill="auto"/>
            <w:vAlign w:val="center"/>
          </w:tcPr>
          <w:p w14:paraId="0F752182" w14:textId="77777777" w:rsidR="00AB0DBE" w:rsidRPr="0042191D" w:rsidRDefault="00AB0DBE" w:rsidP="00141D1B">
            <w:pPr>
              <w:jc w:val="right"/>
              <w:rPr>
                <w:rFonts w:cstheme="minorHAnsi"/>
                <w:b/>
                <w:color w:val="FF0000"/>
                <w:sz w:val="18"/>
                <w:szCs w:val="18"/>
              </w:rPr>
            </w:pPr>
            <w:r w:rsidRPr="0042191D">
              <w:rPr>
                <w:rFonts w:cstheme="minorHAnsi"/>
                <w:b/>
                <w:color w:val="FF0000"/>
                <w:sz w:val="18"/>
                <w:szCs w:val="18"/>
              </w:rPr>
              <w:t>127</w:t>
            </w:r>
          </w:p>
        </w:tc>
      </w:tr>
      <w:tr w:rsidR="00AB0DBE" w:rsidRPr="0042191D" w14:paraId="4EC89502" w14:textId="77777777" w:rsidTr="00141D1B">
        <w:tc>
          <w:tcPr>
            <w:tcW w:w="1200" w:type="dxa"/>
            <w:vMerge w:val="restart"/>
            <w:shd w:val="clear" w:color="auto" w:fill="F2F2F2" w:themeFill="background1" w:themeFillShade="F2"/>
            <w:vAlign w:val="center"/>
          </w:tcPr>
          <w:p w14:paraId="77795023" w14:textId="77777777" w:rsidR="00AB0DBE" w:rsidRPr="0042191D" w:rsidRDefault="00F2616B" w:rsidP="00AB0DBE">
            <w:pPr>
              <w:rPr>
                <w:rFonts w:cstheme="minorHAnsi"/>
                <w:sz w:val="20"/>
                <w:szCs w:val="20"/>
              </w:rPr>
            </w:pPr>
            <w:r>
              <w:rPr>
                <w:rFonts w:cstheme="minorHAnsi"/>
                <w:sz w:val="20"/>
                <w:szCs w:val="20"/>
              </w:rPr>
              <w:t>P</w:t>
            </w:r>
            <w:r w:rsidR="00AB0DBE" w:rsidRPr="0042191D">
              <w:rPr>
                <w:rFonts w:cstheme="minorHAnsi"/>
                <w:sz w:val="20"/>
                <w:szCs w:val="20"/>
              </w:rPr>
              <w:t>očet těžce zraněných</w:t>
            </w:r>
          </w:p>
        </w:tc>
        <w:tc>
          <w:tcPr>
            <w:tcW w:w="1184" w:type="dxa"/>
            <w:shd w:val="clear" w:color="auto" w:fill="F2F2F2" w:themeFill="background1" w:themeFillShade="F2"/>
            <w:vAlign w:val="center"/>
          </w:tcPr>
          <w:p w14:paraId="04045058" w14:textId="77777777" w:rsidR="00AB0DBE" w:rsidRPr="0042191D" w:rsidRDefault="00AB0DBE" w:rsidP="00AB0DBE">
            <w:pPr>
              <w:rPr>
                <w:rFonts w:cstheme="minorHAnsi"/>
                <w:sz w:val="20"/>
                <w:szCs w:val="20"/>
              </w:rPr>
            </w:pPr>
            <w:r w:rsidRPr="0042191D">
              <w:rPr>
                <w:rFonts w:cstheme="minorHAnsi"/>
                <w:sz w:val="20"/>
                <w:szCs w:val="20"/>
              </w:rPr>
              <w:t>předpoklad</w:t>
            </w:r>
          </w:p>
        </w:tc>
        <w:tc>
          <w:tcPr>
            <w:tcW w:w="667" w:type="dxa"/>
            <w:tcBorders>
              <w:bottom w:val="single" w:sz="4" w:space="0" w:color="auto"/>
            </w:tcBorders>
            <w:shd w:val="clear" w:color="auto" w:fill="F2F2F2" w:themeFill="background1" w:themeFillShade="F2"/>
            <w:vAlign w:val="center"/>
          </w:tcPr>
          <w:p w14:paraId="348AFCBD" w14:textId="77777777" w:rsidR="00AB0DBE" w:rsidRPr="0042191D" w:rsidRDefault="00AB0DBE" w:rsidP="00141D1B">
            <w:pPr>
              <w:jc w:val="right"/>
              <w:rPr>
                <w:rFonts w:cstheme="minorHAnsi"/>
                <w:sz w:val="18"/>
                <w:szCs w:val="18"/>
              </w:rPr>
            </w:pPr>
            <w:r w:rsidRPr="0042191D">
              <w:rPr>
                <w:rFonts w:cstheme="minorHAnsi"/>
                <w:sz w:val="18"/>
                <w:szCs w:val="18"/>
              </w:rPr>
              <w:t>3 222</w:t>
            </w:r>
          </w:p>
        </w:tc>
        <w:tc>
          <w:tcPr>
            <w:tcW w:w="668" w:type="dxa"/>
            <w:tcBorders>
              <w:bottom w:val="single" w:sz="4" w:space="0" w:color="auto"/>
            </w:tcBorders>
            <w:shd w:val="clear" w:color="auto" w:fill="F2F2F2" w:themeFill="background1" w:themeFillShade="F2"/>
            <w:vAlign w:val="center"/>
          </w:tcPr>
          <w:p w14:paraId="530E9E0C" w14:textId="77777777" w:rsidR="00AB0DBE" w:rsidRPr="0042191D" w:rsidRDefault="00AB0DBE" w:rsidP="00141D1B">
            <w:pPr>
              <w:jc w:val="right"/>
              <w:rPr>
                <w:rFonts w:cstheme="minorHAnsi"/>
                <w:sz w:val="18"/>
                <w:szCs w:val="18"/>
              </w:rPr>
            </w:pPr>
            <w:r w:rsidRPr="0042191D">
              <w:rPr>
                <w:rFonts w:cstheme="minorHAnsi"/>
                <w:sz w:val="18"/>
                <w:szCs w:val="18"/>
              </w:rPr>
              <w:t>3 076</w:t>
            </w:r>
          </w:p>
        </w:tc>
        <w:tc>
          <w:tcPr>
            <w:tcW w:w="667" w:type="dxa"/>
            <w:tcBorders>
              <w:bottom w:val="single" w:sz="4" w:space="0" w:color="auto"/>
            </w:tcBorders>
            <w:shd w:val="clear" w:color="auto" w:fill="F2F2F2" w:themeFill="background1" w:themeFillShade="F2"/>
            <w:vAlign w:val="center"/>
          </w:tcPr>
          <w:p w14:paraId="72D225D2" w14:textId="77777777" w:rsidR="00AB0DBE" w:rsidRPr="0042191D" w:rsidRDefault="00AB0DBE" w:rsidP="00141D1B">
            <w:pPr>
              <w:jc w:val="right"/>
              <w:rPr>
                <w:rFonts w:cstheme="minorHAnsi"/>
                <w:sz w:val="18"/>
                <w:szCs w:val="18"/>
              </w:rPr>
            </w:pPr>
            <w:r w:rsidRPr="0042191D">
              <w:rPr>
                <w:rFonts w:cstheme="minorHAnsi"/>
                <w:sz w:val="18"/>
                <w:szCs w:val="18"/>
              </w:rPr>
              <w:t>2 937</w:t>
            </w:r>
          </w:p>
        </w:tc>
        <w:tc>
          <w:tcPr>
            <w:tcW w:w="668" w:type="dxa"/>
            <w:tcBorders>
              <w:bottom w:val="single" w:sz="4" w:space="0" w:color="auto"/>
            </w:tcBorders>
            <w:shd w:val="clear" w:color="auto" w:fill="F2F2F2" w:themeFill="background1" w:themeFillShade="F2"/>
            <w:vAlign w:val="center"/>
          </w:tcPr>
          <w:p w14:paraId="0301E5F9" w14:textId="77777777" w:rsidR="00AB0DBE" w:rsidRPr="0042191D" w:rsidRDefault="00AB0DBE" w:rsidP="00141D1B">
            <w:pPr>
              <w:jc w:val="right"/>
              <w:rPr>
                <w:rFonts w:cstheme="minorHAnsi"/>
                <w:sz w:val="18"/>
                <w:szCs w:val="18"/>
              </w:rPr>
            </w:pPr>
            <w:r w:rsidRPr="0042191D">
              <w:rPr>
                <w:rFonts w:cstheme="minorHAnsi"/>
                <w:sz w:val="18"/>
                <w:szCs w:val="18"/>
              </w:rPr>
              <w:t>2 804</w:t>
            </w:r>
          </w:p>
        </w:tc>
        <w:tc>
          <w:tcPr>
            <w:tcW w:w="668" w:type="dxa"/>
            <w:tcBorders>
              <w:bottom w:val="single" w:sz="4" w:space="0" w:color="auto"/>
            </w:tcBorders>
            <w:shd w:val="clear" w:color="auto" w:fill="F2F2F2" w:themeFill="background1" w:themeFillShade="F2"/>
            <w:vAlign w:val="center"/>
          </w:tcPr>
          <w:p w14:paraId="7AE03E85" w14:textId="77777777" w:rsidR="00AB0DBE" w:rsidRPr="0042191D" w:rsidRDefault="00AB0DBE" w:rsidP="00141D1B">
            <w:pPr>
              <w:jc w:val="right"/>
              <w:rPr>
                <w:rFonts w:cstheme="minorHAnsi"/>
                <w:sz w:val="18"/>
                <w:szCs w:val="18"/>
              </w:rPr>
            </w:pPr>
            <w:r w:rsidRPr="0042191D">
              <w:rPr>
                <w:rFonts w:cstheme="minorHAnsi"/>
                <w:sz w:val="18"/>
                <w:szCs w:val="18"/>
              </w:rPr>
              <w:t>2 676</w:t>
            </w:r>
          </w:p>
        </w:tc>
        <w:tc>
          <w:tcPr>
            <w:tcW w:w="667" w:type="dxa"/>
            <w:tcBorders>
              <w:bottom w:val="single" w:sz="4" w:space="0" w:color="auto"/>
            </w:tcBorders>
            <w:shd w:val="clear" w:color="auto" w:fill="F2F2F2" w:themeFill="background1" w:themeFillShade="F2"/>
            <w:vAlign w:val="center"/>
          </w:tcPr>
          <w:p w14:paraId="07CB75F3" w14:textId="77777777" w:rsidR="00AB0DBE" w:rsidRPr="0042191D" w:rsidRDefault="00AB0DBE" w:rsidP="00141D1B">
            <w:pPr>
              <w:jc w:val="right"/>
              <w:rPr>
                <w:rFonts w:cstheme="minorHAnsi"/>
                <w:sz w:val="18"/>
                <w:szCs w:val="18"/>
              </w:rPr>
            </w:pPr>
            <w:r w:rsidRPr="0042191D">
              <w:rPr>
                <w:rFonts w:cstheme="minorHAnsi"/>
                <w:sz w:val="18"/>
                <w:szCs w:val="18"/>
              </w:rPr>
              <w:t>2 555</w:t>
            </w:r>
          </w:p>
        </w:tc>
        <w:tc>
          <w:tcPr>
            <w:tcW w:w="668" w:type="dxa"/>
            <w:tcBorders>
              <w:bottom w:val="single" w:sz="4" w:space="0" w:color="auto"/>
            </w:tcBorders>
            <w:shd w:val="clear" w:color="auto" w:fill="F2F2F2" w:themeFill="background1" w:themeFillShade="F2"/>
            <w:vAlign w:val="center"/>
          </w:tcPr>
          <w:p w14:paraId="2378989C" w14:textId="77777777" w:rsidR="00AB0DBE" w:rsidRPr="0042191D" w:rsidRDefault="00AB0DBE" w:rsidP="00141D1B">
            <w:pPr>
              <w:jc w:val="right"/>
              <w:rPr>
                <w:rFonts w:cstheme="minorHAnsi"/>
                <w:sz w:val="18"/>
                <w:szCs w:val="18"/>
              </w:rPr>
            </w:pPr>
            <w:r w:rsidRPr="0042191D">
              <w:rPr>
                <w:rFonts w:cstheme="minorHAnsi"/>
                <w:sz w:val="18"/>
                <w:szCs w:val="18"/>
              </w:rPr>
              <w:t>2 439</w:t>
            </w:r>
          </w:p>
        </w:tc>
        <w:tc>
          <w:tcPr>
            <w:tcW w:w="667" w:type="dxa"/>
            <w:tcBorders>
              <w:bottom w:val="single" w:sz="4" w:space="0" w:color="auto"/>
            </w:tcBorders>
            <w:shd w:val="clear" w:color="auto" w:fill="F2F2F2" w:themeFill="background1" w:themeFillShade="F2"/>
            <w:vAlign w:val="center"/>
          </w:tcPr>
          <w:p w14:paraId="64836E63" w14:textId="77777777" w:rsidR="00AB0DBE" w:rsidRPr="0042191D" w:rsidRDefault="00AB0DBE" w:rsidP="00141D1B">
            <w:pPr>
              <w:jc w:val="right"/>
              <w:rPr>
                <w:rFonts w:cstheme="minorHAnsi"/>
                <w:sz w:val="18"/>
                <w:szCs w:val="18"/>
              </w:rPr>
            </w:pPr>
            <w:r w:rsidRPr="0042191D">
              <w:rPr>
                <w:rFonts w:cstheme="minorHAnsi"/>
                <w:sz w:val="18"/>
                <w:szCs w:val="18"/>
              </w:rPr>
              <w:t>2 328</w:t>
            </w:r>
          </w:p>
        </w:tc>
        <w:tc>
          <w:tcPr>
            <w:tcW w:w="668" w:type="dxa"/>
            <w:tcBorders>
              <w:bottom w:val="single" w:sz="4" w:space="0" w:color="auto"/>
            </w:tcBorders>
            <w:shd w:val="clear" w:color="auto" w:fill="F2F2F2" w:themeFill="background1" w:themeFillShade="F2"/>
            <w:vAlign w:val="center"/>
          </w:tcPr>
          <w:p w14:paraId="212EC460" w14:textId="77777777" w:rsidR="00AB0DBE" w:rsidRPr="0042191D" w:rsidRDefault="00AB0DBE" w:rsidP="00141D1B">
            <w:pPr>
              <w:jc w:val="right"/>
              <w:rPr>
                <w:rFonts w:cstheme="minorHAnsi"/>
                <w:sz w:val="18"/>
                <w:szCs w:val="18"/>
              </w:rPr>
            </w:pPr>
            <w:r w:rsidRPr="0042191D">
              <w:rPr>
                <w:rFonts w:cstheme="minorHAnsi"/>
                <w:sz w:val="18"/>
                <w:szCs w:val="18"/>
              </w:rPr>
              <w:t>2 222</w:t>
            </w:r>
          </w:p>
        </w:tc>
        <w:tc>
          <w:tcPr>
            <w:tcW w:w="668" w:type="dxa"/>
            <w:tcBorders>
              <w:bottom w:val="single" w:sz="4" w:space="0" w:color="auto"/>
            </w:tcBorders>
            <w:shd w:val="clear" w:color="auto" w:fill="F2F2F2" w:themeFill="background1" w:themeFillShade="F2"/>
            <w:vAlign w:val="center"/>
          </w:tcPr>
          <w:p w14:paraId="1A306CBF" w14:textId="77777777" w:rsidR="00AB0DBE" w:rsidRPr="0042191D" w:rsidRDefault="00AB0DBE" w:rsidP="00141D1B">
            <w:pPr>
              <w:jc w:val="right"/>
              <w:rPr>
                <w:rFonts w:cstheme="minorHAnsi"/>
                <w:sz w:val="18"/>
                <w:szCs w:val="18"/>
              </w:rPr>
            </w:pPr>
            <w:r w:rsidRPr="0042191D">
              <w:rPr>
                <w:rFonts w:cstheme="minorHAnsi"/>
                <w:sz w:val="18"/>
                <w:szCs w:val="18"/>
              </w:rPr>
              <w:t>2 122</w:t>
            </w:r>
          </w:p>
        </w:tc>
      </w:tr>
      <w:tr w:rsidR="008854D1" w:rsidRPr="0042191D" w14:paraId="59E99AB5" w14:textId="77777777" w:rsidTr="00141D1B">
        <w:tc>
          <w:tcPr>
            <w:tcW w:w="1200" w:type="dxa"/>
            <w:vMerge/>
            <w:shd w:val="clear" w:color="auto" w:fill="F2F2F2" w:themeFill="background1" w:themeFillShade="F2"/>
            <w:vAlign w:val="center"/>
          </w:tcPr>
          <w:p w14:paraId="00093B5B" w14:textId="77777777" w:rsidR="008854D1" w:rsidRPr="0042191D" w:rsidRDefault="008854D1" w:rsidP="00845083">
            <w:pPr>
              <w:rPr>
                <w:rFonts w:cstheme="minorHAnsi"/>
                <w:sz w:val="20"/>
                <w:szCs w:val="20"/>
              </w:rPr>
            </w:pPr>
          </w:p>
        </w:tc>
        <w:tc>
          <w:tcPr>
            <w:tcW w:w="1184" w:type="dxa"/>
            <w:vAlign w:val="center"/>
          </w:tcPr>
          <w:p w14:paraId="7D36CC6D" w14:textId="77777777" w:rsidR="008854D1" w:rsidRPr="0042191D" w:rsidRDefault="008854D1" w:rsidP="00845083">
            <w:pPr>
              <w:rPr>
                <w:rFonts w:cstheme="minorHAnsi"/>
                <w:sz w:val="20"/>
                <w:szCs w:val="20"/>
              </w:rPr>
            </w:pPr>
            <w:r w:rsidRPr="0042191D">
              <w:rPr>
                <w:rFonts w:cstheme="minorHAnsi"/>
                <w:sz w:val="20"/>
                <w:szCs w:val="20"/>
              </w:rPr>
              <w:t>skutečnost</w:t>
            </w:r>
          </w:p>
        </w:tc>
        <w:tc>
          <w:tcPr>
            <w:tcW w:w="667" w:type="dxa"/>
            <w:shd w:val="clear" w:color="auto" w:fill="auto"/>
            <w:vAlign w:val="center"/>
          </w:tcPr>
          <w:p w14:paraId="3A4D5E8C" w14:textId="77777777" w:rsidR="008854D1" w:rsidRPr="0042191D" w:rsidRDefault="008854D1" w:rsidP="00141D1B">
            <w:pPr>
              <w:jc w:val="right"/>
              <w:rPr>
                <w:rFonts w:cstheme="minorHAnsi"/>
                <w:sz w:val="18"/>
                <w:szCs w:val="18"/>
              </w:rPr>
            </w:pPr>
            <w:r w:rsidRPr="0042191D">
              <w:rPr>
                <w:rFonts w:cstheme="minorHAnsi"/>
                <w:sz w:val="18"/>
                <w:szCs w:val="18"/>
              </w:rPr>
              <w:t>3 092</w:t>
            </w:r>
          </w:p>
        </w:tc>
        <w:tc>
          <w:tcPr>
            <w:tcW w:w="668" w:type="dxa"/>
            <w:shd w:val="clear" w:color="auto" w:fill="auto"/>
            <w:vAlign w:val="center"/>
          </w:tcPr>
          <w:p w14:paraId="4530E62B" w14:textId="77777777" w:rsidR="008854D1" w:rsidRPr="0042191D" w:rsidRDefault="008854D1" w:rsidP="00141D1B">
            <w:pPr>
              <w:jc w:val="right"/>
              <w:rPr>
                <w:rFonts w:cstheme="minorHAnsi"/>
                <w:sz w:val="18"/>
                <w:szCs w:val="18"/>
              </w:rPr>
            </w:pPr>
            <w:r w:rsidRPr="0042191D">
              <w:rPr>
                <w:rFonts w:cstheme="minorHAnsi"/>
                <w:sz w:val="18"/>
                <w:szCs w:val="18"/>
              </w:rPr>
              <w:t>2 986</w:t>
            </w:r>
          </w:p>
        </w:tc>
        <w:tc>
          <w:tcPr>
            <w:tcW w:w="667" w:type="dxa"/>
            <w:shd w:val="clear" w:color="auto" w:fill="auto"/>
            <w:vAlign w:val="center"/>
          </w:tcPr>
          <w:p w14:paraId="7FFADA22" w14:textId="77777777" w:rsidR="008854D1" w:rsidRPr="0042191D" w:rsidRDefault="008854D1" w:rsidP="00141D1B">
            <w:pPr>
              <w:jc w:val="right"/>
              <w:rPr>
                <w:rFonts w:cstheme="minorHAnsi"/>
                <w:sz w:val="18"/>
                <w:szCs w:val="18"/>
              </w:rPr>
            </w:pPr>
            <w:r w:rsidRPr="0042191D">
              <w:rPr>
                <w:rFonts w:cstheme="minorHAnsi"/>
                <w:sz w:val="18"/>
                <w:szCs w:val="18"/>
              </w:rPr>
              <w:t>2 782</w:t>
            </w:r>
          </w:p>
        </w:tc>
        <w:tc>
          <w:tcPr>
            <w:tcW w:w="668" w:type="dxa"/>
            <w:shd w:val="clear" w:color="auto" w:fill="auto"/>
            <w:vAlign w:val="center"/>
          </w:tcPr>
          <w:p w14:paraId="558F3460" w14:textId="77777777" w:rsidR="008854D1" w:rsidRPr="0042191D" w:rsidRDefault="008854D1" w:rsidP="00141D1B">
            <w:pPr>
              <w:jc w:val="right"/>
              <w:rPr>
                <w:rFonts w:cstheme="minorHAnsi"/>
                <w:sz w:val="18"/>
                <w:szCs w:val="18"/>
              </w:rPr>
            </w:pPr>
            <w:r w:rsidRPr="0042191D">
              <w:rPr>
                <w:rFonts w:cstheme="minorHAnsi"/>
                <w:sz w:val="18"/>
                <w:szCs w:val="18"/>
              </w:rPr>
              <w:t>2 762</w:t>
            </w:r>
          </w:p>
        </w:tc>
        <w:tc>
          <w:tcPr>
            <w:tcW w:w="668" w:type="dxa"/>
            <w:shd w:val="clear" w:color="auto" w:fill="auto"/>
            <w:vAlign w:val="center"/>
          </w:tcPr>
          <w:p w14:paraId="71D9219C" w14:textId="77777777" w:rsidR="008854D1" w:rsidRPr="0042191D" w:rsidRDefault="008854D1" w:rsidP="00141D1B">
            <w:pPr>
              <w:jc w:val="right"/>
              <w:rPr>
                <w:rFonts w:cstheme="minorHAnsi"/>
                <w:sz w:val="18"/>
                <w:szCs w:val="18"/>
              </w:rPr>
            </w:pPr>
            <w:r w:rsidRPr="0042191D">
              <w:rPr>
                <w:rFonts w:cstheme="minorHAnsi"/>
                <w:sz w:val="18"/>
                <w:szCs w:val="18"/>
              </w:rPr>
              <w:t>2 540</w:t>
            </w:r>
          </w:p>
        </w:tc>
        <w:tc>
          <w:tcPr>
            <w:tcW w:w="667" w:type="dxa"/>
            <w:shd w:val="clear" w:color="auto" w:fill="auto"/>
            <w:vAlign w:val="center"/>
          </w:tcPr>
          <w:p w14:paraId="31EB5C9A" w14:textId="77777777" w:rsidR="008854D1" w:rsidRPr="0042191D" w:rsidRDefault="008854D1" w:rsidP="00141D1B">
            <w:pPr>
              <w:jc w:val="right"/>
              <w:rPr>
                <w:rFonts w:cstheme="minorHAnsi"/>
                <w:sz w:val="18"/>
                <w:szCs w:val="18"/>
              </w:rPr>
            </w:pPr>
            <w:r w:rsidRPr="0042191D">
              <w:rPr>
                <w:rFonts w:cstheme="minorHAnsi"/>
                <w:sz w:val="18"/>
                <w:szCs w:val="18"/>
              </w:rPr>
              <w:t>2 580</w:t>
            </w:r>
          </w:p>
        </w:tc>
        <w:tc>
          <w:tcPr>
            <w:tcW w:w="668" w:type="dxa"/>
            <w:shd w:val="clear" w:color="auto" w:fill="auto"/>
            <w:vAlign w:val="center"/>
          </w:tcPr>
          <w:p w14:paraId="2D4C4E66" w14:textId="77777777" w:rsidR="008854D1" w:rsidRPr="0042191D" w:rsidRDefault="008854D1" w:rsidP="00141D1B">
            <w:pPr>
              <w:jc w:val="right"/>
              <w:rPr>
                <w:rFonts w:cstheme="minorHAnsi"/>
                <w:sz w:val="18"/>
                <w:szCs w:val="18"/>
              </w:rPr>
            </w:pPr>
            <w:r w:rsidRPr="0042191D">
              <w:rPr>
                <w:rFonts w:cstheme="minorHAnsi"/>
                <w:sz w:val="18"/>
                <w:szCs w:val="18"/>
              </w:rPr>
              <w:t>2 339</w:t>
            </w:r>
          </w:p>
        </w:tc>
        <w:tc>
          <w:tcPr>
            <w:tcW w:w="667" w:type="dxa"/>
            <w:shd w:val="clear" w:color="auto" w:fill="auto"/>
            <w:vAlign w:val="center"/>
          </w:tcPr>
          <w:p w14:paraId="63685959" w14:textId="77777777" w:rsidR="008854D1" w:rsidRPr="0042191D" w:rsidRDefault="008854D1" w:rsidP="00141D1B">
            <w:pPr>
              <w:jc w:val="right"/>
              <w:rPr>
                <w:rFonts w:cstheme="minorHAnsi"/>
                <w:sz w:val="18"/>
                <w:szCs w:val="18"/>
              </w:rPr>
            </w:pPr>
            <w:r w:rsidRPr="0042191D">
              <w:rPr>
                <w:rFonts w:cstheme="minorHAnsi"/>
                <w:sz w:val="18"/>
                <w:szCs w:val="18"/>
              </w:rPr>
              <w:t>2 465</w:t>
            </w:r>
          </w:p>
        </w:tc>
        <w:tc>
          <w:tcPr>
            <w:tcW w:w="668" w:type="dxa"/>
            <w:shd w:val="clear" w:color="auto" w:fill="auto"/>
            <w:vAlign w:val="center"/>
          </w:tcPr>
          <w:p w14:paraId="3538914F" w14:textId="77777777" w:rsidR="008854D1" w:rsidRPr="0042191D" w:rsidRDefault="008854D1" w:rsidP="00141D1B">
            <w:pPr>
              <w:jc w:val="right"/>
              <w:rPr>
                <w:rFonts w:cstheme="minorHAnsi"/>
                <w:sz w:val="18"/>
                <w:szCs w:val="18"/>
              </w:rPr>
            </w:pPr>
            <w:r w:rsidRPr="0042191D">
              <w:rPr>
                <w:rFonts w:cstheme="minorHAnsi"/>
                <w:sz w:val="18"/>
                <w:szCs w:val="18"/>
              </w:rPr>
              <w:t>2 110</w:t>
            </w:r>
          </w:p>
        </w:tc>
        <w:tc>
          <w:tcPr>
            <w:tcW w:w="668" w:type="dxa"/>
            <w:shd w:val="clear" w:color="auto" w:fill="auto"/>
            <w:vAlign w:val="center"/>
          </w:tcPr>
          <w:p w14:paraId="562B65B4" w14:textId="77777777" w:rsidR="008854D1" w:rsidRPr="0042191D" w:rsidRDefault="008854D1" w:rsidP="00141D1B">
            <w:pPr>
              <w:jc w:val="right"/>
              <w:rPr>
                <w:rFonts w:cstheme="minorHAnsi"/>
                <w:sz w:val="18"/>
                <w:szCs w:val="18"/>
              </w:rPr>
            </w:pPr>
            <w:r w:rsidRPr="0042191D">
              <w:rPr>
                <w:rFonts w:cstheme="minorHAnsi"/>
                <w:sz w:val="18"/>
                <w:szCs w:val="18"/>
              </w:rPr>
              <w:t>1 807</w:t>
            </w:r>
          </w:p>
        </w:tc>
      </w:tr>
      <w:tr w:rsidR="008854D1" w:rsidRPr="0042191D" w14:paraId="6CB65084" w14:textId="77777777" w:rsidTr="00141D1B">
        <w:tc>
          <w:tcPr>
            <w:tcW w:w="1200" w:type="dxa"/>
            <w:vMerge/>
            <w:shd w:val="clear" w:color="auto" w:fill="F2F2F2" w:themeFill="background1" w:themeFillShade="F2"/>
            <w:vAlign w:val="center"/>
          </w:tcPr>
          <w:p w14:paraId="71E0F64E" w14:textId="77777777" w:rsidR="008854D1" w:rsidRPr="0042191D" w:rsidRDefault="008854D1" w:rsidP="008854D1">
            <w:pPr>
              <w:rPr>
                <w:rFonts w:cstheme="minorHAnsi"/>
                <w:sz w:val="20"/>
                <w:szCs w:val="20"/>
              </w:rPr>
            </w:pPr>
          </w:p>
        </w:tc>
        <w:tc>
          <w:tcPr>
            <w:tcW w:w="1184" w:type="dxa"/>
            <w:vAlign w:val="center"/>
          </w:tcPr>
          <w:p w14:paraId="5E560565" w14:textId="77777777" w:rsidR="008854D1" w:rsidRPr="0042191D" w:rsidRDefault="008854D1" w:rsidP="008854D1">
            <w:pPr>
              <w:rPr>
                <w:rFonts w:cstheme="minorHAnsi"/>
                <w:sz w:val="20"/>
                <w:szCs w:val="20"/>
              </w:rPr>
            </w:pPr>
            <w:r w:rsidRPr="0042191D">
              <w:rPr>
                <w:rFonts w:cstheme="minorHAnsi"/>
                <w:sz w:val="20"/>
                <w:szCs w:val="20"/>
              </w:rPr>
              <w:t>rozdíl</w:t>
            </w:r>
          </w:p>
        </w:tc>
        <w:tc>
          <w:tcPr>
            <w:tcW w:w="667" w:type="dxa"/>
            <w:shd w:val="clear" w:color="auto" w:fill="auto"/>
            <w:vAlign w:val="center"/>
          </w:tcPr>
          <w:p w14:paraId="2519E5A9" w14:textId="77777777" w:rsidR="008854D1" w:rsidRPr="005D2D1A" w:rsidRDefault="008854D1" w:rsidP="00141D1B">
            <w:pPr>
              <w:jc w:val="right"/>
              <w:rPr>
                <w:rFonts w:cstheme="minorHAnsi"/>
                <w:b/>
                <w:color w:val="00B050"/>
                <w:sz w:val="18"/>
                <w:szCs w:val="18"/>
              </w:rPr>
            </w:pPr>
            <w:r w:rsidRPr="005D2D1A">
              <w:rPr>
                <w:rFonts w:cstheme="minorHAnsi"/>
                <w:b/>
                <w:color w:val="00B050"/>
                <w:sz w:val="18"/>
                <w:szCs w:val="18"/>
              </w:rPr>
              <w:t>130</w:t>
            </w:r>
          </w:p>
        </w:tc>
        <w:tc>
          <w:tcPr>
            <w:tcW w:w="668" w:type="dxa"/>
            <w:shd w:val="clear" w:color="auto" w:fill="auto"/>
            <w:vAlign w:val="center"/>
          </w:tcPr>
          <w:p w14:paraId="6D8C426F" w14:textId="77777777" w:rsidR="008854D1" w:rsidRPr="005D2D1A" w:rsidRDefault="008854D1" w:rsidP="00141D1B">
            <w:pPr>
              <w:jc w:val="right"/>
              <w:rPr>
                <w:rFonts w:cstheme="minorHAnsi"/>
                <w:b/>
                <w:color w:val="00B050"/>
                <w:sz w:val="18"/>
                <w:szCs w:val="18"/>
              </w:rPr>
            </w:pPr>
            <w:r w:rsidRPr="005D2D1A">
              <w:rPr>
                <w:rFonts w:cstheme="minorHAnsi"/>
                <w:b/>
                <w:color w:val="00B050"/>
                <w:sz w:val="18"/>
                <w:szCs w:val="18"/>
              </w:rPr>
              <w:t>90</w:t>
            </w:r>
          </w:p>
        </w:tc>
        <w:tc>
          <w:tcPr>
            <w:tcW w:w="667" w:type="dxa"/>
            <w:shd w:val="clear" w:color="auto" w:fill="auto"/>
            <w:vAlign w:val="center"/>
          </w:tcPr>
          <w:p w14:paraId="38DD8573" w14:textId="77777777" w:rsidR="008854D1" w:rsidRPr="005D2D1A" w:rsidRDefault="008854D1" w:rsidP="00141D1B">
            <w:pPr>
              <w:jc w:val="right"/>
              <w:rPr>
                <w:rFonts w:cstheme="minorHAnsi"/>
                <w:b/>
                <w:color w:val="00B050"/>
                <w:sz w:val="18"/>
                <w:szCs w:val="18"/>
              </w:rPr>
            </w:pPr>
            <w:r w:rsidRPr="005D2D1A">
              <w:rPr>
                <w:rFonts w:cstheme="minorHAnsi"/>
                <w:b/>
                <w:color w:val="00B050"/>
                <w:sz w:val="18"/>
                <w:szCs w:val="18"/>
              </w:rPr>
              <w:t>155</w:t>
            </w:r>
          </w:p>
        </w:tc>
        <w:tc>
          <w:tcPr>
            <w:tcW w:w="668" w:type="dxa"/>
            <w:shd w:val="clear" w:color="auto" w:fill="auto"/>
            <w:vAlign w:val="center"/>
          </w:tcPr>
          <w:p w14:paraId="255560A0" w14:textId="77777777" w:rsidR="008854D1" w:rsidRPr="005D2D1A" w:rsidRDefault="008854D1" w:rsidP="00141D1B">
            <w:pPr>
              <w:jc w:val="right"/>
              <w:rPr>
                <w:rFonts w:cstheme="minorHAnsi"/>
                <w:b/>
                <w:color w:val="00B050"/>
                <w:sz w:val="18"/>
                <w:szCs w:val="18"/>
              </w:rPr>
            </w:pPr>
            <w:r w:rsidRPr="005D2D1A">
              <w:rPr>
                <w:rFonts w:cstheme="minorHAnsi"/>
                <w:b/>
                <w:color w:val="00B050"/>
                <w:sz w:val="18"/>
                <w:szCs w:val="18"/>
              </w:rPr>
              <w:t>42</w:t>
            </w:r>
          </w:p>
        </w:tc>
        <w:tc>
          <w:tcPr>
            <w:tcW w:w="668" w:type="dxa"/>
            <w:shd w:val="clear" w:color="auto" w:fill="auto"/>
            <w:vAlign w:val="center"/>
          </w:tcPr>
          <w:p w14:paraId="5768976A" w14:textId="77777777" w:rsidR="008854D1" w:rsidRPr="005D2D1A" w:rsidRDefault="008854D1" w:rsidP="00141D1B">
            <w:pPr>
              <w:jc w:val="right"/>
              <w:rPr>
                <w:rFonts w:cstheme="minorHAnsi"/>
                <w:b/>
                <w:color w:val="00B050"/>
                <w:sz w:val="18"/>
                <w:szCs w:val="18"/>
              </w:rPr>
            </w:pPr>
            <w:r w:rsidRPr="005D2D1A">
              <w:rPr>
                <w:rFonts w:cstheme="minorHAnsi"/>
                <w:b/>
                <w:color w:val="00B050"/>
                <w:sz w:val="18"/>
                <w:szCs w:val="18"/>
              </w:rPr>
              <w:t>136</w:t>
            </w:r>
          </w:p>
        </w:tc>
        <w:tc>
          <w:tcPr>
            <w:tcW w:w="667" w:type="dxa"/>
            <w:shd w:val="clear" w:color="auto" w:fill="auto"/>
            <w:vAlign w:val="center"/>
          </w:tcPr>
          <w:p w14:paraId="6285ADAC" w14:textId="77777777" w:rsidR="008854D1" w:rsidRPr="0042191D" w:rsidRDefault="008854D1" w:rsidP="00141D1B">
            <w:pPr>
              <w:jc w:val="right"/>
              <w:rPr>
                <w:rFonts w:cstheme="minorHAnsi"/>
                <w:b/>
                <w:color w:val="FFFFFF" w:themeColor="background1"/>
                <w:sz w:val="18"/>
                <w:szCs w:val="18"/>
              </w:rPr>
            </w:pPr>
            <w:r w:rsidRPr="0042191D">
              <w:rPr>
                <w:rFonts w:cstheme="minorHAnsi"/>
                <w:b/>
                <w:color w:val="FF0000"/>
                <w:sz w:val="18"/>
                <w:szCs w:val="18"/>
              </w:rPr>
              <w:t>25</w:t>
            </w:r>
          </w:p>
        </w:tc>
        <w:tc>
          <w:tcPr>
            <w:tcW w:w="668" w:type="dxa"/>
            <w:shd w:val="clear" w:color="auto" w:fill="auto"/>
            <w:vAlign w:val="center"/>
          </w:tcPr>
          <w:p w14:paraId="3D649C77" w14:textId="77777777" w:rsidR="008854D1" w:rsidRPr="0042191D" w:rsidRDefault="008854D1" w:rsidP="00141D1B">
            <w:pPr>
              <w:jc w:val="right"/>
              <w:rPr>
                <w:rFonts w:cstheme="minorHAnsi"/>
                <w:b/>
                <w:sz w:val="18"/>
                <w:szCs w:val="18"/>
              </w:rPr>
            </w:pPr>
            <w:r w:rsidRPr="005D2D1A">
              <w:rPr>
                <w:rFonts w:cstheme="minorHAnsi"/>
                <w:b/>
                <w:color w:val="00B050"/>
                <w:sz w:val="18"/>
                <w:szCs w:val="18"/>
              </w:rPr>
              <w:t>100</w:t>
            </w:r>
          </w:p>
        </w:tc>
        <w:tc>
          <w:tcPr>
            <w:tcW w:w="667" w:type="dxa"/>
            <w:shd w:val="clear" w:color="auto" w:fill="auto"/>
            <w:vAlign w:val="center"/>
          </w:tcPr>
          <w:p w14:paraId="57D35A2B" w14:textId="77777777" w:rsidR="008854D1" w:rsidRPr="0042191D" w:rsidRDefault="008854D1" w:rsidP="00141D1B">
            <w:pPr>
              <w:jc w:val="right"/>
              <w:rPr>
                <w:rFonts w:cstheme="minorHAnsi"/>
                <w:b/>
                <w:color w:val="FFFFFF" w:themeColor="background1"/>
                <w:sz w:val="18"/>
                <w:szCs w:val="18"/>
              </w:rPr>
            </w:pPr>
            <w:r w:rsidRPr="0042191D">
              <w:rPr>
                <w:rFonts w:cstheme="minorHAnsi"/>
                <w:b/>
                <w:color w:val="FF0000"/>
                <w:sz w:val="18"/>
                <w:szCs w:val="18"/>
              </w:rPr>
              <w:t>137</w:t>
            </w:r>
          </w:p>
        </w:tc>
        <w:tc>
          <w:tcPr>
            <w:tcW w:w="668" w:type="dxa"/>
            <w:shd w:val="clear" w:color="auto" w:fill="auto"/>
            <w:vAlign w:val="center"/>
          </w:tcPr>
          <w:p w14:paraId="623714C3" w14:textId="77777777" w:rsidR="008854D1" w:rsidRPr="005D2D1A" w:rsidRDefault="008854D1" w:rsidP="00141D1B">
            <w:pPr>
              <w:jc w:val="right"/>
              <w:rPr>
                <w:rFonts w:cstheme="minorHAnsi"/>
                <w:b/>
                <w:color w:val="00B050"/>
                <w:sz w:val="18"/>
                <w:szCs w:val="18"/>
              </w:rPr>
            </w:pPr>
            <w:r w:rsidRPr="005D2D1A">
              <w:rPr>
                <w:rFonts w:cstheme="minorHAnsi"/>
                <w:b/>
                <w:color w:val="00B050"/>
                <w:sz w:val="18"/>
                <w:szCs w:val="18"/>
              </w:rPr>
              <w:t>112</w:t>
            </w:r>
          </w:p>
        </w:tc>
        <w:tc>
          <w:tcPr>
            <w:tcW w:w="668" w:type="dxa"/>
            <w:shd w:val="clear" w:color="auto" w:fill="auto"/>
            <w:vAlign w:val="center"/>
          </w:tcPr>
          <w:p w14:paraId="76246151" w14:textId="77777777" w:rsidR="008854D1" w:rsidRPr="005D2D1A" w:rsidRDefault="008854D1" w:rsidP="00141D1B">
            <w:pPr>
              <w:jc w:val="right"/>
              <w:rPr>
                <w:rFonts w:cstheme="minorHAnsi"/>
                <w:b/>
                <w:color w:val="00B050"/>
                <w:sz w:val="18"/>
                <w:szCs w:val="18"/>
              </w:rPr>
            </w:pPr>
            <w:r w:rsidRPr="005D2D1A">
              <w:rPr>
                <w:rFonts w:cstheme="minorHAnsi"/>
                <w:b/>
                <w:color w:val="00B050"/>
                <w:sz w:val="18"/>
                <w:szCs w:val="18"/>
              </w:rPr>
              <w:t>315</w:t>
            </w:r>
          </w:p>
        </w:tc>
      </w:tr>
    </w:tbl>
    <w:p w14:paraId="293BCDF8" w14:textId="77777777" w:rsidR="00136AD7" w:rsidRPr="002C7C06" w:rsidRDefault="00136AD7" w:rsidP="00136AD7">
      <w:pPr>
        <w:jc w:val="both"/>
        <w:rPr>
          <w:rFonts w:eastAsiaTheme="minorEastAsia" w:cstheme="minorHAnsi"/>
          <w:iCs/>
          <w:sz w:val="20"/>
          <w:szCs w:val="20"/>
        </w:rPr>
      </w:pPr>
      <w:r w:rsidRPr="002C7C06">
        <w:rPr>
          <w:rFonts w:eastAsiaTheme="minorEastAsia" w:cstheme="minorHAnsi"/>
          <w:b/>
          <w:iCs/>
          <w:sz w:val="20"/>
          <w:szCs w:val="20"/>
        </w:rPr>
        <w:t xml:space="preserve">Zdroj: </w:t>
      </w:r>
      <w:r w:rsidRPr="002C7C06">
        <w:rPr>
          <w:rFonts w:eastAsiaTheme="minorEastAsia" w:cstheme="minorHAnsi"/>
          <w:iCs/>
          <w:sz w:val="20"/>
          <w:szCs w:val="20"/>
        </w:rPr>
        <w:t>NSBSP 2020; Revize NSBSP 2020; statistika nehodovosti</w:t>
      </w:r>
      <w:r w:rsidR="00FD73E4" w:rsidRPr="002C7C06">
        <w:rPr>
          <w:rFonts w:eastAsiaTheme="minorEastAsia" w:cstheme="minorHAnsi"/>
          <w:iCs/>
          <w:sz w:val="20"/>
          <w:szCs w:val="20"/>
        </w:rPr>
        <w:t xml:space="preserve"> PČR</w:t>
      </w:r>
      <w:r w:rsidR="00BE3ED4" w:rsidRPr="002C7C06">
        <w:rPr>
          <w:rFonts w:eastAsiaTheme="minorEastAsia" w:cstheme="minorHAnsi"/>
          <w:iCs/>
          <w:sz w:val="20"/>
          <w:szCs w:val="20"/>
        </w:rPr>
        <w:t>.</w:t>
      </w:r>
    </w:p>
    <w:p w14:paraId="765959DD" w14:textId="77777777" w:rsidR="00CB505E" w:rsidRPr="00030FDF" w:rsidRDefault="00CB505E" w:rsidP="005E2807">
      <w:pPr>
        <w:pStyle w:val="JK4"/>
        <w:ind w:left="0" w:firstLine="0"/>
      </w:pPr>
      <w:r>
        <w:t xml:space="preserve">Ani </w:t>
      </w:r>
      <w:r w:rsidR="005D2D1A">
        <w:t xml:space="preserve">opatření plynoucí z </w:t>
      </w:r>
      <w:r w:rsidR="00757148">
        <w:t xml:space="preserve">Revize </w:t>
      </w:r>
      <w:r>
        <w:t xml:space="preserve">NSBSP 2020 </w:t>
      </w:r>
      <w:r w:rsidRPr="00030FDF">
        <w:t>schválen</w:t>
      </w:r>
      <w:r w:rsidR="00411B73" w:rsidRPr="00030FDF">
        <w:t>é</w:t>
      </w:r>
      <w:r w:rsidRPr="00030FDF">
        <w:t xml:space="preserve"> vládou v roce 2017 (viz odst. 2.10</w:t>
      </w:r>
      <w:r w:rsidR="00295BAF" w:rsidRPr="00030FDF">
        <w:t>)</w:t>
      </w:r>
      <w:r w:rsidRPr="00030FDF">
        <w:t xml:space="preserve"> nepřinesla očekávané zlepšení </w:t>
      </w:r>
      <w:r w:rsidR="004E5428">
        <w:t xml:space="preserve">bilance </w:t>
      </w:r>
      <w:r w:rsidR="00295BAF" w:rsidRPr="00030FDF">
        <w:t>počtu</w:t>
      </w:r>
      <w:r w:rsidRPr="00030FDF">
        <w:t xml:space="preserve"> usmrcených osob při dopravních nehodách. V roce 2016, tj.</w:t>
      </w:r>
      <w:r w:rsidR="00D1628C">
        <w:t xml:space="preserve"> </w:t>
      </w:r>
      <w:r w:rsidRPr="00030FDF">
        <w:t>v</w:t>
      </w:r>
      <w:r w:rsidR="00D1628C">
        <w:t xml:space="preserve"> </w:t>
      </w:r>
      <w:r w:rsidRPr="00030FDF">
        <w:t>posledním roce před schválením Revize NSBSP 2020, byl tento počet o</w:t>
      </w:r>
      <w:r w:rsidR="00BE3ED4">
        <w:t> </w:t>
      </w:r>
      <w:r w:rsidRPr="00030FDF">
        <w:t>81</w:t>
      </w:r>
      <w:r w:rsidR="00BE3ED4">
        <w:t> </w:t>
      </w:r>
      <w:r w:rsidRPr="00030FDF">
        <w:t>osob vyšší (tj.</w:t>
      </w:r>
      <w:r w:rsidR="000F2357" w:rsidRPr="00030FDF">
        <w:t> </w:t>
      </w:r>
      <w:r w:rsidR="00BE3650" w:rsidRPr="00030FDF">
        <w:t>o</w:t>
      </w:r>
      <w:r w:rsidR="000F2357" w:rsidRPr="00030FDF">
        <w:t> </w:t>
      </w:r>
      <w:r w:rsidRPr="00030FDF">
        <w:t>17,5 %) než předpokládaný stav. V roce 2020 byl ale stejný ukazatel vyšší už o</w:t>
      </w:r>
      <w:r w:rsidR="00BE3ED4">
        <w:t> </w:t>
      </w:r>
      <w:r w:rsidRPr="00030FDF">
        <w:t xml:space="preserve">127 osob (tj. </w:t>
      </w:r>
      <w:r w:rsidR="00BE3650" w:rsidRPr="00030FDF">
        <w:t>o</w:t>
      </w:r>
      <w:r w:rsidRPr="00030FDF">
        <w:t xml:space="preserve"> 38,1 %) než předpokládaný stav. </w:t>
      </w:r>
    </w:p>
    <w:p w14:paraId="5CD96B05" w14:textId="77777777" w:rsidR="00136AD7" w:rsidRPr="00030FDF" w:rsidRDefault="00402297" w:rsidP="005E2807">
      <w:pPr>
        <w:pStyle w:val="JK4"/>
        <w:ind w:left="0" w:firstLine="0"/>
      </w:pPr>
      <w:r w:rsidRPr="00030FDF">
        <w:t>V prvních dvou letech následujícího strategického období 2021</w:t>
      </w:r>
      <w:r w:rsidR="002B156F">
        <w:t>–</w:t>
      </w:r>
      <w:r w:rsidRPr="00030FDF">
        <w:t>2030, tedy v </w:t>
      </w:r>
      <w:r w:rsidR="00594200" w:rsidRPr="00030FDF">
        <w:t xml:space="preserve">letech </w:t>
      </w:r>
      <w:r w:rsidRPr="00030FDF">
        <w:t xml:space="preserve">2021 a 2022, </w:t>
      </w:r>
      <w:r w:rsidR="00136AD7" w:rsidRPr="00030FDF">
        <w:t xml:space="preserve">se </w:t>
      </w:r>
      <w:r w:rsidRPr="00030FDF">
        <w:t xml:space="preserve">v </w:t>
      </w:r>
      <w:r w:rsidR="00E35DD9" w:rsidRPr="00030FDF">
        <w:t xml:space="preserve">ČR </w:t>
      </w:r>
      <w:r w:rsidR="00136AD7" w:rsidRPr="00030FDF">
        <w:t>dařilo dosahovat předpokládan</w:t>
      </w:r>
      <w:r w:rsidR="00E35DD9" w:rsidRPr="00030FDF">
        <w:t>ých</w:t>
      </w:r>
      <w:r w:rsidR="00136AD7" w:rsidRPr="00030FDF">
        <w:t xml:space="preserve"> </w:t>
      </w:r>
      <w:r w:rsidRPr="00030FDF">
        <w:t xml:space="preserve">průběžných </w:t>
      </w:r>
      <w:r w:rsidR="00136AD7" w:rsidRPr="00030FDF">
        <w:t>hodnot</w:t>
      </w:r>
      <w:r w:rsidR="00050CFC" w:rsidRPr="00030FDF">
        <w:t xml:space="preserve"> </w:t>
      </w:r>
      <w:r w:rsidRPr="00030FDF">
        <w:t xml:space="preserve">k dosažení </w:t>
      </w:r>
      <w:r w:rsidR="00050CFC" w:rsidRPr="00030FDF">
        <w:t>obou</w:t>
      </w:r>
      <w:r w:rsidR="00136AD7" w:rsidRPr="00030FDF">
        <w:t xml:space="preserve"> strategických cílů (viz tabulka č. 2).</w:t>
      </w:r>
      <w:r w:rsidR="00E35DD9" w:rsidRPr="00030FDF">
        <w:t xml:space="preserve"> </w:t>
      </w:r>
      <w:r w:rsidR="001E160E">
        <w:t>NKÚ v této souvislosti upozorňuje, že výchozím stavem, ze kterého vycházejí předpokládané hodnoty postupného snižování počtu usmrcených a těžce zraněných osob následkem silničních dopravních nehod, není rok 2020, ale průměr hodnot ukazatelů z let 2017</w:t>
      </w:r>
      <w:r w:rsidR="002B156F">
        <w:t>–</w:t>
      </w:r>
      <w:r w:rsidR="001E160E">
        <w:t>2019 (viz odst. 2.12). Ačkoliv je odůvodněné, že MD nepoužilo rok 2020, kdy byl</w:t>
      </w:r>
      <w:r w:rsidR="002B156F">
        <w:t>a</w:t>
      </w:r>
      <w:r w:rsidR="001E160E">
        <w:t xml:space="preserve"> </w:t>
      </w:r>
      <w:r w:rsidR="002B156F">
        <w:t xml:space="preserve">statistika </w:t>
      </w:r>
      <w:r w:rsidR="001E160E">
        <w:t>nehod a jejich následků ovlivněn</w:t>
      </w:r>
      <w:r w:rsidR="002B156F">
        <w:t>a</w:t>
      </w:r>
      <w:r w:rsidR="001E160E">
        <w:t xml:space="preserve"> rest</w:t>
      </w:r>
      <w:r w:rsidR="006B55CC">
        <w:t>r</w:t>
      </w:r>
      <w:r w:rsidR="001E160E">
        <w:t>iktivními opatřeními v souvislost</w:t>
      </w:r>
      <w:r w:rsidR="002B156F">
        <w:t>i</w:t>
      </w:r>
      <w:r w:rsidR="001E160E">
        <w:t xml:space="preserve"> s pandemií covid</w:t>
      </w:r>
      <w:r w:rsidR="002B156F">
        <w:t>u</w:t>
      </w:r>
      <w:r w:rsidR="001E160E">
        <w:t xml:space="preserve">-19, znamená použití průměrné hodnoty </w:t>
      </w:r>
      <w:r w:rsidR="002B156F">
        <w:t xml:space="preserve">za období let 2017–2019 </w:t>
      </w:r>
      <w:r w:rsidR="001702C0">
        <w:t xml:space="preserve">výchozí </w:t>
      </w:r>
      <w:r w:rsidR="006B55CC">
        <w:t xml:space="preserve">základnu s vyššími počty v obou </w:t>
      </w:r>
      <w:r w:rsidR="001702C0">
        <w:t xml:space="preserve">sledovaných </w:t>
      </w:r>
      <w:r w:rsidR="006B55CC">
        <w:t>kategoriích (viz tabulka č. 1).</w:t>
      </w:r>
    </w:p>
    <w:p w14:paraId="1BEB82D9" w14:textId="77777777" w:rsidR="00575956" w:rsidRPr="0042191D" w:rsidRDefault="00575956" w:rsidP="00575956">
      <w:pPr>
        <w:pStyle w:val="Titulek"/>
        <w:keepNext/>
        <w:spacing w:after="0"/>
        <w:rPr>
          <w:rFonts w:cstheme="minorHAnsi"/>
          <w:b/>
          <w:bCs/>
          <w:i w:val="0"/>
          <w:iCs w:val="0"/>
          <w:color w:val="auto"/>
          <w:sz w:val="24"/>
          <w:szCs w:val="24"/>
        </w:rPr>
      </w:pPr>
      <w:r w:rsidRPr="007E6EF5">
        <w:rPr>
          <w:rFonts w:cstheme="minorHAnsi"/>
          <w:b/>
          <w:bCs/>
          <w:i w:val="0"/>
          <w:iCs w:val="0"/>
          <w:color w:val="auto"/>
          <w:sz w:val="24"/>
          <w:szCs w:val="24"/>
        </w:rPr>
        <w:t xml:space="preserve">Tabulka č. </w:t>
      </w:r>
      <w:r w:rsidRPr="007E6EF5">
        <w:rPr>
          <w:rFonts w:cstheme="minorHAnsi"/>
          <w:b/>
          <w:i w:val="0"/>
          <w:color w:val="auto"/>
          <w:sz w:val="24"/>
          <w:szCs w:val="24"/>
        </w:rPr>
        <w:t>2</w:t>
      </w:r>
      <w:r w:rsidRPr="007E6EF5">
        <w:rPr>
          <w:rFonts w:cstheme="minorHAnsi"/>
          <w:b/>
          <w:bCs/>
          <w:i w:val="0"/>
          <w:iCs w:val="0"/>
          <w:color w:val="auto"/>
          <w:sz w:val="24"/>
          <w:szCs w:val="24"/>
        </w:rPr>
        <w:t xml:space="preserve">: </w:t>
      </w:r>
      <w:r w:rsidRPr="002B156F">
        <w:rPr>
          <w:rFonts w:cstheme="minorHAnsi"/>
          <w:b/>
          <w:bCs/>
          <w:i w:val="0"/>
          <w:iCs w:val="0"/>
          <w:color w:val="auto"/>
          <w:spacing w:val="-1"/>
          <w:sz w:val="24"/>
          <w:szCs w:val="24"/>
        </w:rPr>
        <w:t xml:space="preserve">Srovnání předpokládaných a skutečných </w:t>
      </w:r>
      <w:r w:rsidR="002B156F" w:rsidRPr="002B156F">
        <w:rPr>
          <w:rFonts w:cstheme="minorHAnsi"/>
          <w:b/>
          <w:bCs/>
          <w:i w:val="0"/>
          <w:iCs w:val="0"/>
          <w:color w:val="auto"/>
          <w:spacing w:val="-1"/>
          <w:sz w:val="24"/>
          <w:szCs w:val="24"/>
        </w:rPr>
        <w:t xml:space="preserve">hodnot </w:t>
      </w:r>
      <w:r w:rsidRPr="002B156F">
        <w:rPr>
          <w:rFonts w:cstheme="minorHAnsi"/>
          <w:b/>
          <w:bCs/>
          <w:i w:val="0"/>
          <w:iCs w:val="0"/>
          <w:color w:val="auto"/>
          <w:spacing w:val="-1"/>
          <w:sz w:val="24"/>
          <w:szCs w:val="24"/>
        </w:rPr>
        <w:t>ukazatelů v letech 2021</w:t>
      </w:r>
      <w:r w:rsidR="00BE3ED4" w:rsidRPr="002B156F">
        <w:rPr>
          <w:rFonts w:cstheme="minorHAnsi"/>
          <w:b/>
          <w:bCs/>
          <w:i w:val="0"/>
          <w:iCs w:val="0"/>
          <w:color w:val="auto"/>
          <w:spacing w:val="-1"/>
          <w:sz w:val="24"/>
          <w:szCs w:val="24"/>
        </w:rPr>
        <w:t>–</w:t>
      </w:r>
      <w:r w:rsidRPr="002B156F">
        <w:rPr>
          <w:rFonts w:cstheme="minorHAnsi"/>
          <w:b/>
          <w:bCs/>
          <w:i w:val="0"/>
          <w:iCs w:val="0"/>
          <w:color w:val="auto"/>
          <w:spacing w:val="-1"/>
          <w:sz w:val="24"/>
          <w:szCs w:val="24"/>
        </w:rPr>
        <w:t>2030</w:t>
      </w:r>
    </w:p>
    <w:tbl>
      <w:tblPr>
        <w:tblStyle w:val="Mkatabulky"/>
        <w:tblW w:w="0" w:type="auto"/>
        <w:tblLook w:val="04A0" w:firstRow="1" w:lastRow="0" w:firstColumn="1" w:lastColumn="0" w:noHBand="0" w:noVBand="1"/>
      </w:tblPr>
      <w:tblGrid>
        <w:gridCol w:w="1273"/>
        <w:gridCol w:w="1179"/>
        <w:gridCol w:w="660"/>
        <w:gridCol w:w="661"/>
        <w:gridCol w:w="661"/>
        <w:gridCol w:w="661"/>
        <w:gridCol w:w="661"/>
        <w:gridCol w:w="660"/>
        <w:gridCol w:w="661"/>
        <w:gridCol w:w="661"/>
        <w:gridCol w:w="661"/>
        <w:gridCol w:w="661"/>
      </w:tblGrid>
      <w:tr w:rsidR="00575956" w:rsidRPr="0042191D" w14:paraId="0D206D54" w14:textId="77777777" w:rsidTr="002C7C06">
        <w:trPr>
          <w:trHeight w:val="340"/>
        </w:trPr>
        <w:tc>
          <w:tcPr>
            <w:tcW w:w="2452" w:type="dxa"/>
            <w:gridSpan w:val="2"/>
            <w:shd w:val="clear" w:color="auto" w:fill="E5F1FF"/>
            <w:vAlign w:val="center"/>
          </w:tcPr>
          <w:p w14:paraId="3507851E" w14:textId="77777777" w:rsidR="00575956" w:rsidRPr="0042191D" w:rsidRDefault="00575956" w:rsidP="00141D1B">
            <w:pPr>
              <w:jc w:val="center"/>
              <w:rPr>
                <w:rFonts w:cstheme="minorHAnsi"/>
                <w:b/>
                <w:sz w:val="20"/>
                <w:szCs w:val="20"/>
              </w:rPr>
            </w:pPr>
            <w:r w:rsidRPr="0042191D">
              <w:rPr>
                <w:rFonts w:cstheme="minorHAnsi"/>
                <w:b/>
                <w:sz w:val="20"/>
                <w:szCs w:val="20"/>
              </w:rPr>
              <w:t>Strategický cíl</w:t>
            </w:r>
          </w:p>
        </w:tc>
        <w:tc>
          <w:tcPr>
            <w:tcW w:w="660" w:type="dxa"/>
            <w:shd w:val="clear" w:color="auto" w:fill="E5F1FF"/>
            <w:vAlign w:val="center"/>
          </w:tcPr>
          <w:p w14:paraId="7C8A91E8" w14:textId="77777777" w:rsidR="00575956" w:rsidRPr="0042191D" w:rsidRDefault="00575956" w:rsidP="00F2616B">
            <w:pPr>
              <w:jc w:val="center"/>
              <w:rPr>
                <w:rFonts w:cstheme="minorHAnsi"/>
                <w:b/>
                <w:sz w:val="20"/>
                <w:szCs w:val="20"/>
              </w:rPr>
            </w:pPr>
            <w:r w:rsidRPr="0042191D">
              <w:rPr>
                <w:rFonts w:cstheme="minorHAnsi"/>
                <w:b/>
                <w:sz w:val="20"/>
                <w:szCs w:val="20"/>
              </w:rPr>
              <w:t>2021</w:t>
            </w:r>
          </w:p>
        </w:tc>
        <w:tc>
          <w:tcPr>
            <w:tcW w:w="661" w:type="dxa"/>
            <w:shd w:val="clear" w:color="auto" w:fill="E5F1FF"/>
            <w:vAlign w:val="center"/>
          </w:tcPr>
          <w:p w14:paraId="6B0C7275" w14:textId="77777777" w:rsidR="00575956" w:rsidRPr="0042191D" w:rsidRDefault="00575956">
            <w:pPr>
              <w:jc w:val="center"/>
              <w:rPr>
                <w:rFonts w:cstheme="minorHAnsi"/>
                <w:b/>
                <w:sz w:val="20"/>
                <w:szCs w:val="20"/>
              </w:rPr>
            </w:pPr>
            <w:r w:rsidRPr="0042191D">
              <w:rPr>
                <w:rFonts w:cstheme="minorHAnsi"/>
                <w:b/>
                <w:sz w:val="20"/>
                <w:szCs w:val="20"/>
              </w:rPr>
              <w:t>2022</w:t>
            </w:r>
          </w:p>
        </w:tc>
        <w:tc>
          <w:tcPr>
            <w:tcW w:w="661" w:type="dxa"/>
            <w:shd w:val="clear" w:color="auto" w:fill="E5F1FF"/>
            <w:vAlign w:val="center"/>
          </w:tcPr>
          <w:p w14:paraId="578FD209" w14:textId="77777777" w:rsidR="00575956" w:rsidRPr="0042191D" w:rsidRDefault="00575956">
            <w:pPr>
              <w:jc w:val="center"/>
              <w:rPr>
                <w:rFonts w:cstheme="minorHAnsi"/>
                <w:b/>
                <w:sz w:val="20"/>
                <w:szCs w:val="20"/>
              </w:rPr>
            </w:pPr>
            <w:r w:rsidRPr="0042191D">
              <w:rPr>
                <w:rFonts w:cstheme="minorHAnsi"/>
                <w:b/>
                <w:sz w:val="20"/>
                <w:szCs w:val="20"/>
              </w:rPr>
              <w:t>2023</w:t>
            </w:r>
          </w:p>
        </w:tc>
        <w:tc>
          <w:tcPr>
            <w:tcW w:w="661" w:type="dxa"/>
            <w:shd w:val="clear" w:color="auto" w:fill="E5F1FF"/>
            <w:vAlign w:val="center"/>
          </w:tcPr>
          <w:p w14:paraId="437993E3" w14:textId="77777777" w:rsidR="00575956" w:rsidRPr="0042191D" w:rsidRDefault="00575956">
            <w:pPr>
              <w:jc w:val="center"/>
              <w:rPr>
                <w:rFonts w:cstheme="minorHAnsi"/>
                <w:b/>
                <w:sz w:val="20"/>
                <w:szCs w:val="20"/>
              </w:rPr>
            </w:pPr>
            <w:r w:rsidRPr="0042191D">
              <w:rPr>
                <w:rFonts w:cstheme="minorHAnsi"/>
                <w:b/>
                <w:sz w:val="20"/>
                <w:szCs w:val="20"/>
              </w:rPr>
              <w:t>2024</w:t>
            </w:r>
          </w:p>
        </w:tc>
        <w:tc>
          <w:tcPr>
            <w:tcW w:w="661" w:type="dxa"/>
            <w:shd w:val="clear" w:color="auto" w:fill="E5F1FF"/>
            <w:vAlign w:val="center"/>
          </w:tcPr>
          <w:p w14:paraId="2A2B4588" w14:textId="77777777" w:rsidR="00575956" w:rsidRPr="0042191D" w:rsidRDefault="00575956">
            <w:pPr>
              <w:jc w:val="center"/>
              <w:rPr>
                <w:rFonts w:cstheme="minorHAnsi"/>
                <w:b/>
                <w:sz w:val="20"/>
                <w:szCs w:val="20"/>
              </w:rPr>
            </w:pPr>
            <w:r w:rsidRPr="0042191D">
              <w:rPr>
                <w:rFonts w:cstheme="minorHAnsi"/>
                <w:b/>
                <w:sz w:val="20"/>
                <w:szCs w:val="20"/>
              </w:rPr>
              <w:t>2025</w:t>
            </w:r>
          </w:p>
        </w:tc>
        <w:tc>
          <w:tcPr>
            <w:tcW w:w="660" w:type="dxa"/>
            <w:shd w:val="clear" w:color="auto" w:fill="E5F1FF"/>
            <w:vAlign w:val="center"/>
          </w:tcPr>
          <w:p w14:paraId="5917329E" w14:textId="77777777" w:rsidR="00575956" w:rsidRPr="0042191D" w:rsidRDefault="00575956">
            <w:pPr>
              <w:jc w:val="center"/>
              <w:rPr>
                <w:rFonts w:cstheme="minorHAnsi"/>
                <w:b/>
                <w:sz w:val="20"/>
                <w:szCs w:val="20"/>
              </w:rPr>
            </w:pPr>
            <w:r w:rsidRPr="0042191D">
              <w:rPr>
                <w:rFonts w:cstheme="minorHAnsi"/>
                <w:b/>
                <w:sz w:val="20"/>
                <w:szCs w:val="20"/>
              </w:rPr>
              <w:t>2026</w:t>
            </w:r>
          </w:p>
        </w:tc>
        <w:tc>
          <w:tcPr>
            <w:tcW w:w="661" w:type="dxa"/>
            <w:shd w:val="clear" w:color="auto" w:fill="E5F1FF"/>
            <w:vAlign w:val="center"/>
          </w:tcPr>
          <w:p w14:paraId="69FDCAC9" w14:textId="77777777" w:rsidR="00575956" w:rsidRPr="0042191D" w:rsidRDefault="00575956">
            <w:pPr>
              <w:jc w:val="center"/>
              <w:rPr>
                <w:rFonts w:cstheme="minorHAnsi"/>
                <w:b/>
                <w:sz w:val="20"/>
                <w:szCs w:val="20"/>
              </w:rPr>
            </w:pPr>
            <w:r w:rsidRPr="0042191D">
              <w:rPr>
                <w:rFonts w:cstheme="minorHAnsi"/>
                <w:b/>
                <w:sz w:val="20"/>
                <w:szCs w:val="20"/>
              </w:rPr>
              <w:t>2027</w:t>
            </w:r>
          </w:p>
        </w:tc>
        <w:tc>
          <w:tcPr>
            <w:tcW w:w="661" w:type="dxa"/>
            <w:shd w:val="clear" w:color="auto" w:fill="E5F1FF"/>
            <w:vAlign w:val="center"/>
          </w:tcPr>
          <w:p w14:paraId="485976BB" w14:textId="77777777" w:rsidR="00575956" w:rsidRPr="0042191D" w:rsidRDefault="00575956">
            <w:pPr>
              <w:jc w:val="center"/>
              <w:rPr>
                <w:rFonts w:cstheme="minorHAnsi"/>
                <w:b/>
                <w:sz w:val="20"/>
                <w:szCs w:val="20"/>
              </w:rPr>
            </w:pPr>
            <w:r w:rsidRPr="0042191D">
              <w:rPr>
                <w:rFonts w:cstheme="minorHAnsi"/>
                <w:b/>
                <w:sz w:val="20"/>
                <w:szCs w:val="20"/>
              </w:rPr>
              <w:t>2028</w:t>
            </w:r>
          </w:p>
        </w:tc>
        <w:tc>
          <w:tcPr>
            <w:tcW w:w="661" w:type="dxa"/>
            <w:shd w:val="clear" w:color="auto" w:fill="E5F1FF"/>
            <w:vAlign w:val="center"/>
          </w:tcPr>
          <w:p w14:paraId="2B2CCB7C" w14:textId="77777777" w:rsidR="00575956" w:rsidRPr="0042191D" w:rsidRDefault="00575956">
            <w:pPr>
              <w:jc w:val="center"/>
              <w:rPr>
                <w:rFonts w:cstheme="minorHAnsi"/>
                <w:b/>
                <w:sz w:val="20"/>
                <w:szCs w:val="20"/>
              </w:rPr>
            </w:pPr>
            <w:r w:rsidRPr="0042191D">
              <w:rPr>
                <w:rFonts w:cstheme="minorHAnsi"/>
                <w:b/>
                <w:sz w:val="20"/>
                <w:szCs w:val="20"/>
              </w:rPr>
              <w:t>2029</w:t>
            </w:r>
          </w:p>
        </w:tc>
        <w:tc>
          <w:tcPr>
            <w:tcW w:w="661" w:type="dxa"/>
            <w:shd w:val="clear" w:color="auto" w:fill="E5F1FF"/>
            <w:vAlign w:val="center"/>
          </w:tcPr>
          <w:p w14:paraId="70872EEF" w14:textId="77777777" w:rsidR="00575956" w:rsidRPr="0042191D" w:rsidRDefault="00575956">
            <w:pPr>
              <w:jc w:val="center"/>
              <w:rPr>
                <w:rFonts w:cstheme="minorHAnsi"/>
                <w:b/>
                <w:sz w:val="20"/>
                <w:szCs w:val="20"/>
              </w:rPr>
            </w:pPr>
            <w:r w:rsidRPr="0042191D">
              <w:rPr>
                <w:rFonts w:cstheme="minorHAnsi"/>
                <w:b/>
                <w:sz w:val="20"/>
                <w:szCs w:val="20"/>
              </w:rPr>
              <w:t>2030</w:t>
            </w:r>
          </w:p>
        </w:tc>
      </w:tr>
      <w:tr w:rsidR="00575956" w:rsidRPr="0042191D" w14:paraId="7D8180A6" w14:textId="77777777" w:rsidTr="002C7C06">
        <w:tc>
          <w:tcPr>
            <w:tcW w:w="1273" w:type="dxa"/>
            <w:vMerge w:val="restart"/>
            <w:shd w:val="clear" w:color="auto" w:fill="F2F2F2" w:themeFill="background1" w:themeFillShade="F2"/>
            <w:vAlign w:val="center"/>
          </w:tcPr>
          <w:p w14:paraId="300EF593" w14:textId="77777777" w:rsidR="00575956" w:rsidRPr="0042191D" w:rsidRDefault="002B156F" w:rsidP="00C9779B">
            <w:pPr>
              <w:rPr>
                <w:rFonts w:cstheme="minorHAnsi"/>
                <w:sz w:val="20"/>
                <w:szCs w:val="20"/>
              </w:rPr>
            </w:pPr>
            <w:r>
              <w:rPr>
                <w:rFonts w:cstheme="minorHAnsi"/>
                <w:sz w:val="20"/>
                <w:szCs w:val="20"/>
              </w:rPr>
              <w:t>P</w:t>
            </w:r>
            <w:r w:rsidR="00575956" w:rsidRPr="0042191D">
              <w:rPr>
                <w:rFonts w:cstheme="minorHAnsi"/>
                <w:sz w:val="20"/>
                <w:szCs w:val="20"/>
              </w:rPr>
              <w:t>očet usmrcených</w:t>
            </w:r>
          </w:p>
        </w:tc>
        <w:tc>
          <w:tcPr>
            <w:tcW w:w="1179" w:type="dxa"/>
            <w:shd w:val="clear" w:color="auto" w:fill="F2F2F2" w:themeFill="background1" w:themeFillShade="F2"/>
            <w:vAlign w:val="center"/>
          </w:tcPr>
          <w:p w14:paraId="48EFDBDF" w14:textId="77777777" w:rsidR="00575956" w:rsidRPr="0042191D" w:rsidRDefault="00575956" w:rsidP="00C9779B">
            <w:pPr>
              <w:rPr>
                <w:rFonts w:cstheme="minorHAnsi"/>
                <w:sz w:val="20"/>
                <w:szCs w:val="20"/>
              </w:rPr>
            </w:pPr>
            <w:r w:rsidRPr="0042191D">
              <w:rPr>
                <w:rFonts w:cstheme="minorHAnsi"/>
                <w:sz w:val="20"/>
                <w:szCs w:val="20"/>
              </w:rPr>
              <w:t>předpoklad</w:t>
            </w:r>
          </w:p>
        </w:tc>
        <w:tc>
          <w:tcPr>
            <w:tcW w:w="660" w:type="dxa"/>
            <w:tcBorders>
              <w:bottom w:val="single" w:sz="4" w:space="0" w:color="auto"/>
            </w:tcBorders>
            <w:shd w:val="clear" w:color="auto" w:fill="F2F2F2" w:themeFill="background1" w:themeFillShade="F2"/>
            <w:vAlign w:val="center"/>
          </w:tcPr>
          <w:p w14:paraId="34D2E130" w14:textId="77777777" w:rsidR="00575956" w:rsidRPr="0042191D" w:rsidRDefault="00575956" w:rsidP="002C7C06">
            <w:pPr>
              <w:jc w:val="right"/>
              <w:rPr>
                <w:rFonts w:cstheme="minorHAnsi"/>
                <w:sz w:val="18"/>
                <w:szCs w:val="18"/>
              </w:rPr>
            </w:pPr>
            <w:r w:rsidRPr="0042191D">
              <w:rPr>
                <w:rFonts w:cstheme="minorHAnsi"/>
                <w:color w:val="000000"/>
                <w:sz w:val="18"/>
                <w:szCs w:val="18"/>
              </w:rPr>
              <w:t>502</w:t>
            </w:r>
          </w:p>
        </w:tc>
        <w:tc>
          <w:tcPr>
            <w:tcW w:w="661" w:type="dxa"/>
            <w:tcBorders>
              <w:bottom w:val="single" w:sz="4" w:space="0" w:color="auto"/>
            </w:tcBorders>
            <w:shd w:val="clear" w:color="auto" w:fill="F2F2F2" w:themeFill="background1" w:themeFillShade="F2"/>
            <w:vAlign w:val="center"/>
          </w:tcPr>
          <w:p w14:paraId="1915CCDA" w14:textId="77777777" w:rsidR="00575956" w:rsidRPr="0042191D" w:rsidRDefault="00575956" w:rsidP="002C7C06">
            <w:pPr>
              <w:jc w:val="right"/>
              <w:rPr>
                <w:rFonts w:cstheme="minorHAnsi"/>
                <w:sz w:val="18"/>
                <w:szCs w:val="18"/>
              </w:rPr>
            </w:pPr>
            <w:r w:rsidRPr="0042191D">
              <w:rPr>
                <w:rFonts w:cstheme="minorHAnsi"/>
                <w:color w:val="000000"/>
                <w:sz w:val="18"/>
                <w:szCs w:val="18"/>
              </w:rPr>
              <w:t>469</w:t>
            </w:r>
          </w:p>
        </w:tc>
        <w:tc>
          <w:tcPr>
            <w:tcW w:w="661" w:type="dxa"/>
            <w:shd w:val="clear" w:color="auto" w:fill="F2F2F2" w:themeFill="background1" w:themeFillShade="F2"/>
            <w:vAlign w:val="center"/>
          </w:tcPr>
          <w:p w14:paraId="74607593" w14:textId="77777777" w:rsidR="00575956" w:rsidRPr="0042191D" w:rsidRDefault="00575956" w:rsidP="002C7C06">
            <w:pPr>
              <w:jc w:val="right"/>
              <w:rPr>
                <w:rFonts w:cstheme="minorHAnsi"/>
                <w:sz w:val="18"/>
                <w:szCs w:val="18"/>
              </w:rPr>
            </w:pPr>
            <w:r w:rsidRPr="0042191D">
              <w:rPr>
                <w:rFonts w:cstheme="minorHAnsi"/>
                <w:color w:val="000000"/>
                <w:sz w:val="18"/>
                <w:szCs w:val="18"/>
              </w:rPr>
              <w:t>437</w:t>
            </w:r>
          </w:p>
        </w:tc>
        <w:tc>
          <w:tcPr>
            <w:tcW w:w="661" w:type="dxa"/>
            <w:shd w:val="clear" w:color="auto" w:fill="F2F2F2" w:themeFill="background1" w:themeFillShade="F2"/>
            <w:vAlign w:val="center"/>
          </w:tcPr>
          <w:p w14:paraId="338B72F4" w14:textId="77777777" w:rsidR="00575956" w:rsidRPr="0042191D" w:rsidRDefault="00575956" w:rsidP="002C7C06">
            <w:pPr>
              <w:jc w:val="right"/>
              <w:rPr>
                <w:rFonts w:cstheme="minorHAnsi"/>
                <w:sz w:val="18"/>
                <w:szCs w:val="18"/>
              </w:rPr>
            </w:pPr>
            <w:r w:rsidRPr="0042191D">
              <w:rPr>
                <w:rFonts w:cstheme="minorHAnsi"/>
                <w:color w:val="000000"/>
                <w:sz w:val="18"/>
                <w:szCs w:val="18"/>
              </w:rPr>
              <w:t>408</w:t>
            </w:r>
          </w:p>
        </w:tc>
        <w:tc>
          <w:tcPr>
            <w:tcW w:w="661" w:type="dxa"/>
            <w:shd w:val="clear" w:color="auto" w:fill="F2F2F2" w:themeFill="background1" w:themeFillShade="F2"/>
            <w:vAlign w:val="center"/>
          </w:tcPr>
          <w:p w14:paraId="07C5B982" w14:textId="77777777" w:rsidR="00575956" w:rsidRPr="0042191D" w:rsidRDefault="00575956" w:rsidP="002C7C06">
            <w:pPr>
              <w:jc w:val="right"/>
              <w:rPr>
                <w:rFonts w:cstheme="minorHAnsi"/>
                <w:sz w:val="18"/>
                <w:szCs w:val="18"/>
              </w:rPr>
            </w:pPr>
            <w:r w:rsidRPr="0042191D">
              <w:rPr>
                <w:rFonts w:cstheme="minorHAnsi"/>
                <w:color w:val="000000"/>
                <w:sz w:val="18"/>
                <w:szCs w:val="18"/>
              </w:rPr>
              <w:t>380</w:t>
            </w:r>
          </w:p>
        </w:tc>
        <w:tc>
          <w:tcPr>
            <w:tcW w:w="660" w:type="dxa"/>
            <w:shd w:val="clear" w:color="auto" w:fill="F2F2F2" w:themeFill="background1" w:themeFillShade="F2"/>
            <w:vAlign w:val="center"/>
          </w:tcPr>
          <w:p w14:paraId="476A72EA" w14:textId="77777777" w:rsidR="00575956" w:rsidRPr="0042191D" w:rsidRDefault="00575956" w:rsidP="002C7C06">
            <w:pPr>
              <w:jc w:val="right"/>
              <w:rPr>
                <w:rFonts w:cstheme="minorHAnsi"/>
                <w:sz w:val="18"/>
                <w:szCs w:val="18"/>
              </w:rPr>
            </w:pPr>
            <w:r w:rsidRPr="0042191D">
              <w:rPr>
                <w:rFonts w:cstheme="minorHAnsi"/>
                <w:color w:val="000000"/>
                <w:sz w:val="18"/>
                <w:szCs w:val="18"/>
              </w:rPr>
              <w:t>355</w:t>
            </w:r>
          </w:p>
        </w:tc>
        <w:tc>
          <w:tcPr>
            <w:tcW w:w="661" w:type="dxa"/>
            <w:shd w:val="clear" w:color="auto" w:fill="F2F2F2" w:themeFill="background1" w:themeFillShade="F2"/>
            <w:vAlign w:val="center"/>
          </w:tcPr>
          <w:p w14:paraId="59C747CF" w14:textId="77777777" w:rsidR="00575956" w:rsidRPr="0042191D" w:rsidRDefault="00575956" w:rsidP="002C7C06">
            <w:pPr>
              <w:jc w:val="right"/>
              <w:rPr>
                <w:rFonts w:cstheme="minorHAnsi"/>
                <w:sz w:val="18"/>
                <w:szCs w:val="18"/>
              </w:rPr>
            </w:pPr>
            <w:r w:rsidRPr="0042191D">
              <w:rPr>
                <w:rFonts w:cstheme="minorHAnsi"/>
                <w:color w:val="000000"/>
                <w:sz w:val="18"/>
                <w:szCs w:val="18"/>
              </w:rPr>
              <w:t>331</w:t>
            </w:r>
          </w:p>
        </w:tc>
        <w:tc>
          <w:tcPr>
            <w:tcW w:w="661" w:type="dxa"/>
            <w:shd w:val="clear" w:color="auto" w:fill="F2F2F2" w:themeFill="background1" w:themeFillShade="F2"/>
            <w:vAlign w:val="center"/>
          </w:tcPr>
          <w:p w14:paraId="4D1AB102" w14:textId="77777777" w:rsidR="00575956" w:rsidRPr="0042191D" w:rsidRDefault="00575956" w:rsidP="002C7C06">
            <w:pPr>
              <w:jc w:val="right"/>
              <w:rPr>
                <w:rFonts w:cstheme="minorHAnsi"/>
                <w:sz w:val="18"/>
                <w:szCs w:val="18"/>
              </w:rPr>
            </w:pPr>
            <w:r w:rsidRPr="0042191D">
              <w:rPr>
                <w:rFonts w:cstheme="minorHAnsi"/>
                <w:color w:val="000000"/>
                <w:sz w:val="18"/>
                <w:szCs w:val="18"/>
              </w:rPr>
              <w:t>309</w:t>
            </w:r>
          </w:p>
        </w:tc>
        <w:tc>
          <w:tcPr>
            <w:tcW w:w="661" w:type="dxa"/>
            <w:shd w:val="clear" w:color="auto" w:fill="F2F2F2" w:themeFill="background1" w:themeFillShade="F2"/>
            <w:vAlign w:val="center"/>
          </w:tcPr>
          <w:p w14:paraId="14056748" w14:textId="77777777" w:rsidR="00575956" w:rsidRPr="0042191D" w:rsidRDefault="00575956" w:rsidP="002C7C06">
            <w:pPr>
              <w:jc w:val="right"/>
              <w:rPr>
                <w:rFonts w:cstheme="minorHAnsi"/>
                <w:sz w:val="18"/>
                <w:szCs w:val="18"/>
              </w:rPr>
            </w:pPr>
            <w:r w:rsidRPr="0042191D">
              <w:rPr>
                <w:rFonts w:cstheme="minorHAnsi"/>
                <w:color w:val="000000"/>
                <w:sz w:val="18"/>
                <w:szCs w:val="18"/>
              </w:rPr>
              <w:t>288</w:t>
            </w:r>
          </w:p>
        </w:tc>
        <w:tc>
          <w:tcPr>
            <w:tcW w:w="661" w:type="dxa"/>
            <w:shd w:val="clear" w:color="auto" w:fill="F2F2F2" w:themeFill="background1" w:themeFillShade="F2"/>
            <w:vAlign w:val="center"/>
          </w:tcPr>
          <w:p w14:paraId="2E57E88F" w14:textId="77777777" w:rsidR="00575956" w:rsidRPr="0042191D" w:rsidRDefault="00575956" w:rsidP="002C7C06">
            <w:pPr>
              <w:jc w:val="right"/>
              <w:rPr>
                <w:rFonts w:cstheme="minorHAnsi"/>
                <w:sz w:val="18"/>
                <w:szCs w:val="18"/>
              </w:rPr>
            </w:pPr>
            <w:r w:rsidRPr="0042191D">
              <w:rPr>
                <w:rFonts w:cstheme="minorHAnsi"/>
                <w:color w:val="000000"/>
                <w:sz w:val="18"/>
                <w:szCs w:val="18"/>
              </w:rPr>
              <w:t>269</w:t>
            </w:r>
          </w:p>
        </w:tc>
      </w:tr>
      <w:tr w:rsidR="00575956" w:rsidRPr="0042191D" w14:paraId="386B8EEB" w14:textId="77777777" w:rsidTr="002C7C06">
        <w:tc>
          <w:tcPr>
            <w:tcW w:w="1273" w:type="dxa"/>
            <w:vMerge/>
            <w:shd w:val="clear" w:color="auto" w:fill="F2F2F2" w:themeFill="background1" w:themeFillShade="F2"/>
            <w:vAlign w:val="center"/>
          </w:tcPr>
          <w:p w14:paraId="6C31642D" w14:textId="77777777" w:rsidR="00575956" w:rsidRPr="0042191D" w:rsidRDefault="00575956" w:rsidP="00C9779B">
            <w:pPr>
              <w:rPr>
                <w:rFonts w:cstheme="minorHAnsi"/>
                <w:sz w:val="20"/>
                <w:szCs w:val="20"/>
              </w:rPr>
            </w:pPr>
          </w:p>
        </w:tc>
        <w:tc>
          <w:tcPr>
            <w:tcW w:w="1179" w:type="dxa"/>
            <w:tcBorders>
              <w:bottom w:val="single" w:sz="4" w:space="0" w:color="auto"/>
            </w:tcBorders>
            <w:vAlign w:val="center"/>
          </w:tcPr>
          <w:p w14:paraId="3DDD0690" w14:textId="77777777" w:rsidR="00575956" w:rsidRPr="0042191D" w:rsidRDefault="00575956" w:rsidP="00C9779B">
            <w:pPr>
              <w:rPr>
                <w:rFonts w:cstheme="minorHAnsi"/>
                <w:sz w:val="20"/>
                <w:szCs w:val="20"/>
              </w:rPr>
            </w:pPr>
            <w:r w:rsidRPr="0042191D">
              <w:rPr>
                <w:rFonts w:cstheme="minorHAnsi"/>
                <w:sz w:val="20"/>
                <w:szCs w:val="20"/>
              </w:rPr>
              <w:t>skutečnost</w:t>
            </w:r>
          </w:p>
        </w:tc>
        <w:tc>
          <w:tcPr>
            <w:tcW w:w="660" w:type="dxa"/>
            <w:tcBorders>
              <w:bottom w:val="single" w:sz="4" w:space="0" w:color="auto"/>
            </w:tcBorders>
            <w:shd w:val="clear" w:color="auto" w:fill="auto"/>
            <w:vAlign w:val="center"/>
          </w:tcPr>
          <w:p w14:paraId="635191A9" w14:textId="77777777" w:rsidR="00575956" w:rsidRPr="0042191D" w:rsidRDefault="00575956" w:rsidP="002C7C06">
            <w:pPr>
              <w:jc w:val="right"/>
              <w:rPr>
                <w:rFonts w:cstheme="minorHAnsi"/>
                <w:sz w:val="18"/>
                <w:szCs w:val="18"/>
              </w:rPr>
            </w:pPr>
            <w:r w:rsidRPr="0042191D">
              <w:rPr>
                <w:rFonts w:cstheme="minorHAnsi"/>
                <w:sz w:val="18"/>
                <w:szCs w:val="18"/>
              </w:rPr>
              <w:t>470</w:t>
            </w:r>
          </w:p>
        </w:tc>
        <w:tc>
          <w:tcPr>
            <w:tcW w:w="661" w:type="dxa"/>
            <w:tcBorders>
              <w:bottom w:val="single" w:sz="4" w:space="0" w:color="auto"/>
            </w:tcBorders>
            <w:shd w:val="clear" w:color="auto" w:fill="auto"/>
            <w:vAlign w:val="center"/>
          </w:tcPr>
          <w:p w14:paraId="4B4DE7F2" w14:textId="77777777" w:rsidR="00575956" w:rsidRPr="0042191D" w:rsidRDefault="00575956" w:rsidP="002C7C06">
            <w:pPr>
              <w:jc w:val="right"/>
              <w:rPr>
                <w:rFonts w:cstheme="minorHAnsi"/>
                <w:sz w:val="18"/>
                <w:szCs w:val="18"/>
              </w:rPr>
            </w:pPr>
            <w:r w:rsidRPr="0042191D">
              <w:rPr>
                <w:rFonts w:cstheme="minorHAnsi"/>
                <w:sz w:val="18"/>
                <w:szCs w:val="18"/>
              </w:rPr>
              <w:t>454</w:t>
            </w:r>
          </w:p>
        </w:tc>
        <w:tc>
          <w:tcPr>
            <w:tcW w:w="661" w:type="dxa"/>
            <w:tcBorders>
              <w:bottom w:val="single" w:sz="4" w:space="0" w:color="auto"/>
            </w:tcBorders>
            <w:vAlign w:val="center"/>
          </w:tcPr>
          <w:p w14:paraId="06C809CE" w14:textId="77777777" w:rsidR="00575956" w:rsidRPr="004E4975" w:rsidRDefault="00575956" w:rsidP="002C7C06">
            <w:pPr>
              <w:jc w:val="right"/>
              <w:rPr>
                <w:rFonts w:cstheme="minorHAnsi"/>
                <w:color w:val="808080" w:themeColor="background1" w:themeShade="80"/>
                <w:sz w:val="18"/>
                <w:szCs w:val="18"/>
              </w:rPr>
            </w:pPr>
            <w:r w:rsidRPr="004E4975">
              <w:rPr>
                <w:rFonts w:cstheme="minorHAnsi"/>
                <w:color w:val="808080" w:themeColor="background1" w:themeShade="80"/>
                <w:sz w:val="18"/>
                <w:szCs w:val="18"/>
              </w:rPr>
              <w:t>N/A</w:t>
            </w:r>
          </w:p>
        </w:tc>
        <w:tc>
          <w:tcPr>
            <w:tcW w:w="661" w:type="dxa"/>
            <w:tcBorders>
              <w:bottom w:val="single" w:sz="4" w:space="0" w:color="auto"/>
            </w:tcBorders>
            <w:vAlign w:val="center"/>
          </w:tcPr>
          <w:p w14:paraId="432CE3FA" w14:textId="77777777" w:rsidR="00575956" w:rsidRPr="004E4975" w:rsidRDefault="00575956" w:rsidP="002C7C06">
            <w:pPr>
              <w:jc w:val="right"/>
              <w:rPr>
                <w:rFonts w:cstheme="minorHAnsi"/>
                <w:color w:val="808080" w:themeColor="background1" w:themeShade="80"/>
                <w:sz w:val="18"/>
                <w:szCs w:val="18"/>
              </w:rPr>
            </w:pPr>
            <w:r w:rsidRPr="004E4975">
              <w:rPr>
                <w:rFonts w:cstheme="minorHAnsi"/>
                <w:color w:val="808080" w:themeColor="background1" w:themeShade="80"/>
                <w:sz w:val="18"/>
                <w:szCs w:val="18"/>
              </w:rPr>
              <w:t>N/A</w:t>
            </w:r>
          </w:p>
        </w:tc>
        <w:tc>
          <w:tcPr>
            <w:tcW w:w="661" w:type="dxa"/>
            <w:tcBorders>
              <w:bottom w:val="single" w:sz="4" w:space="0" w:color="auto"/>
            </w:tcBorders>
            <w:vAlign w:val="center"/>
          </w:tcPr>
          <w:p w14:paraId="2C32B3E1" w14:textId="77777777" w:rsidR="00575956" w:rsidRPr="004E4975" w:rsidRDefault="00575956" w:rsidP="002C7C06">
            <w:pPr>
              <w:jc w:val="right"/>
              <w:rPr>
                <w:rFonts w:cstheme="minorHAnsi"/>
                <w:color w:val="808080" w:themeColor="background1" w:themeShade="80"/>
                <w:sz w:val="18"/>
                <w:szCs w:val="18"/>
              </w:rPr>
            </w:pPr>
            <w:r w:rsidRPr="004E4975">
              <w:rPr>
                <w:rFonts w:cstheme="minorHAnsi"/>
                <w:color w:val="808080" w:themeColor="background1" w:themeShade="80"/>
                <w:sz w:val="18"/>
                <w:szCs w:val="18"/>
              </w:rPr>
              <w:t>N/A</w:t>
            </w:r>
          </w:p>
        </w:tc>
        <w:tc>
          <w:tcPr>
            <w:tcW w:w="660" w:type="dxa"/>
            <w:tcBorders>
              <w:bottom w:val="single" w:sz="4" w:space="0" w:color="auto"/>
            </w:tcBorders>
            <w:vAlign w:val="center"/>
          </w:tcPr>
          <w:p w14:paraId="302B9236" w14:textId="77777777" w:rsidR="00575956" w:rsidRPr="004E4975" w:rsidRDefault="00575956" w:rsidP="002C7C06">
            <w:pPr>
              <w:jc w:val="right"/>
              <w:rPr>
                <w:rFonts w:cstheme="minorHAnsi"/>
                <w:color w:val="808080" w:themeColor="background1" w:themeShade="80"/>
                <w:sz w:val="18"/>
                <w:szCs w:val="18"/>
              </w:rPr>
            </w:pPr>
            <w:r w:rsidRPr="004E4975">
              <w:rPr>
                <w:rFonts w:cstheme="minorHAnsi"/>
                <w:color w:val="808080" w:themeColor="background1" w:themeShade="80"/>
                <w:sz w:val="18"/>
                <w:szCs w:val="18"/>
              </w:rPr>
              <w:t>N/A</w:t>
            </w:r>
          </w:p>
        </w:tc>
        <w:tc>
          <w:tcPr>
            <w:tcW w:w="661" w:type="dxa"/>
            <w:tcBorders>
              <w:bottom w:val="single" w:sz="4" w:space="0" w:color="auto"/>
            </w:tcBorders>
            <w:vAlign w:val="center"/>
          </w:tcPr>
          <w:p w14:paraId="1294E26F" w14:textId="77777777" w:rsidR="00575956" w:rsidRPr="004E4975" w:rsidRDefault="00575956" w:rsidP="002C7C06">
            <w:pPr>
              <w:jc w:val="right"/>
              <w:rPr>
                <w:rFonts w:cstheme="minorHAnsi"/>
                <w:color w:val="808080" w:themeColor="background1" w:themeShade="80"/>
                <w:sz w:val="18"/>
                <w:szCs w:val="18"/>
              </w:rPr>
            </w:pPr>
            <w:r w:rsidRPr="004E4975">
              <w:rPr>
                <w:rFonts w:cstheme="minorHAnsi"/>
                <w:color w:val="808080" w:themeColor="background1" w:themeShade="80"/>
                <w:sz w:val="18"/>
                <w:szCs w:val="18"/>
              </w:rPr>
              <w:t>N/A</w:t>
            </w:r>
          </w:p>
        </w:tc>
        <w:tc>
          <w:tcPr>
            <w:tcW w:w="661" w:type="dxa"/>
            <w:tcBorders>
              <w:bottom w:val="single" w:sz="4" w:space="0" w:color="auto"/>
            </w:tcBorders>
            <w:vAlign w:val="center"/>
          </w:tcPr>
          <w:p w14:paraId="74BF745E" w14:textId="77777777" w:rsidR="00575956" w:rsidRPr="004E4975" w:rsidRDefault="00575956" w:rsidP="002C7C06">
            <w:pPr>
              <w:jc w:val="right"/>
              <w:rPr>
                <w:rFonts w:cstheme="minorHAnsi"/>
                <w:color w:val="808080" w:themeColor="background1" w:themeShade="80"/>
                <w:sz w:val="18"/>
                <w:szCs w:val="18"/>
              </w:rPr>
            </w:pPr>
            <w:r w:rsidRPr="004E4975">
              <w:rPr>
                <w:rFonts w:cstheme="minorHAnsi"/>
                <w:color w:val="808080" w:themeColor="background1" w:themeShade="80"/>
                <w:sz w:val="18"/>
                <w:szCs w:val="18"/>
              </w:rPr>
              <w:t>N/A</w:t>
            </w:r>
          </w:p>
        </w:tc>
        <w:tc>
          <w:tcPr>
            <w:tcW w:w="661" w:type="dxa"/>
            <w:tcBorders>
              <w:bottom w:val="single" w:sz="4" w:space="0" w:color="auto"/>
            </w:tcBorders>
            <w:vAlign w:val="center"/>
          </w:tcPr>
          <w:p w14:paraId="6FE03541" w14:textId="77777777" w:rsidR="00575956" w:rsidRPr="004E4975" w:rsidRDefault="00575956" w:rsidP="002C7C06">
            <w:pPr>
              <w:jc w:val="right"/>
              <w:rPr>
                <w:rFonts w:cstheme="minorHAnsi"/>
                <w:color w:val="808080" w:themeColor="background1" w:themeShade="80"/>
                <w:sz w:val="18"/>
                <w:szCs w:val="18"/>
              </w:rPr>
            </w:pPr>
            <w:r w:rsidRPr="004E4975">
              <w:rPr>
                <w:rFonts w:cstheme="minorHAnsi"/>
                <w:color w:val="808080" w:themeColor="background1" w:themeShade="80"/>
                <w:sz w:val="18"/>
                <w:szCs w:val="18"/>
              </w:rPr>
              <w:t>N/A</w:t>
            </w:r>
          </w:p>
        </w:tc>
        <w:tc>
          <w:tcPr>
            <w:tcW w:w="661" w:type="dxa"/>
            <w:tcBorders>
              <w:bottom w:val="single" w:sz="4" w:space="0" w:color="auto"/>
            </w:tcBorders>
            <w:vAlign w:val="center"/>
          </w:tcPr>
          <w:p w14:paraId="0767E93D" w14:textId="77777777" w:rsidR="00575956" w:rsidRPr="004E4975" w:rsidRDefault="00575956" w:rsidP="002C7C06">
            <w:pPr>
              <w:jc w:val="right"/>
              <w:rPr>
                <w:rFonts w:cstheme="minorHAnsi"/>
                <w:color w:val="808080" w:themeColor="background1" w:themeShade="80"/>
                <w:sz w:val="18"/>
                <w:szCs w:val="18"/>
              </w:rPr>
            </w:pPr>
            <w:r w:rsidRPr="004E4975">
              <w:rPr>
                <w:rFonts w:cstheme="minorHAnsi"/>
                <w:color w:val="808080" w:themeColor="background1" w:themeShade="80"/>
                <w:sz w:val="18"/>
                <w:szCs w:val="18"/>
              </w:rPr>
              <w:t>N/A</w:t>
            </w:r>
          </w:p>
        </w:tc>
      </w:tr>
      <w:tr w:rsidR="00575956" w:rsidRPr="0042191D" w14:paraId="21E7A150" w14:textId="77777777" w:rsidTr="002C7C06">
        <w:tc>
          <w:tcPr>
            <w:tcW w:w="1273" w:type="dxa"/>
            <w:vMerge/>
            <w:shd w:val="clear" w:color="auto" w:fill="F2F2F2" w:themeFill="background1" w:themeFillShade="F2"/>
            <w:vAlign w:val="center"/>
          </w:tcPr>
          <w:p w14:paraId="1156AB56" w14:textId="77777777" w:rsidR="00575956" w:rsidRPr="0042191D" w:rsidRDefault="00575956" w:rsidP="00C9779B">
            <w:pPr>
              <w:rPr>
                <w:rFonts w:cstheme="minorHAnsi"/>
                <w:sz w:val="20"/>
                <w:szCs w:val="20"/>
              </w:rPr>
            </w:pPr>
          </w:p>
        </w:tc>
        <w:tc>
          <w:tcPr>
            <w:tcW w:w="1179" w:type="dxa"/>
            <w:tcBorders>
              <w:bottom w:val="single" w:sz="4" w:space="0" w:color="auto"/>
            </w:tcBorders>
            <w:vAlign w:val="center"/>
          </w:tcPr>
          <w:p w14:paraId="44F7AD2D" w14:textId="77777777" w:rsidR="00575956" w:rsidRPr="0042191D" w:rsidRDefault="00575956" w:rsidP="00C9779B">
            <w:pPr>
              <w:rPr>
                <w:rFonts w:cstheme="minorHAnsi"/>
                <w:sz w:val="20"/>
                <w:szCs w:val="20"/>
              </w:rPr>
            </w:pPr>
            <w:r w:rsidRPr="0042191D">
              <w:rPr>
                <w:rFonts w:cstheme="minorHAnsi"/>
                <w:sz w:val="20"/>
                <w:szCs w:val="20"/>
              </w:rPr>
              <w:t>rozdíl</w:t>
            </w:r>
          </w:p>
        </w:tc>
        <w:tc>
          <w:tcPr>
            <w:tcW w:w="660" w:type="dxa"/>
            <w:tcBorders>
              <w:bottom w:val="single" w:sz="4" w:space="0" w:color="auto"/>
            </w:tcBorders>
            <w:shd w:val="clear" w:color="auto" w:fill="auto"/>
            <w:vAlign w:val="center"/>
          </w:tcPr>
          <w:p w14:paraId="6CBB7442" w14:textId="77777777" w:rsidR="00575956" w:rsidRPr="00411B73" w:rsidRDefault="00575956" w:rsidP="002C7C06">
            <w:pPr>
              <w:jc w:val="right"/>
              <w:rPr>
                <w:rFonts w:cstheme="minorHAnsi"/>
                <w:b/>
                <w:color w:val="00B050"/>
                <w:sz w:val="18"/>
                <w:szCs w:val="18"/>
              </w:rPr>
            </w:pPr>
            <w:r w:rsidRPr="00411B73">
              <w:rPr>
                <w:rFonts w:cstheme="minorHAnsi"/>
                <w:b/>
                <w:color w:val="00B050"/>
                <w:sz w:val="18"/>
                <w:szCs w:val="18"/>
              </w:rPr>
              <w:t>32</w:t>
            </w:r>
          </w:p>
        </w:tc>
        <w:tc>
          <w:tcPr>
            <w:tcW w:w="661" w:type="dxa"/>
            <w:tcBorders>
              <w:bottom w:val="single" w:sz="4" w:space="0" w:color="auto"/>
            </w:tcBorders>
            <w:shd w:val="clear" w:color="auto" w:fill="auto"/>
            <w:vAlign w:val="center"/>
          </w:tcPr>
          <w:p w14:paraId="6E67EACE" w14:textId="77777777" w:rsidR="00575956" w:rsidRPr="00411B73" w:rsidRDefault="00575956" w:rsidP="002C7C06">
            <w:pPr>
              <w:jc w:val="right"/>
              <w:rPr>
                <w:rFonts w:cstheme="minorHAnsi"/>
                <w:b/>
                <w:color w:val="00B050"/>
                <w:sz w:val="18"/>
                <w:szCs w:val="18"/>
              </w:rPr>
            </w:pPr>
            <w:r w:rsidRPr="00411B73">
              <w:rPr>
                <w:rFonts w:cstheme="minorHAnsi"/>
                <w:b/>
                <w:color w:val="00B050"/>
                <w:sz w:val="18"/>
                <w:szCs w:val="18"/>
              </w:rPr>
              <w:t>15</w:t>
            </w:r>
          </w:p>
        </w:tc>
        <w:tc>
          <w:tcPr>
            <w:tcW w:w="661" w:type="dxa"/>
            <w:tcBorders>
              <w:bottom w:val="single" w:sz="4" w:space="0" w:color="auto"/>
            </w:tcBorders>
            <w:vAlign w:val="center"/>
          </w:tcPr>
          <w:p w14:paraId="23A7D128" w14:textId="77777777" w:rsidR="00575956" w:rsidRPr="004E4975" w:rsidRDefault="00575956" w:rsidP="002C7C06">
            <w:pPr>
              <w:jc w:val="right"/>
              <w:rPr>
                <w:rFonts w:cstheme="minorHAnsi"/>
                <w:color w:val="808080" w:themeColor="background1" w:themeShade="80"/>
                <w:sz w:val="18"/>
                <w:szCs w:val="18"/>
              </w:rPr>
            </w:pPr>
            <w:r w:rsidRPr="004E4975">
              <w:rPr>
                <w:rFonts w:cstheme="minorHAnsi"/>
                <w:color w:val="808080" w:themeColor="background1" w:themeShade="80"/>
                <w:sz w:val="18"/>
                <w:szCs w:val="18"/>
              </w:rPr>
              <w:t>N/A</w:t>
            </w:r>
          </w:p>
        </w:tc>
        <w:tc>
          <w:tcPr>
            <w:tcW w:w="661" w:type="dxa"/>
            <w:tcBorders>
              <w:bottom w:val="single" w:sz="4" w:space="0" w:color="auto"/>
            </w:tcBorders>
            <w:vAlign w:val="center"/>
          </w:tcPr>
          <w:p w14:paraId="780FA9CB" w14:textId="77777777" w:rsidR="00575956" w:rsidRPr="004E4975" w:rsidRDefault="00575956" w:rsidP="002C7C06">
            <w:pPr>
              <w:jc w:val="right"/>
              <w:rPr>
                <w:rFonts w:cstheme="minorHAnsi"/>
                <w:color w:val="808080" w:themeColor="background1" w:themeShade="80"/>
                <w:sz w:val="18"/>
                <w:szCs w:val="18"/>
              </w:rPr>
            </w:pPr>
            <w:r w:rsidRPr="004E4975">
              <w:rPr>
                <w:rFonts w:cstheme="minorHAnsi"/>
                <w:color w:val="808080" w:themeColor="background1" w:themeShade="80"/>
                <w:sz w:val="18"/>
                <w:szCs w:val="18"/>
              </w:rPr>
              <w:t>N/A</w:t>
            </w:r>
          </w:p>
        </w:tc>
        <w:tc>
          <w:tcPr>
            <w:tcW w:w="661" w:type="dxa"/>
            <w:tcBorders>
              <w:bottom w:val="single" w:sz="4" w:space="0" w:color="auto"/>
            </w:tcBorders>
            <w:vAlign w:val="center"/>
          </w:tcPr>
          <w:p w14:paraId="0BF1CEC7" w14:textId="77777777" w:rsidR="00575956" w:rsidRPr="004E4975" w:rsidRDefault="00575956" w:rsidP="002C7C06">
            <w:pPr>
              <w:jc w:val="right"/>
              <w:rPr>
                <w:rFonts w:cstheme="minorHAnsi"/>
                <w:color w:val="808080" w:themeColor="background1" w:themeShade="80"/>
                <w:sz w:val="18"/>
                <w:szCs w:val="18"/>
              </w:rPr>
            </w:pPr>
            <w:r w:rsidRPr="004E4975">
              <w:rPr>
                <w:rFonts w:cstheme="minorHAnsi"/>
                <w:color w:val="808080" w:themeColor="background1" w:themeShade="80"/>
                <w:sz w:val="18"/>
                <w:szCs w:val="18"/>
              </w:rPr>
              <w:t>N/A</w:t>
            </w:r>
          </w:p>
        </w:tc>
        <w:tc>
          <w:tcPr>
            <w:tcW w:w="660" w:type="dxa"/>
            <w:tcBorders>
              <w:bottom w:val="single" w:sz="4" w:space="0" w:color="auto"/>
            </w:tcBorders>
            <w:vAlign w:val="center"/>
          </w:tcPr>
          <w:p w14:paraId="56966FD9" w14:textId="77777777" w:rsidR="00575956" w:rsidRPr="004E4975" w:rsidRDefault="00575956" w:rsidP="002C7C06">
            <w:pPr>
              <w:jc w:val="right"/>
              <w:rPr>
                <w:rFonts w:cstheme="minorHAnsi"/>
                <w:color w:val="808080" w:themeColor="background1" w:themeShade="80"/>
                <w:sz w:val="18"/>
                <w:szCs w:val="18"/>
              </w:rPr>
            </w:pPr>
            <w:r w:rsidRPr="004E4975">
              <w:rPr>
                <w:rFonts w:cstheme="minorHAnsi"/>
                <w:color w:val="808080" w:themeColor="background1" w:themeShade="80"/>
                <w:sz w:val="18"/>
                <w:szCs w:val="18"/>
              </w:rPr>
              <w:t>N/A</w:t>
            </w:r>
          </w:p>
        </w:tc>
        <w:tc>
          <w:tcPr>
            <w:tcW w:w="661" w:type="dxa"/>
            <w:tcBorders>
              <w:bottom w:val="single" w:sz="4" w:space="0" w:color="auto"/>
            </w:tcBorders>
            <w:vAlign w:val="center"/>
          </w:tcPr>
          <w:p w14:paraId="644DC394" w14:textId="77777777" w:rsidR="00575956" w:rsidRPr="004E4975" w:rsidRDefault="00575956" w:rsidP="002C7C06">
            <w:pPr>
              <w:jc w:val="right"/>
              <w:rPr>
                <w:rFonts w:cstheme="minorHAnsi"/>
                <w:color w:val="808080" w:themeColor="background1" w:themeShade="80"/>
                <w:sz w:val="18"/>
                <w:szCs w:val="18"/>
              </w:rPr>
            </w:pPr>
            <w:r w:rsidRPr="004E4975">
              <w:rPr>
                <w:rFonts w:cstheme="minorHAnsi"/>
                <w:color w:val="808080" w:themeColor="background1" w:themeShade="80"/>
                <w:sz w:val="18"/>
                <w:szCs w:val="18"/>
              </w:rPr>
              <w:t>N/A</w:t>
            </w:r>
          </w:p>
        </w:tc>
        <w:tc>
          <w:tcPr>
            <w:tcW w:w="661" w:type="dxa"/>
            <w:tcBorders>
              <w:bottom w:val="single" w:sz="4" w:space="0" w:color="auto"/>
            </w:tcBorders>
            <w:vAlign w:val="center"/>
          </w:tcPr>
          <w:p w14:paraId="1654E640" w14:textId="77777777" w:rsidR="00575956" w:rsidRPr="004E4975" w:rsidRDefault="00575956" w:rsidP="002C7C06">
            <w:pPr>
              <w:jc w:val="right"/>
              <w:rPr>
                <w:rFonts w:cstheme="minorHAnsi"/>
                <w:color w:val="808080" w:themeColor="background1" w:themeShade="80"/>
                <w:sz w:val="18"/>
                <w:szCs w:val="18"/>
              </w:rPr>
            </w:pPr>
            <w:r w:rsidRPr="004E4975">
              <w:rPr>
                <w:rFonts w:cstheme="minorHAnsi"/>
                <w:color w:val="808080" w:themeColor="background1" w:themeShade="80"/>
                <w:sz w:val="18"/>
                <w:szCs w:val="18"/>
              </w:rPr>
              <w:t>N/A</w:t>
            </w:r>
          </w:p>
        </w:tc>
        <w:tc>
          <w:tcPr>
            <w:tcW w:w="661" w:type="dxa"/>
            <w:tcBorders>
              <w:bottom w:val="single" w:sz="4" w:space="0" w:color="auto"/>
            </w:tcBorders>
            <w:vAlign w:val="center"/>
          </w:tcPr>
          <w:p w14:paraId="5211E4CA" w14:textId="77777777" w:rsidR="00575956" w:rsidRPr="004E4975" w:rsidRDefault="00575956" w:rsidP="002C7C06">
            <w:pPr>
              <w:jc w:val="right"/>
              <w:rPr>
                <w:rFonts w:cstheme="minorHAnsi"/>
                <w:color w:val="808080" w:themeColor="background1" w:themeShade="80"/>
                <w:sz w:val="18"/>
                <w:szCs w:val="18"/>
              </w:rPr>
            </w:pPr>
            <w:r w:rsidRPr="004E4975">
              <w:rPr>
                <w:rFonts w:cstheme="minorHAnsi"/>
                <w:color w:val="808080" w:themeColor="background1" w:themeShade="80"/>
                <w:sz w:val="18"/>
                <w:szCs w:val="18"/>
              </w:rPr>
              <w:t>N/A</w:t>
            </w:r>
          </w:p>
        </w:tc>
        <w:tc>
          <w:tcPr>
            <w:tcW w:w="661" w:type="dxa"/>
            <w:tcBorders>
              <w:bottom w:val="single" w:sz="4" w:space="0" w:color="auto"/>
            </w:tcBorders>
            <w:vAlign w:val="center"/>
          </w:tcPr>
          <w:p w14:paraId="1382F46C" w14:textId="77777777" w:rsidR="00575956" w:rsidRPr="004E4975" w:rsidRDefault="00575956" w:rsidP="002C7C06">
            <w:pPr>
              <w:jc w:val="right"/>
              <w:rPr>
                <w:rFonts w:cstheme="minorHAnsi"/>
                <w:color w:val="808080" w:themeColor="background1" w:themeShade="80"/>
                <w:sz w:val="18"/>
                <w:szCs w:val="18"/>
              </w:rPr>
            </w:pPr>
            <w:r w:rsidRPr="004E4975">
              <w:rPr>
                <w:rFonts w:cstheme="minorHAnsi"/>
                <w:color w:val="808080" w:themeColor="background1" w:themeShade="80"/>
                <w:sz w:val="18"/>
                <w:szCs w:val="18"/>
              </w:rPr>
              <w:t>N/A</w:t>
            </w:r>
          </w:p>
        </w:tc>
      </w:tr>
      <w:tr w:rsidR="00575956" w:rsidRPr="0042191D" w14:paraId="2BB62DD2" w14:textId="77777777" w:rsidTr="002C7C06">
        <w:tc>
          <w:tcPr>
            <w:tcW w:w="1273" w:type="dxa"/>
            <w:vMerge w:val="restart"/>
            <w:shd w:val="clear" w:color="auto" w:fill="F2F2F2" w:themeFill="background1" w:themeFillShade="F2"/>
            <w:vAlign w:val="center"/>
          </w:tcPr>
          <w:p w14:paraId="4E2437E1" w14:textId="77777777" w:rsidR="00575956" w:rsidRPr="0042191D" w:rsidRDefault="002B156F" w:rsidP="00C9779B">
            <w:pPr>
              <w:rPr>
                <w:rFonts w:cstheme="minorHAnsi"/>
                <w:sz w:val="20"/>
                <w:szCs w:val="20"/>
              </w:rPr>
            </w:pPr>
            <w:r>
              <w:rPr>
                <w:rFonts w:cstheme="minorHAnsi"/>
                <w:sz w:val="20"/>
                <w:szCs w:val="20"/>
              </w:rPr>
              <w:t>P</w:t>
            </w:r>
            <w:r w:rsidR="00575956" w:rsidRPr="0042191D">
              <w:rPr>
                <w:rFonts w:cstheme="minorHAnsi"/>
                <w:sz w:val="20"/>
                <w:szCs w:val="20"/>
              </w:rPr>
              <w:t>očet těžce zraněných</w:t>
            </w:r>
          </w:p>
        </w:tc>
        <w:tc>
          <w:tcPr>
            <w:tcW w:w="1179" w:type="dxa"/>
            <w:shd w:val="clear" w:color="auto" w:fill="F2F2F2" w:themeFill="background1" w:themeFillShade="F2"/>
            <w:vAlign w:val="center"/>
          </w:tcPr>
          <w:p w14:paraId="5E8086F5" w14:textId="77777777" w:rsidR="00575956" w:rsidRPr="0042191D" w:rsidRDefault="00575956" w:rsidP="00C9779B">
            <w:pPr>
              <w:rPr>
                <w:rFonts w:cstheme="minorHAnsi"/>
                <w:sz w:val="20"/>
                <w:szCs w:val="20"/>
              </w:rPr>
            </w:pPr>
            <w:r w:rsidRPr="0042191D">
              <w:rPr>
                <w:rFonts w:cstheme="minorHAnsi"/>
                <w:sz w:val="20"/>
                <w:szCs w:val="20"/>
              </w:rPr>
              <w:t>předpoklad</w:t>
            </w:r>
          </w:p>
        </w:tc>
        <w:tc>
          <w:tcPr>
            <w:tcW w:w="660" w:type="dxa"/>
            <w:tcBorders>
              <w:bottom w:val="single" w:sz="4" w:space="0" w:color="auto"/>
            </w:tcBorders>
            <w:shd w:val="clear" w:color="auto" w:fill="F2F2F2" w:themeFill="background1" w:themeFillShade="F2"/>
            <w:vAlign w:val="center"/>
          </w:tcPr>
          <w:p w14:paraId="03C64524" w14:textId="77777777" w:rsidR="00575956" w:rsidRPr="0042191D" w:rsidRDefault="00575956" w:rsidP="002C7C06">
            <w:pPr>
              <w:jc w:val="right"/>
              <w:rPr>
                <w:rFonts w:cstheme="minorHAnsi"/>
                <w:sz w:val="18"/>
                <w:szCs w:val="18"/>
              </w:rPr>
            </w:pPr>
            <w:r w:rsidRPr="0042191D">
              <w:rPr>
                <w:rFonts w:cstheme="minorHAnsi"/>
                <w:sz w:val="18"/>
                <w:szCs w:val="18"/>
              </w:rPr>
              <w:t>2 151</w:t>
            </w:r>
          </w:p>
        </w:tc>
        <w:tc>
          <w:tcPr>
            <w:tcW w:w="661" w:type="dxa"/>
            <w:tcBorders>
              <w:bottom w:val="single" w:sz="4" w:space="0" w:color="auto"/>
            </w:tcBorders>
            <w:shd w:val="clear" w:color="auto" w:fill="F2F2F2" w:themeFill="background1" w:themeFillShade="F2"/>
            <w:vAlign w:val="center"/>
          </w:tcPr>
          <w:p w14:paraId="68572B46" w14:textId="77777777" w:rsidR="00575956" w:rsidRPr="0042191D" w:rsidRDefault="00575956" w:rsidP="002C7C06">
            <w:pPr>
              <w:jc w:val="right"/>
              <w:rPr>
                <w:rFonts w:cstheme="minorHAnsi"/>
                <w:sz w:val="18"/>
                <w:szCs w:val="18"/>
              </w:rPr>
            </w:pPr>
            <w:r w:rsidRPr="0042191D">
              <w:rPr>
                <w:rFonts w:cstheme="minorHAnsi"/>
                <w:sz w:val="18"/>
                <w:szCs w:val="18"/>
              </w:rPr>
              <w:t>2 008</w:t>
            </w:r>
          </w:p>
        </w:tc>
        <w:tc>
          <w:tcPr>
            <w:tcW w:w="661" w:type="dxa"/>
            <w:shd w:val="clear" w:color="auto" w:fill="F2F2F2" w:themeFill="background1" w:themeFillShade="F2"/>
            <w:vAlign w:val="center"/>
          </w:tcPr>
          <w:p w14:paraId="73241B48" w14:textId="77777777" w:rsidR="00575956" w:rsidRPr="0042191D" w:rsidRDefault="00575956" w:rsidP="002C7C06">
            <w:pPr>
              <w:jc w:val="right"/>
              <w:rPr>
                <w:rFonts w:cstheme="minorHAnsi"/>
                <w:sz w:val="18"/>
                <w:szCs w:val="18"/>
              </w:rPr>
            </w:pPr>
            <w:r w:rsidRPr="0042191D">
              <w:rPr>
                <w:rFonts w:cstheme="minorHAnsi"/>
                <w:sz w:val="18"/>
                <w:szCs w:val="18"/>
              </w:rPr>
              <w:t>1 872</w:t>
            </w:r>
          </w:p>
        </w:tc>
        <w:tc>
          <w:tcPr>
            <w:tcW w:w="661" w:type="dxa"/>
            <w:shd w:val="clear" w:color="auto" w:fill="F2F2F2" w:themeFill="background1" w:themeFillShade="F2"/>
            <w:vAlign w:val="center"/>
          </w:tcPr>
          <w:p w14:paraId="4B3786DA" w14:textId="77777777" w:rsidR="00575956" w:rsidRPr="0042191D" w:rsidRDefault="00575956" w:rsidP="002C7C06">
            <w:pPr>
              <w:jc w:val="right"/>
              <w:rPr>
                <w:rFonts w:cstheme="minorHAnsi"/>
                <w:sz w:val="18"/>
                <w:szCs w:val="18"/>
              </w:rPr>
            </w:pPr>
            <w:r w:rsidRPr="0042191D">
              <w:rPr>
                <w:rFonts w:cstheme="minorHAnsi"/>
                <w:sz w:val="18"/>
                <w:szCs w:val="18"/>
              </w:rPr>
              <w:t>1 747</w:t>
            </w:r>
          </w:p>
        </w:tc>
        <w:tc>
          <w:tcPr>
            <w:tcW w:w="661" w:type="dxa"/>
            <w:shd w:val="clear" w:color="auto" w:fill="F2F2F2" w:themeFill="background1" w:themeFillShade="F2"/>
            <w:vAlign w:val="center"/>
          </w:tcPr>
          <w:p w14:paraId="2C3D300A" w14:textId="77777777" w:rsidR="00575956" w:rsidRPr="0042191D" w:rsidRDefault="00575956" w:rsidP="002C7C06">
            <w:pPr>
              <w:jc w:val="right"/>
              <w:rPr>
                <w:rFonts w:cstheme="minorHAnsi"/>
                <w:sz w:val="18"/>
                <w:szCs w:val="18"/>
              </w:rPr>
            </w:pPr>
            <w:r w:rsidRPr="0042191D">
              <w:rPr>
                <w:rFonts w:cstheme="minorHAnsi"/>
                <w:sz w:val="18"/>
                <w:szCs w:val="18"/>
              </w:rPr>
              <w:t>1 630</w:t>
            </w:r>
          </w:p>
        </w:tc>
        <w:tc>
          <w:tcPr>
            <w:tcW w:w="660" w:type="dxa"/>
            <w:shd w:val="clear" w:color="auto" w:fill="F2F2F2" w:themeFill="background1" w:themeFillShade="F2"/>
            <w:vAlign w:val="center"/>
          </w:tcPr>
          <w:p w14:paraId="4268B71D" w14:textId="77777777" w:rsidR="00575956" w:rsidRPr="0042191D" w:rsidRDefault="00575956" w:rsidP="002C7C06">
            <w:pPr>
              <w:jc w:val="right"/>
              <w:rPr>
                <w:rFonts w:cstheme="minorHAnsi"/>
                <w:sz w:val="18"/>
                <w:szCs w:val="18"/>
              </w:rPr>
            </w:pPr>
            <w:r w:rsidRPr="0042191D">
              <w:rPr>
                <w:rFonts w:cstheme="minorHAnsi"/>
                <w:sz w:val="18"/>
                <w:szCs w:val="18"/>
              </w:rPr>
              <w:t>1 521</w:t>
            </w:r>
          </w:p>
        </w:tc>
        <w:tc>
          <w:tcPr>
            <w:tcW w:w="661" w:type="dxa"/>
            <w:shd w:val="clear" w:color="auto" w:fill="F2F2F2" w:themeFill="background1" w:themeFillShade="F2"/>
            <w:vAlign w:val="center"/>
          </w:tcPr>
          <w:p w14:paraId="4645B850" w14:textId="77777777" w:rsidR="00575956" w:rsidRPr="0042191D" w:rsidRDefault="00575956" w:rsidP="002C7C06">
            <w:pPr>
              <w:jc w:val="right"/>
              <w:rPr>
                <w:rFonts w:cstheme="minorHAnsi"/>
                <w:sz w:val="18"/>
                <w:szCs w:val="18"/>
              </w:rPr>
            </w:pPr>
            <w:r w:rsidRPr="0042191D">
              <w:rPr>
                <w:rFonts w:cstheme="minorHAnsi"/>
                <w:sz w:val="18"/>
                <w:szCs w:val="18"/>
              </w:rPr>
              <w:t>1 420</w:t>
            </w:r>
          </w:p>
        </w:tc>
        <w:tc>
          <w:tcPr>
            <w:tcW w:w="661" w:type="dxa"/>
            <w:shd w:val="clear" w:color="auto" w:fill="F2F2F2" w:themeFill="background1" w:themeFillShade="F2"/>
            <w:vAlign w:val="center"/>
          </w:tcPr>
          <w:p w14:paraId="7BBCBAA9" w14:textId="77777777" w:rsidR="00575956" w:rsidRPr="0042191D" w:rsidRDefault="00575956" w:rsidP="002C7C06">
            <w:pPr>
              <w:jc w:val="right"/>
              <w:rPr>
                <w:rFonts w:cstheme="minorHAnsi"/>
                <w:sz w:val="18"/>
                <w:szCs w:val="18"/>
              </w:rPr>
            </w:pPr>
            <w:r w:rsidRPr="0042191D">
              <w:rPr>
                <w:rFonts w:cstheme="minorHAnsi"/>
                <w:sz w:val="18"/>
                <w:szCs w:val="18"/>
              </w:rPr>
              <w:t>1 323</w:t>
            </w:r>
          </w:p>
        </w:tc>
        <w:tc>
          <w:tcPr>
            <w:tcW w:w="661" w:type="dxa"/>
            <w:shd w:val="clear" w:color="auto" w:fill="F2F2F2" w:themeFill="background1" w:themeFillShade="F2"/>
            <w:vAlign w:val="center"/>
          </w:tcPr>
          <w:p w14:paraId="1251F14A" w14:textId="77777777" w:rsidR="00575956" w:rsidRPr="0042191D" w:rsidRDefault="00575956" w:rsidP="002C7C06">
            <w:pPr>
              <w:jc w:val="right"/>
              <w:rPr>
                <w:rFonts w:cstheme="minorHAnsi"/>
                <w:sz w:val="18"/>
                <w:szCs w:val="18"/>
              </w:rPr>
            </w:pPr>
            <w:r w:rsidRPr="0042191D">
              <w:rPr>
                <w:rFonts w:cstheme="minorHAnsi"/>
                <w:sz w:val="18"/>
                <w:szCs w:val="18"/>
              </w:rPr>
              <w:t>1 235</w:t>
            </w:r>
          </w:p>
        </w:tc>
        <w:tc>
          <w:tcPr>
            <w:tcW w:w="661" w:type="dxa"/>
            <w:shd w:val="clear" w:color="auto" w:fill="F2F2F2" w:themeFill="background1" w:themeFillShade="F2"/>
            <w:vAlign w:val="center"/>
          </w:tcPr>
          <w:p w14:paraId="6CA25C27" w14:textId="77777777" w:rsidR="00575956" w:rsidRPr="0042191D" w:rsidRDefault="00575956" w:rsidP="002C7C06">
            <w:pPr>
              <w:jc w:val="right"/>
              <w:rPr>
                <w:rFonts w:cstheme="minorHAnsi"/>
                <w:sz w:val="18"/>
                <w:szCs w:val="18"/>
              </w:rPr>
            </w:pPr>
            <w:r w:rsidRPr="0042191D">
              <w:rPr>
                <w:rFonts w:cstheme="minorHAnsi"/>
                <w:sz w:val="18"/>
                <w:szCs w:val="18"/>
              </w:rPr>
              <w:t>1 153</w:t>
            </w:r>
          </w:p>
        </w:tc>
      </w:tr>
      <w:tr w:rsidR="00575956" w:rsidRPr="0042191D" w14:paraId="08B58329" w14:textId="77777777" w:rsidTr="002C7C06">
        <w:tc>
          <w:tcPr>
            <w:tcW w:w="1273" w:type="dxa"/>
            <w:vMerge/>
            <w:shd w:val="clear" w:color="auto" w:fill="F2F2F2" w:themeFill="background1" w:themeFillShade="F2"/>
          </w:tcPr>
          <w:p w14:paraId="07088944" w14:textId="77777777" w:rsidR="00575956" w:rsidRPr="0042191D" w:rsidRDefault="00575956" w:rsidP="00C9779B">
            <w:pPr>
              <w:rPr>
                <w:rFonts w:cstheme="minorHAnsi"/>
                <w:sz w:val="20"/>
                <w:szCs w:val="20"/>
              </w:rPr>
            </w:pPr>
          </w:p>
        </w:tc>
        <w:tc>
          <w:tcPr>
            <w:tcW w:w="1179" w:type="dxa"/>
            <w:vAlign w:val="center"/>
          </w:tcPr>
          <w:p w14:paraId="6D869D1D" w14:textId="77777777" w:rsidR="00575956" w:rsidRPr="0042191D" w:rsidRDefault="00575956" w:rsidP="00C9779B">
            <w:pPr>
              <w:rPr>
                <w:rFonts w:cstheme="minorHAnsi"/>
                <w:sz w:val="20"/>
                <w:szCs w:val="20"/>
              </w:rPr>
            </w:pPr>
            <w:r w:rsidRPr="0042191D">
              <w:rPr>
                <w:rFonts w:cstheme="minorHAnsi"/>
                <w:sz w:val="20"/>
                <w:szCs w:val="20"/>
              </w:rPr>
              <w:t>skutečnost</w:t>
            </w:r>
          </w:p>
        </w:tc>
        <w:tc>
          <w:tcPr>
            <w:tcW w:w="660" w:type="dxa"/>
            <w:shd w:val="clear" w:color="auto" w:fill="auto"/>
            <w:vAlign w:val="center"/>
          </w:tcPr>
          <w:p w14:paraId="60465034" w14:textId="77777777" w:rsidR="00575956" w:rsidRPr="0042191D" w:rsidRDefault="00575956" w:rsidP="002C7C06">
            <w:pPr>
              <w:jc w:val="right"/>
              <w:rPr>
                <w:rFonts w:cstheme="minorHAnsi"/>
                <w:sz w:val="18"/>
                <w:szCs w:val="18"/>
              </w:rPr>
            </w:pPr>
            <w:r w:rsidRPr="0042191D">
              <w:rPr>
                <w:rFonts w:cstheme="minorHAnsi"/>
                <w:sz w:val="18"/>
                <w:szCs w:val="18"/>
              </w:rPr>
              <w:t>1 624</w:t>
            </w:r>
          </w:p>
        </w:tc>
        <w:tc>
          <w:tcPr>
            <w:tcW w:w="661" w:type="dxa"/>
            <w:shd w:val="clear" w:color="auto" w:fill="auto"/>
            <w:vAlign w:val="center"/>
          </w:tcPr>
          <w:p w14:paraId="047FBFAC" w14:textId="77777777" w:rsidR="00575956" w:rsidRPr="0042191D" w:rsidRDefault="00575956" w:rsidP="002C7C06">
            <w:pPr>
              <w:jc w:val="right"/>
              <w:rPr>
                <w:rFonts w:cstheme="minorHAnsi"/>
                <w:sz w:val="18"/>
                <w:szCs w:val="18"/>
              </w:rPr>
            </w:pPr>
            <w:r w:rsidRPr="0042191D">
              <w:rPr>
                <w:rFonts w:cstheme="minorHAnsi"/>
                <w:sz w:val="18"/>
                <w:szCs w:val="18"/>
              </w:rPr>
              <w:t>1 734</w:t>
            </w:r>
          </w:p>
        </w:tc>
        <w:tc>
          <w:tcPr>
            <w:tcW w:w="661" w:type="dxa"/>
            <w:vAlign w:val="center"/>
          </w:tcPr>
          <w:p w14:paraId="33E8E8BA" w14:textId="77777777" w:rsidR="00575956" w:rsidRPr="004E4975" w:rsidRDefault="00575956" w:rsidP="002C7C06">
            <w:pPr>
              <w:jc w:val="right"/>
              <w:rPr>
                <w:rFonts w:cstheme="minorHAnsi"/>
                <w:color w:val="808080" w:themeColor="background1" w:themeShade="80"/>
                <w:sz w:val="18"/>
                <w:szCs w:val="18"/>
              </w:rPr>
            </w:pPr>
            <w:r w:rsidRPr="004E4975">
              <w:rPr>
                <w:rFonts w:cstheme="minorHAnsi"/>
                <w:color w:val="808080" w:themeColor="background1" w:themeShade="80"/>
                <w:sz w:val="18"/>
                <w:szCs w:val="18"/>
              </w:rPr>
              <w:t>N/A</w:t>
            </w:r>
          </w:p>
        </w:tc>
        <w:tc>
          <w:tcPr>
            <w:tcW w:w="661" w:type="dxa"/>
            <w:vAlign w:val="center"/>
          </w:tcPr>
          <w:p w14:paraId="0934E6BD" w14:textId="77777777" w:rsidR="00575956" w:rsidRPr="004E4975" w:rsidRDefault="00575956" w:rsidP="002C7C06">
            <w:pPr>
              <w:jc w:val="right"/>
              <w:rPr>
                <w:rFonts w:cstheme="minorHAnsi"/>
                <w:color w:val="808080" w:themeColor="background1" w:themeShade="80"/>
                <w:sz w:val="18"/>
                <w:szCs w:val="18"/>
              </w:rPr>
            </w:pPr>
            <w:r w:rsidRPr="004E4975">
              <w:rPr>
                <w:rFonts w:cstheme="minorHAnsi"/>
                <w:color w:val="808080" w:themeColor="background1" w:themeShade="80"/>
                <w:sz w:val="18"/>
                <w:szCs w:val="18"/>
              </w:rPr>
              <w:t>N/A</w:t>
            </w:r>
          </w:p>
        </w:tc>
        <w:tc>
          <w:tcPr>
            <w:tcW w:w="661" w:type="dxa"/>
            <w:vAlign w:val="center"/>
          </w:tcPr>
          <w:p w14:paraId="4D8498DB" w14:textId="77777777" w:rsidR="00575956" w:rsidRPr="004E4975" w:rsidRDefault="00575956" w:rsidP="002C7C06">
            <w:pPr>
              <w:jc w:val="right"/>
              <w:rPr>
                <w:rFonts w:cstheme="minorHAnsi"/>
                <w:color w:val="808080" w:themeColor="background1" w:themeShade="80"/>
                <w:sz w:val="18"/>
                <w:szCs w:val="18"/>
              </w:rPr>
            </w:pPr>
            <w:r w:rsidRPr="004E4975">
              <w:rPr>
                <w:rFonts w:cstheme="minorHAnsi"/>
                <w:color w:val="808080" w:themeColor="background1" w:themeShade="80"/>
                <w:sz w:val="18"/>
                <w:szCs w:val="18"/>
              </w:rPr>
              <w:t>N/A</w:t>
            </w:r>
          </w:p>
        </w:tc>
        <w:tc>
          <w:tcPr>
            <w:tcW w:w="660" w:type="dxa"/>
            <w:vAlign w:val="center"/>
          </w:tcPr>
          <w:p w14:paraId="72E8EC3D" w14:textId="77777777" w:rsidR="00575956" w:rsidRPr="004E4975" w:rsidRDefault="00575956" w:rsidP="002C7C06">
            <w:pPr>
              <w:jc w:val="right"/>
              <w:rPr>
                <w:rFonts w:cstheme="minorHAnsi"/>
                <w:color w:val="808080" w:themeColor="background1" w:themeShade="80"/>
                <w:sz w:val="18"/>
                <w:szCs w:val="18"/>
              </w:rPr>
            </w:pPr>
            <w:r w:rsidRPr="004E4975">
              <w:rPr>
                <w:rFonts w:cstheme="minorHAnsi"/>
                <w:color w:val="808080" w:themeColor="background1" w:themeShade="80"/>
                <w:sz w:val="18"/>
                <w:szCs w:val="18"/>
              </w:rPr>
              <w:t>N/A</w:t>
            </w:r>
          </w:p>
        </w:tc>
        <w:tc>
          <w:tcPr>
            <w:tcW w:w="661" w:type="dxa"/>
            <w:vAlign w:val="center"/>
          </w:tcPr>
          <w:p w14:paraId="6CBBC277" w14:textId="77777777" w:rsidR="00575956" w:rsidRPr="004E4975" w:rsidRDefault="00575956" w:rsidP="002C7C06">
            <w:pPr>
              <w:jc w:val="right"/>
              <w:rPr>
                <w:rFonts w:cstheme="minorHAnsi"/>
                <w:color w:val="808080" w:themeColor="background1" w:themeShade="80"/>
                <w:sz w:val="18"/>
                <w:szCs w:val="18"/>
              </w:rPr>
            </w:pPr>
            <w:r w:rsidRPr="004E4975">
              <w:rPr>
                <w:rFonts w:cstheme="minorHAnsi"/>
                <w:color w:val="808080" w:themeColor="background1" w:themeShade="80"/>
                <w:sz w:val="18"/>
                <w:szCs w:val="18"/>
              </w:rPr>
              <w:t>N/A</w:t>
            </w:r>
          </w:p>
        </w:tc>
        <w:tc>
          <w:tcPr>
            <w:tcW w:w="661" w:type="dxa"/>
            <w:vAlign w:val="center"/>
          </w:tcPr>
          <w:p w14:paraId="7A20350E" w14:textId="77777777" w:rsidR="00575956" w:rsidRPr="004E4975" w:rsidRDefault="00575956" w:rsidP="002C7C06">
            <w:pPr>
              <w:jc w:val="right"/>
              <w:rPr>
                <w:rFonts w:cstheme="minorHAnsi"/>
                <w:color w:val="808080" w:themeColor="background1" w:themeShade="80"/>
                <w:sz w:val="18"/>
                <w:szCs w:val="18"/>
              </w:rPr>
            </w:pPr>
            <w:r w:rsidRPr="004E4975">
              <w:rPr>
                <w:rFonts w:cstheme="minorHAnsi"/>
                <w:color w:val="808080" w:themeColor="background1" w:themeShade="80"/>
                <w:sz w:val="18"/>
                <w:szCs w:val="18"/>
              </w:rPr>
              <w:t>N/A</w:t>
            </w:r>
          </w:p>
        </w:tc>
        <w:tc>
          <w:tcPr>
            <w:tcW w:w="661" w:type="dxa"/>
            <w:vAlign w:val="center"/>
          </w:tcPr>
          <w:p w14:paraId="40A05498" w14:textId="77777777" w:rsidR="00575956" w:rsidRPr="004E4975" w:rsidRDefault="00575956" w:rsidP="002C7C06">
            <w:pPr>
              <w:jc w:val="right"/>
              <w:rPr>
                <w:rFonts w:cstheme="minorHAnsi"/>
                <w:color w:val="808080" w:themeColor="background1" w:themeShade="80"/>
                <w:sz w:val="18"/>
                <w:szCs w:val="18"/>
              </w:rPr>
            </w:pPr>
            <w:r w:rsidRPr="004E4975">
              <w:rPr>
                <w:rFonts w:cstheme="minorHAnsi"/>
                <w:color w:val="808080" w:themeColor="background1" w:themeShade="80"/>
                <w:sz w:val="18"/>
                <w:szCs w:val="18"/>
              </w:rPr>
              <w:t>N/A</w:t>
            </w:r>
          </w:p>
        </w:tc>
        <w:tc>
          <w:tcPr>
            <w:tcW w:w="661" w:type="dxa"/>
            <w:vAlign w:val="center"/>
          </w:tcPr>
          <w:p w14:paraId="61DA2475" w14:textId="77777777" w:rsidR="00575956" w:rsidRPr="004E4975" w:rsidRDefault="00575956" w:rsidP="002C7C06">
            <w:pPr>
              <w:jc w:val="right"/>
              <w:rPr>
                <w:rFonts w:cstheme="minorHAnsi"/>
                <w:color w:val="808080" w:themeColor="background1" w:themeShade="80"/>
                <w:sz w:val="18"/>
                <w:szCs w:val="18"/>
              </w:rPr>
            </w:pPr>
            <w:r w:rsidRPr="004E4975">
              <w:rPr>
                <w:rFonts w:cstheme="minorHAnsi"/>
                <w:color w:val="808080" w:themeColor="background1" w:themeShade="80"/>
                <w:sz w:val="18"/>
                <w:szCs w:val="18"/>
              </w:rPr>
              <w:t>N/A</w:t>
            </w:r>
          </w:p>
        </w:tc>
      </w:tr>
      <w:tr w:rsidR="00575956" w:rsidRPr="0042191D" w14:paraId="7866D4E2" w14:textId="77777777" w:rsidTr="002C7C06">
        <w:tc>
          <w:tcPr>
            <w:tcW w:w="1273" w:type="dxa"/>
            <w:vMerge/>
            <w:shd w:val="clear" w:color="auto" w:fill="F2F2F2" w:themeFill="background1" w:themeFillShade="F2"/>
          </w:tcPr>
          <w:p w14:paraId="36756987" w14:textId="77777777" w:rsidR="00575956" w:rsidRPr="0042191D" w:rsidRDefault="00575956" w:rsidP="00C9779B">
            <w:pPr>
              <w:rPr>
                <w:rFonts w:cstheme="minorHAnsi"/>
                <w:sz w:val="20"/>
                <w:szCs w:val="20"/>
              </w:rPr>
            </w:pPr>
          </w:p>
        </w:tc>
        <w:tc>
          <w:tcPr>
            <w:tcW w:w="1179" w:type="dxa"/>
            <w:vAlign w:val="center"/>
          </w:tcPr>
          <w:p w14:paraId="515E2B45" w14:textId="77777777" w:rsidR="00575956" w:rsidRPr="0042191D" w:rsidRDefault="00575956" w:rsidP="00C9779B">
            <w:pPr>
              <w:rPr>
                <w:rFonts w:cstheme="minorHAnsi"/>
                <w:sz w:val="20"/>
                <w:szCs w:val="20"/>
              </w:rPr>
            </w:pPr>
            <w:r w:rsidRPr="0042191D">
              <w:rPr>
                <w:rFonts w:cstheme="minorHAnsi"/>
                <w:sz w:val="20"/>
                <w:szCs w:val="20"/>
              </w:rPr>
              <w:t>rozdíl</w:t>
            </w:r>
          </w:p>
        </w:tc>
        <w:tc>
          <w:tcPr>
            <w:tcW w:w="660" w:type="dxa"/>
            <w:shd w:val="clear" w:color="auto" w:fill="auto"/>
            <w:vAlign w:val="center"/>
          </w:tcPr>
          <w:p w14:paraId="24AEDDFE" w14:textId="77777777" w:rsidR="00575956" w:rsidRPr="00411B73" w:rsidRDefault="00575956" w:rsidP="002C7C06">
            <w:pPr>
              <w:jc w:val="right"/>
              <w:rPr>
                <w:rFonts w:cstheme="minorHAnsi"/>
                <w:b/>
                <w:color w:val="00B050"/>
                <w:sz w:val="18"/>
                <w:szCs w:val="18"/>
              </w:rPr>
            </w:pPr>
            <w:r w:rsidRPr="00411B73">
              <w:rPr>
                <w:rFonts w:cstheme="minorHAnsi"/>
                <w:b/>
                <w:color w:val="00B050"/>
                <w:sz w:val="18"/>
                <w:szCs w:val="18"/>
              </w:rPr>
              <w:t>527</w:t>
            </w:r>
          </w:p>
        </w:tc>
        <w:tc>
          <w:tcPr>
            <w:tcW w:w="661" w:type="dxa"/>
            <w:shd w:val="clear" w:color="auto" w:fill="auto"/>
            <w:vAlign w:val="center"/>
          </w:tcPr>
          <w:p w14:paraId="638730A3" w14:textId="77777777" w:rsidR="00575956" w:rsidRPr="00411B73" w:rsidRDefault="00575956" w:rsidP="002C7C06">
            <w:pPr>
              <w:jc w:val="right"/>
              <w:rPr>
                <w:rFonts w:cstheme="minorHAnsi"/>
                <w:b/>
                <w:color w:val="00B050"/>
                <w:sz w:val="18"/>
                <w:szCs w:val="18"/>
              </w:rPr>
            </w:pPr>
            <w:r w:rsidRPr="00411B73">
              <w:rPr>
                <w:rFonts w:cstheme="minorHAnsi"/>
                <w:b/>
                <w:color w:val="00B050"/>
                <w:sz w:val="18"/>
                <w:szCs w:val="18"/>
              </w:rPr>
              <w:t>274</w:t>
            </w:r>
          </w:p>
        </w:tc>
        <w:tc>
          <w:tcPr>
            <w:tcW w:w="661" w:type="dxa"/>
            <w:vAlign w:val="center"/>
          </w:tcPr>
          <w:p w14:paraId="5461D579" w14:textId="77777777" w:rsidR="00575956" w:rsidRPr="004E4975" w:rsidRDefault="00575956" w:rsidP="002C7C06">
            <w:pPr>
              <w:jc w:val="right"/>
              <w:rPr>
                <w:rFonts w:cstheme="minorHAnsi"/>
                <w:color w:val="808080" w:themeColor="background1" w:themeShade="80"/>
                <w:sz w:val="18"/>
                <w:szCs w:val="18"/>
              </w:rPr>
            </w:pPr>
            <w:r w:rsidRPr="004E4975">
              <w:rPr>
                <w:rFonts w:cstheme="minorHAnsi"/>
                <w:color w:val="808080" w:themeColor="background1" w:themeShade="80"/>
                <w:sz w:val="18"/>
                <w:szCs w:val="18"/>
              </w:rPr>
              <w:t>N/A</w:t>
            </w:r>
          </w:p>
        </w:tc>
        <w:tc>
          <w:tcPr>
            <w:tcW w:w="661" w:type="dxa"/>
            <w:vAlign w:val="center"/>
          </w:tcPr>
          <w:p w14:paraId="48477140" w14:textId="77777777" w:rsidR="00575956" w:rsidRPr="004E4975" w:rsidRDefault="00575956" w:rsidP="002C7C06">
            <w:pPr>
              <w:jc w:val="right"/>
              <w:rPr>
                <w:rFonts w:cstheme="minorHAnsi"/>
                <w:color w:val="808080" w:themeColor="background1" w:themeShade="80"/>
                <w:sz w:val="18"/>
                <w:szCs w:val="18"/>
              </w:rPr>
            </w:pPr>
            <w:r w:rsidRPr="004E4975">
              <w:rPr>
                <w:rFonts w:cstheme="minorHAnsi"/>
                <w:color w:val="808080" w:themeColor="background1" w:themeShade="80"/>
                <w:sz w:val="18"/>
                <w:szCs w:val="18"/>
              </w:rPr>
              <w:t>N/A</w:t>
            </w:r>
          </w:p>
        </w:tc>
        <w:tc>
          <w:tcPr>
            <w:tcW w:w="661" w:type="dxa"/>
            <w:vAlign w:val="center"/>
          </w:tcPr>
          <w:p w14:paraId="77D08C79" w14:textId="77777777" w:rsidR="00575956" w:rsidRPr="004E4975" w:rsidRDefault="00575956" w:rsidP="002C7C06">
            <w:pPr>
              <w:jc w:val="right"/>
              <w:rPr>
                <w:rFonts w:cstheme="minorHAnsi"/>
                <w:color w:val="808080" w:themeColor="background1" w:themeShade="80"/>
                <w:sz w:val="18"/>
                <w:szCs w:val="18"/>
              </w:rPr>
            </w:pPr>
            <w:r w:rsidRPr="004E4975">
              <w:rPr>
                <w:rFonts w:cstheme="minorHAnsi"/>
                <w:color w:val="808080" w:themeColor="background1" w:themeShade="80"/>
                <w:sz w:val="18"/>
                <w:szCs w:val="18"/>
              </w:rPr>
              <w:t>N/A</w:t>
            </w:r>
          </w:p>
        </w:tc>
        <w:tc>
          <w:tcPr>
            <w:tcW w:w="660" w:type="dxa"/>
            <w:vAlign w:val="center"/>
          </w:tcPr>
          <w:p w14:paraId="16A9F133" w14:textId="77777777" w:rsidR="00575956" w:rsidRPr="004E4975" w:rsidRDefault="00575956" w:rsidP="002C7C06">
            <w:pPr>
              <w:jc w:val="right"/>
              <w:rPr>
                <w:rFonts w:cstheme="minorHAnsi"/>
                <w:color w:val="808080" w:themeColor="background1" w:themeShade="80"/>
                <w:sz w:val="18"/>
                <w:szCs w:val="18"/>
              </w:rPr>
            </w:pPr>
            <w:r w:rsidRPr="004E4975">
              <w:rPr>
                <w:rFonts w:cstheme="minorHAnsi"/>
                <w:color w:val="808080" w:themeColor="background1" w:themeShade="80"/>
                <w:sz w:val="18"/>
                <w:szCs w:val="18"/>
              </w:rPr>
              <w:t>N/A</w:t>
            </w:r>
          </w:p>
        </w:tc>
        <w:tc>
          <w:tcPr>
            <w:tcW w:w="661" w:type="dxa"/>
            <w:vAlign w:val="center"/>
          </w:tcPr>
          <w:p w14:paraId="1096F318" w14:textId="77777777" w:rsidR="00575956" w:rsidRPr="004E4975" w:rsidRDefault="00575956" w:rsidP="002C7C06">
            <w:pPr>
              <w:jc w:val="right"/>
              <w:rPr>
                <w:rFonts w:cstheme="minorHAnsi"/>
                <w:color w:val="808080" w:themeColor="background1" w:themeShade="80"/>
                <w:sz w:val="18"/>
                <w:szCs w:val="18"/>
              </w:rPr>
            </w:pPr>
            <w:r w:rsidRPr="004E4975">
              <w:rPr>
                <w:rFonts w:cstheme="minorHAnsi"/>
                <w:color w:val="808080" w:themeColor="background1" w:themeShade="80"/>
                <w:sz w:val="18"/>
                <w:szCs w:val="18"/>
              </w:rPr>
              <w:t>N/A</w:t>
            </w:r>
          </w:p>
        </w:tc>
        <w:tc>
          <w:tcPr>
            <w:tcW w:w="661" w:type="dxa"/>
            <w:vAlign w:val="center"/>
          </w:tcPr>
          <w:p w14:paraId="09F890BA" w14:textId="77777777" w:rsidR="00575956" w:rsidRPr="004E4975" w:rsidRDefault="00575956" w:rsidP="002C7C06">
            <w:pPr>
              <w:jc w:val="right"/>
              <w:rPr>
                <w:rFonts w:cstheme="minorHAnsi"/>
                <w:color w:val="808080" w:themeColor="background1" w:themeShade="80"/>
                <w:sz w:val="18"/>
                <w:szCs w:val="18"/>
              </w:rPr>
            </w:pPr>
            <w:r w:rsidRPr="004E4975">
              <w:rPr>
                <w:rFonts w:cstheme="minorHAnsi"/>
                <w:color w:val="808080" w:themeColor="background1" w:themeShade="80"/>
                <w:sz w:val="18"/>
                <w:szCs w:val="18"/>
              </w:rPr>
              <w:t>N/A</w:t>
            </w:r>
          </w:p>
        </w:tc>
        <w:tc>
          <w:tcPr>
            <w:tcW w:w="661" w:type="dxa"/>
            <w:vAlign w:val="center"/>
          </w:tcPr>
          <w:p w14:paraId="1FD4DB1B" w14:textId="77777777" w:rsidR="00575956" w:rsidRPr="004E4975" w:rsidRDefault="00575956" w:rsidP="002C7C06">
            <w:pPr>
              <w:jc w:val="right"/>
              <w:rPr>
                <w:rFonts w:cstheme="minorHAnsi"/>
                <w:color w:val="808080" w:themeColor="background1" w:themeShade="80"/>
                <w:sz w:val="18"/>
                <w:szCs w:val="18"/>
              </w:rPr>
            </w:pPr>
            <w:r w:rsidRPr="004E4975">
              <w:rPr>
                <w:rFonts w:cstheme="minorHAnsi"/>
                <w:color w:val="808080" w:themeColor="background1" w:themeShade="80"/>
                <w:sz w:val="18"/>
                <w:szCs w:val="18"/>
              </w:rPr>
              <w:t>N/A</w:t>
            </w:r>
          </w:p>
        </w:tc>
        <w:tc>
          <w:tcPr>
            <w:tcW w:w="661" w:type="dxa"/>
            <w:vAlign w:val="center"/>
          </w:tcPr>
          <w:p w14:paraId="43E662BD" w14:textId="77777777" w:rsidR="00575956" w:rsidRPr="004E4975" w:rsidRDefault="00575956" w:rsidP="002C7C06">
            <w:pPr>
              <w:jc w:val="right"/>
              <w:rPr>
                <w:rFonts w:cstheme="minorHAnsi"/>
                <w:color w:val="808080" w:themeColor="background1" w:themeShade="80"/>
                <w:sz w:val="18"/>
                <w:szCs w:val="18"/>
              </w:rPr>
            </w:pPr>
            <w:r w:rsidRPr="004E4975">
              <w:rPr>
                <w:rFonts w:cstheme="minorHAnsi"/>
                <w:color w:val="808080" w:themeColor="background1" w:themeShade="80"/>
                <w:sz w:val="18"/>
                <w:szCs w:val="18"/>
              </w:rPr>
              <w:t>N/A</w:t>
            </w:r>
          </w:p>
        </w:tc>
      </w:tr>
    </w:tbl>
    <w:p w14:paraId="1C01D558" w14:textId="77777777" w:rsidR="00575956" w:rsidRPr="002C7C06" w:rsidRDefault="00575956" w:rsidP="00575956">
      <w:pPr>
        <w:jc w:val="both"/>
        <w:rPr>
          <w:rFonts w:eastAsiaTheme="minorEastAsia" w:cstheme="minorHAnsi"/>
          <w:iCs/>
          <w:sz w:val="20"/>
          <w:szCs w:val="20"/>
        </w:rPr>
      </w:pPr>
      <w:r w:rsidRPr="002C7C06">
        <w:rPr>
          <w:rFonts w:eastAsiaTheme="minorEastAsia" w:cstheme="minorHAnsi"/>
          <w:b/>
          <w:iCs/>
          <w:sz w:val="20"/>
          <w:szCs w:val="20"/>
        </w:rPr>
        <w:t>Zdroj:</w:t>
      </w:r>
      <w:r w:rsidRPr="002C7C06">
        <w:rPr>
          <w:rFonts w:eastAsiaTheme="minorEastAsia" w:cstheme="minorHAnsi"/>
          <w:iCs/>
          <w:sz w:val="20"/>
          <w:szCs w:val="20"/>
        </w:rPr>
        <w:t xml:space="preserve"> Strategie BESIP 2030; statistika nehodovosti</w:t>
      </w:r>
      <w:r w:rsidR="00FD73E4" w:rsidRPr="002C7C06">
        <w:rPr>
          <w:rFonts w:eastAsiaTheme="minorEastAsia" w:cstheme="minorHAnsi"/>
          <w:iCs/>
          <w:sz w:val="20"/>
          <w:szCs w:val="20"/>
        </w:rPr>
        <w:t xml:space="preserve"> PČR</w:t>
      </w:r>
      <w:r w:rsidR="00BE3ED4" w:rsidRPr="002C7C06">
        <w:rPr>
          <w:rFonts w:eastAsiaTheme="minorEastAsia" w:cstheme="minorHAnsi"/>
          <w:iCs/>
          <w:sz w:val="20"/>
          <w:szCs w:val="20"/>
        </w:rPr>
        <w:t>.</w:t>
      </w:r>
    </w:p>
    <w:p w14:paraId="0D625289" w14:textId="77777777" w:rsidR="00F80499" w:rsidRPr="007E6EF5" w:rsidRDefault="00502E2F" w:rsidP="005E2807">
      <w:pPr>
        <w:pStyle w:val="JK4"/>
        <w:ind w:left="0" w:firstLine="0"/>
        <w:rPr>
          <w:lang w:eastAsia="cs-CZ"/>
        </w:rPr>
      </w:pPr>
      <w:r w:rsidRPr="00757148">
        <w:rPr>
          <w:lang w:eastAsia="cs-CZ"/>
        </w:rPr>
        <w:t>N</w:t>
      </w:r>
      <w:r w:rsidRPr="007E6EF5">
        <w:rPr>
          <w:lang w:eastAsia="cs-CZ"/>
        </w:rPr>
        <w:t>KÚ upozorňuje</w:t>
      </w:r>
      <w:r w:rsidR="00E35DD9" w:rsidRPr="007E6EF5">
        <w:rPr>
          <w:lang w:eastAsia="cs-CZ"/>
        </w:rPr>
        <w:t xml:space="preserve"> na </w:t>
      </w:r>
      <w:r w:rsidR="00402297">
        <w:rPr>
          <w:lang w:eastAsia="cs-CZ"/>
        </w:rPr>
        <w:t xml:space="preserve">určitou </w:t>
      </w:r>
      <w:r w:rsidR="00E35DD9" w:rsidRPr="007E6EF5">
        <w:rPr>
          <w:lang w:eastAsia="cs-CZ"/>
        </w:rPr>
        <w:t>stagnaci</w:t>
      </w:r>
      <w:r w:rsidR="00402297">
        <w:rPr>
          <w:lang w:eastAsia="cs-CZ"/>
        </w:rPr>
        <w:t xml:space="preserve">, </w:t>
      </w:r>
      <w:r w:rsidR="00402297">
        <w:t>resp</w:t>
      </w:r>
      <w:r w:rsidR="00402297">
        <w:rPr>
          <w:lang w:eastAsia="cs-CZ"/>
        </w:rPr>
        <w:t>. kolísání v</w:t>
      </w:r>
      <w:r w:rsidR="00E35DD9" w:rsidRPr="007E6EF5">
        <w:rPr>
          <w:lang w:eastAsia="cs-CZ"/>
        </w:rPr>
        <w:t xml:space="preserve"> počtu</w:t>
      </w:r>
      <w:r w:rsidRPr="007E6EF5">
        <w:rPr>
          <w:lang w:eastAsia="cs-CZ"/>
        </w:rPr>
        <w:t xml:space="preserve"> </w:t>
      </w:r>
      <w:r w:rsidR="00F80499" w:rsidRPr="007E6EF5">
        <w:rPr>
          <w:lang w:eastAsia="cs-CZ"/>
        </w:rPr>
        <w:t>osob usmrcených při</w:t>
      </w:r>
      <w:r w:rsidR="00D1628C">
        <w:rPr>
          <w:lang w:eastAsia="cs-CZ"/>
        </w:rPr>
        <w:t xml:space="preserve"> </w:t>
      </w:r>
      <w:r w:rsidR="00F80499" w:rsidRPr="007E6EF5">
        <w:rPr>
          <w:lang w:eastAsia="cs-CZ"/>
        </w:rPr>
        <w:t>dopravních nehodách v letech 202</w:t>
      </w:r>
      <w:r w:rsidR="00050CFC" w:rsidRPr="007E6EF5">
        <w:rPr>
          <w:lang w:eastAsia="cs-CZ"/>
        </w:rPr>
        <w:t>0</w:t>
      </w:r>
      <w:r w:rsidR="00F80499" w:rsidRPr="007E6EF5">
        <w:rPr>
          <w:lang w:eastAsia="cs-CZ"/>
        </w:rPr>
        <w:t xml:space="preserve"> a</w:t>
      </w:r>
      <w:r w:rsidR="00050CFC" w:rsidRPr="007E6EF5">
        <w:rPr>
          <w:lang w:eastAsia="cs-CZ"/>
        </w:rPr>
        <w:t>ž</w:t>
      </w:r>
      <w:r w:rsidR="00F80499" w:rsidRPr="007E6EF5">
        <w:rPr>
          <w:lang w:eastAsia="cs-CZ"/>
        </w:rPr>
        <w:t xml:space="preserve"> 2022</w:t>
      </w:r>
      <w:r w:rsidR="0071417A">
        <w:rPr>
          <w:lang w:eastAsia="cs-CZ"/>
        </w:rPr>
        <w:t>. Jak je zřejmé z </w:t>
      </w:r>
      <w:r w:rsidR="0071417A" w:rsidRPr="00030FDF">
        <w:rPr>
          <w:lang w:eastAsia="cs-CZ"/>
        </w:rPr>
        <w:t xml:space="preserve">údajů tabulek č. 1 a 2, </w:t>
      </w:r>
      <w:r w:rsidR="00402297" w:rsidRPr="00030FDF">
        <w:rPr>
          <w:lang w:eastAsia="cs-CZ"/>
        </w:rPr>
        <w:t>v roce 2021</w:t>
      </w:r>
      <w:r w:rsidR="0071417A" w:rsidRPr="00030FDF">
        <w:rPr>
          <w:lang w:eastAsia="cs-CZ"/>
        </w:rPr>
        <w:t xml:space="preserve"> došlo k meziročnímu zvýšení počtu </w:t>
      </w:r>
      <w:r w:rsidR="0071417A" w:rsidRPr="00030FDF">
        <w:t>usmrcených</w:t>
      </w:r>
      <w:r w:rsidR="0071417A" w:rsidRPr="00030FDF">
        <w:rPr>
          <w:lang w:eastAsia="cs-CZ"/>
        </w:rPr>
        <w:t xml:space="preserve"> na silnicích a v roce</w:t>
      </w:r>
      <w:r w:rsidR="0071417A">
        <w:rPr>
          <w:lang w:eastAsia="cs-CZ"/>
        </w:rPr>
        <w:t xml:space="preserve"> 2022 se hodnota tohoto ukazatele dostala jen velmi mírně pod úroveň roku 2020</w:t>
      </w:r>
      <w:r w:rsidR="00E35DD9" w:rsidRPr="007E6EF5">
        <w:rPr>
          <w:lang w:eastAsia="cs-CZ"/>
        </w:rPr>
        <w:t xml:space="preserve">. Přetrvávající stagnace těchto hodnot </w:t>
      </w:r>
      <w:r w:rsidR="00F80499" w:rsidRPr="007E6EF5">
        <w:rPr>
          <w:rFonts w:cstheme="minorHAnsi"/>
          <w:lang w:eastAsia="cs-CZ"/>
        </w:rPr>
        <w:lastRenderedPageBreak/>
        <w:t>i v následujících letech</w:t>
      </w:r>
      <w:r w:rsidR="00E35DD9" w:rsidRPr="007E6EF5">
        <w:rPr>
          <w:rFonts w:cstheme="minorHAnsi"/>
          <w:lang w:eastAsia="cs-CZ"/>
        </w:rPr>
        <w:t xml:space="preserve"> </w:t>
      </w:r>
      <w:r w:rsidR="00004F10" w:rsidRPr="007E6EF5">
        <w:rPr>
          <w:rFonts w:cstheme="minorHAnsi"/>
          <w:lang w:eastAsia="cs-CZ"/>
        </w:rPr>
        <w:t>b</w:t>
      </w:r>
      <w:r w:rsidR="00E35DD9" w:rsidRPr="007E6EF5">
        <w:rPr>
          <w:rFonts w:cstheme="minorHAnsi"/>
          <w:lang w:eastAsia="cs-CZ"/>
        </w:rPr>
        <w:t xml:space="preserve">y </w:t>
      </w:r>
      <w:r w:rsidR="00205A24">
        <w:rPr>
          <w:rFonts w:cstheme="minorHAnsi"/>
          <w:lang w:eastAsia="cs-CZ"/>
        </w:rPr>
        <w:t>vedla k</w:t>
      </w:r>
      <w:r w:rsidR="00F80499" w:rsidRPr="007E6EF5">
        <w:rPr>
          <w:rFonts w:cstheme="minorHAnsi"/>
          <w:lang w:eastAsia="cs-CZ"/>
        </w:rPr>
        <w:t xml:space="preserve"> </w:t>
      </w:r>
      <w:r w:rsidR="00205A24">
        <w:rPr>
          <w:rFonts w:cstheme="minorHAnsi"/>
          <w:lang w:eastAsia="cs-CZ"/>
        </w:rPr>
        <w:t>ne</w:t>
      </w:r>
      <w:r w:rsidRPr="007E6EF5">
        <w:rPr>
          <w:rFonts w:cstheme="minorHAnsi"/>
          <w:lang w:eastAsia="cs-CZ"/>
        </w:rPr>
        <w:t>s</w:t>
      </w:r>
      <w:r w:rsidR="00F80499" w:rsidRPr="007E6EF5">
        <w:rPr>
          <w:rFonts w:cstheme="minorHAnsi"/>
          <w:lang w:eastAsia="cs-CZ"/>
        </w:rPr>
        <w:t xml:space="preserve">plnění strategických cílů stanovených </w:t>
      </w:r>
      <w:r w:rsidR="00205A24">
        <w:rPr>
          <w:rFonts w:cstheme="minorHAnsi"/>
          <w:lang w:eastAsia="cs-CZ"/>
        </w:rPr>
        <w:t>k</w:t>
      </w:r>
      <w:r w:rsidR="002274D1">
        <w:rPr>
          <w:rFonts w:cstheme="minorHAnsi"/>
          <w:lang w:eastAsia="cs-CZ"/>
        </w:rPr>
        <w:t> </w:t>
      </w:r>
      <w:r w:rsidR="00F80499" w:rsidRPr="007E6EF5">
        <w:rPr>
          <w:rFonts w:cstheme="minorHAnsi"/>
          <w:lang w:eastAsia="cs-CZ"/>
        </w:rPr>
        <w:t>roku 2030</w:t>
      </w:r>
      <w:r w:rsidR="00BE3650">
        <w:rPr>
          <w:rFonts w:cstheme="minorHAnsi"/>
          <w:lang w:eastAsia="cs-CZ"/>
        </w:rPr>
        <w:t>, které jsou postaveny na předpokladu setrvalého poklesu počtu usmrcených na</w:t>
      </w:r>
      <w:r w:rsidR="002274D1">
        <w:rPr>
          <w:rFonts w:cstheme="minorHAnsi"/>
          <w:lang w:eastAsia="cs-CZ"/>
        </w:rPr>
        <w:t> </w:t>
      </w:r>
      <w:r w:rsidR="00D400D5">
        <w:rPr>
          <w:rFonts w:cstheme="minorHAnsi"/>
          <w:lang w:eastAsia="cs-CZ"/>
        </w:rPr>
        <w:t>PK</w:t>
      </w:r>
      <w:r w:rsidR="00F80499" w:rsidRPr="007E6EF5">
        <w:rPr>
          <w:rFonts w:cstheme="minorHAnsi"/>
          <w:lang w:eastAsia="cs-CZ"/>
        </w:rPr>
        <w:t>.</w:t>
      </w:r>
    </w:p>
    <w:p w14:paraId="100502C7" w14:textId="77777777" w:rsidR="009A46E2" w:rsidRPr="00030FDF" w:rsidRDefault="009A46E2" w:rsidP="005E2807">
      <w:pPr>
        <w:pStyle w:val="JK4"/>
        <w:ind w:left="0" w:firstLine="0"/>
        <w:rPr>
          <w:lang w:eastAsia="cs-CZ"/>
        </w:rPr>
      </w:pPr>
      <w:r w:rsidRPr="00607015">
        <w:rPr>
          <w:lang w:eastAsia="cs-CZ"/>
        </w:rPr>
        <w:t>NKÚ</w:t>
      </w:r>
      <w:r w:rsidR="00025F12" w:rsidRPr="00607015">
        <w:rPr>
          <w:lang w:eastAsia="cs-CZ"/>
        </w:rPr>
        <w:t xml:space="preserve"> proto dále ověřil údaje</w:t>
      </w:r>
      <w:r w:rsidR="00025F12">
        <w:rPr>
          <w:lang w:eastAsia="cs-CZ"/>
        </w:rPr>
        <w:t xml:space="preserve"> </w:t>
      </w:r>
      <w:r w:rsidR="00F55945">
        <w:rPr>
          <w:lang w:eastAsia="cs-CZ"/>
        </w:rPr>
        <w:t xml:space="preserve">ze </w:t>
      </w:r>
      <w:r w:rsidR="00025F12">
        <w:rPr>
          <w:lang w:eastAsia="cs-CZ"/>
        </w:rPr>
        <w:t xml:space="preserve">statistik nehodovosti </w:t>
      </w:r>
      <w:r w:rsidR="00FD73E4">
        <w:rPr>
          <w:lang w:eastAsia="cs-CZ"/>
        </w:rPr>
        <w:t xml:space="preserve">PČR </w:t>
      </w:r>
      <w:r w:rsidR="00025F12">
        <w:rPr>
          <w:lang w:eastAsia="cs-CZ"/>
        </w:rPr>
        <w:t xml:space="preserve">za první čtvrtletí roku </w:t>
      </w:r>
      <w:r w:rsidR="00025F12">
        <w:t>2023</w:t>
      </w:r>
      <w:r w:rsidR="00025F12">
        <w:rPr>
          <w:lang w:eastAsia="cs-CZ"/>
        </w:rPr>
        <w:t>, aby</w:t>
      </w:r>
      <w:r w:rsidRPr="007E6EF5">
        <w:rPr>
          <w:lang w:eastAsia="cs-CZ"/>
        </w:rPr>
        <w:t xml:space="preserve"> </w:t>
      </w:r>
      <w:r w:rsidR="00025F12">
        <w:rPr>
          <w:lang w:eastAsia="cs-CZ"/>
        </w:rPr>
        <w:t>posoudil, zda tento trend určité stagnace počtu usmrcených osob pokračuje i v tomto roce. Z</w:t>
      </w:r>
      <w:r w:rsidRPr="007E6EF5">
        <w:rPr>
          <w:lang w:eastAsia="cs-CZ"/>
        </w:rPr>
        <w:t>jistil</w:t>
      </w:r>
      <w:r w:rsidR="00025F12">
        <w:rPr>
          <w:lang w:eastAsia="cs-CZ"/>
        </w:rPr>
        <w:t xml:space="preserve"> při tom</w:t>
      </w:r>
      <w:r w:rsidRPr="007E6EF5">
        <w:rPr>
          <w:lang w:eastAsia="cs-CZ"/>
        </w:rPr>
        <w:t>, že počet usmrcených osob při dopravních nehodách za první čtvrtletí roku 2023</w:t>
      </w:r>
      <w:r w:rsidR="00025F12">
        <w:rPr>
          <w:lang w:eastAsia="cs-CZ"/>
        </w:rPr>
        <w:t xml:space="preserve"> nejenže neklesl, ale</w:t>
      </w:r>
      <w:r w:rsidRPr="007E6EF5">
        <w:rPr>
          <w:lang w:eastAsia="cs-CZ"/>
        </w:rPr>
        <w:t xml:space="preserve"> byl </w:t>
      </w:r>
      <w:r w:rsidR="00025F12">
        <w:rPr>
          <w:lang w:eastAsia="cs-CZ"/>
        </w:rPr>
        <w:t xml:space="preserve">dokonce </w:t>
      </w:r>
      <w:r w:rsidRPr="007E6EF5">
        <w:rPr>
          <w:lang w:eastAsia="cs-CZ"/>
        </w:rPr>
        <w:t xml:space="preserve">nejvyšší </w:t>
      </w:r>
      <w:r w:rsidRPr="007E6EF5">
        <w:rPr>
          <w:rFonts w:cstheme="minorHAnsi"/>
          <w:lang w:eastAsia="cs-CZ"/>
        </w:rPr>
        <w:t xml:space="preserve">od roku 2015 </w:t>
      </w:r>
      <w:r w:rsidRPr="00030FDF">
        <w:rPr>
          <w:rFonts w:cstheme="minorHAnsi"/>
          <w:lang w:eastAsia="cs-CZ"/>
        </w:rPr>
        <w:t>(viz tabulka č.</w:t>
      </w:r>
      <w:r w:rsidR="00CC5F3D" w:rsidRPr="00030FDF">
        <w:rPr>
          <w:rFonts w:cstheme="minorHAnsi"/>
          <w:lang w:eastAsia="cs-CZ"/>
        </w:rPr>
        <w:t xml:space="preserve"> </w:t>
      </w:r>
      <w:r w:rsidRPr="00030FDF">
        <w:rPr>
          <w:rFonts w:cstheme="minorHAnsi"/>
          <w:lang w:eastAsia="cs-CZ"/>
        </w:rPr>
        <w:t>3).</w:t>
      </w:r>
      <w:r w:rsidRPr="00030FDF">
        <w:rPr>
          <w:lang w:eastAsia="cs-CZ"/>
        </w:rPr>
        <w:t xml:space="preserve"> </w:t>
      </w:r>
    </w:p>
    <w:p w14:paraId="2B4837D4" w14:textId="77777777" w:rsidR="009A46E2" w:rsidRPr="00637B9E" w:rsidRDefault="009A46E2" w:rsidP="009A46E2">
      <w:pPr>
        <w:pStyle w:val="Titulek"/>
        <w:keepNext/>
        <w:spacing w:after="0"/>
        <w:rPr>
          <w:rFonts w:cstheme="minorHAnsi"/>
          <w:b/>
          <w:bCs/>
          <w:i w:val="0"/>
          <w:iCs w:val="0"/>
          <w:color w:val="auto"/>
          <w:sz w:val="24"/>
          <w:szCs w:val="24"/>
        </w:rPr>
      </w:pPr>
      <w:r w:rsidRPr="007E6EF5">
        <w:rPr>
          <w:rFonts w:cstheme="minorHAnsi"/>
          <w:b/>
          <w:bCs/>
          <w:i w:val="0"/>
          <w:iCs w:val="0"/>
          <w:color w:val="auto"/>
          <w:sz w:val="24"/>
          <w:szCs w:val="24"/>
        </w:rPr>
        <w:t xml:space="preserve">Tabulka č. </w:t>
      </w:r>
      <w:r w:rsidRPr="007E6EF5">
        <w:rPr>
          <w:rFonts w:cstheme="minorHAnsi"/>
          <w:b/>
          <w:i w:val="0"/>
          <w:color w:val="auto"/>
          <w:sz w:val="24"/>
          <w:szCs w:val="24"/>
        </w:rPr>
        <w:t>3</w:t>
      </w:r>
      <w:r w:rsidRPr="007E6EF5">
        <w:rPr>
          <w:rFonts w:cstheme="minorHAnsi"/>
          <w:b/>
          <w:bCs/>
          <w:i w:val="0"/>
          <w:iCs w:val="0"/>
          <w:color w:val="auto"/>
          <w:sz w:val="24"/>
          <w:szCs w:val="24"/>
        </w:rPr>
        <w:t>: Srovnání vývoje ukazatelů v 1. čtvrtlet</w:t>
      </w:r>
      <w:r w:rsidRPr="00637B9E">
        <w:rPr>
          <w:rFonts w:cstheme="minorHAnsi"/>
          <w:b/>
          <w:bCs/>
          <w:i w:val="0"/>
          <w:iCs w:val="0"/>
          <w:color w:val="auto"/>
          <w:sz w:val="24"/>
          <w:szCs w:val="24"/>
        </w:rPr>
        <w:t>ích let 2015</w:t>
      </w:r>
      <w:r w:rsidR="00BE3ED4">
        <w:rPr>
          <w:rFonts w:cstheme="minorHAnsi"/>
          <w:b/>
          <w:bCs/>
          <w:i w:val="0"/>
          <w:iCs w:val="0"/>
          <w:color w:val="auto"/>
          <w:sz w:val="24"/>
          <w:szCs w:val="24"/>
        </w:rPr>
        <w:t>–</w:t>
      </w:r>
      <w:r w:rsidRPr="00637B9E">
        <w:rPr>
          <w:rFonts w:cstheme="minorHAnsi"/>
          <w:b/>
          <w:bCs/>
          <w:i w:val="0"/>
          <w:iCs w:val="0"/>
          <w:color w:val="auto"/>
          <w:sz w:val="24"/>
          <w:szCs w:val="24"/>
        </w:rPr>
        <w:t>2023</w:t>
      </w:r>
    </w:p>
    <w:tbl>
      <w:tblPr>
        <w:tblStyle w:val="Mkatabulky"/>
        <w:tblW w:w="0" w:type="auto"/>
        <w:tblLayout w:type="fixed"/>
        <w:tblLook w:val="04A0" w:firstRow="1" w:lastRow="0" w:firstColumn="1" w:lastColumn="0" w:noHBand="0" w:noVBand="1"/>
      </w:tblPr>
      <w:tblGrid>
        <w:gridCol w:w="2547"/>
        <w:gridCol w:w="723"/>
        <w:gridCol w:w="724"/>
        <w:gridCol w:w="724"/>
        <w:gridCol w:w="723"/>
        <w:gridCol w:w="724"/>
        <w:gridCol w:w="724"/>
        <w:gridCol w:w="723"/>
        <w:gridCol w:w="724"/>
        <w:gridCol w:w="724"/>
      </w:tblGrid>
      <w:tr w:rsidR="009A46E2" w:rsidRPr="00637B9E" w14:paraId="1106880B" w14:textId="77777777" w:rsidTr="002C7C06">
        <w:trPr>
          <w:trHeight w:val="340"/>
        </w:trPr>
        <w:tc>
          <w:tcPr>
            <w:tcW w:w="2547" w:type="dxa"/>
            <w:shd w:val="clear" w:color="auto" w:fill="E5F1FF"/>
            <w:vAlign w:val="center"/>
          </w:tcPr>
          <w:p w14:paraId="0C9287F3" w14:textId="77777777" w:rsidR="009A46E2" w:rsidRPr="009C2951" w:rsidRDefault="009A46E2" w:rsidP="002B156F">
            <w:pPr>
              <w:jc w:val="center"/>
              <w:rPr>
                <w:rFonts w:cstheme="minorHAnsi"/>
                <w:b/>
                <w:sz w:val="20"/>
                <w:szCs w:val="20"/>
              </w:rPr>
            </w:pPr>
            <w:r w:rsidRPr="009C2951">
              <w:rPr>
                <w:rFonts w:cstheme="minorHAnsi"/>
                <w:b/>
                <w:sz w:val="20"/>
                <w:szCs w:val="20"/>
              </w:rPr>
              <w:t>Ukazatel</w:t>
            </w:r>
          </w:p>
        </w:tc>
        <w:tc>
          <w:tcPr>
            <w:tcW w:w="723" w:type="dxa"/>
            <w:tcBorders>
              <w:bottom w:val="single" w:sz="4" w:space="0" w:color="auto"/>
            </w:tcBorders>
            <w:shd w:val="clear" w:color="auto" w:fill="E5F1FF"/>
            <w:vAlign w:val="center"/>
          </w:tcPr>
          <w:p w14:paraId="6C763723" w14:textId="77777777" w:rsidR="009A46E2" w:rsidRPr="009C2951" w:rsidRDefault="009A46E2" w:rsidP="002B156F">
            <w:pPr>
              <w:jc w:val="center"/>
              <w:rPr>
                <w:rFonts w:cstheme="minorHAnsi"/>
                <w:b/>
                <w:sz w:val="20"/>
                <w:szCs w:val="20"/>
              </w:rPr>
            </w:pPr>
            <w:r w:rsidRPr="009C2951">
              <w:rPr>
                <w:rFonts w:cstheme="minorHAnsi"/>
                <w:b/>
                <w:sz w:val="20"/>
                <w:szCs w:val="20"/>
              </w:rPr>
              <w:t>2015</w:t>
            </w:r>
          </w:p>
        </w:tc>
        <w:tc>
          <w:tcPr>
            <w:tcW w:w="724" w:type="dxa"/>
            <w:tcBorders>
              <w:bottom w:val="single" w:sz="4" w:space="0" w:color="auto"/>
            </w:tcBorders>
            <w:shd w:val="clear" w:color="auto" w:fill="E5F1FF"/>
            <w:vAlign w:val="center"/>
          </w:tcPr>
          <w:p w14:paraId="0E2E2CF5" w14:textId="77777777" w:rsidR="009A46E2" w:rsidRPr="009C2951" w:rsidRDefault="009A46E2">
            <w:pPr>
              <w:jc w:val="center"/>
              <w:rPr>
                <w:rFonts w:cstheme="minorHAnsi"/>
                <w:b/>
                <w:sz w:val="20"/>
                <w:szCs w:val="20"/>
              </w:rPr>
            </w:pPr>
            <w:r w:rsidRPr="009C2951">
              <w:rPr>
                <w:rFonts w:cstheme="minorHAnsi"/>
                <w:b/>
                <w:sz w:val="20"/>
                <w:szCs w:val="20"/>
              </w:rPr>
              <w:t>2016</w:t>
            </w:r>
          </w:p>
        </w:tc>
        <w:tc>
          <w:tcPr>
            <w:tcW w:w="724" w:type="dxa"/>
            <w:tcBorders>
              <w:bottom w:val="single" w:sz="4" w:space="0" w:color="auto"/>
            </w:tcBorders>
            <w:shd w:val="clear" w:color="auto" w:fill="E5F1FF"/>
            <w:vAlign w:val="center"/>
          </w:tcPr>
          <w:p w14:paraId="1C7F7492" w14:textId="77777777" w:rsidR="009A46E2" w:rsidRPr="009C2951" w:rsidRDefault="009A46E2">
            <w:pPr>
              <w:jc w:val="center"/>
              <w:rPr>
                <w:rFonts w:cstheme="minorHAnsi"/>
                <w:b/>
                <w:sz w:val="20"/>
                <w:szCs w:val="20"/>
              </w:rPr>
            </w:pPr>
            <w:r w:rsidRPr="009C2951">
              <w:rPr>
                <w:rFonts w:cstheme="minorHAnsi"/>
                <w:b/>
                <w:sz w:val="20"/>
                <w:szCs w:val="20"/>
              </w:rPr>
              <w:t>2017</w:t>
            </w:r>
          </w:p>
        </w:tc>
        <w:tc>
          <w:tcPr>
            <w:tcW w:w="723" w:type="dxa"/>
            <w:tcBorders>
              <w:bottom w:val="single" w:sz="4" w:space="0" w:color="auto"/>
            </w:tcBorders>
            <w:shd w:val="clear" w:color="auto" w:fill="E5F1FF"/>
            <w:vAlign w:val="center"/>
          </w:tcPr>
          <w:p w14:paraId="60A7B60A" w14:textId="77777777" w:rsidR="009A46E2" w:rsidRPr="009C2951" w:rsidRDefault="009A46E2">
            <w:pPr>
              <w:jc w:val="center"/>
              <w:rPr>
                <w:rFonts w:cstheme="minorHAnsi"/>
                <w:b/>
                <w:sz w:val="20"/>
                <w:szCs w:val="20"/>
              </w:rPr>
            </w:pPr>
            <w:r w:rsidRPr="009C2951">
              <w:rPr>
                <w:rFonts w:cstheme="minorHAnsi"/>
                <w:b/>
                <w:sz w:val="20"/>
                <w:szCs w:val="20"/>
              </w:rPr>
              <w:t>2018</w:t>
            </w:r>
          </w:p>
        </w:tc>
        <w:tc>
          <w:tcPr>
            <w:tcW w:w="724" w:type="dxa"/>
            <w:tcBorders>
              <w:bottom w:val="single" w:sz="4" w:space="0" w:color="auto"/>
            </w:tcBorders>
            <w:shd w:val="clear" w:color="auto" w:fill="E5F1FF"/>
            <w:vAlign w:val="center"/>
          </w:tcPr>
          <w:p w14:paraId="1CFF95E5" w14:textId="77777777" w:rsidR="009A46E2" w:rsidRPr="009C2951" w:rsidRDefault="009A46E2">
            <w:pPr>
              <w:jc w:val="center"/>
              <w:rPr>
                <w:rFonts w:cstheme="minorHAnsi"/>
                <w:b/>
                <w:sz w:val="20"/>
                <w:szCs w:val="20"/>
              </w:rPr>
            </w:pPr>
            <w:r w:rsidRPr="009C2951">
              <w:rPr>
                <w:rFonts w:cstheme="minorHAnsi"/>
                <w:b/>
                <w:sz w:val="20"/>
                <w:szCs w:val="20"/>
              </w:rPr>
              <w:t>2019</w:t>
            </w:r>
          </w:p>
        </w:tc>
        <w:tc>
          <w:tcPr>
            <w:tcW w:w="724" w:type="dxa"/>
            <w:tcBorders>
              <w:bottom w:val="single" w:sz="4" w:space="0" w:color="auto"/>
            </w:tcBorders>
            <w:shd w:val="clear" w:color="auto" w:fill="E5F1FF"/>
            <w:vAlign w:val="center"/>
          </w:tcPr>
          <w:p w14:paraId="14263A20" w14:textId="77777777" w:rsidR="009A46E2" w:rsidRPr="009C2951" w:rsidRDefault="009A46E2">
            <w:pPr>
              <w:jc w:val="center"/>
              <w:rPr>
                <w:rFonts w:cstheme="minorHAnsi"/>
                <w:b/>
                <w:sz w:val="20"/>
                <w:szCs w:val="20"/>
              </w:rPr>
            </w:pPr>
            <w:r w:rsidRPr="009C2951">
              <w:rPr>
                <w:rFonts w:cstheme="minorHAnsi"/>
                <w:b/>
                <w:sz w:val="20"/>
                <w:szCs w:val="20"/>
              </w:rPr>
              <w:t>2020</w:t>
            </w:r>
          </w:p>
        </w:tc>
        <w:tc>
          <w:tcPr>
            <w:tcW w:w="723" w:type="dxa"/>
            <w:tcBorders>
              <w:bottom w:val="single" w:sz="4" w:space="0" w:color="auto"/>
            </w:tcBorders>
            <w:shd w:val="clear" w:color="auto" w:fill="E5F1FF"/>
            <w:vAlign w:val="center"/>
          </w:tcPr>
          <w:p w14:paraId="19909F7D" w14:textId="77777777" w:rsidR="009A46E2" w:rsidRPr="009C2951" w:rsidRDefault="009A46E2">
            <w:pPr>
              <w:jc w:val="center"/>
              <w:rPr>
                <w:rFonts w:cstheme="minorHAnsi"/>
                <w:b/>
                <w:sz w:val="20"/>
                <w:szCs w:val="20"/>
              </w:rPr>
            </w:pPr>
            <w:r w:rsidRPr="009C2951">
              <w:rPr>
                <w:rFonts w:cstheme="minorHAnsi"/>
                <w:b/>
                <w:sz w:val="20"/>
                <w:szCs w:val="20"/>
              </w:rPr>
              <w:t>2021</w:t>
            </w:r>
          </w:p>
        </w:tc>
        <w:tc>
          <w:tcPr>
            <w:tcW w:w="724" w:type="dxa"/>
            <w:tcBorders>
              <w:bottom w:val="single" w:sz="4" w:space="0" w:color="auto"/>
            </w:tcBorders>
            <w:shd w:val="clear" w:color="auto" w:fill="E5F1FF"/>
            <w:vAlign w:val="center"/>
          </w:tcPr>
          <w:p w14:paraId="5C434B49" w14:textId="77777777" w:rsidR="009A46E2" w:rsidRPr="009C2951" w:rsidRDefault="009A46E2">
            <w:pPr>
              <w:jc w:val="center"/>
              <w:rPr>
                <w:rFonts w:cstheme="minorHAnsi"/>
                <w:b/>
                <w:sz w:val="20"/>
                <w:szCs w:val="20"/>
              </w:rPr>
            </w:pPr>
            <w:r w:rsidRPr="009C2951">
              <w:rPr>
                <w:rFonts w:cstheme="minorHAnsi"/>
                <w:b/>
                <w:sz w:val="20"/>
                <w:szCs w:val="20"/>
              </w:rPr>
              <w:t>2022</w:t>
            </w:r>
          </w:p>
        </w:tc>
        <w:tc>
          <w:tcPr>
            <w:tcW w:w="724" w:type="dxa"/>
            <w:tcBorders>
              <w:bottom w:val="single" w:sz="4" w:space="0" w:color="auto"/>
            </w:tcBorders>
            <w:shd w:val="clear" w:color="auto" w:fill="E5F1FF"/>
            <w:vAlign w:val="center"/>
          </w:tcPr>
          <w:p w14:paraId="1CAC174C" w14:textId="77777777" w:rsidR="009A46E2" w:rsidRPr="009C2951" w:rsidRDefault="009A46E2">
            <w:pPr>
              <w:jc w:val="center"/>
              <w:rPr>
                <w:rFonts w:cstheme="minorHAnsi"/>
                <w:b/>
                <w:sz w:val="20"/>
                <w:szCs w:val="20"/>
              </w:rPr>
            </w:pPr>
            <w:r w:rsidRPr="009C2951">
              <w:rPr>
                <w:rFonts w:cstheme="minorHAnsi"/>
                <w:b/>
                <w:sz w:val="20"/>
                <w:szCs w:val="20"/>
              </w:rPr>
              <w:t>2023</w:t>
            </w:r>
          </w:p>
        </w:tc>
      </w:tr>
      <w:tr w:rsidR="009A46E2" w:rsidRPr="00637B9E" w14:paraId="69A2E47D" w14:textId="77777777" w:rsidTr="002B156F">
        <w:tc>
          <w:tcPr>
            <w:tcW w:w="2547" w:type="dxa"/>
            <w:shd w:val="clear" w:color="auto" w:fill="F2F2F2" w:themeFill="background1" w:themeFillShade="F2"/>
            <w:vAlign w:val="center"/>
          </w:tcPr>
          <w:p w14:paraId="429DC1C6" w14:textId="77777777" w:rsidR="009A46E2" w:rsidRPr="00637B9E" w:rsidRDefault="002B156F" w:rsidP="009A46E2">
            <w:pPr>
              <w:rPr>
                <w:rFonts w:cstheme="minorHAnsi"/>
                <w:sz w:val="20"/>
                <w:szCs w:val="20"/>
              </w:rPr>
            </w:pPr>
            <w:r>
              <w:rPr>
                <w:rFonts w:cstheme="minorHAnsi"/>
                <w:sz w:val="20"/>
                <w:szCs w:val="20"/>
              </w:rPr>
              <w:t>P</w:t>
            </w:r>
            <w:r w:rsidR="009A46E2" w:rsidRPr="00637B9E">
              <w:rPr>
                <w:rFonts w:cstheme="minorHAnsi"/>
                <w:sz w:val="20"/>
                <w:szCs w:val="20"/>
              </w:rPr>
              <w:t>očet usmrcených osob</w:t>
            </w:r>
          </w:p>
        </w:tc>
        <w:tc>
          <w:tcPr>
            <w:tcW w:w="723" w:type="dxa"/>
            <w:tcBorders>
              <w:bottom w:val="single" w:sz="4" w:space="0" w:color="auto"/>
            </w:tcBorders>
            <w:shd w:val="clear" w:color="auto" w:fill="auto"/>
            <w:vAlign w:val="center"/>
          </w:tcPr>
          <w:p w14:paraId="391F901D" w14:textId="77777777" w:rsidR="009A46E2" w:rsidRPr="00637B9E" w:rsidRDefault="00A30DC7" w:rsidP="002B156F">
            <w:pPr>
              <w:jc w:val="right"/>
              <w:rPr>
                <w:rFonts w:cstheme="minorHAnsi"/>
                <w:sz w:val="20"/>
                <w:szCs w:val="20"/>
              </w:rPr>
            </w:pPr>
            <w:r>
              <w:rPr>
                <w:rFonts w:cstheme="minorHAnsi"/>
                <w:sz w:val="20"/>
                <w:szCs w:val="20"/>
              </w:rPr>
              <w:t>120</w:t>
            </w:r>
          </w:p>
        </w:tc>
        <w:tc>
          <w:tcPr>
            <w:tcW w:w="724" w:type="dxa"/>
            <w:tcBorders>
              <w:bottom w:val="single" w:sz="4" w:space="0" w:color="auto"/>
            </w:tcBorders>
            <w:shd w:val="clear" w:color="auto" w:fill="auto"/>
            <w:vAlign w:val="center"/>
          </w:tcPr>
          <w:p w14:paraId="0AE87172" w14:textId="77777777" w:rsidR="009A46E2" w:rsidRPr="00637B9E" w:rsidRDefault="009A46E2" w:rsidP="002B156F">
            <w:pPr>
              <w:jc w:val="right"/>
              <w:rPr>
                <w:rFonts w:cstheme="minorHAnsi"/>
                <w:sz w:val="20"/>
                <w:szCs w:val="20"/>
              </w:rPr>
            </w:pPr>
            <w:r w:rsidRPr="00637B9E">
              <w:rPr>
                <w:rFonts w:cstheme="minorHAnsi"/>
                <w:sz w:val="20"/>
                <w:szCs w:val="20"/>
              </w:rPr>
              <w:t>106</w:t>
            </w:r>
          </w:p>
        </w:tc>
        <w:tc>
          <w:tcPr>
            <w:tcW w:w="724" w:type="dxa"/>
            <w:shd w:val="clear" w:color="auto" w:fill="auto"/>
            <w:vAlign w:val="center"/>
          </w:tcPr>
          <w:p w14:paraId="1254CBC7" w14:textId="77777777" w:rsidR="009A46E2" w:rsidRPr="00637B9E" w:rsidRDefault="00A30DC7" w:rsidP="002B156F">
            <w:pPr>
              <w:jc w:val="right"/>
              <w:rPr>
                <w:rFonts w:cstheme="minorHAnsi"/>
                <w:sz w:val="20"/>
                <w:szCs w:val="20"/>
              </w:rPr>
            </w:pPr>
            <w:r>
              <w:rPr>
                <w:rFonts w:cstheme="minorHAnsi"/>
                <w:sz w:val="20"/>
                <w:szCs w:val="20"/>
              </w:rPr>
              <w:t>88</w:t>
            </w:r>
          </w:p>
        </w:tc>
        <w:tc>
          <w:tcPr>
            <w:tcW w:w="723" w:type="dxa"/>
            <w:shd w:val="clear" w:color="auto" w:fill="auto"/>
            <w:vAlign w:val="center"/>
          </w:tcPr>
          <w:p w14:paraId="5A1A4EF5" w14:textId="77777777" w:rsidR="009A46E2" w:rsidRPr="00637B9E" w:rsidRDefault="00A30DC7" w:rsidP="002B156F">
            <w:pPr>
              <w:jc w:val="right"/>
              <w:rPr>
                <w:rFonts w:cstheme="minorHAnsi"/>
                <w:sz w:val="20"/>
                <w:szCs w:val="20"/>
              </w:rPr>
            </w:pPr>
            <w:r>
              <w:rPr>
                <w:rFonts w:cstheme="minorHAnsi"/>
                <w:sz w:val="20"/>
                <w:szCs w:val="20"/>
              </w:rPr>
              <w:t>92</w:t>
            </w:r>
          </w:p>
        </w:tc>
        <w:tc>
          <w:tcPr>
            <w:tcW w:w="724" w:type="dxa"/>
            <w:shd w:val="clear" w:color="auto" w:fill="auto"/>
            <w:vAlign w:val="center"/>
          </w:tcPr>
          <w:p w14:paraId="3E53F9A6" w14:textId="77777777" w:rsidR="009A46E2" w:rsidRPr="00637B9E" w:rsidRDefault="00A30DC7" w:rsidP="002B156F">
            <w:pPr>
              <w:jc w:val="right"/>
              <w:rPr>
                <w:rFonts w:cstheme="minorHAnsi"/>
                <w:sz w:val="20"/>
                <w:szCs w:val="20"/>
              </w:rPr>
            </w:pPr>
            <w:r>
              <w:rPr>
                <w:rFonts w:cstheme="minorHAnsi"/>
                <w:sz w:val="20"/>
                <w:szCs w:val="20"/>
              </w:rPr>
              <w:t>87</w:t>
            </w:r>
          </w:p>
        </w:tc>
        <w:tc>
          <w:tcPr>
            <w:tcW w:w="724" w:type="dxa"/>
            <w:shd w:val="clear" w:color="auto" w:fill="auto"/>
            <w:vAlign w:val="center"/>
          </w:tcPr>
          <w:p w14:paraId="369D3DAE" w14:textId="77777777" w:rsidR="009A46E2" w:rsidRPr="00637B9E" w:rsidRDefault="00A30DC7" w:rsidP="002B156F">
            <w:pPr>
              <w:jc w:val="right"/>
              <w:rPr>
                <w:rFonts w:cstheme="minorHAnsi"/>
                <w:sz w:val="20"/>
                <w:szCs w:val="20"/>
              </w:rPr>
            </w:pPr>
            <w:r>
              <w:rPr>
                <w:rFonts w:cstheme="minorHAnsi"/>
                <w:sz w:val="20"/>
                <w:szCs w:val="20"/>
              </w:rPr>
              <w:t>103</w:t>
            </w:r>
          </w:p>
        </w:tc>
        <w:tc>
          <w:tcPr>
            <w:tcW w:w="723" w:type="dxa"/>
            <w:shd w:val="clear" w:color="auto" w:fill="auto"/>
            <w:vAlign w:val="center"/>
          </w:tcPr>
          <w:p w14:paraId="49541706" w14:textId="77777777" w:rsidR="009A46E2" w:rsidRPr="00637B9E" w:rsidRDefault="00A30DC7" w:rsidP="002B156F">
            <w:pPr>
              <w:jc w:val="right"/>
              <w:rPr>
                <w:rFonts w:cstheme="minorHAnsi"/>
                <w:sz w:val="20"/>
                <w:szCs w:val="20"/>
              </w:rPr>
            </w:pPr>
            <w:r>
              <w:rPr>
                <w:rFonts w:cstheme="minorHAnsi"/>
                <w:sz w:val="20"/>
                <w:szCs w:val="20"/>
              </w:rPr>
              <w:t>81</w:t>
            </w:r>
          </w:p>
        </w:tc>
        <w:tc>
          <w:tcPr>
            <w:tcW w:w="724" w:type="dxa"/>
            <w:shd w:val="clear" w:color="auto" w:fill="auto"/>
            <w:vAlign w:val="center"/>
          </w:tcPr>
          <w:p w14:paraId="3A0420B7" w14:textId="77777777" w:rsidR="009A46E2" w:rsidRPr="00637B9E" w:rsidRDefault="00A30DC7" w:rsidP="002B156F">
            <w:pPr>
              <w:jc w:val="right"/>
              <w:rPr>
                <w:rFonts w:cstheme="minorHAnsi"/>
                <w:sz w:val="20"/>
                <w:szCs w:val="20"/>
              </w:rPr>
            </w:pPr>
            <w:r>
              <w:rPr>
                <w:rFonts w:cstheme="minorHAnsi"/>
                <w:sz w:val="20"/>
                <w:szCs w:val="20"/>
              </w:rPr>
              <w:t>98</w:t>
            </w:r>
          </w:p>
        </w:tc>
        <w:tc>
          <w:tcPr>
            <w:tcW w:w="724" w:type="dxa"/>
            <w:shd w:val="clear" w:color="auto" w:fill="auto"/>
            <w:vAlign w:val="center"/>
          </w:tcPr>
          <w:p w14:paraId="4B67D6A9" w14:textId="77777777" w:rsidR="009A46E2" w:rsidRPr="00637B9E" w:rsidRDefault="009A46E2" w:rsidP="002B156F">
            <w:pPr>
              <w:jc w:val="right"/>
              <w:rPr>
                <w:rFonts w:cstheme="minorHAnsi"/>
                <w:sz w:val="20"/>
                <w:szCs w:val="20"/>
              </w:rPr>
            </w:pPr>
            <w:r w:rsidRPr="00637B9E">
              <w:rPr>
                <w:rFonts w:cstheme="minorHAnsi"/>
                <w:sz w:val="20"/>
                <w:szCs w:val="20"/>
              </w:rPr>
              <w:t>107</w:t>
            </w:r>
          </w:p>
        </w:tc>
      </w:tr>
      <w:tr w:rsidR="009A46E2" w:rsidRPr="00637B9E" w14:paraId="1EA7F1E4" w14:textId="77777777" w:rsidTr="002B156F">
        <w:tc>
          <w:tcPr>
            <w:tcW w:w="2547" w:type="dxa"/>
            <w:shd w:val="clear" w:color="auto" w:fill="F2F2F2" w:themeFill="background1" w:themeFillShade="F2"/>
            <w:vAlign w:val="center"/>
          </w:tcPr>
          <w:p w14:paraId="29247A1C" w14:textId="77777777" w:rsidR="009A46E2" w:rsidRPr="00637B9E" w:rsidRDefault="002B156F" w:rsidP="002C7C06">
            <w:pPr>
              <w:ind w:right="-101"/>
              <w:rPr>
                <w:rFonts w:cstheme="minorHAnsi"/>
                <w:sz w:val="20"/>
                <w:szCs w:val="20"/>
              </w:rPr>
            </w:pPr>
            <w:r>
              <w:rPr>
                <w:rFonts w:cstheme="minorHAnsi"/>
                <w:sz w:val="20"/>
                <w:szCs w:val="20"/>
              </w:rPr>
              <w:t>P</w:t>
            </w:r>
            <w:r w:rsidR="009A46E2" w:rsidRPr="00637B9E">
              <w:rPr>
                <w:rFonts w:cstheme="minorHAnsi"/>
                <w:sz w:val="20"/>
                <w:szCs w:val="20"/>
              </w:rPr>
              <w:t>očet těžce zraněných osob</w:t>
            </w:r>
          </w:p>
        </w:tc>
        <w:tc>
          <w:tcPr>
            <w:tcW w:w="723" w:type="dxa"/>
            <w:tcBorders>
              <w:bottom w:val="single" w:sz="4" w:space="0" w:color="auto"/>
            </w:tcBorders>
            <w:shd w:val="clear" w:color="auto" w:fill="auto"/>
            <w:vAlign w:val="center"/>
          </w:tcPr>
          <w:p w14:paraId="776D50D2" w14:textId="77777777" w:rsidR="009A46E2" w:rsidRPr="00637B9E" w:rsidRDefault="00A30DC7" w:rsidP="002B156F">
            <w:pPr>
              <w:jc w:val="right"/>
              <w:rPr>
                <w:rFonts w:cstheme="minorHAnsi"/>
                <w:sz w:val="20"/>
                <w:szCs w:val="20"/>
              </w:rPr>
            </w:pPr>
            <w:r>
              <w:rPr>
                <w:rFonts w:cstheme="minorHAnsi"/>
                <w:sz w:val="20"/>
                <w:szCs w:val="20"/>
              </w:rPr>
              <w:t>411</w:t>
            </w:r>
          </w:p>
        </w:tc>
        <w:tc>
          <w:tcPr>
            <w:tcW w:w="724" w:type="dxa"/>
            <w:tcBorders>
              <w:bottom w:val="single" w:sz="4" w:space="0" w:color="auto"/>
            </w:tcBorders>
            <w:shd w:val="clear" w:color="auto" w:fill="auto"/>
            <w:vAlign w:val="center"/>
          </w:tcPr>
          <w:p w14:paraId="37C28186" w14:textId="77777777" w:rsidR="009A46E2" w:rsidRPr="00637B9E" w:rsidRDefault="00A30DC7" w:rsidP="002B156F">
            <w:pPr>
              <w:jc w:val="right"/>
              <w:rPr>
                <w:rFonts w:cstheme="minorHAnsi"/>
                <w:sz w:val="20"/>
                <w:szCs w:val="20"/>
              </w:rPr>
            </w:pPr>
            <w:r>
              <w:rPr>
                <w:rFonts w:cstheme="minorHAnsi"/>
                <w:sz w:val="20"/>
                <w:szCs w:val="20"/>
              </w:rPr>
              <w:t>437</w:t>
            </w:r>
          </w:p>
        </w:tc>
        <w:tc>
          <w:tcPr>
            <w:tcW w:w="724" w:type="dxa"/>
            <w:shd w:val="clear" w:color="auto" w:fill="auto"/>
            <w:vAlign w:val="center"/>
          </w:tcPr>
          <w:p w14:paraId="3BEFC79F" w14:textId="77777777" w:rsidR="009A46E2" w:rsidRPr="00637B9E" w:rsidRDefault="00A30DC7" w:rsidP="002B156F">
            <w:pPr>
              <w:jc w:val="right"/>
              <w:rPr>
                <w:rFonts w:cstheme="minorHAnsi"/>
                <w:sz w:val="20"/>
                <w:szCs w:val="20"/>
              </w:rPr>
            </w:pPr>
            <w:r>
              <w:rPr>
                <w:rFonts w:cstheme="minorHAnsi"/>
                <w:sz w:val="20"/>
                <w:szCs w:val="20"/>
              </w:rPr>
              <w:t>343</w:t>
            </w:r>
          </w:p>
        </w:tc>
        <w:tc>
          <w:tcPr>
            <w:tcW w:w="723" w:type="dxa"/>
            <w:shd w:val="clear" w:color="auto" w:fill="auto"/>
            <w:vAlign w:val="center"/>
          </w:tcPr>
          <w:p w14:paraId="78CA05B6" w14:textId="77777777" w:rsidR="009A46E2" w:rsidRPr="00637B9E" w:rsidRDefault="00A30DC7" w:rsidP="002B156F">
            <w:pPr>
              <w:jc w:val="right"/>
              <w:rPr>
                <w:rFonts w:cstheme="minorHAnsi"/>
                <w:sz w:val="20"/>
                <w:szCs w:val="20"/>
              </w:rPr>
            </w:pPr>
            <w:r>
              <w:rPr>
                <w:rFonts w:cstheme="minorHAnsi"/>
                <w:sz w:val="20"/>
                <w:szCs w:val="20"/>
              </w:rPr>
              <w:t>356</w:t>
            </w:r>
          </w:p>
        </w:tc>
        <w:tc>
          <w:tcPr>
            <w:tcW w:w="724" w:type="dxa"/>
            <w:shd w:val="clear" w:color="auto" w:fill="auto"/>
            <w:vAlign w:val="center"/>
          </w:tcPr>
          <w:p w14:paraId="794A06FB" w14:textId="77777777" w:rsidR="009A46E2" w:rsidRPr="00637B9E" w:rsidRDefault="00A30DC7" w:rsidP="002B156F">
            <w:pPr>
              <w:jc w:val="right"/>
              <w:rPr>
                <w:rFonts w:cstheme="minorHAnsi"/>
                <w:sz w:val="20"/>
                <w:szCs w:val="20"/>
              </w:rPr>
            </w:pPr>
            <w:r>
              <w:rPr>
                <w:rFonts w:cstheme="minorHAnsi"/>
                <w:sz w:val="20"/>
                <w:szCs w:val="20"/>
              </w:rPr>
              <w:t>365</w:t>
            </w:r>
          </w:p>
        </w:tc>
        <w:tc>
          <w:tcPr>
            <w:tcW w:w="724" w:type="dxa"/>
            <w:shd w:val="clear" w:color="auto" w:fill="auto"/>
            <w:vAlign w:val="center"/>
          </w:tcPr>
          <w:p w14:paraId="27FAD2BB" w14:textId="77777777" w:rsidR="009A46E2" w:rsidRPr="00637B9E" w:rsidRDefault="00A30DC7" w:rsidP="002B156F">
            <w:pPr>
              <w:jc w:val="right"/>
              <w:rPr>
                <w:rFonts w:cstheme="minorHAnsi"/>
                <w:sz w:val="20"/>
                <w:szCs w:val="20"/>
              </w:rPr>
            </w:pPr>
            <w:r>
              <w:rPr>
                <w:rFonts w:cstheme="minorHAnsi"/>
                <w:sz w:val="20"/>
                <w:szCs w:val="20"/>
              </w:rPr>
              <w:t>279</w:t>
            </w:r>
          </w:p>
        </w:tc>
        <w:tc>
          <w:tcPr>
            <w:tcW w:w="723" w:type="dxa"/>
            <w:shd w:val="clear" w:color="auto" w:fill="auto"/>
            <w:vAlign w:val="center"/>
          </w:tcPr>
          <w:p w14:paraId="5C731A09" w14:textId="77777777" w:rsidR="009A46E2" w:rsidRPr="00637B9E" w:rsidRDefault="00A30DC7" w:rsidP="002B156F">
            <w:pPr>
              <w:jc w:val="right"/>
              <w:rPr>
                <w:rFonts w:cstheme="minorHAnsi"/>
                <w:sz w:val="20"/>
                <w:szCs w:val="20"/>
              </w:rPr>
            </w:pPr>
            <w:r>
              <w:rPr>
                <w:rFonts w:cstheme="minorHAnsi"/>
                <w:sz w:val="20"/>
                <w:szCs w:val="20"/>
              </w:rPr>
              <w:t>188</w:t>
            </w:r>
          </w:p>
        </w:tc>
        <w:tc>
          <w:tcPr>
            <w:tcW w:w="724" w:type="dxa"/>
            <w:shd w:val="clear" w:color="auto" w:fill="auto"/>
            <w:vAlign w:val="center"/>
          </w:tcPr>
          <w:p w14:paraId="46BABDC3" w14:textId="77777777" w:rsidR="009A46E2" w:rsidRPr="00637B9E" w:rsidRDefault="00A30DC7" w:rsidP="002B156F">
            <w:pPr>
              <w:jc w:val="right"/>
              <w:rPr>
                <w:rFonts w:cstheme="minorHAnsi"/>
                <w:sz w:val="20"/>
                <w:szCs w:val="20"/>
              </w:rPr>
            </w:pPr>
            <w:r>
              <w:rPr>
                <w:rFonts w:cstheme="minorHAnsi"/>
                <w:sz w:val="20"/>
                <w:szCs w:val="20"/>
              </w:rPr>
              <w:t>286</w:t>
            </w:r>
          </w:p>
        </w:tc>
        <w:tc>
          <w:tcPr>
            <w:tcW w:w="724" w:type="dxa"/>
            <w:shd w:val="clear" w:color="auto" w:fill="auto"/>
            <w:vAlign w:val="center"/>
          </w:tcPr>
          <w:p w14:paraId="050EAA4D" w14:textId="77777777" w:rsidR="009A46E2" w:rsidRPr="00637B9E" w:rsidRDefault="009A46E2" w:rsidP="002B156F">
            <w:pPr>
              <w:jc w:val="right"/>
              <w:rPr>
                <w:rFonts w:cstheme="minorHAnsi"/>
                <w:sz w:val="20"/>
                <w:szCs w:val="20"/>
              </w:rPr>
            </w:pPr>
            <w:r w:rsidRPr="00637B9E">
              <w:rPr>
                <w:rFonts w:cstheme="minorHAnsi"/>
                <w:sz w:val="20"/>
                <w:szCs w:val="20"/>
              </w:rPr>
              <w:t>265</w:t>
            </w:r>
          </w:p>
        </w:tc>
      </w:tr>
    </w:tbl>
    <w:p w14:paraId="2BF767DC" w14:textId="77777777" w:rsidR="009A46E2" w:rsidRPr="002B156F" w:rsidRDefault="009A46E2" w:rsidP="009A46E2">
      <w:pPr>
        <w:jc w:val="both"/>
        <w:rPr>
          <w:rFonts w:eastAsiaTheme="minorEastAsia" w:cstheme="minorHAnsi"/>
          <w:iCs/>
          <w:sz w:val="20"/>
          <w:szCs w:val="20"/>
        </w:rPr>
      </w:pPr>
      <w:r w:rsidRPr="002B156F">
        <w:rPr>
          <w:rFonts w:eastAsiaTheme="minorEastAsia" w:cstheme="minorHAnsi"/>
          <w:b/>
          <w:iCs/>
          <w:sz w:val="20"/>
          <w:szCs w:val="20"/>
        </w:rPr>
        <w:t>Zdroj:</w:t>
      </w:r>
      <w:r w:rsidRPr="002B156F">
        <w:rPr>
          <w:rFonts w:eastAsiaTheme="minorEastAsia" w:cstheme="minorHAnsi"/>
          <w:iCs/>
          <w:sz w:val="20"/>
          <w:szCs w:val="20"/>
        </w:rPr>
        <w:t xml:space="preserve"> statistika nehodovosti</w:t>
      </w:r>
      <w:r w:rsidR="00FD73E4" w:rsidRPr="002B156F">
        <w:rPr>
          <w:rFonts w:eastAsiaTheme="minorEastAsia" w:cstheme="minorHAnsi"/>
          <w:iCs/>
          <w:sz w:val="20"/>
          <w:szCs w:val="20"/>
        </w:rPr>
        <w:t xml:space="preserve"> PČR</w:t>
      </w:r>
      <w:r w:rsidR="00BE3ED4" w:rsidRPr="002B156F">
        <w:rPr>
          <w:rFonts w:eastAsiaTheme="minorEastAsia" w:cstheme="minorHAnsi"/>
          <w:iCs/>
          <w:sz w:val="20"/>
          <w:szCs w:val="20"/>
        </w:rPr>
        <w:t>.</w:t>
      </w:r>
    </w:p>
    <w:p w14:paraId="4D5826F5" w14:textId="77777777" w:rsidR="00F80499" w:rsidRPr="00933BBD" w:rsidRDefault="00DE328E" w:rsidP="005E2807">
      <w:pPr>
        <w:pStyle w:val="JK4"/>
        <w:ind w:left="0" w:firstLine="0"/>
        <w:rPr>
          <w:lang w:eastAsia="cs-CZ"/>
        </w:rPr>
      </w:pPr>
      <w:r>
        <w:rPr>
          <w:lang w:eastAsia="cs-CZ"/>
        </w:rPr>
        <w:t>A</w:t>
      </w:r>
      <w:r w:rsidR="00F80499">
        <w:rPr>
          <w:lang w:eastAsia="cs-CZ"/>
        </w:rPr>
        <w:t xml:space="preserve">ktuální vývoj </w:t>
      </w:r>
      <w:r>
        <w:rPr>
          <w:lang w:eastAsia="cs-CZ"/>
        </w:rPr>
        <w:t xml:space="preserve">v roce 2023 </w:t>
      </w:r>
      <w:r w:rsidR="00F80499">
        <w:rPr>
          <w:lang w:eastAsia="cs-CZ"/>
        </w:rPr>
        <w:t xml:space="preserve">nesměřuje ke splnění </w:t>
      </w:r>
      <w:r>
        <w:rPr>
          <w:lang w:eastAsia="cs-CZ"/>
        </w:rPr>
        <w:t xml:space="preserve">průběžné </w:t>
      </w:r>
      <w:r w:rsidR="00F55945" w:rsidRPr="00A51B02">
        <w:t>cílové</w:t>
      </w:r>
      <w:r w:rsidR="00F80499" w:rsidRPr="00A51B02">
        <w:t xml:space="preserve"> hodnoty </w:t>
      </w:r>
      <w:r w:rsidR="00F55945" w:rsidRPr="00A51B02">
        <w:t xml:space="preserve">snížení </w:t>
      </w:r>
      <w:r w:rsidR="00F80499" w:rsidRPr="00A51B02">
        <w:t>počtu osob usmrcených při dopravních nehodách</w:t>
      </w:r>
      <w:r w:rsidR="00B3707D" w:rsidRPr="00A51B02">
        <w:t xml:space="preserve"> pro </w:t>
      </w:r>
      <w:r w:rsidRPr="00A51B02">
        <w:t>tento rok</w:t>
      </w:r>
      <w:r w:rsidR="00F80499" w:rsidRPr="00A51B02">
        <w:t xml:space="preserve">. Zatímco </w:t>
      </w:r>
      <w:r w:rsidR="00BB28E1" w:rsidRPr="00A51B02">
        <w:t>počet</w:t>
      </w:r>
      <w:r w:rsidR="00F80499" w:rsidRPr="00A51B02">
        <w:t xml:space="preserve"> usmrcených osob dle</w:t>
      </w:r>
      <w:r w:rsidR="000F2357">
        <w:t> </w:t>
      </w:r>
      <w:r w:rsidR="00F80499" w:rsidRPr="00A51B02">
        <w:t xml:space="preserve">Strategie BESIP 2030 </w:t>
      </w:r>
      <w:r w:rsidR="00BB28E1" w:rsidRPr="00A51B02">
        <w:t xml:space="preserve">by neměl </w:t>
      </w:r>
      <w:r w:rsidR="00F80499" w:rsidRPr="00A51B02">
        <w:t xml:space="preserve">pro rok 2023 </w:t>
      </w:r>
      <w:r w:rsidR="00BB28E1" w:rsidRPr="00A51B02">
        <w:t xml:space="preserve">překročit </w:t>
      </w:r>
      <w:r w:rsidR="00F80499" w:rsidRPr="00A51B02">
        <w:t>celkem 437 osob,</w:t>
      </w:r>
      <w:r w:rsidR="00BB28E1" w:rsidRPr="00A51B02">
        <w:t xml:space="preserve"> údaje za první a</w:t>
      </w:r>
      <w:r w:rsidR="00BE3ED4">
        <w:t> </w:t>
      </w:r>
      <w:r w:rsidR="00BB28E1" w:rsidRPr="00A51B02">
        <w:t>druhé čtvrtletí roku činí splnění takového předpokladu málo pravděpodobným</w:t>
      </w:r>
      <w:r w:rsidR="00A07041">
        <w:t>.</w:t>
      </w:r>
      <w:r w:rsidR="002372A0" w:rsidRPr="007C5D3F">
        <w:rPr>
          <w:rStyle w:val="Znakapoznpodarou"/>
          <w:rFonts w:cstheme="minorHAnsi"/>
        </w:rPr>
        <w:footnoteReference w:id="36"/>
      </w:r>
      <w:r w:rsidR="00F80499" w:rsidRPr="00A51B02">
        <w:t xml:space="preserve"> </w:t>
      </w:r>
      <w:r w:rsidR="00AE72A2" w:rsidRPr="00A51B02">
        <w:t xml:space="preserve">Počet usmrcených za celé první pololetí roku 2023 činil </w:t>
      </w:r>
      <w:r w:rsidR="00C81CCB">
        <w:t>222</w:t>
      </w:r>
      <w:r w:rsidR="00C81CCB" w:rsidRPr="00A51B02">
        <w:t xml:space="preserve"> </w:t>
      </w:r>
      <w:r w:rsidR="00AE72A2" w:rsidRPr="00A51B02">
        <w:t>osob. Ze</w:t>
      </w:r>
      <w:r w:rsidR="000F2357">
        <w:t> </w:t>
      </w:r>
      <w:r w:rsidR="00AE72A2" w:rsidRPr="00A51B02">
        <w:t xml:space="preserve">statistiky počtu </w:t>
      </w:r>
      <w:r w:rsidR="00BE3650" w:rsidRPr="00A51B02">
        <w:t>usmrcených</w:t>
      </w:r>
      <w:r w:rsidR="00AE72A2" w:rsidRPr="00A51B02">
        <w:t xml:space="preserve"> v letech 2015–2022 navíc vyplývá, že druhé pololetí je obecně rizikovější a</w:t>
      </w:r>
      <w:r w:rsidR="00D1628C">
        <w:t xml:space="preserve"> </w:t>
      </w:r>
      <w:r w:rsidR="00AE72A2" w:rsidRPr="00A51B02">
        <w:t>na</w:t>
      </w:r>
      <w:r w:rsidR="00D1628C">
        <w:t xml:space="preserve"> </w:t>
      </w:r>
      <w:r w:rsidR="00AE72A2" w:rsidRPr="00A51B02">
        <w:t>silnicích umírá více osob než v</w:t>
      </w:r>
      <w:r w:rsidR="00D1628C">
        <w:t xml:space="preserve"> </w:t>
      </w:r>
      <w:r w:rsidR="00AE72A2" w:rsidRPr="00A51B02">
        <w:t>pololetí prvním (za zmíněné období představoval počet usmrcených ve druhých pololetích v průměru 56,</w:t>
      </w:r>
      <w:r w:rsidR="00C77677">
        <w:t>2</w:t>
      </w:r>
      <w:r w:rsidR="00C77677" w:rsidRPr="00A51B02">
        <w:t xml:space="preserve"> </w:t>
      </w:r>
      <w:r w:rsidR="00AE72A2" w:rsidRPr="00A51B02">
        <w:t>%</w:t>
      </w:r>
      <w:r w:rsidR="00205A24">
        <w:t xml:space="preserve"> z celého roku</w:t>
      </w:r>
      <w:r w:rsidR="00AE72A2" w:rsidRPr="00A51B02">
        <w:t>).</w:t>
      </w:r>
    </w:p>
    <w:p w14:paraId="49DB5C25" w14:textId="51F298E5" w:rsidR="00AE72A2" w:rsidRDefault="00F80499" w:rsidP="005E2807">
      <w:pPr>
        <w:pStyle w:val="JK4"/>
        <w:ind w:left="0" w:firstLine="0"/>
        <w:rPr>
          <w:lang w:eastAsia="cs-CZ"/>
        </w:rPr>
      </w:pPr>
      <w:r>
        <w:t>NKÚ</w:t>
      </w:r>
      <w:r>
        <w:rPr>
          <w:lang w:eastAsia="cs-CZ"/>
        </w:rPr>
        <w:t xml:space="preserve"> </w:t>
      </w:r>
      <w:r w:rsidR="00AE72A2">
        <w:rPr>
          <w:lang w:eastAsia="cs-CZ"/>
        </w:rPr>
        <w:t>nevidí předpoklad, že by situace v roce 2023 byla pouze jednor</w:t>
      </w:r>
      <w:r w:rsidR="00347BC7">
        <w:rPr>
          <w:lang w:eastAsia="cs-CZ"/>
        </w:rPr>
        <w:t>očním</w:t>
      </w:r>
      <w:r w:rsidR="00AE72A2">
        <w:rPr>
          <w:lang w:eastAsia="cs-CZ"/>
        </w:rPr>
        <w:t xml:space="preserve"> nepříznivým výkyvem ve statistice usmrcených osob na silnicích. Neplnění průběžných cílových hodnot snižování počtu </w:t>
      </w:r>
      <w:r w:rsidR="007D1A0C">
        <w:rPr>
          <w:lang w:eastAsia="cs-CZ"/>
        </w:rPr>
        <w:t xml:space="preserve">usmrcených </w:t>
      </w:r>
      <w:r w:rsidR="00AE72A2">
        <w:rPr>
          <w:lang w:eastAsia="cs-CZ"/>
        </w:rPr>
        <w:t xml:space="preserve">v jednom roce by pak pro splnění cílové </w:t>
      </w:r>
      <w:r w:rsidR="00AE72A2">
        <w:t>hodnoty</w:t>
      </w:r>
      <w:r w:rsidR="00AE72A2">
        <w:rPr>
          <w:lang w:eastAsia="cs-CZ"/>
        </w:rPr>
        <w:t xml:space="preserve"> v roce 2030</w:t>
      </w:r>
      <w:r w:rsidR="00337DEE">
        <w:rPr>
          <w:lang w:eastAsia="cs-CZ"/>
        </w:rPr>
        <w:t xml:space="preserve"> </w:t>
      </w:r>
      <w:r w:rsidR="00AE72A2">
        <w:rPr>
          <w:lang w:eastAsia="cs-CZ"/>
        </w:rPr>
        <w:t>muselo znamenat</w:t>
      </w:r>
      <w:r w:rsidR="00337DEE">
        <w:rPr>
          <w:lang w:eastAsia="cs-CZ"/>
        </w:rPr>
        <w:t xml:space="preserve"> výraznější </w:t>
      </w:r>
      <w:r w:rsidR="00BE3650">
        <w:rPr>
          <w:lang w:eastAsia="cs-CZ"/>
        </w:rPr>
        <w:t xml:space="preserve">tempo </w:t>
      </w:r>
      <w:r w:rsidR="00337DEE">
        <w:rPr>
          <w:lang w:eastAsia="cs-CZ"/>
        </w:rPr>
        <w:t>snižování těchto počtů v letech následujících.</w:t>
      </w:r>
      <w:r w:rsidR="00AE72A2">
        <w:rPr>
          <w:lang w:eastAsia="cs-CZ"/>
        </w:rPr>
        <w:t xml:space="preserve"> </w:t>
      </w:r>
      <w:r w:rsidR="00337DEE">
        <w:rPr>
          <w:lang w:eastAsia="cs-CZ"/>
        </w:rPr>
        <w:t xml:space="preserve">NKÚ navíc </w:t>
      </w:r>
      <w:r>
        <w:rPr>
          <w:lang w:eastAsia="cs-CZ"/>
        </w:rPr>
        <w:t xml:space="preserve">zjistil, že </w:t>
      </w:r>
      <w:r w:rsidR="00337DEE">
        <w:rPr>
          <w:lang w:eastAsia="cs-CZ"/>
        </w:rPr>
        <w:t xml:space="preserve">i </w:t>
      </w:r>
      <w:r w:rsidR="00607015">
        <w:rPr>
          <w:lang w:eastAsia="cs-CZ"/>
        </w:rPr>
        <w:t>kdyby</w:t>
      </w:r>
      <w:r w:rsidR="00337DEE">
        <w:rPr>
          <w:lang w:eastAsia="cs-CZ"/>
        </w:rPr>
        <w:t xml:space="preserve"> byla dosažena cílová hodnota snížení počtu usmrcených v</w:t>
      </w:r>
      <w:r w:rsidR="00D1628C">
        <w:rPr>
          <w:lang w:eastAsia="cs-CZ"/>
        </w:rPr>
        <w:t xml:space="preserve"> </w:t>
      </w:r>
      <w:r w:rsidR="00337DEE">
        <w:rPr>
          <w:lang w:eastAsia="cs-CZ"/>
        </w:rPr>
        <w:t xml:space="preserve">roce 2023, </w:t>
      </w:r>
      <w:r w:rsidR="00BE3ED4">
        <w:rPr>
          <w:lang w:eastAsia="cs-CZ"/>
        </w:rPr>
        <w:br/>
      </w:r>
      <w:r w:rsidR="00337DEE">
        <w:rPr>
          <w:lang w:eastAsia="cs-CZ"/>
        </w:rPr>
        <w:t>má-li</w:t>
      </w:r>
      <w:r>
        <w:rPr>
          <w:lang w:eastAsia="cs-CZ"/>
        </w:rPr>
        <w:t xml:space="preserve"> ČR v roce 2030 dosáhnout schválených strategických cílů, m</w:t>
      </w:r>
      <w:r w:rsidR="00337DEE">
        <w:rPr>
          <w:lang w:eastAsia="cs-CZ"/>
        </w:rPr>
        <w:t>usel</w:t>
      </w:r>
      <w:r>
        <w:rPr>
          <w:lang w:eastAsia="cs-CZ"/>
        </w:rPr>
        <w:t xml:space="preserve"> by </w:t>
      </w:r>
      <w:r w:rsidR="009A46E2">
        <w:rPr>
          <w:lang w:eastAsia="cs-CZ"/>
        </w:rPr>
        <w:t xml:space="preserve">počet usmrcených </w:t>
      </w:r>
      <w:r w:rsidR="004E5ABB">
        <w:rPr>
          <w:lang w:eastAsia="cs-CZ"/>
        </w:rPr>
        <w:br/>
      </w:r>
      <w:r w:rsidR="009A46E2" w:rsidRPr="00DD6431">
        <w:rPr>
          <w:lang w:eastAsia="cs-CZ"/>
        </w:rPr>
        <w:t>a</w:t>
      </w:r>
      <w:r w:rsidR="004E5ABB">
        <w:rPr>
          <w:lang w:eastAsia="cs-CZ"/>
        </w:rPr>
        <w:t xml:space="preserve"> </w:t>
      </w:r>
      <w:r w:rsidR="009A46E2" w:rsidRPr="00DD6431">
        <w:rPr>
          <w:lang w:eastAsia="cs-CZ"/>
        </w:rPr>
        <w:t>těžce zraněných osob</w:t>
      </w:r>
      <w:r w:rsidRPr="00DD6431">
        <w:rPr>
          <w:lang w:eastAsia="cs-CZ"/>
        </w:rPr>
        <w:t xml:space="preserve"> </w:t>
      </w:r>
      <w:r w:rsidR="009A46E2" w:rsidRPr="00DD6431">
        <w:rPr>
          <w:lang w:eastAsia="cs-CZ"/>
        </w:rPr>
        <w:t xml:space="preserve">meziročně klesat </w:t>
      </w:r>
      <w:r w:rsidRPr="00DD6431">
        <w:rPr>
          <w:lang w:eastAsia="cs-CZ"/>
        </w:rPr>
        <w:t>průměrně alespoň</w:t>
      </w:r>
      <w:r w:rsidR="009A46E2" w:rsidRPr="00DD6431">
        <w:rPr>
          <w:lang w:eastAsia="cs-CZ"/>
        </w:rPr>
        <w:t xml:space="preserve"> o </w:t>
      </w:r>
      <w:r w:rsidRPr="00DD6431">
        <w:rPr>
          <w:lang w:eastAsia="cs-CZ"/>
        </w:rPr>
        <w:t>6,7 %. V</w:t>
      </w:r>
      <w:r w:rsidR="00D1628C">
        <w:rPr>
          <w:lang w:eastAsia="cs-CZ"/>
        </w:rPr>
        <w:t xml:space="preserve"> </w:t>
      </w:r>
      <w:r w:rsidRPr="00DD6431">
        <w:rPr>
          <w:lang w:eastAsia="cs-CZ"/>
        </w:rPr>
        <w:t>případě</w:t>
      </w:r>
      <w:r>
        <w:rPr>
          <w:lang w:eastAsia="cs-CZ"/>
        </w:rPr>
        <w:t xml:space="preserve"> počtu usmrcených osob však ČR takového </w:t>
      </w:r>
      <w:r w:rsidR="00B449E5">
        <w:rPr>
          <w:lang w:eastAsia="cs-CZ"/>
        </w:rPr>
        <w:t xml:space="preserve">procentního </w:t>
      </w:r>
      <w:r w:rsidR="00BE3650">
        <w:rPr>
          <w:lang w:eastAsia="cs-CZ"/>
        </w:rPr>
        <w:t>sníž</w:t>
      </w:r>
      <w:r>
        <w:rPr>
          <w:lang w:eastAsia="cs-CZ"/>
        </w:rPr>
        <w:t xml:space="preserve">ení dosáhla naposledy v roce </w:t>
      </w:r>
      <w:r w:rsidRPr="007E6EF5">
        <w:rPr>
          <w:lang w:eastAsia="cs-CZ"/>
        </w:rPr>
        <w:t>2017</w:t>
      </w:r>
      <w:r w:rsidR="00A07041">
        <w:rPr>
          <w:lang w:eastAsia="cs-CZ"/>
        </w:rPr>
        <w:t>.</w:t>
      </w:r>
      <w:r w:rsidRPr="007E6EF5">
        <w:rPr>
          <w:rStyle w:val="Znakapoznpodarou"/>
          <w:lang w:eastAsia="cs-CZ"/>
        </w:rPr>
        <w:footnoteReference w:id="37"/>
      </w:r>
      <w:r w:rsidRPr="007E6EF5">
        <w:rPr>
          <w:lang w:eastAsia="cs-CZ"/>
        </w:rPr>
        <w:t xml:space="preserve"> </w:t>
      </w:r>
      <w:r w:rsidR="00337DEE">
        <w:rPr>
          <w:lang w:eastAsia="cs-CZ"/>
        </w:rPr>
        <w:t>Na</w:t>
      </w:r>
      <w:r w:rsidR="00B449E5">
        <w:rPr>
          <w:lang w:eastAsia="cs-CZ"/>
        </w:rPr>
        <w:t> </w:t>
      </w:r>
      <w:r w:rsidR="00337DEE">
        <w:rPr>
          <w:lang w:eastAsia="cs-CZ"/>
        </w:rPr>
        <w:t xml:space="preserve">základě výše uvedeného </w:t>
      </w:r>
      <w:r w:rsidR="00BE3650">
        <w:rPr>
          <w:lang w:eastAsia="cs-CZ"/>
        </w:rPr>
        <w:t xml:space="preserve">proto </w:t>
      </w:r>
      <w:r w:rsidR="00337DEE">
        <w:rPr>
          <w:lang w:eastAsia="cs-CZ"/>
        </w:rPr>
        <w:t>NKÚ nepovažuje splnění strategického cíle snížení počtu usmrcených osob v</w:t>
      </w:r>
      <w:r w:rsidR="004E5ABB">
        <w:rPr>
          <w:lang w:eastAsia="cs-CZ"/>
        </w:rPr>
        <w:t xml:space="preserve"> </w:t>
      </w:r>
      <w:r w:rsidR="00337DEE">
        <w:rPr>
          <w:lang w:eastAsia="cs-CZ"/>
        </w:rPr>
        <w:t xml:space="preserve">roce 2030 na polovinu oproti průměru roků 2017–2019 za </w:t>
      </w:r>
      <w:r w:rsidR="00C4181A">
        <w:rPr>
          <w:lang w:eastAsia="cs-CZ"/>
        </w:rPr>
        <w:t xml:space="preserve">příliš </w:t>
      </w:r>
      <w:r w:rsidR="00337DEE">
        <w:rPr>
          <w:lang w:eastAsia="cs-CZ"/>
        </w:rPr>
        <w:t>pravděpodobné.</w:t>
      </w:r>
    </w:p>
    <w:p w14:paraId="7F6ADACB" w14:textId="177965B3" w:rsidR="00337DEE" w:rsidRDefault="005617EB" w:rsidP="005E2807">
      <w:pPr>
        <w:pStyle w:val="JK4"/>
        <w:ind w:left="0" w:firstLine="0"/>
        <w:rPr>
          <w:lang w:eastAsia="cs-CZ"/>
        </w:rPr>
      </w:pPr>
      <w:r>
        <w:t xml:space="preserve">Pokud jde o trend počtu osob těžce zraněných při dopravních nehodách, </w:t>
      </w:r>
      <w:r w:rsidR="00AB0DBE">
        <w:t xml:space="preserve">ze statistiky nehodovosti PČR vyplývá </w:t>
      </w:r>
      <w:r w:rsidR="00347BC7">
        <w:t>mírné meziroční zvýšení v</w:t>
      </w:r>
      <w:r w:rsidR="00D1628C">
        <w:t xml:space="preserve"> </w:t>
      </w:r>
      <w:r w:rsidR="00347BC7">
        <w:t>období 2021 až 2022 (o 6,8 %).</w:t>
      </w:r>
      <w:r w:rsidR="008066CB">
        <w:t xml:space="preserve"> Z</w:t>
      </w:r>
      <w:r w:rsidR="008278C8">
        <w:t> dostupných údajů</w:t>
      </w:r>
      <w:r w:rsidR="00347BC7">
        <w:t xml:space="preserve"> za</w:t>
      </w:r>
      <w:r w:rsidR="00D1628C">
        <w:t xml:space="preserve"> </w:t>
      </w:r>
      <w:r w:rsidR="00347BC7">
        <w:t>první pololetí roku 2023</w:t>
      </w:r>
      <w:r w:rsidR="008278C8">
        <w:t xml:space="preserve">, kdy bylo </w:t>
      </w:r>
      <w:r w:rsidR="008278C8" w:rsidRPr="00030FDF">
        <w:t xml:space="preserve">na silnicích v ČR těžce zraněno </w:t>
      </w:r>
      <w:r w:rsidR="00C81CCB" w:rsidRPr="00030FDF">
        <w:t>767</w:t>
      </w:r>
      <w:r w:rsidR="00D1628C">
        <w:t> </w:t>
      </w:r>
      <w:r w:rsidR="008278C8" w:rsidRPr="00030FDF">
        <w:t>osob, vyplývá, že došlo v</w:t>
      </w:r>
      <w:r w:rsidR="005E373A">
        <w:t xml:space="preserve"> </w:t>
      </w:r>
      <w:r w:rsidR="008278C8" w:rsidRPr="00030FDF">
        <w:t>tomto ohledu k</w:t>
      </w:r>
      <w:r w:rsidR="005E373A">
        <w:t xml:space="preserve"> </w:t>
      </w:r>
      <w:r w:rsidR="00086DAA" w:rsidRPr="00030FDF">
        <w:t xml:space="preserve">mírnému </w:t>
      </w:r>
      <w:r w:rsidR="008278C8" w:rsidRPr="00030FDF">
        <w:t xml:space="preserve">snížení (o </w:t>
      </w:r>
      <w:r w:rsidR="00086DAA" w:rsidRPr="00030FDF">
        <w:t>3,3</w:t>
      </w:r>
      <w:r w:rsidR="008278C8" w:rsidRPr="00030FDF">
        <w:t xml:space="preserve"> %) oproti stejnému období roku 2022</w:t>
      </w:r>
      <w:r w:rsidR="00373783" w:rsidRPr="00030FDF">
        <w:t>, zároveň to však představuje výrazné zvýšení</w:t>
      </w:r>
      <w:r w:rsidR="008278C8" w:rsidRPr="00030FDF">
        <w:t xml:space="preserve"> v porovnání se stejným obdobím roku 2021 (o</w:t>
      </w:r>
      <w:r w:rsidR="004E5ABB">
        <w:t xml:space="preserve"> </w:t>
      </w:r>
      <w:r w:rsidR="00373783" w:rsidRPr="00030FDF">
        <w:t>18,9</w:t>
      </w:r>
      <w:r w:rsidR="008278C8" w:rsidRPr="00030FDF">
        <w:t xml:space="preserve"> %). Zatímco je </w:t>
      </w:r>
      <w:r w:rsidR="00A15638">
        <w:t>reálné</w:t>
      </w:r>
      <w:r w:rsidR="008278C8" w:rsidRPr="00030FDF">
        <w:t>, že se podaří dosáhnout průběžné cílové hodnoty na konci roku 2023, dosažení</w:t>
      </w:r>
      <w:r w:rsidR="008278C8">
        <w:t xml:space="preserve"> hodnoty strategického cíle pro rok 2030 závisí na </w:t>
      </w:r>
      <w:r w:rsidR="00607015">
        <w:t>tom</w:t>
      </w:r>
      <w:r w:rsidR="008278C8">
        <w:t>, zda se v</w:t>
      </w:r>
      <w:r w:rsidR="000B35E9">
        <w:t xml:space="preserve"> </w:t>
      </w:r>
      <w:r w:rsidR="008278C8">
        <w:t xml:space="preserve">letech od roku 2024 </w:t>
      </w:r>
      <w:r w:rsidR="00607015">
        <w:t>bude dařit</w:t>
      </w:r>
      <w:r w:rsidR="008278C8">
        <w:t xml:space="preserve"> </w:t>
      </w:r>
      <w:r w:rsidR="003A7AA3">
        <w:t>dosahovat</w:t>
      </w:r>
      <w:r w:rsidR="008278C8">
        <w:t xml:space="preserve"> meziroční</w:t>
      </w:r>
      <w:r w:rsidR="003A7AA3">
        <w:t>ch poklesů v počtech těžce zraněných až k cílové hodnotě 1</w:t>
      </w:r>
      <w:r w:rsidR="00E30D19">
        <w:t xml:space="preserve"> </w:t>
      </w:r>
      <w:r w:rsidR="003A7AA3">
        <w:t>153 osob.</w:t>
      </w:r>
    </w:p>
    <w:p w14:paraId="41589867" w14:textId="77777777" w:rsidR="005B54D0" w:rsidRPr="00156F9B" w:rsidRDefault="005B54D0" w:rsidP="00156F9B">
      <w:pPr>
        <w:pStyle w:val="Mluvcnadpis"/>
      </w:pPr>
      <w:r w:rsidRPr="00156F9B">
        <w:lastRenderedPageBreak/>
        <w:t>→</w:t>
      </w:r>
      <w:r w:rsidRPr="00156F9B">
        <w:tab/>
      </w:r>
      <w:bookmarkStart w:id="23" w:name="_Hlk140491787"/>
      <w:r w:rsidR="00CC7DF4" w:rsidRPr="00156F9B">
        <w:t xml:space="preserve">MD </w:t>
      </w:r>
      <w:r w:rsidRPr="00156F9B">
        <w:t xml:space="preserve">aktivity </w:t>
      </w:r>
      <w:r w:rsidR="00A40CBC" w:rsidRPr="00156F9B">
        <w:t>akčních programů/plánů</w:t>
      </w:r>
      <w:r w:rsidRPr="00156F9B">
        <w:t xml:space="preserve"> nenastavilo způsobem, který by </w:t>
      </w:r>
      <w:r w:rsidR="00C0178E" w:rsidRPr="00156F9B">
        <w:t>umožňoval</w:t>
      </w:r>
      <w:r w:rsidRPr="00156F9B">
        <w:t xml:space="preserve"> </w:t>
      </w:r>
      <w:r w:rsidR="00C0178E" w:rsidRPr="00156F9B">
        <w:t xml:space="preserve">účinný monitoring a </w:t>
      </w:r>
      <w:r w:rsidR="00FC2734">
        <w:t>hodnocení</w:t>
      </w:r>
      <w:r w:rsidR="00CC7DF4" w:rsidRPr="00156F9B">
        <w:t xml:space="preserve"> jejich</w:t>
      </w:r>
      <w:r w:rsidR="00C0178E" w:rsidRPr="00156F9B">
        <w:t xml:space="preserve"> </w:t>
      </w:r>
      <w:r w:rsidR="00963167" w:rsidRPr="00156F9B">
        <w:t>plnění</w:t>
      </w:r>
      <w:r w:rsidRPr="00156F9B">
        <w:t xml:space="preserve">. </w:t>
      </w:r>
      <w:bookmarkEnd w:id="23"/>
    </w:p>
    <w:p w14:paraId="7EDB8E97" w14:textId="08F09FEF" w:rsidR="00E26638" w:rsidRDefault="00E26638" w:rsidP="005E2807">
      <w:pPr>
        <w:pStyle w:val="JK4"/>
        <w:ind w:left="0" w:firstLine="0"/>
      </w:pPr>
      <w:r>
        <w:t>NKÚ zjistil, že MD už v</w:t>
      </w:r>
      <w:r w:rsidR="007738E2">
        <w:t xml:space="preserve"> </w:t>
      </w:r>
      <w:r>
        <w:t xml:space="preserve">roce 2019 informovalo vládu prostřednictvím </w:t>
      </w:r>
      <w:r w:rsidRPr="00E26638">
        <w:t xml:space="preserve">dokumentu </w:t>
      </w:r>
      <w:r w:rsidRPr="001F5067">
        <w:rPr>
          <w:i/>
        </w:rPr>
        <w:t>Systémové podmínky realizace revidované NSBSP</w:t>
      </w:r>
      <w:r>
        <w:t xml:space="preserve">, že jednotlivé aktivity AP nejsou </w:t>
      </w:r>
      <w:r w:rsidR="00D97368">
        <w:t>v</w:t>
      </w:r>
      <w:r w:rsidR="007738E2">
        <w:t xml:space="preserve"> </w:t>
      </w:r>
      <w:r w:rsidR="00D97368">
        <w:t>rámci schválené NSBSP 2020</w:t>
      </w:r>
      <w:r>
        <w:t xml:space="preserve"> jasně definovány a nejsou měřitelné, tudíž nebude možné jednoznačně vyhodnotit jejich skutečné dopady na bezpečnost silniční dopravy. Zároveň MD </w:t>
      </w:r>
      <w:r w:rsidR="00AB0DBE">
        <w:t>uvedlo</w:t>
      </w:r>
      <w:r>
        <w:t xml:space="preserve">, že nenastavilo monitoring realizační fáze těchto aktivit. </w:t>
      </w:r>
    </w:p>
    <w:p w14:paraId="47FA3BA1" w14:textId="77777777" w:rsidR="00436FAE" w:rsidRDefault="005D4B7C" w:rsidP="005E2807">
      <w:pPr>
        <w:pStyle w:val="JK4"/>
        <w:ind w:left="0" w:firstLine="0"/>
      </w:pPr>
      <w:r>
        <w:t>AP pro strategické období 2011</w:t>
      </w:r>
      <w:r w:rsidR="00053884">
        <w:t>–</w:t>
      </w:r>
      <w:r>
        <w:t xml:space="preserve">2020 obsahoval celkem 116 aktivit. </w:t>
      </w:r>
      <w:r w:rsidR="00C0178E">
        <w:t xml:space="preserve">Pro 79 </w:t>
      </w:r>
      <w:r w:rsidR="00425812">
        <w:t xml:space="preserve">z nich </w:t>
      </w:r>
      <w:r w:rsidR="00C0178E">
        <w:t>MD nenastavilo žádná kritéria</w:t>
      </w:r>
      <w:r w:rsidR="002224C9">
        <w:t>, která by umožnila</w:t>
      </w:r>
      <w:r w:rsidR="00C0178E">
        <w:t xml:space="preserve"> vyhodnocení jejich splnění. </w:t>
      </w:r>
      <w:r w:rsidR="002224C9">
        <w:t>Vyhodnotitelných tak bylo pouze zbylých 37 aktivit</w:t>
      </w:r>
      <w:r w:rsidR="00C0178E" w:rsidRPr="00436FAE">
        <w:rPr>
          <w:rFonts w:cstheme="minorHAnsi"/>
          <w:iCs/>
          <w:color w:val="000000" w:themeColor="text1"/>
          <w:lang w:eastAsia="cs-CZ"/>
        </w:rPr>
        <w:t>.</w:t>
      </w:r>
      <w:r w:rsidR="00790BE5">
        <w:t xml:space="preserve"> </w:t>
      </w:r>
      <w:r w:rsidR="00C278E6">
        <w:t>AP pro období 2021</w:t>
      </w:r>
      <w:r w:rsidR="00053884">
        <w:t>–</w:t>
      </w:r>
      <w:r w:rsidR="00C278E6">
        <w:t xml:space="preserve">2022 obsahoval celkem 45 aktivit. </w:t>
      </w:r>
      <w:r w:rsidR="00C0178E">
        <w:t xml:space="preserve">V případě </w:t>
      </w:r>
      <w:r w:rsidR="00FF1331">
        <w:t xml:space="preserve">15 aktivit </w:t>
      </w:r>
      <w:r w:rsidR="00607015">
        <w:t xml:space="preserve">sice </w:t>
      </w:r>
      <w:r w:rsidR="00FF1331">
        <w:t xml:space="preserve">MD </w:t>
      </w:r>
      <w:r w:rsidR="00C0178E">
        <w:t>stanovilo měřitelný ukazatel hodnocení dosažení výsledku</w:t>
      </w:r>
      <w:r w:rsidR="00FF1331">
        <w:t xml:space="preserve">, </w:t>
      </w:r>
      <w:r w:rsidR="006C7BE2">
        <w:t xml:space="preserve">avšak bez </w:t>
      </w:r>
      <w:r w:rsidR="00FF1331" w:rsidRPr="00FF1331">
        <w:t>požadov</w:t>
      </w:r>
      <w:r w:rsidR="006C7BE2">
        <w:t>ané</w:t>
      </w:r>
      <w:r w:rsidR="00FF1331" w:rsidRPr="00FF1331">
        <w:t xml:space="preserve"> cílov</w:t>
      </w:r>
      <w:r w:rsidR="006C7BE2">
        <w:t>é</w:t>
      </w:r>
      <w:r w:rsidR="00FF1331" w:rsidRPr="00FF1331">
        <w:t xml:space="preserve"> hodnot</w:t>
      </w:r>
      <w:r w:rsidR="006C7BE2">
        <w:t>y</w:t>
      </w:r>
      <w:r w:rsidR="002224C9">
        <w:t>, což opět neumožňuje vyhodnocení jejich splnění. Zbylých 30</w:t>
      </w:r>
      <w:r w:rsidR="001B4F9E">
        <w:t> </w:t>
      </w:r>
      <w:r w:rsidR="002224C9">
        <w:t>aktivit bylo na základě nastavených kritérií vyhodnotitelných</w:t>
      </w:r>
      <w:r w:rsidR="000244C5" w:rsidRPr="00790BE5">
        <w:rPr>
          <w:rFonts w:cstheme="minorHAnsi"/>
          <w:iCs/>
          <w:color w:val="000000" w:themeColor="text1"/>
          <w:lang w:eastAsia="cs-CZ"/>
        </w:rPr>
        <w:t>.</w:t>
      </w:r>
    </w:p>
    <w:p w14:paraId="65CE643B" w14:textId="77777777" w:rsidR="00C0178E" w:rsidRPr="00030FDF" w:rsidRDefault="002224C9" w:rsidP="005E2807">
      <w:pPr>
        <w:pStyle w:val="JK4"/>
        <w:ind w:left="0" w:firstLine="0"/>
      </w:pPr>
      <w:r>
        <w:t xml:space="preserve">Obdobná situace </w:t>
      </w:r>
      <w:r w:rsidR="00607015">
        <w:t>je</w:t>
      </w:r>
      <w:r>
        <w:t xml:space="preserve"> </w:t>
      </w:r>
      <w:r w:rsidR="00510F98">
        <w:t>i</w:t>
      </w:r>
      <w:r>
        <w:t xml:space="preserve"> v rámci </w:t>
      </w:r>
      <w:r w:rsidR="00A40CBC">
        <w:t>aktuálně účinn</w:t>
      </w:r>
      <w:r>
        <w:t>ého</w:t>
      </w:r>
      <w:r w:rsidR="00A40CBC">
        <w:t xml:space="preserve"> </w:t>
      </w:r>
      <w:r w:rsidR="00FF1331">
        <w:t>AP pro období 2023</w:t>
      </w:r>
      <w:r w:rsidR="00053884">
        <w:t>–</w:t>
      </w:r>
      <w:r w:rsidR="00FF1331">
        <w:t>2024</w:t>
      </w:r>
      <w:r>
        <w:t>.</w:t>
      </w:r>
      <w:r w:rsidR="00251151">
        <w:t xml:space="preserve"> </w:t>
      </w:r>
      <w:r>
        <w:t>Ten obsahuje 40 aktivit, přičemž pro polovinu, tj. 20 aktivit</w:t>
      </w:r>
      <w:r w:rsidR="000462BB">
        <w:t>,</w:t>
      </w:r>
      <w:r w:rsidR="00FF1331">
        <w:t xml:space="preserve"> </w:t>
      </w:r>
      <w:r w:rsidR="00607015">
        <w:t xml:space="preserve">sice </w:t>
      </w:r>
      <w:r w:rsidR="00DE3E9C">
        <w:t xml:space="preserve">MD </w:t>
      </w:r>
      <w:r>
        <w:t xml:space="preserve">stanovilo měřitelný ukazatel hodnocení dosažení výsledku, nikoliv však jeho </w:t>
      </w:r>
      <w:r w:rsidR="007C5D3F">
        <w:t xml:space="preserve">požadovanou </w:t>
      </w:r>
      <w:r>
        <w:t xml:space="preserve">cílovou hodnotu. </w:t>
      </w:r>
      <w:r w:rsidR="006C7BE2">
        <w:t>Z</w:t>
      </w:r>
      <w:r>
        <w:t xml:space="preserve">bylých 20 aktivit je </w:t>
      </w:r>
      <w:r w:rsidR="006A3650">
        <w:t>vyhodnotitelných</w:t>
      </w:r>
      <w:r>
        <w:t xml:space="preserve">. Přehled </w:t>
      </w:r>
      <w:r w:rsidR="00251151">
        <w:t>AP dle nastavení hodnot</w:t>
      </w:r>
      <w:r w:rsidR="00607015">
        <w:t>i</w:t>
      </w:r>
      <w:r w:rsidR="00251151">
        <w:t>cích kritérií</w:t>
      </w:r>
      <w:r>
        <w:t xml:space="preserve"> </w:t>
      </w:r>
      <w:r w:rsidR="00251151" w:rsidRPr="00030FDF">
        <w:rPr>
          <w:rFonts w:cstheme="minorHAnsi"/>
          <w:iCs/>
          <w:color w:val="000000" w:themeColor="text1"/>
          <w:lang w:eastAsia="cs-CZ"/>
        </w:rPr>
        <w:t xml:space="preserve">znázorňuje </w:t>
      </w:r>
      <w:r w:rsidR="00C0178E" w:rsidRPr="00030FDF">
        <w:rPr>
          <w:rFonts w:cstheme="minorHAnsi"/>
          <w:iCs/>
          <w:color w:val="000000" w:themeColor="text1"/>
          <w:lang w:eastAsia="cs-CZ"/>
        </w:rPr>
        <w:t xml:space="preserve">graf č. </w:t>
      </w:r>
      <w:r w:rsidR="00030FDF">
        <w:rPr>
          <w:rFonts w:cstheme="minorHAnsi"/>
          <w:iCs/>
          <w:color w:val="000000" w:themeColor="text1"/>
          <w:lang w:eastAsia="cs-CZ"/>
        </w:rPr>
        <w:t>1</w:t>
      </w:r>
      <w:r w:rsidR="00C0178E" w:rsidRPr="00030FDF">
        <w:rPr>
          <w:rFonts w:cstheme="minorHAnsi"/>
          <w:iCs/>
          <w:color w:val="000000" w:themeColor="text1"/>
          <w:lang w:eastAsia="cs-CZ"/>
        </w:rPr>
        <w:t>.</w:t>
      </w:r>
    </w:p>
    <w:p w14:paraId="39E815FB" w14:textId="77777777" w:rsidR="000244C5" w:rsidRPr="00607015" w:rsidRDefault="000244C5" w:rsidP="00E2791F">
      <w:pPr>
        <w:spacing w:after="120"/>
        <w:rPr>
          <w:rFonts w:cstheme="minorHAnsi"/>
          <w:b/>
          <w:sz w:val="24"/>
          <w:szCs w:val="24"/>
        </w:rPr>
      </w:pPr>
      <w:r w:rsidRPr="000244C5">
        <w:rPr>
          <w:rFonts w:cstheme="minorHAnsi"/>
          <w:b/>
          <w:sz w:val="24"/>
          <w:szCs w:val="24"/>
        </w:rPr>
        <w:t xml:space="preserve">Graf </w:t>
      </w:r>
      <w:r w:rsidRPr="00CC5F3D">
        <w:rPr>
          <w:rFonts w:cstheme="minorHAnsi"/>
          <w:b/>
          <w:sz w:val="24"/>
          <w:szCs w:val="24"/>
        </w:rPr>
        <w:t>č</w:t>
      </w:r>
      <w:r w:rsidRPr="007E6EF5">
        <w:rPr>
          <w:rFonts w:cstheme="minorHAnsi"/>
          <w:b/>
          <w:sz w:val="24"/>
          <w:szCs w:val="24"/>
        </w:rPr>
        <w:t xml:space="preserve">. </w:t>
      </w:r>
      <w:r w:rsidR="00030FDF">
        <w:rPr>
          <w:rFonts w:cstheme="minorHAnsi"/>
          <w:b/>
          <w:sz w:val="24"/>
          <w:szCs w:val="24"/>
        </w:rPr>
        <w:t>1</w:t>
      </w:r>
      <w:r w:rsidRPr="007E6EF5">
        <w:rPr>
          <w:rFonts w:cstheme="minorHAnsi"/>
          <w:b/>
          <w:sz w:val="24"/>
          <w:szCs w:val="24"/>
        </w:rPr>
        <w:t xml:space="preserve">: </w:t>
      </w:r>
      <w:r w:rsidR="00CC5F3D" w:rsidRPr="002C7C06">
        <w:rPr>
          <w:rFonts w:cstheme="minorHAnsi"/>
          <w:b/>
          <w:bCs/>
          <w:iCs/>
          <w:sz w:val="24"/>
          <w:szCs w:val="24"/>
        </w:rPr>
        <w:t>AP dle nastavení kritérií pro hodnocení splnění aktivit</w:t>
      </w:r>
      <w:r w:rsidR="00864D76" w:rsidRPr="002C7C06">
        <w:rPr>
          <w:rFonts w:cstheme="minorHAnsi"/>
          <w:b/>
          <w:bCs/>
          <w:iCs/>
          <w:sz w:val="24"/>
          <w:szCs w:val="24"/>
        </w:rPr>
        <w:t xml:space="preserve"> </w:t>
      </w:r>
    </w:p>
    <w:p w14:paraId="55F262D5" w14:textId="77777777" w:rsidR="00E2791F" w:rsidRDefault="00E2791F" w:rsidP="00E2791F">
      <w:pPr>
        <w:spacing w:after="0" w:line="240" w:lineRule="auto"/>
      </w:pPr>
      <w:r>
        <w:rPr>
          <w:noProof/>
        </w:rPr>
        <w:drawing>
          <wp:inline distT="0" distB="0" distL="0" distR="0" wp14:anchorId="4EC6795C" wp14:editId="3835AC31">
            <wp:extent cx="1866900" cy="1981200"/>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rPr>
        <w:drawing>
          <wp:inline distT="0" distB="0" distL="0" distR="0" wp14:anchorId="0EDE2280" wp14:editId="03046ABE">
            <wp:extent cx="2171700" cy="2000250"/>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drawing>
          <wp:inline distT="0" distB="0" distL="0" distR="0" wp14:anchorId="3ACC7633" wp14:editId="4C05B9CB">
            <wp:extent cx="1704975" cy="2057400"/>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5759C73" w14:textId="77777777" w:rsidR="000244C5" w:rsidRPr="002C7C06" w:rsidRDefault="000244C5" w:rsidP="00E2791F">
      <w:pPr>
        <w:spacing w:before="240"/>
        <w:jc w:val="both"/>
        <w:rPr>
          <w:rFonts w:cstheme="minorHAnsi"/>
          <w:sz w:val="20"/>
          <w:szCs w:val="20"/>
          <w:highlight w:val="yellow"/>
        </w:rPr>
      </w:pPr>
      <w:r w:rsidRPr="002C7C06">
        <w:rPr>
          <w:rFonts w:cstheme="minorHAnsi"/>
          <w:b/>
          <w:sz w:val="20"/>
          <w:szCs w:val="20"/>
        </w:rPr>
        <w:t>Zdroj:</w:t>
      </w:r>
      <w:r w:rsidRPr="002C7C06">
        <w:rPr>
          <w:rFonts w:cstheme="minorHAnsi"/>
          <w:sz w:val="20"/>
          <w:szCs w:val="20"/>
        </w:rPr>
        <w:t xml:space="preserve"> </w:t>
      </w:r>
      <w:r w:rsidR="002C7C06">
        <w:rPr>
          <w:rFonts w:cstheme="minorHAnsi"/>
          <w:sz w:val="20"/>
          <w:szCs w:val="20"/>
        </w:rPr>
        <w:t>data kontrolovaných osob; vyhodnotil a graficky zpracoval</w:t>
      </w:r>
      <w:r w:rsidRPr="002C7C06">
        <w:rPr>
          <w:rFonts w:cstheme="minorHAnsi"/>
          <w:sz w:val="20"/>
          <w:szCs w:val="20"/>
        </w:rPr>
        <w:t xml:space="preserve"> NKÚ</w:t>
      </w:r>
      <w:r w:rsidR="001B4F9E" w:rsidRPr="002C7C06">
        <w:rPr>
          <w:rFonts w:cstheme="minorHAnsi"/>
          <w:sz w:val="20"/>
          <w:szCs w:val="20"/>
        </w:rPr>
        <w:t>.</w:t>
      </w:r>
    </w:p>
    <w:p w14:paraId="3BFFE32F" w14:textId="77777777" w:rsidR="008F5465" w:rsidRDefault="003311EA" w:rsidP="005E2807">
      <w:pPr>
        <w:pStyle w:val="JK4"/>
        <w:ind w:left="0" w:firstLine="0"/>
      </w:pPr>
      <w:r>
        <w:t xml:space="preserve">Z výše uvedeného vyplývá, že </w:t>
      </w:r>
      <w:r w:rsidR="008F5465" w:rsidRPr="00EE2371">
        <w:t>M</w:t>
      </w:r>
      <w:r w:rsidR="008F5465">
        <w:t>D</w:t>
      </w:r>
      <w:r w:rsidR="008F5465" w:rsidRPr="00EE2371">
        <w:t xml:space="preserve"> </w:t>
      </w:r>
      <w:r w:rsidR="008F5465">
        <w:t xml:space="preserve">tak </w:t>
      </w:r>
      <w:r w:rsidR="008F5465" w:rsidRPr="00EE2371">
        <w:t>nemohlo</w:t>
      </w:r>
      <w:r w:rsidR="00510F98">
        <w:t xml:space="preserve"> u části výdajů</w:t>
      </w:r>
      <w:r w:rsidR="008F5465" w:rsidRPr="00EE2371">
        <w:t xml:space="preserve"> sledovat a vyhodnocovat účelnost vynakládání </w:t>
      </w:r>
      <w:r w:rsidR="007C5D3F">
        <w:t>peněžních prostředků</w:t>
      </w:r>
      <w:r w:rsidR="008F5465" w:rsidRPr="00EE2371">
        <w:t xml:space="preserve"> ve své kapitole</w:t>
      </w:r>
      <w:r w:rsidR="00C608DF">
        <w:t xml:space="preserve">, jak je k tomu povinno podle </w:t>
      </w:r>
      <w:r w:rsidR="008F5465" w:rsidRPr="00EE2371">
        <w:t>ustanovení § 39 odst.</w:t>
      </w:r>
      <w:r w:rsidR="002C66FA">
        <w:t xml:space="preserve"> </w:t>
      </w:r>
      <w:r w:rsidR="008F5465" w:rsidRPr="00EE2371">
        <w:t>3 zákona č. 218/2000 Sb</w:t>
      </w:r>
      <w:r w:rsidR="008F5465">
        <w:t>.</w:t>
      </w:r>
      <w:r w:rsidR="009563A7">
        <w:rPr>
          <w:rStyle w:val="Znakapoznpodarou"/>
        </w:rPr>
        <w:footnoteReference w:id="38"/>
      </w:r>
      <w:r w:rsidR="008F5465">
        <w:t xml:space="preserve"> Absence měřitelnosti výsledků realizovaných aktivit zaměřených na splnění strategických cílů v oblasti BESIP neumožňuje ověřit dosažení výsledků těchto aktivit</w:t>
      </w:r>
      <w:r w:rsidR="001B4F9E">
        <w:t>,</w:t>
      </w:r>
      <w:r w:rsidR="00FC2734">
        <w:t xml:space="preserve"> a tedy účelnost vyna</w:t>
      </w:r>
      <w:r w:rsidR="007C5D3F">
        <w:t>kláda</w:t>
      </w:r>
      <w:r w:rsidR="00FC2734">
        <w:t>ných peněžních prostředků</w:t>
      </w:r>
      <w:r w:rsidR="008F5465">
        <w:t>.</w:t>
      </w:r>
    </w:p>
    <w:p w14:paraId="62BB6235" w14:textId="21CFB95E" w:rsidR="00C278E6" w:rsidRPr="00703DE3" w:rsidRDefault="00E27E67" w:rsidP="005E2807">
      <w:pPr>
        <w:pStyle w:val="JK4"/>
        <w:ind w:left="0" w:firstLine="0"/>
      </w:pPr>
      <w:r>
        <w:t>MD</w:t>
      </w:r>
      <w:r w:rsidR="008F5465">
        <w:t xml:space="preserve"> monitorovalo</w:t>
      </w:r>
      <w:r w:rsidR="00DC239B">
        <w:t xml:space="preserve"> realizac</w:t>
      </w:r>
      <w:r w:rsidR="008F5465">
        <w:t>i</w:t>
      </w:r>
      <w:r w:rsidR="00DC239B">
        <w:t xml:space="preserve"> aktivit </w:t>
      </w:r>
      <w:r>
        <w:t xml:space="preserve">jednotlivých AP </w:t>
      </w:r>
      <w:r w:rsidR="00C950D4">
        <w:t>jednou ročně</w:t>
      </w:r>
      <w:r w:rsidR="008F5465">
        <w:t xml:space="preserve"> po skončení kalendářního roku</w:t>
      </w:r>
      <w:r>
        <w:t>.</w:t>
      </w:r>
      <w:r w:rsidR="00C950D4">
        <w:t xml:space="preserve"> </w:t>
      </w:r>
      <w:r>
        <w:t>V</w:t>
      </w:r>
      <w:r w:rsidR="00DF58B7">
        <w:t xml:space="preserve"> </w:t>
      </w:r>
      <w:r>
        <w:t>rámci monitoringu o</w:t>
      </w:r>
      <w:r w:rsidR="0021660D">
        <w:t xml:space="preserve">dpovědné subjekty informovaly MD o </w:t>
      </w:r>
      <w:r>
        <w:t xml:space="preserve">průběhu realizace jednotlivých aktivit. </w:t>
      </w:r>
      <w:r w:rsidR="003726BD">
        <w:t>Informace od odpovědných subjektů</w:t>
      </w:r>
      <w:r w:rsidR="0021660D">
        <w:t xml:space="preserve"> </w:t>
      </w:r>
      <w:r w:rsidR="00FC2734">
        <w:t xml:space="preserve">však </w:t>
      </w:r>
      <w:r w:rsidR="0021660D">
        <w:t xml:space="preserve">nebyly úplné. Např. v roce 2020 podaly informaci o realizaci aktivit všechna ministerstva </w:t>
      </w:r>
      <w:r w:rsidR="00DF58B7">
        <w:t>i všechny</w:t>
      </w:r>
      <w:r w:rsidR="0021660D">
        <w:t xml:space="preserve"> kraje</w:t>
      </w:r>
      <w:r w:rsidR="00F402AA">
        <w:t>, avšak z</w:t>
      </w:r>
      <w:r w:rsidR="0021660D">
        <w:t> celkového počtu 205 obcí s rozšířenou působností</w:t>
      </w:r>
      <w:r w:rsidR="003726BD">
        <w:t xml:space="preserve"> (dále </w:t>
      </w:r>
      <w:r w:rsidR="003726BD" w:rsidRPr="00030FDF">
        <w:t>také „ORP“)</w:t>
      </w:r>
      <w:r w:rsidR="0021660D" w:rsidRPr="00030FDF">
        <w:t xml:space="preserve"> </w:t>
      </w:r>
      <w:r w:rsidR="00F402AA" w:rsidRPr="00030FDF">
        <w:t>tyto</w:t>
      </w:r>
      <w:r w:rsidR="0021660D">
        <w:t xml:space="preserve"> informac</w:t>
      </w:r>
      <w:r w:rsidR="00F402AA">
        <w:t>e</w:t>
      </w:r>
      <w:r w:rsidR="0021660D">
        <w:t xml:space="preserve"> po</w:t>
      </w:r>
      <w:r w:rsidR="00F402AA">
        <w:t>skytlo</w:t>
      </w:r>
      <w:r w:rsidR="0021660D">
        <w:t xml:space="preserve"> pouze </w:t>
      </w:r>
      <w:r w:rsidR="0021660D">
        <w:lastRenderedPageBreak/>
        <w:t>146</w:t>
      </w:r>
      <w:r w:rsidR="00746089">
        <w:t> </w:t>
      </w:r>
      <w:r w:rsidR="0021660D">
        <w:t>z nich. Ne</w:t>
      </w:r>
      <w:r w:rsidR="00E8409D">
        <w:t> </w:t>
      </w:r>
      <w:r w:rsidR="0021660D">
        <w:t>všechny ORP podaly informace k celému spektru otázek.</w:t>
      </w:r>
      <w:r w:rsidR="00FC2734">
        <w:t xml:space="preserve"> Tato skutečnost nejde </w:t>
      </w:r>
      <w:r w:rsidR="007738E2">
        <w:br/>
      </w:r>
      <w:r w:rsidR="00FC2734">
        <w:t>k</w:t>
      </w:r>
      <w:r w:rsidR="007738E2">
        <w:t xml:space="preserve"> </w:t>
      </w:r>
      <w:r w:rsidR="00FC2734">
        <w:t>tíži MD</w:t>
      </w:r>
      <w:r w:rsidR="00EC533D">
        <w:t xml:space="preserve">, nicméně absence informací od téměř 30 % </w:t>
      </w:r>
      <w:r w:rsidR="00FB7CC9">
        <w:t xml:space="preserve">obcí </w:t>
      </w:r>
      <w:r w:rsidR="00EC533D">
        <w:t xml:space="preserve">znamená, že </w:t>
      </w:r>
      <w:r w:rsidR="00984905">
        <w:t xml:space="preserve">informace </w:t>
      </w:r>
      <w:r w:rsidR="00EC533D">
        <w:t xml:space="preserve">sumarizované </w:t>
      </w:r>
      <w:r w:rsidR="00984905">
        <w:t>z dodaných dat a následně poskytnuté</w:t>
      </w:r>
      <w:r w:rsidR="00EC533D">
        <w:t xml:space="preserve"> vládě byly nekompletní.</w:t>
      </w:r>
      <w:r w:rsidR="00AB361C">
        <w:t xml:space="preserve"> </w:t>
      </w:r>
      <w:r w:rsidR="005028D7">
        <w:t>V</w:t>
      </w:r>
      <w:r w:rsidR="00D1628C">
        <w:t xml:space="preserve"> </w:t>
      </w:r>
      <w:r w:rsidR="005028D7">
        <w:t>období let</w:t>
      </w:r>
      <w:r w:rsidR="00D1628C">
        <w:t xml:space="preserve"> </w:t>
      </w:r>
      <w:r w:rsidR="005028D7">
        <w:t>2011</w:t>
      </w:r>
      <w:r w:rsidR="00053884">
        <w:t>–</w:t>
      </w:r>
      <w:r w:rsidR="005028D7">
        <w:t xml:space="preserve">2020 </w:t>
      </w:r>
      <w:r w:rsidR="00605188">
        <w:t xml:space="preserve">nebyl </w:t>
      </w:r>
      <w:r w:rsidR="005028D7">
        <w:t xml:space="preserve">součástí </w:t>
      </w:r>
      <w:r w:rsidR="00984905">
        <w:t xml:space="preserve">těchto </w:t>
      </w:r>
      <w:r w:rsidR="00F402AA">
        <w:t>i</w:t>
      </w:r>
      <w:r w:rsidR="005028D7">
        <w:t>nformac</w:t>
      </w:r>
      <w:r w:rsidR="00984905">
        <w:t>í</w:t>
      </w:r>
      <w:r w:rsidR="005028D7">
        <w:t xml:space="preserve"> </w:t>
      </w:r>
      <w:r w:rsidR="00EC533D">
        <w:t xml:space="preserve">ani </w:t>
      </w:r>
      <w:r w:rsidR="005028D7">
        <w:t>přehled splněných</w:t>
      </w:r>
      <w:r w:rsidR="00E8409D">
        <w:t>,</w:t>
      </w:r>
      <w:r w:rsidR="005028D7">
        <w:t xml:space="preserve"> </w:t>
      </w:r>
      <w:r w:rsidR="00EC533D">
        <w:t xml:space="preserve">resp. nesplněných </w:t>
      </w:r>
      <w:r w:rsidR="005028D7">
        <w:t>aktivit</w:t>
      </w:r>
      <w:r w:rsidR="00EC533D">
        <w:t xml:space="preserve"> jako významný hodnotící aspekt</w:t>
      </w:r>
      <w:r w:rsidR="005028D7">
        <w:t xml:space="preserve">. </w:t>
      </w:r>
      <w:r w:rsidR="00F402AA">
        <w:t>Ten</w:t>
      </w:r>
      <w:r w:rsidR="005028D7">
        <w:t xml:space="preserve"> MD vládě poskytlo poprvé až </w:t>
      </w:r>
      <w:r w:rsidR="00703DE3">
        <w:t>v</w:t>
      </w:r>
      <w:r w:rsidR="007738E2">
        <w:t xml:space="preserve"> </w:t>
      </w:r>
      <w:r w:rsidR="00703DE3">
        <w:t xml:space="preserve">rámci AP za </w:t>
      </w:r>
      <w:r w:rsidR="00703DE3" w:rsidRPr="00703DE3">
        <w:t>období</w:t>
      </w:r>
      <w:r w:rsidR="005028D7" w:rsidRPr="00703DE3">
        <w:t xml:space="preserve"> </w:t>
      </w:r>
      <w:r w:rsidR="007738E2">
        <w:br/>
      </w:r>
      <w:r w:rsidR="005028D7" w:rsidRPr="00703DE3">
        <w:t>2021</w:t>
      </w:r>
      <w:r w:rsidR="00053884">
        <w:t>–</w:t>
      </w:r>
      <w:r w:rsidR="005028D7" w:rsidRPr="00703DE3">
        <w:t>2022.</w:t>
      </w:r>
      <w:r w:rsidR="00C779E8" w:rsidRPr="00703DE3">
        <w:t xml:space="preserve"> </w:t>
      </w:r>
    </w:p>
    <w:p w14:paraId="49B366D1" w14:textId="77777777" w:rsidR="008E0D8F" w:rsidRPr="002B040A" w:rsidRDefault="008E0D8F" w:rsidP="005E2807">
      <w:pPr>
        <w:pStyle w:val="JK4"/>
        <w:ind w:left="0" w:firstLine="0"/>
      </w:pPr>
      <w:r>
        <w:t xml:space="preserve">NKÚ </w:t>
      </w:r>
      <w:r w:rsidR="008F5465">
        <w:t>vyhodnotil</w:t>
      </w:r>
      <w:r>
        <w:t xml:space="preserve">, že </w:t>
      </w:r>
      <w:r w:rsidR="00E27E67">
        <w:t>ve strategickém období 2011</w:t>
      </w:r>
      <w:r w:rsidR="00053884" w:rsidRPr="00053884">
        <w:t>–</w:t>
      </w:r>
      <w:r w:rsidR="00E27E67">
        <w:t xml:space="preserve">2020 bylo </w:t>
      </w:r>
      <w:r>
        <w:t xml:space="preserve">z celkového počtu 116 aktivit </w:t>
      </w:r>
      <w:r w:rsidR="00984905">
        <w:t xml:space="preserve">splněno </w:t>
      </w:r>
      <w:r>
        <w:t>v plném rozsahu</w:t>
      </w:r>
      <w:r w:rsidR="000C271D">
        <w:t xml:space="preserve"> </w:t>
      </w:r>
      <w:r w:rsidR="005A35D8">
        <w:t xml:space="preserve">pouze </w:t>
      </w:r>
      <w:r w:rsidR="000C271D">
        <w:t>33 aktivit. Dalších p</w:t>
      </w:r>
      <w:r>
        <w:t xml:space="preserve">ět aktivit bylo splněno částečně a </w:t>
      </w:r>
      <w:r w:rsidRPr="002B040A">
        <w:t xml:space="preserve">devět aktivit splněno nebylo. V případě 69 aktivit </w:t>
      </w:r>
      <w:r w:rsidR="00780111">
        <w:t xml:space="preserve">nenastavilo </w:t>
      </w:r>
      <w:r w:rsidR="00984905">
        <w:t xml:space="preserve">MD </w:t>
      </w:r>
      <w:r w:rsidRPr="002B040A">
        <w:t>kritéri</w:t>
      </w:r>
      <w:r w:rsidR="00780111">
        <w:t>a</w:t>
      </w:r>
      <w:r w:rsidR="002B040A" w:rsidRPr="002B040A">
        <w:t xml:space="preserve"> pro hodnocení</w:t>
      </w:r>
      <w:r w:rsidR="00940F60">
        <w:t xml:space="preserve"> jejich plnění</w:t>
      </w:r>
      <w:r w:rsidR="005028D7">
        <w:t xml:space="preserve">. </w:t>
      </w:r>
    </w:p>
    <w:p w14:paraId="027C386C" w14:textId="77777777" w:rsidR="005D4B7C" w:rsidRPr="007E6EF5" w:rsidRDefault="002B040A" w:rsidP="005E2807">
      <w:pPr>
        <w:pStyle w:val="JK4"/>
        <w:ind w:left="0" w:firstLine="0"/>
      </w:pPr>
      <w:r w:rsidRPr="002B040A">
        <w:t xml:space="preserve">NKÚ </w:t>
      </w:r>
      <w:r w:rsidR="00EC533D">
        <w:t>obdobně</w:t>
      </w:r>
      <w:r w:rsidR="005028D7">
        <w:t xml:space="preserve"> </w:t>
      </w:r>
      <w:r w:rsidR="00B62490">
        <w:t xml:space="preserve">vyhodnotil plnění </w:t>
      </w:r>
      <w:r w:rsidR="001E587E">
        <w:t xml:space="preserve">celkového počtu 45 </w:t>
      </w:r>
      <w:r w:rsidR="00B62490">
        <w:t>aktivit v období 2021</w:t>
      </w:r>
      <w:r w:rsidR="00053884">
        <w:t>–</w:t>
      </w:r>
      <w:r w:rsidR="00B62490">
        <w:t>202</w:t>
      </w:r>
      <w:r w:rsidR="005028D7">
        <w:t>2</w:t>
      </w:r>
      <w:r w:rsidR="00EC533D">
        <w:t>, tedy za období, kdy vlastní hodnocení provádělo i MD.</w:t>
      </w:r>
      <w:r w:rsidRPr="002B040A">
        <w:t xml:space="preserve"> </w:t>
      </w:r>
      <w:r w:rsidR="00EC533D">
        <w:t>D</w:t>
      </w:r>
      <w:r w:rsidRPr="002B040A">
        <w:t xml:space="preserve">ošel </w:t>
      </w:r>
      <w:r w:rsidR="00EC533D">
        <w:t xml:space="preserve">však </w:t>
      </w:r>
      <w:r w:rsidRPr="002B040A">
        <w:t>k </w:t>
      </w:r>
      <w:r w:rsidRPr="00030FDF">
        <w:t>rozdílným závěrům</w:t>
      </w:r>
      <w:r w:rsidR="000C271D" w:rsidRPr="00030FDF">
        <w:t xml:space="preserve">, než </w:t>
      </w:r>
      <w:r w:rsidR="00984905">
        <w:t>jaké</w:t>
      </w:r>
      <w:r w:rsidR="000C271D" w:rsidRPr="00030FDF">
        <w:t xml:space="preserve"> MD </w:t>
      </w:r>
      <w:r w:rsidR="00B62490" w:rsidRPr="00030FDF">
        <w:t>předalo vládě</w:t>
      </w:r>
      <w:r w:rsidR="00C265F7" w:rsidRPr="00030FDF">
        <w:t xml:space="preserve"> v rámci </w:t>
      </w:r>
      <w:r w:rsidR="00984905">
        <w:t>i</w:t>
      </w:r>
      <w:r w:rsidR="00C265F7" w:rsidRPr="00030FDF">
        <w:t>nformac</w:t>
      </w:r>
      <w:r w:rsidR="00984905">
        <w:t>í</w:t>
      </w:r>
      <w:r w:rsidR="00C265F7" w:rsidRPr="00030FDF">
        <w:t xml:space="preserve"> o plnění AP za období 2021</w:t>
      </w:r>
      <w:r w:rsidR="00053884" w:rsidRPr="00030FDF">
        <w:t>–</w:t>
      </w:r>
      <w:r w:rsidR="00C265F7" w:rsidRPr="00030FDF">
        <w:t>2022</w:t>
      </w:r>
      <w:r w:rsidRPr="00030FDF">
        <w:t xml:space="preserve"> (viz </w:t>
      </w:r>
      <w:r w:rsidR="00712358" w:rsidRPr="00030FDF">
        <w:t xml:space="preserve">graf č. </w:t>
      </w:r>
      <w:r w:rsidR="00030FDF" w:rsidRPr="00030FDF">
        <w:t>2</w:t>
      </w:r>
      <w:r w:rsidRPr="00030FDF">
        <w:t>).</w:t>
      </w:r>
    </w:p>
    <w:p w14:paraId="728D2833" w14:textId="77777777" w:rsidR="00712358" w:rsidRDefault="00712358" w:rsidP="00712358">
      <w:pPr>
        <w:pStyle w:val="Titulek"/>
        <w:keepNext/>
        <w:spacing w:after="0"/>
        <w:rPr>
          <w:rFonts w:cstheme="minorHAnsi"/>
          <w:b/>
          <w:bCs/>
          <w:i w:val="0"/>
          <w:iCs w:val="0"/>
          <w:color w:val="auto"/>
          <w:sz w:val="24"/>
          <w:szCs w:val="24"/>
        </w:rPr>
      </w:pPr>
      <w:r w:rsidRPr="007E6EF5">
        <w:rPr>
          <w:rFonts w:cstheme="minorHAnsi"/>
          <w:b/>
          <w:bCs/>
          <w:i w:val="0"/>
          <w:iCs w:val="0"/>
          <w:color w:val="auto"/>
          <w:sz w:val="24"/>
          <w:szCs w:val="24"/>
        </w:rPr>
        <w:t xml:space="preserve">Graf č. </w:t>
      </w:r>
      <w:r w:rsidR="00030FDF">
        <w:rPr>
          <w:rFonts w:cstheme="minorHAnsi"/>
          <w:b/>
          <w:bCs/>
          <w:i w:val="0"/>
          <w:iCs w:val="0"/>
          <w:color w:val="auto"/>
          <w:sz w:val="24"/>
          <w:szCs w:val="24"/>
        </w:rPr>
        <w:t>2</w:t>
      </w:r>
      <w:r w:rsidRPr="007E6EF5">
        <w:rPr>
          <w:rFonts w:cstheme="minorHAnsi"/>
          <w:b/>
          <w:bCs/>
          <w:i w:val="0"/>
          <w:iCs w:val="0"/>
          <w:color w:val="auto"/>
          <w:sz w:val="24"/>
          <w:szCs w:val="24"/>
        </w:rPr>
        <w:t>: Srovnání p</w:t>
      </w:r>
      <w:r w:rsidRPr="001E422B">
        <w:rPr>
          <w:rFonts w:cstheme="minorHAnsi"/>
          <w:b/>
          <w:bCs/>
          <w:i w:val="0"/>
          <w:iCs w:val="0"/>
          <w:color w:val="auto"/>
          <w:sz w:val="24"/>
          <w:szCs w:val="24"/>
        </w:rPr>
        <w:t>lnění AP za období 2021</w:t>
      </w:r>
      <w:r w:rsidR="00746089">
        <w:rPr>
          <w:rFonts w:cstheme="minorHAnsi"/>
          <w:b/>
          <w:bCs/>
          <w:i w:val="0"/>
          <w:iCs w:val="0"/>
          <w:color w:val="auto"/>
          <w:sz w:val="24"/>
          <w:szCs w:val="24"/>
        </w:rPr>
        <w:t>–</w:t>
      </w:r>
      <w:r w:rsidRPr="001E422B">
        <w:rPr>
          <w:rFonts w:cstheme="minorHAnsi"/>
          <w:b/>
          <w:bCs/>
          <w:i w:val="0"/>
          <w:iCs w:val="0"/>
          <w:color w:val="auto"/>
          <w:sz w:val="24"/>
          <w:szCs w:val="24"/>
        </w:rPr>
        <w:t>2022 dle MD a dle NKÚ</w:t>
      </w:r>
      <w:r w:rsidR="00550E4B">
        <w:rPr>
          <w:rFonts w:cstheme="minorHAnsi"/>
          <w:b/>
          <w:bCs/>
          <w:i w:val="0"/>
          <w:iCs w:val="0"/>
          <w:color w:val="auto"/>
          <w:sz w:val="24"/>
          <w:szCs w:val="24"/>
        </w:rPr>
        <w:t xml:space="preserve"> </w:t>
      </w:r>
    </w:p>
    <w:p w14:paraId="2C4C29BD" w14:textId="0D93A715" w:rsidR="00A73D75" w:rsidRPr="00A73D75" w:rsidRDefault="00D8295A" w:rsidP="008449CC">
      <w:pPr>
        <w:jc w:val="center"/>
      </w:pPr>
      <w:r>
        <w:rPr>
          <w:noProof/>
        </w:rPr>
        <w:drawing>
          <wp:inline distT="0" distB="0" distL="0" distR="0" wp14:anchorId="571243B8" wp14:editId="692FF35D">
            <wp:extent cx="2844800" cy="2815359"/>
            <wp:effectExtent l="0" t="0" r="0" b="0"/>
            <wp:docPr id="30" name="Graf 30">
              <a:extLst xmlns:a="http://schemas.openxmlformats.org/drawingml/2006/main">
                <a:ext uri="{FF2B5EF4-FFF2-40B4-BE49-F238E27FC236}">
                  <a16:creationId xmlns:a16="http://schemas.microsoft.com/office/drawing/2014/main" id="{2080DDAA-FCD8-43E4-860A-F8BB2EC59A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rPr>
        <w:drawing>
          <wp:inline distT="0" distB="0" distL="0" distR="0" wp14:anchorId="747D7C29" wp14:editId="55BD5E41">
            <wp:extent cx="2864460" cy="2806441"/>
            <wp:effectExtent l="0" t="0" r="0" b="0"/>
            <wp:docPr id="31" name="Graf 31">
              <a:extLst xmlns:a="http://schemas.openxmlformats.org/drawingml/2006/main">
                <a:ext uri="{FF2B5EF4-FFF2-40B4-BE49-F238E27FC236}">
                  <a16:creationId xmlns:a16="http://schemas.microsoft.com/office/drawing/2014/main" id="{FE9CC469-BFFF-41FE-9C4D-CD2B820A27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801A8F" w:rsidRPr="00801A8F">
        <w:rPr>
          <w:noProof/>
        </w:rPr>
        <w:t xml:space="preserve"> </w:t>
      </w:r>
    </w:p>
    <w:p w14:paraId="00E9EFC9" w14:textId="77777777" w:rsidR="00712358" w:rsidRPr="002C7C06" w:rsidRDefault="00712358" w:rsidP="00712358">
      <w:pPr>
        <w:jc w:val="both"/>
        <w:rPr>
          <w:rFonts w:cstheme="minorHAnsi"/>
          <w:sz w:val="20"/>
          <w:szCs w:val="20"/>
          <w:highlight w:val="yellow"/>
        </w:rPr>
      </w:pPr>
      <w:r w:rsidRPr="002C7C06">
        <w:rPr>
          <w:rFonts w:cstheme="minorHAnsi"/>
          <w:b/>
          <w:sz w:val="20"/>
          <w:szCs w:val="20"/>
        </w:rPr>
        <w:t>Zdroj:</w:t>
      </w:r>
      <w:r w:rsidRPr="002C7C06">
        <w:rPr>
          <w:rFonts w:cstheme="minorHAnsi"/>
          <w:sz w:val="20"/>
          <w:szCs w:val="20"/>
        </w:rPr>
        <w:t xml:space="preserve"> </w:t>
      </w:r>
      <w:r w:rsidR="002C7C06">
        <w:rPr>
          <w:rFonts w:cstheme="minorHAnsi"/>
          <w:sz w:val="20"/>
          <w:szCs w:val="20"/>
        </w:rPr>
        <w:t>data kontrolovaných osob; vyhodnotil a graficky zpracoval</w:t>
      </w:r>
      <w:r w:rsidR="002C7C06" w:rsidRPr="002C7C06">
        <w:rPr>
          <w:rFonts w:cstheme="minorHAnsi"/>
          <w:sz w:val="20"/>
          <w:szCs w:val="20"/>
        </w:rPr>
        <w:t xml:space="preserve"> NKÚ</w:t>
      </w:r>
      <w:r w:rsidR="00746089" w:rsidRPr="002C7C06">
        <w:rPr>
          <w:rFonts w:cstheme="minorHAnsi"/>
          <w:sz w:val="20"/>
          <w:szCs w:val="20"/>
        </w:rPr>
        <w:t>.</w:t>
      </w:r>
    </w:p>
    <w:p w14:paraId="29A0A75F" w14:textId="10B03B62" w:rsidR="00712358" w:rsidRPr="00CA1FE9" w:rsidRDefault="00E56005" w:rsidP="005E2807">
      <w:pPr>
        <w:pStyle w:val="JK4"/>
        <w:ind w:left="0" w:firstLine="0"/>
      </w:pPr>
      <w:r>
        <w:t>H</w:t>
      </w:r>
      <w:r w:rsidR="00A32C2C">
        <w:t>odnocení</w:t>
      </w:r>
      <w:r w:rsidR="00712358" w:rsidRPr="001E422B">
        <w:t xml:space="preserve"> </w:t>
      </w:r>
      <w:r>
        <w:t>uvedená v grafu č. 2 se od sebe liší v tom</w:t>
      </w:r>
      <w:r w:rsidR="00712358" w:rsidRPr="001E422B">
        <w:t>, že</w:t>
      </w:r>
      <w:r w:rsidR="00712358">
        <w:t xml:space="preserve"> MD vyhodnotilo </w:t>
      </w:r>
      <w:r w:rsidR="002377EC">
        <w:t>sedm</w:t>
      </w:r>
      <w:r w:rsidR="00712358">
        <w:t xml:space="preserve"> aktivit</w:t>
      </w:r>
      <w:r w:rsidR="007C5D3F">
        <w:t xml:space="preserve"> ze 45</w:t>
      </w:r>
      <w:r w:rsidR="00712358">
        <w:t xml:space="preserve"> jako splněn</w:t>
      </w:r>
      <w:r w:rsidR="00605188">
        <w:t>ých</w:t>
      </w:r>
      <w:r w:rsidR="008B0B33">
        <w:t xml:space="preserve"> v</w:t>
      </w:r>
      <w:r w:rsidR="00D1628C">
        <w:t xml:space="preserve"> </w:t>
      </w:r>
      <w:r w:rsidR="008B0B33">
        <w:t xml:space="preserve">plném rozsahu a dvě </w:t>
      </w:r>
      <w:r w:rsidR="00801A8F">
        <w:t>aktivity</w:t>
      </w:r>
      <w:r w:rsidR="007C5D3F">
        <w:t xml:space="preserve"> ze 45</w:t>
      </w:r>
      <w:r w:rsidR="008B0B33">
        <w:t xml:space="preserve"> jako částečně splněn</w:t>
      </w:r>
      <w:r w:rsidR="00801A8F">
        <w:t>é</w:t>
      </w:r>
      <w:r w:rsidR="00712358">
        <w:t xml:space="preserve">, přestože </w:t>
      </w:r>
      <w:r w:rsidR="007738E2">
        <w:br/>
      </w:r>
      <w:r w:rsidR="002377EC">
        <w:t>z</w:t>
      </w:r>
      <w:r w:rsidR="007738E2">
        <w:t xml:space="preserve"> </w:t>
      </w:r>
      <w:r w:rsidR="002377EC">
        <w:t>důvodu absence hodnot</w:t>
      </w:r>
      <w:r>
        <w:t>i</w:t>
      </w:r>
      <w:r w:rsidR="002377EC">
        <w:t xml:space="preserve">cích kritérií </w:t>
      </w:r>
      <w:r w:rsidR="00CC17A9">
        <w:t xml:space="preserve">(požadované cílové hodnoty) </w:t>
      </w:r>
      <w:r w:rsidR="002377EC">
        <w:t>nemělo pro takové hodnocení</w:t>
      </w:r>
      <w:r w:rsidR="002377EC" w:rsidRPr="002377EC">
        <w:t xml:space="preserve"> </w:t>
      </w:r>
      <w:r w:rsidR="002377EC">
        <w:t>oporu.</w:t>
      </w:r>
      <w:r w:rsidR="008B0B33">
        <w:t xml:space="preserve"> NKÚ </w:t>
      </w:r>
      <w:r w:rsidR="002377EC">
        <w:t>proto</w:t>
      </w:r>
      <w:r w:rsidR="008B0B33">
        <w:t xml:space="preserve"> plnění těchto </w:t>
      </w:r>
      <w:r w:rsidR="002377EC">
        <w:t>devíti</w:t>
      </w:r>
      <w:r w:rsidR="008B0B33">
        <w:t xml:space="preserve"> aktivit považuje za </w:t>
      </w:r>
      <w:r w:rsidR="008B0B33" w:rsidRPr="00CA1FE9">
        <w:t>nevyhodnotitelné.</w:t>
      </w:r>
    </w:p>
    <w:p w14:paraId="1341A794" w14:textId="77777777" w:rsidR="00703DE3" w:rsidRPr="00CA1FE9" w:rsidRDefault="002B637D" w:rsidP="005E2807">
      <w:pPr>
        <w:pStyle w:val="JK4"/>
        <w:ind w:left="0" w:firstLine="0"/>
        <w:rPr>
          <w:lang w:eastAsia="cs-CZ"/>
        </w:rPr>
      </w:pPr>
      <w:r>
        <w:t>NKÚ hodnotí pozitivně, že z</w:t>
      </w:r>
      <w:r w:rsidR="00703DE3" w:rsidRPr="00CA1FE9">
        <w:t>atímco ve strategickém období 2011</w:t>
      </w:r>
      <w:r w:rsidR="00053884">
        <w:t>–</w:t>
      </w:r>
      <w:r w:rsidR="00703DE3" w:rsidRPr="00CA1FE9">
        <w:t>2020 byl akční p</w:t>
      </w:r>
      <w:r w:rsidR="00FB7CC9">
        <w:t>lán</w:t>
      </w:r>
      <w:r w:rsidR="00703DE3" w:rsidRPr="00CA1FE9">
        <w:t xml:space="preserve"> koncipován na </w:t>
      </w:r>
      <w:r>
        <w:t xml:space="preserve">celých </w:t>
      </w:r>
      <w:r w:rsidR="00703DE3" w:rsidRPr="00CA1FE9">
        <w:t>10 let</w:t>
      </w:r>
      <w:r>
        <w:t xml:space="preserve"> trvání </w:t>
      </w:r>
      <w:r w:rsidR="00923695">
        <w:t>NSBSP 2020</w:t>
      </w:r>
      <w:r w:rsidR="00703DE3" w:rsidRPr="00CA1FE9">
        <w:t xml:space="preserve">, </w:t>
      </w:r>
      <w:r w:rsidR="00923695">
        <w:t>p</w:t>
      </w:r>
      <w:r w:rsidR="00703DE3" w:rsidRPr="00CA1FE9">
        <w:t>ro</w:t>
      </w:r>
      <w:r w:rsidR="00703DE3" w:rsidRPr="00CA1FE9">
        <w:rPr>
          <w:lang w:eastAsia="cs-CZ"/>
        </w:rPr>
        <w:t xml:space="preserve"> strategické </w:t>
      </w:r>
      <w:r w:rsidR="00703DE3" w:rsidRPr="00CA1FE9">
        <w:rPr>
          <w:szCs w:val="24"/>
          <w:lang w:eastAsia="cs-CZ"/>
        </w:rPr>
        <w:t>období 2021</w:t>
      </w:r>
      <w:r w:rsidR="00053884">
        <w:rPr>
          <w:szCs w:val="24"/>
          <w:lang w:eastAsia="cs-CZ"/>
        </w:rPr>
        <w:t>–</w:t>
      </w:r>
      <w:r w:rsidR="00703DE3" w:rsidRPr="00CA1FE9">
        <w:rPr>
          <w:szCs w:val="24"/>
          <w:lang w:eastAsia="cs-CZ"/>
        </w:rPr>
        <w:t>2030</w:t>
      </w:r>
      <w:r w:rsidR="00923695">
        <w:rPr>
          <w:szCs w:val="24"/>
          <w:lang w:eastAsia="cs-CZ"/>
        </w:rPr>
        <w:t xml:space="preserve"> </w:t>
      </w:r>
      <w:r w:rsidR="00E56005">
        <w:rPr>
          <w:szCs w:val="24"/>
          <w:lang w:eastAsia="cs-CZ"/>
        </w:rPr>
        <w:t>(tj. pro</w:t>
      </w:r>
      <w:r w:rsidR="00923695">
        <w:rPr>
          <w:szCs w:val="24"/>
          <w:lang w:eastAsia="cs-CZ"/>
        </w:rPr>
        <w:t xml:space="preserve"> plnění strategie BESIP 2030</w:t>
      </w:r>
      <w:r w:rsidR="00E56005">
        <w:rPr>
          <w:szCs w:val="24"/>
          <w:lang w:eastAsia="cs-CZ"/>
        </w:rPr>
        <w:t>)</w:t>
      </w:r>
      <w:r w:rsidR="00703DE3" w:rsidRPr="00CA1FE9">
        <w:rPr>
          <w:szCs w:val="24"/>
          <w:lang w:eastAsia="cs-CZ"/>
        </w:rPr>
        <w:t xml:space="preserve"> j</w:t>
      </w:r>
      <w:r w:rsidR="00923695">
        <w:rPr>
          <w:szCs w:val="24"/>
          <w:lang w:eastAsia="cs-CZ"/>
        </w:rPr>
        <w:t>sou</w:t>
      </w:r>
      <w:r w:rsidR="00703DE3" w:rsidRPr="00CA1FE9">
        <w:rPr>
          <w:szCs w:val="24"/>
          <w:lang w:eastAsia="cs-CZ"/>
        </w:rPr>
        <w:t xml:space="preserve"> již </w:t>
      </w:r>
      <w:r w:rsidR="00923695">
        <w:rPr>
          <w:szCs w:val="24"/>
          <w:lang w:eastAsia="cs-CZ"/>
        </w:rPr>
        <w:t xml:space="preserve">AP </w:t>
      </w:r>
      <w:r w:rsidR="00703DE3" w:rsidRPr="00CA1FE9">
        <w:rPr>
          <w:szCs w:val="24"/>
          <w:lang w:eastAsia="cs-CZ"/>
        </w:rPr>
        <w:t>koncipován</w:t>
      </w:r>
      <w:r w:rsidR="00923695">
        <w:rPr>
          <w:szCs w:val="24"/>
          <w:lang w:eastAsia="cs-CZ"/>
        </w:rPr>
        <w:t>y</w:t>
      </w:r>
      <w:r w:rsidR="00703DE3" w:rsidRPr="00CA1FE9">
        <w:rPr>
          <w:szCs w:val="24"/>
          <w:lang w:eastAsia="cs-CZ"/>
        </w:rPr>
        <w:t xml:space="preserve"> pouze na dvoulet</w:t>
      </w:r>
      <w:r>
        <w:rPr>
          <w:szCs w:val="24"/>
          <w:lang w:eastAsia="cs-CZ"/>
        </w:rPr>
        <w:t>á</w:t>
      </w:r>
      <w:r w:rsidR="00703DE3" w:rsidRPr="00CA1FE9">
        <w:rPr>
          <w:szCs w:val="24"/>
          <w:lang w:eastAsia="cs-CZ"/>
        </w:rPr>
        <w:t xml:space="preserve"> období</w:t>
      </w:r>
      <w:r w:rsidR="00CC17A9">
        <w:rPr>
          <w:szCs w:val="24"/>
          <w:lang w:eastAsia="cs-CZ"/>
        </w:rPr>
        <w:t>.</w:t>
      </w:r>
      <w:r w:rsidR="00703DE3" w:rsidRPr="00CA1FE9">
        <w:rPr>
          <w:szCs w:val="24"/>
        </w:rPr>
        <w:t xml:space="preserve"> </w:t>
      </w:r>
      <w:r w:rsidR="00CC17A9">
        <w:rPr>
          <w:szCs w:val="24"/>
        </w:rPr>
        <w:t>P</w:t>
      </w:r>
      <w:r w:rsidR="00703DE3" w:rsidRPr="00CA1FE9">
        <w:rPr>
          <w:szCs w:val="24"/>
        </w:rPr>
        <w:t xml:space="preserve">o uplynutí </w:t>
      </w:r>
      <w:r w:rsidR="00E56005">
        <w:rPr>
          <w:szCs w:val="24"/>
        </w:rPr>
        <w:t xml:space="preserve">každého takového období </w:t>
      </w:r>
      <w:r w:rsidR="00923695">
        <w:rPr>
          <w:szCs w:val="24"/>
        </w:rPr>
        <w:t>má být</w:t>
      </w:r>
      <w:r w:rsidR="00703DE3" w:rsidRPr="00CA1FE9">
        <w:rPr>
          <w:szCs w:val="24"/>
        </w:rPr>
        <w:t xml:space="preserve"> vyhodnoceno plnění </w:t>
      </w:r>
      <w:r w:rsidR="00E56005">
        <w:rPr>
          <w:szCs w:val="24"/>
        </w:rPr>
        <w:t xml:space="preserve">akčního plánu </w:t>
      </w:r>
      <w:r w:rsidR="00703DE3" w:rsidRPr="00CA1FE9">
        <w:rPr>
          <w:szCs w:val="24"/>
        </w:rPr>
        <w:t xml:space="preserve">a dle </w:t>
      </w:r>
      <w:r w:rsidR="00923695">
        <w:rPr>
          <w:szCs w:val="24"/>
        </w:rPr>
        <w:t xml:space="preserve">tohoto hodnocení a </w:t>
      </w:r>
      <w:r w:rsidR="00703DE3" w:rsidRPr="00CA1FE9">
        <w:rPr>
          <w:szCs w:val="24"/>
        </w:rPr>
        <w:t>aktuálního vývoje</w:t>
      </w:r>
      <w:r w:rsidR="00923695">
        <w:rPr>
          <w:szCs w:val="24"/>
        </w:rPr>
        <w:t xml:space="preserve"> v oblasti BESIP</w:t>
      </w:r>
      <w:r w:rsidR="00703DE3" w:rsidRPr="00CA1FE9">
        <w:rPr>
          <w:szCs w:val="24"/>
        </w:rPr>
        <w:t xml:space="preserve"> bude navržen nový dvouletý AP. </w:t>
      </w:r>
    </w:p>
    <w:p w14:paraId="58C6A35B" w14:textId="77777777" w:rsidR="0001416E" w:rsidRPr="00703DE3" w:rsidRDefault="00CD1823" w:rsidP="00CD1823">
      <w:pPr>
        <w:pStyle w:val="PodkapitolystiIVKZ"/>
        <w:ind w:left="284" w:hanging="284"/>
        <w:rPr>
          <w:color w:val="2E74B5" w:themeColor="accent1" w:themeShade="BF"/>
        </w:rPr>
      </w:pPr>
      <w:r w:rsidRPr="00703DE3">
        <w:rPr>
          <w:color w:val="2E74B5" w:themeColor="accent1" w:themeShade="BF"/>
        </w:rPr>
        <w:t>Aktivity zaměřené na legislativní úpravy</w:t>
      </w:r>
    </w:p>
    <w:p w14:paraId="5775C04C" w14:textId="77777777" w:rsidR="00963167" w:rsidRDefault="00963167" w:rsidP="005E2807">
      <w:pPr>
        <w:pStyle w:val="JK4"/>
        <w:ind w:left="0" w:firstLine="0"/>
      </w:pPr>
      <w:r>
        <w:t xml:space="preserve">MD do AP zařadilo </w:t>
      </w:r>
      <w:r w:rsidR="00605188">
        <w:t xml:space="preserve">také </w:t>
      </w:r>
      <w:r>
        <w:t xml:space="preserve">aktivity zaměřené na legislativní úpravy s potenciálem přispět k plnění strategických cílů a </w:t>
      </w:r>
      <w:r w:rsidR="004E5428">
        <w:t>zvýšení bezpečnosti silničního provozu</w:t>
      </w:r>
      <w:r>
        <w:t xml:space="preserve"> v ČR. Kritériem splnění </w:t>
      </w:r>
      <w:r>
        <w:lastRenderedPageBreak/>
        <w:t>těchto aktivit bylo, aby MD jako</w:t>
      </w:r>
      <w:r w:rsidR="00E56005">
        <w:t>žto</w:t>
      </w:r>
      <w:r>
        <w:t xml:space="preserve"> </w:t>
      </w:r>
      <w:r w:rsidR="00E56005">
        <w:t xml:space="preserve">subjekt </w:t>
      </w:r>
      <w:r>
        <w:t>odpovědný za jejich plnění připravilo návrhy legislativních úprav</w:t>
      </w:r>
      <w:r w:rsidR="00CC17A9">
        <w:t>,</w:t>
      </w:r>
      <w:r w:rsidR="009A5A54">
        <w:t xml:space="preserve"> případně</w:t>
      </w:r>
      <w:r w:rsidR="00C8044A">
        <w:t xml:space="preserve"> alespoň</w:t>
      </w:r>
      <w:r w:rsidR="009A5A54">
        <w:t xml:space="preserve"> posoudilo jejich vhodnost</w:t>
      </w:r>
      <w:r>
        <w:t>.</w:t>
      </w:r>
    </w:p>
    <w:p w14:paraId="5B5F0ADC" w14:textId="77777777" w:rsidR="000B4E7D" w:rsidRPr="00156F9B" w:rsidRDefault="000B4E7D" w:rsidP="00156F9B">
      <w:pPr>
        <w:pStyle w:val="Mluvcnadpis"/>
      </w:pPr>
      <w:r w:rsidRPr="00156F9B">
        <w:t>→</w:t>
      </w:r>
      <w:r w:rsidRPr="00156F9B">
        <w:tab/>
        <w:t xml:space="preserve">MD nepřipravilo </w:t>
      </w:r>
      <w:r w:rsidR="00806D62" w:rsidRPr="00156F9B">
        <w:t xml:space="preserve">návrhy </w:t>
      </w:r>
      <w:r w:rsidRPr="00156F9B">
        <w:t>legislativní</w:t>
      </w:r>
      <w:r w:rsidR="00806D62">
        <w:t>ch</w:t>
      </w:r>
      <w:r w:rsidRPr="00156F9B">
        <w:t xml:space="preserve"> </w:t>
      </w:r>
      <w:r w:rsidR="00D54090" w:rsidRPr="00156F9B">
        <w:t xml:space="preserve">opatření, </w:t>
      </w:r>
      <w:r w:rsidR="007462DC">
        <w:t>ačkoliv</w:t>
      </w:r>
      <w:r w:rsidR="00D54090" w:rsidRPr="00156F9B">
        <w:t xml:space="preserve"> </w:t>
      </w:r>
      <w:r w:rsidR="0074605A">
        <w:t>samo vyhodnotilo</w:t>
      </w:r>
      <w:r w:rsidR="00806D62">
        <w:t xml:space="preserve">, že mají </w:t>
      </w:r>
      <w:r w:rsidR="00D54090" w:rsidRPr="00156F9B">
        <w:t>potenciál zlepšit stav bezpečnosti na silnicích.</w:t>
      </w:r>
    </w:p>
    <w:p w14:paraId="68307F4C" w14:textId="3BD7758E" w:rsidR="004832B6" w:rsidRDefault="00D528CC" w:rsidP="005E2807">
      <w:pPr>
        <w:pStyle w:val="JK4"/>
        <w:ind w:left="0" w:firstLine="0"/>
      </w:pPr>
      <w:r w:rsidDel="00D528CC">
        <w:t xml:space="preserve"> </w:t>
      </w:r>
      <w:r>
        <w:t>N</w:t>
      </w:r>
      <w:r w:rsidR="00862842" w:rsidRPr="00694EA3">
        <w:t>KÚ prověřil celkem 13 vybraných</w:t>
      </w:r>
      <w:r w:rsidR="00685397">
        <w:t xml:space="preserve"> aktivit zaměřených na legislativní úpravy</w:t>
      </w:r>
      <w:r w:rsidR="00862842" w:rsidRPr="00694EA3">
        <w:t>, z toho devět stanovených na</w:t>
      </w:r>
      <w:r w:rsidR="00806D62">
        <w:t xml:space="preserve"> </w:t>
      </w:r>
      <w:r w:rsidR="00862842" w:rsidRPr="00694EA3">
        <w:t>období 2011</w:t>
      </w:r>
      <w:r w:rsidR="00053884">
        <w:t>–</w:t>
      </w:r>
      <w:r w:rsidR="00862842" w:rsidRPr="00694EA3">
        <w:t>2020 a čtyři na období 2021</w:t>
      </w:r>
      <w:r w:rsidR="00053884">
        <w:t>–</w:t>
      </w:r>
      <w:r w:rsidR="00862842" w:rsidRPr="00030FDF">
        <w:t xml:space="preserve">2022 (viz příloha č. 3). </w:t>
      </w:r>
      <w:r w:rsidR="00806D62">
        <w:t>Kontrola z</w:t>
      </w:r>
      <w:r w:rsidR="00862842" w:rsidRPr="00030FDF">
        <w:t>jistil</w:t>
      </w:r>
      <w:r w:rsidR="00806D62">
        <w:t>a</w:t>
      </w:r>
      <w:r w:rsidR="00862842" w:rsidRPr="00030FDF">
        <w:t xml:space="preserve">, že MD nesplnilo </w:t>
      </w:r>
      <w:r w:rsidR="003A081C" w:rsidRPr="00030FDF">
        <w:t xml:space="preserve">dvě </w:t>
      </w:r>
      <w:r w:rsidR="00862842" w:rsidRPr="00030FDF">
        <w:t>aktivity stanovené na období 2011</w:t>
      </w:r>
      <w:r w:rsidR="00053884" w:rsidRPr="00030FDF">
        <w:t>–</w:t>
      </w:r>
      <w:r w:rsidR="00862842" w:rsidRPr="00030FDF">
        <w:t>2020</w:t>
      </w:r>
      <w:r w:rsidR="00806D62">
        <w:t xml:space="preserve">, viz </w:t>
      </w:r>
      <w:r w:rsidR="00685397">
        <w:t xml:space="preserve">odst. 4.24 </w:t>
      </w:r>
      <w:r w:rsidR="007738E2">
        <w:br/>
      </w:r>
      <w:r w:rsidR="00685397">
        <w:t>a</w:t>
      </w:r>
      <w:r w:rsidR="007738E2">
        <w:t xml:space="preserve"> </w:t>
      </w:r>
      <w:r w:rsidR="00685397">
        <w:t xml:space="preserve">4.25. </w:t>
      </w:r>
      <w:r w:rsidR="00064DC4">
        <w:t>NKÚ</w:t>
      </w:r>
      <w:r w:rsidR="00A15638">
        <w:t xml:space="preserve"> navíc</w:t>
      </w:r>
      <w:r w:rsidR="00064DC4">
        <w:t xml:space="preserve"> považuje zdůvodnění </w:t>
      </w:r>
      <w:r w:rsidR="0074605A">
        <w:t xml:space="preserve">jejich </w:t>
      </w:r>
      <w:r w:rsidR="00064DC4">
        <w:t>nesplnění ze strany MD za nedostatečné</w:t>
      </w:r>
      <w:r w:rsidR="008066CB">
        <w:t xml:space="preserve"> a</w:t>
      </w:r>
      <w:r w:rsidR="00746089">
        <w:t> </w:t>
      </w:r>
      <w:r w:rsidR="008066CB">
        <w:t>nepřesvědčivé.</w:t>
      </w:r>
    </w:p>
    <w:p w14:paraId="27907D99" w14:textId="49E33094" w:rsidR="007D04E2" w:rsidRPr="008229E0" w:rsidRDefault="007462DC" w:rsidP="005E2807">
      <w:pPr>
        <w:pStyle w:val="JK4"/>
        <w:ind w:left="0" w:firstLine="0"/>
        <w:rPr>
          <w:rFonts w:cstheme="minorHAnsi"/>
          <w:color w:val="363636"/>
        </w:rPr>
      </w:pPr>
      <w:r>
        <w:t>MD nesplnilo a</w:t>
      </w:r>
      <w:r w:rsidR="001904ED" w:rsidRPr="003B2875">
        <w:t>ktiv</w:t>
      </w:r>
      <w:r w:rsidR="001904ED" w:rsidRPr="007D04E2">
        <w:t>it</w:t>
      </w:r>
      <w:r w:rsidR="00F44202">
        <w:t>u</w:t>
      </w:r>
      <w:r w:rsidR="001904ED" w:rsidRPr="007D04E2">
        <w:t xml:space="preserve"> </w:t>
      </w:r>
      <w:r w:rsidR="001904ED" w:rsidRPr="002C7C06">
        <w:t>„</w:t>
      </w:r>
      <w:r w:rsidR="001904ED" w:rsidRPr="007D04E2">
        <w:rPr>
          <w:i/>
        </w:rPr>
        <w:t>Ú7.1 Legislativně zavést povinné používání přileb pro</w:t>
      </w:r>
      <w:r w:rsidR="00806D62">
        <w:rPr>
          <w:i/>
        </w:rPr>
        <w:t xml:space="preserve"> </w:t>
      </w:r>
      <w:r w:rsidR="001904ED" w:rsidRPr="007D04E2">
        <w:rPr>
          <w:i/>
        </w:rPr>
        <w:t>všechny cyklisty bez omezení věku</w:t>
      </w:r>
      <w:r w:rsidR="001904ED" w:rsidRPr="002C7C06">
        <w:t>“</w:t>
      </w:r>
      <w:r>
        <w:rPr>
          <w:i/>
        </w:rPr>
        <w:t>.</w:t>
      </w:r>
      <w:r w:rsidR="001904ED" w:rsidRPr="007D04E2">
        <w:t xml:space="preserve"> </w:t>
      </w:r>
      <w:r w:rsidR="001904ED">
        <w:t xml:space="preserve">MD </w:t>
      </w:r>
      <w:r w:rsidR="00CB6076">
        <w:t xml:space="preserve">přitom </w:t>
      </w:r>
      <w:r w:rsidR="00F44202">
        <w:t>argumentuje</w:t>
      </w:r>
      <w:r w:rsidR="00AB794D">
        <w:rPr>
          <w:rStyle w:val="Znakapoznpodarou"/>
        </w:rPr>
        <w:footnoteReference w:id="39"/>
      </w:r>
      <w:r w:rsidR="00CB6076">
        <w:t xml:space="preserve"> prokázaný</w:t>
      </w:r>
      <w:r w:rsidR="00F44202">
        <w:t>m</w:t>
      </w:r>
      <w:r w:rsidR="007D04E2">
        <w:t xml:space="preserve"> pozitivní</w:t>
      </w:r>
      <w:r w:rsidR="00F44202">
        <w:t>m</w:t>
      </w:r>
      <w:r w:rsidR="007D04E2">
        <w:t xml:space="preserve"> vliv</w:t>
      </w:r>
      <w:r w:rsidR="00F44202">
        <w:t>em</w:t>
      </w:r>
      <w:r w:rsidR="007D04E2">
        <w:t xml:space="preserve"> cyklistických přileb, jejichž používání může přinést až </w:t>
      </w:r>
      <w:r w:rsidR="007D04E2" w:rsidRPr="007D04E2">
        <w:t>65% pokles smrtelných zranění a 69% pokles vážných zranění.</w:t>
      </w:r>
      <w:r w:rsidR="007D04E2">
        <w:t xml:space="preserve"> Zároveň MD uvedlo, </w:t>
      </w:r>
      <w:r w:rsidR="00267839">
        <w:t xml:space="preserve">že </w:t>
      </w:r>
      <w:r w:rsidR="00633288">
        <w:t>až</w:t>
      </w:r>
      <w:r w:rsidR="007D04E2">
        <w:t xml:space="preserve"> 37 % </w:t>
      </w:r>
      <w:r w:rsidR="00CB6076">
        <w:t xml:space="preserve">usmrcených </w:t>
      </w:r>
      <w:r w:rsidR="007D04E2">
        <w:t xml:space="preserve">cyklistů </w:t>
      </w:r>
      <w:r w:rsidR="00267839">
        <w:t xml:space="preserve">mohlo při použití cyklistické přilby dopravní nehodu přežít. </w:t>
      </w:r>
      <w:r w:rsidR="00CC17A9">
        <w:t>D</w:t>
      </w:r>
      <w:r w:rsidR="00633288">
        <w:t>le</w:t>
      </w:r>
      <w:r w:rsidR="007B5F72">
        <w:t xml:space="preserve"> </w:t>
      </w:r>
      <w:r w:rsidR="00633288">
        <w:t>statistik nehodovosti</w:t>
      </w:r>
      <w:r w:rsidR="00FD73E4">
        <w:t xml:space="preserve"> PČR</w:t>
      </w:r>
      <w:r w:rsidR="00633288">
        <w:t xml:space="preserve"> zahynulo v letech 2017</w:t>
      </w:r>
      <w:r w:rsidR="002A7145">
        <w:t>–</w:t>
      </w:r>
      <w:r w:rsidR="00633288">
        <w:t>2022 při dopravních nehodách celkem 184</w:t>
      </w:r>
      <w:r w:rsidR="0070721B">
        <w:t xml:space="preserve"> </w:t>
      </w:r>
      <w:r w:rsidR="00633288">
        <w:t>cyklistů bez</w:t>
      </w:r>
      <w:r w:rsidR="0070721B">
        <w:t xml:space="preserve"> </w:t>
      </w:r>
      <w:r w:rsidR="00633288">
        <w:t xml:space="preserve">přilby, </w:t>
      </w:r>
      <w:r w:rsidR="00CC17A9">
        <w:t xml:space="preserve">a proto </w:t>
      </w:r>
      <w:r w:rsidR="00605188">
        <w:t xml:space="preserve">přepočtený </w:t>
      </w:r>
      <w:r w:rsidR="00633288">
        <w:t xml:space="preserve">potenciál </w:t>
      </w:r>
      <w:r w:rsidR="00912EF9">
        <w:t xml:space="preserve">možného </w:t>
      </w:r>
      <w:r w:rsidR="00633288">
        <w:t xml:space="preserve">počtu přeživších cyklistů </w:t>
      </w:r>
      <w:r w:rsidR="00CC17A9">
        <w:t xml:space="preserve">představuje </w:t>
      </w:r>
      <w:r w:rsidR="00912EF9">
        <w:t>c</w:t>
      </w:r>
      <w:r w:rsidR="00912EF9" w:rsidRPr="006A0A5E">
        <w:t xml:space="preserve">ca </w:t>
      </w:r>
      <w:r w:rsidR="00633288" w:rsidRPr="006A0A5E">
        <w:t>68 osob.</w:t>
      </w:r>
      <w:r w:rsidRPr="007462DC">
        <w:t xml:space="preserve"> </w:t>
      </w:r>
      <w:r>
        <w:t xml:space="preserve">MD </w:t>
      </w:r>
      <w:r w:rsidR="00D528CC">
        <w:t>v</w:t>
      </w:r>
      <w:r w:rsidR="00657DD1">
        <w:t>e zprávě</w:t>
      </w:r>
      <w:r w:rsidR="00D528CC">
        <w:t xml:space="preserve"> o plnění </w:t>
      </w:r>
      <w:r w:rsidR="00657DD1">
        <w:t xml:space="preserve">strategie </w:t>
      </w:r>
      <w:r w:rsidR="00341793">
        <w:t>v</w:t>
      </w:r>
      <w:r w:rsidR="00D528CC">
        <w:t xml:space="preserve"> ro</w:t>
      </w:r>
      <w:r w:rsidR="00341793">
        <w:t>ce</w:t>
      </w:r>
      <w:r w:rsidR="00D528CC">
        <w:t xml:space="preserve"> 2020</w:t>
      </w:r>
      <w:r w:rsidR="00341793">
        <w:rPr>
          <w:rStyle w:val="Znakapoznpodarou"/>
        </w:rPr>
        <w:footnoteReference w:id="40"/>
      </w:r>
      <w:r w:rsidR="00D528CC">
        <w:t xml:space="preserve"> </w:t>
      </w:r>
      <w:r>
        <w:t>z</w:t>
      </w:r>
      <w:r w:rsidRPr="001E422B">
        <w:t>důvodn</w:t>
      </w:r>
      <w:r>
        <w:t>ilo nesplnění této aktivity zaměřené na</w:t>
      </w:r>
      <w:r w:rsidR="00657DD1">
        <w:t xml:space="preserve"> </w:t>
      </w:r>
      <w:r>
        <w:t>legislativní úpravu pouze</w:t>
      </w:r>
      <w:r w:rsidR="00657DD1">
        <w:t xml:space="preserve"> konstatováním</w:t>
      </w:r>
      <w:r>
        <w:t xml:space="preserve">: </w:t>
      </w:r>
      <w:r w:rsidRPr="002C7C06">
        <w:t>„</w:t>
      </w:r>
      <w:r w:rsidRPr="008229E0">
        <w:rPr>
          <w:i/>
        </w:rPr>
        <w:t>Legislativní zavedení povinného používání přileb pro cyklisty není žádoucí.</w:t>
      </w:r>
      <w:r w:rsidRPr="002C7C06">
        <w:t>“</w:t>
      </w:r>
    </w:p>
    <w:p w14:paraId="6D2F1B24" w14:textId="77777777" w:rsidR="006A0A5E" w:rsidRPr="00030FDF" w:rsidRDefault="004832B6" w:rsidP="005E2807">
      <w:pPr>
        <w:pStyle w:val="JK4"/>
        <w:ind w:left="0" w:firstLine="0"/>
      </w:pPr>
      <w:r>
        <w:t xml:space="preserve">MD rovněž nesplnilo </w:t>
      </w:r>
      <w:r w:rsidR="00806D62">
        <w:t>a</w:t>
      </w:r>
      <w:r w:rsidR="006A0A5E" w:rsidRPr="006A0A5E">
        <w:t>ktivit</w:t>
      </w:r>
      <w:r w:rsidR="00F44202">
        <w:t>u</w:t>
      </w:r>
      <w:r w:rsidR="006A0A5E" w:rsidRPr="006A0A5E">
        <w:t xml:space="preserve"> „</w:t>
      </w:r>
      <w:r w:rsidR="006A0A5E" w:rsidRPr="00971B0D">
        <w:rPr>
          <w:i/>
        </w:rPr>
        <w:t>Ú7.6 Legislativní zavedení alkolocku jako účinného technického řešení pro zamezení jízdy pod vlivem alkoholu, zvláště u profesionálních a</w:t>
      </w:r>
      <w:r w:rsidR="00D4417D" w:rsidRPr="00971B0D">
        <w:rPr>
          <w:i/>
        </w:rPr>
        <w:t> </w:t>
      </w:r>
      <w:r w:rsidR="006A0A5E" w:rsidRPr="00971B0D">
        <w:rPr>
          <w:i/>
        </w:rPr>
        <w:t>recidivujících řidičů</w:t>
      </w:r>
      <w:r w:rsidR="006A0A5E" w:rsidRPr="002C7C06">
        <w:t>“</w:t>
      </w:r>
      <w:r w:rsidR="00806D62">
        <w:t xml:space="preserve">, což odůvodnilo </w:t>
      </w:r>
      <w:r w:rsidR="001D5191">
        <w:t>prohlášením</w:t>
      </w:r>
      <w:r w:rsidR="006A0A5E" w:rsidRPr="006A0A5E">
        <w:t>, že se nejedná o obvyklou praxi v zemích EU s</w:t>
      </w:r>
      <w:r w:rsidR="001D5191">
        <w:t xml:space="preserve"> </w:t>
      </w:r>
      <w:r w:rsidR="006A0A5E" w:rsidRPr="006A0A5E">
        <w:t>výjimkou Švédska.</w:t>
      </w:r>
      <w:bookmarkStart w:id="24" w:name="_Hlk141276878"/>
      <w:r w:rsidR="006A0A5E" w:rsidRPr="006A0A5E">
        <w:t xml:space="preserve"> </w:t>
      </w:r>
      <w:r w:rsidRPr="000E1D98">
        <w:t>Pokud samo MD vyhodnotilo</w:t>
      </w:r>
      <w:r w:rsidR="00806D62">
        <w:t>, že</w:t>
      </w:r>
      <w:r w:rsidRPr="000E1D98">
        <w:t xml:space="preserve"> zavedení tohoto opatření </w:t>
      </w:r>
      <w:r w:rsidR="00806D62">
        <w:t>může zamezit</w:t>
      </w:r>
      <w:r w:rsidRPr="000E1D98">
        <w:t xml:space="preserve"> jízd</w:t>
      </w:r>
      <w:r w:rsidR="00806D62">
        <w:t>ám</w:t>
      </w:r>
      <w:r w:rsidRPr="000E1D98">
        <w:t xml:space="preserve"> opilých řidičů </w:t>
      </w:r>
      <w:r w:rsidR="001D5191">
        <w:t>a mít</w:t>
      </w:r>
      <w:r w:rsidR="00FB7CC9" w:rsidRPr="000E1D98">
        <w:t xml:space="preserve"> pozitivní </w:t>
      </w:r>
      <w:r w:rsidR="00974F8B" w:rsidRPr="000E1D98">
        <w:t xml:space="preserve">vliv </w:t>
      </w:r>
      <w:r w:rsidRPr="000E1D98">
        <w:t xml:space="preserve">na snížení počtu vážných dopravních nehod s následkem smrti či těžkého zranění účastníků </w:t>
      </w:r>
      <w:r w:rsidR="00C8044A">
        <w:t xml:space="preserve">silničního </w:t>
      </w:r>
      <w:r w:rsidRPr="000E1D98">
        <w:t>provozu</w:t>
      </w:r>
      <w:r w:rsidR="006A0A5E" w:rsidRPr="000E1D98">
        <w:t>, mělo by vyvinout úsilí zav</w:t>
      </w:r>
      <w:r w:rsidR="001D5191">
        <w:t>ést</w:t>
      </w:r>
      <w:r w:rsidR="006A0A5E" w:rsidRPr="000E1D98">
        <w:t xml:space="preserve"> do praxe i nov</w:t>
      </w:r>
      <w:r w:rsidR="001D5191">
        <w:t>é</w:t>
      </w:r>
      <w:r w:rsidR="006A0A5E" w:rsidRPr="000E1D98">
        <w:t xml:space="preserve"> </w:t>
      </w:r>
      <w:r w:rsidR="0074605A">
        <w:t>opatře</w:t>
      </w:r>
      <w:r w:rsidR="006A0A5E" w:rsidRPr="000E1D98">
        <w:t>ní</w:t>
      </w:r>
      <w:r w:rsidR="00CC17A9">
        <w:t>.</w:t>
      </w:r>
      <w:r w:rsidR="00973D98">
        <w:t xml:space="preserve"> </w:t>
      </w:r>
      <w:bookmarkEnd w:id="24"/>
      <w:r w:rsidR="00064DC4">
        <w:t xml:space="preserve">Podíl </w:t>
      </w:r>
      <w:r w:rsidR="001D5191">
        <w:t xml:space="preserve">osob </w:t>
      </w:r>
      <w:r w:rsidR="00064DC4">
        <w:t xml:space="preserve">usmrcených v důsledku nehod způsobených viníkem pod vlivem alkoholu </w:t>
      </w:r>
      <w:r w:rsidR="00534DB0">
        <w:t xml:space="preserve">na </w:t>
      </w:r>
      <w:r w:rsidR="00534DB0" w:rsidRPr="00030FDF">
        <w:t xml:space="preserve">celkovém počtu </w:t>
      </w:r>
      <w:r w:rsidR="001D5191">
        <w:t xml:space="preserve">obětí dopravních nehod </w:t>
      </w:r>
      <w:r w:rsidR="00064DC4" w:rsidRPr="00030FDF">
        <w:t>není nevýznamný a</w:t>
      </w:r>
      <w:r w:rsidR="001D5191">
        <w:t> </w:t>
      </w:r>
      <w:r w:rsidR="00064DC4" w:rsidRPr="00030FDF">
        <w:t>v absolutním počtu dlouhodobě spíše stagnuje (viz tabulka č. 4)</w:t>
      </w:r>
      <w:r w:rsidR="008B5ECA">
        <w:t>.</w:t>
      </w:r>
    </w:p>
    <w:p w14:paraId="433115A3" w14:textId="77777777" w:rsidR="00BC15A9" w:rsidRDefault="00BC15A9" w:rsidP="00BC15A9">
      <w:pPr>
        <w:pStyle w:val="Titulek"/>
        <w:keepNext/>
        <w:spacing w:after="0"/>
        <w:rPr>
          <w:rFonts w:cstheme="minorHAnsi"/>
          <w:b/>
          <w:bCs/>
          <w:i w:val="0"/>
          <w:iCs w:val="0"/>
          <w:color w:val="auto"/>
          <w:sz w:val="24"/>
          <w:szCs w:val="24"/>
        </w:rPr>
      </w:pPr>
      <w:r w:rsidRPr="007E6EF5">
        <w:rPr>
          <w:rFonts w:cstheme="minorHAnsi"/>
          <w:b/>
          <w:bCs/>
          <w:i w:val="0"/>
          <w:iCs w:val="0"/>
          <w:color w:val="auto"/>
          <w:sz w:val="24"/>
          <w:szCs w:val="24"/>
        </w:rPr>
        <w:t xml:space="preserve">Tabulka č. </w:t>
      </w:r>
      <w:r>
        <w:rPr>
          <w:rFonts w:cstheme="minorHAnsi"/>
          <w:b/>
          <w:i w:val="0"/>
          <w:color w:val="auto"/>
          <w:sz w:val="24"/>
          <w:szCs w:val="24"/>
        </w:rPr>
        <w:t>4</w:t>
      </w:r>
      <w:r w:rsidRPr="007E6EF5">
        <w:rPr>
          <w:rFonts w:cstheme="minorHAnsi"/>
          <w:b/>
          <w:bCs/>
          <w:i w:val="0"/>
          <w:iCs w:val="0"/>
          <w:color w:val="auto"/>
          <w:sz w:val="24"/>
          <w:szCs w:val="24"/>
        </w:rPr>
        <w:t xml:space="preserve">: </w:t>
      </w:r>
      <w:r w:rsidR="00C71237">
        <w:rPr>
          <w:rFonts w:cstheme="minorHAnsi"/>
          <w:b/>
          <w:bCs/>
          <w:i w:val="0"/>
          <w:iCs w:val="0"/>
          <w:color w:val="auto"/>
          <w:sz w:val="24"/>
          <w:szCs w:val="24"/>
        </w:rPr>
        <w:t>Závažné n</w:t>
      </w:r>
      <w:r>
        <w:rPr>
          <w:rFonts w:cstheme="minorHAnsi"/>
          <w:b/>
          <w:bCs/>
          <w:i w:val="0"/>
          <w:iCs w:val="0"/>
          <w:color w:val="auto"/>
          <w:sz w:val="24"/>
          <w:szCs w:val="24"/>
        </w:rPr>
        <w:t>ásledky dopravních nehod</w:t>
      </w:r>
      <w:r w:rsidR="001D5191">
        <w:rPr>
          <w:rFonts w:cstheme="minorHAnsi"/>
          <w:b/>
          <w:bCs/>
          <w:i w:val="0"/>
          <w:iCs w:val="0"/>
          <w:color w:val="auto"/>
          <w:sz w:val="24"/>
          <w:szCs w:val="24"/>
        </w:rPr>
        <w:t>,</w:t>
      </w:r>
      <w:r>
        <w:rPr>
          <w:rFonts w:cstheme="minorHAnsi"/>
          <w:b/>
          <w:bCs/>
          <w:i w:val="0"/>
          <w:iCs w:val="0"/>
          <w:color w:val="auto"/>
          <w:sz w:val="24"/>
          <w:szCs w:val="24"/>
        </w:rPr>
        <w:t xml:space="preserve"> jejichž viník byl pod vlivem alkoholu</w:t>
      </w:r>
    </w:p>
    <w:tbl>
      <w:tblPr>
        <w:tblStyle w:val="Mkatabulky"/>
        <w:tblW w:w="9067" w:type="dxa"/>
        <w:tblLook w:val="04A0" w:firstRow="1" w:lastRow="0" w:firstColumn="1" w:lastColumn="0" w:noHBand="0" w:noVBand="1"/>
      </w:tblPr>
      <w:tblGrid>
        <w:gridCol w:w="3256"/>
        <w:gridCol w:w="968"/>
        <w:gridCol w:w="969"/>
        <w:gridCol w:w="968"/>
        <w:gridCol w:w="969"/>
        <w:gridCol w:w="968"/>
        <w:gridCol w:w="969"/>
      </w:tblGrid>
      <w:tr w:rsidR="003A56C9" w14:paraId="42D59C3D" w14:textId="77777777" w:rsidTr="002C7C06">
        <w:trPr>
          <w:trHeight w:val="340"/>
        </w:trPr>
        <w:tc>
          <w:tcPr>
            <w:tcW w:w="3256" w:type="dxa"/>
            <w:shd w:val="clear" w:color="auto" w:fill="E5F1FF"/>
            <w:vAlign w:val="center"/>
          </w:tcPr>
          <w:p w14:paraId="4D17D4DF" w14:textId="77777777" w:rsidR="003A56C9" w:rsidRPr="00CC2AB4" w:rsidRDefault="003A56C9" w:rsidP="002C7C06">
            <w:pPr>
              <w:autoSpaceDE w:val="0"/>
              <w:autoSpaceDN w:val="0"/>
              <w:adjustRightInd w:val="0"/>
              <w:jc w:val="center"/>
              <w:rPr>
                <w:rFonts w:cstheme="minorHAnsi"/>
                <w:b/>
                <w:sz w:val="20"/>
                <w:szCs w:val="20"/>
              </w:rPr>
            </w:pPr>
            <w:r w:rsidRPr="003A56C9">
              <w:rPr>
                <w:rFonts w:cstheme="minorHAnsi"/>
                <w:b/>
                <w:sz w:val="20"/>
                <w:szCs w:val="20"/>
              </w:rPr>
              <w:t>Následky dopravních nehod</w:t>
            </w:r>
          </w:p>
        </w:tc>
        <w:tc>
          <w:tcPr>
            <w:tcW w:w="968" w:type="dxa"/>
            <w:shd w:val="clear" w:color="auto" w:fill="E5F1FF"/>
            <w:vAlign w:val="center"/>
          </w:tcPr>
          <w:p w14:paraId="264E53DE" w14:textId="77777777" w:rsidR="003A56C9" w:rsidRDefault="003A56C9" w:rsidP="001D5191">
            <w:pPr>
              <w:jc w:val="center"/>
              <w:rPr>
                <w:rFonts w:cstheme="minorHAnsi"/>
                <w:b/>
                <w:sz w:val="20"/>
                <w:szCs w:val="20"/>
              </w:rPr>
            </w:pPr>
            <w:r>
              <w:rPr>
                <w:rFonts w:cstheme="minorHAnsi"/>
                <w:b/>
                <w:bCs/>
                <w:sz w:val="20"/>
                <w:szCs w:val="20"/>
              </w:rPr>
              <w:t>2017</w:t>
            </w:r>
          </w:p>
        </w:tc>
        <w:tc>
          <w:tcPr>
            <w:tcW w:w="969" w:type="dxa"/>
            <w:shd w:val="clear" w:color="auto" w:fill="E5F1FF"/>
            <w:vAlign w:val="center"/>
          </w:tcPr>
          <w:p w14:paraId="25F431DC" w14:textId="77777777" w:rsidR="003A56C9" w:rsidRDefault="003A56C9" w:rsidP="001D5191">
            <w:pPr>
              <w:jc w:val="center"/>
              <w:rPr>
                <w:rFonts w:cstheme="minorHAnsi"/>
                <w:b/>
                <w:sz w:val="20"/>
                <w:szCs w:val="20"/>
              </w:rPr>
            </w:pPr>
            <w:r>
              <w:rPr>
                <w:rFonts w:cstheme="minorHAnsi"/>
                <w:b/>
                <w:sz w:val="20"/>
                <w:szCs w:val="20"/>
              </w:rPr>
              <w:t>2018</w:t>
            </w:r>
          </w:p>
        </w:tc>
        <w:tc>
          <w:tcPr>
            <w:tcW w:w="968" w:type="dxa"/>
            <w:shd w:val="clear" w:color="auto" w:fill="E5F1FF"/>
            <w:vAlign w:val="center"/>
          </w:tcPr>
          <w:p w14:paraId="24297FF8" w14:textId="77777777" w:rsidR="003A56C9" w:rsidRDefault="003A56C9" w:rsidP="001D5191">
            <w:pPr>
              <w:jc w:val="center"/>
              <w:rPr>
                <w:rFonts w:cstheme="minorHAnsi"/>
                <w:b/>
                <w:sz w:val="20"/>
                <w:szCs w:val="20"/>
              </w:rPr>
            </w:pPr>
            <w:r>
              <w:rPr>
                <w:rFonts w:cstheme="minorHAnsi"/>
                <w:b/>
                <w:sz w:val="20"/>
                <w:szCs w:val="20"/>
              </w:rPr>
              <w:t>2019</w:t>
            </w:r>
          </w:p>
        </w:tc>
        <w:tc>
          <w:tcPr>
            <w:tcW w:w="969" w:type="dxa"/>
            <w:shd w:val="clear" w:color="auto" w:fill="E5F1FF"/>
            <w:vAlign w:val="center"/>
          </w:tcPr>
          <w:p w14:paraId="671F05AA" w14:textId="77777777" w:rsidR="003A56C9" w:rsidRDefault="003A56C9" w:rsidP="001D5191">
            <w:pPr>
              <w:jc w:val="center"/>
              <w:rPr>
                <w:rFonts w:cstheme="minorHAnsi"/>
                <w:b/>
                <w:sz w:val="20"/>
                <w:szCs w:val="20"/>
              </w:rPr>
            </w:pPr>
            <w:r>
              <w:rPr>
                <w:rFonts w:cstheme="minorHAnsi"/>
                <w:b/>
                <w:sz w:val="20"/>
                <w:szCs w:val="20"/>
              </w:rPr>
              <w:t>2020</w:t>
            </w:r>
          </w:p>
        </w:tc>
        <w:tc>
          <w:tcPr>
            <w:tcW w:w="968" w:type="dxa"/>
            <w:shd w:val="clear" w:color="auto" w:fill="E5F1FF"/>
            <w:vAlign w:val="center"/>
          </w:tcPr>
          <w:p w14:paraId="2C2929EB" w14:textId="77777777" w:rsidR="003A56C9" w:rsidRDefault="003A56C9" w:rsidP="001D5191">
            <w:pPr>
              <w:jc w:val="center"/>
              <w:rPr>
                <w:rFonts w:cstheme="minorHAnsi"/>
                <w:b/>
                <w:sz w:val="20"/>
                <w:szCs w:val="20"/>
              </w:rPr>
            </w:pPr>
            <w:r>
              <w:rPr>
                <w:rFonts w:cstheme="minorHAnsi"/>
                <w:b/>
                <w:sz w:val="20"/>
                <w:szCs w:val="20"/>
              </w:rPr>
              <w:t>2021</w:t>
            </w:r>
          </w:p>
        </w:tc>
        <w:tc>
          <w:tcPr>
            <w:tcW w:w="969" w:type="dxa"/>
            <w:shd w:val="clear" w:color="auto" w:fill="E5F1FF"/>
            <w:vAlign w:val="center"/>
          </w:tcPr>
          <w:p w14:paraId="4239EA12" w14:textId="77777777" w:rsidR="003A56C9" w:rsidRDefault="003A56C9" w:rsidP="001D5191">
            <w:pPr>
              <w:jc w:val="center"/>
              <w:rPr>
                <w:rFonts w:cstheme="minorHAnsi"/>
                <w:b/>
                <w:sz w:val="20"/>
                <w:szCs w:val="20"/>
              </w:rPr>
            </w:pPr>
            <w:r>
              <w:rPr>
                <w:rFonts w:cstheme="minorHAnsi"/>
                <w:b/>
                <w:sz w:val="20"/>
                <w:szCs w:val="20"/>
              </w:rPr>
              <w:t>2022</w:t>
            </w:r>
          </w:p>
        </w:tc>
      </w:tr>
      <w:tr w:rsidR="003A56C9" w14:paraId="6E9CA211" w14:textId="77777777" w:rsidTr="00735F87">
        <w:trPr>
          <w:trHeight w:val="283"/>
        </w:trPr>
        <w:tc>
          <w:tcPr>
            <w:tcW w:w="3256" w:type="dxa"/>
            <w:vAlign w:val="center"/>
          </w:tcPr>
          <w:p w14:paraId="17D7B8FD" w14:textId="77777777" w:rsidR="003A56C9" w:rsidRPr="00735F87" w:rsidRDefault="003A56C9" w:rsidP="00735F87">
            <w:pPr>
              <w:autoSpaceDE w:val="0"/>
              <w:autoSpaceDN w:val="0"/>
              <w:adjustRightInd w:val="0"/>
              <w:rPr>
                <w:rFonts w:cstheme="minorHAnsi"/>
                <w:b/>
                <w:sz w:val="20"/>
                <w:szCs w:val="20"/>
              </w:rPr>
            </w:pPr>
            <w:r w:rsidRPr="00735F87">
              <w:rPr>
                <w:sz w:val="20"/>
                <w:szCs w:val="20"/>
              </w:rPr>
              <w:t>Počet všech usmrcených osob</w:t>
            </w:r>
          </w:p>
        </w:tc>
        <w:tc>
          <w:tcPr>
            <w:tcW w:w="968" w:type="dxa"/>
            <w:vAlign w:val="center"/>
          </w:tcPr>
          <w:p w14:paraId="49E079CE" w14:textId="77777777" w:rsidR="003A56C9" w:rsidRPr="00CD20A7" w:rsidRDefault="003A56C9" w:rsidP="00735F87">
            <w:pPr>
              <w:ind w:right="57"/>
              <w:jc w:val="right"/>
              <w:rPr>
                <w:rFonts w:cstheme="minorHAnsi"/>
                <w:sz w:val="20"/>
                <w:szCs w:val="20"/>
              </w:rPr>
            </w:pPr>
            <w:r w:rsidRPr="00CD20A7">
              <w:rPr>
                <w:sz w:val="20"/>
                <w:szCs w:val="20"/>
              </w:rPr>
              <w:t>502</w:t>
            </w:r>
          </w:p>
        </w:tc>
        <w:tc>
          <w:tcPr>
            <w:tcW w:w="969" w:type="dxa"/>
            <w:vAlign w:val="center"/>
          </w:tcPr>
          <w:p w14:paraId="43ADC102" w14:textId="77777777" w:rsidR="003A56C9" w:rsidRPr="00CD20A7" w:rsidRDefault="003A56C9" w:rsidP="00735F87">
            <w:pPr>
              <w:ind w:right="57"/>
              <w:jc w:val="right"/>
              <w:rPr>
                <w:rFonts w:cstheme="minorHAnsi"/>
                <w:sz w:val="20"/>
                <w:szCs w:val="20"/>
              </w:rPr>
            </w:pPr>
            <w:r w:rsidRPr="00CD20A7">
              <w:rPr>
                <w:sz w:val="20"/>
                <w:szCs w:val="20"/>
              </w:rPr>
              <w:t>565</w:t>
            </w:r>
          </w:p>
        </w:tc>
        <w:tc>
          <w:tcPr>
            <w:tcW w:w="968" w:type="dxa"/>
            <w:vAlign w:val="center"/>
          </w:tcPr>
          <w:p w14:paraId="7BD23626" w14:textId="77777777" w:rsidR="003A56C9" w:rsidRPr="00CD20A7" w:rsidRDefault="003A56C9" w:rsidP="00735F87">
            <w:pPr>
              <w:ind w:right="57"/>
              <w:jc w:val="right"/>
              <w:rPr>
                <w:rFonts w:cstheme="minorHAnsi"/>
                <w:color w:val="000000"/>
                <w:sz w:val="20"/>
                <w:szCs w:val="20"/>
                <w:lang w:eastAsia="cs-CZ" w:bidi="cs-CZ"/>
              </w:rPr>
            </w:pPr>
            <w:r w:rsidRPr="00CD20A7">
              <w:rPr>
                <w:sz w:val="20"/>
                <w:szCs w:val="20"/>
              </w:rPr>
              <w:t>547</w:t>
            </w:r>
          </w:p>
        </w:tc>
        <w:tc>
          <w:tcPr>
            <w:tcW w:w="969" w:type="dxa"/>
            <w:vAlign w:val="center"/>
          </w:tcPr>
          <w:p w14:paraId="4A745A7F" w14:textId="77777777" w:rsidR="003A56C9" w:rsidRPr="00CD20A7" w:rsidRDefault="003A56C9" w:rsidP="00735F87">
            <w:pPr>
              <w:ind w:right="57"/>
              <w:jc w:val="right"/>
              <w:rPr>
                <w:rFonts w:cstheme="minorHAnsi"/>
                <w:color w:val="000000"/>
                <w:sz w:val="20"/>
                <w:szCs w:val="20"/>
                <w:lang w:eastAsia="cs-CZ" w:bidi="cs-CZ"/>
              </w:rPr>
            </w:pPr>
            <w:r w:rsidRPr="00CD20A7">
              <w:rPr>
                <w:sz w:val="20"/>
                <w:szCs w:val="20"/>
              </w:rPr>
              <w:t>460</w:t>
            </w:r>
          </w:p>
        </w:tc>
        <w:tc>
          <w:tcPr>
            <w:tcW w:w="968" w:type="dxa"/>
            <w:vAlign w:val="center"/>
          </w:tcPr>
          <w:p w14:paraId="6CC09C5E" w14:textId="77777777" w:rsidR="003A56C9" w:rsidRPr="00CD20A7" w:rsidRDefault="003A56C9" w:rsidP="00735F87">
            <w:pPr>
              <w:ind w:right="57"/>
              <w:jc w:val="right"/>
              <w:rPr>
                <w:rFonts w:cstheme="minorHAnsi"/>
                <w:sz w:val="20"/>
                <w:szCs w:val="20"/>
              </w:rPr>
            </w:pPr>
            <w:r w:rsidRPr="00CD20A7">
              <w:rPr>
                <w:sz w:val="20"/>
                <w:szCs w:val="20"/>
              </w:rPr>
              <w:t>470</w:t>
            </w:r>
          </w:p>
        </w:tc>
        <w:tc>
          <w:tcPr>
            <w:tcW w:w="969" w:type="dxa"/>
            <w:vAlign w:val="center"/>
          </w:tcPr>
          <w:p w14:paraId="343BA102" w14:textId="77777777" w:rsidR="003A56C9" w:rsidRPr="00CD20A7" w:rsidRDefault="003A56C9" w:rsidP="00735F87">
            <w:pPr>
              <w:ind w:right="57"/>
              <w:jc w:val="right"/>
              <w:rPr>
                <w:rFonts w:cstheme="minorHAnsi"/>
                <w:sz w:val="20"/>
                <w:szCs w:val="20"/>
              </w:rPr>
            </w:pPr>
            <w:r w:rsidRPr="00CD20A7">
              <w:rPr>
                <w:sz w:val="20"/>
                <w:szCs w:val="20"/>
              </w:rPr>
              <w:t>454</w:t>
            </w:r>
          </w:p>
        </w:tc>
      </w:tr>
      <w:tr w:rsidR="003A56C9" w14:paraId="23E086F8" w14:textId="77777777" w:rsidTr="00735F87">
        <w:trPr>
          <w:trHeight w:val="283"/>
        </w:trPr>
        <w:tc>
          <w:tcPr>
            <w:tcW w:w="3256" w:type="dxa"/>
            <w:vAlign w:val="center"/>
          </w:tcPr>
          <w:p w14:paraId="0A0245F0" w14:textId="3C78FAC2" w:rsidR="003A56C9" w:rsidRPr="00735F87" w:rsidRDefault="003A56C9" w:rsidP="00735F87">
            <w:pPr>
              <w:autoSpaceDE w:val="0"/>
              <w:autoSpaceDN w:val="0"/>
              <w:adjustRightInd w:val="0"/>
              <w:rPr>
                <w:rFonts w:cstheme="minorHAnsi"/>
                <w:b/>
                <w:sz w:val="20"/>
                <w:szCs w:val="20"/>
              </w:rPr>
            </w:pPr>
            <w:r w:rsidRPr="00735F87">
              <w:rPr>
                <w:sz w:val="20"/>
                <w:szCs w:val="20"/>
              </w:rPr>
              <w:t xml:space="preserve">Počet </w:t>
            </w:r>
            <w:r w:rsidR="001D5191" w:rsidRPr="00735F87">
              <w:rPr>
                <w:sz w:val="20"/>
                <w:szCs w:val="20"/>
              </w:rPr>
              <w:t xml:space="preserve">osob </w:t>
            </w:r>
            <w:r w:rsidRPr="00735F87">
              <w:rPr>
                <w:sz w:val="20"/>
                <w:szCs w:val="20"/>
              </w:rPr>
              <w:t>usmrcených viníkem pod</w:t>
            </w:r>
            <w:r w:rsidR="00735F87">
              <w:rPr>
                <w:sz w:val="20"/>
                <w:szCs w:val="20"/>
              </w:rPr>
              <w:t> </w:t>
            </w:r>
            <w:r w:rsidRPr="00735F87">
              <w:rPr>
                <w:sz w:val="20"/>
                <w:szCs w:val="20"/>
              </w:rPr>
              <w:t>vlivem alkoholu</w:t>
            </w:r>
          </w:p>
        </w:tc>
        <w:tc>
          <w:tcPr>
            <w:tcW w:w="968" w:type="dxa"/>
            <w:vAlign w:val="center"/>
          </w:tcPr>
          <w:p w14:paraId="1441C110" w14:textId="77777777" w:rsidR="003A56C9" w:rsidRPr="00CD20A7" w:rsidRDefault="003A56C9" w:rsidP="00735F87">
            <w:pPr>
              <w:ind w:right="57"/>
              <w:jc w:val="right"/>
              <w:rPr>
                <w:rFonts w:cstheme="minorHAnsi"/>
                <w:sz w:val="20"/>
                <w:szCs w:val="20"/>
              </w:rPr>
            </w:pPr>
            <w:r w:rsidRPr="00CD20A7">
              <w:rPr>
                <w:sz w:val="20"/>
                <w:szCs w:val="20"/>
              </w:rPr>
              <w:t>48</w:t>
            </w:r>
          </w:p>
        </w:tc>
        <w:tc>
          <w:tcPr>
            <w:tcW w:w="969" w:type="dxa"/>
            <w:vAlign w:val="center"/>
          </w:tcPr>
          <w:p w14:paraId="3998311E" w14:textId="77777777" w:rsidR="003A56C9" w:rsidRPr="00CD20A7" w:rsidRDefault="003A56C9" w:rsidP="00735F87">
            <w:pPr>
              <w:ind w:right="57"/>
              <w:jc w:val="right"/>
              <w:rPr>
                <w:rFonts w:cstheme="minorHAnsi"/>
                <w:sz w:val="20"/>
                <w:szCs w:val="20"/>
              </w:rPr>
            </w:pPr>
            <w:r w:rsidRPr="00CD20A7">
              <w:rPr>
                <w:sz w:val="20"/>
                <w:szCs w:val="20"/>
              </w:rPr>
              <w:t>62</w:t>
            </w:r>
          </w:p>
        </w:tc>
        <w:tc>
          <w:tcPr>
            <w:tcW w:w="968" w:type="dxa"/>
            <w:vAlign w:val="center"/>
          </w:tcPr>
          <w:p w14:paraId="1EA12F7B" w14:textId="77777777" w:rsidR="003A56C9" w:rsidRPr="00CD20A7" w:rsidRDefault="003A56C9" w:rsidP="00735F87">
            <w:pPr>
              <w:ind w:right="57"/>
              <w:jc w:val="right"/>
              <w:rPr>
                <w:rFonts w:cstheme="minorHAnsi"/>
                <w:color w:val="000000"/>
                <w:sz w:val="20"/>
                <w:szCs w:val="20"/>
                <w:lang w:eastAsia="cs-CZ" w:bidi="cs-CZ"/>
              </w:rPr>
            </w:pPr>
            <w:r w:rsidRPr="00CD20A7">
              <w:rPr>
                <w:sz w:val="20"/>
                <w:szCs w:val="20"/>
              </w:rPr>
              <w:t>53</w:t>
            </w:r>
          </w:p>
        </w:tc>
        <w:tc>
          <w:tcPr>
            <w:tcW w:w="969" w:type="dxa"/>
            <w:vAlign w:val="center"/>
          </w:tcPr>
          <w:p w14:paraId="28A74485" w14:textId="77777777" w:rsidR="003A56C9" w:rsidRPr="00CD20A7" w:rsidRDefault="003A56C9" w:rsidP="00735F87">
            <w:pPr>
              <w:ind w:right="57"/>
              <w:jc w:val="right"/>
              <w:rPr>
                <w:rFonts w:cstheme="minorHAnsi"/>
                <w:color w:val="000000"/>
                <w:sz w:val="20"/>
                <w:szCs w:val="20"/>
                <w:lang w:eastAsia="cs-CZ" w:bidi="cs-CZ"/>
              </w:rPr>
            </w:pPr>
            <w:r w:rsidRPr="00CD20A7">
              <w:rPr>
                <w:sz w:val="20"/>
                <w:szCs w:val="20"/>
              </w:rPr>
              <w:t>50</w:t>
            </w:r>
          </w:p>
        </w:tc>
        <w:tc>
          <w:tcPr>
            <w:tcW w:w="968" w:type="dxa"/>
            <w:vAlign w:val="center"/>
          </w:tcPr>
          <w:p w14:paraId="33FC7D0E" w14:textId="77777777" w:rsidR="003A56C9" w:rsidRPr="00CD20A7" w:rsidRDefault="003A56C9" w:rsidP="00735F87">
            <w:pPr>
              <w:ind w:right="57"/>
              <w:jc w:val="right"/>
              <w:rPr>
                <w:rFonts w:cstheme="minorHAnsi"/>
                <w:sz w:val="20"/>
                <w:szCs w:val="20"/>
              </w:rPr>
            </w:pPr>
            <w:r w:rsidRPr="00CD20A7">
              <w:rPr>
                <w:sz w:val="20"/>
                <w:szCs w:val="20"/>
              </w:rPr>
              <w:t>41</w:t>
            </w:r>
          </w:p>
        </w:tc>
        <w:tc>
          <w:tcPr>
            <w:tcW w:w="969" w:type="dxa"/>
            <w:vAlign w:val="center"/>
          </w:tcPr>
          <w:p w14:paraId="78565AA6" w14:textId="77777777" w:rsidR="003A56C9" w:rsidRPr="00CD20A7" w:rsidRDefault="003A56C9" w:rsidP="00735F87">
            <w:pPr>
              <w:ind w:right="57"/>
              <w:jc w:val="right"/>
              <w:rPr>
                <w:rFonts w:cstheme="minorHAnsi"/>
                <w:sz w:val="20"/>
                <w:szCs w:val="20"/>
              </w:rPr>
            </w:pPr>
            <w:r w:rsidRPr="00CD20A7">
              <w:rPr>
                <w:sz w:val="20"/>
                <w:szCs w:val="20"/>
              </w:rPr>
              <w:t>46</w:t>
            </w:r>
          </w:p>
        </w:tc>
      </w:tr>
      <w:tr w:rsidR="003A56C9" w14:paraId="4A44083D" w14:textId="77777777" w:rsidTr="00735F87">
        <w:trPr>
          <w:trHeight w:val="283"/>
        </w:trPr>
        <w:tc>
          <w:tcPr>
            <w:tcW w:w="3256" w:type="dxa"/>
            <w:vAlign w:val="center"/>
          </w:tcPr>
          <w:p w14:paraId="77A6AAE3" w14:textId="77777777" w:rsidR="003A56C9" w:rsidRPr="00735F87" w:rsidRDefault="003A56C9" w:rsidP="00735F87">
            <w:pPr>
              <w:autoSpaceDE w:val="0"/>
              <w:autoSpaceDN w:val="0"/>
              <w:adjustRightInd w:val="0"/>
              <w:rPr>
                <w:rFonts w:cstheme="minorHAnsi"/>
                <w:b/>
                <w:sz w:val="20"/>
                <w:szCs w:val="20"/>
              </w:rPr>
            </w:pPr>
            <w:r w:rsidRPr="00735F87">
              <w:rPr>
                <w:sz w:val="20"/>
                <w:szCs w:val="20"/>
              </w:rPr>
              <w:t>Počet všech těžce zraněných osob</w:t>
            </w:r>
          </w:p>
        </w:tc>
        <w:tc>
          <w:tcPr>
            <w:tcW w:w="968" w:type="dxa"/>
            <w:vAlign w:val="center"/>
          </w:tcPr>
          <w:p w14:paraId="4FF6BBA7" w14:textId="77777777" w:rsidR="003A56C9" w:rsidRPr="00CD20A7" w:rsidRDefault="003A56C9" w:rsidP="00735F87">
            <w:pPr>
              <w:ind w:right="57"/>
              <w:jc w:val="right"/>
              <w:rPr>
                <w:rFonts w:cstheme="minorHAnsi"/>
                <w:sz w:val="20"/>
                <w:szCs w:val="20"/>
              </w:rPr>
            </w:pPr>
            <w:r w:rsidRPr="00CD20A7">
              <w:rPr>
                <w:sz w:val="20"/>
                <w:szCs w:val="20"/>
              </w:rPr>
              <w:t>2 339</w:t>
            </w:r>
          </w:p>
        </w:tc>
        <w:tc>
          <w:tcPr>
            <w:tcW w:w="969" w:type="dxa"/>
            <w:vAlign w:val="center"/>
          </w:tcPr>
          <w:p w14:paraId="4789D2CE" w14:textId="77777777" w:rsidR="003A56C9" w:rsidRPr="00CD20A7" w:rsidRDefault="003A56C9" w:rsidP="00735F87">
            <w:pPr>
              <w:ind w:right="57"/>
              <w:jc w:val="right"/>
              <w:rPr>
                <w:rFonts w:cstheme="minorHAnsi"/>
                <w:sz w:val="20"/>
                <w:szCs w:val="20"/>
              </w:rPr>
            </w:pPr>
            <w:r w:rsidRPr="00CD20A7">
              <w:rPr>
                <w:sz w:val="20"/>
                <w:szCs w:val="20"/>
              </w:rPr>
              <w:t>2 465</w:t>
            </w:r>
          </w:p>
        </w:tc>
        <w:tc>
          <w:tcPr>
            <w:tcW w:w="968" w:type="dxa"/>
            <w:vAlign w:val="center"/>
          </w:tcPr>
          <w:p w14:paraId="0D68FA36" w14:textId="77777777" w:rsidR="003A56C9" w:rsidRPr="00CD20A7" w:rsidRDefault="003A56C9" w:rsidP="00735F87">
            <w:pPr>
              <w:ind w:right="57"/>
              <w:jc w:val="right"/>
              <w:rPr>
                <w:rFonts w:cstheme="minorHAnsi"/>
                <w:color w:val="000000"/>
                <w:sz w:val="20"/>
                <w:szCs w:val="20"/>
                <w:lang w:eastAsia="cs-CZ" w:bidi="cs-CZ"/>
              </w:rPr>
            </w:pPr>
            <w:r w:rsidRPr="00CD20A7">
              <w:rPr>
                <w:sz w:val="20"/>
                <w:szCs w:val="20"/>
              </w:rPr>
              <w:t>2 110</w:t>
            </w:r>
          </w:p>
        </w:tc>
        <w:tc>
          <w:tcPr>
            <w:tcW w:w="969" w:type="dxa"/>
            <w:vAlign w:val="center"/>
          </w:tcPr>
          <w:p w14:paraId="0F53A723" w14:textId="77777777" w:rsidR="003A56C9" w:rsidRPr="00CD20A7" w:rsidRDefault="003A56C9" w:rsidP="00735F87">
            <w:pPr>
              <w:ind w:right="57"/>
              <w:jc w:val="right"/>
              <w:rPr>
                <w:rFonts w:cstheme="minorHAnsi"/>
                <w:color w:val="000000"/>
                <w:sz w:val="20"/>
                <w:szCs w:val="20"/>
                <w:lang w:eastAsia="cs-CZ" w:bidi="cs-CZ"/>
              </w:rPr>
            </w:pPr>
            <w:r w:rsidRPr="00CD20A7">
              <w:rPr>
                <w:sz w:val="20"/>
                <w:szCs w:val="20"/>
              </w:rPr>
              <w:t>1 807</w:t>
            </w:r>
          </w:p>
        </w:tc>
        <w:tc>
          <w:tcPr>
            <w:tcW w:w="968" w:type="dxa"/>
            <w:vAlign w:val="center"/>
          </w:tcPr>
          <w:p w14:paraId="173FA210" w14:textId="77777777" w:rsidR="003A56C9" w:rsidRPr="00CD20A7" w:rsidRDefault="003A56C9" w:rsidP="00735F87">
            <w:pPr>
              <w:ind w:right="57"/>
              <w:jc w:val="right"/>
              <w:rPr>
                <w:rFonts w:cstheme="minorHAnsi"/>
                <w:sz w:val="20"/>
                <w:szCs w:val="20"/>
              </w:rPr>
            </w:pPr>
            <w:r w:rsidRPr="00CD20A7">
              <w:rPr>
                <w:sz w:val="20"/>
                <w:szCs w:val="20"/>
              </w:rPr>
              <w:t>1 624</w:t>
            </w:r>
          </w:p>
        </w:tc>
        <w:tc>
          <w:tcPr>
            <w:tcW w:w="969" w:type="dxa"/>
            <w:vAlign w:val="center"/>
          </w:tcPr>
          <w:p w14:paraId="7F390A10" w14:textId="77777777" w:rsidR="003A56C9" w:rsidRPr="00CD20A7" w:rsidRDefault="003A56C9" w:rsidP="00735F87">
            <w:pPr>
              <w:ind w:right="57"/>
              <w:jc w:val="right"/>
              <w:rPr>
                <w:rFonts w:cstheme="minorHAnsi"/>
                <w:sz w:val="20"/>
                <w:szCs w:val="20"/>
              </w:rPr>
            </w:pPr>
            <w:r w:rsidRPr="00CD20A7">
              <w:rPr>
                <w:sz w:val="20"/>
                <w:szCs w:val="20"/>
              </w:rPr>
              <w:t>1 734</w:t>
            </w:r>
          </w:p>
        </w:tc>
      </w:tr>
      <w:tr w:rsidR="003A56C9" w14:paraId="2E36F9EC" w14:textId="77777777" w:rsidTr="00735F87">
        <w:trPr>
          <w:trHeight w:val="283"/>
        </w:trPr>
        <w:tc>
          <w:tcPr>
            <w:tcW w:w="3256" w:type="dxa"/>
            <w:vAlign w:val="center"/>
          </w:tcPr>
          <w:p w14:paraId="2EFCF2E3" w14:textId="77777777" w:rsidR="003A56C9" w:rsidRPr="00735F87" w:rsidRDefault="003A56C9" w:rsidP="00735F87">
            <w:pPr>
              <w:autoSpaceDE w:val="0"/>
              <w:autoSpaceDN w:val="0"/>
              <w:adjustRightInd w:val="0"/>
              <w:rPr>
                <w:rFonts w:cstheme="minorHAnsi"/>
                <w:b/>
                <w:sz w:val="20"/>
                <w:szCs w:val="20"/>
              </w:rPr>
            </w:pPr>
            <w:r w:rsidRPr="00735F87">
              <w:rPr>
                <w:sz w:val="20"/>
                <w:szCs w:val="20"/>
              </w:rPr>
              <w:t xml:space="preserve">Počet </w:t>
            </w:r>
            <w:r w:rsidR="001D5191" w:rsidRPr="00735F87">
              <w:rPr>
                <w:sz w:val="20"/>
                <w:szCs w:val="20"/>
              </w:rPr>
              <w:t xml:space="preserve">osob </w:t>
            </w:r>
            <w:r w:rsidRPr="00735F87">
              <w:rPr>
                <w:sz w:val="20"/>
                <w:szCs w:val="20"/>
              </w:rPr>
              <w:t>těžce zraněných viníkem pod vlivem alkoholu</w:t>
            </w:r>
          </w:p>
        </w:tc>
        <w:tc>
          <w:tcPr>
            <w:tcW w:w="968" w:type="dxa"/>
            <w:vAlign w:val="center"/>
          </w:tcPr>
          <w:p w14:paraId="38FEC96E" w14:textId="77777777" w:rsidR="003A56C9" w:rsidRPr="00CD20A7" w:rsidRDefault="003A56C9" w:rsidP="00735F87">
            <w:pPr>
              <w:ind w:right="57"/>
              <w:jc w:val="right"/>
              <w:rPr>
                <w:rFonts w:cstheme="minorHAnsi"/>
                <w:sz w:val="20"/>
                <w:szCs w:val="20"/>
              </w:rPr>
            </w:pPr>
            <w:r w:rsidRPr="00CD20A7">
              <w:rPr>
                <w:sz w:val="20"/>
                <w:szCs w:val="20"/>
              </w:rPr>
              <w:t>203</w:t>
            </w:r>
          </w:p>
        </w:tc>
        <w:tc>
          <w:tcPr>
            <w:tcW w:w="969" w:type="dxa"/>
            <w:vAlign w:val="center"/>
          </w:tcPr>
          <w:p w14:paraId="21824812" w14:textId="77777777" w:rsidR="003A56C9" w:rsidRPr="00CD20A7" w:rsidRDefault="003A56C9" w:rsidP="00735F87">
            <w:pPr>
              <w:ind w:right="57"/>
              <w:jc w:val="right"/>
              <w:rPr>
                <w:rFonts w:cstheme="minorHAnsi"/>
                <w:sz w:val="20"/>
                <w:szCs w:val="20"/>
              </w:rPr>
            </w:pPr>
            <w:r w:rsidRPr="00CD20A7">
              <w:rPr>
                <w:sz w:val="20"/>
                <w:szCs w:val="20"/>
              </w:rPr>
              <w:t>208</w:t>
            </w:r>
          </w:p>
        </w:tc>
        <w:tc>
          <w:tcPr>
            <w:tcW w:w="968" w:type="dxa"/>
            <w:vAlign w:val="center"/>
          </w:tcPr>
          <w:p w14:paraId="1E139C7A" w14:textId="77777777" w:rsidR="003A56C9" w:rsidRPr="00CD20A7" w:rsidRDefault="003A56C9" w:rsidP="00735F87">
            <w:pPr>
              <w:ind w:right="57"/>
              <w:jc w:val="right"/>
              <w:rPr>
                <w:rFonts w:cstheme="minorHAnsi"/>
                <w:color w:val="000000"/>
                <w:sz w:val="20"/>
                <w:szCs w:val="20"/>
                <w:lang w:eastAsia="cs-CZ" w:bidi="cs-CZ"/>
              </w:rPr>
            </w:pPr>
            <w:r w:rsidRPr="00CD20A7">
              <w:rPr>
                <w:sz w:val="20"/>
                <w:szCs w:val="20"/>
              </w:rPr>
              <w:t>222</w:t>
            </w:r>
          </w:p>
        </w:tc>
        <w:tc>
          <w:tcPr>
            <w:tcW w:w="969" w:type="dxa"/>
            <w:vAlign w:val="center"/>
          </w:tcPr>
          <w:p w14:paraId="7166C82A" w14:textId="77777777" w:rsidR="003A56C9" w:rsidRPr="00CD20A7" w:rsidRDefault="003A56C9" w:rsidP="00735F87">
            <w:pPr>
              <w:ind w:right="57"/>
              <w:jc w:val="right"/>
              <w:rPr>
                <w:rFonts w:cstheme="minorHAnsi"/>
                <w:color w:val="000000"/>
                <w:sz w:val="20"/>
                <w:szCs w:val="20"/>
                <w:lang w:eastAsia="cs-CZ" w:bidi="cs-CZ"/>
              </w:rPr>
            </w:pPr>
            <w:r w:rsidRPr="00CD20A7">
              <w:rPr>
                <w:sz w:val="20"/>
                <w:szCs w:val="20"/>
              </w:rPr>
              <w:t>173</w:t>
            </w:r>
          </w:p>
        </w:tc>
        <w:tc>
          <w:tcPr>
            <w:tcW w:w="968" w:type="dxa"/>
            <w:vAlign w:val="center"/>
          </w:tcPr>
          <w:p w14:paraId="0F19D6EA" w14:textId="77777777" w:rsidR="003A56C9" w:rsidRPr="00CD20A7" w:rsidRDefault="003A56C9" w:rsidP="00735F87">
            <w:pPr>
              <w:ind w:right="57"/>
              <w:jc w:val="right"/>
              <w:rPr>
                <w:rFonts w:cstheme="minorHAnsi"/>
                <w:sz w:val="20"/>
                <w:szCs w:val="20"/>
              </w:rPr>
            </w:pPr>
            <w:r w:rsidRPr="00CD20A7">
              <w:rPr>
                <w:sz w:val="20"/>
                <w:szCs w:val="20"/>
              </w:rPr>
              <w:t>158</w:t>
            </w:r>
          </w:p>
        </w:tc>
        <w:tc>
          <w:tcPr>
            <w:tcW w:w="969" w:type="dxa"/>
            <w:vAlign w:val="center"/>
          </w:tcPr>
          <w:p w14:paraId="6D5698F6" w14:textId="77777777" w:rsidR="003A56C9" w:rsidRPr="00CD20A7" w:rsidRDefault="003A56C9" w:rsidP="00735F87">
            <w:pPr>
              <w:ind w:right="57"/>
              <w:jc w:val="right"/>
              <w:rPr>
                <w:rFonts w:cstheme="minorHAnsi"/>
                <w:sz w:val="20"/>
                <w:szCs w:val="20"/>
              </w:rPr>
            </w:pPr>
            <w:r w:rsidRPr="00CD20A7">
              <w:rPr>
                <w:sz w:val="20"/>
                <w:szCs w:val="20"/>
              </w:rPr>
              <w:t>176</w:t>
            </w:r>
          </w:p>
        </w:tc>
      </w:tr>
    </w:tbl>
    <w:p w14:paraId="0E1EA396" w14:textId="77777777" w:rsidR="000025BD" w:rsidRPr="002C7C06" w:rsidRDefault="00BC15A9" w:rsidP="008336A2">
      <w:pPr>
        <w:jc w:val="both"/>
        <w:rPr>
          <w:rFonts w:eastAsiaTheme="minorEastAsia" w:cstheme="minorHAnsi"/>
          <w:iCs/>
          <w:sz w:val="20"/>
          <w:szCs w:val="20"/>
        </w:rPr>
      </w:pPr>
      <w:r w:rsidRPr="002C7C06">
        <w:rPr>
          <w:rFonts w:eastAsiaTheme="minorEastAsia" w:cstheme="minorHAnsi"/>
          <w:b/>
          <w:iCs/>
          <w:sz w:val="20"/>
          <w:szCs w:val="20"/>
        </w:rPr>
        <w:t>Zdroj:</w:t>
      </w:r>
      <w:r w:rsidRPr="002C7C06">
        <w:rPr>
          <w:rFonts w:eastAsiaTheme="minorEastAsia" w:cstheme="minorHAnsi"/>
          <w:iCs/>
          <w:sz w:val="20"/>
          <w:szCs w:val="20"/>
        </w:rPr>
        <w:t xml:space="preserve"> </w:t>
      </w:r>
      <w:r w:rsidR="0070559C" w:rsidRPr="002C7C06">
        <w:rPr>
          <w:rFonts w:eastAsiaTheme="minorEastAsia" w:cstheme="minorHAnsi"/>
          <w:iCs/>
          <w:sz w:val="20"/>
          <w:szCs w:val="20"/>
        </w:rPr>
        <w:t xml:space="preserve">webový report </w:t>
      </w:r>
      <w:r w:rsidRPr="002C7C06">
        <w:rPr>
          <w:rFonts w:eastAsiaTheme="minorEastAsia" w:cstheme="minorHAnsi"/>
          <w:iCs/>
          <w:sz w:val="20"/>
          <w:szCs w:val="20"/>
        </w:rPr>
        <w:t xml:space="preserve">CDV </w:t>
      </w:r>
      <w:r w:rsidR="0070559C" w:rsidRPr="002C7C06">
        <w:rPr>
          <w:rFonts w:eastAsiaTheme="minorEastAsia" w:cstheme="minorHAnsi"/>
          <w:iCs/>
          <w:sz w:val="20"/>
          <w:szCs w:val="20"/>
        </w:rPr>
        <w:t>„</w:t>
      </w:r>
      <w:r w:rsidR="00145A54" w:rsidRPr="001D5191">
        <w:rPr>
          <w:rFonts w:eastAsiaTheme="minorEastAsia" w:cstheme="minorHAnsi"/>
          <w:i/>
          <w:iCs/>
          <w:sz w:val="20"/>
          <w:szCs w:val="20"/>
        </w:rPr>
        <w:t>A</w:t>
      </w:r>
      <w:r w:rsidR="0070559C" w:rsidRPr="001D5191">
        <w:rPr>
          <w:rFonts w:eastAsiaTheme="minorEastAsia" w:cstheme="minorHAnsi"/>
          <w:i/>
          <w:iCs/>
          <w:sz w:val="20"/>
          <w:szCs w:val="20"/>
        </w:rPr>
        <w:t>lkohol</w:t>
      </w:r>
      <w:r w:rsidR="0070559C" w:rsidRPr="002C7C06">
        <w:rPr>
          <w:rFonts w:eastAsiaTheme="minorEastAsia" w:cstheme="minorHAnsi"/>
          <w:iCs/>
          <w:sz w:val="20"/>
          <w:szCs w:val="20"/>
        </w:rPr>
        <w:t>“;</w:t>
      </w:r>
      <w:r w:rsidRPr="002C7C06">
        <w:rPr>
          <w:rFonts w:eastAsiaTheme="minorEastAsia" w:cstheme="minorHAnsi"/>
          <w:iCs/>
          <w:sz w:val="20"/>
          <w:szCs w:val="20"/>
        </w:rPr>
        <w:t xml:space="preserve"> statistika nehodovosti</w:t>
      </w:r>
      <w:r w:rsidR="00FD73E4" w:rsidRPr="002C7C06">
        <w:rPr>
          <w:rFonts w:eastAsiaTheme="minorEastAsia" w:cstheme="minorHAnsi"/>
          <w:iCs/>
          <w:sz w:val="20"/>
          <w:szCs w:val="20"/>
        </w:rPr>
        <w:t xml:space="preserve"> PČR</w:t>
      </w:r>
      <w:r w:rsidR="00746089" w:rsidRPr="002C7C06">
        <w:rPr>
          <w:rFonts w:eastAsiaTheme="minorEastAsia" w:cstheme="minorHAnsi"/>
          <w:iCs/>
          <w:sz w:val="20"/>
          <w:szCs w:val="20"/>
        </w:rPr>
        <w:t>.</w:t>
      </w:r>
    </w:p>
    <w:p w14:paraId="48766498" w14:textId="77777777" w:rsidR="003E44F4" w:rsidRPr="00CA1FE9" w:rsidRDefault="003E44F4" w:rsidP="003E44F4">
      <w:pPr>
        <w:pStyle w:val="PodkapitolystiIVKZ"/>
        <w:ind w:left="284" w:hanging="284"/>
        <w:rPr>
          <w:color w:val="2E74B5" w:themeColor="accent1" w:themeShade="BF"/>
        </w:rPr>
      </w:pPr>
      <w:r w:rsidRPr="00CA1FE9">
        <w:rPr>
          <w:color w:val="2E74B5" w:themeColor="accent1" w:themeShade="BF"/>
        </w:rPr>
        <w:t>Preventivně informační aktivity</w:t>
      </w:r>
      <w:r w:rsidR="00267839" w:rsidRPr="00CA1FE9">
        <w:rPr>
          <w:color w:val="2E74B5" w:themeColor="accent1" w:themeShade="BF"/>
        </w:rPr>
        <w:t xml:space="preserve"> a </w:t>
      </w:r>
      <w:r w:rsidR="00CA1FE9">
        <w:rPr>
          <w:color w:val="2E74B5" w:themeColor="accent1" w:themeShade="BF"/>
        </w:rPr>
        <w:t xml:space="preserve">dopravně bezpečnostní </w:t>
      </w:r>
      <w:r w:rsidR="00267839" w:rsidRPr="00CA1FE9">
        <w:rPr>
          <w:color w:val="2E74B5" w:themeColor="accent1" w:themeShade="BF"/>
        </w:rPr>
        <w:t>kampaně</w:t>
      </w:r>
    </w:p>
    <w:p w14:paraId="00FDF06B" w14:textId="77777777" w:rsidR="003E4991" w:rsidRPr="003B2B5D" w:rsidRDefault="003E4991" w:rsidP="005E2807">
      <w:pPr>
        <w:pStyle w:val="JK4"/>
        <w:ind w:left="0" w:firstLine="0"/>
      </w:pPr>
      <w:r>
        <w:t>PIA</w:t>
      </w:r>
      <w:r w:rsidRPr="00A802DE">
        <w:t xml:space="preserve"> </w:t>
      </w:r>
      <w:r w:rsidR="00267839">
        <w:t xml:space="preserve">a dopravně bezpečnostní kampaně </w:t>
      </w:r>
      <w:r w:rsidR="00972AD3">
        <w:t>mají</w:t>
      </w:r>
      <w:r>
        <w:t xml:space="preserve"> za cíl</w:t>
      </w:r>
      <w:r w:rsidRPr="00A802DE">
        <w:t xml:space="preserve"> přispět k naplnění strategických cílů</w:t>
      </w:r>
      <w:r w:rsidR="001D5191">
        <w:t>,</w:t>
      </w:r>
      <w:r w:rsidRPr="00A802DE">
        <w:t xml:space="preserve"> případně k jiným pozitivním přínosům pro</w:t>
      </w:r>
      <w:r w:rsidR="00605188">
        <w:t xml:space="preserve"> BESIP</w:t>
      </w:r>
      <w:r w:rsidRPr="00A802DE">
        <w:t xml:space="preserve">. </w:t>
      </w:r>
      <w:r>
        <w:t>J</w:t>
      </w:r>
      <w:r w:rsidRPr="00136AD7">
        <w:t>edním</w:t>
      </w:r>
      <w:r w:rsidRPr="00A802DE">
        <w:rPr>
          <w:color w:val="000000" w:themeColor="text1"/>
        </w:rPr>
        <w:t xml:space="preserve"> ze základních předpokladů </w:t>
      </w:r>
      <w:r w:rsidR="00605188">
        <w:rPr>
          <w:color w:val="000000" w:themeColor="text1"/>
        </w:rPr>
        <w:t>ověření</w:t>
      </w:r>
      <w:r w:rsidRPr="00A802DE">
        <w:rPr>
          <w:color w:val="000000" w:themeColor="text1"/>
        </w:rPr>
        <w:t xml:space="preserve"> </w:t>
      </w:r>
      <w:r>
        <w:rPr>
          <w:color w:val="000000" w:themeColor="text1"/>
        </w:rPr>
        <w:lastRenderedPageBreak/>
        <w:t xml:space="preserve">jejich </w:t>
      </w:r>
      <w:r w:rsidRPr="00A802DE">
        <w:rPr>
          <w:color w:val="000000" w:themeColor="text1"/>
        </w:rPr>
        <w:t xml:space="preserve">účelnosti </w:t>
      </w:r>
      <w:r>
        <w:rPr>
          <w:color w:val="000000" w:themeColor="text1"/>
        </w:rPr>
        <w:t xml:space="preserve">je </w:t>
      </w:r>
      <w:r w:rsidR="00195BE3">
        <w:rPr>
          <w:color w:val="000000" w:themeColor="text1"/>
        </w:rPr>
        <w:t>nastavení j</w:t>
      </w:r>
      <w:r>
        <w:t>ednoznačných</w:t>
      </w:r>
      <w:r w:rsidR="00195BE3">
        <w:t xml:space="preserve"> a měřitelných</w:t>
      </w:r>
      <w:r>
        <w:t xml:space="preserve"> kritérií vyhodnocení je</w:t>
      </w:r>
      <w:r w:rsidR="00195BE3">
        <w:t>jich</w:t>
      </w:r>
      <w:r>
        <w:t xml:space="preserve"> plnění</w:t>
      </w:r>
      <w:r w:rsidR="00195BE3">
        <w:t>.</w:t>
      </w:r>
      <w:r w:rsidRPr="001A71E2">
        <w:t xml:space="preserve"> Dostatečnou informovanost o</w:t>
      </w:r>
      <w:r w:rsidR="001147D9">
        <w:t xml:space="preserve"> </w:t>
      </w:r>
      <w:r w:rsidRPr="001A71E2">
        <w:t>postupném naplňování cíl</w:t>
      </w:r>
      <w:r w:rsidR="00195BE3">
        <w:t>ů</w:t>
      </w:r>
      <w:r w:rsidRPr="001A71E2">
        <w:t xml:space="preserve"> kampaně </w:t>
      </w:r>
      <w:r w:rsidR="00195BE3">
        <w:t>p</w:t>
      </w:r>
      <w:r w:rsidR="00195BE3" w:rsidRPr="003B2B5D">
        <w:t>oskytuje</w:t>
      </w:r>
      <w:r w:rsidRPr="003B2B5D">
        <w:t xml:space="preserve"> </w:t>
      </w:r>
      <w:r w:rsidR="00195BE3" w:rsidRPr="003B2B5D">
        <w:t>účinný</w:t>
      </w:r>
      <w:r w:rsidRPr="003B2B5D">
        <w:t xml:space="preserve"> monitor</w:t>
      </w:r>
      <w:r w:rsidR="00195BE3" w:rsidRPr="003B2B5D">
        <w:t>ing</w:t>
      </w:r>
      <w:r w:rsidRPr="003B2B5D">
        <w:t xml:space="preserve"> a </w:t>
      </w:r>
      <w:r w:rsidR="00195BE3" w:rsidRPr="003B2B5D">
        <w:t>vy</w:t>
      </w:r>
      <w:r w:rsidRPr="003B2B5D">
        <w:t xml:space="preserve">hodnocení. </w:t>
      </w:r>
    </w:p>
    <w:p w14:paraId="28FCDA24" w14:textId="4AB925BA" w:rsidR="00195BE3" w:rsidRPr="003B2B5D" w:rsidRDefault="00195BE3" w:rsidP="005E2807">
      <w:pPr>
        <w:pStyle w:val="JK4"/>
        <w:ind w:left="0" w:firstLine="0"/>
        <w:rPr>
          <w:szCs w:val="24"/>
        </w:rPr>
      </w:pPr>
      <w:r w:rsidRPr="003B2B5D">
        <w:t xml:space="preserve">PIA a kampaně na celorepublikové úrovni realizovalo MD. </w:t>
      </w:r>
      <w:r w:rsidR="003B2B5D" w:rsidRPr="003B2B5D">
        <w:t xml:space="preserve">Zároveň se </w:t>
      </w:r>
      <w:r w:rsidR="00CE4ADA">
        <w:t>na realizaci aktivit</w:t>
      </w:r>
      <w:r w:rsidR="00CE4ADA" w:rsidRPr="00CE4ADA">
        <w:t xml:space="preserve"> </w:t>
      </w:r>
      <w:r w:rsidR="000B35E9">
        <w:br/>
      </w:r>
      <w:r w:rsidR="00CE4ADA" w:rsidRPr="003B2B5D">
        <w:t>v</w:t>
      </w:r>
      <w:r w:rsidR="000B35E9">
        <w:t xml:space="preserve"> </w:t>
      </w:r>
      <w:r w:rsidR="00CE4ADA" w:rsidRPr="003B2B5D">
        <w:t>jednotlivých krajích</w:t>
      </w:r>
      <w:r w:rsidR="00CE4ADA">
        <w:t xml:space="preserve"> podíleli formou </w:t>
      </w:r>
      <w:r w:rsidR="00CE4ADA">
        <w:rPr>
          <w:rFonts w:ascii="Calibri" w:hAnsi="Calibri" w:cs="Calibri"/>
          <w:szCs w:val="24"/>
        </w:rPr>
        <w:t>edukativních akcí pro</w:t>
      </w:r>
      <w:r w:rsidR="001147D9">
        <w:rPr>
          <w:rFonts w:ascii="Calibri" w:hAnsi="Calibri" w:cs="Calibri"/>
          <w:szCs w:val="24"/>
        </w:rPr>
        <w:t xml:space="preserve"> </w:t>
      </w:r>
      <w:r w:rsidR="00CE4ADA">
        <w:rPr>
          <w:rFonts w:ascii="Calibri" w:hAnsi="Calibri" w:cs="Calibri"/>
          <w:szCs w:val="24"/>
        </w:rPr>
        <w:t xml:space="preserve">veřejnost (tzv. </w:t>
      </w:r>
      <w:r w:rsidR="00CE4ADA" w:rsidRPr="007E6EF5">
        <w:rPr>
          <w:rFonts w:ascii="Calibri" w:hAnsi="Calibri" w:cs="Calibri"/>
          <w:szCs w:val="24"/>
        </w:rPr>
        <w:t>promoakc</w:t>
      </w:r>
      <w:r w:rsidR="007741BA">
        <w:rPr>
          <w:rFonts w:ascii="Calibri" w:hAnsi="Calibri" w:cs="Calibri"/>
          <w:szCs w:val="24"/>
        </w:rPr>
        <w:t>í</w:t>
      </w:r>
      <w:r w:rsidR="00CE4ADA" w:rsidRPr="007E6EF5">
        <w:rPr>
          <w:rStyle w:val="Znakapoznpodarou"/>
          <w:rFonts w:ascii="Calibri" w:hAnsi="Calibri" w:cs="Calibri"/>
          <w:szCs w:val="24"/>
        </w:rPr>
        <w:footnoteReference w:id="41"/>
      </w:r>
      <w:r w:rsidR="00CE4ADA" w:rsidRPr="007E6EF5">
        <w:rPr>
          <w:rFonts w:ascii="Calibri" w:hAnsi="Calibri" w:cs="Calibri"/>
          <w:szCs w:val="24"/>
        </w:rPr>
        <w:t xml:space="preserve">) </w:t>
      </w:r>
      <w:r w:rsidR="00E03249">
        <w:rPr>
          <w:rFonts w:cstheme="minorHAnsi"/>
          <w:szCs w:val="24"/>
        </w:rPr>
        <w:t>koordinátoři</w:t>
      </w:r>
      <w:r w:rsidR="00CE4ADA" w:rsidRPr="007E6EF5">
        <w:t xml:space="preserve"> a </w:t>
      </w:r>
      <w:r w:rsidR="002C1923">
        <w:t>poskytovatel</w:t>
      </w:r>
      <w:r w:rsidR="00CE4ADA" w:rsidRPr="007E6EF5">
        <w:t xml:space="preserve"> BESIP</w:t>
      </w:r>
      <w:r w:rsidR="00CE4ADA">
        <w:t xml:space="preserve"> </w:t>
      </w:r>
      <w:r w:rsidR="00CE4ADA" w:rsidRPr="00CE4ADA">
        <w:t>Team</w:t>
      </w:r>
      <w:r w:rsidR="0074605A">
        <w:t>u</w:t>
      </w:r>
      <w:r w:rsidR="00CE4ADA" w:rsidRPr="00CE4ADA">
        <w:t xml:space="preserve">, </w:t>
      </w:r>
      <w:r w:rsidR="0074605A">
        <w:t xml:space="preserve">a to </w:t>
      </w:r>
      <w:r w:rsidR="00450857">
        <w:t>na základě</w:t>
      </w:r>
      <w:r w:rsidR="00450857" w:rsidRPr="00CE4ADA">
        <w:t xml:space="preserve"> </w:t>
      </w:r>
      <w:r w:rsidRPr="00CE4ADA">
        <w:rPr>
          <w:rFonts w:ascii="Calibri" w:hAnsi="Calibri" w:cs="Calibri"/>
          <w:szCs w:val="24"/>
        </w:rPr>
        <w:t>smluv o</w:t>
      </w:r>
      <w:r w:rsidR="007738E2">
        <w:rPr>
          <w:rFonts w:ascii="Calibri" w:hAnsi="Calibri" w:cs="Calibri"/>
          <w:szCs w:val="24"/>
        </w:rPr>
        <w:t xml:space="preserve"> </w:t>
      </w:r>
      <w:r w:rsidRPr="00CE4ADA">
        <w:rPr>
          <w:rFonts w:ascii="Calibri" w:hAnsi="Calibri" w:cs="Calibri"/>
          <w:szCs w:val="24"/>
        </w:rPr>
        <w:t xml:space="preserve">poskytování odborných služeb provádění prevence v oblasti bezpečnosti silničního provozu a dopravní výchovy (dále </w:t>
      </w:r>
      <w:r w:rsidRPr="00030FDF">
        <w:rPr>
          <w:rFonts w:ascii="Calibri" w:hAnsi="Calibri" w:cs="Calibri"/>
          <w:szCs w:val="24"/>
        </w:rPr>
        <w:t>také „smlouv</w:t>
      </w:r>
      <w:r w:rsidR="007256E9" w:rsidRPr="00030FDF">
        <w:rPr>
          <w:rFonts w:ascii="Calibri" w:hAnsi="Calibri" w:cs="Calibri"/>
          <w:szCs w:val="24"/>
        </w:rPr>
        <w:t>y</w:t>
      </w:r>
      <w:r w:rsidRPr="00030FDF">
        <w:rPr>
          <w:rFonts w:ascii="Calibri" w:hAnsi="Calibri" w:cs="Calibri"/>
          <w:szCs w:val="24"/>
        </w:rPr>
        <w:t xml:space="preserve"> s </w:t>
      </w:r>
      <w:r w:rsidR="00E03249" w:rsidRPr="00030FDF">
        <w:rPr>
          <w:rFonts w:ascii="Calibri" w:hAnsi="Calibri" w:cs="Calibri"/>
          <w:szCs w:val="24"/>
        </w:rPr>
        <w:t>koordinátor</w:t>
      </w:r>
      <w:r w:rsidR="007256E9" w:rsidRPr="00030FDF">
        <w:rPr>
          <w:rFonts w:ascii="Calibri" w:hAnsi="Calibri" w:cs="Calibri"/>
          <w:szCs w:val="24"/>
        </w:rPr>
        <w:t>y</w:t>
      </w:r>
      <w:r w:rsidRPr="00030FDF">
        <w:rPr>
          <w:rFonts w:ascii="Calibri" w:hAnsi="Calibri" w:cs="Calibri"/>
          <w:szCs w:val="24"/>
        </w:rPr>
        <w:t>“)</w:t>
      </w:r>
      <w:r w:rsidR="0035264A" w:rsidRPr="00030FDF">
        <w:rPr>
          <w:rFonts w:ascii="Calibri" w:hAnsi="Calibri" w:cs="Calibri"/>
          <w:szCs w:val="24"/>
        </w:rPr>
        <w:t xml:space="preserve">, resp. smluv </w:t>
      </w:r>
      <w:r w:rsidR="00950779" w:rsidRPr="00030FDF">
        <w:rPr>
          <w:rFonts w:ascii="Calibri" w:hAnsi="Calibri" w:cs="Calibri"/>
          <w:szCs w:val="24"/>
        </w:rPr>
        <w:t>na</w:t>
      </w:r>
      <w:r w:rsidR="0035264A">
        <w:rPr>
          <w:rFonts w:ascii="Calibri" w:hAnsi="Calibri" w:cs="Calibri"/>
          <w:szCs w:val="24"/>
        </w:rPr>
        <w:t xml:space="preserve"> zajištění mobilního výstavního systému BESIP</w:t>
      </w:r>
      <w:r w:rsidR="00CE4ADA" w:rsidRPr="00CE4ADA">
        <w:rPr>
          <w:rFonts w:ascii="Calibri" w:hAnsi="Calibri" w:cs="Calibri"/>
          <w:szCs w:val="24"/>
        </w:rPr>
        <w:t xml:space="preserve"> uzavřených s CSPSD.</w:t>
      </w:r>
      <w:r w:rsidR="00905497">
        <w:rPr>
          <w:rFonts w:ascii="Calibri" w:hAnsi="Calibri" w:cs="Calibri"/>
          <w:szCs w:val="24"/>
        </w:rPr>
        <w:t xml:space="preserve"> </w:t>
      </w:r>
    </w:p>
    <w:p w14:paraId="0749636F" w14:textId="77777777" w:rsidR="003E44F4" w:rsidRPr="00AA33EC" w:rsidRDefault="00F04DA3" w:rsidP="00156F9B">
      <w:pPr>
        <w:pStyle w:val="Mluvcnadpis"/>
      </w:pPr>
      <w:r w:rsidRPr="00156F9B">
        <w:t>→</w:t>
      </w:r>
      <w:r w:rsidRPr="00156F9B">
        <w:tab/>
      </w:r>
      <w:r w:rsidR="00534631" w:rsidRPr="00156F9B">
        <w:t xml:space="preserve">MD nestanovilo </w:t>
      </w:r>
      <w:r w:rsidR="00331362" w:rsidRPr="00156F9B">
        <w:t>pro jednotlivé</w:t>
      </w:r>
      <w:r w:rsidR="00534631" w:rsidRPr="00156F9B">
        <w:t xml:space="preserve"> PIA</w:t>
      </w:r>
      <w:r w:rsidR="00905497" w:rsidRPr="00156F9B">
        <w:t xml:space="preserve"> a kampan</w:t>
      </w:r>
      <w:r w:rsidR="00331362" w:rsidRPr="00156F9B">
        <w:t>ě</w:t>
      </w:r>
      <w:r w:rsidR="00534631" w:rsidRPr="00156F9B">
        <w:t xml:space="preserve"> jednoznačná kritéria hodnocení jejich </w:t>
      </w:r>
      <w:r w:rsidR="00D13070" w:rsidRPr="00156F9B">
        <w:t xml:space="preserve">splnění </w:t>
      </w:r>
      <w:r w:rsidR="00534631" w:rsidRPr="00156F9B">
        <w:t>ani rozsah a způsob zapojení CSPSD</w:t>
      </w:r>
      <w:r w:rsidR="00D13070" w:rsidRPr="00156F9B">
        <w:t>.</w:t>
      </w:r>
      <w:r w:rsidR="0046269A" w:rsidRPr="00156F9B">
        <w:t xml:space="preserve"> </w:t>
      </w:r>
    </w:p>
    <w:p w14:paraId="25785BD3" w14:textId="03742067" w:rsidR="000E1D98" w:rsidRPr="00A51A21" w:rsidRDefault="00DE3E9C" w:rsidP="005E2807">
      <w:pPr>
        <w:pStyle w:val="JK4"/>
        <w:ind w:left="0" w:firstLine="0"/>
      </w:pPr>
      <w:r>
        <w:t>NKÚ zjistil, že v</w:t>
      </w:r>
      <w:r w:rsidR="00735F87">
        <w:t xml:space="preserve"> </w:t>
      </w:r>
      <w:r w:rsidR="001E350E" w:rsidRPr="00972AD3">
        <w:t xml:space="preserve">případě </w:t>
      </w:r>
      <w:r w:rsidR="00133411">
        <w:t xml:space="preserve">všech </w:t>
      </w:r>
      <w:r w:rsidR="0088620B">
        <w:t>jedenácti</w:t>
      </w:r>
      <w:r w:rsidR="00133411">
        <w:t xml:space="preserve"> ověřovaných</w:t>
      </w:r>
      <w:r w:rsidR="001E350E" w:rsidRPr="00972AD3">
        <w:t xml:space="preserve"> PIA</w:t>
      </w:r>
      <w:r w:rsidR="00293704">
        <w:t xml:space="preserve">, které byly součástí </w:t>
      </w:r>
      <w:r w:rsidR="00746089">
        <w:br/>
      </w:r>
      <w:r w:rsidR="00293704">
        <w:t>AP 2011</w:t>
      </w:r>
      <w:r w:rsidR="00746089">
        <w:t>–</w:t>
      </w:r>
      <w:r w:rsidR="00293704">
        <w:t>2020,</w:t>
      </w:r>
      <w:r w:rsidR="007741BA">
        <w:t xml:space="preserve"> i</w:t>
      </w:r>
      <w:r w:rsidR="00293704">
        <w:t xml:space="preserve"> v</w:t>
      </w:r>
      <w:r w:rsidR="00D1628C">
        <w:t xml:space="preserve"> </w:t>
      </w:r>
      <w:r w:rsidR="00293704">
        <w:t>případě</w:t>
      </w:r>
      <w:r w:rsidR="00133411">
        <w:t xml:space="preserve"> </w:t>
      </w:r>
      <w:r w:rsidR="009D63B6">
        <w:t xml:space="preserve">dvou </w:t>
      </w:r>
      <w:r w:rsidR="00133411">
        <w:t xml:space="preserve">ze čtyř ověřovaných </w:t>
      </w:r>
      <w:r w:rsidR="0088620B">
        <w:t xml:space="preserve">kampaní </w:t>
      </w:r>
      <w:r w:rsidR="003E44F4" w:rsidRPr="00972AD3">
        <w:t xml:space="preserve">nenastavilo </w:t>
      </w:r>
      <w:r w:rsidR="007741BA">
        <w:t xml:space="preserve">MD </w:t>
      </w:r>
      <w:r w:rsidR="00CB0127">
        <w:t xml:space="preserve">žádná </w:t>
      </w:r>
      <w:r w:rsidR="003E44F4" w:rsidRPr="00972AD3">
        <w:t xml:space="preserve">jednoznačná </w:t>
      </w:r>
      <w:r w:rsidR="006F6DC8">
        <w:t>a</w:t>
      </w:r>
      <w:r w:rsidR="00D1628C">
        <w:t xml:space="preserve"> </w:t>
      </w:r>
      <w:r w:rsidR="006F6DC8">
        <w:t xml:space="preserve">měřitelná </w:t>
      </w:r>
      <w:r w:rsidR="003E44F4" w:rsidRPr="00972AD3">
        <w:t xml:space="preserve">kritéria vyhodnocení jejich splnění. </w:t>
      </w:r>
      <w:r w:rsidR="00CB0127">
        <w:t>Pro dalších pět</w:t>
      </w:r>
      <w:r w:rsidR="0082615B" w:rsidRPr="00972AD3">
        <w:t xml:space="preserve"> </w:t>
      </w:r>
      <w:r w:rsidR="00133411">
        <w:t xml:space="preserve">ze sedmi ověřovaných </w:t>
      </w:r>
      <w:r w:rsidR="00CB0127">
        <w:t>PIA</w:t>
      </w:r>
      <w:r w:rsidR="00133411">
        <w:t>, které byly součástí AP 2021</w:t>
      </w:r>
      <w:r w:rsidR="00FA0382">
        <w:t>–</w:t>
      </w:r>
      <w:r w:rsidR="00133411">
        <w:t>2022</w:t>
      </w:r>
      <w:r w:rsidR="0074605A">
        <w:t>,</w:t>
      </w:r>
      <w:r w:rsidR="0082615B" w:rsidRPr="00972AD3">
        <w:t xml:space="preserve"> </w:t>
      </w:r>
      <w:r w:rsidR="0088620B">
        <w:t xml:space="preserve">sice </w:t>
      </w:r>
      <w:r w:rsidR="0082615B" w:rsidRPr="00972AD3">
        <w:t>MD</w:t>
      </w:r>
      <w:r w:rsidR="00CB0127">
        <w:t xml:space="preserve"> </w:t>
      </w:r>
      <w:r w:rsidR="003E44F4" w:rsidRPr="00972AD3">
        <w:t xml:space="preserve">stanovilo kvantitativní ukazatel hodnocení dosaženého výsledku, </w:t>
      </w:r>
      <w:r w:rsidR="007741BA">
        <w:t>avšak</w:t>
      </w:r>
      <w:r w:rsidR="0082615B" w:rsidRPr="00972AD3">
        <w:t xml:space="preserve"> bez požadované cílové</w:t>
      </w:r>
      <w:r w:rsidR="003E44F4" w:rsidRPr="00972AD3">
        <w:t xml:space="preserve"> hodnot</w:t>
      </w:r>
      <w:r w:rsidR="0082615B" w:rsidRPr="00972AD3">
        <w:t>y</w:t>
      </w:r>
      <w:r w:rsidR="003E44F4" w:rsidRPr="00972AD3">
        <w:t xml:space="preserve">. </w:t>
      </w:r>
      <w:r w:rsidR="00937640">
        <w:t xml:space="preserve">Pro zbylé dvě PIA </w:t>
      </w:r>
      <w:r w:rsidR="007738E2">
        <w:br/>
      </w:r>
      <w:r w:rsidR="00937640">
        <w:t>a</w:t>
      </w:r>
      <w:r w:rsidR="007738E2">
        <w:t xml:space="preserve"> </w:t>
      </w:r>
      <w:r w:rsidR="00937640">
        <w:t xml:space="preserve">dvě kampaně </w:t>
      </w:r>
      <w:r w:rsidR="007741BA" w:rsidRPr="005D2CEC">
        <w:t xml:space="preserve">Ministerstvo </w:t>
      </w:r>
      <w:r w:rsidR="007741BA">
        <w:t xml:space="preserve">dopravy </w:t>
      </w:r>
      <w:r w:rsidR="00937640">
        <w:t>jednoznačná a m</w:t>
      </w:r>
      <w:r w:rsidR="00110F9A">
        <w:t>ě</w:t>
      </w:r>
      <w:r w:rsidR="00937640">
        <w:t xml:space="preserve">řitelná kritéria vyhodnocení jejich splnění nastavilo. </w:t>
      </w:r>
    </w:p>
    <w:p w14:paraId="15677C38" w14:textId="758262DE" w:rsidR="009D66D2" w:rsidRPr="00030FDF" w:rsidRDefault="00972AD3" w:rsidP="005E2807">
      <w:pPr>
        <w:pStyle w:val="JK4"/>
        <w:ind w:left="0" w:firstLine="0"/>
      </w:pPr>
      <w:r w:rsidRPr="00972AD3">
        <w:t xml:space="preserve">MD </w:t>
      </w:r>
      <w:r w:rsidR="00971B0D">
        <w:t xml:space="preserve">dále </w:t>
      </w:r>
      <w:r w:rsidRPr="00972AD3">
        <w:t>nestanovilo cíle</w:t>
      </w:r>
      <w:r w:rsidR="007741BA">
        <w:t xml:space="preserve"> ani</w:t>
      </w:r>
      <w:r w:rsidRPr="00972AD3">
        <w:t xml:space="preserve"> způsob a rozsah zapojení CSPSD a jeho smluvních partnerů do realizace jednotlivých </w:t>
      </w:r>
      <w:r w:rsidRPr="005A3CD4">
        <w:t>PIA</w:t>
      </w:r>
      <w:r w:rsidR="00CB0127" w:rsidRPr="005A3CD4">
        <w:t xml:space="preserve"> a kampaní</w:t>
      </w:r>
      <w:r w:rsidRPr="005A3CD4">
        <w:t xml:space="preserve">. O jejich zapojení se </w:t>
      </w:r>
      <w:r w:rsidR="009D66D2">
        <w:t xml:space="preserve">obecně </w:t>
      </w:r>
      <w:r w:rsidRPr="005A3CD4">
        <w:t xml:space="preserve">rozhodovalo </w:t>
      </w:r>
      <w:r w:rsidR="00F12573">
        <w:t xml:space="preserve">pouze </w:t>
      </w:r>
      <w:r w:rsidR="00735F87">
        <w:br/>
      </w:r>
      <w:r w:rsidRPr="005A3CD4">
        <w:t>na</w:t>
      </w:r>
      <w:r w:rsidR="007741BA">
        <w:t xml:space="preserve"> </w:t>
      </w:r>
      <w:r w:rsidRPr="005A3CD4">
        <w:t xml:space="preserve">poradách </w:t>
      </w:r>
      <w:r w:rsidR="005C6205">
        <w:t>MD</w:t>
      </w:r>
      <w:r w:rsidRPr="005A3CD4">
        <w:t>, ze kterých nebyly pořizovány zápisy.</w:t>
      </w:r>
      <w:r w:rsidR="009D66D2">
        <w:t xml:space="preserve"> Konkrétní způsoby zapojení </w:t>
      </w:r>
      <w:r w:rsidR="00735F87">
        <w:br/>
      </w:r>
      <w:r w:rsidR="009D66D2">
        <w:t xml:space="preserve">ponechalo </w:t>
      </w:r>
      <w:r w:rsidR="007741BA" w:rsidRPr="005D2CEC">
        <w:t xml:space="preserve">Ministerstvo </w:t>
      </w:r>
      <w:r w:rsidR="007741BA">
        <w:t xml:space="preserve">dopravy </w:t>
      </w:r>
      <w:r w:rsidR="009D66D2">
        <w:t xml:space="preserve">na CSPSD. To však smluvním partnerům žádné konkrétní </w:t>
      </w:r>
      <w:r w:rsidR="007738E2">
        <w:br/>
      </w:r>
      <w:r w:rsidR="00DE3E9C">
        <w:t>a</w:t>
      </w:r>
      <w:r w:rsidR="007738E2">
        <w:t xml:space="preserve"> </w:t>
      </w:r>
      <w:r w:rsidR="00DE3E9C">
        <w:t xml:space="preserve">vyhodnotitelné </w:t>
      </w:r>
      <w:r w:rsidR="009D66D2">
        <w:t xml:space="preserve">cíle </w:t>
      </w:r>
      <w:r w:rsidR="009D66D2" w:rsidRPr="00030FDF">
        <w:t xml:space="preserve">nestanovilo. </w:t>
      </w:r>
      <w:r w:rsidR="00211D17" w:rsidRPr="00030FDF">
        <w:rPr>
          <w:rFonts w:eastAsia="Calibri" w:cstheme="minorHAnsi"/>
        </w:rPr>
        <w:t xml:space="preserve">Výsledkem byl </w:t>
      </w:r>
      <w:r w:rsidR="009D66D2" w:rsidRPr="00030FDF">
        <w:rPr>
          <w:rFonts w:eastAsia="Calibri" w:cstheme="minorHAnsi"/>
        </w:rPr>
        <w:t xml:space="preserve">nekoordinovaný a rozdílný přístup </w:t>
      </w:r>
      <w:r w:rsidR="00E03249" w:rsidRPr="00030FDF">
        <w:rPr>
          <w:rFonts w:eastAsia="Calibri" w:cstheme="minorHAnsi"/>
        </w:rPr>
        <w:t>koordinátorů</w:t>
      </w:r>
      <w:r w:rsidR="00E12601" w:rsidRPr="00030FDF">
        <w:rPr>
          <w:rFonts w:eastAsia="Calibri" w:cstheme="minorHAnsi"/>
        </w:rPr>
        <w:t>, jak ilustruje příklad č. 1.</w:t>
      </w:r>
      <w:r w:rsidR="009D66D2" w:rsidRPr="00030FDF">
        <w:rPr>
          <w:rFonts w:eastAsia="Calibri" w:cstheme="minorHAnsi"/>
        </w:rPr>
        <w:t xml:space="preserve"> </w:t>
      </w:r>
    </w:p>
    <w:p w14:paraId="3E1521E9" w14:textId="77777777" w:rsidR="009D66D2" w:rsidRPr="00331362" w:rsidRDefault="009D66D2" w:rsidP="009D66D2">
      <w:pPr>
        <w:pStyle w:val="Titulek"/>
        <w:keepNext/>
        <w:spacing w:after="0"/>
        <w:rPr>
          <w:rFonts w:cstheme="minorHAnsi"/>
          <w:b/>
          <w:bCs/>
          <w:i w:val="0"/>
          <w:iCs w:val="0"/>
          <w:color w:val="2E74B5" w:themeColor="accent1" w:themeShade="BF"/>
          <w:sz w:val="24"/>
          <w:szCs w:val="24"/>
        </w:rPr>
      </w:pPr>
      <w:r w:rsidRPr="00331362">
        <w:rPr>
          <w:rFonts w:cstheme="minorHAnsi"/>
          <w:b/>
          <w:bCs/>
          <w:i w:val="0"/>
          <w:iCs w:val="0"/>
          <w:color w:val="2E74B5" w:themeColor="accent1" w:themeShade="BF"/>
          <w:sz w:val="24"/>
          <w:szCs w:val="24"/>
        </w:rPr>
        <w:t>Příklad č.</w:t>
      </w:r>
      <w:r>
        <w:rPr>
          <w:rFonts w:cstheme="minorHAnsi"/>
          <w:b/>
          <w:bCs/>
          <w:i w:val="0"/>
          <w:iCs w:val="0"/>
          <w:color w:val="2E74B5" w:themeColor="accent1" w:themeShade="BF"/>
          <w:sz w:val="24"/>
          <w:szCs w:val="24"/>
        </w:rPr>
        <w:t xml:space="preserve"> 1</w:t>
      </w:r>
    </w:p>
    <w:p w14:paraId="4BC2B442" w14:textId="77777777" w:rsidR="009D66D2" w:rsidRPr="00CB080B" w:rsidRDefault="00E12601" w:rsidP="000C1E90">
      <w:pPr>
        <w:pStyle w:val="Pkladyvrmeku"/>
        <w:rPr>
          <w:rFonts w:ascii="Calibri" w:hAnsi="Calibri" w:cs="Calibri"/>
          <w:lang w:eastAsia="cs-CZ"/>
        </w:rPr>
      </w:pPr>
      <w:r w:rsidRPr="00CB080B">
        <w:t xml:space="preserve">Součástí kampaně </w:t>
      </w:r>
      <w:r w:rsidR="00FC4B7E">
        <w:t xml:space="preserve">„Zpomal, dokud není skutečně pozdě“ (dále také </w:t>
      </w:r>
      <w:r w:rsidRPr="00CB080B">
        <w:t>„13 minut“</w:t>
      </w:r>
      <w:r w:rsidR="008E6B1D">
        <w:t>)</w:t>
      </w:r>
      <w:r w:rsidRPr="00CB080B">
        <w:t xml:space="preserve"> byla realizace </w:t>
      </w:r>
      <w:r w:rsidR="004A25E7">
        <w:t>akcí pro veřejnost</w:t>
      </w:r>
      <w:r w:rsidRPr="00CB080B">
        <w:t xml:space="preserve"> na čerpacích stanicích MOL. Celkem proběhlo 328 takových </w:t>
      </w:r>
      <w:r w:rsidR="004A25E7">
        <w:t>akcí</w:t>
      </w:r>
      <w:r w:rsidRPr="00CB080B">
        <w:rPr>
          <w:rFonts w:ascii="Calibri" w:hAnsi="Calibri" w:cs="Calibri"/>
          <w:lang w:eastAsia="cs-CZ"/>
        </w:rPr>
        <w:t xml:space="preserve"> na území celé ČR. Zatímco však </w:t>
      </w:r>
      <w:r w:rsidR="00E03249">
        <w:rPr>
          <w:rFonts w:ascii="Calibri" w:hAnsi="Calibri" w:cs="Calibri"/>
          <w:lang w:eastAsia="cs-CZ"/>
        </w:rPr>
        <w:t>koordinátor</w:t>
      </w:r>
      <w:r w:rsidRPr="00CB080B">
        <w:rPr>
          <w:rFonts w:ascii="Calibri" w:hAnsi="Calibri" w:cs="Calibri"/>
          <w:lang w:eastAsia="cs-CZ"/>
        </w:rPr>
        <w:t xml:space="preserve"> v Olomouckém kraji uskutečnil čtyři takové </w:t>
      </w:r>
      <w:r w:rsidR="00DC0675">
        <w:rPr>
          <w:rFonts w:ascii="Calibri" w:hAnsi="Calibri" w:cs="Calibri"/>
          <w:lang w:eastAsia="cs-CZ"/>
        </w:rPr>
        <w:t>akce</w:t>
      </w:r>
      <w:r w:rsidRPr="00CB080B">
        <w:rPr>
          <w:rFonts w:ascii="Calibri" w:hAnsi="Calibri" w:cs="Calibri"/>
          <w:lang w:eastAsia="cs-CZ"/>
        </w:rPr>
        <w:t xml:space="preserve">, </w:t>
      </w:r>
      <w:r w:rsidR="00E03249">
        <w:rPr>
          <w:rFonts w:ascii="Calibri" w:hAnsi="Calibri" w:cs="Calibri"/>
          <w:lang w:eastAsia="cs-CZ"/>
        </w:rPr>
        <w:t>koordinátor</w:t>
      </w:r>
      <w:r w:rsidRPr="00CB080B">
        <w:rPr>
          <w:rFonts w:ascii="Calibri" w:hAnsi="Calibri" w:cs="Calibri"/>
          <w:lang w:eastAsia="cs-CZ"/>
        </w:rPr>
        <w:t xml:space="preserve"> v nejmenším a nejméně lidnatém Karlovarském kraji jich realizoval celkem 41.</w:t>
      </w:r>
    </w:p>
    <w:p w14:paraId="078A2A96" w14:textId="77777777" w:rsidR="0046269A" w:rsidRPr="00156F9B" w:rsidRDefault="00A23975" w:rsidP="00156F9B">
      <w:pPr>
        <w:pStyle w:val="Mluvcnadpis"/>
      </w:pPr>
      <w:r w:rsidRPr="00156F9B">
        <w:t>→</w:t>
      </w:r>
      <w:r w:rsidRPr="00156F9B">
        <w:tab/>
      </w:r>
      <w:r w:rsidR="0046269A" w:rsidRPr="00156F9B">
        <w:t xml:space="preserve">MD </w:t>
      </w:r>
      <w:r w:rsidRPr="00156F9B">
        <w:t xml:space="preserve">ve spolupráci s CSPSD </w:t>
      </w:r>
      <w:r w:rsidR="0046269A" w:rsidRPr="00156F9B">
        <w:t>nevytvořilo systém účinného monitoringu realizace PIA a</w:t>
      </w:r>
      <w:r w:rsidR="00CC223D">
        <w:t> </w:t>
      </w:r>
      <w:r w:rsidR="0046269A" w:rsidRPr="00156F9B">
        <w:t>kampaní</w:t>
      </w:r>
      <w:r w:rsidR="002243B8">
        <w:t xml:space="preserve"> a nevyhodnocoval</w:t>
      </w:r>
      <w:r w:rsidR="00DB37F1">
        <w:t>o</w:t>
      </w:r>
      <w:r w:rsidR="002243B8">
        <w:t xml:space="preserve"> jejich přínos pro BESIP</w:t>
      </w:r>
      <w:r w:rsidR="00CC223D">
        <w:t>.</w:t>
      </w:r>
    </w:p>
    <w:p w14:paraId="5A907177" w14:textId="77777777" w:rsidR="00A23975" w:rsidRDefault="003376A3" w:rsidP="005E2807">
      <w:pPr>
        <w:pStyle w:val="JK4"/>
        <w:ind w:left="0" w:firstLine="0"/>
        <w:rPr>
          <w:lang w:eastAsia="cs-CZ"/>
        </w:rPr>
      </w:pPr>
      <w:r>
        <w:t>CSPSD</w:t>
      </w:r>
      <w:r>
        <w:rPr>
          <w:lang w:eastAsia="cs-CZ"/>
        </w:rPr>
        <w:t xml:space="preserve"> dvakrát </w:t>
      </w:r>
      <w:r w:rsidRPr="002F6495">
        <w:rPr>
          <w:lang w:eastAsia="cs-CZ"/>
        </w:rPr>
        <w:t xml:space="preserve">ročně předalo </w:t>
      </w:r>
      <w:r w:rsidR="007741BA" w:rsidRPr="005D2CEC">
        <w:t>Ministerstv</w:t>
      </w:r>
      <w:r w:rsidR="007741BA">
        <w:t>u</w:t>
      </w:r>
      <w:r w:rsidR="007741BA" w:rsidRPr="005D2CEC">
        <w:t xml:space="preserve"> </w:t>
      </w:r>
      <w:r w:rsidR="007741BA">
        <w:t>dopravy</w:t>
      </w:r>
      <w:r w:rsidR="007741BA" w:rsidRPr="002F6495">
        <w:rPr>
          <w:lang w:eastAsia="cs-CZ"/>
        </w:rPr>
        <w:t xml:space="preserve"> </w:t>
      </w:r>
      <w:r w:rsidRPr="002F6495">
        <w:rPr>
          <w:lang w:eastAsia="cs-CZ"/>
        </w:rPr>
        <w:t xml:space="preserve">zprávu o činnosti za uplynulé období. MD </w:t>
      </w:r>
      <w:r w:rsidR="00DD389B">
        <w:rPr>
          <w:lang w:eastAsia="cs-CZ"/>
        </w:rPr>
        <w:t>však</w:t>
      </w:r>
      <w:r w:rsidRPr="002F6495">
        <w:rPr>
          <w:lang w:eastAsia="cs-CZ"/>
        </w:rPr>
        <w:t xml:space="preserve"> nestanovilo </w:t>
      </w:r>
      <w:r w:rsidR="002F6495" w:rsidRPr="002F6495">
        <w:rPr>
          <w:lang w:eastAsia="cs-CZ"/>
        </w:rPr>
        <w:t xml:space="preserve">požadavky na </w:t>
      </w:r>
      <w:r w:rsidR="00DD389B">
        <w:rPr>
          <w:lang w:eastAsia="cs-CZ"/>
        </w:rPr>
        <w:t>její obsah</w:t>
      </w:r>
      <w:r w:rsidR="00981AB1">
        <w:rPr>
          <w:lang w:eastAsia="cs-CZ"/>
        </w:rPr>
        <w:t xml:space="preserve"> </w:t>
      </w:r>
      <w:r w:rsidR="00DC2BB8">
        <w:rPr>
          <w:lang w:eastAsia="cs-CZ"/>
        </w:rPr>
        <w:t>tak</w:t>
      </w:r>
      <w:r w:rsidRPr="002F6495">
        <w:rPr>
          <w:lang w:eastAsia="cs-CZ"/>
        </w:rPr>
        <w:t xml:space="preserve">, </w:t>
      </w:r>
      <w:r w:rsidR="00DC2BB8">
        <w:rPr>
          <w:lang w:eastAsia="cs-CZ"/>
        </w:rPr>
        <w:t>aby jejím prostřednictvím</w:t>
      </w:r>
      <w:r w:rsidR="00DD389B">
        <w:rPr>
          <w:lang w:eastAsia="cs-CZ"/>
        </w:rPr>
        <w:t xml:space="preserve"> </w:t>
      </w:r>
      <w:r w:rsidR="007741BA">
        <w:rPr>
          <w:lang w:eastAsia="cs-CZ"/>
        </w:rPr>
        <w:t>získalo</w:t>
      </w:r>
      <w:r w:rsidRPr="002F6495">
        <w:rPr>
          <w:lang w:eastAsia="cs-CZ"/>
        </w:rPr>
        <w:t xml:space="preserve"> informac</w:t>
      </w:r>
      <w:r w:rsidR="00DC2BB8">
        <w:rPr>
          <w:lang w:eastAsia="cs-CZ"/>
        </w:rPr>
        <w:t>e</w:t>
      </w:r>
      <w:r>
        <w:rPr>
          <w:lang w:eastAsia="cs-CZ"/>
        </w:rPr>
        <w:t xml:space="preserve"> nezbytn</w:t>
      </w:r>
      <w:r w:rsidR="00DC2BB8">
        <w:rPr>
          <w:lang w:eastAsia="cs-CZ"/>
        </w:rPr>
        <w:t>é</w:t>
      </w:r>
      <w:r>
        <w:rPr>
          <w:lang w:eastAsia="cs-CZ"/>
        </w:rPr>
        <w:t xml:space="preserve"> pro monitoring a vyhodnocení přínosů činnosti </w:t>
      </w:r>
      <w:r w:rsidR="00E03249">
        <w:rPr>
          <w:lang w:eastAsia="cs-CZ"/>
        </w:rPr>
        <w:t>koordinátorů</w:t>
      </w:r>
      <w:r>
        <w:rPr>
          <w:lang w:eastAsia="cs-CZ"/>
        </w:rPr>
        <w:t xml:space="preserve"> a B</w:t>
      </w:r>
      <w:r w:rsidR="002F6285">
        <w:rPr>
          <w:lang w:eastAsia="cs-CZ"/>
        </w:rPr>
        <w:t>ESIP</w:t>
      </w:r>
      <w:r>
        <w:rPr>
          <w:lang w:eastAsia="cs-CZ"/>
        </w:rPr>
        <w:t xml:space="preserve"> Teamu </w:t>
      </w:r>
      <w:r w:rsidR="00DC2BB8">
        <w:rPr>
          <w:lang w:eastAsia="cs-CZ"/>
        </w:rPr>
        <w:t>z</w:t>
      </w:r>
      <w:r w:rsidR="00FA0382">
        <w:rPr>
          <w:lang w:eastAsia="cs-CZ"/>
        </w:rPr>
        <w:t> </w:t>
      </w:r>
      <w:r>
        <w:rPr>
          <w:lang w:eastAsia="cs-CZ"/>
        </w:rPr>
        <w:t>realizovan</w:t>
      </w:r>
      <w:r w:rsidR="00DC2BB8">
        <w:rPr>
          <w:lang w:eastAsia="cs-CZ"/>
        </w:rPr>
        <w:t>ých</w:t>
      </w:r>
      <w:r>
        <w:rPr>
          <w:lang w:eastAsia="cs-CZ"/>
        </w:rPr>
        <w:t xml:space="preserve"> PIA a</w:t>
      </w:r>
      <w:r w:rsidR="00FB1E15">
        <w:rPr>
          <w:lang w:eastAsia="cs-CZ"/>
        </w:rPr>
        <w:t> </w:t>
      </w:r>
      <w:r>
        <w:rPr>
          <w:lang w:eastAsia="cs-CZ"/>
        </w:rPr>
        <w:t>kampan</w:t>
      </w:r>
      <w:r w:rsidR="00DC2BB8">
        <w:rPr>
          <w:lang w:eastAsia="cs-CZ"/>
        </w:rPr>
        <w:t>í</w:t>
      </w:r>
      <w:r>
        <w:rPr>
          <w:lang w:eastAsia="cs-CZ"/>
        </w:rPr>
        <w:t xml:space="preserve">. CSPSD se </w:t>
      </w:r>
      <w:r w:rsidR="00DD389B">
        <w:rPr>
          <w:lang w:eastAsia="cs-CZ"/>
        </w:rPr>
        <w:t xml:space="preserve">tak </w:t>
      </w:r>
      <w:r>
        <w:rPr>
          <w:lang w:eastAsia="cs-CZ"/>
        </w:rPr>
        <w:t xml:space="preserve">ve </w:t>
      </w:r>
      <w:r w:rsidR="001A7293">
        <w:rPr>
          <w:lang w:eastAsia="cs-CZ"/>
        </w:rPr>
        <w:t xml:space="preserve">zprávách </w:t>
      </w:r>
      <w:r>
        <w:rPr>
          <w:lang w:eastAsia="cs-CZ"/>
        </w:rPr>
        <w:t>omezilo na statistické údaje o počtu akcí a jejich návštěvníků.</w:t>
      </w:r>
    </w:p>
    <w:p w14:paraId="725DCC2D" w14:textId="77777777" w:rsidR="003B528B" w:rsidRPr="00030FDF" w:rsidRDefault="00DD389B" w:rsidP="005E2807">
      <w:pPr>
        <w:pStyle w:val="JK4"/>
        <w:ind w:left="0" w:firstLine="0"/>
        <w:rPr>
          <w:bCs/>
          <w:kern w:val="24"/>
          <w:szCs w:val="24"/>
          <w:lang w:eastAsia="cs-CZ"/>
        </w:rPr>
      </w:pPr>
      <w:r>
        <w:rPr>
          <w:lang w:eastAsia="cs-CZ"/>
        </w:rPr>
        <w:t>Ve zprávách</w:t>
      </w:r>
      <w:r w:rsidR="003B528B">
        <w:rPr>
          <w:lang w:eastAsia="cs-CZ"/>
        </w:rPr>
        <w:t xml:space="preserve"> </w:t>
      </w:r>
      <w:r w:rsidR="0087731E">
        <w:t>poskytovatele</w:t>
      </w:r>
      <w:r w:rsidR="0087731E">
        <w:rPr>
          <w:lang w:eastAsia="cs-CZ"/>
        </w:rPr>
        <w:t xml:space="preserve"> </w:t>
      </w:r>
      <w:r w:rsidR="0004384F">
        <w:rPr>
          <w:lang w:eastAsia="cs-CZ"/>
        </w:rPr>
        <w:t>BESIP Teamu</w:t>
      </w:r>
      <w:r w:rsidR="003B528B" w:rsidRPr="000C6EF3">
        <w:rPr>
          <w:lang w:eastAsia="cs-CZ"/>
        </w:rPr>
        <w:t xml:space="preserve"> o realizovaných promoakcí</w:t>
      </w:r>
      <w:r w:rsidR="003B528B">
        <w:rPr>
          <w:lang w:eastAsia="cs-CZ"/>
        </w:rPr>
        <w:t>ch</w:t>
      </w:r>
      <w:r w:rsidR="003B528B" w:rsidRPr="000C6EF3">
        <w:rPr>
          <w:lang w:eastAsia="cs-CZ"/>
        </w:rPr>
        <w:t xml:space="preserve"> </w:t>
      </w:r>
      <w:r>
        <w:rPr>
          <w:rFonts w:eastAsia="Calibri"/>
          <w:lang w:eastAsia="cs-CZ"/>
        </w:rPr>
        <w:t>nemohl</w:t>
      </w:r>
      <w:r w:rsidR="003B528B" w:rsidRPr="000C6EF3">
        <w:rPr>
          <w:rFonts w:eastAsia="Calibri"/>
          <w:lang w:eastAsia="cs-CZ"/>
        </w:rPr>
        <w:t xml:space="preserve"> </w:t>
      </w:r>
      <w:r w:rsidR="007741BA">
        <w:rPr>
          <w:rFonts w:eastAsia="Calibri"/>
          <w:lang w:eastAsia="cs-CZ"/>
        </w:rPr>
        <w:t xml:space="preserve">NKÚ </w:t>
      </w:r>
      <w:r w:rsidR="003B528B">
        <w:rPr>
          <w:rFonts w:eastAsia="Calibri"/>
          <w:lang w:eastAsia="cs-CZ"/>
        </w:rPr>
        <w:t>identifikovat a</w:t>
      </w:r>
      <w:r w:rsidR="005641FA">
        <w:rPr>
          <w:rFonts w:eastAsia="Calibri"/>
          <w:lang w:eastAsia="cs-CZ"/>
        </w:rPr>
        <w:t xml:space="preserve"> </w:t>
      </w:r>
      <w:r w:rsidR="003B528B">
        <w:rPr>
          <w:rFonts w:eastAsia="Calibri"/>
          <w:lang w:eastAsia="cs-CZ"/>
        </w:rPr>
        <w:t>vyhodnotit</w:t>
      </w:r>
      <w:r w:rsidR="003B528B" w:rsidRPr="000C6EF3">
        <w:rPr>
          <w:rFonts w:eastAsia="Calibri"/>
          <w:lang w:eastAsia="cs-CZ"/>
        </w:rPr>
        <w:t xml:space="preserve"> </w:t>
      </w:r>
      <w:r>
        <w:rPr>
          <w:rFonts w:eastAsia="Calibri"/>
          <w:lang w:eastAsia="cs-CZ"/>
        </w:rPr>
        <w:t xml:space="preserve">informace o </w:t>
      </w:r>
      <w:r w:rsidR="003B528B" w:rsidRPr="000C6EF3">
        <w:rPr>
          <w:bCs/>
          <w:kern w:val="24"/>
          <w:lang w:eastAsia="cs-CZ"/>
        </w:rPr>
        <w:t>přínos</w:t>
      </w:r>
      <w:r w:rsidR="00972F8F">
        <w:rPr>
          <w:bCs/>
          <w:kern w:val="24"/>
          <w:lang w:eastAsia="cs-CZ"/>
        </w:rPr>
        <w:t>u</w:t>
      </w:r>
      <w:r w:rsidR="003B528B" w:rsidRPr="000C6EF3">
        <w:rPr>
          <w:bCs/>
          <w:kern w:val="24"/>
          <w:lang w:eastAsia="cs-CZ"/>
        </w:rPr>
        <w:t xml:space="preserve"> </w:t>
      </w:r>
      <w:r w:rsidR="005641FA">
        <w:rPr>
          <w:bCs/>
          <w:kern w:val="24"/>
          <w:lang w:eastAsia="cs-CZ"/>
        </w:rPr>
        <w:t xml:space="preserve">promoakcí </w:t>
      </w:r>
      <w:r w:rsidR="003B528B">
        <w:rPr>
          <w:bCs/>
          <w:kern w:val="24"/>
          <w:lang w:eastAsia="cs-CZ"/>
        </w:rPr>
        <w:t>pro</w:t>
      </w:r>
      <w:r w:rsidR="005641FA">
        <w:rPr>
          <w:bCs/>
          <w:kern w:val="24"/>
          <w:lang w:eastAsia="cs-CZ"/>
        </w:rPr>
        <w:t xml:space="preserve"> </w:t>
      </w:r>
      <w:r w:rsidR="003B528B" w:rsidRPr="000C6EF3">
        <w:rPr>
          <w:bCs/>
          <w:kern w:val="24"/>
          <w:lang w:eastAsia="cs-CZ"/>
        </w:rPr>
        <w:t>konkrétní PIA nebo kampa</w:t>
      </w:r>
      <w:r w:rsidR="003B528B">
        <w:rPr>
          <w:bCs/>
          <w:kern w:val="24"/>
          <w:lang w:eastAsia="cs-CZ"/>
        </w:rPr>
        <w:t>ň</w:t>
      </w:r>
      <w:r w:rsidR="003B528B" w:rsidRPr="000C6EF3">
        <w:rPr>
          <w:bCs/>
          <w:kern w:val="24"/>
          <w:lang w:eastAsia="cs-CZ"/>
        </w:rPr>
        <w:t xml:space="preserve">. </w:t>
      </w:r>
      <w:r w:rsidR="00972F8F">
        <w:rPr>
          <w:szCs w:val="24"/>
          <w:lang w:eastAsia="cs-CZ"/>
        </w:rPr>
        <w:t>Obsah zpráv</w:t>
      </w:r>
      <w:r w:rsidR="003B528B" w:rsidRPr="000C6EF3">
        <w:rPr>
          <w:szCs w:val="24"/>
          <w:lang w:eastAsia="cs-CZ"/>
        </w:rPr>
        <w:t xml:space="preserve"> byl ve</w:t>
      </w:r>
      <w:r w:rsidR="005641FA">
        <w:rPr>
          <w:szCs w:val="24"/>
          <w:lang w:eastAsia="cs-CZ"/>
        </w:rPr>
        <w:t xml:space="preserve"> </w:t>
      </w:r>
      <w:r w:rsidR="003B528B" w:rsidRPr="000C6EF3">
        <w:rPr>
          <w:szCs w:val="24"/>
          <w:lang w:eastAsia="cs-CZ"/>
        </w:rPr>
        <w:t xml:space="preserve">většině případů </w:t>
      </w:r>
      <w:r w:rsidR="003B528B">
        <w:rPr>
          <w:szCs w:val="24"/>
          <w:lang w:eastAsia="cs-CZ"/>
        </w:rPr>
        <w:t xml:space="preserve">zcela </w:t>
      </w:r>
      <w:r w:rsidR="003B528B" w:rsidRPr="000C6EF3">
        <w:rPr>
          <w:szCs w:val="24"/>
          <w:lang w:eastAsia="cs-CZ"/>
        </w:rPr>
        <w:t>obecn</w:t>
      </w:r>
      <w:r w:rsidR="00972F8F">
        <w:rPr>
          <w:szCs w:val="24"/>
          <w:lang w:eastAsia="cs-CZ"/>
        </w:rPr>
        <w:t>ý</w:t>
      </w:r>
      <w:r w:rsidR="003B528B" w:rsidRPr="000C6EF3">
        <w:rPr>
          <w:szCs w:val="24"/>
          <w:lang w:eastAsia="cs-CZ"/>
        </w:rPr>
        <w:t xml:space="preserve"> a nevypovídal nic o </w:t>
      </w:r>
      <w:r w:rsidR="00C7078A">
        <w:rPr>
          <w:bCs/>
          <w:kern w:val="24"/>
          <w:szCs w:val="24"/>
          <w:lang w:eastAsia="cs-CZ"/>
        </w:rPr>
        <w:t>účinnosti</w:t>
      </w:r>
      <w:r w:rsidR="00C7078A" w:rsidRPr="000C6EF3">
        <w:rPr>
          <w:bCs/>
          <w:kern w:val="24"/>
          <w:szCs w:val="24"/>
          <w:lang w:eastAsia="cs-CZ"/>
        </w:rPr>
        <w:t xml:space="preserve"> </w:t>
      </w:r>
      <w:r w:rsidR="003B528B" w:rsidRPr="000C6EF3">
        <w:rPr>
          <w:bCs/>
          <w:kern w:val="24"/>
          <w:szCs w:val="24"/>
          <w:lang w:eastAsia="cs-CZ"/>
        </w:rPr>
        <w:t>oslovování a</w:t>
      </w:r>
      <w:r w:rsidR="005641FA">
        <w:rPr>
          <w:bCs/>
          <w:kern w:val="24"/>
          <w:szCs w:val="24"/>
          <w:lang w:eastAsia="cs-CZ"/>
        </w:rPr>
        <w:t> </w:t>
      </w:r>
      <w:r w:rsidR="003B528B" w:rsidRPr="000C6EF3">
        <w:rPr>
          <w:bCs/>
          <w:kern w:val="24"/>
          <w:szCs w:val="24"/>
          <w:lang w:eastAsia="cs-CZ"/>
        </w:rPr>
        <w:t>edukaci návštěvníků akcí</w:t>
      </w:r>
      <w:r w:rsidR="00A72FBF">
        <w:rPr>
          <w:bCs/>
          <w:kern w:val="24"/>
          <w:szCs w:val="24"/>
          <w:lang w:eastAsia="cs-CZ"/>
        </w:rPr>
        <w:t xml:space="preserve"> o problematice BESIP</w:t>
      </w:r>
      <w:r w:rsidR="00972F8F">
        <w:rPr>
          <w:bCs/>
          <w:kern w:val="24"/>
          <w:szCs w:val="24"/>
          <w:lang w:eastAsia="cs-CZ"/>
        </w:rPr>
        <w:t xml:space="preserve">, jak </w:t>
      </w:r>
      <w:r w:rsidR="00972F8F" w:rsidRPr="00030FDF">
        <w:rPr>
          <w:bCs/>
          <w:kern w:val="24"/>
          <w:szCs w:val="24"/>
          <w:lang w:eastAsia="cs-CZ"/>
        </w:rPr>
        <w:t>uvádí</w:t>
      </w:r>
      <w:r w:rsidR="003B528B" w:rsidRPr="00030FDF">
        <w:rPr>
          <w:szCs w:val="24"/>
          <w:lang w:eastAsia="cs-CZ"/>
        </w:rPr>
        <w:t xml:space="preserve"> </w:t>
      </w:r>
      <w:r w:rsidR="003B528B" w:rsidRPr="00030FDF">
        <w:rPr>
          <w:bCs/>
          <w:kern w:val="24"/>
          <w:szCs w:val="24"/>
          <w:lang w:eastAsia="cs-CZ"/>
        </w:rPr>
        <w:t xml:space="preserve">příklad č. 2. </w:t>
      </w:r>
    </w:p>
    <w:p w14:paraId="1DD76F94" w14:textId="3CE9C32B" w:rsidR="003B528B" w:rsidRPr="00331362" w:rsidRDefault="001524C4" w:rsidP="00D50201">
      <w:pPr>
        <w:rPr>
          <w:rFonts w:cstheme="minorHAnsi"/>
          <w:b/>
          <w:bCs/>
          <w:i/>
          <w:iCs/>
          <w:color w:val="2E74B5" w:themeColor="accent1" w:themeShade="BF"/>
          <w:sz w:val="24"/>
          <w:szCs w:val="24"/>
        </w:rPr>
      </w:pPr>
      <w:r>
        <w:rPr>
          <w:rFonts w:cstheme="minorHAnsi"/>
          <w:b/>
          <w:bCs/>
          <w:i/>
          <w:iCs/>
          <w:color w:val="2E74B5" w:themeColor="accent1" w:themeShade="BF"/>
          <w:sz w:val="24"/>
          <w:szCs w:val="24"/>
        </w:rPr>
        <w:br w:type="page"/>
      </w:r>
      <w:r w:rsidR="003B528B" w:rsidRPr="00331362">
        <w:rPr>
          <w:rFonts w:cstheme="minorHAnsi"/>
          <w:b/>
          <w:bCs/>
          <w:color w:val="2E74B5" w:themeColor="accent1" w:themeShade="BF"/>
          <w:sz w:val="24"/>
          <w:szCs w:val="24"/>
        </w:rPr>
        <w:lastRenderedPageBreak/>
        <w:t xml:space="preserve">Příklad č. </w:t>
      </w:r>
      <w:r w:rsidR="003B528B">
        <w:rPr>
          <w:rFonts w:cstheme="minorHAnsi"/>
          <w:b/>
          <w:bCs/>
          <w:color w:val="2E74B5" w:themeColor="accent1" w:themeShade="BF"/>
          <w:sz w:val="24"/>
          <w:szCs w:val="24"/>
        </w:rPr>
        <w:t>2</w:t>
      </w:r>
    </w:p>
    <w:p w14:paraId="6CE0336A" w14:textId="77777777" w:rsidR="003B528B" w:rsidRPr="00A424E2" w:rsidRDefault="003B528B" w:rsidP="000C1E90">
      <w:pPr>
        <w:pStyle w:val="Pkladyvrmeku"/>
        <w:rPr>
          <w:rFonts w:ascii="Calibri" w:eastAsia="Calibri" w:hAnsi="Calibri" w:cs="Calibri"/>
        </w:rPr>
      </w:pPr>
      <w:r w:rsidRPr="00A424E2">
        <w:t>Údaje o akci „</w:t>
      </w:r>
      <w:r w:rsidRPr="00A424E2">
        <w:rPr>
          <w:rFonts w:ascii="Calibri" w:eastAsia="Calibri" w:hAnsi="Calibri"/>
        </w:rPr>
        <w:t>Truck Fest Mikulovice“</w:t>
      </w:r>
      <w:r w:rsidRPr="00A424E2">
        <w:rPr>
          <w:rFonts w:ascii="Calibri" w:eastAsia="Calibri" w:hAnsi="Calibri" w:cs="Calibri"/>
        </w:rPr>
        <w:t xml:space="preserve"> konané dne 9. 7. 2022 uvedené ve zprávě:</w:t>
      </w:r>
    </w:p>
    <w:p w14:paraId="7021619E" w14:textId="77831DD9" w:rsidR="003B528B" w:rsidRPr="001658E2" w:rsidRDefault="003B528B" w:rsidP="000C1E90">
      <w:pPr>
        <w:pStyle w:val="Pkladyvrmeku"/>
        <w:rPr>
          <w:rFonts w:ascii="Calibri" w:eastAsia="Calibri" w:hAnsi="Calibri" w:cs="Calibri"/>
        </w:rPr>
      </w:pPr>
      <w:r w:rsidRPr="00BE1572">
        <w:t xml:space="preserve">„Akce se účastnilo velké množství profesionálních řidičů s nákladními automobily </w:t>
      </w:r>
      <w:r w:rsidRPr="000C1E90">
        <w:t>převážně kategorie N3. Návštěvníci Truck Festu se mohli seznámit s</w:t>
      </w:r>
      <w:r w:rsidR="0070721B">
        <w:t xml:space="preserve"> </w:t>
      </w:r>
      <w:r w:rsidRPr="000C1E90">
        <w:t xml:space="preserve">životem řidiče mezinárodní kamionové dopravy. K vidění byla vozidla zásahové techniky a tuningové prvky pro nákladní vozidla. V rámci IZS jsme byli největším stánkem s největším dosahem pro osvětu účastníků. </w:t>
      </w:r>
      <w:r w:rsidRPr="00DC2BB8">
        <w:rPr>
          <w:rFonts w:ascii="Calibri" w:eastAsia="Calibri" w:hAnsi="Calibri"/>
        </w:rPr>
        <w:t>Enormní zájem byl o reflexní předměty, zejména o reflexní samolepky a pásky.</w:t>
      </w:r>
      <w:r w:rsidRPr="001658E2">
        <w:rPr>
          <w:rFonts w:ascii="Calibri" w:eastAsia="Calibri" w:hAnsi="Calibri"/>
          <w:i w:val="0"/>
        </w:rPr>
        <w:t>“</w:t>
      </w:r>
    </w:p>
    <w:p w14:paraId="4BAACAD5" w14:textId="7FC49BA5" w:rsidR="0046269A" w:rsidRPr="00030FDF" w:rsidRDefault="003B528B" w:rsidP="005E2807">
      <w:pPr>
        <w:pStyle w:val="JK4"/>
        <w:ind w:left="0" w:firstLine="0"/>
        <w:rPr>
          <w:lang w:eastAsia="cs-CZ"/>
        </w:rPr>
      </w:pPr>
      <w:r w:rsidRPr="004C30E9">
        <w:t>NKÚ</w:t>
      </w:r>
      <w:r>
        <w:rPr>
          <w:rFonts w:eastAsia="Calibri" w:cstheme="minorHAnsi"/>
        </w:rPr>
        <w:t xml:space="preserve"> </w:t>
      </w:r>
      <w:r w:rsidR="00972F8F">
        <w:rPr>
          <w:rFonts w:eastAsia="Calibri" w:cstheme="minorHAnsi"/>
        </w:rPr>
        <w:t xml:space="preserve">zároveň </w:t>
      </w:r>
      <w:r>
        <w:rPr>
          <w:rFonts w:eastAsia="Calibri" w:cstheme="minorHAnsi"/>
        </w:rPr>
        <w:t>nepovažuje ú</w:t>
      </w:r>
      <w:r w:rsidR="00A23975" w:rsidRPr="00331362">
        <w:rPr>
          <w:rFonts w:eastAsia="Calibri" w:cstheme="minorHAnsi"/>
        </w:rPr>
        <w:t>daje</w:t>
      </w:r>
      <w:r w:rsidR="00A23975" w:rsidRPr="00331362">
        <w:rPr>
          <w:lang w:eastAsia="cs-CZ"/>
        </w:rPr>
        <w:t xml:space="preserve"> o počtech návštěvníků</w:t>
      </w:r>
      <w:r w:rsidR="0074605A">
        <w:rPr>
          <w:lang w:eastAsia="cs-CZ"/>
        </w:rPr>
        <w:t xml:space="preserve"> akcí</w:t>
      </w:r>
      <w:r w:rsidR="00A23975" w:rsidRPr="00331362">
        <w:rPr>
          <w:lang w:eastAsia="cs-CZ"/>
        </w:rPr>
        <w:t xml:space="preserve"> </w:t>
      </w:r>
      <w:r w:rsidR="003376A3">
        <w:rPr>
          <w:lang w:eastAsia="cs-CZ"/>
        </w:rPr>
        <w:t>či</w:t>
      </w:r>
      <w:r w:rsidR="00A23975" w:rsidRPr="00331362">
        <w:rPr>
          <w:lang w:eastAsia="cs-CZ"/>
        </w:rPr>
        <w:t xml:space="preserve"> oslovených osob </w:t>
      </w:r>
      <w:r w:rsidR="00E12601">
        <w:rPr>
          <w:lang w:eastAsia="cs-CZ"/>
        </w:rPr>
        <w:t>za</w:t>
      </w:r>
      <w:r w:rsidR="000B35E9">
        <w:rPr>
          <w:lang w:eastAsia="cs-CZ"/>
        </w:rPr>
        <w:t xml:space="preserve"> </w:t>
      </w:r>
      <w:r>
        <w:rPr>
          <w:lang w:eastAsia="cs-CZ"/>
        </w:rPr>
        <w:t>vhodné</w:t>
      </w:r>
      <w:r w:rsidR="000C6EF3">
        <w:rPr>
          <w:lang w:eastAsia="cs-CZ"/>
        </w:rPr>
        <w:t xml:space="preserve"> </w:t>
      </w:r>
      <w:r w:rsidR="00A23975" w:rsidRPr="00331362">
        <w:rPr>
          <w:lang w:eastAsia="cs-CZ"/>
        </w:rPr>
        <w:t>ukazatele</w:t>
      </w:r>
      <w:r w:rsidR="000C6EF3">
        <w:rPr>
          <w:lang w:eastAsia="cs-CZ"/>
        </w:rPr>
        <w:t xml:space="preserve"> </w:t>
      </w:r>
      <w:r w:rsidR="00A23975" w:rsidRPr="00331362">
        <w:rPr>
          <w:lang w:eastAsia="cs-CZ"/>
        </w:rPr>
        <w:t>pro hodnocení přínosu</w:t>
      </w:r>
      <w:r>
        <w:rPr>
          <w:lang w:eastAsia="cs-CZ"/>
        </w:rPr>
        <w:t xml:space="preserve">, protože nevypovídají nic o </w:t>
      </w:r>
      <w:r w:rsidR="00592790">
        <w:rPr>
          <w:lang w:eastAsia="cs-CZ"/>
        </w:rPr>
        <w:t>naplnění poslání edukace účastníků a potenciálního přínosu pro</w:t>
      </w:r>
      <w:r>
        <w:rPr>
          <w:lang w:eastAsia="cs-CZ"/>
        </w:rPr>
        <w:t xml:space="preserve"> relevantní cílovou skupinu. </w:t>
      </w:r>
    </w:p>
    <w:p w14:paraId="72341E86" w14:textId="77777777" w:rsidR="0054474D" w:rsidRPr="002F362F" w:rsidRDefault="00A72FBF" w:rsidP="005E2807">
      <w:pPr>
        <w:pStyle w:val="JK4"/>
        <w:ind w:left="0" w:firstLine="0"/>
      </w:pPr>
      <w:r>
        <w:t xml:space="preserve">Na základě takto nedostatečných informací pak </w:t>
      </w:r>
      <w:r w:rsidR="003E44F4" w:rsidRPr="001658E2">
        <w:t>MD nemohlo účinně monitorovat a</w:t>
      </w:r>
      <w:r w:rsidR="000F2357">
        <w:t> </w:t>
      </w:r>
      <w:r w:rsidR="003E44F4" w:rsidRPr="001658E2">
        <w:t xml:space="preserve">vyhodnocovat účelnost vynakládaných výdajů na realizaci některých </w:t>
      </w:r>
      <w:r w:rsidR="001658E2" w:rsidRPr="001658E2">
        <w:t xml:space="preserve">PIA a </w:t>
      </w:r>
      <w:r w:rsidR="003E44F4" w:rsidRPr="001658E2">
        <w:t xml:space="preserve">kampaní podle ustanovení § 39 odst. 3 zákona č. 218/2000 Sb. </w:t>
      </w:r>
      <w:r w:rsidR="00CB080B">
        <w:t>Monitoring MD se omezil pouze na sledování plnění jím uzavřených smluvních vztahů.</w:t>
      </w:r>
      <w:r w:rsidR="002B2B70">
        <w:t xml:space="preserve"> </w:t>
      </w:r>
      <w:r w:rsidR="004327D5">
        <w:t xml:space="preserve">MD nevyžadovalo od CSPSD významné informace nezbytné k vyhodnocení účelnosti peněžních prostředků </w:t>
      </w:r>
      <w:r w:rsidR="00C7078A">
        <w:t xml:space="preserve">vynaložených </w:t>
      </w:r>
      <w:r w:rsidR="004327D5">
        <w:t xml:space="preserve">na tyto aktivity. </w:t>
      </w:r>
      <w:r w:rsidR="002F362F">
        <w:t>CSPSD k jednotlivým PIA reportoval</w:t>
      </w:r>
      <w:r w:rsidR="006C3C49">
        <w:t>o</w:t>
      </w:r>
      <w:r w:rsidR="002F362F">
        <w:t xml:space="preserve"> </w:t>
      </w:r>
      <w:r w:rsidR="005641FA" w:rsidRPr="005D2CEC">
        <w:t>Ministerstv</w:t>
      </w:r>
      <w:r w:rsidR="005641FA">
        <w:t>u</w:t>
      </w:r>
      <w:r w:rsidR="005641FA" w:rsidRPr="005D2CEC">
        <w:t xml:space="preserve"> </w:t>
      </w:r>
      <w:r w:rsidR="005641FA">
        <w:t xml:space="preserve">dopravy </w:t>
      </w:r>
      <w:r w:rsidR="002F362F">
        <w:t>pouze stati</w:t>
      </w:r>
      <w:r w:rsidR="002B2B70">
        <w:t>sti</w:t>
      </w:r>
      <w:r w:rsidR="002F362F">
        <w:t>cká data o počtech realizovaných akcí a</w:t>
      </w:r>
      <w:r w:rsidR="005641FA">
        <w:t xml:space="preserve"> </w:t>
      </w:r>
      <w:r w:rsidR="002F362F">
        <w:t>jejich účastníků. Stejně tak</w:t>
      </w:r>
      <w:r w:rsidR="0054474D">
        <w:t xml:space="preserve"> CSPSD </w:t>
      </w:r>
      <w:r w:rsidR="0054474D" w:rsidRPr="002B2B70">
        <w:rPr>
          <w:rFonts w:eastAsia="Calibri"/>
        </w:rPr>
        <w:t xml:space="preserve">neposkytlo </w:t>
      </w:r>
      <w:r w:rsidR="005641FA" w:rsidRPr="005D2CEC">
        <w:t>Ministerstv</w:t>
      </w:r>
      <w:r w:rsidR="005641FA">
        <w:t>u</w:t>
      </w:r>
      <w:r w:rsidR="005641FA" w:rsidRPr="005D2CEC">
        <w:t xml:space="preserve"> </w:t>
      </w:r>
      <w:r w:rsidR="005641FA">
        <w:t>dopravy</w:t>
      </w:r>
      <w:r w:rsidR="0054474D" w:rsidRPr="002B2B70">
        <w:rPr>
          <w:rFonts w:eastAsia="Calibri"/>
        </w:rPr>
        <w:t xml:space="preserve"> žádné vyhodnocení realizovaných činností v rámci kampaní </w:t>
      </w:r>
      <w:r w:rsidR="0054474D" w:rsidRPr="002B2B70">
        <w:rPr>
          <w:rFonts w:eastAsiaTheme="minorEastAsia"/>
          <w:color w:val="000000" w:themeColor="text1"/>
          <w:kern w:val="24"/>
        </w:rPr>
        <w:t>„</w:t>
      </w:r>
      <w:r w:rsidR="0054474D" w:rsidRPr="002C7C06">
        <w:rPr>
          <w:rFonts w:eastAsiaTheme="minorEastAsia"/>
          <w:i/>
          <w:color w:val="000000" w:themeColor="text1"/>
          <w:kern w:val="24"/>
        </w:rPr>
        <w:t>Vidíme se? II</w:t>
      </w:r>
      <w:r w:rsidR="0054474D" w:rsidRPr="002B2B70">
        <w:rPr>
          <w:rFonts w:eastAsiaTheme="minorEastAsia"/>
          <w:color w:val="000000" w:themeColor="text1"/>
          <w:kern w:val="24"/>
        </w:rPr>
        <w:t>“ a</w:t>
      </w:r>
      <w:r w:rsidR="00FA0382">
        <w:rPr>
          <w:rFonts w:eastAsiaTheme="minorEastAsia"/>
          <w:color w:val="000000" w:themeColor="text1"/>
          <w:kern w:val="24"/>
        </w:rPr>
        <w:t> </w:t>
      </w:r>
      <w:r w:rsidR="0054474D" w:rsidRPr="002B2B70">
        <w:rPr>
          <w:rFonts w:eastAsiaTheme="minorEastAsia"/>
          <w:color w:val="000000" w:themeColor="text1"/>
          <w:kern w:val="24"/>
        </w:rPr>
        <w:t>„</w:t>
      </w:r>
      <w:r w:rsidR="0054474D" w:rsidRPr="002C7C06">
        <w:rPr>
          <w:rFonts w:eastAsiaTheme="minorEastAsia"/>
          <w:i/>
          <w:color w:val="000000" w:themeColor="text1"/>
          <w:kern w:val="24"/>
        </w:rPr>
        <w:t>Limit</w:t>
      </w:r>
      <w:r w:rsidR="0054474D" w:rsidRPr="002B2B70">
        <w:rPr>
          <w:rFonts w:eastAsiaTheme="minorEastAsia"/>
          <w:color w:val="000000" w:themeColor="text1"/>
          <w:kern w:val="24"/>
        </w:rPr>
        <w:t>“</w:t>
      </w:r>
      <w:r w:rsidR="002F362F" w:rsidRPr="002B2B70">
        <w:rPr>
          <w:rFonts w:eastAsiaTheme="minorEastAsia"/>
          <w:color w:val="000000" w:themeColor="text1"/>
          <w:kern w:val="24"/>
        </w:rPr>
        <w:t xml:space="preserve">. </w:t>
      </w:r>
    </w:p>
    <w:p w14:paraId="5483F004" w14:textId="77777777" w:rsidR="0054474D" w:rsidRPr="002F362F" w:rsidRDefault="002F362F" w:rsidP="005E2807">
      <w:pPr>
        <w:pStyle w:val="JK4"/>
        <w:ind w:left="0" w:firstLine="0"/>
      </w:pPr>
      <w:r w:rsidRPr="002F362F">
        <w:t xml:space="preserve">NKÚ vyhodnotil </w:t>
      </w:r>
      <w:r w:rsidR="0054474D" w:rsidRPr="002F362F">
        <w:t>dosažení stanoven</w:t>
      </w:r>
      <w:r w:rsidR="00971B0D">
        <w:t>ý</w:t>
      </w:r>
      <w:r w:rsidR="0054474D" w:rsidRPr="002F362F">
        <w:t xml:space="preserve">ch cílů </w:t>
      </w:r>
      <w:r w:rsidRPr="002F362F">
        <w:t>u</w:t>
      </w:r>
      <w:r w:rsidR="0054474D" w:rsidRPr="002F362F">
        <w:t xml:space="preserve"> vzorku </w:t>
      </w:r>
      <w:r w:rsidR="005641FA">
        <w:t>čtyř</w:t>
      </w:r>
      <w:r w:rsidR="0054474D" w:rsidRPr="002F362F">
        <w:t xml:space="preserve"> kampaní. </w:t>
      </w:r>
      <w:r w:rsidR="00243569" w:rsidRPr="002F362F">
        <w:t>Pouze v</w:t>
      </w:r>
      <w:r w:rsidR="0054474D" w:rsidRPr="002F362F">
        <w:t xml:space="preserve"> případě kampaně „</w:t>
      </w:r>
      <w:r w:rsidR="0054474D" w:rsidRPr="002C7C06">
        <w:rPr>
          <w:i/>
        </w:rPr>
        <w:t>Vidíme se</w:t>
      </w:r>
      <w:r w:rsidR="005641FA" w:rsidRPr="002C7C06">
        <w:rPr>
          <w:i/>
        </w:rPr>
        <w:t>?</w:t>
      </w:r>
      <w:r w:rsidR="0054474D" w:rsidRPr="002C7C06">
        <w:rPr>
          <w:i/>
        </w:rPr>
        <w:t xml:space="preserve"> II</w:t>
      </w:r>
      <w:r w:rsidR="0054474D" w:rsidRPr="002F362F">
        <w:t xml:space="preserve">“ NKÚ </w:t>
      </w:r>
      <w:r w:rsidRPr="002F362F">
        <w:t>konstatoval</w:t>
      </w:r>
      <w:r w:rsidR="0054474D" w:rsidRPr="002F362F">
        <w:t xml:space="preserve">, že kampaň dosáhla </w:t>
      </w:r>
      <w:r w:rsidR="008C604F" w:rsidRPr="002F362F">
        <w:t>stanoven</w:t>
      </w:r>
      <w:r w:rsidR="008C604F">
        <w:t>ého</w:t>
      </w:r>
      <w:r w:rsidR="008C604F" w:rsidRPr="002F362F">
        <w:t xml:space="preserve"> </w:t>
      </w:r>
      <w:r w:rsidR="0054474D" w:rsidRPr="002F362F">
        <w:t>cíl</w:t>
      </w:r>
      <w:r w:rsidR="008C604F">
        <w:t xml:space="preserve">e, jak </w:t>
      </w:r>
      <w:r w:rsidR="008C604F" w:rsidRPr="00030FDF">
        <w:t xml:space="preserve">dokládá příklad č. </w:t>
      </w:r>
      <w:r w:rsidR="001C6AFE">
        <w:t>3</w:t>
      </w:r>
      <w:r w:rsidR="00592790" w:rsidRPr="00030FDF">
        <w:t>. V případě kampaní „</w:t>
      </w:r>
      <w:r w:rsidR="00592790" w:rsidRPr="002C7C06">
        <w:rPr>
          <w:i/>
        </w:rPr>
        <w:t>13 minut</w:t>
      </w:r>
      <w:r w:rsidR="00592790" w:rsidRPr="00030FDF">
        <w:t>“ a „</w:t>
      </w:r>
      <w:r w:rsidR="00592790" w:rsidRPr="002C7C06">
        <w:rPr>
          <w:i/>
        </w:rPr>
        <w:t>Limit</w:t>
      </w:r>
      <w:r w:rsidR="00592790" w:rsidRPr="00030FDF">
        <w:t xml:space="preserve">“, stejně jako </w:t>
      </w:r>
      <w:r w:rsidR="005641FA">
        <w:t>u</w:t>
      </w:r>
      <w:r w:rsidR="00592790" w:rsidRPr="00030FDF">
        <w:t xml:space="preserve"> celé</w:t>
      </w:r>
      <w:r w:rsidR="005641FA">
        <w:t>ho</w:t>
      </w:r>
      <w:r w:rsidR="00592790" w:rsidRPr="00030FDF">
        <w:t xml:space="preserve"> vzorku PIA, nemohl</w:t>
      </w:r>
      <w:r w:rsidR="00592790">
        <w:t xml:space="preserve"> NKÚ vyhodnotit dosažení stanovených cílů s </w:t>
      </w:r>
      <w:r w:rsidR="00592790" w:rsidRPr="00B4601E">
        <w:t>ohledem na absenci jednoznačný</w:t>
      </w:r>
      <w:r w:rsidR="00592790" w:rsidRPr="00015547">
        <w:t xml:space="preserve">ch </w:t>
      </w:r>
      <w:r w:rsidR="00592790">
        <w:t>hodnot</w:t>
      </w:r>
      <w:r w:rsidR="005641FA">
        <w:t>i</w:t>
      </w:r>
      <w:r w:rsidR="00592790">
        <w:t xml:space="preserve">cích </w:t>
      </w:r>
      <w:r w:rsidR="00592790" w:rsidRPr="00015547">
        <w:t xml:space="preserve">kritérií. </w:t>
      </w:r>
      <w:r w:rsidR="00592790">
        <w:t>Účelnost k</w:t>
      </w:r>
      <w:r w:rsidR="00592790" w:rsidRPr="00015547">
        <w:t>ampa</w:t>
      </w:r>
      <w:r w:rsidR="00592790">
        <w:t>ně</w:t>
      </w:r>
      <w:r w:rsidR="00592790" w:rsidRPr="00015547">
        <w:t xml:space="preserve"> „</w:t>
      </w:r>
      <w:r w:rsidR="00592790" w:rsidRPr="002C7C06">
        <w:rPr>
          <w:i/>
        </w:rPr>
        <w:t>Dám respekt</w:t>
      </w:r>
      <w:r w:rsidR="00592790" w:rsidRPr="00015547">
        <w:t xml:space="preserve">“ NKÚ nehodnotil </w:t>
      </w:r>
      <w:r w:rsidR="00592790">
        <w:t>z důvodu</w:t>
      </w:r>
      <w:r w:rsidR="00592790" w:rsidRPr="00015547">
        <w:t xml:space="preserve"> probíhající realizac</w:t>
      </w:r>
      <w:r w:rsidR="00592790">
        <w:t>e</w:t>
      </w:r>
      <w:r w:rsidR="0054474D" w:rsidRPr="002F362F">
        <w:t xml:space="preserve">. </w:t>
      </w:r>
    </w:p>
    <w:p w14:paraId="649BB4AC" w14:textId="77777777" w:rsidR="00586A85" w:rsidRPr="00331362" w:rsidRDefault="00586A85" w:rsidP="00586A85">
      <w:pPr>
        <w:pStyle w:val="Titulek"/>
        <w:keepNext/>
        <w:spacing w:after="0"/>
        <w:rPr>
          <w:rFonts w:cstheme="minorHAnsi"/>
          <w:b/>
          <w:bCs/>
          <w:i w:val="0"/>
          <w:iCs w:val="0"/>
          <w:color w:val="2E74B5" w:themeColor="accent1" w:themeShade="BF"/>
          <w:sz w:val="24"/>
          <w:szCs w:val="24"/>
        </w:rPr>
      </w:pPr>
      <w:r w:rsidRPr="00331362">
        <w:rPr>
          <w:rFonts w:cstheme="minorHAnsi"/>
          <w:b/>
          <w:bCs/>
          <w:i w:val="0"/>
          <w:iCs w:val="0"/>
          <w:color w:val="2E74B5" w:themeColor="accent1" w:themeShade="BF"/>
          <w:sz w:val="24"/>
          <w:szCs w:val="24"/>
        </w:rPr>
        <w:t xml:space="preserve">Příklad č. </w:t>
      </w:r>
      <w:r w:rsidR="001C6AFE">
        <w:rPr>
          <w:rFonts w:cstheme="minorHAnsi"/>
          <w:b/>
          <w:bCs/>
          <w:i w:val="0"/>
          <w:iCs w:val="0"/>
          <w:color w:val="2E74B5" w:themeColor="accent1" w:themeShade="BF"/>
          <w:sz w:val="24"/>
          <w:szCs w:val="24"/>
        </w:rPr>
        <w:t>3</w:t>
      </w:r>
    </w:p>
    <w:p w14:paraId="446F27EA" w14:textId="77777777" w:rsidR="002C0197" w:rsidRPr="00A82887" w:rsidRDefault="002C0197" w:rsidP="002C0197">
      <w:pPr>
        <w:pStyle w:val="Pkladyvrmeku"/>
        <w:rPr>
          <w:iCs/>
        </w:rPr>
      </w:pPr>
      <w:r w:rsidRPr="002C0197">
        <w:rPr>
          <w:iCs/>
        </w:rPr>
        <w:t>Cílem kampaně „Vidíme se</w:t>
      </w:r>
      <w:r w:rsidR="005641FA">
        <w:rPr>
          <w:iCs/>
        </w:rPr>
        <w:t>?</w:t>
      </w:r>
      <w:r w:rsidRPr="002C0197">
        <w:rPr>
          <w:iCs/>
        </w:rPr>
        <w:t xml:space="preserve"> II“ bylo mj. snížit počet usmrcených a těžce zraněných chodců při dopravních nehodách s vozidly v podmínkách zhoršené viditelnosti o 50 % do roku 2020 oproti výchozímu stavu roku 2013. NKÚ na základě statistiky nehodovosti PČR ověřil, že MD stanoveného cíle dosáhlo, </w:t>
      </w:r>
      <w:r w:rsidR="005641FA">
        <w:rPr>
          <w:iCs/>
        </w:rPr>
        <w:t>neboť</w:t>
      </w:r>
      <w:r w:rsidRPr="002C0197">
        <w:rPr>
          <w:iCs/>
        </w:rPr>
        <w:t xml:space="preserve"> počet usmrcených a těžce zraněných chodců klesl za dané období o 62,9 %. V roce 2013 bylo za zhoršené viditelnosti usmrceno 27 chodců, v roce 2020 pak 10 chodců.</w:t>
      </w:r>
    </w:p>
    <w:p w14:paraId="775B1864" w14:textId="77777777" w:rsidR="00AA088E" w:rsidRDefault="00FE191F" w:rsidP="001063BF">
      <w:pPr>
        <w:pStyle w:val="Mluvcnadpis"/>
      </w:pPr>
      <w:r w:rsidRPr="00156F9B">
        <w:t>→</w:t>
      </w:r>
      <w:r w:rsidRPr="00156F9B">
        <w:tab/>
      </w:r>
      <w:r w:rsidR="002658DF">
        <w:t>C</w:t>
      </w:r>
      <w:r w:rsidRPr="00156F9B">
        <w:t>ena za</w:t>
      </w:r>
      <w:r w:rsidR="005641FA">
        <w:t xml:space="preserve"> </w:t>
      </w:r>
      <w:r w:rsidRPr="00156F9B">
        <w:t xml:space="preserve">oslovení jednoho účastníka akce </w:t>
      </w:r>
      <w:r w:rsidR="002658DF">
        <w:t>v</w:t>
      </w:r>
      <w:r w:rsidR="005641FA">
        <w:t xml:space="preserve"> </w:t>
      </w:r>
      <w:r w:rsidR="002658DF">
        <w:t xml:space="preserve">rámci jedné kampaně </w:t>
      </w:r>
      <w:r w:rsidR="00592790">
        <w:t xml:space="preserve">dosáhla částky </w:t>
      </w:r>
      <w:r w:rsidR="00B05A09">
        <w:t xml:space="preserve">až </w:t>
      </w:r>
      <w:r w:rsidRPr="00156F9B">
        <w:t>1 923</w:t>
      </w:r>
      <w:r w:rsidR="005641FA">
        <w:t> </w:t>
      </w:r>
      <w:r w:rsidRPr="00156F9B">
        <w:t>Kč</w:t>
      </w:r>
      <w:r w:rsidR="002658DF">
        <w:t>, forma komunikace s účastníky některých promoakcí ne</w:t>
      </w:r>
      <w:r w:rsidR="00A55370">
        <w:t>byla vhodně nastavena</w:t>
      </w:r>
      <w:r w:rsidRPr="00156F9B">
        <w:t>.</w:t>
      </w:r>
    </w:p>
    <w:p w14:paraId="7CC3B31A" w14:textId="77777777" w:rsidR="00AA088E" w:rsidRPr="007E6EF5" w:rsidRDefault="00AA088E" w:rsidP="005E2807">
      <w:pPr>
        <w:pStyle w:val="JK4"/>
        <w:ind w:left="0" w:firstLine="0"/>
        <w:rPr>
          <w:rFonts w:eastAsia="Calibri"/>
        </w:rPr>
      </w:pPr>
      <w:r>
        <w:t>CSPSD se podílelo na podpoře kampaně „</w:t>
      </w:r>
      <w:r w:rsidRPr="002C7C06">
        <w:rPr>
          <w:bCs/>
          <w:i/>
        </w:rPr>
        <w:t>13 minut</w:t>
      </w:r>
      <w:r>
        <w:rPr>
          <w:bCs/>
        </w:rPr>
        <w:t>“</w:t>
      </w:r>
      <w:r>
        <w:t xml:space="preserve"> mj. zajištěním </w:t>
      </w:r>
      <w:r>
        <w:rPr>
          <w:bCs/>
        </w:rPr>
        <w:t>16 edukativních akcí pro veřejnost. Za každou akci uhradilo 230 </w:t>
      </w:r>
      <w:r w:rsidRPr="007E6EF5">
        <w:rPr>
          <w:bCs/>
        </w:rPr>
        <w:t>747 Kč vč. DPH</w:t>
      </w:r>
      <w:r w:rsidR="00A07041">
        <w:rPr>
          <w:bCs/>
        </w:rPr>
        <w:t>.</w:t>
      </w:r>
      <w:r w:rsidRPr="007E6EF5">
        <w:rPr>
          <w:rStyle w:val="Znakapoznpodarou"/>
          <w:rFonts w:ascii="Calibri" w:eastAsia="Calibri" w:hAnsi="Calibri" w:cs="Calibri"/>
        </w:rPr>
        <w:footnoteReference w:id="42"/>
      </w:r>
      <w:r w:rsidRPr="007E6EF5">
        <w:rPr>
          <w:rFonts w:ascii="Calibri" w:eastAsia="Calibri" w:hAnsi="Calibri"/>
        </w:rPr>
        <w:t xml:space="preserve"> </w:t>
      </w:r>
      <w:r w:rsidRPr="007E6EF5">
        <w:t xml:space="preserve">V rámci </w:t>
      </w:r>
      <w:r w:rsidR="00761510" w:rsidRPr="007E6EF5">
        <w:t>těchto</w:t>
      </w:r>
      <w:r w:rsidRPr="007E6EF5">
        <w:t xml:space="preserve"> akcí bylo </w:t>
      </w:r>
      <w:r w:rsidRPr="007E6EF5">
        <w:rPr>
          <w:bCs/>
        </w:rPr>
        <w:t>osloveno 7 500 dospělých osob</w:t>
      </w:r>
      <w:r w:rsidRPr="007E6EF5">
        <w:rPr>
          <w:rFonts w:eastAsia="Calibri"/>
        </w:rPr>
        <w:t xml:space="preserve"> a 300 dětí. Počet oslovených osob </w:t>
      </w:r>
      <w:r w:rsidR="00DE3E9C" w:rsidRPr="007E6EF5">
        <w:rPr>
          <w:rFonts w:eastAsia="Calibri"/>
        </w:rPr>
        <w:t xml:space="preserve">se </w:t>
      </w:r>
      <w:r w:rsidR="00761510" w:rsidRPr="007E6EF5">
        <w:rPr>
          <w:rFonts w:eastAsia="Calibri"/>
        </w:rPr>
        <w:t xml:space="preserve">u </w:t>
      </w:r>
      <w:r w:rsidR="00761510" w:rsidRPr="005A7813">
        <w:rPr>
          <w:rFonts w:eastAsia="Calibri"/>
        </w:rPr>
        <w:t xml:space="preserve">prověřovaných </w:t>
      </w:r>
      <w:r w:rsidR="00CC223D" w:rsidRPr="005A7813">
        <w:rPr>
          <w:rFonts w:eastAsia="Calibri"/>
        </w:rPr>
        <w:t xml:space="preserve">sedmi </w:t>
      </w:r>
      <w:r w:rsidR="00DE3E9C" w:rsidRPr="005A7813">
        <w:rPr>
          <w:rFonts w:eastAsia="Calibri"/>
        </w:rPr>
        <w:t>akcí</w:t>
      </w:r>
      <w:r w:rsidR="00DE3E9C" w:rsidRPr="007E6EF5">
        <w:rPr>
          <w:rFonts w:eastAsia="Calibri"/>
        </w:rPr>
        <w:t xml:space="preserve"> </w:t>
      </w:r>
      <w:r w:rsidRPr="007E6EF5">
        <w:rPr>
          <w:rFonts w:eastAsia="Calibri"/>
        </w:rPr>
        <w:t>pohyboval od 120 do 1 000 osob. V důsledku fixní úhrady za akci se výdaje</w:t>
      </w:r>
      <w:r w:rsidRPr="007E6EF5">
        <w:t xml:space="preserve"> na oslovení </w:t>
      </w:r>
      <w:r w:rsidRPr="007E6EF5">
        <w:rPr>
          <w:rFonts w:eastAsia="Calibri"/>
        </w:rPr>
        <w:t>jednoho účastníka pohybovaly v rozmezí od 230,75 Kč vč. DPH do 1 922,89 Kč vč. DPH.</w:t>
      </w:r>
    </w:p>
    <w:p w14:paraId="7ABAF988" w14:textId="77777777" w:rsidR="003E5667" w:rsidRDefault="00AA088E" w:rsidP="005E2807">
      <w:pPr>
        <w:pStyle w:val="JK4"/>
        <w:ind w:left="0" w:firstLine="0"/>
      </w:pPr>
      <w:r w:rsidRPr="007E6EF5">
        <w:t>Součástí kampaně „</w:t>
      </w:r>
      <w:r w:rsidRPr="002C7C06">
        <w:rPr>
          <w:i/>
        </w:rPr>
        <w:t>13 minut</w:t>
      </w:r>
      <w:r w:rsidRPr="007E6EF5">
        <w:t xml:space="preserve">“ byly </w:t>
      </w:r>
      <w:r w:rsidR="0073775A">
        <w:t>také</w:t>
      </w:r>
      <w:r w:rsidRPr="007E6EF5">
        <w:t xml:space="preserve"> televizní a rozhlasové spoty, které ze svého rozpočtu hradilo MD. Z</w:t>
      </w:r>
      <w:r w:rsidR="005641FA">
        <w:t xml:space="preserve"> </w:t>
      </w:r>
      <w:r w:rsidRPr="007E6EF5">
        <w:t xml:space="preserve">vyhodnocení kampaně provedeného Českou asociací pojišťoven vyplývá, že televizní část kampaně </w:t>
      </w:r>
      <w:r w:rsidR="005641FA" w:rsidRPr="007E6EF5">
        <w:t xml:space="preserve">zasáhla </w:t>
      </w:r>
      <w:r w:rsidRPr="007E6EF5">
        <w:t xml:space="preserve">více než jedenkrát </w:t>
      </w:r>
      <w:r w:rsidR="005641FA">
        <w:t>přibližně</w:t>
      </w:r>
      <w:r w:rsidRPr="007E6EF5">
        <w:t xml:space="preserve"> 6,5 mil. diváků. MD za </w:t>
      </w:r>
      <w:r w:rsidRPr="007E6EF5">
        <w:lastRenderedPageBreak/>
        <w:t>vysílací čas uhradilo 21 779 27</w:t>
      </w:r>
      <w:r w:rsidR="000B4A86" w:rsidRPr="007E6EF5">
        <w:t>4</w:t>
      </w:r>
      <w:r w:rsidRPr="007E6EF5">
        <w:t xml:space="preserve"> Kč vč. DPH. </w:t>
      </w:r>
      <w:r w:rsidR="00654958">
        <w:rPr>
          <w:bCs/>
        </w:rPr>
        <w:t>I když údaj o zásahu televizních diváků nemůže být nikdy zcela přesný, je zřejmé, že tento způsob oslovení byl velmi účinný.</w:t>
      </w:r>
    </w:p>
    <w:p w14:paraId="7203D7CE" w14:textId="77777777" w:rsidR="00D0378A" w:rsidRPr="003E5667" w:rsidRDefault="000D0CEF" w:rsidP="005E2807">
      <w:pPr>
        <w:pStyle w:val="JK4"/>
        <w:ind w:left="0" w:firstLine="0"/>
        <w:rPr>
          <w:rFonts w:eastAsia="Calibri" w:cstheme="minorHAnsi"/>
        </w:rPr>
      </w:pPr>
      <w:r w:rsidRPr="003E5667">
        <w:t>NKÚ</w:t>
      </w:r>
      <w:r w:rsidRPr="003E5667">
        <w:rPr>
          <w:lang w:eastAsia="cs-CZ"/>
        </w:rPr>
        <w:t xml:space="preserve"> dále zjistil, že MD a CSPSD ne</w:t>
      </w:r>
      <w:r w:rsidR="00110F9A">
        <w:rPr>
          <w:lang w:eastAsia="cs-CZ"/>
        </w:rPr>
        <w:t xml:space="preserve">vhodně </w:t>
      </w:r>
      <w:r w:rsidRPr="003E5667">
        <w:rPr>
          <w:lang w:eastAsia="cs-CZ"/>
        </w:rPr>
        <w:t>nastavily formu komunikace s</w:t>
      </w:r>
      <w:r w:rsidR="00570AC6">
        <w:rPr>
          <w:lang w:eastAsia="cs-CZ"/>
        </w:rPr>
        <w:t xml:space="preserve"> </w:t>
      </w:r>
      <w:r w:rsidRPr="003E5667">
        <w:rPr>
          <w:lang w:eastAsia="cs-CZ"/>
        </w:rPr>
        <w:t xml:space="preserve">účastníky některých akcí. </w:t>
      </w:r>
      <w:r w:rsidR="00EF24AD" w:rsidRPr="00973D98">
        <w:rPr>
          <w:lang w:eastAsia="cs-CZ"/>
        </w:rPr>
        <w:t>Z</w:t>
      </w:r>
      <w:r w:rsidR="00D0378A" w:rsidRPr="00973D98">
        <w:rPr>
          <w:lang w:eastAsia="cs-CZ"/>
        </w:rPr>
        <w:t xml:space="preserve"> některých zpráv</w:t>
      </w:r>
      <w:r w:rsidR="00EF24AD" w:rsidRPr="00973D98">
        <w:rPr>
          <w:lang w:eastAsia="cs-CZ"/>
        </w:rPr>
        <w:t xml:space="preserve"> </w:t>
      </w:r>
      <w:r w:rsidR="00716CC6" w:rsidRPr="00973D98">
        <w:rPr>
          <w:lang w:eastAsia="cs-CZ"/>
        </w:rPr>
        <w:t xml:space="preserve">poskytovatele </w:t>
      </w:r>
      <w:r w:rsidR="003F54C2" w:rsidRPr="00973D98">
        <w:rPr>
          <w:lang w:eastAsia="cs-CZ"/>
        </w:rPr>
        <w:t>BESIP Teamu</w:t>
      </w:r>
      <w:r w:rsidR="003F54C2" w:rsidRPr="003E5667">
        <w:rPr>
          <w:lang w:eastAsia="cs-CZ"/>
        </w:rPr>
        <w:t xml:space="preserve"> </w:t>
      </w:r>
      <w:r w:rsidR="00D0378A" w:rsidRPr="00030FDF">
        <w:rPr>
          <w:lang w:eastAsia="cs-CZ"/>
        </w:rPr>
        <w:t xml:space="preserve">vyplýval </w:t>
      </w:r>
      <w:r w:rsidR="00EF24AD" w:rsidRPr="00030FDF">
        <w:rPr>
          <w:lang w:eastAsia="cs-CZ"/>
        </w:rPr>
        <w:t>minimální</w:t>
      </w:r>
      <w:r w:rsidR="00D0378A" w:rsidRPr="00030FDF">
        <w:rPr>
          <w:lang w:eastAsia="cs-CZ"/>
        </w:rPr>
        <w:t xml:space="preserve"> </w:t>
      </w:r>
      <w:r w:rsidR="00D0378A" w:rsidRPr="00030FDF">
        <w:rPr>
          <w:rFonts w:eastAsia="Calibri"/>
        </w:rPr>
        <w:t>zájem účastníků o</w:t>
      </w:r>
      <w:r w:rsidR="00B91A80" w:rsidRPr="00030FDF">
        <w:rPr>
          <w:rFonts w:eastAsia="Calibri"/>
        </w:rPr>
        <w:t xml:space="preserve"> papírové</w:t>
      </w:r>
      <w:r w:rsidR="00D0378A" w:rsidRPr="00030FDF">
        <w:rPr>
          <w:rFonts w:eastAsia="Calibri"/>
        </w:rPr>
        <w:t xml:space="preserve"> letáky, které následně skončily v </w:t>
      </w:r>
      <w:r w:rsidR="00592790" w:rsidRPr="00030FDF">
        <w:rPr>
          <w:rFonts w:eastAsia="Calibri"/>
        </w:rPr>
        <w:t>odpadu</w:t>
      </w:r>
      <w:r w:rsidR="00D0378A" w:rsidRPr="00030FDF">
        <w:rPr>
          <w:rFonts w:eastAsia="Calibri"/>
        </w:rPr>
        <w:t xml:space="preserve">, což ilustruje příklad č. </w:t>
      </w:r>
      <w:r w:rsidR="001C6AFE">
        <w:rPr>
          <w:rFonts w:eastAsia="Calibri"/>
        </w:rPr>
        <w:t>4</w:t>
      </w:r>
      <w:r w:rsidR="00D0378A" w:rsidRPr="00030FDF">
        <w:rPr>
          <w:rFonts w:eastAsia="Calibri"/>
        </w:rPr>
        <w:t xml:space="preserve">. </w:t>
      </w:r>
      <w:r w:rsidR="00A55370">
        <w:rPr>
          <w:rFonts w:eastAsia="Calibri"/>
        </w:rPr>
        <w:t>N</w:t>
      </w:r>
      <w:r w:rsidRPr="00030FDF">
        <w:rPr>
          <w:rFonts w:eastAsia="Calibri"/>
        </w:rPr>
        <w:t>avzdory této zkušenosti</w:t>
      </w:r>
      <w:r w:rsidR="0082429A" w:rsidRPr="00030FDF">
        <w:rPr>
          <w:rFonts w:eastAsia="Calibri"/>
        </w:rPr>
        <w:t xml:space="preserve"> </w:t>
      </w:r>
      <w:r w:rsidR="0012088D" w:rsidRPr="00030FDF">
        <w:rPr>
          <w:rFonts w:eastAsia="Calibri"/>
        </w:rPr>
        <w:t xml:space="preserve">pořídilo </w:t>
      </w:r>
      <w:r w:rsidR="0082429A" w:rsidRPr="00030FDF">
        <w:rPr>
          <w:rFonts w:eastAsia="Calibri"/>
        </w:rPr>
        <w:t xml:space="preserve">CSPSD dle požadavku MD </w:t>
      </w:r>
      <w:r w:rsidRPr="00030FDF">
        <w:rPr>
          <w:rFonts w:eastAsia="Calibri"/>
        </w:rPr>
        <w:t xml:space="preserve">i </w:t>
      </w:r>
      <w:r w:rsidR="0082429A" w:rsidRPr="00030FDF">
        <w:rPr>
          <w:rFonts w:eastAsia="Calibri"/>
        </w:rPr>
        <w:t>pro</w:t>
      </w:r>
      <w:r w:rsidR="0012088D">
        <w:rPr>
          <w:rFonts w:eastAsia="Calibri"/>
        </w:rPr>
        <w:t xml:space="preserve"> </w:t>
      </w:r>
      <w:r w:rsidR="0082429A" w:rsidRPr="00030FDF">
        <w:rPr>
          <w:rFonts w:eastAsia="Calibri"/>
        </w:rPr>
        <w:t>závěrečnou část</w:t>
      </w:r>
      <w:r w:rsidR="0082429A" w:rsidRPr="003E5667">
        <w:rPr>
          <w:rFonts w:eastAsia="Calibri"/>
        </w:rPr>
        <w:t xml:space="preserve"> kampaně „</w:t>
      </w:r>
      <w:r w:rsidR="0082429A" w:rsidRPr="002C7C06">
        <w:rPr>
          <w:rFonts w:eastAsia="Calibri"/>
          <w:i/>
        </w:rPr>
        <w:t>Dám respekt</w:t>
      </w:r>
      <w:r w:rsidR="00DE3E9C" w:rsidRPr="003E5667">
        <w:rPr>
          <w:rFonts w:eastAsia="Calibri"/>
        </w:rPr>
        <w:t>“</w:t>
      </w:r>
      <w:r w:rsidR="0082429A" w:rsidRPr="003E5667">
        <w:rPr>
          <w:rFonts w:eastAsia="Calibri"/>
        </w:rPr>
        <w:t xml:space="preserve"> 68 tis. kusů letáků.</w:t>
      </w:r>
      <w:r w:rsidR="003E5667" w:rsidRPr="003E5667">
        <w:rPr>
          <w:rFonts w:eastAsia="Calibri"/>
        </w:rPr>
        <w:t xml:space="preserve"> </w:t>
      </w:r>
      <w:r w:rsidR="0082429A" w:rsidRPr="003E5667">
        <w:rPr>
          <w:rFonts w:eastAsia="Calibri"/>
        </w:rPr>
        <w:t>NKÚ je toho názoru, že</w:t>
      </w:r>
      <w:r w:rsidR="000B4A86" w:rsidRPr="003E5667">
        <w:rPr>
          <w:rFonts w:eastAsia="Calibri"/>
        </w:rPr>
        <w:t xml:space="preserve"> letáky jsou </w:t>
      </w:r>
      <w:r w:rsidR="0082429A" w:rsidRPr="003E5667">
        <w:rPr>
          <w:rFonts w:eastAsia="Calibri"/>
        </w:rPr>
        <w:t>nevhodn</w:t>
      </w:r>
      <w:r w:rsidR="000B4A86" w:rsidRPr="003E5667">
        <w:rPr>
          <w:rFonts w:eastAsia="Calibri"/>
        </w:rPr>
        <w:t>ou</w:t>
      </w:r>
      <w:r w:rsidR="0082429A" w:rsidRPr="003E5667">
        <w:rPr>
          <w:rFonts w:eastAsia="Calibri"/>
        </w:rPr>
        <w:t xml:space="preserve"> a zastaral</w:t>
      </w:r>
      <w:r w:rsidR="000B4A86" w:rsidRPr="003E5667">
        <w:rPr>
          <w:rFonts w:eastAsia="Calibri"/>
        </w:rPr>
        <w:t>ou</w:t>
      </w:r>
      <w:r w:rsidR="0082429A" w:rsidRPr="003E5667">
        <w:rPr>
          <w:rFonts w:eastAsia="Calibri"/>
        </w:rPr>
        <w:t xml:space="preserve"> form</w:t>
      </w:r>
      <w:r w:rsidR="000B4A86" w:rsidRPr="003E5667">
        <w:rPr>
          <w:rFonts w:eastAsia="Calibri"/>
        </w:rPr>
        <w:t>ou</w:t>
      </w:r>
      <w:r w:rsidR="0082429A" w:rsidRPr="003E5667">
        <w:rPr>
          <w:rFonts w:eastAsia="Calibri"/>
        </w:rPr>
        <w:t xml:space="preserve"> oslovení účastníků</w:t>
      </w:r>
      <w:r w:rsidR="000B4A86" w:rsidRPr="003E5667">
        <w:rPr>
          <w:rFonts w:eastAsia="Calibri"/>
        </w:rPr>
        <w:t>, která</w:t>
      </w:r>
      <w:r w:rsidR="0082429A" w:rsidRPr="003E5667">
        <w:rPr>
          <w:rFonts w:eastAsia="Calibri"/>
        </w:rPr>
        <w:t xml:space="preserve"> neprospívá účelnosti</w:t>
      </w:r>
      <w:r w:rsidR="00914B5A">
        <w:rPr>
          <w:rFonts w:eastAsia="Calibri"/>
        </w:rPr>
        <w:t xml:space="preserve"> vynaložených peněžních prostředků </w:t>
      </w:r>
      <w:r w:rsidR="009A3A30">
        <w:rPr>
          <w:rFonts w:eastAsia="Calibri"/>
        </w:rPr>
        <w:t>na tuto</w:t>
      </w:r>
      <w:r w:rsidR="0082429A" w:rsidRPr="003E5667">
        <w:rPr>
          <w:rFonts w:eastAsia="Calibri"/>
        </w:rPr>
        <w:t xml:space="preserve"> </w:t>
      </w:r>
      <w:r w:rsidR="009A3A30" w:rsidRPr="003E5667">
        <w:rPr>
          <w:rFonts w:eastAsia="Calibri"/>
        </w:rPr>
        <w:t>kampa</w:t>
      </w:r>
      <w:r w:rsidR="009A3A30">
        <w:rPr>
          <w:rFonts w:eastAsia="Calibri"/>
        </w:rPr>
        <w:t>ň</w:t>
      </w:r>
      <w:r w:rsidR="0073775A">
        <w:rPr>
          <w:rFonts w:eastAsia="Calibri"/>
        </w:rPr>
        <w:t>, oproti</w:t>
      </w:r>
      <w:r w:rsidR="00EF24AD" w:rsidRPr="003E5667">
        <w:rPr>
          <w:rFonts w:eastAsia="Calibri"/>
        </w:rPr>
        <w:t xml:space="preserve"> využití</w:t>
      </w:r>
      <w:r w:rsidR="0082429A" w:rsidRPr="003E5667">
        <w:rPr>
          <w:rFonts w:eastAsia="Calibri"/>
        </w:rPr>
        <w:t xml:space="preserve"> nov</w:t>
      </w:r>
      <w:r w:rsidR="00EF24AD" w:rsidRPr="003E5667">
        <w:rPr>
          <w:rFonts w:eastAsia="Calibri"/>
        </w:rPr>
        <w:t>ých</w:t>
      </w:r>
      <w:r w:rsidR="0082429A" w:rsidRPr="003E5667">
        <w:rPr>
          <w:rFonts w:eastAsia="Calibri"/>
        </w:rPr>
        <w:t>, moderní</w:t>
      </w:r>
      <w:r w:rsidR="00EF24AD" w:rsidRPr="003E5667">
        <w:rPr>
          <w:rFonts w:eastAsia="Calibri"/>
        </w:rPr>
        <w:t>ch</w:t>
      </w:r>
      <w:r w:rsidR="0082429A" w:rsidRPr="003E5667">
        <w:rPr>
          <w:rFonts w:eastAsia="Calibri"/>
        </w:rPr>
        <w:t xml:space="preserve"> komunikační</w:t>
      </w:r>
      <w:r w:rsidR="00EF24AD" w:rsidRPr="003E5667">
        <w:rPr>
          <w:rFonts w:eastAsia="Calibri"/>
        </w:rPr>
        <w:t>ch</w:t>
      </w:r>
      <w:r w:rsidR="0082429A" w:rsidRPr="003E5667">
        <w:rPr>
          <w:rFonts w:eastAsia="Calibri"/>
        </w:rPr>
        <w:t xml:space="preserve"> kanál</w:t>
      </w:r>
      <w:r w:rsidR="00EF24AD" w:rsidRPr="003E5667">
        <w:rPr>
          <w:rFonts w:eastAsia="Calibri"/>
        </w:rPr>
        <w:t>ů</w:t>
      </w:r>
      <w:r w:rsidR="0082429A" w:rsidRPr="003E5667">
        <w:rPr>
          <w:rFonts w:eastAsia="Calibri"/>
        </w:rPr>
        <w:t>, které budou mít</w:t>
      </w:r>
      <w:r w:rsidR="0073775A">
        <w:rPr>
          <w:rFonts w:eastAsia="Calibri"/>
        </w:rPr>
        <w:t xml:space="preserve"> také</w:t>
      </w:r>
      <w:r w:rsidR="00EF24AD" w:rsidRPr="003E5667">
        <w:rPr>
          <w:rFonts w:eastAsia="Calibri"/>
        </w:rPr>
        <w:t xml:space="preserve"> </w:t>
      </w:r>
      <w:r w:rsidR="0082429A" w:rsidRPr="003E5667">
        <w:rPr>
          <w:rFonts w:eastAsia="Calibri"/>
        </w:rPr>
        <w:t xml:space="preserve">dopad na významně větší cílovou skupinu. </w:t>
      </w:r>
    </w:p>
    <w:p w14:paraId="187AEE5A" w14:textId="77777777" w:rsidR="00D0378A" w:rsidRPr="007E6EF5" w:rsidRDefault="00D0378A" w:rsidP="00E03332">
      <w:pPr>
        <w:pStyle w:val="Titulek"/>
        <w:keepNext/>
        <w:spacing w:after="0"/>
        <w:rPr>
          <w:rFonts w:cstheme="minorHAnsi"/>
          <w:b/>
          <w:bCs/>
          <w:i w:val="0"/>
          <w:iCs w:val="0"/>
          <w:color w:val="2E74B5" w:themeColor="accent1" w:themeShade="BF"/>
          <w:sz w:val="24"/>
          <w:szCs w:val="24"/>
        </w:rPr>
      </w:pPr>
      <w:r w:rsidRPr="007E6EF5">
        <w:rPr>
          <w:rFonts w:cstheme="minorHAnsi"/>
          <w:b/>
          <w:bCs/>
          <w:i w:val="0"/>
          <w:iCs w:val="0"/>
          <w:color w:val="2E74B5" w:themeColor="accent1" w:themeShade="BF"/>
          <w:sz w:val="24"/>
          <w:szCs w:val="24"/>
        </w:rPr>
        <w:t xml:space="preserve">Příklad č. </w:t>
      </w:r>
      <w:r w:rsidR="001C6AFE">
        <w:rPr>
          <w:rFonts w:cstheme="minorHAnsi"/>
          <w:b/>
          <w:bCs/>
          <w:i w:val="0"/>
          <w:iCs w:val="0"/>
          <w:color w:val="2E74B5" w:themeColor="accent1" w:themeShade="BF"/>
          <w:sz w:val="24"/>
          <w:szCs w:val="24"/>
        </w:rPr>
        <w:t>4</w:t>
      </w:r>
    </w:p>
    <w:p w14:paraId="3F16B78E" w14:textId="77777777" w:rsidR="00D0378A" w:rsidRPr="00A424E2" w:rsidRDefault="00D0378A" w:rsidP="000C1E90">
      <w:pPr>
        <w:pStyle w:val="Pkladyvrmeku"/>
        <w:rPr>
          <w:rFonts w:ascii="Calibri" w:eastAsia="Calibri" w:hAnsi="Calibri"/>
        </w:rPr>
      </w:pPr>
      <w:r w:rsidRPr="00A424E2">
        <w:t xml:space="preserve">Údaje o akci „Dny NATO“ konané ve dnech 17. a 18. 9. </w:t>
      </w:r>
      <w:r w:rsidRPr="00A424E2">
        <w:rPr>
          <w:rFonts w:ascii="Calibri" w:eastAsia="Calibri" w:hAnsi="Calibri"/>
        </w:rPr>
        <w:t>2022 uvedené ve zprávě</w:t>
      </w:r>
      <w:r w:rsidR="00973D98">
        <w:rPr>
          <w:rFonts w:ascii="Calibri" w:eastAsia="Calibri" w:hAnsi="Calibri"/>
        </w:rPr>
        <w:t xml:space="preserve"> poskytovatele BESIP Teamu</w:t>
      </w:r>
      <w:r w:rsidRPr="00A424E2">
        <w:rPr>
          <w:rFonts w:ascii="Calibri" w:eastAsia="Calibri" w:hAnsi="Calibri"/>
        </w:rPr>
        <w:t>:</w:t>
      </w:r>
    </w:p>
    <w:p w14:paraId="658C99A7" w14:textId="1E59674F" w:rsidR="00D0378A" w:rsidRPr="005D54B5" w:rsidRDefault="00D0378A" w:rsidP="000C1E90">
      <w:pPr>
        <w:pStyle w:val="Pkladyvrmeku"/>
        <w:rPr>
          <w:rFonts w:ascii="Calibri" w:eastAsia="Calibri" w:hAnsi="Calibri"/>
        </w:rPr>
      </w:pPr>
      <w:r w:rsidRPr="00BE1572">
        <w:t>„</w:t>
      </w:r>
      <w:r w:rsidR="00E03332" w:rsidRPr="00BE1572">
        <w:rPr>
          <w:rFonts w:ascii="Calibri" w:eastAsia="Calibri" w:hAnsi="Calibri"/>
        </w:rPr>
        <w:t>...</w:t>
      </w:r>
      <w:r w:rsidR="00DC15BD">
        <w:rPr>
          <w:rFonts w:ascii="Calibri" w:eastAsia="Calibri" w:hAnsi="Calibri"/>
        </w:rPr>
        <w:t xml:space="preserve"> </w:t>
      </w:r>
      <w:r w:rsidRPr="00293704">
        <w:rPr>
          <w:rFonts w:ascii="Calibri" w:eastAsia="Calibri" w:hAnsi="Calibri"/>
        </w:rPr>
        <w:t>Na</w:t>
      </w:r>
      <w:r w:rsidRPr="005D54B5">
        <w:rPr>
          <w:rFonts w:ascii="Calibri" w:eastAsia="Calibri" w:hAnsi="Calibri"/>
        </w:rPr>
        <w:t xml:space="preserve"> akci jsme se pokusili návštěvníkům dávat i přes jejich odpor společně s odměnou letáky. Naneštěstí naše snaha nepadla na úrodnou půdu a naprosto drtivá většina letáků skončila v kontejneru vedle stánku BESIP. Nejeden z návštěvníků se podivil nad tím, že </w:t>
      </w:r>
      <w:r w:rsidR="00FD14B8">
        <w:rPr>
          <w:rFonts w:ascii="Calibri" w:eastAsia="Calibri" w:hAnsi="Calibri"/>
        </w:rPr>
        <w:br/>
      </w:r>
      <w:r w:rsidRPr="005D54B5">
        <w:rPr>
          <w:rFonts w:ascii="Calibri" w:eastAsia="Calibri" w:hAnsi="Calibri"/>
        </w:rPr>
        <w:t>v 21. - digitálním století BESIP tiskne neskutečné množství papírových letáků a brožur. Dostávali jsme mnoho dotazů, co na to příroda? Jestli je BESIP zelený nebo je nám planeta ukradená a</w:t>
      </w:r>
      <w:r w:rsidR="005D54B5">
        <w:rPr>
          <w:rFonts w:ascii="Calibri" w:eastAsia="Calibri" w:hAnsi="Calibri"/>
        </w:rPr>
        <w:t> </w:t>
      </w:r>
      <w:r w:rsidRPr="005D54B5">
        <w:rPr>
          <w:rFonts w:ascii="Calibri" w:eastAsia="Calibri" w:hAnsi="Calibri"/>
        </w:rPr>
        <w:t>dokonce někteří z návštěvníků zašli tak daleko, že se přišli rozrušeně zeptat, jak je možné, že kontejner vedle je plný našich letáků a jestli to není zbytečné mrhání penězi daňových poplatníků.“</w:t>
      </w:r>
    </w:p>
    <w:p w14:paraId="5DEF780E" w14:textId="77777777" w:rsidR="003E44F4" w:rsidRPr="007E6EF5" w:rsidRDefault="00211D17" w:rsidP="005E2807">
      <w:pPr>
        <w:pStyle w:val="JK4"/>
        <w:ind w:left="0" w:firstLine="0"/>
      </w:pPr>
      <w:r w:rsidRPr="007E6EF5">
        <w:t xml:space="preserve">NKÚ </w:t>
      </w:r>
      <w:r w:rsidR="006B0D1D">
        <w:t>shrnuje</w:t>
      </w:r>
      <w:r w:rsidRPr="007E6EF5">
        <w:t>, že</w:t>
      </w:r>
      <w:r w:rsidR="000D0CEF">
        <w:t xml:space="preserve"> </w:t>
      </w:r>
      <w:r w:rsidRPr="007E6EF5">
        <w:t>realizace</w:t>
      </w:r>
      <w:r w:rsidR="006B0D1D">
        <w:t xml:space="preserve"> PIA a kampaní přispívá</w:t>
      </w:r>
      <w:r w:rsidR="003E44F4" w:rsidRPr="007E6EF5">
        <w:t xml:space="preserve"> ke </w:t>
      </w:r>
      <w:r w:rsidR="004E5428">
        <w:t>zvýšení</w:t>
      </w:r>
      <w:r w:rsidR="003E44F4" w:rsidRPr="007E6EF5">
        <w:t xml:space="preserve"> bezpečnosti na</w:t>
      </w:r>
      <w:r w:rsidR="00DC15BD">
        <w:t xml:space="preserve"> </w:t>
      </w:r>
      <w:r w:rsidR="003E44F4" w:rsidRPr="007E6EF5">
        <w:t xml:space="preserve">silnicích. </w:t>
      </w:r>
      <w:r w:rsidR="000D0CEF">
        <w:t xml:space="preserve">NKÚ však upozorňuje na výše uvedené nedostatky zjištěné kontrolou, především </w:t>
      </w:r>
      <w:r w:rsidR="0012088D">
        <w:t>na</w:t>
      </w:r>
      <w:r w:rsidR="00DC15BD">
        <w:t xml:space="preserve"> </w:t>
      </w:r>
      <w:r w:rsidR="00BE504E">
        <w:t xml:space="preserve">nedostatečný </w:t>
      </w:r>
      <w:r w:rsidR="000D0CEF">
        <w:t>monitoring průběhu jednotlivých aktivit a hodnocení jejich výsledků v</w:t>
      </w:r>
      <w:r w:rsidR="00C81577">
        <w:t> </w:t>
      </w:r>
      <w:r w:rsidR="000D0CEF">
        <w:t>zájmu jejich lepšího zacílení ke zvýšení přínosů pro oblast BESIP</w:t>
      </w:r>
      <w:r w:rsidR="00DC15BD">
        <w:t>,</w:t>
      </w:r>
      <w:r w:rsidR="000D0CEF">
        <w:t xml:space="preserve"> a tedy účelnějšího vyna</w:t>
      </w:r>
      <w:r w:rsidR="006B0D1D">
        <w:t>kládá</w:t>
      </w:r>
      <w:r w:rsidR="000D0CEF">
        <w:t>ní peněžních prostředků.</w:t>
      </w:r>
      <w:r w:rsidR="006B0D1D">
        <w:t xml:space="preserve"> </w:t>
      </w:r>
    </w:p>
    <w:p w14:paraId="46DD8980" w14:textId="77777777" w:rsidR="00CF77D4" w:rsidRPr="007E6EF5" w:rsidRDefault="0054474D" w:rsidP="00156F9B">
      <w:pPr>
        <w:pStyle w:val="Mluvcnadpis"/>
      </w:pPr>
      <w:r w:rsidRPr="007E6EF5">
        <w:t>→</w:t>
      </w:r>
      <w:r w:rsidRPr="007E6EF5">
        <w:tab/>
      </w:r>
      <w:r w:rsidR="00CF77D4" w:rsidRPr="007E6EF5">
        <w:t>Postup CSPSD při nákupu služeb využitelných v rámci promoakcí nebyl hospodárný</w:t>
      </w:r>
      <w:r w:rsidR="00156F9B" w:rsidRPr="007E6EF5">
        <w:t>.</w:t>
      </w:r>
      <w:r w:rsidR="00CF77D4" w:rsidRPr="007E6EF5">
        <w:t xml:space="preserve"> </w:t>
      </w:r>
    </w:p>
    <w:p w14:paraId="3BF0DA3A" w14:textId="77777777" w:rsidR="00493B4F" w:rsidRPr="00030FDF" w:rsidRDefault="00493B4F" w:rsidP="005E2807">
      <w:pPr>
        <w:pStyle w:val="JK4"/>
        <w:ind w:left="0" w:firstLine="0"/>
      </w:pPr>
      <w:r w:rsidRPr="00305FA8">
        <w:t>V</w:t>
      </w:r>
      <w:r w:rsidR="0012088D">
        <w:t xml:space="preserve"> </w:t>
      </w:r>
      <w:r w:rsidRPr="00305FA8">
        <w:t>souvislosti s</w:t>
      </w:r>
      <w:r w:rsidR="0012088D">
        <w:t xml:space="preserve"> </w:t>
      </w:r>
      <w:r w:rsidR="00B56184">
        <w:t>hospodárností</w:t>
      </w:r>
      <w:r w:rsidR="00E6540D">
        <w:t xml:space="preserve"> peněžních prostředků vynaložených na kampaně </w:t>
      </w:r>
      <w:r w:rsidRPr="00305FA8">
        <w:t>a PIA</w:t>
      </w:r>
      <w:r w:rsidR="00E6540D">
        <w:t xml:space="preserve"> zahrnuté do kontrolního vzorku</w:t>
      </w:r>
      <w:r w:rsidR="000E75FF">
        <w:t xml:space="preserve"> (</w:t>
      </w:r>
      <w:r w:rsidR="000E75FF" w:rsidRPr="00030FDF">
        <w:t>viz odst. 3.6)</w:t>
      </w:r>
      <w:r w:rsidRPr="00030FDF">
        <w:t xml:space="preserve"> prověřil NKÚ u CSPSD</w:t>
      </w:r>
      <w:r w:rsidR="0012088D" w:rsidRPr="0012088D">
        <w:t xml:space="preserve"> </w:t>
      </w:r>
      <w:r w:rsidR="0012088D" w:rsidRPr="00030FDF">
        <w:t xml:space="preserve">tři </w:t>
      </w:r>
      <w:r w:rsidR="0012088D">
        <w:t>zadávací</w:t>
      </w:r>
      <w:r w:rsidR="0012088D" w:rsidRPr="00030FDF">
        <w:t xml:space="preserve"> řízení</w:t>
      </w:r>
      <w:r w:rsidR="000E75FF" w:rsidRPr="00030FDF">
        <w:t xml:space="preserve"> </w:t>
      </w:r>
      <w:r w:rsidR="0012088D">
        <w:t>(</w:t>
      </w:r>
      <w:r w:rsidR="000E75FF" w:rsidRPr="00030FDF">
        <w:t>s ohledem na jejich finanční výz</w:t>
      </w:r>
      <w:r w:rsidR="00110F9A" w:rsidRPr="00030FDF">
        <w:t>nam</w:t>
      </w:r>
      <w:r w:rsidR="000E75FF" w:rsidRPr="00030FDF">
        <w:t>nost</w:t>
      </w:r>
      <w:r w:rsidR="0012088D">
        <w:t>)</w:t>
      </w:r>
      <w:r w:rsidRPr="00030FDF">
        <w:t>, jejichž předmětem bylo zajištění tiskových služeb pro kampaň „</w:t>
      </w:r>
      <w:r w:rsidRPr="002C7C06">
        <w:rPr>
          <w:i/>
        </w:rPr>
        <w:t>Dám respekt</w:t>
      </w:r>
      <w:r w:rsidRPr="00030FDF">
        <w:t>“, roadshow pro</w:t>
      </w:r>
      <w:r w:rsidR="0012088D">
        <w:t xml:space="preserve"> </w:t>
      </w:r>
      <w:r w:rsidRPr="00030FDF">
        <w:t>kampaň „</w:t>
      </w:r>
      <w:r w:rsidRPr="002C7C06">
        <w:rPr>
          <w:i/>
        </w:rPr>
        <w:t>13 minut</w:t>
      </w:r>
      <w:r w:rsidRPr="00030FDF">
        <w:t xml:space="preserve">“ a zajištění služeb BESIP Teamu formou promoakcí. NKÚ zejména prověřil, zda jednotlivá </w:t>
      </w:r>
      <w:r w:rsidR="00B05A09">
        <w:t>zadávací</w:t>
      </w:r>
      <w:r w:rsidR="00B05A09" w:rsidRPr="00030FDF">
        <w:t xml:space="preserve"> </w:t>
      </w:r>
      <w:r w:rsidRPr="00030FDF">
        <w:t>řízení vedla k</w:t>
      </w:r>
      <w:r w:rsidR="0012088D">
        <w:t xml:space="preserve"> </w:t>
      </w:r>
      <w:r w:rsidRPr="00030FDF">
        <w:t>výběru nejvýhodnější nabídky</w:t>
      </w:r>
      <w:r w:rsidR="00110F9A" w:rsidRPr="00030FDF">
        <w:t>,</w:t>
      </w:r>
      <w:r w:rsidRPr="00030FDF">
        <w:t xml:space="preserve"> a</w:t>
      </w:r>
      <w:r w:rsidR="00E6540D" w:rsidRPr="00030FDF">
        <w:t xml:space="preserve"> dále</w:t>
      </w:r>
      <w:r w:rsidRPr="00030FDF">
        <w:t xml:space="preserve"> </w:t>
      </w:r>
      <w:r w:rsidR="0012088D">
        <w:t xml:space="preserve">se zaměřil také na </w:t>
      </w:r>
      <w:r w:rsidRPr="00030FDF">
        <w:t>soulad nasmlouvaného a skutečného plnění. Významné nedostatky zjistil v</w:t>
      </w:r>
      <w:r w:rsidR="0012088D">
        <w:t xml:space="preserve"> </w:t>
      </w:r>
      <w:r w:rsidRPr="00030FDF">
        <w:t xml:space="preserve">případě </w:t>
      </w:r>
      <w:r w:rsidR="000E75FF" w:rsidRPr="00030FDF">
        <w:t xml:space="preserve">jednoho </w:t>
      </w:r>
      <w:r w:rsidR="00B05A09">
        <w:t>zadávacího</w:t>
      </w:r>
      <w:r w:rsidR="00B05A09" w:rsidRPr="00030FDF">
        <w:t xml:space="preserve"> </w:t>
      </w:r>
      <w:r w:rsidRPr="00030FDF">
        <w:t>řízení</w:t>
      </w:r>
      <w:r w:rsidR="000E75FF" w:rsidRPr="00030FDF">
        <w:t>, a to</w:t>
      </w:r>
      <w:r w:rsidRPr="00030FDF">
        <w:t xml:space="preserve"> na nákup služeb </w:t>
      </w:r>
      <w:r w:rsidR="007F7921" w:rsidRPr="00030FDF">
        <w:t xml:space="preserve">k zajištění </w:t>
      </w:r>
      <w:r w:rsidRPr="00030FDF">
        <w:t xml:space="preserve">BESIP Teamu </w:t>
      </w:r>
      <w:r w:rsidR="007F7921" w:rsidRPr="00030FDF">
        <w:t xml:space="preserve">a současně služeb spojených s provozem otočného simulátoru </w:t>
      </w:r>
      <w:r w:rsidRPr="00030FDF">
        <w:t xml:space="preserve">pro období od </w:t>
      </w:r>
      <w:r w:rsidR="00347A69" w:rsidRPr="00030FDF">
        <w:t xml:space="preserve">září </w:t>
      </w:r>
      <w:r w:rsidRPr="00030FDF">
        <w:t xml:space="preserve">2021. </w:t>
      </w:r>
      <w:r w:rsidR="000E75FF" w:rsidRPr="00030FDF">
        <w:t>NKÚ zjistil nedostatky</w:t>
      </w:r>
      <w:r w:rsidRPr="00030FDF">
        <w:t xml:space="preserve"> jak v</w:t>
      </w:r>
      <w:r w:rsidR="00313A7D" w:rsidRPr="00030FDF">
        <w:t xml:space="preserve"> </w:t>
      </w:r>
      <w:r w:rsidRPr="00030FDF">
        <w:t>průběhu</w:t>
      </w:r>
      <w:r w:rsidR="003A3423" w:rsidRPr="00030FDF">
        <w:t xml:space="preserve"> realizace tohoto</w:t>
      </w:r>
      <w:r w:rsidRPr="00030FDF">
        <w:t xml:space="preserve"> </w:t>
      </w:r>
      <w:r w:rsidR="00B05A09">
        <w:t>zadávacího</w:t>
      </w:r>
      <w:r w:rsidR="00B05A09" w:rsidRPr="00030FDF">
        <w:t xml:space="preserve"> </w:t>
      </w:r>
      <w:r w:rsidRPr="00030FDF">
        <w:t>řízení</w:t>
      </w:r>
      <w:r w:rsidR="006E0B7C" w:rsidRPr="00030FDF">
        <w:t>,</w:t>
      </w:r>
      <w:r w:rsidRPr="00030FDF">
        <w:t xml:space="preserve"> tak </w:t>
      </w:r>
      <w:r w:rsidR="00B11286" w:rsidRPr="00030FDF">
        <w:t>při</w:t>
      </w:r>
      <w:r w:rsidRPr="00030FDF">
        <w:t xml:space="preserve"> pořizování nasmlouvaného plnění (viz </w:t>
      </w:r>
      <w:r w:rsidR="001C6AFE" w:rsidRPr="00030FDF">
        <w:t>př</w:t>
      </w:r>
      <w:r w:rsidR="001C6AFE">
        <w:t>í</w:t>
      </w:r>
      <w:r w:rsidR="001C6AFE" w:rsidRPr="00030FDF">
        <w:t xml:space="preserve">klad </w:t>
      </w:r>
      <w:r w:rsidR="00B44280" w:rsidRPr="00030FDF">
        <w:t xml:space="preserve">č. </w:t>
      </w:r>
      <w:r w:rsidR="001C6AFE">
        <w:t>5</w:t>
      </w:r>
      <w:r w:rsidRPr="00030FDF">
        <w:t>).</w:t>
      </w:r>
    </w:p>
    <w:p w14:paraId="21F0BE09" w14:textId="77777777" w:rsidR="00017536" w:rsidRDefault="00017536">
      <w:pPr>
        <w:rPr>
          <w:rFonts w:cstheme="minorHAnsi"/>
          <w:b/>
          <w:bCs/>
          <w:color w:val="2E74B5" w:themeColor="accent1" w:themeShade="BF"/>
          <w:sz w:val="24"/>
          <w:szCs w:val="24"/>
        </w:rPr>
      </w:pPr>
      <w:r>
        <w:rPr>
          <w:rFonts w:cstheme="minorHAnsi"/>
          <w:b/>
          <w:bCs/>
          <w:i/>
          <w:iCs/>
          <w:color w:val="2E74B5" w:themeColor="accent1" w:themeShade="BF"/>
          <w:sz w:val="24"/>
          <w:szCs w:val="24"/>
        </w:rPr>
        <w:br w:type="page"/>
      </w:r>
    </w:p>
    <w:p w14:paraId="2BB72661" w14:textId="77777777" w:rsidR="00F51FF4" w:rsidRPr="00012A79" w:rsidRDefault="00012A79" w:rsidP="00F51FF4">
      <w:pPr>
        <w:pStyle w:val="Titulek"/>
        <w:keepNext/>
        <w:spacing w:after="0"/>
        <w:rPr>
          <w:rFonts w:cstheme="minorHAnsi"/>
          <w:b/>
          <w:bCs/>
          <w:i w:val="0"/>
          <w:iCs w:val="0"/>
          <w:color w:val="2E74B5" w:themeColor="accent1" w:themeShade="BF"/>
          <w:sz w:val="24"/>
          <w:szCs w:val="24"/>
        </w:rPr>
      </w:pPr>
      <w:r>
        <w:rPr>
          <w:rFonts w:cstheme="minorHAnsi"/>
          <w:b/>
          <w:bCs/>
          <w:i w:val="0"/>
          <w:iCs w:val="0"/>
          <w:color w:val="2E74B5" w:themeColor="accent1" w:themeShade="BF"/>
          <w:sz w:val="24"/>
          <w:szCs w:val="24"/>
        </w:rPr>
        <w:lastRenderedPageBreak/>
        <w:t>Příklad č. 5</w:t>
      </w:r>
    </w:p>
    <w:p w14:paraId="2C48192D" w14:textId="77777777" w:rsidR="00F51FF4" w:rsidRPr="00012A79" w:rsidRDefault="00F51FF4" w:rsidP="00F51FF4">
      <w:pPr>
        <w:pStyle w:val="Pkladyvrmeku"/>
        <w:ind w:right="284"/>
        <w:rPr>
          <w:iCs/>
        </w:rPr>
      </w:pPr>
      <w:r w:rsidRPr="00012A79">
        <w:rPr>
          <w:iCs/>
        </w:rPr>
        <w:t>CSPSD nepostupovalo v případě veřejné zakázky na zajištění prezentačních akcí BESIP Teamem a obsluhy otočného simulátoru, v předpokládaném rozsahu 170 jednodenních akcí, v souladu se zákonem č. 134/2016 Sb.,</w:t>
      </w:r>
      <w:r w:rsidRPr="00012A79">
        <w:rPr>
          <w:rStyle w:val="Znakapoznpodarou"/>
          <w:iCs/>
        </w:rPr>
        <w:footnoteReference w:id="43"/>
      </w:r>
      <w:r w:rsidRPr="00012A79">
        <w:rPr>
          <w:iCs/>
        </w:rPr>
        <w:t xml:space="preserve"> když po uplynutí lhůty pro podání nabídek umožnilo jednomu z účastníků zadávacího řízení navýšit nabídkovou cenu. Ustanovení § 46 uvedeného zákona přitom navýšení celkové nabídkové ceny vylučuje. </w:t>
      </w:r>
    </w:p>
    <w:p w14:paraId="64FAA731" w14:textId="77777777" w:rsidR="00F51FF4" w:rsidRPr="00012A79" w:rsidRDefault="00F51FF4" w:rsidP="00F51FF4">
      <w:pPr>
        <w:pStyle w:val="Pkladyvrmeku"/>
        <w:ind w:right="284"/>
        <w:rPr>
          <w:iCs/>
        </w:rPr>
      </w:pPr>
      <w:r w:rsidRPr="003474F1">
        <w:rPr>
          <w:iCs/>
        </w:rPr>
        <w:t>Nabídková cena tohoto účastníka byla i přes uvedené navýšení cenou nejnižší a CSPSD s tímto účastníkem uzavřelo rámcovou dohodu. Celkové navýšení nabídkové ceny činilo 2 786 206,</w:t>
      </w:r>
      <w:r w:rsidR="006C3C49">
        <w:rPr>
          <w:iCs/>
        </w:rPr>
        <w:t>5</w:t>
      </w:r>
      <w:r w:rsidRPr="003474F1">
        <w:rPr>
          <w:iCs/>
        </w:rPr>
        <w:t>0 Kč vč. DPH, tj. 21 % původní nabídkové ceny.</w:t>
      </w:r>
      <w:r w:rsidRPr="00012A79">
        <w:rPr>
          <w:rStyle w:val="Znakapoznpodarou"/>
          <w:iCs/>
        </w:rPr>
        <w:footnoteReference w:id="44"/>
      </w:r>
      <w:r w:rsidRPr="00012A79">
        <w:rPr>
          <w:iCs/>
        </w:rPr>
        <w:t xml:space="preserve"> </w:t>
      </w:r>
    </w:p>
    <w:p w14:paraId="7EECE674" w14:textId="77777777" w:rsidR="00F51FF4" w:rsidRPr="003474F1" w:rsidRDefault="00F51FF4" w:rsidP="00F51FF4">
      <w:pPr>
        <w:pStyle w:val="Pkladyvrmeku"/>
        <w:ind w:right="284"/>
        <w:rPr>
          <w:iCs/>
        </w:rPr>
      </w:pPr>
      <w:r w:rsidRPr="003474F1">
        <w:rPr>
          <w:iCs/>
        </w:rPr>
        <w:t xml:space="preserve">Každá z položek byla v rámci zadávacího řízení oceněna samostatně, avšak hodnocena byla jejich cena v součtu. Jednalo se o: </w:t>
      </w:r>
    </w:p>
    <w:p w14:paraId="6151E04E" w14:textId="77777777" w:rsidR="00F51FF4" w:rsidRPr="003474F1" w:rsidRDefault="00F51FF4" w:rsidP="00F51FF4">
      <w:pPr>
        <w:pStyle w:val="Pkladyvrmeku"/>
        <w:ind w:right="284"/>
        <w:rPr>
          <w:iCs/>
        </w:rPr>
      </w:pPr>
      <w:r w:rsidRPr="003474F1">
        <w:rPr>
          <w:iCs/>
        </w:rPr>
        <w:t>- zajištění prezentačních akcí BESIP Teamem, které vybraný dodavatel nabídl za nejvyšší nabídkovou cenu, a to v přepočtu o 17 387,70 Kč vč. DPH na jeden den akce vyšší oproti celkově druhé nejvýhodnější nabídce;</w:t>
      </w:r>
    </w:p>
    <w:p w14:paraId="1D170D65" w14:textId="77777777" w:rsidR="00F51FF4" w:rsidRPr="003474F1" w:rsidRDefault="00F51FF4" w:rsidP="00F51FF4">
      <w:pPr>
        <w:pStyle w:val="Pkladyvrmeku"/>
        <w:ind w:right="284"/>
        <w:rPr>
          <w:iCs/>
        </w:rPr>
      </w:pPr>
      <w:r w:rsidRPr="003474F1">
        <w:rPr>
          <w:iCs/>
        </w:rPr>
        <w:t>- zajištění obsluhy otočného simulátoru, které vybraný dodavatel nabídl za nejnižší nabídkovou cenu, a to v přepočtu o 18 664,25 Kč vč. DPH na jeden den akce nižší oproti celkově druhé nejvýhodnější nabídce.</w:t>
      </w:r>
    </w:p>
    <w:p w14:paraId="1869953D" w14:textId="77777777" w:rsidR="00F51FF4" w:rsidRPr="003474F1" w:rsidRDefault="00F51FF4" w:rsidP="00F51FF4">
      <w:pPr>
        <w:pStyle w:val="Pkladyvrmeku"/>
        <w:ind w:right="284"/>
        <w:rPr>
          <w:iCs/>
        </w:rPr>
      </w:pPr>
      <w:r w:rsidRPr="003474F1">
        <w:rPr>
          <w:iCs/>
        </w:rPr>
        <w:t xml:space="preserve">V rámci skutečného plnění zakázky však </w:t>
      </w:r>
      <w:bookmarkStart w:id="25" w:name="_Hlk144449511"/>
      <w:r w:rsidRPr="003474F1">
        <w:rPr>
          <w:iCs/>
        </w:rPr>
        <w:t>CSPSD</w:t>
      </w:r>
      <w:bookmarkEnd w:id="25"/>
      <w:r w:rsidRPr="003474F1">
        <w:rPr>
          <w:iCs/>
        </w:rPr>
        <w:t xml:space="preserve"> nakupovalo výhradně první z uvedených položek, tj. tu, kterou vybraný dodavatel nabídl za nejvyšší nabídkovou cenu ze všech tří účastníků zadávacího řízení. Ke dni 15. 5. 2023 si CSPSD objednalo tuto položku 59krát. </w:t>
      </w:r>
    </w:p>
    <w:p w14:paraId="258F0BD2" w14:textId="77777777" w:rsidR="00F51FF4" w:rsidRDefault="00F51FF4" w:rsidP="00F51FF4">
      <w:pPr>
        <w:pStyle w:val="Pkladyvrmeku"/>
        <w:ind w:right="284"/>
        <w:rPr>
          <w:iCs/>
        </w:rPr>
      </w:pPr>
      <w:r w:rsidRPr="003474F1">
        <w:rPr>
          <w:iCs/>
        </w:rPr>
        <w:t xml:space="preserve">CSPSD pořídilo </w:t>
      </w:r>
      <w:r w:rsidR="0012088D">
        <w:rPr>
          <w:iCs/>
        </w:rPr>
        <w:t>uvedenou</w:t>
      </w:r>
      <w:r w:rsidRPr="003474F1">
        <w:rPr>
          <w:iCs/>
        </w:rPr>
        <w:t xml:space="preserve"> službu za cenu o 1 025 874,30 Kč vč. DPH vyšší oproti nabídce, která byla vyhodnocena </w:t>
      </w:r>
      <w:r w:rsidR="0012088D">
        <w:rPr>
          <w:iCs/>
        </w:rPr>
        <w:t xml:space="preserve">sice až </w:t>
      </w:r>
      <w:r w:rsidRPr="003474F1">
        <w:rPr>
          <w:iCs/>
        </w:rPr>
        <w:t>jako druhá nejvýhodnější, nicméně pro tuto konkrétní položku nabídla cenu nejnižší. NKÚ vyhodnotil toto vynakládání peněžních prostředků jako nehospodárné.</w:t>
      </w:r>
    </w:p>
    <w:p w14:paraId="7BC535C7" w14:textId="77777777" w:rsidR="00680E18" w:rsidRPr="00AA33EC" w:rsidRDefault="00680E18" w:rsidP="00680E18">
      <w:pPr>
        <w:pStyle w:val="Mluvcnadpis"/>
      </w:pPr>
      <w:r w:rsidRPr="00156F9B">
        <w:t>→</w:t>
      </w:r>
      <w:r w:rsidRPr="00156F9B">
        <w:tab/>
      </w:r>
      <w:r w:rsidR="0043594F">
        <w:t>P</w:t>
      </w:r>
      <w:r>
        <w:t xml:space="preserve">eněžní prostředky na kampaně vynakládalo </w:t>
      </w:r>
      <w:r w:rsidRPr="00156F9B">
        <w:t xml:space="preserve">MD </w:t>
      </w:r>
      <w:r>
        <w:t>hospodárně</w:t>
      </w:r>
      <w:r w:rsidR="0043594F">
        <w:t xml:space="preserve">. V případě PIA </w:t>
      </w:r>
      <w:r w:rsidR="00493B4F">
        <w:t>postupy</w:t>
      </w:r>
      <w:r w:rsidR="0043594F">
        <w:t xml:space="preserve"> MD hodnocení hospodárnosti vynaložených peněžních prostředků neumožňoval</w:t>
      </w:r>
      <w:r w:rsidR="00493B4F">
        <w:t>y</w:t>
      </w:r>
      <w:r w:rsidRPr="00156F9B">
        <w:t xml:space="preserve">. </w:t>
      </w:r>
    </w:p>
    <w:p w14:paraId="57ACFFDD" w14:textId="77777777" w:rsidR="00CF77D4" w:rsidRPr="00A50638" w:rsidRDefault="00CF77D4" w:rsidP="005E2807">
      <w:pPr>
        <w:pStyle w:val="JK4"/>
        <w:ind w:left="0" w:firstLine="0"/>
      </w:pPr>
      <w:r w:rsidRPr="00A50638">
        <w:t xml:space="preserve">Na kontrolním vzorku </w:t>
      </w:r>
      <w:r w:rsidR="00020BE8">
        <w:t xml:space="preserve">čtyř </w:t>
      </w:r>
      <w:r w:rsidRPr="00A50638">
        <w:t xml:space="preserve">kampaní </w:t>
      </w:r>
      <w:r w:rsidR="0012088D">
        <w:t xml:space="preserve">ověřil </w:t>
      </w:r>
      <w:r w:rsidRPr="00A50638">
        <w:t>NKÚ hospodárnost peněžních prostředků</w:t>
      </w:r>
      <w:r w:rsidR="00E43F13">
        <w:t xml:space="preserve"> </w:t>
      </w:r>
      <w:r w:rsidR="00EC3DE4" w:rsidRPr="00A50638">
        <w:t xml:space="preserve">vynaložených </w:t>
      </w:r>
      <w:r w:rsidR="00EC3DE4" w:rsidRPr="005D2CEC">
        <w:t>Ministerstv</w:t>
      </w:r>
      <w:r w:rsidR="00EC3DE4">
        <w:t>em</w:t>
      </w:r>
      <w:r w:rsidR="00EC3DE4" w:rsidRPr="005D2CEC">
        <w:t xml:space="preserve"> </w:t>
      </w:r>
      <w:r w:rsidR="00EC3DE4">
        <w:t>dopravy</w:t>
      </w:r>
      <w:r w:rsidRPr="00A50638">
        <w:t xml:space="preserve">. </w:t>
      </w:r>
      <w:r w:rsidR="00E67E58">
        <w:t>V</w:t>
      </w:r>
      <w:r w:rsidRPr="00A50638">
        <w:t xml:space="preserve">eškerá ověřovaná plnění odpovídala smluvním vztahům uzavřeným na základě </w:t>
      </w:r>
      <w:r w:rsidR="00B05A09">
        <w:t>zadávacích</w:t>
      </w:r>
      <w:r w:rsidR="00B05A09" w:rsidRPr="00A50638">
        <w:t xml:space="preserve"> </w:t>
      </w:r>
      <w:r w:rsidRPr="00A50638">
        <w:t xml:space="preserve">řízení, </w:t>
      </w:r>
      <w:r w:rsidR="00EC3DE4">
        <w:t>jejichž prostřednictvím byly vybrány</w:t>
      </w:r>
      <w:r w:rsidRPr="00A50638">
        <w:t xml:space="preserve"> nejvýhodnější nabídky</w:t>
      </w:r>
      <w:r w:rsidR="00093E78">
        <w:t>,</w:t>
      </w:r>
      <w:r w:rsidRPr="00A50638">
        <w:t xml:space="preserve"> a měla přímou souvislost s realizací konkrétní kampaně,</w:t>
      </w:r>
      <w:r w:rsidR="00093E78">
        <w:t xml:space="preserve"> proto</w:t>
      </w:r>
      <w:r w:rsidRPr="00A50638">
        <w:t xml:space="preserve"> </w:t>
      </w:r>
      <w:r w:rsidR="0012088D">
        <w:t>NKÚ</w:t>
      </w:r>
      <w:r w:rsidR="0012088D" w:rsidRPr="00A50638">
        <w:t xml:space="preserve"> </w:t>
      </w:r>
      <w:r w:rsidR="00673608">
        <w:t xml:space="preserve">považuje </w:t>
      </w:r>
      <w:r w:rsidRPr="00A50638">
        <w:t>peněžní prostředky na tyto kampaně za hospodárně vynaložené.</w:t>
      </w:r>
    </w:p>
    <w:p w14:paraId="22E0A2C5" w14:textId="77777777" w:rsidR="00CF77D4" w:rsidRDefault="00CF77D4" w:rsidP="005E2807">
      <w:pPr>
        <w:pStyle w:val="JK4"/>
        <w:ind w:left="0" w:firstLine="0"/>
      </w:pPr>
      <w:r w:rsidRPr="00A50638">
        <w:t xml:space="preserve">Naopak </w:t>
      </w:r>
      <w:r w:rsidR="00020BE8">
        <w:t xml:space="preserve">u vzorku PIA nemohl NKÚ </w:t>
      </w:r>
      <w:r w:rsidRPr="00A50638">
        <w:t>hospodárnost peněžních prostředků</w:t>
      </w:r>
      <w:r w:rsidR="00020BE8">
        <w:t xml:space="preserve"> vynaložených MD jednoznačně vyhodnotit.</w:t>
      </w:r>
      <w:r w:rsidRPr="00A50638">
        <w:t xml:space="preserve"> MD nestanovilo pro jednotlivé PIA objem peněžních prostředků určen</w:t>
      </w:r>
      <w:r w:rsidR="00020BE8">
        <w:t>ých</w:t>
      </w:r>
      <w:r w:rsidRPr="00A50638">
        <w:t xml:space="preserve"> na realizaci těchto aktivit. Současně MD nesledovalo výdaje na jednotlivé PIA způsobem, který by umožňoval jejich jednoznačnou identifikaci.</w:t>
      </w:r>
    </w:p>
    <w:p w14:paraId="1ED11F1C" w14:textId="77777777" w:rsidR="000A1EC2" w:rsidRPr="005A3CD4" w:rsidRDefault="009E71B0" w:rsidP="000A1EC2">
      <w:pPr>
        <w:pStyle w:val="PodkapitolystiIVKZ"/>
        <w:ind w:left="284" w:hanging="284"/>
        <w:rPr>
          <w:color w:val="2E74B5" w:themeColor="accent1" w:themeShade="BF"/>
        </w:rPr>
      </w:pPr>
      <w:r w:rsidRPr="005A3CD4">
        <w:rPr>
          <w:color w:val="2E74B5" w:themeColor="accent1" w:themeShade="BF"/>
        </w:rPr>
        <w:t>Výdaje CSPSD na činnost k</w:t>
      </w:r>
      <w:r w:rsidR="00222E01" w:rsidRPr="005A3CD4">
        <w:rPr>
          <w:color w:val="2E74B5" w:themeColor="accent1" w:themeShade="BF"/>
        </w:rPr>
        <w:t>raj</w:t>
      </w:r>
      <w:r w:rsidRPr="005A3CD4">
        <w:rPr>
          <w:color w:val="2E74B5" w:themeColor="accent1" w:themeShade="BF"/>
        </w:rPr>
        <w:t>ských</w:t>
      </w:r>
      <w:r w:rsidR="00222E01" w:rsidRPr="005A3CD4">
        <w:rPr>
          <w:color w:val="2E74B5" w:themeColor="accent1" w:themeShade="BF"/>
        </w:rPr>
        <w:t xml:space="preserve"> koordináto</w:t>
      </w:r>
      <w:r w:rsidRPr="005A3CD4">
        <w:rPr>
          <w:color w:val="2E74B5" w:themeColor="accent1" w:themeShade="BF"/>
        </w:rPr>
        <w:t>rů</w:t>
      </w:r>
    </w:p>
    <w:p w14:paraId="57A329D8" w14:textId="77777777" w:rsidR="004F05BF" w:rsidRPr="003B2B5D" w:rsidRDefault="003B2B5D" w:rsidP="005E2807">
      <w:pPr>
        <w:pStyle w:val="JK4"/>
        <w:ind w:left="0" w:firstLine="0"/>
        <w:rPr>
          <w:szCs w:val="24"/>
        </w:rPr>
      </w:pPr>
      <w:r w:rsidRPr="003B2B5D">
        <w:t>CSPSD prostřednictvím uzavřených smluv s </w:t>
      </w:r>
      <w:r w:rsidR="00E03249">
        <w:t>koordinátory</w:t>
      </w:r>
      <w:r w:rsidRPr="003B2B5D">
        <w:t xml:space="preserve"> nezajišťovalo pouze spoluúčast </w:t>
      </w:r>
      <w:r w:rsidR="00E03249">
        <w:t>koordinátorů</w:t>
      </w:r>
      <w:r w:rsidRPr="003B2B5D">
        <w:t xml:space="preserve"> při</w:t>
      </w:r>
      <w:r w:rsidR="0012088D">
        <w:t xml:space="preserve"> </w:t>
      </w:r>
      <w:r w:rsidRPr="003B2B5D">
        <w:t>realizaci jednotlivých PIA a kampaní, ale také realizaci dalších aktivit na úseku BESIP v krajích.</w:t>
      </w:r>
    </w:p>
    <w:p w14:paraId="298937E9" w14:textId="77777777" w:rsidR="009E71B0" w:rsidRPr="00156F9B" w:rsidRDefault="009E71B0" w:rsidP="00156F9B">
      <w:pPr>
        <w:pStyle w:val="Mluvcnadpis"/>
      </w:pPr>
      <w:r w:rsidRPr="00156F9B">
        <w:lastRenderedPageBreak/>
        <w:t>→</w:t>
      </w:r>
      <w:r w:rsidRPr="00156F9B">
        <w:tab/>
        <w:t xml:space="preserve">CSPSD </w:t>
      </w:r>
      <w:r w:rsidR="00BB1503" w:rsidRPr="00156F9B">
        <w:t xml:space="preserve">nestanovilo pro krajské koordinátory konkrétní cíle a jejich služby </w:t>
      </w:r>
      <w:r w:rsidRPr="00156F9B">
        <w:t>monitorovalo pouze formálně.</w:t>
      </w:r>
    </w:p>
    <w:p w14:paraId="1032A377" w14:textId="77777777" w:rsidR="00DE3977" w:rsidRDefault="009E71B0" w:rsidP="005E2807">
      <w:pPr>
        <w:pStyle w:val="JK4"/>
        <w:ind w:left="0" w:firstLine="0"/>
      </w:pPr>
      <w:r w:rsidRPr="00DE3977">
        <w:rPr>
          <w:rFonts w:cs="Calibri"/>
        </w:rPr>
        <w:t>CSPSD</w:t>
      </w:r>
      <w:r w:rsidRPr="00DE3977">
        <w:t xml:space="preserve"> nestanovilo ve smlouvách </w:t>
      </w:r>
      <w:r w:rsidR="00F35ADA">
        <w:t>s </w:t>
      </w:r>
      <w:r w:rsidR="00E03249">
        <w:t>koordinátory</w:t>
      </w:r>
      <w:r w:rsidRPr="00DE3977">
        <w:t xml:space="preserve"> žádné konkrétní cíle</w:t>
      </w:r>
      <w:r w:rsidR="003E5667">
        <w:t>, ke kterým by měly směřovat</w:t>
      </w:r>
      <w:r w:rsidR="0001557F">
        <w:t xml:space="preserve"> </w:t>
      </w:r>
      <w:r w:rsidR="005F5896">
        <w:t xml:space="preserve">jejich </w:t>
      </w:r>
      <w:r w:rsidR="0001557F">
        <w:t>činnosti</w:t>
      </w:r>
      <w:r w:rsidRPr="00DE3977">
        <w:t xml:space="preserve">. Stejně tak </w:t>
      </w:r>
      <w:r w:rsidR="00E03249">
        <w:rPr>
          <w:rFonts w:cstheme="minorHAnsi"/>
        </w:rPr>
        <w:t>koordinátoři</w:t>
      </w:r>
      <w:r w:rsidR="0001557F">
        <w:t xml:space="preserve"> ve</w:t>
      </w:r>
      <w:r w:rsidR="00EC3DE4">
        <w:t xml:space="preserve"> </w:t>
      </w:r>
      <w:r w:rsidR="0001557F">
        <w:t xml:space="preserve">svých </w:t>
      </w:r>
      <w:r w:rsidRPr="00DE3977">
        <w:t>ročních plán</w:t>
      </w:r>
      <w:r w:rsidR="0001557F">
        <w:t xml:space="preserve">ech </w:t>
      </w:r>
      <w:r w:rsidR="0064011F">
        <w:t xml:space="preserve">činností </w:t>
      </w:r>
      <w:r w:rsidR="0001557F">
        <w:t>neuvedli</w:t>
      </w:r>
      <w:r w:rsidRPr="00DE3977">
        <w:t xml:space="preserve"> </w:t>
      </w:r>
      <w:r w:rsidR="0001557F">
        <w:t>žádné měřitelné cíle, kterých by svou činnost</w:t>
      </w:r>
      <w:r w:rsidR="00EC3DE4">
        <w:t>í</w:t>
      </w:r>
      <w:r w:rsidR="0001557F">
        <w:t xml:space="preserve"> chtěli dosáhnout. </w:t>
      </w:r>
      <w:r w:rsidRPr="00DE3977">
        <w:t xml:space="preserve">CSPSD </w:t>
      </w:r>
      <w:r w:rsidR="0001557F">
        <w:t>i bez toho</w:t>
      </w:r>
      <w:r w:rsidRPr="00DE3977">
        <w:t xml:space="preserve"> předložené plány akceptovalo. </w:t>
      </w:r>
    </w:p>
    <w:p w14:paraId="01B5BA17" w14:textId="77777777" w:rsidR="00F35ADA" w:rsidRPr="00030FDF" w:rsidRDefault="009E71B0" w:rsidP="005E2807">
      <w:pPr>
        <w:pStyle w:val="JK4"/>
        <w:ind w:left="0" w:firstLine="0"/>
      </w:pPr>
      <w:r w:rsidRPr="00DE3977">
        <w:t xml:space="preserve">CSPSD monitorovalo činnost </w:t>
      </w:r>
      <w:r w:rsidR="00E03249">
        <w:rPr>
          <w:rFonts w:cstheme="minorHAnsi"/>
        </w:rPr>
        <w:t>koordinátorů</w:t>
      </w:r>
      <w:r w:rsidRPr="00DE3977">
        <w:t xml:space="preserve"> prostřednictvím měsíčních výkazů, pololetních zpráv o</w:t>
      </w:r>
      <w:r w:rsidR="00EC3DE4">
        <w:t xml:space="preserve"> </w:t>
      </w:r>
      <w:r w:rsidRPr="00DE3977">
        <w:t xml:space="preserve">činnosti </w:t>
      </w:r>
      <w:r w:rsidR="00E03249">
        <w:rPr>
          <w:rFonts w:cstheme="minorHAnsi"/>
        </w:rPr>
        <w:t>koordinátorů</w:t>
      </w:r>
      <w:r w:rsidRPr="00DE3977">
        <w:t xml:space="preserve"> a případně zpráv z</w:t>
      </w:r>
      <w:r w:rsidR="00EC3DE4">
        <w:t xml:space="preserve"> </w:t>
      </w:r>
      <w:r w:rsidR="0001557F">
        <w:t xml:space="preserve">jednotlivých </w:t>
      </w:r>
      <w:r w:rsidRPr="00DE3977">
        <w:t>akcí</w:t>
      </w:r>
      <w:r w:rsidR="00F35ADA">
        <w:t xml:space="preserve"> s účastí</w:t>
      </w:r>
      <w:r w:rsidR="0001557F">
        <w:t xml:space="preserve"> </w:t>
      </w:r>
      <w:r w:rsidR="00E03249">
        <w:rPr>
          <w:rFonts w:cstheme="minorHAnsi"/>
        </w:rPr>
        <w:t>koordinátorů</w:t>
      </w:r>
      <w:r w:rsidR="0001557F">
        <w:t>. Jednalo se však pouze o</w:t>
      </w:r>
      <w:r w:rsidR="00EC3DE4">
        <w:t xml:space="preserve"> </w:t>
      </w:r>
      <w:r w:rsidR="0001557F">
        <w:t xml:space="preserve">velmi obecné a často </w:t>
      </w:r>
      <w:r w:rsidR="0073775A">
        <w:t>i</w:t>
      </w:r>
      <w:r w:rsidR="0001557F">
        <w:t xml:space="preserve">relevantní informace, které </w:t>
      </w:r>
      <w:r w:rsidR="00DE3977" w:rsidRPr="00DE3977">
        <w:t xml:space="preserve">neumožňovaly </w:t>
      </w:r>
      <w:r w:rsidR="00DE3977" w:rsidRPr="00030FDF">
        <w:t xml:space="preserve">vyhodnocení činností </w:t>
      </w:r>
      <w:r w:rsidR="00E03249" w:rsidRPr="00030FDF">
        <w:rPr>
          <w:rFonts w:cstheme="minorHAnsi"/>
        </w:rPr>
        <w:t>koordinátorů</w:t>
      </w:r>
      <w:r w:rsidR="0001557F" w:rsidRPr="00030FDF">
        <w:t xml:space="preserve"> a</w:t>
      </w:r>
      <w:r w:rsidR="00FD1AFC" w:rsidRPr="00030FDF">
        <w:t> </w:t>
      </w:r>
      <w:r w:rsidR="0001557F" w:rsidRPr="00030FDF">
        <w:t>jejich dopadu</w:t>
      </w:r>
      <w:r w:rsidR="00DE3977" w:rsidRPr="00030FDF">
        <w:t xml:space="preserve"> na úroveň </w:t>
      </w:r>
      <w:r w:rsidR="0001557F" w:rsidRPr="00030FDF">
        <w:t>BESIP a dopravní výchovy</w:t>
      </w:r>
      <w:r w:rsidRPr="00030FDF">
        <w:t xml:space="preserve"> v kraj</w:t>
      </w:r>
      <w:r w:rsidR="00DE3977" w:rsidRPr="00030FDF">
        <w:t>i</w:t>
      </w:r>
      <w:r w:rsidRPr="00030FDF">
        <w:t>.</w:t>
      </w:r>
      <w:r w:rsidR="00F35ADA" w:rsidRPr="00030FDF">
        <w:t xml:space="preserve"> Ilustruje to příklad č. </w:t>
      </w:r>
      <w:r w:rsidR="001C6AFE">
        <w:t>6</w:t>
      </w:r>
      <w:r w:rsidR="00F35ADA" w:rsidRPr="00030FDF">
        <w:t>.</w:t>
      </w:r>
    </w:p>
    <w:p w14:paraId="33B0BE20" w14:textId="77777777" w:rsidR="009E71B0" w:rsidRPr="007C3517" w:rsidRDefault="009E71B0" w:rsidP="00DE3977">
      <w:pPr>
        <w:pStyle w:val="Titulek"/>
        <w:keepNext/>
        <w:spacing w:after="0"/>
        <w:rPr>
          <w:rFonts w:cstheme="minorHAnsi"/>
          <w:b/>
          <w:bCs/>
          <w:i w:val="0"/>
          <w:iCs w:val="0"/>
          <w:color w:val="2E74B5" w:themeColor="accent1" w:themeShade="BF"/>
          <w:sz w:val="24"/>
          <w:szCs w:val="24"/>
        </w:rPr>
      </w:pPr>
      <w:r w:rsidRPr="007C3517">
        <w:rPr>
          <w:rFonts w:cstheme="minorHAnsi"/>
          <w:b/>
          <w:bCs/>
          <w:i w:val="0"/>
          <w:iCs w:val="0"/>
          <w:color w:val="2E74B5" w:themeColor="accent1" w:themeShade="BF"/>
          <w:sz w:val="24"/>
          <w:szCs w:val="24"/>
        </w:rPr>
        <w:t xml:space="preserve">Příklad č. </w:t>
      </w:r>
      <w:r w:rsidR="001C6AFE">
        <w:rPr>
          <w:rFonts w:cstheme="minorHAnsi"/>
          <w:b/>
          <w:bCs/>
          <w:i w:val="0"/>
          <w:iCs w:val="0"/>
          <w:color w:val="2E74B5" w:themeColor="accent1" w:themeShade="BF"/>
          <w:sz w:val="24"/>
          <w:szCs w:val="24"/>
        </w:rPr>
        <w:t>6</w:t>
      </w:r>
    </w:p>
    <w:p w14:paraId="1E7AAD31" w14:textId="77777777" w:rsidR="009E71B0" w:rsidRPr="00093E78" w:rsidRDefault="00E03249" w:rsidP="0057464C">
      <w:pPr>
        <w:pStyle w:val="Pkladyvrmeku"/>
        <w:rPr>
          <w:iCs/>
        </w:rPr>
      </w:pPr>
      <w:r>
        <w:rPr>
          <w:rFonts w:cstheme="minorHAnsi"/>
        </w:rPr>
        <w:t>Koordinátor</w:t>
      </w:r>
      <w:r w:rsidR="007C3517" w:rsidRPr="00093E78">
        <w:rPr>
          <w:iCs/>
        </w:rPr>
        <w:t xml:space="preserve"> pro Královéhradecký kraj ve </w:t>
      </w:r>
      <w:r w:rsidR="00EC3DE4">
        <w:rPr>
          <w:iCs/>
        </w:rPr>
        <w:t>z</w:t>
      </w:r>
      <w:r w:rsidR="009E71B0" w:rsidRPr="00093E78">
        <w:rPr>
          <w:iCs/>
        </w:rPr>
        <w:t xml:space="preserve">právě k akci </w:t>
      </w:r>
      <w:r w:rsidR="00581197">
        <w:rPr>
          <w:iCs/>
        </w:rPr>
        <w:t>„</w:t>
      </w:r>
      <w:r w:rsidR="009E71B0" w:rsidRPr="00093E78">
        <w:rPr>
          <w:iCs/>
        </w:rPr>
        <w:t>Poklad na Stříbrném rybníku</w:t>
      </w:r>
      <w:r w:rsidR="00581197">
        <w:rPr>
          <w:iCs/>
        </w:rPr>
        <w:t>“</w:t>
      </w:r>
      <w:r w:rsidR="009E71B0" w:rsidRPr="00093E78">
        <w:rPr>
          <w:iCs/>
        </w:rPr>
        <w:t xml:space="preserve"> konané dne 27.</w:t>
      </w:r>
      <w:r w:rsidR="00FD1AFC" w:rsidRPr="00093E78">
        <w:rPr>
          <w:iCs/>
        </w:rPr>
        <w:t> </w:t>
      </w:r>
      <w:r w:rsidR="009E71B0" w:rsidRPr="00093E78">
        <w:rPr>
          <w:iCs/>
        </w:rPr>
        <w:t>8.</w:t>
      </w:r>
      <w:r w:rsidR="00FD1AFC" w:rsidRPr="00093E78">
        <w:rPr>
          <w:iCs/>
        </w:rPr>
        <w:t> </w:t>
      </w:r>
      <w:r w:rsidR="009E71B0" w:rsidRPr="00093E78">
        <w:rPr>
          <w:iCs/>
        </w:rPr>
        <w:t>2022 uvedl:</w:t>
      </w:r>
    </w:p>
    <w:p w14:paraId="6352F9EE" w14:textId="77777777" w:rsidR="009E71B0" w:rsidRPr="0057464C" w:rsidRDefault="009E71B0" w:rsidP="0057464C">
      <w:pPr>
        <w:pStyle w:val="Pkladyvrmeku"/>
        <w:rPr>
          <w:iCs/>
        </w:rPr>
      </w:pPr>
      <w:r w:rsidRPr="0057464C">
        <w:rPr>
          <w:iCs/>
        </w:rPr>
        <w:t>„Tradičn</w:t>
      </w:r>
      <w:r w:rsidR="00697A9F">
        <w:rPr>
          <w:iCs/>
        </w:rPr>
        <w:t>í</w:t>
      </w:r>
      <w:r w:rsidRPr="0057464C">
        <w:rPr>
          <w:iCs/>
        </w:rPr>
        <w:t xml:space="preserve"> velká akce pro rodiny z Hradce Králové a okolí, pořádána magistrátem města. Akce se účastní celý IZS všechny možné Královehradecké spolky a organizace. Tradičně bývá obrovská účast.“</w:t>
      </w:r>
    </w:p>
    <w:p w14:paraId="014B0418" w14:textId="77777777" w:rsidR="009E71B0" w:rsidRPr="00093E78" w:rsidRDefault="009E71B0" w:rsidP="0057464C">
      <w:pPr>
        <w:pStyle w:val="Pkladyvrmeku"/>
        <w:rPr>
          <w:iCs/>
        </w:rPr>
      </w:pPr>
      <w:r w:rsidRPr="00093E78">
        <w:rPr>
          <w:iCs/>
        </w:rPr>
        <w:t>K</w:t>
      </w:r>
      <w:r w:rsidR="00E03249">
        <w:rPr>
          <w:iCs/>
        </w:rPr>
        <w:t>oordinátor</w:t>
      </w:r>
      <w:r w:rsidRPr="00093E78">
        <w:rPr>
          <w:iCs/>
        </w:rPr>
        <w:t xml:space="preserve"> pro Moravskoslezský kraj ve </w:t>
      </w:r>
      <w:r w:rsidR="00EC3DE4">
        <w:rPr>
          <w:iCs/>
        </w:rPr>
        <w:t>z</w:t>
      </w:r>
      <w:r w:rsidRPr="00093E78">
        <w:rPr>
          <w:iCs/>
        </w:rPr>
        <w:t xml:space="preserve">právě k akci </w:t>
      </w:r>
      <w:r w:rsidR="00581197">
        <w:rPr>
          <w:iCs/>
        </w:rPr>
        <w:t>„</w:t>
      </w:r>
      <w:r w:rsidRPr="00093E78">
        <w:rPr>
          <w:iCs/>
        </w:rPr>
        <w:t>Wtec Stunt Day 10. ročník</w:t>
      </w:r>
      <w:r w:rsidR="00581197">
        <w:rPr>
          <w:iCs/>
        </w:rPr>
        <w:t>“</w:t>
      </w:r>
      <w:r w:rsidRPr="00093E78">
        <w:rPr>
          <w:iCs/>
        </w:rPr>
        <w:t xml:space="preserve"> konané ve dnech 19.</w:t>
      </w:r>
      <w:r w:rsidR="00EC3DE4">
        <w:rPr>
          <w:iCs/>
        </w:rPr>
        <w:t>–</w:t>
      </w:r>
      <w:r w:rsidRPr="00093E78">
        <w:rPr>
          <w:iCs/>
        </w:rPr>
        <w:t xml:space="preserve">21. 8. 2022 </w:t>
      </w:r>
      <w:r w:rsidR="007C3517" w:rsidRPr="00093E78">
        <w:rPr>
          <w:iCs/>
        </w:rPr>
        <w:t>uvedl</w:t>
      </w:r>
      <w:r w:rsidRPr="00093E78">
        <w:rPr>
          <w:iCs/>
        </w:rPr>
        <w:t>:</w:t>
      </w:r>
    </w:p>
    <w:p w14:paraId="35E8BE06" w14:textId="4AC6F6B1" w:rsidR="009E71B0" w:rsidRPr="00A82887" w:rsidRDefault="009E71B0" w:rsidP="0057464C">
      <w:pPr>
        <w:pStyle w:val="Pkladyvrmeku"/>
        <w:rPr>
          <w:iCs/>
        </w:rPr>
      </w:pPr>
      <w:r w:rsidRPr="0057464C">
        <w:rPr>
          <w:iCs/>
        </w:rPr>
        <w:t xml:space="preserve">„10. ročník </w:t>
      </w:r>
      <w:r w:rsidRPr="00A82887">
        <w:rPr>
          <w:iCs/>
        </w:rPr>
        <w:t>akce světového formátu, evropská účast kaskadérů na motocyklech, akce se</w:t>
      </w:r>
      <w:r w:rsidR="00FD14B8">
        <w:rPr>
          <w:iCs/>
        </w:rPr>
        <w:t xml:space="preserve"> </w:t>
      </w:r>
      <w:r w:rsidRPr="00A82887">
        <w:rPr>
          <w:iCs/>
        </w:rPr>
        <w:t xml:space="preserve">tradičně těší velkému zájmu veřejnosti. Akce byla realizována ve třech dnech, </w:t>
      </w:r>
      <w:r w:rsidR="00080327">
        <w:rPr>
          <w:iCs/>
        </w:rPr>
        <w:t>většinu oslovených tvořili motorkáři</w:t>
      </w:r>
      <w:r w:rsidR="00012A79">
        <w:rPr>
          <w:iCs/>
        </w:rPr>
        <w:t>.</w:t>
      </w:r>
      <w:r w:rsidRPr="00A82887">
        <w:rPr>
          <w:iCs/>
        </w:rPr>
        <w:t>“</w:t>
      </w:r>
    </w:p>
    <w:p w14:paraId="3CCEB397" w14:textId="77777777" w:rsidR="00A40359" w:rsidRPr="00030FDF" w:rsidRDefault="00A40359" w:rsidP="005E2807">
      <w:pPr>
        <w:pStyle w:val="JK4"/>
        <w:ind w:left="0" w:firstLine="0"/>
      </w:pPr>
      <w:r w:rsidRPr="00A82887">
        <w:t xml:space="preserve">V důsledku absence nastavení jednoznačných a měřitelných cílů činnosti </w:t>
      </w:r>
      <w:r w:rsidR="00E03249">
        <w:rPr>
          <w:rFonts w:cstheme="minorHAnsi"/>
        </w:rPr>
        <w:t>koordinátorů</w:t>
      </w:r>
      <w:r w:rsidRPr="00A82887">
        <w:t xml:space="preserve"> nemohlo CSPSD vyhodnocovat přínos činnosti </w:t>
      </w:r>
      <w:r w:rsidR="00E03249">
        <w:rPr>
          <w:rFonts w:cstheme="minorHAnsi"/>
        </w:rPr>
        <w:t>koordinátorů</w:t>
      </w:r>
      <w:r w:rsidRPr="00A82887">
        <w:t xml:space="preserve"> pro BESIP v krajích. CSPSD </w:t>
      </w:r>
      <w:r w:rsidR="002B255D">
        <w:t xml:space="preserve">tak </w:t>
      </w:r>
      <w:r w:rsidRPr="00A82887">
        <w:t xml:space="preserve">hradilo </w:t>
      </w:r>
      <w:r w:rsidR="00E03249" w:rsidRPr="00030FDF">
        <w:rPr>
          <w:rFonts w:cstheme="minorHAnsi"/>
        </w:rPr>
        <w:t>koordinátorům</w:t>
      </w:r>
      <w:r w:rsidRPr="00030FDF">
        <w:t xml:space="preserve"> jimi vykazované služby, aniž by mohlo vyhodnotit jejich přínosy, jak dokládají příklady č. </w:t>
      </w:r>
      <w:r w:rsidR="001C6AFE">
        <w:t>7</w:t>
      </w:r>
      <w:r w:rsidR="001C6AFE" w:rsidRPr="00030FDF">
        <w:t xml:space="preserve"> </w:t>
      </w:r>
      <w:r w:rsidRPr="00030FDF">
        <w:t xml:space="preserve">a </w:t>
      </w:r>
      <w:r w:rsidR="001C6AFE">
        <w:t>8</w:t>
      </w:r>
      <w:r w:rsidRPr="00030FDF">
        <w:t>.</w:t>
      </w:r>
    </w:p>
    <w:p w14:paraId="60CC6AC4" w14:textId="77777777" w:rsidR="00A40359" w:rsidRPr="00A82887" w:rsidRDefault="00A40359" w:rsidP="00A40359">
      <w:pPr>
        <w:pStyle w:val="Titulek"/>
        <w:keepNext/>
        <w:spacing w:after="0"/>
        <w:rPr>
          <w:rFonts w:cstheme="minorHAnsi"/>
          <w:b/>
          <w:bCs/>
          <w:i w:val="0"/>
          <w:iCs w:val="0"/>
          <w:color w:val="2E74B5" w:themeColor="accent1" w:themeShade="BF"/>
          <w:sz w:val="24"/>
          <w:szCs w:val="24"/>
        </w:rPr>
      </w:pPr>
      <w:r w:rsidRPr="00A82887">
        <w:rPr>
          <w:rFonts w:cstheme="minorHAnsi"/>
          <w:b/>
          <w:bCs/>
          <w:i w:val="0"/>
          <w:iCs w:val="0"/>
          <w:color w:val="2E74B5" w:themeColor="accent1" w:themeShade="BF"/>
          <w:sz w:val="24"/>
          <w:szCs w:val="24"/>
        </w:rPr>
        <w:t xml:space="preserve">Příklad č. </w:t>
      </w:r>
      <w:r w:rsidR="001C6AFE">
        <w:rPr>
          <w:rFonts w:cstheme="minorHAnsi"/>
          <w:b/>
          <w:bCs/>
          <w:i w:val="0"/>
          <w:iCs w:val="0"/>
          <w:color w:val="2E74B5" w:themeColor="accent1" w:themeShade="BF"/>
          <w:sz w:val="24"/>
          <w:szCs w:val="24"/>
        </w:rPr>
        <w:t>7</w:t>
      </w:r>
    </w:p>
    <w:p w14:paraId="1D28C2E9" w14:textId="77777777" w:rsidR="00A40359" w:rsidRPr="00A82887" w:rsidRDefault="00A40359" w:rsidP="00A40359">
      <w:pPr>
        <w:pStyle w:val="Pkladyvrmeku"/>
        <w:rPr>
          <w:iCs/>
        </w:rPr>
      </w:pPr>
      <w:r w:rsidRPr="00A82887">
        <w:rPr>
          <w:iCs/>
        </w:rPr>
        <w:t>Ve výkazu činnost</w:t>
      </w:r>
      <w:r w:rsidR="00EC3DE4">
        <w:rPr>
          <w:iCs/>
        </w:rPr>
        <w:t>í</w:t>
      </w:r>
      <w:r w:rsidRPr="00A82887">
        <w:rPr>
          <w:iCs/>
        </w:rPr>
        <w:t xml:space="preserve"> za červenec 2021 vykázal </w:t>
      </w:r>
      <w:r w:rsidR="00E03249">
        <w:rPr>
          <w:rFonts w:cstheme="minorHAnsi"/>
        </w:rPr>
        <w:t>koordinátor</w:t>
      </w:r>
      <w:r w:rsidRPr="00A82887">
        <w:rPr>
          <w:iCs/>
        </w:rPr>
        <w:t xml:space="preserve"> pro Jihomoravský kraj činnost s názvem „Tábor BESIP, RS Radost, Nová Ves u Světlé nad Sázavou“ v rozsahu 8 dní po dobu devíti hodin denně (tj. celkem 72 hodin). Z předloženého výkazu činnost</w:t>
      </w:r>
      <w:r w:rsidR="00EC3DE4">
        <w:rPr>
          <w:iCs/>
        </w:rPr>
        <w:t>í</w:t>
      </w:r>
      <w:r w:rsidRPr="00A82887">
        <w:rPr>
          <w:iCs/>
        </w:rPr>
        <w:t xml:space="preserve"> nebylo možné ověřit nejen skutečný rozsah a náplň vykázaných činností a jejich přínos pro BESIP, ale např. ani počet účastníků tábora. CSPSD přesto uhradilo </w:t>
      </w:r>
      <w:r w:rsidR="00E03249">
        <w:rPr>
          <w:rFonts w:cstheme="minorHAnsi"/>
        </w:rPr>
        <w:t>koordinátorovi</w:t>
      </w:r>
      <w:r w:rsidRPr="00A82887">
        <w:rPr>
          <w:iCs/>
        </w:rPr>
        <w:t xml:space="preserve"> za čas strávený na táboře částku 33 912 Kč.</w:t>
      </w:r>
    </w:p>
    <w:p w14:paraId="3FCA3917" w14:textId="77777777" w:rsidR="00A40359" w:rsidRPr="00A82887" w:rsidRDefault="00A40359" w:rsidP="00A40359">
      <w:pPr>
        <w:pStyle w:val="Titulek"/>
        <w:keepNext/>
        <w:spacing w:after="0"/>
        <w:rPr>
          <w:rFonts w:cstheme="minorHAnsi"/>
          <w:b/>
          <w:bCs/>
          <w:i w:val="0"/>
          <w:iCs w:val="0"/>
          <w:color w:val="2E74B5" w:themeColor="accent1" w:themeShade="BF"/>
          <w:sz w:val="24"/>
          <w:szCs w:val="24"/>
        </w:rPr>
      </w:pPr>
      <w:r w:rsidRPr="00A82887">
        <w:rPr>
          <w:rFonts w:cstheme="minorHAnsi"/>
          <w:b/>
          <w:bCs/>
          <w:i w:val="0"/>
          <w:iCs w:val="0"/>
          <w:color w:val="2E74B5" w:themeColor="accent1" w:themeShade="BF"/>
          <w:sz w:val="24"/>
          <w:szCs w:val="24"/>
        </w:rPr>
        <w:t xml:space="preserve">Příklad č. </w:t>
      </w:r>
      <w:r w:rsidR="001C6AFE">
        <w:rPr>
          <w:rFonts w:cstheme="minorHAnsi"/>
          <w:b/>
          <w:bCs/>
          <w:i w:val="0"/>
          <w:iCs w:val="0"/>
          <w:color w:val="2E74B5" w:themeColor="accent1" w:themeShade="BF"/>
          <w:sz w:val="24"/>
          <w:szCs w:val="24"/>
        </w:rPr>
        <w:t>8</w:t>
      </w:r>
    </w:p>
    <w:p w14:paraId="4BFCF608" w14:textId="77777777" w:rsidR="00A40359" w:rsidRPr="00A82887" w:rsidRDefault="00A40359" w:rsidP="00A40359">
      <w:pPr>
        <w:pStyle w:val="Pkladyvrmeku"/>
        <w:rPr>
          <w:iCs/>
        </w:rPr>
      </w:pPr>
      <w:r w:rsidRPr="00A82887">
        <w:rPr>
          <w:iCs/>
        </w:rPr>
        <w:t xml:space="preserve">Mezi vykázanými akcemi pro veřejnost s účastí </w:t>
      </w:r>
      <w:r w:rsidR="00E03249">
        <w:rPr>
          <w:rFonts w:cstheme="minorHAnsi"/>
        </w:rPr>
        <w:t>koordinátorů</w:t>
      </w:r>
      <w:r w:rsidRPr="00A82887">
        <w:rPr>
          <w:iCs/>
        </w:rPr>
        <w:t xml:space="preserve"> </w:t>
      </w:r>
      <w:r w:rsidR="0063154C">
        <w:rPr>
          <w:iCs/>
        </w:rPr>
        <w:t xml:space="preserve">ze tří různých krajů </w:t>
      </w:r>
      <w:r w:rsidR="003E5667">
        <w:rPr>
          <w:iCs/>
        </w:rPr>
        <w:t xml:space="preserve">(Jihomoravský, Královéhradecký a Olomoucký) </w:t>
      </w:r>
      <w:r w:rsidRPr="00A82887">
        <w:rPr>
          <w:iCs/>
        </w:rPr>
        <w:t xml:space="preserve">byly např. akce „Žehnání pramenů ve Skalce“, „Oslavy založení léčebny Vesna“, „Fénixcon“ nebo „Jak chutná Lošov“. Z výkazů činností </w:t>
      </w:r>
      <w:r w:rsidR="00E03249">
        <w:rPr>
          <w:rFonts w:cstheme="minorHAnsi"/>
        </w:rPr>
        <w:t>koordinátorů</w:t>
      </w:r>
      <w:r w:rsidRPr="00A82887">
        <w:rPr>
          <w:iCs/>
        </w:rPr>
        <w:t xml:space="preserve"> nevyplývá </w:t>
      </w:r>
      <w:r w:rsidR="009047E5">
        <w:rPr>
          <w:iCs/>
        </w:rPr>
        <w:t>přínos</w:t>
      </w:r>
      <w:r w:rsidR="00EC3DE4">
        <w:rPr>
          <w:iCs/>
        </w:rPr>
        <w:t xml:space="preserve"> těchto akcí</w:t>
      </w:r>
      <w:r w:rsidRPr="00A82887">
        <w:rPr>
          <w:iCs/>
        </w:rPr>
        <w:t xml:space="preserve"> </w:t>
      </w:r>
      <w:r w:rsidR="009047E5">
        <w:rPr>
          <w:iCs/>
        </w:rPr>
        <w:t>pro</w:t>
      </w:r>
      <w:r w:rsidRPr="00A82887">
        <w:rPr>
          <w:iCs/>
        </w:rPr>
        <w:t xml:space="preserve"> BESIP. Nadto se většina z nich konala opakovaně. Např. akce „Jak chutná Lošov“ se </w:t>
      </w:r>
      <w:r w:rsidR="00E03249">
        <w:rPr>
          <w:rFonts w:cstheme="minorHAnsi"/>
        </w:rPr>
        <w:t>koordinátor</w:t>
      </w:r>
      <w:r w:rsidRPr="00A82887">
        <w:rPr>
          <w:iCs/>
        </w:rPr>
        <w:t xml:space="preserve"> </w:t>
      </w:r>
      <w:r w:rsidR="0063154C">
        <w:rPr>
          <w:iCs/>
        </w:rPr>
        <w:t>pro Olomoucký kraj</w:t>
      </w:r>
      <w:r w:rsidR="00726694">
        <w:rPr>
          <w:iCs/>
        </w:rPr>
        <w:t xml:space="preserve"> </w:t>
      </w:r>
      <w:r w:rsidRPr="00A82887">
        <w:rPr>
          <w:iCs/>
        </w:rPr>
        <w:t xml:space="preserve">účastnil v letech 2019, 2020 i 2022, zatímco v celé řadě jiných obcí Olomouckého kraje </w:t>
      </w:r>
      <w:r w:rsidR="00E03249">
        <w:rPr>
          <w:rFonts w:cstheme="minorHAnsi"/>
        </w:rPr>
        <w:t>koordinátor</w:t>
      </w:r>
      <w:r w:rsidRPr="00A82887">
        <w:rPr>
          <w:iCs/>
        </w:rPr>
        <w:t xml:space="preserve"> nevyvíjel žádn</w:t>
      </w:r>
      <w:r w:rsidR="00EC3DE4">
        <w:rPr>
          <w:iCs/>
        </w:rPr>
        <w:t>ou</w:t>
      </w:r>
      <w:r w:rsidRPr="00A82887">
        <w:rPr>
          <w:iCs/>
        </w:rPr>
        <w:t xml:space="preserve"> činnost.</w:t>
      </w:r>
      <w:r w:rsidR="0063154C">
        <w:rPr>
          <w:iCs/>
        </w:rPr>
        <w:t xml:space="preserve"> </w:t>
      </w:r>
      <w:r w:rsidRPr="00A82887">
        <w:rPr>
          <w:iCs/>
        </w:rPr>
        <w:t xml:space="preserve">CSPSD přesto tyto aktivity </w:t>
      </w:r>
      <w:r w:rsidR="00E03249">
        <w:rPr>
          <w:rFonts w:cstheme="minorHAnsi"/>
        </w:rPr>
        <w:t>koordinátora</w:t>
      </w:r>
      <w:r w:rsidRPr="00A82887">
        <w:rPr>
          <w:iCs/>
        </w:rPr>
        <w:t xml:space="preserve"> </w:t>
      </w:r>
      <w:r w:rsidR="003E5667">
        <w:rPr>
          <w:iCs/>
        </w:rPr>
        <w:t>odsouhlasilo</w:t>
      </w:r>
      <w:r w:rsidR="006E0B7C">
        <w:rPr>
          <w:iCs/>
        </w:rPr>
        <w:t>.</w:t>
      </w:r>
    </w:p>
    <w:p w14:paraId="4277601B" w14:textId="77777777" w:rsidR="009E71B0" w:rsidRPr="00156F9B" w:rsidRDefault="009E71B0" w:rsidP="004B6525">
      <w:pPr>
        <w:pStyle w:val="Mluvcnadpis"/>
      </w:pPr>
      <w:r w:rsidRPr="00156F9B">
        <w:lastRenderedPageBreak/>
        <w:t>→</w:t>
      </w:r>
      <w:r w:rsidRPr="00156F9B">
        <w:tab/>
      </w:r>
      <w:r w:rsidR="00F35ADA" w:rsidRPr="00156F9B">
        <w:t xml:space="preserve">CSPSD proplácelo činnosti, které </w:t>
      </w:r>
      <w:r w:rsidR="00E15426" w:rsidRPr="00156F9B">
        <w:t>krajští koordinátoři</w:t>
      </w:r>
      <w:r w:rsidRPr="00156F9B">
        <w:t xml:space="preserve"> vykonávali v rozporu s uzavřenými smlouvami</w:t>
      </w:r>
      <w:r w:rsidR="00EC3DE4">
        <w:t>,</w:t>
      </w:r>
      <w:r w:rsidR="00C17961">
        <w:t xml:space="preserve"> a platilo i stovky hodin měsíčně za činnosti, které neměly vliv na BESIP.</w:t>
      </w:r>
    </w:p>
    <w:p w14:paraId="78AEC56B" w14:textId="7D683E72" w:rsidR="004E14E1" w:rsidRPr="0074078A" w:rsidRDefault="004E14E1" w:rsidP="005E2807">
      <w:pPr>
        <w:pStyle w:val="JK4"/>
        <w:ind w:left="0" w:firstLine="0"/>
      </w:pPr>
      <w:r w:rsidRPr="0074078A">
        <w:t xml:space="preserve">Celkem pět kontrolovaných </w:t>
      </w:r>
      <w:r w:rsidR="00E03249">
        <w:rPr>
          <w:rFonts w:cstheme="minorHAnsi"/>
        </w:rPr>
        <w:t>koordinátorů</w:t>
      </w:r>
      <w:r w:rsidRPr="0074078A">
        <w:t xml:space="preserve"> absolvovalo odborná školení, která následně vykázali v měsíčních výkazech činnosti. Jednalo se např. o školení </w:t>
      </w:r>
      <w:r w:rsidR="00EC3DE4">
        <w:t xml:space="preserve">o </w:t>
      </w:r>
      <w:r w:rsidRPr="0074078A">
        <w:t>zádržn</w:t>
      </w:r>
      <w:r w:rsidR="00EC3DE4">
        <w:t>ých</w:t>
      </w:r>
      <w:r w:rsidRPr="0074078A">
        <w:t xml:space="preserve"> systém</w:t>
      </w:r>
      <w:r w:rsidR="00EC3DE4">
        <w:t>ech</w:t>
      </w:r>
      <w:r w:rsidRPr="0074078A">
        <w:t>, mediální školení nebo seminář s</w:t>
      </w:r>
      <w:r w:rsidR="00B6794B">
        <w:t xml:space="preserve"> </w:t>
      </w:r>
      <w:r w:rsidRPr="0074078A">
        <w:t>psychologem. Smlouvy o poskytování odborných služeb</w:t>
      </w:r>
      <w:r w:rsidR="003A327F">
        <w:t xml:space="preserve"> nedefinovaly zvyšování odborné kvalifikace jako úkol, který má být ze strany koordinátorů plněn</w:t>
      </w:r>
      <w:r w:rsidR="006E0B7C">
        <w:t xml:space="preserve"> a ze strany CSPSD propl</w:t>
      </w:r>
      <w:r w:rsidR="005F5896">
        <w:t>á</w:t>
      </w:r>
      <w:r w:rsidR="006E0B7C">
        <w:t>cen</w:t>
      </w:r>
      <w:r w:rsidR="003A327F">
        <w:t>.</w:t>
      </w:r>
      <w:r w:rsidRPr="0074078A">
        <w:t xml:space="preserve"> Navíc při těchto činnostech koordinátoři žádné služby pro CSPSD neposkytovali, naopak byla služba poskytována jim a</w:t>
      </w:r>
      <w:r w:rsidR="00317FFE">
        <w:t> </w:t>
      </w:r>
      <w:r w:rsidRPr="0074078A">
        <w:t>CSPSD tak hradilo vzdělávání svým dodavatelům služeb.</w:t>
      </w:r>
    </w:p>
    <w:p w14:paraId="63D8A35D" w14:textId="22746D8F" w:rsidR="009E71B0" w:rsidRPr="007C3517" w:rsidRDefault="00C17961" w:rsidP="005E2807">
      <w:pPr>
        <w:pStyle w:val="JK4"/>
        <w:ind w:left="0" w:firstLine="0"/>
      </w:pPr>
      <w:r>
        <w:t>NKÚ dále zjistil, že v</w:t>
      </w:r>
      <w:r w:rsidR="00B6794B">
        <w:t xml:space="preserve"> </w:t>
      </w:r>
      <w:r w:rsidR="009E71B0" w:rsidRPr="007C3517">
        <w:t>souvislosti s</w:t>
      </w:r>
      <w:r w:rsidR="00B6794B">
        <w:t xml:space="preserve"> </w:t>
      </w:r>
      <w:r w:rsidR="009E71B0" w:rsidRPr="007C3517">
        <w:t xml:space="preserve">plněním stanovených úkolů </w:t>
      </w:r>
      <w:r w:rsidR="00BB1503">
        <w:t>vykazovali</w:t>
      </w:r>
      <w:r w:rsidR="009E71B0" w:rsidRPr="007C3517">
        <w:t xml:space="preserve"> </w:t>
      </w:r>
      <w:r w:rsidR="00E03249">
        <w:rPr>
          <w:rFonts w:cstheme="minorHAnsi"/>
        </w:rPr>
        <w:t>koordinátoři</w:t>
      </w:r>
      <w:r>
        <w:t xml:space="preserve"> vysoký podíl </w:t>
      </w:r>
      <w:r w:rsidR="00E9425D">
        <w:t xml:space="preserve">doby strávené administrativními pracemi nebo pracemi ve skladech materiálu – </w:t>
      </w:r>
      <w:r>
        <w:t>v absolutní</w:t>
      </w:r>
      <w:r w:rsidR="00E9425D">
        <w:t>m</w:t>
      </w:r>
      <w:r>
        <w:t xml:space="preserve"> </w:t>
      </w:r>
      <w:r w:rsidR="00E9425D">
        <w:t>vyjádření</w:t>
      </w:r>
      <w:r>
        <w:t xml:space="preserve"> i stovky hodin měsíčně</w:t>
      </w:r>
      <w:r w:rsidR="00E9425D">
        <w:t>.</w:t>
      </w:r>
      <w:r w:rsidR="00E15426">
        <w:t xml:space="preserve"> </w:t>
      </w:r>
      <w:r w:rsidR="009E71B0" w:rsidRPr="007C3517">
        <w:t xml:space="preserve">Jednalo se o </w:t>
      </w:r>
      <w:r w:rsidR="00E15426">
        <w:t xml:space="preserve">podpůrné </w:t>
      </w:r>
      <w:r w:rsidR="009E71B0" w:rsidRPr="007C3517">
        <w:t>činnosti</w:t>
      </w:r>
      <w:r w:rsidR="00E15426">
        <w:t xml:space="preserve">, </w:t>
      </w:r>
      <w:r w:rsidR="00835BA2">
        <w:t xml:space="preserve">tedy </w:t>
      </w:r>
      <w:r w:rsidR="00E15426">
        <w:t>bez vlivu</w:t>
      </w:r>
      <w:r w:rsidR="009E71B0" w:rsidRPr="007C3517">
        <w:t xml:space="preserve"> na</w:t>
      </w:r>
      <w:r w:rsidR="00E9425D">
        <w:t xml:space="preserve"> </w:t>
      </w:r>
      <w:r w:rsidR="004E5428">
        <w:t>zvyšování bezpečnosti silničního provozu</w:t>
      </w:r>
      <w:r w:rsidR="00E15426">
        <w:t xml:space="preserve"> </w:t>
      </w:r>
      <w:r w:rsidR="009E71B0" w:rsidRPr="007C3517">
        <w:t xml:space="preserve">nebo </w:t>
      </w:r>
      <w:r w:rsidR="00E15426">
        <w:t xml:space="preserve">na </w:t>
      </w:r>
      <w:r w:rsidR="009E71B0" w:rsidRPr="007C3517">
        <w:t xml:space="preserve">dopravní výchovu v krajích. </w:t>
      </w:r>
      <w:r w:rsidR="00E15426">
        <w:t>Vykázaná doba trván</w:t>
      </w:r>
      <w:r w:rsidR="00E9425D">
        <w:t>í</w:t>
      </w:r>
      <w:r w:rsidR="00E15426">
        <w:t xml:space="preserve"> těchto činností se</w:t>
      </w:r>
      <w:r w:rsidR="00E9425D">
        <w:t xml:space="preserve"> </w:t>
      </w:r>
      <w:r w:rsidR="00835BA2">
        <w:t xml:space="preserve">mezi jednotlivými </w:t>
      </w:r>
      <w:r w:rsidR="00E03249">
        <w:rPr>
          <w:rFonts w:cstheme="minorHAnsi"/>
        </w:rPr>
        <w:t>koordinátory</w:t>
      </w:r>
      <w:r w:rsidR="00835BA2">
        <w:t xml:space="preserve"> </w:t>
      </w:r>
      <w:r w:rsidR="009E71B0" w:rsidRPr="007C3517">
        <w:t xml:space="preserve">značně lišila </w:t>
      </w:r>
      <w:r w:rsidR="00E9425D">
        <w:t>(</w:t>
      </w:r>
      <w:r w:rsidR="009E71B0" w:rsidRPr="007C3517">
        <w:t xml:space="preserve">jak </w:t>
      </w:r>
      <w:r w:rsidR="009E71B0" w:rsidRPr="00030FDF">
        <w:t>uvádí příklad č.</w:t>
      </w:r>
      <w:r w:rsidR="00A40359" w:rsidRPr="00030FDF">
        <w:t xml:space="preserve"> </w:t>
      </w:r>
      <w:r w:rsidR="001C6AFE">
        <w:t>9</w:t>
      </w:r>
      <w:r w:rsidR="00E9425D">
        <w:t>)</w:t>
      </w:r>
      <w:r w:rsidRPr="00030FDF">
        <w:t>, aniž by</w:t>
      </w:r>
      <w:r>
        <w:t xml:space="preserve"> se </w:t>
      </w:r>
      <w:r w:rsidR="009E71B0" w:rsidRPr="007C3517">
        <w:t>CSPSD hodnocením t</w:t>
      </w:r>
      <w:r w:rsidR="007C3517" w:rsidRPr="007C3517">
        <w:t>ěchto skutečností</w:t>
      </w:r>
      <w:r>
        <w:t xml:space="preserve"> a jejich rozsahu </w:t>
      </w:r>
      <w:r w:rsidR="00E15426">
        <w:t>zabývalo</w:t>
      </w:r>
      <w:r w:rsidR="007C3517" w:rsidRPr="007C3517">
        <w:t>.</w:t>
      </w:r>
      <w:r w:rsidR="009E71B0" w:rsidRPr="007C3517">
        <w:t xml:space="preserve"> </w:t>
      </w:r>
    </w:p>
    <w:p w14:paraId="09000C9E" w14:textId="77777777" w:rsidR="009E71B0" w:rsidRPr="007C3517" w:rsidRDefault="009E71B0" w:rsidP="007C3517">
      <w:pPr>
        <w:pStyle w:val="Titulek"/>
        <w:keepNext/>
        <w:spacing w:after="0"/>
        <w:rPr>
          <w:rFonts w:cstheme="minorHAnsi"/>
          <w:b/>
          <w:bCs/>
          <w:i w:val="0"/>
          <w:iCs w:val="0"/>
          <w:color w:val="2E74B5" w:themeColor="accent1" w:themeShade="BF"/>
          <w:sz w:val="24"/>
          <w:szCs w:val="24"/>
        </w:rPr>
      </w:pPr>
      <w:r w:rsidRPr="007C3517">
        <w:rPr>
          <w:rFonts w:cstheme="minorHAnsi"/>
          <w:b/>
          <w:bCs/>
          <w:i w:val="0"/>
          <w:iCs w:val="0"/>
          <w:color w:val="2E74B5" w:themeColor="accent1" w:themeShade="BF"/>
          <w:sz w:val="24"/>
          <w:szCs w:val="24"/>
        </w:rPr>
        <w:t xml:space="preserve">Příklad č. </w:t>
      </w:r>
      <w:r w:rsidR="001C6AFE">
        <w:rPr>
          <w:rFonts w:cstheme="minorHAnsi"/>
          <w:b/>
          <w:bCs/>
          <w:i w:val="0"/>
          <w:iCs w:val="0"/>
          <w:color w:val="2E74B5" w:themeColor="accent1" w:themeShade="BF"/>
          <w:sz w:val="24"/>
          <w:szCs w:val="24"/>
        </w:rPr>
        <w:t>9</w:t>
      </w:r>
    </w:p>
    <w:p w14:paraId="61F0B71A" w14:textId="77777777" w:rsidR="009E71B0" w:rsidRPr="0057464C" w:rsidRDefault="00E03249" w:rsidP="0057464C">
      <w:pPr>
        <w:pStyle w:val="Pkladyvrmeku"/>
        <w:rPr>
          <w:iCs/>
        </w:rPr>
      </w:pPr>
      <w:r>
        <w:rPr>
          <w:rFonts w:cstheme="minorHAnsi"/>
        </w:rPr>
        <w:t>Koordinátor</w:t>
      </w:r>
      <w:r w:rsidR="009E71B0" w:rsidRPr="0057464C">
        <w:rPr>
          <w:iCs/>
        </w:rPr>
        <w:t xml:space="preserve"> pro Jihomoravský kraj v červenci 2019 vykázal administrativní činnost v délce 109 hodin (tj. </w:t>
      </w:r>
      <w:r w:rsidR="00C17961">
        <w:rPr>
          <w:iCs/>
        </w:rPr>
        <w:t xml:space="preserve">plných </w:t>
      </w:r>
      <w:r w:rsidR="009E71B0" w:rsidRPr="0057464C">
        <w:rPr>
          <w:iCs/>
        </w:rPr>
        <w:t xml:space="preserve">82 % z měsíčních odpracovaných hodin), zatímco </w:t>
      </w:r>
      <w:r>
        <w:rPr>
          <w:rFonts w:cstheme="minorHAnsi"/>
        </w:rPr>
        <w:t>koordinátor</w:t>
      </w:r>
      <w:r w:rsidR="009E71B0" w:rsidRPr="0057464C">
        <w:rPr>
          <w:iCs/>
        </w:rPr>
        <w:t xml:space="preserve"> pro Olomoucký kraj ve stejném období vykonával administrativní činnost v délce 27,5 hodiny.</w:t>
      </w:r>
    </w:p>
    <w:p w14:paraId="6AAD5901" w14:textId="77777777" w:rsidR="00BB1503" w:rsidRDefault="00E03249" w:rsidP="0057464C">
      <w:pPr>
        <w:pStyle w:val="Pkladyvrmeku"/>
        <w:rPr>
          <w:iCs/>
        </w:rPr>
      </w:pPr>
      <w:r>
        <w:rPr>
          <w:rFonts w:cstheme="minorHAnsi"/>
        </w:rPr>
        <w:t>Koordinátor</w:t>
      </w:r>
      <w:r w:rsidR="009E71B0" w:rsidRPr="0057464C">
        <w:rPr>
          <w:iCs/>
        </w:rPr>
        <w:t xml:space="preserve"> pro Karlovarský kraj v červenci 2022 strávil administrativními pracemi 149 hodin (tj. </w:t>
      </w:r>
      <w:r w:rsidR="00C17961">
        <w:rPr>
          <w:iCs/>
        </w:rPr>
        <w:t xml:space="preserve">plných </w:t>
      </w:r>
      <w:r w:rsidR="009E71B0" w:rsidRPr="0057464C">
        <w:rPr>
          <w:iCs/>
        </w:rPr>
        <w:t xml:space="preserve">73 % z měsíční odpracované doby), zatímco </w:t>
      </w:r>
      <w:r>
        <w:rPr>
          <w:rFonts w:cstheme="minorHAnsi"/>
        </w:rPr>
        <w:t>koordinátor</w:t>
      </w:r>
      <w:r w:rsidR="009E71B0" w:rsidRPr="0057464C">
        <w:rPr>
          <w:iCs/>
        </w:rPr>
        <w:t xml:space="preserve"> pro Olomoucký kraj vykonával administrativní činnost v červenci roku 2022 v délce 15,5 hodiny.</w:t>
      </w:r>
    </w:p>
    <w:p w14:paraId="173C5F2C" w14:textId="77777777" w:rsidR="009E71B0" w:rsidRPr="00030FDF" w:rsidRDefault="00FE5342" w:rsidP="005E2807">
      <w:pPr>
        <w:pStyle w:val="JK4"/>
        <w:ind w:left="0" w:firstLine="0"/>
      </w:pPr>
      <w:r w:rsidRPr="002426F9">
        <w:t>NKÚ při kontrole zjistil</w:t>
      </w:r>
      <w:r>
        <w:t xml:space="preserve"> i další případy, kdy </w:t>
      </w:r>
      <w:r w:rsidR="00E03249">
        <w:rPr>
          <w:rFonts w:cstheme="minorHAnsi"/>
        </w:rPr>
        <w:t>koordinátoři</w:t>
      </w:r>
      <w:r>
        <w:t xml:space="preserve"> realizovali činnosti, které neměl</w:t>
      </w:r>
      <w:r w:rsidR="00A2352B">
        <w:t>y</w:t>
      </w:r>
      <w:r>
        <w:t xml:space="preserve"> žádný přínos pro BESIP v krajích. </w:t>
      </w:r>
      <w:r w:rsidRPr="002426F9">
        <w:t>CSPSD se vyhodnocením těchto aktivit nezabývalo a</w:t>
      </w:r>
      <w:r w:rsidR="00E9425D">
        <w:t> </w:t>
      </w:r>
      <w:r w:rsidR="00E03249">
        <w:rPr>
          <w:rFonts w:cstheme="minorHAnsi"/>
        </w:rPr>
        <w:t>koordinátorům</w:t>
      </w:r>
      <w:r w:rsidR="00E9425D">
        <w:rPr>
          <w:rFonts w:cstheme="minorHAnsi"/>
        </w:rPr>
        <w:t xml:space="preserve"> je</w:t>
      </w:r>
      <w:r>
        <w:t xml:space="preserve"> uhradilo</w:t>
      </w:r>
      <w:r w:rsidR="00722DA2">
        <w:t xml:space="preserve">, což </w:t>
      </w:r>
      <w:r w:rsidR="00722DA2" w:rsidRPr="00030FDF">
        <w:t xml:space="preserve">ilustruje příklad č. </w:t>
      </w:r>
      <w:r w:rsidR="001C6AFE">
        <w:t>10</w:t>
      </w:r>
      <w:r w:rsidRPr="00030FDF">
        <w:t>.</w:t>
      </w:r>
      <w:r w:rsidR="00EE78FA" w:rsidRPr="00030FDF">
        <w:t xml:space="preserve"> </w:t>
      </w:r>
    </w:p>
    <w:p w14:paraId="021BCC5E" w14:textId="77777777" w:rsidR="009E71B0" w:rsidRPr="007C3517" w:rsidRDefault="009E71B0" w:rsidP="007C3517">
      <w:pPr>
        <w:pStyle w:val="Titulek"/>
        <w:keepNext/>
        <w:spacing w:after="0"/>
        <w:rPr>
          <w:rFonts w:cstheme="minorHAnsi"/>
          <w:b/>
          <w:bCs/>
          <w:i w:val="0"/>
          <w:iCs w:val="0"/>
          <w:color w:val="2E74B5" w:themeColor="accent1" w:themeShade="BF"/>
          <w:sz w:val="24"/>
          <w:szCs w:val="24"/>
        </w:rPr>
      </w:pPr>
      <w:r w:rsidRPr="007C3517">
        <w:rPr>
          <w:rFonts w:cstheme="minorHAnsi"/>
          <w:b/>
          <w:bCs/>
          <w:i w:val="0"/>
          <w:iCs w:val="0"/>
          <w:color w:val="2E74B5" w:themeColor="accent1" w:themeShade="BF"/>
          <w:sz w:val="24"/>
          <w:szCs w:val="24"/>
        </w:rPr>
        <w:t xml:space="preserve">Příklad č. </w:t>
      </w:r>
      <w:r w:rsidR="001C6AFE">
        <w:rPr>
          <w:rFonts w:cstheme="minorHAnsi"/>
          <w:b/>
          <w:bCs/>
          <w:i w:val="0"/>
          <w:iCs w:val="0"/>
          <w:color w:val="2E74B5" w:themeColor="accent1" w:themeShade="BF"/>
          <w:sz w:val="24"/>
          <w:szCs w:val="24"/>
        </w:rPr>
        <w:t>10</w:t>
      </w:r>
    </w:p>
    <w:p w14:paraId="7F7BDA28" w14:textId="77777777" w:rsidR="009E71B0" w:rsidRPr="002426F9" w:rsidRDefault="00E03249" w:rsidP="0084264B">
      <w:pPr>
        <w:pStyle w:val="Pkladyvrmeku"/>
        <w:pBdr>
          <w:left w:val="single" w:sz="4" w:space="4" w:color="auto"/>
        </w:pBdr>
        <w:rPr>
          <w:iCs/>
        </w:rPr>
      </w:pPr>
      <w:r>
        <w:rPr>
          <w:rFonts w:cstheme="minorHAnsi"/>
        </w:rPr>
        <w:t>Koordinátor</w:t>
      </w:r>
      <w:r w:rsidR="009E71B0" w:rsidRPr="0057464C">
        <w:rPr>
          <w:iCs/>
        </w:rPr>
        <w:t xml:space="preserve"> pro Králov</w:t>
      </w:r>
      <w:r w:rsidR="00E9425D">
        <w:rPr>
          <w:iCs/>
        </w:rPr>
        <w:t>é</w:t>
      </w:r>
      <w:r w:rsidR="009E71B0" w:rsidRPr="0057464C">
        <w:rPr>
          <w:iCs/>
        </w:rPr>
        <w:t>hradecký kraj absolvoval v</w:t>
      </w:r>
      <w:r w:rsidR="00E9425D">
        <w:rPr>
          <w:iCs/>
        </w:rPr>
        <w:t xml:space="preserve"> </w:t>
      </w:r>
      <w:r w:rsidR="009E71B0" w:rsidRPr="0057464C">
        <w:rPr>
          <w:iCs/>
        </w:rPr>
        <w:t xml:space="preserve">únoru 2020 celkem 10 </w:t>
      </w:r>
      <w:r w:rsidR="00EE78FA">
        <w:rPr>
          <w:iCs/>
        </w:rPr>
        <w:t xml:space="preserve">různých celodenních </w:t>
      </w:r>
      <w:r w:rsidR="009E71B0" w:rsidRPr="0057464C">
        <w:rPr>
          <w:iCs/>
        </w:rPr>
        <w:t>jednání</w:t>
      </w:r>
      <w:r w:rsidR="00EE78FA">
        <w:rPr>
          <w:iCs/>
        </w:rPr>
        <w:t xml:space="preserve"> v trvání </w:t>
      </w:r>
      <w:r w:rsidR="009E71B0" w:rsidRPr="0057464C">
        <w:rPr>
          <w:iCs/>
        </w:rPr>
        <w:t xml:space="preserve">sedm až </w:t>
      </w:r>
      <w:r w:rsidR="00C17961">
        <w:rPr>
          <w:iCs/>
        </w:rPr>
        <w:t>dvanáct</w:t>
      </w:r>
      <w:r w:rsidR="009E71B0" w:rsidRPr="0057464C">
        <w:rPr>
          <w:iCs/>
        </w:rPr>
        <w:t xml:space="preserve"> hodin. </w:t>
      </w:r>
      <w:r>
        <w:rPr>
          <w:iCs/>
        </w:rPr>
        <w:t>K</w:t>
      </w:r>
      <w:r>
        <w:rPr>
          <w:rFonts w:cstheme="minorHAnsi"/>
        </w:rPr>
        <w:t>oordinátor</w:t>
      </w:r>
      <w:r w:rsidR="009E71B0" w:rsidRPr="0057464C">
        <w:rPr>
          <w:iCs/>
        </w:rPr>
        <w:t xml:space="preserve"> tak pro</w:t>
      </w:r>
      <w:r w:rsidR="00E9425D">
        <w:rPr>
          <w:iCs/>
        </w:rPr>
        <w:t xml:space="preserve"> </w:t>
      </w:r>
      <w:r w:rsidR="009E71B0" w:rsidRPr="0057464C">
        <w:rPr>
          <w:iCs/>
        </w:rPr>
        <w:t xml:space="preserve">CSPSD odpracoval 198 </w:t>
      </w:r>
      <w:r w:rsidR="009E71B0" w:rsidRPr="002426F9">
        <w:rPr>
          <w:iCs/>
        </w:rPr>
        <w:t xml:space="preserve">hodin, přičemž z toho 86 hodin </w:t>
      </w:r>
      <w:r w:rsidR="00EE78FA">
        <w:rPr>
          <w:iCs/>
        </w:rPr>
        <w:t>se týkalo</w:t>
      </w:r>
      <w:r w:rsidR="009E71B0" w:rsidRPr="002426F9">
        <w:rPr>
          <w:iCs/>
        </w:rPr>
        <w:t xml:space="preserve"> jednání, </w:t>
      </w:r>
      <w:r w:rsidR="007C3517" w:rsidRPr="002426F9">
        <w:rPr>
          <w:iCs/>
        </w:rPr>
        <w:t xml:space="preserve">pro </w:t>
      </w:r>
      <w:r w:rsidR="00E9425D">
        <w:rPr>
          <w:iCs/>
        </w:rPr>
        <w:t>něž</w:t>
      </w:r>
      <w:r w:rsidR="007C3517" w:rsidRPr="002426F9">
        <w:rPr>
          <w:iCs/>
        </w:rPr>
        <w:t xml:space="preserve"> nedoložil </w:t>
      </w:r>
      <w:r w:rsidR="00EE78FA">
        <w:rPr>
          <w:iCs/>
        </w:rPr>
        <w:t>písemné záznamy ani další informace</w:t>
      </w:r>
      <w:r w:rsidR="00835BA2">
        <w:rPr>
          <w:iCs/>
        </w:rPr>
        <w:t xml:space="preserve">, </w:t>
      </w:r>
      <w:r w:rsidR="00E9425D">
        <w:rPr>
          <w:iCs/>
        </w:rPr>
        <w:t>které by prokazovaly, že</w:t>
      </w:r>
      <w:r w:rsidR="00835BA2">
        <w:rPr>
          <w:iCs/>
        </w:rPr>
        <w:t xml:space="preserve"> tato jednání </w:t>
      </w:r>
      <w:r w:rsidR="00E9425D">
        <w:rPr>
          <w:iCs/>
        </w:rPr>
        <w:t xml:space="preserve">měla </w:t>
      </w:r>
      <w:r w:rsidR="00835BA2">
        <w:rPr>
          <w:iCs/>
        </w:rPr>
        <w:t>charakter aktivit v oblasti BESIP</w:t>
      </w:r>
      <w:r w:rsidR="007C3517" w:rsidRPr="002426F9">
        <w:rPr>
          <w:iCs/>
        </w:rPr>
        <w:t>.</w:t>
      </w:r>
      <w:r w:rsidR="00835BA2">
        <w:rPr>
          <w:iCs/>
        </w:rPr>
        <w:t xml:space="preserve"> CSPSD přesto tyto aktivity uhradilo.</w:t>
      </w:r>
    </w:p>
    <w:p w14:paraId="4D6D3096" w14:textId="77777777" w:rsidR="00511D3E" w:rsidRDefault="009E71B0" w:rsidP="0084264B">
      <w:pPr>
        <w:pStyle w:val="Pkladyvrmeku"/>
        <w:pBdr>
          <w:left w:val="single" w:sz="4" w:space="4" w:color="auto"/>
        </w:pBdr>
        <w:rPr>
          <w:iCs/>
        </w:rPr>
      </w:pPr>
      <w:r w:rsidRPr="002426F9">
        <w:rPr>
          <w:iCs/>
        </w:rPr>
        <w:t>K</w:t>
      </w:r>
      <w:r w:rsidR="00E03249">
        <w:rPr>
          <w:rFonts w:cstheme="minorHAnsi"/>
        </w:rPr>
        <w:t>oordinátor</w:t>
      </w:r>
      <w:r w:rsidRPr="002426F9">
        <w:rPr>
          <w:iCs/>
        </w:rPr>
        <w:t xml:space="preserve"> pro Moravskoslezský kraj se v kontrolovaném období </w:t>
      </w:r>
      <w:r w:rsidR="00511D3E">
        <w:rPr>
          <w:iCs/>
        </w:rPr>
        <w:t xml:space="preserve">celkem pětkrát </w:t>
      </w:r>
      <w:r w:rsidR="00E9425D">
        <w:rPr>
          <w:iCs/>
        </w:rPr>
        <w:t>z</w:t>
      </w:r>
      <w:r w:rsidRPr="002426F9">
        <w:rPr>
          <w:iCs/>
        </w:rPr>
        <w:t xml:space="preserve">účastnil </w:t>
      </w:r>
      <w:r w:rsidR="00511D3E">
        <w:rPr>
          <w:iCs/>
        </w:rPr>
        <w:t>s</w:t>
      </w:r>
      <w:r w:rsidRPr="002426F9">
        <w:rPr>
          <w:iCs/>
        </w:rPr>
        <w:t>lavnostního otevření přechodů pro chodce, na kterých bylo v</w:t>
      </w:r>
      <w:r w:rsidR="003B3E0E">
        <w:rPr>
          <w:iCs/>
        </w:rPr>
        <w:t xml:space="preserve"> </w:t>
      </w:r>
      <w:r w:rsidRPr="002426F9">
        <w:rPr>
          <w:iCs/>
        </w:rPr>
        <w:t xml:space="preserve">rámci grantu </w:t>
      </w:r>
      <w:r w:rsidR="003B3E0E">
        <w:rPr>
          <w:iCs/>
        </w:rPr>
        <w:t>„</w:t>
      </w:r>
      <w:r w:rsidRPr="002426F9">
        <w:rPr>
          <w:iCs/>
        </w:rPr>
        <w:t>Nadace ČEZ</w:t>
      </w:r>
      <w:r w:rsidR="003B3E0E">
        <w:rPr>
          <w:iCs/>
        </w:rPr>
        <w:t>“</w:t>
      </w:r>
      <w:r w:rsidRPr="002426F9">
        <w:rPr>
          <w:iCs/>
        </w:rPr>
        <w:t xml:space="preserve"> instalováno osvětlení ke zvýšení jejich bezpečnosti. </w:t>
      </w:r>
      <w:r w:rsidR="00835BA2">
        <w:rPr>
          <w:iCs/>
        </w:rPr>
        <w:t>Samotná společenská účast na slavnostní akci organizované jinou organizací nemá charakter aktivity v oblasti BESIP</w:t>
      </w:r>
      <w:r w:rsidR="00E9425D">
        <w:rPr>
          <w:iCs/>
        </w:rPr>
        <w:t>,</w:t>
      </w:r>
      <w:r w:rsidR="00835BA2">
        <w:rPr>
          <w:iCs/>
        </w:rPr>
        <w:t xml:space="preserve"> a </w:t>
      </w:r>
      <w:r w:rsidR="00E9425D">
        <w:rPr>
          <w:iCs/>
        </w:rPr>
        <w:t xml:space="preserve">proto </w:t>
      </w:r>
      <w:r w:rsidR="00835BA2">
        <w:rPr>
          <w:iCs/>
        </w:rPr>
        <w:t>neměla být ze</w:t>
      </w:r>
      <w:r w:rsidR="003B3E0E">
        <w:rPr>
          <w:iCs/>
        </w:rPr>
        <w:t xml:space="preserve"> </w:t>
      </w:r>
      <w:r w:rsidR="00835BA2">
        <w:rPr>
          <w:iCs/>
        </w:rPr>
        <w:t>strany CSPSD uhrazena.</w:t>
      </w:r>
    </w:p>
    <w:p w14:paraId="70EDC53A" w14:textId="77777777" w:rsidR="009E71B0" w:rsidRPr="002426F9" w:rsidRDefault="002426F9" w:rsidP="0084264B">
      <w:pPr>
        <w:pStyle w:val="Pkladyvrmeku"/>
        <w:pBdr>
          <w:left w:val="single" w:sz="4" w:space="4" w:color="auto"/>
        </w:pBdr>
        <w:rPr>
          <w:iCs/>
        </w:rPr>
      </w:pPr>
      <w:r>
        <w:rPr>
          <w:iCs/>
        </w:rPr>
        <w:t>K</w:t>
      </w:r>
      <w:r w:rsidR="00E03249">
        <w:rPr>
          <w:rFonts w:cstheme="minorHAnsi"/>
        </w:rPr>
        <w:t>oordináto</w:t>
      </w:r>
      <w:r w:rsidR="005F5896">
        <w:rPr>
          <w:rFonts w:cstheme="minorHAnsi"/>
        </w:rPr>
        <w:t>ři</w:t>
      </w:r>
      <w:r w:rsidR="009E71B0" w:rsidRPr="002426F9">
        <w:rPr>
          <w:iCs/>
        </w:rPr>
        <w:t xml:space="preserve"> pro Jihomoravský a Olomoucký kraj vykázali mezi realizovanými činnost</w:t>
      </w:r>
      <w:r w:rsidR="00EB4D76">
        <w:rPr>
          <w:iCs/>
        </w:rPr>
        <w:t>m</w:t>
      </w:r>
      <w:r w:rsidR="009E71B0" w:rsidRPr="002426F9">
        <w:rPr>
          <w:iCs/>
        </w:rPr>
        <w:t>i svou účast na</w:t>
      </w:r>
      <w:r w:rsidR="00E9425D">
        <w:rPr>
          <w:iCs/>
        </w:rPr>
        <w:t xml:space="preserve"> </w:t>
      </w:r>
      <w:r w:rsidR="009E71B0" w:rsidRPr="002426F9">
        <w:rPr>
          <w:iCs/>
        </w:rPr>
        <w:t>slavnostním předávání ocenění za</w:t>
      </w:r>
      <w:r w:rsidR="00E9425D">
        <w:rPr>
          <w:iCs/>
        </w:rPr>
        <w:t xml:space="preserve"> </w:t>
      </w:r>
      <w:r w:rsidR="009E71B0" w:rsidRPr="002426F9">
        <w:rPr>
          <w:iCs/>
        </w:rPr>
        <w:t>spolupráci s</w:t>
      </w:r>
      <w:r w:rsidR="00E9425D">
        <w:rPr>
          <w:iCs/>
        </w:rPr>
        <w:t xml:space="preserve"> </w:t>
      </w:r>
      <w:r w:rsidR="009E71B0" w:rsidRPr="002426F9">
        <w:rPr>
          <w:iCs/>
        </w:rPr>
        <w:t>Policií ČR.</w:t>
      </w:r>
      <w:r w:rsidR="00835BA2">
        <w:rPr>
          <w:iCs/>
        </w:rPr>
        <w:t xml:space="preserve"> Ani účast na</w:t>
      </w:r>
      <w:r w:rsidR="00E9425D">
        <w:rPr>
          <w:iCs/>
        </w:rPr>
        <w:t xml:space="preserve"> takovéto </w:t>
      </w:r>
      <w:r w:rsidR="00835BA2">
        <w:rPr>
          <w:iCs/>
        </w:rPr>
        <w:t>společenské akci nepovažuje NKÚ za aktivitu v oblasti BESIP, která by měla být proplacena ze strany CSPSD.</w:t>
      </w:r>
    </w:p>
    <w:p w14:paraId="6CB440FF" w14:textId="77777777" w:rsidR="004A2296" w:rsidRPr="002C7C06" w:rsidRDefault="00A56070" w:rsidP="005E2807">
      <w:pPr>
        <w:pStyle w:val="JK4"/>
        <w:ind w:left="0" w:firstLine="0"/>
      </w:pPr>
      <w:r w:rsidRPr="00132A84">
        <w:t xml:space="preserve">CSPSD </w:t>
      </w:r>
      <w:r w:rsidR="00340A80">
        <w:t xml:space="preserve">účinně </w:t>
      </w:r>
      <w:r w:rsidR="003A65DF">
        <w:t>nemonitorovalo a nevyhodnocovalo výši</w:t>
      </w:r>
      <w:r w:rsidRPr="00132A84">
        <w:t xml:space="preserve"> </w:t>
      </w:r>
      <w:r w:rsidR="003A65DF">
        <w:t>provozních</w:t>
      </w:r>
      <w:r w:rsidRPr="00132A84">
        <w:t xml:space="preserve"> nákladů </w:t>
      </w:r>
      <w:r w:rsidR="003A65DF">
        <w:t xml:space="preserve">jednotlivých </w:t>
      </w:r>
      <w:r w:rsidR="00E03249">
        <w:rPr>
          <w:rFonts w:cstheme="minorHAnsi"/>
          <w:szCs w:val="24"/>
        </w:rPr>
        <w:t>koordinátorů</w:t>
      </w:r>
      <w:r w:rsidR="004A2296">
        <w:t xml:space="preserve">. </w:t>
      </w:r>
      <w:r w:rsidR="00F201D0">
        <w:t xml:space="preserve">CSPSD ani nevyužilo skutečnosti, že má smluvní vztahy s </w:t>
      </w:r>
      <w:r w:rsidR="006D1885">
        <w:t>14</w:t>
      </w:r>
      <w:r w:rsidR="00F201D0">
        <w:t xml:space="preserve"> </w:t>
      </w:r>
      <w:r w:rsidR="00E03249">
        <w:rPr>
          <w:rFonts w:cstheme="minorHAnsi"/>
          <w:szCs w:val="24"/>
        </w:rPr>
        <w:t>koordinátory</w:t>
      </w:r>
      <w:r w:rsidR="00F201D0">
        <w:t xml:space="preserve"> vykonávajícími v jednotlivých krajích obdobné činnosti a vykazujícími podobný typ nákladů, </w:t>
      </w:r>
      <w:r w:rsidR="00C17961">
        <w:lastRenderedPageBreak/>
        <w:t>kdy mohlo provést</w:t>
      </w:r>
      <w:r w:rsidR="00F201D0">
        <w:t xml:space="preserve"> jejich srovnání a vyhodnocení</w:t>
      </w:r>
      <w:r w:rsidR="004A2296">
        <w:t xml:space="preserve"> a </w:t>
      </w:r>
      <w:r w:rsidR="00340A80">
        <w:t>případně zav</w:t>
      </w:r>
      <w:r w:rsidR="00C17961">
        <w:t>ést</w:t>
      </w:r>
      <w:r w:rsidR="006D1885">
        <w:t xml:space="preserve"> </w:t>
      </w:r>
      <w:r w:rsidR="00340A80">
        <w:t xml:space="preserve">opatření </w:t>
      </w:r>
      <w:r w:rsidR="00C17961">
        <w:t>k</w:t>
      </w:r>
      <w:r w:rsidR="00570AC6">
        <w:t xml:space="preserve"> </w:t>
      </w:r>
      <w:r w:rsidR="00C17961">
        <w:t xml:space="preserve">vyšší </w:t>
      </w:r>
      <w:r w:rsidR="004A2296">
        <w:t>hospodárnost</w:t>
      </w:r>
      <w:r w:rsidR="00C17961">
        <w:t>i</w:t>
      </w:r>
      <w:r w:rsidR="004A2296">
        <w:t xml:space="preserve"> čerpání</w:t>
      </w:r>
      <w:r w:rsidR="00C17961">
        <w:t xml:space="preserve"> peněžních prostředků</w:t>
      </w:r>
      <w:r w:rsidR="004A2296">
        <w:t>.</w:t>
      </w:r>
    </w:p>
    <w:p w14:paraId="5A2E6B73" w14:textId="0CDE3940" w:rsidR="003E5667" w:rsidRDefault="00F201D0" w:rsidP="005E2807">
      <w:pPr>
        <w:pStyle w:val="JK4"/>
        <w:ind w:left="0" w:firstLine="0"/>
        <w:rPr>
          <w:rFonts w:cstheme="minorHAnsi"/>
          <w:color w:val="000000"/>
          <w:szCs w:val="24"/>
        </w:rPr>
      </w:pPr>
      <w:bookmarkStart w:id="26" w:name="_Hlk141091699"/>
      <w:r>
        <w:t xml:space="preserve">NKÚ proto shrnuje, </w:t>
      </w:r>
      <w:r w:rsidRPr="00373372">
        <w:t xml:space="preserve">že zjištěné a výše </w:t>
      </w:r>
      <w:r w:rsidR="00173F23">
        <w:t>popsané</w:t>
      </w:r>
      <w:r w:rsidRPr="00373372">
        <w:t xml:space="preserve"> nedostatky snižují</w:t>
      </w:r>
      <w:r>
        <w:t xml:space="preserve"> významně účelnost a</w:t>
      </w:r>
      <w:r w:rsidR="00173F23">
        <w:t> </w:t>
      </w:r>
      <w:r>
        <w:t xml:space="preserve">hospodárnost </w:t>
      </w:r>
      <w:r w:rsidR="00C17961">
        <w:t xml:space="preserve">peněžních </w:t>
      </w:r>
      <w:r>
        <w:t xml:space="preserve">prostředků, které CSPSD vynaložilo </w:t>
      </w:r>
      <w:r w:rsidR="006D1885">
        <w:t>v</w:t>
      </w:r>
      <w:r w:rsidR="007275A8">
        <w:t xml:space="preserve"> </w:t>
      </w:r>
      <w:r>
        <w:t>kontrolovaném období na</w:t>
      </w:r>
      <w:r w:rsidR="00173F23">
        <w:t xml:space="preserve"> </w:t>
      </w:r>
      <w:r>
        <w:t xml:space="preserve">služby </w:t>
      </w:r>
      <w:r w:rsidR="00E03249">
        <w:rPr>
          <w:rFonts w:cstheme="minorHAnsi"/>
          <w:szCs w:val="24"/>
        </w:rPr>
        <w:t>koordinátorů</w:t>
      </w:r>
      <w:r>
        <w:t xml:space="preserve">. </w:t>
      </w:r>
      <w:r w:rsidR="005A3C9D">
        <w:t>A</w:t>
      </w:r>
      <w:r w:rsidR="00C101EE" w:rsidRPr="005A3C9D">
        <w:t>bsenc</w:t>
      </w:r>
      <w:r w:rsidR="005A3C9D">
        <w:t>e</w:t>
      </w:r>
      <w:r w:rsidR="00C101EE" w:rsidRPr="005A3C9D">
        <w:t xml:space="preserve"> jednoznačných kritérií </w:t>
      </w:r>
      <w:r w:rsidR="00173F23">
        <w:t xml:space="preserve">pro </w:t>
      </w:r>
      <w:r w:rsidR="00C101EE" w:rsidRPr="005A3C9D">
        <w:t>hodnocení činnost</w:t>
      </w:r>
      <w:r w:rsidR="005C3F6E">
        <w:t>í</w:t>
      </w:r>
      <w:r w:rsidR="00C101EE" w:rsidRPr="005A3C9D">
        <w:t xml:space="preserve"> </w:t>
      </w:r>
      <w:r w:rsidR="00E03249">
        <w:rPr>
          <w:rFonts w:cstheme="minorHAnsi"/>
          <w:szCs w:val="24"/>
        </w:rPr>
        <w:t>koordinátorů</w:t>
      </w:r>
      <w:r w:rsidR="00C101EE" w:rsidRPr="005A3C9D">
        <w:t xml:space="preserve"> </w:t>
      </w:r>
      <w:r w:rsidR="007275A8">
        <w:br/>
      </w:r>
      <w:r w:rsidR="00C101EE" w:rsidRPr="005A3C9D">
        <w:t>a</w:t>
      </w:r>
      <w:r w:rsidR="007275A8">
        <w:t xml:space="preserve"> </w:t>
      </w:r>
      <w:r w:rsidR="00C101EE" w:rsidRPr="005A3C9D">
        <w:t>jej</w:t>
      </w:r>
      <w:r w:rsidR="005C3F6E">
        <w:t>ich</w:t>
      </w:r>
      <w:r w:rsidR="00C101EE" w:rsidRPr="005A3C9D">
        <w:t xml:space="preserve"> přínosu pro BESIP v</w:t>
      </w:r>
      <w:r w:rsidR="00173F23">
        <w:t xml:space="preserve"> </w:t>
      </w:r>
      <w:r w:rsidR="00C101EE" w:rsidRPr="005A3C9D">
        <w:t>krajích</w:t>
      </w:r>
      <w:r w:rsidR="00173F23">
        <w:t>,</w:t>
      </w:r>
      <w:r w:rsidR="005C3F6E">
        <w:t xml:space="preserve"> </w:t>
      </w:r>
      <w:r w:rsidR="00EA3B02" w:rsidRPr="005A3C9D">
        <w:t>nedostatečn</w:t>
      </w:r>
      <w:r w:rsidR="00173F23">
        <w:t>é</w:t>
      </w:r>
      <w:r w:rsidR="00EA3B02" w:rsidRPr="005A3C9D">
        <w:t xml:space="preserve"> informace o realizovaných činnostech </w:t>
      </w:r>
      <w:r w:rsidR="00E03249">
        <w:rPr>
          <w:rFonts w:cstheme="minorHAnsi"/>
          <w:szCs w:val="24"/>
        </w:rPr>
        <w:t>koordinátorů</w:t>
      </w:r>
      <w:r>
        <w:t xml:space="preserve"> a jejich přínosu</w:t>
      </w:r>
      <w:r w:rsidR="00EA3B02" w:rsidRPr="005A3C9D">
        <w:t xml:space="preserve">, </w:t>
      </w:r>
      <w:r w:rsidR="00DE2105" w:rsidRPr="00DE2105">
        <w:t xml:space="preserve">které </w:t>
      </w:r>
      <w:r w:rsidR="00EA3B02" w:rsidRPr="00DE2105">
        <w:t>MD</w:t>
      </w:r>
      <w:r w:rsidR="005A3C9D" w:rsidRPr="00DE2105">
        <w:t xml:space="preserve"> </w:t>
      </w:r>
      <w:r w:rsidR="00173F23">
        <w:t>ani</w:t>
      </w:r>
      <w:r w:rsidR="005A3C9D" w:rsidRPr="00DE2105">
        <w:t xml:space="preserve"> CSPSD účinně </w:t>
      </w:r>
      <w:r w:rsidR="006A02F8" w:rsidRPr="00DE2105">
        <w:t>nemonitoroval</w:t>
      </w:r>
      <w:r w:rsidR="006A02F8">
        <w:t>y</w:t>
      </w:r>
      <w:r w:rsidR="006A02F8" w:rsidRPr="00DE2105">
        <w:t xml:space="preserve"> </w:t>
      </w:r>
      <w:r w:rsidR="005A3C9D" w:rsidRPr="00DE2105">
        <w:t>a</w:t>
      </w:r>
      <w:r w:rsidR="00173F23">
        <w:t xml:space="preserve"> </w:t>
      </w:r>
      <w:r w:rsidR="006A02F8" w:rsidRPr="00DE2105">
        <w:t>nevyhodnocoval</w:t>
      </w:r>
      <w:r w:rsidR="006A02F8">
        <w:t>y</w:t>
      </w:r>
      <w:r w:rsidR="005A3C9D" w:rsidRPr="00DE2105">
        <w:t xml:space="preserve">, </w:t>
      </w:r>
      <w:r w:rsidR="00C252FB" w:rsidRPr="009B1352">
        <w:rPr>
          <w:rFonts w:cstheme="minorHAnsi"/>
          <w:color w:val="000000"/>
          <w:kern w:val="24"/>
          <w:szCs w:val="24"/>
        </w:rPr>
        <w:t xml:space="preserve">proplácení vykazovaných aktivit bez prokázaného vlivu na oblast BESIP nebo </w:t>
      </w:r>
      <w:r w:rsidR="00173F23">
        <w:rPr>
          <w:rFonts w:cstheme="minorHAnsi"/>
          <w:color w:val="000000"/>
          <w:kern w:val="24"/>
          <w:szCs w:val="24"/>
        </w:rPr>
        <w:t xml:space="preserve">proplácení </w:t>
      </w:r>
      <w:r w:rsidR="004B064F" w:rsidRPr="009B1352">
        <w:rPr>
          <w:rFonts w:cstheme="minorHAnsi"/>
          <w:color w:val="000000"/>
          <w:kern w:val="24"/>
          <w:szCs w:val="24"/>
        </w:rPr>
        <w:t>vykazov</w:t>
      </w:r>
      <w:r w:rsidR="004B064F">
        <w:rPr>
          <w:rFonts w:cstheme="minorHAnsi"/>
          <w:color w:val="000000"/>
          <w:kern w:val="24"/>
          <w:szCs w:val="24"/>
        </w:rPr>
        <w:t>aného</w:t>
      </w:r>
      <w:r w:rsidR="004B064F" w:rsidRPr="009B1352">
        <w:rPr>
          <w:rFonts w:cstheme="minorHAnsi"/>
          <w:color w:val="000000"/>
          <w:kern w:val="24"/>
          <w:szCs w:val="24"/>
        </w:rPr>
        <w:t xml:space="preserve"> </w:t>
      </w:r>
      <w:r w:rsidR="00C252FB" w:rsidRPr="009B1352">
        <w:rPr>
          <w:rFonts w:cstheme="minorHAnsi"/>
          <w:color w:val="000000"/>
          <w:kern w:val="24"/>
          <w:szCs w:val="24"/>
        </w:rPr>
        <w:t>vysokého objemu podpůrných činností,</w:t>
      </w:r>
      <w:r w:rsidR="00C252FB" w:rsidRPr="009B1352">
        <w:rPr>
          <w:szCs w:val="24"/>
        </w:rPr>
        <w:t xml:space="preserve"> </w:t>
      </w:r>
      <w:r w:rsidR="00173F23">
        <w:rPr>
          <w:szCs w:val="24"/>
        </w:rPr>
        <w:t xml:space="preserve">to všechno </w:t>
      </w:r>
      <w:r w:rsidR="005A3C9D" w:rsidRPr="00DE2105">
        <w:t>jsou faktory</w:t>
      </w:r>
      <w:r w:rsidR="005C3F6E">
        <w:t xml:space="preserve"> </w:t>
      </w:r>
      <w:r w:rsidR="00173F23">
        <w:t xml:space="preserve">snižující </w:t>
      </w:r>
      <w:r w:rsidR="005A3C9D">
        <w:t xml:space="preserve">významným způsobem </w:t>
      </w:r>
      <w:r w:rsidR="00C101EE" w:rsidRPr="005A3C9D">
        <w:t>účelnos</w:t>
      </w:r>
      <w:r w:rsidR="00C17961">
        <w:t>t i hospodárnost</w:t>
      </w:r>
      <w:r w:rsidR="00C101EE" w:rsidRPr="005A3C9D">
        <w:t xml:space="preserve"> peněžních prostředků, které CSPSD vynaložilo na</w:t>
      </w:r>
      <w:r w:rsidR="00173F23">
        <w:t xml:space="preserve"> </w:t>
      </w:r>
      <w:r w:rsidR="00C101EE" w:rsidRPr="005A3C9D">
        <w:t xml:space="preserve">služby </w:t>
      </w:r>
      <w:r w:rsidR="00E03249">
        <w:rPr>
          <w:rFonts w:cstheme="minorHAnsi"/>
          <w:szCs w:val="24"/>
        </w:rPr>
        <w:t>koordinátor</w:t>
      </w:r>
      <w:r w:rsidR="007256E9">
        <w:rPr>
          <w:rFonts w:cstheme="minorHAnsi"/>
          <w:szCs w:val="24"/>
        </w:rPr>
        <w:t>ů</w:t>
      </w:r>
      <w:r w:rsidR="00C101EE" w:rsidRPr="005A3C9D">
        <w:t>.</w:t>
      </w:r>
      <w:r w:rsidR="00066F14">
        <w:t xml:space="preserve"> </w:t>
      </w:r>
      <w:r w:rsidR="00B72DBE" w:rsidRPr="00066F14">
        <w:rPr>
          <w:rFonts w:cstheme="minorHAnsi"/>
          <w:color w:val="000000"/>
          <w:kern w:val="24"/>
          <w:szCs w:val="24"/>
        </w:rPr>
        <w:t xml:space="preserve">Nenastavení systému kontroly </w:t>
      </w:r>
      <w:r w:rsidRPr="00066F14">
        <w:rPr>
          <w:rFonts w:cstheme="minorHAnsi"/>
          <w:color w:val="000000"/>
          <w:kern w:val="24"/>
          <w:szCs w:val="24"/>
        </w:rPr>
        <w:t xml:space="preserve">množství a </w:t>
      </w:r>
      <w:r w:rsidR="00B72DBE" w:rsidRPr="00066F14">
        <w:rPr>
          <w:rFonts w:cstheme="minorHAnsi"/>
          <w:color w:val="000000"/>
          <w:kern w:val="24"/>
          <w:szCs w:val="24"/>
        </w:rPr>
        <w:t>kvality služeb poskytovaných krajskými koordinátory</w:t>
      </w:r>
      <w:r w:rsidR="00855AA2">
        <w:rPr>
          <w:rFonts w:cstheme="minorHAnsi"/>
          <w:color w:val="000000"/>
          <w:kern w:val="24"/>
          <w:szCs w:val="24"/>
        </w:rPr>
        <w:t xml:space="preserve"> je významným nedostatkem CSPSD z hlediska vytváření podmínek pro hospodárné vynakládání peněžních prostředků.</w:t>
      </w:r>
      <w:r w:rsidR="00373372">
        <w:rPr>
          <w:rFonts w:cstheme="minorHAnsi"/>
          <w:color w:val="000000"/>
          <w:kern w:val="24"/>
          <w:szCs w:val="24"/>
        </w:rPr>
        <w:t xml:space="preserve"> </w:t>
      </w:r>
      <w:r w:rsidR="00173F23">
        <w:rPr>
          <w:rFonts w:cstheme="minorHAnsi"/>
          <w:color w:val="000000"/>
          <w:kern w:val="24"/>
          <w:szCs w:val="24"/>
        </w:rPr>
        <w:t>Ne</w:t>
      </w:r>
      <w:r w:rsidR="00B72DBE" w:rsidRPr="00066F14">
        <w:rPr>
          <w:rFonts w:cstheme="minorHAnsi"/>
          <w:color w:val="000000"/>
          <w:kern w:val="24"/>
          <w:szCs w:val="24"/>
        </w:rPr>
        <w:t>porovnávání</w:t>
      </w:r>
      <w:r w:rsidR="00B72DBE" w:rsidRPr="00F201D0">
        <w:rPr>
          <w:rFonts w:ascii="Calibri" w:eastAsia="Times New Roman" w:hAnsi="Calibri" w:cs="Calibri"/>
          <w:szCs w:val="24"/>
        </w:rPr>
        <w:t xml:space="preserve"> </w:t>
      </w:r>
      <w:r w:rsidR="00B72DBE" w:rsidRPr="00066F14">
        <w:rPr>
          <w:rFonts w:cstheme="minorHAnsi"/>
          <w:color w:val="000000"/>
          <w:szCs w:val="24"/>
        </w:rPr>
        <w:t xml:space="preserve">provozních nákladů za identické služby jednotlivých </w:t>
      </w:r>
      <w:r w:rsidR="007256E9">
        <w:rPr>
          <w:rFonts w:cstheme="minorHAnsi"/>
          <w:szCs w:val="24"/>
        </w:rPr>
        <w:t>koordinátorů</w:t>
      </w:r>
      <w:r w:rsidR="00B72DBE" w:rsidRPr="00066F14">
        <w:rPr>
          <w:rFonts w:cstheme="minorHAnsi"/>
          <w:color w:val="000000"/>
          <w:szCs w:val="24"/>
        </w:rPr>
        <w:t xml:space="preserve"> </w:t>
      </w:r>
      <w:r w:rsidR="00A66CD2">
        <w:rPr>
          <w:rFonts w:cstheme="minorHAnsi"/>
          <w:color w:val="000000"/>
          <w:szCs w:val="24"/>
        </w:rPr>
        <w:t>byl</w:t>
      </w:r>
      <w:r w:rsidR="00855AA2">
        <w:rPr>
          <w:rFonts w:cstheme="minorHAnsi"/>
          <w:color w:val="000000"/>
          <w:szCs w:val="24"/>
        </w:rPr>
        <w:t>o</w:t>
      </w:r>
      <w:r w:rsidR="00B72DBE" w:rsidRPr="00066F14">
        <w:rPr>
          <w:rFonts w:cstheme="minorHAnsi"/>
          <w:color w:val="000000"/>
          <w:szCs w:val="24"/>
        </w:rPr>
        <w:t xml:space="preserve"> </w:t>
      </w:r>
      <w:r w:rsidR="00A66CD2">
        <w:rPr>
          <w:rFonts w:cstheme="minorHAnsi"/>
          <w:color w:val="000000"/>
          <w:szCs w:val="24"/>
        </w:rPr>
        <w:t>nevyuži</w:t>
      </w:r>
      <w:r w:rsidR="00855AA2">
        <w:rPr>
          <w:rFonts w:cstheme="minorHAnsi"/>
          <w:color w:val="000000"/>
          <w:szCs w:val="24"/>
        </w:rPr>
        <w:t>tou</w:t>
      </w:r>
      <w:r w:rsidR="00A66CD2">
        <w:rPr>
          <w:rFonts w:cstheme="minorHAnsi"/>
          <w:color w:val="000000"/>
          <w:szCs w:val="24"/>
        </w:rPr>
        <w:t xml:space="preserve"> možnos</w:t>
      </w:r>
      <w:r w:rsidR="00855AA2">
        <w:rPr>
          <w:rFonts w:cstheme="minorHAnsi"/>
          <w:color w:val="000000"/>
          <w:szCs w:val="24"/>
        </w:rPr>
        <w:t>tí</w:t>
      </w:r>
      <w:r w:rsidR="00A66CD2">
        <w:rPr>
          <w:rFonts w:cstheme="minorHAnsi"/>
          <w:color w:val="000000"/>
          <w:szCs w:val="24"/>
        </w:rPr>
        <w:t xml:space="preserve"> </w:t>
      </w:r>
      <w:r w:rsidR="00C7167C">
        <w:rPr>
          <w:rFonts w:cstheme="minorHAnsi"/>
          <w:color w:val="000000"/>
          <w:szCs w:val="24"/>
        </w:rPr>
        <w:t>na straně CSPSD v řízení a kontrole hospodárnosti vynakládaných peněžních prostředků.</w:t>
      </w:r>
      <w:bookmarkEnd w:id="26"/>
    </w:p>
    <w:p w14:paraId="41DCFB83" w14:textId="77777777" w:rsidR="00A56070" w:rsidRDefault="00FB3ED2" w:rsidP="00A56070">
      <w:pPr>
        <w:pStyle w:val="PodkapitolystiIVKZ"/>
        <w:ind w:left="284" w:hanging="284"/>
        <w:rPr>
          <w:color w:val="2E74B5" w:themeColor="accent1" w:themeShade="BF"/>
        </w:rPr>
      </w:pPr>
      <w:r>
        <w:rPr>
          <w:color w:val="2E74B5" w:themeColor="accent1" w:themeShade="BF"/>
        </w:rPr>
        <w:t>Odstraňování nepovolených reklamních zařízení a zavádění dopravního značení</w:t>
      </w:r>
    </w:p>
    <w:p w14:paraId="55A9972C" w14:textId="77E82763" w:rsidR="00A35A0A" w:rsidRPr="00EF3353" w:rsidRDefault="00A35A0A" w:rsidP="005E2807">
      <w:pPr>
        <w:pStyle w:val="JK4"/>
        <w:ind w:left="0" w:firstLine="0"/>
        <w:rPr>
          <w:szCs w:val="24"/>
        </w:rPr>
      </w:pPr>
      <w:r w:rsidRPr="00173F23">
        <w:rPr>
          <w:szCs w:val="24"/>
        </w:rPr>
        <w:t xml:space="preserve">NKÚ ověřoval soulad postupu ŘSD s platnou </w:t>
      </w:r>
      <w:r w:rsidR="003C6490" w:rsidRPr="00800C93">
        <w:rPr>
          <w:szCs w:val="24"/>
        </w:rPr>
        <w:t>právní úpravou</w:t>
      </w:r>
      <w:r w:rsidRPr="00173F23">
        <w:rPr>
          <w:rStyle w:val="Znakapoznpodarou"/>
          <w:rFonts w:ascii="Calibri" w:hAnsi="Calibri" w:cs="Calibri"/>
          <w:szCs w:val="24"/>
        </w:rPr>
        <w:footnoteReference w:id="45"/>
      </w:r>
      <w:r w:rsidRPr="00173F23">
        <w:rPr>
          <w:szCs w:val="24"/>
        </w:rPr>
        <w:t>, dle k</w:t>
      </w:r>
      <w:r w:rsidRPr="00800C93">
        <w:rPr>
          <w:szCs w:val="24"/>
        </w:rPr>
        <w:t>teré ŘSD zabezpečuje činnosti související se zakrýváním, odstraňováním a likvidací nepovolených reklamních zařízení na dálnicích a</w:t>
      </w:r>
      <w:r w:rsidR="00677513" w:rsidRPr="00800C93">
        <w:rPr>
          <w:szCs w:val="24"/>
        </w:rPr>
        <w:t xml:space="preserve"> </w:t>
      </w:r>
      <w:r w:rsidRPr="00800C93">
        <w:rPr>
          <w:szCs w:val="24"/>
        </w:rPr>
        <w:t xml:space="preserve">silnicích I. třídy </w:t>
      </w:r>
      <w:r w:rsidRPr="00173F23">
        <w:rPr>
          <w:szCs w:val="24"/>
        </w:rPr>
        <w:t xml:space="preserve">a v jejich silničních ochranných pásmech. </w:t>
      </w:r>
      <w:r w:rsidR="003C6490" w:rsidRPr="002C7C06">
        <w:rPr>
          <w:rFonts w:cstheme="minorHAnsi"/>
          <w:szCs w:val="24"/>
          <w:shd w:val="clear" w:color="auto" w:fill="FFFFFF"/>
        </w:rPr>
        <w:t>Současně NKÚ ověřil realizaci vhodného dopravního značení, které je jedním z</w:t>
      </w:r>
      <w:r w:rsidR="00EF3353">
        <w:rPr>
          <w:rFonts w:cstheme="minorHAnsi"/>
          <w:szCs w:val="24"/>
          <w:shd w:val="clear" w:color="auto" w:fill="FFFFFF"/>
        </w:rPr>
        <w:t xml:space="preserve"> </w:t>
      </w:r>
      <w:r w:rsidR="003C6490" w:rsidRPr="002C7C06">
        <w:rPr>
          <w:rFonts w:cstheme="minorHAnsi"/>
          <w:szCs w:val="24"/>
          <w:shd w:val="clear" w:color="auto" w:fill="FFFFFF"/>
        </w:rPr>
        <w:t xml:space="preserve">řady opatření vedoucích ke zvýšení bezpečnosti na </w:t>
      </w:r>
      <w:r w:rsidR="003C6490" w:rsidRPr="00173F23">
        <w:rPr>
          <w:szCs w:val="24"/>
        </w:rPr>
        <w:t>pozemních komunikacích</w:t>
      </w:r>
      <w:r w:rsidR="003C6490" w:rsidRPr="002C7C06">
        <w:rPr>
          <w:rFonts w:cstheme="minorHAnsi"/>
          <w:szCs w:val="24"/>
          <w:shd w:val="clear" w:color="auto" w:fill="FFFFFF"/>
        </w:rPr>
        <w:t>.</w:t>
      </w:r>
      <w:r w:rsidR="003C6490" w:rsidRPr="00173F23">
        <w:rPr>
          <w:szCs w:val="24"/>
        </w:rPr>
        <w:t xml:space="preserve"> </w:t>
      </w:r>
      <w:r w:rsidR="003C6490" w:rsidRPr="00800C93">
        <w:rPr>
          <w:szCs w:val="24"/>
        </w:rPr>
        <w:t xml:space="preserve">Kritériem účelnosti </w:t>
      </w:r>
      <w:r w:rsidR="00A8642C" w:rsidRPr="00800C93">
        <w:rPr>
          <w:szCs w:val="24"/>
        </w:rPr>
        <w:t>vynaložení peněžních prostředků</w:t>
      </w:r>
      <w:r w:rsidR="003C6490" w:rsidRPr="00800C93">
        <w:rPr>
          <w:szCs w:val="24"/>
        </w:rPr>
        <w:t xml:space="preserve"> ŘSD je optimální míra dosažení cílů při plnění stanovených úkolů.</w:t>
      </w:r>
    </w:p>
    <w:p w14:paraId="661950DE" w14:textId="77777777" w:rsidR="00A56070" w:rsidRPr="00156F9B" w:rsidRDefault="00A56070" w:rsidP="00156F9B">
      <w:pPr>
        <w:pStyle w:val="Mluvcnadpis"/>
      </w:pPr>
      <w:r w:rsidRPr="00156F9B">
        <w:t>→</w:t>
      </w:r>
      <w:r w:rsidRPr="00156F9B">
        <w:tab/>
        <w:t>ŘSD při odstraňování nepovolených reklamních zařízení</w:t>
      </w:r>
      <w:r w:rsidR="00A35A0A">
        <w:t xml:space="preserve"> a zavádění dopravního značení</w:t>
      </w:r>
      <w:r w:rsidRPr="00156F9B">
        <w:t xml:space="preserve"> postupovalo účelně a hospodárně.</w:t>
      </w:r>
    </w:p>
    <w:p w14:paraId="74404556" w14:textId="77777777" w:rsidR="00CE65B6" w:rsidRPr="00A35A0A" w:rsidRDefault="00D83AA5" w:rsidP="005E2807">
      <w:pPr>
        <w:pStyle w:val="JK4"/>
        <w:ind w:left="0" w:firstLine="0"/>
      </w:pPr>
      <w:r w:rsidRPr="00A35A0A">
        <w:t xml:space="preserve">ŘSD </w:t>
      </w:r>
      <w:r w:rsidR="00A35A0A" w:rsidRPr="00A35A0A">
        <w:t>eviduje a monitoruje výskyt</w:t>
      </w:r>
      <w:r w:rsidRPr="00A35A0A">
        <w:t xml:space="preserve"> reklamních zařízení</w:t>
      </w:r>
      <w:r w:rsidR="00A35A0A">
        <w:t xml:space="preserve"> a na základě výzvy </w:t>
      </w:r>
      <w:r w:rsidR="00A35A0A" w:rsidRPr="00A35A0A">
        <w:t>příslušného silničního správního úřadu</w:t>
      </w:r>
      <w:r w:rsidR="00A35A0A">
        <w:t xml:space="preserve"> </w:t>
      </w:r>
      <w:r w:rsidR="00522BD3" w:rsidRPr="00A35A0A">
        <w:t xml:space="preserve">může odstranit </w:t>
      </w:r>
      <w:r w:rsidR="00A35A0A">
        <w:t>nepovolená reklamní zařízení. V</w:t>
      </w:r>
      <w:r w:rsidR="00173F23">
        <w:t xml:space="preserve"> </w:t>
      </w:r>
      <w:r w:rsidR="000E0284" w:rsidRPr="00A35A0A">
        <w:t>období od</w:t>
      </w:r>
      <w:r w:rsidR="00800C93">
        <w:t xml:space="preserve"> </w:t>
      </w:r>
      <w:r w:rsidR="000E0284" w:rsidRPr="00A35A0A">
        <w:t>1.</w:t>
      </w:r>
      <w:r w:rsidR="00317FFE">
        <w:t> </w:t>
      </w:r>
      <w:r w:rsidR="000E0284" w:rsidRPr="00A35A0A">
        <w:t>9.</w:t>
      </w:r>
      <w:r w:rsidR="00800C93">
        <w:t xml:space="preserve"> </w:t>
      </w:r>
      <w:r w:rsidR="000E0284" w:rsidRPr="00A35A0A">
        <w:t>2017</w:t>
      </w:r>
      <w:r w:rsidR="001B5419" w:rsidRPr="00A35A0A">
        <w:t xml:space="preserve"> do 31. 3. 2023 </w:t>
      </w:r>
      <w:r w:rsidR="00A35A0A">
        <w:t xml:space="preserve">ŘSD na základě takových výzev odstranilo </w:t>
      </w:r>
      <w:r w:rsidR="001B5419" w:rsidRPr="00A35A0A">
        <w:t xml:space="preserve">celkem </w:t>
      </w:r>
      <w:r w:rsidR="004D7647" w:rsidRPr="00A35A0A">
        <w:t>1</w:t>
      </w:r>
      <w:r w:rsidR="00800C93">
        <w:t xml:space="preserve"> </w:t>
      </w:r>
      <w:r w:rsidR="004D7647" w:rsidRPr="00A35A0A">
        <w:t>956</w:t>
      </w:r>
      <w:r w:rsidR="00800C93">
        <w:t xml:space="preserve"> </w:t>
      </w:r>
      <w:r w:rsidR="00A35A0A">
        <w:t xml:space="preserve">nepovolených </w:t>
      </w:r>
      <w:r w:rsidR="001B5419" w:rsidRPr="00A35A0A">
        <w:t>reklamních zařízení.</w:t>
      </w:r>
    </w:p>
    <w:p w14:paraId="60B0FBA3" w14:textId="77777777" w:rsidR="00FC15B3" w:rsidRPr="002B2B70" w:rsidRDefault="00522BD3" w:rsidP="005E2807">
      <w:pPr>
        <w:pStyle w:val="JK4"/>
        <w:ind w:left="0" w:firstLine="0"/>
      </w:pPr>
      <w:r>
        <w:t xml:space="preserve">NKÚ nezjistil </w:t>
      </w:r>
      <w:r w:rsidR="00D45D56">
        <w:t xml:space="preserve">v postupu ŘSD </w:t>
      </w:r>
      <w:r>
        <w:t>nedostatky</w:t>
      </w:r>
      <w:r w:rsidR="002B2B70">
        <w:t xml:space="preserve"> a </w:t>
      </w:r>
      <w:r w:rsidR="00D45D56">
        <w:t>p</w:t>
      </w:r>
      <w:r w:rsidR="005138C5">
        <w:t xml:space="preserve">ovažuje </w:t>
      </w:r>
      <w:r w:rsidR="00800C93">
        <w:t>vynaložení</w:t>
      </w:r>
      <w:r w:rsidR="005138C5">
        <w:t xml:space="preserve"> peněžních prostředků ve výši 4,8 mil. Kč včetně DPH, které MD v</w:t>
      </w:r>
      <w:r w:rsidR="00EF3353">
        <w:t xml:space="preserve"> </w:t>
      </w:r>
      <w:r w:rsidR="005138C5">
        <w:t>kontrolovaném období vy</w:t>
      </w:r>
      <w:r w:rsidR="00800C93">
        <w:t>dalo</w:t>
      </w:r>
      <w:r w:rsidR="005138C5">
        <w:t xml:space="preserve"> na odstraňování nepovolených reklamních zařízení,</w:t>
      </w:r>
      <w:r>
        <w:t xml:space="preserve"> </w:t>
      </w:r>
      <w:r w:rsidR="00D45D56">
        <w:t>za účeln</w:t>
      </w:r>
      <w:r w:rsidR="005138C5">
        <w:t>é</w:t>
      </w:r>
      <w:r>
        <w:t>.</w:t>
      </w:r>
      <w:r w:rsidR="002B2B70">
        <w:t xml:space="preserve"> </w:t>
      </w:r>
      <w:r w:rsidR="00800C93">
        <w:t>Kontrola</w:t>
      </w:r>
      <w:r w:rsidR="00377DEE">
        <w:t xml:space="preserve"> ne</w:t>
      </w:r>
      <w:r w:rsidR="00A22C2E">
        <w:t>s</w:t>
      </w:r>
      <w:r w:rsidR="00377DEE">
        <w:t>hledal</w:t>
      </w:r>
      <w:r w:rsidR="00800C93">
        <w:t>a</w:t>
      </w:r>
      <w:r w:rsidR="00377DEE">
        <w:t xml:space="preserve"> nedostatky </w:t>
      </w:r>
      <w:r w:rsidR="00800C93">
        <w:t xml:space="preserve">ani </w:t>
      </w:r>
      <w:r w:rsidR="002B2B70">
        <w:t xml:space="preserve">v hospodárnosti </w:t>
      </w:r>
      <w:r w:rsidR="0019139C">
        <w:t>vyna</w:t>
      </w:r>
      <w:r w:rsidR="00800C93">
        <w:t>ložení</w:t>
      </w:r>
      <w:r w:rsidR="00377DEE">
        <w:t xml:space="preserve"> </w:t>
      </w:r>
      <w:r w:rsidR="005138C5">
        <w:t xml:space="preserve">výše uvedených </w:t>
      </w:r>
      <w:r w:rsidR="00377DEE">
        <w:t>peněžních prostředků.</w:t>
      </w:r>
    </w:p>
    <w:p w14:paraId="00B27EC0" w14:textId="77777777" w:rsidR="00CA7DB9" w:rsidRPr="002C7C06" w:rsidRDefault="009D30D6" w:rsidP="005E2807">
      <w:pPr>
        <w:pStyle w:val="JK4"/>
        <w:ind w:left="0" w:firstLine="0"/>
      </w:pPr>
      <w:r w:rsidRPr="00800C93">
        <w:t>V</w:t>
      </w:r>
      <w:r w:rsidR="001259A3" w:rsidRPr="002C7C06">
        <w:rPr>
          <w:rFonts w:cstheme="minorHAnsi"/>
          <w:shd w:val="clear" w:color="auto" w:fill="FFFFFF"/>
        </w:rPr>
        <w:t> období 2019</w:t>
      </w:r>
      <w:r w:rsidR="00EF3353">
        <w:rPr>
          <w:rFonts w:cstheme="minorHAnsi"/>
          <w:shd w:val="clear" w:color="auto" w:fill="FFFFFF"/>
        </w:rPr>
        <w:t>–</w:t>
      </w:r>
      <w:r w:rsidR="001259A3" w:rsidRPr="002C7C06">
        <w:rPr>
          <w:rFonts w:cstheme="minorHAnsi"/>
          <w:shd w:val="clear" w:color="auto" w:fill="FFFFFF"/>
        </w:rPr>
        <w:t>2022</w:t>
      </w:r>
      <w:r w:rsidR="002C16DB" w:rsidRPr="002C7C06">
        <w:rPr>
          <w:rFonts w:cstheme="minorHAnsi"/>
          <w:shd w:val="clear" w:color="auto" w:fill="FFFFFF"/>
        </w:rPr>
        <w:t xml:space="preserve"> </w:t>
      </w:r>
      <w:r w:rsidR="007A1DB8" w:rsidRPr="00800C93">
        <w:t>instalovalo ŘSD na všech 469 dálničních křižovatkách dálniční sítě ČR soubor dopravního značení</w:t>
      </w:r>
      <w:r w:rsidR="007A1DB8" w:rsidRPr="00800C93">
        <w:rPr>
          <w:rStyle w:val="Znakapoznpodarou"/>
        </w:rPr>
        <w:footnoteReference w:id="46"/>
      </w:r>
      <w:r w:rsidR="007A1DB8" w:rsidRPr="00800C93">
        <w:t xml:space="preserve">, </w:t>
      </w:r>
      <w:r w:rsidR="007A1DB8" w:rsidRPr="00EF3353">
        <w:t>kterým informovalo řidiče o jízdě v protisměru a současně jim zakazovalo vjezd na dálnici</w:t>
      </w:r>
      <w:r w:rsidR="00CA7DB9" w:rsidRPr="002C7C06">
        <w:rPr>
          <w:rFonts w:cstheme="minorHAnsi"/>
          <w:shd w:val="clear" w:color="auto" w:fill="FFFFFF"/>
        </w:rPr>
        <w:t>.</w:t>
      </w:r>
      <w:r w:rsidR="00354749" w:rsidRPr="002C7C06">
        <w:rPr>
          <w:rFonts w:cstheme="minorHAnsi"/>
          <w:shd w:val="clear" w:color="auto" w:fill="FFFFFF"/>
        </w:rPr>
        <w:t xml:space="preserve"> </w:t>
      </w:r>
      <w:r w:rsidR="008D0B9A" w:rsidRPr="002C7C06">
        <w:rPr>
          <w:rFonts w:cstheme="minorHAnsi"/>
          <w:shd w:val="clear" w:color="auto" w:fill="FFFFFF"/>
        </w:rPr>
        <w:t>Z</w:t>
      </w:r>
      <w:r w:rsidR="00366365" w:rsidRPr="002C7C06">
        <w:rPr>
          <w:rFonts w:cstheme="minorHAnsi"/>
          <w:shd w:val="clear" w:color="auto" w:fill="FFFFFF"/>
        </w:rPr>
        <w:t>e</w:t>
      </w:r>
      <w:r w:rsidR="00EF3353">
        <w:rPr>
          <w:rFonts w:cstheme="minorHAnsi"/>
          <w:shd w:val="clear" w:color="auto" w:fill="FFFFFF"/>
        </w:rPr>
        <w:t xml:space="preserve"> </w:t>
      </w:r>
      <w:r w:rsidR="00CA7DB9" w:rsidRPr="002C7C06">
        <w:rPr>
          <w:rFonts w:cstheme="minorHAnsi"/>
          <w:shd w:val="clear" w:color="auto" w:fill="FFFFFF"/>
        </w:rPr>
        <w:t>statistiky nahlášen</w:t>
      </w:r>
      <w:r w:rsidR="00EF3353">
        <w:rPr>
          <w:rFonts w:cstheme="minorHAnsi"/>
          <w:shd w:val="clear" w:color="auto" w:fill="FFFFFF"/>
        </w:rPr>
        <w:t>ých</w:t>
      </w:r>
      <w:r w:rsidR="00CA7DB9" w:rsidRPr="002C7C06">
        <w:rPr>
          <w:rFonts w:cstheme="minorHAnsi"/>
          <w:shd w:val="clear" w:color="auto" w:fill="FFFFFF"/>
        </w:rPr>
        <w:t xml:space="preserve"> </w:t>
      </w:r>
      <w:r w:rsidR="00CC2AB4" w:rsidRPr="002C7C06">
        <w:rPr>
          <w:rFonts w:cstheme="minorHAnsi"/>
          <w:shd w:val="clear" w:color="auto" w:fill="FFFFFF"/>
        </w:rPr>
        <w:t>jízd</w:t>
      </w:r>
      <w:r w:rsidR="00550E4B" w:rsidRPr="002C7C06">
        <w:rPr>
          <w:rFonts w:cstheme="minorHAnsi"/>
          <w:shd w:val="clear" w:color="auto" w:fill="FFFFFF"/>
        </w:rPr>
        <w:t xml:space="preserve"> </w:t>
      </w:r>
      <w:r w:rsidR="00CC2AB4" w:rsidRPr="002C7C06">
        <w:rPr>
          <w:rFonts w:cstheme="minorHAnsi"/>
          <w:shd w:val="clear" w:color="auto" w:fill="FFFFFF"/>
        </w:rPr>
        <w:t>v</w:t>
      </w:r>
      <w:r w:rsidR="00CA7DB9" w:rsidRPr="002C7C06">
        <w:rPr>
          <w:rFonts w:cstheme="minorHAnsi"/>
          <w:shd w:val="clear" w:color="auto" w:fill="FFFFFF"/>
        </w:rPr>
        <w:t xml:space="preserve"> protisměru na dálnicích</w:t>
      </w:r>
      <w:r w:rsidR="00C36E64" w:rsidRPr="002C7C06">
        <w:rPr>
          <w:rFonts w:cstheme="minorHAnsi"/>
          <w:shd w:val="clear" w:color="auto" w:fill="FFFFFF"/>
        </w:rPr>
        <w:t xml:space="preserve"> (viz</w:t>
      </w:r>
      <w:r w:rsidR="00570AC6">
        <w:rPr>
          <w:rFonts w:cstheme="minorHAnsi"/>
          <w:shd w:val="clear" w:color="auto" w:fill="FFFFFF"/>
        </w:rPr>
        <w:t> </w:t>
      </w:r>
      <w:r w:rsidR="00C36E64" w:rsidRPr="002C7C06">
        <w:rPr>
          <w:rFonts w:cstheme="minorHAnsi"/>
          <w:shd w:val="clear" w:color="auto" w:fill="FFFFFF"/>
        </w:rPr>
        <w:t xml:space="preserve">tabulka č. </w:t>
      </w:r>
      <w:r w:rsidR="008B2F0A" w:rsidRPr="002C7C06">
        <w:rPr>
          <w:rFonts w:cstheme="minorHAnsi"/>
          <w:shd w:val="clear" w:color="auto" w:fill="FFFFFF"/>
        </w:rPr>
        <w:t>5</w:t>
      </w:r>
      <w:r w:rsidR="00C36E64" w:rsidRPr="002C7C06">
        <w:rPr>
          <w:rFonts w:cstheme="minorHAnsi"/>
          <w:shd w:val="clear" w:color="auto" w:fill="FFFFFF"/>
        </w:rPr>
        <w:t xml:space="preserve">) </w:t>
      </w:r>
      <w:r w:rsidR="00366365" w:rsidRPr="00800C93">
        <w:t>vyplývá</w:t>
      </w:r>
      <w:r w:rsidR="00CA7DB9" w:rsidRPr="002C7C06">
        <w:rPr>
          <w:rFonts w:cstheme="minorHAnsi"/>
          <w:shd w:val="clear" w:color="auto" w:fill="FFFFFF"/>
        </w:rPr>
        <w:t xml:space="preserve"> klesající trend tohoto </w:t>
      </w:r>
      <w:r w:rsidR="002C7ABA" w:rsidRPr="002C7C06">
        <w:rPr>
          <w:rFonts w:cstheme="minorHAnsi"/>
          <w:shd w:val="clear" w:color="auto" w:fill="FFFFFF"/>
        </w:rPr>
        <w:t xml:space="preserve">negativního </w:t>
      </w:r>
      <w:r w:rsidR="00CA7DB9" w:rsidRPr="002C7C06">
        <w:rPr>
          <w:rFonts w:cstheme="minorHAnsi"/>
          <w:shd w:val="clear" w:color="auto" w:fill="FFFFFF"/>
        </w:rPr>
        <w:t>jevu</w:t>
      </w:r>
      <w:r w:rsidR="00366365" w:rsidRPr="002C7C06">
        <w:rPr>
          <w:rFonts w:cstheme="minorHAnsi"/>
          <w:shd w:val="clear" w:color="auto" w:fill="FFFFFF"/>
        </w:rPr>
        <w:t xml:space="preserve">, </w:t>
      </w:r>
      <w:r w:rsidR="00660576" w:rsidRPr="002C7C06">
        <w:rPr>
          <w:rFonts w:cstheme="minorHAnsi"/>
          <w:shd w:val="clear" w:color="auto" w:fill="FFFFFF"/>
        </w:rPr>
        <w:t xml:space="preserve">proto </w:t>
      </w:r>
      <w:r w:rsidR="00EF3353" w:rsidRPr="002E0DF6">
        <w:rPr>
          <w:rFonts w:cstheme="minorHAnsi"/>
          <w:shd w:val="clear" w:color="auto" w:fill="FFFFFF"/>
        </w:rPr>
        <w:t xml:space="preserve">NKÚ </w:t>
      </w:r>
      <w:r w:rsidR="00366365" w:rsidRPr="002C7C06">
        <w:rPr>
          <w:rFonts w:cstheme="minorHAnsi"/>
          <w:shd w:val="clear" w:color="auto" w:fill="FFFFFF"/>
        </w:rPr>
        <w:t xml:space="preserve">hodnotí </w:t>
      </w:r>
      <w:r w:rsidR="00EF3353">
        <w:rPr>
          <w:rFonts w:cstheme="minorHAnsi"/>
          <w:shd w:val="clear" w:color="auto" w:fill="FFFFFF"/>
        </w:rPr>
        <w:t>uvedenou</w:t>
      </w:r>
      <w:r w:rsidR="00C36E64" w:rsidRPr="002C7C06">
        <w:rPr>
          <w:rFonts w:cstheme="minorHAnsi"/>
          <w:shd w:val="clear" w:color="auto" w:fill="FFFFFF"/>
        </w:rPr>
        <w:t xml:space="preserve"> aktivit</w:t>
      </w:r>
      <w:r w:rsidR="00EF3353">
        <w:rPr>
          <w:rFonts w:cstheme="minorHAnsi"/>
          <w:shd w:val="clear" w:color="auto" w:fill="FFFFFF"/>
        </w:rPr>
        <w:t>u</w:t>
      </w:r>
      <w:r w:rsidR="00CA7DB9" w:rsidRPr="002C7C06">
        <w:rPr>
          <w:rFonts w:cstheme="minorHAnsi"/>
          <w:shd w:val="clear" w:color="auto" w:fill="FFFFFF"/>
        </w:rPr>
        <w:t xml:space="preserve"> jako přínosnou pro zvýšení bezpečnosti na silnicích ČR a </w:t>
      </w:r>
      <w:r w:rsidR="00CC2AB4" w:rsidRPr="002C7C06">
        <w:rPr>
          <w:rFonts w:cstheme="minorHAnsi"/>
          <w:shd w:val="clear" w:color="auto" w:fill="FFFFFF"/>
        </w:rPr>
        <w:t xml:space="preserve">peněžní </w:t>
      </w:r>
      <w:r w:rsidR="00CA7DB9" w:rsidRPr="002C7C06">
        <w:rPr>
          <w:rFonts w:cstheme="minorHAnsi"/>
          <w:shd w:val="clear" w:color="auto" w:fill="FFFFFF"/>
        </w:rPr>
        <w:t xml:space="preserve">prostředky </w:t>
      </w:r>
      <w:r w:rsidR="002B2B70" w:rsidRPr="002C7C06">
        <w:rPr>
          <w:rFonts w:cstheme="minorHAnsi"/>
          <w:shd w:val="clear" w:color="auto" w:fill="FFFFFF"/>
        </w:rPr>
        <w:t xml:space="preserve">vynaložené </w:t>
      </w:r>
      <w:r w:rsidR="00CA7DB9" w:rsidRPr="002C7C06">
        <w:rPr>
          <w:rFonts w:cstheme="minorHAnsi"/>
          <w:shd w:val="clear" w:color="auto" w:fill="FFFFFF"/>
        </w:rPr>
        <w:t xml:space="preserve">na toto opatření </w:t>
      </w:r>
      <w:r w:rsidR="00CC2AB4" w:rsidRPr="002C7C06">
        <w:rPr>
          <w:rFonts w:cstheme="minorHAnsi"/>
          <w:shd w:val="clear" w:color="auto" w:fill="FFFFFF"/>
        </w:rPr>
        <w:t>považuje za</w:t>
      </w:r>
      <w:r w:rsidR="00CA7DB9" w:rsidRPr="002C7C06">
        <w:rPr>
          <w:rFonts w:cstheme="minorHAnsi"/>
          <w:shd w:val="clear" w:color="auto" w:fill="FFFFFF"/>
        </w:rPr>
        <w:t xml:space="preserve"> účeln</w:t>
      </w:r>
      <w:r w:rsidR="002B2B70" w:rsidRPr="002C7C06">
        <w:rPr>
          <w:rFonts w:cstheme="minorHAnsi"/>
          <w:shd w:val="clear" w:color="auto" w:fill="FFFFFF"/>
        </w:rPr>
        <w:t>é</w:t>
      </w:r>
      <w:r w:rsidR="00CA7DB9" w:rsidRPr="002C7C06">
        <w:rPr>
          <w:rFonts w:cstheme="minorHAnsi"/>
          <w:shd w:val="clear" w:color="auto" w:fill="FFFFFF"/>
        </w:rPr>
        <w:t>.</w:t>
      </w:r>
    </w:p>
    <w:p w14:paraId="38A9A482" w14:textId="77777777" w:rsidR="000B35E9" w:rsidRDefault="000B35E9">
      <w:pPr>
        <w:rPr>
          <w:rFonts w:cstheme="minorHAnsi"/>
          <w:b/>
          <w:bCs/>
          <w:sz w:val="24"/>
          <w:szCs w:val="24"/>
        </w:rPr>
      </w:pPr>
      <w:bookmarkStart w:id="27" w:name="_Ref136003048"/>
      <w:r>
        <w:rPr>
          <w:rFonts w:cstheme="minorHAnsi"/>
          <w:b/>
          <w:bCs/>
          <w:i/>
          <w:iCs/>
          <w:sz w:val="24"/>
          <w:szCs w:val="24"/>
        </w:rPr>
        <w:br w:type="page"/>
      </w:r>
    </w:p>
    <w:p w14:paraId="5AB539C1" w14:textId="203BFEC6" w:rsidR="00CA7DB9" w:rsidRPr="00CA7DB9" w:rsidRDefault="00CA7DB9" w:rsidP="00CA7DB9">
      <w:pPr>
        <w:pStyle w:val="Titulek"/>
        <w:keepNext/>
        <w:spacing w:after="0"/>
        <w:rPr>
          <w:rFonts w:cstheme="minorHAnsi"/>
          <w:b/>
          <w:bCs/>
          <w:i w:val="0"/>
          <w:iCs w:val="0"/>
          <w:color w:val="auto"/>
          <w:sz w:val="24"/>
          <w:szCs w:val="24"/>
        </w:rPr>
      </w:pPr>
      <w:r w:rsidRPr="007E6EF5">
        <w:rPr>
          <w:rFonts w:cstheme="minorHAnsi"/>
          <w:b/>
          <w:bCs/>
          <w:i w:val="0"/>
          <w:iCs w:val="0"/>
          <w:color w:val="auto"/>
          <w:sz w:val="24"/>
          <w:szCs w:val="24"/>
        </w:rPr>
        <w:lastRenderedPageBreak/>
        <w:t xml:space="preserve">Tabulka č. </w:t>
      </w:r>
      <w:bookmarkEnd w:id="27"/>
      <w:r w:rsidR="008B2F0A">
        <w:rPr>
          <w:rFonts w:cstheme="minorHAnsi"/>
          <w:b/>
          <w:bCs/>
          <w:i w:val="0"/>
          <w:iCs w:val="0"/>
          <w:color w:val="auto"/>
          <w:sz w:val="24"/>
          <w:szCs w:val="24"/>
        </w:rPr>
        <w:t>5</w:t>
      </w:r>
      <w:r w:rsidRPr="007E6EF5">
        <w:rPr>
          <w:rFonts w:cstheme="minorHAnsi"/>
          <w:b/>
          <w:bCs/>
          <w:i w:val="0"/>
          <w:iCs w:val="0"/>
          <w:color w:val="auto"/>
          <w:sz w:val="24"/>
          <w:szCs w:val="24"/>
        </w:rPr>
        <w:t>: Počet hlášení jízd v protisměru na dálni</w:t>
      </w:r>
      <w:r>
        <w:rPr>
          <w:rFonts w:cstheme="minorHAnsi"/>
          <w:b/>
          <w:bCs/>
          <w:i w:val="0"/>
          <w:iCs w:val="0"/>
          <w:color w:val="auto"/>
          <w:sz w:val="24"/>
          <w:szCs w:val="24"/>
        </w:rPr>
        <w:t>cích</w:t>
      </w:r>
    </w:p>
    <w:tbl>
      <w:tblPr>
        <w:tblStyle w:val="Mkatabulky"/>
        <w:tblW w:w="9067" w:type="dxa"/>
        <w:tblLook w:val="04A0" w:firstRow="1" w:lastRow="0" w:firstColumn="1" w:lastColumn="0" w:noHBand="0" w:noVBand="1"/>
      </w:tblPr>
      <w:tblGrid>
        <w:gridCol w:w="1696"/>
        <w:gridCol w:w="1228"/>
        <w:gridCol w:w="1229"/>
        <w:gridCol w:w="1228"/>
        <w:gridCol w:w="1229"/>
        <w:gridCol w:w="1228"/>
        <w:gridCol w:w="1229"/>
      </w:tblGrid>
      <w:tr w:rsidR="00C36E64" w14:paraId="4DDA0B32" w14:textId="77777777" w:rsidTr="002C7C06">
        <w:trPr>
          <w:trHeight w:val="340"/>
        </w:trPr>
        <w:tc>
          <w:tcPr>
            <w:tcW w:w="1696" w:type="dxa"/>
            <w:shd w:val="clear" w:color="auto" w:fill="E5F1FF"/>
            <w:vAlign w:val="center"/>
          </w:tcPr>
          <w:p w14:paraId="75758F2E" w14:textId="77777777" w:rsidR="00C36E64" w:rsidRPr="00CC2AB4" w:rsidRDefault="00C36E64" w:rsidP="002C7C06">
            <w:pPr>
              <w:autoSpaceDE w:val="0"/>
              <w:autoSpaceDN w:val="0"/>
              <w:adjustRightInd w:val="0"/>
              <w:jc w:val="center"/>
              <w:rPr>
                <w:rFonts w:cstheme="minorHAnsi"/>
                <w:b/>
                <w:sz w:val="20"/>
                <w:szCs w:val="20"/>
              </w:rPr>
            </w:pPr>
            <w:r w:rsidRPr="00CC2AB4">
              <w:rPr>
                <w:rFonts w:cstheme="minorHAnsi"/>
                <w:b/>
                <w:sz w:val="20"/>
                <w:szCs w:val="20"/>
              </w:rPr>
              <w:t>Rok</w:t>
            </w:r>
          </w:p>
        </w:tc>
        <w:tc>
          <w:tcPr>
            <w:tcW w:w="1228" w:type="dxa"/>
            <w:shd w:val="clear" w:color="auto" w:fill="E5F1FF"/>
            <w:vAlign w:val="center"/>
          </w:tcPr>
          <w:p w14:paraId="3A02DCDC" w14:textId="77777777" w:rsidR="00C36E64" w:rsidRDefault="00C36E64" w:rsidP="00EF3353">
            <w:pPr>
              <w:jc w:val="center"/>
              <w:rPr>
                <w:rFonts w:cstheme="minorHAnsi"/>
                <w:b/>
                <w:sz w:val="20"/>
                <w:szCs w:val="20"/>
              </w:rPr>
            </w:pPr>
            <w:r>
              <w:rPr>
                <w:rFonts w:cstheme="minorHAnsi"/>
                <w:b/>
                <w:bCs/>
                <w:sz w:val="20"/>
                <w:szCs w:val="20"/>
              </w:rPr>
              <w:t>2017</w:t>
            </w:r>
          </w:p>
        </w:tc>
        <w:tc>
          <w:tcPr>
            <w:tcW w:w="1229" w:type="dxa"/>
            <w:shd w:val="clear" w:color="auto" w:fill="E5F1FF"/>
            <w:vAlign w:val="center"/>
          </w:tcPr>
          <w:p w14:paraId="1ADFB539" w14:textId="77777777" w:rsidR="00C36E64" w:rsidRDefault="00C36E64">
            <w:pPr>
              <w:jc w:val="center"/>
              <w:rPr>
                <w:rFonts w:cstheme="minorHAnsi"/>
                <w:b/>
                <w:sz w:val="20"/>
                <w:szCs w:val="20"/>
              </w:rPr>
            </w:pPr>
            <w:r>
              <w:rPr>
                <w:rFonts w:cstheme="minorHAnsi"/>
                <w:b/>
                <w:sz w:val="20"/>
                <w:szCs w:val="20"/>
              </w:rPr>
              <w:t>2018</w:t>
            </w:r>
          </w:p>
        </w:tc>
        <w:tc>
          <w:tcPr>
            <w:tcW w:w="1228" w:type="dxa"/>
            <w:shd w:val="clear" w:color="auto" w:fill="E5F1FF"/>
            <w:vAlign w:val="center"/>
          </w:tcPr>
          <w:p w14:paraId="13380242" w14:textId="77777777" w:rsidR="00C36E64" w:rsidRDefault="00C36E64">
            <w:pPr>
              <w:jc w:val="center"/>
              <w:rPr>
                <w:rFonts w:cstheme="minorHAnsi"/>
                <w:b/>
                <w:sz w:val="20"/>
                <w:szCs w:val="20"/>
              </w:rPr>
            </w:pPr>
            <w:r>
              <w:rPr>
                <w:rFonts w:cstheme="minorHAnsi"/>
                <w:b/>
                <w:sz w:val="20"/>
                <w:szCs w:val="20"/>
              </w:rPr>
              <w:t>2019</w:t>
            </w:r>
          </w:p>
        </w:tc>
        <w:tc>
          <w:tcPr>
            <w:tcW w:w="1229" w:type="dxa"/>
            <w:shd w:val="clear" w:color="auto" w:fill="E5F1FF"/>
            <w:vAlign w:val="center"/>
          </w:tcPr>
          <w:p w14:paraId="66BB5A71" w14:textId="77777777" w:rsidR="00C36E64" w:rsidRDefault="00C36E64">
            <w:pPr>
              <w:jc w:val="center"/>
              <w:rPr>
                <w:rFonts w:cstheme="minorHAnsi"/>
                <w:b/>
                <w:sz w:val="20"/>
                <w:szCs w:val="20"/>
              </w:rPr>
            </w:pPr>
            <w:r>
              <w:rPr>
                <w:rFonts w:cstheme="minorHAnsi"/>
                <w:b/>
                <w:sz w:val="20"/>
                <w:szCs w:val="20"/>
              </w:rPr>
              <w:t>2020</w:t>
            </w:r>
          </w:p>
        </w:tc>
        <w:tc>
          <w:tcPr>
            <w:tcW w:w="1228" w:type="dxa"/>
            <w:shd w:val="clear" w:color="auto" w:fill="E5F1FF"/>
            <w:vAlign w:val="center"/>
          </w:tcPr>
          <w:p w14:paraId="3C89914B" w14:textId="77777777" w:rsidR="00C36E64" w:rsidRDefault="00C36E64">
            <w:pPr>
              <w:jc w:val="center"/>
              <w:rPr>
                <w:rFonts w:cstheme="minorHAnsi"/>
                <w:b/>
                <w:sz w:val="20"/>
                <w:szCs w:val="20"/>
              </w:rPr>
            </w:pPr>
            <w:r>
              <w:rPr>
                <w:rFonts w:cstheme="minorHAnsi"/>
                <w:b/>
                <w:sz w:val="20"/>
                <w:szCs w:val="20"/>
              </w:rPr>
              <w:t>2021</w:t>
            </w:r>
          </w:p>
        </w:tc>
        <w:tc>
          <w:tcPr>
            <w:tcW w:w="1229" w:type="dxa"/>
            <w:shd w:val="clear" w:color="auto" w:fill="E5F1FF"/>
            <w:vAlign w:val="center"/>
          </w:tcPr>
          <w:p w14:paraId="0497C7D6" w14:textId="77777777" w:rsidR="00C36E64" w:rsidRDefault="00C36E64">
            <w:pPr>
              <w:jc w:val="center"/>
              <w:rPr>
                <w:rFonts w:cstheme="minorHAnsi"/>
                <w:b/>
                <w:sz w:val="20"/>
                <w:szCs w:val="20"/>
              </w:rPr>
            </w:pPr>
            <w:r>
              <w:rPr>
                <w:rFonts w:cstheme="minorHAnsi"/>
                <w:b/>
                <w:sz w:val="20"/>
                <w:szCs w:val="20"/>
              </w:rPr>
              <w:t>2022</w:t>
            </w:r>
          </w:p>
        </w:tc>
      </w:tr>
      <w:tr w:rsidR="00C36E64" w14:paraId="6D061330" w14:textId="77777777" w:rsidTr="002C7C06">
        <w:trPr>
          <w:trHeight w:val="283"/>
        </w:trPr>
        <w:tc>
          <w:tcPr>
            <w:tcW w:w="1696" w:type="dxa"/>
            <w:shd w:val="clear" w:color="auto" w:fill="E5F1FF"/>
          </w:tcPr>
          <w:p w14:paraId="40EC6EAE" w14:textId="77777777" w:rsidR="00C36E64" w:rsidRPr="00CC2AB4" w:rsidRDefault="00C36E64" w:rsidP="00CC2AB4">
            <w:pPr>
              <w:autoSpaceDE w:val="0"/>
              <w:autoSpaceDN w:val="0"/>
              <w:adjustRightInd w:val="0"/>
              <w:rPr>
                <w:rFonts w:cstheme="minorHAnsi"/>
                <w:b/>
                <w:sz w:val="20"/>
                <w:szCs w:val="20"/>
              </w:rPr>
            </w:pPr>
            <w:r w:rsidRPr="00CC2AB4">
              <w:rPr>
                <w:rFonts w:cstheme="minorHAnsi"/>
                <w:b/>
                <w:sz w:val="20"/>
                <w:szCs w:val="20"/>
              </w:rPr>
              <w:t>Počet hlášení</w:t>
            </w:r>
          </w:p>
        </w:tc>
        <w:tc>
          <w:tcPr>
            <w:tcW w:w="1228" w:type="dxa"/>
            <w:vAlign w:val="center"/>
          </w:tcPr>
          <w:p w14:paraId="495EEA2B" w14:textId="77777777" w:rsidR="00C36E64" w:rsidRDefault="00C36E64" w:rsidP="00CC2AB4">
            <w:pPr>
              <w:jc w:val="center"/>
              <w:rPr>
                <w:rFonts w:cstheme="minorHAnsi"/>
                <w:sz w:val="20"/>
                <w:szCs w:val="20"/>
              </w:rPr>
            </w:pPr>
            <w:r>
              <w:rPr>
                <w:rFonts w:cstheme="minorHAnsi"/>
                <w:sz w:val="20"/>
                <w:szCs w:val="20"/>
              </w:rPr>
              <w:t>122</w:t>
            </w:r>
          </w:p>
        </w:tc>
        <w:tc>
          <w:tcPr>
            <w:tcW w:w="1229" w:type="dxa"/>
            <w:vAlign w:val="center"/>
          </w:tcPr>
          <w:p w14:paraId="594A4F1B" w14:textId="77777777" w:rsidR="00C36E64" w:rsidRDefault="00C36E64" w:rsidP="00CC2AB4">
            <w:pPr>
              <w:jc w:val="center"/>
              <w:rPr>
                <w:rFonts w:cstheme="minorHAnsi"/>
                <w:sz w:val="20"/>
                <w:szCs w:val="20"/>
              </w:rPr>
            </w:pPr>
            <w:r>
              <w:rPr>
                <w:rFonts w:cstheme="minorHAnsi"/>
                <w:sz w:val="20"/>
                <w:szCs w:val="20"/>
              </w:rPr>
              <w:t>149</w:t>
            </w:r>
          </w:p>
        </w:tc>
        <w:tc>
          <w:tcPr>
            <w:tcW w:w="1228" w:type="dxa"/>
            <w:vAlign w:val="center"/>
          </w:tcPr>
          <w:p w14:paraId="12C9B6B2" w14:textId="77777777" w:rsidR="00C36E64" w:rsidRDefault="00C36E64" w:rsidP="00CC2AB4">
            <w:pPr>
              <w:jc w:val="center"/>
              <w:rPr>
                <w:rFonts w:cstheme="minorHAnsi"/>
                <w:color w:val="000000"/>
                <w:sz w:val="20"/>
                <w:szCs w:val="20"/>
                <w:lang w:eastAsia="cs-CZ" w:bidi="cs-CZ"/>
              </w:rPr>
            </w:pPr>
            <w:r>
              <w:rPr>
                <w:rFonts w:cstheme="minorHAnsi"/>
                <w:color w:val="000000"/>
                <w:sz w:val="20"/>
                <w:szCs w:val="20"/>
                <w:lang w:eastAsia="cs-CZ" w:bidi="cs-CZ"/>
              </w:rPr>
              <w:t>215</w:t>
            </w:r>
          </w:p>
        </w:tc>
        <w:tc>
          <w:tcPr>
            <w:tcW w:w="1229" w:type="dxa"/>
            <w:vAlign w:val="center"/>
          </w:tcPr>
          <w:p w14:paraId="5F72961E" w14:textId="77777777" w:rsidR="00C36E64" w:rsidRDefault="00C36E64" w:rsidP="00CC2AB4">
            <w:pPr>
              <w:jc w:val="center"/>
              <w:rPr>
                <w:rFonts w:cstheme="minorHAnsi"/>
                <w:color w:val="000000"/>
                <w:sz w:val="20"/>
                <w:szCs w:val="20"/>
                <w:lang w:eastAsia="cs-CZ" w:bidi="cs-CZ"/>
              </w:rPr>
            </w:pPr>
            <w:r>
              <w:rPr>
                <w:rFonts w:cstheme="minorHAnsi"/>
                <w:color w:val="000000"/>
                <w:sz w:val="20"/>
                <w:szCs w:val="20"/>
                <w:lang w:eastAsia="cs-CZ" w:bidi="cs-CZ"/>
              </w:rPr>
              <w:t>139</w:t>
            </w:r>
          </w:p>
        </w:tc>
        <w:tc>
          <w:tcPr>
            <w:tcW w:w="1228" w:type="dxa"/>
            <w:vAlign w:val="center"/>
          </w:tcPr>
          <w:p w14:paraId="49F5D35E" w14:textId="77777777" w:rsidR="00C36E64" w:rsidRDefault="00C36E64" w:rsidP="00CC2AB4">
            <w:pPr>
              <w:jc w:val="center"/>
              <w:rPr>
                <w:rFonts w:cstheme="minorHAnsi"/>
                <w:sz w:val="20"/>
                <w:szCs w:val="20"/>
              </w:rPr>
            </w:pPr>
            <w:r>
              <w:rPr>
                <w:rFonts w:cstheme="minorHAnsi"/>
                <w:sz w:val="20"/>
                <w:szCs w:val="20"/>
              </w:rPr>
              <w:t>132</w:t>
            </w:r>
          </w:p>
        </w:tc>
        <w:tc>
          <w:tcPr>
            <w:tcW w:w="1229" w:type="dxa"/>
          </w:tcPr>
          <w:p w14:paraId="76BA8826" w14:textId="77777777" w:rsidR="00C36E64" w:rsidRDefault="00C36E64" w:rsidP="00CC2AB4">
            <w:pPr>
              <w:jc w:val="center"/>
              <w:rPr>
                <w:rFonts w:cstheme="minorHAnsi"/>
                <w:sz w:val="20"/>
                <w:szCs w:val="20"/>
              </w:rPr>
            </w:pPr>
            <w:r>
              <w:rPr>
                <w:rFonts w:cstheme="minorHAnsi"/>
                <w:sz w:val="20"/>
                <w:szCs w:val="20"/>
              </w:rPr>
              <w:t>95</w:t>
            </w:r>
          </w:p>
        </w:tc>
      </w:tr>
    </w:tbl>
    <w:p w14:paraId="1D1AFC2B" w14:textId="77777777" w:rsidR="00CA7DB9" w:rsidRPr="002C7C06" w:rsidRDefault="00CA7DB9" w:rsidP="00CA7DB9">
      <w:pPr>
        <w:jc w:val="both"/>
        <w:rPr>
          <w:rFonts w:ascii="Calibri" w:hAnsi="Calibri" w:cs="Calibri"/>
          <w:sz w:val="20"/>
          <w:szCs w:val="20"/>
        </w:rPr>
      </w:pPr>
      <w:r w:rsidRPr="002C7C06">
        <w:rPr>
          <w:rFonts w:ascii="Calibri" w:hAnsi="Calibri" w:cs="Calibri"/>
          <w:b/>
          <w:sz w:val="20"/>
          <w:szCs w:val="20"/>
        </w:rPr>
        <w:t>Zdroj:</w:t>
      </w:r>
      <w:r w:rsidRPr="002C7C06">
        <w:rPr>
          <w:rFonts w:ascii="Calibri" w:hAnsi="Calibri" w:cs="Calibri"/>
          <w:sz w:val="20"/>
          <w:szCs w:val="20"/>
        </w:rPr>
        <w:t xml:space="preserve"> </w:t>
      </w:r>
      <w:r w:rsidR="00CC2AB4" w:rsidRPr="00EF3353">
        <w:rPr>
          <w:rFonts w:ascii="Calibri" w:hAnsi="Calibri" w:cs="Calibri"/>
          <w:i/>
          <w:sz w:val="20"/>
          <w:szCs w:val="20"/>
        </w:rPr>
        <w:t>Jednotný systém dopravních informací</w:t>
      </w:r>
      <w:r w:rsidR="00CC2AB4" w:rsidRPr="002C7C06">
        <w:rPr>
          <w:rFonts w:ascii="Calibri" w:hAnsi="Calibri" w:cs="Calibri"/>
          <w:sz w:val="20"/>
          <w:szCs w:val="20"/>
        </w:rPr>
        <w:t>; data ŘSD</w:t>
      </w:r>
      <w:r w:rsidR="0011725F" w:rsidRPr="002C7C06">
        <w:rPr>
          <w:rFonts w:ascii="Calibri" w:hAnsi="Calibri" w:cs="Calibri"/>
          <w:sz w:val="20"/>
          <w:szCs w:val="20"/>
        </w:rPr>
        <w:t>.</w:t>
      </w:r>
    </w:p>
    <w:p w14:paraId="2F48CE78" w14:textId="7BF46FAC" w:rsidR="007E01FF" w:rsidRPr="007E6EF5" w:rsidRDefault="00354749" w:rsidP="005E2807">
      <w:pPr>
        <w:pStyle w:val="JK4"/>
        <w:ind w:left="0" w:firstLine="0"/>
      </w:pPr>
      <w:r>
        <w:t xml:space="preserve"> Současně ŘSD realizovalo aktivitu zaměřenou na rozšíření dopravního značení „</w:t>
      </w:r>
      <w:r w:rsidR="00EF3353" w:rsidRPr="002C7C06">
        <w:rPr>
          <w:i/>
        </w:rPr>
        <w:t>b</w:t>
      </w:r>
      <w:r w:rsidRPr="002C7C06">
        <w:rPr>
          <w:i/>
        </w:rPr>
        <w:t>ezpečný odstup</w:t>
      </w:r>
      <w:r>
        <w:t>“. V</w:t>
      </w:r>
      <w:r w:rsidR="007275A8">
        <w:t xml:space="preserve"> </w:t>
      </w:r>
      <w:r>
        <w:t>průběhu kontrolovaného období však tyto činnosti pozastavilo s</w:t>
      </w:r>
      <w:r w:rsidR="007275A8">
        <w:t xml:space="preserve"> </w:t>
      </w:r>
      <w:r>
        <w:t xml:space="preserve">ohledem </w:t>
      </w:r>
      <w:r w:rsidR="00971374">
        <w:t xml:space="preserve">na </w:t>
      </w:r>
      <w:r w:rsidR="00D45D56">
        <w:t xml:space="preserve">přípravu nové </w:t>
      </w:r>
      <w:r w:rsidR="00D45D56" w:rsidRPr="007E6EF5">
        <w:t>vyhlášky</w:t>
      </w:r>
      <w:r w:rsidR="00D45D56" w:rsidRPr="007E6EF5">
        <w:rPr>
          <w:rStyle w:val="Znakapoznpodarou"/>
        </w:rPr>
        <w:footnoteReference w:id="47"/>
      </w:r>
      <w:r w:rsidR="00D45D56" w:rsidRPr="007E6EF5">
        <w:t xml:space="preserve">, která má za cíl odstranit </w:t>
      </w:r>
      <w:r w:rsidRPr="007E6EF5">
        <w:t>riziko možného dvojího výkladu</w:t>
      </w:r>
      <w:r w:rsidR="00D45D56" w:rsidRPr="007E6EF5">
        <w:t xml:space="preserve"> značení a</w:t>
      </w:r>
      <w:r w:rsidR="00D446AC">
        <w:t> </w:t>
      </w:r>
      <w:r w:rsidR="00D45D56" w:rsidRPr="007E6EF5">
        <w:t>jeho úpravu</w:t>
      </w:r>
      <w:r w:rsidRPr="007E6EF5">
        <w:t xml:space="preserve"> i</w:t>
      </w:r>
      <w:r w:rsidR="00EF3353">
        <w:t xml:space="preserve"> </w:t>
      </w:r>
      <w:r w:rsidRPr="007E6EF5">
        <w:t>ve</w:t>
      </w:r>
      <w:r w:rsidR="00EF3353">
        <w:t xml:space="preserve"> </w:t>
      </w:r>
      <w:r w:rsidRPr="007E6EF5">
        <w:t>vztahu k zahraniční praxi.</w:t>
      </w:r>
      <w:r w:rsidR="002B2B70">
        <w:t xml:space="preserve"> </w:t>
      </w:r>
      <w:r w:rsidR="006B7E9F" w:rsidRPr="007E6EF5">
        <w:t>NKÚ hodnotí postup ŘSD jako správný</w:t>
      </w:r>
      <w:r w:rsidR="00D45D56" w:rsidRPr="007E6EF5">
        <w:t xml:space="preserve">, protože minimalizuje </w:t>
      </w:r>
      <w:r w:rsidR="00387702" w:rsidRPr="007E6EF5">
        <w:t>riziko</w:t>
      </w:r>
      <w:r w:rsidR="006B7E9F" w:rsidRPr="007E6EF5">
        <w:t xml:space="preserve"> neúčelné</w:t>
      </w:r>
      <w:r w:rsidR="00387702" w:rsidRPr="007E6EF5">
        <w:t>ho</w:t>
      </w:r>
      <w:r w:rsidR="006B7E9F" w:rsidRPr="007E6EF5">
        <w:t xml:space="preserve"> a</w:t>
      </w:r>
      <w:r w:rsidR="00EF3353">
        <w:t xml:space="preserve"> </w:t>
      </w:r>
      <w:r w:rsidR="006B7E9F" w:rsidRPr="007E6EF5">
        <w:t>nehospodárné</w:t>
      </w:r>
      <w:r w:rsidR="00387702" w:rsidRPr="007E6EF5">
        <w:t>ho</w:t>
      </w:r>
      <w:r w:rsidR="006B7E9F" w:rsidRPr="007E6EF5">
        <w:t xml:space="preserve"> </w:t>
      </w:r>
      <w:r w:rsidR="0019139C">
        <w:t>vynakládání</w:t>
      </w:r>
      <w:r w:rsidR="006B7E9F" w:rsidRPr="007E6EF5">
        <w:t xml:space="preserve"> peněžních prostředků</w:t>
      </w:r>
      <w:r w:rsidR="00D45D56" w:rsidRPr="007E6EF5">
        <w:t xml:space="preserve"> </w:t>
      </w:r>
      <w:r w:rsidR="00D446AC">
        <w:t xml:space="preserve">na </w:t>
      </w:r>
      <w:r w:rsidR="00F2638A">
        <w:t>předělání</w:t>
      </w:r>
      <w:r w:rsidR="00D45D56" w:rsidRPr="007E6EF5">
        <w:t xml:space="preserve"> </w:t>
      </w:r>
      <w:r w:rsidR="00387702" w:rsidRPr="007E6EF5">
        <w:t>již realizovaného dopravního značení</w:t>
      </w:r>
      <w:r w:rsidR="00D45D56" w:rsidRPr="007E6EF5">
        <w:t xml:space="preserve"> v důsledku změny legislativy.</w:t>
      </w:r>
    </w:p>
    <w:p w14:paraId="1725AB10" w14:textId="77777777" w:rsidR="00E53118" w:rsidRPr="00EF3353" w:rsidRDefault="002B2B70" w:rsidP="005E2807">
      <w:pPr>
        <w:pStyle w:val="JK4"/>
        <w:ind w:left="0" w:firstLine="0"/>
      </w:pPr>
      <w:r w:rsidRPr="00EF3353">
        <w:t xml:space="preserve">NKÚ </w:t>
      </w:r>
      <w:r w:rsidR="00971374" w:rsidRPr="00EF3353">
        <w:t xml:space="preserve">rovněž </w:t>
      </w:r>
      <w:r w:rsidRPr="00D446AC">
        <w:t>neshledal nedostatky v</w:t>
      </w:r>
      <w:r w:rsidR="00D446AC">
        <w:t xml:space="preserve"> </w:t>
      </w:r>
      <w:r w:rsidRPr="00D446AC">
        <w:t xml:space="preserve">hospodárnosti </w:t>
      </w:r>
      <w:r w:rsidR="0019139C" w:rsidRPr="00D446AC">
        <w:t>vynakládání</w:t>
      </w:r>
      <w:r w:rsidRPr="00D446AC">
        <w:t xml:space="preserve"> </w:t>
      </w:r>
      <w:r w:rsidR="00EA06BF" w:rsidRPr="00D446AC">
        <w:t xml:space="preserve">kontrolovaných </w:t>
      </w:r>
      <w:r w:rsidRPr="00EF3353">
        <w:t>p</w:t>
      </w:r>
      <w:r w:rsidR="00E53118" w:rsidRPr="00EF3353">
        <w:t>eněžní</w:t>
      </w:r>
      <w:r w:rsidRPr="00EF3353">
        <w:t>ch</w:t>
      </w:r>
      <w:r w:rsidR="00E53118" w:rsidRPr="00EF3353">
        <w:t xml:space="preserve"> prostředk</w:t>
      </w:r>
      <w:r w:rsidRPr="00EF3353">
        <w:t>ů</w:t>
      </w:r>
      <w:r w:rsidR="00E53118" w:rsidRPr="00EF3353">
        <w:t xml:space="preserve"> ve výši </w:t>
      </w:r>
      <w:r w:rsidR="006C557B" w:rsidRPr="00EF3353">
        <w:t xml:space="preserve">cca </w:t>
      </w:r>
      <w:r w:rsidR="00354749" w:rsidRPr="00EF3353">
        <w:t>12</w:t>
      </w:r>
      <w:r w:rsidR="006C557B" w:rsidRPr="00EF3353">
        <w:t>,2</w:t>
      </w:r>
      <w:r w:rsidR="00E53118" w:rsidRPr="00EF3353">
        <w:t xml:space="preserve"> </w:t>
      </w:r>
      <w:r w:rsidR="006C557B" w:rsidRPr="00EF3353">
        <w:t>mil.</w:t>
      </w:r>
      <w:r w:rsidR="00E53118" w:rsidRPr="00EF3353">
        <w:t xml:space="preserve"> Kč</w:t>
      </w:r>
      <w:r w:rsidR="00CC2AB4" w:rsidRPr="00EF3353">
        <w:t xml:space="preserve"> vč. DPH</w:t>
      </w:r>
      <w:r w:rsidR="00513D2C" w:rsidRPr="00EF3353">
        <w:t xml:space="preserve"> na realizaci dopravního značení zabraňující</w:t>
      </w:r>
      <w:r w:rsidR="00D446AC">
        <w:t>ho</w:t>
      </w:r>
      <w:r w:rsidR="00513D2C" w:rsidRPr="002C7C06">
        <w:rPr>
          <w:rFonts w:cstheme="minorHAnsi"/>
          <w:shd w:val="clear" w:color="auto" w:fill="FFFFFF"/>
        </w:rPr>
        <w:t xml:space="preserve"> vjetí do protisměru na dálnicích </w:t>
      </w:r>
      <w:r w:rsidR="00513D2C" w:rsidRPr="00EF3353">
        <w:t>a</w:t>
      </w:r>
      <w:r w:rsidR="00E53118" w:rsidRPr="00EF3353">
        <w:t xml:space="preserve"> dopravního značení „</w:t>
      </w:r>
      <w:r w:rsidR="00D446AC" w:rsidRPr="002C7C06">
        <w:rPr>
          <w:i/>
        </w:rPr>
        <w:t>b</w:t>
      </w:r>
      <w:r w:rsidR="00E53118" w:rsidRPr="002C7C06">
        <w:rPr>
          <w:i/>
        </w:rPr>
        <w:t>ezpečný odstup</w:t>
      </w:r>
      <w:r w:rsidR="00E53118" w:rsidRPr="00EF3353">
        <w:t xml:space="preserve">“. </w:t>
      </w:r>
    </w:p>
    <w:p w14:paraId="1B2033A5" w14:textId="77777777" w:rsidR="000A1EC2" w:rsidRPr="007E6EF5" w:rsidRDefault="009A53CD" w:rsidP="00C9459D">
      <w:pPr>
        <w:pStyle w:val="PodkapitolystiIVKZ"/>
        <w:ind w:left="284" w:hanging="284"/>
        <w:rPr>
          <w:color w:val="2E74B5" w:themeColor="accent1" w:themeShade="BF"/>
        </w:rPr>
      </w:pPr>
      <w:r w:rsidRPr="007E6EF5">
        <w:rPr>
          <w:color w:val="2E74B5" w:themeColor="accent1" w:themeShade="BF"/>
        </w:rPr>
        <w:t>Nástroje utváření bezpečné infrastruktury</w:t>
      </w:r>
    </w:p>
    <w:p w14:paraId="3D6A0893" w14:textId="77777777" w:rsidR="00072747" w:rsidRPr="00030FDF" w:rsidRDefault="007F5EE0" w:rsidP="005E2807">
      <w:pPr>
        <w:pStyle w:val="JK4"/>
        <w:ind w:left="0" w:firstLine="0"/>
      </w:pPr>
      <w:bookmarkStart w:id="28" w:name="_Ref117787291"/>
      <w:r w:rsidRPr="007E6EF5">
        <w:t>NKÚ se v</w:t>
      </w:r>
      <w:r w:rsidR="00707285">
        <w:t xml:space="preserve"> </w:t>
      </w:r>
      <w:r w:rsidRPr="007E6EF5">
        <w:t xml:space="preserve">kontrole </w:t>
      </w:r>
      <w:r w:rsidR="00707285" w:rsidRPr="007E6EF5">
        <w:t xml:space="preserve">zaměřil </w:t>
      </w:r>
      <w:r w:rsidR="006C557B">
        <w:t xml:space="preserve">rovněž </w:t>
      </w:r>
      <w:r w:rsidRPr="007E6EF5">
        <w:t xml:space="preserve">na </w:t>
      </w:r>
      <w:r w:rsidR="003C6490">
        <w:t>někter</w:t>
      </w:r>
      <w:r w:rsidR="00707285">
        <w:t>é</w:t>
      </w:r>
      <w:r w:rsidR="003C6490">
        <w:t xml:space="preserve"> </w:t>
      </w:r>
      <w:r w:rsidR="00072747" w:rsidRPr="007E6EF5">
        <w:t>nástroj</w:t>
      </w:r>
      <w:r w:rsidR="00707285">
        <w:t>e</w:t>
      </w:r>
      <w:r w:rsidR="00072747" w:rsidRPr="007E6EF5">
        <w:t xml:space="preserve"> pro zvýšení bezpečnosti pozemních komunikací podporovan</w:t>
      </w:r>
      <w:r w:rsidR="00707285">
        <w:t>é</w:t>
      </w:r>
      <w:r w:rsidR="00072747" w:rsidRPr="007E6EF5">
        <w:t xml:space="preserve"> strategickými dokumenty BESIP. Těmito nástroji byly audit</w:t>
      </w:r>
      <w:r w:rsidR="00264D15">
        <w:t>y</w:t>
      </w:r>
      <w:r w:rsidR="00072747" w:rsidRPr="007E6EF5">
        <w:t xml:space="preserve"> bezpečnosti</w:t>
      </w:r>
      <w:r w:rsidR="00CA2C3F">
        <w:t xml:space="preserve"> pozemních komunikací (dále také „audit bezpečnosti“)</w:t>
      </w:r>
      <w:r w:rsidR="00072747" w:rsidRPr="007E6EF5">
        <w:t>, bezpečnostní inspekce</w:t>
      </w:r>
      <w:r w:rsidR="00CA2C3F">
        <w:t xml:space="preserve"> pozemních komunikací (dále také „bezpečnostní inspekce“)</w:t>
      </w:r>
      <w:r w:rsidR="00072747" w:rsidRPr="007E6EF5">
        <w:t xml:space="preserve"> a identifikace a řešení nehodových lokalit. </w:t>
      </w:r>
      <w:r w:rsidR="00707285">
        <w:t>Bližší informace o uvedených nástrojích obsahuje příloha č. 5.</w:t>
      </w:r>
    </w:p>
    <w:p w14:paraId="27D7BBC2" w14:textId="57703CD7" w:rsidR="00C9459D" w:rsidRPr="00721672" w:rsidRDefault="003F1CB7" w:rsidP="005E2807">
      <w:pPr>
        <w:pStyle w:val="JK4"/>
        <w:ind w:left="0" w:firstLine="0"/>
      </w:pPr>
      <w:r>
        <w:t>Využívání</w:t>
      </w:r>
      <w:r w:rsidRPr="007E6EF5">
        <w:t xml:space="preserve"> </w:t>
      </w:r>
      <w:r w:rsidR="00C9459D" w:rsidRPr="007E6EF5">
        <w:t>nástrojů bezpečné infrastruktury umožňuje sníž</w:t>
      </w:r>
      <w:r w:rsidR="00707285">
        <w:t>it</w:t>
      </w:r>
      <w:r w:rsidR="00C9459D" w:rsidRPr="007E6EF5">
        <w:t xml:space="preserve"> rizik</w:t>
      </w:r>
      <w:r w:rsidR="00707285">
        <w:t>o</w:t>
      </w:r>
      <w:r w:rsidR="00C9459D" w:rsidRPr="007E6EF5">
        <w:t xml:space="preserve"> vzniku dopravních nehod</w:t>
      </w:r>
      <w:r w:rsidR="0039560F">
        <w:t xml:space="preserve"> </w:t>
      </w:r>
      <w:r w:rsidR="00707285">
        <w:t>(</w:t>
      </w:r>
      <w:r w:rsidR="00C9459D" w:rsidRPr="007E6EF5">
        <w:t>popř. zmír</w:t>
      </w:r>
      <w:r w:rsidR="00707285">
        <w:t>nit</w:t>
      </w:r>
      <w:r w:rsidR="00C9459D" w:rsidRPr="007E6EF5">
        <w:t xml:space="preserve"> následky</w:t>
      </w:r>
      <w:r w:rsidR="00707285">
        <w:t xml:space="preserve"> nehod)</w:t>
      </w:r>
      <w:r w:rsidR="00C9459D" w:rsidRPr="007E6EF5">
        <w:t xml:space="preserve"> souvisejících s utvářením pozemní komunikace. Dle</w:t>
      </w:r>
      <w:r w:rsidR="00707285">
        <w:t xml:space="preserve"> </w:t>
      </w:r>
      <w:r w:rsidR="00C9459D" w:rsidRPr="007E6EF5">
        <w:t>výzkumů</w:t>
      </w:r>
      <w:r w:rsidR="00C9459D" w:rsidRPr="007E6EF5">
        <w:rPr>
          <w:rStyle w:val="Znakapoznpodarou"/>
        </w:rPr>
        <w:footnoteReference w:id="48"/>
      </w:r>
      <w:r w:rsidR="00C9459D" w:rsidRPr="007E6EF5">
        <w:t xml:space="preserve"> se</w:t>
      </w:r>
      <w:r w:rsidR="00C9459D">
        <w:t xml:space="preserve"> pozemní komunikace </w:t>
      </w:r>
      <w:r w:rsidR="00E57EFC">
        <w:t xml:space="preserve">podílí </w:t>
      </w:r>
      <w:r w:rsidR="00C9459D">
        <w:t xml:space="preserve">na vzniku </w:t>
      </w:r>
      <w:r w:rsidR="006A1FF1">
        <w:t xml:space="preserve">dopravních nehod </w:t>
      </w:r>
      <w:r w:rsidR="00C9459D">
        <w:t>až</w:t>
      </w:r>
      <w:r w:rsidR="001A59A3">
        <w:t xml:space="preserve"> </w:t>
      </w:r>
      <w:r w:rsidR="003C6490">
        <w:t xml:space="preserve">z </w:t>
      </w:r>
      <w:r w:rsidR="00C9459D">
        <w:t>27</w:t>
      </w:r>
      <w:r w:rsidR="00473FC8">
        <w:t> </w:t>
      </w:r>
      <w:r w:rsidR="00C9459D">
        <w:t xml:space="preserve">% </w:t>
      </w:r>
      <w:r w:rsidR="006A1FF1">
        <w:t xml:space="preserve">a na jejich následcích až </w:t>
      </w:r>
      <w:r w:rsidR="003C6490">
        <w:t xml:space="preserve">z </w:t>
      </w:r>
      <w:r w:rsidR="00C9459D">
        <w:t>34 %.</w:t>
      </w:r>
      <w:r w:rsidR="00A004E1">
        <w:t xml:space="preserve"> </w:t>
      </w:r>
      <w:r w:rsidR="002A4463">
        <w:t xml:space="preserve">Účinnost </w:t>
      </w:r>
      <w:r w:rsidR="00A424E2">
        <w:t xml:space="preserve">využívání </w:t>
      </w:r>
      <w:r w:rsidR="002A4463">
        <w:t>nástrojů bezpečné infrastruktury, tj. jejich pozitivní dopad na zvýšení bezpečnosti pozemních komunikací, závisí na tom, v</w:t>
      </w:r>
      <w:r w:rsidR="000B35E9">
        <w:t xml:space="preserve"> </w:t>
      </w:r>
      <w:r w:rsidR="002A4463">
        <w:t xml:space="preserve">jakém rozsahu jsou realizována </w:t>
      </w:r>
      <w:r w:rsidR="001A59A3">
        <w:t xml:space="preserve">opatření </w:t>
      </w:r>
      <w:r w:rsidR="00DD2FC4">
        <w:t>vzešlá z</w:t>
      </w:r>
      <w:r w:rsidR="001A59A3">
        <w:t xml:space="preserve"> těchto nástrojů</w:t>
      </w:r>
      <w:r w:rsidR="002A4463">
        <w:t xml:space="preserve"> a jak účinná tato realizovaná opatření jsou.</w:t>
      </w:r>
      <w:r w:rsidR="00CF2C7C">
        <w:t xml:space="preserve"> </w:t>
      </w:r>
      <w:r w:rsidR="00C9459D">
        <w:t xml:space="preserve">ŘSD si v </w:t>
      </w:r>
      <w:r w:rsidR="00C9459D" w:rsidRPr="00AF6787">
        <w:t xml:space="preserve">období </w:t>
      </w:r>
      <w:r w:rsidR="00C9459D">
        <w:t xml:space="preserve">let </w:t>
      </w:r>
      <w:r w:rsidR="00C9459D" w:rsidRPr="00AF6787">
        <w:t>2017</w:t>
      </w:r>
      <w:r w:rsidR="007C6860">
        <w:t>–</w:t>
      </w:r>
      <w:r w:rsidR="00C9459D" w:rsidRPr="00AF6787">
        <w:t>2022</w:t>
      </w:r>
      <w:r w:rsidR="00C9459D">
        <w:t xml:space="preserve"> nechalo zpracovat </w:t>
      </w:r>
      <w:r w:rsidR="00C9459D" w:rsidRPr="00AF6787">
        <w:t>celkem 295</w:t>
      </w:r>
      <w:r w:rsidR="00CF2C7C">
        <w:t xml:space="preserve"> </w:t>
      </w:r>
      <w:r w:rsidR="00264D15">
        <w:t>auditů bezpečnosti</w:t>
      </w:r>
      <w:r w:rsidR="00C9459D">
        <w:t xml:space="preserve">, za které </w:t>
      </w:r>
      <w:r w:rsidR="00CF2C7C">
        <w:t>uhrad</w:t>
      </w:r>
      <w:r w:rsidR="00C9459D">
        <w:t>ilo celkem 25</w:t>
      </w:r>
      <w:r w:rsidR="00706657">
        <w:t>,0</w:t>
      </w:r>
      <w:r w:rsidR="00C9459D">
        <w:t xml:space="preserve"> mil. Kč</w:t>
      </w:r>
      <w:r w:rsidR="00CF2C7C">
        <w:t xml:space="preserve">, a </w:t>
      </w:r>
      <w:r w:rsidR="00C9459D" w:rsidRPr="00721672">
        <w:t xml:space="preserve">nechalo </w:t>
      </w:r>
      <w:r w:rsidR="006C557B">
        <w:t xml:space="preserve">také </w:t>
      </w:r>
      <w:r w:rsidR="00377381">
        <w:t>provést</w:t>
      </w:r>
      <w:r w:rsidR="00C9459D" w:rsidRPr="00721672">
        <w:t xml:space="preserve"> celkem 117 </w:t>
      </w:r>
      <w:r w:rsidR="00264D15">
        <w:rPr>
          <w:rFonts w:cs="Calibri"/>
          <w:szCs w:val="24"/>
        </w:rPr>
        <w:t>bezpečnostních inspekcí</w:t>
      </w:r>
      <w:r w:rsidR="00C9459D" w:rsidRPr="00721672">
        <w:t xml:space="preserve">, za které v souhrnu </w:t>
      </w:r>
      <w:r w:rsidR="001A59A3">
        <w:t>zaplatilo</w:t>
      </w:r>
      <w:r w:rsidR="00C9459D" w:rsidRPr="00721672">
        <w:t xml:space="preserve"> 50</w:t>
      </w:r>
      <w:r w:rsidR="00706657">
        <w:t>,6</w:t>
      </w:r>
      <w:r w:rsidR="00C9459D" w:rsidRPr="00721672">
        <w:t xml:space="preserve"> mil. Kč.</w:t>
      </w:r>
    </w:p>
    <w:p w14:paraId="1A4AB87A" w14:textId="77777777" w:rsidR="00C9459D" w:rsidRDefault="00C9459D" w:rsidP="00C9459D">
      <w:pPr>
        <w:pStyle w:val="Mluvcnadpis"/>
      </w:pPr>
      <w:bookmarkStart w:id="29" w:name="_Hlk139963435"/>
      <w:bookmarkEnd w:id="28"/>
      <w:r>
        <w:t>→</w:t>
      </w:r>
      <w:r w:rsidRPr="00156F9B">
        <w:tab/>
      </w:r>
      <w:bookmarkStart w:id="30" w:name="_Hlk139963412"/>
      <w:r w:rsidRPr="00156F9B">
        <w:t>ŘSD se zaměřovalo na provádění auditů bezpečnosti pozemních komunikací především na dálnicích. Na silnicích I. třídy, kde je</w:t>
      </w:r>
      <w:r w:rsidR="00CF2C7C">
        <w:t xml:space="preserve"> </w:t>
      </w:r>
      <w:r w:rsidR="00361256">
        <w:t xml:space="preserve">úmrtnost při dopravních nehodách zhruba </w:t>
      </w:r>
      <w:r w:rsidR="006816FB">
        <w:t>šestkrát</w:t>
      </w:r>
      <w:r w:rsidR="00361256">
        <w:t xml:space="preserve"> vyšší než na dálnicích, </w:t>
      </w:r>
      <w:r w:rsidRPr="00156F9B">
        <w:t>provádělo ŘSD audity v podstatně menší míře.</w:t>
      </w:r>
      <w:r w:rsidRPr="004830BE">
        <w:t xml:space="preserve"> </w:t>
      </w:r>
      <w:bookmarkEnd w:id="30"/>
    </w:p>
    <w:bookmarkEnd w:id="29"/>
    <w:p w14:paraId="3F93E03C" w14:textId="68D41D58" w:rsidR="004A3DBB" w:rsidRDefault="008908A0" w:rsidP="005E2807">
      <w:pPr>
        <w:pStyle w:val="JK4"/>
        <w:ind w:left="0" w:firstLine="0"/>
      </w:pPr>
      <w:r>
        <w:t xml:space="preserve">Ze statistických údajů o silniční síti a nehodovosti v ČR vyplývá, že </w:t>
      </w:r>
      <w:r w:rsidR="006C557B">
        <w:t xml:space="preserve">na </w:t>
      </w:r>
      <w:r w:rsidR="00AD173C">
        <w:t>silnic</w:t>
      </w:r>
      <w:r w:rsidR="006C557B">
        <w:t>ích</w:t>
      </w:r>
      <w:r w:rsidR="00AD173C">
        <w:t xml:space="preserve"> I. třídy </w:t>
      </w:r>
      <w:r w:rsidR="00DD2FC4">
        <w:br/>
      </w:r>
      <w:r w:rsidR="006C557B">
        <w:t>jsou podstatně horší výsledky</w:t>
      </w:r>
      <w:r w:rsidR="0039560F">
        <w:t xml:space="preserve">, pokud jde </w:t>
      </w:r>
      <w:r w:rsidR="00AD173C">
        <w:t>o počt</w:t>
      </w:r>
      <w:r w:rsidR="0039560F">
        <w:t>y</w:t>
      </w:r>
      <w:r w:rsidR="00AD173C">
        <w:t xml:space="preserve"> usmrcený</w:t>
      </w:r>
      <w:r w:rsidR="006C557B">
        <w:t>ch</w:t>
      </w:r>
      <w:r w:rsidR="00AD173C">
        <w:t xml:space="preserve"> a těžce zraněných osob</w:t>
      </w:r>
      <w:r w:rsidR="0039560F">
        <w:t>,</w:t>
      </w:r>
      <w:r w:rsidR="006C557B">
        <w:t xml:space="preserve"> než na</w:t>
      </w:r>
      <w:r w:rsidR="00DD2FC4">
        <w:t xml:space="preserve"> </w:t>
      </w:r>
      <w:r w:rsidR="006C557B">
        <w:t>dálnicích</w:t>
      </w:r>
      <w:r w:rsidR="00AD173C">
        <w:t>. Zatímco na dálnicích bylo v letech 2017</w:t>
      </w:r>
      <w:r w:rsidR="00DD2FC4">
        <w:t>–</w:t>
      </w:r>
      <w:r w:rsidR="00AD173C">
        <w:t>2021 usmrceno průměrně 29 osob za</w:t>
      </w:r>
      <w:r w:rsidR="00DD2FC4">
        <w:t xml:space="preserve"> </w:t>
      </w:r>
      <w:r w:rsidR="00AD173C">
        <w:t xml:space="preserve">rok, </w:t>
      </w:r>
      <w:r w:rsidR="00DD2FC4">
        <w:t>na</w:t>
      </w:r>
      <w:r w:rsidR="00AD173C">
        <w:t xml:space="preserve"> silnic</w:t>
      </w:r>
      <w:r w:rsidR="00DD2FC4">
        <w:t>ích</w:t>
      </w:r>
      <w:r w:rsidR="00AD173C">
        <w:t xml:space="preserve"> I.</w:t>
      </w:r>
      <w:r w:rsidR="000B35E9">
        <w:t xml:space="preserve"> </w:t>
      </w:r>
      <w:r w:rsidR="00AD173C">
        <w:t xml:space="preserve">třídy </w:t>
      </w:r>
      <w:r w:rsidR="00DD2FC4">
        <w:t>to bylo</w:t>
      </w:r>
      <w:r w:rsidR="00AD173C">
        <w:t xml:space="preserve"> 183 osob za rok. Průměrný počet těžce zraněných </w:t>
      </w:r>
      <w:r w:rsidR="00430DF3">
        <w:t>za rok</w:t>
      </w:r>
      <w:r w:rsidR="00AD173C">
        <w:t xml:space="preserve"> činil </w:t>
      </w:r>
      <w:r w:rsidR="000B35E9">
        <w:br/>
      </w:r>
      <w:r w:rsidR="00430DF3">
        <w:t>na</w:t>
      </w:r>
      <w:r w:rsidR="000B35E9">
        <w:t xml:space="preserve"> </w:t>
      </w:r>
      <w:r w:rsidR="00AD173C">
        <w:t>dálnicích</w:t>
      </w:r>
      <w:r w:rsidR="00430DF3">
        <w:t xml:space="preserve"> 78 osob a na silnicích I. třídy 496 osob. I to byl jeden z</w:t>
      </w:r>
      <w:r w:rsidR="00DD2FC4">
        <w:t xml:space="preserve"> </w:t>
      </w:r>
      <w:r w:rsidR="00430DF3">
        <w:t xml:space="preserve">důvodů, proč byl </w:t>
      </w:r>
      <w:r w:rsidR="000B35E9">
        <w:br/>
      </w:r>
      <w:r w:rsidR="00430DF3">
        <w:t>v</w:t>
      </w:r>
      <w:r w:rsidR="000B35E9">
        <w:t> </w:t>
      </w:r>
      <w:r w:rsidR="00D708D6">
        <w:t>akčním</w:t>
      </w:r>
      <w:r w:rsidR="000B35E9">
        <w:t xml:space="preserve"> </w:t>
      </w:r>
      <w:r w:rsidR="00D708D6">
        <w:t>plánu</w:t>
      </w:r>
      <w:r w:rsidR="00430DF3">
        <w:t xml:space="preserve"> NSBS</w:t>
      </w:r>
      <w:r w:rsidR="00187B95">
        <w:t>P 2020</w:t>
      </w:r>
      <w:r w:rsidR="00430DF3">
        <w:t xml:space="preserve"> stanoven požadavek na provádění </w:t>
      </w:r>
      <w:r w:rsidR="00264D15">
        <w:t>auditů bezpečnosti</w:t>
      </w:r>
      <w:r w:rsidR="00430DF3">
        <w:t xml:space="preserve"> také mimo síť TEN-T. </w:t>
      </w:r>
    </w:p>
    <w:p w14:paraId="270E3551" w14:textId="0CCADC34" w:rsidR="00C9459D" w:rsidRDefault="0015593E" w:rsidP="005E2807">
      <w:pPr>
        <w:pStyle w:val="JK4"/>
        <w:ind w:left="0" w:firstLine="0"/>
      </w:pPr>
      <w:r>
        <w:lastRenderedPageBreak/>
        <w:t xml:space="preserve">NKÚ ověřoval, zda ŘSD provádělo </w:t>
      </w:r>
      <w:r w:rsidR="00264D15">
        <w:t>audity bezpečnosti</w:t>
      </w:r>
      <w:r>
        <w:t xml:space="preserve"> pro stavby mimo síť TEN-T </w:t>
      </w:r>
      <w:r w:rsidR="004E5ABB">
        <w:br/>
        <w:t>(</w:t>
      </w:r>
      <w:r w:rsidR="002C7C06">
        <w:t>tj. zejména pro</w:t>
      </w:r>
      <w:r>
        <w:t xml:space="preserve"> silnice I. třídy</w:t>
      </w:r>
      <w:r w:rsidR="004E5ABB">
        <w:t>)</w:t>
      </w:r>
      <w:r>
        <w:t xml:space="preserve"> alespoň ve fázi posouzení dokumentace pro územní rozhodnutí </w:t>
      </w:r>
      <w:r w:rsidR="00F36793">
        <w:br/>
      </w:r>
      <w:r>
        <w:t>a</w:t>
      </w:r>
      <w:r w:rsidR="00F36793">
        <w:t xml:space="preserve"> </w:t>
      </w:r>
      <w:r>
        <w:t>dokumentace pro stavební povolení tak</w:t>
      </w:r>
      <w:r w:rsidR="00C61202">
        <w:t>,</w:t>
      </w:r>
      <w:r>
        <w:t xml:space="preserve"> jak mu ukládala jedna z</w:t>
      </w:r>
      <w:r w:rsidR="00DD2FC4">
        <w:t xml:space="preserve"> </w:t>
      </w:r>
      <w:r>
        <w:t xml:space="preserve">aktivit </w:t>
      </w:r>
      <w:r w:rsidR="00DD2FC4">
        <w:t>akčního plánu</w:t>
      </w:r>
      <w:r>
        <w:t xml:space="preserve"> NSBSP</w:t>
      </w:r>
      <w:r w:rsidR="00DD2FC4">
        <w:t> </w:t>
      </w:r>
      <w:r>
        <w:t>2020. Na</w:t>
      </w:r>
      <w:r w:rsidR="004E5ABB">
        <w:t xml:space="preserve"> </w:t>
      </w:r>
      <w:r>
        <w:t xml:space="preserve">vzorku 23 staveb mimo síť TEN-T </w:t>
      </w:r>
      <w:r w:rsidR="00DD2FC4">
        <w:t>Nejvyšší kontrolní úřad</w:t>
      </w:r>
      <w:r>
        <w:t xml:space="preserve"> zjistil, že ŘSD pro </w:t>
      </w:r>
      <w:r w:rsidR="002D0EC0">
        <w:br/>
      </w:r>
      <w:r>
        <w:t>16</w:t>
      </w:r>
      <w:r w:rsidR="002D0EC0">
        <w:t xml:space="preserve"> </w:t>
      </w:r>
      <w:r>
        <w:t xml:space="preserve">staveb (tj. 70 %) provedení </w:t>
      </w:r>
      <w:r w:rsidR="00264D15">
        <w:t>auditů bezpečnosti</w:t>
      </w:r>
      <w:r>
        <w:t xml:space="preserve"> nezajistilo a odpovídající aktivitu stanovenou v AP NSBSP</w:t>
      </w:r>
      <w:r w:rsidR="002D0EC0">
        <w:t> </w:t>
      </w:r>
      <w:r>
        <w:t xml:space="preserve">2020 tak pro všechny stavby neplnilo. Tím ŘSD </w:t>
      </w:r>
      <w:r w:rsidRPr="00E5583A">
        <w:t xml:space="preserve">snižovalo možný pozitivní dopad </w:t>
      </w:r>
      <w:r w:rsidR="00264D15">
        <w:t>auditů bezpečnosti</w:t>
      </w:r>
      <w:r w:rsidRPr="00E5583A">
        <w:t xml:space="preserve"> na </w:t>
      </w:r>
      <w:r>
        <w:t>předcházení vzniku závažných</w:t>
      </w:r>
      <w:r w:rsidRPr="00E5583A">
        <w:t xml:space="preserve"> dopravních nehod</w:t>
      </w:r>
      <w:r>
        <w:t>,</w:t>
      </w:r>
      <w:r w:rsidRPr="00E5583A">
        <w:t xml:space="preserve"> a tedy i</w:t>
      </w:r>
      <w:r w:rsidR="00DD2FC4">
        <w:t xml:space="preserve"> na</w:t>
      </w:r>
      <w:r w:rsidRPr="00E5583A">
        <w:t xml:space="preserve"> </w:t>
      </w:r>
      <w:r>
        <w:t xml:space="preserve">snižování </w:t>
      </w:r>
      <w:r w:rsidRPr="00E5583A">
        <w:t>počtu při nich usmrcených a těžce zraněných osob.</w:t>
      </w:r>
    </w:p>
    <w:p w14:paraId="67201DE5" w14:textId="77777777" w:rsidR="00C9459D" w:rsidRPr="00156F9B" w:rsidRDefault="00C9459D" w:rsidP="00C9459D">
      <w:pPr>
        <w:pStyle w:val="Mluvcnadpis"/>
      </w:pPr>
      <w:r w:rsidRPr="00156F9B">
        <w:t>→</w:t>
      </w:r>
      <w:r w:rsidRPr="00156F9B">
        <w:tab/>
        <w:t xml:space="preserve">Provádění </w:t>
      </w:r>
      <w:r w:rsidR="00264D15" w:rsidRPr="00264D15">
        <w:t>auditů bezpečnosti</w:t>
      </w:r>
      <w:r w:rsidRPr="00156F9B">
        <w:t xml:space="preserve"> </w:t>
      </w:r>
      <w:r w:rsidR="0039560F">
        <w:t xml:space="preserve">a bezpečnostních inspekcí </w:t>
      </w:r>
      <w:r w:rsidRPr="00156F9B">
        <w:t xml:space="preserve">s následnou realizací doporučených opatření má pozitivní vliv na bezpečnost silniční infrastruktury. NKÚ však identifikoval skutečnosti, které tento pozitivní vliv snižují. </w:t>
      </w:r>
    </w:p>
    <w:p w14:paraId="5627C03E" w14:textId="77777777" w:rsidR="00C9459D" w:rsidRPr="007E6EF5" w:rsidRDefault="00C9459D" w:rsidP="005E2807">
      <w:pPr>
        <w:pStyle w:val="JK4"/>
        <w:ind w:left="0" w:firstLine="0"/>
      </w:pPr>
      <w:r w:rsidRPr="00306849">
        <w:t>NKÚ</w:t>
      </w:r>
      <w:r w:rsidR="008D4B53">
        <w:t xml:space="preserve"> na vzorku 30 staveb</w:t>
      </w:r>
      <w:r w:rsidRPr="00306849">
        <w:t xml:space="preserve"> zjistil, že ŘSD v celkem </w:t>
      </w:r>
      <w:r w:rsidR="00CF2C7C">
        <w:t>11</w:t>
      </w:r>
      <w:r w:rsidRPr="00306849">
        <w:t xml:space="preserve"> případech nepostupovalo v</w:t>
      </w:r>
      <w:r w:rsidR="00473FC8">
        <w:t> </w:t>
      </w:r>
      <w:r w:rsidRPr="00306849">
        <w:t xml:space="preserve">souladu </w:t>
      </w:r>
      <w:r w:rsidR="00FC32F2">
        <w:t>se zákonem č.</w:t>
      </w:r>
      <w:r w:rsidR="00FC32F2" w:rsidRPr="00FC32F2">
        <w:t xml:space="preserve"> 13</w:t>
      </w:r>
      <w:r w:rsidR="00FC32F2" w:rsidRPr="007E6EF5">
        <w:t>/1997 Sb.</w:t>
      </w:r>
      <w:r w:rsidR="00FC32F2" w:rsidRPr="007E6EF5">
        <w:rPr>
          <w:rStyle w:val="Znakapoznpodarou"/>
        </w:rPr>
        <w:footnoteReference w:id="49"/>
      </w:r>
      <w:r w:rsidR="00684787" w:rsidRPr="007E6EF5">
        <w:t>,</w:t>
      </w:r>
      <w:r w:rsidRPr="007E6EF5">
        <w:t xml:space="preserve"> </w:t>
      </w:r>
      <w:r w:rsidR="00DD2FC4">
        <w:t>neboť</w:t>
      </w:r>
      <w:r w:rsidRPr="007E6EF5">
        <w:t xml:space="preserve"> </w:t>
      </w:r>
      <w:r w:rsidR="00DD2FC4" w:rsidRPr="007E6EF5">
        <w:t>v</w:t>
      </w:r>
      <w:r w:rsidR="008F0F1D">
        <w:t xml:space="preserve"> </w:t>
      </w:r>
      <w:r w:rsidR="00DD2FC4" w:rsidRPr="007E6EF5">
        <w:t xml:space="preserve">příslušných fázích </w:t>
      </w:r>
      <w:r w:rsidRPr="007E6EF5">
        <w:t xml:space="preserve">nezajistilo provedení </w:t>
      </w:r>
      <w:r w:rsidR="00264D15">
        <w:t>auditu bezpečnosti</w:t>
      </w:r>
      <w:r w:rsidRPr="007E6EF5">
        <w:t xml:space="preserve"> </w:t>
      </w:r>
      <w:r w:rsidR="008D4B53" w:rsidRPr="007E6EF5">
        <w:t xml:space="preserve">u osmi staveb PK </w:t>
      </w:r>
      <w:r w:rsidRPr="007E6EF5">
        <w:t xml:space="preserve">zařazených do sítě TEN-T. V těchto </w:t>
      </w:r>
      <w:r w:rsidR="00504783">
        <w:t xml:space="preserve">zjištěných </w:t>
      </w:r>
      <w:r w:rsidRPr="007E6EF5">
        <w:t xml:space="preserve">případech ŘSD zároveň neplnilo </w:t>
      </w:r>
      <w:r w:rsidR="000251A8">
        <w:t xml:space="preserve">jednu z aktivit </w:t>
      </w:r>
      <w:r w:rsidRPr="007E6EF5">
        <w:t>AP NSBSP 2020.</w:t>
      </w:r>
    </w:p>
    <w:p w14:paraId="4E06F37F" w14:textId="58584ABD" w:rsidR="00C9459D" w:rsidRPr="00721672" w:rsidRDefault="00C9459D" w:rsidP="005E2807">
      <w:pPr>
        <w:pStyle w:val="JK4"/>
        <w:ind w:left="0" w:firstLine="0"/>
      </w:pPr>
      <w:r w:rsidRPr="00721672">
        <w:t>ŘSD ne vždy adekvátně reagovalo na rizika a doporučení vzešlá z</w:t>
      </w:r>
      <w:r w:rsidR="00570AC6">
        <w:t xml:space="preserve"> </w:t>
      </w:r>
      <w:r w:rsidR="00264D15">
        <w:t>audit</w:t>
      </w:r>
      <w:r w:rsidR="0039560F">
        <w:t>ů</w:t>
      </w:r>
      <w:r w:rsidR="00264D15">
        <w:t xml:space="preserve"> bezpečnosti</w:t>
      </w:r>
      <w:r w:rsidRPr="00721672">
        <w:t xml:space="preserve">. </w:t>
      </w:r>
      <w:r w:rsidR="000B35E9">
        <w:br/>
      </w:r>
      <w:r w:rsidRPr="00721672">
        <w:t>V</w:t>
      </w:r>
      <w:r w:rsidR="000B35E9">
        <w:t xml:space="preserve"> </w:t>
      </w:r>
      <w:r w:rsidRPr="00721672">
        <w:t xml:space="preserve">důsledku toho na stejných PK následná </w:t>
      </w:r>
      <w:r w:rsidR="00264D15">
        <w:rPr>
          <w:rFonts w:cs="Calibri"/>
          <w:szCs w:val="24"/>
        </w:rPr>
        <w:t>bezpečnostní inspekce</w:t>
      </w:r>
      <w:r w:rsidRPr="00721672">
        <w:t xml:space="preserve"> identifikovala řad</w:t>
      </w:r>
      <w:r w:rsidR="008D4B53">
        <w:t>u</w:t>
      </w:r>
      <w:r w:rsidRPr="00721672">
        <w:t xml:space="preserve"> bezpečnostních deficitů</w:t>
      </w:r>
      <w:r w:rsidR="007C5B74">
        <w:t>,</w:t>
      </w:r>
      <w:r w:rsidRPr="00721672">
        <w:t xml:space="preserve"> </w:t>
      </w:r>
      <w:r w:rsidR="008D4B53">
        <w:t xml:space="preserve">na </w:t>
      </w:r>
      <w:r w:rsidR="008F0F1D">
        <w:t>něž</w:t>
      </w:r>
      <w:r w:rsidR="008D4B53">
        <w:t xml:space="preserve"> dříve poukázal </w:t>
      </w:r>
      <w:r w:rsidR="00264D15">
        <w:t>audit bezpečnosti</w:t>
      </w:r>
      <w:r w:rsidRPr="00721672">
        <w:t xml:space="preserve">. </w:t>
      </w:r>
    </w:p>
    <w:p w14:paraId="7BB83B54" w14:textId="58884B0C" w:rsidR="005168DC" w:rsidRDefault="00C9459D" w:rsidP="005E2807">
      <w:pPr>
        <w:pStyle w:val="JK4"/>
        <w:ind w:left="0" w:firstLine="0"/>
      </w:pPr>
      <w:r w:rsidRPr="005D0E77">
        <w:t>N</w:t>
      </w:r>
      <w:r w:rsidR="0039560F">
        <w:t>KÚ dále zjistil, že n</w:t>
      </w:r>
      <w:r w:rsidRPr="005D0E77">
        <w:t xml:space="preserve">a </w:t>
      </w:r>
      <w:r w:rsidR="00361256">
        <w:t>pozemních komunikacích</w:t>
      </w:r>
      <w:r w:rsidR="00361256" w:rsidRPr="005D0E77">
        <w:t xml:space="preserve"> </w:t>
      </w:r>
      <w:r w:rsidRPr="005D0E77">
        <w:t xml:space="preserve">sítě TEN-T bylo </w:t>
      </w:r>
      <w:r w:rsidR="008D4B53">
        <w:t>mezi lety</w:t>
      </w:r>
      <w:r w:rsidRPr="005D0E77">
        <w:t xml:space="preserve"> 2015</w:t>
      </w:r>
      <w:r w:rsidR="007C6860">
        <w:t>–</w:t>
      </w:r>
      <w:r w:rsidRPr="005D0E77">
        <w:t xml:space="preserve">2020 </w:t>
      </w:r>
      <w:r w:rsidRPr="008D4B53">
        <w:t>eliminováno pouze</w:t>
      </w:r>
      <w:r w:rsidR="0039560F">
        <w:t xml:space="preserve"> </w:t>
      </w:r>
      <w:r w:rsidRPr="008D4B53">
        <w:t xml:space="preserve">29 % </w:t>
      </w:r>
      <w:r w:rsidR="00F26397">
        <w:t>identifikovaných dopravně bezpečnostních</w:t>
      </w:r>
      <w:r w:rsidR="00F26397" w:rsidRPr="008D4B53">
        <w:t xml:space="preserve"> </w:t>
      </w:r>
      <w:r w:rsidRPr="008D4B53">
        <w:t>deficitů s rokem původu 2015. ŘSD při odstraňování těchto deficitů na síti TEN-T neupřednostňovalo ty, které byly zařazeny do kategorie „primární sanační opatření“, tj. jejich odstranění nesnese odklad a</w:t>
      </w:r>
      <w:r w:rsidR="008F0F1D">
        <w:t> </w:t>
      </w:r>
      <w:r w:rsidRPr="008D4B53">
        <w:t xml:space="preserve">jsou </w:t>
      </w:r>
      <w:r w:rsidRPr="008D4B53">
        <w:rPr>
          <w:rFonts w:ascii="Calibri" w:hAnsi="Calibri" w:cs="Calibri"/>
          <w:bCs/>
        </w:rPr>
        <w:t xml:space="preserve">převážně nízkonákladové povahy. </w:t>
      </w:r>
      <w:r w:rsidRPr="008D4B53">
        <w:t xml:space="preserve">Z 685 </w:t>
      </w:r>
      <w:r w:rsidR="008D4B53" w:rsidRPr="008D4B53">
        <w:t>záznamů obsahujících tyto deficity</w:t>
      </w:r>
      <w:r w:rsidRPr="008D4B53">
        <w:t xml:space="preserve"> bylo do provedení </w:t>
      </w:r>
      <w:r w:rsidR="00264D15">
        <w:rPr>
          <w:rFonts w:cs="Calibri"/>
          <w:szCs w:val="24"/>
        </w:rPr>
        <w:t>bezpečnostních inspekcí</w:t>
      </w:r>
      <w:r w:rsidRPr="008D4B53">
        <w:t xml:space="preserve"> v roce 2020 eliminováno</w:t>
      </w:r>
      <w:r w:rsidR="007C5B74">
        <w:t xml:space="preserve"> jen</w:t>
      </w:r>
      <w:r w:rsidRPr="008D4B53">
        <w:t xml:space="preserve"> 183 z nich (</w:t>
      </w:r>
      <w:r w:rsidR="007C5B74">
        <w:t xml:space="preserve">tj. </w:t>
      </w:r>
      <w:r w:rsidRPr="008D4B53">
        <w:t>27 %).</w:t>
      </w:r>
      <w:r w:rsidR="00CF2C7C">
        <w:t xml:space="preserve"> </w:t>
      </w:r>
      <w:r w:rsidR="00A05DC2">
        <w:t>Tím, že ŘSD při odstraňování bezpečnostních deficitů neupřednostňovalo ty, které byly v</w:t>
      </w:r>
      <w:r w:rsidR="00570AC6">
        <w:t xml:space="preserve"> </w:t>
      </w:r>
      <w:r w:rsidR="00A05DC2">
        <w:t xml:space="preserve">rámci </w:t>
      </w:r>
      <w:r w:rsidR="00264D15">
        <w:rPr>
          <w:rFonts w:cs="Calibri"/>
          <w:szCs w:val="24"/>
        </w:rPr>
        <w:t>bezpečnostních inspekcí</w:t>
      </w:r>
      <w:r w:rsidR="00A05DC2">
        <w:t xml:space="preserve"> zařazeny do kategorie primárních sanačních opatření, nerealizovalo právě ta</w:t>
      </w:r>
      <w:r w:rsidR="000B35E9">
        <w:t xml:space="preserve"> </w:t>
      </w:r>
      <w:r w:rsidR="00A05DC2">
        <w:t>opatření s</w:t>
      </w:r>
      <w:r w:rsidR="0089764E">
        <w:t> </w:t>
      </w:r>
      <w:r w:rsidR="00A05DC2">
        <w:t xml:space="preserve">nejvyšší efektivitou (nejvyšší hodnotou poměru </w:t>
      </w:r>
      <w:r w:rsidR="00C61202">
        <w:t>pří</w:t>
      </w:r>
      <w:r w:rsidR="00A05DC2">
        <w:t>nosů a nákladů).</w:t>
      </w:r>
      <w:r w:rsidR="00312AFC">
        <w:t xml:space="preserve"> </w:t>
      </w:r>
    </w:p>
    <w:p w14:paraId="65C910CE" w14:textId="77777777" w:rsidR="005168DC" w:rsidRDefault="005168DC" w:rsidP="005E2807">
      <w:pPr>
        <w:pStyle w:val="JK4"/>
        <w:ind w:left="0" w:firstLine="0"/>
      </w:pPr>
      <w:r w:rsidRPr="005B3F5D">
        <w:t xml:space="preserve">NKÚ </w:t>
      </w:r>
      <w:r>
        <w:t xml:space="preserve">z údajů o </w:t>
      </w:r>
      <w:r w:rsidRPr="005B3F5D">
        <w:t xml:space="preserve">25 </w:t>
      </w:r>
      <w:r w:rsidR="00264D15">
        <w:rPr>
          <w:rFonts w:cs="Calibri"/>
          <w:szCs w:val="24"/>
        </w:rPr>
        <w:t>bezpečnostních inspekcí</w:t>
      </w:r>
      <w:r w:rsidR="0039560F">
        <w:rPr>
          <w:rFonts w:cs="Calibri"/>
          <w:szCs w:val="24"/>
        </w:rPr>
        <w:t>ch</w:t>
      </w:r>
      <w:r>
        <w:t xml:space="preserve"> provedených na ucelené silniční síti zjistil</w:t>
      </w:r>
      <w:r w:rsidRPr="005B3F5D">
        <w:t xml:space="preserve">, že medián </w:t>
      </w:r>
      <w:r w:rsidR="008F0F1D">
        <w:t>částek</w:t>
      </w:r>
      <w:r w:rsidRPr="005B3F5D">
        <w:t>, kter</w:t>
      </w:r>
      <w:r w:rsidR="008F0F1D">
        <w:t>é</w:t>
      </w:r>
      <w:r w:rsidRPr="005B3F5D">
        <w:t xml:space="preserve"> ŘSD zaplatilo za 1 km posuzovaných PK</w:t>
      </w:r>
      <w:r w:rsidR="008F0F1D">
        <w:t>,</w:t>
      </w:r>
      <w:r w:rsidRPr="005B3F5D">
        <w:t xml:space="preserve"> činí 5 474 Kč bez DPH. </w:t>
      </w:r>
      <w:r w:rsidRPr="0089764E">
        <w:rPr>
          <w:rFonts w:ascii="Calibri" w:hAnsi="Calibri" w:cs="Calibri"/>
          <w:bCs/>
        </w:rPr>
        <w:t>NKÚ zjistil, že u</w:t>
      </w:r>
      <w:r w:rsidR="008F0F1D">
        <w:t xml:space="preserve"> </w:t>
      </w:r>
      <w:r>
        <w:t>veřejné zakázky</w:t>
      </w:r>
      <w:r w:rsidRPr="005B3F5D">
        <w:t xml:space="preserve"> „</w:t>
      </w:r>
      <w:r w:rsidRPr="002C7C06">
        <w:rPr>
          <w:i/>
        </w:rPr>
        <w:t>I/3 a I/6 Revize identifikovaných dopravně – bezpečnostních deficitů evidovaných v rámci bezpečnostních inspekcí na silniční síti v roce 2019</w:t>
      </w:r>
      <w:r w:rsidRPr="005B3F5D">
        <w:t>“</w:t>
      </w:r>
      <w:r>
        <w:t>,</w:t>
      </w:r>
      <w:r w:rsidRPr="005B3F5D">
        <w:t xml:space="preserve"> </w:t>
      </w:r>
      <w:r>
        <w:t>za jejíž plnění ŘSD zhotoviteli zaplatilo</w:t>
      </w:r>
      <w:r w:rsidRPr="005B3F5D">
        <w:t xml:space="preserve"> 945</w:t>
      </w:r>
      <w:r>
        <w:t> </w:t>
      </w:r>
      <w:r w:rsidRPr="005B3F5D">
        <w:t>000 Kč bez DPH</w:t>
      </w:r>
      <w:r>
        <w:t>, činila cena</w:t>
      </w:r>
      <w:r w:rsidRPr="005B3F5D">
        <w:t xml:space="preserve"> </w:t>
      </w:r>
      <w:r w:rsidR="008F0F1D">
        <w:t>přepočtená na</w:t>
      </w:r>
      <w:r w:rsidRPr="005B3F5D">
        <w:t xml:space="preserve"> 1 km sledované sítě 11 225 Kč bez DPH, což </w:t>
      </w:r>
      <w:bookmarkStart w:id="31" w:name="_Hlk144465203"/>
      <w:r w:rsidRPr="005B3F5D">
        <w:t xml:space="preserve">je částka více než dvojnásobná oproti </w:t>
      </w:r>
      <w:r w:rsidR="00361256">
        <w:t>mediánu ceny zjištěnému</w:t>
      </w:r>
      <w:r w:rsidRPr="005B3F5D">
        <w:t xml:space="preserve"> NKÚ</w:t>
      </w:r>
      <w:r w:rsidR="008F0F1D">
        <w:t>.</w:t>
      </w:r>
      <w:r w:rsidR="00EB04CC">
        <w:t xml:space="preserve"> </w:t>
      </w:r>
      <w:r w:rsidR="0015118E">
        <w:t>Zároveň kontrola neobjevila žádné skutečnosti, které by takto vysokou cenu odůvodňovaly.</w:t>
      </w:r>
      <w:bookmarkEnd w:id="31"/>
    </w:p>
    <w:p w14:paraId="6D96A273" w14:textId="77777777" w:rsidR="00C9459D" w:rsidRPr="007F7240" w:rsidRDefault="00C9459D" w:rsidP="00C9459D">
      <w:pPr>
        <w:pStyle w:val="Mluvcnadpis"/>
        <w:rPr>
          <w:i w:val="0"/>
        </w:rPr>
      </w:pPr>
      <w:r w:rsidRPr="007F7240">
        <w:rPr>
          <w:i w:val="0"/>
        </w:rPr>
        <w:t>→</w:t>
      </w:r>
      <w:r w:rsidRPr="007F7240">
        <w:rPr>
          <w:i w:val="0"/>
        </w:rPr>
        <w:tab/>
      </w:r>
      <w:r w:rsidRPr="00156F9B">
        <w:t>NKÚ vyhodnotil peněžní prostředky, které ŘSD vynaložilo na</w:t>
      </w:r>
      <w:r w:rsidR="00DC15BD">
        <w:t xml:space="preserve"> </w:t>
      </w:r>
      <w:r w:rsidRPr="00156F9B">
        <w:t>identifikaci a návrhy na</w:t>
      </w:r>
      <w:r w:rsidR="00570AC6">
        <w:t xml:space="preserve"> </w:t>
      </w:r>
      <w:r w:rsidRPr="00156F9B">
        <w:t xml:space="preserve">odstranění nehodových lokalit, jako </w:t>
      </w:r>
      <w:r w:rsidR="00CF2A10">
        <w:t xml:space="preserve">sníženě </w:t>
      </w:r>
      <w:r w:rsidRPr="00156F9B">
        <w:t>účelné.</w:t>
      </w:r>
      <w:r w:rsidRPr="007F7240">
        <w:rPr>
          <w:i w:val="0"/>
        </w:rPr>
        <w:t xml:space="preserve"> </w:t>
      </w:r>
    </w:p>
    <w:p w14:paraId="46E2FA08" w14:textId="77777777" w:rsidR="00C9459D" w:rsidRPr="00595995" w:rsidRDefault="00C9459D" w:rsidP="005E2807">
      <w:pPr>
        <w:pStyle w:val="JK4"/>
        <w:ind w:left="0" w:firstLine="0"/>
      </w:pPr>
      <w:r w:rsidRPr="00A02E81">
        <w:t>Odstranění nehodových lokalit má významný potenciál předcházet závažným následkům dopravních nehod. K</w:t>
      </w:r>
      <w:r w:rsidR="0066578F">
        <w:t xml:space="preserve"> </w:t>
      </w:r>
      <w:r w:rsidRPr="00A02E81">
        <w:t>identifikaci</w:t>
      </w:r>
      <w:r w:rsidR="0015118E">
        <w:t xml:space="preserve"> takových úseků</w:t>
      </w:r>
      <w:r w:rsidRPr="00A02E81">
        <w:t xml:space="preserve"> je možné využívat pokročilé statistické metody, které zároveň umožňují prioritizaci lokal</w:t>
      </w:r>
      <w:r w:rsidRPr="00595995">
        <w:t>it dle rizikovosti.</w:t>
      </w:r>
    </w:p>
    <w:p w14:paraId="0C9EE03F" w14:textId="77777777" w:rsidR="00C9459D" w:rsidRPr="00595995" w:rsidRDefault="00C9459D" w:rsidP="005E2807">
      <w:pPr>
        <w:pStyle w:val="JK4"/>
        <w:ind w:left="0" w:firstLine="0"/>
      </w:pPr>
      <w:r w:rsidRPr="00595995">
        <w:t>Jedním z</w:t>
      </w:r>
      <w:r w:rsidR="0015118E">
        <w:t xml:space="preserve"> </w:t>
      </w:r>
      <w:r w:rsidRPr="00595995">
        <w:t xml:space="preserve">nástrojů </w:t>
      </w:r>
      <w:r w:rsidR="0015118E" w:rsidRPr="00595995">
        <w:t xml:space="preserve">využívaných ŘSD </w:t>
      </w:r>
      <w:r w:rsidR="0015118E">
        <w:t xml:space="preserve">pro </w:t>
      </w:r>
      <w:r w:rsidRPr="00595995">
        <w:t>identifikac</w:t>
      </w:r>
      <w:r w:rsidR="0015118E">
        <w:t>i</w:t>
      </w:r>
      <w:r w:rsidRPr="00595995">
        <w:t xml:space="preserve"> nehodových lokalit je aplikace </w:t>
      </w:r>
      <w:hyperlink r:id="rId17" w:history="1">
        <w:r w:rsidRPr="00595995">
          <w:rPr>
            <w:rStyle w:val="Hypertextovodkaz"/>
          </w:rPr>
          <w:t>www.kdebourame.cz</w:t>
        </w:r>
      </w:hyperlink>
      <w:r w:rsidRPr="00595995">
        <w:t xml:space="preserve">, která eviduje místa s významnými koncentracemi dopravních nehod. V těchto lokalitách pak ŘSD provádí prohlídky a případně realizuje konkrétní opatření. </w:t>
      </w:r>
      <w:r w:rsidRPr="00595995">
        <w:lastRenderedPageBreak/>
        <w:t xml:space="preserve">Účelnost peněžních prostředků </w:t>
      </w:r>
      <w:r w:rsidR="0015118E">
        <w:t xml:space="preserve">vynaložených </w:t>
      </w:r>
      <w:r w:rsidRPr="00595995">
        <w:t xml:space="preserve">na provedení prohlídek nehodových lokalit je přímo úměrná míře realizovaných opatření. </w:t>
      </w:r>
    </w:p>
    <w:p w14:paraId="460D9479" w14:textId="77777777" w:rsidR="00C9459D" w:rsidRPr="00595995" w:rsidRDefault="00C9459D" w:rsidP="005E2807">
      <w:pPr>
        <w:pStyle w:val="JK4"/>
        <w:ind w:left="0" w:firstLine="0"/>
      </w:pPr>
      <w:r w:rsidRPr="00595995">
        <w:t>NKÚ zjistil, že např. v rámci prohlídek v </w:t>
      </w:r>
      <w:r w:rsidR="00CC33A1">
        <w:t xml:space="preserve">květnu </w:t>
      </w:r>
      <w:r w:rsidRPr="00595995">
        <w:t xml:space="preserve">2020 bylo v devíti nehodových lokalitách </w:t>
      </w:r>
      <w:r w:rsidRPr="00595995">
        <w:rPr>
          <w:rFonts w:cstheme="minorHAnsi"/>
          <w:bCs/>
        </w:rPr>
        <w:t xml:space="preserve">identifikováno celkem 61 rizik, přičemž </w:t>
      </w:r>
      <w:r w:rsidRPr="00595995">
        <w:t xml:space="preserve">ŘSD činilo kroky k odstranění </w:t>
      </w:r>
      <w:r w:rsidR="00125743">
        <w:t xml:space="preserve">jen </w:t>
      </w:r>
      <w:r w:rsidR="00DD097A">
        <w:t>dvaceti šesti</w:t>
      </w:r>
      <w:r w:rsidRPr="00595995">
        <w:t xml:space="preserve"> z nich (42,6</w:t>
      </w:r>
      <w:r w:rsidR="00CC33A1">
        <w:t> </w:t>
      </w:r>
      <w:r w:rsidRPr="00595995">
        <w:t>%). NKÚ dále zjistil, že u tří z</w:t>
      </w:r>
      <w:r w:rsidR="00DD097A">
        <w:t xml:space="preserve"> </w:t>
      </w:r>
      <w:r w:rsidRPr="00595995">
        <w:t xml:space="preserve">nehodových lokalit na </w:t>
      </w:r>
      <w:r w:rsidRPr="00595995">
        <w:rPr>
          <w:rFonts w:cstheme="minorHAnsi"/>
          <w:bCs/>
        </w:rPr>
        <w:t xml:space="preserve">silnici I/9 odstranilo </w:t>
      </w:r>
      <w:r w:rsidR="00DD097A" w:rsidRPr="00595995">
        <w:rPr>
          <w:rFonts w:cstheme="minorHAnsi"/>
          <w:bCs/>
        </w:rPr>
        <w:t xml:space="preserve">ŘSD </w:t>
      </w:r>
      <w:r w:rsidRPr="00595995">
        <w:rPr>
          <w:rFonts w:cstheme="minorHAnsi"/>
          <w:bCs/>
        </w:rPr>
        <w:t xml:space="preserve">pouze čtvrtinu z 24 identifikovaných rizik. Takto nízká míra realizovaných opatření </w:t>
      </w:r>
      <w:r w:rsidR="00CF2A10">
        <w:t>snižuje</w:t>
      </w:r>
      <w:r w:rsidR="00CF2A10" w:rsidRPr="00595995">
        <w:t xml:space="preserve"> </w:t>
      </w:r>
      <w:r w:rsidRPr="00595995">
        <w:t>účelnost peněžních prostředků, které ŘSD vy</w:t>
      </w:r>
      <w:r w:rsidR="00DD097A">
        <w:t>dalo</w:t>
      </w:r>
      <w:r w:rsidRPr="00595995">
        <w:t xml:space="preserve"> za provedení prohlídek PK.</w:t>
      </w:r>
    </w:p>
    <w:p w14:paraId="1205B9A8" w14:textId="77777777" w:rsidR="00C9459D" w:rsidRPr="00156F9B" w:rsidRDefault="00C9459D" w:rsidP="00C9459D">
      <w:pPr>
        <w:pStyle w:val="Mluvcnadpis"/>
      </w:pPr>
      <w:r w:rsidRPr="00156F9B">
        <w:t>→</w:t>
      </w:r>
      <w:r w:rsidRPr="00156F9B">
        <w:tab/>
        <w:t xml:space="preserve">ŘSD nevyužívá </w:t>
      </w:r>
      <w:r w:rsidR="00DD097A">
        <w:t>v informačním systému CEBASS funkcionalitu</w:t>
      </w:r>
      <w:r w:rsidRPr="00156F9B">
        <w:t>, jejíž potřeba byla jedním z důvodů pořízení</w:t>
      </w:r>
      <w:r w:rsidR="00DD097A">
        <w:t xml:space="preserve"> systému</w:t>
      </w:r>
      <w:r w:rsidR="00B86259" w:rsidRPr="00156F9B">
        <w:t>.</w:t>
      </w:r>
    </w:p>
    <w:p w14:paraId="00B01164" w14:textId="19914143" w:rsidR="00E23B6C" w:rsidRPr="005B3F5D" w:rsidRDefault="00C9459D" w:rsidP="005E2807">
      <w:pPr>
        <w:pStyle w:val="JK4"/>
        <w:ind w:left="0" w:firstLine="0"/>
      </w:pPr>
      <w:r w:rsidRPr="002F65E7">
        <w:t>Potřeba mít k</w:t>
      </w:r>
      <w:r w:rsidR="0066578F">
        <w:t xml:space="preserve"> </w:t>
      </w:r>
      <w:r w:rsidRPr="002F65E7">
        <w:t xml:space="preserve">dispozici nástroj pro </w:t>
      </w:r>
      <w:r w:rsidR="00A05DC2">
        <w:t xml:space="preserve">kontrolu </w:t>
      </w:r>
      <w:r w:rsidRPr="002F65E7">
        <w:t>odstraňování deficitů zjištěných bezpečnostní</w:t>
      </w:r>
      <w:r w:rsidR="00DD097A">
        <w:t>mi</w:t>
      </w:r>
      <w:r w:rsidRPr="002F65E7">
        <w:t xml:space="preserve"> inspekc</w:t>
      </w:r>
      <w:r w:rsidR="00DD097A">
        <w:t>emi</w:t>
      </w:r>
      <w:r w:rsidRPr="002F65E7">
        <w:t xml:space="preserve"> byla </w:t>
      </w:r>
      <w:r w:rsidR="00A05DC2">
        <w:t>jedním z důvodů</w:t>
      </w:r>
      <w:r w:rsidRPr="002F65E7">
        <w:t xml:space="preserve"> k</w:t>
      </w:r>
      <w:r w:rsidR="0066578F">
        <w:t xml:space="preserve"> </w:t>
      </w:r>
      <w:r w:rsidRPr="002F65E7">
        <w:t>realizaci veřejné zakázky „</w:t>
      </w:r>
      <w:r w:rsidRPr="002C7C06">
        <w:rPr>
          <w:i/>
        </w:rPr>
        <w:t>Migrace a</w:t>
      </w:r>
      <w:r w:rsidR="00DD097A">
        <w:rPr>
          <w:i/>
        </w:rPr>
        <w:t> </w:t>
      </w:r>
      <w:r w:rsidRPr="002C7C06">
        <w:rPr>
          <w:i/>
        </w:rPr>
        <w:t>podpora systému CEBASS</w:t>
      </w:r>
      <w:r w:rsidR="00E23B6C">
        <w:rPr>
          <w:rStyle w:val="Znakapoznpodarou"/>
        </w:rPr>
        <w:footnoteReference w:id="50"/>
      </w:r>
      <w:r w:rsidRPr="002F65E7">
        <w:t>“</w:t>
      </w:r>
      <w:r w:rsidR="00DD097A">
        <w:t>,</w:t>
      </w:r>
      <w:r w:rsidRPr="002F65E7">
        <w:t xml:space="preserve"> za jejíž plnění ŘSD do konce roku 2022 zaplatilo poskytovateli částku 2</w:t>
      </w:r>
      <w:r w:rsidR="00312AFC">
        <w:t>,7</w:t>
      </w:r>
      <w:r w:rsidR="005F6971">
        <w:t xml:space="preserve"> </w:t>
      </w:r>
      <w:r w:rsidR="00312AFC">
        <w:t>mil.</w:t>
      </w:r>
      <w:r w:rsidR="005F6971">
        <w:t xml:space="preserve"> </w:t>
      </w:r>
      <w:r w:rsidRPr="002F65E7">
        <w:t>Kč.</w:t>
      </w:r>
      <w:r w:rsidR="002B2B70">
        <w:t xml:space="preserve"> </w:t>
      </w:r>
      <w:r w:rsidRPr="002F65E7">
        <w:t>NKÚ zjistil, že v</w:t>
      </w:r>
      <w:r w:rsidR="0066578F">
        <w:t xml:space="preserve"> </w:t>
      </w:r>
      <w:r w:rsidR="00C408A5">
        <w:t xml:space="preserve">informačním </w:t>
      </w:r>
      <w:r w:rsidRPr="002F65E7">
        <w:t>systému CEBASS bylo ke dni 16. 4. 2023 evidováno celkem 23 929 záznamů o</w:t>
      </w:r>
      <w:r w:rsidR="0066578F">
        <w:t xml:space="preserve"> </w:t>
      </w:r>
      <w:r w:rsidR="00A05DC2">
        <w:t xml:space="preserve">28 291 </w:t>
      </w:r>
      <w:r w:rsidRPr="002F65E7">
        <w:t>deficitech, z toho u 23 444 záznamů (98 %) byl stav řešení „</w:t>
      </w:r>
      <w:r w:rsidRPr="002C7C06">
        <w:rPr>
          <w:i/>
        </w:rPr>
        <w:t>bez reakce</w:t>
      </w:r>
      <w:r w:rsidRPr="002F65E7">
        <w:t>“</w:t>
      </w:r>
      <w:r w:rsidR="00125743">
        <w:t>. T</w:t>
      </w:r>
      <w:r w:rsidR="00C408A5">
        <w:t>o</w:t>
      </w:r>
      <w:r w:rsidR="00125743">
        <w:t xml:space="preserve"> však</w:t>
      </w:r>
      <w:r w:rsidR="00C408A5">
        <w:t xml:space="preserve"> neodpovídalo skutečnosti, protože ŘSD již řadu deficitů řešilo a došlo k</w:t>
      </w:r>
      <w:r w:rsidR="00666D1C">
        <w:t xml:space="preserve"> </w:t>
      </w:r>
      <w:r w:rsidR="00C408A5">
        <w:t xml:space="preserve">jejich </w:t>
      </w:r>
      <w:r w:rsidR="002C7C06">
        <w:t>odstranění</w:t>
      </w:r>
      <w:r w:rsidR="00C408A5">
        <w:t xml:space="preserve"> či změně</w:t>
      </w:r>
      <w:r w:rsidRPr="002F65E7">
        <w:t>.</w:t>
      </w:r>
      <w:r w:rsidR="002B2B70">
        <w:t xml:space="preserve"> </w:t>
      </w:r>
      <w:r w:rsidR="00C408A5">
        <w:t xml:space="preserve">Je </w:t>
      </w:r>
      <w:r w:rsidR="00DD097A">
        <w:t>tedy</w:t>
      </w:r>
      <w:r w:rsidR="00C408A5">
        <w:t xml:space="preserve"> zřejmé, že ŘSD </w:t>
      </w:r>
      <w:r w:rsidR="00CB064E">
        <w:t>tuto funkcionalitu nevyužívá k účelu, pro kter</w:t>
      </w:r>
      <w:r w:rsidR="00DD097A">
        <w:t>ý</w:t>
      </w:r>
      <w:r w:rsidR="00CB064E">
        <w:t xml:space="preserve"> byla pořízena. </w:t>
      </w:r>
      <w:r w:rsidR="0019139C">
        <w:t>Vynakládání</w:t>
      </w:r>
      <w:r w:rsidR="005168DC">
        <w:t xml:space="preserve"> </w:t>
      </w:r>
      <w:r w:rsidRPr="002F65E7">
        <w:t xml:space="preserve">peněžních prostředků na systém CEBASS </w:t>
      </w:r>
      <w:r w:rsidR="005168DC">
        <w:t xml:space="preserve">proto </w:t>
      </w:r>
      <w:r w:rsidRPr="002F65E7">
        <w:t>NKÚ hodnotí jako</w:t>
      </w:r>
      <w:r w:rsidR="00C31C4F">
        <w:t xml:space="preserve"> </w:t>
      </w:r>
      <w:r w:rsidR="00EE5965">
        <w:t>sníženě účelné</w:t>
      </w:r>
      <w:r w:rsidRPr="002F65E7">
        <w:t>.</w:t>
      </w:r>
      <w:r w:rsidRPr="005B3F5D">
        <w:t xml:space="preserve"> </w:t>
      </w:r>
    </w:p>
    <w:p w14:paraId="7D97D502" w14:textId="77777777" w:rsidR="003474F1" w:rsidRDefault="003474F1">
      <w:pPr>
        <w:rPr>
          <w:b/>
          <w:sz w:val="24"/>
          <w:szCs w:val="24"/>
        </w:rPr>
      </w:pPr>
      <w:bookmarkStart w:id="32" w:name="_Hlk140239761"/>
      <w:r>
        <w:rPr>
          <w:b/>
          <w:sz w:val="24"/>
          <w:szCs w:val="24"/>
        </w:rPr>
        <w:br w:type="page"/>
      </w:r>
    </w:p>
    <w:p w14:paraId="44D3A9F5" w14:textId="77777777" w:rsidR="00A723E5" w:rsidRPr="00AC6102" w:rsidRDefault="0018573A" w:rsidP="003E74C1">
      <w:pPr>
        <w:spacing w:before="600" w:after="120" w:line="240" w:lineRule="auto"/>
        <w:jc w:val="both"/>
        <w:rPr>
          <w:b/>
          <w:sz w:val="24"/>
          <w:szCs w:val="24"/>
        </w:rPr>
      </w:pPr>
      <w:r>
        <w:rPr>
          <w:b/>
          <w:sz w:val="24"/>
          <w:szCs w:val="24"/>
        </w:rPr>
        <w:lastRenderedPageBreak/>
        <w:t>S</w:t>
      </w:r>
      <w:r w:rsidR="009C4343" w:rsidRPr="00AC6102">
        <w:rPr>
          <w:b/>
          <w:sz w:val="24"/>
          <w:szCs w:val="24"/>
        </w:rPr>
        <w:t>eznam</w:t>
      </w:r>
      <w:r w:rsidR="00A66570" w:rsidRPr="00AC6102">
        <w:rPr>
          <w:b/>
          <w:sz w:val="24"/>
          <w:szCs w:val="24"/>
        </w:rPr>
        <w:t xml:space="preserve"> </w:t>
      </w:r>
      <w:r w:rsidR="009C4343" w:rsidRPr="00AC6102">
        <w:rPr>
          <w:b/>
          <w:sz w:val="24"/>
          <w:szCs w:val="24"/>
        </w:rPr>
        <w:t>zkratek</w:t>
      </w:r>
    </w:p>
    <w:p w14:paraId="072C0788" w14:textId="77777777" w:rsidR="00347582" w:rsidRPr="002C7C06" w:rsidRDefault="0066578F" w:rsidP="006C181E">
      <w:pPr>
        <w:tabs>
          <w:tab w:val="left" w:pos="2977"/>
        </w:tabs>
        <w:spacing w:after="40" w:line="240" w:lineRule="auto"/>
        <w:ind w:left="2977" w:hanging="2977"/>
        <w:jc w:val="both"/>
        <w:rPr>
          <w:rFonts w:cs="Calibri"/>
        </w:rPr>
      </w:pPr>
      <w:r w:rsidRPr="002C7C06">
        <w:rPr>
          <w:rFonts w:cs="Calibri"/>
        </w:rPr>
        <w:t>„</w:t>
      </w:r>
      <w:r w:rsidR="00347582" w:rsidRPr="002C7C06">
        <w:rPr>
          <w:rFonts w:cs="Calibri"/>
          <w:i/>
        </w:rPr>
        <w:t>13 minut</w:t>
      </w:r>
      <w:r w:rsidRPr="002C7C06">
        <w:rPr>
          <w:rFonts w:cs="Calibri"/>
        </w:rPr>
        <w:t>“</w:t>
      </w:r>
      <w:r w:rsidR="00347582" w:rsidRPr="002C7C06">
        <w:rPr>
          <w:rFonts w:cs="Calibri"/>
        </w:rPr>
        <w:tab/>
        <w:t>kampaň „</w:t>
      </w:r>
      <w:r w:rsidR="00347582" w:rsidRPr="002C7C06">
        <w:rPr>
          <w:rFonts w:cs="Calibri"/>
          <w:i/>
        </w:rPr>
        <w:t>Zpomal, dokud není skutečně pozdě</w:t>
      </w:r>
      <w:r w:rsidR="00347582" w:rsidRPr="002C7C06">
        <w:rPr>
          <w:rFonts w:cs="Calibri"/>
        </w:rPr>
        <w:t>“</w:t>
      </w:r>
    </w:p>
    <w:p w14:paraId="3F29929F" w14:textId="77777777" w:rsidR="00FB4D6E" w:rsidRPr="002C7C06" w:rsidRDefault="00264D15" w:rsidP="00E4102C">
      <w:pPr>
        <w:tabs>
          <w:tab w:val="left" w:pos="2977"/>
        </w:tabs>
        <w:spacing w:after="40" w:line="240" w:lineRule="auto"/>
        <w:ind w:left="2977" w:hanging="2977"/>
        <w:jc w:val="both"/>
        <w:rPr>
          <w:rFonts w:cs="Calibri"/>
        </w:rPr>
      </w:pPr>
      <w:r w:rsidRPr="002C7C06">
        <w:t>audit bezpečnosti</w:t>
      </w:r>
      <w:r w:rsidR="00FB4D6E" w:rsidRPr="002C7C06">
        <w:rPr>
          <w:rFonts w:cs="Calibri"/>
        </w:rPr>
        <w:tab/>
        <w:t>audit bezpečnosti pozemní komunikace</w:t>
      </w:r>
    </w:p>
    <w:p w14:paraId="38EAA9AA" w14:textId="77777777" w:rsidR="00E4102C" w:rsidRPr="002C7C06" w:rsidRDefault="00E4102C" w:rsidP="00E4102C">
      <w:pPr>
        <w:tabs>
          <w:tab w:val="left" w:pos="2977"/>
        </w:tabs>
        <w:spacing w:after="40" w:line="240" w:lineRule="auto"/>
        <w:ind w:left="2977" w:hanging="2977"/>
        <w:jc w:val="both"/>
        <w:rPr>
          <w:rFonts w:cs="Calibri"/>
        </w:rPr>
      </w:pPr>
      <w:r w:rsidRPr="002C7C06">
        <w:rPr>
          <w:rFonts w:cs="Calibri"/>
        </w:rPr>
        <w:t xml:space="preserve">AP </w:t>
      </w:r>
      <w:r w:rsidRPr="002C7C06">
        <w:rPr>
          <w:rFonts w:cs="Calibri"/>
        </w:rPr>
        <w:tab/>
        <w:t xml:space="preserve">akční program; akční plán </w:t>
      </w:r>
    </w:p>
    <w:p w14:paraId="1D7BB8AD" w14:textId="77777777" w:rsidR="00E4102C" w:rsidRPr="002C7C06" w:rsidRDefault="00E4102C" w:rsidP="00E4102C">
      <w:pPr>
        <w:tabs>
          <w:tab w:val="left" w:pos="2977"/>
        </w:tabs>
        <w:spacing w:after="40" w:line="240" w:lineRule="auto"/>
        <w:ind w:left="2977" w:hanging="2977"/>
        <w:jc w:val="both"/>
        <w:rPr>
          <w:rFonts w:cs="Calibri"/>
        </w:rPr>
      </w:pPr>
      <w:r w:rsidRPr="002C7C06">
        <w:rPr>
          <w:rFonts w:cs="Calibri"/>
        </w:rPr>
        <w:t xml:space="preserve">BESIP </w:t>
      </w:r>
      <w:r w:rsidRPr="002C7C06">
        <w:rPr>
          <w:rFonts w:cs="Calibri"/>
        </w:rPr>
        <w:tab/>
        <w:t xml:space="preserve">bezpečnost silničního provozu </w:t>
      </w:r>
    </w:p>
    <w:p w14:paraId="2E687720" w14:textId="77777777" w:rsidR="00FB4D6E" w:rsidRPr="002C7C06" w:rsidRDefault="00264D15" w:rsidP="00E4102C">
      <w:pPr>
        <w:tabs>
          <w:tab w:val="left" w:pos="2977"/>
        </w:tabs>
        <w:spacing w:after="40" w:line="240" w:lineRule="auto"/>
        <w:ind w:left="2977" w:hanging="2977"/>
        <w:jc w:val="both"/>
        <w:rPr>
          <w:rFonts w:cs="Calibri"/>
        </w:rPr>
      </w:pPr>
      <w:r w:rsidRPr="002C7C06">
        <w:rPr>
          <w:rFonts w:cs="Calibri"/>
        </w:rPr>
        <w:t>bezpečnostní inspekce</w:t>
      </w:r>
      <w:r w:rsidR="00FB4D6E" w:rsidRPr="002C7C06">
        <w:rPr>
          <w:rFonts w:cs="Calibri"/>
        </w:rPr>
        <w:tab/>
        <w:t>bezpečnostní inspekce pozemní komunikace</w:t>
      </w:r>
    </w:p>
    <w:p w14:paraId="78AEDBE4" w14:textId="77777777" w:rsidR="0078304A" w:rsidRPr="002C7C06" w:rsidRDefault="0078304A" w:rsidP="00E4102C">
      <w:pPr>
        <w:tabs>
          <w:tab w:val="left" w:pos="2977"/>
        </w:tabs>
        <w:spacing w:after="40" w:line="240" w:lineRule="auto"/>
        <w:ind w:left="2977" w:hanging="2977"/>
        <w:jc w:val="both"/>
        <w:rPr>
          <w:rFonts w:cs="Calibri"/>
        </w:rPr>
      </w:pPr>
      <w:r w:rsidRPr="002C7C06">
        <w:rPr>
          <w:rFonts w:cs="Calibri"/>
        </w:rPr>
        <w:t>CDV</w:t>
      </w:r>
      <w:r w:rsidRPr="002C7C06">
        <w:rPr>
          <w:rFonts w:cs="Calibri"/>
        </w:rPr>
        <w:tab/>
        <w:t>Centrum dopravního výzkumu, v.</w:t>
      </w:r>
      <w:r w:rsidR="00DC15BD" w:rsidRPr="002C7C06">
        <w:rPr>
          <w:rFonts w:cs="Calibri"/>
        </w:rPr>
        <w:t xml:space="preserve"> </w:t>
      </w:r>
      <w:r w:rsidRPr="002C7C06">
        <w:rPr>
          <w:rFonts w:cs="Calibri"/>
        </w:rPr>
        <w:t>v.</w:t>
      </w:r>
      <w:r w:rsidR="00DC15BD" w:rsidRPr="002C7C06">
        <w:rPr>
          <w:rFonts w:cs="Calibri"/>
        </w:rPr>
        <w:t xml:space="preserve"> </w:t>
      </w:r>
      <w:r w:rsidRPr="002C7C06">
        <w:rPr>
          <w:rFonts w:cs="Calibri"/>
        </w:rPr>
        <w:t>i.</w:t>
      </w:r>
    </w:p>
    <w:p w14:paraId="6736AECA" w14:textId="77777777" w:rsidR="006D7315" w:rsidRPr="002C7C06" w:rsidRDefault="006D7315" w:rsidP="00E4102C">
      <w:pPr>
        <w:tabs>
          <w:tab w:val="left" w:pos="2977"/>
        </w:tabs>
        <w:spacing w:after="40" w:line="240" w:lineRule="auto"/>
        <w:ind w:left="2977" w:hanging="2977"/>
        <w:jc w:val="both"/>
        <w:rPr>
          <w:rFonts w:cs="Calibri"/>
        </w:rPr>
      </w:pPr>
      <w:r w:rsidRPr="002C7C06">
        <w:rPr>
          <w:rFonts w:cs="Calibri"/>
        </w:rPr>
        <w:t>CEBASS</w:t>
      </w:r>
      <w:r w:rsidRPr="002C7C06">
        <w:rPr>
          <w:rFonts w:cs="Calibri"/>
        </w:rPr>
        <w:tab/>
      </w:r>
      <w:r w:rsidRPr="002C7C06">
        <w:rPr>
          <w:rFonts w:cs="Calibri"/>
          <w:i/>
        </w:rPr>
        <w:t>Centrální evidence bezpečnostních analýz silniční sítě</w:t>
      </w:r>
    </w:p>
    <w:p w14:paraId="37DC6A0D" w14:textId="77777777" w:rsidR="00046F3E" w:rsidRPr="002C7C06" w:rsidRDefault="00D708D6" w:rsidP="00E4102C">
      <w:pPr>
        <w:tabs>
          <w:tab w:val="left" w:pos="2977"/>
        </w:tabs>
        <w:spacing w:after="40" w:line="240" w:lineRule="auto"/>
        <w:ind w:left="2977" w:hanging="2977"/>
        <w:jc w:val="both"/>
        <w:rPr>
          <w:rFonts w:cs="Calibri"/>
        </w:rPr>
      </w:pPr>
      <w:r w:rsidRPr="002C7C06">
        <w:rPr>
          <w:rFonts w:cs="Calibri"/>
        </w:rPr>
        <w:t>CSPSD</w:t>
      </w:r>
      <w:r w:rsidR="005868EC" w:rsidRPr="002C7C06">
        <w:rPr>
          <w:rFonts w:cs="Calibri"/>
        </w:rPr>
        <w:tab/>
        <w:t>Centrum služeb pro silniční dopravu</w:t>
      </w:r>
    </w:p>
    <w:p w14:paraId="1DDD596E" w14:textId="77777777" w:rsidR="006A1217" w:rsidRPr="002C7C06" w:rsidRDefault="006A1217" w:rsidP="00CB0FFB">
      <w:pPr>
        <w:tabs>
          <w:tab w:val="left" w:pos="2977"/>
        </w:tabs>
        <w:spacing w:after="40" w:line="240" w:lineRule="auto"/>
        <w:ind w:left="2977" w:hanging="2977"/>
        <w:jc w:val="both"/>
        <w:rPr>
          <w:rFonts w:cs="Calibri"/>
        </w:rPr>
      </w:pPr>
      <w:r w:rsidRPr="002C7C06">
        <w:rPr>
          <w:rFonts w:cs="Calibri"/>
        </w:rPr>
        <w:t>ČKP</w:t>
      </w:r>
      <w:r w:rsidRPr="002C7C06">
        <w:rPr>
          <w:rFonts w:cs="Calibri"/>
        </w:rPr>
        <w:tab/>
        <w:t>Česká kancelář pojistitelů</w:t>
      </w:r>
    </w:p>
    <w:p w14:paraId="4FBC893B" w14:textId="77777777" w:rsidR="00046F3E" w:rsidRPr="002C7C06" w:rsidRDefault="009C4343" w:rsidP="00CB0FFB">
      <w:pPr>
        <w:tabs>
          <w:tab w:val="left" w:pos="2977"/>
        </w:tabs>
        <w:spacing w:after="40" w:line="240" w:lineRule="auto"/>
        <w:ind w:left="2977" w:hanging="2977"/>
        <w:jc w:val="both"/>
        <w:rPr>
          <w:rFonts w:cs="Calibri"/>
        </w:rPr>
      </w:pPr>
      <w:r w:rsidRPr="002C7C06">
        <w:rPr>
          <w:rFonts w:cs="Calibri"/>
        </w:rPr>
        <w:t>ČR</w:t>
      </w:r>
      <w:r w:rsidRPr="002C7C06">
        <w:rPr>
          <w:rFonts w:cs="Calibri"/>
        </w:rPr>
        <w:tab/>
        <w:t>Česká republika</w:t>
      </w:r>
    </w:p>
    <w:p w14:paraId="0EE98616" w14:textId="77777777" w:rsidR="0066578F" w:rsidRPr="002C7C06" w:rsidRDefault="0066578F" w:rsidP="00CB0FFB">
      <w:pPr>
        <w:tabs>
          <w:tab w:val="left" w:pos="2977"/>
        </w:tabs>
        <w:spacing w:after="40" w:line="240" w:lineRule="auto"/>
        <w:ind w:left="2977" w:hanging="2977"/>
        <w:jc w:val="both"/>
      </w:pPr>
      <w:r w:rsidRPr="002C7C06">
        <w:t>DPH</w:t>
      </w:r>
      <w:r w:rsidRPr="002C7C06">
        <w:tab/>
        <w:t>daň z přidané hodnoty</w:t>
      </w:r>
    </w:p>
    <w:p w14:paraId="2FC9B1D1" w14:textId="77777777" w:rsidR="00FC796F" w:rsidRPr="002C7C06" w:rsidRDefault="00FC796F" w:rsidP="00CB0FFB">
      <w:pPr>
        <w:tabs>
          <w:tab w:val="left" w:pos="2977"/>
        </w:tabs>
        <w:spacing w:after="40" w:line="240" w:lineRule="auto"/>
        <w:ind w:left="2977" w:hanging="2977"/>
        <w:jc w:val="both"/>
      </w:pPr>
      <w:r w:rsidRPr="002C7C06">
        <w:t>EK</w:t>
      </w:r>
      <w:r w:rsidRPr="002C7C06">
        <w:tab/>
        <w:t>Evropská komise</w:t>
      </w:r>
    </w:p>
    <w:p w14:paraId="67B75EC3" w14:textId="77777777" w:rsidR="00CD3A3A" w:rsidRPr="002C7C06" w:rsidRDefault="00CD3A3A" w:rsidP="00CB0FFB">
      <w:pPr>
        <w:tabs>
          <w:tab w:val="left" w:pos="2977"/>
        </w:tabs>
        <w:spacing w:after="40" w:line="240" w:lineRule="auto"/>
        <w:ind w:left="2977" w:hanging="2977"/>
        <w:jc w:val="both"/>
      </w:pPr>
      <w:r w:rsidRPr="002C7C06">
        <w:t>EU</w:t>
      </w:r>
      <w:r w:rsidRPr="002C7C06">
        <w:tab/>
        <w:t>Evropská unie</w:t>
      </w:r>
    </w:p>
    <w:p w14:paraId="00BB55C1" w14:textId="77777777" w:rsidR="00EC4BCA" w:rsidRPr="002C7C06" w:rsidRDefault="00EC4BCA" w:rsidP="00CB0FFB">
      <w:pPr>
        <w:tabs>
          <w:tab w:val="left" w:pos="2977"/>
        </w:tabs>
        <w:spacing w:after="40" w:line="240" w:lineRule="auto"/>
        <w:ind w:left="2977" w:hanging="2977"/>
        <w:jc w:val="both"/>
      </w:pPr>
      <w:r w:rsidRPr="002C7C06">
        <w:t>FZŠ</w:t>
      </w:r>
      <w:r w:rsidRPr="002C7C06">
        <w:tab/>
      </w:r>
      <w:r w:rsidRPr="002C7C06">
        <w:rPr>
          <w:i/>
        </w:rPr>
        <w:t>Fond zábrany škod</w:t>
      </w:r>
    </w:p>
    <w:p w14:paraId="2DD58AB5" w14:textId="77777777" w:rsidR="0066578F" w:rsidRPr="002C7C06" w:rsidRDefault="0066578F" w:rsidP="00CB0FFB">
      <w:pPr>
        <w:tabs>
          <w:tab w:val="left" w:pos="2977"/>
        </w:tabs>
        <w:spacing w:after="40" w:line="240" w:lineRule="auto"/>
        <w:ind w:left="2977" w:hanging="2977"/>
        <w:jc w:val="both"/>
      </w:pPr>
      <w:r w:rsidRPr="002C7C06">
        <w:t>KA</w:t>
      </w:r>
      <w:r w:rsidRPr="002C7C06">
        <w:tab/>
        <w:t>kontrolní akce Nejvyššího kontrolního úřadu</w:t>
      </w:r>
    </w:p>
    <w:p w14:paraId="74370111" w14:textId="77777777" w:rsidR="0066578F" w:rsidRPr="002C7C06" w:rsidRDefault="0066578F" w:rsidP="00CB0FFB">
      <w:pPr>
        <w:tabs>
          <w:tab w:val="left" w:pos="2977"/>
        </w:tabs>
        <w:spacing w:after="40" w:line="240" w:lineRule="auto"/>
        <w:ind w:left="2977" w:hanging="2977"/>
        <w:jc w:val="both"/>
      </w:pPr>
      <w:r w:rsidRPr="002C7C06">
        <w:t>kampaně</w:t>
      </w:r>
      <w:r w:rsidRPr="002C7C06">
        <w:tab/>
        <w:t>dopravně bezpečnostní kampaně</w:t>
      </w:r>
    </w:p>
    <w:p w14:paraId="7D30E12C" w14:textId="77777777" w:rsidR="009E71B0" w:rsidRPr="002C7C06" w:rsidRDefault="0099328D" w:rsidP="00CB0FFB">
      <w:pPr>
        <w:tabs>
          <w:tab w:val="left" w:pos="2977"/>
        </w:tabs>
        <w:spacing w:after="40" w:line="240" w:lineRule="auto"/>
        <w:ind w:left="2977" w:hanging="2977"/>
        <w:jc w:val="both"/>
      </w:pPr>
      <w:r w:rsidRPr="002C7C06">
        <w:t xml:space="preserve">krajští </w:t>
      </w:r>
      <w:r w:rsidR="00264D15" w:rsidRPr="002C7C06">
        <w:t>koordinátoři</w:t>
      </w:r>
      <w:r w:rsidR="009E71B0" w:rsidRPr="002C7C06">
        <w:tab/>
        <w:t xml:space="preserve">krajští koordinátoři </w:t>
      </w:r>
      <w:r w:rsidR="00812A59" w:rsidRPr="002C7C06">
        <w:t>bezpečnosti silničního provozu</w:t>
      </w:r>
    </w:p>
    <w:p w14:paraId="573B3E1C" w14:textId="77777777" w:rsidR="00384903" w:rsidRPr="002C7C06" w:rsidRDefault="005868EC" w:rsidP="00CB0FFB">
      <w:pPr>
        <w:tabs>
          <w:tab w:val="left" w:pos="2977"/>
        </w:tabs>
        <w:spacing w:after="40" w:line="240" w:lineRule="auto"/>
        <w:ind w:left="2977" w:hanging="2977"/>
        <w:jc w:val="both"/>
      </w:pPr>
      <w:r w:rsidRPr="002C7C06">
        <w:t>MD</w:t>
      </w:r>
      <w:r w:rsidR="00384903" w:rsidRPr="002C7C06">
        <w:tab/>
        <w:t>Ministerstvo dopravy</w:t>
      </w:r>
    </w:p>
    <w:p w14:paraId="16CA8C05" w14:textId="77777777" w:rsidR="00046F3E" w:rsidRPr="002C7C06" w:rsidRDefault="009C4343" w:rsidP="00CB0FFB">
      <w:pPr>
        <w:tabs>
          <w:tab w:val="left" w:pos="2977"/>
        </w:tabs>
        <w:spacing w:after="40" w:line="240" w:lineRule="auto"/>
        <w:ind w:left="2977" w:hanging="2977"/>
        <w:jc w:val="both"/>
        <w:rPr>
          <w:rFonts w:cs="Calibri"/>
        </w:rPr>
      </w:pPr>
      <w:r w:rsidRPr="002C7C06">
        <w:rPr>
          <w:rFonts w:cs="Calibri"/>
        </w:rPr>
        <w:t>NKÚ</w:t>
      </w:r>
      <w:r w:rsidRPr="002C7C06">
        <w:rPr>
          <w:rFonts w:cs="Calibri"/>
        </w:rPr>
        <w:tab/>
        <w:t>Nejvyšší kontrolní úřad</w:t>
      </w:r>
    </w:p>
    <w:p w14:paraId="736A591B" w14:textId="77777777" w:rsidR="00E4102C" w:rsidRPr="002C7C06" w:rsidRDefault="00E4102C" w:rsidP="002C7C06">
      <w:pPr>
        <w:tabs>
          <w:tab w:val="left" w:pos="2977"/>
        </w:tabs>
        <w:spacing w:after="40" w:line="240" w:lineRule="auto"/>
        <w:ind w:left="2977" w:right="-144" w:hanging="2977"/>
        <w:jc w:val="both"/>
        <w:rPr>
          <w:rFonts w:cs="Calibri"/>
        </w:rPr>
      </w:pPr>
      <w:r w:rsidRPr="002C7C06">
        <w:rPr>
          <w:rFonts w:cs="Calibri"/>
        </w:rPr>
        <w:t xml:space="preserve">NSBSP 2020 </w:t>
      </w:r>
      <w:r w:rsidRPr="002C7C06">
        <w:rPr>
          <w:rFonts w:cs="Calibri"/>
        </w:rPr>
        <w:tab/>
      </w:r>
      <w:r w:rsidRPr="002C7C06">
        <w:rPr>
          <w:rFonts w:cs="Calibri"/>
          <w:i/>
        </w:rPr>
        <w:t>Národní strategie bezpečnosti silničního provozu na období 2011</w:t>
      </w:r>
      <w:r w:rsidR="004612E1" w:rsidRPr="002C7C06">
        <w:rPr>
          <w:rFonts w:cs="Calibri"/>
          <w:i/>
        </w:rPr>
        <w:t>–</w:t>
      </w:r>
      <w:r w:rsidRPr="002C7C06">
        <w:rPr>
          <w:rFonts w:cs="Calibri"/>
          <w:i/>
        </w:rPr>
        <w:t>2020</w:t>
      </w:r>
    </w:p>
    <w:p w14:paraId="51E950FA" w14:textId="77777777" w:rsidR="00415491" w:rsidRPr="002C7C06" w:rsidRDefault="00415491" w:rsidP="00CB0FFB">
      <w:pPr>
        <w:tabs>
          <w:tab w:val="left" w:pos="2977"/>
        </w:tabs>
        <w:spacing w:after="40" w:line="240" w:lineRule="auto"/>
        <w:ind w:left="2977" w:hanging="2977"/>
        <w:jc w:val="both"/>
        <w:rPr>
          <w:rFonts w:cs="Calibri"/>
        </w:rPr>
      </w:pPr>
      <w:r w:rsidRPr="002C7C06">
        <w:rPr>
          <w:rFonts w:cs="Calibri"/>
        </w:rPr>
        <w:t>ORP</w:t>
      </w:r>
      <w:r w:rsidRPr="002C7C06">
        <w:rPr>
          <w:rFonts w:cs="Calibri"/>
        </w:rPr>
        <w:tab/>
        <w:t>obec s rozšířenou působností</w:t>
      </w:r>
    </w:p>
    <w:p w14:paraId="7ED45D82" w14:textId="77777777" w:rsidR="00940F27" w:rsidRPr="002C7C06" w:rsidRDefault="00940F27" w:rsidP="00CB0FFB">
      <w:pPr>
        <w:tabs>
          <w:tab w:val="left" w:pos="2977"/>
        </w:tabs>
        <w:spacing w:after="40" w:line="240" w:lineRule="auto"/>
        <w:ind w:left="2977" w:hanging="2977"/>
        <w:jc w:val="both"/>
        <w:rPr>
          <w:rFonts w:cs="Calibri"/>
        </w:rPr>
      </w:pPr>
      <w:r w:rsidRPr="002C7C06">
        <w:rPr>
          <w:rFonts w:cs="Calibri"/>
        </w:rPr>
        <w:t>PČR</w:t>
      </w:r>
      <w:r w:rsidRPr="002C7C06">
        <w:rPr>
          <w:rFonts w:cs="Calibri"/>
        </w:rPr>
        <w:tab/>
        <w:t>Policie České republiky</w:t>
      </w:r>
    </w:p>
    <w:p w14:paraId="34144A80" w14:textId="77777777" w:rsidR="0078304A" w:rsidRPr="002C7C06" w:rsidRDefault="0078304A" w:rsidP="00CB0FFB">
      <w:pPr>
        <w:tabs>
          <w:tab w:val="left" w:pos="2977"/>
        </w:tabs>
        <w:spacing w:after="40" w:line="240" w:lineRule="auto"/>
        <w:ind w:left="2977" w:hanging="2977"/>
        <w:jc w:val="both"/>
        <w:rPr>
          <w:rFonts w:cs="Calibri"/>
        </w:rPr>
      </w:pPr>
      <w:r w:rsidRPr="002C7C06">
        <w:rPr>
          <w:rFonts w:cs="Calibri"/>
        </w:rPr>
        <w:t>PIA</w:t>
      </w:r>
      <w:r w:rsidRPr="002C7C06">
        <w:rPr>
          <w:rFonts w:cs="Calibri"/>
        </w:rPr>
        <w:tab/>
        <w:t>preventivně informační aktivity</w:t>
      </w:r>
    </w:p>
    <w:p w14:paraId="097AD729" w14:textId="77777777" w:rsidR="008E78F6" w:rsidRPr="002C7C06" w:rsidRDefault="008E78F6" w:rsidP="00CB0FFB">
      <w:pPr>
        <w:tabs>
          <w:tab w:val="left" w:pos="2977"/>
        </w:tabs>
        <w:spacing w:after="40" w:line="240" w:lineRule="auto"/>
        <w:ind w:left="2977" w:hanging="2977"/>
        <w:jc w:val="both"/>
        <w:rPr>
          <w:rFonts w:cs="Calibri"/>
        </w:rPr>
      </w:pPr>
      <w:r w:rsidRPr="002C7C06">
        <w:rPr>
          <w:rFonts w:cs="Calibri"/>
        </w:rPr>
        <w:t>PK</w:t>
      </w:r>
      <w:r w:rsidRPr="002C7C06">
        <w:rPr>
          <w:rFonts w:cs="Calibri"/>
        </w:rPr>
        <w:tab/>
        <w:t>pozemní komunikace</w:t>
      </w:r>
    </w:p>
    <w:p w14:paraId="489CFE62" w14:textId="77777777" w:rsidR="00E4102C" w:rsidRPr="002C7C06" w:rsidRDefault="00E4102C" w:rsidP="00CB0FFB">
      <w:pPr>
        <w:tabs>
          <w:tab w:val="left" w:pos="2977"/>
        </w:tabs>
        <w:spacing w:after="40" w:line="240" w:lineRule="auto"/>
        <w:ind w:left="2977" w:hanging="2977"/>
        <w:jc w:val="both"/>
        <w:rPr>
          <w:rFonts w:cs="Calibri"/>
        </w:rPr>
      </w:pPr>
      <w:r w:rsidRPr="002C7C06">
        <w:rPr>
          <w:rFonts w:cs="Calibri"/>
        </w:rPr>
        <w:t xml:space="preserve">Revize NSBSP 2020 </w:t>
      </w:r>
      <w:r w:rsidRPr="002C7C06">
        <w:rPr>
          <w:rFonts w:cs="Calibri"/>
        </w:rPr>
        <w:tab/>
      </w:r>
      <w:r w:rsidRPr="002C7C06">
        <w:rPr>
          <w:rFonts w:cs="Calibri"/>
          <w:i/>
        </w:rPr>
        <w:t>Revize a aktualizace Národní strategie bezpečnosti silničního provozu na období 2011</w:t>
      </w:r>
      <w:r w:rsidR="00DE2CB9" w:rsidRPr="002C7C06">
        <w:rPr>
          <w:rFonts w:cs="Calibri"/>
          <w:i/>
        </w:rPr>
        <w:t>–</w:t>
      </w:r>
      <w:r w:rsidRPr="002C7C06">
        <w:rPr>
          <w:rFonts w:cs="Calibri"/>
          <w:i/>
        </w:rPr>
        <w:t>2020 s platností od roku 2017</w:t>
      </w:r>
    </w:p>
    <w:p w14:paraId="49D7E22C" w14:textId="77777777" w:rsidR="0078304A" w:rsidRPr="002C7C06" w:rsidRDefault="0078304A" w:rsidP="00CB0FFB">
      <w:pPr>
        <w:tabs>
          <w:tab w:val="left" w:pos="2977"/>
        </w:tabs>
        <w:spacing w:after="40" w:line="240" w:lineRule="auto"/>
        <w:ind w:left="2977" w:hanging="2977"/>
        <w:jc w:val="both"/>
        <w:rPr>
          <w:rFonts w:cs="Calibri"/>
        </w:rPr>
      </w:pPr>
      <w:r w:rsidRPr="002C7C06">
        <w:rPr>
          <w:rFonts w:cs="Calibri"/>
        </w:rPr>
        <w:t>ŘO</w:t>
      </w:r>
      <w:r w:rsidRPr="002C7C06">
        <w:rPr>
          <w:rFonts w:cs="Calibri"/>
        </w:rPr>
        <w:tab/>
        <w:t>řidičské oprávnění</w:t>
      </w:r>
    </w:p>
    <w:p w14:paraId="7A0C9363" w14:textId="77777777" w:rsidR="005868EC" w:rsidRPr="002C7C06" w:rsidRDefault="005868EC" w:rsidP="00CB0FFB">
      <w:pPr>
        <w:tabs>
          <w:tab w:val="left" w:pos="2977"/>
        </w:tabs>
        <w:spacing w:after="40" w:line="240" w:lineRule="auto"/>
        <w:ind w:left="2977" w:hanging="2977"/>
        <w:jc w:val="both"/>
        <w:rPr>
          <w:rFonts w:cs="Calibri"/>
        </w:rPr>
      </w:pPr>
      <w:r w:rsidRPr="002C7C06">
        <w:rPr>
          <w:rFonts w:cs="Calibri"/>
        </w:rPr>
        <w:t>ŘSD</w:t>
      </w:r>
      <w:r w:rsidRPr="002C7C06">
        <w:rPr>
          <w:rFonts w:cs="Calibri"/>
        </w:rPr>
        <w:tab/>
        <w:t>Ředitelství silnic a dálnic</w:t>
      </w:r>
    </w:p>
    <w:p w14:paraId="4F7F4243" w14:textId="77777777" w:rsidR="007256E9" w:rsidRPr="002C7C06" w:rsidRDefault="007256E9" w:rsidP="002C7C06">
      <w:pPr>
        <w:tabs>
          <w:tab w:val="left" w:pos="2977"/>
        </w:tabs>
        <w:spacing w:after="40" w:line="240" w:lineRule="auto"/>
        <w:ind w:left="2977" w:hanging="2977"/>
        <w:rPr>
          <w:rFonts w:cs="Calibri"/>
        </w:rPr>
      </w:pPr>
      <w:r w:rsidRPr="002C7C06">
        <w:rPr>
          <w:rFonts w:cs="Calibri"/>
        </w:rPr>
        <w:t>smlouvy s koordinátory</w:t>
      </w:r>
      <w:r w:rsidRPr="002C7C06">
        <w:rPr>
          <w:rFonts w:cs="Calibri"/>
        </w:rPr>
        <w:tab/>
        <w:t>smlouvy o poskytování odborných služeb provádění prevence v oblasti bezpečnosti silničního provozu a dopravní výchovy</w:t>
      </w:r>
    </w:p>
    <w:p w14:paraId="601DE392" w14:textId="77777777" w:rsidR="000C0368" w:rsidRPr="002C7C06" w:rsidRDefault="000C0368" w:rsidP="002C7C06">
      <w:pPr>
        <w:tabs>
          <w:tab w:val="left" w:pos="2977"/>
        </w:tabs>
        <w:spacing w:after="40" w:line="240" w:lineRule="auto"/>
        <w:ind w:left="2977" w:hanging="2977"/>
        <w:rPr>
          <w:rFonts w:cs="Calibri"/>
        </w:rPr>
      </w:pPr>
      <w:r w:rsidRPr="002C7C06">
        <w:rPr>
          <w:rFonts w:cs="Calibri"/>
        </w:rPr>
        <w:t>statistika nehodovosti</w:t>
      </w:r>
      <w:r w:rsidR="00FD73E4" w:rsidRPr="002C7C06">
        <w:rPr>
          <w:rFonts w:cs="Calibri"/>
        </w:rPr>
        <w:t xml:space="preserve"> PČR</w:t>
      </w:r>
      <w:r w:rsidRPr="002C7C06">
        <w:rPr>
          <w:rFonts w:cs="Calibri"/>
        </w:rPr>
        <w:tab/>
        <w:t xml:space="preserve">statistické údaje o dopravních nehodách, které pravidelně zveřejňuje </w:t>
      </w:r>
      <w:r w:rsidR="00BF45C6" w:rsidRPr="002C7C06">
        <w:rPr>
          <w:rFonts w:cs="Calibri"/>
        </w:rPr>
        <w:t>Ředitelství služby dopravní policie Policejního prezidia České republiky</w:t>
      </w:r>
    </w:p>
    <w:p w14:paraId="75B05312" w14:textId="77777777" w:rsidR="00290CA0" w:rsidRPr="002C7C06" w:rsidRDefault="00290CA0" w:rsidP="00CB0FFB">
      <w:pPr>
        <w:tabs>
          <w:tab w:val="left" w:pos="2977"/>
        </w:tabs>
        <w:spacing w:after="40" w:line="240" w:lineRule="auto"/>
        <w:ind w:left="2977" w:hanging="2977"/>
        <w:jc w:val="both"/>
        <w:rPr>
          <w:rFonts w:cs="Calibri"/>
        </w:rPr>
      </w:pPr>
      <w:r w:rsidRPr="002C7C06">
        <w:rPr>
          <w:rFonts w:cs="Calibri"/>
        </w:rPr>
        <w:t>strategické dokumenty BESIP</w:t>
      </w:r>
      <w:r w:rsidRPr="002C7C06">
        <w:rPr>
          <w:rFonts w:cs="Calibri"/>
        </w:rPr>
        <w:tab/>
        <w:t xml:space="preserve">souhrnně </w:t>
      </w:r>
      <w:r w:rsidRPr="002C7C06">
        <w:rPr>
          <w:rFonts w:cs="Calibri"/>
          <w:i/>
        </w:rPr>
        <w:t xml:space="preserve">Národní strategie bezpečnosti silničního provozu </w:t>
      </w:r>
      <w:r w:rsidR="0066578F" w:rsidRPr="002C7C06">
        <w:rPr>
          <w:rFonts w:cs="Calibri"/>
          <w:i/>
        </w:rPr>
        <w:t xml:space="preserve">na období </w:t>
      </w:r>
      <w:r w:rsidRPr="002C7C06">
        <w:rPr>
          <w:rFonts w:cs="Calibri"/>
          <w:i/>
        </w:rPr>
        <w:t xml:space="preserve">2011–2020 </w:t>
      </w:r>
      <w:r w:rsidRPr="002C7C06">
        <w:rPr>
          <w:rFonts w:cs="Calibri"/>
        </w:rPr>
        <w:t xml:space="preserve">a </w:t>
      </w:r>
      <w:r w:rsidRPr="002C7C06">
        <w:rPr>
          <w:rFonts w:cs="Calibri"/>
          <w:i/>
        </w:rPr>
        <w:t>Strategie BESIP 2021–2030</w:t>
      </w:r>
    </w:p>
    <w:p w14:paraId="086FBD1F" w14:textId="77777777" w:rsidR="00E4102C" w:rsidRPr="002C7C06" w:rsidRDefault="00E4102C" w:rsidP="00CB0FFB">
      <w:pPr>
        <w:tabs>
          <w:tab w:val="left" w:pos="2977"/>
        </w:tabs>
        <w:spacing w:after="40" w:line="240" w:lineRule="auto"/>
        <w:ind w:left="2977" w:hanging="2977"/>
        <w:jc w:val="both"/>
        <w:rPr>
          <w:rFonts w:cs="Calibri"/>
        </w:rPr>
      </w:pPr>
      <w:r w:rsidRPr="002C7C06">
        <w:rPr>
          <w:rFonts w:cs="Calibri"/>
        </w:rPr>
        <w:t xml:space="preserve">Strategie BESIP 2030 </w:t>
      </w:r>
      <w:r w:rsidRPr="002C7C06">
        <w:rPr>
          <w:rFonts w:cs="Calibri"/>
        </w:rPr>
        <w:tab/>
      </w:r>
      <w:r w:rsidRPr="002C7C06">
        <w:rPr>
          <w:rFonts w:cs="Calibri"/>
          <w:i/>
        </w:rPr>
        <w:t>Strategie BESIP 2021</w:t>
      </w:r>
      <w:r w:rsidR="004612E1" w:rsidRPr="002C7C06">
        <w:rPr>
          <w:rFonts w:cs="Calibri"/>
          <w:i/>
        </w:rPr>
        <w:t>–</w:t>
      </w:r>
      <w:r w:rsidRPr="002C7C06">
        <w:rPr>
          <w:rFonts w:cs="Calibri"/>
          <w:i/>
        </w:rPr>
        <w:t>2030</w:t>
      </w:r>
    </w:p>
    <w:p w14:paraId="41B7112C" w14:textId="77777777" w:rsidR="0078304A" w:rsidRPr="002C7C06" w:rsidRDefault="0078304A" w:rsidP="00CB0FFB">
      <w:pPr>
        <w:tabs>
          <w:tab w:val="left" w:pos="2977"/>
        </w:tabs>
        <w:spacing w:after="40" w:line="240" w:lineRule="auto"/>
        <w:ind w:left="2977" w:hanging="2977"/>
        <w:jc w:val="both"/>
        <w:rPr>
          <w:rFonts w:cs="Calibri"/>
        </w:rPr>
      </w:pPr>
      <w:r w:rsidRPr="002C7C06">
        <w:rPr>
          <w:rFonts w:cs="Calibri"/>
        </w:rPr>
        <w:t>TEN-T</w:t>
      </w:r>
      <w:r w:rsidRPr="002C7C06">
        <w:rPr>
          <w:rFonts w:cs="Calibri"/>
        </w:rPr>
        <w:tab/>
        <w:t>transevropská dopravní síť</w:t>
      </w:r>
    </w:p>
    <w:p w14:paraId="271AA6B1" w14:textId="77777777" w:rsidR="004D7647" w:rsidRPr="002C7C06" w:rsidRDefault="00187B95" w:rsidP="00CB0FFB">
      <w:pPr>
        <w:tabs>
          <w:tab w:val="left" w:pos="2977"/>
        </w:tabs>
        <w:spacing w:after="40" w:line="240" w:lineRule="auto"/>
        <w:ind w:left="2977" w:hanging="2977"/>
        <w:jc w:val="both"/>
        <w:rPr>
          <w:rFonts w:cs="Calibri"/>
        </w:rPr>
      </w:pPr>
      <w:r w:rsidRPr="002C7C06">
        <w:rPr>
          <w:rFonts w:cs="Calibri"/>
        </w:rPr>
        <w:t>zákon č. 13/1997 Sb.</w:t>
      </w:r>
      <w:r w:rsidR="004D7647" w:rsidRPr="002C7C06">
        <w:rPr>
          <w:rFonts w:cs="Calibri"/>
        </w:rPr>
        <w:tab/>
      </w:r>
      <w:r w:rsidR="00F26C28" w:rsidRPr="002C7C06">
        <w:rPr>
          <w:rFonts w:cs="Calibri"/>
        </w:rPr>
        <w:t>z</w:t>
      </w:r>
      <w:r w:rsidR="004D7647" w:rsidRPr="002C7C06">
        <w:rPr>
          <w:rFonts w:cs="Calibri"/>
        </w:rPr>
        <w:t>ákon č. 13/1997 Sb., o pozemních komunikacích</w:t>
      </w:r>
    </w:p>
    <w:p w14:paraId="4479A8BF" w14:textId="77777777" w:rsidR="0078304A" w:rsidRPr="002C7C06" w:rsidRDefault="0078304A" w:rsidP="0078304A">
      <w:pPr>
        <w:tabs>
          <w:tab w:val="left" w:pos="2977"/>
        </w:tabs>
        <w:spacing w:after="40" w:line="240" w:lineRule="auto"/>
        <w:ind w:left="2977" w:hanging="2977"/>
        <w:jc w:val="both"/>
        <w:rPr>
          <w:rFonts w:cs="Calibri"/>
        </w:rPr>
      </w:pPr>
      <w:r w:rsidRPr="002C7C06">
        <w:rPr>
          <w:rFonts w:cs="Calibri"/>
        </w:rPr>
        <w:t>zákon č. 134/2016 Sb.</w:t>
      </w:r>
      <w:r w:rsidRPr="002C7C06">
        <w:rPr>
          <w:rFonts w:cs="Calibri"/>
        </w:rPr>
        <w:tab/>
        <w:t>zákon č. 134/2016 Sb., o zadávání veřejných zakázek</w:t>
      </w:r>
    </w:p>
    <w:p w14:paraId="0A4B7611" w14:textId="77777777" w:rsidR="0078304A" w:rsidRPr="002C7C06" w:rsidRDefault="0078304A" w:rsidP="002C7C06">
      <w:pPr>
        <w:tabs>
          <w:tab w:val="left" w:pos="2977"/>
        </w:tabs>
        <w:spacing w:after="40" w:line="240" w:lineRule="auto"/>
        <w:ind w:left="2977" w:hanging="2977"/>
        <w:rPr>
          <w:rFonts w:cs="Calibri"/>
        </w:rPr>
      </w:pPr>
      <w:r w:rsidRPr="002C7C06">
        <w:rPr>
          <w:rFonts w:cs="Calibri"/>
        </w:rPr>
        <w:t>zákon č. 218/2000 Sb.</w:t>
      </w:r>
      <w:r w:rsidRPr="002C7C06">
        <w:rPr>
          <w:rFonts w:cs="Calibri"/>
        </w:rPr>
        <w:tab/>
        <w:t>zákon č. 218/2000 Sb., o rozpočtových pravidlech a o změně některých souvisejících zákonů (rozpočtová pravidla)</w:t>
      </w:r>
    </w:p>
    <w:p w14:paraId="0BFD1304" w14:textId="77777777" w:rsidR="003474F1" w:rsidRDefault="00080B24" w:rsidP="002C7C06">
      <w:pPr>
        <w:tabs>
          <w:tab w:val="left" w:pos="2977"/>
        </w:tabs>
        <w:spacing w:after="40" w:line="240" w:lineRule="auto"/>
        <w:ind w:left="2977" w:hanging="2977"/>
        <w:rPr>
          <w:rFonts w:cs="Calibri"/>
          <w:sz w:val="24"/>
          <w:szCs w:val="24"/>
        </w:rPr>
      </w:pPr>
      <w:r w:rsidRPr="002C7C06">
        <w:rPr>
          <w:rFonts w:cs="Calibri"/>
        </w:rPr>
        <w:t>zákon č. 361/2000 Sb.</w:t>
      </w:r>
      <w:r w:rsidR="004D7647" w:rsidRPr="002C7C06">
        <w:rPr>
          <w:rFonts w:cs="Calibri"/>
        </w:rPr>
        <w:tab/>
      </w:r>
      <w:r w:rsidR="00F26C28" w:rsidRPr="002C7C06">
        <w:rPr>
          <w:rFonts w:cs="Calibri"/>
        </w:rPr>
        <w:t>z</w:t>
      </w:r>
      <w:r w:rsidR="004D7647" w:rsidRPr="002C7C06">
        <w:rPr>
          <w:rFonts w:cs="Calibri"/>
        </w:rPr>
        <w:t>ákon č. 361/2000 Sb., o provozu na pozemních komunikacích a</w:t>
      </w:r>
      <w:r w:rsidR="0066578F">
        <w:rPr>
          <w:rFonts w:cs="Calibri"/>
        </w:rPr>
        <w:t> </w:t>
      </w:r>
      <w:r w:rsidR="004D7647" w:rsidRPr="002C7C06">
        <w:rPr>
          <w:rFonts w:cs="Calibri"/>
        </w:rPr>
        <w:t>o</w:t>
      </w:r>
      <w:r w:rsidR="0066578F">
        <w:rPr>
          <w:rFonts w:cs="Calibri"/>
        </w:rPr>
        <w:t> </w:t>
      </w:r>
      <w:r w:rsidR="004D7647" w:rsidRPr="002C7C06">
        <w:rPr>
          <w:rFonts w:cs="Calibri"/>
        </w:rPr>
        <w:t>změnách některých zákonů (zákon o silničním provozu)</w:t>
      </w:r>
      <w:bookmarkEnd w:id="32"/>
      <w:r w:rsidR="003474F1">
        <w:rPr>
          <w:rFonts w:cs="Calibri"/>
          <w:sz w:val="24"/>
          <w:szCs w:val="24"/>
        </w:rPr>
        <w:br w:type="page"/>
      </w:r>
    </w:p>
    <w:p w14:paraId="06CF33B5" w14:textId="77777777" w:rsidR="00750ABC" w:rsidRDefault="00750ABC" w:rsidP="00750ABC">
      <w:pPr>
        <w:pStyle w:val="Nadpis1"/>
        <w:spacing w:before="0" w:after="120"/>
        <w:jc w:val="right"/>
        <w:rPr>
          <w:sz w:val="24"/>
          <w:szCs w:val="24"/>
        </w:rPr>
      </w:pPr>
      <w:bookmarkStart w:id="33" w:name="_Hlk141364718"/>
      <w:r>
        <w:rPr>
          <w:sz w:val="24"/>
          <w:szCs w:val="24"/>
        </w:rPr>
        <w:lastRenderedPageBreak/>
        <w:t>Příloha č. 1</w:t>
      </w:r>
    </w:p>
    <w:p w14:paraId="55FF6385" w14:textId="77777777" w:rsidR="00750ABC" w:rsidRDefault="00750ABC" w:rsidP="00750ABC">
      <w:pPr>
        <w:spacing w:after="120" w:line="240" w:lineRule="auto"/>
        <w:jc w:val="center"/>
        <w:rPr>
          <w:rFonts w:cstheme="minorHAnsi"/>
          <w:b/>
          <w:sz w:val="24"/>
        </w:rPr>
      </w:pPr>
      <w:bookmarkStart w:id="34" w:name="_Hlk141364726"/>
      <w:bookmarkEnd w:id="33"/>
      <w:r>
        <w:rPr>
          <w:rFonts w:cstheme="minorHAnsi"/>
          <w:b/>
          <w:sz w:val="24"/>
        </w:rPr>
        <w:t xml:space="preserve">Počet osob usmrcených při dopravních nehodách v zemích EU v roce 2022 </w:t>
      </w:r>
      <w:r>
        <w:rPr>
          <w:rFonts w:cstheme="minorHAnsi"/>
          <w:b/>
          <w:sz w:val="24"/>
        </w:rPr>
        <w:br/>
        <w:t>přepočtený na 1 mil</w:t>
      </w:r>
      <w:r w:rsidR="00D6098B">
        <w:rPr>
          <w:rFonts w:cstheme="minorHAnsi"/>
          <w:b/>
          <w:sz w:val="24"/>
        </w:rPr>
        <w:t>ion</w:t>
      </w:r>
      <w:r>
        <w:rPr>
          <w:rFonts w:cstheme="minorHAnsi"/>
          <w:b/>
          <w:sz w:val="24"/>
        </w:rPr>
        <w:t xml:space="preserve"> obyvatel</w:t>
      </w:r>
    </w:p>
    <w:tbl>
      <w:tblPr>
        <w:tblStyle w:val="Mkatabulky"/>
        <w:tblW w:w="0" w:type="auto"/>
        <w:jc w:val="center"/>
        <w:tblLook w:val="04A0" w:firstRow="1" w:lastRow="0" w:firstColumn="1" w:lastColumn="0" w:noHBand="0" w:noVBand="1"/>
      </w:tblPr>
      <w:tblGrid>
        <w:gridCol w:w="1129"/>
        <w:gridCol w:w="4911"/>
        <w:gridCol w:w="2035"/>
      </w:tblGrid>
      <w:tr w:rsidR="00750ABC" w14:paraId="35E3079F" w14:textId="77777777" w:rsidTr="002365FC">
        <w:trPr>
          <w:jc w:val="center"/>
        </w:trPr>
        <w:tc>
          <w:tcPr>
            <w:tcW w:w="1129" w:type="dxa"/>
            <w:shd w:val="clear" w:color="auto" w:fill="E5F1FF"/>
            <w:vAlign w:val="center"/>
          </w:tcPr>
          <w:bookmarkEnd w:id="34"/>
          <w:p w14:paraId="4199CB12" w14:textId="77777777" w:rsidR="00750ABC" w:rsidRPr="00584901" w:rsidRDefault="00750ABC" w:rsidP="002365FC">
            <w:pPr>
              <w:jc w:val="center"/>
              <w:rPr>
                <w:rFonts w:eastAsia="Times New Roman" w:cstheme="minorHAnsi"/>
                <w:b/>
                <w:bCs/>
                <w:lang w:eastAsia="cs-CZ"/>
              </w:rPr>
            </w:pPr>
            <w:r w:rsidRPr="00584901">
              <w:rPr>
                <w:rFonts w:eastAsia="Times New Roman" w:cstheme="minorHAnsi"/>
                <w:b/>
                <w:bCs/>
                <w:lang w:eastAsia="cs-CZ"/>
              </w:rPr>
              <w:t>Pořadí</w:t>
            </w:r>
          </w:p>
        </w:tc>
        <w:tc>
          <w:tcPr>
            <w:tcW w:w="4911" w:type="dxa"/>
            <w:shd w:val="clear" w:color="auto" w:fill="E5F1FF"/>
            <w:vAlign w:val="center"/>
          </w:tcPr>
          <w:p w14:paraId="44103EA4" w14:textId="77777777" w:rsidR="00750ABC" w:rsidRPr="00584901" w:rsidRDefault="00750ABC" w:rsidP="002365FC">
            <w:pPr>
              <w:jc w:val="center"/>
              <w:rPr>
                <w:rFonts w:eastAsia="Times New Roman" w:cstheme="minorHAnsi"/>
                <w:b/>
                <w:bCs/>
                <w:lang w:eastAsia="cs-CZ"/>
              </w:rPr>
            </w:pPr>
            <w:r w:rsidRPr="00584901">
              <w:rPr>
                <w:rFonts w:eastAsia="Times New Roman" w:cstheme="minorHAnsi"/>
                <w:b/>
                <w:bCs/>
                <w:lang w:eastAsia="cs-CZ"/>
              </w:rPr>
              <w:t>Země</w:t>
            </w:r>
          </w:p>
        </w:tc>
        <w:tc>
          <w:tcPr>
            <w:tcW w:w="2035" w:type="dxa"/>
            <w:shd w:val="clear" w:color="auto" w:fill="E5F1FF"/>
            <w:vAlign w:val="center"/>
          </w:tcPr>
          <w:p w14:paraId="3E3FEFE5" w14:textId="77777777" w:rsidR="00750ABC" w:rsidRPr="00584901" w:rsidRDefault="00750ABC" w:rsidP="002365FC">
            <w:pPr>
              <w:jc w:val="center"/>
              <w:rPr>
                <w:rFonts w:eastAsia="Times New Roman" w:cstheme="minorHAnsi"/>
                <w:b/>
                <w:bCs/>
                <w:lang w:eastAsia="cs-CZ"/>
              </w:rPr>
            </w:pPr>
            <w:r w:rsidRPr="00584901">
              <w:rPr>
                <w:rFonts w:eastAsia="Times New Roman" w:cstheme="minorHAnsi"/>
                <w:b/>
                <w:bCs/>
                <w:lang w:eastAsia="cs-CZ"/>
              </w:rPr>
              <w:t>Přepočtený počet usmrcených osob</w:t>
            </w:r>
            <w:r w:rsidR="009A03D9">
              <w:rPr>
                <w:rStyle w:val="Znakapoznpodarou"/>
                <w:rFonts w:eastAsia="Times New Roman" w:cstheme="minorHAnsi"/>
                <w:b/>
                <w:bCs/>
                <w:lang w:eastAsia="cs-CZ"/>
              </w:rPr>
              <w:footnoteReference w:id="51"/>
            </w:r>
          </w:p>
        </w:tc>
      </w:tr>
      <w:tr w:rsidR="00750ABC" w14:paraId="48469A76" w14:textId="77777777" w:rsidTr="002365FC">
        <w:trPr>
          <w:jc w:val="center"/>
        </w:trPr>
        <w:tc>
          <w:tcPr>
            <w:tcW w:w="1129" w:type="dxa"/>
            <w:vAlign w:val="center"/>
          </w:tcPr>
          <w:p w14:paraId="61A83A06" w14:textId="77777777" w:rsidR="00750ABC" w:rsidRPr="00584901" w:rsidRDefault="00750ABC" w:rsidP="002365FC">
            <w:pPr>
              <w:jc w:val="center"/>
              <w:rPr>
                <w:rFonts w:eastAsia="Times New Roman" w:cstheme="minorHAnsi"/>
                <w:bCs/>
                <w:lang w:eastAsia="cs-CZ"/>
              </w:rPr>
            </w:pPr>
            <w:r w:rsidRPr="00584901">
              <w:rPr>
                <w:rFonts w:eastAsia="Times New Roman" w:cstheme="minorHAnsi"/>
                <w:bCs/>
                <w:lang w:eastAsia="cs-CZ"/>
              </w:rPr>
              <w:t>1</w:t>
            </w:r>
            <w:r>
              <w:rPr>
                <w:rFonts w:eastAsia="Times New Roman" w:cstheme="minorHAnsi"/>
                <w:bCs/>
                <w:lang w:eastAsia="cs-CZ"/>
              </w:rPr>
              <w:t>.</w:t>
            </w:r>
          </w:p>
        </w:tc>
        <w:tc>
          <w:tcPr>
            <w:tcW w:w="4911" w:type="dxa"/>
          </w:tcPr>
          <w:p w14:paraId="0DC6DB2A" w14:textId="77777777" w:rsidR="00750ABC" w:rsidRPr="00584901" w:rsidRDefault="00750ABC" w:rsidP="002365FC">
            <w:pPr>
              <w:rPr>
                <w:rFonts w:eastAsia="Times New Roman" w:cstheme="minorHAnsi"/>
                <w:bCs/>
                <w:lang w:eastAsia="cs-CZ"/>
              </w:rPr>
            </w:pPr>
            <w:r w:rsidRPr="00584901">
              <w:rPr>
                <w:rFonts w:eastAsia="Times New Roman" w:cstheme="minorHAnsi"/>
                <w:bCs/>
                <w:lang w:eastAsia="cs-CZ"/>
              </w:rPr>
              <w:t>Švédsko</w:t>
            </w:r>
          </w:p>
        </w:tc>
        <w:tc>
          <w:tcPr>
            <w:tcW w:w="2035" w:type="dxa"/>
          </w:tcPr>
          <w:p w14:paraId="20D28BB6" w14:textId="77777777" w:rsidR="00750ABC" w:rsidRPr="00584901" w:rsidRDefault="00750ABC" w:rsidP="002365FC">
            <w:pPr>
              <w:jc w:val="center"/>
              <w:rPr>
                <w:rFonts w:eastAsia="Times New Roman" w:cstheme="minorHAnsi"/>
                <w:bCs/>
                <w:lang w:eastAsia="cs-CZ"/>
              </w:rPr>
            </w:pPr>
            <w:r>
              <w:rPr>
                <w:rFonts w:eastAsia="Times New Roman" w:cstheme="minorHAnsi"/>
                <w:bCs/>
                <w:lang w:eastAsia="cs-CZ"/>
              </w:rPr>
              <w:t>22</w:t>
            </w:r>
          </w:p>
        </w:tc>
      </w:tr>
      <w:tr w:rsidR="00750ABC" w14:paraId="4F5E2D94" w14:textId="77777777" w:rsidTr="002365FC">
        <w:trPr>
          <w:jc w:val="center"/>
        </w:trPr>
        <w:tc>
          <w:tcPr>
            <w:tcW w:w="1129" w:type="dxa"/>
            <w:vAlign w:val="center"/>
          </w:tcPr>
          <w:p w14:paraId="57A0766F" w14:textId="77777777" w:rsidR="00750ABC" w:rsidRPr="00584901" w:rsidRDefault="00750ABC" w:rsidP="002365FC">
            <w:pPr>
              <w:jc w:val="center"/>
              <w:rPr>
                <w:rFonts w:eastAsia="Times New Roman" w:cstheme="minorHAnsi"/>
                <w:bCs/>
                <w:lang w:eastAsia="cs-CZ"/>
              </w:rPr>
            </w:pPr>
            <w:r w:rsidRPr="00584901">
              <w:rPr>
                <w:rFonts w:eastAsia="Times New Roman" w:cstheme="minorHAnsi"/>
                <w:bCs/>
                <w:lang w:eastAsia="cs-CZ"/>
              </w:rPr>
              <w:t>2</w:t>
            </w:r>
            <w:r>
              <w:rPr>
                <w:rFonts w:eastAsia="Times New Roman" w:cstheme="minorHAnsi"/>
                <w:bCs/>
                <w:lang w:eastAsia="cs-CZ"/>
              </w:rPr>
              <w:t>.</w:t>
            </w:r>
          </w:p>
        </w:tc>
        <w:tc>
          <w:tcPr>
            <w:tcW w:w="4911" w:type="dxa"/>
          </w:tcPr>
          <w:p w14:paraId="41EC6ACC" w14:textId="77777777" w:rsidR="00750ABC" w:rsidRPr="00584901" w:rsidRDefault="00750ABC" w:rsidP="002365FC">
            <w:pPr>
              <w:rPr>
                <w:rFonts w:eastAsia="Times New Roman" w:cstheme="minorHAnsi"/>
                <w:bCs/>
                <w:lang w:eastAsia="cs-CZ"/>
              </w:rPr>
            </w:pPr>
            <w:r w:rsidRPr="00584901">
              <w:rPr>
                <w:rFonts w:eastAsia="Times New Roman" w:cstheme="minorHAnsi"/>
                <w:bCs/>
                <w:lang w:eastAsia="cs-CZ"/>
              </w:rPr>
              <w:t xml:space="preserve">Dánsko </w:t>
            </w:r>
          </w:p>
        </w:tc>
        <w:tc>
          <w:tcPr>
            <w:tcW w:w="2035" w:type="dxa"/>
          </w:tcPr>
          <w:p w14:paraId="25C9F239" w14:textId="77777777" w:rsidR="00750ABC" w:rsidRPr="00584901" w:rsidRDefault="00750ABC" w:rsidP="002365FC">
            <w:pPr>
              <w:jc w:val="center"/>
              <w:rPr>
                <w:rFonts w:eastAsia="Times New Roman" w:cstheme="minorHAnsi"/>
                <w:bCs/>
                <w:lang w:eastAsia="cs-CZ"/>
              </w:rPr>
            </w:pPr>
            <w:r w:rsidRPr="00584901">
              <w:rPr>
                <w:rFonts w:eastAsia="Times New Roman" w:cstheme="minorHAnsi"/>
                <w:bCs/>
                <w:lang w:eastAsia="cs-CZ"/>
              </w:rPr>
              <w:t>26</w:t>
            </w:r>
          </w:p>
        </w:tc>
      </w:tr>
      <w:tr w:rsidR="00750ABC" w14:paraId="30FD7882" w14:textId="77777777" w:rsidTr="002365FC">
        <w:trPr>
          <w:jc w:val="center"/>
        </w:trPr>
        <w:tc>
          <w:tcPr>
            <w:tcW w:w="1129" w:type="dxa"/>
            <w:vAlign w:val="center"/>
          </w:tcPr>
          <w:p w14:paraId="6B075B6F" w14:textId="77777777" w:rsidR="00750ABC" w:rsidRPr="00584901" w:rsidRDefault="00750ABC" w:rsidP="002365FC">
            <w:pPr>
              <w:jc w:val="center"/>
              <w:rPr>
                <w:rFonts w:eastAsia="Times New Roman" w:cstheme="minorHAnsi"/>
                <w:bCs/>
                <w:lang w:eastAsia="cs-CZ"/>
              </w:rPr>
            </w:pPr>
            <w:r w:rsidRPr="00584901">
              <w:rPr>
                <w:rFonts w:eastAsia="Times New Roman" w:cstheme="minorHAnsi"/>
                <w:bCs/>
                <w:lang w:eastAsia="cs-CZ"/>
              </w:rPr>
              <w:t>3</w:t>
            </w:r>
            <w:r>
              <w:rPr>
                <w:rFonts w:eastAsia="Times New Roman" w:cstheme="minorHAnsi"/>
                <w:bCs/>
                <w:lang w:eastAsia="cs-CZ"/>
              </w:rPr>
              <w:t>.</w:t>
            </w:r>
          </w:p>
        </w:tc>
        <w:tc>
          <w:tcPr>
            <w:tcW w:w="4911" w:type="dxa"/>
          </w:tcPr>
          <w:p w14:paraId="144B94E8" w14:textId="77777777" w:rsidR="00750ABC" w:rsidRPr="00584901" w:rsidRDefault="00750ABC" w:rsidP="002365FC">
            <w:pPr>
              <w:rPr>
                <w:rFonts w:eastAsia="Times New Roman" w:cstheme="minorHAnsi"/>
                <w:bCs/>
                <w:lang w:eastAsia="cs-CZ"/>
              </w:rPr>
            </w:pPr>
            <w:r w:rsidRPr="00584901">
              <w:rPr>
                <w:rFonts w:eastAsia="Times New Roman" w:cstheme="minorHAnsi"/>
                <w:bCs/>
                <w:lang w:eastAsia="cs-CZ"/>
              </w:rPr>
              <w:t>Irsko</w:t>
            </w:r>
          </w:p>
        </w:tc>
        <w:tc>
          <w:tcPr>
            <w:tcW w:w="2035" w:type="dxa"/>
          </w:tcPr>
          <w:p w14:paraId="329C4B32" w14:textId="77777777" w:rsidR="00750ABC" w:rsidRPr="00584901" w:rsidRDefault="00750ABC" w:rsidP="002365FC">
            <w:pPr>
              <w:jc w:val="center"/>
              <w:rPr>
                <w:rFonts w:eastAsia="Times New Roman" w:cstheme="minorHAnsi"/>
                <w:bCs/>
                <w:lang w:eastAsia="cs-CZ"/>
              </w:rPr>
            </w:pPr>
            <w:r w:rsidRPr="00584901">
              <w:rPr>
                <w:rFonts w:eastAsia="Times New Roman" w:cstheme="minorHAnsi"/>
                <w:bCs/>
                <w:lang w:eastAsia="cs-CZ"/>
              </w:rPr>
              <w:t>31</w:t>
            </w:r>
          </w:p>
        </w:tc>
      </w:tr>
      <w:tr w:rsidR="00750ABC" w14:paraId="16079656" w14:textId="77777777" w:rsidTr="002365FC">
        <w:trPr>
          <w:jc w:val="center"/>
        </w:trPr>
        <w:tc>
          <w:tcPr>
            <w:tcW w:w="1129" w:type="dxa"/>
            <w:vAlign w:val="center"/>
          </w:tcPr>
          <w:p w14:paraId="0704E7AD" w14:textId="77777777" w:rsidR="00750ABC" w:rsidRPr="00584901" w:rsidRDefault="00750ABC" w:rsidP="002365FC">
            <w:pPr>
              <w:jc w:val="center"/>
              <w:rPr>
                <w:rFonts w:eastAsia="Times New Roman" w:cstheme="minorHAnsi"/>
                <w:bCs/>
                <w:lang w:eastAsia="cs-CZ"/>
              </w:rPr>
            </w:pPr>
            <w:r w:rsidRPr="00584901">
              <w:rPr>
                <w:rFonts w:eastAsia="Times New Roman" w:cstheme="minorHAnsi"/>
                <w:bCs/>
                <w:lang w:eastAsia="cs-CZ"/>
              </w:rPr>
              <w:t>4</w:t>
            </w:r>
            <w:r>
              <w:rPr>
                <w:rFonts w:eastAsia="Times New Roman" w:cstheme="minorHAnsi"/>
                <w:bCs/>
                <w:lang w:eastAsia="cs-CZ"/>
              </w:rPr>
              <w:t>.</w:t>
            </w:r>
          </w:p>
        </w:tc>
        <w:tc>
          <w:tcPr>
            <w:tcW w:w="4911" w:type="dxa"/>
          </w:tcPr>
          <w:p w14:paraId="62388028" w14:textId="77777777" w:rsidR="00750ABC" w:rsidRPr="004C0F2A" w:rsidRDefault="00750ABC" w:rsidP="002365FC">
            <w:pPr>
              <w:rPr>
                <w:rFonts w:eastAsia="Times New Roman" w:cstheme="minorHAnsi"/>
                <w:bCs/>
                <w:lang w:eastAsia="cs-CZ"/>
              </w:rPr>
            </w:pPr>
            <w:r w:rsidRPr="004C0F2A">
              <w:rPr>
                <w:rFonts w:eastAsia="Times New Roman" w:cstheme="minorHAnsi"/>
                <w:bCs/>
                <w:lang w:eastAsia="cs-CZ"/>
              </w:rPr>
              <w:t>Německo</w:t>
            </w:r>
          </w:p>
        </w:tc>
        <w:tc>
          <w:tcPr>
            <w:tcW w:w="2035" w:type="dxa"/>
          </w:tcPr>
          <w:p w14:paraId="2C997418" w14:textId="77777777" w:rsidR="00750ABC" w:rsidRPr="004C0F2A" w:rsidRDefault="00750ABC" w:rsidP="002365FC">
            <w:pPr>
              <w:jc w:val="center"/>
              <w:rPr>
                <w:rFonts w:eastAsia="Times New Roman" w:cstheme="minorHAnsi"/>
                <w:bCs/>
                <w:lang w:eastAsia="cs-CZ"/>
              </w:rPr>
            </w:pPr>
            <w:r w:rsidRPr="004C0F2A">
              <w:rPr>
                <w:rFonts w:eastAsia="Times New Roman" w:cstheme="minorHAnsi"/>
                <w:bCs/>
                <w:lang w:eastAsia="cs-CZ"/>
              </w:rPr>
              <w:t>33</w:t>
            </w:r>
          </w:p>
        </w:tc>
      </w:tr>
      <w:tr w:rsidR="00750ABC" w14:paraId="17973C57" w14:textId="77777777" w:rsidTr="002365FC">
        <w:trPr>
          <w:jc w:val="center"/>
        </w:trPr>
        <w:tc>
          <w:tcPr>
            <w:tcW w:w="1129" w:type="dxa"/>
            <w:vAlign w:val="center"/>
          </w:tcPr>
          <w:p w14:paraId="3C1F1E02" w14:textId="77777777" w:rsidR="00750ABC" w:rsidRPr="00584901" w:rsidRDefault="00750ABC" w:rsidP="002365FC">
            <w:pPr>
              <w:jc w:val="center"/>
              <w:rPr>
                <w:rFonts w:eastAsia="Times New Roman" w:cstheme="minorHAnsi"/>
                <w:bCs/>
                <w:lang w:eastAsia="cs-CZ"/>
              </w:rPr>
            </w:pPr>
            <w:r w:rsidRPr="00584901">
              <w:rPr>
                <w:rFonts w:eastAsia="Times New Roman" w:cstheme="minorHAnsi"/>
                <w:bCs/>
                <w:lang w:eastAsia="cs-CZ"/>
              </w:rPr>
              <w:t>5</w:t>
            </w:r>
            <w:r>
              <w:rPr>
                <w:rFonts w:eastAsia="Times New Roman" w:cstheme="minorHAnsi"/>
                <w:bCs/>
                <w:lang w:eastAsia="cs-CZ"/>
              </w:rPr>
              <w:t>.</w:t>
            </w:r>
          </w:p>
        </w:tc>
        <w:tc>
          <w:tcPr>
            <w:tcW w:w="4911" w:type="dxa"/>
          </w:tcPr>
          <w:p w14:paraId="10CF187B" w14:textId="77777777" w:rsidR="00750ABC" w:rsidRPr="004C0F2A" w:rsidRDefault="00750ABC" w:rsidP="002365FC">
            <w:pPr>
              <w:rPr>
                <w:rFonts w:eastAsia="Times New Roman" w:cstheme="minorHAnsi"/>
                <w:bCs/>
                <w:lang w:eastAsia="cs-CZ"/>
              </w:rPr>
            </w:pPr>
            <w:r w:rsidRPr="004C0F2A">
              <w:rPr>
                <w:rFonts w:eastAsia="Times New Roman" w:cstheme="minorHAnsi"/>
                <w:bCs/>
                <w:lang w:eastAsia="cs-CZ"/>
              </w:rPr>
              <w:t>Finsko</w:t>
            </w:r>
          </w:p>
        </w:tc>
        <w:tc>
          <w:tcPr>
            <w:tcW w:w="2035" w:type="dxa"/>
          </w:tcPr>
          <w:p w14:paraId="73EAF3C8" w14:textId="77777777" w:rsidR="00750ABC" w:rsidRPr="004C0F2A" w:rsidRDefault="00750ABC" w:rsidP="002365FC">
            <w:pPr>
              <w:jc w:val="center"/>
              <w:rPr>
                <w:rFonts w:eastAsia="Times New Roman" w:cstheme="minorHAnsi"/>
                <w:bCs/>
                <w:lang w:eastAsia="cs-CZ"/>
              </w:rPr>
            </w:pPr>
            <w:r w:rsidRPr="004C0F2A">
              <w:rPr>
                <w:rFonts w:eastAsia="Times New Roman" w:cstheme="minorHAnsi"/>
                <w:bCs/>
                <w:lang w:eastAsia="cs-CZ"/>
              </w:rPr>
              <w:t>34</w:t>
            </w:r>
          </w:p>
        </w:tc>
      </w:tr>
      <w:tr w:rsidR="00750ABC" w14:paraId="0F796AF8" w14:textId="77777777" w:rsidTr="002365FC">
        <w:trPr>
          <w:jc w:val="center"/>
        </w:trPr>
        <w:tc>
          <w:tcPr>
            <w:tcW w:w="1129" w:type="dxa"/>
            <w:vAlign w:val="center"/>
          </w:tcPr>
          <w:p w14:paraId="1FF292AD" w14:textId="77777777" w:rsidR="00750ABC" w:rsidRPr="00584901" w:rsidRDefault="00750ABC" w:rsidP="002365FC">
            <w:pPr>
              <w:jc w:val="center"/>
              <w:rPr>
                <w:rFonts w:eastAsia="Times New Roman" w:cstheme="minorHAnsi"/>
                <w:bCs/>
                <w:lang w:eastAsia="cs-CZ"/>
              </w:rPr>
            </w:pPr>
            <w:r w:rsidRPr="00584901">
              <w:rPr>
                <w:rFonts w:eastAsia="Times New Roman" w:cstheme="minorHAnsi"/>
                <w:bCs/>
                <w:lang w:eastAsia="cs-CZ"/>
              </w:rPr>
              <w:t>6</w:t>
            </w:r>
            <w:r>
              <w:rPr>
                <w:rFonts w:eastAsia="Times New Roman" w:cstheme="minorHAnsi"/>
                <w:bCs/>
                <w:lang w:eastAsia="cs-CZ"/>
              </w:rPr>
              <w:t>.</w:t>
            </w:r>
          </w:p>
        </w:tc>
        <w:tc>
          <w:tcPr>
            <w:tcW w:w="4911" w:type="dxa"/>
          </w:tcPr>
          <w:p w14:paraId="37F1ABBF" w14:textId="77777777" w:rsidR="00750ABC" w:rsidRPr="004C0F2A" w:rsidRDefault="00750ABC" w:rsidP="002365FC">
            <w:pPr>
              <w:rPr>
                <w:rFonts w:eastAsia="Times New Roman" w:cstheme="minorHAnsi"/>
                <w:bCs/>
                <w:lang w:eastAsia="cs-CZ"/>
              </w:rPr>
            </w:pPr>
            <w:r w:rsidRPr="004C0F2A">
              <w:rPr>
                <w:rFonts w:eastAsia="Times New Roman" w:cstheme="minorHAnsi"/>
                <w:bCs/>
                <w:lang w:eastAsia="cs-CZ"/>
              </w:rPr>
              <w:t>Španělsko</w:t>
            </w:r>
          </w:p>
        </w:tc>
        <w:tc>
          <w:tcPr>
            <w:tcW w:w="2035" w:type="dxa"/>
          </w:tcPr>
          <w:p w14:paraId="4D56A15E" w14:textId="77777777" w:rsidR="00750ABC" w:rsidRPr="004C0F2A" w:rsidRDefault="00750ABC" w:rsidP="002365FC">
            <w:pPr>
              <w:jc w:val="center"/>
              <w:rPr>
                <w:rFonts w:eastAsia="Times New Roman" w:cstheme="minorHAnsi"/>
                <w:bCs/>
                <w:lang w:eastAsia="cs-CZ"/>
              </w:rPr>
            </w:pPr>
            <w:r w:rsidRPr="004C0F2A">
              <w:rPr>
                <w:rFonts w:eastAsia="Times New Roman" w:cstheme="minorHAnsi"/>
                <w:bCs/>
                <w:lang w:eastAsia="cs-CZ"/>
              </w:rPr>
              <w:t>37</w:t>
            </w:r>
          </w:p>
        </w:tc>
      </w:tr>
      <w:tr w:rsidR="00750ABC" w14:paraId="40795D49" w14:textId="77777777" w:rsidTr="002365FC">
        <w:trPr>
          <w:jc w:val="center"/>
        </w:trPr>
        <w:tc>
          <w:tcPr>
            <w:tcW w:w="1129" w:type="dxa"/>
            <w:vAlign w:val="center"/>
          </w:tcPr>
          <w:p w14:paraId="40095B13" w14:textId="77777777" w:rsidR="00750ABC" w:rsidRPr="00584901" w:rsidRDefault="00750ABC" w:rsidP="002365FC">
            <w:pPr>
              <w:jc w:val="center"/>
              <w:rPr>
                <w:rFonts w:eastAsia="Times New Roman" w:cstheme="minorHAnsi"/>
                <w:bCs/>
                <w:lang w:eastAsia="cs-CZ"/>
              </w:rPr>
            </w:pPr>
            <w:r w:rsidRPr="00584901">
              <w:rPr>
                <w:rFonts w:eastAsia="Times New Roman" w:cstheme="minorHAnsi"/>
                <w:bCs/>
                <w:lang w:eastAsia="cs-CZ"/>
              </w:rPr>
              <w:t>7</w:t>
            </w:r>
            <w:r>
              <w:rPr>
                <w:rFonts w:eastAsia="Times New Roman" w:cstheme="minorHAnsi"/>
                <w:bCs/>
                <w:lang w:eastAsia="cs-CZ"/>
              </w:rPr>
              <w:t>.</w:t>
            </w:r>
          </w:p>
        </w:tc>
        <w:tc>
          <w:tcPr>
            <w:tcW w:w="4911" w:type="dxa"/>
          </w:tcPr>
          <w:p w14:paraId="41F7BD78" w14:textId="77777777" w:rsidR="00750ABC" w:rsidRPr="004C0F2A" w:rsidRDefault="00750ABC" w:rsidP="002365FC">
            <w:pPr>
              <w:rPr>
                <w:rFonts w:eastAsia="Times New Roman" w:cstheme="minorHAnsi"/>
                <w:bCs/>
                <w:lang w:eastAsia="cs-CZ"/>
              </w:rPr>
            </w:pPr>
            <w:r w:rsidRPr="004C0F2A">
              <w:rPr>
                <w:rFonts w:eastAsia="Times New Roman" w:cstheme="minorHAnsi"/>
                <w:bCs/>
                <w:lang w:eastAsia="cs-CZ"/>
              </w:rPr>
              <w:t>Estonsko</w:t>
            </w:r>
          </w:p>
        </w:tc>
        <w:tc>
          <w:tcPr>
            <w:tcW w:w="2035" w:type="dxa"/>
          </w:tcPr>
          <w:p w14:paraId="582C8F11" w14:textId="77777777" w:rsidR="00750ABC" w:rsidRPr="004C0F2A" w:rsidRDefault="00750ABC" w:rsidP="002365FC">
            <w:pPr>
              <w:jc w:val="center"/>
              <w:rPr>
                <w:rFonts w:eastAsia="Times New Roman" w:cstheme="minorHAnsi"/>
                <w:bCs/>
                <w:lang w:eastAsia="cs-CZ"/>
              </w:rPr>
            </w:pPr>
            <w:r w:rsidRPr="004C0F2A">
              <w:rPr>
                <w:rFonts w:eastAsia="Times New Roman" w:cstheme="minorHAnsi"/>
                <w:bCs/>
                <w:lang w:eastAsia="cs-CZ"/>
              </w:rPr>
              <w:t>38</w:t>
            </w:r>
          </w:p>
        </w:tc>
      </w:tr>
      <w:tr w:rsidR="00750ABC" w14:paraId="12868B00" w14:textId="77777777" w:rsidTr="002365FC">
        <w:trPr>
          <w:jc w:val="center"/>
        </w:trPr>
        <w:tc>
          <w:tcPr>
            <w:tcW w:w="1129" w:type="dxa"/>
            <w:vAlign w:val="center"/>
          </w:tcPr>
          <w:p w14:paraId="0AFC98C2" w14:textId="77777777" w:rsidR="00750ABC" w:rsidRPr="00584901" w:rsidRDefault="00750ABC" w:rsidP="002365FC">
            <w:pPr>
              <w:jc w:val="center"/>
              <w:rPr>
                <w:rFonts w:eastAsia="Times New Roman" w:cstheme="minorHAnsi"/>
                <w:bCs/>
                <w:lang w:eastAsia="cs-CZ"/>
              </w:rPr>
            </w:pPr>
            <w:r w:rsidRPr="00584901">
              <w:rPr>
                <w:rFonts w:eastAsia="Times New Roman" w:cstheme="minorHAnsi"/>
                <w:bCs/>
                <w:lang w:eastAsia="cs-CZ"/>
              </w:rPr>
              <w:t>8</w:t>
            </w:r>
            <w:r>
              <w:rPr>
                <w:rFonts w:eastAsia="Times New Roman" w:cstheme="minorHAnsi"/>
                <w:bCs/>
                <w:lang w:eastAsia="cs-CZ"/>
              </w:rPr>
              <w:t>.</w:t>
            </w:r>
            <w:r w:rsidR="00D6098B">
              <w:rPr>
                <w:rFonts w:eastAsia="Times New Roman" w:cstheme="minorHAnsi"/>
                <w:bCs/>
                <w:lang w:eastAsia="cs-CZ"/>
              </w:rPr>
              <w:t>–</w:t>
            </w:r>
            <w:r>
              <w:rPr>
                <w:rFonts w:eastAsia="Times New Roman" w:cstheme="minorHAnsi"/>
                <w:bCs/>
                <w:lang w:eastAsia="cs-CZ"/>
              </w:rPr>
              <w:t>9.</w:t>
            </w:r>
          </w:p>
        </w:tc>
        <w:tc>
          <w:tcPr>
            <w:tcW w:w="4911" w:type="dxa"/>
          </w:tcPr>
          <w:p w14:paraId="177CF8C9" w14:textId="77777777" w:rsidR="00750ABC" w:rsidRPr="004C0F2A" w:rsidRDefault="00750ABC" w:rsidP="002365FC">
            <w:pPr>
              <w:rPr>
                <w:rFonts w:eastAsia="Times New Roman" w:cstheme="minorHAnsi"/>
                <w:bCs/>
                <w:lang w:eastAsia="cs-CZ"/>
              </w:rPr>
            </w:pPr>
            <w:r w:rsidRPr="004C0F2A">
              <w:rPr>
                <w:rFonts w:eastAsia="Times New Roman" w:cstheme="minorHAnsi"/>
                <w:bCs/>
                <w:lang w:eastAsia="cs-CZ"/>
              </w:rPr>
              <w:t xml:space="preserve">Lucembursko </w:t>
            </w:r>
          </w:p>
        </w:tc>
        <w:tc>
          <w:tcPr>
            <w:tcW w:w="2035" w:type="dxa"/>
          </w:tcPr>
          <w:p w14:paraId="3060F43D" w14:textId="77777777" w:rsidR="00750ABC" w:rsidRPr="004C0F2A" w:rsidRDefault="00750ABC" w:rsidP="002365FC">
            <w:pPr>
              <w:jc w:val="center"/>
              <w:rPr>
                <w:rFonts w:eastAsia="Times New Roman" w:cstheme="minorHAnsi"/>
                <w:bCs/>
                <w:lang w:eastAsia="cs-CZ"/>
              </w:rPr>
            </w:pPr>
            <w:r w:rsidRPr="004C0F2A">
              <w:rPr>
                <w:rFonts w:eastAsia="Times New Roman" w:cstheme="minorHAnsi"/>
                <w:bCs/>
                <w:lang w:eastAsia="cs-CZ"/>
              </w:rPr>
              <w:t>40</w:t>
            </w:r>
          </w:p>
        </w:tc>
      </w:tr>
      <w:tr w:rsidR="00750ABC" w14:paraId="388A4A6B" w14:textId="77777777" w:rsidTr="002365FC">
        <w:trPr>
          <w:jc w:val="center"/>
        </w:trPr>
        <w:tc>
          <w:tcPr>
            <w:tcW w:w="1129" w:type="dxa"/>
            <w:vAlign w:val="center"/>
          </w:tcPr>
          <w:p w14:paraId="4E8F3360" w14:textId="77777777" w:rsidR="00750ABC" w:rsidRPr="00584901" w:rsidRDefault="00750ABC" w:rsidP="002365FC">
            <w:pPr>
              <w:jc w:val="center"/>
              <w:rPr>
                <w:rFonts w:eastAsia="Times New Roman" w:cstheme="minorHAnsi"/>
                <w:bCs/>
                <w:lang w:eastAsia="cs-CZ"/>
              </w:rPr>
            </w:pPr>
            <w:r>
              <w:rPr>
                <w:rFonts w:eastAsia="Times New Roman" w:cstheme="minorHAnsi"/>
                <w:bCs/>
                <w:lang w:eastAsia="cs-CZ"/>
              </w:rPr>
              <w:t>8.</w:t>
            </w:r>
            <w:r w:rsidR="00D6098B">
              <w:rPr>
                <w:rFonts w:eastAsia="Times New Roman" w:cstheme="minorHAnsi"/>
                <w:bCs/>
                <w:lang w:eastAsia="cs-CZ"/>
              </w:rPr>
              <w:t>–</w:t>
            </w:r>
            <w:r>
              <w:rPr>
                <w:rFonts w:eastAsia="Times New Roman" w:cstheme="minorHAnsi"/>
                <w:bCs/>
                <w:lang w:eastAsia="cs-CZ"/>
              </w:rPr>
              <w:t>9.</w:t>
            </w:r>
          </w:p>
        </w:tc>
        <w:tc>
          <w:tcPr>
            <w:tcW w:w="4911" w:type="dxa"/>
          </w:tcPr>
          <w:p w14:paraId="66B2C270" w14:textId="77777777" w:rsidR="00750ABC" w:rsidRPr="004C0F2A" w:rsidRDefault="00750ABC" w:rsidP="002365FC">
            <w:pPr>
              <w:rPr>
                <w:rFonts w:eastAsia="Times New Roman" w:cstheme="minorHAnsi"/>
                <w:bCs/>
                <w:lang w:eastAsia="cs-CZ"/>
              </w:rPr>
            </w:pPr>
            <w:r w:rsidRPr="004C0F2A">
              <w:rPr>
                <w:rFonts w:eastAsia="Times New Roman" w:cstheme="minorHAnsi"/>
                <w:bCs/>
                <w:lang w:eastAsia="cs-CZ"/>
              </w:rPr>
              <w:t>Slovinsko</w:t>
            </w:r>
          </w:p>
        </w:tc>
        <w:tc>
          <w:tcPr>
            <w:tcW w:w="2035" w:type="dxa"/>
          </w:tcPr>
          <w:p w14:paraId="72DA3759" w14:textId="77777777" w:rsidR="00750ABC" w:rsidRPr="004C0F2A" w:rsidRDefault="00750ABC" w:rsidP="002365FC">
            <w:pPr>
              <w:jc w:val="center"/>
              <w:rPr>
                <w:rFonts w:eastAsia="Times New Roman" w:cstheme="minorHAnsi"/>
                <w:bCs/>
                <w:lang w:eastAsia="cs-CZ"/>
              </w:rPr>
            </w:pPr>
            <w:r w:rsidRPr="004C0F2A">
              <w:rPr>
                <w:rFonts w:eastAsia="Times New Roman" w:cstheme="minorHAnsi"/>
                <w:bCs/>
                <w:lang w:eastAsia="cs-CZ"/>
              </w:rPr>
              <w:t>40</w:t>
            </w:r>
          </w:p>
        </w:tc>
      </w:tr>
      <w:tr w:rsidR="00750ABC" w14:paraId="47FF1291" w14:textId="77777777" w:rsidTr="002365FC">
        <w:trPr>
          <w:jc w:val="center"/>
        </w:trPr>
        <w:tc>
          <w:tcPr>
            <w:tcW w:w="1129" w:type="dxa"/>
            <w:vAlign w:val="center"/>
          </w:tcPr>
          <w:p w14:paraId="2C55B2BB" w14:textId="77777777" w:rsidR="00750ABC" w:rsidRPr="00584901" w:rsidRDefault="00750ABC" w:rsidP="002365FC">
            <w:pPr>
              <w:jc w:val="center"/>
              <w:rPr>
                <w:rFonts w:eastAsia="Times New Roman" w:cstheme="minorHAnsi"/>
                <w:bCs/>
                <w:lang w:eastAsia="cs-CZ"/>
              </w:rPr>
            </w:pPr>
            <w:r w:rsidRPr="00584901">
              <w:rPr>
                <w:rFonts w:eastAsia="Times New Roman" w:cstheme="minorHAnsi"/>
                <w:bCs/>
                <w:lang w:eastAsia="cs-CZ"/>
              </w:rPr>
              <w:t>10</w:t>
            </w:r>
            <w:r>
              <w:rPr>
                <w:rFonts w:eastAsia="Times New Roman" w:cstheme="minorHAnsi"/>
                <w:bCs/>
                <w:lang w:eastAsia="cs-CZ"/>
              </w:rPr>
              <w:t>.</w:t>
            </w:r>
            <w:r w:rsidR="00D6098B">
              <w:rPr>
                <w:rFonts w:eastAsia="Times New Roman" w:cstheme="minorHAnsi"/>
                <w:bCs/>
                <w:lang w:eastAsia="cs-CZ"/>
              </w:rPr>
              <w:t>–</w:t>
            </w:r>
            <w:r>
              <w:rPr>
                <w:rFonts w:eastAsia="Times New Roman" w:cstheme="minorHAnsi"/>
                <w:bCs/>
                <w:lang w:eastAsia="cs-CZ"/>
              </w:rPr>
              <w:t>11.</w:t>
            </w:r>
          </w:p>
        </w:tc>
        <w:tc>
          <w:tcPr>
            <w:tcW w:w="4911" w:type="dxa"/>
          </w:tcPr>
          <w:p w14:paraId="6EB66AD3" w14:textId="77777777" w:rsidR="00750ABC" w:rsidRPr="004C0F2A" w:rsidRDefault="00750ABC" w:rsidP="002365FC">
            <w:pPr>
              <w:rPr>
                <w:rFonts w:eastAsia="Times New Roman" w:cstheme="minorHAnsi"/>
                <w:bCs/>
                <w:lang w:eastAsia="cs-CZ"/>
              </w:rPr>
            </w:pPr>
            <w:r w:rsidRPr="004C0F2A">
              <w:rPr>
                <w:rFonts w:eastAsia="Times New Roman" w:cstheme="minorHAnsi"/>
                <w:bCs/>
                <w:lang w:eastAsia="cs-CZ"/>
              </w:rPr>
              <w:t>Rakousko</w:t>
            </w:r>
          </w:p>
        </w:tc>
        <w:tc>
          <w:tcPr>
            <w:tcW w:w="2035" w:type="dxa"/>
          </w:tcPr>
          <w:p w14:paraId="672D1803" w14:textId="77777777" w:rsidR="00750ABC" w:rsidRPr="004C0F2A" w:rsidRDefault="00750ABC" w:rsidP="002365FC">
            <w:pPr>
              <w:jc w:val="center"/>
              <w:rPr>
                <w:rFonts w:eastAsia="Times New Roman" w:cstheme="minorHAnsi"/>
                <w:bCs/>
                <w:lang w:eastAsia="cs-CZ"/>
              </w:rPr>
            </w:pPr>
            <w:r w:rsidRPr="004C0F2A">
              <w:rPr>
                <w:rFonts w:eastAsia="Times New Roman" w:cstheme="minorHAnsi"/>
                <w:bCs/>
                <w:lang w:eastAsia="cs-CZ"/>
              </w:rPr>
              <w:t>41</w:t>
            </w:r>
          </w:p>
        </w:tc>
      </w:tr>
      <w:tr w:rsidR="00750ABC" w14:paraId="1D9C342A" w14:textId="77777777" w:rsidTr="002365FC">
        <w:trPr>
          <w:jc w:val="center"/>
        </w:trPr>
        <w:tc>
          <w:tcPr>
            <w:tcW w:w="1129" w:type="dxa"/>
            <w:vAlign w:val="center"/>
          </w:tcPr>
          <w:p w14:paraId="1F781899" w14:textId="77777777" w:rsidR="00750ABC" w:rsidRPr="00584901" w:rsidRDefault="00750ABC" w:rsidP="002365FC">
            <w:pPr>
              <w:jc w:val="center"/>
              <w:rPr>
                <w:rFonts w:eastAsia="Times New Roman" w:cstheme="minorHAnsi"/>
                <w:bCs/>
                <w:lang w:eastAsia="cs-CZ"/>
              </w:rPr>
            </w:pPr>
            <w:r w:rsidRPr="00584901">
              <w:rPr>
                <w:rFonts w:eastAsia="Times New Roman" w:cstheme="minorHAnsi"/>
                <w:bCs/>
                <w:lang w:eastAsia="cs-CZ"/>
              </w:rPr>
              <w:t>10</w:t>
            </w:r>
            <w:r>
              <w:rPr>
                <w:rFonts w:eastAsia="Times New Roman" w:cstheme="minorHAnsi"/>
                <w:bCs/>
                <w:lang w:eastAsia="cs-CZ"/>
              </w:rPr>
              <w:t>.</w:t>
            </w:r>
            <w:r w:rsidR="00D6098B">
              <w:rPr>
                <w:rFonts w:eastAsia="Times New Roman" w:cstheme="minorHAnsi"/>
                <w:bCs/>
                <w:lang w:eastAsia="cs-CZ"/>
              </w:rPr>
              <w:t>–</w:t>
            </w:r>
            <w:r>
              <w:rPr>
                <w:rFonts w:eastAsia="Times New Roman" w:cstheme="minorHAnsi"/>
                <w:bCs/>
                <w:lang w:eastAsia="cs-CZ"/>
              </w:rPr>
              <w:t>11.</w:t>
            </w:r>
          </w:p>
        </w:tc>
        <w:tc>
          <w:tcPr>
            <w:tcW w:w="4911" w:type="dxa"/>
          </w:tcPr>
          <w:p w14:paraId="5D5469D7" w14:textId="77777777" w:rsidR="00750ABC" w:rsidRPr="004C0F2A" w:rsidRDefault="00750ABC" w:rsidP="002365FC">
            <w:pPr>
              <w:rPr>
                <w:rFonts w:eastAsia="Times New Roman" w:cstheme="minorHAnsi"/>
                <w:bCs/>
                <w:lang w:eastAsia="cs-CZ"/>
              </w:rPr>
            </w:pPr>
            <w:r w:rsidRPr="004C0F2A">
              <w:rPr>
                <w:rFonts w:eastAsia="Times New Roman" w:cstheme="minorHAnsi"/>
                <w:bCs/>
                <w:lang w:eastAsia="cs-CZ"/>
              </w:rPr>
              <w:t>Kypr</w:t>
            </w:r>
          </w:p>
        </w:tc>
        <w:tc>
          <w:tcPr>
            <w:tcW w:w="2035" w:type="dxa"/>
          </w:tcPr>
          <w:p w14:paraId="0A6D4928" w14:textId="77777777" w:rsidR="00750ABC" w:rsidRPr="004C0F2A" w:rsidRDefault="00750ABC" w:rsidP="002365FC">
            <w:pPr>
              <w:jc w:val="center"/>
              <w:rPr>
                <w:rFonts w:eastAsia="Times New Roman" w:cstheme="minorHAnsi"/>
                <w:bCs/>
                <w:lang w:eastAsia="cs-CZ"/>
              </w:rPr>
            </w:pPr>
            <w:r w:rsidRPr="004C0F2A">
              <w:rPr>
                <w:rFonts w:eastAsia="Times New Roman" w:cstheme="minorHAnsi"/>
                <w:bCs/>
                <w:lang w:eastAsia="cs-CZ"/>
              </w:rPr>
              <w:t>41</w:t>
            </w:r>
          </w:p>
        </w:tc>
      </w:tr>
      <w:tr w:rsidR="00750ABC" w14:paraId="3C5F0D4F" w14:textId="77777777" w:rsidTr="002365FC">
        <w:trPr>
          <w:jc w:val="center"/>
        </w:trPr>
        <w:tc>
          <w:tcPr>
            <w:tcW w:w="1129" w:type="dxa"/>
            <w:vAlign w:val="center"/>
          </w:tcPr>
          <w:p w14:paraId="0C89DE51" w14:textId="77777777" w:rsidR="00750ABC" w:rsidRPr="00584901" w:rsidRDefault="00750ABC" w:rsidP="002365FC">
            <w:pPr>
              <w:jc w:val="center"/>
              <w:rPr>
                <w:rFonts w:eastAsia="Times New Roman" w:cstheme="minorHAnsi"/>
                <w:bCs/>
                <w:lang w:eastAsia="cs-CZ"/>
              </w:rPr>
            </w:pPr>
            <w:r w:rsidRPr="00584901">
              <w:rPr>
                <w:rFonts w:eastAsia="Times New Roman" w:cstheme="minorHAnsi"/>
                <w:bCs/>
                <w:lang w:eastAsia="cs-CZ"/>
              </w:rPr>
              <w:t>12</w:t>
            </w:r>
            <w:r w:rsidR="00D6098B">
              <w:rPr>
                <w:rFonts w:eastAsia="Times New Roman" w:cstheme="minorHAnsi"/>
                <w:bCs/>
                <w:lang w:eastAsia="cs-CZ"/>
              </w:rPr>
              <w:t>.</w:t>
            </w:r>
          </w:p>
        </w:tc>
        <w:tc>
          <w:tcPr>
            <w:tcW w:w="4911" w:type="dxa"/>
          </w:tcPr>
          <w:p w14:paraId="20227F9A" w14:textId="77777777" w:rsidR="00750ABC" w:rsidRPr="004C0F2A" w:rsidRDefault="00750ABC" w:rsidP="002365FC">
            <w:pPr>
              <w:rPr>
                <w:rFonts w:eastAsia="Times New Roman" w:cstheme="minorHAnsi"/>
                <w:bCs/>
                <w:lang w:eastAsia="cs-CZ"/>
              </w:rPr>
            </w:pPr>
            <w:r w:rsidRPr="004C0F2A">
              <w:rPr>
                <w:rFonts w:eastAsia="Times New Roman" w:cstheme="minorHAnsi"/>
                <w:bCs/>
                <w:lang w:eastAsia="cs-CZ"/>
              </w:rPr>
              <w:t>Nizozem</w:t>
            </w:r>
            <w:r w:rsidR="00D6098B">
              <w:rPr>
                <w:rFonts w:eastAsia="Times New Roman" w:cstheme="minorHAnsi"/>
                <w:bCs/>
                <w:lang w:eastAsia="cs-CZ"/>
              </w:rPr>
              <w:t>sko</w:t>
            </w:r>
          </w:p>
        </w:tc>
        <w:tc>
          <w:tcPr>
            <w:tcW w:w="2035" w:type="dxa"/>
          </w:tcPr>
          <w:p w14:paraId="6685F6EF" w14:textId="77777777" w:rsidR="00750ABC" w:rsidRPr="004C0F2A" w:rsidRDefault="00750ABC" w:rsidP="002365FC">
            <w:pPr>
              <w:jc w:val="center"/>
              <w:rPr>
                <w:rFonts w:eastAsia="Times New Roman" w:cstheme="minorHAnsi"/>
                <w:bCs/>
                <w:lang w:eastAsia="cs-CZ"/>
              </w:rPr>
            </w:pPr>
            <w:r w:rsidRPr="004C0F2A">
              <w:rPr>
                <w:rFonts w:eastAsia="Times New Roman" w:cstheme="minorHAnsi"/>
                <w:bCs/>
                <w:lang w:eastAsia="cs-CZ"/>
              </w:rPr>
              <w:t>42</w:t>
            </w:r>
          </w:p>
        </w:tc>
      </w:tr>
      <w:tr w:rsidR="00750ABC" w14:paraId="1B9AF05E" w14:textId="77777777" w:rsidTr="002365FC">
        <w:trPr>
          <w:jc w:val="center"/>
        </w:trPr>
        <w:tc>
          <w:tcPr>
            <w:tcW w:w="1129" w:type="dxa"/>
            <w:vAlign w:val="center"/>
          </w:tcPr>
          <w:p w14:paraId="258E6B6A" w14:textId="77777777" w:rsidR="00750ABC" w:rsidRPr="00584901" w:rsidRDefault="00750ABC" w:rsidP="002365FC">
            <w:pPr>
              <w:jc w:val="center"/>
              <w:rPr>
                <w:rFonts w:eastAsia="Times New Roman" w:cstheme="minorHAnsi"/>
                <w:bCs/>
                <w:lang w:eastAsia="cs-CZ"/>
              </w:rPr>
            </w:pPr>
            <w:r w:rsidRPr="00584901">
              <w:rPr>
                <w:rFonts w:eastAsia="Times New Roman" w:cstheme="minorHAnsi"/>
                <w:bCs/>
                <w:lang w:eastAsia="cs-CZ"/>
              </w:rPr>
              <w:t>13</w:t>
            </w:r>
            <w:r w:rsidR="00D6098B">
              <w:rPr>
                <w:rFonts w:eastAsia="Times New Roman" w:cstheme="minorHAnsi"/>
                <w:bCs/>
                <w:lang w:eastAsia="cs-CZ"/>
              </w:rPr>
              <w:t>.</w:t>
            </w:r>
          </w:p>
        </w:tc>
        <w:tc>
          <w:tcPr>
            <w:tcW w:w="4911" w:type="dxa"/>
          </w:tcPr>
          <w:p w14:paraId="63BB8192" w14:textId="77777777" w:rsidR="00750ABC" w:rsidRPr="004C0F2A" w:rsidRDefault="00750ABC" w:rsidP="002365FC">
            <w:pPr>
              <w:rPr>
                <w:rFonts w:eastAsia="Times New Roman" w:cstheme="minorHAnsi"/>
                <w:bCs/>
                <w:lang w:eastAsia="cs-CZ"/>
              </w:rPr>
            </w:pPr>
            <w:r w:rsidRPr="004C0F2A">
              <w:rPr>
                <w:rFonts w:eastAsia="Times New Roman" w:cstheme="minorHAnsi"/>
                <w:bCs/>
                <w:lang w:eastAsia="cs-CZ"/>
              </w:rPr>
              <w:t>Litva</w:t>
            </w:r>
          </w:p>
        </w:tc>
        <w:tc>
          <w:tcPr>
            <w:tcW w:w="2035" w:type="dxa"/>
          </w:tcPr>
          <w:p w14:paraId="2B66A37E" w14:textId="77777777" w:rsidR="00750ABC" w:rsidRPr="004C0F2A" w:rsidRDefault="00750ABC" w:rsidP="002365FC">
            <w:pPr>
              <w:jc w:val="center"/>
              <w:rPr>
                <w:rFonts w:eastAsia="Times New Roman" w:cstheme="minorHAnsi"/>
                <w:bCs/>
                <w:lang w:eastAsia="cs-CZ"/>
              </w:rPr>
            </w:pPr>
            <w:r w:rsidRPr="004C0F2A">
              <w:rPr>
                <w:rFonts w:eastAsia="Times New Roman" w:cstheme="minorHAnsi"/>
                <w:bCs/>
                <w:lang w:eastAsia="cs-CZ"/>
              </w:rPr>
              <w:t>43</w:t>
            </w:r>
          </w:p>
        </w:tc>
      </w:tr>
      <w:tr w:rsidR="00750ABC" w14:paraId="14B84ECF" w14:textId="77777777" w:rsidTr="002365FC">
        <w:trPr>
          <w:jc w:val="center"/>
        </w:trPr>
        <w:tc>
          <w:tcPr>
            <w:tcW w:w="1129" w:type="dxa"/>
            <w:vAlign w:val="center"/>
          </w:tcPr>
          <w:p w14:paraId="22040697" w14:textId="77777777" w:rsidR="00750ABC" w:rsidRPr="00584901" w:rsidRDefault="00750ABC" w:rsidP="002365FC">
            <w:pPr>
              <w:jc w:val="center"/>
              <w:rPr>
                <w:rFonts w:eastAsia="Times New Roman" w:cstheme="minorHAnsi"/>
                <w:bCs/>
                <w:lang w:eastAsia="cs-CZ"/>
              </w:rPr>
            </w:pPr>
            <w:r w:rsidRPr="00584901">
              <w:rPr>
                <w:rFonts w:eastAsia="Times New Roman" w:cstheme="minorHAnsi"/>
                <w:bCs/>
                <w:lang w:eastAsia="cs-CZ"/>
              </w:rPr>
              <w:t>14</w:t>
            </w:r>
            <w:r>
              <w:rPr>
                <w:rFonts w:eastAsia="Times New Roman" w:cstheme="minorHAnsi"/>
                <w:bCs/>
                <w:lang w:eastAsia="cs-CZ"/>
              </w:rPr>
              <w:t>.</w:t>
            </w:r>
            <w:r w:rsidR="00D6098B">
              <w:rPr>
                <w:rFonts w:eastAsia="Times New Roman" w:cstheme="minorHAnsi"/>
                <w:bCs/>
                <w:lang w:eastAsia="cs-CZ"/>
              </w:rPr>
              <w:t>–</w:t>
            </w:r>
            <w:r>
              <w:rPr>
                <w:rFonts w:eastAsia="Times New Roman" w:cstheme="minorHAnsi"/>
                <w:bCs/>
                <w:lang w:eastAsia="cs-CZ"/>
              </w:rPr>
              <w:t>15.</w:t>
            </w:r>
          </w:p>
        </w:tc>
        <w:tc>
          <w:tcPr>
            <w:tcW w:w="4911" w:type="dxa"/>
          </w:tcPr>
          <w:p w14:paraId="0F7D8A6D" w14:textId="77777777" w:rsidR="00750ABC" w:rsidRPr="004C0F2A" w:rsidRDefault="00750ABC" w:rsidP="002365FC">
            <w:pPr>
              <w:rPr>
                <w:rFonts w:eastAsia="Times New Roman" w:cstheme="minorHAnsi"/>
                <w:bCs/>
                <w:lang w:eastAsia="cs-CZ"/>
              </w:rPr>
            </w:pPr>
            <w:r w:rsidRPr="004C0F2A">
              <w:rPr>
                <w:rFonts w:eastAsia="Times New Roman" w:cstheme="minorHAnsi"/>
                <w:bCs/>
                <w:lang w:eastAsia="cs-CZ"/>
              </w:rPr>
              <w:t>Belgie</w:t>
            </w:r>
          </w:p>
        </w:tc>
        <w:tc>
          <w:tcPr>
            <w:tcW w:w="2035" w:type="dxa"/>
          </w:tcPr>
          <w:p w14:paraId="5E343A95" w14:textId="77777777" w:rsidR="00750ABC" w:rsidRPr="004C0F2A" w:rsidRDefault="00750ABC" w:rsidP="002365FC">
            <w:pPr>
              <w:jc w:val="center"/>
              <w:rPr>
                <w:rFonts w:eastAsia="Times New Roman" w:cstheme="minorHAnsi"/>
                <w:bCs/>
                <w:lang w:eastAsia="cs-CZ"/>
              </w:rPr>
            </w:pPr>
            <w:r w:rsidRPr="004C0F2A">
              <w:rPr>
                <w:rFonts w:eastAsia="Times New Roman" w:cstheme="minorHAnsi"/>
                <w:bCs/>
                <w:lang w:eastAsia="cs-CZ"/>
              </w:rPr>
              <w:t>45</w:t>
            </w:r>
          </w:p>
        </w:tc>
      </w:tr>
      <w:tr w:rsidR="00750ABC" w14:paraId="07E6C32D" w14:textId="77777777" w:rsidTr="002365FC">
        <w:trPr>
          <w:jc w:val="center"/>
        </w:trPr>
        <w:tc>
          <w:tcPr>
            <w:tcW w:w="1129" w:type="dxa"/>
            <w:vAlign w:val="center"/>
          </w:tcPr>
          <w:p w14:paraId="7DB40528" w14:textId="77777777" w:rsidR="00750ABC" w:rsidRPr="00584901" w:rsidRDefault="00750ABC" w:rsidP="002365FC">
            <w:pPr>
              <w:jc w:val="center"/>
              <w:rPr>
                <w:rFonts w:eastAsia="Times New Roman" w:cstheme="minorHAnsi"/>
                <w:bCs/>
                <w:lang w:eastAsia="cs-CZ"/>
              </w:rPr>
            </w:pPr>
            <w:r w:rsidRPr="00584901">
              <w:rPr>
                <w:rFonts w:eastAsia="Times New Roman" w:cstheme="minorHAnsi"/>
                <w:bCs/>
                <w:lang w:eastAsia="cs-CZ"/>
              </w:rPr>
              <w:t>14</w:t>
            </w:r>
            <w:r>
              <w:rPr>
                <w:rFonts w:eastAsia="Times New Roman" w:cstheme="minorHAnsi"/>
                <w:bCs/>
                <w:lang w:eastAsia="cs-CZ"/>
              </w:rPr>
              <w:t>.</w:t>
            </w:r>
            <w:r w:rsidR="00D6098B">
              <w:rPr>
                <w:rFonts w:eastAsia="Times New Roman" w:cstheme="minorHAnsi"/>
                <w:bCs/>
                <w:lang w:eastAsia="cs-CZ"/>
              </w:rPr>
              <w:t>–</w:t>
            </w:r>
            <w:r>
              <w:rPr>
                <w:rFonts w:eastAsia="Times New Roman" w:cstheme="minorHAnsi"/>
                <w:bCs/>
                <w:lang w:eastAsia="cs-CZ"/>
              </w:rPr>
              <w:t>15.</w:t>
            </w:r>
          </w:p>
        </w:tc>
        <w:tc>
          <w:tcPr>
            <w:tcW w:w="4911" w:type="dxa"/>
          </w:tcPr>
          <w:p w14:paraId="7E36C4F1" w14:textId="77777777" w:rsidR="00750ABC" w:rsidRPr="004C0F2A" w:rsidRDefault="00750ABC" w:rsidP="002365FC">
            <w:pPr>
              <w:rPr>
                <w:rFonts w:eastAsia="Times New Roman" w:cstheme="minorHAnsi"/>
                <w:bCs/>
                <w:lang w:eastAsia="cs-CZ"/>
              </w:rPr>
            </w:pPr>
            <w:r w:rsidRPr="004C0F2A">
              <w:rPr>
                <w:rFonts w:eastAsia="Times New Roman" w:cstheme="minorHAnsi"/>
                <w:bCs/>
                <w:lang w:eastAsia="cs-CZ"/>
              </w:rPr>
              <w:t>Slovensko</w:t>
            </w:r>
          </w:p>
        </w:tc>
        <w:tc>
          <w:tcPr>
            <w:tcW w:w="2035" w:type="dxa"/>
          </w:tcPr>
          <w:p w14:paraId="162E43AB" w14:textId="77777777" w:rsidR="00750ABC" w:rsidRPr="004C0F2A" w:rsidRDefault="00750ABC" w:rsidP="002365FC">
            <w:pPr>
              <w:jc w:val="center"/>
              <w:rPr>
                <w:rFonts w:eastAsia="Times New Roman" w:cstheme="minorHAnsi"/>
                <w:bCs/>
                <w:lang w:eastAsia="cs-CZ"/>
              </w:rPr>
            </w:pPr>
            <w:r w:rsidRPr="004C0F2A">
              <w:rPr>
                <w:rFonts w:eastAsia="Times New Roman" w:cstheme="minorHAnsi"/>
                <w:bCs/>
                <w:lang w:eastAsia="cs-CZ"/>
              </w:rPr>
              <w:t>45</w:t>
            </w:r>
          </w:p>
        </w:tc>
      </w:tr>
      <w:tr w:rsidR="00750ABC" w14:paraId="57FD15A3" w14:textId="77777777" w:rsidTr="002365FC">
        <w:trPr>
          <w:jc w:val="center"/>
        </w:trPr>
        <w:tc>
          <w:tcPr>
            <w:tcW w:w="1129" w:type="dxa"/>
            <w:tcBorders>
              <w:bottom w:val="single" w:sz="4" w:space="0" w:color="auto"/>
            </w:tcBorders>
            <w:vAlign w:val="center"/>
          </w:tcPr>
          <w:p w14:paraId="3ADA56D6" w14:textId="77777777" w:rsidR="00750ABC" w:rsidRPr="00584901" w:rsidRDefault="00750ABC" w:rsidP="002365FC">
            <w:pPr>
              <w:jc w:val="center"/>
              <w:rPr>
                <w:rFonts w:eastAsia="Times New Roman" w:cstheme="minorHAnsi"/>
                <w:bCs/>
                <w:lang w:eastAsia="cs-CZ"/>
              </w:rPr>
            </w:pPr>
            <w:r w:rsidRPr="00584901">
              <w:rPr>
                <w:rFonts w:eastAsia="Times New Roman" w:cstheme="minorHAnsi"/>
                <w:bCs/>
                <w:lang w:eastAsia="cs-CZ"/>
              </w:rPr>
              <w:t>1</w:t>
            </w:r>
            <w:r>
              <w:rPr>
                <w:rFonts w:eastAsia="Times New Roman" w:cstheme="minorHAnsi"/>
                <w:bCs/>
                <w:lang w:eastAsia="cs-CZ"/>
              </w:rPr>
              <w:t>6</w:t>
            </w:r>
            <w:r w:rsidR="00D6098B">
              <w:rPr>
                <w:rFonts w:eastAsia="Times New Roman" w:cstheme="minorHAnsi"/>
                <w:bCs/>
                <w:lang w:eastAsia="cs-CZ"/>
              </w:rPr>
              <w:t>.</w:t>
            </w:r>
          </w:p>
        </w:tc>
        <w:tc>
          <w:tcPr>
            <w:tcW w:w="4911" w:type="dxa"/>
            <w:tcBorders>
              <w:bottom w:val="single" w:sz="4" w:space="0" w:color="auto"/>
            </w:tcBorders>
          </w:tcPr>
          <w:p w14:paraId="65422023" w14:textId="77777777" w:rsidR="00750ABC" w:rsidRPr="004C0F2A" w:rsidRDefault="00750ABC" w:rsidP="002365FC">
            <w:pPr>
              <w:rPr>
                <w:rFonts w:eastAsia="Times New Roman" w:cstheme="minorHAnsi"/>
                <w:bCs/>
                <w:lang w:eastAsia="cs-CZ"/>
              </w:rPr>
            </w:pPr>
            <w:r w:rsidRPr="004C0F2A">
              <w:rPr>
                <w:rFonts w:eastAsia="Times New Roman" w:cstheme="minorHAnsi"/>
                <w:bCs/>
                <w:lang w:eastAsia="cs-CZ"/>
              </w:rPr>
              <w:t>Francie</w:t>
            </w:r>
          </w:p>
        </w:tc>
        <w:tc>
          <w:tcPr>
            <w:tcW w:w="2035" w:type="dxa"/>
            <w:tcBorders>
              <w:bottom w:val="single" w:sz="4" w:space="0" w:color="auto"/>
            </w:tcBorders>
          </w:tcPr>
          <w:p w14:paraId="34D7DB19" w14:textId="77777777" w:rsidR="00750ABC" w:rsidRPr="004C0F2A" w:rsidRDefault="00750ABC" w:rsidP="002365FC">
            <w:pPr>
              <w:jc w:val="center"/>
              <w:rPr>
                <w:rFonts w:eastAsia="Times New Roman" w:cstheme="minorHAnsi"/>
                <w:bCs/>
                <w:lang w:eastAsia="cs-CZ"/>
              </w:rPr>
            </w:pPr>
            <w:r w:rsidRPr="004C0F2A">
              <w:rPr>
                <w:rFonts w:eastAsia="Times New Roman" w:cstheme="minorHAnsi"/>
                <w:bCs/>
                <w:lang w:eastAsia="cs-CZ"/>
              </w:rPr>
              <w:t>48</w:t>
            </w:r>
          </w:p>
        </w:tc>
      </w:tr>
      <w:tr w:rsidR="00750ABC" w14:paraId="13449456" w14:textId="77777777" w:rsidTr="002365FC">
        <w:trPr>
          <w:jc w:val="center"/>
        </w:trPr>
        <w:tc>
          <w:tcPr>
            <w:tcW w:w="1129" w:type="dxa"/>
            <w:shd w:val="clear" w:color="auto" w:fill="FBE4D5" w:themeFill="accent2" w:themeFillTint="33"/>
            <w:vAlign w:val="center"/>
          </w:tcPr>
          <w:p w14:paraId="2333F9F7" w14:textId="77777777" w:rsidR="00750ABC" w:rsidRPr="00584901" w:rsidRDefault="00750ABC" w:rsidP="002365FC">
            <w:pPr>
              <w:jc w:val="center"/>
              <w:rPr>
                <w:rFonts w:eastAsia="Times New Roman" w:cstheme="minorHAnsi"/>
                <w:bCs/>
                <w:lang w:eastAsia="cs-CZ"/>
              </w:rPr>
            </w:pPr>
            <w:r w:rsidRPr="00584901">
              <w:rPr>
                <w:rFonts w:eastAsia="Times New Roman" w:cstheme="minorHAnsi"/>
                <w:bCs/>
                <w:lang w:eastAsia="cs-CZ"/>
              </w:rPr>
              <w:t>1</w:t>
            </w:r>
            <w:r>
              <w:rPr>
                <w:rFonts w:eastAsia="Times New Roman" w:cstheme="minorHAnsi"/>
                <w:bCs/>
                <w:lang w:eastAsia="cs-CZ"/>
              </w:rPr>
              <w:t>7.</w:t>
            </w:r>
            <w:r w:rsidR="00D6098B">
              <w:rPr>
                <w:rFonts w:eastAsia="Times New Roman" w:cstheme="minorHAnsi"/>
                <w:bCs/>
                <w:lang w:eastAsia="cs-CZ"/>
              </w:rPr>
              <w:t>–</w:t>
            </w:r>
            <w:r>
              <w:rPr>
                <w:rFonts w:eastAsia="Times New Roman" w:cstheme="minorHAnsi"/>
                <w:bCs/>
                <w:lang w:eastAsia="cs-CZ"/>
              </w:rPr>
              <w:t>19.</w:t>
            </w:r>
          </w:p>
        </w:tc>
        <w:tc>
          <w:tcPr>
            <w:tcW w:w="4911" w:type="dxa"/>
            <w:shd w:val="clear" w:color="auto" w:fill="FBE4D5" w:themeFill="accent2" w:themeFillTint="33"/>
          </w:tcPr>
          <w:p w14:paraId="1C0933DA" w14:textId="77777777" w:rsidR="00750ABC" w:rsidRPr="004C0F2A" w:rsidRDefault="00750ABC" w:rsidP="002365FC">
            <w:pPr>
              <w:rPr>
                <w:rFonts w:eastAsia="Times New Roman" w:cstheme="minorHAnsi"/>
                <w:bCs/>
                <w:lang w:eastAsia="cs-CZ"/>
              </w:rPr>
            </w:pPr>
            <w:r w:rsidRPr="004C0F2A">
              <w:rPr>
                <w:rFonts w:eastAsia="Times New Roman" w:cstheme="minorHAnsi"/>
                <w:bCs/>
                <w:lang w:eastAsia="cs-CZ"/>
              </w:rPr>
              <w:t>Česká republika</w:t>
            </w:r>
          </w:p>
        </w:tc>
        <w:tc>
          <w:tcPr>
            <w:tcW w:w="2035" w:type="dxa"/>
            <w:shd w:val="clear" w:color="auto" w:fill="FBE4D5" w:themeFill="accent2" w:themeFillTint="33"/>
          </w:tcPr>
          <w:p w14:paraId="2816F1BC" w14:textId="77777777" w:rsidR="00750ABC" w:rsidRPr="004C0F2A" w:rsidRDefault="00750ABC" w:rsidP="002365FC">
            <w:pPr>
              <w:jc w:val="center"/>
              <w:rPr>
                <w:rFonts w:eastAsia="Times New Roman" w:cstheme="minorHAnsi"/>
                <w:bCs/>
                <w:lang w:eastAsia="cs-CZ"/>
              </w:rPr>
            </w:pPr>
            <w:r w:rsidRPr="004C0F2A">
              <w:rPr>
                <w:rFonts w:eastAsia="Times New Roman" w:cstheme="minorHAnsi"/>
                <w:bCs/>
                <w:lang w:eastAsia="cs-CZ"/>
              </w:rPr>
              <w:t>50</w:t>
            </w:r>
          </w:p>
        </w:tc>
      </w:tr>
      <w:tr w:rsidR="00750ABC" w14:paraId="1A70F92E" w14:textId="77777777" w:rsidTr="002365FC">
        <w:trPr>
          <w:jc w:val="center"/>
        </w:trPr>
        <w:tc>
          <w:tcPr>
            <w:tcW w:w="1129" w:type="dxa"/>
            <w:vAlign w:val="center"/>
          </w:tcPr>
          <w:p w14:paraId="48FB7551" w14:textId="77777777" w:rsidR="00750ABC" w:rsidRPr="00584901" w:rsidRDefault="00750ABC" w:rsidP="002365FC">
            <w:pPr>
              <w:jc w:val="center"/>
              <w:rPr>
                <w:rFonts w:eastAsia="Times New Roman" w:cstheme="minorHAnsi"/>
                <w:bCs/>
                <w:lang w:eastAsia="cs-CZ"/>
              </w:rPr>
            </w:pPr>
            <w:r w:rsidRPr="00584901">
              <w:rPr>
                <w:rFonts w:eastAsia="Times New Roman" w:cstheme="minorHAnsi"/>
                <w:bCs/>
                <w:lang w:eastAsia="cs-CZ"/>
              </w:rPr>
              <w:t>1</w:t>
            </w:r>
            <w:r>
              <w:rPr>
                <w:rFonts w:eastAsia="Times New Roman" w:cstheme="minorHAnsi"/>
                <w:bCs/>
                <w:lang w:eastAsia="cs-CZ"/>
              </w:rPr>
              <w:t>7.</w:t>
            </w:r>
            <w:r w:rsidR="00D6098B">
              <w:rPr>
                <w:rFonts w:eastAsia="Times New Roman" w:cstheme="minorHAnsi"/>
                <w:bCs/>
                <w:lang w:eastAsia="cs-CZ"/>
              </w:rPr>
              <w:t>–</w:t>
            </w:r>
            <w:r>
              <w:rPr>
                <w:rFonts w:eastAsia="Times New Roman" w:cstheme="minorHAnsi"/>
                <w:bCs/>
                <w:lang w:eastAsia="cs-CZ"/>
              </w:rPr>
              <w:t>19.</w:t>
            </w:r>
          </w:p>
        </w:tc>
        <w:tc>
          <w:tcPr>
            <w:tcW w:w="4911" w:type="dxa"/>
          </w:tcPr>
          <w:p w14:paraId="71D0889A" w14:textId="77777777" w:rsidR="00750ABC" w:rsidRPr="004C0F2A" w:rsidRDefault="00750ABC" w:rsidP="002365FC">
            <w:pPr>
              <w:rPr>
                <w:rFonts w:eastAsia="Times New Roman" w:cstheme="minorHAnsi"/>
                <w:bCs/>
                <w:lang w:eastAsia="cs-CZ"/>
              </w:rPr>
            </w:pPr>
            <w:r w:rsidRPr="004C0F2A">
              <w:rPr>
                <w:rFonts w:eastAsia="Times New Roman" w:cstheme="minorHAnsi"/>
                <w:bCs/>
                <w:lang w:eastAsia="cs-CZ"/>
              </w:rPr>
              <w:t>Malta</w:t>
            </w:r>
          </w:p>
        </w:tc>
        <w:tc>
          <w:tcPr>
            <w:tcW w:w="2035" w:type="dxa"/>
          </w:tcPr>
          <w:p w14:paraId="68157687" w14:textId="77777777" w:rsidR="00750ABC" w:rsidRPr="004C0F2A" w:rsidRDefault="00750ABC" w:rsidP="002365FC">
            <w:pPr>
              <w:jc w:val="center"/>
              <w:rPr>
                <w:rFonts w:eastAsia="Times New Roman" w:cstheme="minorHAnsi"/>
                <w:bCs/>
                <w:lang w:eastAsia="cs-CZ"/>
              </w:rPr>
            </w:pPr>
            <w:r w:rsidRPr="004C0F2A">
              <w:rPr>
                <w:rFonts w:eastAsia="Times New Roman" w:cstheme="minorHAnsi"/>
                <w:bCs/>
                <w:lang w:eastAsia="cs-CZ"/>
              </w:rPr>
              <w:t>50</w:t>
            </w:r>
          </w:p>
        </w:tc>
      </w:tr>
      <w:tr w:rsidR="00750ABC" w14:paraId="524D1212" w14:textId="77777777" w:rsidTr="002365FC">
        <w:trPr>
          <w:jc w:val="center"/>
        </w:trPr>
        <w:tc>
          <w:tcPr>
            <w:tcW w:w="1129" w:type="dxa"/>
            <w:vAlign w:val="center"/>
          </w:tcPr>
          <w:p w14:paraId="7B140EE8" w14:textId="77777777" w:rsidR="00750ABC" w:rsidRPr="00584901" w:rsidRDefault="00750ABC" w:rsidP="002365FC">
            <w:pPr>
              <w:jc w:val="center"/>
              <w:rPr>
                <w:rFonts w:eastAsia="Times New Roman" w:cstheme="minorHAnsi"/>
                <w:bCs/>
                <w:lang w:eastAsia="cs-CZ"/>
              </w:rPr>
            </w:pPr>
            <w:r w:rsidRPr="00584901">
              <w:rPr>
                <w:rFonts w:eastAsia="Times New Roman" w:cstheme="minorHAnsi"/>
                <w:bCs/>
                <w:lang w:eastAsia="cs-CZ"/>
              </w:rPr>
              <w:t>1</w:t>
            </w:r>
            <w:r>
              <w:rPr>
                <w:rFonts w:eastAsia="Times New Roman" w:cstheme="minorHAnsi"/>
                <w:bCs/>
                <w:lang w:eastAsia="cs-CZ"/>
              </w:rPr>
              <w:t>7.</w:t>
            </w:r>
            <w:r w:rsidR="00D6098B">
              <w:rPr>
                <w:rFonts w:eastAsia="Times New Roman" w:cstheme="minorHAnsi"/>
                <w:bCs/>
                <w:lang w:eastAsia="cs-CZ"/>
              </w:rPr>
              <w:t>–</w:t>
            </w:r>
            <w:r>
              <w:rPr>
                <w:rFonts w:eastAsia="Times New Roman" w:cstheme="minorHAnsi"/>
                <w:bCs/>
                <w:lang w:eastAsia="cs-CZ"/>
              </w:rPr>
              <w:t>19.</w:t>
            </w:r>
          </w:p>
        </w:tc>
        <w:tc>
          <w:tcPr>
            <w:tcW w:w="4911" w:type="dxa"/>
          </w:tcPr>
          <w:p w14:paraId="4B8CD922" w14:textId="77777777" w:rsidR="00750ABC" w:rsidRPr="004C0F2A" w:rsidRDefault="00750ABC" w:rsidP="002365FC">
            <w:pPr>
              <w:rPr>
                <w:rFonts w:eastAsia="Times New Roman" w:cstheme="minorHAnsi"/>
                <w:bCs/>
                <w:lang w:eastAsia="cs-CZ"/>
              </w:rPr>
            </w:pPr>
            <w:r w:rsidRPr="004C0F2A">
              <w:rPr>
                <w:rFonts w:eastAsia="Times New Roman" w:cstheme="minorHAnsi"/>
                <w:bCs/>
                <w:lang w:eastAsia="cs-CZ"/>
              </w:rPr>
              <w:t>Polsko</w:t>
            </w:r>
          </w:p>
        </w:tc>
        <w:tc>
          <w:tcPr>
            <w:tcW w:w="2035" w:type="dxa"/>
          </w:tcPr>
          <w:p w14:paraId="7572DB1E" w14:textId="77777777" w:rsidR="00750ABC" w:rsidRPr="004C0F2A" w:rsidRDefault="00750ABC" w:rsidP="002365FC">
            <w:pPr>
              <w:jc w:val="center"/>
              <w:rPr>
                <w:rFonts w:eastAsia="Times New Roman" w:cstheme="minorHAnsi"/>
                <w:bCs/>
                <w:lang w:eastAsia="cs-CZ"/>
              </w:rPr>
            </w:pPr>
            <w:r w:rsidRPr="004C0F2A">
              <w:rPr>
                <w:rFonts w:eastAsia="Times New Roman" w:cstheme="minorHAnsi"/>
                <w:bCs/>
                <w:lang w:eastAsia="cs-CZ"/>
              </w:rPr>
              <w:t>50</w:t>
            </w:r>
          </w:p>
        </w:tc>
      </w:tr>
      <w:tr w:rsidR="00750ABC" w14:paraId="717B9E38" w14:textId="77777777" w:rsidTr="002365FC">
        <w:trPr>
          <w:jc w:val="center"/>
        </w:trPr>
        <w:tc>
          <w:tcPr>
            <w:tcW w:w="1129" w:type="dxa"/>
            <w:vAlign w:val="center"/>
          </w:tcPr>
          <w:p w14:paraId="71BB2643" w14:textId="77777777" w:rsidR="00750ABC" w:rsidRPr="00584901" w:rsidRDefault="00750ABC" w:rsidP="002365FC">
            <w:pPr>
              <w:jc w:val="center"/>
              <w:rPr>
                <w:rFonts w:eastAsia="Times New Roman" w:cstheme="minorHAnsi"/>
                <w:bCs/>
                <w:lang w:eastAsia="cs-CZ"/>
              </w:rPr>
            </w:pPr>
            <w:r w:rsidRPr="00584901">
              <w:rPr>
                <w:rFonts w:eastAsia="Times New Roman" w:cstheme="minorHAnsi"/>
                <w:bCs/>
                <w:lang w:eastAsia="cs-CZ"/>
              </w:rPr>
              <w:t>20</w:t>
            </w:r>
            <w:r w:rsidR="00D6098B">
              <w:rPr>
                <w:rFonts w:eastAsia="Times New Roman" w:cstheme="minorHAnsi"/>
                <w:bCs/>
                <w:lang w:eastAsia="cs-CZ"/>
              </w:rPr>
              <w:t>.</w:t>
            </w:r>
          </w:p>
        </w:tc>
        <w:tc>
          <w:tcPr>
            <w:tcW w:w="4911" w:type="dxa"/>
          </w:tcPr>
          <w:p w14:paraId="33B7BD7E" w14:textId="77777777" w:rsidR="00750ABC" w:rsidRPr="004C0F2A" w:rsidRDefault="00750ABC" w:rsidP="002365FC">
            <w:pPr>
              <w:rPr>
                <w:rFonts w:eastAsia="Times New Roman" w:cstheme="minorHAnsi"/>
                <w:bCs/>
                <w:lang w:eastAsia="cs-CZ"/>
              </w:rPr>
            </w:pPr>
            <w:r w:rsidRPr="004C0F2A">
              <w:rPr>
                <w:rFonts w:eastAsia="Times New Roman" w:cstheme="minorHAnsi"/>
                <w:bCs/>
                <w:lang w:eastAsia="cs-CZ"/>
              </w:rPr>
              <w:t>Itálie</w:t>
            </w:r>
          </w:p>
        </w:tc>
        <w:tc>
          <w:tcPr>
            <w:tcW w:w="2035" w:type="dxa"/>
          </w:tcPr>
          <w:p w14:paraId="2AED6D02" w14:textId="77777777" w:rsidR="00750ABC" w:rsidRPr="004C0F2A" w:rsidRDefault="00750ABC" w:rsidP="002365FC">
            <w:pPr>
              <w:jc w:val="center"/>
              <w:rPr>
                <w:rFonts w:eastAsia="Times New Roman" w:cstheme="minorHAnsi"/>
                <w:bCs/>
                <w:lang w:eastAsia="cs-CZ"/>
              </w:rPr>
            </w:pPr>
            <w:r w:rsidRPr="004C0F2A">
              <w:rPr>
                <w:rFonts w:eastAsia="Times New Roman" w:cstheme="minorHAnsi"/>
                <w:bCs/>
                <w:lang w:eastAsia="cs-CZ"/>
              </w:rPr>
              <w:t>54</w:t>
            </w:r>
          </w:p>
        </w:tc>
      </w:tr>
      <w:tr w:rsidR="00750ABC" w14:paraId="4BBF15C4" w14:textId="77777777" w:rsidTr="002365FC">
        <w:trPr>
          <w:jc w:val="center"/>
        </w:trPr>
        <w:tc>
          <w:tcPr>
            <w:tcW w:w="1129" w:type="dxa"/>
            <w:vAlign w:val="center"/>
          </w:tcPr>
          <w:p w14:paraId="2E71C8E6" w14:textId="77777777" w:rsidR="00750ABC" w:rsidRPr="00584901" w:rsidRDefault="00750ABC" w:rsidP="002365FC">
            <w:pPr>
              <w:jc w:val="center"/>
              <w:rPr>
                <w:rFonts w:eastAsia="Times New Roman" w:cstheme="minorHAnsi"/>
                <w:bCs/>
                <w:lang w:eastAsia="cs-CZ"/>
              </w:rPr>
            </w:pPr>
            <w:r w:rsidRPr="00584901">
              <w:rPr>
                <w:rFonts w:eastAsia="Times New Roman" w:cstheme="minorHAnsi"/>
                <w:bCs/>
                <w:lang w:eastAsia="cs-CZ"/>
              </w:rPr>
              <w:t>21</w:t>
            </w:r>
            <w:r w:rsidR="00D6098B">
              <w:rPr>
                <w:rFonts w:eastAsia="Times New Roman" w:cstheme="minorHAnsi"/>
                <w:bCs/>
                <w:lang w:eastAsia="cs-CZ"/>
              </w:rPr>
              <w:t>.</w:t>
            </w:r>
          </w:p>
        </w:tc>
        <w:tc>
          <w:tcPr>
            <w:tcW w:w="4911" w:type="dxa"/>
          </w:tcPr>
          <w:p w14:paraId="5E34F173" w14:textId="77777777" w:rsidR="00750ABC" w:rsidRPr="004C0F2A" w:rsidRDefault="00750ABC" w:rsidP="002365FC">
            <w:pPr>
              <w:rPr>
                <w:rFonts w:eastAsia="Times New Roman" w:cstheme="minorHAnsi"/>
                <w:bCs/>
                <w:lang w:eastAsia="cs-CZ"/>
              </w:rPr>
            </w:pPr>
            <w:r w:rsidRPr="004C0F2A">
              <w:rPr>
                <w:rFonts w:eastAsia="Times New Roman" w:cstheme="minorHAnsi"/>
                <w:bCs/>
                <w:lang w:eastAsia="cs-CZ"/>
              </w:rPr>
              <w:t>Maďarsko</w:t>
            </w:r>
          </w:p>
        </w:tc>
        <w:tc>
          <w:tcPr>
            <w:tcW w:w="2035" w:type="dxa"/>
          </w:tcPr>
          <w:p w14:paraId="301FB713" w14:textId="77777777" w:rsidR="00750ABC" w:rsidRPr="004C0F2A" w:rsidRDefault="00750ABC" w:rsidP="002365FC">
            <w:pPr>
              <w:jc w:val="center"/>
              <w:rPr>
                <w:rFonts w:eastAsia="Times New Roman" w:cstheme="minorHAnsi"/>
                <w:bCs/>
                <w:lang w:eastAsia="cs-CZ"/>
              </w:rPr>
            </w:pPr>
            <w:r w:rsidRPr="004C0F2A">
              <w:rPr>
                <w:rFonts w:eastAsia="Times New Roman" w:cstheme="minorHAnsi"/>
                <w:bCs/>
                <w:lang w:eastAsia="cs-CZ"/>
              </w:rPr>
              <w:t>55</w:t>
            </w:r>
          </w:p>
        </w:tc>
      </w:tr>
      <w:tr w:rsidR="00750ABC" w14:paraId="0085C2B0" w14:textId="77777777" w:rsidTr="002365FC">
        <w:trPr>
          <w:jc w:val="center"/>
        </w:trPr>
        <w:tc>
          <w:tcPr>
            <w:tcW w:w="1129" w:type="dxa"/>
            <w:vAlign w:val="center"/>
          </w:tcPr>
          <w:p w14:paraId="7CB2CD14" w14:textId="77777777" w:rsidR="00750ABC" w:rsidRPr="00584901" w:rsidRDefault="00750ABC" w:rsidP="002365FC">
            <w:pPr>
              <w:jc w:val="center"/>
              <w:rPr>
                <w:rFonts w:eastAsia="Times New Roman" w:cstheme="minorHAnsi"/>
                <w:bCs/>
                <w:lang w:eastAsia="cs-CZ"/>
              </w:rPr>
            </w:pPr>
            <w:r w:rsidRPr="00584901">
              <w:rPr>
                <w:rFonts w:eastAsia="Times New Roman" w:cstheme="minorHAnsi"/>
                <w:bCs/>
                <w:lang w:eastAsia="cs-CZ"/>
              </w:rPr>
              <w:t>22</w:t>
            </w:r>
            <w:r w:rsidR="00D6098B">
              <w:rPr>
                <w:rFonts w:eastAsia="Times New Roman" w:cstheme="minorHAnsi"/>
                <w:bCs/>
                <w:lang w:eastAsia="cs-CZ"/>
              </w:rPr>
              <w:t>.</w:t>
            </w:r>
          </w:p>
        </w:tc>
        <w:tc>
          <w:tcPr>
            <w:tcW w:w="4911" w:type="dxa"/>
          </w:tcPr>
          <w:p w14:paraId="7272600A" w14:textId="77777777" w:rsidR="00750ABC" w:rsidRPr="004C0F2A" w:rsidRDefault="00750ABC" w:rsidP="002365FC">
            <w:pPr>
              <w:rPr>
                <w:rFonts w:eastAsia="Times New Roman" w:cstheme="minorHAnsi"/>
                <w:bCs/>
                <w:lang w:eastAsia="cs-CZ"/>
              </w:rPr>
            </w:pPr>
            <w:r w:rsidRPr="004C0F2A">
              <w:rPr>
                <w:rFonts w:eastAsia="Times New Roman" w:cstheme="minorHAnsi"/>
                <w:bCs/>
                <w:lang w:eastAsia="cs-CZ"/>
              </w:rPr>
              <w:t>Řecko</w:t>
            </w:r>
          </w:p>
        </w:tc>
        <w:tc>
          <w:tcPr>
            <w:tcW w:w="2035" w:type="dxa"/>
          </w:tcPr>
          <w:p w14:paraId="28DB4F81" w14:textId="77777777" w:rsidR="00750ABC" w:rsidRPr="004C0F2A" w:rsidRDefault="00750ABC" w:rsidP="002365FC">
            <w:pPr>
              <w:jc w:val="center"/>
              <w:rPr>
                <w:rFonts w:eastAsia="Times New Roman" w:cstheme="minorHAnsi"/>
                <w:bCs/>
                <w:lang w:eastAsia="cs-CZ"/>
              </w:rPr>
            </w:pPr>
            <w:r w:rsidRPr="004C0F2A">
              <w:rPr>
                <w:rFonts w:eastAsia="Times New Roman" w:cstheme="minorHAnsi"/>
                <w:bCs/>
                <w:lang w:eastAsia="cs-CZ"/>
              </w:rPr>
              <w:t>61</w:t>
            </w:r>
          </w:p>
        </w:tc>
      </w:tr>
      <w:tr w:rsidR="00750ABC" w14:paraId="258DF00A" w14:textId="77777777" w:rsidTr="002365FC">
        <w:trPr>
          <w:jc w:val="center"/>
        </w:trPr>
        <w:tc>
          <w:tcPr>
            <w:tcW w:w="1129" w:type="dxa"/>
            <w:vAlign w:val="center"/>
          </w:tcPr>
          <w:p w14:paraId="268A7D9B" w14:textId="77777777" w:rsidR="00750ABC" w:rsidRPr="00584901" w:rsidRDefault="00750ABC" w:rsidP="002365FC">
            <w:pPr>
              <w:jc w:val="center"/>
              <w:rPr>
                <w:rFonts w:eastAsia="Times New Roman" w:cstheme="minorHAnsi"/>
                <w:bCs/>
                <w:lang w:eastAsia="cs-CZ"/>
              </w:rPr>
            </w:pPr>
            <w:r w:rsidRPr="00584901">
              <w:rPr>
                <w:rFonts w:eastAsia="Times New Roman" w:cstheme="minorHAnsi"/>
                <w:bCs/>
                <w:lang w:eastAsia="cs-CZ"/>
              </w:rPr>
              <w:t>23</w:t>
            </w:r>
            <w:r w:rsidR="00D6098B">
              <w:rPr>
                <w:rFonts w:eastAsia="Times New Roman" w:cstheme="minorHAnsi"/>
                <w:bCs/>
                <w:lang w:eastAsia="cs-CZ"/>
              </w:rPr>
              <w:t>.</w:t>
            </w:r>
          </w:p>
        </w:tc>
        <w:tc>
          <w:tcPr>
            <w:tcW w:w="4911" w:type="dxa"/>
          </w:tcPr>
          <w:p w14:paraId="2A016878" w14:textId="77777777" w:rsidR="00750ABC" w:rsidRPr="004C0F2A" w:rsidRDefault="00750ABC" w:rsidP="002365FC">
            <w:pPr>
              <w:rPr>
                <w:rFonts w:eastAsia="Times New Roman" w:cstheme="minorHAnsi"/>
                <w:bCs/>
                <w:lang w:eastAsia="cs-CZ"/>
              </w:rPr>
            </w:pPr>
            <w:r w:rsidRPr="004C0F2A">
              <w:rPr>
                <w:rFonts w:eastAsia="Times New Roman" w:cstheme="minorHAnsi"/>
                <w:bCs/>
                <w:lang w:eastAsia="cs-CZ"/>
              </w:rPr>
              <w:t>Lotyšsko</w:t>
            </w:r>
          </w:p>
        </w:tc>
        <w:tc>
          <w:tcPr>
            <w:tcW w:w="2035" w:type="dxa"/>
          </w:tcPr>
          <w:p w14:paraId="13119BAD" w14:textId="77777777" w:rsidR="00750ABC" w:rsidRPr="004C0F2A" w:rsidRDefault="00750ABC" w:rsidP="002365FC">
            <w:pPr>
              <w:jc w:val="center"/>
              <w:rPr>
                <w:rFonts w:eastAsia="Times New Roman" w:cstheme="minorHAnsi"/>
                <w:bCs/>
                <w:lang w:eastAsia="cs-CZ"/>
              </w:rPr>
            </w:pPr>
            <w:r w:rsidRPr="004C0F2A">
              <w:rPr>
                <w:rFonts w:eastAsia="Times New Roman" w:cstheme="minorHAnsi"/>
                <w:bCs/>
                <w:lang w:eastAsia="cs-CZ"/>
              </w:rPr>
              <w:t>60</w:t>
            </w:r>
          </w:p>
        </w:tc>
      </w:tr>
      <w:tr w:rsidR="00750ABC" w14:paraId="7F588466" w14:textId="77777777" w:rsidTr="002365FC">
        <w:trPr>
          <w:jc w:val="center"/>
        </w:trPr>
        <w:tc>
          <w:tcPr>
            <w:tcW w:w="1129" w:type="dxa"/>
            <w:vAlign w:val="center"/>
          </w:tcPr>
          <w:p w14:paraId="513E6398" w14:textId="77777777" w:rsidR="00750ABC" w:rsidRPr="00584901" w:rsidRDefault="00750ABC" w:rsidP="002365FC">
            <w:pPr>
              <w:jc w:val="center"/>
              <w:rPr>
                <w:rFonts w:eastAsia="Times New Roman" w:cstheme="minorHAnsi"/>
                <w:bCs/>
                <w:lang w:eastAsia="cs-CZ"/>
              </w:rPr>
            </w:pPr>
            <w:r w:rsidRPr="00584901">
              <w:rPr>
                <w:rFonts w:eastAsia="Times New Roman" w:cstheme="minorHAnsi"/>
                <w:bCs/>
                <w:lang w:eastAsia="cs-CZ"/>
              </w:rPr>
              <w:t>24</w:t>
            </w:r>
            <w:r w:rsidR="00D6098B">
              <w:rPr>
                <w:rFonts w:eastAsia="Times New Roman" w:cstheme="minorHAnsi"/>
                <w:bCs/>
                <w:lang w:eastAsia="cs-CZ"/>
              </w:rPr>
              <w:t>.</w:t>
            </w:r>
          </w:p>
        </w:tc>
        <w:tc>
          <w:tcPr>
            <w:tcW w:w="4911" w:type="dxa"/>
          </w:tcPr>
          <w:p w14:paraId="617FAA00" w14:textId="77777777" w:rsidR="00750ABC" w:rsidRPr="004C0F2A" w:rsidRDefault="00750ABC" w:rsidP="002365FC">
            <w:pPr>
              <w:rPr>
                <w:rFonts w:eastAsia="Times New Roman" w:cstheme="minorHAnsi"/>
                <w:bCs/>
                <w:lang w:eastAsia="cs-CZ"/>
              </w:rPr>
            </w:pPr>
            <w:r w:rsidRPr="004C0F2A">
              <w:rPr>
                <w:rFonts w:eastAsia="Times New Roman" w:cstheme="minorHAnsi"/>
                <w:bCs/>
                <w:lang w:eastAsia="cs-CZ"/>
              </w:rPr>
              <w:t>Portugalsko</w:t>
            </w:r>
          </w:p>
        </w:tc>
        <w:tc>
          <w:tcPr>
            <w:tcW w:w="2035" w:type="dxa"/>
          </w:tcPr>
          <w:p w14:paraId="79A9BA2F" w14:textId="77777777" w:rsidR="00750ABC" w:rsidRPr="004C0F2A" w:rsidRDefault="00750ABC" w:rsidP="002365FC">
            <w:pPr>
              <w:jc w:val="center"/>
              <w:rPr>
                <w:rFonts w:eastAsia="Times New Roman" w:cstheme="minorHAnsi"/>
                <w:bCs/>
                <w:lang w:eastAsia="cs-CZ"/>
              </w:rPr>
            </w:pPr>
            <w:r w:rsidRPr="004C0F2A">
              <w:rPr>
                <w:rFonts w:eastAsia="Times New Roman" w:cstheme="minorHAnsi"/>
                <w:bCs/>
                <w:lang w:eastAsia="cs-CZ"/>
              </w:rPr>
              <w:t>62</w:t>
            </w:r>
          </w:p>
        </w:tc>
      </w:tr>
      <w:tr w:rsidR="00750ABC" w14:paraId="0C4FC955" w14:textId="77777777" w:rsidTr="002365FC">
        <w:trPr>
          <w:jc w:val="center"/>
        </w:trPr>
        <w:tc>
          <w:tcPr>
            <w:tcW w:w="1129" w:type="dxa"/>
            <w:vAlign w:val="center"/>
          </w:tcPr>
          <w:p w14:paraId="01DC297B" w14:textId="77777777" w:rsidR="00750ABC" w:rsidRPr="00584901" w:rsidRDefault="00750ABC" w:rsidP="002365FC">
            <w:pPr>
              <w:jc w:val="center"/>
              <w:rPr>
                <w:rFonts w:eastAsia="Times New Roman" w:cstheme="minorHAnsi"/>
                <w:bCs/>
                <w:lang w:eastAsia="cs-CZ"/>
              </w:rPr>
            </w:pPr>
            <w:r w:rsidRPr="00584901">
              <w:rPr>
                <w:rFonts w:eastAsia="Times New Roman" w:cstheme="minorHAnsi"/>
                <w:bCs/>
                <w:lang w:eastAsia="cs-CZ"/>
              </w:rPr>
              <w:t>25</w:t>
            </w:r>
            <w:r w:rsidR="00D6098B">
              <w:rPr>
                <w:rFonts w:eastAsia="Times New Roman" w:cstheme="minorHAnsi"/>
                <w:bCs/>
                <w:lang w:eastAsia="cs-CZ"/>
              </w:rPr>
              <w:t>.</w:t>
            </w:r>
          </w:p>
        </w:tc>
        <w:tc>
          <w:tcPr>
            <w:tcW w:w="4911" w:type="dxa"/>
          </w:tcPr>
          <w:p w14:paraId="763000DD" w14:textId="77777777" w:rsidR="00750ABC" w:rsidRPr="004C0F2A" w:rsidRDefault="00750ABC" w:rsidP="002365FC">
            <w:pPr>
              <w:rPr>
                <w:rFonts w:eastAsia="Times New Roman" w:cstheme="minorHAnsi"/>
                <w:bCs/>
                <w:lang w:eastAsia="cs-CZ"/>
              </w:rPr>
            </w:pPr>
            <w:r w:rsidRPr="004C0F2A">
              <w:rPr>
                <w:rFonts w:eastAsia="Times New Roman" w:cstheme="minorHAnsi"/>
                <w:bCs/>
                <w:lang w:eastAsia="cs-CZ"/>
              </w:rPr>
              <w:t>Chorvatsko</w:t>
            </w:r>
          </w:p>
        </w:tc>
        <w:tc>
          <w:tcPr>
            <w:tcW w:w="2035" w:type="dxa"/>
          </w:tcPr>
          <w:p w14:paraId="2A9E0C6F" w14:textId="77777777" w:rsidR="00750ABC" w:rsidRPr="004C0F2A" w:rsidRDefault="00750ABC" w:rsidP="002365FC">
            <w:pPr>
              <w:jc w:val="center"/>
              <w:rPr>
                <w:rFonts w:eastAsia="Times New Roman" w:cstheme="minorHAnsi"/>
                <w:bCs/>
                <w:lang w:eastAsia="cs-CZ"/>
              </w:rPr>
            </w:pPr>
            <w:r w:rsidRPr="004C0F2A">
              <w:rPr>
                <w:rFonts w:eastAsia="Times New Roman" w:cstheme="minorHAnsi"/>
                <w:bCs/>
                <w:lang w:eastAsia="cs-CZ"/>
              </w:rPr>
              <w:t>71</w:t>
            </w:r>
          </w:p>
        </w:tc>
      </w:tr>
      <w:tr w:rsidR="00750ABC" w14:paraId="3758FBCC" w14:textId="77777777" w:rsidTr="002365FC">
        <w:trPr>
          <w:jc w:val="center"/>
        </w:trPr>
        <w:tc>
          <w:tcPr>
            <w:tcW w:w="1129" w:type="dxa"/>
            <w:vAlign w:val="center"/>
          </w:tcPr>
          <w:p w14:paraId="6BEB6E89" w14:textId="77777777" w:rsidR="00750ABC" w:rsidRPr="00584901" w:rsidRDefault="00750ABC" w:rsidP="002365FC">
            <w:pPr>
              <w:jc w:val="center"/>
              <w:rPr>
                <w:rFonts w:eastAsia="Times New Roman" w:cstheme="minorHAnsi"/>
                <w:bCs/>
                <w:lang w:eastAsia="cs-CZ"/>
              </w:rPr>
            </w:pPr>
            <w:r w:rsidRPr="00584901">
              <w:rPr>
                <w:rFonts w:eastAsia="Times New Roman" w:cstheme="minorHAnsi"/>
                <w:bCs/>
                <w:lang w:eastAsia="cs-CZ"/>
              </w:rPr>
              <w:t>26</w:t>
            </w:r>
            <w:r w:rsidR="00D6098B">
              <w:rPr>
                <w:rFonts w:eastAsia="Times New Roman" w:cstheme="minorHAnsi"/>
                <w:bCs/>
                <w:lang w:eastAsia="cs-CZ"/>
              </w:rPr>
              <w:t>.</w:t>
            </w:r>
          </w:p>
        </w:tc>
        <w:tc>
          <w:tcPr>
            <w:tcW w:w="4911" w:type="dxa"/>
          </w:tcPr>
          <w:p w14:paraId="41FC6180" w14:textId="77777777" w:rsidR="00750ABC" w:rsidRPr="004C0F2A" w:rsidRDefault="00750ABC" w:rsidP="002365FC">
            <w:pPr>
              <w:rPr>
                <w:rFonts w:eastAsia="Times New Roman" w:cstheme="minorHAnsi"/>
                <w:bCs/>
                <w:lang w:eastAsia="cs-CZ"/>
              </w:rPr>
            </w:pPr>
            <w:r w:rsidRPr="004C0F2A">
              <w:rPr>
                <w:rFonts w:eastAsia="Times New Roman" w:cstheme="minorHAnsi"/>
                <w:bCs/>
                <w:lang w:eastAsia="cs-CZ"/>
              </w:rPr>
              <w:t>Bulharsko</w:t>
            </w:r>
          </w:p>
        </w:tc>
        <w:tc>
          <w:tcPr>
            <w:tcW w:w="2035" w:type="dxa"/>
          </w:tcPr>
          <w:p w14:paraId="0A353C5A" w14:textId="77777777" w:rsidR="00750ABC" w:rsidRPr="004C0F2A" w:rsidRDefault="00750ABC" w:rsidP="002365FC">
            <w:pPr>
              <w:jc w:val="center"/>
              <w:rPr>
                <w:rFonts w:eastAsia="Times New Roman" w:cstheme="minorHAnsi"/>
                <w:bCs/>
                <w:lang w:eastAsia="cs-CZ"/>
              </w:rPr>
            </w:pPr>
            <w:r w:rsidRPr="004C0F2A">
              <w:rPr>
                <w:rFonts w:eastAsia="Times New Roman" w:cstheme="minorHAnsi"/>
                <w:bCs/>
                <w:lang w:eastAsia="cs-CZ"/>
              </w:rPr>
              <w:t>78</w:t>
            </w:r>
          </w:p>
        </w:tc>
      </w:tr>
      <w:tr w:rsidR="00750ABC" w14:paraId="37CBADC7" w14:textId="77777777" w:rsidTr="002365FC">
        <w:trPr>
          <w:jc w:val="center"/>
        </w:trPr>
        <w:tc>
          <w:tcPr>
            <w:tcW w:w="1129" w:type="dxa"/>
            <w:tcBorders>
              <w:bottom w:val="single" w:sz="4" w:space="0" w:color="auto"/>
            </w:tcBorders>
            <w:vAlign w:val="center"/>
          </w:tcPr>
          <w:p w14:paraId="6BC0964D" w14:textId="77777777" w:rsidR="00750ABC" w:rsidRPr="00584901" w:rsidRDefault="00750ABC" w:rsidP="002365FC">
            <w:pPr>
              <w:jc w:val="center"/>
              <w:rPr>
                <w:rFonts w:eastAsia="Times New Roman" w:cstheme="minorHAnsi"/>
                <w:bCs/>
                <w:lang w:eastAsia="cs-CZ"/>
              </w:rPr>
            </w:pPr>
            <w:r w:rsidRPr="00584901">
              <w:rPr>
                <w:rFonts w:eastAsia="Times New Roman" w:cstheme="minorHAnsi"/>
                <w:bCs/>
                <w:lang w:eastAsia="cs-CZ"/>
              </w:rPr>
              <w:t>27</w:t>
            </w:r>
            <w:r w:rsidR="00D6098B">
              <w:rPr>
                <w:rFonts w:eastAsia="Times New Roman" w:cstheme="minorHAnsi"/>
                <w:bCs/>
                <w:lang w:eastAsia="cs-CZ"/>
              </w:rPr>
              <w:t>.</w:t>
            </w:r>
          </w:p>
        </w:tc>
        <w:tc>
          <w:tcPr>
            <w:tcW w:w="4911" w:type="dxa"/>
            <w:tcBorders>
              <w:bottom w:val="single" w:sz="4" w:space="0" w:color="auto"/>
            </w:tcBorders>
          </w:tcPr>
          <w:p w14:paraId="5652F5F7" w14:textId="77777777" w:rsidR="00750ABC" w:rsidRPr="004C0F2A" w:rsidRDefault="00750ABC" w:rsidP="002365FC">
            <w:pPr>
              <w:rPr>
                <w:rFonts w:eastAsia="Times New Roman" w:cstheme="minorHAnsi"/>
                <w:bCs/>
                <w:lang w:eastAsia="cs-CZ"/>
              </w:rPr>
            </w:pPr>
            <w:r w:rsidRPr="004C0F2A">
              <w:rPr>
                <w:rFonts w:eastAsia="Times New Roman" w:cstheme="minorHAnsi"/>
                <w:bCs/>
                <w:lang w:eastAsia="cs-CZ"/>
              </w:rPr>
              <w:t>Rumunsko</w:t>
            </w:r>
          </w:p>
        </w:tc>
        <w:tc>
          <w:tcPr>
            <w:tcW w:w="2035" w:type="dxa"/>
            <w:tcBorders>
              <w:bottom w:val="single" w:sz="4" w:space="0" w:color="auto"/>
            </w:tcBorders>
          </w:tcPr>
          <w:p w14:paraId="47B2F772" w14:textId="77777777" w:rsidR="00750ABC" w:rsidRPr="004C0F2A" w:rsidRDefault="00750ABC" w:rsidP="002365FC">
            <w:pPr>
              <w:jc w:val="center"/>
              <w:rPr>
                <w:rFonts w:eastAsia="Times New Roman" w:cstheme="minorHAnsi"/>
                <w:bCs/>
                <w:lang w:eastAsia="cs-CZ"/>
              </w:rPr>
            </w:pPr>
            <w:r w:rsidRPr="004C0F2A">
              <w:rPr>
                <w:rFonts w:eastAsia="Times New Roman" w:cstheme="minorHAnsi"/>
                <w:bCs/>
                <w:lang w:eastAsia="cs-CZ"/>
              </w:rPr>
              <w:t>86</w:t>
            </w:r>
          </w:p>
        </w:tc>
      </w:tr>
      <w:tr w:rsidR="00750ABC" w14:paraId="5741FF1B" w14:textId="77777777" w:rsidTr="002365FC">
        <w:trPr>
          <w:jc w:val="center"/>
        </w:trPr>
        <w:tc>
          <w:tcPr>
            <w:tcW w:w="1129" w:type="dxa"/>
            <w:shd w:val="clear" w:color="auto" w:fill="E5F1FF"/>
            <w:vAlign w:val="center"/>
          </w:tcPr>
          <w:p w14:paraId="1BD66B36" w14:textId="77777777" w:rsidR="00750ABC" w:rsidRPr="005A6B50" w:rsidRDefault="00750ABC" w:rsidP="002365FC">
            <w:pPr>
              <w:jc w:val="center"/>
              <w:rPr>
                <w:rFonts w:eastAsia="Times New Roman" w:cstheme="minorHAnsi"/>
                <w:bCs/>
                <w:i/>
                <w:lang w:eastAsia="cs-CZ"/>
              </w:rPr>
            </w:pPr>
          </w:p>
        </w:tc>
        <w:tc>
          <w:tcPr>
            <w:tcW w:w="4911" w:type="dxa"/>
            <w:shd w:val="clear" w:color="auto" w:fill="E5F1FF"/>
            <w:vAlign w:val="center"/>
          </w:tcPr>
          <w:p w14:paraId="0BDBA7C6" w14:textId="77777777" w:rsidR="00750ABC" w:rsidRPr="005A6B50" w:rsidRDefault="00750ABC" w:rsidP="002365FC">
            <w:pPr>
              <w:rPr>
                <w:rFonts w:eastAsia="Times New Roman" w:cstheme="minorHAnsi"/>
                <w:bCs/>
                <w:i/>
                <w:lang w:eastAsia="cs-CZ"/>
              </w:rPr>
            </w:pPr>
            <w:r w:rsidRPr="005A6B50">
              <w:rPr>
                <w:rFonts w:eastAsia="Times New Roman" w:cstheme="minorHAnsi"/>
                <w:bCs/>
                <w:i/>
                <w:lang w:eastAsia="cs-CZ"/>
              </w:rPr>
              <w:t>Průměr zemí EU</w:t>
            </w:r>
          </w:p>
        </w:tc>
        <w:tc>
          <w:tcPr>
            <w:tcW w:w="2035" w:type="dxa"/>
            <w:shd w:val="clear" w:color="auto" w:fill="E5F1FF"/>
            <w:vAlign w:val="center"/>
          </w:tcPr>
          <w:p w14:paraId="04C01067" w14:textId="77777777" w:rsidR="00750ABC" w:rsidRPr="005A6B50" w:rsidRDefault="00750ABC" w:rsidP="002365FC">
            <w:pPr>
              <w:jc w:val="center"/>
              <w:rPr>
                <w:rFonts w:eastAsia="Times New Roman" w:cstheme="minorHAnsi"/>
                <w:bCs/>
                <w:i/>
                <w:lang w:eastAsia="cs-CZ"/>
              </w:rPr>
            </w:pPr>
            <w:r w:rsidRPr="005A6B50">
              <w:rPr>
                <w:rFonts w:eastAsia="Times New Roman" w:cstheme="minorHAnsi"/>
                <w:bCs/>
                <w:i/>
                <w:lang w:eastAsia="cs-CZ"/>
              </w:rPr>
              <w:t>46</w:t>
            </w:r>
          </w:p>
        </w:tc>
      </w:tr>
    </w:tbl>
    <w:p w14:paraId="19E497C9" w14:textId="77777777" w:rsidR="00750ABC" w:rsidRPr="002C7C06" w:rsidRDefault="00750ABC" w:rsidP="002C7C06">
      <w:pPr>
        <w:spacing w:after="120" w:line="240" w:lineRule="auto"/>
        <w:ind w:left="1134" w:hanging="567"/>
        <w:rPr>
          <w:rFonts w:cstheme="minorHAnsi"/>
          <w:sz w:val="20"/>
          <w:szCs w:val="20"/>
        </w:rPr>
      </w:pPr>
      <w:r w:rsidRPr="002C7C06">
        <w:rPr>
          <w:rFonts w:cstheme="minorHAnsi"/>
          <w:b/>
          <w:sz w:val="20"/>
          <w:szCs w:val="20"/>
        </w:rPr>
        <w:t>Zdroj:</w:t>
      </w:r>
      <w:r w:rsidRPr="002C7C06">
        <w:rPr>
          <w:rFonts w:cstheme="minorHAnsi"/>
          <w:sz w:val="20"/>
          <w:szCs w:val="20"/>
        </w:rPr>
        <w:t xml:space="preserve"> </w:t>
      </w:r>
      <w:r w:rsidR="00D6098B">
        <w:rPr>
          <w:rFonts w:cstheme="minorHAnsi"/>
          <w:sz w:val="20"/>
          <w:szCs w:val="20"/>
        </w:rPr>
        <w:tab/>
      </w:r>
      <w:r w:rsidRPr="002C7C06">
        <w:rPr>
          <w:rFonts w:cstheme="minorHAnsi"/>
          <w:i/>
          <w:sz w:val="20"/>
          <w:szCs w:val="20"/>
        </w:rPr>
        <w:t>European Transport Safety Council, 17th Road Safety Performance Index Report</w:t>
      </w:r>
      <w:r w:rsidRPr="002C7C06">
        <w:rPr>
          <w:rFonts w:cstheme="minorHAnsi"/>
          <w:sz w:val="20"/>
          <w:szCs w:val="20"/>
        </w:rPr>
        <w:t xml:space="preserve"> (červen 2023)</w:t>
      </w:r>
      <w:r w:rsidR="00422A42" w:rsidRPr="002C7C06">
        <w:rPr>
          <w:rFonts w:cstheme="minorHAnsi"/>
          <w:sz w:val="20"/>
          <w:szCs w:val="20"/>
        </w:rPr>
        <w:t xml:space="preserve"> s využitím dat z databáze E</w:t>
      </w:r>
      <w:r w:rsidR="00D6098B">
        <w:rPr>
          <w:rFonts w:cstheme="minorHAnsi"/>
          <w:sz w:val="20"/>
          <w:szCs w:val="20"/>
        </w:rPr>
        <w:t>urostatu</w:t>
      </w:r>
      <w:r w:rsidR="00422A42" w:rsidRPr="002C7C06">
        <w:rPr>
          <w:rFonts w:cstheme="minorHAnsi"/>
          <w:sz w:val="20"/>
          <w:szCs w:val="20"/>
        </w:rPr>
        <w:t xml:space="preserve"> (počty obyvatel jednotlivých zemí)</w:t>
      </w:r>
      <w:r w:rsidR="00F75BE6" w:rsidRPr="002C7C06">
        <w:rPr>
          <w:rFonts w:cstheme="minorHAnsi"/>
          <w:sz w:val="20"/>
          <w:szCs w:val="20"/>
        </w:rPr>
        <w:t>.</w:t>
      </w:r>
    </w:p>
    <w:p w14:paraId="719FBFDA" w14:textId="77777777" w:rsidR="00750ABC" w:rsidRDefault="00750ABC" w:rsidP="00750ABC"/>
    <w:p w14:paraId="188FF320" w14:textId="77777777" w:rsidR="006D7315" w:rsidRDefault="006D7315">
      <w:pPr>
        <w:rPr>
          <w:b/>
          <w:sz w:val="24"/>
          <w:szCs w:val="24"/>
        </w:rPr>
      </w:pPr>
      <w:bookmarkStart w:id="35" w:name="_Hlk141364735"/>
      <w:r>
        <w:rPr>
          <w:sz w:val="24"/>
          <w:szCs w:val="24"/>
        </w:rPr>
        <w:br w:type="page"/>
      </w:r>
    </w:p>
    <w:p w14:paraId="656EDFE0" w14:textId="77777777" w:rsidR="00750ABC" w:rsidRPr="00723581" w:rsidRDefault="00750ABC" w:rsidP="00750ABC">
      <w:pPr>
        <w:pStyle w:val="Nadpis1"/>
        <w:spacing w:before="0" w:after="120"/>
        <w:jc w:val="right"/>
        <w:rPr>
          <w:sz w:val="24"/>
          <w:szCs w:val="24"/>
        </w:rPr>
      </w:pPr>
      <w:r w:rsidRPr="00723581">
        <w:rPr>
          <w:sz w:val="24"/>
          <w:szCs w:val="24"/>
        </w:rPr>
        <w:lastRenderedPageBreak/>
        <w:t xml:space="preserve">Příloha č. </w:t>
      </w:r>
      <w:r>
        <w:rPr>
          <w:sz w:val="24"/>
          <w:szCs w:val="24"/>
        </w:rPr>
        <w:t>2</w:t>
      </w:r>
      <w:bookmarkEnd w:id="35"/>
    </w:p>
    <w:p w14:paraId="698F78A0" w14:textId="77777777" w:rsidR="00750ABC" w:rsidRDefault="00750ABC" w:rsidP="00750ABC">
      <w:pPr>
        <w:spacing w:after="120" w:line="240" w:lineRule="auto"/>
        <w:jc w:val="center"/>
        <w:rPr>
          <w:rFonts w:cstheme="minorHAnsi"/>
          <w:b/>
          <w:sz w:val="24"/>
        </w:rPr>
      </w:pPr>
      <w:bookmarkStart w:id="36" w:name="_Hlk141364743"/>
      <w:r>
        <w:rPr>
          <w:rFonts w:cstheme="minorHAnsi"/>
          <w:b/>
          <w:sz w:val="24"/>
        </w:rPr>
        <w:t>Financování BESIP</w:t>
      </w:r>
      <w:r w:rsidR="007D70F6">
        <w:rPr>
          <w:rFonts w:cstheme="minorHAnsi"/>
          <w:b/>
          <w:sz w:val="24"/>
        </w:rPr>
        <w:t xml:space="preserve"> </w:t>
      </w:r>
      <w:r w:rsidR="00F52BD0">
        <w:rPr>
          <w:rFonts w:cstheme="minorHAnsi"/>
          <w:b/>
          <w:sz w:val="24"/>
        </w:rPr>
        <w:t xml:space="preserve">ze strany </w:t>
      </w:r>
      <w:r w:rsidR="005C6205">
        <w:rPr>
          <w:rFonts w:cstheme="minorHAnsi"/>
          <w:b/>
          <w:sz w:val="24"/>
        </w:rPr>
        <w:t>MD</w:t>
      </w:r>
      <w:r w:rsidR="00F52BD0">
        <w:rPr>
          <w:rFonts w:cstheme="minorHAnsi"/>
          <w:b/>
          <w:sz w:val="24"/>
        </w:rPr>
        <w:t xml:space="preserve"> a prostřednictvím příspěvku MD poskytnuté</w:t>
      </w:r>
      <w:r w:rsidR="00EB4D76">
        <w:rPr>
          <w:rFonts w:cstheme="minorHAnsi"/>
          <w:b/>
          <w:sz w:val="24"/>
        </w:rPr>
        <w:t>ho</w:t>
      </w:r>
      <w:r w:rsidR="00F52BD0">
        <w:rPr>
          <w:rFonts w:cstheme="minorHAnsi"/>
          <w:b/>
          <w:sz w:val="24"/>
        </w:rPr>
        <w:t xml:space="preserve"> </w:t>
      </w:r>
      <w:r w:rsidR="003B6775" w:rsidRPr="003B6775">
        <w:rPr>
          <w:rFonts w:cstheme="minorHAnsi"/>
          <w:b/>
          <w:sz w:val="24"/>
        </w:rPr>
        <w:t xml:space="preserve">Centru služeb pro silniční dopravu </w:t>
      </w:r>
      <w:r w:rsidR="006078FB">
        <w:rPr>
          <w:rFonts w:cstheme="minorHAnsi"/>
          <w:b/>
          <w:sz w:val="24"/>
        </w:rPr>
        <w:t>v letech 2017</w:t>
      </w:r>
      <w:r w:rsidR="00C1354D">
        <w:rPr>
          <w:rFonts w:cstheme="minorHAnsi"/>
          <w:b/>
          <w:sz w:val="24"/>
        </w:rPr>
        <w:t>–</w:t>
      </w:r>
      <w:r w:rsidR="006078FB">
        <w:rPr>
          <w:rFonts w:cstheme="minorHAnsi"/>
          <w:b/>
          <w:sz w:val="24"/>
        </w:rPr>
        <w:t>2022</w:t>
      </w:r>
    </w:p>
    <w:bookmarkEnd w:id="36"/>
    <w:p w14:paraId="401393AD" w14:textId="77777777" w:rsidR="00750ABC" w:rsidRPr="00723581" w:rsidRDefault="00750ABC" w:rsidP="00750ABC">
      <w:pPr>
        <w:spacing w:after="120" w:line="240" w:lineRule="auto"/>
        <w:jc w:val="center"/>
        <w:rPr>
          <w:rFonts w:cstheme="minorHAnsi"/>
          <w:b/>
          <w:sz w:val="24"/>
        </w:rPr>
      </w:pPr>
    </w:p>
    <w:p w14:paraId="4A152FDC" w14:textId="77777777" w:rsidR="00750ABC" w:rsidRPr="00E25029" w:rsidRDefault="00750ABC" w:rsidP="00D6098B">
      <w:pPr>
        <w:pStyle w:val="Titulek"/>
        <w:keepNext/>
        <w:tabs>
          <w:tab w:val="right" w:pos="9070"/>
        </w:tabs>
        <w:spacing w:after="0"/>
        <w:rPr>
          <w:rFonts w:cstheme="minorHAnsi"/>
          <w:b/>
          <w:bCs/>
          <w:i w:val="0"/>
          <w:iCs w:val="0"/>
          <w:color w:val="auto"/>
          <w:sz w:val="24"/>
          <w:szCs w:val="24"/>
        </w:rPr>
      </w:pPr>
      <w:r w:rsidRPr="00E25029">
        <w:rPr>
          <w:rFonts w:cstheme="minorHAnsi"/>
          <w:b/>
          <w:bCs/>
          <w:i w:val="0"/>
          <w:iCs w:val="0"/>
          <w:color w:val="auto"/>
          <w:sz w:val="24"/>
          <w:szCs w:val="24"/>
        </w:rPr>
        <w:t xml:space="preserve">Čerpání peněžních prostředků ze strany </w:t>
      </w:r>
      <w:r w:rsidR="005C6205">
        <w:rPr>
          <w:rFonts w:cstheme="minorHAnsi"/>
          <w:b/>
          <w:bCs/>
          <w:i w:val="0"/>
          <w:iCs w:val="0"/>
          <w:color w:val="auto"/>
          <w:sz w:val="24"/>
          <w:szCs w:val="24"/>
        </w:rPr>
        <w:t>MD</w:t>
      </w:r>
      <w:r w:rsidRPr="00E25029">
        <w:rPr>
          <w:rFonts w:cstheme="minorHAnsi"/>
          <w:b/>
          <w:bCs/>
          <w:i w:val="0"/>
          <w:iCs w:val="0"/>
          <w:color w:val="auto"/>
          <w:sz w:val="24"/>
          <w:szCs w:val="24"/>
        </w:rPr>
        <w:t xml:space="preserve"> na BESIP v letech 2017</w:t>
      </w:r>
      <w:r w:rsidR="00C1354D">
        <w:rPr>
          <w:rFonts w:cstheme="minorHAnsi"/>
          <w:b/>
          <w:bCs/>
          <w:i w:val="0"/>
          <w:iCs w:val="0"/>
          <w:color w:val="auto"/>
          <w:sz w:val="24"/>
          <w:szCs w:val="24"/>
        </w:rPr>
        <w:t>–</w:t>
      </w:r>
      <w:r w:rsidRPr="00E25029">
        <w:rPr>
          <w:rFonts w:cstheme="minorHAnsi"/>
          <w:b/>
          <w:bCs/>
          <w:i w:val="0"/>
          <w:iCs w:val="0"/>
          <w:color w:val="auto"/>
          <w:sz w:val="24"/>
          <w:szCs w:val="24"/>
        </w:rPr>
        <w:t>2022</w:t>
      </w:r>
      <w:r>
        <w:rPr>
          <w:rFonts w:cstheme="minorHAnsi"/>
          <w:b/>
          <w:bCs/>
          <w:i w:val="0"/>
          <w:iCs w:val="0"/>
          <w:color w:val="auto"/>
          <w:sz w:val="24"/>
          <w:szCs w:val="24"/>
        </w:rPr>
        <w:t xml:space="preserve"> </w:t>
      </w:r>
      <w:r w:rsidR="00D6098B">
        <w:rPr>
          <w:rFonts w:cstheme="minorHAnsi"/>
          <w:b/>
          <w:bCs/>
          <w:i w:val="0"/>
          <w:iCs w:val="0"/>
          <w:color w:val="auto"/>
          <w:sz w:val="24"/>
          <w:szCs w:val="24"/>
        </w:rPr>
        <w:tab/>
      </w:r>
      <w:r>
        <w:rPr>
          <w:rFonts w:cstheme="minorHAnsi"/>
          <w:b/>
          <w:bCs/>
          <w:i w:val="0"/>
          <w:iCs w:val="0"/>
          <w:color w:val="auto"/>
          <w:sz w:val="24"/>
          <w:szCs w:val="24"/>
        </w:rPr>
        <w:t>(v Kč)</w:t>
      </w:r>
    </w:p>
    <w:tbl>
      <w:tblPr>
        <w:tblStyle w:val="Mkatabulky"/>
        <w:tblW w:w="9067" w:type="dxa"/>
        <w:tblLook w:val="04A0" w:firstRow="1" w:lastRow="0" w:firstColumn="1" w:lastColumn="0" w:noHBand="0" w:noVBand="1"/>
      </w:tblPr>
      <w:tblGrid>
        <w:gridCol w:w="1413"/>
        <w:gridCol w:w="3827"/>
        <w:gridCol w:w="3827"/>
      </w:tblGrid>
      <w:tr w:rsidR="00750ABC" w:rsidRPr="00584901" w14:paraId="6F38D115" w14:textId="77777777" w:rsidTr="00C72402">
        <w:tc>
          <w:tcPr>
            <w:tcW w:w="1413" w:type="dxa"/>
            <w:shd w:val="clear" w:color="auto" w:fill="E5F1FF"/>
            <w:vAlign w:val="center"/>
          </w:tcPr>
          <w:p w14:paraId="29D9E6DC" w14:textId="77777777" w:rsidR="00750ABC" w:rsidRPr="00AF3F72" w:rsidRDefault="00750ABC" w:rsidP="002365FC">
            <w:pPr>
              <w:jc w:val="center"/>
              <w:rPr>
                <w:rFonts w:eastAsia="Times New Roman" w:cstheme="minorHAnsi"/>
                <w:b/>
                <w:bCs/>
                <w:sz w:val="20"/>
                <w:szCs w:val="20"/>
                <w:lang w:eastAsia="cs-CZ"/>
              </w:rPr>
            </w:pPr>
            <w:r w:rsidRPr="00AF3F72">
              <w:rPr>
                <w:rFonts w:eastAsia="Times New Roman" w:cstheme="minorHAnsi"/>
                <w:b/>
                <w:bCs/>
                <w:sz w:val="20"/>
                <w:szCs w:val="20"/>
                <w:lang w:eastAsia="cs-CZ"/>
              </w:rPr>
              <w:t>Rok</w:t>
            </w:r>
          </w:p>
        </w:tc>
        <w:tc>
          <w:tcPr>
            <w:tcW w:w="3827" w:type="dxa"/>
            <w:shd w:val="clear" w:color="auto" w:fill="E5F1FF"/>
            <w:vAlign w:val="center"/>
          </w:tcPr>
          <w:p w14:paraId="277A5AE4" w14:textId="77777777" w:rsidR="00750ABC" w:rsidRPr="00AF3F72" w:rsidRDefault="00750ABC" w:rsidP="002365FC">
            <w:pPr>
              <w:jc w:val="center"/>
              <w:rPr>
                <w:rFonts w:eastAsia="Times New Roman" w:cstheme="minorHAnsi"/>
                <w:b/>
                <w:bCs/>
                <w:sz w:val="20"/>
                <w:szCs w:val="20"/>
                <w:lang w:eastAsia="cs-CZ"/>
              </w:rPr>
            </w:pPr>
            <w:r w:rsidRPr="00AF3F72">
              <w:rPr>
                <w:rFonts w:eastAsia="Times New Roman" w:cstheme="minorHAnsi"/>
                <w:b/>
                <w:bCs/>
                <w:sz w:val="20"/>
                <w:szCs w:val="20"/>
                <w:lang w:eastAsia="cs-CZ"/>
              </w:rPr>
              <w:t xml:space="preserve">Čerpání </w:t>
            </w:r>
            <w:r w:rsidR="005C6205">
              <w:rPr>
                <w:rFonts w:eastAsia="Times New Roman" w:cstheme="minorHAnsi"/>
                <w:b/>
                <w:bCs/>
                <w:sz w:val="20"/>
                <w:szCs w:val="20"/>
                <w:lang w:eastAsia="cs-CZ"/>
              </w:rPr>
              <w:t>MD</w:t>
            </w:r>
            <w:r w:rsidRPr="00AF3F72">
              <w:rPr>
                <w:rFonts w:eastAsia="Times New Roman" w:cstheme="minorHAnsi"/>
                <w:b/>
                <w:bCs/>
                <w:sz w:val="20"/>
                <w:szCs w:val="20"/>
                <w:lang w:eastAsia="cs-CZ"/>
              </w:rPr>
              <w:t xml:space="preserve"> celkem </w:t>
            </w:r>
          </w:p>
        </w:tc>
        <w:tc>
          <w:tcPr>
            <w:tcW w:w="3827" w:type="dxa"/>
            <w:shd w:val="clear" w:color="auto" w:fill="E5F1FF"/>
            <w:vAlign w:val="center"/>
          </w:tcPr>
          <w:p w14:paraId="1BFDB5EC" w14:textId="77777777" w:rsidR="00750ABC" w:rsidRPr="00AF3F72" w:rsidRDefault="00D6098B" w:rsidP="002365FC">
            <w:pPr>
              <w:jc w:val="center"/>
              <w:rPr>
                <w:rFonts w:eastAsia="Times New Roman" w:cstheme="minorHAnsi"/>
                <w:b/>
                <w:bCs/>
                <w:sz w:val="20"/>
                <w:szCs w:val="20"/>
                <w:lang w:eastAsia="cs-CZ"/>
              </w:rPr>
            </w:pPr>
            <w:r w:rsidRPr="00D6098B">
              <w:rPr>
                <w:rFonts w:eastAsia="Times New Roman" w:cstheme="minorHAnsi"/>
                <w:b/>
                <w:bCs/>
                <w:sz w:val="20"/>
                <w:szCs w:val="20"/>
                <w:lang w:eastAsia="cs-CZ"/>
              </w:rPr>
              <w:t>–</w:t>
            </w:r>
            <w:r>
              <w:rPr>
                <w:rFonts w:eastAsia="Times New Roman" w:cstheme="minorHAnsi"/>
                <w:b/>
                <w:bCs/>
                <w:sz w:val="20"/>
                <w:szCs w:val="20"/>
                <w:lang w:eastAsia="cs-CZ"/>
              </w:rPr>
              <w:t xml:space="preserve"> z</w:t>
            </w:r>
            <w:r w:rsidR="00BB725C">
              <w:rPr>
                <w:rFonts w:eastAsia="Times New Roman" w:cstheme="minorHAnsi"/>
                <w:b/>
                <w:bCs/>
                <w:sz w:val="20"/>
                <w:szCs w:val="20"/>
                <w:lang w:eastAsia="cs-CZ"/>
              </w:rPr>
              <w:t xml:space="preserve"> toho</w:t>
            </w:r>
            <w:r w:rsidR="00750ABC" w:rsidRPr="00AF3F72">
              <w:rPr>
                <w:rFonts w:eastAsia="Times New Roman" w:cstheme="minorHAnsi"/>
                <w:b/>
                <w:bCs/>
                <w:sz w:val="20"/>
                <w:szCs w:val="20"/>
                <w:lang w:eastAsia="cs-CZ"/>
              </w:rPr>
              <w:t xml:space="preserve"> prostředky FZŠ </w:t>
            </w:r>
          </w:p>
        </w:tc>
      </w:tr>
      <w:tr w:rsidR="00750ABC" w:rsidRPr="00584901" w14:paraId="46E85203" w14:textId="77777777" w:rsidTr="00C72402">
        <w:tc>
          <w:tcPr>
            <w:tcW w:w="1413" w:type="dxa"/>
            <w:vAlign w:val="center"/>
          </w:tcPr>
          <w:p w14:paraId="71BA153A" w14:textId="77777777" w:rsidR="00750ABC" w:rsidRPr="00E25029" w:rsidRDefault="00750ABC" w:rsidP="002365FC">
            <w:pPr>
              <w:jc w:val="center"/>
              <w:rPr>
                <w:rFonts w:eastAsia="Times New Roman" w:cstheme="minorHAnsi"/>
                <w:bCs/>
                <w:sz w:val="20"/>
                <w:szCs w:val="20"/>
                <w:lang w:eastAsia="cs-CZ"/>
              </w:rPr>
            </w:pPr>
            <w:r w:rsidRPr="00E25029">
              <w:rPr>
                <w:rFonts w:eastAsia="Times New Roman" w:cstheme="minorHAnsi"/>
                <w:bCs/>
                <w:sz w:val="20"/>
                <w:szCs w:val="20"/>
                <w:lang w:eastAsia="cs-CZ"/>
              </w:rPr>
              <w:t>2017</w:t>
            </w:r>
          </w:p>
        </w:tc>
        <w:tc>
          <w:tcPr>
            <w:tcW w:w="3827" w:type="dxa"/>
          </w:tcPr>
          <w:p w14:paraId="0ACD42FE" w14:textId="77777777" w:rsidR="00750ABC" w:rsidRPr="00E25029" w:rsidRDefault="00750ABC" w:rsidP="002365FC">
            <w:pPr>
              <w:jc w:val="right"/>
              <w:rPr>
                <w:rFonts w:eastAsia="Times New Roman" w:cstheme="minorHAnsi"/>
                <w:bCs/>
                <w:sz w:val="20"/>
                <w:szCs w:val="20"/>
                <w:lang w:eastAsia="cs-CZ"/>
              </w:rPr>
            </w:pPr>
            <w:r w:rsidRPr="00E25029">
              <w:rPr>
                <w:rFonts w:eastAsia="Times New Roman" w:cstheme="minorHAnsi"/>
                <w:bCs/>
                <w:sz w:val="20"/>
                <w:szCs w:val="20"/>
                <w:lang w:eastAsia="cs-CZ"/>
              </w:rPr>
              <w:t>27 306 282,36</w:t>
            </w:r>
          </w:p>
        </w:tc>
        <w:tc>
          <w:tcPr>
            <w:tcW w:w="3827" w:type="dxa"/>
          </w:tcPr>
          <w:p w14:paraId="7F8FB38E" w14:textId="77777777" w:rsidR="00750ABC" w:rsidRPr="00E25029" w:rsidRDefault="00750ABC" w:rsidP="002365FC">
            <w:pPr>
              <w:jc w:val="right"/>
              <w:rPr>
                <w:rFonts w:eastAsia="Times New Roman" w:cstheme="minorHAnsi"/>
                <w:bCs/>
                <w:sz w:val="20"/>
                <w:szCs w:val="20"/>
                <w:lang w:eastAsia="cs-CZ"/>
              </w:rPr>
            </w:pPr>
            <w:r w:rsidRPr="00E25029">
              <w:rPr>
                <w:rFonts w:eastAsia="Times New Roman" w:cstheme="minorHAnsi"/>
                <w:bCs/>
                <w:sz w:val="20"/>
                <w:szCs w:val="20"/>
                <w:lang w:eastAsia="cs-CZ"/>
              </w:rPr>
              <w:t>14 622 542,70</w:t>
            </w:r>
          </w:p>
        </w:tc>
      </w:tr>
      <w:tr w:rsidR="00750ABC" w:rsidRPr="00584901" w14:paraId="4D8CB4E2" w14:textId="77777777" w:rsidTr="00C72402">
        <w:tc>
          <w:tcPr>
            <w:tcW w:w="1413" w:type="dxa"/>
            <w:vAlign w:val="center"/>
          </w:tcPr>
          <w:p w14:paraId="599F07A4" w14:textId="77777777" w:rsidR="00750ABC" w:rsidRPr="00E25029" w:rsidRDefault="00750ABC" w:rsidP="002365FC">
            <w:pPr>
              <w:jc w:val="center"/>
              <w:rPr>
                <w:rFonts w:eastAsia="Times New Roman" w:cstheme="minorHAnsi"/>
                <w:bCs/>
                <w:sz w:val="20"/>
                <w:szCs w:val="20"/>
                <w:lang w:eastAsia="cs-CZ"/>
              </w:rPr>
            </w:pPr>
            <w:r w:rsidRPr="00E25029">
              <w:rPr>
                <w:rFonts w:eastAsia="Times New Roman" w:cstheme="minorHAnsi"/>
                <w:bCs/>
                <w:sz w:val="20"/>
                <w:szCs w:val="20"/>
                <w:lang w:eastAsia="cs-CZ"/>
              </w:rPr>
              <w:t>2018</w:t>
            </w:r>
          </w:p>
        </w:tc>
        <w:tc>
          <w:tcPr>
            <w:tcW w:w="3827" w:type="dxa"/>
          </w:tcPr>
          <w:p w14:paraId="44F51484" w14:textId="77777777" w:rsidR="00750ABC" w:rsidRPr="00E25029" w:rsidRDefault="00750ABC" w:rsidP="002365FC">
            <w:pPr>
              <w:jc w:val="right"/>
              <w:rPr>
                <w:rFonts w:eastAsia="Times New Roman" w:cstheme="minorHAnsi"/>
                <w:bCs/>
                <w:sz w:val="20"/>
                <w:szCs w:val="20"/>
                <w:lang w:eastAsia="cs-CZ"/>
              </w:rPr>
            </w:pPr>
            <w:r w:rsidRPr="00E25029">
              <w:rPr>
                <w:rFonts w:eastAsia="Times New Roman" w:cstheme="minorHAnsi"/>
                <w:bCs/>
                <w:sz w:val="20"/>
                <w:szCs w:val="20"/>
                <w:lang w:eastAsia="cs-CZ"/>
              </w:rPr>
              <w:t>3 207 639,83</w:t>
            </w:r>
          </w:p>
        </w:tc>
        <w:tc>
          <w:tcPr>
            <w:tcW w:w="3827" w:type="dxa"/>
          </w:tcPr>
          <w:p w14:paraId="0920E20D" w14:textId="77777777" w:rsidR="00750ABC" w:rsidRPr="00E25029" w:rsidRDefault="00750ABC" w:rsidP="002365FC">
            <w:pPr>
              <w:jc w:val="right"/>
              <w:rPr>
                <w:rFonts w:eastAsia="Times New Roman" w:cstheme="minorHAnsi"/>
                <w:bCs/>
                <w:sz w:val="20"/>
                <w:szCs w:val="20"/>
                <w:lang w:eastAsia="cs-CZ"/>
              </w:rPr>
            </w:pPr>
            <w:r w:rsidRPr="00E25029">
              <w:rPr>
                <w:rFonts w:eastAsia="Times New Roman" w:cstheme="minorHAnsi"/>
                <w:bCs/>
                <w:sz w:val="20"/>
                <w:szCs w:val="20"/>
                <w:lang w:eastAsia="cs-CZ"/>
              </w:rPr>
              <w:t>877 250,00</w:t>
            </w:r>
          </w:p>
        </w:tc>
      </w:tr>
      <w:tr w:rsidR="00750ABC" w:rsidRPr="00584901" w14:paraId="1092B4B2" w14:textId="77777777" w:rsidTr="00C72402">
        <w:tc>
          <w:tcPr>
            <w:tcW w:w="1413" w:type="dxa"/>
            <w:vAlign w:val="center"/>
          </w:tcPr>
          <w:p w14:paraId="2A0429BB" w14:textId="77777777" w:rsidR="00750ABC" w:rsidRPr="00E25029" w:rsidRDefault="00750ABC" w:rsidP="002365FC">
            <w:pPr>
              <w:jc w:val="center"/>
              <w:rPr>
                <w:rFonts w:eastAsia="Times New Roman" w:cstheme="minorHAnsi"/>
                <w:bCs/>
                <w:sz w:val="20"/>
                <w:szCs w:val="20"/>
                <w:lang w:eastAsia="cs-CZ"/>
              </w:rPr>
            </w:pPr>
            <w:r w:rsidRPr="00E25029">
              <w:rPr>
                <w:rFonts w:eastAsia="Times New Roman" w:cstheme="minorHAnsi"/>
                <w:bCs/>
                <w:sz w:val="20"/>
                <w:szCs w:val="20"/>
                <w:lang w:eastAsia="cs-CZ"/>
              </w:rPr>
              <w:t>2019</w:t>
            </w:r>
          </w:p>
        </w:tc>
        <w:tc>
          <w:tcPr>
            <w:tcW w:w="3827" w:type="dxa"/>
          </w:tcPr>
          <w:p w14:paraId="7CC1A66C" w14:textId="77777777" w:rsidR="00750ABC" w:rsidRPr="00E25029" w:rsidRDefault="00750ABC" w:rsidP="002365FC">
            <w:pPr>
              <w:jc w:val="right"/>
              <w:rPr>
                <w:rFonts w:eastAsia="Times New Roman" w:cstheme="minorHAnsi"/>
                <w:bCs/>
                <w:sz w:val="20"/>
                <w:szCs w:val="20"/>
                <w:lang w:eastAsia="cs-CZ"/>
              </w:rPr>
            </w:pPr>
            <w:r w:rsidRPr="00E25029">
              <w:rPr>
                <w:rFonts w:eastAsia="Times New Roman" w:cstheme="minorHAnsi"/>
                <w:bCs/>
                <w:sz w:val="20"/>
                <w:szCs w:val="20"/>
                <w:lang w:eastAsia="cs-CZ"/>
              </w:rPr>
              <w:t>17 210 083,80</w:t>
            </w:r>
          </w:p>
        </w:tc>
        <w:tc>
          <w:tcPr>
            <w:tcW w:w="3827" w:type="dxa"/>
          </w:tcPr>
          <w:p w14:paraId="2C1A85FB" w14:textId="77777777" w:rsidR="00750ABC" w:rsidRPr="00E25029" w:rsidRDefault="00750ABC" w:rsidP="002365FC">
            <w:pPr>
              <w:jc w:val="right"/>
              <w:rPr>
                <w:rFonts w:eastAsia="Times New Roman" w:cstheme="minorHAnsi"/>
                <w:bCs/>
                <w:sz w:val="20"/>
                <w:szCs w:val="20"/>
                <w:lang w:eastAsia="cs-CZ"/>
              </w:rPr>
            </w:pPr>
            <w:r w:rsidRPr="00E25029">
              <w:rPr>
                <w:rFonts w:eastAsia="Times New Roman" w:cstheme="minorHAnsi"/>
                <w:bCs/>
                <w:sz w:val="20"/>
                <w:szCs w:val="20"/>
                <w:lang w:eastAsia="cs-CZ"/>
              </w:rPr>
              <w:t>4 107 326,65</w:t>
            </w:r>
          </w:p>
        </w:tc>
      </w:tr>
      <w:tr w:rsidR="00750ABC" w:rsidRPr="00584901" w14:paraId="1C4AF88C" w14:textId="77777777" w:rsidTr="00C72402">
        <w:tc>
          <w:tcPr>
            <w:tcW w:w="1413" w:type="dxa"/>
            <w:vAlign w:val="center"/>
          </w:tcPr>
          <w:p w14:paraId="672AC137" w14:textId="77777777" w:rsidR="00750ABC" w:rsidRPr="00E25029" w:rsidRDefault="00750ABC" w:rsidP="002365FC">
            <w:pPr>
              <w:jc w:val="center"/>
              <w:rPr>
                <w:rFonts w:eastAsia="Times New Roman" w:cstheme="minorHAnsi"/>
                <w:bCs/>
                <w:sz w:val="20"/>
                <w:szCs w:val="20"/>
                <w:lang w:eastAsia="cs-CZ"/>
              </w:rPr>
            </w:pPr>
            <w:r w:rsidRPr="00E25029">
              <w:rPr>
                <w:rFonts w:eastAsia="Times New Roman" w:cstheme="minorHAnsi"/>
                <w:bCs/>
                <w:sz w:val="20"/>
                <w:szCs w:val="20"/>
                <w:lang w:eastAsia="cs-CZ"/>
              </w:rPr>
              <w:t>2020</w:t>
            </w:r>
          </w:p>
        </w:tc>
        <w:tc>
          <w:tcPr>
            <w:tcW w:w="3827" w:type="dxa"/>
          </w:tcPr>
          <w:p w14:paraId="6E434FCB" w14:textId="77777777" w:rsidR="00750ABC" w:rsidRPr="00E25029" w:rsidRDefault="00750ABC" w:rsidP="002365FC">
            <w:pPr>
              <w:jc w:val="right"/>
              <w:rPr>
                <w:rFonts w:eastAsia="Times New Roman" w:cstheme="minorHAnsi"/>
                <w:bCs/>
                <w:sz w:val="20"/>
                <w:szCs w:val="20"/>
                <w:lang w:eastAsia="cs-CZ"/>
              </w:rPr>
            </w:pPr>
            <w:r w:rsidRPr="00E25029">
              <w:rPr>
                <w:rFonts w:eastAsia="Times New Roman" w:cstheme="minorHAnsi"/>
                <w:bCs/>
                <w:sz w:val="20"/>
                <w:szCs w:val="20"/>
                <w:lang w:eastAsia="cs-CZ"/>
              </w:rPr>
              <w:t>33 924 757,61</w:t>
            </w:r>
          </w:p>
        </w:tc>
        <w:tc>
          <w:tcPr>
            <w:tcW w:w="3827" w:type="dxa"/>
          </w:tcPr>
          <w:p w14:paraId="2758FF68" w14:textId="77777777" w:rsidR="00750ABC" w:rsidRPr="00E25029" w:rsidRDefault="00750ABC" w:rsidP="002365FC">
            <w:pPr>
              <w:jc w:val="right"/>
              <w:rPr>
                <w:rFonts w:eastAsia="Times New Roman" w:cstheme="minorHAnsi"/>
                <w:bCs/>
                <w:sz w:val="20"/>
                <w:szCs w:val="20"/>
                <w:lang w:eastAsia="cs-CZ"/>
              </w:rPr>
            </w:pPr>
            <w:r w:rsidRPr="00E25029">
              <w:rPr>
                <w:rFonts w:eastAsia="Times New Roman" w:cstheme="minorHAnsi"/>
                <w:bCs/>
                <w:sz w:val="20"/>
                <w:szCs w:val="20"/>
                <w:lang w:eastAsia="cs-CZ"/>
              </w:rPr>
              <w:t>21 841 769,08</w:t>
            </w:r>
          </w:p>
        </w:tc>
      </w:tr>
      <w:tr w:rsidR="00750ABC" w:rsidRPr="00584901" w14:paraId="76D7CE19" w14:textId="77777777" w:rsidTr="00C72402">
        <w:tc>
          <w:tcPr>
            <w:tcW w:w="1413" w:type="dxa"/>
            <w:vAlign w:val="center"/>
          </w:tcPr>
          <w:p w14:paraId="032DDC71" w14:textId="77777777" w:rsidR="00750ABC" w:rsidRPr="00E25029" w:rsidRDefault="00750ABC" w:rsidP="002365FC">
            <w:pPr>
              <w:jc w:val="center"/>
              <w:rPr>
                <w:rFonts w:eastAsia="Times New Roman" w:cstheme="minorHAnsi"/>
                <w:bCs/>
                <w:sz w:val="20"/>
                <w:szCs w:val="20"/>
                <w:lang w:eastAsia="cs-CZ"/>
              </w:rPr>
            </w:pPr>
            <w:r w:rsidRPr="00E25029">
              <w:rPr>
                <w:rFonts w:eastAsia="Times New Roman" w:cstheme="minorHAnsi"/>
                <w:bCs/>
                <w:sz w:val="20"/>
                <w:szCs w:val="20"/>
                <w:lang w:eastAsia="cs-CZ"/>
              </w:rPr>
              <w:t>2021</w:t>
            </w:r>
          </w:p>
        </w:tc>
        <w:tc>
          <w:tcPr>
            <w:tcW w:w="3827" w:type="dxa"/>
          </w:tcPr>
          <w:p w14:paraId="116E9CC4" w14:textId="77777777" w:rsidR="00750ABC" w:rsidRPr="00E25029" w:rsidRDefault="00750ABC" w:rsidP="002365FC">
            <w:pPr>
              <w:jc w:val="right"/>
              <w:rPr>
                <w:rFonts w:eastAsia="Times New Roman" w:cstheme="minorHAnsi"/>
                <w:bCs/>
                <w:sz w:val="20"/>
                <w:szCs w:val="20"/>
                <w:lang w:eastAsia="cs-CZ"/>
              </w:rPr>
            </w:pPr>
            <w:r w:rsidRPr="00E25029">
              <w:rPr>
                <w:rFonts w:eastAsia="Times New Roman" w:cstheme="minorHAnsi"/>
                <w:bCs/>
                <w:sz w:val="20"/>
                <w:szCs w:val="20"/>
                <w:lang w:eastAsia="cs-CZ"/>
              </w:rPr>
              <w:t>31 309 237,25</w:t>
            </w:r>
          </w:p>
        </w:tc>
        <w:tc>
          <w:tcPr>
            <w:tcW w:w="3827" w:type="dxa"/>
          </w:tcPr>
          <w:p w14:paraId="5B80CA25" w14:textId="77777777" w:rsidR="00750ABC" w:rsidRPr="00E25029" w:rsidRDefault="00750ABC" w:rsidP="002365FC">
            <w:pPr>
              <w:jc w:val="right"/>
              <w:rPr>
                <w:rFonts w:eastAsia="Times New Roman" w:cstheme="minorHAnsi"/>
                <w:bCs/>
                <w:sz w:val="20"/>
                <w:szCs w:val="20"/>
                <w:lang w:eastAsia="cs-CZ"/>
              </w:rPr>
            </w:pPr>
            <w:r w:rsidRPr="00E25029">
              <w:rPr>
                <w:rFonts w:eastAsia="Times New Roman" w:cstheme="minorHAnsi"/>
                <w:bCs/>
                <w:sz w:val="20"/>
                <w:szCs w:val="20"/>
                <w:lang w:eastAsia="cs-CZ"/>
              </w:rPr>
              <w:t>1 343 602,94</w:t>
            </w:r>
          </w:p>
        </w:tc>
      </w:tr>
      <w:tr w:rsidR="00750ABC" w:rsidRPr="00584901" w14:paraId="0E1EF0F4" w14:textId="77777777" w:rsidTr="00C72402">
        <w:tc>
          <w:tcPr>
            <w:tcW w:w="1413" w:type="dxa"/>
            <w:tcBorders>
              <w:bottom w:val="single" w:sz="4" w:space="0" w:color="auto"/>
            </w:tcBorders>
            <w:vAlign w:val="center"/>
          </w:tcPr>
          <w:p w14:paraId="500A7B0F" w14:textId="77777777" w:rsidR="00750ABC" w:rsidRPr="00E25029" w:rsidRDefault="00750ABC" w:rsidP="002365FC">
            <w:pPr>
              <w:jc w:val="center"/>
              <w:rPr>
                <w:rFonts w:eastAsia="Times New Roman" w:cstheme="minorHAnsi"/>
                <w:bCs/>
                <w:sz w:val="20"/>
                <w:szCs w:val="20"/>
                <w:lang w:eastAsia="cs-CZ"/>
              </w:rPr>
            </w:pPr>
            <w:r w:rsidRPr="00E25029">
              <w:rPr>
                <w:rFonts w:eastAsia="Times New Roman" w:cstheme="minorHAnsi"/>
                <w:bCs/>
                <w:sz w:val="20"/>
                <w:szCs w:val="20"/>
                <w:lang w:eastAsia="cs-CZ"/>
              </w:rPr>
              <w:t>2022</w:t>
            </w:r>
          </w:p>
        </w:tc>
        <w:tc>
          <w:tcPr>
            <w:tcW w:w="3827" w:type="dxa"/>
            <w:tcBorders>
              <w:bottom w:val="single" w:sz="4" w:space="0" w:color="auto"/>
            </w:tcBorders>
          </w:tcPr>
          <w:p w14:paraId="3D1FD088" w14:textId="77777777" w:rsidR="00750ABC" w:rsidRPr="00E25029" w:rsidRDefault="00750ABC" w:rsidP="002365FC">
            <w:pPr>
              <w:jc w:val="right"/>
              <w:rPr>
                <w:rFonts w:eastAsia="Times New Roman" w:cstheme="minorHAnsi"/>
                <w:bCs/>
                <w:sz w:val="20"/>
                <w:szCs w:val="20"/>
                <w:lang w:eastAsia="cs-CZ"/>
              </w:rPr>
            </w:pPr>
            <w:r w:rsidRPr="00E25029">
              <w:rPr>
                <w:rFonts w:eastAsia="Times New Roman" w:cstheme="minorHAnsi"/>
                <w:bCs/>
                <w:sz w:val="20"/>
                <w:szCs w:val="20"/>
                <w:lang w:eastAsia="cs-CZ"/>
              </w:rPr>
              <w:t>16 784 875,42</w:t>
            </w:r>
          </w:p>
        </w:tc>
        <w:tc>
          <w:tcPr>
            <w:tcW w:w="3827" w:type="dxa"/>
            <w:tcBorders>
              <w:bottom w:val="single" w:sz="4" w:space="0" w:color="auto"/>
            </w:tcBorders>
          </w:tcPr>
          <w:p w14:paraId="088FC255" w14:textId="77777777" w:rsidR="00750ABC" w:rsidRPr="00E25029" w:rsidRDefault="00750ABC" w:rsidP="002365FC">
            <w:pPr>
              <w:jc w:val="right"/>
              <w:rPr>
                <w:rFonts w:eastAsia="Times New Roman" w:cstheme="minorHAnsi"/>
                <w:bCs/>
                <w:sz w:val="20"/>
                <w:szCs w:val="20"/>
                <w:lang w:eastAsia="cs-CZ"/>
              </w:rPr>
            </w:pPr>
            <w:r w:rsidRPr="00E25029">
              <w:rPr>
                <w:rFonts w:eastAsia="Times New Roman" w:cstheme="minorHAnsi"/>
                <w:bCs/>
                <w:sz w:val="20"/>
                <w:szCs w:val="20"/>
                <w:lang w:eastAsia="cs-CZ"/>
              </w:rPr>
              <w:t>15 353 528,25</w:t>
            </w:r>
          </w:p>
        </w:tc>
      </w:tr>
      <w:tr w:rsidR="00750ABC" w:rsidRPr="003A00BE" w14:paraId="60064876" w14:textId="77777777" w:rsidTr="00C72402">
        <w:tc>
          <w:tcPr>
            <w:tcW w:w="1413" w:type="dxa"/>
            <w:shd w:val="clear" w:color="auto" w:fill="E5F1FF"/>
            <w:vAlign w:val="center"/>
          </w:tcPr>
          <w:p w14:paraId="540E6B59" w14:textId="77777777" w:rsidR="00750ABC" w:rsidRPr="003A00BE" w:rsidRDefault="00750ABC" w:rsidP="002365FC">
            <w:pPr>
              <w:jc w:val="center"/>
              <w:rPr>
                <w:rFonts w:eastAsia="Times New Roman" w:cstheme="minorHAnsi"/>
                <w:bCs/>
                <w:sz w:val="20"/>
                <w:szCs w:val="20"/>
                <w:lang w:eastAsia="cs-CZ"/>
              </w:rPr>
            </w:pPr>
            <w:r w:rsidRPr="003A00BE">
              <w:rPr>
                <w:rFonts w:eastAsia="Times New Roman" w:cstheme="minorHAnsi"/>
                <w:bCs/>
                <w:sz w:val="20"/>
                <w:szCs w:val="20"/>
                <w:lang w:eastAsia="cs-CZ"/>
              </w:rPr>
              <w:t>CELKEM</w:t>
            </w:r>
          </w:p>
        </w:tc>
        <w:tc>
          <w:tcPr>
            <w:tcW w:w="3827" w:type="dxa"/>
            <w:shd w:val="clear" w:color="auto" w:fill="E5F1FF"/>
            <w:vAlign w:val="bottom"/>
          </w:tcPr>
          <w:p w14:paraId="483923B4" w14:textId="77777777" w:rsidR="00750ABC" w:rsidRPr="003A00BE" w:rsidRDefault="00750ABC" w:rsidP="002365FC">
            <w:pPr>
              <w:jc w:val="right"/>
              <w:rPr>
                <w:rFonts w:ascii="Calibri" w:hAnsi="Calibri" w:cs="Calibri"/>
                <w:color w:val="000000"/>
                <w:sz w:val="20"/>
                <w:szCs w:val="20"/>
              </w:rPr>
            </w:pPr>
            <w:r w:rsidRPr="003A00BE">
              <w:rPr>
                <w:rFonts w:ascii="Calibri" w:hAnsi="Calibri" w:cs="Calibri"/>
                <w:color w:val="000000"/>
                <w:sz w:val="20"/>
                <w:szCs w:val="20"/>
              </w:rPr>
              <w:t>129 742 876,27</w:t>
            </w:r>
          </w:p>
        </w:tc>
        <w:tc>
          <w:tcPr>
            <w:tcW w:w="3827" w:type="dxa"/>
            <w:shd w:val="clear" w:color="auto" w:fill="E5F1FF"/>
            <w:vAlign w:val="bottom"/>
          </w:tcPr>
          <w:p w14:paraId="531B7938" w14:textId="77777777" w:rsidR="00750ABC" w:rsidRPr="003A00BE" w:rsidRDefault="00750ABC" w:rsidP="002365FC">
            <w:pPr>
              <w:jc w:val="right"/>
              <w:rPr>
                <w:rFonts w:ascii="Calibri" w:hAnsi="Calibri" w:cs="Calibri"/>
                <w:color w:val="000000"/>
                <w:sz w:val="20"/>
                <w:szCs w:val="20"/>
              </w:rPr>
            </w:pPr>
            <w:r w:rsidRPr="003A00BE">
              <w:rPr>
                <w:rFonts w:ascii="Calibri" w:hAnsi="Calibri" w:cs="Calibri"/>
                <w:color w:val="000000"/>
                <w:sz w:val="20"/>
                <w:szCs w:val="20"/>
              </w:rPr>
              <w:t>58 146 019,62</w:t>
            </w:r>
          </w:p>
        </w:tc>
      </w:tr>
    </w:tbl>
    <w:p w14:paraId="6C16BF04" w14:textId="77777777" w:rsidR="00750ABC" w:rsidRPr="002C7C06" w:rsidRDefault="00750ABC" w:rsidP="00750ABC">
      <w:pPr>
        <w:pStyle w:val="Default"/>
        <w:rPr>
          <w:sz w:val="20"/>
          <w:szCs w:val="20"/>
        </w:rPr>
      </w:pPr>
      <w:r w:rsidRPr="002C7C06">
        <w:rPr>
          <w:b/>
          <w:sz w:val="20"/>
          <w:szCs w:val="20"/>
        </w:rPr>
        <w:t>Zdroj:</w:t>
      </w:r>
      <w:r w:rsidRPr="002C7C06">
        <w:rPr>
          <w:sz w:val="20"/>
          <w:szCs w:val="20"/>
        </w:rPr>
        <w:t xml:space="preserve"> Ministerstvo dopravy</w:t>
      </w:r>
      <w:r w:rsidR="00A30EA9" w:rsidRPr="002C7C06">
        <w:rPr>
          <w:sz w:val="20"/>
          <w:szCs w:val="20"/>
        </w:rPr>
        <w:t>.</w:t>
      </w:r>
    </w:p>
    <w:p w14:paraId="3FAAE8BA" w14:textId="77777777" w:rsidR="00750ABC" w:rsidRPr="002C7C06" w:rsidRDefault="00750ABC" w:rsidP="00750ABC">
      <w:pPr>
        <w:pStyle w:val="Default"/>
        <w:rPr>
          <w:sz w:val="20"/>
          <w:szCs w:val="20"/>
        </w:rPr>
      </w:pPr>
    </w:p>
    <w:p w14:paraId="1AAEED2E" w14:textId="77777777" w:rsidR="00750ABC" w:rsidRPr="002C7C06" w:rsidRDefault="00750ABC" w:rsidP="00750ABC">
      <w:pPr>
        <w:pStyle w:val="Default"/>
        <w:rPr>
          <w:sz w:val="20"/>
          <w:szCs w:val="20"/>
        </w:rPr>
      </w:pPr>
    </w:p>
    <w:p w14:paraId="43CDCDBC" w14:textId="77777777" w:rsidR="003B6775" w:rsidRDefault="00750ABC" w:rsidP="00D6098B">
      <w:pPr>
        <w:pStyle w:val="Titulek"/>
        <w:keepNext/>
        <w:spacing w:after="0"/>
        <w:ind w:right="-2"/>
        <w:rPr>
          <w:rFonts w:cstheme="minorHAnsi"/>
          <w:b/>
          <w:bCs/>
          <w:i w:val="0"/>
          <w:iCs w:val="0"/>
          <w:color w:val="auto"/>
          <w:sz w:val="24"/>
          <w:szCs w:val="24"/>
        </w:rPr>
      </w:pPr>
      <w:r>
        <w:rPr>
          <w:rFonts w:cstheme="minorHAnsi"/>
          <w:b/>
          <w:bCs/>
          <w:i w:val="0"/>
          <w:iCs w:val="0"/>
          <w:color w:val="auto"/>
          <w:sz w:val="24"/>
          <w:szCs w:val="24"/>
        </w:rPr>
        <w:t xml:space="preserve">Příspěvek MD poskytnutý </w:t>
      </w:r>
      <w:r w:rsidR="003B6775" w:rsidRPr="003B6775">
        <w:rPr>
          <w:rFonts w:cstheme="minorHAnsi"/>
          <w:b/>
          <w:bCs/>
          <w:i w:val="0"/>
          <w:iCs w:val="0"/>
          <w:color w:val="auto"/>
          <w:sz w:val="24"/>
          <w:szCs w:val="24"/>
        </w:rPr>
        <w:t xml:space="preserve">Centru služeb pro silniční dopravu </w:t>
      </w:r>
      <w:r>
        <w:rPr>
          <w:rFonts w:cstheme="minorHAnsi"/>
          <w:b/>
          <w:bCs/>
          <w:i w:val="0"/>
          <w:iCs w:val="0"/>
          <w:color w:val="auto"/>
          <w:sz w:val="24"/>
          <w:szCs w:val="24"/>
        </w:rPr>
        <w:t>na zajištění BESIP</w:t>
      </w:r>
      <w:r w:rsidRPr="00E25029">
        <w:rPr>
          <w:rFonts w:cstheme="minorHAnsi"/>
          <w:b/>
          <w:bCs/>
          <w:i w:val="0"/>
          <w:iCs w:val="0"/>
          <w:color w:val="auto"/>
          <w:sz w:val="24"/>
          <w:szCs w:val="24"/>
        </w:rPr>
        <w:t xml:space="preserve"> </w:t>
      </w:r>
    </w:p>
    <w:p w14:paraId="495A7ED6" w14:textId="77777777" w:rsidR="00750ABC" w:rsidRDefault="00750ABC" w:rsidP="002C7C06">
      <w:pPr>
        <w:pStyle w:val="Titulek"/>
        <w:keepNext/>
        <w:tabs>
          <w:tab w:val="right" w:pos="9070"/>
        </w:tabs>
        <w:spacing w:after="0"/>
        <w:ind w:right="-2"/>
        <w:rPr>
          <w:rFonts w:cstheme="minorHAnsi"/>
          <w:b/>
          <w:bCs/>
          <w:i w:val="0"/>
          <w:iCs w:val="0"/>
          <w:color w:val="auto"/>
          <w:sz w:val="24"/>
          <w:szCs w:val="24"/>
        </w:rPr>
      </w:pPr>
      <w:r w:rsidRPr="00E25029">
        <w:rPr>
          <w:rFonts w:cstheme="minorHAnsi"/>
          <w:b/>
          <w:bCs/>
          <w:i w:val="0"/>
          <w:iCs w:val="0"/>
          <w:color w:val="auto"/>
          <w:sz w:val="24"/>
          <w:szCs w:val="24"/>
        </w:rPr>
        <w:t>v letech 2017</w:t>
      </w:r>
      <w:r w:rsidR="00C1354D">
        <w:rPr>
          <w:rFonts w:cstheme="minorHAnsi"/>
          <w:b/>
          <w:bCs/>
          <w:i w:val="0"/>
          <w:iCs w:val="0"/>
          <w:color w:val="auto"/>
          <w:sz w:val="24"/>
          <w:szCs w:val="24"/>
        </w:rPr>
        <w:t>–</w:t>
      </w:r>
      <w:r w:rsidRPr="00E25029">
        <w:rPr>
          <w:rFonts w:cstheme="minorHAnsi"/>
          <w:b/>
          <w:bCs/>
          <w:i w:val="0"/>
          <w:iCs w:val="0"/>
          <w:color w:val="auto"/>
          <w:sz w:val="24"/>
          <w:szCs w:val="24"/>
        </w:rPr>
        <w:t>2022</w:t>
      </w:r>
      <w:r>
        <w:rPr>
          <w:rFonts w:cstheme="minorHAnsi"/>
          <w:b/>
          <w:bCs/>
          <w:i w:val="0"/>
          <w:iCs w:val="0"/>
          <w:color w:val="auto"/>
          <w:sz w:val="24"/>
          <w:szCs w:val="24"/>
        </w:rPr>
        <w:t xml:space="preserve">, včetně jeho čerpání </w:t>
      </w:r>
      <w:r w:rsidR="00D6098B">
        <w:rPr>
          <w:rFonts w:cstheme="minorHAnsi"/>
          <w:b/>
          <w:bCs/>
          <w:i w:val="0"/>
          <w:iCs w:val="0"/>
          <w:color w:val="auto"/>
          <w:sz w:val="24"/>
          <w:szCs w:val="24"/>
        </w:rPr>
        <w:tab/>
      </w:r>
      <w:r>
        <w:rPr>
          <w:rFonts w:cstheme="minorHAnsi"/>
          <w:b/>
          <w:bCs/>
          <w:i w:val="0"/>
          <w:iCs w:val="0"/>
          <w:color w:val="auto"/>
          <w:sz w:val="24"/>
          <w:szCs w:val="24"/>
        </w:rPr>
        <w:t>(v Kč)</w:t>
      </w:r>
    </w:p>
    <w:tbl>
      <w:tblPr>
        <w:tblStyle w:val="Mkatabulky"/>
        <w:tblW w:w="0" w:type="auto"/>
        <w:tblLook w:val="04A0" w:firstRow="1" w:lastRow="0" w:firstColumn="1" w:lastColumn="0" w:noHBand="0" w:noVBand="1"/>
      </w:tblPr>
      <w:tblGrid>
        <w:gridCol w:w="1378"/>
        <w:gridCol w:w="2560"/>
        <w:gridCol w:w="2561"/>
        <w:gridCol w:w="2561"/>
      </w:tblGrid>
      <w:tr w:rsidR="00750ABC" w:rsidRPr="00E25029" w14:paraId="66B250C7" w14:textId="77777777" w:rsidTr="002365FC">
        <w:tc>
          <w:tcPr>
            <w:tcW w:w="1378" w:type="dxa"/>
            <w:shd w:val="clear" w:color="auto" w:fill="E5F1FF"/>
            <w:vAlign w:val="center"/>
          </w:tcPr>
          <w:p w14:paraId="2FC0B3E8" w14:textId="77777777" w:rsidR="00750ABC" w:rsidRPr="00AF3F72" w:rsidRDefault="00750ABC" w:rsidP="002365FC">
            <w:pPr>
              <w:jc w:val="center"/>
              <w:rPr>
                <w:rFonts w:eastAsia="Times New Roman" w:cstheme="minorHAnsi"/>
                <w:b/>
                <w:bCs/>
                <w:sz w:val="20"/>
                <w:szCs w:val="20"/>
                <w:lang w:eastAsia="cs-CZ"/>
              </w:rPr>
            </w:pPr>
            <w:r w:rsidRPr="00AF3F72">
              <w:rPr>
                <w:rFonts w:eastAsia="Times New Roman" w:cstheme="minorHAnsi"/>
                <w:b/>
                <w:bCs/>
                <w:sz w:val="20"/>
                <w:szCs w:val="20"/>
                <w:lang w:eastAsia="cs-CZ"/>
              </w:rPr>
              <w:t>Rok</w:t>
            </w:r>
          </w:p>
        </w:tc>
        <w:tc>
          <w:tcPr>
            <w:tcW w:w="2560" w:type="dxa"/>
            <w:shd w:val="clear" w:color="auto" w:fill="E5F1FF"/>
            <w:vAlign w:val="center"/>
          </w:tcPr>
          <w:p w14:paraId="0EC28ECC" w14:textId="77777777" w:rsidR="00750ABC" w:rsidRPr="00AF3F72" w:rsidRDefault="00750ABC" w:rsidP="002365FC">
            <w:pPr>
              <w:jc w:val="center"/>
              <w:rPr>
                <w:rFonts w:eastAsia="Times New Roman" w:cstheme="minorHAnsi"/>
                <w:b/>
                <w:bCs/>
                <w:sz w:val="20"/>
                <w:szCs w:val="20"/>
                <w:lang w:eastAsia="cs-CZ"/>
              </w:rPr>
            </w:pPr>
            <w:r w:rsidRPr="00AF3F72">
              <w:rPr>
                <w:rFonts w:eastAsia="Times New Roman" w:cstheme="minorHAnsi"/>
                <w:b/>
                <w:bCs/>
                <w:sz w:val="20"/>
                <w:szCs w:val="20"/>
                <w:lang w:eastAsia="cs-CZ"/>
              </w:rPr>
              <w:t>Příspěvek zřizovatele</w:t>
            </w:r>
          </w:p>
        </w:tc>
        <w:tc>
          <w:tcPr>
            <w:tcW w:w="2561" w:type="dxa"/>
            <w:shd w:val="clear" w:color="auto" w:fill="E5F1FF"/>
            <w:vAlign w:val="center"/>
          </w:tcPr>
          <w:p w14:paraId="58ECCE79" w14:textId="77777777" w:rsidR="00750ABC" w:rsidRPr="00AF3F72" w:rsidRDefault="00750ABC" w:rsidP="002365FC">
            <w:pPr>
              <w:jc w:val="center"/>
              <w:rPr>
                <w:rFonts w:eastAsia="Times New Roman" w:cstheme="minorHAnsi"/>
                <w:b/>
                <w:bCs/>
                <w:sz w:val="20"/>
                <w:szCs w:val="20"/>
                <w:lang w:eastAsia="cs-CZ"/>
              </w:rPr>
            </w:pPr>
            <w:r w:rsidRPr="00AF3F72">
              <w:rPr>
                <w:rFonts w:eastAsia="Times New Roman" w:cstheme="minorHAnsi"/>
                <w:b/>
                <w:bCs/>
                <w:sz w:val="20"/>
                <w:szCs w:val="20"/>
                <w:lang w:eastAsia="cs-CZ"/>
              </w:rPr>
              <w:t>Čerpání CSPSD celkem</w:t>
            </w:r>
          </w:p>
        </w:tc>
        <w:tc>
          <w:tcPr>
            <w:tcW w:w="2561" w:type="dxa"/>
            <w:shd w:val="clear" w:color="auto" w:fill="E5F1FF"/>
            <w:vAlign w:val="center"/>
          </w:tcPr>
          <w:p w14:paraId="0FB9D1CD" w14:textId="77777777" w:rsidR="00750ABC" w:rsidRPr="00AF3F72" w:rsidRDefault="00D6098B" w:rsidP="002C7C06">
            <w:pPr>
              <w:ind w:left="-89" w:right="-112"/>
              <w:jc w:val="center"/>
              <w:rPr>
                <w:rFonts w:eastAsia="Times New Roman" w:cstheme="minorHAnsi"/>
                <w:b/>
                <w:bCs/>
                <w:sz w:val="20"/>
                <w:szCs w:val="20"/>
                <w:lang w:eastAsia="cs-CZ"/>
              </w:rPr>
            </w:pPr>
            <w:r w:rsidRPr="00D6098B">
              <w:rPr>
                <w:rFonts w:eastAsia="Times New Roman" w:cstheme="minorHAnsi"/>
                <w:b/>
                <w:bCs/>
                <w:sz w:val="20"/>
                <w:szCs w:val="20"/>
                <w:lang w:eastAsia="cs-CZ"/>
              </w:rPr>
              <w:t>–</w:t>
            </w:r>
            <w:r>
              <w:rPr>
                <w:rFonts w:eastAsia="Times New Roman" w:cstheme="minorHAnsi"/>
                <w:b/>
                <w:bCs/>
                <w:sz w:val="20"/>
                <w:szCs w:val="20"/>
                <w:lang w:eastAsia="cs-CZ"/>
              </w:rPr>
              <w:t xml:space="preserve"> z</w:t>
            </w:r>
            <w:r w:rsidR="00BB725C">
              <w:rPr>
                <w:rFonts w:eastAsia="Times New Roman" w:cstheme="minorHAnsi"/>
                <w:b/>
                <w:bCs/>
                <w:sz w:val="20"/>
                <w:szCs w:val="20"/>
                <w:lang w:eastAsia="cs-CZ"/>
              </w:rPr>
              <w:t xml:space="preserve"> toho</w:t>
            </w:r>
            <w:r w:rsidR="00750ABC" w:rsidRPr="00AF3F72">
              <w:rPr>
                <w:rFonts w:eastAsia="Times New Roman" w:cstheme="minorHAnsi"/>
                <w:b/>
                <w:bCs/>
                <w:sz w:val="20"/>
                <w:szCs w:val="20"/>
                <w:lang w:eastAsia="cs-CZ"/>
              </w:rPr>
              <w:t xml:space="preserve"> prostředky na </w:t>
            </w:r>
            <w:r w:rsidR="00750ABC">
              <w:rPr>
                <w:rFonts w:eastAsia="Times New Roman" w:cstheme="minorHAnsi"/>
                <w:b/>
                <w:bCs/>
                <w:sz w:val="20"/>
                <w:szCs w:val="20"/>
                <w:lang w:eastAsia="cs-CZ"/>
              </w:rPr>
              <w:t xml:space="preserve">služby </w:t>
            </w:r>
            <w:r w:rsidR="00750ABC" w:rsidRPr="00AF3F72">
              <w:rPr>
                <w:rFonts w:eastAsia="Times New Roman" w:cstheme="minorHAnsi"/>
                <w:b/>
                <w:bCs/>
                <w:sz w:val="20"/>
                <w:szCs w:val="20"/>
                <w:lang w:eastAsia="cs-CZ"/>
              </w:rPr>
              <w:t>krajsk</w:t>
            </w:r>
            <w:r w:rsidR="00750ABC">
              <w:rPr>
                <w:rFonts w:eastAsia="Times New Roman" w:cstheme="minorHAnsi"/>
                <w:b/>
                <w:bCs/>
                <w:sz w:val="20"/>
                <w:szCs w:val="20"/>
                <w:lang w:eastAsia="cs-CZ"/>
              </w:rPr>
              <w:t>ých</w:t>
            </w:r>
            <w:r w:rsidR="00750ABC" w:rsidRPr="00AF3F72">
              <w:rPr>
                <w:rFonts w:eastAsia="Times New Roman" w:cstheme="minorHAnsi"/>
                <w:b/>
                <w:bCs/>
                <w:sz w:val="20"/>
                <w:szCs w:val="20"/>
                <w:lang w:eastAsia="cs-CZ"/>
              </w:rPr>
              <w:t xml:space="preserve"> koordinátor</w:t>
            </w:r>
            <w:r w:rsidR="00750ABC">
              <w:rPr>
                <w:rFonts w:eastAsia="Times New Roman" w:cstheme="minorHAnsi"/>
                <w:b/>
                <w:bCs/>
                <w:sz w:val="20"/>
                <w:szCs w:val="20"/>
                <w:lang w:eastAsia="cs-CZ"/>
              </w:rPr>
              <w:t>ů</w:t>
            </w:r>
          </w:p>
        </w:tc>
      </w:tr>
      <w:tr w:rsidR="00750ABC" w:rsidRPr="00E25029" w14:paraId="3E6A4551" w14:textId="77777777" w:rsidTr="002365FC">
        <w:tc>
          <w:tcPr>
            <w:tcW w:w="1378" w:type="dxa"/>
            <w:vAlign w:val="center"/>
          </w:tcPr>
          <w:p w14:paraId="61D1E20B" w14:textId="77777777" w:rsidR="00750ABC" w:rsidRPr="00E25029" w:rsidRDefault="00750ABC" w:rsidP="002365FC">
            <w:pPr>
              <w:jc w:val="center"/>
              <w:rPr>
                <w:rFonts w:eastAsia="Times New Roman" w:cstheme="minorHAnsi"/>
                <w:bCs/>
                <w:sz w:val="20"/>
                <w:szCs w:val="20"/>
                <w:lang w:eastAsia="cs-CZ"/>
              </w:rPr>
            </w:pPr>
            <w:r w:rsidRPr="00E25029">
              <w:rPr>
                <w:rFonts w:eastAsia="Times New Roman" w:cstheme="minorHAnsi"/>
                <w:bCs/>
                <w:sz w:val="20"/>
                <w:szCs w:val="20"/>
                <w:lang w:eastAsia="cs-CZ"/>
              </w:rPr>
              <w:t>2017</w:t>
            </w:r>
          </w:p>
        </w:tc>
        <w:tc>
          <w:tcPr>
            <w:tcW w:w="2560" w:type="dxa"/>
          </w:tcPr>
          <w:p w14:paraId="4BD9B496" w14:textId="77777777" w:rsidR="00750ABC" w:rsidRPr="00E25029" w:rsidRDefault="00750ABC" w:rsidP="002365FC">
            <w:pPr>
              <w:jc w:val="right"/>
              <w:rPr>
                <w:rFonts w:eastAsia="Times New Roman" w:cstheme="minorHAnsi"/>
                <w:bCs/>
                <w:sz w:val="20"/>
                <w:szCs w:val="20"/>
                <w:lang w:eastAsia="cs-CZ"/>
              </w:rPr>
            </w:pPr>
            <w:r>
              <w:rPr>
                <w:rFonts w:eastAsia="Times New Roman" w:cstheme="minorHAnsi"/>
                <w:bCs/>
                <w:sz w:val="20"/>
                <w:szCs w:val="20"/>
                <w:lang w:eastAsia="cs-CZ"/>
              </w:rPr>
              <w:t>35 521 142</w:t>
            </w:r>
          </w:p>
        </w:tc>
        <w:tc>
          <w:tcPr>
            <w:tcW w:w="2561" w:type="dxa"/>
          </w:tcPr>
          <w:p w14:paraId="79F1AA3E" w14:textId="77777777" w:rsidR="00750ABC" w:rsidRPr="00E25029" w:rsidRDefault="00750ABC" w:rsidP="0096611E">
            <w:pPr>
              <w:ind w:right="163"/>
              <w:jc w:val="right"/>
              <w:rPr>
                <w:rFonts w:eastAsia="Times New Roman" w:cstheme="minorHAnsi"/>
                <w:bCs/>
                <w:sz w:val="20"/>
                <w:szCs w:val="20"/>
                <w:lang w:eastAsia="cs-CZ"/>
              </w:rPr>
            </w:pPr>
            <w:r>
              <w:rPr>
                <w:rFonts w:eastAsia="Times New Roman" w:cstheme="minorHAnsi"/>
                <w:bCs/>
                <w:sz w:val="20"/>
                <w:szCs w:val="20"/>
                <w:lang w:eastAsia="cs-CZ"/>
              </w:rPr>
              <w:t>35 520 778</w:t>
            </w:r>
          </w:p>
        </w:tc>
        <w:tc>
          <w:tcPr>
            <w:tcW w:w="2561" w:type="dxa"/>
          </w:tcPr>
          <w:p w14:paraId="471CFEDD" w14:textId="77777777" w:rsidR="00750ABC" w:rsidRPr="001D664E" w:rsidRDefault="00750ABC" w:rsidP="002365FC">
            <w:pPr>
              <w:jc w:val="right"/>
              <w:rPr>
                <w:rFonts w:eastAsia="Times New Roman" w:cstheme="minorHAnsi"/>
                <w:bCs/>
                <w:sz w:val="20"/>
                <w:szCs w:val="20"/>
                <w:lang w:eastAsia="cs-CZ"/>
              </w:rPr>
            </w:pPr>
            <w:r w:rsidRPr="001D664E">
              <w:rPr>
                <w:rFonts w:eastAsia="Times New Roman" w:cstheme="minorHAnsi"/>
                <w:bCs/>
                <w:sz w:val="20"/>
                <w:szCs w:val="20"/>
                <w:lang w:eastAsia="cs-CZ"/>
              </w:rPr>
              <w:t>9 170 27</w:t>
            </w:r>
            <w:r>
              <w:rPr>
                <w:rFonts w:eastAsia="Times New Roman" w:cstheme="minorHAnsi"/>
                <w:bCs/>
                <w:sz w:val="20"/>
                <w:szCs w:val="20"/>
                <w:lang w:eastAsia="cs-CZ"/>
              </w:rPr>
              <w:t>6</w:t>
            </w:r>
          </w:p>
        </w:tc>
      </w:tr>
      <w:tr w:rsidR="00750ABC" w:rsidRPr="00E25029" w14:paraId="2B700FB9" w14:textId="77777777" w:rsidTr="002365FC">
        <w:tc>
          <w:tcPr>
            <w:tcW w:w="1378" w:type="dxa"/>
            <w:vAlign w:val="center"/>
          </w:tcPr>
          <w:p w14:paraId="0DF216E3" w14:textId="77777777" w:rsidR="00750ABC" w:rsidRPr="00E25029" w:rsidRDefault="00750ABC" w:rsidP="002365FC">
            <w:pPr>
              <w:jc w:val="center"/>
              <w:rPr>
                <w:rFonts w:eastAsia="Times New Roman" w:cstheme="minorHAnsi"/>
                <w:bCs/>
                <w:sz w:val="20"/>
                <w:szCs w:val="20"/>
                <w:lang w:eastAsia="cs-CZ"/>
              </w:rPr>
            </w:pPr>
            <w:r w:rsidRPr="00E25029">
              <w:rPr>
                <w:rFonts w:eastAsia="Times New Roman" w:cstheme="minorHAnsi"/>
                <w:bCs/>
                <w:sz w:val="20"/>
                <w:szCs w:val="20"/>
                <w:lang w:eastAsia="cs-CZ"/>
              </w:rPr>
              <w:t>2018</w:t>
            </w:r>
          </w:p>
        </w:tc>
        <w:tc>
          <w:tcPr>
            <w:tcW w:w="2560" w:type="dxa"/>
          </w:tcPr>
          <w:p w14:paraId="1B64A981" w14:textId="77777777" w:rsidR="00750ABC" w:rsidRPr="00781574" w:rsidRDefault="00750ABC" w:rsidP="002365FC">
            <w:pPr>
              <w:jc w:val="right"/>
              <w:rPr>
                <w:rFonts w:eastAsia="Times New Roman" w:cstheme="minorHAnsi"/>
                <w:bCs/>
                <w:sz w:val="20"/>
                <w:szCs w:val="20"/>
                <w:lang w:eastAsia="cs-CZ"/>
              </w:rPr>
            </w:pPr>
            <w:r w:rsidRPr="00781574">
              <w:rPr>
                <w:rFonts w:eastAsia="Times New Roman" w:cstheme="minorHAnsi"/>
                <w:bCs/>
                <w:sz w:val="20"/>
                <w:szCs w:val="20"/>
                <w:lang w:eastAsia="cs-CZ"/>
              </w:rPr>
              <w:t>36 321 142</w:t>
            </w:r>
          </w:p>
        </w:tc>
        <w:tc>
          <w:tcPr>
            <w:tcW w:w="2561" w:type="dxa"/>
          </w:tcPr>
          <w:p w14:paraId="7FC785B0" w14:textId="77777777" w:rsidR="00750ABC" w:rsidRPr="00781574" w:rsidRDefault="00750ABC" w:rsidP="0096611E">
            <w:pPr>
              <w:ind w:right="163"/>
              <w:jc w:val="right"/>
              <w:rPr>
                <w:rFonts w:eastAsia="Times New Roman" w:cstheme="minorHAnsi"/>
                <w:bCs/>
                <w:sz w:val="20"/>
                <w:szCs w:val="20"/>
                <w:lang w:eastAsia="cs-CZ"/>
              </w:rPr>
            </w:pPr>
            <w:r w:rsidRPr="00781574">
              <w:rPr>
                <w:rFonts w:eastAsia="Times New Roman" w:cstheme="minorHAnsi"/>
                <w:bCs/>
                <w:sz w:val="20"/>
                <w:szCs w:val="20"/>
                <w:lang w:eastAsia="cs-CZ"/>
              </w:rPr>
              <w:t>33 843 909</w:t>
            </w:r>
          </w:p>
        </w:tc>
        <w:tc>
          <w:tcPr>
            <w:tcW w:w="2561" w:type="dxa"/>
          </w:tcPr>
          <w:p w14:paraId="2460AA40" w14:textId="77777777" w:rsidR="00750ABC" w:rsidRPr="001D664E" w:rsidRDefault="00750ABC" w:rsidP="002365FC">
            <w:pPr>
              <w:jc w:val="right"/>
              <w:rPr>
                <w:rFonts w:eastAsia="Times New Roman" w:cstheme="minorHAnsi"/>
                <w:bCs/>
                <w:sz w:val="20"/>
                <w:szCs w:val="20"/>
                <w:lang w:eastAsia="cs-CZ"/>
              </w:rPr>
            </w:pPr>
            <w:r w:rsidRPr="001D664E">
              <w:rPr>
                <w:rFonts w:eastAsia="Times New Roman" w:cstheme="minorHAnsi"/>
                <w:bCs/>
                <w:sz w:val="20"/>
                <w:szCs w:val="20"/>
                <w:lang w:eastAsia="cs-CZ"/>
              </w:rPr>
              <w:t>9 863 31</w:t>
            </w:r>
            <w:r>
              <w:rPr>
                <w:rFonts w:eastAsia="Times New Roman" w:cstheme="minorHAnsi"/>
                <w:bCs/>
                <w:sz w:val="20"/>
                <w:szCs w:val="20"/>
                <w:lang w:eastAsia="cs-CZ"/>
              </w:rPr>
              <w:t>4</w:t>
            </w:r>
          </w:p>
        </w:tc>
      </w:tr>
      <w:tr w:rsidR="00750ABC" w:rsidRPr="00E25029" w14:paraId="0DD6C989" w14:textId="77777777" w:rsidTr="002365FC">
        <w:tc>
          <w:tcPr>
            <w:tcW w:w="1378" w:type="dxa"/>
            <w:vAlign w:val="center"/>
          </w:tcPr>
          <w:p w14:paraId="05180813" w14:textId="77777777" w:rsidR="00750ABC" w:rsidRPr="00E25029" w:rsidRDefault="00750ABC" w:rsidP="002365FC">
            <w:pPr>
              <w:jc w:val="center"/>
              <w:rPr>
                <w:rFonts w:eastAsia="Times New Roman" w:cstheme="minorHAnsi"/>
                <w:bCs/>
                <w:sz w:val="20"/>
                <w:szCs w:val="20"/>
                <w:lang w:eastAsia="cs-CZ"/>
              </w:rPr>
            </w:pPr>
            <w:r w:rsidRPr="00E25029">
              <w:rPr>
                <w:rFonts w:eastAsia="Times New Roman" w:cstheme="minorHAnsi"/>
                <w:bCs/>
                <w:sz w:val="20"/>
                <w:szCs w:val="20"/>
                <w:lang w:eastAsia="cs-CZ"/>
              </w:rPr>
              <w:t>2019</w:t>
            </w:r>
          </w:p>
        </w:tc>
        <w:tc>
          <w:tcPr>
            <w:tcW w:w="2560" w:type="dxa"/>
          </w:tcPr>
          <w:p w14:paraId="05FA688B" w14:textId="77777777" w:rsidR="00750ABC" w:rsidRPr="00781574" w:rsidRDefault="00750ABC" w:rsidP="002365FC">
            <w:pPr>
              <w:jc w:val="right"/>
              <w:rPr>
                <w:rFonts w:eastAsia="Times New Roman" w:cstheme="minorHAnsi"/>
                <w:bCs/>
                <w:sz w:val="20"/>
                <w:szCs w:val="20"/>
                <w:lang w:eastAsia="cs-CZ"/>
              </w:rPr>
            </w:pPr>
            <w:r w:rsidRPr="00781574">
              <w:rPr>
                <w:rFonts w:eastAsia="Times New Roman" w:cstheme="minorHAnsi"/>
                <w:bCs/>
                <w:sz w:val="20"/>
                <w:szCs w:val="20"/>
                <w:lang w:eastAsia="cs-CZ"/>
              </w:rPr>
              <w:t>37 000 000</w:t>
            </w:r>
          </w:p>
        </w:tc>
        <w:tc>
          <w:tcPr>
            <w:tcW w:w="2561" w:type="dxa"/>
          </w:tcPr>
          <w:p w14:paraId="72895357" w14:textId="77777777" w:rsidR="00750ABC" w:rsidRPr="00781574" w:rsidRDefault="00750ABC" w:rsidP="0096611E">
            <w:pPr>
              <w:ind w:right="163"/>
              <w:jc w:val="right"/>
              <w:rPr>
                <w:rFonts w:eastAsia="Times New Roman" w:cstheme="minorHAnsi"/>
                <w:bCs/>
                <w:sz w:val="20"/>
                <w:szCs w:val="20"/>
                <w:lang w:eastAsia="cs-CZ"/>
              </w:rPr>
            </w:pPr>
            <w:r w:rsidRPr="00781574">
              <w:rPr>
                <w:rFonts w:eastAsia="Times New Roman" w:cstheme="minorHAnsi"/>
                <w:bCs/>
                <w:sz w:val="20"/>
                <w:szCs w:val="20"/>
                <w:lang w:eastAsia="cs-CZ"/>
              </w:rPr>
              <w:t>33 832 087</w:t>
            </w:r>
          </w:p>
        </w:tc>
        <w:tc>
          <w:tcPr>
            <w:tcW w:w="2561" w:type="dxa"/>
          </w:tcPr>
          <w:p w14:paraId="194F2F50" w14:textId="77777777" w:rsidR="00750ABC" w:rsidRPr="001D664E" w:rsidRDefault="00750ABC" w:rsidP="002365FC">
            <w:pPr>
              <w:jc w:val="right"/>
              <w:rPr>
                <w:rFonts w:eastAsia="Times New Roman" w:cstheme="minorHAnsi"/>
                <w:bCs/>
                <w:sz w:val="20"/>
                <w:szCs w:val="20"/>
                <w:lang w:eastAsia="cs-CZ"/>
              </w:rPr>
            </w:pPr>
            <w:r w:rsidRPr="001D664E">
              <w:rPr>
                <w:rFonts w:eastAsia="Times New Roman" w:cstheme="minorHAnsi"/>
                <w:bCs/>
                <w:sz w:val="20"/>
                <w:szCs w:val="20"/>
                <w:lang w:eastAsia="cs-CZ"/>
              </w:rPr>
              <w:t>9 748 0</w:t>
            </w:r>
            <w:r>
              <w:rPr>
                <w:rFonts w:eastAsia="Times New Roman" w:cstheme="minorHAnsi"/>
                <w:bCs/>
                <w:sz w:val="20"/>
                <w:szCs w:val="20"/>
                <w:lang w:eastAsia="cs-CZ"/>
              </w:rPr>
              <w:t>90</w:t>
            </w:r>
          </w:p>
        </w:tc>
      </w:tr>
      <w:tr w:rsidR="00750ABC" w:rsidRPr="00E25029" w14:paraId="76893C46" w14:textId="77777777" w:rsidTr="002365FC">
        <w:tc>
          <w:tcPr>
            <w:tcW w:w="1378" w:type="dxa"/>
            <w:vAlign w:val="center"/>
          </w:tcPr>
          <w:p w14:paraId="03FE4C76" w14:textId="77777777" w:rsidR="00750ABC" w:rsidRPr="00E25029" w:rsidRDefault="00750ABC" w:rsidP="002365FC">
            <w:pPr>
              <w:jc w:val="center"/>
              <w:rPr>
                <w:rFonts w:eastAsia="Times New Roman" w:cstheme="minorHAnsi"/>
                <w:bCs/>
                <w:sz w:val="20"/>
                <w:szCs w:val="20"/>
                <w:lang w:eastAsia="cs-CZ"/>
              </w:rPr>
            </w:pPr>
            <w:r w:rsidRPr="00E25029">
              <w:rPr>
                <w:rFonts w:eastAsia="Times New Roman" w:cstheme="minorHAnsi"/>
                <w:bCs/>
                <w:sz w:val="20"/>
                <w:szCs w:val="20"/>
                <w:lang w:eastAsia="cs-CZ"/>
              </w:rPr>
              <w:t>2020</w:t>
            </w:r>
          </w:p>
        </w:tc>
        <w:tc>
          <w:tcPr>
            <w:tcW w:w="2560" w:type="dxa"/>
          </w:tcPr>
          <w:p w14:paraId="4DC80D7A" w14:textId="77777777" w:rsidR="00750ABC" w:rsidRPr="00781574" w:rsidRDefault="00750ABC" w:rsidP="002365FC">
            <w:pPr>
              <w:jc w:val="right"/>
              <w:rPr>
                <w:rFonts w:eastAsia="Times New Roman" w:cstheme="minorHAnsi"/>
                <w:bCs/>
                <w:sz w:val="20"/>
                <w:szCs w:val="20"/>
                <w:lang w:eastAsia="cs-CZ"/>
              </w:rPr>
            </w:pPr>
            <w:r w:rsidRPr="00781574">
              <w:rPr>
                <w:rFonts w:eastAsia="Times New Roman" w:cstheme="minorHAnsi"/>
                <w:bCs/>
                <w:sz w:val="20"/>
                <w:szCs w:val="20"/>
                <w:lang w:eastAsia="cs-CZ"/>
              </w:rPr>
              <w:t>27 000 000</w:t>
            </w:r>
          </w:p>
        </w:tc>
        <w:tc>
          <w:tcPr>
            <w:tcW w:w="2561" w:type="dxa"/>
          </w:tcPr>
          <w:p w14:paraId="0EB9ED85" w14:textId="77777777" w:rsidR="00750ABC" w:rsidRPr="00781574" w:rsidRDefault="00750ABC" w:rsidP="0096611E">
            <w:pPr>
              <w:ind w:right="163"/>
              <w:jc w:val="right"/>
              <w:rPr>
                <w:rFonts w:eastAsia="Times New Roman" w:cstheme="minorHAnsi"/>
                <w:bCs/>
                <w:sz w:val="20"/>
                <w:szCs w:val="20"/>
                <w:lang w:eastAsia="cs-CZ"/>
              </w:rPr>
            </w:pPr>
            <w:r w:rsidRPr="00781574">
              <w:rPr>
                <w:rFonts w:eastAsia="Times New Roman" w:cstheme="minorHAnsi"/>
                <w:bCs/>
                <w:sz w:val="20"/>
                <w:szCs w:val="20"/>
                <w:lang w:eastAsia="cs-CZ"/>
              </w:rPr>
              <w:t>23 519 561</w:t>
            </w:r>
          </w:p>
        </w:tc>
        <w:tc>
          <w:tcPr>
            <w:tcW w:w="2561" w:type="dxa"/>
          </w:tcPr>
          <w:p w14:paraId="0DD9C5E3" w14:textId="77777777" w:rsidR="00750ABC" w:rsidRPr="001D664E" w:rsidRDefault="00750ABC" w:rsidP="002365FC">
            <w:pPr>
              <w:jc w:val="right"/>
              <w:rPr>
                <w:rFonts w:eastAsia="Times New Roman" w:cstheme="minorHAnsi"/>
                <w:bCs/>
                <w:sz w:val="20"/>
                <w:szCs w:val="20"/>
                <w:lang w:eastAsia="cs-CZ"/>
              </w:rPr>
            </w:pPr>
            <w:r w:rsidRPr="001D664E">
              <w:rPr>
                <w:rFonts w:eastAsia="Times New Roman" w:cstheme="minorHAnsi"/>
                <w:bCs/>
                <w:sz w:val="20"/>
                <w:szCs w:val="20"/>
                <w:lang w:eastAsia="cs-CZ"/>
              </w:rPr>
              <w:t>8 674 39</w:t>
            </w:r>
            <w:r>
              <w:rPr>
                <w:rFonts w:eastAsia="Times New Roman" w:cstheme="minorHAnsi"/>
                <w:bCs/>
                <w:sz w:val="20"/>
                <w:szCs w:val="20"/>
                <w:lang w:eastAsia="cs-CZ"/>
              </w:rPr>
              <w:t>1</w:t>
            </w:r>
          </w:p>
        </w:tc>
      </w:tr>
      <w:tr w:rsidR="00750ABC" w:rsidRPr="00E25029" w14:paraId="689D9D21" w14:textId="77777777" w:rsidTr="002365FC">
        <w:tc>
          <w:tcPr>
            <w:tcW w:w="1378" w:type="dxa"/>
            <w:vAlign w:val="center"/>
          </w:tcPr>
          <w:p w14:paraId="09DA4D15" w14:textId="77777777" w:rsidR="00750ABC" w:rsidRPr="00E25029" w:rsidRDefault="00750ABC" w:rsidP="002365FC">
            <w:pPr>
              <w:jc w:val="center"/>
              <w:rPr>
                <w:rFonts w:eastAsia="Times New Roman" w:cstheme="minorHAnsi"/>
                <w:bCs/>
                <w:sz w:val="20"/>
                <w:szCs w:val="20"/>
                <w:lang w:eastAsia="cs-CZ"/>
              </w:rPr>
            </w:pPr>
            <w:r w:rsidRPr="00E25029">
              <w:rPr>
                <w:rFonts w:eastAsia="Times New Roman" w:cstheme="minorHAnsi"/>
                <w:bCs/>
                <w:sz w:val="20"/>
                <w:szCs w:val="20"/>
                <w:lang w:eastAsia="cs-CZ"/>
              </w:rPr>
              <w:t>2021</w:t>
            </w:r>
          </w:p>
        </w:tc>
        <w:tc>
          <w:tcPr>
            <w:tcW w:w="2560" w:type="dxa"/>
          </w:tcPr>
          <w:p w14:paraId="16CBD7A7" w14:textId="77777777" w:rsidR="00750ABC" w:rsidRPr="00E25029" w:rsidRDefault="00750ABC" w:rsidP="002365FC">
            <w:pPr>
              <w:jc w:val="right"/>
              <w:rPr>
                <w:rFonts w:eastAsia="Times New Roman" w:cstheme="minorHAnsi"/>
                <w:bCs/>
                <w:sz w:val="20"/>
                <w:szCs w:val="20"/>
                <w:lang w:eastAsia="cs-CZ"/>
              </w:rPr>
            </w:pPr>
            <w:r>
              <w:rPr>
                <w:rFonts w:eastAsia="Times New Roman" w:cstheme="minorHAnsi"/>
                <w:bCs/>
                <w:sz w:val="20"/>
                <w:szCs w:val="20"/>
                <w:lang w:eastAsia="cs-CZ"/>
              </w:rPr>
              <w:t>21 500 000</w:t>
            </w:r>
          </w:p>
        </w:tc>
        <w:tc>
          <w:tcPr>
            <w:tcW w:w="2561" w:type="dxa"/>
          </w:tcPr>
          <w:p w14:paraId="251CDDEA" w14:textId="77777777" w:rsidR="00750ABC" w:rsidRPr="00E25029" w:rsidRDefault="00750ABC" w:rsidP="002C7C06">
            <w:pPr>
              <w:tabs>
                <w:tab w:val="right" w:pos="1885"/>
              </w:tabs>
              <w:ind w:right="17"/>
              <w:jc w:val="right"/>
              <w:rPr>
                <w:rFonts w:eastAsia="Times New Roman" w:cstheme="minorHAnsi"/>
                <w:bCs/>
                <w:sz w:val="20"/>
                <w:szCs w:val="20"/>
                <w:lang w:eastAsia="cs-CZ"/>
              </w:rPr>
            </w:pPr>
            <w:r>
              <w:rPr>
                <w:rFonts w:eastAsia="Times New Roman" w:cstheme="minorHAnsi"/>
                <w:bCs/>
                <w:sz w:val="20"/>
                <w:szCs w:val="20"/>
                <w:lang w:eastAsia="cs-CZ"/>
              </w:rPr>
              <w:t>21 518 079</w:t>
            </w:r>
            <w:r w:rsidR="00B12B89">
              <w:rPr>
                <w:rStyle w:val="Znakapoznpodarou"/>
                <w:rFonts w:eastAsia="Times New Roman" w:cstheme="minorHAnsi"/>
                <w:bCs/>
                <w:sz w:val="20"/>
                <w:szCs w:val="20"/>
                <w:lang w:eastAsia="cs-CZ"/>
              </w:rPr>
              <w:footnoteReference w:id="52"/>
            </w:r>
          </w:p>
        </w:tc>
        <w:tc>
          <w:tcPr>
            <w:tcW w:w="2561" w:type="dxa"/>
          </w:tcPr>
          <w:p w14:paraId="5F7A0EFB" w14:textId="77777777" w:rsidR="00750ABC" w:rsidRPr="001D664E" w:rsidRDefault="00750ABC" w:rsidP="002365FC">
            <w:pPr>
              <w:jc w:val="right"/>
              <w:rPr>
                <w:rFonts w:eastAsia="Times New Roman" w:cstheme="minorHAnsi"/>
                <w:bCs/>
                <w:sz w:val="20"/>
                <w:szCs w:val="20"/>
                <w:lang w:eastAsia="cs-CZ"/>
              </w:rPr>
            </w:pPr>
            <w:r w:rsidRPr="001D664E">
              <w:rPr>
                <w:rFonts w:eastAsia="Times New Roman" w:cstheme="minorHAnsi"/>
                <w:bCs/>
                <w:sz w:val="20"/>
                <w:szCs w:val="20"/>
                <w:lang w:eastAsia="cs-CZ"/>
              </w:rPr>
              <w:t>8 958 039</w:t>
            </w:r>
          </w:p>
        </w:tc>
      </w:tr>
      <w:tr w:rsidR="00750ABC" w:rsidRPr="00E25029" w14:paraId="1A75E8A9" w14:textId="77777777" w:rsidTr="002365FC">
        <w:tc>
          <w:tcPr>
            <w:tcW w:w="1378" w:type="dxa"/>
            <w:tcBorders>
              <w:bottom w:val="single" w:sz="4" w:space="0" w:color="auto"/>
            </w:tcBorders>
            <w:vAlign w:val="center"/>
          </w:tcPr>
          <w:p w14:paraId="01A1F50D" w14:textId="77777777" w:rsidR="00750ABC" w:rsidRPr="00E25029" w:rsidRDefault="00750ABC" w:rsidP="002365FC">
            <w:pPr>
              <w:jc w:val="center"/>
              <w:rPr>
                <w:rFonts w:eastAsia="Times New Roman" w:cstheme="minorHAnsi"/>
                <w:bCs/>
                <w:sz w:val="20"/>
                <w:szCs w:val="20"/>
                <w:lang w:eastAsia="cs-CZ"/>
              </w:rPr>
            </w:pPr>
            <w:r w:rsidRPr="00E25029">
              <w:rPr>
                <w:rFonts w:eastAsia="Times New Roman" w:cstheme="minorHAnsi"/>
                <w:bCs/>
                <w:sz w:val="20"/>
                <w:szCs w:val="20"/>
                <w:lang w:eastAsia="cs-CZ"/>
              </w:rPr>
              <w:t>2022</w:t>
            </w:r>
          </w:p>
        </w:tc>
        <w:tc>
          <w:tcPr>
            <w:tcW w:w="2560" w:type="dxa"/>
            <w:tcBorders>
              <w:bottom w:val="single" w:sz="4" w:space="0" w:color="auto"/>
            </w:tcBorders>
          </w:tcPr>
          <w:p w14:paraId="3D42A314" w14:textId="77777777" w:rsidR="00750ABC" w:rsidRPr="00E25029" w:rsidRDefault="00750ABC" w:rsidP="002365FC">
            <w:pPr>
              <w:jc w:val="right"/>
              <w:rPr>
                <w:rFonts w:eastAsia="Times New Roman" w:cstheme="minorHAnsi"/>
                <w:bCs/>
                <w:sz w:val="20"/>
                <w:szCs w:val="20"/>
                <w:lang w:eastAsia="cs-CZ"/>
              </w:rPr>
            </w:pPr>
            <w:r>
              <w:rPr>
                <w:rFonts w:eastAsia="Times New Roman" w:cstheme="minorHAnsi"/>
                <w:bCs/>
                <w:sz w:val="20"/>
                <w:szCs w:val="20"/>
                <w:lang w:eastAsia="cs-CZ"/>
              </w:rPr>
              <w:t>33 650 329</w:t>
            </w:r>
          </w:p>
        </w:tc>
        <w:tc>
          <w:tcPr>
            <w:tcW w:w="2561" w:type="dxa"/>
            <w:tcBorders>
              <w:bottom w:val="single" w:sz="4" w:space="0" w:color="auto"/>
            </w:tcBorders>
          </w:tcPr>
          <w:p w14:paraId="40770850" w14:textId="77777777" w:rsidR="00750ABC" w:rsidRPr="00E25029" w:rsidRDefault="00750ABC" w:rsidP="0096611E">
            <w:pPr>
              <w:ind w:right="163"/>
              <w:jc w:val="right"/>
              <w:rPr>
                <w:rFonts w:eastAsia="Times New Roman" w:cstheme="minorHAnsi"/>
                <w:bCs/>
                <w:sz w:val="20"/>
                <w:szCs w:val="20"/>
                <w:lang w:eastAsia="cs-CZ"/>
              </w:rPr>
            </w:pPr>
            <w:r>
              <w:rPr>
                <w:rFonts w:eastAsia="Times New Roman" w:cstheme="minorHAnsi"/>
                <w:bCs/>
                <w:sz w:val="20"/>
                <w:szCs w:val="20"/>
                <w:lang w:eastAsia="cs-CZ"/>
              </w:rPr>
              <w:t>33 650 329</w:t>
            </w:r>
          </w:p>
        </w:tc>
        <w:tc>
          <w:tcPr>
            <w:tcW w:w="2561" w:type="dxa"/>
            <w:tcBorders>
              <w:bottom w:val="single" w:sz="4" w:space="0" w:color="auto"/>
            </w:tcBorders>
          </w:tcPr>
          <w:p w14:paraId="3186C665" w14:textId="77777777" w:rsidR="00750ABC" w:rsidRPr="001D664E" w:rsidRDefault="00750ABC" w:rsidP="002365FC">
            <w:pPr>
              <w:jc w:val="right"/>
              <w:rPr>
                <w:rFonts w:eastAsia="Times New Roman" w:cstheme="minorHAnsi"/>
                <w:bCs/>
                <w:sz w:val="20"/>
                <w:szCs w:val="20"/>
                <w:lang w:eastAsia="cs-CZ"/>
              </w:rPr>
            </w:pPr>
            <w:r w:rsidRPr="001D664E">
              <w:rPr>
                <w:rFonts w:eastAsia="Times New Roman" w:cstheme="minorHAnsi"/>
                <w:bCs/>
                <w:sz w:val="20"/>
                <w:szCs w:val="20"/>
                <w:lang w:eastAsia="cs-CZ"/>
              </w:rPr>
              <w:t>9 851 28</w:t>
            </w:r>
            <w:r>
              <w:rPr>
                <w:rFonts w:eastAsia="Times New Roman" w:cstheme="minorHAnsi"/>
                <w:bCs/>
                <w:sz w:val="20"/>
                <w:szCs w:val="20"/>
                <w:lang w:eastAsia="cs-CZ"/>
              </w:rPr>
              <w:t>4</w:t>
            </w:r>
          </w:p>
        </w:tc>
      </w:tr>
      <w:tr w:rsidR="00750ABC" w:rsidRPr="00E25029" w14:paraId="53356C40" w14:textId="77777777" w:rsidTr="002365FC">
        <w:tc>
          <w:tcPr>
            <w:tcW w:w="1378" w:type="dxa"/>
            <w:shd w:val="clear" w:color="auto" w:fill="E5F1FF"/>
            <w:vAlign w:val="center"/>
          </w:tcPr>
          <w:p w14:paraId="386B5850" w14:textId="77777777" w:rsidR="00750ABC" w:rsidRPr="00E25029" w:rsidRDefault="00750ABC" w:rsidP="002365FC">
            <w:pPr>
              <w:jc w:val="center"/>
              <w:rPr>
                <w:rFonts w:eastAsia="Times New Roman" w:cstheme="minorHAnsi"/>
                <w:bCs/>
                <w:sz w:val="20"/>
                <w:szCs w:val="20"/>
                <w:lang w:eastAsia="cs-CZ"/>
              </w:rPr>
            </w:pPr>
            <w:r w:rsidRPr="00E25029">
              <w:rPr>
                <w:rFonts w:eastAsia="Times New Roman" w:cstheme="minorHAnsi"/>
                <w:bCs/>
                <w:sz w:val="20"/>
                <w:szCs w:val="20"/>
                <w:lang w:eastAsia="cs-CZ"/>
              </w:rPr>
              <w:t>CELKEM</w:t>
            </w:r>
          </w:p>
        </w:tc>
        <w:tc>
          <w:tcPr>
            <w:tcW w:w="2560" w:type="dxa"/>
            <w:shd w:val="clear" w:color="auto" w:fill="E5F1FF"/>
            <w:vAlign w:val="bottom"/>
          </w:tcPr>
          <w:p w14:paraId="0927C264" w14:textId="77777777" w:rsidR="00750ABC" w:rsidRPr="00E25029" w:rsidRDefault="00750ABC" w:rsidP="002365FC">
            <w:pPr>
              <w:jc w:val="right"/>
              <w:rPr>
                <w:rFonts w:ascii="Calibri" w:hAnsi="Calibri" w:cs="Calibri"/>
                <w:color w:val="000000"/>
                <w:sz w:val="20"/>
                <w:szCs w:val="20"/>
              </w:rPr>
            </w:pPr>
            <w:r>
              <w:rPr>
                <w:rFonts w:ascii="Calibri" w:hAnsi="Calibri" w:cs="Calibri"/>
                <w:color w:val="000000"/>
                <w:sz w:val="20"/>
                <w:szCs w:val="20"/>
              </w:rPr>
              <w:t>190 992 613</w:t>
            </w:r>
          </w:p>
        </w:tc>
        <w:tc>
          <w:tcPr>
            <w:tcW w:w="2561" w:type="dxa"/>
            <w:shd w:val="clear" w:color="auto" w:fill="E5F1FF"/>
          </w:tcPr>
          <w:p w14:paraId="55593B30" w14:textId="77777777" w:rsidR="00750ABC" w:rsidRPr="00E25029" w:rsidRDefault="00750ABC" w:rsidP="0096611E">
            <w:pPr>
              <w:ind w:right="163"/>
              <w:jc w:val="right"/>
              <w:rPr>
                <w:rFonts w:ascii="Calibri" w:hAnsi="Calibri" w:cs="Calibri"/>
                <w:color w:val="000000"/>
                <w:sz w:val="20"/>
                <w:szCs w:val="20"/>
              </w:rPr>
            </w:pPr>
            <w:r w:rsidRPr="0096611E">
              <w:rPr>
                <w:rFonts w:eastAsia="Times New Roman" w:cstheme="minorHAnsi"/>
                <w:bCs/>
                <w:sz w:val="20"/>
                <w:szCs w:val="20"/>
                <w:lang w:eastAsia="cs-CZ"/>
              </w:rPr>
              <w:t>181</w:t>
            </w:r>
            <w:r>
              <w:rPr>
                <w:rFonts w:ascii="Calibri" w:hAnsi="Calibri" w:cs="Calibri"/>
                <w:color w:val="000000"/>
                <w:sz w:val="20"/>
                <w:szCs w:val="20"/>
              </w:rPr>
              <w:t> 884 743</w:t>
            </w:r>
          </w:p>
        </w:tc>
        <w:tc>
          <w:tcPr>
            <w:tcW w:w="2561" w:type="dxa"/>
            <w:shd w:val="clear" w:color="auto" w:fill="E5F1FF"/>
            <w:vAlign w:val="bottom"/>
          </w:tcPr>
          <w:p w14:paraId="5B407781" w14:textId="77777777" w:rsidR="00750ABC" w:rsidRPr="001D664E" w:rsidRDefault="00750ABC" w:rsidP="002365FC">
            <w:pPr>
              <w:jc w:val="right"/>
              <w:rPr>
                <w:rFonts w:eastAsia="Times New Roman" w:cstheme="minorHAnsi"/>
                <w:bCs/>
                <w:sz w:val="20"/>
                <w:szCs w:val="20"/>
                <w:lang w:eastAsia="cs-CZ"/>
              </w:rPr>
            </w:pPr>
            <w:r w:rsidRPr="001D664E">
              <w:rPr>
                <w:rFonts w:eastAsia="Times New Roman" w:cstheme="minorHAnsi"/>
                <w:bCs/>
                <w:sz w:val="20"/>
                <w:szCs w:val="20"/>
                <w:lang w:eastAsia="cs-CZ"/>
              </w:rPr>
              <w:t>56 265 39</w:t>
            </w:r>
            <w:r>
              <w:rPr>
                <w:rFonts w:eastAsia="Times New Roman" w:cstheme="minorHAnsi"/>
                <w:bCs/>
                <w:sz w:val="20"/>
                <w:szCs w:val="20"/>
                <w:lang w:eastAsia="cs-CZ"/>
              </w:rPr>
              <w:t>4</w:t>
            </w:r>
          </w:p>
        </w:tc>
      </w:tr>
    </w:tbl>
    <w:p w14:paraId="4386ABAA" w14:textId="77777777" w:rsidR="00750ABC" w:rsidRPr="002C7C06" w:rsidRDefault="00750ABC" w:rsidP="00750ABC">
      <w:pPr>
        <w:pStyle w:val="Default"/>
        <w:rPr>
          <w:sz w:val="20"/>
          <w:szCs w:val="20"/>
        </w:rPr>
      </w:pPr>
      <w:r w:rsidRPr="002C7C06">
        <w:rPr>
          <w:b/>
          <w:sz w:val="20"/>
          <w:szCs w:val="20"/>
        </w:rPr>
        <w:t>Zdroj:</w:t>
      </w:r>
      <w:r w:rsidRPr="002C7C06">
        <w:rPr>
          <w:sz w:val="20"/>
          <w:szCs w:val="20"/>
        </w:rPr>
        <w:t xml:space="preserve"> CSPSD</w:t>
      </w:r>
      <w:r w:rsidR="00A30EA9" w:rsidRPr="002C7C06">
        <w:rPr>
          <w:sz w:val="20"/>
          <w:szCs w:val="20"/>
        </w:rPr>
        <w:t>.</w:t>
      </w:r>
    </w:p>
    <w:p w14:paraId="20747F7D" w14:textId="77777777" w:rsidR="00750ABC" w:rsidRPr="002C7C06" w:rsidRDefault="00750ABC" w:rsidP="00750ABC">
      <w:pPr>
        <w:pStyle w:val="Default"/>
        <w:rPr>
          <w:sz w:val="20"/>
          <w:szCs w:val="20"/>
        </w:rPr>
      </w:pPr>
    </w:p>
    <w:p w14:paraId="304B9303" w14:textId="77777777" w:rsidR="00750ABC" w:rsidRDefault="00750ABC" w:rsidP="00750ABC">
      <w:pPr>
        <w:pStyle w:val="Nadpis1"/>
        <w:spacing w:before="0" w:after="120"/>
        <w:jc w:val="right"/>
        <w:rPr>
          <w:sz w:val="24"/>
          <w:szCs w:val="24"/>
        </w:rPr>
      </w:pPr>
    </w:p>
    <w:p w14:paraId="5E53A132" w14:textId="77777777" w:rsidR="00750ABC" w:rsidRDefault="00750ABC" w:rsidP="00750ABC">
      <w:pPr>
        <w:rPr>
          <w:b/>
          <w:sz w:val="24"/>
          <w:szCs w:val="24"/>
        </w:rPr>
      </w:pPr>
      <w:r>
        <w:rPr>
          <w:sz w:val="24"/>
          <w:szCs w:val="24"/>
        </w:rPr>
        <w:br w:type="page"/>
      </w:r>
    </w:p>
    <w:p w14:paraId="495BE377" w14:textId="77777777" w:rsidR="00750ABC" w:rsidRPr="00723581" w:rsidRDefault="00750ABC" w:rsidP="00750ABC">
      <w:pPr>
        <w:pStyle w:val="Nadpis1"/>
        <w:spacing w:before="0" w:after="120"/>
        <w:jc w:val="right"/>
        <w:rPr>
          <w:sz w:val="24"/>
          <w:szCs w:val="24"/>
        </w:rPr>
      </w:pPr>
      <w:bookmarkStart w:id="37" w:name="_Hlk141364751"/>
      <w:r w:rsidRPr="00723581">
        <w:rPr>
          <w:sz w:val="24"/>
          <w:szCs w:val="24"/>
        </w:rPr>
        <w:lastRenderedPageBreak/>
        <w:t xml:space="preserve">Příloha č. </w:t>
      </w:r>
      <w:r>
        <w:rPr>
          <w:sz w:val="24"/>
          <w:szCs w:val="24"/>
        </w:rPr>
        <w:t>3</w:t>
      </w:r>
    </w:p>
    <w:p w14:paraId="65322013" w14:textId="77777777" w:rsidR="00750ABC" w:rsidRPr="00723581" w:rsidRDefault="00750ABC" w:rsidP="00750ABC">
      <w:pPr>
        <w:spacing w:after="120" w:line="240" w:lineRule="auto"/>
        <w:jc w:val="center"/>
        <w:rPr>
          <w:rFonts w:cstheme="minorHAnsi"/>
          <w:b/>
          <w:sz w:val="24"/>
        </w:rPr>
      </w:pPr>
      <w:bookmarkStart w:id="38" w:name="_Hlk141364757"/>
      <w:bookmarkEnd w:id="37"/>
      <w:r w:rsidRPr="00723581">
        <w:rPr>
          <w:rFonts w:cstheme="minorHAnsi"/>
          <w:b/>
          <w:sz w:val="24"/>
        </w:rPr>
        <w:t>Přehled aktivit vybraných ke kontrole</w:t>
      </w:r>
    </w:p>
    <w:bookmarkEnd w:id="38"/>
    <w:tbl>
      <w:tblPr>
        <w:tblW w:w="8835" w:type="dxa"/>
        <w:jc w:val="center"/>
        <w:tblCellMar>
          <w:left w:w="70" w:type="dxa"/>
          <w:right w:w="70" w:type="dxa"/>
        </w:tblCellMar>
        <w:tblLook w:val="04A0" w:firstRow="1" w:lastRow="0" w:firstColumn="1" w:lastColumn="0" w:noHBand="0" w:noVBand="1"/>
      </w:tblPr>
      <w:tblGrid>
        <w:gridCol w:w="421"/>
        <w:gridCol w:w="708"/>
        <w:gridCol w:w="1134"/>
        <w:gridCol w:w="1134"/>
        <w:gridCol w:w="4253"/>
        <w:gridCol w:w="1185"/>
      </w:tblGrid>
      <w:tr w:rsidR="00750ABC" w:rsidRPr="00723581" w14:paraId="16E6D109"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E5F1FF"/>
            <w:vAlign w:val="center"/>
          </w:tcPr>
          <w:p w14:paraId="4F055C8E" w14:textId="77777777" w:rsidR="00750ABC" w:rsidRPr="00723581" w:rsidRDefault="00750ABC" w:rsidP="002365FC">
            <w:pPr>
              <w:spacing w:after="0" w:line="240" w:lineRule="auto"/>
              <w:jc w:val="center"/>
              <w:rPr>
                <w:rFonts w:eastAsia="Times New Roman" w:cstheme="minorHAnsi"/>
                <w:b/>
                <w:bCs/>
                <w:sz w:val="18"/>
                <w:szCs w:val="18"/>
                <w:lang w:eastAsia="cs-CZ"/>
              </w:rPr>
            </w:pPr>
          </w:p>
        </w:tc>
        <w:tc>
          <w:tcPr>
            <w:tcW w:w="708" w:type="dxa"/>
            <w:tcBorders>
              <w:top w:val="single" w:sz="4" w:space="0" w:color="auto"/>
              <w:left w:val="single" w:sz="4" w:space="0" w:color="auto"/>
              <w:bottom w:val="single" w:sz="4" w:space="0" w:color="auto"/>
              <w:right w:val="single" w:sz="4" w:space="0" w:color="auto"/>
            </w:tcBorders>
            <w:shd w:val="clear" w:color="000000" w:fill="E5F1FF"/>
            <w:vAlign w:val="center"/>
          </w:tcPr>
          <w:p w14:paraId="1BBCA3C2" w14:textId="77777777" w:rsidR="00750ABC" w:rsidRPr="00723581" w:rsidRDefault="00750ABC" w:rsidP="002365FC">
            <w:pPr>
              <w:spacing w:after="0" w:line="240" w:lineRule="auto"/>
              <w:jc w:val="center"/>
              <w:rPr>
                <w:rFonts w:eastAsia="Times New Roman" w:cstheme="minorHAnsi"/>
                <w:b/>
                <w:bCs/>
                <w:sz w:val="18"/>
                <w:szCs w:val="18"/>
                <w:lang w:eastAsia="cs-CZ"/>
              </w:rPr>
            </w:pPr>
            <w:r w:rsidRPr="00723581">
              <w:rPr>
                <w:rFonts w:eastAsia="Times New Roman" w:cstheme="minorHAnsi"/>
                <w:b/>
                <w:bCs/>
                <w:sz w:val="18"/>
                <w:szCs w:val="18"/>
                <w:lang w:eastAsia="cs-CZ"/>
              </w:rPr>
              <w:t>Okruh aktivit</w:t>
            </w:r>
          </w:p>
        </w:tc>
        <w:tc>
          <w:tcPr>
            <w:tcW w:w="1134" w:type="dxa"/>
            <w:tcBorders>
              <w:top w:val="single" w:sz="4" w:space="0" w:color="auto"/>
              <w:left w:val="single" w:sz="4" w:space="0" w:color="auto"/>
              <w:bottom w:val="single" w:sz="4" w:space="0" w:color="auto"/>
              <w:right w:val="single" w:sz="4" w:space="0" w:color="auto"/>
            </w:tcBorders>
            <w:shd w:val="clear" w:color="000000" w:fill="E5F1FF"/>
            <w:vAlign w:val="center"/>
          </w:tcPr>
          <w:p w14:paraId="2EE2F9BB" w14:textId="77777777" w:rsidR="00750ABC" w:rsidRPr="00723581" w:rsidRDefault="00750ABC" w:rsidP="002365FC">
            <w:pPr>
              <w:spacing w:after="0" w:line="240" w:lineRule="auto"/>
              <w:jc w:val="center"/>
              <w:rPr>
                <w:rFonts w:eastAsia="Times New Roman" w:cstheme="minorHAnsi"/>
                <w:b/>
                <w:bCs/>
                <w:sz w:val="18"/>
                <w:szCs w:val="18"/>
                <w:lang w:eastAsia="cs-CZ"/>
              </w:rPr>
            </w:pPr>
            <w:r>
              <w:rPr>
                <w:rFonts w:eastAsia="Times New Roman" w:cstheme="minorHAnsi"/>
                <w:b/>
                <w:bCs/>
                <w:sz w:val="18"/>
                <w:szCs w:val="18"/>
                <w:lang w:eastAsia="cs-CZ"/>
              </w:rPr>
              <w:t>Období AP</w:t>
            </w:r>
          </w:p>
        </w:tc>
        <w:tc>
          <w:tcPr>
            <w:tcW w:w="1134" w:type="dxa"/>
            <w:tcBorders>
              <w:top w:val="single" w:sz="4" w:space="0" w:color="auto"/>
              <w:left w:val="single" w:sz="4" w:space="0" w:color="auto"/>
              <w:bottom w:val="single" w:sz="4" w:space="0" w:color="auto"/>
              <w:right w:val="single" w:sz="4" w:space="0" w:color="auto"/>
            </w:tcBorders>
            <w:shd w:val="clear" w:color="000000" w:fill="E5F1FF"/>
            <w:vAlign w:val="center"/>
          </w:tcPr>
          <w:p w14:paraId="549353DF" w14:textId="77777777" w:rsidR="00750ABC" w:rsidRPr="00723581" w:rsidRDefault="00750ABC" w:rsidP="002365FC">
            <w:pPr>
              <w:spacing w:after="0" w:line="240" w:lineRule="auto"/>
              <w:jc w:val="center"/>
              <w:rPr>
                <w:rFonts w:eastAsia="Times New Roman" w:cstheme="minorHAnsi"/>
                <w:b/>
                <w:bCs/>
                <w:sz w:val="18"/>
                <w:szCs w:val="18"/>
                <w:lang w:eastAsia="cs-CZ"/>
              </w:rPr>
            </w:pPr>
            <w:r w:rsidRPr="00723581">
              <w:rPr>
                <w:rFonts w:eastAsia="Times New Roman" w:cstheme="minorHAnsi"/>
                <w:b/>
                <w:bCs/>
                <w:sz w:val="18"/>
                <w:szCs w:val="18"/>
                <w:lang w:eastAsia="cs-CZ"/>
              </w:rPr>
              <w:t>Číslo aktivity dle AP</w:t>
            </w:r>
          </w:p>
        </w:tc>
        <w:tc>
          <w:tcPr>
            <w:tcW w:w="4253" w:type="dxa"/>
            <w:tcBorders>
              <w:top w:val="single" w:sz="4" w:space="0" w:color="auto"/>
              <w:left w:val="single" w:sz="4" w:space="0" w:color="auto"/>
              <w:bottom w:val="single" w:sz="4" w:space="0" w:color="auto"/>
              <w:right w:val="single" w:sz="4" w:space="0" w:color="auto"/>
            </w:tcBorders>
            <w:shd w:val="clear" w:color="000000" w:fill="E5F1FF"/>
            <w:vAlign w:val="center"/>
          </w:tcPr>
          <w:p w14:paraId="33058328" w14:textId="77777777" w:rsidR="00750ABC" w:rsidRPr="00723581" w:rsidRDefault="00AD5A5E" w:rsidP="002365FC">
            <w:pPr>
              <w:spacing w:after="0" w:line="240" w:lineRule="auto"/>
              <w:jc w:val="center"/>
              <w:rPr>
                <w:rFonts w:eastAsia="Times New Roman" w:cstheme="minorHAnsi"/>
                <w:b/>
                <w:bCs/>
                <w:sz w:val="18"/>
                <w:szCs w:val="18"/>
                <w:lang w:eastAsia="cs-CZ"/>
              </w:rPr>
            </w:pPr>
            <w:r>
              <w:rPr>
                <w:rFonts w:eastAsia="Times New Roman" w:cstheme="minorHAnsi"/>
                <w:b/>
                <w:bCs/>
                <w:sz w:val="18"/>
                <w:szCs w:val="18"/>
                <w:lang w:eastAsia="cs-CZ"/>
              </w:rPr>
              <w:t xml:space="preserve">Název aktivity dle </w:t>
            </w:r>
            <w:r w:rsidR="009A6D5D" w:rsidRPr="009A6D5D">
              <w:rPr>
                <w:rFonts w:eastAsia="Times New Roman" w:cstheme="minorHAnsi"/>
                <w:b/>
                <w:bCs/>
                <w:sz w:val="18"/>
                <w:szCs w:val="18"/>
                <w:lang w:eastAsia="cs-CZ"/>
              </w:rPr>
              <w:t>Revize NSBSP 2020</w:t>
            </w:r>
            <w:r w:rsidR="009A6D5D">
              <w:rPr>
                <w:rFonts w:eastAsia="Times New Roman" w:cstheme="minorHAnsi"/>
                <w:b/>
                <w:bCs/>
                <w:sz w:val="18"/>
                <w:szCs w:val="18"/>
                <w:lang w:eastAsia="cs-CZ"/>
              </w:rPr>
              <w:t xml:space="preserve">, </w:t>
            </w:r>
            <w:r w:rsidR="009A6D5D">
              <w:rPr>
                <w:rFonts w:eastAsia="Times New Roman" w:cstheme="minorHAnsi"/>
                <w:b/>
                <w:bCs/>
                <w:sz w:val="18"/>
                <w:szCs w:val="18"/>
                <w:lang w:eastAsia="cs-CZ"/>
              </w:rPr>
              <w:br/>
              <w:t>resp. dle </w:t>
            </w:r>
            <w:r>
              <w:rPr>
                <w:rFonts w:eastAsia="Times New Roman" w:cstheme="minorHAnsi"/>
                <w:b/>
                <w:bCs/>
                <w:sz w:val="18"/>
                <w:szCs w:val="18"/>
                <w:lang w:eastAsia="cs-CZ"/>
              </w:rPr>
              <w:t>AP</w:t>
            </w:r>
            <w:r w:rsidR="009A6D5D">
              <w:rPr>
                <w:rFonts w:eastAsia="Times New Roman" w:cstheme="minorHAnsi"/>
                <w:b/>
                <w:bCs/>
                <w:sz w:val="18"/>
                <w:szCs w:val="18"/>
                <w:lang w:eastAsia="cs-CZ"/>
              </w:rPr>
              <w:t xml:space="preserve"> pro období 2021–2022</w:t>
            </w:r>
          </w:p>
        </w:tc>
        <w:tc>
          <w:tcPr>
            <w:tcW w:w="1185" w:type="dxa"/>
            <w:tcBorders>
              <w:top w:val="single" w:sz="4" w:space="0" w:color="auto"/>
              <w:left w:val="single" w:sz="4" w:space="0" w:color="auto"/>
              <w:bottom w:val="single" w:sz="4" w:space="0" w:color="auto"/>
              <w:right w:val="single" w:sz="4" w:space="0" w:color="auto"/>
            </w:tcBorders>
            <w:shd w:val="clear" w:color="000000" w:fill="E5F1FF"/>
          </w:tcPr>
          <w:p w14:paraId="758553A5" w14:textId="77777777" w:rsidR="00750ABC" w:rsidRPr="00723581" w:rsidRDefault="00750ABC" w:rsidP="002365FC">
            <w:pPr>
              <w:spacing w:after="0" w:line="240" w:lineRule="auto"/>
              <w:jc w:val="center"/>
              <w:rPr>
                <w:rFonts w:eastAsia="Times New Roman" w:cstheme="minorHAnsi"/>
                <w:b/>
                <w:bCs/>
                <w:sz w:val="18"/>
                <w:szCs w:val="18"/>
                <w:lang w:eastAsia="cs-CZ"/>
              </w:rPr>
            </w:pPr>
            <w:r>
              <w:rPr>
                <w:rFonts w:eastAsia="Times New Roman" w:cstheme="minorHAnsi"/>
                <w:b/>
                <w:bCs/>
                <w:sz w:val="18"/>
                <w:szCs w:val="18"/>
                <w:lang w:eastAsia="cs-CZ"/>
              </w:rPr>
              <w:t>Kontrolovaná osoba</w:t>
            </w:r>
          </w:p>
        </w:tc>
      </w:tr>
      <w:tr w:rsidR="00750ABC" w:rsidRPr="009C4343" w14:paraId="6E0D9628"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2FEE15EB" w14:textId="77777777" w:rsidR="00750ABC" w:rsidRPr="00981B49" w:rsidRDefault="00750ABC" w:rsidP="002365FC">
            <w:pPr>
              <w:spacing w:after="0" w:line="240" w:lineRule="auto"/>
              <w:jc w:val="center"/>
              <w:rPr>
                <w:rFonts w:eastAsia="Times New Roman" w:cstheme="minorHAnsi"/>
                <w:bCs/>
                <w:sz w:val="18"/>
                <w:szCs w:val="18"/>
                <w:lang w:eastAsia="cs-CZ"/>
              </w:rPr>
            </w:pPr>
            <w:r w:rsidRPr="00981B49">
              <w:rPr>
                <w:rFonts w:eastAsia="Times New Roman" w:cstheme="minorHAnsi"/>
                <w:bCs/>
                <w:sz w:val="18"/>
                <w:szCs w:val="18"/>
                <w:lang w:eastAsia="cs-CZ"/>
              </w:rPr>
              <w:t>1</w:t>
            </w:r>
          </w:p>
        </w:tc>
        <w:tc>
          <w:tcPr>
            <w:tcW w:w="708" w:type="dxa"/>
            <w:vMerge w:val="restart"/>
            <w:tcBorders>
              <w:top w:val="single" w:sz="4" w:space="0" w:color="auto"/>
              <w:left w:val="single" w:sz="4" w:space="0" w:color="auto"/>
              <w:right w:val="single" w:sz="4" w:space="0" w:color="auto"/>
            </w:tcBorders>
            <w:shd w:val="clear" w:color="000000" w:fill="FBE4D5" w:themeFill="accent2" w:themeFillTint="33"/>
            <w:textDirection w:val="btLr"/>
            <w:vAlign w:val="center"/>
          </w:tcPr>
          <w:p w14:paraId="5BCBB56E" w14:textId="77777777" w:rsidR="00750ABC" w:rsidRPr="00981B49" w:rsidRDefault="00750ABC" w:rsidP="002365FC">
            <w:pPr>
              <w:spacing w:after="0" w:line="240" w:lineRule="auto"/>
              <w:ind w:left="113" w:right="113"/>
              <w:jc w:val="center"/>
              <w:rPr>
                <w:rFonts w:eastAsia="Times New Roman" w:cstheme="minorHAnsi"/>
                <w:bCs/>
                <w:sz w:val="18"/>
                <w:szCs w:val="18"/>
                <w:lang w:eastAsia="cs-CZ"/>
              </w:rPr>
            </w:pPr>
            <w:r>
              <w:rPr>
                <w:rFonts w:eastAsia="Times New Roman" w:cstheme="minorHAnsi"/>
                <w:bCs/>
                <w:sz w:val="18"/>
                <w:szCs w:val="18"/>
                <w:lang w:eastAsia="cs-CZ"/>
              </w:rPr>
              <w:t>Preventivně informační aktivity</w:t>
            </w: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30FC2DBB" w14:textId="77777777" w:rsidR="00750ABC" w:rsidRPr="00981B49"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2011</w:t>
            </w:r>
            <w:r w:rsidR="00C1354D">
              <w:rPr>
                <w:rFonts w:eastAsia="Times New Roman" w:cstheme="minorHAnsi"/>
                <w:bCs/>
                <w:sz w:val="18"/>
                <w:szCs w:val="18"/>
                <w:lang w:eastAsia="cs-CZ"/>
              </w:rPr>
              <w:t>–</w:t>
            </w:r>
            <w:r>
              <w:rPr>
                <w:rFonts w:eastAsia="Times New Roman" w:cstheme="minorHAnsi"/>
                <w:bCs/>
                <w:sz w:val="18"/>
                <w:szCs w:val="18"/>
                <w:lang w:eastAsia="cs-CZ"/>
              </w:rPr>
              <w:t>2020</w:t>
            </w: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55732092" w14:textId="77777777" w:rsidR="00750ABC" w:rsidRPr="00981B49" w:rsidRDefault="00750ABC" w:rsidP="002365FC">
            <w:pPr>
              <w:spacing w:after="0" w:line="240" w:lineRule="auto"/>
              <w:jc w:val="center"/>
              <w:rPr>
                <w:rFonts w:eastAsia="Times New Roman" w:cstheme="minorHAnsi"/>
                <w:bCs/>
                <w:sz w:val="18"/>
                <w:szCs w:val="18"/>
                <w:lang w:eastAsia="cs-CZ"/>
              </w:rPr>
            </w:pPr>
            <w:r w:rsidRPr="00981B49">
              <w:rPr>
                <w:rFonts w:eastAsia="Times New Roman" w:cstheme="minorHAnsi"/>
                <w:bCs/>
                <w:sz w:val="18"/>
                <w:szCs w:val="18"/>
                <w:lang w:eastAsia="cs-CZ"/>
              </w:rPr>
              <w:t>Ú2.1</w:t>
            </w:r>
          </w:p>
        </w:tc>
        <w:tc>
          <w:tcPr>
            <w:tcW w:w="4253"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3CB55F60" w14:textId="77777777" w:rsidR="00750ABC" w:rsidRPr="00CE492F" w:rsidRDefault="00750ABC" w:rsidP="002365FC">
            <w:pPr>
              <w:spacing w:after="0" w:line="240" w:lineRule="auto"/>
              <w:jc w:val="both"/>
            </w:pPr>
            <w:r w:rsidRPr="007F4A71">
              <w:rPr>
                <w:rFonts w:eastAsia="Times New Roman" w:cstheme="minorHAnsi"/>
                <w:bCs/>
                <w:sz w:val="18"/>
                <w:szCs w:val="18"/>
                <w:lang w:eastAsia="cs-CZ"/>
              </w:rPr>
              <w:t>Preventivně informační aktivity zaměřit na dodržování nejvyšší dovolené rychlosti, zvláště ze strany mladých řidičů, s důrazem na rozvoj bezpečného chování.</w:t>
            </w:r>
          </w:p>
        </w:tc>
        <w:tc>
          <w:tcPr>
            <w:tcW w:w="1185"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1518B3A7" w14:textId="77777777" w:rsidR="00750ABC"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MD</w:t>
            </w:r>
            <w:r w:rsidR="00AD5A5E">
              <w:rPr>
                <w:rFonts w:eastAsia="Times New Roman" w:cstheme="minorHAnsi"/>
                <w:bCs/>
                <w:sz w:val="18"/>
                <w:szCs w:val="18"/>
                <w:lang w:eastAsia="cs-CZ"/>
              </w:rPr>
              <w:t>,</w:t>
            </w:r>
          </w:p>
          <w:p w14:paraId="6FB0D5F9"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CSPSD</w:t>
            </w:r>
          </w:p>
        </w:tc>
      </w:tr>
      <w:tr w:rsidR="00750ABC" w:rsidRPr="009C4343" w14:paraId="7B36680F"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1A468188" w14:textId="77777777" w:rsidR="00750ABC" w:rsidRPr="00981B49" w:rsidRDefault="00750ABC" w:rsidP="002365FC">
            <w:pPr>
              <w:spacing w:after="0" w:line="240" w:lineRule="auto"/>
              <w:jc w:val="center"/>
              <w:rPr>
                <w:rFonts w:eastAsia="Times New Roman" w:cstheme="minorHAnsi"/>
                <w:bCs/>
                <w:sz w:val="18"/>
                <w:szCs w:val="18"/>
                <w:lang w:eastAsia="cs-CZ"/>
              </w:rPr>
            </w:pPr>
            <w:r w:rsidRPr="00981B49">
              <w:rPr>
                <w:rFonts w:eastAsia="Times New Roman" w:cstheme="minorHAnsi"/>
                <w:bCs/>
                <w:sz w:val="18"/>
                <w:szCs w:val="18"/>
                <w:lang w:eastAsia="cs-CZ"/>
              </w:rPr>
              <w:t>2</w:t>
            </w:r>
          </w:p>
        </w:tc>
        <w:tc>
          <w:tcPr>
            <w:tcW w:w="708" w:type="dxa"/>
            <w:vMerge/>
            <w:tcBorders>
              <w:left w:val="single" w:sz="4" w:space="0" w:color="auto"/>
              <w:right w:val="single" w:sz="4" w:space="0" w:color="auto"/>
            </w:tcBorders>
            <w:shd w:val="clear" w:color="000000" w:fill="FBE4D5" w:themeFill="accent2" w:themeFillTint="33"/>
            <w:vAlign w:val="center"/>
          </w:tcPr>
          <w:p w14:paraId="1DE401C5"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4F24A15B"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2011</w:t>
            </w:r>
            <w:r w:rsidR="00C1354D">
              <w:rPr>
                <w:rFonts w:eastAsia="Times New Roman" w:cstheme="minorHAnsi"/>
                <w:bCs/>
                <w:sz w:val="18"/>
                <w:szCs w:val="18"/>
                <w:lang w:eastAsia="cs-CZ"/>
              </w:rPr>
              <w:t>–</w:t>
            </w:r>
            <w:r>
              <w:rPr>
                <w:rFonts w:eastAsia="Times New Roman" w:cstheme="minorHAnsi"/>
                <w:bCs/>
                <w:sz w:val="18"/>
                <w:szCs w:val="18"/>
                <w:lang w:eastAsia="cs-CZ"/>
              </w:rPr>
              <w:t>2020</w:t>
            </w: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4B4F0224"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t>Ú2.2</w:t>
            </w:r>
          </w:p>
        </w:tc>
        <w:tc>
          <w:tcPr>
            <w:tcW w:w="4253"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3111F000"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Preventivně informační aktivity zaměřit na používání bezpečnostních pásů a dětských zádržných systémů, zvláště na zadních sedadlech.</w:t>
            </w:r>
          </w:p>
        </w:tc>
        <w:tc>
          <w:tcPr>
            <w:tcW w:w="1185"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1831106F" w14:textId="77777777" w:rsidR="00750ABC"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MD</w:t>
            </w:r>
            <w:r w:rsidR="00AD5A5E">
              <w:rPr>
                <w:rFonts w:eastAsia="Times New Roman" w:cstheme="minorHAnsi"/>
                <w:bCs/>
                <w:sz w:val="18"/>
                <w:szCs w:val="18"/>
                <w:lang w:eastAsia="cs-CZ"/>
              </w:rPr>
              <w:t>,</w:t>
            </w:r>
          </w:p>
          <w:p w14:paraId="2D504366"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CSPSD</w:t>
            </w:r>
          </w:p>
        </w:tc>
      </w:tr>
      <w:tr w:rsidR="00750ABC" w:rsidRPr="009C4343" w14:paraId="2664E4E0"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7142F6A4" w14:textId="77777777" w:rsidR="00750ABC" w:rsidRPr="00981B49" w:rsidRDefault="00750ABC" w:rsidP="002365FC">
            <w:pPr>
              <w:spacing w:after="0" w:line="240" w:lineRule="auto"/>
              <w:jc w:val="center"/>
              <w:rPr>
                <w:rFonts w:eastAsia="Times New Roman" w:cstheme="minorHAnsi"/>
                <w:bCs/>
                <w:sz w:val="18"/>
                <w:szCs w:val="18"/>
                <w:lang w:eastAsia="cs-CZ"/>
              </w:rPr>
            </w:pPr>
            <w:r w:rsidRPr="00981B49">
              <w:rPr>
                <w:rFonts w:eastAsia="Times New Roman" w:cstheme="minorHAnsi"/>
                <w:bCs/>
                <w:sz w:val="18"/>
                <w:szCs w:val="18"/>
                <w:lang w:eastAsia="cs-CZ"/>
              </w:rPr>
              <w:t>3</w:t>
            </w:r>
          </w:p>
        </w:tc>
        <w:tc>
          <w:tcPr>
            <w:tcW w:w="708" w:type="dxa"/>
            <w:vMerge/>
            <w:tcBorders>
              <w:left w:val="single" w:sz="4" w:space="0" w:color="auto"/>
              <w:right w:val="single" w:sz="4" w:space="0" w:color="auto"/>
            </w:tcBorders>
            <w:shd w:val="clear" w:color="000000" w:fill="FBE4D5" w:themeFill="accent2" w:themeFillTint="33"/>
            <w:vAlign w:val="center"/>
          </w:tcPr>
          <w:p w14:paraId="30FCE0B3"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7044F4E3"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2011</w:t>
            </w:r>
            <w:r w:rsidR="00C1354D">
              <w:rPr>
                <w:rFonts w:eastAsia="Times New Roman" w:cstheme="minorHAnsi"/>
                <w:bCs/>
                <w:sz w:val="18"/>
                <w:szCs w:val="18"/>
                <w:lang w:eastAsia="cs-CZ"/>
              </w:rPr>
              <w:t>–</w:t>
            </w:r>
            <w:r>
              <w:rPr>
                <w:rFonts w:eastAsia="Times New Roman" w:cstheme="minorHAnsi"/>
                <w:bCs/>
                <w:sz w:val="18"/>
                <w:szCs w:val="18"/>
                <w:lang w:eastAsia="cs-CZ"/>
              </w:rPr>
              <w:t>2020</w:t>
            </w: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20739BB5"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t>Ú2.4</w:t>
            </w:r>
          </w:p>
        </w:tc>
        <w:tc>
          <w:tcPr>
            <w:tcW w:w="4253"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0E293052"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Preventivně informační kampaně zaměřit na specifická rizika motorkářů.</w:t>
            </w:r>
          </w:p>
        </w:tc>
        <w:tc>
          <w:tcPr>
            <w:tcW w:w="1185"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5D2F6ACA" w14:textId="77777777" w:rsidR="00750ABC"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MD</w:t>
            </w:r>
            <w:r w:rsidR="00AD5A5E">
              <w:rPr>
                <w:rFonts w:eastAsia="Times New Roman" w:cstheme="minorHAnsi"/>
                <w:bCs/>
                <w:sz w:val="18"/>
                <w:szCs w:val="18"/>
                <w:lang w:eastAsia="cs-CZ"/>
              </w:rPr>
              <w:t>,</w:t>
            </w:r>
          </w:p>
          <w:p w14:paraId="7F20BFA4"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CSPSD</w:t>
            </w:r>
          </w:p>
        </w:tc>
      </w:tr>
      <w:tr w:rsidR="00750ABC" w:rsidRPr="009C4343" w14:paraId="0895EE45"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07AD273E" w14:textId="77777777" w:rsidR="00750ABC" w:rsidRPr="00981B49" w:rsidRDefault="00750ABC" w:rsidP="002365FC">
            <w:pPr>
              <w:spacing w:after="0" w:line="240" w:lineRule="auto"/>
              <w:jc w:val="center"/>
              <w:rPr>
                <w:rFonts w:eastAsia="Times New Roman" w:cstheme="minorHAnsi"/>
                <w:bCs/>
                <w:sz w:val="18"/>
                <w:szCs w:val="18"/>
                <w:lang w:eastAsia="cs-CZ"/>
              </w:rPr>
            </w:pPr>
            <w:r w:rsidRPr="00981B49">
              <w:rPr>
                <w:rFonts w:eastAsia="Times New Roman" w:cstheme="minorHAnsi"/>
                <w:bCs/>
                <w:sz w:val="18"/>
                <w:szCs w:val="18"/>
                <w:lang w:eastAsia="cs-CZ"/>
              </w:rPr>
              <w:t>4</w:t>
            </w:r>
          </w:p>
        </w:tc>
        <w:tc>
          <w:tcPr>
            <w:tcW w:w="708" w:type="dxa"/>
            <w:vMerge/>
            <w:tcBorders>
              <w:left w:val="single" w:sz="4" w:space="0" w:color="auto"/>
              <w:right w:val="single" w:sz="4" w:space="0" w:color="auto"/>
            </w:tcBorders>
            <w:shd w:val="clear" w:color="000000" w:fill="FBE4D5" w:themeFill="accent2" w:themeFillTint="33"/>
            <w:vAlign w:val="center"/>
          </w:tcPr>
          <w:p w14:paraId="18C71C0A"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298B6D0C"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2011</w:t>
            </w:r>
            <w:r w:rsidR="00C1354D">
              <w:rPr>
                <w:rFonts w:eastAsia="Times New Roman" w:cstheme="minorHAnsi"/>
                <w:bCs/>
                <w:sz w:val="18"/>
                <w:szCs w:val="18"/>
                <w:lang w:eastAsia="cs-CZ"/>
              </w:rPr>
              <w:t>–</w:t>
            </w:r>
            <w:r>
              <w:rPr>
                <w:rFonts w:eastAsia="Times New Roman" w:cstheme="minorHAnsi"/>
                <w:bCs/>
                <w:sz w:val="18"/>
                <w:szCs w:val="18"/>
                <w:lang w:eastAsia="cs-CZ"/>
              </w:rPr>
              <w:t>2020</w:t>
            </w: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64E32ECA"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t>Ú2.5</w:t>
            </w:r>
          </w:p>
        </w:tc>
        <w:tc>
          <w:tcPr>
            <w:tcW w:w="4253"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7A86D585"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Preventivně informační aktivity zaměřit na bezpečnou jízdu a viditelnost cyklistů a bezpečné převážení dětí na kole.</w:t>
            </w:r>
          </w:p>
        </w:tc>
        <w:tc>
          <w:tcPr>
            <w:tcW w:w="1185"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21BA3CDD" w14:textId="77777777" w:rsidR="00750ABC"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MD</w:t>
            </w:r>
            <w:r w:rsidR="00AD5A5E">
              <w:rPr>
                <w:rFonts w:eastAsia="Times New Roman" w:cstheme="minorHAnsi"/>
                <w:bCs/>
                <w:sz w:val="18"/>
                <w:szCs w:val="18"/>
                <w:lang w:eastAsia="cs-CZ"/>
              </w:rPr>
              <w:t>,</w:t>
            </w:r>
          </w:p>
          <w:p w14:paraId="00BDB358"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CSPSD</w:t>
            </w:r>
          </w:p>
        </w:tc>
      </w:tr>
      <w:tr w:rsidR="00750ABC" w:rsidRPr="009C4343" w14:paraId="6D6B86F8"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7AE2827D" w14:textId="77777777" w:rsidR="00750ABC" w:rsidRPr="00981B49" w:rsidRDefault="00750ABC" w:rsidP="002365FC">
            <w:pPr>
              <w:spacing w:after="0" w:line="240" w:lineRule="auto"/>
              <w:jc w:val="center"/>
              <w:rPr>
                <w:rFonts w:eastAsia="Times New Roman" w:cstheme="minorHAnsi"/>
                <w:bCs/>
                <w:sz w:val="18"/>
                <w:szCs w:val="18"/>
                <w:lang w:eastAsia="cs-CZ"/>
              </w:rPr>
            </w:pPr>
            <w:r w:rsidRPr="00981B49">
              <w:rPr>
                <w:rFonts w:eastAsia="Times New Roman" w:cstheme="minorHAnsi"/>
                <w:bCs/>
                <w:sz w:val="18"/>
                <w:szCs w:val="18"/>
                <w:lang w:eastAsia="cs-CZ"/>
              </w:rPr>
              <w:t>5</w:t>
            </w:r>
          </w:p>
        </w:tc>
        <w:tc>
          <w:tcPr>
            <w:tcW w:w="708" w:type="dxa"/>
            <w:vMerge/>
            <w:tcBorders>
              <w:left w:val="single" w:sz="4" w:space="0" w:color="auto"/>
              <w:right w:val="single" w:sz="4" w:space="0" w:color="auto"/>
            </w:tcBorders>
            <w:shd w:val="clear" w:color="000000" w:fill="FBE4D5" w:themeFill="accent2" w:themeFillTint="33"/>
            <w:vAlign w:val="center"/>
          </w:tcPr>
          <w:p w14:paraId="5EB4EE4E"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5E27165A"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2011</w:t>
            </w:r>
            <w:r w:rsidR="00C1354D">
              <w:rPr>
                <w:rFonts w:eastAsia="Times New Roman" w:cstheme="minorHAnsi"/>
                <w:bCs/>
                <w:sz w:val="18"/>
                <w:szCs w:val="18"/>
                <w:lang w:eastAsia="cs-CZ"/>
              </w:rPr>
              <w:t>–</w:t>
            </w:r>
            <w:r>
              <w:rPr>
                <w:rFonts w:eastAsia="Times New Roman" w:cstheme="minorHAnsi"/>
                <w:bCs/>
                <w:sz w:val="18"/>
                <w:szCs w:val="18"/>
                <w:lang w:eastAsia="cs-CZ"/>
              </w:rPr>
              <w:t>2020</w:t>
            </w: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1C9169BE"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t>Ú2.6</w:t>
            </w:r>
          </w:p>
        </w:tc>
        <w:tc>
          <w:tcPr>
            <w:tcW w:w="4253"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119258D8"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Dopravně preventivní aktivity zaměřit na snížení počtu disko nehod.</w:t>
            </w:r>
          </w:p>
        </w:tc>
        <w:tc>
          <w:tcPr>
            <w:tcW w:w="1185"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36672080" w14:textId="77777777" w:rsidR="00750ABC"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MD</w:t>
            </w:r>
            <w:r w:rsidR="00AD5A5E">
              <w:rPr>
                <w:rFonts w:eastAsia="Times New Roman" w:cstheme="minorHAnsi"/>
                <w:bCs/>
                <w:sz w:val="18"/>
                <w:szCs w:val="18"/>
                <w:lang w:eastAsia="cs-CZ"/>
              </w:rPr>
              <w:t>,</w:t>
            </w:r>
          </w:p>
          <w:p w14:paraId="2D5693A9"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CSPSD</w:t>
            </w:r>
          </w:p>
        </w:tc>
      </w:tr>
      <w:tr w:rsidR="00750ABC" w:rsidRPr="009C4343" w14:paraId="737B7C18"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5125CA5C" w14:textId="77777777" w:rsidR="00750ABC" w:rsidRPr="00981B49" w:rsidRDefault="00750ABC" w:rsidP="002365FC">
            <w:pPr>
              <w:spacing w:after="0" w:line="240" w:lineRule="auto"/>
              <w:jc w:val="center"/>
              <w:rPr>
                <w:rFonts w:eastAsia="Times New Roman" w:cstheme="minorHAnsi"/>
                <w:bCs/>
                <w:sz w:val="18"/>
                <w:szCs w:val="18"/>
                <w:lang w:eastAsia="cs-CZ"/>
              </w:rPr>
            </w:pPr>
            <w:r w:rsidRPr="00981B49">
              <w:rPr>
                <w:rFonts w:eastAsia="Times New Roman" w:cstheme="minorHAnsi"/>
                <w:bCs/>
                <w:sz w:val="18"/>
                <w:szCs w:val="18"/>
                <w:lang w:eastAsia="cs-CZ"/>
              </w:rPr>
              <w:t>6</w:t>
            </w:r>
          </w:p>
        </w:tc>
        <w:tc>
          <w:tcPr>
            <w:tcW w:w="708" w:type="dxa"/>
            <w:vMerge/>
            <w:tcBorders>
              <w:left w:val="single" w:sz="4" w:space="0" w:color="auto"/>
              <w:right w:val="single" w:sz="4" w:space="0" w:color="auto"/>
            </w:tcBorders>
            <w:shd w:val="clear" w:color="000000" w:fill="FBE4D5" w:themeFill="accent2" w:themeFillTint="33"/>
            <w:vAlign w:val="center"/>
          </w:tcPr>
          <w:p w14:paraId="31D10569"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3AC96CC1" w14:textId="77777777" w:rsidR="00750ABC" w:rsidRPr="00981B49"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2011</w:t>
            </w:r>
            <w:r w:rsidR="00C1354D">
              <w:rPr>
                <w:rFonts w:eastAsia="Times New Roman" w:cstheme="minorHAnsi"/>
                <w:bCs/>
                <w:sz w:val="18"/>
                <w:szCs w:val="18"/>
                <w:lang w:eastAsia="cs-CZ"/>
              </w:rPr>
              <w:t>–</w:t>
            </w:r>
            <w:r>
              <w:rPr>
                <w:rFonts w:eastAsia="Times New Roman" w:cstheme="minorHAnsi"/>
                <w:bCs/>
                <w:sz w:val="18"/>
                <w:szCs w:val="18"/>
                <w:lang w:eastAsia="cs-CZ"/>
              </w:rPr>
              <w:t>2020</w:t>
            </w: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5C5DF942"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t>Ú2.7</w:t>
            </w:r>
          </w:p>
        </w:tc>
        <w:tc>
          <w:tcPr>
            <w:tcW w:w="4253"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1C304E51"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Preventivně informační aktivity zaměřit na specifickou problematiku účastníků provozu na pozemních komunikacích v roli chodce, a to občany seniorského věku a občany se sníženou schopností pohybu nebo orientace.</w:t>
            </w:r>
          </w:p>
        </w:tc>
        <w:tc>
          <w:tcPr>
            <w:tcW w:w="1185"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04393E24" w14:textId="77777777" w:rsidR="00750ABC"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MD</w:t>
            </w:r>
            <w:r w:rsidR="00AD5A5E">
              <w:rPr>
                <w:rFonts w:eastAsia="Times New Roman" w:cstheme="minorHAnsi"/>
                <w:bCs/>
                <w:sz w:val="18"/>
                <w:szCs w:val="18"/>
                <w:lang w:eastAsia="cs-CZ"/>
              </w:rPr>
              <w:t>,</w:t>
            </w:r>
          </w:p>
          <w:p w14:paraId="23118DD9"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CSPSD</w:t>
            </w:r>
          </w:p>
        </w:tc>
      </w:tr>
      <w:tr w:rsidR="00750ABC" w:rsidRPr="009C4343" w14:paraId="5975C281"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6354A2BF" w14:textId="77777777" w:rsidR="00750ABC" w:rsidRPr="00981B49" w:rsidRDefault="00750ABC" w:rsidP="002365FC">
            <w:pPr>
              <w:spacing w:after="0" w:line="240" w:lineRule="auto"/>
              <w:jc w:val="center"/>
              <w:rPr>
                <w:rFonts w:eastAsia="Times New Roman" w:cstheme="minorHAnsi"/>
                <w:bCs/>
                <w:sz w:val="18"/>
                <w:szCs w:val="18"/>
                <w:lang w:eastAsia="cs-CZ"/>
              </w:rPr>
            </w:pPr>
            <w:r w:rsidRPr="00981B49">
              <w:rPr>
                <w:rFonts w:eastAsia="Times New Roman" w:cstheme="minorHAnsi"/>
                <w:bCs/>
                <w:sz w:val="18"/>
                <w:szCs w:val="18"/>
                <w:lang w:eastAsia="cs-CZ"/>
              </w:rPr>
              <w:t>7</w:t>
            </w:r>
          </w:p>
        </w:tc>
        <w:tc>
          <w:tcPr>
            <w:tcW w:w="708" w:type="dxa"/>
            <w:vMerge/>
            <w:tcBorders>
              <w:left w:val="single" w:sz="4" w:space="0" w:color="auto"/>
              <w:right w:val="single" w:sz="4" w:space="0" w:color="auto"/>
            </w:tcBorders>
            <w:shd w:val="clear" w:color="000000" w:fill="FBE4D5" w:themeFill="accent2" w:themeFillTint="33"/>
            <w:vAlign w:val="center"/>
          </w:tcPr>
          <w:p w14:paraId="40F4674F"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7B2C0714"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2011</w:t>
            </w:r>
            <w:r w:rsidR="00C1354D">
              <w:rPr>
                <w:rFonts w:eastAsia="Times New Roman" w:cstheme="minorHAnsi"/>
                <w:bCs/>
                <w:sz w:val="18"/>
                <w:szCs w:val="18"/>
                <w:lang w:eastAsia="cs-CZ"/>
              </w:rPr>
              <w:t>–</w:t>
            </w:r>
            <w:r>
              <w:rPr>
                <w:rFonts w:eastAsia="Times New Roman" w:cstheme="minorHAnsi"/>
                <w:bCs/>
                <w:sz w:val="18"/>
                <w:szCs w:val="18"/>
                <w:lang w:eastAsia="cs-CZ"/>
              </w:rPr>
              <w:t>2020</w:t>
            </w: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6318921C"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t>Ú2.8</w:t>
            </w:r>
          </w:p>
        </w:tc>
        <w:tc>
          <w:tcPr>
            <w:tcW w:w="4253"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40AA2226"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Celostátní a místní kampaně zaměřit na bezpečné chování chodců a řidičů na železničních přejezdech s</w:t>
            </w:r>
            <w:r w:rsidR="00AD5A5E">
              <w:rPr>
                <w:rFonts w:eastAsia="Times New Roman" w:cstheme="minorHAnsi"/>
                <w:bCs/>
                <w:sz w:val="18"/>
                <w:szCs w:val="18"/>
                <w:lang w:eastAsia="cs-CZ"/>
              </w:rPr>
              <w:t> </w:t>
            </w:r>
            <w:r w:rsidRPr="007F4A71">
              <w:rPr>
                <w:rFonts w:eastAsia="Times New Roman" w:cstheme="minorHAnsi"/>
                <w:bCs/>
                <w:sz w:val="18"/>
                <w:szCs w:val="18"/>
                <w:lang w:eastAsia="cs-CZ"/>
              </w:rPr>
              <w:t>ukázkovým řešením krizových situací na přejezdech.</w:t>
            </w:r>
          </w:p>
        </w:tc>
        <w:tc>
          <w:tcPr>
            <w:tcW w:w="1185"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59ECEDCF" w14:textId="77777777" w:rsidR="00750ABC"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MD</w:t>
            </w:r>
            <w:r w:rsidR="00AD5A5E">
              <w:rPr>
                <w:rFonts w:eastAsia="Times New Roman" w:cstheme="minorHAnsi"/>
                <w:bCs/>
                <w:sz w:val="18"/>
                <w:szCs w:val="18"/>
                <w:lang w:eastAsia="cs-CZ"/>
              </w:rPr>
              <w:t>,</w:t>
            </w:r>
          </w:p>
          <w:p w14:paraId="716C0E84"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CSPSD</w:t>
            </w:r>
          </w:p>
        </w:tc>
      </w:tr>
      <w:tr w:rsidR="00750ABC" w:rsidRPr="009C4343" w14:paraId="30BD5A07"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15B3C614" w14:textId="77777777" w:rsidR="00750ABC" w:rsidRPr="00981B49" w:rsidRDefault="00750ABC" w:rsidP="002365FC">
            <w:pPr>
              <w:spacing w:after="0" w:line="240" w:lineRule="auto"/>
              <w:jc w:val="center"/>
              <w:rPr>
                <w:rFonts w:eastAsia="Times New Roman" w:cstheme="minorHAnsi"/>
                <w:bCs/>
                <w:sz w:val="18"/>
                <w:szCs w:val="18"/>
                <w:lang w:eastAsia="cs-CZ"/>
              </w:rPr>
            </w:pPr>
            <w:r w:rsidRPr="00981B49">
              <w:rPr>
                <w:rFonts w:eastAsia="Times New Roman" w:cstheme="minorHAnsi"/>
                <w:bCs/>
                <w:sz w:val="18"/>
                <w:szCs w:val="18"/>
                <w:lang w:eastAsia="cs-CZ"/>
              </w:rPr>
              <w:t>8</w:t>
            </w:r>
          </w:p>
        </w:tc>
        <w:tc>
          <w:tcPr>
            <w:tcW w:w="708" w:type="dxa"/>
            <w:vMerge/>
            <w:tcBorders>
              <w:left w:val="single" w:sz="4" w:space="0" w:color="auto"/>
              <w:right w:val="single" w:sz="4" w:space="0" w:color="auto"/>
            </w:tcBorders>
            <w:shd w:val="clear" w:color="000000" w:fill="FBE4D5" w:themeFill="accent2" w:themeFillTint="33"/>
            <w:vAlign w:val="center"/>
          </w:tcPr>
          <w:p w14:paraId="2CC2A05E"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418F0B58"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2011</w:t>
            </w:r>
            <w:r w:rsidR="00C1354D">
              <w:rPr>
                <w:rFonts w:eastAsia="Times New Roman" w:cstheme="minorHAnsi"/>
                <w:bCs/>
                <w:sz w:val="18"/>
                <w:szCs w:val="18"/>
                <w:lang w:eastAsia="cs-CZ"/>
              </w:rPr>
              <w:t>–</w:t>
            </w:r>
            <w:r>
              <w:rPr>
                <w:rFonts w:eastAsia="Times New Roman" w:cstheme="minorHAnsi"/>
                <w:bCs/>
                <w:sz w:val="18"/>
                <w:szCs w:val="18"/>
                <w:lang w:eastAsia="cs-CZ"/>
              </w:rPr>
              <w:t>2020</w:t>
            </w: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27B2F69A"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t>Ú2.9</w:t>
            </w:r>
          </w:p>
        </w:tc>
        <w:tc>
          <w:tcPr>
            <w:tcW w:w="4253"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17AB3E4D"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Preventivní aktivity zaměřit na všechny účastníky provozu na pozemních komunikacích, kteří k přepravě užívají elektrokoloběžky a elektrokola.</w:t>
            </w:r>
          </w:p>
        </w:tc>
        <w:tc>
          <w:tcPr>
            <w:tcW w:w="1185"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1F81C6F9" w14:textId="77777777" w:rsidR="00750ABC"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MD</w:t>
            </w:r>
            <w:r w:rsidR="00AD5A5E">
              <w:rPr>
                <w:rFonts w:eastAsia="Times New Roman" w:cstheme="minorHAnsi"/>
                <w:bCs/>
                <w:sz w:val="18"/>
                <w:szCs w:val="18"/>
                <w:lang w:eastAsia="cs-CZ"/>
              </w:rPr>
              <w:t>,</w:t>
            </w:r>
          </w:p>
          <w:p w14:paraId="50BAFE5F"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CSPSD</w:t>
            </w:r>
          </w:p>
        </w:tc>
      </w:tr>
      <w:tr w:rsidR="00750ABC" w:rsidRPr="009C4343" w14:paraId="682AE4FF"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6B339E60" w14:textId="77777777" w:rsidR="00750ABC" w:rsidRPr="00981B49" w:rsidRDefault="00750ABC" w:rsidP="002365FC">
            <w:pPr>
              <w:spacing w:after="0" w:line="240" w:lineRule="auto"/>
              <w:jc w:val="center"/>
              <w:rPr>
                <w:rFonts w:eastAsia="Times New Roman" w:cstheme="minorHAnsi"/>
                <w:bCs/>
                <w:sz w:val="18"/>
                <w:szCs w:val="18"/>
                <w:lang w:eastAsia="cs-CZ"/>
              </w:rPr>
            </w:pPr>
            <w:r w:rsidRPr="00981B49">
              <w:rPr>
                <w:rFonts w:eastAsia="Times New Roman" w:cstheme="minorHAnsi"/>
                <w:bCs/>
                <w:sz w:val="18"/>
                <w:szCs w:val="18"/>
                <w:lang w:eastAsia="cs-CZ"/>
              </w:rPr>
              <w:t>9</w:t>
            </w:r>
          </w:p>
        </w:tc>
        <w:tc>
          <w:tcPr>
            <w:tcW w:w="708" w:type="dxa"/>
            <w:vMerge/>
            <w:tcBorders>
              <w:left w:val="single" w:sz="4" w:space="0" w:color="auto"/>
              <w:right w:val="single" w:sz="4" w:space="0" w:color="auto"/>
            </w:tcBorders>
            <w:shd w:val="clear" w:color="000000" w:fill="FBE4D5" w:themeFill="accent2" w:themeFillTint="33"/>
            <w:vAlign w:val="center"/>
          </w:tcPr>
          <w:p w14:paraId="364FAEEE"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29F6A339"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2011</w:t>
            </w:r>
            <w:r w:rsidR="00C1354D">
              <w:rPr>
                <w:rFonts w:eastAsia="Times New Roman" w:cstheme="minorHAnsi"/>
                <w:bCs/>
                <w:sz w:val="18"/>
                <w:szCs w:val="18"/>
                <w:lang w:eastAsia="cs-CZ"/>
              </w:rPr>
              <w:t>–</w:t>
            </w:r>
            <w:r>
              <w:rPr>
                <w:rFonts w:eastAsia="Times New Roman" w:cstheme="minorHAnsi"/>
                <w:bCs/>
                <w:sz w:val="18"/>
                <w:szCs w:val="18"/>
                <w:lang w:eastAsia="cs-CZ"/>
              </w:rPr>
              <w:t>2020</w:t>
            </w: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75E09579"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t>Ú2.10</w:t>
            </w:r>
          </w:p>
        </w:tc>
        <w:tc>
          <w:tcPr>
            <w:tcW w:w="4253"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43D34602"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Preventivní aktivity zaměřit na řidiče nákladních vozidel, s cílem prohlubovat znalosti interakce nákladních vozidel a osobních vozidel (chodců, cyklistů a motocyklistů).</w:t>
            </w:r>
          </w:p>
        </w:tc>
        <w:tc>
          <w:tcPr>
            <w:tcW w:w="1185"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1B3188BB" w14:textId="77777777" w:rsidR="00750ABC"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MD</w:t>
            </w:r>
            <w:r w:rsidR="00AD5A5E">
              <w:rPr>
                <w:rFonts w:eastAsia="Times New Roman" w:cstheme="minorHAnsi"/>
                <w:bCs/>
                <w:sz w:val="18"/>
                <w:szCs w:val="18"/>
                <w:lang w:eastAsia="cs-CZ"/>
              </w:rPr>
              <w:t>,</w:t>
            </w:r>
          </w:p>
          <w:p w14:paraId="565724C8"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CSPSD</w:t>
            </w:r>
          </w:p>
        </w:tc>
      </w:tr>
      <w:tr w:rsidR="00750ABC" w:rsidRPr="009C4343" w14:paraId="3F65EE57"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509FEA65" w14:textId="77777777" w:rsidR="00750ABC" w:rsidRPr="00981B49" w:rsidRDefault="00750ABC" w:rsidP="002365FC">
            <w:pPr>
              <w:spacing w:after="0" w:line="240" w:lineRule="auto"/>
              <w:jc w:val="center"/>
              <w:rPr>
                <w:rFonts w:eastAsia="Times New Roman" w:cstheme="minorHAnsi"/>
                <w:bCs/>
                <w:sz w:val="18"/>
                <w:szCs w:val="18"/>
                <w:lang w:eastAsia="cs-CZ"/>
              </w:rPr>
            </w:pPr>
            <w:r w:rsidRPr="00981B49">
              <w:rPr>
                <w:rFonts w:eastAsia="Times New Roman" w:cstheme="minorHAnsi"/>
                <w:bCs/>
                <w:sz w:val="18"/>
                <w:szCs w:val="18"/>
                <w:lang w:eastAsia="cs-CZ"/>
              </w:rPr>
              <w:t>10</w:t>
            </w:r>
          </w:p>
        </w:tc>
        <w:tc>
          <w:tcPr>
            <w:tcW w:w="708" w:type="dxa"/>
            <w:vMerge/>
            <w:tcBorders>
              <w:left w:val="single" w:sz="4" w:space="0" w:color="auto"/>
              <w:right w:val="single" w:sz="4" w:space="0" w:color="auto"/>
            </w:tcBorders>
            <w:shd w:val="clear" w:color="000000" w:fill="FBE4D5" w:themeFill="accent2" w:themeFillTint="33"/>
            <w:vAlign w:val="center"/>
          </w:tcPr>
          <w:p w14:paraId="21F003C7"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0FCDB007"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2011</w:t>
            </w:r>
            <w:r w:rsidR="00C1354D">
              <w:rPr>
                <w:rFonts w:eastAsia="Times New Roman" w:cstheme="minorHAnsi"/>
                <w:bCs/>
                <w:sz w:val="18"/>
                <w:szCs w:val="18"/>
                <w:lang w:eastAsia="cs-CZ"/>
              </w:rPr>
              <w:t>–</w:t>
            </w:r>
            <w:r>
              <w:rPr>
                <w:rFonts w:eastAsia="Times New Roman" w:cstheme="minorHAnsi"/>
                <w:bCs/>
                <w:sz w:val="18"/>
                <w:szCs w:val="18"/>
                <w:lang w:eastAsia="cs-CZ"/>
              </w:rPr>
              <w:t>2020</w:t>
            </w: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60E6C200"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t>Ú2.11</w:t>
            </w:r>
          </w:p>
        </w:tc>
        <w:tc>
          <w:tcPr>
            <w:tcW w:w="4253"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0FAD6274"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Preventivní aktivity zaměřit na zahraniční řidiče všech kategorií.</w:t>
            </w:r>
          </w:p>
        </w:tc>
        <w:tc>
          <w:tcPr>
            <w:tcW w:w="1185"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09A6B790" w14:textId="77777777" w:rsidR="00750ABC"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MD</w:t>
            </w:r>
            <w:r w:rsidR="00AD5A5E">
              <w:rPr>
                <w:rFonts w:eastAsia="Times New Roman" w:cstheme="minorHAnsi"/>
                <w:bCs/>
                <w:sz w:val="18"/>
                <w:szCs w:val="18"/>
                <w:lang w:eastAsia="cs-CZ"/>
              </w:rPr>
              <w:t>,</w:t>
            </w:r>
          </w:p>
          <w:p w14:paraId="5BDCC45C"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CSPSD</w:t>
            </w:r>
          </w:p>
        </w:tc>
      </w:tr>
      <w:tr w:rsidR="00750ABC" w:rsidRPr="009C4343" w14:paraId="7DC7274A"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44754F2E" w14:textId="77777777" w:rsidR="00750ABC" w:rsidRPr="00981B49" w:rsidRDefault="00750ABC" w:rsidP="002365FC">
            <w:pPr>
              <w:spacing w:after="0" w:line="240" w:lineRule="auto"/>
              <w:jc w:val="center"/>
              <w:rPr>
                <w:rFonts w:eastAsia="Times New Roman" w:cstheme="minorHAnsi"/>
                <w:bCs/>
                <w:sz w:val="18"/>
                <w:szCs w:val="18"/>
                <w:lang w:eastAsia="cs-CZ"/>
              </w:rPr>
            </w:pPr>
            <w:r w:rsidRPr="00981B49">
              <w:rPr>
                <w:rFonts w:eastAsia="Times New Roman" w:cstheme="minorHAnsi"/>
                <w:bCs/>
                <w:sz w:val="18"/>
                <w:szCs w:val="18"/>
                <w:lang w:eastAsia="cs-CZ"/>
              </w:rPr>
              <w:t>11</w:t>
            </w:r>
          </w:p>
        </w:tc>
        <w:tc>
          <w:tcPr>
            <w:tcW w:w="708" w:type="dxa"/>
            <w:vMerge/>
            <w:tcBorders>
              <w:left w:val="single" w:sz="4" w:space="0" w:color="auto"/>
              <w:right w:val="single" w:sz="4" w:space="0" w:color="auto"/>
            </w:tcBorders>
            <w:shd w:val="clear" w:color="000000" w:fill="FBE4D5" w:themeFill="accent2" w:themeFillTint="33"/>
            <w:vAlign w:val="center"/>
          </w:tcPr>
          <w:p w14:paraId="636B6DCD"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2B60465D"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2011</w:t>
            </w:r>
            <w:r w:rsidR="00C1354D">
              <w:rPr>
                <w:rFonts w:eastAsia="Times New Roman" w:cstheme="minorHAnsi"/>
                <w:bCs/>
                <w:sz w:val="18"/>
                <w:szCs w:val="18"/>
                <w:lang w:eastAsia="cs-CZ"/>
              </w:rPr>
              <w:t>–</w:t>
            </w:r>
            <w:r>
              <w:rPr>
                <w:rFonts w:eastAsia="Times New Roman" w:cstheme="minorHAnsi"/>
                <w:bCs/>
                <w:sz w:val="18"/>
                <w:szCs w:val="18"/>
                <w:lang w:eastAsia="cs-CZ"/>
              </w:rPr>
              <w:t>2020</w:t>
            </w: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27781F0D"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t>Ú3.1</w:t>
            </w:r>
          </w:p>
        </w:tc>
        <w:tc>
          <w:tcPr>
            <w:tcW w:w="4253"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464BF137"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Preventivně informační aktivity zaměřit na nebezpečí plynoucí z užívání alkoholu, návykových látek a léků, nejen pro řidiče – držitele všech skupin ŘO, ale také pro ostatní účastníky provozu na pozemních komunikacích.</w:t>
            </w:r>
          </w:p>
        </w:tc>
        <w:tc>
          <w:tcPr>
            <w:tcW w:w="1185"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6A71AD5C" w14:textId="77777777" w:rsidR="00750ABC"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MD</w:t>
            </w:r>
            <w:r w:rsidR="00AD5A5E">
              <w:rPr>
                <w:rFonts w:eastAsia="Times New Roman" w:cstheme="minorHAnsi"/>
                <w:bCs/>
                <w:sz w:val="18"/>
                <w:szCs w:val="18"/>
                <w:lang w:eastAsia="cs-CZ"/>
              </w:rPr>
              <w:t>,</w:t>
            </w:r>
          </w:p>
          <w:p w14:paraId="26148F38"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CSPSD</w:t>
            </w:r>
          </w:p>
        </w:tc>
      </w:tr>
      <w:tr w:rsidR="00750ABC" w:rsidRPr="009C4343" w14:paraId="4DB6AE2E"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5C3B3AD1" w14:textId="77777777" w:rsidR="00750ABC" w:rsidRPr="00981B49" w:rsidRDefault="00750ABC" w:rsidP="002365FC">
            <w:pPr>
              <w:spacing w:after="0" w:line="240" w:lineRule="auto"/>
              <w:jc w:val="center"/>
              <w:rPr>
                <w:rFonts w:eastAsia="Times New Roman" w:cstheme="minorHAnsi"/>
                <w:bCs/>
                <w:sz w:val="18"/>
                <w:szCs w:val="18"/>
                <w:lang w:eastAsia="cs-CZ"/>
              </w:rPr>
            </w:pPr>
            <w:r w:rsidRPr="00981B49">
              <w:rPr>
                <w:rFonts w:eastAsia="Times New Roman" w:cstheme="minorHAnsi"/>
                <w:bCs/>
                <w:sz w:val="18"/>
                <w:szCs w:val="18"/>
                <w:lang w:eastAsia="cs-CZ"/>
              </w:rPr>
              <w:t>12</w:t>
            </w:r>
          </w:p>
        </w:tc>
        <w:tc>
          <w:tcPr>
            <w:tcW w:w="708" w:type="dxa"/>
            <w:vMerge/>
            <w:tcBorders>
              <w:left w:val="single" w:sz="4" w:space="0" w:color="auto"/>
              <w:right w:val="single" w:sz="4" w:space="0" w:color="auto"/>
            </w:tcBorders>
            <w:shd w:val="clear" w:color="000000" w:fill="FBE4D5" w:themeFill="accent2" w:themeFillTint="33"/>
            <w:vAlign w:val="center"/>
          </w:tcPr>
          <w:p w14:paraId="674C445B"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73E74E7E"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2021</w:t>
            </w:r>
            <w:r w:rsidR="00C1354D">
              <w:rPr>
                <w:rFonts w:eastAsia="Times New Roman" w:cstheme="minorHAnsi"/>
                <w:bCs/>
                <w:sz w:val="18"/>
                <w:szCs w:val="18"/>
                <w:lang w:eastAsia="cs-CZ"/>
              </w:rPr>
              <w:t>–</w:t>
            </w:r>
            <w:r>
              <w:rPr>
                <w:rFonts w:eastAsia="Times New Roman" w:cstheme="minorHAnsi"/>
                <w:bCs/>
                <w:sz w:val="18"/>
                <w:szCs w:val="18"/>
                <w:lang w:eastAsia="cs-CZ"/>
              </w:rPr>
              <w:t>2022</w:t>
            </w: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0BBB2625"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ID</w:t>
            </w:r>
            <w:r w:rsidRPr="007F4A71">
              <w:rPr>
                <w:rFonts w:eastAsia="Times New Roman" w:cstheme="minorHAnsi"/>
                <w:bCs/>
                <w:sz w:val="18"/>
                <w:szCs w:val="18"/>
                <w:lang w:eastAsia="cs-CZ"/>
              </w:rPr>
              <w:t>3</w:t>
            </w:r>
          </w:p>
        </w:tc>
        <w:tc>
          <w:tcPr>
            <w:tcW w:w="4253"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25B32259"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Preventivní aktivity upozorňující na rizika nepřiměřené rychlosti a smysl rychlostních limitů</w:t>
            </w:r>
            <w:r w:rsidR="00202F9B">
              <w:rPr>
                <w:rFonts w:eastAsia="Times New Roman" w:cstheme="minorHAnsi"/>
                <w:bCs/>
                <w:sz w:val="18"/>
                <w:szCs w:val="18"/>
                <w:lang w:eastAsia="cs-CZ"/>
              </w:rPr>
              <w:t>.</w:t>
            </w:r>
          </w:p>
        </w:tc>
        <w:tc>
          <w:tcPr>
            <w:tcW w:w="1185"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6439800E" w14:textId="77777777" w:rsidR="00750ABC"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MD</w:t>
            </w:r>
            <w:r w:rsidR="00AD5A5E">
              <w:rPr>
                <w:rFonts w:eastAsia="Times New Roman" w:cstheme="minorHAnsi"/>
                <w:bCs/>
                <w:sz w:val="18"/>
                <w:szCs w:val="18"/>
                <w:lang w:eastAsia="cs-CZ"/>
              </w:rPr>
              <w:t>,</w:t>
            </w:r>
          </w:p>
          <w:p w14:paraId="0CF27D1E"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CSPSD</w:t>
            </w:r>
          </w:p>
        </w:tc>
      </w:tr>
      <w:tr w:rsidR="00750ABC" w:rsidRPr="009C4343" w14:paraId="6870CB0D"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74450315" w14:textId="77777777" w:rsidR="00750ABC" w:rsidRPr="00981B49" w:rsidRDefault="00750ABC" w:rsidP="002365FC">
            <w:pPr>
              <w:spacing w:after="0" w:line="240" w:lineRule="auto"/>
              <w:jc w:val="center"/>
              <w:rPr>
                <w:rFonts w:eastAsia="Times New Roman" w:cstheme="minorHAnsi"/>
                <w:bCs/>
                <w:sz w:val="18"/>
                <w:szCs w:val="18"/>
                <w:lang w:eastAsia="cs-CZ"/>
              </w:rPr>
            </w:pPr>
            <w:r w:rsidRPr="00981B49">
              <w:rPr>
                <w:rFonts w:eastAsia="Times New Roman" w:cstheme="minorHAnsi"/>
                <w:bCs/>
                <w:sz w:val="18"/>
                <w:szCs w:val="18"/>
                <w:lang w:eastAsia="cs-CZ"/>
              </w:rPr>
              <w:t>13</w:t>
            </w:r>
          </w:p>
        </w:tc>
        <w:tc>
          <w:tcPr>
            <w:tcW w:w="708" w:type="dxa"/>
            <w:vMerge/>
            <w:tcBorders>
              <w:left w:val="single" w:sz="4" w:space="0" w:color="auto"/>
              <w:right w:val="single" w:sz="4" w:space="0" w:color="auto"/>
            </w:tcBorders>
            <w:shd w:val="clear" w:color="000000" w:fill="FBE4D5" w:themeFill="accent2" w:themeFillTint="33"/>
            <w:vAlign w:val="center"/>
          </w:tcPr>
          <w:p w14:paraId="16943DCF"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5013E75E"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2021</w:t>
            </w:r>
            <w:r w:rsidR="00C1354D">
              <w:rPr>
                <w:rFonts w:eastAsia="Times New Roman" w:cstheme="minorHAnsi"/>
                <w:bCs/>
                <w:sz w:val="18"/>
                <w:szCs w:val="18"/>
                <w:lang w:eastAsia="cs-CZ"/>
              </w:rPr>
              <w:t>–</w:t>
            </w:r>
            <w:r>
              <w:rPr>
                <w:rFonts w:eastAsia="Times New Roman" w:cstheme="minorHAnsi"/>
                <w:bCs/>
                <w:sz w:val="18"/>
                <w:szCs w:val="18"/>
                <w:lang w:eastAsia="cs-CZ"/>
              </w:rPr>
              <w:t>2022</w:t>
            </w: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269FF1B1"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ID</w:t>
            </w:r>
            <w:r w:rsidRPr="007F4A71">
              <w:rPr>
                <w:rFonts w:eastAsia="Times New Roman" w:cstheme="minorHAnsi"/>
                <w:bCs/>
                <w:sz w:val="18"/>
                <w:szCs w:val="18"/>
                <w:lang w:eastAsia="cs-CZ"/>
              </w:rPr>
              <w:t>6</w:t>
            </w:r>
          </w:p>
        </w:tc>
        <w:tc>
          <w:tcPr>
            <w:tcW w:w="4253"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6107E665"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 xml:space="preserve">Vytvořit videa pro výuku v autoškole formou Hazard Perception. </w:t>
            </w:r>
          </w:p>
        </w:tc>
        <w:tc>
          <w:tcPr>
            <w:tcW w:w="1185"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071E9B65" w14:textId="77777777" w:rsidR="00750ABC"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MD</w:t>
            </w:r>
            <w:r w:rsidR="00AD5A5E">
              <w:rPr>
                <w:rFonts w:eastAsia="Times New Roman" w:cstheme="minorHAnsi"/>
                <w:bCs/>
                <w:sz w:val="18"/>
                <w:szCs w:val="18"/>
                <w:lang w:eastAsia="cs-CZ"/>
              </w:rPr>
              <w:t>,</w:t>
            </w:r>
          </w:p>
          <w:p w14:paraId="3C3C17FB"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CSPSD</w:t>
            </w:r>
          </w:p>
        </w:tc>
      </w:tr>
      <w:tr w:rsidR="00750ABC" w:rsidRPr="009C4343" w14:paraId="328A6F00"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4A2AADE1" w14:textId="77777777" w:rsidR="00750ABC" w:rsidRPr="00981B49" w:rsidRDefault="00750ABC" w:rsidP="002365FC">
            <w:pPr>
              <w:spacing w:after="0" w:line="240" w:lineRule="auto"/>
              <w:jc w:val="center"/>
              <w:rPr>
                <w:rFonts w:eastAsia="Times New Roman" w:cstheme="minorHAnsi"/>
                <w:bCs/>
                <w:sz w:val="18"/>
                <w:szCs w:val="18"/>
                <w:lang w:eastAsia="cs-CZ"/>
              </w:rPr>
            </w:pPr>
            <w:r w:rsidRPr="00981B49">
              <w:rPr>
                <w:rFonts w:eastAsia="Times New Roman" w:cstheme="minorHAnsi"/>
                <w:bCs/>
                <w:sz w:val="18"/>
                <w:szCs w:val="18"/>
                <w:lang w:eastAsia="cs-CZ"/>
              </w:rPr>
              <w:t>14</w:t>
            </w:r>
          </w:p>
        </w:tc>
        <w:tc>
          <w:tcPr>
            <w:tcW w:w="708" w:type="dxa"/>
            <w:vMerge/>
            <w:tcBorders>
              <w:left w:val="single" w:sz="4" w:space="0" w:color="auto"/>
              <w:right w:val="single" w:sz="4" w:space="0" w:color="auto"/>
            </w:tcBorders>
            <w:shd w:val="clear" w:color="000000" w:fill="FBE4D5" w:themeFill="accent2" w:themeFillTint="33"/>
            <w:vAlign w:val="center"/>
          </w:tcPr>
          <w:p w14:paraId="625D69C0"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34AEE2DC"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2021</w:t>
            </w:r>
            <w:r w:rsidR="00C1354D">
              <w:rPr>
                <w:rFonts w:eastAsia="Times New Roman" w:cstheme="minorHAnsi"/>
                <w:bCs/>
                <w:sz w:val="18"/>
                <w:szCs w:val="18"/>
                <w:lang w:eastAsia="cs-CZ"/>
              </w:rPr>
              <w:t>–</w:t>
            </w:r>
            <w:r>
              <w:rPr>
                <w:rFonts w:eastAsia="Times New Roman" w:cstheme="minorHAnsi"/>
                <w:bCs/>
                <w:sz w:val="18"/>
                <w:szCs w:val="18"/>
                <w:lang w:eastAsia="cs-CZ"/>
              </w:rPr>
              <w:t>2022</w:t>
            </w: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3441F248"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ID</w:t>
            </w:r>
            <w:r w:rsidRPr="007F4A71">
              <w:rPr>
                <w:rFonts w:eastAsia="Times New Roman" w:cstheme="minorHAnsi"/>
                <w:bCs/>
                <w:sz w:val="18"/>
                <w:szCs w:val="18"/>
                <w:lang w:eastAsia="cs-CZ"/>
              </w:rPr>
              <w:t>9</w:t>
            </w:r>
          </w:p>
        </w:tc>
        <w:tc>
          <w:tcPr>
            <w:tcW w:w="4253"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60F87E42"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Vytvořit návrh programu pro vzdělávání učitelů autoškol</w:t>
            </w:r>
            <w:r w:rsidR="00202F9B">
              <w:rPr>
                <w:rFonts w:eastAsia="Times New Roman" w:cstheme="minorHAnsi"/>
                <w:bCs/>
                <w:sz w:val="18"/>
                <w:szCs w:val="18"/>
                <w:lang w:eastAsia="cs-CZ"/>
              </w:rPr>
              <w:t>.</w:t>
            </w:r>
          </w:p>
        </w:tc>
        <w:tc>
          <w:tcPr>
            <w:tcW w:w="1185"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38109C78" w14:textId="77777777" w:rsidR="00750ABC"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MD</w:t>
            </w:r>
            <w:r w:rsidR="00AD5A5E">
              <w:rPr>
                <w:rFonts w:eastAsia="Times New Roman" w:cstheme="minorHAnsi"/>
                <w:bCs/>
                <w:sz w:val="18"/>
                <w:szCs w:val="18"/>
                <w:lang w:eastAsia="cs-CZ"/>
              </w:rPr>
              <w:t>,</w:t>
            </w:r>
          </w:p>
          <w:p w14:paraId="704F700C"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CSPSD</w:t>
            </w:r>
          </w:p>
        </w:tc>
      </w:tr>
      <w:tr w:rsidR="00750ABC" w:rsidRPr="009C4343" w14:paraId="2AC33B2B"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03D1298C" w14:textId="77777777" w:rsidR="00750ABC" w:rsidRPr="00981B49" w:rsidRDefault="00750ABC" w:rsidP="002365FC">
            <w:pPr>
              <w:spacing w:after="0" w:line="240" w:lineRule="auto"/>
              <w:jc w:val="center"/>
              <w:rPr>
                <w:rFonts w:eastAsia="Times New Roman" w:cstheme="minorHAnsi"/>
                <w:bCs/>
                <w:sz w:val="18"/>
                <w:szCs w:val="18"/>
                <w:lang w:eastAsia="cs-CZ"/>
              </w:rPr>
            </w:pPr>
            <w:r w:rsidRPr="00981B49">
              <w:rPr>
                <w:rFonts w:eastAsia="Times New Roman" w:cstheme="minorHAnsi"/>
                <w:bCs/>
                <w:sz w:val="18"/>
                <w:szCs w:val="18"/>
                <w:lang w:eastAsia="cs-CZ"/>
              </w:rPr>
              <w:t>15</w:t>
            </w:r>
          </w:p>
        </w:tc>
        <w:tc>
          <w:tcPr>
            <w:tcW w:w="708" w:type="dxa"/>
            <w:vMerge/>
            <w:tcBorders>
              <w:left w:val="single" w:sz="4" w:space="0" w:color="auto"/>
              <w:right w:val="single" w:sz="4" w:space="0" w:color="auto"/>
            </w:tcBorders>
            <w:shd w:val="clear" w:color="000000" w:fill="FBE4D5" w:themeFill="accent2" w:themeFillTint="33"/>
            <w:vAlign w:val="center"/>
          </w:tcPr>
          <w:p w14:paraId="0A338B79"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767A497E"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2021</w:t>
            </w:r>
            <w:r w:rsidR="00C1354D">
              <w:rPr>
                <w:rFonts w:eastAsia="Times New Roman" w:cstheme="minorHAnsi"/>
                <w:bCs/>
                <w:sz w:val="18"/>
                <w:szCs w:val="18"/>
                <w:lang w:eastAsia="cs-CZ"/>
              </w:rPr>
              <w:t>–</w:t>
            </w:r>
            <w:r>
              <w:rPr>
                <w:rFonts w:eastAsia="Times New Roman" w:cstheme="minorHAnsi"/>
                <w:bCs/>
                <w:sz w:val="18"/>
                <w:szCs w:val="18"/>
                <w:lang w:eastAsia="cs-CZ"/>
              </w:rPr>
              <w:t>2022</w:t>
            </w: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4C624AE1"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ID</w:t>
            </w:r>
            <w:r w:rsidRPr="007F4A71">
              <w:rPr>
                <w:rFonts w:eastAsia="Times New Roman" w:cstheme="minorHAnsi"/>
                <w:bCs/>
                <w:sz w:val="18"/>
                <w:szCs w:val="18"/>
                <w:lang w:eastAsia="cs-CZ"/>
              </w:rPr>
              <w:t>11</w:t>
            </w:r>
          </w:p>
        </w:tc>
        <w:tc>
          <w:tcPr>
            <w:tcW w:w="4253"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71DF66FD"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Aktivity upozorňující na nebezpečí používání některých vestavěných in-car systémů, mobilního telefonu, únavy apod.</w:t>
            </w:r>
          </w:p>
        </w:tc>
        <w:tc>
          <w:tcPr>
            <w:tcW w:w="1185"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227EDC2B" w14:textId="77777777" w:rsidR="00750ABC"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MD</w:t>
            </w:r>
            <w:r w:rsidR="00AD5A5E">
              <w:rPr>
                <w:rFonts w:eastAsia="Times New Roman" w:cstheme="minorHAnsi"/>
                <w:bCs/>
                <w:sz w:val="18"/>
                <w:szCs w:val="18"/>
                <w:lang w:eastAsia="cs-CZ"/>
              </w:rPr>
              <w:t>,</w:t>
            </w:r>
          </w:p>
          <w:p w14:paraId="77D11298"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CSPSD</w:t>
            </w:r>
          </w:p>
        </w:tc>
      </w:tr>
      <w:tr w:rsidR="00750ABC" w:rsidRPr="009C4343" w14:paraId="42BF4321"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1EC1B478" w14:textId="77777777" w:rsidR="00750ABC" w:rsidRPr="00981B49" w:rsidRDefault="00750ABC" w:rsidP="002365FC">
            <w:pPr>
              <w:spacing w:after="0" w:line="240" w:lineRule="auto"/>
              <w:jc w:val="center"/>
              <w:rPr>
                <w:rFonts w:eastAsia="Times New Roman" w:cstheme="minorHAnsi"/>
                <w:bCs/>
                <w:sz w:val="18"/>
                <w:szCs w:val="18"/>
                <w:lang w:eastAsia="cs-CZ"/>
              </w:rPr>
            </w:pPr>
            <w:r w:rsidRPr="00981B49">
              <w:rPr>
                <w:rFonts w:eastAsia="Times New Roman" w:cstheme="minorHAnsi"/>
                <w:bCs/>
                <w:sz w:val="18"/>
                <w:szCs w:val="18"/>
                <w:lang w:eastAsia="cs-CZ"/>
              </w:rPr>
              <w:t>16</w:t>
            </w:r>
          </w:p>
        </w:tc>
        <w:tc>
          <w:tcPr>
            <w:tcW w:w="708" w:type="dxa"/>
            <w:vMerge/>
            <w:tcBorders>
              <w:left w:val="single" w:sz="4" w:space="0" w:color="auto"/>
              <w:right w:val="single" w:sz="4" w:space="0" w:color="auto"/>
            </w:tcBorders>
            <w:shd w:val="clear" w:color="000000" w:fill="FBE4D5" w:themeFill="accent2" w:themeFillTint="33"/>
            <w:vAlign w:val="center"/>
          </w:tcPr>
          <w:p w14:paraId="08351CE4"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78A1FA44"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2021</w:t>
            </w:r>
            <w:r w:rsidR="00C1354D">
              <w:rPr>
                <w:rFonts w:eastAsia="Times New Roman" w:cstheme="minorHAnsi"/>
                <w:bCs/>
                <w:sz w:val="18"/>
                <w:szCs w:val="18"/>
                <w:lang w:eastAsia="cs-CZ"/>
              </w:rPr>
              <w:t>–</w:t>
            </w:r>
            <w:r>
              <w:rPr>
                <w:rFonts w:eastAsia="Times New Roman" w:cstheme="minorHAnsi"/>
                <w:bCs/>
                <w:sz w:val="18"/>
                <w:szCs w:val="18"/>
                <w:lang w:eastAsia="cs-CZ"/>
              </w:rPr>
              <w:t>2022</w:t>
            </w: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790AFFAE"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ID</w:t>
            </w:r>
            <w:r w:rsidRPr="007F4A71">
              <w:rPr>
                <w:rFonts w:eastAsia="Times New Roman" w:cstheme="minorHAnsi"/>
                <w:bCs/>
                <w:sz w:val="18"/>
                <w:szCs w:val="18"/>
                <w:lang w:eastAsia="cs-CZ"/>
              </w:rPr>
              <w:t>14</w:t>
            </w:r>
          </w:p>
        </w:tc>
        <w:tc>
          <w:tcPr>
            <w:tcW w:w="4253"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35FFB584"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Aktivity zaměřené na zvýšení viditelnosti a používání ochranných prostředků (přilby, airbag pro motocyklisty</w:t>
            </w:r>
            <w:r w:rsidR="00EF30E2">
              <w:rPr>
                <w:rFonts w:eastAsia="Times New Roman" w:cstheme="minorHAnsi"/>
                <w:bCs/>
                <w:sz w:val="18"/>
                <w:szCs w:val="18"/>
                <w:lang w:eastAsia="cs-CZ"/>
              </w:rPr>
              <w:t xml:space="preserve"> atd.</w:t>
            </w:r>
            <w:r w:rsidRPr="007F4A71">
              <w:rPr>
                <w:rFonts w:eastAsia="Times New Roman" w:cstheme="minorHAnsi"/>
                <w:bCs/>
                <w:sz w:val="18"/>
                <w:szCs w:val="18"/>
                <w:lang w:eastAsia="cs-CZ"/>
              </w:rPr>
              <w:t>), nepozornost (mobily, sluchátka)</w:t>
            </w:r>
            <w:r w:rsidR="00202F9B">
              <w:rPr>
                <w:rFonts w:eastAsia="Times New Roman" w:cstheme="minorHAnsi"/>
                <w:bCs/>
                <w:sz w:val="18"/>
                <w:szCs w:val="18"/>
                <w:lang w:eastAsia="cs-CZ"/>
              </w:rPr>
              <w:t>.</w:t>
            </w:r>
          </w:p>
        </w:tc>
        <w:tc>
          <w:tcPr>
            <w:tcW w:w="1185"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2DE353CF" w14:textId="77777777" w:rsidR="00750ABC"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MD</w:t>
            </w:r>
            <w:r w:rsidR="00AD5A5E">
              <w:rPr>
                <w:rFonts w:eastAsia="Times New Roman" w:cstheme="minorHAnsi"/>
                <w:bCs/>
                <w:sz w:val="18"/>
                <w:szCs w:val="18"/>
                <w:lang w:eastAsia="cs-CZ"/>
              </w:rPr>
              <w:t>,</w:t>
            </w:r>
          </w:p>
          <w:p w14:paraId="0512F149"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CSPSD</w:t>
            </w:r>
          </w:p>
        </w:tc>
      </w:tr>
      <w:tr w:rsidR="00750ABC" w:rsidRPr="009C4343" w14:paraId="2E644813"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3E7F1903" w14:textId="77777777" w:rsidR="00750ABC" w:rsidRPr="00981B49" w:rsidRDefault="00750ABC" w:rsidP="002365FC">
            <w:pPr>
              <w:spacing w:after="0" w:line="240" w:lineRule="auto"/>
              <w:jc w:val="center"/>
              <w:rPr>
                <w:rFonts w:eastAsia="Times New Roman" w:cstheme="minorHAnsi"/>
                <w:bCs/>
                <w:sz w:val="18"/>
                <w:szCs w:val="18"/>
                <w:lang w:eastAsia="cs-CZ"/>
              </w:rPr>
            </w:pPr>
            <w:r w:rsidRPr="00981B49">
              <w:rPr>
                <w:rFonts w:eastAsia="Times New Roman" w:cstheme="minorHAnsi"/>
                <w:bCs/>
                <w:sz w:val="18"/>
                <w:szCs w:val="18"/>
                <w:lang w:eastAsia="cs-CZ"/>
              </w:rPr>
              <w:t>17</w:t>
            </w:r>
          </w:p>
        </w:tc>
        <w:tc>
          <w:tcPr>
            <w:tcW w:w="708" w:type="dxa"/>
            <w:vMerge/>
            <w:tcBorders>
              <w:left w:val="single" w:sz="4" w:space="0" w:color="auto"/>
              <w:right w:val="single" w:sz="4" w:space="0" w:color="auto"/>
            </w:tcBorders>
            <w:shd w:val="clear" w:color="000000" w:fill="FBE4D5" w:themeFill="accent2" w:themeFillTint="33"/>
            <w:vAlign w:val="center"/>
          </w:tcPr>
          <w:p w14:paraId="2CEF61A1"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768139A6"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2021</w:t>
            </w:r>
            <w:r w:rsidR="00C1354D">
              <w:rPr>
                <w:rFonts w:eastAsia="Times New Roman" w:cstheme="minorHAnsi"/>
                <w:bCs/>
                <w:sz w:val="18"/>
                <w:szCs w:val="18"/>
                <w:lang w:eastAsia="cs-CZ"/>
              </w:rPr>
              <w:t>–</w:t>
            </w:r>
            <w:r>
              <w:rPr>
                <w:rFonts w:eastAsia="Times New Roman" w:cstheme="minorHAnsi"/>
                <w:bCs/>
                <w:sz w:val="18"/>
                <w:szCs w:val="18"/>
                <w:lang w:eastAsia="cs-CZ"/>
              </w:rPr>
              <w:t>2022</w:t>
            </w: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568D7F2D"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ID1</w:t>
            </w:r>
            <w:r w:rsidRPr="007F4A71">
              <w:rPr>
                <w:rFonts w:eastAsia="Times New Roman" w:cstheme="minorHAnsi"/>
                <w:bCs/>
                <w:sz w:val="18"/>
                <w:szCs w:val="18"/>
                <w:lang w:eastAsia="cs-CZ"/>
              </w:rPr>
              <w:t>7</w:t>
            </w:r>
          </w:p>
        </w:tc>
        <w:tc>
          <w:tcPr>
            <w:tcW w:w="4253"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0D54D484"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Aktivity na zvýšení povědomí o vlivu léků a návykových látek na schopnost řídit vozidlo</w:t>
            </w:r>
            <w:r w:rsidR="00202F9B">
              <w:rPr>
                <w:rFonts w:eastAsia="Times New Roman" w:cstheme="minorHAnsi"/>
                <w:bCs/>
                <w:sz w:val="18"/>
                <w:szCs w:val="18"/>
                <w:lang w:eastAsia="cs-CZ"/>
              </w:rPr>
              <w:t>.</w:t>
            </w:r>
          </w:p>
        </w:tc>
        <w:tc>
          <w:tcPr>
            <w:tcW w:w="1185"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0A698667" w14:textId="77777777" w:rsidR="00750ABC"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MD</w:t>
            </w:r>
            <w:r w:rsidR="00AD5A5E">
              <w:rPr>
                <w:rFonts w:eastAsia="Times New Roman" w:cstheme="minorHAnsi"/>
                <w:bCs/>
                <w:sz w:val="18"/>
                <w:szCs w:val="18"/>
                <w:lang w:eastAsia="cs-CZ"/>
              </w:rPr>
              <w:t>,</w:t>
            </w:r>
          </w:p>
          <w:p w14:paraId="0D55C49C"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CSPSD</w:t>
            </w:r>
          </w:p>
        </w:tc>
      </w:tr>
      <w:tr w:rsidR="00750ABC" w:rsidRPr="009C4343" w14:paraId="3202F9AD"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582DCB9B" w14:textId="77777777" w:rsidR="00750ABC" w:rsidRPr="00981B49" w:rsidRDefault="00750ABC" w:rsidP="002365FC">
            <w:pPr>
              <w:spacing w:after="0" w:line="240" w:lineRule="auto"/>
              <w:jc w:val="center"/>
              <w:rPr>
                <w:rFonts w:eastAsia="Times New Roman" w:cstheme="minorHAnsi"/>
                <w:bCs/>
                <w:sz w:val="18"/>
                <w:szCs w:val="18"/>
                <w:lang w:eastAsia="cs-CZ"/>
              </w:rPr>
            </w:pPr>
            <w:r w:rsidRPr="00981B49">
              <w:rPr>
                <w:rFonts w:eastAsia="Times New Roman" w:cstheme="minorHAnsi"/>
                <w:bCs/>
                <w:sz w:val="18"/>
                <w:szCs w:val="18"/>
                <w:lang w:eastAsia="cs-CZ"/>
              </w:rPr>
              <w:t>18</w:t>
            </w:r>
          </w:p>
        </w:tc>
        <w:tc>
          <w:tcPr>
            <w:tcW w:w="708" w:type="dxa"/>
            <w:vMerge/>
            <w:tcBorders>
              <w:left w:val="single" w:sz="4" w:space="0" w:color="auto"/>
              <w:bottom w:val="single" w:sz="4" w:space="0" w:color="auto"/>
              <w:right w:val="single" w:sz="4" w:space="0" w:color="auto"/>
            </w:tcBorders>
            <w:shd w:val="clear" w:color="000000" w:fill="FBE4D5" w:themeFill="accent2" w:themeFillTint="33"/>
            <w:vAlign w:val="center"/>
          </w:tcPr>
          <w:p w14:paraId="6FE8D6D1"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52860424"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2021</w:t>
            </w:r>
            <w:r w:rsidR="00C1354D">
              <w:rPr>
                <w:rFonts w:eastAsia="Times New Roman" w:cstheme="minorHAnsi"/>
                <w:bCs/>
                <w:sz w:val="18"/>
                <w:szCs w:val="18"/>
                <w:lang w:eastAsia="cs-CZ"/>
              </w:rPr>
              <w:t>–</w:t>
            </w:r>
            <w:r>
              <w:rPr>
                <w:rFonts w:eastAsia="Times New Roman" w:cstheme="minorHAnsi"/>
                <w:bCs/>
                <w:sz w:val="18"/>
                <w:szCs w:val="18"/>
                <w:lang w:eastAsia="cs-CZ"/>
              </w:rPr>
              <w:t>2022</w:t>
            </w:r>
          </w:p>
        </w:tc>
        <w:tc>
          <w:tcPr>
            <w:tcW w:w="1134"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7A59A86D"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ID</w:t>
            </w:r>
            <w:r w:rsidRPr="007F4A71">
              <w:rPr>
                <w:rFonts w:eastAsia="Times New Roman" w:cstheme="minorHAnsi"/>
                <w:bCs/>
                <w:sz w:val="18"/>
                <w:szCs w:val="18"/>
                <w:lang w:eastAsia="cs-CZ"/>
              </w:rPr>
              <w:t>18</w:t>
            </w:r>
          </w:p>
        </w:tc>
        <w:tc>
          <w:tcPr>
            <w:tcW w:w="4253"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5C9F4526"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Aktivity ke správnému používání zádržných systémů vč.</w:t>
            </w:r>
            <w:r w:rsidR="00E47E10">
              <w:rPr>
                <w:rFonts w:eastAsia="Times New Roman" w:cstheme="minorHAnsi"/>
                <w:bCs/>
                <w:sz w:val="18"/>
                <w:szCs w:val="18"/>
                <w:lang w:eastAsia="cs-CZ"/>
              </w:rPr>
              <w:t> </w:t>
            </w:r>
            <w:r w:rsidRPr="007F4A71">
              <w:rPr>
                <w:rFonts w:eastAsia="Times New Roman" w:cstheme="minorHAnsi"/>
                <w:bCs/>
                <w:sz w:val="18"/>
                <w:szCs w:val="18"/>
                <w:lang w:eastAsia="cs-CZ"/>
              </w:rPr>
              <w:t>dětských sedaček</w:t>
            </w:r>
            <w:r w:rsidR="00202F9B">
              <w:rPr>
                <w:rFonts w:eastAsia="Times New Roman" w:cstheme="minorHAnsi"/>
                <w:bCs/>
                <w:sz w:val="18"/>
                <w:szCs w:val="18"/>
                <w:lang w:eastAsia="cs-CZ"/>
              </w:rPr>
              <w:t>.</w:t>
            </w:r>
          </w:p>
        </w:tc>
        <w:tc>
          <w:tcPr>
            <w:tcW w:w="1185" w:type="dxa"/>
            <w:tcBorders>
              <w:top w:val="single" w:sz="4" w:space="0" w:color="auto"/>
              <w:left w:val="single" w:sz="4" w:space="0" w:color="auto"/>
              <w:bottom w:val="single" w:sz="4" w:space="0" w:color="auto"/>
              <w:right w:val="single" w:sz="4" w:space="0" w:color="auto"/>
            </w:tcBorders>
            <w:shd w:val="clear" w:color="000000" w:fill="FBE4D5" w:themeFill="accent2" w:themeFillTint="33"/>
            <w:vAlign w:val="center"/>
          </w:tcPr>
          <w:p w14:paraId="652C9DD7" w14:textId="77777777" w:rsidR="00750ABC"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MD</w:t>
            </w:r>
            <w:r w:rsidR="00AD5A5E">
              <w:rPr>
                <w:rFonts w:eastAsia="Times New Roman" w:cstheme="minorHAnsi"/>
                <w:bCs/>
                <w:sz w:val="18"/>
                <w:szCs w:val="18"/>
                <w:lang w:eastAsia="cs-CZ"/>
              </w:rPr>
              <w:t>,</w:t>
            </w:r>
          </w:p>
          <w:p w14:paraId="7BB0358A"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CSPSD</w:t>
            </w:r>
          </w:p>
        </w:tc>
      </w:tr>
      <w:tr w:rsidR="00750ABC" w:rsidRPr="009C4343" w14:paraId="41DDA135"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tcPr>
          <w:p w14:paraId="37313625" w14:textId="77777777" w:rsidR="00750ABC" w:rsidRPr="00981B49" w:rsidRDefault="00750ABC" w:rsidP="002365FC">
            <w:pPr>
              <w:spacing w:after="0" w:line="240" w:lineRule="auto"/>
              <w:jc w:val="center"/>
              <w:rPr>
                <w:rFonts w:eastAsia="Times New Roman" w:cstheme="minorHAnsi"/>
                <w:bCs/>
                <w:sz w:val="18"/>
                <w:szCs w:val="18"/>
                <w:lang w:eastAsia="cs-CZ"/>
              </w:rPr>
            </w:pPr>
            <w:r w:rsidRPr="00981B49">
              <w:rPr>
                <w:rFonts w:eastAsia="Times New Roman" w:cstheme="minorHAnsi"/>
                <w:bCs/>
                <w:sz w:val="18"/>
                <w:szCs w:val="18"/>
                <w:lang w:eastAsia="cs-CZ"/>
              </w:rPr>
              <w:t>19</w:t>
            </w:r>
          </w:p>
        </w:tc>
        <w:tc>
          <w:tcPr>
            <w:tcW w:w="708" w:type="dxa"/>
            <w:vMerge w:val="restart"/>
            <w:tcBorders>
              <w:top w:val="single" w:sz="4" w:space="0" w:color="auto"/>
              <w:left w:val="single" w:sz="4" w:space="0" w:color="auto"/>
              <w:right w:val="single" w:sz="4" w:space="0" w:color="auto"/>
            </w:tcBorders>
            <w:shd w:val="clear" w:color="000000" w:fill="D5DCE4" w:themeFill="text2" w:themeFillTint="33"/>
            <w:textDirection w:val="btLr"/>
            <w:vAlign w:val="center"/>
          </w:tcPr>
          <w:p w14:paraId="75F6EA2D" w14:textId="77777777" w:rsidR="00750ABC" w:rsidRPr="007F4A71" w:rsidRDefault="00750ABC" w:rsidP="002365FC">
            <w:pPr>
              <w:spacing w:after="0" w:line="240" w:lineRule="auto"/>
              <w:ind w:left="113" w:right="113"/>
              <w:jc w:val="center"/>
              <w:rPr>
                <w:rFonts w:eastAsia="Times New Roman" w:cstheme="minorHAnsi"/>
                <w:bCs/>
                <w:sz w:val="18"/>
                <w:szCs w:val="18"/>
                <w:lang w:eastAsia="cs-CZ"/>
              </w:rPr>
            </w:pPr>
            <w:r>
              <w:rPr>
                <w:rFonts w:eastAsia="Times New Roman" w:cstheme="minorHAnsi"/>
                <w:bCs/>
                <w:sz w:val="18"/>
                <w:szCs w:val="18"/>
                <w:lang w:eastAsia="cs-CZ"/>
              </w:rPr>
              <w:t>Podpůrné aktivity</w:t>
            </w:r>
          </w:p>
        </w:tc>
        <w:tc>
          <w:tcPr>
            <w:tcW w:w="1134"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tcPr>
          <w:p w14:paraId="1C82BE28"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2011</w:t>
            </w:r>
            <w:r w:rsidR="00C1354D">
              <w:rPr>
                <w:rFonts w:eastAsia="Times New Roman" w:cstheme="minorHAnsi"/>
                <w:bCs/>
                <w:sz w:val="18"/>
                <w:szCs w:val="18"/>
                <w:lang w:eastAsia="cs-CZ"/>
              </w:rPr>
              <w:t>–</w:t>
            </w:r>
            <w:r>
              <w:rPr>
                <w:rFonts w:eastAsia="Times New Roman" w:cstheme="minorHAnsi"/>
                <w:bCs/>
                <w:sz w:val="18"/>
                <w:szCs w:val="18"/>
                <w:lang w:eastAsia="cs-CZ"/>
              </w:rPr>
              <w:t>2020</w:t>
            </w:r>
          </w:p>
        </w:tc>
        <w:tc>
          <w:tcPr>
            <w:tcW w:w="1134"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tcPr>
          <w:p w14:paraId="5EC5B71B"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P2</w:t>
            </w:r>
          </w:p>
        </w:tc>
        <w:tc>
          <w:tcPr>
            <w:tcW w:w="4253" w:type="dxa"/>
            <w:tcBorders>
              <w:top w:val="single" w:sz="4" w:space="0" w:color="auto"/>
              <w:left w:val="single" w:sz="4" w:space="0" w:color="auto"/>
              <w:bottom w:val="single" w:sz="4" w:space="0" w:color="auto"/>
              <w:right w:val="single" w:sz="4" w:space="0" w:color="auto"/>
            </w:tcBorders>
            <w:shd w:val="clear" w:color="000000" w:fill="D5DCE4" w:themeFill="text2" w:themeFillTint="33"/>
          </w:tcPr>
          <w:p w14:paraId="620E77F3" w14:textId="77777777" w:rsidR="00750ABC" w:rsidRPr="00802F2D" w:rsidRDefault="00750ABC" w:rsidP="002365FC">
            <w:pPr>
              <w:spacing w:after="0" w:line="240" w:lineRule="auto"/>
              <w:jc w:val="both"/>
              <w:rPr>
                <w:rFonts w:eastAsia="Times New Roman" w:cstheme="minorHAnsi"/>
                <w:bCs/>
                <w:sz w:val="18"/>
                <w:szCs w:val="18"/>
                <w:lang w:eastAsia="cs-CZ"/>
              </w:rPr>
            </w:pPr>
            <w:r w:rsidRPr="00802F2D">
              <w:rPr>
                <w:rFonts w:eastAsia="Times New Roman" w:cstheme="minorHAnsi"/>
                <w:bCs/>
                <w:sz w:val="18"/>
                <w:szCs w:val="18"/>
                <w:lang w:eastAsia="cs-CZ"/>
              </w:rPr>
              <w:t>Celostátní a místní kampaně, projekty, přednášky a další preventivně edukační aktivity zaměřit na získání dovednosti všech občanů poskytnout účinnou první pomoc (přiměřeně jejich věku). Přípravu zaměřit na aktuální doporučené postupy, které jsou zcela nezbytné pro zachování základních životních funkcí.</w:t>
            </w:r>
          </w:p>
        </w:tc>
        <w:tc>
          <w:tcPr>
            <w:tcW w:w="1185"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tcPr>
          <w:p w14:paraId="601C89C1"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CSPSD</w:t>
            </w:r>
          </w:p>
        </w:tc>
      </w:tr>
      <w:tr w:rsidR="00750ABC" w:rsidRPr="009C4343" w14:paraId="4104C649"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tcPr>
          <w:p w14:paraId="6E7E3DE6" w14:textId="77777777" w:rsidR="00750ABC" w:rsidRPr="00981B49" w:rsidRDefault="00750ABC" w:rsidP="002365FC">
            <w:pPr>
              <w:spacing w:after="0" w:line="240" w:lineRule="auto"/>
              <w:jc w:val="center"/>
              <w:rPr>
                <w:rFonts w:eastAsia="Times New Roman" w:cstheme="minorHAnsi"/>
                <w:bCs/>
                <w:sz w:val="18"/>
                <w:szCs w:val="18"/>
                <w:lang w:eastAsia="cs-CZ"/>
              </w:rPr>
            </w:pPr>
            <w:r w:rsidRPr="00981B49">
              <w:rPr>
                <w:rFonts w:eastAsia="Times New Roman" w:cstheme="minorHAnsi"/>
                <w:bCs/>
                <w:sz w:val="18"/>
                <w:szCs w:val="18"/>
                <w:lang w:eastAsia="cs-CZ"/>
              </w:rPr>
              <w:lastRenderedPageBreak/>
              <w:t>20</w:t>
            </w:r>
          </w:p>
        </w:tc>
        <w:tc>
          <w:tcPr>
            <w:tcW w:w="708" w:type="dxa"/>
            <w:vMerge/>
            <w:tcBorders>
              <w:left w:val="single" w:sz="4" w:space="0" w:color="auto"/>
              <w:bottom w:val="single" w:sz="4" w:space="0" w:color="auto"/>
              <w:right w:val="single" w:sz="4" w:space="0" w:color="auto"/>
            </w:tcBorders>
            <w:shd w:val="clear" w:color="000000" w:fill="D5DCE4" w:themeFill="text2" w:themeFillTint="33"/>
            <w:textDirection w:val="btLr"/>
            <w:vAlign w:val="center"/>
          </w:tcPr>
          <w:p w14:paraId="7C19A3FA" w14:textId="77777777" w:rsidR="00750ABC" w:rsidRPr="007F4A71" w:rsidRDefault="00750ABC" w:rsidP="002365FC">
            <w:pPr>
              <w:spacing w:after="0" w:line="240" w:lineRule="auto"/>
              <w:ind w:left="113" w:right="113"/>
              <w:jc w:val="center"/>
              <w:rPr>
                <w:rFonts w:eastAsia="Times New Roman" w:cstheme="minorHAnsi"/>
                <w:bCs/>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tcPr>
          <w:p w14:paraId="7EB49EBC"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2011</w:t>
            </w:r>
            <w:r w:rsidR="00C1354D">
              <w:rPr>
                <w:rFonts w:eastAsia="Times New Roman" w:cstheme="minorHAnsi"/>
                <w:bCs/>
                <w:sz w:val="18"/>
                <w:szCs w:val="18"/>
                <w:lang w:eastAsia="cs-CZ"/>
              </w:rPr>
              <w:t>–</w:t>
            </w:r>
            <w:r>
              <w:rPr>
                <w:rFonts w:eastAsia="Times New Roman" w:cstheme="minorHAnsi"/>
                <w:bCs/>
                <w:sz w:val="18"/>
                <w:szCs w:val="18"/>
                <w:lang w:eastAsia="cs-CZ"/>
              </w:rPr>
              <w:t>2020</w:t>
            </w:r>
          </w:p>
        </w:tc>
        <w:tc>
          <w:tcPr>
            <w:tcW w:w="1134"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tcPr>
          <w:p w14:paraId="723A884E"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P7</w:t>
            </w:r>
          </w:p>
        </w:tc>
        <w:tc>
          <w:tcPr>
            <w:tcW w:w="4253" w:type="dxa"/>
            <w:tcBorders>
              <w:top w:val="single" w:sz="4" w:space="0" w:color="auto"/>
              <w:left w:val="single" w:sz="4" w:space="0" w:color="auto"/>
              <w:bottom w:val="single" w:sz="4" w:space="0" w:color="auto"/>
              <w:right w:val="single" w:sz="4" w:space="0" w:color="auto"/>
            </w:tcBorders>
            <w:shd w:val="clear" w:color="000000" w:fill="D5DCE4" w:themeFill="text2" w:themeFillTint="33"/>
          </w:tcPr>
          <w:p w14:paraId="4A8C1BD6" w14:textId="77777777" w:rsidR="00750ABC" w:rsidRPr="00802F2D" w:rsidRDefault="00750ABC" w:rsidP="002365FC">
            <w:pPr>
              <w:spacing w:after="0" w:line="240" w:lineRule="auto"/>
              <w:jc w:val="both"/>
              <w:rPr>
                <w:rFonts w:eastAsia="Times New Roman" w:cstheme="minorHAnsi"/>
                <w:bCs/>
                <w:sz w:val="18"/>
                <w:szCs w:val="18"/>
                <w:lang w:eastAsia="cs-CZ"/>
              </w:rPr>
            </w:pPr>
            <w:r w:rsidRPr="00802F2D">
              <w:rPr>
                <w:rFonts w:eastAsia="Times New Roman" w:cstheme="minorHAnsi"/>
                <w:bCs/>
                <w:sz w:val="18"/>
                <w:szCs w:val="18"/>
                <w:lang w:eastAsia="cs-CZ"/>
              </w:rPr>
              <w:t xml:space="preserve">Poskytovat veřejnosti věcné a názorné informace </w:t>
            </w:r>
            <w:r w:rsidR="00AD5A5E">
              <w:rPr>
                <w:rFonts w:eastAsia="Times New Roman" w:cstheme="minorHAnsi"/>
                <w:bCs/>
                <w:sz w:val="18"/>
                <w:szCs w:val="18"/>
                <w:lang w:eastAsia="cs-CZ"/>
              </w:rPr>
              <w:br/>
            </w:r>
            <w:r w:rsidRPr="00802F2D">
              <w:rPr>
                <w:rFonts w:eastAsia="Times New Roman" w:cstheme="minorHAnsi"/>
                <w:bCs/>
                <w:sz w:val="18"/>
                <w:szCs w:val="18"/>
                <w:lang w:eastAsia="cs-CZ"/>
              </w:rPr>
              <w:t>o přijatých legislativních změnách na webových stránkách MD a prostřednictvím masmédií.</w:t>
            </w:r>
          </w:p>
        </w:tc>
        <w:tc>
          <w:tcPr>
            <w:tcW w:w="1185" w:type="dxa"/>
            <w:tcBorders>
              <w:top w:val="single" w:sz="4" w:space="0" w:color="auto"/>
              <w:left w:val="single" w:sz="4" w:space="0" w:color="auto"/>
              <w:bottom w:val="single" w:sz="4" w:space="0" w:color="auto"/>
              <w:right w:val="single" w:sz="4" w:space="0" w:color="auto"/>
            </w:tcBorders>
            <w:shd w:val="clear" w:color="000000" w:fill="D5DCE4" w:themeFill="text2" w:themeFillTint="33"/>
            <w:vAlign w:val="center"/>
          </w:tcPr>
          <w:p w14:paraId="7C14B230"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CSPSD</w:t>
            </w:r>
          </w:p>
        </w:tc>
      </w:tr>
      <w:tr w:rsidR="00750ABC" w:rsidRPr="009C4343" w14:paraId="381859B1"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6F37B941" w14:textId="77777777" w:rsidR="00750ABC" w:rsidRPr="00981B49" w:rsidRDefault="00750ABC" w:rsidP="002365FC">
            <w:pPr>
              <w:spacing w:after="0" w:line="240" w:lineRule="auto"/>
              <w:jc w:val="center"/>
              <w:rPr>
                <w:rFonts w:eastAsia="Times New Roman" w:cstheme="minorHAnsi"/>
                <w:bCs/>
                <w:sz w:val="18"/>
                <w:szCs w:val="18"/>
                <w:lang w:eastAsia="cs-CZ"/>
              </w:rPr>
            </w:pPr>
            <w:r w:rsidRPr="00981B49">
              <w:rPr>
                <w:rFonts w:eastAsia="Times New Roman" w:cstheme="minorHAnsi"/>
                <w:bCs/>
                <w:sz w:val="18"/>
                <w:szCs w:val="18"/>
                <w:lang w:eastAsia="cs-CZ"/>
              </w:rPr>
              <w:t>21</w:t>
            </w:r>
          </w:p>
        </w:tc>
        <w:tc>
          <w:tcPr>
            <w:tcW w:w="708" w:type="dxa"/>
            <w:vMerge w:val="restart"/>
            <w:tcBorders>
              <w:top w:val="single" w:sz="4" w:space="0" w:color="auto"/>
              <w:left w:val="single" w:sz="4" w:space="0" w:color="auto"/>
              <w:right w:val="single" w:sz="4" w:space="0" w:color="auto"/>
            </w:tcBorders>
            <w:shd w:val="clear" w:color="000000" w:fill="E2EFD9" w:themeFill="accent6" w:themeFillTint="33"/>
            <w:textDirection w:val="btLr"/>
            <w:vAlign w:val="center"/>
          </w:tcPr>
          <w:p w14:paraId="47CAF18B" w14:textId="77777777" w:rsidR="00750ABC" w:rsidRPr="007F4A71" w:rsidRDefault="007E01DB" w:rsidP="002365FC">
            <w:pPr>
              <w:spacing w:after="0" w:line="240" w:lineRule="auto"/>
              <w:ind w:left="113" w:right="113"/>
              <w:jc w:val="center"/>
              <w:rPr>
                <w:rFonts w:eastAsia="Times New Roman" w:cstheme="minorHAnsi"/>
                <w:bCs/>
                <w:sz w:val="18"/>
                <w:szCs w:val="18"/>
                <w:lang w:eastAsia="cs-CZ"/>
              </w:rPr>
            </w:pPr>
            <w:r>
              <w:rPr>
                <w:rFonts w:eastAsia="Times New Roman" w:cstheme="minorHAnsi"/>
                <w:bCs/>
                <w:sz w:val="18"/>
                <w:szCs w:val="18"/>
                <w:lang w:eastAsia="cs-CZ"/>
              </w:rPr>
              <w:t>Aktivity zaměřené na legislativní úpravy</w:t>
            </w:r>
          </w:p>
        </w:tc>
        <w:tc>
          <w:tcPr>
            <w:tcW w:w="1134"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4FA12FF2"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2011</w:t>
            </w:r>
            <w:r w:rsidR="00C1354D">
              <w:rPr>
                <w:rFonts w:eastAsia="Times New Roman" w:cstheme="minorHAnsi"/>
                <w:bCs/>
                <w:sz w:val="18"/>
                <w:szCs w:val="18"/>
                <w:lang w:eastAsia="cs-CZ"/>
              </w:rPr>
              <w:t>–</w:t>
            </w:r>
            <w:r>
              <w:rPr>
                <w:rFonts w:eastAsia="Times New Roman" w:cstheme="minorHAnsi"/>
                <w:bCs/>
                <w:sz w:val="18"/>
                <w:szCs w:val="18"/>
                <w:lang w:eastAsia="cs-CZ"/>
              </w:rPr>
              <w:t>2020</w:t>
            </w:r>
          </w:p>
        </w:tc>
        <w:tc>
          <w:tcPr>
            <w:tcW w:w="1134"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75B93792"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t>Ú7.1</w:t>
            </w:r>
          </w:p>
        </w:tc>
        <w:tc>
          <w:tcPr>
            <w:tcW w:w="4253"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5D95C204"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Legislativně zavést povinné používání přileb pro všechny cyklisty bez omezení věku</w:t>
            </w:r>
            <w:r w:rsidR="00202F9B">
              <w:rPr>
                <w:rFonts w:eastAsia="Times New Roman" w:cstheme="minorHAnsi"/>
                <w:bCs/>
                <w:sz w:val="18"/>
                <w:szCs w:val="18"/>
                <w:lang w:eastAsia="cs-CZ"/>
              </w:rPr>
              <w:t>.</w:t>
            </w:r>
          </w:p>
        </w:tc>
        <w:tc>
          <w:tcPr>
            <w:tcW w:w="1185"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5540F589"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MD</w:t>
            </w:r>
          </w:p>
        </w:tc>
      </w:tr>
      <w:tr w:rsidR="00750ABC" w:rsidRPr="009C4343" w14:paraId="6015065A"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1935BBBC" w14:textId="77777777" w:rsidR="00750ABC" w:rsidRPr="00981B49" w:rsidRDefault="00750ABC" w:rsidP="002365FC">
            <w:pPr>
              <w:spacing w:after="0" w:line="240" w:lineRule="auto"/>
              <w:jc w:val="center"/>
              <w:rPr>
                <w:rFonts w:eastAsia="Times New Roman" w:cstheme="minorHAnsi"/>
                <w:bCs/>
                <w:sz w:val="18"/>
                <w:szCs w:val="18"/>
                <w:lang w:eastAsia="cs-CZ"/>
              </w:rPr>
            </w:pPr>
            <w:r w:rsidRPr="00981B49">
              <w:rPr>
                <w:rFonts w:eastAsia="Times New Roman" w:cstheme="minorHAnsi"/>
                <w:bCs/>
                <w:sz w:val="18"/>
                <w:szCs w:val="18"/>
                <w:lang w:eastAsia="cs-CZ"/>
              </w:rPr>
              <w:t>22</w:t>
            </w:r>
          </w:p>
        </w:tc>
        <w:tc>
          <w:tcPr>
            <w:tcW w:w="708" w:type="dxa"/>
            <w:vMerge/>
            <w:tcBorders>
              <w:left w:val="single" w:sz="4" w:space="0" w:color="auto"/>
              <w:right w:val="single" w:sz="4" w:space="0" w:color="auto"/>
            </w:tcBorders>
            <w:shd w:val="clear" w:color="000000" w:fill="E2EFD9" w:themeFill="accent6" w:themeFillTint="33"/>
            <w:vAlign w:val="center"/>
          </w:tcPr>
          <w:p w14:paraId="3D6FEC5F"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09CBC085"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2011</w:t>
            </w:r>
            <w:r w:rsidR="00C1354D">
              <w:rPr>
                <w:rFonts w:eastAsia="Times New Roman" w:cstheme="minorHAnsi"/>
                <w:bCs/>
                <w:sz w:val="18"/>
                <w:szCs w:val="18"/>
                <w:lang w:eastAsia="cs-CZ"/>
              </w:rPr>
              <w:t>–</w:t>
            </w:r>
            <w:r>
              <w:rPr>
                <w:rFonts w:eastAsia="Times New Roman" w:cstheme="minorHAnsi"/>
                <w:bCs/>
                <w:sz w:val="18"/>
                <w:szCs w:val="18"/>
                <w:lang w:eastAsia="cs-CZ"/>
              </w:rPr>
              <w:t>2020</w:t>
            </w:r>
          </w:p>
        </w:tc>
        <w:tc>
          <w:tcPr>
            <w:tcW w:w="1134"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68A57725"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t>Ú7.2</w:t>
            </w:r>
          </w:p>
        </w:tc>
        <w:tc>
          <w:tcPr>
            <w:tcW w:w="4253"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2ED8B590"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Prověřit možnosti legislativního zavedení řidičského průkazu na zkoušku do zákona č. 361/2000 Sb.</w:t>
            </w:r>
          </w:p>
        </w:tc>
        <w:tc>
          <w:tcPr>
            <w:tcW w:w="1185"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4ABA1719"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MD</w:t>
            </w:r>
          </w:p>
        </w:tc>
      </w:tr>
      <w:tr w:rsidR="00750ABC" w:rsidRPr="009C4343" w14:paraId="15FE2EED"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21A19698" w14:textId="77777777" w:rsidR="00750ABC" w:rsidRPr="00981B49" w:rsidRDefault="00750ABC" w:rsidP="002365FC">
            <w:pPr>
              <w:spacing w:after="0" w:line="240" w:lineRule="auto"/>
              <w:jc w:val="center"/>
              <w:rPr>
                <w:rFonts w:eastAsia="Times New Roman" w:cstheme="minorHAnsi"/>
                <w:bCs/>
                <w:sz w:val="18"/>
                <w:szCs w:val="18"/>
                <w:lang w:eastAsia="cs-CZ"/>
              </w:rPr>
            </w:pPr>
            <w:r w:rsidRPr="00981B49">
              <w:rPr>
                <w:rFonts w:eastAsia="Times New Roman" w:cstheme="minorHAnsi"/>
                <w:bCs/>
                <w:sz w:val="18"/>
                <w:szCs w:val="18"/>
                <w:lang w:eastAsia="cs-CZ"/>
              </w:rPr>
              <w:t>23</w:t>
            </w:r>
          </w:p>
        </w:tc>
        <w:tc>
          <w:tcPr>
            <w:tcW w:w="708" w:type="dxa"/>
            <w:vMerge/>
            <w:tcBorders>
              <w:left w:val="single" w:sz="4" w:space="0" w:color="auto"/>
              <w:right w:val="single" w:sz="4" w:space="0" w:color="auto"/>
            </w:tcBorders>
            <w:shd w:val="clear" w:color="000000" w:fill="E2EFD9" w:themeFill="accent6" w:themeFillTint="33"/>
            <w:vAlign w:val="center"/>
          </w:tcPr>
          <w:p w14:paraId="4F1B0E46"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5BFF7117"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2011</w:t>
            </w:r>
            <w:r w:rsidR="00C1354D">
              <w:rPr>
                <w:rFonts w:eastAsia="Times New Roman" w:cstheme="minorHAnsi"/>
                <w:bCs/>
                <w:sz w:val="18"/>
                <w:szCs w:val="18"/>
                <w:lang w:eastAsia="cs-CZ"/>
              </w:rPr>
              <w:t>–</w:t>
            </w:r>
            <w:r>
              <w:rPr>
                <w:rFonts w:eastAsia="Times New Roman" w:cstheme="minorHAnsi"/>
                <w:bCs/>
                <w:sz w:val="18"/>
                <w:szCs w:val="18"/>
                <w:lang w:eastAsia="cs-CZ"/>
              </w:rPr>
              <w:t>2020</w:t>
            </w:r>
          </w:p>
        </w:tc>
        <w:tc>
          <w:tcPr>
            <w:tcW w:w="1134"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71A25B24"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t>Ú7.3</w:t>
            </w:r>
          </w:p>
        </w:tc>
        <w:tc>
          <w:tcPr>
            <w:tcW w:w="4253"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7C8F6178"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Prověřit možnosti legislativní úpravy podmínek provozu specifických dopravních prostředků (elektrokola, elektrokoloběžky) na pozemních komunikacích.</w:t>
            </w:r>
          </w:p>
        </w:tc>
        <w:tc>
          <w:tcPr>
            <w:tcW w:w="1185"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239B404A"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MD</w:t>
            </w:r>
          </w:p>
        </w:tc>
      </w:tr>
      <w:tr w:rsidR="00750ABC" w:rsidRPr="009C4343" w14:paraId="0CDB0D6E"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535AFDFB" w14:textId="77777777" w:rsidR="00750ABC" w:rsidRPr="00981B49" w:rsidRDefault="00750ABC" w:rsidP="002365FC">
            <w:pPr>
              <w:spacing w:after="0" w:line="240" w:lineRule="auto"/>
              <w:jc w:val="center"/>
              <w:rPr>
                <w:rFonts w:eastAsia="Times New Roman" w:cstheme="minorHAnsi"/>
                <w:bCs/>
                <w:sz w:val="18"/>
                <w:szCs w:val="18"/>
                <w:lang w:eastAsia="cs-CZ"/>
              </w:rPr>
            </w:pPr>
            <w:r w:rsidRPr="00981B49">
              <w:rPr>
                <w:rFonts w:eastAsia="Times New Roman" w:cstheme="minorHAnsi"/>
                <w:bCs/>
                <w:sz w:val="18"/>
                <w:szCs w:val="18"/>
                <w:lang w:eastAsia="cs-CZ"/>
              </w:rPr>
              <w:t>24</w:t>
            </w:r>
          </w:p>
        </w:tc>
        <w:tc>
          <w:tcPr>
            <w:tcW w:w="708" w:type="dxa"/>
            <w:vMerge/>
            <w:tcBorders>
              <w:left w:val="single" w:sz="4" w:space="0" w:color="auto"/>
              <w:right w:val="single" w:sz="4" w:space="0" w:color="auto"/>
            </w:tcBorders>
            <w:shd w:val="clear" w:color="000000" w:fill="E2EFD9" w:themeFill="accent6" w:themeFillTint="33"/>
            <w:vAlign w:val="center"/>
          </w:tcPr>
          <w:p w14:paraId="64CE75C0"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5F883258"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2011</w:t>
            </w:r>
            <w:r w:rsidR="00C1354D">
              <w:rPr>
                <w:rFonts w:eastAsia="Times New Roman" w:cstheme="minorHAnsi"/>
                <w:bCs/>
                <w:sz w:val="18"/>
                <w:szCs w:val="18"/>
                <w:lang w:eastAsia="cs-CZ"/>
              </w:rPr>
              <w:t>–</w:t>
            </w:r>
            <w:r>
              <w:rPr>
                <w:rFonts w:eastAsia="Times New Roman" w:cstheme="minorHAnsi"/>
                <w:bCs/>
                <w:sz w:val="18"/>
                <w:szCs w:val="18"/>
                <w:lang w:eastAsia="cs-CZ"/>
              </w:rPr>
              <w:t>2020</w:t>
            </w:r>
          </w:p>
        </w:tc>
        <w:tc>
          <w:tcPr>
            <w:tcW w:w="1134"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070053E2"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t>Ú7.4</w:t>
            </w:r>
          </w:p>
        </w:tc>
        <w:tc>
          <w:tcPr>
            <w:tcW w:w="4253"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329EA685"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Vyhodnotit a případně přepracovat právní úpravu podmínek, jež musí splňovat řidiči 65+ pro udržení schopnosti bezpečného řízení.</w:t>
            </w:r>
          </w:p>
        </w:tc>
        <w:tc>
          <w:tcPr>
            <w:tcW w:w="1185"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0B67169C"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MD</w:t>
            </w:r>
          </w:p>
        </w:tc>
      </w:tr>
      <w:tr w:rsidR="00750ABC" w:rsidRPr="009C4343" w14:paraId="32A6D65E"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4A9EF5A0" w14:textId="77777777" w:rsidR="00750ABC" w:rsidRPr="00981B49" w:rsidRDefault="00750ABC" w:rsidP="002365FC">
            <w:pPr>
              <w:spacing w:after="0" w:line="240" w:lineRule="auto"/>
              <w:jc w:val="center"/>
              <w:rPr>
                <w:rFonts w:eastAsia="Times New Roman" w:cstheme="minorHAnsi"/>
                <w:bCs/>
                <w:sz w:val="18"/>
                <w:szCs w:val="18"/>
                <w:lang w:eastAsia="cs-CZ"/>
              </w:rPr>
            </w:pPr>
            <w:r w:rsidRPr="00981B49">
              <w:rPr>
                <w:rFonts w:eastAsia="Times New Roman" w:cstheme="minorHAnsi"/>
                <w:bCs/>
                <w:sz w:val="18"/>
                <w:szCs w:val="18"/>
                <w:lang w:eastAsia="cs-CZ"/>
              </w:rPr>
              <w:t>25</w:t>
            </w:r>
          </w:p>
        </w:tc>
        <w:tc>
          <w:tcPr>
            <w:tcW w:w="708" w:type="dxa"/>
            <w:vMerge/>
            <w:tcBorders>
              <w:left w:val="single" w:sz="4" w:space="0" w:color="auto"/>
              <w:right w:val="single" w:sz="4" w:space="0" w:color="auto"/>
            </w:tcBorders>
            <w:shd w:val="clear" w:color="000000" w:fill="E2EFD9" w:themeFill="accent6" w:themeFillTint="33"/>
            <w:vAlign w:val="center"/>
          </w:tcPr>
          <w:p w14:paraId="4F41CB99"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2A2C8992"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2011</w:t>
            </w:r>
            <w:r w:rsidR="00C1354D">
              <w:rPr>
                <w:rFonts w:eastAsia="Times New Roman" w:cstheme="minorHAnsi"/>
                <w:bCs/>
                <w:sz w:val="18"/>
                <w:szCs w:val="18"/>
                <w:lang w:eastAsia="cs-CZ"/>
              </w:rPr>
              <w:t>–</w:t>
            </w:r>
            <w:r>
              <w:rPr>
                <w:rFonts w:eastAsia="Times New Roman" w:cstheme="minorHAnsi"/>
                <w:bCs/>
                <w:sz w:val="18"/>
                <w:szCs w:val="18"/>
                <w:lang w:eastAsia="cs-CZ"/>
              </w:rPr>
              <w:t>2020</w:t>
            </w:r>
          </w:p>
        </w:tc>
        <w:tc>
          <w:tcPr>
            <w:tcW w:w="1134"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09A6697A"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t>Ú7.5</w:t>
            </w:r>
          </w:p>
        </w:tc>
        <w:tc>
          <w:tcPr>
            <w:tcW w:w="4253"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50293314"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Legislativně definovat bezpečnou vzdálenost mezi vozidly.</w:t>
            </w:r>
          </w:p>
        </w:tc>
        <w:tc>
          <w:tcPr>
            <w:tcW w:w="1185"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57996439"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MD</w:t>
            </w:r>
          </w:p>
        </w:tc>
      </w:tr>
      <w:tr w:rsidR="00750ABC" w:rsidRPr="009C4343" w14:paraId="58EF5C49"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457AB10F" w14:textId="77777777" w:rsidR="00750ABC" w:rsidRPr="00981B49" w:rsidRDefault="00750ABC" w:rsidP="002365FC">
            <w:pPr>
              <w:spacing w:after="0" w:line="240" w:lineRule="auto"/>
              <w:jc w:val="center"/>
              <w:rPr>
                <w:rFonts w:eastAsia="Times New Roman" w:cstheme="minorHAnsi"/>
                <w:bCs/>
                <w:sz w:val="18"/>
                <w:szCs w:val="18"/>
                <w:lang w:eastAsia="cs-CZ"/>
              </w:rPr>
            </w:pPr>
            <w:r w:rsidRPr="00981B49">
              <w:rPr>
                <w:rFonts w:eastAsia="Times New Roman" w:cstheme="minorHAnsi"/>
                <w:bCs/>
                <w:sz w:val="18"/>
                <w:szCs w:val="18"/>
                <w:lang w:eastAsia="cs-CZ"/>
              </w:rPr>
              <w:t>26</w:t>
            </w:r>
          </w:p>
        </w:tc>
        <w:tc>
          <w:tcPr>
            <w:tcW w:w="708" w:type="dxa"/>
            <w:vMerge/>
            <w:tcBorders>
              <w:left w:val="single" w:sz="4" w:space="0" w:color="auto"/>
              <w:right w:val="single" w:sz="4" w:space="0" w:color="auto"/>
            </w:tcBorders>
            <w:shd w:val="clear" w:color="000000" w:fill="E2EFD9" w:themeFill="accent6" w:themeFillTint="33"/>
            <w:vAlign w:val="center"/>
          </w:tcPr>
          <w:p w14:paraId="0EE76F48"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5FA4E709"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2011</w:t>
            </w:r>
            <w:r w:rsidR="00C1354D">
              <w:rPr>
                <w:rFonts w:eastAsia="Times New Roman" w:cstheme="minorHAnsi"/>
                <w:bCs/>
                <w:sz w:val="18"/>
                <w:szCs w:val="18"/>
                <w:lang w:eastAsia="cs-CZ"/>
              </w:rPr>
              <w:t>–</w:t>
            </w:r>
            <w:r>
              <w:rPr>
                <w:rFonts w:eastAsia="Times New Roman" w:cstheme="minorHAnsi"/>
                <w:bCs/>
                <w:sz w:val="18"/>
                <w:szCs w:val="18"/>
                <w:lang w:eastAsia="cs-CZ"/>
              </w:rPr>
              <w:t>2020</w:t>
            </w:r>
          </w:p>
        </w:tc>
        <w:tc>
          <w:tcPr>
            <w:tcW w:w="1134"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544021DB"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t>Ú7.6</w:t>
            </w:r>
          </w:p>
        </w:tc>
        <w:tc>
          <w:tcPr>
            <w:tcW w:w="4253"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3B5FA361"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 xml:space="preserve">Legislativní zavedení alkolocku jako účinného technického řešení pro zamezení jízdy pod vlivem alkoholu, zvláště u profesionálních a recidivujících řidičů. </w:t>
            </w:r>
          </w:p>
        </w:tc>
        <w:tc>
          <w:tcPr>
            <w:tcW w:w="1185"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5F0B8B64"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MD</w:t>
            </w:r>
          </w:p>
        </w:tc>
      </w:tr>
      <w:tr w:rsidR="00750ABC" w:rsidRPr="009C4343" w14:paraId="30B86E69"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71B43801" w14:textId="77777777" w:rsidR="00750ABC" w:rsidRPr="00981B49" w:rsidRDefault="00750ABC" w:rsidP="002365FC">
            <w:pPr>
              <w:spacing w:after="0" w:line="240" w:lineRule="auto"/>
              <w:jc w:val="center"/>
              <w:rPr>
                <w:rFonts w:eastAsia="Times New Roman" w:cstheme="minorHAnsi"/>
                <w:bCs/>
                <w:sz w:val="18"/>
                <w:szCs w:val="18"/>
                <w:lang w:eastAsia="cs-CZ"/>
              </w:rPr>
            </w:pPr>
            <w:r w:rsidRPr="00981B49">
              <w:rPr>
                <w:rFonts w:eastAsia="Times New Roman" w:cstheme="minorHAnsi"/>
                <w:bCs/>
                <w:sz w:val="18"/>
                <w:szCs w:val="18"/>
                <w:lang w:eastAsia="cs-CZ"/>
              </w:rPr>
              <w:t>27</w:t>
            </w:r>
          </w:p>
        </w:tc>
        <w:tc>
          <w:tcPr>
            <w:tcW w:w="708" w:type="dxa"/>
            <w:vMerge/>
            <w:tcBorders>
              <w:left w:val="single" w:sz="4" w:space="0" w:color="auto"/>
              <w:right w:val="single" w:sz="4" w:space="0" w:color="auto"/>
            </w:tcBorders>
            <w:shd w:val="clear" w:color="000000" w:fill="E2EFD9" w:themeFill="accent6" w:themeFillTint="33"/>
            <w:vAlign w:val="center"/>
          </w:tcPr>
          <w:p w14:paraId="29D57640"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7D2640B3"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2011</w:t>
            </w:r>
            <w:r w:rsidR="00C1354D">
              <w:rPr>
                <w:rFonts w:eastAsia="Times New Roman" w:cstheme="minorHAnsi"/>
                <w:bCs/>
                <w:sz w:val="18"/>
                <w:szCs w:val="18"/>
                <w:lang w:eastAsia="cs-CZ"/>
              </w:rPr>
              <w:t>–</w:t>
            </w:r>
            <w:r>
              <w:rPr>
                <w:rFonts w:eastAsia="Times New Roman" w:cstheme="minorHAnsi"/>
                <w:bCs/>
                <w:sz w:val="18"/>
                <w:szCs w:val="18"/>
                <w:lang w:eastAsia="cs-CZ"/>
              </w:rPr>
              <w:t>2020</w:t>
            </w:r>
          </w:p>
        </w:tc>
        <w:tc>
          <w:tcPr>
            <w:tcW w:w="1134"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3F8D0FDC"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t>Ú8.1</w:t>
            </w:r>
          </w:p>
        </w:tc>
        <w:tc>
          <w:tcPr>
            <w:tcW w:w="4253"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21A63614"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Zavést účinnější postihy při opakovaném porušení zákazu řízení.</w:t>
            </w:r>
          </w:p>
        </w:tc>
        <w:tc>
          <w:tcPr>
            <w:tcW w:w="1185"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007557DD"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MD</w:t>
            </w:r>
          </w:p>
        </w:tc>
      </w:tr>
      <w:tr w:rsidR="00750ABC" w:rsidRPr="009C4343" w14:paraId="6134DFAF"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2E7083AB" w14:textId="77777777" w:rsidR="00750ABC" w:rsidRPr="00981B49" w:rsidRDefault="00750ABC" w:rsidP="002365FC">
            <w:pPr>
              <w:spacing w:after="0" w:line="240" w:lineRule="auto"/>
              <w:jc w:val="center"/>
              <w:rPr>
                <w:rFonts w:eastAsia="Times New Roman" w:cstheme="minorHAnsi"/>
                <w:bCs/>
                <w:sz w:val="18"/>
                <w:szCs w:val="18"/>
                <w:lang w:eastAsia="cs-CZ"/>
              </w:rPr>
            </w:pPr>
            <w:r w:rsidRPr="00981B49">
              <w:rPr>
                <w:rFonts w:eastAsia="Times New Roman" w:cstheme="minorHAnsi"/>
                <w:bCs/>
                <w:sz w:val="18"/>
                <w:szCs w:val="18"/>
                <w:lang w:eastAsia="cs-CZ"/>
              </w:rPr>
              <w:t>28</w:t>
            </w:r>
          </w:p>
        </w:tc>
        <w:tc>
          <w:tcPr>
            <w:tcW w:w="708" w:type="dxa"/>
            <w:vMerge/>
            <w:tcBorders>
              <w:left w:val="single" w:sz="4" w:space="0" w:color="auto"/>
              <w:right w:val="single" w:sz="4" w:space="0" w:color="auto"/>
            </w:tcBorders>
            <w:shd w:val="clear" w:color="000000" w:fill="E2EFD9" w:themeFill="accent6" w:themeFillTint="33"/>
            <w:vAlign w:val="center"/>
          </w:tcPr>
          <w:p w14:paraId="2D780E14"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71C0D404"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2011</w:t>
            </w:r>
            <w:r w:rsidR="00C1354D">
              <w:rPr>
                <w:rFonts w:eastAsia="Times New Roman" w:cstheme="minorHAnsi"/>
                <w:bCs/>
                <w:sz w:val="18"/>
                <w:szCs w:val="18"/>
                <w:lang w:eastAsia="cs-CZ"/>
              </w:rPr>
              <w:t>–</w:t>
            </w:r>
            <w:r>
              <w:rPr>
                <w:rFonts w:eastAsia="Times New Roman" w:cstheme="minorHAnsi"/>
                <w:bCs/>
                <w:sz w:val="18"/>
                <w:szCs w:val="18"/>
                <w:lang w:eastAsia="cs-CZ"/>
              </w:rPr>
              <w:t>2020</w:t>
            </w:r>
          </w:p>
        </w:tc>
        <w:tc>
          <w:tcPr>
            <w:tcW w:w="1134"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0D928F3C"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t>Ú8.2</w:t>
            </w:r>
          </w:p>
        </w:tc>
        <w:tc>
          <w:tcPr>
            <w:tcW w:w="4253"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4A8DB0B6"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Upravit systém působení na recidivující přestupce, zvláště na řidiče, kteří nedodržují nejvyšší dovolenou rychlost jízdy nebo zneužívají alkohol či návykové látky.</w:t>
            </w:r>
          </w:p>
        </w:tc>
        <w:tc>
          <w:tcPr>
            <w:tcW w:w="1185"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38C10DA2"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MD</w:t>
            </w:r>
          </w:p>
        </w:tc>
      </w:tr>
      <w:tr w:rsidR="00750ABC" w:rsidRPr="009C4343" w14:paraId="074D8E15"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447622A0" w14:textId="77777777" w:rsidR="00750ABC" w:rsidRPr="00981B49" w:rsidRDefault="00750ABC" w:rsidP="002365FC">
            <w:pPr>
              <w:spacing w:after="0" w:line="240" w:lineRule="auto"/>
              <w:jc w:val="center"/>
              <w:rPr>
                <w:rFonts w:eastAsia="Times New Roman" w:cstheme="minorHAnsi"/>
                <w:bCs/>
                <w:sz w:val="18"/>
                <w:szCs w:val="18"/>
                <w:lang w:eastAsia="cs-CZ"/>
              </w:rPr>
            </w:pPr>
            <w:r w:rsidRPr="00981B49">
              <w:rPr>
                <w:rFonts w:eastAsia="Times New Roman" w:cstheme="minorHAnsi"/>
                <w:bCs/>
                <w:sz w:val="18"/>
                <w:szCs w:val="18"/>
                <w:lang w:eastAsia="cs-CZ"/>
              </w:rPr>
              <w:t>29</w:t>
            </w:r>
          </w:p>
        </w:tc>
        <w:tc>
          <w:tcPr>
            <w:tcW w:w="708" w:type="dxa"/>
            <w:vMerge/>
            <w:tcBorders>
              <w:left w:val="single" w:sz="4" w:space="0" w:color="auto"/>
              <w:right w:val="single" w:sz="4" w:space="0" w:color="auto"/>
            </w:tcBorders>
            <w:shd w:val="clear" w:color="000000" w:fill="E2EFD9" w:themeFill="accent6" w:themeFillTint="33"/>
            <w:vAlign w:val="center"/>
          </w:tcPr>
          <w:p w14:paraId="031B3D1B"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4703D447"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2011</w:t>
            </w:r>
            <w:r w:rsidR="00C1354D">
              <w:rPr>
                <w:rFonts w:eastAsia="Times New Roman" w:cstheme="minorHAnsi"/>
                <w:bCs/>
                <w:sz w:val="18"/>
                <w:szCs w:val="18"/>
                <w:lang w:eastAsia="cs-CZ"/>
              </w:rPr>
              <w:t>–</w:t>
            </w:r>
            <w:r>
              <w:rPr>
                <w:rFonts w:eastAsia="Times New Roman" w:cstheme="minorHAnsi"/>
                <w:bCs/>
                <w:sz w:val="18"/>
                <w:szCs w:val="18"/>
                <w:lang w:eastAsia="cs-CZ"/>
              </w:rPr>
              <w:t>2020</w:t>
            </w:r>
          </w:p>
        </w:tc>
        <w:tc>
          <w:tcPr>
            <w:tcW w:w="1134"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78F38CB8"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t>Ú8.3</w:t>
            </w:r>
          </w:p>
        </w:tc>
        <w:tc>
          <w:tcPr>
            <w:tcW w:w="4253"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326A7963"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Stanovit přísnější podmínky bodového hodnocení pro začínající řidiče, s praxí do 2 let.</w:t>
            </w:r>
          </w:p>
        </w:tc>
        <w:tc>
          <w:tcPr>
            <w:tcW w:w="1185"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39BF9F43"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MD</w:t>
            </w:r>
          </w:p>
        </w:tc>
      </w:tr>
      <w:tr w:rsidR="00750ABC" w:rsidRPr="009C4343" w14:paraId="2565ACD0"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45506CB5" w14:textId="77777777" w:rsidR="00750ABC" w:rsidRPr="00981B49" w:rsidRDefault="00750ABC" w:rsidP="002365FC">
            <w:pPr>
              <w:spacing w:after="0" w:line="240" w:lineRule="auto"/>
              <w:jc w:val="center"/>
              <w:rPr>
                <w:rFonts w:eastAsia="Times New Roman" w:cstheme="minorHAnsi"/>
                <w:bCs/>
                <w:sz w:val="18"/>
                <w:szCs w:val="18"/>
                <w:lang w:eastAsia="cs-CZ"/>
              </w:rPr>
            </w:pPr>
            <w:r w:rsidRPr="00981B49">
              <w:rPr>
                <w:rFonts w:eastAsia="Times New Roman" w:cstheme="minorHAnsi"/>
                <w:bCs/>
                <w:sz w:val="18"/>
                <w:szCs w:val="18"/>
                <w:lang w:eastAsia="cs-CZ"/>
              </w:rPr>
              <w:t>30</w:t>
            </w:r>
          </w:p>
        </w:tc>
        <w:tc>
          <w:tcPr>
            <w:tcW w:w="708" w:type="dxa"/>
            <w:vMerge/>
            <w:tcBorders>
              <w:left w:val="single" w:sz="4" w:space="0" w:color="auto"/>
              <w:right w:val="single" w:sz="4" w:space="0" w:color="auto"/>
            </w:tcBorders>
            <w:shd w:val="clear" w:color="000000" w:fill="E2EFD9" w:themeFill="accent6" w:themeFillTint="33"/>
            <w:vAlign w:val="center"/>
          </w:tcPr>
          <w:p w14:paraId="3967349F"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475A7B92"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2021</w:t>
            </w:r>
            <w:r w:rsidR="00C1354D">
              <w:rPr>
                <w:rFonts w:eastAsia="Times New Roman" w:cstheme="minorHAnsi"/>
                <w:bCs/>
                <w:sz w:val="18"/>
                <w:szCs w:val="18"/>
                <w:lang w:eastAsia="cs-CZ"/>
              </w:rPr>
              <w:t>–</w:t>
            </w:r>
            <w:r>
              <w:rPr>
                <w:rFonts w:eastAsia="Times New Roman" w:cstheme="minorHAnsi"/>
                <w:bCs/>
                <w:sz w:val="18"/>
                <w:szCs w:val="18"/>
                <w:lang w:eastAsia="cs-CZ"/>
              </w:rPr>
              <w:t>2022</w:t>
            </w:r>
          </w:p>
        </w:tc>
        <w:tc>
          <w:tcPr>
            <w:tcW w:w="1134"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754378A3"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ID</w:t>
            </w:r>
            <w:r w:rsidRPr="007F4A71">
              <w:rPr>
                <w:rFonts w:eastAsia="Times New Roman" w:cstheme="minorHAnsi"/>
                <w:bCs/>
                <w:sz w:val="18"/>
                <w:szCs w:val="18"/>
                <w:lang w:eastAsia="cs-CZ"/>
              </w:rPr>
              <w:t>5</w:t>
            </w:r>
          </w:p>
        </w:tc>
        <w:tc>
          <w:tcPr>
            <w:tcW w:w="4253"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3877F4EF"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Zhodnocení současné úpravy a navržení řešení problémů vzdělávání a přezkušování řidičů</w:t>
            </w:r>
            <w:r w:rsidR="00202F9B">
              <w:rPr>
                <w:rFonts w:eastAsia="Times New Roman" w:cstheme="minorHAnsi"/>
                <w:bCs/>
                <w:sz w:val="18"/>
                <w:szCs w:val="18"/>
                <w:lang w:eastAsia="cs-CZ"/>
              </w:rPr>
              <w:t>.</w:t>
            </w:r>
          </w:p>
        </w:tc>
        <w:tc>
          <w:tcPr>
            <w:tcW w:w="1185"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6CFC4811"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MD</w:t>
            </w:r>
          </w:p>
        </w:tc>
      </w:tr>
      <w:tr w:rsidR="00750ABC" w:rsidRPr="009C4343" w14:paraId="606C2F70"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48A36C1F" w14:textId="77777777" w:rsidR="00750ABC" w:rsidRPr="00981B49" w:rsidRDefault="00750ABC" w:rsidP="002365FC">
            <w:pPr>
              <w:spacing w:after="0" w:line="240" w:lineRule="auto"/>
              <w:jc w:val="center"/>
              <w:rPr>
                <w:rFonts w:eastAsia="Times New Roman" w:cstheme="minorHAnsi"/>
                <w:bCs/>
                <w:sz w:val="18"/>
                <w:szCs w:val="18"/>
                <w:lang w:eastAsia="cs-CZ"/>
              </w:rPr>
            </w:pPr>
            <w:r w:rsidRPr="00981B49">
              <w:rPr>
                <w:rFonts w:eastAsia="Times New Roman" w:cstheme="minorHAnsi"/>
                <w:bCs/>
                <w:sz w:val="18"/>
                <w:szCs w:val="18"/>
                <w:lang w:eastAsia="cs-CZ"/>
              </w:rPr>
              <w:t>31</w:t>
            </w:r>
          </w:p>
        </w:tc>
        <w:tc>
          <w:tcPr>
            <w:tcW w:w="708" w:type="dxa"/>
            <w:vMerge/>
            <w:tcBorders>
              <w:left w:val="single" w:sz="4" w:space="0" w:color="auto"/>
              <w:right w:val="single" w:sz="4" w:space="0" w:color="auto"/>
            </w:tcBorders>
            <w:shd w:val="clear" w:color="000000" w:fill="E2EFD9" w:themeFill="accent6" w:themeFillTint="33"/>
            <w:vAlign w:val="center"/>
          </w:tcPr>
          <w:p w14:paraId="4077C2D2"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4D79B8CC"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2021</w:t>
            </w:r>
            <w:r w:rsidR="00C1354D">
              <w:rPr>
                <w:rFonts w:eastAsia="Times New Roman" w:cstheme="minorHAnsi"/>
                <w:bCs/>
                <w:sz w:val="18"/>
                <w:szCs w:val="18"/>
                <w:lang w:eastAsia="cs-CZ"/>
              </w:rPr>
              <w:t>–</w:t>
            </w:r>
            <w:r>
              <w:rPr>
                <w:rFonts w:eastAsia="Times New Roman" w:cstheme="minorHAnsi"/>
                <w:bCs/>
                <w:sz w:val="18"/>
                <w:szCs w:val="18"/>
                <w:lang w:eastAsia="cs-CZ"/>
              </w:rPr>
              <w:t>2022</w:t>
            </w:r>
          </w:p>
        </w:tc>
        <w:tc>
          <w:tcPr>
            <w:tcW w:w="1134"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51B34107"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ID</w:t>
            </w:r>
            <w:r w:rsidRPr="007F4A71">
              <w:rPr>
                <w:rFonts w:eastAsia="Times New Roman" w:cstheme="minorHAnsi"/>
                <w:bCs/>
                <w:sz w:val="18"/>
                <w:szCs w:val="18"/>
                <w:lang w:eastAsia="cs-CZ"/>
              </w:rPr>
              <w:t>19</w:t>
            </w:r>
          </w:p>
        </w:tc>
        <w:tc>
          <w:tcPr>
            <w:tcW w:w="4253"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64D277FE"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Spuštění jednotného systému evidence nehodových lokalit</w:t>
            </w:r>
            <w:r w:rsidR="00202F9B">
              <w:rPr>
                <w:rFonts w:eastAsia="Times New Roman" w:cstheme="minorHAnsi"/>
                <w:bCs/>
                <w:sz w:val="18"/>
                <w:szCs w:val="18"/>
                <w:lang w:eastAsia="cs-CZ"/>
              </w:rPr>
              <w:t>.</w:t>
            </w:r>
          </w:p>
        </w:tc>
        <w:tc>
          <w:tcPr>
            <w:tcW w:w="1185"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79522BEE"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MD</w:t>
            </w:r>
          </w:p>
        </w:tc>
      </w:tr>
      <w:tr w:rsidR="00750ABC" w:rsidRPr="009C4343" w14:paraId="6E8FB6BB"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3164BDC5"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t>32</w:t>
            </w:r>
          </w:p>
        </w:tc>
        <w:tc>
          <w:tcPr>
            <w:tcW w:w="708" w:type="dxa"/>
            <w:vMerge/>
            <w:tcBorders>
              <w:left w:val="single" w:sz="4" w:space="0" w:color="auto"/>
              <w:right w:val="single" w:sz="4" w:space="0" w:color="auto"/>
            </w:tcBorders>
            <w:shd w:val="clear" w:color="000000" w:fill="E2EFD9" w:themeFill="accent6" w:themeFillTint="33"/>
            <w:vAlign w:val="center"/>
          </w:tcPr>
          <w:p w14:paraId="00D0FF7E"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6CE63ED7"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2021</w:t>
            </w:r>
            <w:r w:rsidR="00C1354D">
              <w:rPr>
                <w:rFonts w:eastAsia="Times New Roman" w:cstheme="minorHAnsi"/>
                <w:bCs/>
                <w:sz w:val="18"/>
                <w:szCs w:val="18"/>
                <w:lang w:eastAsia="cs-CZ"/>
              </w:rPr>
              <w:t>–</w:t>
            </w:r>
            <w:r>
              <w:rPr>
                <w:rFonts w:eastAsia="Times New Roman" w:cstheme="minorHAnsi"/>
                <w:bCs/>
                <w:sz w:val="18"/>
                <w:szCs w:val="18"/>
                <w:lang w:eastAsia="cs-CZ"/>
              </w:rPr>
              <w:t>2022</w:t>
            </w:r>
          </w:p>
        </w:tc>
        <w:tc>
          <w:tcPr>
            <w:tcW w:w="1134"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5805B58B"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ID</w:t>
            </w:r>
            <w:r w:rsidRPr="007F4A71">
              <w:rPr>
                <w:rFonts w:eastAsia="Times New Roman" w:cstheme="minorHAnsi"/>
                <w:bCs/>
                <w:sz w:val="18"/>
                <w:szCs w:val="18"/>
                <w:lang w:eastAsia="cs-CZ"/>
              </w:rPr>
              <w:t>21</w:t>
            </w:r>
          </w:p>
        </w:tc>
        <w:tc>
          <w:tcPr>
            <w:tcW w:w="4253"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6E12690A"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Transponovat Směrnici Evropského parlamentu a Rady (EU) 2019/1936 o řízení bezpečnosti silniční infrastruktury, tak aby se její platnost vztahovala minimálně na všechny silnice 1. třídy</w:t>
            </w:r>
            <w:r w:rsidR="00202F9B">
              <w:rPr>
                <w:rFonts w:eastAsia="Times New Roman" w:cstheme="minorHAnsi"/>
                <w:bCs/>
                <w:sz w:val="18"/>
                <w:szCs w:val="18"/>
                <w:lang w:eastAsia="cs-CZ"/>
              </w:rPr>
              <w:t>.</w:t>
            </w:r>
          </w:p>
        </w:tc>
        <w:tc>
          <w:tcPr>
            <w:tcW w:w="1185"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535492C7"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MD</w:t>
            </w:r>
          </w:p>
        </w:tc>
      </w:tr>
      <w:tr w:rsidR="00750ABC" w:rsidRPr="009C4343" w14:paraId="31388978"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1A6206FE"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t>33</w:t>
            </w:r>
          </w:p>
        </w:tc>
        <w:tc>
          <w:tcPr>
            <w:tcW w:w="708" w:type="dxa"/>
            <w:vMerge/>
            <w:tcBorders>
              <w:left w:val="single" w:sz="4" w:space="0" w:color="auto"/>
              <w:bottom w:val="single" w:sz="4" w:space="0" w:color="auto"/>
              <w:right w:val="single" w:sz="4" w:space="0" w:color="auto"/>
            </w:tcBorders>
            <w:shd w:val="clear" w:color="000000" w:fill="E2EFD9" w:themeFill="accent6" w:themeFillTint="33"/>
            <w:vAlign w:val="center"/>
          </w:tcPr>
          <w:p w14:paraId="3DB2F6D8"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15B49BA1"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2021</w:t>
            </w:r>
            <w:r w:rsidR="00C1354D">
              <w:rPr>
                <w:rFonts w:eastAsia="Times New Roman" w:cstheme="minorHAnsi"/>
                <w:bCs/>
                <w:sz w:val="18"/>
                <w:szCs w:val="18"/>
                <w:lang w:eastAsia="cs-CZ"/>
              </w:rPr>
              <w:t>–</w:t>
            </w:r>
            <w:r>
              <w:rPr>
                <w:rFonts w:eastAsia="Times New Roman" w:cstheme="minorHAnsi"/>
                <w:bCs/>
                <w:sz w:val="18"/>
                <w:szCs w:val="18"/>
                <w:lang w:eastAsia="cs-CZ"/>
              </w:rPr>
              <w:t>2022</w:t>
            </w:r>
          </w:p>
        </w:tc>
        <w:tc>
          <w:tcPr>
            <w:tcW w:w="1134"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4CC33D30"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ID</w:t>
            </w:r>
            <w:r w:rsidRPr="007F4A71">
              <w:rPr>
                <w:rFonts w:eastAsia="Times New Roman" w:cstheme="minorHAnsi"/>
                <w:bCs/>
                <w:sz w:val="18"/>
                <w:szCs w:val="18"/>
                <w:lang w:eastAsia="cs-CZ"/>
              </w:rPr>
              <w:t>44</w:t>
            </w:r>
          </w:p>
        </w:tc>
        <w:tc>
          <w:tcPr>
            <w:tcW w:w="4253"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790F4223"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Vytvořit manuál best practice pro zpracování krajských strategií BESIP, koordinaci bezpečnosti silničního provozu v regionu a možnosti financování opatření v oblasti BESIP</w:t>
            </w:r>
            <w:r w:rsidR="00202F9B">
              <w:rPr>
                <w:rFonts w:eastAsia="Times New Roman" w:cstheme="minorHAnsi"/>
                <w:bCs/>
                <w:sz w:val="18"/>
                <w:szCs w:val="18"/>
                <w:lang w:eastAsia="cs-CZ"/>
              </w:rPr>
              <w:t>.</w:t>
            </w:r>
            <w:r w:rsidRPr="007F4A71">
              <w:rPr>
                <w:rFonts w:eastAsia="Times New Roman" w:cstheme="minorHAnsi"/>
                <w:bCs/>
                <w:sz w:val="18"/>
                <w:szCs w:val="18"/>
                <w:lang w:eastAsia="cs-CZ"/>
              </w:rPr>
              <w:t xml:space="preserve"> </w:t>
            </w:r>
          </w:p>
        </w:tc>
        <w:tc>
          <w:tcPr>
            <w:tcW w:w="1185" w:type="dxa"/>
            <w:tcBorders>
              <w:top w:val="single" w:sz="4" w:space="0" w:color="auto"/>
              <w:left w:val="single" w:sz="4" w:space="0" w:color="auto"/>
              <w:bottom w:val="single" w:sz="4" w:space="0" w:color="auto"/>
              <w:right w:val="single" w:sz="4" w:space="0" w:color="auto"/>
            </w:tcBorders>
            <w:shd w:val="clear" w:color="000000" w:fill="E2EFD9" w:themeFill="accent6" w:themeFillTint="33"/>
            <w:vAlign w:val="center"/>
          </w:tcPr>
          <w:p w14:paraId="5969218A"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MD</w:t>
            </w:r>
          </w:p>
        </w:tc>
      </w:tr>
      <w:tr w:rsidR="00750ABC" w:rsidRPr="009C4343" w14:paraId="380EDE1D"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DEEAF6" w:themeFill="accent1" w:themeFillTint="33"/>
            <w:vAlign w:val="center"/>
          </w:tcPr>
          <w:p w14:paraId="60FE8E5E"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t>34</w:t>
            </w:r>
          </w:p>
        </w:tc>
        <w:tc>
          <w:tcPr>
            <w:tcW w:w="708" w:type="dxa"/>
            <w:vMerge w:val="restart"/>
            <w:tcBorders>
              <w:top w:val="single" w:sz="4" w:space="0" w:color="auto"/>
              <w:left w:val="single" w:sz="4" w:space="0" w:color="auto"/>
              <w:right w:val="single" w:sz="4" w:space="0" w:color="auto"/>
            </w:tcBorders>
            <w:shd w:val="clear" w:color="000000" w:fill="DEEAF6" w:themeFill="accent1" w:themeFillTint="33"/>
            <w:textDirection w:val="btLr"/>
            <w:vAlign w:val="center"/>
          </w:tcPr>
          <w:p w14:paraId="20A89AD2" w14:textId="77777777" w:rsidR="00750ABC" w:rsidRDefault="00750ABC" w:rsidP="002365FC">
            <w:pPr>
              <w:spacing w:after="0" w:line="240" w:lineRule="auto"/>
              <w:ind w:left="113" w:right="113"/>
              <w:jc w:val="center"/>
              <w:rPr>
                <w:rFonts w:eastAsia="Times New Roman" w:cstheme="minorHAnsi"/>
                <w:b/>
                <w:bCs/>
                <w:color w:val="FF0000"/>
                <w:sz w:val="18"/>
                <w:szCs w:val="18"/>
                <w:lang w:eastAsia="cs-CZ"/>
              </w:rPr>
            </w:pPr>
            <w:r w:rsidRPr="00723581">
              <w:rPr>
                <w:rFonts w:eastAsia="Times New Roman" w:cstheme="minorHAnsi"/>
                <w:bCs/>
                <w:sz w:val="18"/>
                <w:szCs w:val="18"/>
                <w:lang w:eastAsia="cs-CZ"/>
              </w:rPr>
              <w:t>Aktivity na pozemních komunikacích</w:t>
            </w:r>
          </w:p>
        </w:tc>
        <w:tc>
          <w:tcPr>
            <w:tcW w:w="1134" w:type="dxa"/>
            <w:tcBorders>
              <w:top w:val="single" w:sz="4" w:space="0" w:color="auto"/>
              <w:left w:val="single" w:sz="4" w:space="0" w:color="auto"/>
              <w:bottom w:val="single" w:sz="4" w:space="0" w:color="auto"/>
              <w:right w:val="single" w:sz="4" w:space="0" w:color="auto"/>
            </w:tcBorders>
            <w:shd w:val="clear" w:color="000000" w:fill="DEEAF6" w:themeFill="accent1" w:themeFillTint="33"/>
            <w:vAlign w:val="center"/>
          </w:tcPr>
          <w:p w14:paraId="7F4828A0"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2011</w:t>
            </w:r>
            <w:r w:rsidR="00C1354D">
              <w:rPr>
                <w:rFonts w:eastAsia="Times New Roman" w:cstheme="minorHAnsi"/>
                <w:bCs/>
                <w:sz w:val="18"/>
                <w:szCs w:val="18"/>
                <w:lang w:eastAsia="cs-CZ"/>
              </w:rPr>
              <w:t>–</w:t>
            </w:r>
            <w:r>
              <w:rPr>
                <w:rFonts w:eastAsia="Times New Roman" w:cstheme="minorHAnsi"/>
                <w:bCs/>
                <w:sz w:val="18"/>
                <w:szCs w:val="18"/>
                <w:lang w:eastAsia="cs-CZ"/>
              </w:rPr>
              <w:t>2020</w:t>
            </w:r>
          </w:p>
        </w:tc>
        <w:tc>
          <w:tcPr>
            <w:tcW w:w="1134" w:type="dxa"/>
            <w:tcBorders>
              <w:top w:val="single" w:sz="4" w:space="0" w:color="auto"/>
              <w:left w:val="single" w:sz="4" w:space="0" w:color="auto"/>
              <w:bottom w:val="single" w:sz="4" w:space="0" w:color="auto"/>
              <w:right w:val="single" w:sz="4" w:space="0" w:color="auto"/>
            </w:tcBorders>
            <w:shd w:val="clear" w:color="000000" w:fill="DEEAF6" w:themeFill="accent1" w:themeFillTint="33"/>
            <w:vAlign w:val="center"/>
          </w:tcPr>
          <w:p w14:paraId="0E4B8720"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t>K2.1</w:t>
            </w:r>
          </w:p>
        </w:tc>
        <w:tc>
          <w:tcPr>
            <w:tcW w:w="4253" w:type="dxa"/>
            <w:tcBorders>
              <w:top w:val="single" w:sz="4" w:space="0" w:color="auto"/>
              <w:left w:val="single" w:sz="4" w:space="0" w:color="auto"/>
              <w:bottom w:val="single" w:sz="4" w:space="0" w:color="auto"/>
              <w:right w:val="single" w:sz="4" w:space="0" w:color="auto"/>
            </w:tcBorders>
            <w:shd w:val="clear" w:color="000000" w:fill="DEEAF6" w:themeFill="accent1" w:themeFillTint="33"/>
            <w:vAlign w:val="center"/>
          </w:tcPr>
          <w:p w14:paraId="028B99FD"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 xml:space="preserve">Dodržovat zákaz zřizování a provozování reklamních zařízení podél dálnic a silnic I. třídy, s výjimkou označení provozoven nacházejících se v blízkosti pozemní komunikace a nabízejících služby bezprostředně související se silničním provozem. Aplikovat i na silnice </w:t>
            </w:r>
            <w:r w:rsidR="00AD5A5E">
              <w:rPr>
                <w:rFonts w:eastAsia="Times New Roman" w:cstheme="minorHAnsi"/>
                <w:bCs/>
                <w:sz w:val="18"/>
                <w:szCs w:val="18"/>
                <w:lang w:eastAsia="cs-CZ"/>
              </w:rPr>
              <w:br/>
            </w:r>
            <w:r w:rsidRPr="007F4A71">
              <w:rPr>
                <w:rFonts w:eastAsia="Times New Roman" w:cstheme="minorHAnsi"/>
                <w:bCs/>
                <w:sz w:val="18"/>
                <w:szCs w:val="18"/>
                <w:lang w:eastAsia="cs-CZ"/>
              </w:rPr>
              <w:t>I. třídy a nižší.</w:t>
            </w:r>
          </w:p>
        </w:tc>
        <w:tc>
          <w:tcPr>
            <w:tcW w:w="1185" w:type="dxa"/>
            <w:tcBorders>
              <w:top w:val="single" w:sz="4" w:space="0" w:color="auto"/>
              <w:left w:val="single" w:sz="4" w:space="0" w:color="auto"/>
              <w:bottom w:val="single" w:sz="4" w:space="0" w:color="auto"/>
              <w:right w:val="single" w:sz="4" w:space="0" w:color="auto"/>
            </w:tcBorders>
            <w:shd w:val="clear" w:color="000000" w:fill="DEEAF6" w:themeFill="accent1" w:themeFillTint="33"/>
            <w:vAlign w:val="center"/>
          </w:tcPr>
          <w:p w14:paraId="409F3DB3"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ŘSD</w:t>
            </w:r>
          </w:p>
        </w:tc>
      </w:tr>
      <w:tr w:rsidR="00750ABC" w:rsidRPr="009C4343" w14:paraId="6B103BF6"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DEEAF6" w:themeFill="accent1" w:themeFillTint="33"/>
            <w:vAlign w:val="center"/>
          </w:tcPr>
          <w:p w14:paraId="2D6BC019"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t>35</w:t>
            </w:r>
          </w:p>
        </w:tc>
        <w:tc>
          <w:tcPr>
            <w:tcW w:w="708" w:type="dxa"/>
            <w:vMerge/>
            <w:tcBorders>
              <w:left w:val="single" w:sz="4" w:space="0" w:color="auto"/>
              <w:right w:val="single" w:sz="4" w:space="0" w:color="auto"/>
            </w:tcBorders>
            <w:shd w:val="clear" w:color="000000" w:fill="DEEAF6" w:themeFill="accent1" w:themeFillTint="33"/>
            <w:vAlign w:val="center"/>
          </w:tcPr>
          <w:p w14:paraId="19B55673"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DEEAF6" w:themeFill="accent1" w:themeFillTint="33"/>
            <w:vAlign w:val="center"/>
          </w:tcPr>
          <w:p w14:paraId="5CC24BAC"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2011</w:t>
            </w:r>
            <w:r w:rsidR="00C1354D">
              <w:rPr>
                <w:rFonts w:eastAsia="Times New Roman" w:cstheme="minorHAnsi"/>
                <w:bCs/>
                <w:sz w:val="18"/>
                <w:szCs w:val="18"/>
                <w:lang w:eastAsia="cs-CZ"/>
              </w:rPr>
              <w:t>–</w:t>
            </w:r>
            <w:r>
              <w:rPr>
                <w:rFonts w:eastAsia="Times New Roman" w:cstheme="minorHAnsi"/>
                <w:bCs/>
                <w:sz w:val="18"/>
                <w:szCs w:val="18"/>
                <w:lang w:eastAsia="cs-CZ"/>
              </w:rPr>
              <w:t>2020</w:t>
            </w:r>
          </w:p>
        </w:tc>
        <w:tc>
          <w:tcPr>
            <w:tcW w:w="1134" w:type="dxa"/>
            <w:tcBorders>
              <w:top w:val="single" w:sz="4" w:space="0" w:color="auto"/>
              <w:left w:val="single" w:sz="4" w:space="0" w:color="auto"/>
              <w:bottom w:val="single" w:sz="4" w:space="0" w:color="auto"/>
              <w:right w:val="single" w:sz="4" w:space="0" w:color="auto"/>
            </w:tcBorders>
            <w:shd w:val="clear" w:color="000000" w:fill="DEEAF6" w:themeFill="accent1" w:themeFillTint="33"/>
            <w:vAlign w:val="center"/>
          </w:tcPr>
          <w:p w14:paraId="24DDF3C8"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t>K2.2</w:t>
            </w:r>
          </w:p>
        </w:tc>
        <w:tc>
          <w:tcPr>
            <w:tcW w:w="4253" w:type="dxa"/>
            <w:tcBorders>
              <w:top w:val="single" w:sz="4" w:space="0" w:color="auto"/>
              <w:left w:val="single" w:sz="4" w:space="0" w:color="auto"/>
              <w:bottom w:val="single" w:sz="4" w:space="0" w:color="auto"/>
              <w:right w:val="single" w:sz="4" w:space="0" w:color="auto"/>
            </w:tcBorders>
            <w:shd w:val="clear" w:color="000000" w:fill="DEEAF6" w:themeFill="accent1" w:themeFillTint="33"/>
            <w:vAlign w:val="center"/>
          </w:tcPr>
          <w:p w14:paraId="71DE0184" w14:textId="77777777" w:rsidR="00750ABC" w:rsidRDefault="00750ABC" w:rsidP="002365FC">
            <w:pPr>
              <w:spacing w:after="0" w:line="240" w:lineRule="auto"/>
              <w:jc w:val="both"/>
              <w:rPr>
                <w:rFonts w:eastAsia="Times New Roman" w:cstheme="minorHAnsi"/>
                <w:bCs/>
                <w:sz w:val="18"/>
                <w:szCs w:val="18"/>
                <w:lang w:eastAsia="cs-CZ"/>
              </w:rPr>
            </w:pPr>
            <w:r w:rsidRPr="00723581">
              <w:rPr>
                <w:rFonts w:eastAsia="Times New Roman" w:cstheme="minorHAnsi"/>
                <w:bCs/>
                <w:sz w:val="18"/>
                <w:szCs w:val="18"/>
                <w:lang w:eastAsia="cs-CZ"/>
              </w:rPr>
              <w:t>Zintenz</w:t>
            </w:r>
            <w:r w:rsidR="00AD5A5E">
              <w:rPr>
                <w:rFonts w:eastAsia="Times New Roman" w:cstheme="minorHAnsi"/>
                <w:bCs/>
                <w:sz w:val="18"/>
                <w:szCs w:val="18"/>
                <w:lang w:eastAsia="cs-CZ"/>
              </w:rPr>
              <w:t>i</w:t>
            </w:r>
            <w:r w:rsidRPr="00723581">
              <w:rPr>
                <w:rFonts w:eastAsia="Times New Roman" w:cstheme="minorHAnsi"/>
                <w:bCs/>
                <w:sz w:val="18"/>
                <w:szCs w:val="18"/>
                <w:lang w:eastAsia="cs-CZ"/>
              </w:rPr>
              <w:t>vnit a pravidelně vyhodnocovat kontrolní činnosti v oblasti dodržování zákonných podmínek pro provozování reklamních zařízení v ochranných pásmech všech typů pozemních komunikací a plnění zákonných povinností vlastníků reklamních zařízení a silničního správního úřadu při odstraňování reklamních zařízení provozovaných v rozporu se zákonem, zejména:</w:t>
            </w:r>
          </w:p>
          <w:p w14:paraId="6CED1831" w14:textId="77777777" w:rsidR="00750ABC" w:rsidRDefault="00750ABC" w:rsidP="002365FC">
            <w:pPr>
              <w:spacing w:after="0" w:line="240" w:lineRule="auto"/>
              <w:jc w:val="both"/>
              <w:rPr>
                <w:rFonts w:eastAsia="Times New Roman" w:cstheme="minorHAnsi"/>
                <w:bCs/>
                <w:sz w:val="18"/>
                <w:szCs w:val="18"/>
                <w:lang w:eastAsia="cs-CZ"/>
              </w:rPr>
            </w:pPr>
            <w:r w:rsidRPr="00723581">
              <w:rPr>
                <w:rFonts w:eastAsia="Times New Roman" w:cstheme="minorHAnsi"/>
                <w:bCs/>
                <w:sz w:val="18"/>
                <w:szCs w:val="18"/>
                <w:lang w:eastAsia="cs-CZ"/>
              </w:rPr>
              <w:t>• revidovat povolení ke zřízení a provozování reklamních zařízení v ochranných pásmech dálnic a zajistit odstranění všech nepovolených reklamních zařízení</w:t>
            </w:r>
            <w:r>
              <w:rPr>
                <w:rFonts w:eastAsia="Times New Roman" w:cstheme="minorHAnsi"/>
                <w:bCs/>
                <w:sz w:val="18"/>
                <w:szCs w:val="18"/>
                <w:lang w:eastAsia="cs-CZ"/>
              </w:rPr>
              <w:t>;</w:t>
            </w:r>
          </w:p>
          <w:p w14:paraId="5EC5F7BA" w14:textId="77777777" w:rsidR="00750ABC" w:rsidRDefault="00750ABC" w:rsidP="002365FC">
            <w:pPr>
              <w:spacing w:after="0" w:line="240" w:lineRule="auto"/>
              <w:jc w:val="both"/>
              <w:rPr>
                <w:rFonts w:eastAsia="Times New Roman" w:cstheme="minorHAnsi"/>
                <w:bCs/>
                <w:sz w:val="18"/>
                <w:szCs w:val="18"/>
                <w:lang w:eastAsia="cs-CZ"/>
              </w:rPr>
            </w:pPr>
            <w:r w:rsidRPr="00723581">
              <w:rPr>
                <w:rFonts w:eastAsia="Times New Roman" w:cstheme="minorHAnsi"/>
                <w:bCs/>
                <w:sz w:val="18"/>
                <w:szCs w:val="18"/>
                <w:lang w:eastAsia="cs-CZ"/>
              </w:rPr>
              <w:t>• revidovat smlouvy o pronájmu silničních pomocných pozemků podél dálnic a silnic I. třídy za účelem umístění reklamních zařízení a tyto smlouvy dále neprodlužovat</w:t>
            </w:r>
            <w:r>
              <w:rPr>
                <w:rFonts w:eastAsia="Times New Roman" w:cstheme="minorHAnsi"/>
                <w:bCs/>
                <w:sz w:val="18"/>
                <w:szCs w:val="18"/>
                <w:lang w:eastAsia="cs-CZ"/>
              </w:rPr>
              <w:t>;</w:t>
            </w:r>
          </w:p>
          <w:p w14:paraId="6BBD7202" w14:textId="77777777" w:rsidR="00750ABC" w:rsidRPr="007F4A71" w:rsidRDefault="00750ABC" w:rsidP="002365FC">
            <w:pPr>
              <w:spacing w:after="0" w:line="240" w:lineRule="auto"/>
              <w:jc w:val="both"/>
              <w:rPr>
                <w:rFonts w:eastAsia="Times New Roman" w:cstheme="minorHAnsi"/>
                <w:bCs/>
                <w:sz w:val="18"/>
                <w:szCs w:val="18"/>
                <w:lang w:eastAsia="cs-CZ"/>
              </w:rPr>
            </w:pPr>
            <w:r w:rsidRPr="00723581">
              <w:rPr>
                <w:rFonts w:eastAsia="Times New Roman" w:cstheme="minorHAnsi"/>
                <w:bCs/>
                <w:sz w:val="18"/>
                <w:szCs w:val="18"/>
                <w:lang w:eastAsia="cs-CZ"/>
              </w:rPr>
              <w:t>• zjistit a odstranit reklamní zařízení povolen</w:t>
            </w:r>
            <w:r w:rsidR="00AD5A5E">
              <w:rPr>
                <w:rFonts w:eastAsia="Times New Roman" w:cstheme="minorHAnsi"/>
                <w:bCs/>
                <w:sz w:val="18"/>
                <w:szCs w:val="18"/>
                <w:lang w:eastAsia="cs-CZ"/>
              </w:rPr>
              <w:t>á</w:t>
            </w:r>
            <w:r w:rsidRPr="00723581">
              <w:rPr>
                <w:rFonts w:eastAsia="Times New Roman" w:cstheme="minorHAnsi"/>
                <w:bCs/>
                <w:sz w:val="18"/>
                <w:szCs w:val="18"/>
                <w:lang w:eastAsia="cs-CZ"/>
              </w:rPr>
              <w:t xml:space="preserve"> v režimu zvláštního užívání pozemní komunikace, u kterých vlastník reklamního zařízení nevybavil místo zabezpečením proti střetu vozidel s reklamním zařízením.</w:t>
            </w:r>
          </w:p>
        </w:tc>
        <w:tc>
          <w:tcPr>
            <w:tcW w:w="1185" w:type="dxa"/>
            <w:tcBorders>
              <w:top w:val="single" w:sz="4" w:space="0" w:color="auto"/>
              <w:left w:val="single" w:sz="4" w:space="0" w:color="auto"/>
              <w:bottom w:val="single" w:sz="4" w:space="0" w:color="auto"/>
              <w:right w:val="single" w:sz="4" w:space="0" w:color="auto"/>
            </w:tcBorders>
            <w:shd w:val="clear" w:color="000000" w:fill="DEEAF6" w:themeFill="accent1" w:themeFillTint="33"/>
            <w:vAlign w:val="center"/>
          </w:tcPr>
          <w:p w14:paraId="5DCBB5F4" w14:textId="77777777" w:rsidR="00750ABC" w:rsidRPr="0072358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ŘSD</w:t>
            </w:r>
          </w:p>
        </w:tc>
      </w:tr>
      <w:tr w:rsidR="00750ABC" w:rsidRPr="009C4343" w14:paraId="1752DEB1"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DEEAF6" w:themeFill="accent1" w:themeFillTint="33"/>
            <w:vAlign w:val="center"/>
          </w:tcPr>
          <w:p w14:paraId="68D942E7"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lastRenderedPageBreak/>
              <w:t>3</w:t>
            </w:r>
            <w:r>
              <w:rPr>
                <w:rFonts w:eastAsia="Times New Roman" w:cstheme="minorHAnsi"/>
                <w:bCs/>
                <w:sz w:val="18"/>
                <w:szCs w:val="18"/>
                <w:lang w:eastAsia="cs-CZ"/>
              </w:rPr>
              <w:t>6</w:t>
            </w:r>
          </w:p>
        </w:tc>
        <w:tc>
          <w:tcPr>
            <w:tcW w:w="708" w:type="dxa"/>
            <w:vMerge/>
            <w:tcBorders>
              <w:left w:val="single" w:sz="4" w:space="0" w:color="auto"/>
              <w:right w:val="single" w:sz="4" w:space="0" w:color="auto"/>
            </w:tcBorders>
            <w:shd w:val="clear" w:color="000000" w:fill="DEEAF6" w:themeFill="accent1" w:themeFillTint="33"/>
            <w:vAlign w:val="center"/>
          </w:tcPr>
          <w:p w14:paraId="71E87F8B"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DEEAF6" w:themeFill="accent1" w:themeFillTint="33"/>
            <w:vAlign w:val="center"/>
          </w:tcPr>
          <w:p w14:paraId="7F71D959"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2011</w:t>
            </w:r>
            <w:r w:rsidR="00C1354D">
              <w:rPr>
                <w:rFonts w:eastAsia="Times New Roman" w:cstheme="minorHAnsi"/>
                <w:bCs/>
                <w:sz w:val="18"/>
                <w:szCs w:val="18"/>
                <w:lang w:eastAsia="cs-CZ"/>
              </w:rPr>
              <w:t>–</w:t>
            </w:r>
            <w:r>
              <w:rPr>
                <w:rFonts w:eastAsia="Times New Roman" w:cstheme="minorHAnsi"/>
                <w:bCs/>
                <w:sz w:val="18"/>
                <w:szCs w:val="18"/>
                <w:lang w:eastAsia="cs-CZ"/>
              </w:rPr>
              <w:t>2020</w:t>
            </w:r>
          </w:p>
        </w:tc>
        <w:tc>
          <w:tcPr>
            <w:tcW w:w="1134" w:type="dxa"/>
            <w:tcBorders>
              <w:top w:val="single" w:sz="4" w:space="0" w:color="auto"/>
              <w:left w:val="single" w:sz="4" w:space="0" w:color="auto"/>
              <w:bottom w:val="single" w:sz="4" w:space="0" w:color="auto"/>
              <w:right w:val="single" w:sz="4" w:space="0" w:color="auto"/>
            </w:tcBorders>
            <w:shd w:val="clear" w:color="000000" w:fill="DEEAF6" w:themeFill="accent1" w:themeFillTint="33"/>
            <w:vAlign w:val="center"/>
          </w:tcPr>
          <w:p w14:paraId="4DAC343A"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t>K6.2</w:t>
            </w:r>
          </w:p>
        </w:tc>
        <w:tc>
          <w:tcPr>
            <w:tcW w:w="4253" w:type="dxa"/>
            <w:tcBorders>
              <w:top w:val="single" w:sz="4" w:space="0" w:color="auto"/>
              <w:left w:val="single" w:sz="4" w:space="0" w:color="auto"/>
              <w:bottom w:val="single" w:sz="4" w:space="0" w:color="auto"/>
              <w:right w:val="single" w:sz="4" w:space="0" w:color="auto"/>
            </w:tcBorders>
            <w:shd w:val="clear" w:color="000000" w:fill="DEEAF6" w:themeFill="accent1" w:themeFillTint="33"/>
          </w:tcPr>
          <w:p w14:paraId="625C6983"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Ověřovat a zavádět nové prvky dopravního značení a</w:t>
            </w:r>
            <w:r w:rsidR="00AD5A5E">
              <w:rPr>
                <w:rFonts w:eastAsia="Times New Roman" w:cstheme="minorHAnsi"/>
                <w:bCs/>
                <w:sz w:val="18"/>
                <w:szCs w:val="18"/>
                <w:lang w:eastAsia="cs-CZ"/>
              </w:rPr>
              <w:t> </w:t>
            </w:r>
            <w:r w:rsidRPr="007F4A71">
              <w:rPr>
                <w:rFonts w:eastAsia="Times New Roman" w:cstheme="minorHAnsi"/>
                <w:bCs/>
                <w:sz w:val="18"/>
                <w:szCs w:val="18"/>
                <w:lang w:eastAsia="cs-CZ"/>
              </w:rPr>
              <w:t xml:space="preserve">vybavení silnic a dálnic. </w:t>
            </w:r>
          </w:p>
        </w:tc>
        <w:tc>
          <w:tcPr>
            <w:tcW w:w="1185" w:type="dxa"/>
            <w:tcBorders>
              <w:top w:val="single" w:sz="4" w:space="0" w:color="auto"/>
              <w:left w:val="single" w:sz="4" w:space="0" w:color="auto"/>
              <w:bottom w:val="single" w:sz="4" w:space="0" w:color="auto"/>
              <w:right w:val="single" w:sz="4" w:space="0" w:color="auto"/>
            </w:tcBorders>
            <w:shd w:val="clear" w:color="000000" w:fill="DEEAF6" w:themeFill="accent1" w:themeFillTint="33"/>
            <w:vAlign w:val="center"/>
          </w:tcPr>
          <w:p w14:paraId="0E48BBA2"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ŘSD</w:t>
            </w:r>
          </w:p>
        </w:tc>
      </w:tr>
      <w:tr w:rsidR="00750ABC" w:rsidRPr="009C4343" w14:paraId="49EB5C83"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DEEAF6" w:themeFill="accent1" w:themeFillTint="33"/>
            <w:vAlign w:val="center"/>
          </w:tcPr>
          <w:p w14:paraId="6135DF8D"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t>3</w:t>
            </w:r>
            <w:r>
              <w:rPr>
                <w:rFonts w:eastAsia="Times New Roman" w:cstheme="minorHAnsi"/>
                <w:bCs/>
                <w:sz w:val="18"/>
                <w:szCs w:val="18"/>
                <w:lang w:eastAsia="cs-CZ"/>
              </w:rPr>
              <w:t>7</w:t>
            </w:r>
          </w:p>
        </w:tc>
        <w:tc>
          <w:tcPr>
            <w:tcW w:w="708" w:type="dxa"/>
            <w:vMerge/>
            <w:tcBorders>
              <w:left w:val="single" w:sz="4" w:space="0" w:color="auto"/>
              <w:bottom w:val="single" w:sz="4" w:space="0" w:color="auto"/>
              <w:right w:val="single" w:sz="4" w:space="0" w:color="auto"/>
            </w:tcBorders>
            <w:shd w:val="clear" w:color="000000" w:fill="DEEAF6" w:themeFill="accent1" w:themeFillTint="33"/>
            <w:vAlign w:val="center"/>
          </w:tcPr>
          <w:p w14:paraId="6ACE075A"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DEEAF6" w:themeFill="accent1" w:themeFillTint="33"/>
            <w:vAlign w:val="center"/>
          </w:tcPr>
          <w:p w14:paraId="7CFCED72" w14:textId="77777777" w:rsidR="00750ABC" w:rsidRDefault="00750ABC" w:rsidP="002365FC">
            <w:pPr>
              <w:spacing w:after="0" w:line="240" w:lineRule="auto"/>
              <w:jc w:val="center"/>
              <w:rPr>
                <w:rFonts w:eastAsia="Times New Roman" w:cstheme="minorHAnsi"/>
                <w:b/>
                <w:bCs/>
                <w:color w:val="FF0000"/>
                <w:sz w:val="18"/>
                <w:szCs w:val="18"/>
                <w:lang w:eastAsia="cs-CZ"/>
              </w:rPr>
            </w:pPr>
            <w:r>
              <w:rPr>
                <w:rFonts w:eastAsia="Times New Roman" w:cstheme="minorHAnsi"/>
                <w:bCs/>
                <w:sz w:val="18"/>
                <w:szCs w:val="18"/>
                <w:lang w:eastAsia="cs-CZ"/>
              </w:rPr>
              <w:t>2021</w:t>
            </w:r>
            <w:r w:rsidR="00C1354D">
              <w:rPr>
                <w:rFonts w:eastAsia="Times New Roman" w:cstheme="minorHAnsi"/>
                <w:bCs/>
                <w:sz w:val="18"/>
                <w:szCs w:val="18"/>
                <w:lang w:eastAsia="cs-CZ"/>
              </w:rPr>
              <w:t>–</w:t>
            </w:r>
            <w:r>
              <w:rPr>
                <w:rFonts w:eastAsia="Times New Roman" w:cstheme="minorHAnsi"/>
                <w:bCs/>
                <w:sz w:val="18"/>
                <w:szCs w:val="18"/>
                <w:lang w:eastAsia="cs-CZ"/>
              </w:rPr>
              <w:t>2022</w:t>
            </w:r>
          </w:p>
        </w:tc>
        <w:tc>
          <w:tcPr>
            <w:tcW w:w="1134" w:type="dxa"/>
            <w:tcBorders>
              <w:top w:val="single" w:sz="4" w:space="0" w:color="auto"/>
              <w:left w:val="single" w:sz="4" w:space="0" w:color="auto"/>
              <w:bottom w:val="single" w:sz="4" w:space="0" w:color="auto"/>
              <w:right w:val="single" w:sz="4" w:space="0" w:color="auto"/>
            </w:tcBorders>
            <w:shd w:val="clear" w:color="000000" w:fill="DEEAF6" w:themeFill="accent1" w:themeFillTint="33"/>
            <w:vAlign w:val="center"/>
          </w:tcPr>
          <w:p w14:paraId="0E2E2208"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ID</w:t>
            </w:r>
            <w:r w:rsidRPr="007F4A71">
              <w:rPr>
                <w:rFonts w:eastAsia="Times New Roman" w:cstheme="minorHAnsi"/>
                <w:bCs/>
                <w:sz w:val="18"/>
                <w:szCs w:val="18"/>
                <w:lang w:eastAsia="cs-CZ"/>
              </w:rPr>
              <w:t>31</w:t>
            </w:r>
          </w:p>
        </w:tc>
        <w:tc>
          <w:tcPr>
            <w:tcW w:w="4253" w:type="dxa"/>
            <w:tcBorders>
              <w:top w:val="single" w:sz="4" w:space="0" w:color="auto"/>
              <w:left w:val="single" w:sz="4" w:space="0" w:color="auto"/>
              <w:bottom w:val="single" w:sz="4" w:space="0" w:color="auto"/>
              <w:right w:val="single" w:sz="4" w:space="0" w:color="auto"/>
            </w:tcBorders>
            <w:shd w:val="clear" w:color="000000" w:fill="DEEAF6" w:themeFill="accent1" w:themeFillTint="33"/>
          </w:tcPr>
          <w:p w14:paraId="1ADC4AE0"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Rozšířit počet informativního dopravního značení Bezpečný odstup (IP 32) na dálnicích a silnicích 1. tříd</w:t>
            </w:r>
            <w:r w:rsidR="00202F9B">
              <w:rPr>
                <w:rFonts w:eastAsia="Times New Roman" w:cstheme="minorHAnsi"/>
                <w:bCs/>
                <w:sz w:val="18"/>
                <w:szCs w:val="18"/>
                <w:lang w:eastAsia="cs-CZ"/>
              </w:rPr>
              <w:t>.</w:t>
            </w:r>
          </w:p>
        </w:tc>
        <w:tc>
          <w:tcPr>
            <w:tcW w:w="1185" w:type="dxa"/>
            <w:tcBorders>
              <w:top w:val="single" w:sz="4" w:space="0" w:color="auto"/>
              <w:left w:val="single" w:sz="4" w:space="0" w:color="auto"/>
              <w:bottom w:val="single" w:sz="4" w:space="0" w:color="auto"/>
              <w:right w:val="single" w:sz="4" w:space="0" w:color="auto"/>
            </w:tcBorders>
            <w:shd w:val="clear" w:color="000000" w:fill="DEEAF6" w:themeFill="accent1" w:themeFillTint="33"/>
            <w:vAlign w:val="center"/>
          </w:tcPr>
          <w:p w14:paraId="10312F2C"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ŘSD</w:t>
            </w:r>
          </w:p>
        </w:tc>
      </w:tr>
      <w:tr w:rsidR="00750ABC" w:rsidRPr="009C4343" w14:paraId="0DCDC72A"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FFF2CC" w:themeFill="accent4" w:themeFillTint="33"/>
            <w:vAlign w:val="center"/>
          </w:tcPr>
          <w:p w14:paraId="6548E9E6"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38</w:t>
            </w:r>
          </w:p>
        </w:tc>
        <w:tc>
          <w:tcPr>
            <w:tcW w:w="708" w:type="dxa"/>
            <w:vMerge w:val="restart"/>
            <w:tcBorders>
              <w:top w:val="single" w:sz="4" w:space="0" w:color="auto"/>
              <w:left w:val="single" w:sz="4" w:space="0" w:color="auto"/>
              <w:right w:val="single" w:sz="4" w:space="0" w:color="auto"/>
            </w:tcBorders>
            <w:shd w:val="clear" w:color="000000" w:fill="FFF2CC" w:themeFill="accent4" w:themeFillTint="33"/>
            <w:textDirection w:val="btLr"/>
            <w:vAlign w:val="center"/>
          </w:tcPr>
          <w:p w14:paraId="3942145E" w14:textId="77777777" w:rsidR="00750ABC" w:rsidRPr="00723581" w:rsidRDefault="00750ABC" w:rsidP="002365FC">
            <w:pPr>
              <w:spacing w:after="0" w:line="240" w:lineRule="auto"/>
              <w:ind w:left="113" w:right="113"/>
              <w:jc w:val="center"/>
              <w:rPr>
                <w:rFonts w:eastAsia="Times New Roman" w:cstheme="minorHAnsi"/>
                <w:bCs/>
                <w:sz w:val="18"/>
                <w:szCs w:val="18"/>
                <w:lang w:eastAsia="cs-CZ"/>
              </w:rPr>
            </w:pPr>
            <w:r w:rsidRPr="00723581">
              <w:rPr>
                <w:rFonts w:eastAsia="Times New Roman" w:cstheme="minorHAnsi"/>
                <w:bCs/>
                <w:sz w:val="18"/>
                <w:szCs w:val="18"/>
                <w:lang w:eastAsia="cs-CZ"/>
              </w:rPr>
              <w:t>Nástroje bezpečné infrastruktury</w:t>
            </w:r>
          </w:p>
        </w:tc>
        <w:tc>
          <w:tcPr>
            <w:tcW w:w="1134" w:type="dxa"/>
            <w:tcBorders>
              <w:top w:val="single" w:sz="4" w:space="0" w:color="auto"/>
              <w:left w:val="single" w:sz="4" w:space="0" w:color="auto"/>
              <w:bottom w:val="single" w:sz="4" w:space="0" w:color="auto"/>
              <w:right w:val="single" w:sz="4" w:space="0" w:color="auto"/>
            </w:tcBorders>
            <w:shd w:val="clear" w:color="000000" w:fill="FFF2CC" w:themeFill="accent4" w:themeFillTint="33"/>
            <w:vAlign w:val="center"/>
          </w:tcPr>
          <w:p w14:paraId="37141EA2"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2011</w:t>
            </w:r>
            <w:r w:rsidR="00C1354D">
              <w:rPr>
                <w:rFonts w:eastAsia="Times New Roman" w:cstheme="minorHAnsi"/>
                <w:bCs/>
                <w:sz w:val="18"/>
                <w:szCs w:val="18"/>
                <w:lang w:eastAsia="cs-CZ"/>
              </w:rPr>
              <w:t>–</w:t>
            </w:r>
            <w:r>
              <w:rPr>
                <w:rFonts w:eastAsia="Times New Roman" w:cstheme="minorHAnsi"/>
                <w:bCs/>
                <w:sz w:val="18"/>
                <w:szCs w:val="18"/>
                <w:lang w:eastAsia="cs-CZ"/>
              </w:rPr>
              <w:t>2020</w:t>
            </w:r>
          </w:p>
        </w:tc>
        <w:tc>
          <w:tcPr>
            <w:tcW w:w="1134" w:type="dxa"/>
            <w:tcBorders>
              <w:top w:val="single" w:sz="4" w:space="0" w:color="auto"/>
              <w:left w:val="single" w:sz="4" w:space="0" w:color="auto"/>
              <w:bottom w:val="single" w:sz="4" w:space="0" w:color="auto"/>
              <w:right w:val="single" w:sz="4" w:space="0" w:color="auto"/>
            </w:tcBorders>
            <w:shd w:val="clear" w:color="000000" w:fill="FFF2CC" w:themeFill="accent4" w:themeFillTint="33"/>
            <w:vAlign w:val="center"/>
          </w:tcPr>
          <w:p w14:paraId="19E80771"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t>K1.1</w:t>
            </w:r>
          </w:p>
        </w:tc>
        <w:tc>
          <w:tcPr>
            <w:tcW w:w="4253" w:type="dxa"/>
            <w:tcBorders>
              <w:top w:val="single" w:sz="4" w:space="0" w:color="auto"/>
              <w:left w:val="single" w:sz="4" w:space="0" w:color="auto"/>
              <w:bottom w:val="single" w:sz="4" w:space="0" w:color="auto"/>
              <w:right w:val="single" w:sz="4" w:space="0" w:color="auto"/>
            </w:tcBorders>
            <w:shd w:val="clear" w:color="000000" w:fill="FFF2CC" w:themeFill="accent4" w:themeFillTint="33"/>
          </w:tcPr>
          <w:p w14:paraId="757244AD"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Provádět bezpečnostní audit ve všech fázích projektové dokumentace na novostavbách na síti TEN-T, na ostatní síti minimálně ve Fázi 2 – posouzení Dokumentace pro územní rozhodnutí a Dokumentace pro stavební povolení, u změny dokončených staveb minimálně na dokumentace pro stavební povolení nebo ohlášení stavby.</w:t>
            </w:r>
          </w:p>
        </w:tc>
        <w:tc>
          <w:tcPr>
            <w:tcW w:w="1185" w:type="dxa"/>
            <w:tcBorders>
              <w:top w:val="single" w:sz="4" w:space="0" w:color="auto"/>
              <w:left w:val="single" w:sz="4" w:space="0" w:color="auto"/>
              <w:bottom w:val="single" w:sz="4" w:space="0" w:color="auto"/>
              <w:right w:val="single" w:sz="4" w:space="0" w:color="auto"/>
            </w:tcBorders>
            <w:shd w:val="clear" w:color="000000" w:fill="FFF2CC" w:themeFill="accent4" w:themeFillTint="33"/>
            <w:vAlign w:val="center"/>
          </w:tcPr>
          <w:p w14:paraId="3BC19DC1"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ŘSD</w:t>
            </w:r>
          </w:p>
        </w:tc>
      </w:tr>
      <w:tr w:rsidR="00750ABC" w14:paraId="0E51337F"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FFF2CC" w:themeFill="accent4" w:themeFillTint="33"/>
            <w:vAlign w:val="center"/>
          </w:tcPr>
          <w:p w14:paraId="2A5E45C4"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39</w:t>
            </w:r>
          </w:p>
        </w:tc>
        <w:tc>
          <w:tcPr>
            <w:tcW w:w="708" w:type="dxa"/>
            <w:vMerge/>
            <w:tcBorders>
              <w:left w:val="single" w:sz="4" w:space="0" w:color="auto"/>
              <w:right w:val="single" w:sz="4" w:space="0" w:color="auto"/>
            </w:tcBorders>
            <w:shd w:val="clear" w:color="000000" w:fill="FFF2CC" w:themeFill="accent4" w:themeFillTint="33"/>
            <w:vAlign w:val="center"/>
          </w:tcPr>
          <w:p w14:paraId="7DA729D2"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FFF2CC" w:themeFill="accent4" w:themeFillTint="33"/>
            <w:vAlign w:val="center"/>
          </w:tcPr>
          <w:p w14:paraId="10FC5148"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2011</w:t>
            </w:r>
            <w:r w:rsidR="00C1354D">
              <w:rPr>
                <w:rFonts w:eastAsia="Times New Roman" w:cstheme="minorHAnsi"/>
                <w:bCs/>
                <w:sz w:val="18"/>
                <w:szCs w:val="18"/>
                <w:lang w:eastAsia="cs-CZ"/>
              </w:rPr>
              <w:t>–</w:t>
            </w:r>
            <w:r>
              <w:rPr>
                <w:rFonts w:eastAsia="Times New Roman" w:cstheme="minorHAnsi"/>
                <w:bCs/>
                <w:sz w:val="18"/>
                <w:szCs w:val="18"/>
                <w:lang w:eastAsia="cs-CZ"/>
              </w:rPr>
              <w:t>2020</w:t>
            </w:r>
          </w:p>
        </w:tc>
        <w:tc>
          <w:tcPr>
            <w:tcW w:w="1134" w:type="dxa"/>
            <w:tcBorders>
              <w:top w:val="single" w:sz="4" w:space="0" w:color="auto"/>
              <w:left w:val="single" w:sz="4" w:space="0" w:color="auto"/>
              <w:bottom w:val="single" w:sz="4" w:space="0" w:color="auto"/>
              <w:right w:val="single" w:sz="4" w:space="0" w:color="auto"/>
            </w:tcBorders>
            <w:shd w:val="clear" w:color="000000" w:fill="FFF2CC" w:themeFill="accent4" w:themeFillTint="33"/>
            <w:vAlign w:val="center"/>
          </w:tcPr>
          <w:p w14:paraId="3AC6F187"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t>K1.2</w:t>
            </w:r>
          </w:p>
        </w:tc>
        <w:tc>
          <w:tcPr>
            <w:tcW w:w="4253" w:type="dxa"/>
            <w:tcBorders>
              <w:top w:val="single" w:sz="4" w:space="0" w:color="auto"/>
              <w:left w:val="single" w:sz="4" w:space="0" w:color="auto"/>
              <w:bottom w:val="single" w:sz="4" w:space="0" w:color="auto"/>
              <w:right w:val="single" w:sz="4" w:space="0" w:color="auto"/>
            </w:tcBorders>
            <w:shd w:val="clear" w:color="000000" w:fill="FFF2CC" w:themeFill="accent4" w:themeFillTint="33"/>
          </w:tcPr>
          <w:p w14:paraId="7D2C8E9F"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Provádět bezpečnostní inspekce v rozsahu vymezeném v</w:t>
            </w:r>
            <w:r w:rsidR="00E47E10">
              <w:rPr>
                <w:rFonts w:eastAsia="Times New Roman" w:cstheme="minorHAnsi"/>
                <w:bCs/>
                <w:sz w:val="18"/>
                <w:szCs w:val="18"/>
                <w:lang w:eastAsia="cs-CZ"/>
              </w:rPr>
              <w:t> </w:t>
            </w:r>
            <w:r w:rsidRPr="007F4A71">
              <w:rPr>
                <w:rFonts w:eastAsia="Times New Roman" w:cstheme="minorHAnsi"/>
                <w:bCs/>
                <w:sz w:val="18"/>
                <w:szCs w:val="18"/>
                <w:lang w:eastAsia="cs-CZ"/>
              </w:rPr>
              <w:t>kapitole 4.1 „Metodiky provádění bezpečnostní inspekce pozemních komunikaci“ na všech druzích pozemních komunikací.</w:t>
            </w:r>
          </w:p>
        </w:tc>
        <w:tc>
          <w:tcPr>
            <w:tcW w:w="1185" w:type="dxa"/>
            <w:tcBorders>
              <w:top w:val="single" w:sz="4" w:space="0" w:color="auto"/>
              <w:left w:val="single" w:sz="4" w:space="0" w:color="auto"/>
              <w:bottom w:val="single" w:sz="4" w:space="0" w:color="auto"/>
              <w:right w:val="single" w:sz="4" w:space="0" w:color="auto"/>
            </w:tcBorders>
            <w:shd w:val="clear" w:color="000000" w:fill="FFF2CC" w:themeFill="accent4" w:themeFillTint="33"/>
            <w:vAlign w:val="center"/>
          </w:tcPr>
          <w:p w14:paraId="31686E03"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ŘSD</w:t>
            </w:r>
          </w:p>
        </w:tc>
      </w:tr>
      <w:tr w:rsidR="00750ABC" w14:paraId="4F3D9740"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FFF2CC" w:themeFill="accent4" w:themeFillTint="33"/>
            <w:vAlign w:val="center"/>
          </w:tcPr>
          <w:p w14:paraId="5C3150C6"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40</w:t>
            </w:r>
          </w:p>
        </w:tc>
        <w:tc>
          <w:tcPr>
            <w:tcW w:w="708" w:type="dxa"/>
            <w:vMerge/>
            <w:tcBorders>
              <w:left w:val="single" w:sz="4" w:space="0" w:color="auto"/>
              <w:right w:val="single" w:sz="4" w:space="0" w:color="auto"/>
            </w:tcBorders>
            <w:shd w:val="clear" w:color="000000" w:fill="FFF2CC" w:themeFill="accent4" w:themeFillTint="33"/>
            <w:vAlign w:val="center"/>
          </w:tcPr>
          <w:p w14:paraId="6AF49A43"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FFF2CC" w:themeFill="accent4" w:themeFillTint="33"/>
            <w:vAlign w:val="center"/>
          </w:tcPr>
          <w:p w14:paraId="44CEF07B"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2011</w:t>
            </w:r>
            <w:r w:rsidR="00C1354D">
              <w:rPr>
                <w:rFonts w:eastAsia="Times New Roman" w:cstheme="minorHAnsi"/>
                <w:bCs/>
                <w:sz w:val="18"/>
                <w:szCs w:val="18"/>
                <w:lang w:eastAsia="cs-CZ"/>
              </w:rPr>
              <w:t>–</w:t>
            </w:r>
            <w:r>
              <w:rPr>
                <w:rFonts w:eastAsia="Times New Roman" w:cstheme="minorHAnsi"/>
                <w:bCs/>
                <w:sz w:val="18"/>
                <w:szCs w:val="18"/>
                <w:lang w:eastAsia="cs-CZ"/>
              </w:rPr>
              <w:t>2020</w:t>
            </w:r>
          </w:p>
        </w:tc>
        <w:tc>
          <w:tcPr>
            <w:tcW w:w="1134" w:type="dxa"/>
            <w:tcBorders>
              <w:top w:val="single" w:sz="4" w:space="0" w:color="auto"/>
              <w:left w:val="single" w:sz="4" w:space="0" w:color="auto"/>
              <w:bottom w:val="single" w:sz="4" w:space="0" w:color="auto"/>
              <w:right w:val="single" w:sz="4" w:space="0" w:color="auto"/>
            </w:tcBorders>
            <w:shd w:val="clear" w:color="000000" w:fill="FFF2CC" w:themeFill="accent4" w:themeFillTint="33"/>
            <w:vAlign w:val="center"/>
          </w:tcPr>
          <w:p w14:paraId="51EC6723"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t>K1.3</w:t>
            </w:r>
          </w:p>
        </w:tc>
        <w:tc>
          <w:tcPr>
            <w:tcW w:w="4253" w:type="dxa"/>
            <w:tcBorders>
              <w:top w:val="single" w:sz="4" w:space="0" w:color="auto"/>
              <w:left w:val="single" w:sz="4" w:space="0" w:color="auto"/>
              <w:bottom w:val="single" w:sz="4" w:space="0" w:color="auto"/>
              <w:right w:val="single" w:sz="4" w:space="0" w:color="auto"/>
            </w:tcBorders>
            <w:shd w:val="clear" w:color="000000" w:fill="FFF2CC" w:themeFill="accent4" w:themeFillTint="33"/>
          </w:tcPr>
          <w:p w14:paraId="753D9C5A"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 xml:space="preserve">Postupně sanovat nehodové lokality identifikované dle mapového portálu </w:t>
            </w:r>
            <w:hyperlink r:id="rId18" w:history="1">
              <w:r w:rsidR="006F6636" w:rsidRPr="00AE5E8A">
                <w:rPr>
                  <w:rStyle w:val="Hypertextovodkaz"/>
                  <w:rFonts w:eastAsia="Times New Roman" w:cstheme="minorHAnsi"/>
                  <w:bCs/>
                  <w:sz w:val="18"/>
                  <w:szCs w:val="18"/>
                  <w:lang w:eastAsia="cs-CZ"/>
                </w:rPr>
                <w:t>http://sykrik.vectormap.cz/</w:t>
              </w:r>
            </w:hyperlink>
            <w:r w:rsidR="006F6636">
              <w:rPr>
                <w:rFonts w:eastAsia="Times New Roman" w:cstheme="minorHAnsi"/>
                <w:bCs/>
                <w:sz w:val="18"/>
                <w:szCs w:val="18"/>
                <w:lang w:eastAsia="cs-CZ"/>
              </w:rPr>
              <w:t xml:space="preserve"> </w:t>
            </w:r>
            <w:r w:rsidRPr="007F4A71">
              <w:rPr>
                <w:rFonts w:eastAsia="Times New Roman" w:cstheme="minorHAnsi"/>
                <w:bCs/>
                <w:sz w:val="18"/>
                <w:szCs w:val="18"/>
                <w:lang w:eastAsia="cs-CZ"/>
              </w:rPr>
              <w:t xml:space="preserve">a dle metodiky </w:t>
            </w:r>
            <w:hyperlink r:id="rId19" w:history="1">
              <w:r w:rsidR="006F6636" w:rsidRPr="00AE5E8A">
                <w:rPr>
                  <w:rStyle w:val="Hypertextovodkaz"/>
                  <w:rFonts w:eastAsia="Times New Roman" w:cstheme="minorHAnsi"/>
                  <w:bCs/>
                  <w:sz w:val="18"/>
                  <w:szCs w:val="18"/>
                  <w:lang w:eastAsia="cs-CZ"/>
                </w:rPr>
                <w:t>http://ideko.cdv.cz/</w:t>
              </w:r>
            </w:hyperlink>
            <w:r w:rsidR="006F6636">
              <w:rPr>
                <w:rFonts w:eastAsia="Times New Roman" w:cstheme="minorHAnsi"/>
                <w:bCs/>
                <w:sz w:val="18"/>
                <w:szCs w:val="18"/>
                <w:lang w:eastAsia="cs-CZ"/>
              </w:rPr>
              <w:t>.</w:t>
            </w:r>
          </w:p>
        </w:tc>
        <w:tc>
          <w:tcPr>
            <w:tcW w:w="1185" w:type="dxa"/>
            <w:tcBorders>
              <w:top w:val="single" w:sz="4" w:space="0" w:color="auto"/>
              <w:left w:val="single" w:sz="4" w:space="0" w:color="auto"/>
              <w:bottom w:val="single" w:sz="4" w:space="0" w:color="auto"/>
              <w:right w:val="single" w:sz="4" w:space="0" w:color="auto"/>
            </w:tcBorders>
            <w:shd w:val="clear" w:color="000000" w:fill="FFF2CC" w:themeFill="accent4" w:themeFillTint="33"/>
            <w:vAlign w:val="center"/>
          </w:tcPr>
          <w:p w14:paraId="57A42573"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ŘSD</w:t>
            </w:r>
          </w:p>
        </w:tc>
      </w:tr>
      <w:tr w:rsidR="00750ABC" w14:paraId="0B1EEF4D"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FFF2CC" w:themeFill="accent4" w:themeFillTint="33"/>
            <w:vAlign w:val="center"/>
          </w:tcPr>
          <w:p w14:paraId="08E0505D"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41</w:t>
            </w:r>
          </w:p>
        </w:tc>
        <w:tc>
          <w:tcPr>
            <w:tcW w:w="708" w:type="dxa"/>
            <w:vMerge/>
            <w:tcBorders>
              <w:left w:val="single" w:sz="4" w:space="0" w:color="auto"/>
              <w:right w:val="single" w:sz="4" w:space="0" w:color="auto"/>
            </w:tcBorders>
            <w:shd w:val="clear" w:color="000000" w:fill="FFF2CC" w:themeFill="accent4" w:themeFillTint="33"/>
            <w:vAlign w:val="center"/>
          </w:tcPr>
          <w:p w14:paraId="2077B8A8"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FFF2CC" w:themeFill="accent4" w:themeFillTint="33"/>
            <w:vAlign w:val="center"/>
          </w:tcPr>
          <w:p w14:paraId="2BF3D9B4"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2011</w:t>
            </w:r>
            <w:r w:rsidR="00C1354D">
              <w:rPr>
                <w:rFonts w:eastAsia="Times New Roman" w:cstheme="minorHAnsi"/>
                <w:bCs/>
                <w:sz w:val="18"/>
                <w:szCs w:val="18"/>
                <w:lang w:eastAsia="cs-CZ"/>
              </w:rPr>
              <w:t>–</w:t>
            </w:r>
            <w:r>
              <w:rPr>
                <w:rFonts w:eastAsia="Times New Roman" w:cstheme="minorHAnsi"/>
                <w:bCs/>
                <w:sz w:val="18"/>
                <w:szCs w:val="18"/>
                <w:lang w:eastAsia="cs-CZ"/>
              </w:rPr>
              <w:t>2020</w:t>
            </w:r>
          </w:p>
        </w:tc>
        <w:tc>
          <w:tcPr>
            <w:tcW w:w="1134" w:type="dxa"/>
            <w:tcBorders>
              <w:top w:val="single" w:sz="4" w:space="0" w:color="auto"/>
              <w:left w:val="single" w:sz="4" w:space="0" w:color="auto"/>
              <w:bottom w:val="single" w:sz="4" w:space="0" w:color="auto"/>
              <w:right w:val="single" w:sz="4" w:space="0" w:color="auto"/>
            </w:tcBorders>
            <w:shd w:val="clear" w:color="000000" w:fill="FFF2CC" w:themeFill="accent4" w:themeFillTint="33"/>
            <w:vAlign w:val="center"/>
          </w:tcPr>
          <w:p w14:paraId="44F38B9B"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t>K1.4</w:t>
            </w:r>
          </w:p>
        </w:tc>
        <w:tc>
          <w:tcPr>
            <w:tcW w:w="4253" w:type="dxa"/>
            <w:tcBorders>
              <w:top w:val="single" w:sz="4" w:space="0" w:color="auto"/>
              <w:left w:val="single" w:sz="4" w:space="0" w:color="auto"/>
              <w:bottom w:val="single" w:sz="4" w:space="0" w:color="auto"/>
              <w:right w:val="single" w:sz="4" w:space="0" w:color="auto"/>
            </w:tcBorders>
            <w:shd w:val="clear" w:color="000000" w:fill="FFF2CC" w:themeFill="accent4" w:themeFillTint="33"/>
          </w:tcPr>
          <w:p w14:paraId="4E3FA282"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 xml:space="preserve">Provádět prohlídky pozemních komunikací na síti TEN-T dle metodiky </w:t>
            </w:r>
            <w:hyperlink r:id="rId20" w:history="1">
              <w:r w:rsidR="008543AC" w:rsidRPr="00AE5E8A">
                <w:rPr>
                  <w:rStyle w:val="Hypertextovodkaz"/>
                  <w:rFonts w:eastAsia="Times New Roman" w:cstheme="minorHAnsi"/>
                  <w:bCs/>
                  <w:sz w:val="18"/>
                  <w:szCs w:val="18"/>
                  <w:lang w:eastAsia="cs-CZ"/>
                </w:rPr>
                <w:t>www.audit-bezpecnosti.cz</w:t>
              </w:r>
            </w:hyperlink>
            <w:r w:rsidRPr="007F4A71">
              <w:rPr>
                <w:rFonts w:eastAsia="Times New Roman" w:cstheme="minorHAnsi"/>
                <w:bCs/>
                <w:sz w:val="18"/>
                <w:szCs w:val="18"/>
                <w:lang w:eastAsia="cs-CZ"/>
              </w:rPr>
              <w:t>.</w:t>
            </w:r>
          </w:p>
        </w:tc>
        <w:tc>
          <w:tcPr>
            <w:tcW w:w="1185" w:type="dxa"/>
            <w:tcBorders>
              <w:top w:val="single" w:sz="4" w:space="0" w:color="auto"/>
              <w:left w:val="single" w:sz="4" w:space="0" w:color="auto"/>
              <w:bottom w:val="single" w:sz="4" w:space="0" w:color="auto"/>
              <w:right w:val="single" w:sz="4" w:space="0" w:color="auto"/>
            </w:tcBorders>
            <w:shd w:val="clear" w:color="000000" w:fill="FFF2CC" w:themeFill="accent4" w:themeFillTint="33"/>
            <w:vAlign w:val="center"/>
          </w:tcPr>
          <w:p w14:paraId="7A4A2FF6"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ŘSD</w:t>
            </w:r>
          </w:p>
        </w:tc>
      </w:tr>
      <w:tr w:rsidR="00750ABC" w14:paraId="6668B617" w14:textId="77777777" w:rsidTr="002365FC">
        <w:trPr>
          <w:trHeight w:val="449"/>
          <w:jc w:val="center"/>
        </w:trPr>
        <w:tc>
          <w:tcPr>
            <w:tcW w:w="421" w:type="dxa"/>
            <w:tcBorders>
              <w:top w:val="single" w:sz="4" w:space="0" w:color="auto"/>
              <w:left w:val="single" w:sz="4" w:space="0" w:color="auto"/>
              <w:bottom w:val="single" w:sz="4" w:space="0" w:color="auto"/>
              <w:right w:val="single" w:sz="4" w:space="0" w:color="auto"/>
            </w:tcBorders>
            <w:shd w:val="clear" w:color="000000" w:fill="FFF2CC" w:themeFill="accent4" w:themeFillTint="33"/>
            <w:vAlign w:val="center"/>
          </w:tcPr>
          <w:p w14:paraId="3CCF050F"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42</w:t>
            </w:r>
          </w:p>
        </w:tc>
        <w:tc>
          <w:tcPr>
            <w:tcW w:w="708" w:type="dxa"/>
            <w:vMerge/>
            <w:tcBorders>
              <w:left w:val="single" w:sz="4" w:space="0" w:color="auto"/>
              <w:bottom w:val="single" w:sz="4" w:space="0" w:color="auto"/>
              <w:right w:val="single" w:sz="4" w:space="0" w:color="auto"/>
            </w:tcBorders>
            <w:shd w:val="clear" w:color="000000" w:fill="FFF2CC" w:themeFill="accent4" w:themeFillTint="33"/>
            <w:vAlign w:val="center"/>
          </w:tcPr>
          <w:p w14:paraId="6D01F11B" w14:textId="77777777" w:rsidR="00750ABC" w:rsidRDefault="00750ABC" w:rsidP="002365FC">
            <w:pPr>
              <w:spacing w:after="0" w:line="240" w:lineRule="auto"/>
              <w:jc w:val="center"/>
              <w:rPr>
                <w:rFonts w:eastAsia="Times New Roman" w:cstheme="minorHAnsi"/>
                <w:b/>
                <w:bCs/>
                <w:color w:val="FF0000"/>
                <w:sz w:val="18"/>
                <w:szCs w:val="18"/>
                <w:lang w:eastAsia="cs-CZ"/>
              </w:rPr>
            </w:pPr>
          </w:p>
        </w:tc>
        <w:tc>
          <w:tcPr>
            <w:tcW w:w="1134" w:type="dxa"/>
            <w:tcBorders>
              <w:top w:val="single" w:sz="4" w:space="0" w:color="auto"/>
              <w:left w:val="single" w:sz="4" w:space="0" w:color="auto"/>
              <w:bottom w:val="single" w:sz="4" w:space="0" w:color="auto"/>
              <w:right w:val="single" w:sz="4" w:space="0" w:color="auto"/>
            </w:tcBorders>
            <w:shd w:val="clear" w:color="000000" w:fill="FFF2CC" w:themeFill="accent4" w:themeFillTint="33"/>
            <w:vAlign w:val="center"/>
          </w:tcPr>
          <w:p w14:paraId="7E8B7EC8" w14:textId="77777777" w:rsidR="00750ABC" w:rsidRDefault="00750ABC" w:rsidP="002365FC">
            <w:pPr>
              <w:spacing w:after="0" w:line="240" w:lineRule="auto"/>
              <w:jc w:val="center"/>
              <w:rPr>
                <w:rFonts w:eastAsia="Times New Roman" w:cstheme="minorHAnsi"/>
                <w:b/>
                <w:bCs/>
                <w:color w:val="FF0000"/>
                <w:sz w:val="18"/>
                <w:szCs w:val="18"/>
                <w:lang w:eastAsia="cs-CZ"/>
              </w:rPr>
            </w:pPr>
            <w:r>
              <w:rPr>
                <w:rFonts w:eastAsia="Times New Roman" w:cstheme="minorHAnsi"/>
                <w:bCs/>
                <w:sz w:val="18"/>
                <w:szCs w:val="18"/>
                <w:lang w:eastAsia="cs-CZ"/>
              </w:rPr>
              <w:t>2011</w:t>
            </w:r>
            <w:r w:rsidR="00C1354D">
              <w:rPr>
                <w:rFonts w:eastAsia="Times New Roman" w:cstheme="minorHAnsi"/>
                <w:bCs/>
                <w:sz w:val="18"/>
                <w:szCs w:val="18"/>
                <w:lang w:eastAsia="cs-CZ"/>
              </w:rPr>
              <w:t>–</w:t>
            </w:r>
            <w:r>
              <w:rPr>
                <w:rFonts w:eastAsia="Times New Roman" w:cstheme="minorHAnsi"/>
                <w:bCs/>
                <w:sz w:val="18"/>
                <w:szCs w:val="18"/>
                <w:lang w:eastAsia="cs-CZ"/>
              </w:rPr>
              <w:t>2020</w:t>
            </w:r>
          </w:p>
        </w:tc>
        <w:tc>
          <w:tcPr>
            <w:tcW w:w="1134" w:type="dxa"/>
            <w:tcBorders>
              <w:top w:val="single" w:sz="4" w:space="0" w:color="auto"/>
              <w:left w:val="single" w:sz="4" w:space="0" w:color="auto"/>
              <w:bottom w:val="single" w:sz="4" w:space="0" w:color="auto"/>
              <w:right w:val="single" w:sz="4" w:space="0" w:color="auto"/>
            </w:tcBorders>
            <w:shd w:val="clear" w:color="000000" w:fill="FFF2CC" w:themeFill="accent4" w:themeFillTint="33"/>
            <w:vAlign w:val="center"/>
          </w:tcPr>
          <w:p w14:paraId="488BC71A" w14:textId="77777777" w:rsidR="00750ABC" w:rsidRPr="007F4A71" w:rsidRDefault="00750ABC" w:rsidP="002365FC">
            <w:pPr>
              <w:spacing w:after="0" w:line="240" w:lineRule="auto"/>
              <w:jc w:val="center"/>
              <w:rPr>
                <w:rFonts w:eastAsia="Times New Roman" w:cstheme="minorHAnsi"/>
                <w:bCs/>
                <w:sz w:val="18"/>
                <w:szCs w:val="18"/>
                <w:lang w:eastAsia="cs-CZ"/>
              </w:rPr>
            </w:pPr>
            <w:r w:rsidRPr="007F4A71">
              <w:rPr>
                <w:rFonts w:eastAsia="Times New Roman" w:cstheme="minorHAnsi"/>
                <w:bCs/>
                <w:sz w:val="18"/>
                <w:szCs w:val="18"/>
                <w:lang w:eastAsia="cs-CZ"/>
              </w:rPr>
              <w:t>K1.5</w:t>
            </w:r>
          </w:p>
        </w:tc>
        <w:tc>
          <w:tcPr>
            <w:tcW w:w="4253" w:type="dxa"/>
            <w:tcBorders>
              <w:top w:val="single" w:sz="4" w:space="0" w:color="auto"/>
              <w:left w:val="single" w:sz="4" w:space="0" w:color="auto"/>
              <w:bottom w:val="single" w:sz="4" w:space="0" w:color="auto"/>
              <w:right w:val="single" w:sz="4" w:space="0" w:color="auto"/>
            </w:tcBorders>
            <w:shd w:val="clear" w:color="000000" w:fill="FFF2CC" w:themeFill="accent4" w:themeFillTint="33"/>
          </w:tcPr>
          <w:p w14:paraId="35620172" w14:textId="77777777" w:rsidR="00750ABC" w:rsidRPr="007F4A71" w:rsidRDefault="00750ABC" w:rsidP="002365FC">
            <w:pPr>
              <w:spacing w:after="0" w:line="240" w:lineRule="auto"/>
              <w:jc w:val="both"/>
              <w:rPr>
                <w:rFonts w:eastAsia="Times New Roman" w:cstheme="minorHAnsi"/>
                <w:bCs/>
                <w:sz w:val="18"/>
                <w:szCs w:val="18"/>
                <w:lang w:eastAsia="cs-CZ"/>
              </w:rPr>
            </w:pPr>
            <w:r w:rsidRPr="007F4A71">
              <w:rPr>
                <w:rFonts w:eastAsia="Times New Roman" w:cstheme="minorHAnsi"/>
                <w:bCs/>
                <w:sz w:val="18"/>
                <w:szCs w:val="18"/>
                <w:lang w:eastAsia="cs-CZ"/>
              </w:rPr>
              <w:t>Na základě vyjádření PČR k nehodovému úseku či místu vážné dopravní nehody postupně odstraňovat tyto úseky a povinně poskytnout zpětnou informaci, jaká úprava nehodového úseku/rizikové lokality byla provedena správcem PK.</w:t>
            </w:r>
          </w:p>
        </w:tc>
        <w:tc>
          <w:tcPr>
            <w:tcW w:w="1185" w:type="dxa"/>
            <w:tcBorders>
              <w:top w:val="single" w:sz="4" w:space="0" w:color="auto"/>
              <w:left w:val="single" w:sz="4" w:space="0" w:color="auto"/>
              <w:bottom w:val="single" w:sz="4" w:space="0" w:color="auto"/>
              <w:right w:val="single" w:sz="4" w:space="0" w:color="auto"/>
            </w:tcBorders>
            <w:shd w:val="clear" w:color="000000" w:fill="FFF2CC" w:themeFill="accent4" w:themeFillTint="33"/>
            <w:vAlign w:val="center"/>
          </w:tcPr>
          <w:p w14:paraId="0BDE3375" w14:textId="77777777" w:rsidR="00750ABC" w:rsidRPr="007F4A71" w:rsidRDefault="00750ABC" w:rsidP="002365FC">
            <w:pPr>
              <w:spacing w:after="0" w:line="240" w:lineRule="auto"/>
              <w:jc w:val="center"/>
              <w:rPr>
                <w:rFonts w:eastAsia="Times New Roman" w:cstheme="minorHAnsi"/>
                <w:bCs/>
                <w:sz w:val="18"/>
                <w:szCs w:val="18"/>
                <w:lang w:eastAsia="cs-CZ"/>
              </w:rPr>
            </w:pPr>
            <w:r>
              <w:rPr>
                <w:rFonts w:eastAsia="Times New Roman" w:cstheme="minorHAnsi"/>
                <w:bCs/>
                <w:sz w:val="18"/>
                <w:szCs w:val="18"/>
                <w:lang w:eastAsia="cs-CZ"/>
              </w:rPr>
              <w:t>ŘSD</w:t>
            </w:r>
          </w:p>
        </w:tc>
      </w:tr>
    </w:tbl>
    <w:p w14:paraId="5A1E7F19" w14:textId="77777777" w:rsidR="00750ABC" w:rsidRPr="002C7C06" w:rsidRDefault="00750ABC" w:rsidP="00750ABC">
      <w:pPr>
        <w:spacing w:after="120" w:line="240" w:lineRule="auto"/>
        <w:ind w:firstLine="142"/>
        <w:rPr>
          <w:rFonts w:cstheme="minorHAnsi"/>
          <w:sz w:val="20"/>
          <w:szCs w:val="20"/>
        </w:rPr>
      </w:pPr>
      <w:r w:rsidRPr="002C7C06">
        <w:rPr>
          <w:rFonts w:cstheme="minorHAnsi"/>
          <w:b/>
          <w:sz w:val="20"/>
          <w:szCs w:val="20"/>
        </w:rPr>
        <w:t>Zdroj:</w:t>
      </w:r>
      <w:r w:rsidRPr="002C7C06">
        <w:rPr>
          <w:rFonts w:cstheme="minorHAnsi"/>
          <w:sz w:val="20"/>
          <w:szCs w:val="20"/>
        </w:rPr>
        <w:t xml:space="preserve"> </w:t>
      </w:r>
      <w:r w:rsidR="00AD5A5E">
        <w:rPr>
          <w:rFonts w:cstheme="minorHAnsi"/>
          <w:sz w:val="20"/>
          <w:szCs w:val="20"/>
        </w:rPr>
        <w:t>s</w:t>
      </w:r>
      <w:r w:rsidRPr="002C7C06">
        <w:rPr>
          <w:rFonts w:cstheme="minorHAnsi"/>
          <w:sz w:val="20"/>
          <w:szCs w:val="20"/>
        </w:rPr>
        <w:t>trategické dokumenty BESIP, včetně souvisejících AP; předané kontrolní protokoly KA 22/26</w:t>
      </w:r>
      <w:r w:rsidR="00A30EA9" w:rsidRPr="002C7C06">
        <w:rPr>
          <w:rFonts w:cstheme="minorHAnsi"/>
          <w:sz w:val="20"/>
          <w:szCs w:val="20"/>
        </w:rPr>
        <w:t>.</w:t>
      </w:r>
    </w:p>
    <w:p w14:paraId="5EFECDC1" w14:textId="77777777" w:rsidR="00750ABC" w:rsidRDefault="00750ABC" w:rsidP="00750ABC">
      <w:pPr>
        <w:rPr>
          <w:rFonts w:eastAsia="Times New Roman" w:cstheme="minorHAnsi"/>
          <w:color w:val="FF0000"/>
          <w:sz w:val="24"/>
          <w:szCs w:val="24"/>
        </w:rPr>
      </w:pPr>
    </w:p>
    <w:p w14:paraId="70283FA0" w14:textId="77777777" w:rsidR="00750ABC" w:rsidRDefault="00750ABC" w:rsidP="00750ABC">
      <w:pPr>
        <w:pStyle w:val="KP-normlnbezodsazen"/>
        <w:rPr>
          <w:color w:val="FF0000"/>
        </w:rPr>
      </w:pPr>
    </w:p>
    <w:p w14:paraId="531DC726" w14:textId="77777777" w:rsidR="00750ABC" w:rsidRDefault="00750ABC" w:rsidP="00750ABC">
      <w:pPr>
        <w:rPr>
          <w:b/>
          <w:sz w:val="24"/>
          <w:szCs w:val="24"/>
        </w:rPr>
      </w:pPr>
      <w:r>
        <w:rPr>
          <w:sz w:val="24"/>
          <w:szCs w:val="24"/>
        </w:rPr>
        <w:br w:type="page"/>
      </w:r>
    </w:p>
    <w:p w14:paraId="386DD78B" w14:textId="77777777" w:rsidR="00750ABC" w:rsidRPr="00723581" w:rsidRDefault="00750ABC" w:rsidP="00750ABC">
      <w:pPr>
        <w:pStyle w:val="Nadpis1"/>
        <w:spacing w:before="0" w:after="120"/>
        <w:jc w:val="right"/>
        <w:rPr>
          <w:sz w:val="24"/>
          <w:szCs w:val="24"/>
        </w:rPr>
      </w:pPr>
      <w:bookmarkStart w:id="39" w:name="_Hlk141364768"/>
      <w:r w:rsidRPr="00723581">
        <w:rPr>
          <w:sz w:val="24"/>
          <w:szCs w:val="24"/>
        </w:rPr>
        <w:lastRenderedPageBreak/>
        <w:t xml:space="preserve">Příloha č. </w:t>
      </w:r>
      <w:r>
        <w:rPr>
          <w:sz w:val="24"/>
          <w:szCs w:val="24"/>
        </w:rPr>
        <w:t>4</w:t>
      </w:r>
    </w:p>
    <w:p w14:paraId="68F2C80F" w14:textId="77777777" w:rsidR="00750ABC" w:rsidRPr="00992253" w:rsidRDefault="00750ABC" w:rsidP="00750ABC">
      <w:pPr>
        <w:spacing w:after="120" w:line="240" w:lineRule="auto"/>
        <w:jc w:val="center"/>
        <w:rPr>
          <w:rFonts w:cstheme="minorHAnsi"/>
          <w:b/>
          <w:sz w:val="24"/>
        </w:rPr>
      </w:pPr>
      <w:bookmarkStart w:id="40" w:name="_Hlk141364774"/>
      <w:bookmarkStart w:id="41" w:name="_Hlk140216681"/>
      <w:bookmarkEnd w:id="39"/>
      <w:r w:rsidRPr="00992253">
        <w:rPr>
          <w:rFonts w:cstheme="minorHAnsi"/>
          <w:b/>
          <w:sz w:val="24"/>
        </w:rPr>
        <w:t>Přehled dopravně bezpečnostních kampaní vybraných ke kontrole</w:t>
      </w:r>
      <w:bookmarkEnd w:id="40"/>
    </w:p>
    <w:p w14:paraId="44F1DC1D" w14:textId="77777777" w:rsidR="00750ABC" w:rsidRPr="00992253" w:rsidRDefault="00750ABC" w:rsidP="00750ABC"/>
    <w:tbl>
      <w:tblPr>
        <w:tblStyle w:val="Mkatabulky"/>
        <w:tblW w:w="9067" w:type="dxa"/>
        <w:tblLook w:val="04A0" w:firstRow="1" w:lastRow="0" w:firstColumn="1" w:lastColumn="0" w:noHBand="0" w:noVBand="1"/>
      </w:tblPr>
      <w:tblGrid>
        <w:gridCol w:w="1378"/>
        <w:gridCol w:w="4004"/>
        <w:gridCol w:w="1701"/>
        <w:gridCol w:w="1984"/>
      </w:tblGrid>
      <w:tr w:rsidR="00750ABC" w:rsidRPr="00E25029" w14:paraId="56F49FA3" w14:textId="77777777" w:rsidTr="002365FC">
        <w:tc>
          <w:tcPr>
            <w:tcW w:w="1378" w:type="dxa"/>
            <w:tcBorders>
              <w:bottom w:val="single" w:sz="4" w:space="0" w:color="auto"/>
            </w:tcBorders>
            <w:shd w:val="clear" w:color="auto" w:fill="E5F1FF"/>
            <w:vAlign w:val="center"/>
          </w:tcPr>
          <w:p w14:paraId="0D961742" w14:textId="77777777" w:rsidR="00750ABC" w:rsidRPr="00AF3F72" w:rsidRDefault="00750ABC" w:rsidP="002365FC">
            <w:pPr>
              <w:jc w:val="center"/>
              <w:rPr>
                <w:rFonts w:eastAsia="Times New Roman" w:cstheme="minorHAnsi"/>
                <w:b/>
                <w:bCs/>
                <w:sz w:val="20"/>
                <w:szCs w:val="20"/>
                <w:lang w:eastAsia="cs-CZ"/>
              </w:rPr>
            </w:pPr>
            <w:r w:rsidRPr="00AF3F72">
              <w:rPr>
                <w:rFonts w:eastAsia="Times New Roman" w:cstheme="minorHAnsi"/>
                <w:b/>
                <w:bCs/>
                <w:sz w:val="20"/>
                <w:szCs w:val="20"/>
                <w:lang w:eastAsia="cs-CZ"/>
              </w:rPr>
              <w:t>Název</w:t>
            </w:r>
          </w:p>
        </w:tc>
        <w:tc>
          <w:tcPr>
            <w:tcW w:w="4004" w:type="dxa"/>
            <w:tcBorders>
              <w:bottom w:val="single" w:sz="4" w:space="0" w:color="auto"/>
            </w:tcBorders>
            <w:shd w:val="clear" w:color="auto" w:fill="E5F1FF"/>
            <w:vAlign w:val="center"/>
          </w:tcPr>
          <w:p w14:paraId="520706D5" w14:textId="77777777" w:rsidR="00750ABC" w:rsidRPr="00AF3F72" w:rsidRDefault="00750ABC" w:rsidP="002365FC">
            <w:pPr>
              <w:jc w:val="center"/>
              <w:rPr>
                <w:rFonts w:eastAsia="Times New Roman" w:cstheme="minorHAnsi"/>
                <w:b/>
                <w:bCs/>
                <w:sz w:val="20"/>
                <w:szCs w:val="20"/>
                <w:lang w:eastAsia="cs-CZ"/>
              </w:rPr>
            </w:pPr>
            <w:r>
              <w:rPr>
                <w:rFonts w:eastAsia="Times New Roman" w:cstheme="minorHAnsi"/>
                <w:b/>
                <w:bCs/>
                <w:sz w:val="20"/>
                <w:szCs w:val="20"/>
                <w:lang w:eastAsia="cs-CZ"/>
              </w:rPr>
              <w:t>Předmět kampaně</w:t>
            </w:r>
          </w:p>
        </w:tc>
        <w:tc>
          <w:tcPr>
            <w:tcW w:w="1701" w:type="dxa"/>
            <w:tcBorders>
              <w:bottom w:val="single" w:sz="4" w:space="0" w:color="auto"/>
            </w:tcBorders>
            <w:shd w:val="clear" w:color="auto" w:fill="E5F1FF"/>
            <w:vAlign w:val="center"/>
          </w:tcPr>
          <w:p w14:paraId="729DFAA2" w14:textId="77777777" w:rsidR="00750ABC" w:rsidRPr="00AF3F72" w:rsidRDefault="00750ABC" w:rsidP="002365FC">
            <w:pPr>
              <w:jc w:val="center"/>
              <w:rPr>
                <w:rFonts w:eastAsia="Times New Roman" w:cstheme="minorHAnsi"/>
                <w:b/>
                <w:bCs/>
                <w:sz w:val="20"/>
                <w:szCs w:val="20"/>
                <w:lang w:eastAsia="cs-CZ"/>
              </w:rPr>
            </w:pPr>
            <w:r>
              <w:rPr>
                <w:rFonts w:eastAsia="Times New Roman" w:cstheme="minorHAnsi"/>
                <w:b/>
                <w:bCs/>
                <w:sz w:val="20"/>
                <w:szCs w:val="20"/>
                <w:lang w:eastAsia="cs-CZ"/>
              </w:rPr>
              <w:t>Cílová skupina</w:t>
            </w:r>
          </w:p>
        </w:tc>
        <w:tc>
          <w:tcPr>
            <w:tcW w:w="1984" w:type="dxa"/>
            <w:tcBorders>
              <w:bottom w:val="single" w:sz="4" w:space="0" w:color="auto"/>
            </w:tcBorders>
            <w:shd w:val="clear" w:color="auto" w:fill="E5F1FF"/>
            <w:vAlign w:val="center"/>
          </w:tcPr>
          <w:p w14:paraId="31A51037" w14:textId="77777777" w:rsidR="00750ABC" w:rsidRDefault="00750ABC" w:rsidP="002365FC">
            <w:pPr>
              <w:jc w:val="center"/>
              <w:rPr>
                <w:rFonts w:eastAsia="Times New Roman" w:cstheme="minorHAnsi"/>
                <w:b/>
                <w:bCs/>
                <w:sz w:val="20"/>
                <w:szCs w:val="20"/>
                <w:lang w:eastAsia="cs-CZ"/>
              </w:rPr>
            </w:pPr>
            <w:r w:rsidRPr="00AF3F72">
              <w:rPr>
                <w:rFonts w:eastAsia="Times New Roman" w:cstheme="minorHAnsi"/>
                <w:b/>
                <w:bCs/>
                <w:sz w:val="20"/>
                <w:szCs w:val="20"/>
                <w:lang w:eastAsia="cs-CZ"/>
              </w:rPr>
              <w:t xml:space="preserve">Náklady na kampaň </w:t>
            </w:r>
          </w:p>
          <w:p w14:paraId="246BCF18" w14:textId="44D696A0" w:rsidR="00750ABC" w:rsidRPr="00AF3F72" w:rsidRDefault="00750ABC" w:rsidP="002365FC">
            <w:pPr>
              <w:jc w:val="center"/>
              <w:rPr>
                <w:rFonts w:eastAsia="Times New Roman" w:cstheme="minorHAnsi"/>
                <w:b/>
                <w:bCs/>
                <w:sz w:val="20"/>
                <w:szCs w:val="20"/>
                <w:lang w:eastAsia="cs-CZ"/>
              </w:rPr>
            </w:pPr>
            <w:r w:rsidRPr="00AF3F72">
              <w:rPr>
                <w:rFonts w:eastAsia="Times New Roman" w:cstheme="minorHAnsi"/>
                <w:b/>
                <w:bCs/>
                <w:sz w:val="20"/>
                <w:szCs w:val="20"/>
                <w:lang w:eastAsia="cs-CZ"/>
              </w:rPr>
              <w:t>(</w:t>
            </w:r>
            <w:r>
              <w:rPr>
                <w:rFonts w:eastAsia="Times New Roman" w:cstheme="minorHAnsi"/>
                <w:b/>
                <w:bCs/>
                <w:sz w:val="20"/>
                <w:szCs w:val="20"/>
                <w:lang w:eastAsia="cs-CZ"/>
              </w:rPr>
              <w:t xml:space="preserve">v </w:t>
            </w:r>
            <w:r w:rsidRPr="00AF3F72">
              <w:rPr>
                <w:rFonts w:eastAsia="Times New Roman" w:cstheme="minorHAnsi"/>
                <w:b/>
                <w:bCs/>
                <w:sz w:val="20"/>
                <w:szCs w:val="20"/>
                <w:lang w:eastAsia="cs-CZ"/>
              </w:rPr>
              <w:t xml:space="preserve">Kč </w:t>
            </w:r>
            <w:r>
              <w:rPr>
                <w:rFonts w:eastAsia="Times New Roman" w:cstheme="minorHAnsi"/>
                <w:b/>
                <w:bCs/>
                <w:sz w:val="20"/>
                <w:szCs w:val="20"/>
                <w:lang w:eastAsia="cs-CZ"/>
              </w:rPr>
              <w:t>bez</w:t>
            </w:r>
            <w:r w:rsidRPr="00AF3F72">
              <w:rPr>
                <w:rFonts w:eastAsia="Times New Roman" w:cstheme="minorHAnsi"/>
                <w:b/>
                <w:bCs/>
                <w:sz w:val="20"/>
                <w:szCs w:val="20"/>
                <w:lang w:eastAsia="cs-CZ"/>
              </w:rPr>
              <w:t xml:space="preserve"> DPH)</w:t>
            </w:r>
          </w:p>
        </w:tc>
      </w:tr>
      <w:tr w:rsidR="00864B07" w:rsidRPr="00E25029" w14:paraId="07E68CDE" w14:textId="77777777" w:rsidTr="009C120C">
        <w:tc>
          <w:tcPr>
            <w:tcW w:w="1378" w:type="dxa"/>
            <w:shd w:val="clear" w:color="auto" w:fill="auto"/>
            <w:vAlign w:val="center"/>
          </w:tcPr>
          <w:p w14:paraId="019D1AD8" w14:textId="77777777" w:rsidR="00864B07" w:rsidRPr="0092104F" w:rsidRDefault="00864B07" w:rsidP="00864B07">
            <w:pPr>
              <w:rPr>
                <w:rFonts w:ascii="Calibri" w:hAnsi="Calibri" w:cs="Calibri"/>
                <w:b/>
                <w:bCs/>
                <w:color w:val="000000"/>
                <w:sz w:val="18"/>
                <w:szCs w:val="18"/>
              </w:rPr>
            </w:pPr>
            <w:r w:rsidRPr="0092104F">
              <w:rPr>
                <w:rFonts w:ascii="Calibri" w:hAnsi="Calibri" w:cs="Calibri"/>
                <w:b/>
                <w:bCs/>
                <w:color w:val="000000"/>
                <w:sz w:val="18"/>
                <w:szCs w:val="18"/>
              </w:rPr>
              <w:t>VIDÍME SE? II</w:t>
            </w:r>
          </w:p>
        </w:tc>
        <w:tc>
          <w:tcPr>
            <w:tcW w:w="4004" w:type="dxa"/>
            <w:shd w:val="clear" w:color="auto" w:fill="auto"/>
          </w:tcPr>
          <w:p w14:paraId="031B6FCB" w14:textId="77777777" w:rsidR="00864B07" w:rsidRPr="0092104F" w:rsidRDefault="00864B07" w:rsidP="00864B07">
            <w:pPr>
              <w:rPr>
                <w:sz w:val="20"/>
                <w:szCs w:val="20"/>
              </w:rPr>
            </w:pPr>
            <w:r w:rsidRPr="0092104F">
              <w:rPr>
                <w:sz w:val="20"/>
                <w:szCs w:val="20"/>
              </w:rPr>
              <w:t xml:space="preserve">Nákup a distribuce vybraných reflexních předmětů. Jednotlivé reflexní předměty slouží jako motivační prvky pro občany </w:t>
            </w:r>
            <w:r>
              <w:rPr>
                <w:sz w:val="20"/>
                <w:szCs w:val="20"/>
              </w:rPr>
              <w:t>–</w:t>
            </w:r>
            <w:r w:rsidRPr="0092104F">
              <w:rPr>
                <w:sz w:val="20"/>
                <w:szCs w:val="20"/>
              </w:rPr>
              <w:t xml:space="preserve"> účastníky silničního provozu (chodci, cyklisté, děti i</w:t>
            </w:r>
            <w:r>
              <w:rPr>
                <w:sz w:val="20"/>
                <w:szCs w:val="20"/>
              </w:rPr>
              <w:t> </w:t>
            </w:r>
            <w:r w:rsidRPr="0092104F">
              <w:rPr>
                <w:sz w:val="20"/>
                <w:szCs w:val="20"/>
              </w:rPr>
              <w:t>senioři</w:t>
            </w:r>
            <w:r>
              <w:rPr>
                <w:sz w:val="20"/>
                <w:szCs w:val="20"/>
              </w:rPr>
              <w:t>) a</w:t>
            </w:r>
            <w:r w:rsidRPr="0092104F">
              <w:rPr>
                <w:sz w:val="20"/>
                <w:szCs w:val="20"/>
              </w:rPr>
              <w:t xml:space="preserve"> zároveň </w:t>
            </w:r>
            <w:r>
              <w:rPr>
                <w:sz w:val="20"/>
                <w:szCs w:val="20"/>
              </w:rPr>
              <w:t xml:space="preserve">je </w:t>
            </w:r>
            <w:r w:rsidRPr="0092104F">
              <w:rPr>
                <w:sz w:val="20"/>
                <w:szCs w:val="20"/>
              </w:rPr>
              <w:t xml:space="preserve">při užívání uchrání před nebezpečím, které jim při pohybu v provozu na </w:t>
            </w:r>
            <w:r>
              <w:rPr>
                <w:sz w:val="20"/>
                <w:szCs w:val="20"/>
              </w:rPr>
              <w:t>pozemních komunikacích</w:t>
            </w:r>
            <w:r w:rsidRPr="0092104F">
              <w:rPr>
                <w:sz w:val="20"/>
                <w:szCs w:val="20"/>
              </w:rPr>
              <w:t xml:space="preserve"> hrozí </w:t>
            </w:r>
            <w:r>
              <w:rPr>
                <w:sz w:val="20"/>
                <w:szCs w:val="20"/>
              </w:rPr>
              <w:t>–</w:t>
            </w:r>
            <w:r w:rsidRPr="0092104F">
              <w:rPr>
                <w:sz w:val="20"/>
                <w:szCs w:val="20"/>
              </w:rPr>
              <w:t xml:space="preserve"> tj. zvýší se jejich viditelnost</w:t>
            </w:r>
            <w:r>
              <w:rPr>
                <w:sz w:val="20"/>
                <w:szCs w:val="20"/>
              </w:rPr>
              <w:t>.</w:t>
            </w:r>
          </w:p>
        </w:tc>
        <w:tc>
          <w:tcPr>
            <w:tcW w:w="1701" w:type="dxa"/>
          </w:tcPr>
          <w:p w14:paraId="4E9C6F60" w14:textId="77777777" w:rsidR="00864B07" w:rsidRDefault="00864B07" w:rsidP="00864B07">
            <w:pPr>
              <w:rPr>
                <w:sz w:val="20"/>
                <w:szCs w:val="20"/>
              </w:rPr>
            </w:pPr>
            <w:r>
              <w:rPr>
                <w:sz w:val="20"/>
                <w:szCs w:val="20"/>
              </w:rPr>
              <w:t>Chodci,</w:t>
            </w:r>
          </w:p>
          <w:p w14:paraId="626996CA" w14:textId="77777777" w:rsidR="00864B07" w:rsidRPr="00C1771F" w:rsidRDefault="00864B07" w:rsidP="00864B07">
            <w:pPr>
              <w:rPr>
                <w:sz w:val="20"/>
                <w:szCs w:val="20"/>
              </w:rPr>
            </w:pPr>
            <w:r>
              <w:rPr>
                <w:sz w:val="20"/>
                <w:szCs w:val="20"/>
              </w:rPr>
              <w:t>cyklisté</w:t>
            </w:r>
          </w:p>
        </w:tc>
        <w:tc>
          <w:tcPr>
            <w:tcW w:w="1984" w:type="dxa"/>
            <w:shd w:val="clear" w:color="auto" w:fill="auto"/>
          </w:tcPr>
          <w:p w14:paraId="07CABDF8" w14:textId="394CDE84" w:rsidR="00864B07" w:rsidRPr="00C1771F" w:rsidRDefault="00864B07" w:rsidP="009C120C">
            <w:pPr>
              <w:jc w:val="right"/>
              <w:rPr>
                <w:sz w:val="20"/>
                <w:szCs w:val="20"/>
              </w:rPr>
            </w:pPr>
            <w:r w:rsidRPr="009C120C">
              <w:rPr>
                <w:sz w:val="20"/>
                <w:szCs w:val="20"/>
              </w:rPr>
              <w:t>15 289 175,22</w:t>
            </w:r>
          </w:p>
        </w:tc>
      </w:tr>
      <w:tr w:rsidR="00864B07" w:rsidRPr="00E25029" w14:paraId="6358B959" w14:textId="77777777" w:rsidTr="009C120C">
        <w:tc>
          <w:tcPr>
            <w:tcW w:w="1378" w:type="dxa"/>
            <w:shd w:val="clear" w:color="auto" w:fill="auto"/>
            <w:vAlign w:val="center"/>
          </w:tcPr>
          <w:p w14:paraId="32B6D5D9" w14:textId="77777777" w:rsidR="00864B07" w:rsidRDefault="00864B07" w:rsidP="00864B07">
            <w:pPr>
              <w:rPr>
                <w:rFonts w:ascii="Calibri" w:hAnsi="Calibri" w:cs="Calibri"/>
                <w:b/>
                <w:bCs/>
                <w:color w:val="000000"/>
                <w:sz w:val="18"/>
                <w:szCs w:val="18"/>
              </w:rPr>
            </w:pPr>
            <w:r w:rsidRPr="0092104F">
              <w:rPr>
                <w:rFonts w:ascii="Calibri" w:hAnsi="Calibri" w:cs="Calibri"/>
                <w:b/>
                <w:bCs/>
                <w:color w:val="000000"/>
                <w:sz w:val="18"/>
                <w:szCs w:val="18"/>
              </w:rPr>
              <w:t>ZPOMAL, DOKUD NENÍ SKUTEČNĚ POZDĚ</w:t>
            </w:r>
          </w:p>
          <w:p w14:paraId="2B36BE53" w14:textId="77777777" w:rsidR="00864B07" w:rsidRPr="0092104F" w:rsidRDefault="00864B07" w:rsidP="00864B07">
            <w:pPr>
              <w:rPr>
                <w:rFonts w:ascii="Calibri" w:hAnsi="Calibri" w:cs="Calibri"/>
                <w:b/>
                <w:bCs/>
                <w:color w:val="000000"/>
                <w:sz w:val="18"/>
                <w:szCs w:val="18"/>
              </w:rPr>
            </w:pPr>
            <w:r>
              <w:rPr>
                <w:rFonts w:ascii="Calibri" w:hAnsi="Calibri" w:cs="Calibri"/>
                <w:b/>
                <w:bCs/>
                <w:color w:val="000000"/>
                <w:sz w:val="18"/>
                <w:szCs w:val="18"/>
              </w:rPr>
              <w:t>(jinak také „13 minut“)</w:t>
            </w:r>
          </w:p>
        </w:tc>
        <w:tc>
          <w:tcPr>
            <w:tcW w:w="4004" w:type="dxa"/>
            <w:shd w:val="clear" w:color="auto" w:fill="auto"/>
          </w:tcPr>
          <w:p w14:paraId="6E303D7B" w14:textId="77777777" w:rsidR="00864B07" w:rsidRPr="0092104F" w:rsidRDefault="00864B07" w:rsidP="00864B07">
            <w:pPr>
              <w:rPr>
                <w:sz w:val="20"/>
                <w:szCs w:val="20"/>
              </w:rPr>
            </w:pPr>
            <w:r w:rsidRPr="0092104F">
              <w:rPr>
                <w:sz w:val="20"/>
                <w:szCs w:val="20"/>
              </w:rPr>
              <w:t>Kampaň s pracovním názvem „13 minut“</w:t>
            </w:r>
            <w:r>
              <w:rPr>
                <w:sz w:val="20"/>
                <w:szCs w:val="20"/>
              </w:rPr>
              <w:t>,</w:t>
            </w:r>
            <w:r w:rsidRPr="0092104F">
              <w:rPr>
                <w:sz w:val="20"/>
                <w:szCs w:val="20"/>
              </w:rPr>
              <w:t xml:space="preserve"> do které </w:t>
            </w:r>
            <w:r>
              <w:rPr>
                <w:sz w:val="20"/>
                <w:szCs w:val="20"/>
              </w:rPr>
              <w:t>byly</w:t>
            </w:r>
            <w:r w:rsidRPr="0092104F">
              <w:rPr>
                <w:sz w:val="20"/>
                <w:szCs w:val="20"/>
              </w:rPr>
              <w:t xml:space="preserve"> zapojeny </w:t>
            </w:r>
            <w:r>
              <w:rPr>
                <w:sz w:val="20"/>
                <w:szCs w:val="20"/>
              </w:rPr>
              <w:t>MD</w:t>
            </w:r>
            <w:r w:rsidRPr="0092104F">
              <w:rPr>
                <w:sz w:val="20"/>
                <w:szCs w:val="20"/>
              </w:rPr>
              <w:t xml:space="preserve">, </w:t>
            </w:r>
            <w:r>
              <w:rPr>
                <w:sz w:val="20"/>
                <w:szCs w:val="20"/>
              </w:rPr>
              <w:t>Policie ČR</w:t>
            </w:r>
            <w:r w:rsidRPr="0092104F">
              <w:rPr>
                <w:sz w:val="20"/>
                <w:szCs w:val="20"/>
              </w:rPr>
              <w:t xml:space="preserve">, Česká kancelář </w:t>
            </w:r>
            <w:r>
              <w:rPr>
                <w:sz w:val="20"/>
                <w:szCs w:val="20"/>
              </w:rPr>
              <w:t>pojistitelů</w:t>
            </w:r>
            <w:r w:rsidRPr="0092104F">
              <w:rPr>
                <w:sz w:val="20"/>
                <w:szCs w:val="20"/>
              </w:rPr>
              <w:t xml:space="preserve"> ČR</w:t>
            </w:r>
            <w:r>
              <w:rPr>
                <w:sz w:val="20"/>
                <w:szCs w:val="20"/>
              </w:rPr>
              <w:t xml:space="preserve"> a další,</w:t>
            </w:r>
            <w:r w:rsidRPr="0092104F">
              <w:rPr>
                <w:sz w:val="20"/>
                <w:szCs w:val="20"/>
              </w:rPr>
              <w:t xml:space="preserve"> </w:t>
            </w:r>
            <w:r>
              <w:rPr>
                <w:sz w:val="20"/>
                <w:szCs w:val="20"/>
              </w:rPr>
              <w:t>byla</w:t>
            </w:r>
            <w:r w:rsidRPr="0092104F">
              <w:rPr>
                <w:sz w:val="20"/>
                <w:szCs w:val="20"/>
              </w:rPr>
              <w:t xml:space="preserve"> primárně zaměřena na nepřiměřenou rychlost řidičů všech motorových vozidel a její následky</w:t>
            </w:r>
            <w:r>
              <w:rPr>
                <w:sz w:val="20"/>
                <w:szCs w:val="20"/>
              </w:rPr>
              <w:t>.</w:t>
            </w:r>
          </w:p>
        </w:tc>
        <w:tc>
          <w:tcPr>
            <w:tcW w:w="1701" w:type="dxa"/>
          </w:tcPr>
          <w:p w14:paraId="4BB394E3" w14:textId="77777777" w:rsidR="00864B07" w:rsidRPr="00C1771F" w:rsidRDefault="00864B07" w:rsidP="00864B07">
            <w:pPr>
              <w:rPr>
                <w:sz w:val="20"/>
                <w:szCs w:val="20"/>
              </w:rPr>
            </w:pPr>
            <w:r>
              <w:rPr>
                <w:sz w:val="20"/>
                <w:szCs w:val="20"/>
              </w:rPr>
              <w:t>Řidiči motorových vozidel</w:t>
            </w:r>
          </w:p>
        </w:tc>
        <w:tc>
          <w:tcPr>
            <w:tcW w:w="1984" w:type="dxa"/>
            <w:shd w:val="clear" w:color="auto" w:fill="auto"/>
          </w:tcPr>
          <w:p w14:paraId="4363B662" w14:textId="2BF2B684" w:rsidR="00864B07" w:rsidRPr="00C1771F" w:rsidRDefault="00864B07" w:rsidP="00864B07">
            <w:pPr>
              <w:jc w:val="right"/>
              <w:rPr>
                <w:sz w:val="20"/>
                <w:szCs w:val="20"/>
              </w:rPr>
            </w:pPr>
            <w:r w:rsidRPr="009C120C">
              <w:rPr>
                <w:sz w:val="20"/>
                <w:szCs w:val="20"/>
              </w:rPr>
              <w:t>21 482 338,00</w:t>
            </w:r>
          </w:p>
        </w:tc>
      </w:tr>
      <w:tr w:rsidR="00864B07" w:rsidRPr="00E25029" w14:paraId="59A156F0" w14:textId="77777777" w:rsidTr="009C120C">
        <w:tc>
          <w:tcPr>
            <w:tcW w:w="1378" w:type="dxa"/>
            <w:shd w:val="clear" w:color="auto" w:fill="auto"/>
            <w:vAlign w:val="center"/>
          </w:tcPr>
          <w:p w14:paraId="5DCB6CD0" w14:textId="77777777" w:rsidR="00864B07" w:rsidRPr="00AF3F72" w:rsidRDefault="00864B07" w:rsidP="00864B07">
            <w:pPr>
              <w:rPr>
                <w:rFonts w:ascii="Calibri" w:hAnsi="Calibri" w:cs="Calibri"/>
                <w:b/>
                <w:bCs/>
                <w:color w:val="000000"/>
                <w:sz w:val="18"/>
                <w:szCs w:val="18"/>
              </w:rPr>
            </w:pPr>
            <w:r w:rsidRPr="00AF3F72">
              <w:rPr>
                <w:rFonts w:ascii="Calibri" w:hAnsi="Calibri" w:cs="Calibri"/>
                <w:b/>
                <w:bCs/>
                <w:color w:val="000000"/>
                <w:sz w:val="18"/>
                <w:szCs w:val="18"/>
              </w:rPr>
              <w:t>DÁM RESPEKT</w:t>
            </w:r>
          </w:p>
        </w:tc>
        <w:tc>
          <w:tcPr>
            <w:tcW w:w="4004" w:type="dxa"/>
            <w:shd w:val="clear" w:color="auto" w:fill="auto"/>
          </w:tcPr>
          <w:p w14:paraId="601A4D77" w14:textId="77777777" w:rsidR="00864B07" w:rsidRPr="00AF3F72" w:rsidRDefault="00864B07" w:rsidP="00864B07">
            <w:pPr>
              <w:rPr>
                <w:sz w:val="20"/>
                <w:szCs w:val="20"/>
              </w:rPr>
            </w:pPr>
            <w:r w:rsidRPr="00AF3F72">
              <w:rPr>
                <w:sz w:val="20"/>
                <w:szCs w:val="20"/>
              </w:rPr>
              <w:t xml:space="preserve">Cílem kampaně je posílit vzájemný respekt </w:t>
            </w:r>
            <w:r>
              <w:rPr>
                <w:sz w:val="20"/>
                <w:szCs w:val="20"/>
              </w:rPr>
              <w:br/>
            </w:r>
            <w:r w:rsidRPr="00AF3F72">
              <w:rPr>
                <w:sz w:val="20"/>
                <w:szCs w:val="20"/>
              </w:rPr>
              <w:t xml:space="preserve">a ohleduplnost </w:t>
            </w:r>
            <w:r>
              <w:rPr>
                <w:sz w:val="20"/>
                <w:szCs w:val="20"/>
              </w:rPr>
              <w:t>a dále také z</w:t>
            </w:r>
            <w:r w:rsidRPr="00AF3F72">
              <w:rPr>
                <w:sz w:val="20"/>
                <w:szCs w:val="20"/>
              </w:rPr>
              <w:t>výšit informovanost veřejnosti o bezpečném chování a pravidlech silničního provozu.</w:t>
            </w:r>
          </w:p>
        </w:tc>
        <w:tc>
          <w:tcPr>
            <w:tcW w:w="1701" w:type="dxa"/>
          </w:tcPr>
          <w:p w14:paraId="6C1AA944" w14:textId="77777777" w:rsidR="00864B07" w:rsidRDefault="00864B07" w:rsidP="00864B07">
            <w:pPr>
              <w:rPr>
                <w:sz w:val="20"/>
                <w:szCs w:val="20"/>
              </w:rPr>
            </w:pPr>
            <w:r>
              <w:rPr>
                <w:sz w:val="20"/>
                <w:szCs w:val="20"/>
              </w:rPr>
              <w:t>Cyklisté,</w:t>
            </w:r>
          </w:p>
          <w:p w14:paraId="55DC8A24" w14:textId="77777777" w:rsidR="00864B07" w:rsidRPr="00C1771F" w:rsidRDefault="00864B07" w:rsidP="00864B07">
            <w:pPr>
              <w:rPr>
                <w:sz w:val="20"/>
                <w:szCs w:val="20"/>
              </w:rPr>
            </w:pPr>
            <w:r>
              <w:rPr>
                <w:sz w:val="20"/>
                <w:szCs w:val="20"/>
              </w:rPr>
              <w:t>řidiči motorových vozidel</w:t>
            </w:r>
          </w:p>
        </w:tc>
        <w:tc>
          <w:tcPr>
            <w:tcW w:w="1984" w:type="dxa"/>
            <w:shd w:val="clear" w:color="auto" w:fill="auto"/>
          </w:tcPr>
          <w:p w14:paraId="08AC6B69" w14:textId="481D1477" w:rsidR="00864B07" w:rsidRPr="00C1771F" w:rsidRDefault="00864B07" w:rsidP="00864B07">
            <w:pPr>
              <w:jc w:val="right"/>
              <w:rPr>
                <w:sz w:val="20"/>
                <w:szCs w:val="20"/>
              </w:rPr>
            </w:pPr>
            <w:r w:rsidRPr="009C120C">
              <w:rPr>
                <w:sz w:val="20"/>
                <w:szCs w:val="20"/>
              </w:rPr>
              <w:t>12 689 111,03</w:t>
            </w:r>
          </w:p>
        </w:tc>
      </w:tr>
      <w:tr w:rsidR="00864B07" w:rsidRPr="00E25029" w14:paraId="00D784D3" w14:textId="77777777" w:rsidTr="009C120C">
        <w:tc>
          <w:tcPr>
            <w:tcW w:w="1378" w:type="dxa"/>
            <w:shd w:val="clear" w:color="auto" w:fill="auto"/>
            <w:vAlign w:val="center"/>
          </w:tcPr>
          <w:p w14:paraId="1D910D15" w14:textId="77777777" w:rsidR="00864B07" w:rsidRPr="00AF3F72" w:rsidRDefault="00864B07" w:rsidP="00864B07">
            <w:pPr>
              <w:rPr>
                <w:rFonts w:ascii="Calibri" w:hAnsi="Calibri" w:cs="Calibri"/>
                <w:b/>
                <w:bCs/>
                <w:color w:val="000000"/>
                <w:sz w:val="18"/>
                <w:szCs w:val="18"/>
              </w:rPr>
            </w:pPr>
            <w:r w:rsidRPr="00AF3F72">
              <w:rPr>
                <w:rFonts w:ascii="Calibri" w:hAnsi="Calibri" w:cs="Calibri"/>
                <w:b/>
                <w:bCs/>
                <w:color w:val="000000"/>
                <w:sz w:val="18"/>
                <w:szCs w:val="18"/>
              </w:rPr>
              <w:t>LIMIT</w:t>
            </w:r>
          </w:p>
        </w:tc>
        <w:tc>
          <w:tcPr>
            <w:tcW w:w="4004" w:type="dxa"/>
            <w:shd w:val="clear" w:color="auto" w:fill="auto"/>
          </w:tcPr>
          <w:p w14:paraId="60AF9493" w14:textId="77777777" w:rsidR="00864B07" w:rsidRPr="00AF3F72" w:rsidRDefault="00864B07" w:rsidP="00864B07">
            <w:pPr>
              <w:rPr>
                <w:sz w:val="20"/>
                <w:szCs w:val="20"/>
              </w:rPr>
            </w:pPr>
            <w:r w:rsidRPr="00AF3F72">
              <w:rPr>
                <w:sz w:val="20"/>
                <w:szCs w:val="20"/>
              </w:rPr>
              <w:t xml:space="preserve">Cílem </w:t>
            </w:r>
            <w:r>
              <w:rPr>
                <w:sz w:val="20"/>
                <w:szCs w:val="20"/>
              </w:rPr>
              <w:t>bylo</w:t>
            </w:r>
            <w:r w:rsidRPr="00AF3F72">
              <w:rPr>
                <w:sz w:val="20"/>
                <w:szCs w:val="20"/>
              </w:rPr>
              <w:t xml:space="preserve"> poukázat na stále narůstající počet úmrtí </w:t>
            </w:r>
            <w:r>
              <w:rPr>
                <w:sz w:val="20"/>
                <w:szCs w:val="20"/>
              </w:rPr>
              <w:t>řidičů</w:t>
            </w:r>
            <w:r w:rsidRPr="00AF3F72">
              <w:rPr>
                <w:sz w:val="20"/>
                <w:szCs w:val="20"/>
              </w:rPr>
              <w:t xml:space="preserve"> motor</w:t>
            </w:r>
            <w:r>
              <w:rPr>
                <w:sz w:val="20"/>
                <w:szCs w:val="20"/>
              </w:rPr>
              <w:t>e</w:t>
            </w:r>
            <w:r w:rsidRPr="00AF3F72">
              <w:rPr>
                <w:sz w:val="20"/>
                <w:szCs w:val="20"/>
              </w:rPr>
              <w:t>k. Lukáš Pešek se na kampani podíl</w:t>
            </w:r>
            <w:r>
              <w:rPr>
                <w:sz w:val="20"/>
                <w:szCs w:val="20"/>
              </w:rPr>
              <w:t>el</w:t>
            </w:r>
            <w:r w:rsidRPr="00AF3F72">
              <w:rPr>
                <w:sz w:val="20"/>
                <w:szCs w:val="20"/>
              </w:rPr>
              <w:t xml:space="preserve"> osobně v médiích i v terénu a</w:t>
            </w:r>
            <w:r>
              <w:rPr>
                <w:sz w:val="20"/>
                <w:szCs w:val="20"/>
              </w:rPr>
              <w:t> </w:t>
            </w:r>
            <w:r w:rsidRPr="00AF3F72">
              <w:rPr>
                <w:sz w:val="20"/>
                <w:szCs w:val="20"/>
              </w:rPr>
              <w:t>dlouhodobě propagova</w:t>
            </w:r>
            <w:r>
              <w:rPr>
                <w:sz w:val="20"/>
                <w:szCs w:val="20"/>
              </w:rPr>
              <w:t>l</w:t>
            </w:r>
            <w:r w:rsidRPr="00AF3F72">
              <w:rPr>
                <w:sz w:val="20"/>
                <w:szCs w:val="20"/>
              </w:rPr>
              <w:t xml:space="preserve"> bezpečné chování na motocyklu. Součástí kampaně </w:t>
            </w:r>
            <w:r>
              <w:rPr>
                <w:sz w:val="20"/>
                <w:szCs w:val="20"/>
              </w:rPr>
              <w:t>byl</w:t>
            </w:r>
            <w:r w:rsidRPr="00AF3F72">
              <w:rPr>
                <w:sz w:val="20"/>
                <w:szCs w:val="20"/>
              </w:rPr>
              <w:t xml:space="preserve"> i nový televizní spot.</w:t>
            </w:r>
          </w:p>
        </w:tc>
        <w:tc>
          <w:tcPr>
            <w:tcW w:w="1701" w:type="dxa"/>
          </w:tcPr>
          <w:p w14:paraId="4AE3C336" w14:textId="77777777" w:rsidR="00864B07" w:rsidRPr="00C1771F" w:rsidRDefault="00864B07" w:rsidP="00864B07">
            <w:pPr>
              <w:rPr>
                <w:sz w:val="20"/>
                <w:szCs w:val="20"/>
              </w:rPr>
            </w:pPr>
            <w:r>
              <w:rPr>
                <w:sz w:val="20"/>
                <w:szCs w:val="20"/>
              </w:rPr>
              <w:t>Motocyklisté</w:t>
            </w:r>
          </w:p>
        </w:tc>
        <w:tc>
          <w:tcPr>
            <w:tcW w:w="1984" w:type="dxa"/>
            <w:shd w:val="clear" w:color="auto" w:fill="auto"/>
          </w:tcPr>
          <w:p w14:paraId="1EC4D978" w14:textId="03B40324" w:rsidR="00864B07" w:rsidRPr="00C1771F" w:rsidRDefault="00864B07" w:rsidP="00864B07">
            <w:pPr>
              <w:jc w:val="right"/>
              <w:rPr>
                <w:sz w:val="20"/>
                <w:szCs w:val="20"/>
              </w:rPr>
            </w:pPr>
            <w:r w:rsidRPr="009C120C">
              <w:rPr>
                <w:sz w:val="20"/>
                <w:szCs w:val="20"/>
              </w:rPr>
              <w:t>1 684 999,94</w:t>
            </w:r>
          </w:p>
        </w:tc>
      </w:tr>
    </w:tbl>
    <w:p w14:paraId="670F36EA" w14:textId="77777777" w:rsidR="00750ABC" w:rsidRPr="002C7C06" w:rsidRDefault="00750ABC" w:rsidP="00750ABC">
      <w:pPr>
        <w:pStyle w:val="Default"/>
        <w:rPr>
          <w:sz w:val="20"/>
          <w:szCs w:val="20"/>
        </w:rPr>
      </w:pPr>
      <w:r w:rsidRPr="002C7C06">
        <w:rPr>
          <w:b/>
          <w:sz w:val="20"/>
          <w:szCs w:val="20"/>
        </w:rPr>
        <w:t>Zdroj:</w:t>
      </w:r>
      <w:r w:rsidRPr="002C7C06">
        <w:rPr>
          <w:sz w:val="20"/>
          <w:szCs w:val="20"/>
        </w:rPr>
        <w:t xml:space="preserve"> Ministerstvo dopravy; předaný kontrolní protokol</w:t>
      </w:r>
      <w:r w:rsidR="00460D07" w:rsidRPr="002C7C06">
        <w:rPr>
          <w:sz w:val="20"/>
          <w:szCs w:val="20"/>
        </w:rPr>
        <w:t>.</w:t>
      </w:r>
    </w:p>
    <w:bookmarkEnd w:id="41"/>
    <w:p w14:paraId="4DBAABEA" w14:textId="77777777" w:rsidR="00750ABC" w:rsidRDefault="00750ABC" w:rsidP="00750ABC"/>
    <w:p w14:paraId="0D620D72" w14:textId="77777777" w:rsidR="00750ABC" w:rsidRPr="00F00865" w:rsidRDefault="00750ABC" w:rsidP="00750ABC">
      <w:pPr>
        <w:spacing w:after="120" w:line="240" w:lineRule="auto"/>
        <w:jc w:val="both"/>
        <w:rPr>
          <w:rFonts w:cstheme="minorHAnsi"/>
          <w:i/>
          <w:sz w:val="20"/>
          <w:szCs w:val="20"/>
        </w:rPr>
      </w:pPr>
    </w:p>
    <w:p w14:paraId="05AA954D" w14:textId="77777777" w:rsidR="00750ABC" w:rsidRPr="00723581" w:rsidRDefault="00750ABC" w:rsidP="00750ABC">
      <w:pPr>
        <w:spacing w:after="120" w:line="240" w:lineRule="auto"/>
        <w:rPr>
          <w:rFonts w:cstheme="minorHAnsi"/>
          <w:b/>
          <w:sz w:val="24"/>
        </w:rPr>
      </w:pPr>
    </w:p>
    <w:p w14:paraId="7C2E5800" w14:textId="77777777" w:rsidR="00750ABC" w:rsidRPr="009C4343" w:rsidRDefault="00750ABC" w:rsidP="00750ABC">
      <w:pPr>
        <w:pStyle w:val="KP-normlnbezodsazen"/>
        <w:rPr>
          <w:color w:val="FF0000"/>
        </w:rPr>
        <w:sectPr w:rsidR="00750ABC" w:rsidRPr="009C4343" w:rsidSect="002365FC">
          <w:footerReference w:type="default" r:id="rId21"/>
          <w:headerReference w:type="first" r:id="rId22"/>
          <w:footerReference w:type="first" r:id="rId23"/>
          <w:pgSz w:w="11906" w:h="16838" w:code="9"/>
          <w:pgMar w:top="1418" w:right="1418" w:bottom="1418" w:left="1418" w:header="709" w:footer="709" w:gutter="0"/>
          <w:cols w:space="708"/>
          <w:titlePg/>
          <w:docGrid w:linePitch="360"/>
        </w:sectPr>
      </w:pPr>
    </w:p>
    <w:p w14:paraId="18F2FE93" w14:textId="77777777" w:rsidR="00750ABC" w:rsidRPr="00750ABC" w:rsidRDefault="00750ABC" w:rsidP="00750ABC">
      <w:pPr>
        <w:pStyle w:val="Nadpis1"/>
        <w:spacing w:before="0" w:after="40"/>
        <w:jc w:val="right"/>
        <w:rPr>
          <w:sz w:val="24"/>
          <w:szCs w:val="24"/>
        </w:rPr>
      </w:pPr>
      <w:bookmarkStart w:id="42" w:name="_Hlk141364781"/>
      <w:r w:rsidRPr="00750ABC">
        <w:rPr>
          <w:sz w:val="24"/>
          <w:szCs w:val="24"/>
        </w:rPr>
        <w:lastRenderedPageBreak/>
        <w:t>Příloha č. 5</w:t>
      </w:r>
    </w:p>
    <w:p w14:paraId="3D1D0992" w14:textId="77777777" w:rsidR="00750ABC" w:rsidRPr="00E707F7" w:rsidRDefault="00750ABC" w:rsidP="00750ABC">
      <w:pPr>
        <w:spacing w:after="120" w:line="240" w:lineRule="auto"/>
        <w:jc w:val="center"/>
        <w:rPr>
          <w:rFonts w:cstheme="minorHAnsi"/>
          <w:b/>
          <w:sz w:val="24"/>
        </w:rPr>
      </w:pPr>
      <w:bookmarkStart w:id="43" w:name="_Hlk141364820"/>
      <w:bookmarkEnd w:id="42"/>
      <w:r w:rsidRPr="00E707F7">
        <w:rPr>
          <w:rFonts w:cstheme="minorHAnsi"/>
          <w:b/>
          <w:sz w:val="24"/>
        </w:rPr>
        <w:t>Popis a použití nástrojů pro zvýšení bezpečnosti pozemní komunikace</w:t>
      </w:r>
      <w:bookmarkEnd w:id="43"/>
    </w:p>
    <w:p w14:paraId="1E04FA69" w14:textId="77777777" w:rsidR="00750ABC" w:rsidRPr="00FC7BBB" w:rsidRDefault="00750ABC" w:rsidP="002D675A">
      <w:pPr>
        <w:pStyle w:val="JK4"/>
        <w:numPr>
          <w:ilvl w:val="0"/>
          <w:numId w:val="0"/>
        </w:numPr>
      </w:pPr>
    </w:p>
    <w:tbl>
      <w:tblPr>
        <w:tblStyle w:val="Mkatabulky"/>
        <w:tblW w:w="8642" w:type="dxa"/>
        <w:tblLook w:val="04A0" w:firstRow="1" w:lastRow="0" w:firstColumn="1" w:lastColumn="0" w:noHBand="0" w:noVBand="1"/>
      </w:tblPr>
      <w:tblGrid>
        <w:gridCol w:w="713"/>
        <w:gridCol w:w="1947"/>
        <w:gridCol w:w="5982"/>
      </w:tblGrid>
      <w:tr w:rsidR="00750ABC" w:rsidRPr="00AB3617" w14:paraId="461F5287" w14:textId="77777777" w:rsidTr="0076275B">
        <w:trPr>
          <w:trHeight w:val="295"/>
        </w:trPr>
        <w:tc>
          <w:tcPr>
            <w:tcW w:w="587" w:type="dxa"/>
            <w:shd w:val="clear" w:color="auto" w:fill="E5F1FF"/>
            <w:vAlign w:val="center"/>
          </w:tcPr>
          <w:p w14:paraId="400755DA" w14:textId="77777777" w:rsidR="00750ABC" w:rsidRPr="00AB3617" w:rsidRDefault="00750ABC" w:rsidP="002D675A">
            <w:pPr>
              <w:pStyle w:val="JK4"/>
              <w:numPr>
                <w:ilvl w:val="0"/>
                <w:numId w:val="0"/>
              </w:numPr>
              <w:rPr>
                <w:b/>
                <w:sz w:val="20"/>
                <w:szCs w:val="20"/>
              </w:rPr>
            </w:pPr>
            <w:r w:rsidRPr="00AB3617">
              <w:rPr>
                <w:b/>
                <w:sz w:val="20"/>
                <w:szCs w:val="20"/>
              </w:rPr>
              <w:t>Fáze</w:t>
            </w:r>
          </w:p>
        </w:tc>
        <w:tc>
          <w:tcPr>
            <w:tcW w:w="1960" w:type="dxa"/>
            <w:shd w:val="clear" w:color="auto" w:fill="E5F1FF"/>
            <w:vAlign w:val="center"/>
          </w:tcPr>
          <w:p w14:paraId="74755F83" w14:textId="77777777" w:rsidR="00750ABC" w:rsidRPr="00AB3617" w:rsidRDefault="00750ABC" w:rsidP="002D675A">
            <w:pPr>
              <w:pStyle w:val="JK4"/>
              <w:numPr>
                <w:ilvl w:val="0"/>
                <w:numId w:val="0"/>
              </w:numPr>
              <w:ind w:left="48"/>
              <w:rPr>
                <w:b/>
                <w:sz w:val="20"/>
                <w:szCs w:val="20"/>
              </w:rPr>
            </w:pPr>
            <w:r w:rsidRPr="00AB3617">
              <w:rPr>
                <w:b/>
                <w:sz w:val="20"/>
                <w:szCs w:val="20"/>
              </w:rPr>
              <w:t>Nástroj</w:t>
            </w:r>
          </w:p>
        </w:tc>
        <w:tc>
          <w:tcPr>
            <w:tcW w:w="6095" w:type="dxa"/>
            <w:shd w:val="clear" w:color="auto" w:fill="E5F1FF"/>
            <w:vAlign w:val="center"/>
          </w:tcPr>
          <w:p w14:paraId="55DE2431" w14:textId="77777777" w:rsidR="00750ABC" w:rsidRPr="00AB3617" w:rsidRDefault="00750ABC" w:rsidP="002D675A">
            <w:pPr>
              <w:pStyle w:val="JK4"/>
              <w:numPr>
                <w:ilvl w:val="0"/>
                <w:numId w:val="0"/>
              </w:numPr>
              <w:rPr>
                <w:b/>
                <w:sz w:val="20"/>
                <w:szCs w:val="20"/>
              </w:rPr>
            </w:pPr>
            <w:r w:rsidRPr="00AB3617">
              <w:rPr>
                <w:b/>
                <w:sz w:val="20"/>
                <w:szCs w:val="20"/>
              </w:rPr>
              <w:t>Zjednodušený popis nástroje</w:t>
            </w:r>
          </w:p>
        </w:tc>
      </w:tr>
      <w:tr w:rsidR="00750ABC" w:rsidRPr="00BA0D69" w14:paraId="4F71D90E" w14:textId="77777777" w:rsidTr="0076275B">
        <w:trPr>
          <w:trHeight w:val="295"/>
        </w:trPr>
        <w:tc>
          <w:tcPr>
            <w:tcW w:w="587" w:type="dxa"/>
            <w:vMerge w:val="restart"/>
            <w:shd w:val="clear" w:color="auto" w:fill="E5F1FF"/>
            <w:textDirection w:val="btLr"/>
            <w:vAlign w:val="center"/>
          </w:tcPr>
          <w:p w14:paraId="3AADE002" w14:textId="77777777" w:rsidR="00750ABC" w:rsidRPr="00AB3617" w:rsidRDefault="00750ABC" w:rsidP="002D675A">
            <w:pPr>
              <w:pStyle w:val="JK4"/>
              <w:numPr>
                <w:ilvl w:val="0"/>
                <w:numId w:val="0"/>
              </w:numPr>
              <w:ind w:left="113"/>
              <w:rPr>
                <w:sz w:val="20"/>
                <w:szCs w:val="20"/>
              </w:rPr>
            </w:pPr>
            <w:r w:rsidRPr="00AB3617">
              <w:rPr>
                <w:sz w:val="20"/>
                <w:szCs w:val="20"/>
              </w:rPr>
              <w:t>Plánování, výstavba</w:t>
            </w:r>
          </w:p>
        </w:tc>
        <w:tc>
          <w:tcPr>
            <w:tcW w:w="1960" w:type="dxa"/>
            <w:shd w:val="clear" w:color="auto" w:fill="F2C6C9"/>
            <w:vAlign w:val="center"/>
          </w:tcPr>
          <w:p w14:paraId="3B7773D6" w14:textId="77777777" w:rsidR="00750ABC" w:rsidRPr="00C87439" w:rsidRDefault="00750ABC" w:rsidP="002C7C06">
            <w:pPr>
              <w:pStyle w:val="JK4"/>
              <w:numPr>
                <w:ilvl w:val="0"/>
                <w:numId w:val="0"/>
              </w:numPr>
              <w:ind w:left="48"/>
              <w:jc w:val="left"/>
              <w:rPr>
                <w:b/>
                <w:sz w:val="20"/>
                <w:szCs w:val="20"/>
              </w:rPr>
            </w:pPr>
            <w:r w:rsidRPr="00C87439">
              <w:rPr>
                <w:b/>
                <w:sz w:val="20"/>
                <w:szCs w:val="20"/>
              </w:rPr>
              <w:t>Hodnocení dopadů na bezpečnost silničního provozu</w:t>
            </w:r>
            <w:r w:rsidR="00714701">
              <w:rPr>
                <w:b/>
                <w:sz w:val="20"/>
                <w:szCs w:val="20"/>
              </w:rPr>
              <w:t>;</w:t>
            </w:r>
            <w:r w:rsidRPr="00C87439">
              <w:rPr>
                <w:b/>
                <w:sz w:val="20"/>
                <w:szCs w:val="20"/>
              </w:rPr>
              <w:t xml:space="preserve"> </w:t>
            </w:r>
            <w:r w:rsidR="00714701">
              <w:rPr>
                <w:b/>
                <w:sz w:val="20"/>
                <w:szCs w:val="20"/>
              </w:rPr>
              <w:t>p</w:t>
            </w:r>
            <w:r w:rsidRPr="00C87439">
              <w:rPr>
                <w:b/>
                <w:sz w:val="20"/>
                <w:szCs w:val="20"/>
              </w:rPr>
              <w:t>osouzení záměru</w:t>
            </w:r>
          </w:p>
        </w:tc>
        <w:tc>
          <w:tcPr>
            <w:tcW w:w="6095" w:type="dxa"/>
            <w:shd w:val="clear" w:color="auto" w:fill="auto"/>
          </w:tcPr>
          <w:p w14:paraId="70A39AAD" w14:textId="77777777" w:rsidR="00750ABC" w:rsidRPr="00AB3617" w:rsidRDefault="00750ABC" w:rsidP="002D675A">
            <w:pPr>
              <w:pStyle w:val="JK4"/>
              <w:numPr>
                <w:ilvl w:val="0"/>
                <w:numId w:val="0"/>
              </w:numPr>
              <w:rPr>
                <w:sz w:val="20"/>
                <w:szCs w:val="20"/>
              </w:rPr>
            </w:pPr>
            <w:r w:rsidRPr="00AB3617">
              <w:rPr>
                <w:sz w:val="20"/>
                <w:szCs w:val="20"/>
              </w:rPr>
              <w:t xml:space="preserve">Cílem </w:t>
            </w:r>
            <w:r w:rsidR="00714701">
              <w:rPr>
                <w:sz w:val="20"/>
                <w:szCs w:val="20"/>
              </w:rPr>
              <w:t>používání</w:t>
            </w:r>
            <w:r w:rsidRPr="00AB3617">
              <w:rPr>
                <w:sz w:val="20"/>
                <w:szCs w:val="20"/>
              </w:rPr>
              <w:t xml:space="preserve"> nástroje je variantní analýza dopadů nových PK nebo významných změn stávajících komunikací na bezpečnost ovlivněné silniční sítě.</w:t>
            </w:r>
          </w:p>
        </w:tc>
      </w:tr>
      <w:tr w:rsidR="00750ABC" w:rsidRPr="00BA0D69" w14:paraId="5E32A611" w14:textId="77777777" w:rsidTr="0076275B">
        <w:trPr>
          <w:trHeight w:val="308"/>
        </w:trPr>
        <w:tc>
          <w:tcPr>
            <w:tcW w:w="587" w:type="dxa"/>
            <w:vMerge/>
            <w:tcBorders>
              <w:bottom w:val="single" w:sz="4" w:space="0" w:color="auto"/>
            </w:tcBorders>
            <w:shd w:val="clear" w:color="auto" w:fill="E5F1FF"/>
            <w:textDirection w:val="btLr"/>
            <w:vAlign w:val="center"/>
          </w:tcPr>
          <w:p w14:paraId="5DA0D1D0" w14:textId="77777777" w:rsidR="00750ABC" w:rsidRPr="00AB3617" w:rsidRDefault="00750ABC" w:rsidP="002D675A">
            <w:pPr>
              <w:pStyle w:val="JK4"/>
              <w:numPr>
                <w:ilvl w:val="0"/>
                <w:numId w:val="0"/>
              </w:numPr>
              <w:ind w:left="113"/>
              <w:rPr>
                <w:sz w:val="20"/>
                <w:szCs w:val="20"/>
              </w:rPr>
            </w:pPr>
          </w:p>
        </w:tc>
        <w:tc>
          <w:tcPr>
            <w:tcW w:w="1960" w:type="dxa"/>
            <w:tcBorders>
              <w:bottom w:val="single" w:sz="4" w:space="0" w:color="auto"/>
            </w:tcBorders>
            <w:shd w:val="clear" w:color="auto" w:fill="F2C6C9"/>
            <w:vAlign w:val="center"/>
          </w:tcPr>
          <w:p w14:paraId="7D9E0FB2" w14:textId="77777777" w:rsidR="00750ABC" w:rsidRPr="00C87439" w:rsidRDefault="00750ABC" w:rsidP="002C7C06">
            <w:pPr>
              <w:pStyle w:val="JK4"/>
              <w:numPr>
                <w:ilvl w:val="0"/>
                <w:numId w:val="0"/>
              </w:numPr>
              <w:ind w:left="48"/>
              <w:jc w:val="left"/>
              <w:rPr>
                <w:b/>
                <w:sz w:val="20"/>
                <w:szCs w:val="20"/>
              </w:rPr>
            </w:pPr>
            <w:r w:rsidRPr="00C87439">
              <w:rPr>
                <w:b/>
                <w:sz w:val="20"/>
                <w:szCs w:val="20"/>
              </w:rPr>
              <w:t>Audit bezpečnosti pozemní komunikac</w:t>
            </w:r>
            <w:r w:rsidR="00714701">
              <w:rPr>
                <w:b/>
                <w:sz w:val="20"/>
                <w:szCs w:val="20"/>
              </w:rPr>
              <w:t>e</w:t>
            </w:r>
          </w:p>
        </w:tc>
        <w:tc>
          <w:tcPr>
            <w:tcW w:w="6095" w:type="dxa"/>
            <w:tcBorders>
              <w:bottom w:val="single" w:sz="4" w:space="0" w:color="auto"/>
            </w:tcBorders>
            <w:shd w:val="clear" w:color="auto" w:fill="auto"/>
          </w:tcPr>
          <w:p w14:paraId="33CD1886" w14:textId="77777777" w:rsidR="00750ABC" w:rsidRPr="00AB3617" w:rsidRDefault="00750ABC" w:rsidP="002D675A">
            <w:pPr>
              <w:pStyle w:val="JK4"/>
              <w:numPr>
                <w:ilvl w:val="0"/>
                <w:numId w:val="0"/>
              </w:numPr>
              <w:ind w:left="31"/>
              <w:rPr>
                <w:sz w:val="20"/>
                <w:szCs w:val="20"/>
              </w:rPr>
            </w:pPr>
            <w:r w:rsidRPr="00AB3617">
              <w:rPr>
                <w:sz w:val="20"/>
                <w:szCs w:val="20"/>
              </w:rPr>
              <w:t>Systematická procedura, která je součástí projektování a realizace dopravních projektů a jejímž cílem je to, aby výsledné dílo bylo co</w:t>
            </w:r>
            <w:r w:rsidR="00714701">
              <w:rPr>
                <w:sz w:val="20"/>
                <w:szCs w:val="20"/>
              </w:rPr>
              <w:t xml:space="preserve"> </w:t>
            </w:r>
            <w:r w:rsidRPr="00AB3617">
              <w:rPr>
                <w:sz w:val="20"/>
                <w:szCs w:val="20"/>
              </w:rPr>
              <w:t xml:space="preserve">nejbezpečnější pro všechny jeho uživatele </w:t>
            </w:r>
            <w:r w:rsidR="00714701">
              <w:rPr>
                <w:sz w:val="20"/>
                <w:szCs w:val="20"/>
              </w:rPr>
              <w:t>a a</w:t>
            </w:r>
            <w:r w:rsidRPr="00AB3617">
              <w:rPr>
                <w:sz w:val="20"/>
                <w:szCs w:val="20"/>
              </w:rPr>
              <w:t>by bezpečnostní rizika byla identifikována dříve, než se stanou skutečností (tzn. dopravními nehodami). Je to proces prevence dopravních nehod.</w:t>
            </w:r>
          </w:p>
        </w:tc>
      </w:tr>
      <w:tr w:rsidR="0076275B" w:rsidRPr="00BA0D69" w14:paraId="4C08B837" w14:textId="77777777" w:rsidTr="0076275B">
        <w:trPr>
          <w:trHeight w:val="308"/>
        </w:trPr>
        <w:tc>
          <w:tcPr>
            <w:tcW w:w="587" w:type="dxa"/>
            <w:vMerge w:val="restart"/>
            <w:shd w:val="clear" w:color="auto" w:fill="E5F1FF"/>
            <w:textDirection w:val="btLr"/>
            <w:vAlign w:val="center"/>
          </w:tcPr>
          <w:p w14:paraId="5819CEC3" w14:textId="77777777" w:rsidR="0076275B" w:rsidRPr="00AB3617" w:rsidRDefault="0076275B" w:rsidP="002D675A">
            <w:pPr>
              <w:pStyle w:val="JK4"/>
              <w:numPr>
                <w:ilvl w:val="0"/>
                <w:numId w:val="0"/>
              </w:numPr>
              <w:ind w:left="113"/>
              <w:rPr>
                <w:sz w:val="20"/>
                <w:szCs w:val="20"/>
              </w:rPr>
            </w:pPr>
            <w:r w:rsidRPr="00AB3617">
              <w:rPr>
                <w:sz w:val="20"/>
                <w:szCs w:val="20"/>
              </w:rPr>
              <w:t>Běžný provoz</w:t>
            </w:r>
          </w:p>
        </w:tc>
        <w:tc>
          <w:tcPr>
            <w:tcW w:w="1960" w:type="dxa"/>
            <w:shd w:val="clear" w:color="auto" w:fill="F2C6C9"/>
            <w:vAlign w:val="center"/>
          </w:tcPr>
          <w:p w14:paraId="711E00F4" w14:textId="77777777" w:rsidR="0076275B" w:rsidRPr="00C87439" w:rsidRDefault="0076275B" w:rsidP="002C7C06">
            <w:pPr>
              <w:pStyle w:val="JK4"/>
              <w:numPr>
                <w:ilvl w:val="0"/>
                <w:numId w:val="0"/>
              </w:numPr>
              <w:ind w:left="48"/>
              <w:jc w:val="left"/>
              <w:rPr>
                <w:b/>
                <w:sz w:val="20"/>
                <w:szCs w:val="20"/>
              </w:rPr>
            </w:pPr>
            <w:r w:rsidRPr="00C87439">
              <w:rPr>
                <w:b/>
                <w:sz w:val="20"/>
                <w:szCs w:val="20"/>
              </w:rPr>
              <w:t>Bezpečnostní inspekce pozemní komunikac</w:t>
            </w:r>
            <w:r w:rsidR="00714701">
              <w:rPr>
                <w:b/>
                <w:sz w:val="20"/>
                <w:szCs w:val="20"/>
              </w:rPr>
              <w:t>e</w:t>
            </w:r>
          </w:p>
        </w:tc>
        <w:tc>
          <w:tcPr>
            <w:tcW w:w="6095" w:type="dxa"/>
            <w:shd w:val="clear" w:color="auto" w:fill="auto"/>
          </w:tcPr>
          <w:p w14:paraId="271782FC" w14:textId="77777777" w:rsidR="0076275B" w:rsidRPr="00AB3617" w:rsidRDefault="0076275B" w:rsidP="002D675A">
            <w:pPr>
              <w:pStyle w:val="JK4"/>
              <w:numPr>
                <w:ilvl w:val="0"/>
                <w:numId w:val="0"/>
              </w:numPr>
              <w:ind w:left="34"/>
              <w:rPr>
                <w:sz w:val="20"/>
                <w:szCs w:val="20"/>
              </w:rPr>
            </w:pPr>
            <w:r w:rsidRPr="00AB3617">
              <w:rPr>
                <w:sz w:val="20"/>
                <w:szCs w:val="20"/>
              </w:rPr>
              <w:t>Systematická, periodická a formální prohlídka stávajících komunikací za</w:t>
            </w:r>
            <w:r w:rsidR="00714701">
              <w:rPr>
                <w:sz w:val="20"/>
                <w:szCs w:val="20"/>
              </w:rPr>
              <w:t xml:space="preserve"> </w:t>
            </w:r>
            <w:r w:rsidRPr="00AB3617">
              <w:rPr>
                <w:sz w:val="20"/>
                <w:szCs w:val="20"/>
              </w:rPr>
              <w:t>účelem identifikace rizikových faktorů, které mohou zhoršovat následky dopravních nehod nebo přispívat k jejich vzniku a které souvisí s utvářením pozemní komunikace a jejího bezprostředního okolí.</w:t>
            </w:r>
          </w:p>
        </w:tc>
      </w:tr>
      <w:tr w:rsidR="0076275B" w:rsidRPr="00BA0D69" w14:paraId="62B70205" w14:textId="77777777" w:rsidTr="0076275B">
        <w:trPr>
          <w:trHeight w:val="308"/>
        </w:trPr>
        <w:tc>
          <w:tcPr>
            <w:tcW w:w="587" w:type="dxa"/>
            <w:vMerge/>
            <w:shd w:val="clear" w:color="auto" w:fill="E5F1FF"/>
          </w:tcPr>
          <w:p w14:paraId="058FF871" w14:textId="77777777" w:rsidR="0076275B" w:rsidRPr="00AB3617" w:rsidRDefault="0076275B" w:rsidP="002D675A">
            <w:pPr>
              <w:pStyle w:val="JK4"/>
              <w:numPr>
                <w:ilvl w:val="0"/>
                <w:numId w:val="0"/>
              </w:numPr>
              <w:rPr>
                <w:sz w:val="20"/>
                <w:szCs w:val="20"/>
              </w:rPr>
            </w:pPr>
          </w:p>
        </w:tc>
        <w:tc>
          <w:tcPr>
            <w:tcW w:w="1960" w:type="dxa"/>
            <w:shd w:val="clear" w:color="auto" w:fill="F2C6C9"/>
            <w:vAlign w:val="center"/>
          </w:tcPr>
          <w:p w14:paraId="7F3AAE16" w14:textId="77777777" w:rsidR="0076275B" w:rsidRPr="00C87439" w:rsidRDefault="0076275B" w:rsidP="002C7C06">
            <w:pPr>
              <w:pStyle w:val="JK4"/>
              <w:numPr>
                <w:ilvl w:val="0"/>
                <w:numId w:val="0"/>
              </w:numPr>
              <w:ind w:left="48"/>
              <w:jc w:val="left"/>
              <w:rPr>
                <w:b/>
                <w:sz w:val="20"/>
                <w:szCs w:val="20"/>
              </w:rPr>
            </w:pPr>
            <w:r w:rsidRPr="00C87439">
              <w:rPr>
                <w:b/>
                <w:sz w:val="20"/>
                <w:szCs w:val="20"/>
              </w:rPr>
              <w:t>Speciální bezpečnostní inspekce</w:t>
            </w:r>
          </w:p>
        </w:tc>
        <w:tc>
          <w:tcPr>
            <w:tcW w:w="6095" w:type="dxa"/>
            <w:shd w:val="clear" w:color="auto" w:fill="auto"/>
          </w:tcPr>
          <w:p w14:paraId="09357430" w14:textId="77777777" w:rsidR="0076275B" w:rsidRPr="00AB3617" w:rsidRDefault="0076275B" w:rsidP="002D675A">
            <w:pPr>
              <w:pStyle w:val="JK4"/>
              <w:numPr>
                <w:ilvl w:val="0"/>
                <w:numId w:val="0"/>
              </w:numPr>
              <w:ind w:left="34"/>
              <w:rPr>
                <w:sz w:val="20"/>
                <w:szCs w:val="20"/>
              </w:rPr>
            </w:pPr>
            <w:r w:rsidRPr="00AB3617">
              <w:rPr>
                <w:sz w:val="20"/>
                <w:szCs w:val="20"/>
              </w:rPr>
              <w:t>Jednorázové posouzení vybraného úseku pozemní komunikace, lokality nebo specifické části nebo zvláštních aspektů silniční sítě a provozu.</w:t>
            </w:r>
          </w:p>
        </w:tc>
      </w:tr>
      <w:tr w:rsidR="0076275B" w:rsidRPr="00BA0D69" w14:paraId="7CCB55C9" w14:textId="77777777" w:rsidTr="0076275B">
        <w:trPr>
          <w:trHeight w:val="308"/>
        </w:trPr>
        <w:tc>
          <w:tcPr>
            <w:tcW w:w="587" w:type="dxa"/>
            <w:vMerge/>
            <w:shd w:val="clear" w:color="auto" w:fill="E5F1FF"/>
          </w:tcPr>
          <w:p w14:paraId="21D55694" w14:textId="77777777" w:rsidR="0076275B" w:rsidRPr="00AB3617" w:rsidRDefault="0076275B" w:rsidP="002D675A">
            <w:pPr>
              <w:pStyle w:val="JK4"/>
              <w:numPr>
                <w:ilvl w:val="0"/>
                <w:numId w:val="0"/>
              </w:numPr>
              <w:rPr>
                <w:sz w:val="20"/>
                <w:szCs w:val="20"/>
              </w:rPr>
            </w:pPr>
          </w:p>
        </w:tc>
        <w:tc>
          <w:tcPr>
            <w:tcW w:w="1960" w:type="dxa"/>
            <w:shd w:val="clear" w:color="auto" w:fill="F2C6C9"/>
            <w:vAlign w:val="center"/>
          </w:tcPr>
          <w:p w14:paraId="106740AA" w14:textId="77777777" w:rsidR="0076275B" w:rsidRPr="00C87439" w:rsidRDefault="0076275B" w:rsidP="002C7C06">
            <w:pPr>
              <w:pStyle w:val="JK4"/>
              <w:numPr>
                <w:ilvl w:val="0"/>
                <w:numId w:val="0"/>
              </w:numPr>
              <w:ind w:left="48"/>
              <w:jc w:val="left"/>
              <w:rPr>
                <w:b/>
                <w:sz w:val="20"/>
                <w:szCs w:val="20"/>
              </w:rPr>
            </w:pPr>
            <w:r w:rsidRPr="00C87439">
              <w:rPr>
                <w:b/>
                <w:sz w:val="20"/>
                <w:szCs w:val="20"/>
              </w:rPr>
              <w:t>Identifikace a řešení nehodových lokalit</w:t>
            </w:r>
          </w:p>
        </w:tc>
        <w:tc>
          <w:tcPr>
            <w:tcW w:w="6095" w:type="dxa"/>
            <w:shd w:val="clear" w:color="auto" w:fill="auto"/>
          </w:tcPr>
          <w:p w14:paraId="64286584" w14:textId="77777777" w:rsidR="0076275B" w:rsidRPr="00AB3617" w:rsidRDefault="0076275B" w:rsidP="002D675A">
            <w:pPr>
              <w:pStyle w:val="JK4"/>
              <w:numPr>
                <w:ilvl w:val="0"/>
                <w:numId w:val="0"/>
              </w:numPr>
              <w:ind w:left="34"/>
              <w:rPr>
                <w:sz w:val="20"/>
                <w:szCs w:val="20"/>
              </w:rPr>
            </w:pPr>
            <w:r w:rsidRPr="00AB3617">
              <w:rPr>
                <w:sz w:val="20"/>
                <w:szCs w:val="20"/>
              </w:rPr>
              <w:t>Zahrnuje identifikaci míst častých dopravních nehod, jejich analýzu a následný návrh na jejich odstranění.</w:t>
            </w:r>
          </w:p>
        </w:tc>
      </w:tr>
    </w:tbl>
    <w:p w14:paraId="1FA7023F" w14:textId="168100F1" w:rsidR="00750ABC" w:rsidRPr="002C7C06" w:rsidRDefault="00750ABC" w:rsidP="00714701">
      <w:pPr>
        <w:spacing w:after="120" w:line="240" w:lineRule="auto"/>
        <w:ind w:left="567" w:hanging="567"/>
        <w:rPr>
          <w:rFonts w:cstheme="minorHAnsi"/>
          <w:b/>
          <w:sz w:val="24"/>
        </w:rPr>
      </w:pPr>
      <w:r w:rsidRPr="002C7C06">
        <w:rPr>
          <w:b/>
          <w:sz w:val="20"/>
          <w:szCs w:val="20"/>
        </w:rPr>
        <w:t>Zdroj:</w:t>
      </w:r>
      <w:r w:rsidR="002C7C06">
        <w:rPr>
          <w:sz w:val="20"/>
          <w:szCs w:val="20"/>
        </w:rPr>
        <w:t xml:space="preserve"> </w:t>
      </w:r>
      <w:r w:rsidR="002C7C06">
        <w:rPr>
          <w:sz w:val="20"/>
          <w:szCs w:val="20"/>
        </w:rPr>
        <w:tab/>
      </w:r>
      <w:r w:rsidR="0070721B">
        <w:rPr>
          <w:sz w:val="20"/>
          <w:szCs w:val="20"/>
        </w:rPr>
        <w:t>z</w:t>
      </w:r>
      <w:r w:rsidRPr="0070721B">
        <w:rPr>
          <w:sz w:val="20"/>
          <w:szCs w:val="20"/>
        </w:rPr>
        <w:t xml:space="preserve">ákon č. 13/1997 Sb., o pozemních komunikacích; </w:t>
      </w:r>
      <w:r w:rsidR="00135029" w:rsidRPr="0070721B">
        <w:rPr>
          <w:sz w:val="20"/>
          <w:szCs w:val="20"/>
        </w:rPr>
        <w:t>v</w:t>
      </w:r>
      <w:r w:rsidRPr="0070721B">
        <w:rPr>
          <w:sz w:val="20"/>
          <w:szCs w:val="20"/>
        </w:rPr>
        <w:t xml:space="preserve">yhláška č. 104/1997 Sb., kterou se provádí zákon o pozemních komunikacích; </w:t>
      </w:r>
      <w:r w:rsidR="00135029" w:rsidRPr="0070721B">
        <w:rPr>
          <w:sz w:val="20"/>
          <w:szCs w:val="20"/>
        </w:rPr>
        <w:t>m</w:t>
      </w:r>
      <w:r w:rsidRPr="0070721B">
        <w:rPr>
          <w:sz w:val="20"/>
          <w:szCs w:val="20"/>
        </w:rPr>
        <w:t>etodiky CDV</w:t>
      </w:r>
      <w:r w:rsidR="00460D07" w:rsidRPr="0070721B">
        <w:rPr>
          <w:sz w:val="20"/>
          <w:szCs w:val="20"/>
        </w:rPr>
        <w:t>.</w:t>
      </w:r>
    </w:p>
    <w:sectPr w:rsidR="00750ABC" w:rsidRPr="002C7C06" w:rsidSect="005742D9">
      <w:footerReference w:type="default" r:id="rId24"/>
      <w:headerReference w:type="first" r:id="rId25"/>
      <w:footerReference w:type="first" r:id="rId2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DE259" w14:textId="77777777" w:rsidR="006F3836" w:rsidRDefault="006F3836" w:rsidP="00FA586B">
      <w:pPr>
        <w:spacing w:after="0" w:line="240" w:lineRule="auto"/>
      </w:pPr>
      <w:r>
        <w:separator/>
      </w:r>
    </w:p>
    <w:p w14:paraId="06616BD1" w14:textId="77777777" w:rsidR="006F3836" w:rsidRDefault="006F3836"/>
  </w:endnote>
  <w:endnote w:type="continuationSeparator" w:id="0">
    <w:p w14:paraId="484DFE54" w14:textId="77777777" w:rsidR="006F3836" w:rsidRDefault="006F3836" w:rsidP="00FA586B">
      <w:pPr>
        <w:spacing w:after="0" w:line="240" w:lineRule="auto"/>
      </w:pPr>
      <w:r>
        <w:continuationSeparator/>
      </w:r>
    </w:p>
    <w:p w14:paraId="7322B980" w14:textId="77777777" w:rsidR="006F3836" w:rsidRDefault="006F3836"/>
  </w:endnote>
  <w:endnote w:type="continuationNotice" w:id="1">
    <w:p w14:paraId="492948BB" w14:textId="77777777" w:rsidR="006F3836" w:rsidRDefault="006F3836">
      <w:pPr>
        <w:spacing w:after="0" w:line="240" w:lineRule="auto"/>
      </w:pPr>
    </w:p>
    <w:p w14:paraId="4FD80BE5" w14:textId="77777777" w:rsidR="006F3836" w:rsidRDefault="006F3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3847640"/>
      <w:docPartObj>
        <w:docPartGallery w:val="Page Numbers (Bottom of Page)"/>
        <w:docPartUnique/>
      </w:docPartObj>
    </w:sdtPr>
    <w:sdtEndPr/>
    <w:sdtContent>
      <w:p w14:paraId="600A9552" w14:textId="77777777" w:rsidR="006F3836" w:rsidRDefault="006F3836" w:rsidP="002365FC">
        <w:pPr>
          <w:pStyle w:val="Zpat"/>
          <w:jc w:val="center"/>
        </w:pPr>
        <w:r w:rsidRPr="00EF2E1E">
          <w:rPr>
            <w:sz w:val="24"/>
            <w:szCs w:val="24"/>
          </w:rPr>
          <w:fldChar w:fldCharType="begin"/>
        </w:r>
        <w:r w:rsidRPr="00EF2E1E">
          <w:rPr>
            <w:sz w:val="24"/>
            <w:szCs w:val="24"/>
          </w:rPr>
          <w:instrText>PAGE   \* MERGEFORMAT</w:instrText>
        </w:r>
        <w:r w:rsidRPr="00EF2E1E">
          <w:rPr>
            <w:sz w:val="24"/>
            <w:szCs w:val="24"/>
          </w:rPr>
          <w:fldChar w:fldCharType="separate"/>
        </w:r>
        <w:r>
          <w:rPr>
            <w:noProof/>
            <w:sz w:val="24"/>
            <w:szCs w:val="24"/>
          </w:rPr>
          <w:t>33</w:t>
        </w:r>
        <w:r w:rsidRPr="00EF2E1E">
          <w:rPr>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FF314" w14:textId="77777777" w:rsidR="006F3836" w:rsidRDefault="006F3836" w:rsidP="002365FC">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701482"/>
      <w:docPartObj>
        <w:docPartGallery w:val="Page Numbers (Bottom of Page)"/>
        <w:docPartUnique/>
      </w:docPartObj>
    </w:sdtPr>
    <w:sdtEndPr/>
    <w:sdtContent>
      <w:p w14:paraId="554216D4" w14:textId="77777777" w:rsidR="006F3836" w:rsidRDefault="006F3836" w:rsidP="0069391C">
        <w:pPr>
          <w:pStyle w:val="Zpat"/>
          <w:jc w:val="center"/>
        </w:pPr>
        <w:r w:rsidRPr="00EF2E1E">
          <w:rPr>
            <w:sz w:val="24"/>
            <w:szCs w:val="24"/>
          </w:rPr>
          <w:fldChar w:fldCharType="begin"/>
        </w:r>
        <w:r w:rsidRPr="00EF2E1E">
          <w:rPr>
            <w:sz w:val="24"/>
            <w:szCs w:val="24"/>
          </w:rPr>
          <w:instrText>PAGE   \* MERGEFORMAT</w:instrText>
        </w:r>
        <w:r w:rsidRPr="00EF2E1E">
          <w:rPr>
            <w:sz w:val="24"/>
            <w:szCs w:val="24"/>
          </w:rPr>
          <w:fldChar w:fldCharType="separate"/>
        </w:r>
        <w:r>
          <w:rPr>
            <w:noProof/>
            <w:sz w:val="24"/>
            <w:szCs w:val="24"/>
          </w:rPr>
          <w:t>33</w:t>
        </w:r>
        <w:r w:rsidRPr="00EF2E1E">
          <w:rPr>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54857" w14:textId="77777777" w:rsidR="006F3836" w:rsidRDefault="006F3836" w:rsidP="0069391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D4484" w14:textId="77777777" w:rsidR="006F3836" w:rsidRDefault="006F3836" w:rsidP="00B15E26">
      <w:pPr>
        <w:spacing w:after="0" w:line="240" w:lineRule="auto"/>
      </w:pPr>
      <w:r>
        <w:separator/>
      </w:r>
    </w:p>
  </w:footnote>
  <w:footnote w:type="continuationSeparator" w:id="0">
    <w:p w14:paraId="2CDFE450" w14:textId="77777777" w:rsidR="006F3836" w:rsidRDefault="006F3836" w:rsidP="00FA586B">
      <w:pPr>
        <w:spacing w:after="0" w:line="240" w:lineRule="auto"/>
      </w:pPr>
      <w:r>
        <w:continuationSeparator/>
      </w:r>
    </w:p>
  </w:footnote>
  <w:footnote w:type="continuationNotice" w:id="1">
    <w:p w14:paraId="4300B528" w14:textId="77777777" w:rsidR="006F3836" w:rsidRPr="00B15E26" w:rsidRDefault="006F3836" w:rsidP="00B15E26">
      <w:pPr>
        <w:pStyle w:val="Zpat"/>
      </w:pPr>
    </w:p>
  </w:footnote>
  <w:footnote w:id="2">
    <w:p w14:paraId="1705CD08" w14:textId="77777777" w:rsidR="006F3836" w:rsidRDefault="006F3836" w:rsidP="001D5191">
      <w:pPr>
        <w:pStyle w:val="Textpoznpodarou"/>
      </w:pPr>
      <w:r>
        <w:rPr>
          <w:rStyle w:val="Znakapoznpodarou"/>
        </w:rPr>
        <w:footnoteRef/>
      </w:r>
      <w:r>
        <w:t xml:space="preserve"> </w:t>
      </w:r>
      <w:r>
        <w:tab/>
        <w:t xml:space="preserve">Pro účely tohoto kontrolního závěru se jedná o akronym pro oblast bezpečnosti silničního provozu, tj. i ve spojení „BESIP Team“ nebo </w:t>
      </w:r>
      <w:r w:rsidRPr="002C7C06">
        <w:rPr>
          <w:i/>
        </w:rPr>
        <w:t>Strategie BESIP 2021</w:t>
      </w:r>
      <w:r>
        <w:t>–</w:t>
      </w:r>
      <w:r w:rsidRPr="002C7C06">
        <w:rPr>
          <w:i/>
        </w:rPr>
        <w:t>2030</w:t>
      </w:r>
      <w:r>
        <w:t>.</w:t>
      </w:r>
    </w:p>
  </w:footnote>
  <w:footnote w:id="3">
    <w:p w14:paraId="54977CAE" w14:textId="77777777" w:rsidR="006F3836" w:rsidRDefault="006F3836" w:rsidP="001D5191">
      <w:pPr>
        <w:pStyle w:val="Textpoznpodarou"/>
      </w:pPr>
      <w:r>
        <w:rPr>
          <w:rStyle w:val="Znakapoznpodarou"/>
        </w:rPr>
        <w:footnoteRef/>
      </w:r>
      <w:r>
        <w:t xml:space="preserve"> </w:t>
      </w:r>
      <w:r>
        <w:tab/>
        <w:t>Jedná se o celé strategické období 2011–2020 a první dva roky strategického období 2021–2030, kdy rok 2022 byl posledním rokem, pro který měl NKÚ k dispozici celoroční statistiku nehodovosti PČR.</w:t>
      </w:r>
    </w:p>
  </w:footnote>
  <w:footnote w:id="4">
    <w:p w14:paraId="5296F1B5" w14:textId="77777777" w:rsidR="006F3836" w:rsidRDefault="006F3836" w:rsidP="001D5191">
      <w:pPr>
        <w:pStyle w:val="Textpoznpodarou"/>
      </w:pPr>
      <w:r>
        <w:rPr>
          <w:rStyle w:val="Znakapoznpodarou"/>
        </w:rPr>
        <w:footnoteRef/>
      </w:r>
      <w:r>
        <w:t xml:space="preserve"> </w:t>
      </w:r>
      <w:r>
        <w:tab/>
      </w:r>
      <w:r w:rsidRPr="00043E08">
        <w:t>Jedná se o transevropskou dopravní síť v rámci Evropské unie.</w:t>
      </w:r>
    </w:p>
  </w:footnote>
  <w:footnote w:id="5">
    <w:p w14:paraId="03C38613" w14:textId="77777777" w:rsidR="006F3836" w:rsidRPr="00043E08" w:rsidRDefault="006F3836" w:rsidP="001D5191">
      <w:pPr>
        <w:pStyle w:val="Textpoznpodarou"/>
      </w:pPr>
      <w:r>
        <w:rPr>
          <w:rStyle w:val="Znakapoznpodarou"/>
        </w:rPr>
        <w:footnoteRef/>
      </w:r>
      <w:r>
        <w:t xml:space="preserve"> </w:t>
      </w:r>
      <w:r>
        <w:tab/>
      </w:r>
      <w:r w:rsidRPr="00043E08">
        <w:t>Zákon č. 13/1997 Sb., o pozemních komunikacích.</w:t>
      </w:r>
    </w:p>
  </w:footnote>
  <w:footnote w:id="6">
    <w:p w14:paraId="7EFB27CB" w14:textId="77777777" w:rsidR="006F3836" w:rsidRPr="009C46EC" w:rsidRDefault="006F3836" w:rsidP="001D5191">
      <w:pPr>
        <w:pStyle w:val="Textpoznpodarou"/>
      </w:pPr>
      <w:r w:rsidRPr="009C46EC">
        <w:rPr>
          <w:rStyle w:val="Znakapoznpodarou"/>
          <w:rFonts w:cstheme="minorHAnsi"/>
        </w:rPr>
        <w:footnoteRef/>
      </w:r>
      <w:r w:rsidRPr="009C46EC">
        <w:t xml:space="preserve"> </w:t>
      </w:r>
      <w:r>
        <w:tab/>
      </w:r>
      <w:r w:rsidRPr="009C46EC">
        <w:t>Jedná se o statistické údaje, které pravidelně zveřejňuje Ředitelství služby dopravní policie Policejního prezidia České republiky</w:t>
      </w:r>
      <w:r>
        <w:t xml:space="preserve">, dostupné na </w:t>
      </w:r>
      <w:hyperlink r:id="rId1" w:history="1">
        <w:r w:rsidRPr="00AE5E8A">
          <w:rPr>
            <w:rStyle w:val="Hypertextovodkaz"/>
          </w:rPr>
          <w:t>https://www.policie.cz/clanek/statistika-nehodovosti-900835.aspx</w:t>
        </w:r>
      </w:hyperlink>
      <w:r>
        <w:t xml:space="preserve">. </w:t>
      </w:r>
    </w:p>
  </w:footnote>
  <w:footnote w:id="7">
    <w:p w14:paraId="04328CFD" w14:textId="77777777" w:rsidR="006F3836" w:rsidRPr="009C46EC" w:rsidRDefault="006F3836" w:rsidP="001D5191">
      <w:pPr>
        <w:pStyle w:val="Textpoznpodarou"/>
      </w:pPr>
      <w:r w:rsidRPr="009C46EC">
        <w:rPr>
          <w:rStyle w:val="Znakapoznpodarou"/>
          <w:rFonts w:cstheme="minorHAnsi"/>
        </w:rPr>
        <w:footnoteRef/>
      </w:r>
      <w:r w:rsidRPr="009C46EC">
        <w:t xml:space="preserve"> </w:t>
      </w:r>
      <w:r>
        <w:tab/>
      </w:r>
      <w:r w:rsidRPr="00C803CF">
        <w:t xml:space="preserve">Zdroj: </w:t>
      </w:r>
      <w:r w:rsidRPr="002C7C06">
        <w:rPr>
          <w:i/>
        </w:rPr>
        <w:t xml:space="preserve">Strategie BESIP 2021–2030 – </w:t>
      </w:r>
      <w:r>
        <w:rPr>
          <w:i/>
        </w:rPr>
        <w:t>i</w:t>
      </w:r>
      <w:r w:rsidRPr="002C7C06">
        <w:rPr>
          <w:i/>
        </w:rPr>
        <w:t>nformace o plnění v roce 2022</w:t>
      </w:r>
      <w:r w:rsidRPr="00C803CF">
        <w:t>. Jedná se o o</w:t>
      </w:r>
      <w:r>
        <w:t>d</w:t>
      </w:r>
      <w:r w:rsidRPr="00C803CF">
        <w:t>had Centra dopravního výzkumu, zahrnuje přímé náklady (hmotné škody, zdravotní a administrativní náklady) i nepřímé náklady (ztráty na produkci, sociální výdaje apod.).</w:t>
      </w:r>
    </w:p>
  </w:footnote>
  <w:footnote w:id="8">
    <w:p w14:paraId="22576B4D" w14:textId="77777777" w:rsidR="006F3836" w:rsidRPr="009C46EC" w:rsidRDefault="006F3836" w:rsidP="001D5191">
      <w:pPr>
        <w:pStyle w:val="Textpoznpodarou"/>
      </w:pPr>
      <w:r w:rsidRPr="009C46EC">
        <w:rPr>
          <w:rStyle w:val="Znakapoznpodarou"/>
          <w:rFonts w:cstheme="minorHAnsi"/>
        </w:rPr>
        <w:footnoteRef/>
      </w:r>
      <w:r w:rsidRPr="009C46EC">
        <w:t xml:space="preserve"> </w:t>
      </w:r>
      <w:r>
        <w:tab/>
      </w:r>
      <w:r w:rsidRPr="009C46EC">
        <w:t xml:space="preserve">Zákon č. 361/2000 Sb., </w:t>
      </w:r>
      <w:r w:rsidRPr="009C46EC">
        <w:rPr>
          <w:bCs/>
        </w:rPr>
        <w:t>o provozu na pozemních komunikacích a o změnách některých zákonů (zákon o</w:t>
      </w:r>
      <w:r>
        <w:rPr>
          <w:bCs/>
        </w:rPr>
        <w:t> </w:t>
      </w:r>
      <w:r w:rsidRPr="009C46EC">
        <w:rPr>
          <w:bCs/>
        </w:rPr>
        <w:t xml:space="preserve">silničním provozu). </w:t>
      </w:r>
      <w:r w:rsidRPr="009C46EC">
        <w:t>K tomuto zákonu vydalo MD prováděcí vyhlášku č. 294/2015 Sb., kterou se provádějí pravidla provozu na pozemních komunikacích.</w:t>
      </w:r>
    </w:p>
  </w:footnote>
  <w:footnote w:id="9">
    <w:p w14:paraId="0EBC34F4" w14:textId="77777777" w:rsidR="006F3836" w:rsidRPr="009C46EC" w:rsidRDefault="006F3836" w:rsidP="001D5191">
      <w:pPr>
        <w:pStyle w:val="Textpoznpodarou"/>
      </w:pPr>
      <w:r w:rsidRPr="009C46EC">
        <w:rPr>
          <w:rStyle w:val="Znakapoznpodarou"/>
          <w:rFonts w:cstheme="minorHAnsi"/>
        </w:rPr>
        <w:footnoteRef/>
      </w:r>
      <w:r w:rsidRPr="009C46EC">
        <w:t xml:space="preserve"> </w:t>
      </w:r>
      <w:r>
        <w:tab/>
      </w:r>
      <w:r w:rsidRPr="009C46EC">
        <w:t>K tomuto zákonu vydalo MD prováděcí vyhlášku č. 104/1997 Sb., kterou se provádí zákon o pozemních komunikacích.</w:t>
      </w:r>
    </w:p>
  </w:footnote>
  <w:footnote w:id="10">
    <w:p w14:paraId="65482F28" w14:textId="77777777" w:rsidR="006F3836" w:rsidRPr="009C46EC" w:rsidRDefault="006F3836" w:rsidP="001D5191">
      <w:pPr>
        <w:pStyle w:val="Textpoznpodarou"/>
      </w:pPr>
      <w:r w:rsidRPr="009C46EC">
        <w:rPr>
          <w:rStyle w:val="Znakapoznpodarou"/>
          <w:rFonts w:cstheme="minorHAnsi"/>
        </w:rPr>
        <w:footnoteRef/>
      </w:r>
      <w:r w:rsidRPr="009C46EC">
        <w:t xml:space="preserve"> </w:t>
      </w:r>
      <w:r>
        <w:tab/>
      </w:r>
      <w:r w:rsidRPr="009C46EC">
        <w:t>Ustanovení § 124 odst. 2 písm. h) zákona č. 361/2000 Sb.</w:t>
      </w:r>
    </w:p>
  </w:footnote>
  <w:footnote w:id="11">
    <w:p w14:paraId="1D460C6B" w14:textId="77777777" w:rsidR="006F3836" w:rsidRPr="006F6636" w:rsidRDefault="006F3836" w:rsidP="001D5191">
      <w:pPr>
        <w:pStyle w:val="Textpoznpodarou"/>
      </w:pPr>
      <w:r w:rsidRPr="009C46EC">
        <w:rPr>
          <w:rStyle w:val="Znakapoznpodarou"/>
          <w:rFonts w:cstheme="minorHAnsi"/>
        </w:rPr>
        <w:footnoteRef/>
      </w:r>
      <w:r w:rsidRPr="009C46EC">
        <w:t xml:space="preserve"> </w:t>
      </w:r>
      <w:r>
        <w:tab/>
      </w:r>
      <w:r w:rsidRPr="009C46EC">
        <w:t xml:space="preserve">V souladu s § 124 zákona č. 361/2000 Sb. prevenci v oblasti bezpečnosti na pozemních komunikacích provádí MD </w:t>
      </w:r>
      <w:r>
        <w:t>ve</w:t>
      </w:r>
      <w:r w:rsidRPr="009C46EC">
        <w:t xml:space="preserve"> spoluprác</w:t>
      </w:r>
      <w:r>
        <w:t>i s Ministerstvem vnitra</w:t>
      </w:r>
      <w:r w:rsidRPr="009C46EC">
        <w:t>, krajské úřady a obecní úřady obcí s</w:t>
      </w:r>
      <w:r>
        <w:t> </w:t>
      </w:r>
      <w:r w:rsidRPr="009C46EC">
        <w:t>rozšířenou působností a</w:t>
      </w:r>
      <w:r>
        <w:t> </w:t>
      </w:r>
      <w:r w:rsidRPr="009C46EC">
        <w:t xml:space="preserve">v rámci výkonu dohledu na bezpečnost a </w:t>
      </w:r>
      <w:r w:rsidRPr="006F6636">
        <w:t>plynulost provozu i Policie ČR.</w:t>
      </w:r>
    </w:p>
  </w:footnote>
  <w:footnote w:id="12">
    <w:p w14:paraId="23571427" w14:textId="77777777" w:rsidR="006F3836" w:rsidRPr="009C46EC" w:rsidRDefault="006F3836" w:rsidP="001D5191">
      <w:pPr>
        <w:pStyle w:val="Textpoznpodarou"/>
      </w:pPr>
      <w:r w:rsidRPr="006F6636">
        <w:rPr>
          <w:rStyle w:val="Znakapoznpodarou"/>
          <w:rFonts w:cstheme="minorHAnsi"/>
        </w:rPr>
        <w:footnoteRef/>
      </w:r>
      <w:r w:rsidRPr="006F6636">
        <w:t xml:space="preserve"> </w:t>
      </w:r>
      <w:r>
        <w:tab/>
      </w:r>
      <w:r w:rsidRPr="006F6636">
        <w:t>Usnesení vlády České republiky ze dne 10. srpna 2011 č. 599</w:t>
      </w:r>
      <w:r>
        <w:t>,</w:t>
      </w:r>
      <w:r w:rsidRPr="006F6636">
        <w:t xml:space="preserve"> </w:t>
      </w:r>
      <w:r w:rsidRPr="00B4353E">
        <w:rPr>
          <w:i/>
        </w:rPr>
        <w:t>o Národní strategii bezpečnosti silničního provozu na období let 2011 až 2020</w:t>
      </w:r>
      <w:r w:rsidRPr="006F6636">
        <w:t>; usnesení vlády České republiky ze dne 27. února 2017 č. 160</w:t>
      </w:r>
      <w:r>
        <w:t>,</w:t>
      </w:r>
      <w:r w:rsidRPr="006F6636">
        <w:t xml:space="preserve"> </w:t>
      </w:r>
      <w:r w:rsidRPr="00B4353E">
        <w:rPr>
          <w:i/>
        </w:rPr>
        <w:t>o Revizi a aktualizaci Národní strategie bezpečnosti silničního provozu na období let 2011 až 2020 s platností od roku 2017</w:t>
      </w:r>
      <w:r w:rsidRPr="006F6636">
        <w:t>; usnesení vlády České republiky ze dne 4. ledna 2021 č. 8</w:t>
      </w:r>
      <w:r>
        <w:t>,</w:t>
      </w:r>
      <w:r w:rsidRPr="006F6636">
        <w:t xml:space="preserve"> </w:t>
      </w:r>
      <w:r w:rsidRPr="00B4353E">
        <w:rPr>
          <w:i/>
        </w:rPr>
        <w:t>o Strategii BESIP 2021–2030</w:t>
      </w:r>
      <w:r w:rsidRPr="006F6636">
        <w:t>.</w:t>
      </w:r>
    </w:p>
  </w:footnote>
  <w:footnote w:id="13">
    <w:p w14:paraId="5EACE73F" w14:textId="77777777" w:rsidR="006F3836" w:rsidRPr="008202A0" w:rsidRDefault="006F3836" w:rsidP="001D5191">
      <w:pPr>
        <w:pStyle w:val="Textpoznpodarou"/>
      </w:pPr>
      <w:r w:rsidRPr="00D174AE">
        <w:rPr>
          <w:rStyle w:val="Znakapoznpodarou"/>
          <w:rFonts w:cstheme="minorHAnsi"/>
        </w:rPr>
        <w:footnoteRef/>
      </w:r>
      <w:r w:rsidRPr="00D174AE">
        <w:t xml:space="preserve"> </w:t>
      </w:r>
      <w:r>
        <w:tab/>
        <w:t xml:space="preserve">Krajští koordinátoři </w:t>
      </w:r>
      <w:r w:rsidRPr="00D174AE">
        <w:t>jsou osoby odpovědné za plnění úkolů Centr</w:t>
      </w:r>
      <w:r>
        <w:t>a</w:t>
      </w:r>
      <w:r w:rsidRPr="00D174AE">
        <w:t xml:space="preserve"> služeb pro</w:t>
      </w:r>
      <w:r>
        <w:t> </w:t>
      </w:r>
      <w:r w:rsidRPr="00D174AE">
        <w:t>silniční dopravu v jednotlivých krajích ČR</w:t>
      </w:r>
      <w:r>
        <w:t xml:space="preserve"> (provádění </w:t>
      </w:r>
      <w:r w:rsidRPr="006031ED">
        <w:t>prevence v oblasti BESIP a dopravní výchovy</w:t>
      </w:r>
      <w:r>
        <w:t>)</w:t>
      </w:r>
      <w:r w:rsidRPr="00D174AE">
        <w:t>. Povinnost, aby na území každého kraje ČR působil alespoň jeden krajský koordinátor</w:t>
      </w:r>
      <w:r>
        <w:t>,</w:t>
      </w:r>
      <w:r w:rsidRPr="00D174AE">
        <w:t xml:space="preserve"> vyplývala</w:t>
      </w:r>
      <w:r>
        <w:t xml:space="preserve"> pro</w:t>
      </w:r>
      <w:r w:rsidRPr="00D174AE">
        <w:t xml:space="preserve"> CSPSD ze zadání činnost</w:t>
      </w:r>
      <w:r>
        <w:t>í</w:t>
      </w:r>
      <w:r w:rsidRPr="00D174AE">
        <w:t xml:space="preserve"> (úkol</w:t>
      </w:r>
      <w:r>
        <w:t>ů</w:t>
      </w:r>
      <w:r w:rsidRPr="00D174AE">
        <w:t>), kter</w:t>
      </w:r>
      <w:r>
        <w:t>é</w:t>
      </w:r>
      <w:r w:rsidRPr="00D174AE">
        <w:t xml:space="preserve"> mu stanovilo MD.</w:t>
      </w:r>
    </w:p>
  </w:footnote>
  <w:footnote w:id="14">
    <w:p w14:paraId="2A3035E1" w14:textId="77777777" w:rsidR="006F3836" w:rsidRPr="00D174AE" w:rsidRDefault="006F3836" w:rsidP="001D5191">
      <w:pPr>
        <w:pStyle w:val="Textpoznpodarou"/>
      </w:pPr>
      <w:r w:rsidRPr="008202A0">
        <w:rPr>
          <w:rStyle w:val="Znakapoznpodarou"/>
          <w:rFonts w:cstheme="minorHAnsi"/>
        </w:rPr>
        <w:footnoteRef/>
      </w:r>
      <w:r w:rsidRPr="008202A0">
        <w:t xml:space="preserve"> </w:t>
      </w:r>
      <w:r>
        <w:tab/>
      </w:r>
      <w:r w:rsidRPr="008202A0">
        <w:t>BESIP Team je dle zřizovací listiny CSPSD</w:t>
      </w:r>
      <w:r>
        <w:t xml:space="preserve"> ze dne 12. 10. 2011 (dodatek č. 5 ke zřizovací listině)</w:t>
      </w:r>
      <w:r w:rsidRPr="008202A0">
        <w:t xml:space="preserve"> mobilní výstavní prezentační systém využívaný na</w:t>
      </w:r>
      <w:r>
        <w:t xml:space="preserve"> p</w:t>
      </w:r>
      <w:r w:rsidRPr="008202A0">
        <w:t>romoakcích</w:t>
      </w:r>
      <w:r>
        <w:t xml:space="preserve"> </w:t>
      </w:r>
      <w:r w:rsidRPr="008202A0">
        <w:t>propagujících a podporujících bezpečnost silničního provozu na výstavách či</w:t>
      </w:r>
      <w:r>
        <w:t xml:space="preserve"> </w:t>
      </w:r>
      <w:r w:rsidRPr="008202A0">
        <w:t>jiných veřejnosti přístupných akcích v jednotlivých regionech České republiky</w:t>
      </w:r>
      <w:r>
        <w:t>, zajišťovaný prostřednictvím realizačního týmu poskytovatele</w:t>
      </w:r>
      <w:r w:rsidRPr="008202A0">
        <w:t>.</w:t>
      </w:r>
    </w:p>
  </w:footnote>
  <w:footnote w:id="15">
    <w:p w14:paraId="168FB1FD" w14:textId="77777777" w:rsidR="006F3836" w:rsidRDefault="006F3836" w:rsidP="001D5191">
      <w:pPr>
        <w:pStyle w:val="Textpoznpodarou"/>
      </w:pPr>
      <w:r>
        <w:rPr>
          <w:rStyle w:val="Znakapoznpodarou"/>
        </w:rPr>
        <w:footnoteRef/>
      </w:r>
      <w:r>
        <w:t xml:space="preserve"> </w:t>
      </w:r>
      <w:r>
        <w:tab/>
        <w:t xml:space="preserve">Ustanovení § 9 </w:t>
      </w:r>
      <w:r w:rsidRPr="00187B95">
        <w:t>z</w:t>
      </w:r>
      <w:r w:rsidRPr="00080B24">
        <w:t>ákona č. 13/1997 Sb</w:t>
      </w:r>
      <w:r>
        <w:t>.</w:t>
      </w:r>
    </w:p>
  </w:footnote>
  <w:footnote w:id="16">
    <w:p w14:paraId="21ABE1B2" w14:textId="77777777" w:rsidR="006F3836" w:rsidRDefault="006F3836" w:rsidP="001D5191">
      <w:pPr>
        <w:pStyle w:val="Textpoznpodarou"/>
      </w:pPr>
      <w:r>
        <w:rPr>
          <w:rStyle w:val="Znakapoznpodarou"/>
        </w:rPr>
        <w:footnoteRef/>
      </w:r>
      <w:r>
        <w:t xml:space="preserve"> </w:t>
      </w:r>
      <w:r>
        <w:tab/>
        <w:t xml:space="preserve">Ustanovení § 25 a § 31 </w:t>
      </w:r>
      <w:r w:rsidRPr="00187B95">
        <w:t>z</w:t>
      </w:r>
      <w:r w:rsidRPr="00080B24">
        <w:t>ákon</w:t>
      </w:r>
      <w:r>
        <w:t>a</w:t>
      </w:r>
      <w:r w:rsidRPr="00080B24">
        <w:t xml:space="preserve"> č. 13/1997 Sb</w:t>
      </w:r>
      <w:r>
        <w:t>.</w:t>
      </w:r>
    </w:p>
  </w:footnote>
  <w:footnote w:id="17">
    <w:p w14:paraId="59FE38A3" w14:textId="77777777" w:rsidR="006F3836" w:rsidRPr="006F6636" w:rsidRDefault="006F3836" w:rsidP="001D5191">
      <w:pPr>
        <w:pStyle w:val="Textpoznpodarou"/>
      </w:pPr>
      <w:r>
        <w:rPr>
          <w:rStyle w:val="Znakapoznpodarou"/>
        </w:rPr>
        <w:footnoteRef/>
      </w:r>
      <w:r>
        <w:t> </w:t>
      </w:r>
      <w:r>
        <w:tab/>
        <w:t xml:space="preserve">Pouze </w:t>
      </w:r>
      <w:r w:rsidRPr="005B3FD7">
        <w:t xml:space="preserve">peněžní prostředky, které ŘSD </w:t>
      </w:r>
      <w:r>
        <w:t>vynaložilo za činnosti související s odstraňováním nepovolených reklamních zařízení, realizací dopravního značení proti vjetí do protisměru na dálnici a dopravního značení „bezpečný odstup“, audity bezpečnosti pozemních komunikací, bezpečnostními inspekcemi pozemních komunikací a identifikací a řešením nehodových lokalit</w:t>
      </w:r>
      <w:r w:rsidRPr="005B3FD7">
        <w:t>. V uvedeném objemu nejsou zahrnuty další náklady, které ŘSD vynakládá v souvislosti s výstavbou,</w:t>
      </w:r>
      <w:r>
        <w:t xml:space="preserve"> rekonstrukcí a opravami pozemních komunikací ve své správě. Tyto aktivity v sobě </w:t>
      </w:r>
      <w:r w:rsidRPr="006F6636">
        <w:t xml:space="preserve">rovněž nesou prvek zvýšení bezpečnosti. Nelze však jednoznačně identifikovat výši peněžních prostředků vynaložených na bezpečnost a oddělit je od </w:t>
      </w:r>
      <w:r>
        <w:t>jiných</w:t>
      </w:r>
      <w:r w:rsidRPr="006F6636">
        <w:t xml:space="preserve"> nákladů na tyto činnosti.</w:t>
      </w:r>
    </w:p>
  </w:footnote>
  <w:footnote w:id="18">
    <w:p w14:paraId="08CFB04B" w14:textId="77777777" w:rsidR="006F3836" w:rsidRDefault="006F3836" w:rsidP="001D5191">
      <w:pPr>
        <w:pStyle w:val="Textpoznpodarou"/>
      </w:pPr>
      <w:r w:rsidRPr="006F6636">
        <w:rPr>
          <w:rStyle w:val="Znakapoznpodarou"/>
        </w:rPr>
        <w:footnoteRef/>
      </w:r>
      <w:r w:rsidRPr="006F6636">
        <w:t xml:space="preserve"> </w:t>
      </w:r>
      <w:r>
        <w:tab/>
      </w:r>
      <w:r w:rsidRPr="006F6636">
        <w:t>Usnesení vlády České republiky ze dne 10. srpna 2011 č. 599</w:t>
      </w:r>
      <w:r>
        <w:t>,</w:t>
      </w:r>
      <w:r w:rsidRPr="006F6636">
        <w:t xml:space="preserve"> </w:t>
      </w:r>
      <w:r w:rsidRPr="00B4353E">
        <w:rPr>
          <w:i/>
        </w:rPr>
        <w:t>o Národní strategii bezpečnosti silničního provozu na období let 2011 až 2020</w:t>
      </w:r>
      <w:r w:rsidRPr="006F6636">
        <w:t>.</w:t>
      </w:r>
    </w:p>
  </w:footnote>
  <w:footnote w:id="19">
    <w:p w14:paraId="22AAD004" w14:textId="77777777" w:rsidR="006F3836" w:rsidRPr="00204169" w:rsidRDefault="006F3836" w:rsidP="001D5191">
      <w:pPr>
        <w:pStyle w:val="Textpoznpodarou"/>
      </w:pPr>
      <w:r w:rsidRPr="00204169">
        <w:rPr>
          <w:rStyle w:val="Znakapoznpodarou"/>
        </w:rPr>
        <w:footnoteRef/>
      </w:r>
      <w:r w:rsidRPr="00204169">
        <w:t xml:space="preserve"> </w:t>
      </w:r>
      <w:r>
        <w:tab/>
      </w:r>
      <w:r w:rsidRPr="00204169">
        <w:t>Usnesení vlády České republiky ze dne 27. února 2017 č. 160</w:t>
      </w:r>
      <w:r>
        <w:t>,</w:t>
      </w:r>
      <w:r w:rsidRPr="00204169">
        <w:t xml:space="preserve"> </w:t>
      </w:r>
      <w:r w:rsidRPr="00B4353E">
        <w:rPr>
          <w:i/>
        </w:rPr>
        <w:t>o Revizi a aktualizaci Národní strategie bezpečnosti silničního provozu na období let 2011 až 2020 s platností od roku 2017</w:t>
      </w:r>
      <w:r w:rsidRPr="00204169">
        <w:t>.</w:t>
      </w:r>
    </w:p>
  </w:footnote>
  <w:footnote w:id="20">
    <w:p w14:paraId="0DFAE7B9" w14:textId="77777777" w:rsidR="006F3836" w:rsidRPr="00204169" w:rsidRDefault="006F3836" w:rsidP="001D5191">
      <w:pPr>
        <w:pStyle w:val="Textpoznpodarou"/>
      </w:pPr>
      <w:r w:rsidRPr="00204169">
        <w:rPr>
          <w:rStyle w:val="Znakapoznpodarou"/>
        </w:rPr>
        <w:footnoteRef/>
      </w:r>
      <w:r w:rsidRPr="00204169">
        <w:t xml:space="preserve"> </w:t>
      </w:r>
      <w:r>
        <w:tab/>
      </w:r>
      <w:r w:rsidRPr="00204169">
        <w:t>Usnesení vlády České republiky ze dne 4. ledna 2021 č. 8</w:t>
      </w:r>
      <w:r>
        <w:t>,</w:t>
      </w:r>
      <w:r w:rsidRPr="00204169">
        <w:t xml:space="preserve"> </w:t>
      </w:r>
      <w:r w:rsidRPr="002C7C06">
        <w:rPr>
          <w:i/>
        </w:rPr>
        <w:t>o Strategii BESIP 2021</w:t>
      </w:r>
      <w:r>
        <w:rPr>
          <w:i/>
        </w:rPr>
        <w:t>–</w:t>
      </w:r>
      <w:r w:rsidRPr="002C7C06">
        <w:rPr>
          <w:i/>
        </w:rPr>
        <w:t>2030</w:t>
      </w:r>
      <w:r w:rsidRPr="00204169">
        <w:t>.</w:t>
      </w:r>
    </w:p>
  </w:footnote>
  <w:footnote w:id="21">
    <w:p w14:paraId="6D985582" w14:textId="77777777" w:rsidR="006F3836" w:rsidRPr="00204169" w:rsidRDefault="006F3836" w:rsidP="001D5191">
      <w:pPr>
        <w:pStyle w:val="Textpoznpodarou"/>
      </w:pPr>
      <w:r w:rsidRPr="00204169">
        <w:rPr>
          <w:rStyle w:val="Znakapoznpodarou"/>
        </w:rPr>
        <w:footnoteRef/>
      </w:r>
      <w:r w:rsidRPr="00204169">
        <w:t xml:space="preserve"> </w:t>
      </w:r>
      <w:r>
        <w:tab/>
      </w:r>
      <w:r w:rsidRPr="00204169">
        <w:t xml:space="preserve">Zpráva </w:t>
      </w:r>
      <w:r w:rsidRPr="002C7C06">
        <w:rPr>
          <w:i/>
        </w:rPr>
        <w:t>Ranking EU Progress On Road Safety – 16th Road Safety Performance Index Report</w:t>
      </w:r>
      <w:r w:rsidRPr="00204169">
        <w:t xml:space="preserve">, kterou vydal European Transport Safety Council v červnu 2022. Zdrojem analyzovaných dat </w:t>
      </w:r>
      <w:r>
        <w:t>byly</w:t>
      </w:r>
      <w:r w:rsidRPr="00204169">
        <w:t xml:space="preserve"> statistické údaje jednotlivých zemí a Eurostatu.</w:t>
      </w:r>
    </w:p>
  </w:footnote>
  <w:footnote w:id="22">
    <w:p w14:paraId="08154A00" w14:textId="77777777" w:rsidR="006F3836" w:rsidRPr="005F7CA7" w:rsidRDefault="006F3836" w:rsidP="001D5191">
      <w:pPr>
        <w:pStyle w:val="Textpoznpodarou"/>
      </w:pPr>
      <w:r w:rsidRPr="00204169">
        <w:rPr>
          <w:rStyle w:val="Znakapoznpodarou"/>
        </w:rPr>
        <w:footnoteRef/>
      </w:r>
      <w:r w:rsidRPr="00204169">
        <w:t xml:space="preserve"> </w:t>
      </w:r>
      <w:r>
        <w:tab/>
      </w:r>
      <w:r w:rsidRPr="00204169">
        <w:t xml:space="preserve">Úvodní AP na období 2021–2022 </w:t>
      </w:r>
      <w:r>
        <w:t>byl schválen</w:t>
      </w:r>
      <w:r w:rsidRPr="00204169">
        <w:t xml:space="preserve"> usnesení</w:t>
      </w:r>
      <w:r>
        <w:t>m</w:t>
      </w:r>
      <w:r w:rsidRPr="00204169">
        <w:t xml:space="preserve"> vlády České republiky ze dne 4.</w:t>
      </w:r>
      <w:r>
        <w:t xml:space="preserve"> </w:t>
      </w:r>
      <w:r w:rsidRPr="00204169">
        <w:t>ledna 2021 č. 8</w:t>
      </w:r>
      <w:r>
        <w:t>,</w:t>
      </w:r>
      <w:r w:rsidRPr="00204169">
        <w:t xml:space="preserve"> </w:t>
      </w:r>
      <w:r w:rsidRPr="002C7C06">
        <w:rPr>
          <w:i/>
        </w:rPr>
        <w:t>o</w:t>
      </w:r>
      <w:r>
        <w:rPr>
          <w:i/>
        </w:rPr>
        <w:t> </w:t>
      </w:r>
      <w:r w:rsidRPr="002C7C06">
        <w:rPr>
          <w:i/>
        </w:rPr>
        <w:t>Strategii BESIP 2021</w:t>
      </w:r>
      <w:r w:rsidRPr="00435A39">
        <w:rPr>
          <w:i/>
        </w:rPr>
        <w:t>–</w:t>
      </w:r>
      <w:r w:rsidRPr="002C7C06">
        <w:rPr>
          <w:i/>
        </w:rPr>
        <w:t>2030</w:t>
      </w:r>
      <w:r w:rsidRPr="00204169">
        <w:t xml:space="preserve">. Vyhodnocení jeho plnění a současně AP na období 2023–2024 vláda schválila </w:t>
      </w:r>
      <w:r>
        <w:t>svým</w:t>
      </w:r>
      <w:r w:rsidRPr="00204169">
        <w:t xml:space="preserve"> usnesení</w:t>
      </w:r>
      <w:r>
        <w:t>m</w:t>
      </w:r>
      <w:r w:rsidRPr="00204169">
        <w:t xml:space="preserve"> ze dne 12. dubna 2023 č. 255</w:t>
      </w:r>
      <w:r>
        <w:t>,</w:t>
      </w:r>
      <w:r w:rsidRPr="00204169">
        <w:t xml:space="preserve"> </w:t>
      </w:r>
      <w:r w:rsidRPr="002C7C06">
        <w:rPr>
          <w:i/>
        </w:rPr>
        <w:t>o Strategii BESIP 2021–2030</w:t>
      </w:r>
      <w:r w:rsidRPr="00204169">
        <w:t>.</w:t>
      </w:r>
    </w:p>
  </w:footnote>
  <w:footnote w:id="23">
    <w:p w14:paraId="33C49986" w14:textId="77777777" w:rsidR="006F3836" w:rsidRDefault="006F3836" w:rsidP="001D5191">
      <w:pPr>
        <w:pStyle w:val="Textpoznpodarou"/>
      </w:pPr>
      <w:r w:rsidRPr="005F7CA7">
        <w:rPr>
          <w:rStyle w:val="Znakapoznpodarou"/>
        </w:rPr>
        <w:footnoteRef/>
      </w:r>
      <w:r w:rsidRPr="005F7CA7">
        <w:t xml:space="preserve"> </w:t>
      </w:r>
      <w:r>
        <w:tab/>
      </w:r>
      <w:r w:rsidRPr="005F7CA7">
        <w:t>FZŠ byl zřízen zákonem č. 160/2013 Sb., kterým se mění zákon č. 168/1999 Sb., o pojištění odpovědnosti za škodu způsobenou provozem vozidla a o změně některých souvisejících zákonů (zákon o pojištění odpovědnosti z provozu vozidla), ve znění pozdějších předpisů, zákon č. 238/2000 Sb., o Hasičském záchranném sboru České republiky a o změně některých zákonů, ve znění pozdějších předpisů, a zákon č.</w:t>
      </w:r>
      <w:r>
        <w:t> </w:t>
      </w:r>
      <w:r w:rsidRPr="005F7CA7">
        <w:t>586/1992 Sb., o daních z příjmů, ve znění pozdějších předpisů</w:t>
      </w:r>
      <w:r>
        <w:t>.</w:t>
      </w:r>
    </w:p>
  </w:footnote>
  <w:footnote w:id="24">
    <w:p w14:paraId="18427403" w14:textId="77777777" w:rsidR="006F3836" w:rsidRDefault="006F3836" w:rsidP="001D5191">
      <w:pPr>
        <w:pStyle w:val="Textpoznpodarou"/>
      </w:pPr>
      <w:r>
        <w:rPr>
          <w:rStyle w:val="Znakapoznpodarou"/>
        </w:rPr>
        <w:footnoteRef/>
      </w:r>
      <w:r>
        <w:t xml:space="preserve"> </w:t>
      </w:r>
      <w:r>
        <w:tab/>
      </w:r>
      <w:r w:rsidRPr="00921DCC">
        <w:t>Zdroj:</w:t>
      </w:r>
      <w:r>
        <w:t xml:space="preserve"> </w:t>
      </w:r>
      <w:hyperlink r:id="rId2" w:history="1">
        <w:r w:rsidRPr="00AE5E8A">
          <w:rPr>
            <w:rStyle w:val="Hypertextovodkaz"/>
          </w:rPr>
          <w:t>www.mdcr.cz/Ministerstvo/Vedeni-ministerstva</w:t>
        </w:r>
      </w:hyperlink>
      <w:r>
        <w:rPr>
          <w:rStyle w:val="Hypertextovodkaz"/>
          <w:color w:val="auto"/>
          <w:u w:val="none"/>
        </w:rPr>
        <w:t>.</w:t>
      </w:r>
    </w:p>
  </w:footnote>
  <w:footnote w:id="25">
    <w:p w14:paraId="486951C2" w14:textId="77777777" w:rsidR="006F3836" w:rsidRDefault="006F3836" w:rsidP="001D5191">
      <w:pPr>
        <w:pStyle w:val="Textpoznpodarou"/>
      </w:pPr>
      <w:r>
        <w:rPr>
          <w:rStyle w:val="Znakapoznpodarou"/>
        </w:rPr>
        <w:footnoteRef/>
      </w:r>
      <w:r>
        <w:t xml:space="preserve"> </w:t>
      </w:r>
      <w:r>
        <w:tab/>
      </w:r>
      <w:r w:rsidRPr="005F7CA7">
        <w:t xml:space="preserve">Zdroj: </w:t>
      </w:r>
      <w:hyperlink r:id="rId3" w:history="1">
        <w:r w:rsidRPr="00AE5E8A">
          <w:rPr>
            <w:rStyle w:val="Hypertextovodkaz"/>
          </w:rPr>
          <w:t>www.cspsd.cz/storage/files/Uplne_zneni_Zrizovaci_listiny.pdf</w:t>
        </w:r>
      </w:hyperlink>
      <w:r>
        <w:t>.</w:t>
      </w:r>
    </w:p>
  </w:footnote>
  <w:footnote w:id="26">
    <w:p w14:paraId="0B7261F0" w14:textId="77777777" w:rsidR="006F3836" w:rsidRPr="005F7CA7" w:rsidRDefault="006F3836" w:rsidP="001D5191">
      <w:pPr>
        <w:pStyle w:val="Textpoznpodarou"/>
      </w:pPr>
      <w:r>
        <w:rPr>
          <w:rStyle w:val="Znakapoznpodarou"/>
        </w:rPr>
        <w:footnoteRef/>
      </w:r>
      <w:r>
        <w:t xml:space="preserve"> </w:t>
      </w:r>
      <w:r>
        <w:tab/>
      </w:r>
      <w:r w:rsidRPr="005F7CA7">
        <w:t>Dle ustanovení § 2 písm. o) zákona č. 320/2001 Sb., o finanční kontrole ve veřejné správě a o změně některých zákonů (zákon o finanční kontrole).</w:t>
      </w:r>
    </w:p>
  </w:footnote>
  <w:footnote w:id="27">
    <w:p w14:paraId="3E23DB3A" w14:textId="77777777" w:rsidR="006F3836" w:rsidRDefault="006F3836" w:rsidP="001D5191">
      <w:pPr>
        <w:pStyle w:val="Textpoznpodarou"/>
      </w:pPr>
      <w:r w:rsidRPr="005F7CA7">
        <w:rPr>
          <w:rStyle w:val="Znakapoznpodarou"/>
        </w:rPr>
        <w:footnoteRef/>
      </w:r>
      <w:r w:rsidRPr="005F7CA7">
        <w:t xml:space="preserve"> </w:t>
      </w:r>
      <w:r>
        <w:tab/>
      </w:r>
      <w:r w:rsidRPr="005F7CA7">
        <w:t>Dle ustanovení § 2 písm. m) zákona č. 320/2001 Sb., o finanční kontrole ve veřejné správě a o změně některých zákonů (zákon o finanční kontrole).</w:t>
      </w:r>
    </w:p>
  </w:footnote>
  <w:footnote w:id="28">
    <w:p w14:paraId="009E0BE7" w14:textId="77777777" w:rsidR="006F3836" w:rsidRDefault="006F3836" w:rsidP="001D5191">
      <w:pPr>
        <w:pStyle w:val="Textpoznpodarou"/>
      </w:pPr>
      <w:r>
        <w:rPr>
          <w:rStyle w:val="Znakapoznpodarou"/>
        </w:rPr>
        <w:footnoteRef/>
      </w:r>
      <w:r>
        <w:t xml:space="preserve"> </w:t>
      </w:r>
      <w:r>
        <w:tab/>
      </w:r>
      <w:r w:rsidRPr="00222E01">
        <w:t xml:space="preserve">Dopravně bezpečnostní kampaně jsou preventivní akce, </w:t>
      </w:r>
      <w:r>
        <w:t xml:space="preserve">jejichž cílem je snížení závažných následků dopravních nehod propagací bezpečného chování v silničním provozu tím, </w:t>
      </w:r>
      <w:r w:rsidRPr="00CB0127">
        <w:t>že poskytnou účastníkům silničního provozu lepší znalosti a nakloní jejich postoje k preferování takového chování</w:t>
      </w:r>
      <w:r>
        <w:t>.</w:t>
      </w:r>
    </w:p>
  </w:footnote>
  <w:footnote w:id="29">
    <w:p w14:paraId="4A3B4980" w14:textId="77777777" w:rsidR="006F3836" w:rsidRDefault="006F3836" w:rsidP="001D5191">
      <w:pPr>
        <w:pStyle w:val="Textpoznpodarou"/>
      </w:pPr>
      <w:r>
        <w:rPr>
          <w:rStyle w:val="Znakapoznpodarou"/>
        </w:rPr>
        <w:footnoteRef/>
      </w:r>
      <w:r>
        <w:t xml:space="preserve"> </w:t>
      </w:r>
      <w:r>
        <w:tab/>
        <w:t>Jedná se o krajské koordinátory za Jihomoravský, Karlovarský, Královéhradecký, Moravskoslezský, Olomoucký a Ústecký kraj.</w:t>
      </w:r>
    </w:p>
  </w:footnote>
  <w:footnote w:id="30">
    <w:p w14:paraId="5F7F9043" w14:textId="77777777" w:rsidR="006F3836" w:rsidRDefault="006F3836" w:rsidP="001D5191">
      <w:pPr>
        <w:pStyle w:val="Textpoznpodarou"/>
      </w:pPr>
      <w:r>
        <w:rPr>
          <w:rStyle w:val="Znakapoznpodarou"/>
        </w:rPr>
        <w:footnoteRef/>
      </w:r>
      <w:r>
        <w:t xml:space="preserve"> </w:t>
      </w:r>
      <w:r>
        <w:tab/>
        <w:t xml:space="preserve">Ustanovení § 124 odst. 10 </w:t>
      </w:r>
      <w:r w:rsidRPr="0004384F">
        <w:t>zákona č. 361/2000 Sb.</w:t>
      </w:r>
    </w:p>
  </w:footnote>
  <w:footnote w:id="31">
    <w:p w14:paraId="3BCE3AB3" w14:textId="77777777" w:rsidR="006F3836" w:rsidRDefault="006F3836" w:rsidP="001D5191">
      <w:pPr>
        <w:pStyle w:val="Textpoznpodarou"/>
      </w:pPr>
      <w:r>
        <w:rPr>
          <w:rStyle w:val="Znakapoznpodarou"/>
        </w:rPr>
        <w:footnoteRef/>
      </w:r>
      <w:r>
        <w:t xml:space="preserve"> </w:t>
      </w:r>
      <w:r>
        <w:tab/>
        <w:t xml:space="preserve">Ustanovení § 124 odst. 11 </w:t>
      </w:r>
      <w:r w:rsidRPr="0004384F">
        <w:t>zákona č. 361/2000 Sb.</w:t>
      </w:r>
    </w:p>
  </w:footnote>
  <w:footnote w:id="32">
    <w:p w14:paraId="71AEAF21" w14:textId="77777777" w:rsidR="006F3836" w:rsidRDefault="006F3836" w:rsidP="001D5191">
      <w:pPr>
        <w:pStyle w:val="Textpoznpodarou"/>
      </w:pPr>
      <w:r>
        <w:rPr>
          <w:rStyle w:val="Znakapoznpodarou"/>
        </w:rPr>
        <w:footnoteRef/>
      </w:r>
      <w:r>
        <w:t xml:space="preserve"> </w:t>
      </w:r>
      <w:r>
        <w:tab/>
        <w:t>Jedná se o silnice II. a III. tříd, místní komunikace a účelové komunikace.</w:t>
      </w:r>
    </w:p>
  </w:footnote>
  <w:footnote w:id="33">
    <w:p w14:paraId="5581777A" w14:textId="77777777" w:rsidR="006F3836" w:rsidRDefault="006F3836" w:rsidP="001D5191">
      <w:pPr>
        <w:pStyle w:val="Textpoznpodarou"/>
      </w:pPr>
      <w:r>
        <w:rPr>
          <w:rStyle w:val="Znakapoznpodarou"/>
        </w:rPr>
        <w:footnoteRef/>
      </w:r>
      <w:r>
        <w:t xml:space="preserve"> </w:t>
      </w:r>
      <w:r>
        <w:tab/>
        <w:t xml:space="preserve">V období let 2011–2022 bylo v ČR dle statistiky nehodovosti PČR usmrceno při dopravních nehodách celkem 6 803 osob, z toho na silnicích nižších tříd to bylo </w:t>
      </w:r>
      <w:r w:rsidRPr="00B17D82">
        <w:t>3 943 osob</w:t>
      </w:r>
      <w:r>
        <w:t>.</w:t>
      </w:r>
    </w:p>
  </w:footnote>
  <w:footnote w:id="34">
    <w:p w14:paraId="62D17223" w14:textId="77777777" w:rsidR="006F3836" w:rsidRPr="00B74C87" w:rsidRDefault="006F3836" w:rsidP="001D5191">
      <w:pPr>
        <w:pStyle w:val="Textpoznpodarou"/>
      </w:pPr>
      <w:r>
        <w:rPr>
          <w:rStyle w:val="Znakapoznpodarou"/>
        </w:rPr>
        <w:footnoteRef/>
      </w:r>
      <w:r>
        <w:t xml:space="preserve"> </w:t>
      </w:r>
      <w:r>
        <w:tab/>
        <w:t xml:space="preserve">Dle statistiky nehodovosti PČR bylo v ČR při dopravních nehodách v období let 2011–2022 těžce zraněno celkem 28 821 osob, z toho na silnicích nižších tříd to </w:t>
      </w:r>
      <w:r w:rsidRPr="00B74C87">
        <w:t>bylo 20 916 osob.</w:t>
      </w:r>
    </w:p>
  </w:footnote>
  <w:footnote w:id="35">
    <w:p w14:paraId="18149B5C" w14:textId="77777777" w:rsidR="006F3836" w:rsidRDefault="006F3836" w:rsidP="001D5191">
      <w:pPr>
        <w:pStyle w:val="Textpoznpodarou"/>
      </w:pPr>
      <w:r w:rsidRPr="00B74C87">
        <w:rPr>
          <w:rStyle w:val="Znakapoznpodarou"/>
        </w:rPr>
        <w:footnoteRef/>
      </w:r>
      <w:r w:rsidRPr="00B74C87">
        <w:t xml:space="preserve"> </w:t>
      </w:r>
      <w:r>
        <w:tab/>
      </w:r>
      <w:r w:rsidRPr="00B74C87">
        <w:t>Usnesení vlády České republiky ze dne 10. srpna 2011 č. 599</w:t>
      </w:r>
      <w:r>
        <w:t>,</w:t>
      </w:r>
      <w:r w:rsidRPr="00B74C87">
        <w:t xml:space="preserve"> </w:t>
      </w:r>
      <w:r w:rsidRPr="002C7C06">
        <w:rPr>
          <w:i/>
        </w:rPr>
        <w:t>o Národní strategii bezpečnosti silničního provozu na období let 2011 až 2020</w:t>
      </w:r>
      <w:r w:rsidRPr="00B74C87">
        <w:t>; usnesení vlády České republiky ze dne 27. února 2017 č. 160</w:t>
      </w:r>
      <w:r>
        <w:t>,</w:t>
      </w:r>
      <w:r w:rsidRPr="00B74C87">
        <w:t xml:space="preserve"> </w:t>
      </w:r>
      <w:r w:rsidRPr="002C7C06">
        <w:rPr>
          <w:i/>
        </w:rPr>
        <w:t>o Revizi a aktualizaci Národní strategie bezpečnosti silničního provozu na období let 2011 až 2020 s platností od roku 2017</w:t>
      </w:r>
      <w:r w:rsidRPr="00B74C87">
        <w:t>; usnesení vlády České republiky ze dne 4. ledna 2021 č. 8</w:t>
      </w:r>
      <w:r>
        <w:t>,</w:t>
      </w:r>
      <w:r w:rsidRPr="00B74C87">
        <w:t xml:space="preserve"> </w:t>
      </w:r>
      <w:r w:rsidRPr="002C7C06">
        <w:rPr>
          <w:i/>
        </w:rPr>
        <w:t>o Strategii BESIP 2021–2030</w:t>
      </w:r>
      <w:r w:rsidRPr="00B74C87">
        <w:t>; usnesení vlády České republiky ze dne 12. dubna 2023 č. 255</w:t>
      </w:r>
      <w:r>
        <w:t>,</w:t>
      </w:r>
      <w:r w:rsidRPr="00B74C87">
        <w:t xml:space="preserve"> </w:t>
      </w:r>
      <w:r w:rsidRPr="002C7C06">
        <w:rPr>
          <w:i/>
        </w:rPr>
        <w:t>o Strategii BESIP 2021–2030</w:t>
      </w:r>
      <w:r w:rsidRPr="00B74C87">
        <w:t>.</w:t>
      </w:r>
    </w:p>
  </w:footnote>
  <w:footnote w:id="36">
    <w:p w14:paraId="6998C873" w14:textId="77777777" w:rsidR="006F3836" w:rsidRDefault="006F3836" w:rsidP="001D5191">
      <w:pPr>
        <w:pStyle w:val="Textpoznpodarou"/>
      </w:pPr>
      <w:r w:rsidRPr="00C71F62">
        <w:rPr>
          <w:rStyle w:val="Znakapoznpodarou"/>
        </w:rPr>
        <w:footnoteRef/>
      </w:r>
      <w:r w:rsidRPr="00C71F62">
        <w:t xml:space="preserve"> </w:t>
      </w:r>
      <w:r>
        <w:tab/>
      </w:r>
      <w:r w:rsidRPr="00C71F62">
        <w:t xml:space="preserve">Údaje o vývoji počtu usmrcených a těžce zraněných osob za 2. čtvrtletí 2023 získal NKÚ po skončení kontrolní akce z veřejně dostupného zdroje </w:t>
      </w:r>
      <w:r>
        <w:t>– ze statistiky nehodovosti PČR</w:t>
      </w:r>
      <w:r w:rsidRPr="00C71F62">
        <w:t xml:space="preserve"> (</w:t>
      </w:r>
      <w:r w:rsidRPr="00030FDF">
        <w:t>viz odst. 2.1).</w:t>
      </w:r>
      <w:r>
        <w:t xml:space="preserve"> </w:t>
      </w:r>
    </w:p>
  </w:footnote>
  <w:footnote w:id="37">
    <w:p w14:paraId="254ECE2D" w14:textId="77777777" w:rsidR="006F3836" w:rsidRDefault="006F3836" w:rsidP="001D5191">
      <w:pPr>
        <w:pStyle w:val="Textpoznpodarou"/>
      </w:pPr>
      <w:r>
        <w:rPr>
          <w:rStyle w:val="Znakapoznpodarou"/>
        </w:rPr>
        <w:footnoteRef/>
      </w:r>
      <w:r>
        <w:t xml:space="preserve"> </w:t>
      </w:r>
      <w:r>
        <w:tab/>
        <w:t>V roce 2020 sice došlo k ještě výraznějšímu snížení počtu osob usmrcených a těžce zraněných při dopravních nehodách, nicméně s ohledem na pandemii covidu-19 nelze údaje roku 2020 považovat pro účely srovnání za zcela objektivní, s plnou vypovídací hodnotou</w:t>
      </w:r>
      <w:r w:rsidRPr="007E6EF5">
        <w:t>.</w:t>
      </w:r>
    </w:p>
  </w:footnote>
  <w:footnote w:id="38">
    <w:p w14:paraId="5B486B7D" w14:textId="77777777" w:rsidR="006F3836" w:rsidRDefault="006F3836" w:rsidP="001D5191">
      <w:pPr>
        <w:pStyle w:val="Textpoznpodarou"/>
      </w:pPr>
      <w:r>
        <w:rPr>
          <w:rStyle w:val="Znakapoznpodarou"/>
        </w:rPr>
        <w:footnoteRef/>
      </w:r>
      <w:r>
        <w:t xml:space="preserve"> </w:t>
      </w:r>
      <w:r>
        <w:tab/>
      </w:r>
      <w:r w:rsidRPr="009E7923">
        <w:t xml:space="preserve">Dle uvedeného ustanovení zákona č. 218/2000 Sb., o rozpočtových pravidlech a o změně některých souvisejících zákonů (rozpočtová pravidla), správce </w:t>
      </w:r>
      <w:r>
        <w:t xml:space="preserve">rozpočtové </w:t>
      </w:r>
      <w:r w:rsidRPr="009E7923">
        <w:t>kapitoly soustavně sleduje a</w:t>
      </w:r>
      <w:r>
        <w:t xml:space="preserve"> </w:t>
      </w:r>
      <w:r w:rsidRPr="009E7923">
        <w:t>vyhodnocuje hospodárnost, efektivnost a účelnost vynakládání výdajů ve své kapitole.</w:t>
      </w:r>
    </w:p>
  </w:footnote>
  <w:footnote w:id="39">
    <w:p w14:paraId="04507DC5" w14:textId="77777777" w:rsidR="006F3836" w:rsidRDefault="006F3836" w:rsidP="001D5191">
      <w:pPr>
        <w:pStyle w:val="Textpoznpodarou"/>
      </w:pPr>
      <w:r>
        <w:rPr>
          <w:rStyle w:val="Znakapoznpodarou"/>
        </w:rPr>
        <w:footnoteRef/>
      </w:r>
      <w:r>
        <w:t xml:space="preserve"> </w:t>
      </w:r>
      <w:r>
        <w:tab/>
        <w:t xml:space="preserve">Strategie BESIP 2030, bod 5.1.3. </w:t>
      </w:r>
      <w:r w:rsidRPr="002C7C06">
        <w:rPr>
          <w:i/>
        </w:rPr>
        <w:t>Ochranné vybavení</w:t>
      </w:r>
      <w:r>
        <w:t xml:space="preserve"> a příloha č. 2 </w:t>
      </w:r>
      <w:r w:rsidRPr="002C7C06">
        <w:rPr>
          <w:i/>
        </w:rPr>
        <w:t>Analytické podklady ke klíčovým ukazatelům</w:t>
      </w:r>
      <w:r>
        <w:t xml:space="preserve">, bod 4.1.2 </w:t>
      </w:r>
      <w:r w:rsidRPr="002C7C06">
        <w:rPr>
          <w:i/>
        </w:rPr>
        <w:t>Zranitelní účastníci</w:t>
      </w:r>
      <w:r>
        <w:t>.</w:t>
      </w:r>
    </w:p>
  </w:footnote>
  <w:footnote w:id="40">
    <w:p w14:paraId="1EF59C80" w14:textId="618EF017" w:rsidR="006F3836" w:rsidRDefault="006F3836" w:rsidP="001D5191">
      <w:pPr>
        <w:pStyle w:val="Textpoznpodarou"/>
      </w:pPr>
      <w:r>
        <w:rPr>
          <w:rStyle w:val="Znakapoznpodarou"/>
        </w:rPr>
        <w:footnoteRef/>
      </w:r>
      <w:r>
        <w:t xml:space="preserve"> </w:t>
      </w:r>
      <w:r>
        <w:tab/>
      </w:r>
      <w:r w:rsidRPr="007F72D0">
        <w:rPr>
          <w:i/>
        </w:rPr>
        <w:t>Národní strategie bezpečnosti silničního provozu 2011–2020</w:t>
      </w:r>
      <w:r>
        <w:t xml:space="preserve"> </w:t>
      </w:r>
      <w:r w:rsidRPr="007F72D0">
        <w:t>–</w:t>
      </w:r>
      <w:r>
        <w:t xml:space="preserve"> </w:t>
      </w:r>
      <w:r w:rsidRPr="007B5F72">
        <w:rPr>
          <w:i/>
        </w:rPr>
        <w:t>Informace o plnění v</w:t>
      </w:r>
      <w:r>
        <w:rPr>
          <w:i/>
        </w:rPr>
        <w:t xml:space="preserve"> </w:t>
      </w:r>
      <w:r w:rsidRPr="007B5F72">
        <w:rPr>
          <w:i/>
        </w:rPr>
        <w:t>roce 2020</w:t>
      </w:r>
      <w:r w:rsidRPr="003C5ACC">
        <w:t xml:space="preserve"> </w:t>
      </w:r>
      <w:r>
        <w:t xml:space="preserve">včetně </w:t>
      </w:r>
      <w:r>
        <w:br/>
        <w:t>p</w:t>
      </w:r>
      <w:r w:rsidRPr="003C5ACC">
        <w:t xml:space="preserve">řílohy č. 1: </w:t>
      </w:r>
      <w:r w:rsidRPr="007B5F72">
        <w:rPr>
          <w:i/>
        </w:rPr>
        <w:t>Plnění Akčního programu odpovědnými subjekty</w:t>
      </w:r>
      <w:r w:rsidRPr="003C5ACC">
        <w:t>.</w:t>
      </w:r>
    </w:p>
  </w:footnote>
  <w:footnote w:id="41">
    <w:p w14:paraId="4F819B3D" w14:textId="77777777" w:rsidR="006F3836" w:rsidRDefault="006F3836" w:rsidP="001D5191">
      <w:pPr>
        <w:pStyle w:val="Textpoznpodarou"/>
      </w:pPr>
      <w:r>
        <w:rPr>
          <w:rStyle w:val="Znakapoznpodarou"/>
        </w:rPr>
        <w:footnoteRef/>
      </w:r>
      <w:r>
        <w:t xml:space="preserve"> </w:t>
      </w:r>
      <w:r>
        <w:tab/>
      </w:r>
      <w:r w:rsidRPr="00D84FD4">
        <w:rPr>
          <w:rFonts w:eastAsiaTheme="minorEastAsia"/>
          <w:kern w:val="24"/>
        </w:rPr>
        <w:t xml:space="preserve">Smyslem </w:t>
      </w:r>
      <w:r>
        <w:t>promo</w:t>
      </w:r>
      <w:r w:rsidRPr="00D84FD4">
        <w:t>akcí, resp. prezentačních akcí je preventivně působit na cílové skupiny, propagovat a</w:t>
      </w:r>
      <w:r>
        <w:t> </w:t>
      </w:r>
      <w:r w:rsidRPr="00D84FD4">
        <w:t>podporovat bezpečnost silničního provozu a prezentovat činnosti MD v oblasti BESIP.</w:t>
      </w:r>
    </w:p>
  </w:footnote>
  <w:footnote w:id="42">
    <w:p w14:paraId="3A2D4A9A" w14:textId="2617C7B3" w:rsidR="006F3836" w:rsidRDefault="006F3836" w:rsidP="001D5191">
      <w:pPr>
        <w:pStyle w:val="Textpoznpodarou"/>
      </w:pPr>
      <w:r>
        <w:rPr>
          <w:rStyle w:val="Znakapoznpodarou"/>
        </w:rPr>
        <w:footnoteRef/>
      </w:r>
      <w:r>
        <w:t xml:space="preserve"> </w:t>
      </w:r>
      <w:r>
        <w:tab/>
        <w:t xml:space="preserve">Jednalo se o prostředky programového financování na akci identifikační číslo 127V063000002 </w:t>
      </w:r>
      <w:r>
        <w:br/>
        <w:t>„</w:t>
      </w:r>
      <w:r w:rsidRPr="002C7C06">
        <w:rPr>
          <w:i/>
        </w:rPr>
        <w:t xml:space="preserve">CSPSD </w:t>
      </w:r>
      <w:r>
        <w:rPr>
          <w:i/>
        </w:rPr>
        <w:t>–</w:t>
      </w:r>
      <w:r w:rsidRPr="002C7C06">
        <w:rPr>
          <w:i/>
        </w:rPr>
        <w:t xml:space="preserve"> Kampaň BESIP 13 min</w:t>
      </w:r>
      <w:r>
        <w:t>“. Celkově uhrazená částka činila 3 691 952 Kč.</w:t>
      </w:r>
    </w:p>
  </w:footnote>
  <w:footnote w:id="43">
    <w:p w14:paraId="7693CECF" w14:textId="77777777" w:rsidR="006F3836" w:rsidRDefault="006F3836" w:rsidP="001D5191">
      <w:pPr>
        <w:pStyle w:val="Textpoznpodarou"/>
      </w:pPr>
      <w:r>
        <w:rPr>
          <w:rStyle w:val="Znakapoznpodarou"/>
        </w:rPr>
        <w:footnoteRef/>
      </w:r>
      <w:r>
        <w:t xml:space="preserve"> </w:t>
      </w:r>
      <w:r>
        <w:tab/>
        <w:t>Zákon č. 134/2016 Sb., o zadávání veřejných zakázek.</w:t>
      </w:r>
    </w:p>
  </w:footnote>
  <w:footnote w:id="44">
    <w:p w14:paraId="1F71C560" w14:textId="77777777" w:rsidR="006F3836" w:rsidRDefault="006F3836" w:rsidP="001D5191">
      <w:pPr>
        <w:pStyle w:val="Textpoznpodarou"/>
      </w:pPr>
      <w:r>
        <w:rPr>
          <w:rStyle w:val="Znakapoznpodarou"/>
        </w:rPr>
        <w:footnoteRef/>
      </w:r>
      <w:r>
        <w:t xml:space="preserve"> </w:t>
      </w:r>
      <w:r>
        <w:tab/>
      </w:r>
      <w:r>
        <w:rPr>
          <w:iCs/>
        </w:rPr>
        <w:t>V přepočtu na jeden den akce činilo toto navýšení 16 389,45 Kč vč. DPH. Z</w:t>
      </w:r>
      <w:r>
        <w:t> toho 14 483,70 Kč vč. DPH činilo navýšení ceny za zajištění prezentační akce BESIP Teamem a 1 905,75 Kč vč. DPH navýšení ceny za obsluhu otočného simulátoru.</w:t>
      </w:r>
    </w:p>
  </w:footnote>
  <w:footnote w:id="45">
    <w:p w14:paraId="6AADB62F" w14:textId="77777777" w:rsidR="006F3836" w:rsidRDefault="006F3836" w:rsidP="001D5191">
      <w:pPr>
        <w:pStyle w:val="Textpoznpodarou"/>
      </w:pPr>
      <w:r>
        <w:rPr>
          <w:rStyle w:val="Znakapoznpodarou"/>
        </w:rPr>
        <w:footnoteRef/>
      </w:r>
      <w:r>
        <w:t xml:space="preserve"> </w:t>
      </w:r>
      <w:r>
        <w:tab/>
        <w:t>Zákon č. 13/1997 Sb., o pozemních komunikacích.</w:t>
      </w:r>
    </w:p>
  </w:footnote>
  <w:footnote w:id="46">
    <w:p w14:paraId="25331FC3" w14:textId="77777777" w:rsidR="006F3836" w:rsidRDefault="006F3836" w:rsidP="001D5191">
      <w:pPr>
        <w:pStyle w:val="Textpoznpodarou"/>
      </w:pPr>
      <w:r>
        <w:rPr>
          <w:rStyle w:val="Znakapoznpodarou"/>
        </w:rPr>
        <w:footnoteRef/>
      </w:r>
      <w:r>
        <w:t xml:space="preserve"> </w:t>
      </w:r>
      <w:r>
        <w:tab/>
        <w:t>Svislé dopravní značky „IP22 – Stop – protisměr“ a „B2 – Zákaz vjezdu všech vozidel“ a vodorovné dopravní značky „V9a – Směrové šipky“.</w:t>
      </w:r>
    </w:p>
  </w:footnote>
  <w:footnote w:id="47">
    <w:p w14:paraId="35564AE4" w14:textId="77777777" w:rsidR="006F3836" w:rsidRDefault="006F3836" w:rsidP="001D5191">
      <w:pPr>
        <w:pStyle w:val="Textpoznpodarou"/>
      </w:pPr>
      <w:r>
        <w:rPr>
          <w:rStyle w:val="Znakapoznpodarou"/>
        </w:rPr>
        <w:footnoteRef/>
      </w:r>
      <w:r>
        <w:t xml:space="preserve"> </w:t>
      </w:r>
      <w:r>
        <w:tab/>
        <w:t xml:space="preserve">Vyhláška č. 294/2015 Sb., </w:t>
      </w:r>
      <w:r w:rsidRPr="00D45D56">
        <w:t>kterou se provádějí pravidla provozu na pozemních komunikacích</w:t>
      </w:r>
      <w:r>
        <w:t>.</w:t>
      </w:r>
    </w:p>
  </w:footnote>
  <w:footnote w:id="48">
    <w:p w14:paraId="4A83D881" w14:textId="77777777" w:rsidR="006F3836" w:rsidRDefault="006F3836" w:rsidP="001D5191">
      <w:pPr>
        <w:pStyle w:val="Textpoznpodarou"/>
      </w:pPr>
      <w:r>
        <w:rPr>
          <w:rStyle w:val="Znakapoznpodarou"/>
        </w:rPr>
        <w:footnoteRef/>
      </w:r>
      <w:r>
        <w:t xml:space="preserve"> </w:t>
      </w:r>
      <w:r>
        <w:tab/>
      </w:r>
      <w:r w:rsidRPr="002C7C06">
        <w:rPr>
          <w:i/>
        </w:rPr>
        <w:t>Hloubková analýza silničních dopravních nehod</w:t>
      </w:r>
      <w:r>
        <w:t xml:space="preserve">. Centrum dopravního výzkumu, v. v. i., 2016; dostupné z: </w:t>
      </w:r>
      <w:hyperlink r:id="rId4" w:history="1">
        <w:r w:rsidRPr="006F6636">
          <w:rPr>
            <w:rStyle w:val="Hypertextovodkaz"/>
            <w:rFonts w:cstheme="minorHAnsi"/>
          </w:rPr>
          <w:t>https://www.czrso.cz/clanek/hloubkova-analyza-silnicnich-dopravnich-nehod-hlavni-priciny-vzniku-nehod/?id=1654</w:t>
        </w:r>
      </w:hyperlink>
      <w:r w:rsidRPr="001147D9">
        <w:rPr>
          <w:rStyle w:val="Hypertextovodkaz"/>
          <w:rFonts w:cstheme="minorHAnsi"/>
          <w:color w:val="auto"/>
          <w:u w:val="none"/>
        </w:rPr>
        <w:t>.</w:t>
      </w:r>
    </w:p>
  </w:footnote>
  <w:footnote w:id="49">
    <w:p w14:paraId="3F15B83C" w14:textId="77777777" w:rsidR="006F3836" w:rsidRDefault="006F3836" w:rsidP="001D5191">
      <w:pPr>
        <w:pStyle w:val="Textpoznpodarou"/>
      </w:pPr>
      <w:r>
        <w:rPr>
          <w:rStyle w:val="Znakapoznpodarou"/>
        </w:rPr>
        <w:footnoteRef/>
      </w:r>
      <w:r>
        <w:t xml:space="preserve"> </w:t>
      </w:r>
      <w:r>
        <w:tab/>
        <w:t xml:space="preserve">Ustanovení § 18g odst. 1 a 2 zákona č. </w:t>
      </w:r>
      <w:r w:rsidRPr="00FC32F2">
        <w:t>13/1997 Sb.</w:t>
      </w:r>
    </w:p>
  </w:footnote>
  <w:footnote w:id="50">
    <w:p w14:paraId="3F49BACD" w14:textId="77777777" w:rsidR="006F3836" w:rsidRDefault="006F3836" w:rsidP="001D5191">
      <w:pPr>
        <w:pStyle w:val="Textpoznpodarou"/>
      </w:pPr>
      <w:r w:rsidRPr="00E23B6C">
        <w:rPr>
          <w:rStyle w:val="Znakapoznpodarou"/>
        </w:rPr>
        <w:footnoteRef/>
      </w:r>
      <w:r w:rsidRPr="00E23B6C">
        <w:t xml:space="preserve"> </w:t>
      </w:r>
      <w:r>
        <w:tab/>
      </w:r>
      <w:r w:rsidRPr="00E23B6C">
        <w:t xml:space="preserve">CEBASS neboli </w:t>
      </w:r>
      <w:r w:rsidRPr="002C7C06">
        <w:rPr>
          <w:i/>
        </w:rPr>
        <w:t>Centrální evidence bezpečnostních analýz silniční sítě</w:t>
      </w:r>
      <w:r w:rsidRPr="00E23B6C">
        <w:t xml:space="preserve"> je </w:t>
      </w:r>
      <w:r>
        <w:t xml:space="preserve">provozní informační </w:t>
      </w:r>
      <w:r w:rsidRPr="00E23B6C">
        <w:t>systém, který slouží mj. pro potřeby zpracování a řízení dat získaných při bezpečnostních inspekcích.</w:t>
      </w:r>
    </w:p>
  </w:footnote>
  <w:footnote w:id="51">
    <w:p w14:paraId="0A901E9F" w14:textId="77777777" w:rsidR="006F3836" w:rsidRDefault="006F3836" w:rsidP="001D5191">
      <w:pPr>
        <w:pStyle w:val="Textpoznpodarou"/>
      </w:pPr>
      <w:r>
        <w:rPr>
          <w:rStyle w:val="Znakapoznpodarou"/>
        </w:rPr>
        <w:footnoteRef/>
      </w:r>
      <w:r>
        <w:t xml:space="preserve"> </w:t>
      </w:r>
      <w:r>
        <w:tab/>
        <w:t xml:space="preserve">Jedná se o poměr počtu usmrcených osob (zemřelých následkem dopravní nehody do 30 dnů po dopravní nehodě) a počtu obyvatel jednotlivých zemí k datu 31. 12. 2021. </w:t>
      </w:r>
    </w:p>
    <w:p w14:paraId="55F36C90" w14:textId="77777777" w:rsidR="006F3836" w:rsidRDefault="006F3836" w:rsidP="00666D1C">
      <w:pPr>
        <w:pStyle w:val="Textpoznpodarou"/>
        <w:ind w:firstLine="0"/>
      </w:pPr>
      <w:r w:rsidRPr="00C208CC">
        <w:t>Pro potřeby mezinárodních porovnání se v souladu s dohodnutým mezinárodním standardem hodnotí počet zemřelých do 30 dnů od data nehody – viz</w:t>
      </w:r>
      <w:r>
        <w:t xml:space="preserve"> Revize NSBSP 2020, bod 1.4 </w:t>
      </w:r>
      <w:r w:rsidRPr="002C7C06">
        <w:rPr>
          <w:i/>
        </w:rPr>
        <w:t>Porovnání vývoje nehodovosti v ČR s vývojem v zahraničí</w:t>
      </w:r>
      <w:r>
        <w:t>.</w:t>
      </w:r>
    </w:p>
  </w:footnote>
  <w:footnote w:id="52">
    <w:p w14:paraId="7698AFFE" w14:textId="77777777" w:rsidR="006F3836" w:rsidRPr="00DF1D12" w:rsidRDefault="006F3836" w:rsidP="00DF1D12">
      <w:pPr>
        <w:ind w:left="284" w:hanging="284"/>
        <w:jc w:val="both"/>
        <w:rPr>
          <w:sz w:val="20"/>
          <w:szCs w:val="20"/>
        </w:rPr>
      </w:pPr>
      <w:r w:rsidRPr="002C7C06">
        <w:rPr>
          <w:rStyle w:val="Znakapoznpodarou"/>
          <w:sz w:val="20"/>
          <w:szCs w:val="20"/>
        </w:rPr>
        <w:footnoteRef/>
      </w:r>
      <w:r w:rsidRPr="001147D9">
        <w:rPr>
          <w:sz w:val="20"/>
          <w:szCs w:val="20"/>
        </w:rPr>
        <w:t xml:space="preserve"> </w:t>
      </w:r>
      <w:r w:rsidRPr="001147D9">
        <w:rPr>
          <w:sz w:val="20"/>
          <w:szCs w:val="20"/>
        </w:rPr>
        <w:tab/>
        <w:t xml:space="preserve">Rozdíl mezi vyššími náklady CSPSD (tj. vyšším čerpáním příspěvku) a poskytnutým příspěvkem zřizovatele v roce 2021 je součástí celkového rozdílu mezi příspěvkem </w:t>
      </w:r>
      <w:r>
        <w:rPr>
          <w:sz w:val="20"/>
          <w:szCs w:val="20"/>
        </w:rPr>
        <w:t xml:space="preserve">od MD </w:t>
      </w:r>
      <w:r w:rsidRPr="001147D9">
        <w:rPr>
          <w:sz w:val="20"/>
          <w:szCs w:val="20"/>
        </w:rPr>
        <w:t xml:space="preserve">a náklady vykázanými </w:t>
      </w:r>
      <w:r w:rsidRPr="003B6775">
        <w:rPr>
          <w:sz w:val="20"/>
          <w:szCs w:val="20"/>
        </w:rPr>
        <w:t>Centr</w:t>
      </w:r>
      <w:r>
        <w:rPr>
          <w:sz w:val="20"/>
          <w:szCs w:val="20"/>
        </w:rPr>
        <w:t>em</w:t>
      </w:r>
      <w:r w:rsidRPr="003B6775">
        <w:rPr>
          <w:sz w:val="20"/>
          <w:szCs w:val="20"/>
        </w:rPr>
        <w:t xml:space="preserve"> služeb pro silniční dopravu</w:t>
      </w:r>
      <w:r w:rsidRPr="003B6775" w:rsidDel="003B6775">
        <w:rPr>
          <w:sz w:val="20"/>
          <w:szCs w:val="20"/>
        </w:rPr>
        <w:t xml:space="preserve"> </w:t>
      </w:r>
      <w:r w:rsidRPr="001147D9">
        <w:rPr>
          <w:sz w:val="20"/>
          <w:szCs w:val="20"/>
        </w:rPr>
        <w:t>za kontrolované období. CSPSD tento rozdíl odůvodnilo „časovým hlediskem“, tj. rozdílem mezi datem realizace nákladů a skutečným použitím poskytnutého příspěvku.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196A5" w14:textId="77777777" w:rsidR="006F3836" w:rsidRDefault="006F3836" w:rsidP="002365FC">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78C63" w14:textId="77777777" w:rsidR="006F3836" w:rsidRDefault="006F3836" w:rsidP="00964398">
    <w:pPr>
      <w:pStyle w:val="Zhlav"/>
      <w:jc w:val="right"/>
    </w:pPr>
    <w:r>
      <w:t>Návrh KZ do PŘ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0DCD"/>
    <w:multiLevelType w:val="hybridMultilevel"/>
    <w:tmpl w:val="C3088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7861CA"/>
    <w:multiLevelType w:val="hybridMultilevel"/>
    <w:tmpl w:val="6BD4010A"/>
    <w:lvl w:ilvl="0" w:tplc="664017B2">
      <w:start w:val="1"/>
      <w:numFmt w:val="upperLetter"/>
      <w:pStyle w:val="PodkapitolystiIVKZ"/>
      <w:lvlText w:val="%1."/>
      <w:lvlJc w:val="left"/>
      <w:pPr>
        <w:ind w:left="4897" w:hanging="360"/>
      </w:pPr>
      <w:rPr>
        <w:rFonts w:hint="default"/>
      </w:rPr>
    </w:lvl>
    <w:lvl w:ilvl="1" w:tplc="52305CEE" w:tentative="1">
      <w:start w:val="1"/>
      <w:numFmt w:val="lowerLetter"/>
      <w:lvlText w:val="%2."/>
      <w:lvlJc w:val="left"/>
      <w:pPr>
        <w:ind w:left="1440" w:hanging="360"/>
      </w:pPr>
    </w:lvl>
    <w:lvl w:ilvl="2" w:tplc="73AE746A" w:tentative="1">
      <w:start w:val="1"/>
      <w:numFmt w:val="lowerRoman"/>
      <w:lvlText w:val="%3."/>
      <w:lvlJc w:val="right"/>
      <w:pPr>
        <w:ind w:left="2160" w:hanging="180"/>
      </w:pPr>
    </w:lvl>
    <w:lvl w:ilvl="3" w:tplc="70944E9C" w:tentative="1">
      <w:start w:val="1"/>
      <w:numFmt w:val="decimal"/>
      <w:lvlText w:val="%4."/>
      <w:lvlJc w:val="left"/>
      <w:pPr>
        <w:ind w:left="2880" w:hanging="360"/>
      </w:pPr>
    </w:lvl>
    <w:lvl w:ilvl="4" w:tplc="40D0FEC0" w:tentative="1">
      <w:start w:val="1"/>
      <w:numFmt w:val="lowerLetter"/>
      <w:lvlText w:val="%5."/>
      <w:lvlJc w:val="left"/>
      <w:pPr>
        <w:ind w:left="3600" w:hanging="360"/>
      </w:pPr>
    </w:lvl>
    <w:lvl w:ilvl="5" w:tplc="D0B418E0" w:tentative="1">
      <w:start w:val="1"/>
      <w:numFmt w:val="lowerRoman"/>
      <w:lvlText w:val="%6."/>
      <w:lvlJc w:val="right"/>
      <w:pPr>
        <w:ind w:left="4320" w:hanging="180"/>
      </w:pPr>
    </w:lvl>
    <w:lvl w:ilvl="6" w:tplc="9E6AE2AC" w:tentative="1">
      <w:start w:val="1"/>
      <w:numFmt w:val="decimal"/>
      <w:lvlText w:val="%7."/>
      <w:lvlJc w:val="left"/>
      <w:pPr>
        <w:ind w:left="5040" w:hanging="360"/>
      </w:pPr>
    </w:lvl>
    <w:lvl w:ilvl="7" w:tplc="8D2405E2" w:tentative="1">
      <w:start w:val="1"/>
      <w:numFmt w:val="lowerLetter"/>
      <w:lvlText w:val="%8."/>
      <w:lvlJc w:val="left"/>
      <w:pPr>
        <w:ind w:left="5760" w:hanging="360"/>
      </w:pPr>
    </w:lvl>
    <w:lvl w:ilvl="8" w:tplc="03308A84" w:tentative="1">
      <w:start w:val="1"/>
      <w:numFmt w:val="lowerRoman"/>
      <w:lvlText w:val="%9."/>
      <w:lvlJc w:val="right"/>
      <w:pPr>
        <w:ind w:left="6480" w:hanging="180"/>
      </w:pPr>
    </w:lvl>
  </w:abstractNum>
  <w:abstractNum w:abstractNumId="2" w15:restartNumberingAfterBreak="0">
    <w:nsid w:val="0BF01E66"/>
    <w:multiLevelType w:val="hybridMultilevel"/>
    <w:tmpl w:val="E9226C38"/>
    <w:lvl w:ilvl="0" w:tplc="6E7613C8">
      <w:start w:val="1"/>
      <w:numFmt w:val="bullet"/>
      <w:lvlText w:val=""/>
      <w:lvlJc w:val="left"/>
      <w:pPr>
        <w:tabs>
          <w:tab w:val="num" w:pos="720"/>
        </w:tabs>
        <w:ind w:left="720" w:hanging="360"/>
      </w:pPr>
      <w:rPr>
        <w:rFonts w:ascii="Symbol" w:hAnsi="Symbol" w:hint="default"/>
      </w:rPr>
    </w:lvl>
    <w:lvl w:ilvl="1" w:tplc="1E5AD0EA" w:tentative="1">
      <w:start w:val="1"/>
      <w:numFmt w:val="bullet"/>
      <w:lvlText w:val=""/>
      <w:lvlJc w:val="left"/>
      <w:pPr>
        <w:tabs>
          <w:tab w:val="num" w:pos="1440"/>
        </w:tabs>
        <w:ind w:left="1440" w:hanging="360"/>
      </w:pPr>
      <w:rPr>
        <w:rFonts w:ascii="Symbol" w:hAnsi="Symbol" w:hint="default"/>
      </w:rPr>
    </w:lvl>
    <w:lvl w:ilvl="2" w:tplc="2DD80774" w:tentative="1">
      <w:start w:val="1"/>
      <w:numFmt w:val="bullet"/>
      <w:lvlText w:val=""/>
      <w:lvlJc w:val="left"/>
      <w:pPr>
        <w:tabs>
          <w:tab w:val="num" w:pos="2160"/>
        </w:tabs>
        <w:ind w:left="2160" w:hanging="360"/>
      </w:pPr>
      <w:rPr>
        <w:rFonts w:ascii="Symbol" w:hAnsi="Symbol" w:hint="default"/>
      </w:rPr>
    </w:lvl>
    <w:lvl w:ilvl="3" w:tplc="2F2E4A56" w:tentative="1">
      <w:start w:val="1"/>
      <w:numFmt w:val="bullet"/>
      <w:lvlText w:val=""/>
      <w:lvlJc w:val="left"/>
      <w:pPr>
        <w:tabs>
          <w:tab w:val="num" w:pos="2880"/>
        </w:tabs>
        <w:ind w:left="2880" w:hanging="360"/>
      </w:pPr>
      <w:rPr>
        <w:rFonts w:ascii="Symbol" w:hAnsi="Symbol" w:hint="default"/>
      </w:rPr>
    </w:lvl>
    <w:lvl w:ilvl="4" w:tplc="23A4D4DC" w:tentative="1">
      <w:start w:val="1"/>
      <w:numFmt w:val="bullet"/>
      <w:lvlText w:val=""/>
      <w:lvlJc w:val="left"/>
      <w:pPr>
        <w:tabs>
          <w:tab w:val="num" w:pos="3600"/>
        </w:tabs>
        <w:ind w:left="3600" w:hanging="360"/>
      </w:pPr>
      <w:rPr>
        <w:rFonts w:ascii="Symbol" w:hAnsi="Symbol" w:hint="default"/>
      </w:rPr>
    </w:lvl>
    <w:lvl w:ilvl="5" w:tplc="B164C452" w:tentative="1">
      <w:start w:val="1"/>
      <w:numFmt w:val="bullet"/>
      <w:lvlText w:val=""/>
      <w:lvlJc w:val="left"/>
      <w:pPr>
        <w:tabs>
          <w:tab w:val="num" w:pos="4320"/>
        </w:tabs>
        <w:ind w:left="4320" w:hanging="360"/>
      </w:pPr>
      <w:rPr>
        <w:rFonts w:ascii="Symbol" w:hAnsi="Symbol" w:hint="default"/>
      </w:rPr>
    </w:lvl>
    <w:lvl w:ilvl="6" w:tplc="29C25E44" w:tentative="1">
      <w:start w:val="1"/>
      <w:numFmt w:val="bullet"/>
      <w:lvlText w:val=""/>
      <w:lvlJc w:val="left"/>
      <w:pPr>
        <w:tabs>
          <w:tab w:val="num" w:pos="5040"/>
        </w:tabs>
        <w:ind w:left="5040" w:hanging="360"/>
      </w:pPr>
      <w:rPr>
        <w:rFonts w:ascii="Symbol" w:hAnsi="Symbol" w:hint="default"/>
      </w:rPr>
    </w:lvl>
    <w:lvl w:ilvl="7" w:tplc="B71670D8" w:tentative="1">
      <w:start w:val="1"/>
      <w:numFmt w:val="bullet"/>
      <w:lvlText w:val=""/>
      <w:lvlJc w:val="left"/>
      <w:pPr>
        <w:tabs>
          <w:tab w:val="num" w:pos="5760"/>
        </w:tabs>
        <w:ind w:left="5760" w:hanging="360"/>
      </w:pPr>
      <w:rPr>
        <w:rFonts w:ascii="Symbol" w:hAnsi="Symbol" w:hint="default"/>
      </w:rPr>
    </w:lvl>
    <w:lvl w:ilvl="8" w:tplc="81BC83B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DD37FEA"/>
    <w:multiLevelType w:val="hybridMultilevel"/>
    <w:tmpl w:val="8D92A080"/>
    <w:lvl w:ilvl="0" w:tplc="E7D6BC5C">
      <w:start w:val="1"/>
      <w:numFmt w:val="decimal"/>
      <w:pStyle w:val="JK3"/>
      <w:lvlText w:val="3.%1"/>
      <w:lvlJc w:val="left"/>
      <w:pPr>
        <w:ind w:left="786" w:hanging="360"/>
      </w:pPr>
      <w:rPr>
        <w:rFonts w:hint="default"/>
        <w:b/>
      </w:rPr>
    </w:lvl>
    <w:lvl w:ilvl="1" w:tplc="2144B212">
      <w:start w:val="1"/>
      <w:numFmt w:val="lowerLetter"/>
      <w:lvlText w:val="%2."/>
      <w:lvlJc w:val="left"/>
      <w:pPr>
        <w:ind w:left="1440" w:hanging="360"/>
      </w:pPr>
    </w:lvl>
    <w:lvl w:ilvl="2" w:tplc="CB52A3E6" w:tentative="1">
      <w:start w:val="1"/>
      <w:numFmt w:val="lowerRoman"/>
      <w:lvlText w:val="%3."/>
      <w:lvlJc w:val="right"/>
      <w:pPr>
        <w:ind w:left="2160" w:hanging="180"/>
      </w:pPr>
    </w:lvl>
    <w:lvl w:ilvl="3" w:tplc="275E9B34" w:tentative="1">
      <w:start w:val="1"/>
      <w:numFmt w:val="decimal"/>
      <w:lvlText w:val="%4."/>
      <w:lvlJc w:val="left"/>
      <w:pPr>
        <w:ind w:left="2880" w:hanging="360"/>
      </w:pPr>
    </w:lvl>
    <w:lvl w:ilvl="4" w:tplc="956AAE44" w:tentative="1">
      <w:start w:val="1"/>
      <w:numFmt w:val="lowerLetter"/>
      <w:lvlText w:val="%5."/>
      <w:lvlJc w:val="left"/>
      <w:pPr>
        <w:ind w:left="3600" w:hanging="360"/>
      </w:pPr>
    </w:lvl>
    <w:lvl w:ilvl="5" w:tplc="E3502DB4" w:tentative="1">
      <w:start w:val="1"/>
      <w:numFmt w:val="lowerRoman"/>
      <w:lvlText w:val="%6."/>
      <w:lvlJc w:val="right"/>
      <w:pPr>
        <w:ind w:left="4320" w:hanging="180"/>
      </w:pPr>
    </w:lvl>
    <w:lvl w:ilvl="6" w:tplc="A8CAE778" w:tentative="1">
      <w:start w:val="1"/>
      <w:numFmt w:val="decimal"/>
      <w:lvlText w:val="%7."/>
      <w:lvlJc w:val="left"/>
      <w:pPr>
        <w:ind w:left="5040" w:hanging="360"/>
      </w:pPr>
    </w:lvl>
    <w:lvl w:ilvl="7" w:tplc="975C0F7C" w:tentative="1">
      <w:start w:val="1"/>
      <w:numFmt w:val="lowerLetter"/>
      <w:lvlText w:val="%8."/>
      <w:lvlJc w:val="left"/>
      <w:pPr>
        <w:ind w:left="5760" w:hanging="360"/>
      </w:pPr>
    </w:lvl>
    <w:lvl w:ilvl="8" w:tplc="7CFEBFD4" w:tentative="1">
      <w:start w:val="1"/>
      <w:numFmt w:val="lowerRoman"/>
      <w:lvlText w:val="%9."/>
      <w:lvlJc w:val="right"/>
      <w:pPr>
        <w:ind w:left="6480" w:hanging="180"/>
      </w:pPr>
    </w:lvl>
  </w:abstractNum>
  <w:abstractNum w:abstractNumId="4" w15:restartNumberingAfterBreak="0">
    <w:nsid w:val="10274E20"/>
    <w:multiLevelType w:val="hybridMultilevel"/>
    <w:tmpl w:val="B6AA07C0"/>
    <w:lvl w:ilvl="0" w:tplc="021A0734">
      <w:start w:val="1"/>
      <w:numFmt w:val="lowerLetter"/>
      <w:lvlText w:val="%1)"/>
      <w:lvlJc w:val="left"/>
      <w:pPr>
        <w:ind w:left="1080" w:hanging="360"/>
      </w:pPr>
    </w:lvl>
    <w:lvl w:ilvl="1" w:tplc="912CA6D0" w:tentative="1">
      <w:start w:val="1"/>
      <w:numFmt w:val="lowerLetter"/>
      <w:lvlText w:val="%2."/>
      <w:lvlJc w:val="left"/>
      <w:pPr>
        <w:ind w:left="1800" w:hanging="360"/>
      </w:pPr>
    </w:lvl>
    <w:lvl w:ilvl="2" w:tplc="1FFC8EFA" w:tentative="1">
      <w:start w:val="1"/>
      <w:numFmt w:val="lowerRoman"/>
      <w:lvlText w:val="%3."/>
      <w:lvlJc w:val="right"/>
      <w:pPr>
        <w:ind w:left="2520" w:hanging="180"/>
      </w:pPr>
    </w:lvl>
    <w:lvl w:ilvl="3" w:tplc="A2E6E108" w:tentative="1">
      <w:start w:val="1"/>
      <w:numFmt w:val="decimal"/>
      <w:lvlText w:val="%4."/>
      <w:lvlJc w:val="left"/>
      <w:pPr>
        <w:ind w:left="3240" w:hanging="360"/>
      </w:pPr>
    </w:lvl>
    <w:lvl w:ilvl="4" w:tplc="A2A65D88" w:tentative="1">
      <w:start w:val="1"/>
      <w:numFmt w:val="lowerLetter"/>
      <w:lvlText w:val="%5."/>
      <w:lvlJc w:val="left"/>
      <w:pPr>
        <w:ind w:left="3960" w:hanging="360"/>
      </w:pPr>
    </w:lvl>
    <w:lvl w:ilvl="5" w:tplc="C0BA353E" w:tentative="1">
      <w:start w:val="1"/>
      <w:numFmt w:val="lowerRoman"/>
      <w:lvlText w:val="%6."/>
      <w:lvlJc w:val="right"/>
      <w:pPr>
        <w:ind w:left="4680" w:hanging="180"/>
      </w:pPr>
    </w:lvl>
    <w:lvl w:ilvl="6" w:tplc="D33C43B0" w:tentative="1">
      <w:start w:val="1"/>
      <w:numFmt w:val="decimal"/>
      <w:lvlText w:val="%7."/>
      <w:lvlJc w:val="left"/>
      <w:pPr>
        <w:ind w:left="5400" w:hanging="360"/>
      </w:pPr>
    </w:lvl>
    <w:lvl w:ilvl="7" w:tplc="25964CFC" w:tentative="1">
      <w:start w:val="1"/>
      <w:numFmt w:val="lowerLetter"/>
      <w:lvlText w:val="%8."/>
      <w:lvlJc w:val="left"/>
      <w:pPr>
        <w:ind w:left="6120" w:hanging="360"/>
      </w:pPr>
    </w:lvl>
    <w:lvl w:ilvl="8" w:tplc="BC966100" w:tentative="1">
      <w:start w:val="1"/>
      <w:numFmt w:val="lowerRoman"/>
      <w:lvlText w:val="%9."/>
      <w:lvlJc w:val="right"/>
      <w:pPr>
        <w:ind w:left="6840" w:hanging="180"/>
      </w:pPr>
    </w:lvl>
  </w:abstractNum>
  <w:abstractNum w:abstractNumId="5" w15:restartNumberingAfterBreak="0">
    <w:nsid w:val="10C041FE"/>
    <w:multiLevelType w:val="hybridMultilevel"/>
    <w:tmpl w:val="2DA8D42E"/>
    <w:lvl w:ilvl="0" w:tplc="7A3E2986">
      <w:start w:val="1"/>
      <w:numFmt w:val="decimal"/>
      <w:pStyle w:val="JK1"/>
      <w:lvlText w:val="1.%1"/>
      <w:lvlJc w:val="left"/>
      <w:pPr>
        <w:ind w:left="720" w:hanging="360"/>
      </w:pPr>
      <w:rPr>
        <w:rFonts w:hint="default"/>
        <w:b/>
      </w:rPr>
    </w:lvl>
    <w:lvl w:ilvl="1" w:tplc="769A802C" w:tentative="1">
      <w:start w:val="1"/>
      <w:numFmt w:val="lowerLetter"/>
      <w:lvlText w:val="%2."/>
      <w:lvlJc w:val="left"/>
      <w:pPr>
        <w:ind w:left="1440" w:hanging="360"/>
      </w:pPr>
    </w:lvl>
    <w:lvl w:ilvl="2" w:tplc="997C9EA2" w:tentative="1">
      <w:start w:val="1"/>
      <w:numFmt w:val="lowerRoman"/>
      <w:lvlText w:val="%3."/>
      <w:lvlJc w:val="right"/>
      <w:pPr>
        <w:ind w:left="2160" w:hanging="180"/>
      </w:pPr>
    </w:lvl>
    <w:lvl w:ilvl="3" w:tplc="26305932" w:tentative="1">
      <w:start w:val="1"/>
      <w:numFmt w:val="decimal"/>
      <w:lvlText w:val="%4."/>
      <w:lvlJc w:val="left"/>
      <w:pPr>
        <w:ind w:left="2880" w:hanging="360"/>
      </w:pPr>
    </w:lvl>
    <w:lvl w:ilvl="4" w:tplc="4DECECC8" w:tentative="1">
      <w:start w:val="1"/>
      <w:numFmt w:val="lowerLetter"/>
      <w:lvlText w:val="%5."/>
      <w:lvlJc w:val="left"/>
      <w:pPr>
        <w:ind w:left="3600" w:hanging="360"/>
      </w:pPr>
    </w:lvl>
    <w:lvl w:ilvl="5" w:tplc="43907152" w:tentative="1">
      <w:start w:val="1"/>
      <w:numFmt w:val="lowerRoman"/>
      <w:lvlText w:val="%6."/>
      <w:lvlJc w:val="right"/>
      <w:pPr>
        <w:ind w:left="4320" w:hanging="180"/>
      </w:pPr>
    </w:lvl>
    <w:lvl w:ilvl="6" w:tplc="D3FC1648" w:tentative="1">
      <w:start w:val="1"/>
      <w:numFmt w:val="decimal"/>
      <w:lvlText w:val="%7."/>
      <w:lvlJc w:val="left"/>
      <w:pPr>
        <w:ind w:left="5040" w:hanging="360"/>
      </w:pPr>
    </w:lvl>
    <w:lvl w:ilvl="7" w:tplc="4D98577C" w:tentative="1">
      <w:start w:val="1"/>
      <w:numFmt w:val="lowerLetter"/>
      <w:lvlText w:val="%8."/>
      <w:lvlJc w:val="left"/>
      <w:pPr>
        <w:ind w:left="5760" w:hanging="360"/>
      </w:pPr>
    </w:lvl>
    <w:lvl w:ilvl="8" w:tplc="CB60D52A" w:tentative="1">
      <w:start w:val="1"/>
      <w:numFmt w:val="lowerRoman"/>
      <w:lvlText w:val="%9."/>
      <w:lvlJc w:val="right"/>
      <w:pPr>
        <w:ind w:left="6480" w:hanging="180"/>
      </w:pPr>
    </w:lvl>
  </w:abstractNum>
  <w:abstractNum w:abstractNumId="6" w15:restartNumberingAfterBreak="0">
    <w:nsid w:val="29FB46DB"/>
    <w:multiLevelType w:val="multilevel"/>
    <w:tmpl w:val="E43C5A5E"/>
    <w:lvl w:ilvl="0">
      <w:start w:val="2"/>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AD55A06"/>
    <w:multiLevelType w:val="multilevel"/>
    <w:tmpl w:val="E6C47366"/>
    <w:lvl w:ilvl="0">
      <w:start w:val="2"/>
      <w:numFmt w:val="decimal"/>
      <w:lvlText w:val="%1."/>
      <w:lvlJc w:val="left"/>
      <w:pPr>
        <w:ind w:left="480" w:hanging="480"/>
      </w:pPr>
      <w:rPr>
        <w:rFonts w:hint="default"/>
        <w:b/>
      </w:rPr>
    </w:lvl>
    <w:lvl w:ilvl="1">
      <w:start w:val="1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36B4A5E"/>
    <w:multiLevelType w:val="hybridMultilevel"/>
    <w:tmpl w:val="BD469606"/>
    <w:lvl w:ilvl="0" w:tplc="B9F8CDFE">
      <w:start w:val="1"/>
      <w:numFmt w:val="decimal"/>
      <w:pStyle w:val="KPseznamcislo"/>
      <w:lvlText w:val="%1."/>
      <w:lvlJc w:val="left"/>
      <w:pPr>
        <w:ind w:left="1080" w:hanging="360"/>
      </w:pPr>
      <w:rPr>
        <w:b w:val="0"/>
      </w:rPr>
    </w:lvl>
    <w:lvl w:ilvl="1" w:tplc="3620D5D8" w:tentative="1">
      <w:start w:val="1"/>
      <w:numFmt w:val="lowerLetter"/>
      <w:lvlText w:val="%2."/>
      <w:lvlJc w:val="left"/>
      <w:pPr>
        <w:ind w:left="1800" w:hanging="360"/>
      </w:pPr>
    </w:lvl>
    <w:lvl w:ilvl="2" w:tplc="73809020" w:tentative="1">
      <w:start w:val="1"/>
      <w:numFmt w:val="lowerRoman"/>
      <w:lvlText w:val="%3."/>
      <w:lvlJc w:val="right"/>
      <w:pPr>
        <w:ind w:left="2520" w:hanging="180"/>
      </w:pPr>
    </w:lvl>
    <w:lvl w:ilvl="3" w:tplc="AA9A6A8A" w:tentative="1">
      <w:start w:val="1"/>
      <w:numFmt w:val="decimal"/>
      <w:lvlText w:val="%4."/>
      <w:lvlJc w:val="left"/>
      <w:pPr>
        <w:ind w:left="3240" w:hanging="360"/>
      </w:pPr>
    </w:lvl>
    <w:lvl w:ilvl="4" w:tplc="C17A0696" w:tentative="1">
      <w:start w:val="1"/>
      <w:numFmt w:val="lowerLetter"/>
      <w:lvlText w:val="%5."/>
      <w:lvlJc w:val="left"/>
      <w:pPr>
        <w:ind w:left="3960" w:hanging="360"/>
      </w:pPr>
    </w:lvl>
    <w:lvl w:ilvl="5" w:tplc="1298AB04" w:tentative="1">
      <w:start w:val="1"/>
      <w:numFmt w:val="lowerRoman"/>
      <w:lvlText w:val="%6."/>
      <w:lvlJc w:val="right"/>
      <w:pPr>
        <w:ind w:left="4680" w:hanging="180"/>
      </w:pPr>
    </w:lvl>
    <w:lvl w:ilvl="6" w:tplc="2506BF82" w:tentative="1">
      <w:start w:val="1"/>
      <w:numFmt w:val="decimal"/>
      <w:lvlText w:val="%7."/>
      <w:lvlJc w:val="left"/>
      <w:pPr>
        <w:ind w:left="5400" w:hanging="360"/>
      </w:pPr>
    </w:lvl>
    <w:lvl w:ilvl="7" w:tplc="5FD286FA" w:tentative="1">
      <w:start w:val="1"/>
      <w:numFmt w:val="lowerLetter"/>
      <w:lvlText w:val="%8."/>
      <w:lvlJc w:val="left"/>
      <w:pPr>
        <w:ind w:left="6120" w:hanging="360"/>
      </w:pPr>
    </w:lvl>
    <w:lvl w:ilvl="8" w:tplc="B2BE9166" w:tentative="1">
      <w:start w:val="1"/>
      <w:numFmt w:val="lowerRoman"/>
      <w:lvlText w:val="%9."/>
      <w:lvlJc w:val="right"/>
      <w:pPr>
        <w:ind w:left="6840" w:hanging="180"/>
      </w:pPr>
    </w:lvl>
  </w:abstractNum>
  <w:abstractNum w:abstractNumId="9" w15:restartNumberingAfterBreak="0">
    <w:nsid w:val="34875A30"/>
    <w:multiLevelType w:val="hybridMultilevel"/>
    <w:tmpl w:val="8F308FC0"/>
    <w:lvl w:ilvl="0" w:tplc="21AAD954">
      <w:start w:val="1"/>
      <w:numFmt w:val="decimal"/>
      <w:pStyle w:val="JK2"/>
      <w:lvlText w:val="2.%1"/>
      <w:lvlJc w:val="left"/>
      <w:pPr>
        <w:ind w:left="928" w:hanging="360"/>
      </w:pPr>
      <w:rPr>
        <w:rFonts w:hint="default"/>
        <w:b/>
        <w:i w:val="0"/>
        <w:color w:val="auto"/>
      </w:rPr>
    </w:lvl>
    <w:lvl w:ilvl="1" w:tplc="F27C22B8">
      <w:start w:val="1"/>
      <w:numFmt w:val="lowerLetter"/>
      <w:lvlText w:val="%2."/>
      <w:lvlJc w:val="left"/>
      <w:pPr>
        <w:ind w:left="1440" w:hanging="360"/>
      </w:pPr>
    </w:lvl>
    <w:lvl w:ilvl="2" w:tplc="6F5A6A4A" w:tentative="1">
      <w:start w:val="1"/>
      <w:numFmt w:val="lowerRoman"/>
      <w:lvlText w:val="%3."/>
      <w:lvlJc w:val="right"/>
      <w:pPr>
        <w:ind w:left="2160" w:hanging="180"/>
      </w:pPr>
    </w:lvl>
    <w:lvl w:ilvl="3" w:tplc="24C04F94" w:tentative="1">
      <w:start w:val="1"/>
      <w:numFmt w:val="decimal"/>
      <w:lvlText w:val="%4."/>
      <w:lvlJc w:val="left"/>
      <w:pPr>
        <w:ind w:left="2880" w:hanging="360"/>
      </w:pPr>
    </w:lvl>
    <w:lvl w:ilvl="4" w:tplc="5FF4686C" w:tentative="1">
      <w:start w:val="1"/>
      <w:numFmt w:val="lowerLetter"/>
      <w:lvlText w:val="%5."/>
      <w:lvlJc w:val="left"/>
      <w:pPr>
        <w:ind w:left="3600" w:hanging="360"/>
      </w:pPr>
    </w:lvl>
    <w:lvl w:ilvl="5" w:tplc="65D61DEA" w:tentative="1">
      <w:start w:val="1"/>
      <w:numFmt w:val="lowerRoman"/>
      <w:lvlText w:val="%6."/>
      <w:lvlJc w:val="right"/>
      <w:pPr>
        <w:ind w:left="4320" w:hanging="180"/>
      </w:pPr>
    </w:lvl>
    <w:lvl w:ilvl="6" w:tplc="00808EE8" w:tentative="1">
      <w:start w:val="1"/>
      <w:numFmt w:val="decimal"/>
      <w:lvlText w:val="%7."/>
      <w:lvlJc w:val="left"/>
      <w:pPr>
        <w:ind w:left="5040" w:hanging="360"/>
      </w:pPr>
    </w:lvl>
    <w:lvl w:ilvl="7" w:tplc="D14AAE0E" w:tentative="1">
      <w:start w:val="1"/>
      <w:numFmt w:val="lowerLetter"/>
      <w:lvlText w:val="%8."/>
      <w:lvlJc w:val="left"/>
      <w:pPr>
        <w:ind w:left="5760" w:hanging="360"/>
      </w:pPr>
    </w:lvl>
    <w:lvl w:ilvl="8" w:tplc="E438F3BE" w:tentative="1">
      <w:start w:val="1"/>
      <w:numFmt w:val="lowerRoman"/>
      <w:lvlText w:val="%9."/>
      <w:lvlJc w:val="right"/>
      <w:pPr>
        <w:ind w:left="6480" w:hanging="180"/>
      </w:pPr>
    </w:lvl>
  </w:abstractNum>
  <w:abstractNum w:abstractNumId="10" w15:restartNumberingAfterBreak="0">
    <w:nsid w:val="40845710"/>
    <w:multiLevelType w:val="multilevel"/>
    <w:tmpl w:val="677C7074"/>
    <w:lvl w:ilvl="0">
      <w:start w:val="2"/>
      <w:numFmt w:val="decimal"/>
      <w:lvlText w:val="%1"/>
      <w:lvlJc w:val="left"/>
      <w:pPr>
        <w:ind w:left="420" w:hanging="420"/>
      </w:pPr>
      <w:rPr>
        <w:rFonts w:hint="default"/>
        <w:b/>
        <w:color w:val="auto"/>
      </w:rPr>
    </w:lvl>
    <w:lvl w:ilvl="1">
      <w:start w:val="12"/>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1" w15:restartNumberingAfterBreak="0">
    <w:nsid w:val="43D915C0"/>
    <w:multiLevelType w:val="multilevel"/>
    <w:tmpl w:val="1BCCDA9A"/>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0EA7"/>
    <w:multiLevelType w:val="multilevel"/>
    <w:tmpl w:val="644059A6"/>
    <w:lvl w:ilvl="0">
      <w:start w:val="2"/>
      <w:numFmt w:val="decimal"/>
      <w:lvlText w:val="%1"/>
      <w:lvlJc w:val="left"/>
      <w:pPr>
        <w:ind w:left="420" w:hanging="420"/>
      </w:pPr>
      <w:rPr>
        <w:rFonts w:hint="default"/>
        <w:b/>
        <w:color w:val="auto"/>
      </w:rPr>
    </w:lvl>
    <w:lvl w:ilvl="1">
      <w:start w:val="9"/>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3" w15:restartNumberingAfterBreak="0">
    <w:nsid w:val="587E1F45"/>
    <w:multiLevelType w:val="hybridMultilevel"/>
    <w:tmpl w:val="F1BEB61C"/>
    <w:lvl w:ilvl="0" w:tplc="C39E156C">
      <w:start w:val="1"/>
      <w:numFmt w:val="bullet"/>
      <w:pStyle w:val="KPodrazka1"/>
      <w:lvlText w:val=""/>
      <w:lvlJc w:val="left"/>
      <w:pPr>
        <w:ind w:left="720" w:hanging="360"/>
      </w:pPr>
      <w:rPr>
        <w:rFonts w:ascii="Symbol" w:hAnsi="Symbol" w:hint="default"/>
      </w:rPr>
    </w:lvl>
    <w:lvl w:ilvl="1" w:tplc="496E5B1E" w:tentative="1">
      <w:start w:val="1"/>
      <w:numFmt w:val="bullet"/>
      <w:lvlText w:val="o"/>
      <w:lvlJc w:val="left"/>
      <w:pPr>
        <w:ind w:left="1440" w:hanging="360"/>
      </w:pPr>
      <w:rPr>
        <w:rFonts w:ascii="Courier New" w:hAnsi="Courier New" w:cs="Courier New" w:hint="default"/>
      </w:rPr>
    </w:lvl>
    <w:lvl w:ilvl="2" w:tplc="16C608E0" w:tentative="1">
      <w:start w:val="1"/>
      <w:numFmt w:val="bullet"/>
      <w:lvlText w:val=""/>
      <w:lvlJc w:val="left"/>
      <w:pPr>
        <w:ind w:left="2160" w:hanging="360"/>
      </w:pPr>
      <w:rPr>
        <w:rFonts w:ascii="Wingdings" w:hAnsi="Wingdings" w:hint="default"/>
      </w:rPr>
    </w:lvl>
    <w:lvl w:ilvl="3" w:tplc="E13C3CD8" w:tentative="1">
      <w:start w:val="1"/>
      <w:numFmt w:val="bullet"/>
      <w:lvlText w:val=""/>
      <w:lvlJc w:val="left"/>
      <w:pPr>
        <w:ind w:left="2880" w:hanging="360"/>
      </w:pPr>
      <w:rPr>
        <w:rFonts w:ascii="Symbol" w:hAnsi="Symbol" w:hint="default"/>
      </w:rPr>
    </w:lvl>
    <w:lvl w:ilvl="4" w:tplc="939AEF8A" w:tentative="1">
      <w:start w:val="1"/>
      <w:numFmt w:val="bullet"/>
      <w:lvlText w:val="o"/>
      <w:lvlJc w:val="left"/>
      <w:pPr>
        <w:ind w:left="3600" w:hanging="360"/>
      </w:pPr>
      <w:rPr>
        <w:rFonts w:ascii="Courier New" w:hAnsi="Courier New" w:cs="Courier New" w:hint="default"/>
      </w:rPr>
    </w:lvl>
    <w:lvl w:ilvl="5" w:tplc="178E2BE2" w:tentative="1">
      <w:start w:val="1"/>
      <w:numFmt w:val="bullet"/>
      <w:lvlText w:val=""/>
      <w:lvlJc w:val="left"/>
      <w:pPr>
        <w:ind w:left="4320" w:hanging="360"/>
      </w:pPr>
      <w:rPr>
        <w:rFonts w:ascii="Wingdings" w:hAnsi="Wingdings" w:hint="default"/>
      </w:rPr>
    </w:lvl>
    <w:lvl w:ilvl="6" w:tplc="FBB86014" w:tentative="1">
      <w:start w:val="1"/>
      <w:numFmt w:val="bullet"/>
      <w:lvlText w:val=""/>
      <w:lvlJc w:val="left"/>
      <w:pPr>
        <w:ind w:left="5040" w:hanging="360"/>
      </w:pPr>
      <w:rPr>
        <w:rFonts w:ascii="Symbol" w:hAnsi="Symbol" w:hint="default"/>
      </w:rPr>
    </w:lvl>
    <w:lvl w:ilvl="7" w:tplc="4B9630F2" w:tentative="1">
      <w:start w:val="1"/>
      <w:numFmt w:val="bullet"/>
      <w:lvlText w:val="o"/>
      <w:lvlJc w:val="left"/>
      <w:pPr>
        <w:ind w:left="5760" w:hanging="360"/>
      </w:pPr>
      <w:rPr>
        <w:rFonts w:ascii="Courier New" w:hAnsi="Courier New" w:cs="Courier New" w:hint="default"/>
      </w:rPr>
    </w:lvl>
    <w:lvl w:ilvl="8" w:tplc="0F3E02F0" w:tentative="1">
      <w:start w:val="1"/>
      <w:numFmt w:val="bullet"/>
      <w:lvlText w:val=""/>
      <w:lvlJc w:val="left"/>
      <w:pPr>
        <w:ind w:left="6480" w:hanging="360"/>
      </w:pPr>
      <w:rPr>
        <w:rFonts w:ascii="Wingdings" w:hAnsi="Wingdings" w:hint="default"/>
      </w:rPr>
    </w:lvl>
  </w:abstractNum>
  <w:abstractNum w:abstractNumId="14" w15:restartNumberingAfterBreak="0">
    <w:nsid w:val="63562C17"/>
    <w:multiLevelType w:val="hybridMultilevel"/>
    <w:tmpl w:val="C9E27224"/>
    <w:lvl w:ilvl="0" w:tplc="AA1ED8FC">
      <w:start w:val="1"/>
      <w:numFmt w:val="decimal"/>
      <w:pStyle w:val="JK4"/>
      <w:lvlText w:val="4.%1"/>
      <w:lvlJc w:val="left"/>
      <w:pPr>
        <w:ind w:left="6881" w:hanging="360"/>
      </w:pPr>
      <w:rPr>
        <w:rFonts w:hint="default"/>
        <w:b/>
        <w:i w:val="0"/>
        <w:color w:val="auto"/>
      </w:rPr>
    </w:lvl>
    <w:lvl w:ilvl="1" w:tplc="C8422088" w:tentative="1">
      <w:start w:val="1"/>
      <w:numFmt w:val="lowerLetter"/>
      <w:lvlText w:val="%2."/>
      <w:lvlJc w:val="left"/>
      <w:pPr>
        <w:ind w:left="1440" w:hanging="360"/>
      </w:pPr>
    </w:lvl>
    <w:lvl w:ilvl="2" w:tplc="6F7AFD2C" w:tentative="1">
      <w:start w:val="1"/>
      <w:numFmt w:val="lowerRoman"/>
      <w:lvlText w:val="%3."/>
      <w:lvlJc w:val="right"/>
      <w:pPr>
        <w:ind w:left="2160" w:hanging="180"/>
      </w:pPr>
    </w:lvl>
    <w:lvl w:ilvl="3" w:tplc="3B488770" w:tentative="1">
      <w:start w:val="1"/>
      <w:numFmt w:val="decimal"/>
      <w:lvlText w:val="%4."/>
      <w:lvlJc w:val="left"/>
      <w:pPr>
        <w:ind w:left="2880" w:hanging="360"/>
      </w:pPr>
    </w:lvl>
    <w:lvl w:ilvl="4" w:tplc="736EDB52" w:tentative="1">
      <w:start w:val="1"/>
      <w:numFmt w:val="lowerLetter"/>
      <w:lvlText w:val="%5."/>
      <w:lvlJc w:val="left"/>
      <w:pPr>
        <w:ind w:left="3600" w:hanging="360"/>
      </w:pPr>
    </w:lvl>
    <w:lvl w:ilvl="5" w:tplc="64B84A20" w:tentative="1">
      <w:start w:val="1"/>
      <w:numFmt w:val="lowerRoman"/>
      <w:lvlText w:val="%6."/>
      <w:lvlJc w:val="right"/>
      <w:pPr>
        <w:ind w:left="4320" w:hanging="180"/>
      </w:pPr>
    </w:lvl>
    <w:lvl w:ilvl="6" w:tplc="3EC8E55C" w:tentative="1">
      <w:start w:val="1"/>
      <w:numFmt w:val="decimal"/>
      <w:lvlText w:val="%7."/>
      <w:lvlJc w:val="left"/>
      <w:pPr>
        <w:ind w:left="5040" w:hanging="360"/>
      </w:pPr>
    </w:lvl>
    <w:lvl w:ilvl="7" w:tplc="8A349094" w:tentative="1">
      <w:start w:val="1"/>
      <w:numFmt w:val="lowerLetter"/>
      <w:lvlText w:val="%8."/>
      <w:lvlJc w:val="left"/>
      <w:pPr>
        <w:ind w:left="5760" w:hanging="360"/>
      </w:pPr>
    </w:lvl>
    <w:lvl w:ilvl="8" w:tplc="1950851C" w:tentative="1">
      <w:start w:val="1"/>
      <w:numFmt w:val="lowerRoman"/>
      <w:lvlText w:val="%9."/>
      <w:lvlJc w:val="right"/>
      <w:pPr>
        <w:ind w:left="6480" w:hanging="180"/>
      </w:pPr>
    </w:lvl>
  </w:abstractNum>
  <w:abstractNum w:abstractNumId="15" w15:restartNumberingAfterBreak="0">
    <w:nsid w:val="67D06E95"/>
    <w:multiLevelType w:val="hybridMultilevel"/>
    <w:tmpl w:val="483C9AE6"/>
    <w:lvl w:ilvl="0" w:tplc="D8CC8F58">
      <w:start w:val="1"/>
      <w:numFmt w:val="lowerLetter"/>
      <w:lvlText w:val="%1)"/>
      <w:lvlJc w:val="left"/>
      <w:pPr>
        <w:ind w:left="1080" w:hanging="360"/>
      </w:pPr>
      <w:rPr>
        <w:rFonts w:hint="default"/>
      </w:rPr>
    </w:lvl>
    <w:lvl w:ilvl="1" w:tplc="912CA6D0" w:tentative="1">
      <w:start w:val="1"/>
      <w:numFmt w:val="lowerLetter"/>
      <w:lvlText w:val="%2."/>
      <w:lvlJc w:val="left"/>
      <w:pPr>
        <w:ind w:left="1800" w:hanging="360"/>
      </w:pPr>
    </w:lvl>
    <w:lvl w:ilvl="2" w:tplc="1FFC8EFA" w:tentative="1">
      <w:start w:val="1"/>
      <w:numFmt w:val="lowerRoman"/>
      <w:lvlText w:val="%3."/>
      <w:lvlJc w:val="right"/>
      <w:pPr>
        <w:ind w:left="2520" w:hanging="180"/>
      </w:pPr>
    </w:lvl>
    <w:lvl w:ilvl="3" w:tplc="A2E6E108" w:tentative="1">
      <w:start w:val="1"/>
      <w:numFmt w:val="decimal"/>
      <w:lvlText w:val="%4."/>
      <w:lvlJc w:val="left"/>
      <w:pPr>
        <w:ind w:left="3240" w:hanging="360"/>
      </w:pPr>
    </w:lvl>
    <w:lvl w:ilvl="4" w:tplc="A2A65D88" w:tentative="1">
      <w:start w:val="1"/>
      <w:numFmt w:val="lowerLetter"/>
      <w:lvlText w:val="%5."/>
      <w:lvlJc w:val="left"/>
      <w:pPr>
        <w:ind w:left="3960" w:hanging="360"/>
      </w:pPr>
    </w:lvl>
    <w:lvl w:ilvl="5" w:tplc="C0BA353E" w:tentative="1">
      <w:start w:val="1"/>
      <w:numFmt w:val="lowerRoman"/>
      <w:lvlText w:val="%6."/>
      <w:lvlJc w:val="right"/>
      <w:pPr>
        <w:ind w:left="4680" w:hanging="180"/>
      </w:pPr>
    </w:lvl>
    <w:lvl w:ilvl="6" w:tplc="D33C43B0" w:tentative="1">
      <w:start w:val="1"/>
      <w:numFmt w:val="decimal"/>
      <w:lvlText w:val="%7."/>
      <w:lvlJc w:val="left"/>
      <w:pPr>
        <w:ind w:left="5400" w:hanging="360"/>
      </w:pPr>
    </w:lvl>
    <w:lvl w:ilvl="7" w:tplc="25964CFC" w:tentative="1">
      <w:start w:val="1"/>
      <w:numFmt w:val="lowerLetter"/>
      <w:lvlText w:val="%8."/>
      <w:lvlJc w:val="left"/>
      <w:pPr>
        <w:ind w:left="6120" w:hanging="360"/>
      </w:pPr>
    </w:lvl>
    <w:lvl w:ilvl="8" w:tplc="BC966100" w:tentative="1">
      <w:start w:val="1"/>
      <w:numFmt w:val="lowerRoman"/>
      <w:lvlText w:val="%9."/>
      <w:lvlJc w:val="right"/>
      <w:pPr>
        <w:ind w:left="6840" w:hanging="180"/>
      </w:pPr>
    </w:lvl>
  </w:abstractNum>
  <w:abstractNum w:abstractNumId="16" w15:restartNumberingAfterBreak="0">
    <w:nsid w:val="6F1B2E71"/>
    <w:multiLevelType w:val="hybridMultilevel"/>
    <w:tmpl w:val="E1DEB978"/>
    <w:lvl w:ilvl="0" w:tplc="50043636">
      <w:start w:val="1"/>
      <w:numFmt w:val="upperRoman"/>
      <w:pStyle w:val="Nadpismsk"/>
      <w:lvlText w:val="%1."/>
      <w:lvlJc w:val="right"/>
      <w:pPr>
        <w:ind w:left="3621" w:hanging="360"/>
      </w:pPr>
      <w:rPr>
        <w:b/>
        <w:sz w:val="32"/>
        <w:szCs w:val="32"/>
      </w:rPr>
    </w:lvl>
    <w:lvl w:ilvl="1" w:tplc="0E506D30" w:tentative="1">
      <w:start w:val="1"/>
      <w:numFmt w:val="lowerLetter"/>
      <w:lvlText w:val="%2."/>
      <w:lvlJc w:val="left"/>
      <w:pPr>
        <w:ind w:left="2160" w:hanging="360"/>
      </w:pPr>
    </w:lvl>
    <w:lvl w:ilvl="2" w:tplc="2E32C234" w:tentative="1">
      <w:start w:val="1"/>
      <w:numFmt w:val="lowerRoman"/>
      <w:lvlText w:val="%3."/>
      <w:lvlJc w:val="right"/>
      <w:pPr>
        <w:ind w:left="2880" w:hanging="180"/>
      </w:pPr>
    </w:lvl>
    <w:lvl w:ilvl="3" w:tplc="D49634A2" w:tentative="1">
      <w:start w:val="1"/>
      <w:numFmt w:val="decimal"/>
      <w:lvlText w:val="%4."/>
      <w:lvlJc w:val="left"/>
      <w:pPr>
        <w:ind w:left="3600" w:hanging="360"/>
      </w:pPr>
    </w:lvl>
    <w:lvl w:ilvl="4" w:tplc="AF1086A2" w:tentative="1">
      <w:start w:val="1"/>
      <w:numFmt w:val="lowerLetter"/>
      <w:lvlText w:val="%5."/>
      <w:lvlJc w:val="left"/>
      <w:pPr>
        <w:ind w:left="4320" w:hanging="360"/>
      </w:pPr>
    </w:lvl>
    <w:lvl w:ilvl="5" w:tplc="6F1AB9AC" w:tentative="1">
      <w:start w:val="1"/>
      <w:numFmt w:val="lowerRoman"/>
      <w:lvlText w:val="%6."/>
      <w:lvlJc w:val="right"/>
      <w:pPr>
        <w:ind w:left="5040" w:hanging="180"/>
      </w:pPr>
    </w:lvl>
    <w:lvl w:ilvl="6" w:tplc="A9B28A1E" w:tentative="1">
      <w:start w:val="1"/>
      <w:numFmt w:val="decimal"/>
      <w:lvlText w:val="%7."/>
      <w:lvlJc w:val="left"/>
      <w:pPr>
        <w:ind w:left="5760" w:hanging="360"/>
      </w:pPr>
    </w:lvl>
    <w:lvl w:ilvl="7" w:tplc="1D70D66C" w:tentative="1">
      <w:start w:val="1"/>
      <w:numFmt w:val="lowerLetter"/>
      <w:lvlText w:val="%8."/>
      <w:lvlJc w:val="left"/>
      <w:pPr>
        <w:ind w:left="6480" w:hanging="360"/>
      </w:pPr>
    </w:lvl>
    <w:lvl w:ilvl="8" w:tplc="84C61B50" w:tentative="1">
      <w:start w:val="1"/>
      <w:numFmt w:val="lowerRoman"/>
      <w:lvlText w:val="%9."/>
      <w:lvlJc w:val="right"/>
      <w:pPr>
        <w:ind w:left="7200" w:hanging="180"/>
      </w:pPr>
    </w:lvl>
  </w:abstractNum>
  <w:abstractNum w:abstractNumId="17" w15:restartNumberingAfterBreak="0">
    <w:nsid w:val="7795742B"/>
    <w:multiLevelType w:val="hybridMultilevel"/>
    <w:tmpl w:val="F8207AF6"/>
    <w:lvl w:ilvl="0" w:tplc="423C7F8A">
      <w:start w:val="1"/>
      <w:numFmt w:val="bullet"/>
      <w:lvlText w:val=""/>
      <w:lvlJc w:val="left"/>
      <w:pPr>
        <w:ind w:left="1440" w:hanging="360"/>
      </w:pPr>
      <w:rPr>
        <w:rFonts w:ascii="Symbol" w:hAnsi="Symbol" w:hint="default"/>
      </w:rPr>
    </w:lvl>
    <w:lvl w:ilvl="1" w:tplc="3CF865F6" w:tentative="1">
      <w:start w:val="1"/>
      <w:numFmt w:val="bullet"/>
      <w:lvlText w:val="o"/>
      <w:lvlJc w:val="left"/>
      <w:pPr>
        <w:ind w:left="2160" w:hanging="360"/>
      </w:pPr>
      <w:rPr>
        <w:rFonts w:ascii="Courier New" w:hAnsi="Courier New" w:cs="Courier New" w:hint="default"/>
      </w:rPr>
    </w:lvl>
    <w:lvl w:ilvl="2" w:tplc="EE1664D0" w:tentative="1">
      <w:start w:val="1"/>
      <w:numFmt w:val="bullet"/>
      <w:lvlText w:val=""/>
      <w:lvlJc w:val="left"/>
      <w:pPr>
        <w:ind w:left="2880" w:hanging="360"/>
      </w:pPr>
      <w:rPr>
        <w:rFonts w:ascii="Wingdings" w:hAnsi="Wingdings" w:hint="default"/>
      </w:rPr>
    </w:lvl>
    <w:lvl w:ilvl="3" w:tplc="0F0C8116" w:tentative="1">
      <w:start w:val="1"/>
      <w:numFmt w:val="bullet"/>
      <w:lvlText w:val=""/>
      <w:lvlJc w:val="left"/>
      <w:pPr>
        <w:ind w:left="3600" w:hanging="360"/>
      </w:pPr>
      <w:rPr>
        <w:rFonts w:ascii="Symbol" w:hAnsi="Symbol" w:hint="default"/>
      </w:rPr>
    </w:lvl>
    <w:lvl w:ilvl="4" w:tplc="BE229344" w:tentative="1">
      <w:start w:val="1"/>
      <w:numFmt w:val="bullet"/>
      <w:lvlText w:val="o"/>
      <w:lvlJc w:val="left"/>
      <w:pPr>
        <w:ind w:left="4320" w:hanging="360"/>
      </w:pPr>
      <w:rPr>
        <w:rFonts w:ascii="Courier New" w:hAnsi="Courier New" w:cs="Courier New" w:hint="default"/>
      </w:rPr>
    </w:lvl>
    <w:lvl w:ilvl="5" w:tplc="2B26CAD8" w:tentative="1">
      <w:start w:val="1"/>
      <w:numFmt w:val="bullet"/>
      <w:lvlText w:val=""/>
      <w:lvlJc w:val="left"/>
      <w:pPr>
        <w:ind w:left="5040" w:hanging="360"/>
      </w:pPr>
      <w:rPr>
        <w:rFonts w:ascii="Wingdings" w:hAnsi="Wingdings" w:hint="default"/>
      </w:rPr>
    </w:lvl>
    <w:lvl w:ilvl="6" w:tplc="6164C23E" w:tentative="1">
      <w:start w:val="1"/>
      <w:numFmt w:val="bullet"/>
      <w:lvlText w:val=""/>
      <w:lvlJc w:val="left"/>
      <w:pPr>
        <w:ind w:left="5760" w:hanging="360"/>
      </w:pPr>
      <w:rPr>
        <w:rFonts w:ascii="Symbol" w:hAnsi="Symbol" w:hint="default"/>
      </w:rPr>
    </w:lvl>
    <w:lvl w:ilvl="7" w:tplc="6B14805C" w:tentative="1">
      <w:start w:val="1"/>
      <w:numFmt w:val="bullet"/>
      <w:lvlText w:val="o"/>
      <w:lvlJc w:val="left"/>
      <w:pPr>
        <w:ind w:left="6480" w:hanging="360"/>
      </w:pPr>
      <w:rPr>
        <w:rFonts w:ascii="Courier New" w:hAnsi="Courier New" w:cs="Courier New" w:hint="default"/>
      </w:rPr>
    </w:lvl>
    <w:lvl w:ilvl="8" w:tplc="DC1A8BA4" w:tentative="1">
      <w:start w:val="1"/>
      <w:numFmt w:val="bullet"/>
      <w:lvlText w:val=""/>
      <w:lvlJc w:val="left"/>
      <w:pPr>
        <w:ind w:left="7200" w:hanging="360"/>
      </w:pPr>
      <w:rPr>
        <w:rFonts w:ascii="Wingdings" w:hAnsi="Wingdings" w:hint="default"/>
      </w:rPr>
    </w:lvl>
  </w:abstractNum>
  <w:abstractNum w:abstractNumId="18" w15:restartNumberingAfterBreak="0">
    <w:nsid w:val="78BC15BD"/>
    <w:multiLevelType w:val="multilevel"/>
    <w:tmpl w:val="EC3E910E"/>
    <w:lvl w:ilvl="0">
      <w:start w:val="2"/>
      <w:numFmt w:val="decimal"/>
      <w:lvlText w:val="%1"/>
      <w:lvlJc w:val="left"/>
      <w:pPr>
        <w:ind w:left="420" w:hanging="420"/>
      </w:pPr>
      <w:rPr>
        <w:rFonts w:asciiTheme="minorHAnsi" w:hAnsiTheme="minorHAnsi" w:cstheme="minorHAnsi" w:hint="default"/>
      </w:rPr>
    </w:lvl>
    <w:lvl w:ilvl="1">
      <w:start w:val="10"/>
      <w:numFmt w:val="decimal"/>
      <w:lvlText w:val="%1.%2"/>
      <w:lvlJc w:val="left"/>
      <w:pPr>
        <w:ind w:left="420" w:hanging="420"/>
      </w:pPr>
      <w:rPr>
        <w:rFonts w:asciiTheme="minorHAnsi" w:hAnsiTheme="minorHAnsi" w:cstheme="minorHAnsi" w:hint="default"/>
        <w:b/>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800" w:hanging="1800"/>
      </w:pPr>
      <w:rPr>
        <w:rFonts w:asciiTheme="minorHAnsi" w:hAnsiTheme="minorHAnsi" w:cstheme="minorHAnsi" w:hint="default"/>
      </w:rPr>
    </w:lvl>
  </w:abstractNum>
  <w:num w:numId="1">
    <w:abstractNumId w:val="8"/>
  </w:num>
  <w:num w:numId="2">
    <w:abstractNumId w:val="5"/>
  </w:num>
  <w:num w:numId="3">
    <w:abstractNumId w:val="16"/>
  </w:num>
  <w:num w:numId="4">
    <w:abstractNumId w:val="9"/>
  </w:num>
  <w:num w:numId="5">
    <w:abstractNumId w:val="14"/>
  </w:num>
  <w:num w:numId="6">
    <w:abstractNumId w:val="13"/>
  </w:num>
  <w:num w:numId="7">
    <w:abstractNumId w:val="4"/>
  </w:num>
  <w:num w:numId="8">
    <w:abstractNumId w:val="1"/>
  </w:num>
  <w:num w:numId="9">
    <w:abstractNumId w:val="3"/>
  </w:num>
  <w:num w:numId="10">
    <w:abstractNumId w:val="17"/>
  </w:num>
  <w:num w:numId="11">
    <w:abstractNumId w:val="15"/>
  </w:num>
  <w:num w:numId="12">
    <w:abstractNumId w:val="0"/>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3"/>
  </w:num>
  <w:num w:numId="31">
    <w:abstractNumId w:val="14"/>
  </w:num>
  <w:num w:numId="32">
    <w:abstractNumId w:val="11"/>
  </w:num>
  <w:num w:numId="33">
    <w:abstractNumId w:val="6"/>
  </w:num>
  <w:num w:numId="34">
    <w:abstractNumId w:val="18"/>
  </w:num>
  <w:num w:numId="35">
    <w:abstractNumId w:val="12"/>
  </w:num>
  <w:num w:numId="36">
    <w:abstractNumId w:val="7"/>
  </w:num>
  <w:num w:numId="37">
    <w:abstractNumId w:val="10"/>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14"/>
  </w:num>
  <w:num w:numId="48">
    <w:abstractNumId w:val="14"/>
  </w:num>
  <w:num w:numId="49">
    <w:abstractNumId w:val="14"/>
  </w:num>
  <w:num w:numId="50">
    <w:abstractNumId w:val="14"/>
  </w:num>
  <w:num w:numId="51">
    <w:abstractNumId w:val="14"/>
  </w:num>
  <w:num w:numId="52">
    <w:abstractNumId w:val="14"/>
  </w:num>
  <w:num w:numId="53">
    <w:abstractNumId w:val="14"/>
  </w:num>
  <w:num w:numId="54">
    <w:abstractNumId w:val="14"/>
  </w:num>
  <w:num w:numId="55">
    <w:abstractNumId w:val="14"/>
  </w:num>
  <w:num w:numId="56">
    <w:abstractNumId w:val="14"/>
  </w:num>
  <w:num w:numId="57">
    <w:abstractNumId w:val="14"/>
  </w:num>
  <w:num w:numId="58">
    <w:abstractNumId w:val="14"/>
  </w:num>
  <w:num w:numId="59">
    <w:abstractNumId w:val="14"/>
  </w:num>
  <w:num w:numId="60">
    <w:abstractNumId w:val="14"/>
  </w:num>
  <w:num w:numId="61">
    <w:abstractNumId w:val="14"/>
  </w:num>
  <w:num w:numId="62">
    <w:abstractNumId w:val="14"/>
  </w:num>
  <w:num w:numId="63">
    <w:abstractNumId w:val="14"/>
  </w:num>
  <w:num w:numId="64">
    <w:abstractNumId w:val="14"/>
  </w:num>
  <w:num w:numId="65">
    <w:abstractNumId w:val="14"/>
  </w:num>
  <w:num w:numId="66">
    <w:abstractNumId w:val="14"/>
  </w:num>
  <w:num w:numId="67">
    <w:abstractNumId w:val="14"/>
  </w:num>
  <w:num w:numId="68">
    <w:abstractNumId w:val="14"/>
  </w:num>
  <w:num w:numId="69">
    <w:abstractNumId w:val="14"/>
  </w:num>
  <w:num w:numId="70">
    <w:abstractNumId w:val="14"/>
  </w:num>
  <w:num w:numId="71">
    <w:abstractNumId w:val="14"/>
  </w:num>
  <w:num w:numId="72">
    <w:abstractNumId w:val="14"/>
  </w:num>
  <w:num w:numId="73">
    <w:abstractNumId w:val="14"/>
  </w:num>
  <w:num w:numId="74">
    <w:abstractNumId w:val="14"/>
  </w:num>
  <w:num w:numId="75">
    <w:abstractNumId w:val="14"/>
  </w:num>
  <w:num w:numId="76">
    <w:abstractNumId w:val="14"/>
  </w:num>
  <w:num w:numId="77">
    <w:abstractNumId w:val="14"/>
  </w:num>
  <w:num w:numId="78">
    <w:abstractNumId w:val="14"/>
  </w:num>
  <w:num w:numId="79">
    <w:abstractNumId w:val="14"/>
  </w:num>
  <w:num w:numId="80">
    <w:abstractNumId w:val="14"/>
  </w:num>
  <w:num w:numId="81">
    <w:abstractNumId w:val="14"/>
  </w:num>
  <w:num w:numId="82">
    <w:abstractNumId w:val="14"/>
  </w:num>
  <w:num w:numId="83">
    <w:abstractNumId w:val="14"/>
  </w:num>
  <w:num w:numId="84">
    <w:abstractNumId w:val="14"/>
  </w:num>
  <w:num w:numId="85">
    <w:abstractNumId w:val="14"/>
  </w:num>
  <w:num w:numId="86">
    <w:abstractNumId w:val="14"/>
  </w:num>
  <w:num w:numId="87">
    <w:abstractNumId w:val="14"/>
  </w:num>
  <w:num w:numId="88">
    <w:abstractNumId w:val="14"/>
  </w:num>
  <w:num w:numId="89">
    <w:abstractNumId w:val="14"/>
  </w:num>
  <w:num w:numId="90">
    <w:abstractNumId w:val="14"/>
  </w:num>
  <w:num w:numId="91">
    <w:abstractNumId w:val="14"/>
  </w:num>
  <w:num w:numId="92">
    <w:abstractNumId w:val="14"/>
  </w:num>
  <w:num w:numId="93">
    <w:abstractNumId w:val="14"/>
  </w:num>
  <w:num w:numId="94">
    <w:abstractNumId w:val="14"/>
  </w:num>
  <w:num w:numId="95">
    <w:abstractNumId w:val="14"/>
  </w:num>
  <w:num w:numId="96">
    <w:abstractNumId w:val="14"/>
  </w:num>
  <w:num w:numId="97">
    <w:abstractNumId w:val="14"/>
  </w:num>
  <w:num w:numId="98">
    <w:abstractNumId w:val="14"/>
  </w:num>
  <w:num w:numId="99">
    <w:abstractNumId w:val="14"/>
  </w:num>
  <w:num w:numId="100">
    <w:abstractNumId w:val="14"/>
  </w:num>
  <w:num w:numId="101">
    <w:abstractNumId w:val="14"/>
  </w:num>
  <w:num w:numId="102">
    <w:abstractNumId w:val="14"/>
  </w:num>
  <w:num w:numId="103">
    <w:abstractNumId w:val="14"/>
  </w:num>
  <w:num w:numId="104">
    <w:abstractNumId w:val="14"/>
  </w:num>
  <w:num w:numId="105">
    <w:abstractNumId w:val="14"/>
  </w:num>
  <w:num w:numId="106">
    <w:abstractNumId w:val="14"/>
  </w:num>
  <w:num w:numId="107">
    <w:abstractNumId w:val="14"/>
  </w:num>
  <w:num w:numId="108">
    <w:abstractNumId w:val="14"/>
  </w:num>
  <w:num w:numId="109">
    <w:abstractNumId w:val="14"/>
  </w:num>
  <w:num w:numId="110">
    <w:abstractNumId w:val="14"/>
  </w:num>
  <w:num w:numId="111">
    <w:abstractNumId w:val="14"/>
  </w:num>
  <w:num w:numId="112">
    <w:abstractNumId w:val="14"/>
  </w:num>
  <w:num w:numId="113">
    <w:abstractNumId w:val="14"/>
  </w:num>
  <w:num w:numId="114">
    <w:abstractNumId w:val="14"/>
  </w:num>
  <w:num w:numId="115">
    <w:abstractNumId w:val="14"/>
  </w:num>
  <w:num w:numId="116">
    <w:abstractNumId w:val="14"/>
  </w:num>
  <w:num w:numId="117">
    <w:abstractNumId w:val="14"/>
  </w:num>
  <w:num w:numId="118">
    <w:abstractNumId w:val="14"/>
  </w:num>
  <w:num w:numId="119">
    <w:abstractNumId w:val="14"/>
  </w:num>
  <w:num w:numId="120">
    <w:abstractNumId w:val="14"/>
  </w:num>
  <w:num w:numId="121">
    <w:abstractNumId w:val="14"/>
  </w:num>
  <w:num w:numId="122">
    <w:abstractNumId w:val="14"/>
  </w:num>
  <w:num w:numId="123">
    <w:abstractNumId w:val="14"/>
  </w:num>
  <w:num w:numId="124">
    <w:abstractNumId w:val="14"/>
  </w:num>
  <w:num w:numId="125">
    <w:abstractNumId w:val="14"/>
  </w:num>
  <w:num w:numId="126">
    <w:abstractNumId w:val="14"/>
  </w:num>
  <w:num w:numId="127">
    <w:abstractNumId w:val="14"/>
  </w:num>
  <w:num w:numId="128">
    <w:abstractNumId w:val="14"/>
  </w:num>
  <w:num w:numId="129">
    <w:abstractNumId w:val="14"/>
  </w:num>
  <w:num w:numId="130">
    <w:abstractNumId w:val="14"/>
  </w:num>
  <w:num w:numId="131">
    <w:abstractNumId w:val="14"/>
  </w:num>
  <w:num w:numId="132">
    <w:abstractNumId w:val="14"/>
  </w:num>
  <w:num w:numId="133">
    <w:abstractNumId w:val="14"/>
  </w:num>
  <w:num w:numId="134">
    <w:abstractNumId w:val="14"/>
  </w:num>
  <w:num w:numId="135">
    <w:abstractNumId w:val="14"/>
  </w:num>
  <w:num w:numId="136">
    <w:abstractNumId w:val="14"/>
  </w:num>
  <w:num w:numId="137">
    <w:abstractNumId w:val="14"/>
  </w:num>
  <w:num w:numId="138">
    <w:abstractNumId w:val="14"/>
  </w:num>
  <w:num w:numId="139">
    <w:abstractNumId w:val="14"/>
  </w:num>
  <w:num w:numId="140">
    <w:abstractNumId w:val="14"/>
  </w:num>
  <w:num w:numId="141">
    <w:abstractNumId w:val="14"/>
  </w:num>
  <w:num w:numId="142">
    <w:abstractNumId w:val="14"/>
  </w:num>
  <w:num w:numId="143">
    <w:abstractNumId w:val="14"/>
  </w:num>
  <w:num w:numId="144">
    <w:abstractNumId w:val="14"/>
  </w:num>
  <w:num w:numId="145">
    <w:abstractNumId w:val="14"/>
  </w:num>
  <w:num w:numId="146">
    <w:abstractNumId w:val="14"/>
  </w:num>
  <w:num w:numId="147">
    <w:abstractNumId w:val="14"/>
  </w:num>
  <w:num w:numId="148">
    <w:abstractNumId w:val="14"/>
  </w:num>
  <w:num w:numId="149">
    <w:abstractNumId w:val="14"/>
  </w:num>
  <w:num w:numId="150">
    <w:abstractNumId w:val="14"/>
  </w:num>
  <w:num w:numId="151">
    <w:abstractNumId w:val="14"/>
  </w:num>
  <w:num w:numId="152">
    <w:abstractNumId w:val="14"/>
  </w:num>
  <w:num w:numId="153">
    <w:abstractNumId w:val="14"/>
  </w:num>
  <w:num w:numId="154">
    <w:abstractNumId w:val="14"/>
  </w:num>
  <w:num w:numId="155">
    <w:abstractNumId w:val="14"/>
  </w:num>
  <w:num w:numId="156">
    <w:abstractNumId w:val="14"/>
  </w:num>
  <w:num w:numId="157">
    <w:abstractNumId w:val="14"/>
  </w:num>
  <w:num w:numId="158">
    <w:abstractNumId w:val="14"/>
  </w:num>
  <w:num w:numId="159">
    <w:abstractNumId w:val="14"/>
  </w:num>
  <w:num w:numId="160">
    <w:abstractNumId w:val="14"/>
  </w:num>
  <w:num w:numId="161">
    <w:abstractNumId w:val="14"/>
  </w:num>
  <w:num w:numId="162">
    <w:abstractNumId w:val="14"/>
  </w:num>
  <w:num w:numId="163">
    <w:abstractNumId w:val="14"/>
  </w:num>
  <w:num w:numId="164">
    <w:abstractNumId w:val="14"/>
  </w:num>
  <w:num w:numId="165">
    <w:abstractNumId w:val="14"/>
  </w:num>
  <w:num w:numId="166">
    <w:abstractNumId w:val="14"/>
  </w:num>
  <w:num w:numId="167">
    <w:abstractNumId w:val="14"/>
  </w:num>
  <w:num w:numId="168">
    <w:abstractNumId w:val="14"/>
  </w:num>
  <w:num w:numId="169">
    <w:abstractNumId w:val="14"/>
  </w:num>
  <w:num w:numId="170">
    <w:abstractNumId w:val="14"/>
  </w:num>
  <w:num w:numId="171">
    <w:abstractNumId w:val="14"/>
  </w:num>
  <w:num w:numId="172">
    <w:abstractNumId w:val="14"/>
  </w:num>
  <w:num w:numId="173">
    <w:abstractNumId w:val="9"/>
  </w:num>
  <w:num w:numId="174">
    <w:abstractNumId w:val="9"/>
  </w:num>
  <w:num w:numId="175">
    <w:abstractNumId w:val="9"/>
  </w:num>
  <w:num w:numId="176">
    <w:abstractNumId w:val="9"/>
  </w:num>
  <w:num w:numId="177">
    <w:abstractNumId w:val="9"/>
  </w:num>
  <w:num w:numId="178">
    <w:abstractNumId w:val="9"/>
  </w:num>
  <w:num w:numId="179">
    <w:abstractNumId w:val="9"/>
  </w:num>
  <w:num w:numId="180">
    <w:abstractNumId w:val="9"/>
  </w:num>
  <w:num w:numId="181">
    <w:abstractNumId w:val="9"/>
  </w:num>
  <w:num w:numId="182">
    <w:abstractNumId w:val="9"/>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567"/>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92F"/>
    <w:rsid w:val="000000BA"/>
    <w:rsid w:val="00000728"/>
    <w:rsid w:val="00000741"/>
    <w:rsid w:val="00001120"/>
    <w:rsid w:val="000012BF"/>
    <w:rsid w:val="000012FA"/>
    <w:rsid w:val="000015FF"/>
    <w:rsid w:val="00001A74"/>
    <w:rsid w:val="00001B30"/>
    <w:rsid w:val="00001CF1"/>
    <w:rsid w:val="000025BD"/>
    <w:rsid w:val="000028A7"/>
    <w:rsid w:val="00003D2A"/>
    <w:rsid w:val="000043D6"/>
    <w:rsid w:val="000046DF"/>
    <w:rsid w:val="00004933"/>
    <w:rsid w:val="00004C8B"/>
    <w:rsid w:val="00004F10"/>
    <w:rsid w:val="00005195"/>
    <w:rsid w:val="000056E1"/>
    <w:rsid w:val="00005AD0"/>
    <w:rsid w:val="00005B06"/>
    <w:rsid w:val="00005B0E"/>
    <w:rsid w:val="000060B4"/>
    <w:rsid w:val="000062FE"/>
    <w:rsid w:val="0000655E"/>
    <w:rsid w:val="0000665F"/>
    <w:rsid w:val="000068DA"/>
    <w:rsid w:val="00006B62"/>
    <w:rsid w:val="0000712B"/>
    <w:rsid w:val="0000724C"/>
    <w:rsid w:val="000074DF"/>
    <w:rsid w:val="0001102D"/>
    <w:rsid w:val="00011530"/>
    <w:rsid w:val="00011841"/>
    <w:rsid w:val="00011AB2"/>
    <w:rsid w:val="00011B6F"/>
    <w:rsid w:val="00011D39"/>
    <w:rsid w:val="00011E56"/>
    <w:rsid w:val="00012127"/>
    <w:rsid w:val="00012A79"/>
    <w:rsid w:val="00012EBC"/>
    <w:rsid w:val="0001353C"/>
    <w:rsid w:val="00013910"/>
    <w:rsid w:val="00013EA7"/>
    <w:rsid w:val="00014020"/>
    <w:rsid w:val="0001416E"/>
    <w:rsid w:val="00014C30"/>
    <w:rsid w:val="0001550E"/>
    <w:rsid w:val="00015547"/>
    <w:rsid w:val="0001557F"/>
    <w:rsid w:val="0001562E"/>
    <w:rsid w:val="00015744"/>
    <w:rsid w:val="00015DB1"/>
    <w:rsid w:val="000164AF"/>
    <w:rsid w:val="00016FC2"/>
    <w:rsid w:val="00017093"/>
    <w:rsid w:val="00017121"/>
    <w:rsid w:val="0001722B"/>
    <w:rsid w:val="00017322"/>
    <w:rsid w:val="00017536"/>
    <w:rsid w:val="000175B5"/>
    <w:rsid w:val="0001771B"/>
    <w:rsid w:val="00017796"/>
    <w:rsid w:val="00017E4C"/>
    <w:rsid w:val="00020188"/>
    <w:rsid w:val="000203D5"/>
    <w:rsid w:val="000203D9"/>
    <w:rsid w:val="00020B96"/>
    <w:rsid w:val="00020BE8"/>
    <w:rsid w:val="000228B6"/>
    <w:rsid w:val="00022BCB"/>
    <w:rsid w:val="00022CA4"/>
    <w:rsid w:val="00022D64"/>
    <w:rsid w:val="00022E9A"/>
    <w:rsid w:val="00023391"/>
    <w:rsid w:val="00023FD4"/>
    <w:rsid w:val="000244C5"/>
    <w:rsid w:val="000247F0"/>
    <w:rsid w:val="00024AC7"/>
    <w:rsid w:val="00024B1E"/>
    <w:rsid w:val="000250A9"/>
    <w:rsid w:val="000251A8"/>
    <w:rsid w:val="0002583C"/>
    <w:rsid w:val="00025984"/>
    <w:rsid w:val="00025F12"/>
    <w:rsid w:val="0002617D"/>
    <w:rsid w:val="00026207"/>
    <w:rsid w:val="00026776"/>
    <w:rsid w:val="00026CE2"/>
    <w:rsid w:val="00027C84"/>
    <w:rsid w:val="00027E25"/>
    <w:rsid w:val="00027F74"/>
    <w:rsid w:val="00027FAE"/>
    <w:rsid w:val="00030372"/>
    <w:rsid w:val="000309B6"/>
    <w:rsid w:val="00030B0A"/>
    <w:rsid w:val="00030CD5"/>
    <w:rsid w:val="00030FDF"/>
    <w:rsid w:val="00031215"/>
    <w:rsid w:val="000313DA"/>
    <w:rsid w:val="00031ED9"/>
    <w:rsid w:val="000321FD"/>
    <w:rsid w:val="00032F29"/>
    <w:rsid w:val="00032FC2"/>
    <w:rsid w:val="00033077"/>
    <w:rsid w:val="0003337C"/>
    <w:rsid w:val="0003360A"/>
    <w:rsid w:val="00033ACC"/>
    <w:rsid w:val="00033AD6"/>
    <w:rsid w:val="00033C61"/>
    <w:rsid w:val="00033D94"/>
    <w:rsid w:val="0003492F"/>
    <w:rsid w:val="000349A5"/>
    <w:rsid w:val="000356F0"/>
    <w:rsid w:val="00035976"/>
    <w:rsid w:val="00035D67"/>
    <w:rsid w:val="0003629A"/>
    <w:rsid w:val="00036AF9"/>
    <w:rsid w:val="00036B5A"/>
    <w:rsid w:val="00036DCF"/>
    <w:rsid w:val="00036DD2"/>
    <w:rsid w:val="0003727C"/>
    <w:rsid w:val="00037347"/>
    <w:rsid w:val="0003748F"/>
    <w:rsid w:val="0003778F"/>
    <w:rsid w:val="00037811"/>
    <w:rsid w:val="00037AFF"/>
    <w:rsid w:val="0004155E"/>
    <w:rsid w:val="00041DA3"/>
    <w:rsid w:val="0004213C"/>
    <w:rsid w:val="00042885"/>
    <w:rsid w:val="000428CC"/>
    <w:rsid w:val="000429B7"/>
    <w:rsid w:val="0004311B"/>
    <w:rsid w:val="0004317C"/>
    <w:rsid w:val="0004384F"/>
    <w:rsid w:val="00043A2F"/>
    <w:rsid w:val="00043AC0"/>
    <w:rsid w:val="00043B01"/>
    <w:rsid w:val="00043C97"/>
    <w:rsid w:val="00043E08"/>
    <w:rsid w:val="00044246"/>
    <w:rsid w:val="0004455C"/>
    <w:rsid w:val="00044FD4"/>
    <w:rsid w:val="0004510E"/>
    <w:rsid w:val="00045D0D"/>
    <w:rsid w:val="000460B7"/>
    <w:rsid w:val="000462BB"/>
    <w:rsid w:val="000462E8"/>
    <w:rsid w:val="00046F3E"/>
    <w:rsid w:val="00047BFD"/>
    <w:rsid w:val="00047FCA"/>
    <w:rsid w:val="0005001D"/>
    <w:rsid w:val="00050199"/>
    <w:rsid w:val="000501FE"/>
    <w:rsid w:val="00050445"/>
    <w:rsid w:val="00050CFC"/>
    <w:rsid w:val="00050E5A"/>
    <w:rsid w:val="00051427"/>
    <w:rsid w:val="00051603"/>
    <w:rsid w:val="0005172C"/>
    <w:rsid w:val="0005195A"/>
    <w:rsid w:val="00051B2C"/>
    <w:rsid w:val="000522AB"/>
    <w:rsid w:val="00052AF6"/>
    <w:rsid w:val="000530F1"/>
    <w:rsid w:val="00053660"/>
    <w:rsid w:val="00053884"/>
    <w:rsid w:val="00053F0E"/>
    <w:rsid w:val="000547BA"/>
    <w:rsid w:val="0005481B"/>
    <w:rsid w:val="000552BA"/>
    <w:rsid w:val="0005584C"/>
    <w:rsid w:val="000558A0"/>
    <w:rsid w:val="00055C1F"/>
    <w:rsid w:val="00055C31"/>
    <w:rsid w:val="00055C56"/>
    <w:rsid w:val="00055DBC"/>
    <w:rsid w:val="00055DEF"/>
    <w:rsid w:val="00055F00"/>
    <w:rsid w:val="00056601"/>
    <w:rsid w:val="00056D2B"/>
    <w:rsid w:val="00056F3B"/>
    <w:rsid w:val="0005773B"/>
    <w:rsid w:val="0005776D"/>
    <w:rsid w:val="00057805"/>
    <w:rsid w:val="00057B14"/>
    <w:rsid w:val="0006001B"/>
    <w:rsid w:val="000602CB"/>
    <w:rsid w:val="000605A7"/>
    <w:rsid w:val="000605D4"/>
    <w:rsid w:val="00060B90"/>
    <w:rsid w:val="000610EC"/>
    <w:rsid w:val="000614F2"/>
    <w:rsid w:val="00061A9C"/>
    <w:rsid w:val="00061B77"/>
    <w:rsid w:val="000624C9"/>
    <w:rsid w:val="00062FB1"/>
    <w:rsid w:val="00063054"/>
    <w:rsid w:val="00063429"/>
    <w:rsid w:val="00063507"/>
    <w:rsid w:val="00063AD7"/>
    <w:rsid w:val="00063AEE"/>
    <w:rsid w:val="00063BA3"/>
    <w:rsid w:val="00063C9E"/>
    <w:rsid w:val="00063F2D"/>
    <w:rsid w:val="00064091"/>
    <w:rsid w:val="0006470A"/>
    <w:rsid w:val="00064DC4"/>
    <w:rsid w:val="00064FC8"/>
    <w:rsid w:val="00065C15"/>
    <w:rsid w:val="00066581"/>
    <w:rsid w:val="00066DB3"/>
    <w:rsid w:val="00066F14"/>
    <w:rsid w:val="00067064"/>
    <w:rsid w:val="00067B0F"/>
    <w:rsid w:val="000710D3"/>
    <w:rsid w:val="00071559"/>
    <w:rsid w:val="00071560"/>
    <w:rsid w:val="00071898"/>
    <w:rsid w:val="00071985"/>
    <w:rsid w:val="00071C0A"/>
    <w:rsid w:val="00072747"/>
    <w:rsid w:val="000731DE"/>
    <w:rsid w:val="000739D9"/>
    <w:rsid w:val="00073C30"/>
    <w:rsid w:val="00073F5F"/>
    <w:rsid w:val="0007405B"/>
    <w:rsid w:val="0007424F"/>
    <w:rsid w:val="000744B4"/>
    <w:rsid w:val="0007482A"/>
    <w:rsid w:val="00074B0A"/>
    <w:rsid w:val="00076583"/>
    <w:rsid w:val="00076635"/>
    <w:rsid w:val="00076B09"/>
    <w:rsid w:val="00076EC4"/>
    <w:rsid w:val="00077050"/>
    <w:rsid w:val="000773BD"/>
    <w:rsid w:val="00077561"/>
    <w:rsid w:val="00077620"/>
    <w:rsid w:val="00077890"/>
    <w:rsid w:val="00077C76"/>
    <w:rsid w:val="00077FD6"/>
    <w:rsid w:val="000800A9"/>
    <w:rsid w:val="00080238"/>
    <w:rsid w:val="00080327"/>
    <w:rsid w:val="0008087D"/>
    <w:rsid w:val="00080B24"/>
    <w:rsid w:val="00080D05"/>
    <w:rsid w:val="000810BC"/>
    <w:rsid w:val="000811AF"/>
    <w:rsid w:val="000816C1"/>
    <w:rsid w:val="000818A2"/>
    <w:rsid w:val="0008192C"/>
    <w:rsid w:val="000820E1"/>
    <w:rsid w:val="0008249C"/>
    <w:rsid w:val="00082603"/>
    <w:rsid w:val="000827F4"/>
    <w:rsid w:val="0008316D"/>
    <w:rsid w:val="00083E30"/>
    <w:rsid w:val="00084ADD"/>
    <w:rsid w:val="0008503E"/>
    <w:rsid w:val="000852EF"/>
    <w:rsid w:val="00085A35"/>
    <w:rsid w:val="00085E27"/>
    <w:rsid w:val="000863A2"/>
    <w:rsid w:val="00086634"/>
    <w:rsid w:val="000867B1"/>
    <w:rsid w:val="00086DAA"/>
    <w:rsid w:val="00087163"/>
    <w:rsid w:val="00090070"/>
    <w:rsid w:val="000904F4"/>
    <w:rsid w:val="00090A71"/>
    <w:rsid w:val="00090C44"/>
    <w:rsid w:val="000916FC"/>
    <w:rsid w:val="0009176D"/>
    <w:rsid w:val="00091AF6"/>
    <w:rsid w:val="00091D14"/>
    <w:rsid w:val="00092508"/>
    <w:rsid w:val="00092696"/>
    <w:rsid w:val="000927D4"/>
    <w:rsid w:val="00092828"/>
    <w:rsid w:val="00092BD0"/>
    <w:rsid w:val="00092DD2"/>
    <w:rsid w:val="00093E05"/>
    <w:rsid w:val="00093E78"/>
    <w:rsid w:val="00094142"/>
    <w:rsid w:val="000943E0"/>
    <w:rsid w:val="00094967"/>
    <w:rsid w:val="00094B54"/>
    <w:rsid w:val="000959BE"/>
    <w:rsid w:val="00095C39"/>
    <w:rsid w:val="00095E59"/>
    <w:rsid w:val="00095F83"/>
    <w:rsid w:val="000961C8"/>
    <w:rsid w:val="00096A0D"/>
    <w:rsid w:val="00097220"/>
    <w:rsid w:val="00097438"/>
    <w:rsid w:val="000976FE"/>
    <w:rsid w:val="000979BB"/>
    <w:rsid w:val="00097A99"/>
    <w:rsid w:val="00097C11"/>
    <w:rsid w:val="00097F2E"/>
    <w:rsid w:val="000A08D0"/>
    <w:rsid w:val="000A0E7A"/>
    <w:rsid w:val="000A11EA"/>
    <w:rsid w:val="000A1EC2"/>
    <w:rsid w:val="000A2139"/>
    <w:rsid w:val="000A2810"/>
    <w:rsid w:val="000A2BEF"/>
    <w:rsid w:val="000A2E52"/>
    <w:rsid w:val="000A3086"/>
    <w:rsid w:val="000A360F"/>
    <w:rsid w:val="000A3629"/>
    <w:rsid w:val="000A3889"/>
    <w:rsid w:val="000A3FCC"/>
    <w:rsid w:val="000A4218"/>
    <w:rsid w:val="000A429E"/>
    <w:rsid w:val="000A4536"/>
    <w:rsid w:val="000A4B0A"/>
    <w:rsid w:val="000A4B20"/>
    <w:rsid w:val="000A5E27"/>
    <w:rsid w:val="000A628C"/>
    <w:rsid w:val="000A677F"/>
    <w:rsid w:val="000A6DD9"/>
    <w:rsid w:val="000A6DDA"/>
    <w:rsid w:val="000A6DF3"/>
    <w:rsid w:val="000A7E55"/>
    <w:rsid w:val="000B028F"/>
    <w:rsid w:val="000B06C2"/>
    <w:rsid w:val="000B0B98"/>
    <w:rsid w:val="000B112B"/>
    <w:rsid w:val="000B14C9"/>
    <w:rsid w:val="000B191F"/>
    <w:rsid w:val="000B1F8A"/>
    <w:rsid w:val="000B2246"/>
    <w:rsid w:val="000B2370"/>
    <w:rsid w:val="000B2DBB"/>
    <w:rsid w:val="000B3235"/>
    <w:rsid w:val="000B35E9"/>
    <w:rsid w:val="000B423F"/>
    <w:rsid w:val="000B4844"/>
    <w:rsid w:val="000B4894"/>
    <w:rsid w:val="000B4A86"/>
    <w:rsid w:val="000B4AAE"/>
    <w:rsid w:val="000B4D78"/>
    <w:rsid w:val="000B4E7D"/>
    <w:rsid w:val="000B54DB"/>
    <w:rsid w:val="000B5892"/>
    <w:rsid w:val="000B5CB3"/>
    <w:rsid w:val="000B638B"/>
    <w:rsid w:val="000B74FB"/>
    <w:rsid w:val="000B7A47"/>
    <w:rsid w:val="000B7F0B"/>
    <w:rsid w:val="000C0353"/>
    <w:rsid w:val="000C0368"/>
    <w:rsid w:val="000C0407"/>
    <w:rsid w:val="000C0FDE"/>
    <w:rsid w:val="000C119D"/>
    <w:rsid w:val="000C163D"/>
    <w:rsid w:val="000C1A09"/>
    <w:rsid w:val="000C1E90"/>
    <w:rsid w:val="000C263E"/>
    <w:rsid w:val="000C271D"/>
    <w:rsid w:val="000C2756"/>
    <w:rsid w:val="000C2D09"/>
    <w:rsid w:val="000C33C7"/>
    <w:rsid w:val="000C3905"/>
    <w:rsid w:val="000C3AC1"/>
    <w:rsid w:val="000C3B99"/>
    <w:rsid w:val="000C3C92"/>
    <w:rsid w:val="000C3E4A"/>
    <w:rsid w:val="000C3E8B"/>
    <w:rsid w:val="000C3EF0"/>
    <w:rsid w:val="000C40C6"/>
    <w:rsid w:val="000C417B"/>
    <w:rsid w:val="000C47C8"/>
    <w:rsid w:val="000C4F51"/>
    <w:rsid w:val="000C519B"/>
    <w:rsid w:val="000C639B"/>
    <w:rsid w:val="000C6947"/>
    <w:rsid w:val="000C6DF6"/>
    <w:rsid w:val="000C6EF3"/>
    <w:rsid w:val="000C7DD1"/>
    <w:rsid w:val="000D0B37"/>
    <w:rsid w:val="000D0CEF"/>
    <w:rsid w:val="000D0D83"/>
    <w:rsid w:val="000D12E4"/>
    <w:rsid w:val="000D14D6"/>
    <w:rsid w:val="000D1610"/>
    <w:rsid w:val="000D164F"/>
    <w:rsid w:val="000D18D2"/>
    <w:rsid w:val="000D1CDE"/>
    <w:rsid w:val="000D2028"/>
    <w:rsid w:val="000D21A2"/>
    <w:rsid w:val="000D28E6"/>
    <w:rsid w:val="000D2AD1"/>
    <w:rsid w:val="000D3139"/>
    <w:rsid w:val="000D3712"/>
    <w:rsid w:val="000D3AA4"/>
    <w:rsid w:val="000D4154"/>
    <w:rsid w:val="000D4265"/>
    <w:rsid w:val="000D4416"/>
    <w:rsid w:val="000D52BB"/>
    <w:rsid w:val="000D5372"/>
    <w:rsid w:val="000D59BC"/>
    <w:rsid w:val="000D5CA8"/>
    <w:rsid w:val="000D6030"/>
    <w:rsid w:val="000D654D"/>
    <w:rsid w:val="000D6D8A"/>
    <w:rsid w:val="000D6DC3"/>
    <w:rsid w:val="000D6F84"/>
    <w:rsid w:val="000D70F0"/>
    <w:rsid w:val="000D7221"/>
    <w:rsid w:val="000D73BD"/>
    <w:rsid w:val="000D7853"/>
    <w:rsid w:val="000D7A10"/>
    <w:rsid w:val="000D7D3D"/>
    <w:rsid w:val="000D7D57"/>
    <w:rsid w:val="000D7E53"/>
    <w:rsid w:val="000E0284"/>
    <w:rsid w:val="000E05AF"/>
    <w:rsid w:val="000E0985"/>
    <w:rsid w:val="000E0AA1"/>
    <w:rsid w:val="000E11F1"/>
    <w:rsid w:val="000E137C"/>
    <w:rsid w:val="000E1393"/>
    <w:rsid w:val="000E13C8"/>
    <w:rsid w:val="000E1429"/>
    <w:rsid w:val="000E1B3B"/>
    <w:rsid w:val="000E1D98"/>
    <w:rsid w:val="000E3475"/>
    <w:rsid w:val="000E3642"/>
    <w:rsid w:val="000E366F"/>
    <w:rsid w:val="000E3D0B"/>
    <w:rsid w:val="000E47DF"/>
    <w:rsid w:val="000E4F6E"/>
    <w:rsid w:val="000E502C"/>
    <w:rsid w:val="000E54AE"/>
    <w:rsid w:val="000E5AFE"/>
    <w:rsid w:val="000E6E1D"/>
    <w:rsid w:val="000E738B"/>
    <w:rsid w:val="000E75FF"/>
    <w:rsid w:val="000E7AC3"/>
    <w:rsid w:val="000F009D"/>
    <w:rsid w:val="000F06BE"/>
    <w:rsid w:val="000F0848"/>
    <w:rsid w:val="000F0C6A"/>
    <w:rsid w:val="000F1DB4"/>
    <w:rsid w:val="000F1DC9"/>
    <w:rsid w:val="000F2357"/>
    <w:rsid w:val="000F2631"/>
    <w:rsid w:val="000F2CF9"/>
    <w:rsid w:val="000F2E09"/>
    <w:rsid w:val="000F3291"/>
    <w:rsid w:val="000F344B"/>
    <w:rsid w:val="000F36CB"/>
    <w:rsid w:val="000F387D"/>
    <w:rsid w:val="000F394C"/>
    <w:rsid w:val="000F3B2D"/>
    <w:rsid w:val="000F3DD1"/>
    <w:rsid w:val="000F3F8D"/>
    <w:rsid w:val="000F40C4"/>
    <w:rsid w:val="000F42FE"/>
    <w:rsid w:val="000F4AC4"/>
    <w:rsid w:val="000F4E26"/>
    <w:rsid w:val="000F5107"/>
    <w:rsid w:val="000F57A0"/>
    <w:rsid w:val="000F583B"/>
    <w:rsid w:val="000F66A9"/>
    <w:rsid w:val="000F6985"/>
    <w:rsid w:val="000F69CD"/>
    <w:rsid w:val="000F6B57"/>
    <w:rsid w:val="000F7289"/>
    <w:rsid w:val="000F77E0"/>
    <w:rsid w:val="000F7A70"/>
    <w:rsid w:val="000F7AD3"/>
    <w:rsid w:val="0010028B"/>
    <w:rsid w:val="00102240"/>
    <w:rsid w:val="00102BBF"/>
    <w:rsid w:val="0010386B"/>
    <w:rsid w:val="00103AC5"/>
    <w:rsid w:val="00103E86"/>
    <w:rsid w:val="00103FB9"/>
    <w:rsid w:val="0010416F"/>
    <w:rsid w:val="00104217"/>
    <w:rsid w:val="00104397"/>
    <w:rsid w:val="001046D7"/>
    <w:rsid w:val="00104800"/>
    <w:rsid w:val="001049BE"/>
    <w:rsid w:val="00104B20"/>
    <w:rsid w:val="00104B67"/>
    <w:rsid w:val="00104D55"/>
    <w:rsid w:val="0010562A"/>
    <w:rsid w:val="00105744"/>
    <w:rsid w:val="00105D87"/>
    <w:rsid w:val="001063BF"/>
    <w:rsid w:val="00106CE5"/>
    <w:rsid w:val="001071C8"/>
    <w:rsid w:val="00107203"/>
    <w:rsid w:val="001074BF"/>
    <w:rsid w:val="00107F3F"/>
    <w:rsid w:val="001101D3"/>
    <w:rsid w:val="001104C0"/>
    <w:rsid w:val="00110B72"/>
    <w:rsid w:val="00110BC6"/>
    <w:rsid w:val="00110BDC"/>
    <w:rsid w:val="00110F9A"/>
    <w:rsid w:val="001117D6"/>
    <w:rsid w:val="001120F2"/>
    <w:rsid w:val="001124C7"/>
    <w:rsid w:val="00112759"/>
    <w:rsid w:val="001127FC"/>
    <w:rsid w:val="00112915"/>
    <w:rsid w:val="00112987"/>
    <w:rsid w:val="00112B5D"/>
    <w:rsid w:val="0011312E"/>
    <w:rsid w:val="0011345C"/>
    <w:rsid w:val="0011353C"/>
    <w:rsid w:val="00113AFC"/>
    <w:rsid w:val="0011411A"/>
    <w:rsid w:val="0011468C"/>
    <w:rsid w:val="001147D9"/>
    <w:rsid w:val="0011587B"/>
    <w:rsid w:val="00115D58"/>
    <w:rsid w:val="001162CD"/>
    <w:rsid w:val="00116550"/>
    <w:rsid w:val="00116A13"/>
    <w:rsid w:val="0011725F"/>
    <w:rsid w:val="0011739E"/>
    <w:rsid w:val="001173DD"/>
    <w:rsid w:val="00117800"/>
    <w:rsid w:val="001179D4"/>
    <w:rsid w:val="0012001B"/>
    <w:rsid w:val="00120416"/>
    <w:rsid w:val="0012088D"/>
    <w:rsid w:val="00120A44"/>
    <w:rsid w:val="00120A94"/>
    <w:rsid w:val="00121186"/>
    <w:rsid w:val="001216A2"/>
    <w:rsid w:val="001217CE"/>
    <w:rsid w:val="00121A98"/>
    <w:rsid w:val="0012202E"/>
    <w:rsid w:val="0012206B"/>
    <w:rsid w:val="00122684"/>
    <w:rsid w:val="0012269D"/>
    <w:rsid w:val="00123258"/>
    <w:rsid w:val="00124B87"/>
    <w:rsid w:val="00125194"/>
    <w:rsid w:val="001251E3"/>
    <w:rsid w:val="00125743"/>
    <w:rsid w:val="001259A3"/>
    <w:rsid w:val="00125E64"/>
    <w:rsid w:val="001261D9"/>
    <w:rsid w:val="0012624A"/>
    <w:rsid w:val="001267EA"/>
    <w:rsid w:val="00126C06"/>
    <w:rsid w:val="00126D6D"/>
    <w:rsid w:val="00126EB3"/>
    <w:rsid w:val="00127098"/>
    <w:rsid w:val="00127CB9"/>
    <w:rsid w:val="00127F23"/>
    <w:rsid w:val="0013046C"/>
    <w:rsid w:val="00130A3E"/>
    <w:rsid w:val="00130C1C"/>
    <w:rsid w:val="00132133"/>
    <w:rsid w:val="001323A4"/>
    <w:rsid w:val="0013268C"/>
    <w:rsid w:val="00132DDA"/>
    <w:rsid w:val="00132E22"/>
    <w:rsid w:val="00132E86"/>
    <w:rsid w:val="00133411"/>
    <w:rsid w:val="00133569"/>
    <w:rsid w:val="00133659"/>
    <w:rsid w:val="0013387A"/>
    <w:rsid w:val="001346D5"/>
    <w:rsid w:val="00135029"/>
    <w:rsid w:val="001350B1"/>
    <w:rsid w:val="00135876"/>
    <w:rsid w:val="00135BE8"/>
    <w:rsid w:val="00135F5B"/>
    <w:rsid w:val="0013604F"/>
    <w:rsid w:val="00136445"/>
    <w:rsid w:val="00136AD7"/>
    <w:rsid w:val="00136C64"/>
    <w:rsid w:val="00136C8A"/>
    <w:rsid w:val="00137642"/>
    <w:rsid w:val="0014042D"/>
    <w:rsid w:val="00140C4A"/>
    <w:rsid w:val="001410D8"/>
    <w:rsid w:val="00141236"/>
    <w:rsid w:val="00141572"/>
    <w:rsid w:val="00141937"/>
    <w:rsid w:val="00141967"/>
    <w:rsid w:val="00141D1B"/>
    <w:rsid w:val="001420DC"/>
    <w:rsid w:val="001425F8"/>
    <w:rsid w:val="001429E5"/>
    <w:rsid w:val="00142CBC"/>
    <w:rsid w:val="001431B4"/>
    <w:rsid w:val="00143388"/>
    <w:rsid w:val="00143957"/>
    <w:rsid w:val="00143B6F"/>
    <w:rsid w:val="00144085"/>
    <w:rsid w:val="00144ADB"/>
    <w:rsid w:val="0014522F"/>
    <w:rsid w:val="0014529B"/>
    <w:rsid w:val="0014553B"/>
    <w:rsid w:val="00145A54"/>
    <w:rsid w:val="00146606"/>
    <w:rsid w:val="00146BAD"/>
    <w:rsid w:val="00146CD6"/>
    <w:rsid w:val="00146F09"/>
    <w:rsid w:val="001471F4"/>
    <w:rsid w:val="001472D8"/>
    <w:rsid w:val="00147DEA"/>
    <w:rsid w:val="00147EEE"/>
    <w:rsid w:val="00150171"/>
    <w:rsid w:val="0015024C"/>
    <w:rsid w:val="00150488"/>
    <w:rsid w:val="001508BA"/>
    <w:rsid w:val="00150CE5"/>
    <w:rsid w:val="00150DB4"/>
    <w:rsid w:val="00150EB9"/>
    <w:rsid w:val="0015118E"/>
    <w:rsid w:val="001515A5"/>
    <w:rsid w:val="0015171B"/>
    <w:rsid w:val="00151C56"/>
    <w:rsid w:val="00151EF6"/>
    <w:rsid w:val="001520C9"/>
    <w:rsid w:val="00152287"/>
    <w:rsid w:val="001524C4"/>
    <w:rsid w:val="00152623"/>
    <w:rsid w:val="001527E1"/>
    <w:rsid w:val="001529F1"/>
    <w:rsid w:val="00154084"/>
    <w:rsid w:val="00154502"/>
    <w:rsid w:val="001546B8"/>
    <w:rsid w:val="00154C7B"/>
    <w:rsid w:val="00154FD6"/>
    <w:rsid w:val="0015593E"/>
    <w:rsid w:val="00155A66"/>
    <w:rsid w:val="00155FDA"/>
    <w:rsid w:val="00156112"/>
    <w:rsid w:val="00156129"/>
    <w:rsid w:val="00156838"/>
    <w:rsid w:val="00156C1F"/>
    <w:rsid w:val="00156D1E"/>
    <w:rsid w:val="00156F84"/>
    <w:rsid w:val="00156F9B"/>
    <w:rsid w:val="00157388"/>
    <w:rsid w:val="001605CF"/>
    <w:rsid w:val="00160896"/>
    <w:rsid w:val="00160A53"/>
    <w:rsid w:val="001614E9"/>
    <w:rsid w:val="001615AF"/>
    <w:rsid w:val="00161BFC"/>
    <w:rsid w:val="00161D05"/>
    <w:rsid w:val="00161E34"/>
    <w:rsid w:val="00161F59"/>
    <w:rsid w:val="00162DD3"/>
    <w:rsid w:val="001641DA"/>
    <w:rsid w:val="00164F1C"/>
    <w:rsid w:val="00164F87"/>
    <w:rsid w:val="0016544D"/>
    <w:rsid w:val="00165522"/>
    <w:rsid w:val="0016558E"/>
    <w:rsid w:val="00165822"/>
    <w:rsid w:val="001658E2"/>
    <w:rsid w:val="0016607C"/>
    <w:rsid w:val="001660DA"/>
    <w:rsid w:val="00167270"/>
    <w:rsid w:val="001677A3"/>
    <w:rsid w:val="00167B68"/>
    <w:rsid w:val="00167C16"/>
    <w:rsid w:val="00167F5E"/>
    <w:rsid w:val="001702C0"/>
    <w:rsid w:val="001703BB"/>
    <w:rsid w:val="00170454"/>
    <w:rsid w:val="0017090C"/>
    <w:rsid w:val="00171283"/>
    <w:rsid w:val="001717DA"/>
    <w:rsid w:val="0017199F"/>
    <w:rsid w:val="00172218"/>
    <w:rsid w:val="00172833"/>
    <w:rsid w:val="001728A9"/>
    <w:rsid w:val="00172E0F"/>
    <w:rsid w:val="00172F29"/>
    <w:rsid w:val="00172FD2"/>
    <w:rsid w:val="001737B0"/>
    <w:rsid w:val="001737C3"/>
    <w:rsid w:val="00173C67"/>
    <w:rsid w:val="00173F23"/>
    <w:rsid w:val="001740D2"/>
    <w:rsid w:val="00174B9D"/>
    <w:rsid w:val="00174EED"/>
    <w:rsid w:val="001758C5"/>
    <w:rsid w:val="001759B5"/>
    <w:rsid w:val="00175C7F"/>
    <w:rsid w:val="001761BB"/>
    <w:rsid w:val="00176DC4"/>
    <w:rsid w:val="00176EFE"/>
    <w:rsid w:val="00177445"/>
    <w:rsid w:val="0017771C"/>
    <w:rsid w:val="001778DD"/>
    <w:rsid w:val="0017790C"/>
    <w:rsid w:val="00177A34"/>
    <w:rsid w:val="00177CE0"/>
    <w:rsid w:val="001810BA"/>
    <w:rsid w:val="0018196A"/>
    <w:rsid w:val="00181EB1"/>
    <w:rsid w:val="0018202D"/>
    <w:rsid w:val="001823C0"/>
    <w:rsid w:val="00182673"/>
    <w:rsid w:val="001830D8"/>
    <w:rsid w:val="001832DE"/>
    <w:rsid w:val="00183502"/>
    <w:rsid w:val="00183A1F"/>
    <w:rsid w:val="00183F3F"/>
    <w:rsid w:val="0018406B"/>
    <w:rsid w:val="001841BF"/>
    <w:rsid w:val="0018424F"/>
    <w:rsid w:val="00184413"/>
    <w:rsid w:val="0018444F"/>
    <w:rsid w:val="00185455"/>
    <w:rsid w:val="0018573A"/>
    <w:rsid w:val="0018591D"/>
    <w:rsid w:val="001861C2"/>
    <w:rsid w:val="00186381"/>
    <w:rsid w:val="0018643E"/>
    <w:rsid w:val="0018662D"/>
    <w:rsid w:val="00186CEF"/>
    <w:rsid w:val="00186DDC"/>
    <w:rsid w:val="001871C6"/>
    <w:rsid w:val="00187B26"/>
    <w:rsid w:val="00187B95"/>
    <w:rsid w:val="00187EC4"/>
    <w:rsid w:val="00187F0D"/>
    <w:rsid w:val="001904ED"/>
    <w:rsid w:val="001907B3"/>
    <w:rsid w:val="00190839"/>
    <w:rsid w:val="0019084E"/>
    <w:rsid w:val="00190B00"/>
    <w:rsid w:val="00190CEB"/>
    <w:rsid w:val="0019139C"/>
    <w:rsid w:val="0019169B"/>
    <w:rsid w:val="001919F8"/>
    <w:rsid w:val="00192467"/>
    <w:rsid w:val="00192CF9"/>
    <w:rsid w:val="00193003"/>
    <w:rsid w:val="001931E0"/>
    <w:rsid w:val="00193836"/>
    <w:rsid w:val="00194270"/>
    <w:rsid w:val="001943EF"/>
    <w:rsid w:val="00194EBD"/>
    <w:rsid w:val="0019532F"/>
    <w:rsid w:val="001953BF"/>
    <w:rsid w:val="00195BE3"/>
    <w:rsid w:val="00195C63"/>
    <w:rsid w:val="001968D7"/>
    <w:rsid w:val="00196F51"/>
    <w:rsid w:val="00196FC7"/>
    <w:rsid w:val="001978BA"/>
    <w:rsid w:val="00197E5E"/>
    <w:rsid w:val="001A0091"/>
    <w:rsid w:val="001A0686"/>
    <w:rsid w:val="001A0B55"/>
    <w:rsid w:val="001A0C27"/>
    <w:rsid w:val="001A11A3"/>
    <w:rsid w:val="001A1228"/>
    <w:rsid w:val="001A2020"/>
    <w:rsid w:val="001A2846"/>
    <w:rsid w:val="001A29D6"/>
    <w:rsid w:val="001A2B53"/>
    <w:rsid w:val="001A3570"/>
    <w:rsid w:val="001A3CA9"/>
    <w:rsid w:val="001A42F7"/>
    <w:rsid w:val="001A51F5"/>
    <w:rsid w:val="001A54A9"/>
    <w:rsid w:val="001A59A3"/>
    <w:rsid w:val="001A61F5"/>
    <w:rsid w:val="001A71E2"/>
    <w:rsid w:val="001A722F"/>
    <w:rsid w:val="001A7293"/>
    <w:rsid w:val="001A7D41"/>
    <w:rsid w:val="001A7EAE"/>
    <w:rsid w:val="001B0142"/>
    <w:rsid w:val="001B086D"/>
    <w:rsid w:val="001B0EF2"/>
    <w:rsid w:val="001B1309"/>
    <w:rsid w:val="001B1E78"/>
    <w:rsid w:val="001B2366"/>
    <w:rsid w:val="001B269D"/>
    <w:rsid w:val="001B27D5"/>
    <w:rsid w:val="001B298A"/>
    <w:rsid w:val="001B32C9"/>
    <w:rsid w:val="001B3BAD"/>
    <w:rsid w:val="001B3D84"/>
    <w:rsid w:val="001B3F22"/>
    <w:rsid w:val="001B46CE"/>
    <w:rsid w:val="001B49D1"/>
    <w:rsid w:val="001B4B45"/>
    <w:rsid w:val="001B4E4A"/>
    <w:rsid w:val="001B4F9E"/>
    <w:rsid w:val="001B5419"/>
    <w:rsid w:val="001B591A"/>
    <w:rsid w:val="001B5D9A"/>
    <w:rsid w:val="001B6ABF"/>
    <w:rsid w:val="001B6ACD"/>
    <w:rsid w:val="001B769F"/>
    <w:rsid w:val="001B78CD"/>
    <w:rsid w:val="001B7C66"/>
    <w:rsid w:val="001B7EA6"/>
    <w:rsid w:val="001B7F4A"/>
    <w:rsid w:val="001C079B"/>
    <w:rsid w:val="001C0F3D"/>
    <w:rsid w:val="001C1112"/>
    <w:rsid w:val="001C164A"/>
    <w:rsid w:val="001C1984"/>
    <w:rsid w:val="001C1E3E"/>
    <w:rsid w:val="001C27CF"/>
    <w:rsid w:val="001C28F3"/>
    <w:rsid w:val="001C2B73"/>
    <w:rsid w:val="001C2ECE"/>
    <w:rsid w:val="001C3187"/>
    <w:rsid w:val="001C34BC"/>
    <w:rsid w:val="001C3A2B"/>
    <w:rsid w:val="001C3A94"/>
    <w:rsid w:val="001C428C"/>
    <w:rsid w:val="001C4632"/>
    <w:rsid w:val="001C4A40"/>
    <w:rsid w:val="001C4D85"/>
    <w:rsid w:val="001C4FA9"/>
    <w:rsid w:val="001C4FCA"/>
    <w:rsid w:val="001C5850"/>
    <w:rsid w:val="001C5FE6"/>
    <w:rsid w:val="001C611E"/>
    <w:rsid w:val="001C645F"/>
    <w:rsid w:val="001C68F4"/>
    <w:rsid w:val="001C6AFE"/>
    <w:rsid w:val="001C6DFD"/>
    <w:rsid w:val="001C7493"/>
    <w:rsid w:val="001D026D"/>
    <w:rsid w:val="001D0274"/>
    <w:rsid w:val="001D0785"/>
    <w:rsid w:val="001D0A42"/>
    <w:rsid w:val="001D1140"/>
    <w:rsid w:val="001D12B9"/>
    <w:rsid w:val="001D172A"/>
    <w:rsid w:val="001D21CC"/>
    <w:rsid w:val="001D2275"/>
    <w:rsid w:val="001D28E0"/>
    <w:rsid w:val="001D2C6F"/>
    <w:rsid w:val="001D3122"/>
    <w:rsid w:val="001D3156"/>
    <w:rsid w:val="001D3796"/>
    <w:rsid w:val="001D3B08"/>
    <w:rsid w:val="001D434A"/>
    <w:rsid w:val="001D4864"/>
    <w:rsid w:val="001D4FAD"/>
    <w:rsid w:val="001D5191"/>
    <w:rsid w:val="001D53B5"/>
    <w:rsid w:val="001D543B"/>
    <w:rsid w:val="001D580B"/>
    <w:rsid w:val="001D5A88"/>
    <w:rsid w:val="001D5CA4"/>
    <w:rsid w:val="001D5DD4"/>
    <w:rsid w:val="001D615F"/>
    <w:rsid w:val="001D623B"/>
    <w:rsid w:val="001D6BA7"/>
    <w:rsid w:val="001D6E1D"/>
    <w:rsid w:val="001D6FBF"/>
    <w:rsid w:val="001D7048"/>
    <w:rsid w:val="001D76DD"/>
    <w:rsid w:val="001D793B"/>
    <w:rsid w:val="001D795C"/>
    <w:rsid w:val="001D7ECB"/>
    <w:rsid w:val="001E0006"/>
    <w:rsid w:val="001E015D"/>
    <w:rsid w:val="001E0729"/>
    <w:rsid w:val="001E07D5"/>
    <w:rsid w:val="001E0A3E"/>
    <w:rsid w:val="001E1065"/>
    <w:rsid w:val="001E11AE"/>
    <w:rsid w:val="001E11F3"/>
    <w:rsid w:val="001E136C"/>
    <w:rsid w:val="001E1410"/>
    <w:rsid w:val="001E160E"/>
    <w:rsid w:val="001E1728"/>
    <w:rsid w:val="001E17FD"/>
    <w:rsid w:val="001E19CB"/>
    <w:rsid w:val="001E1A17"/>
    <w:rsid w:val="001E21F5"/>
    <w:rsid w:val="001E2499"/>
    <w:rsid w:val="001E2503"/>
    <w:rsid w:val="001E2F67"/>
    <w:rsid w:val="001E337E"/>
    <w:rsid w:val="001E350E"/>
    <w:rsid w:val="001E3EFE"/>
    <w:rsid w:val="001E439B"/>
    <w:rsid w:val="001E4448"/>
    <w:rsid w:val="001E45D4"/>
    <w:rsid w:val="001E4C36"/>
    <w:rsid w:val="001E500B"/>
    <w:rsid w:val="001E51A0"/>
    <w:rsid w:val="001E5276"/>
    <w:rsid w:val="001E55CC"/>
    <w:rsid w:val="001E587E"/>
    <w:rsid w:val="001E59AF"/>
    <w:rsid w:val="001E657B"/>
    <w:rsid w:val="001E657F"/>
    <w:rsid w:val="001E756E"/>
    <w:rsid w:val="001E787B"/>
    <w:rsid w:val="001E7B3D"/>
    <w:rsid w:val="001F016A"/>
    <w:rsid w:val="001F03A3"/>
    <w:rsid w:val="001F0A62"/>
    <w:rsid w:val="001F0A98"/>
    <w:rsid w:val="001F0AE0"/>
    <w:rsid w:val="001F0B2C"/>
    <w:rsid w:val="001F21D1"/>
    <w:rsid w:val="001F2794"/>
    <w:rsid w:val="001F2B23"/>
    <w:rsid w:val="001F2BF9"/>
    <w:rsid w:val="001F3105"/>
    <w:rsid w:val="001F326C"/>
    <w:rsid w:val="001F35E0"/>
    <w:rsid w:val="001F3867"/>
    <w:rsid w:val="001F3BB2"/>
    <w:rsid w:val="001F3C81"/>
    <w:rsid w:val="001F4A6F"/>
    <w:rsid w:val="001F4B53"/>
    <w:rsid w:val="001F5067"/>
    <w:rsid w:val="001F58DF"/>
    <w:rsid w:val="001F5DD0"/>
    <w:rsid w:val="001F5E7B"/>
    <w:rsid w:val="001F60E8"/>
    <w:rsid w:val="001F6321"/>
    <w:rsid w:val="001F6633"/>
    <w:rsid w:val="001F6A32"/>
    <w:rsid w:val="001F6D22"/>
    <w:rsid w:val="001F6E77"/>
    <w:rsid w:val="001F7081"/>
    <w:rsid w:val="001F776C"/>
    <w:rsid w:val="001F7CD6"/>
    <w:rsid w:val="001F7E75"/>
    <w:rsid w:val="002001AF"/>
    <w:rsid w:val="002011FA"/>
    <w:rsid w:val="002015CB"/>
    <w:rsid w:val="00201994"/>
    <w:rsid w:val="00201C79"/>
    <w:rsid w:val="00202701"/>
    <w:rsid w:val="00202F9B"/>
    <w:rsid w:val="00203ECC"/>
    <w:rsid w:val="00203FE7"/>
    <w:rsid w:val="0020406A"/>
    <w:rsid w:val="00204169"/>
    <w:rsid w:val="0020420E"/>
    <w:rsid w:val="00205390"/>
    <w:rsid w:val="00205729"/>
    <w:rsid w:val="00205819"/>
    <w:rsid w:val="00205A24"/>
    <w:rsid w:val="00205EE0"/>
    <w:rsid w:val="002064AB"/>
    <w:rsid w:val="00207539"/>
    <w:rsid w:val="00207928"/>
    <w:rsid w:val="0021036B"/>
    <w:rsid w:val="0021060E"/>
    <w:rsid w:val="00211D17"/>
    <w:rsid w:val="00211D82"/>
    <w:rsid w:val="00211FBF"/>
    <w:rsid w:val="0021206C"/>
    <w:rsid w:val="00212113"/>
    <w:rsid w:val="00212335"/>
    <w:rsid w:val="002127D0"/>
    <w:rsid w:val="00212BC1"/>
    <w:rsid w:val="00213143"/>
    <w:rsid w:val="0021448C"/>
    <w:rsid w:val="002149C8"/>
    <w:rsid w:val="00214D4C"/>
    <w:rsid w:val="00214DB3"/>
    <w:rsid w:val="00214F11"/>
    <w:rsid w:val="0021523F"/>
    <w:rsid w:val="002161B1"/>
    <w:rsid w:val="00216477"/>
    <w:rsid w:val="002165F8"/>
    <w:rsid w:val="0021660D"/>
    <w:rsid w:val="00216955"/>
    <w:rsid w:val="002179E8"/>
    <w:rsid w:val="00217A95"/>
    <w:rsid w:val="00217BE6"/>
    <w:rsid w:val="00220AA4"/>
    <w:rsid w:val="00220CB0"/>
    <w:rsid w:val="00220D2D"/>
    <w:rsid w:val="00221A24"/>
    <w:rsid w:val="00221B81"/>
    <w:rsid w:val="00221C32"/>
    <w:rsid w:val="00221C5E"/>
    <w:rsid w:val="0022201C"/>
    <w:rsid w:val="00222199"/>
    <w:rsid w:val="0022238A"/>
    <w:rsid w:val="002224C9"/>
    <w:rsid w:val="00222667"/>
    <w:rsid w:val="00222A92"/>
    <w:rsid w:val="00222E01"/>
    <w:rsid w:val="002230AB"/>
    <w:rsid w:val="00223819"/>
    <w:rsid w:val="002243B8"/>
    <w:rsid w:val="00224D5A"/>
    <w:rsid w:val="00224FE8"/>
    <w:rsid w:val="002250BA"/>
    <w:rsid w:val="0022511D"/>
    <w:rsid w:val="0022561F"/>
    <w:rsid w:val="002256E5"/>
    <w:rsid w:val="00225762"/>
    <w:rsid w:val="002264B6"/>
    <w:rsid w:val="00226DAA"/>
    <w:rsid w:val="00226E14"/>
    <w:rsid w:val="002274D1"/>
    <w:rsid w:val="00227528"/>
    <w:rsid w:val="00227536"/>
    <w:rsid w:val="00227D07"/>
    <w:rsid w:val="00227EA0"/>
    <w:rsid w:val="00230563"/>
    <w:rsid w:val="002307E5"/>
    <w:rsid w:val="00230A73"/>
    <w:rsid w:val="00230F4D"/>
    <w:rsid w:val="00231917"/>
    <w:rsid w:val="00231C91"/>
    <w:rsid w:val="00231F35"/>
    <w:rsid w:val="00232735"/>
    <w:rsid w:val="00232EB7"/>
    <w:rsid w:val="00232F53"/>
    <w:rsid w:val="002332F5"/>
    <w:rsid w:val="002336DC"/>
    <w:rsid w:val="0023388C"/>
    <w:rsid w:val="00233B62"/>
    <w:rsid w:val="00233BD2"/>
    <w:rsid w:val="00233CFB"/>
    <w:rsid w:val="00234179"/>
    <w:rsid w:val="00234394"/>
    <w:rsid w:val="002348E1"/>
    <w:rsid w:val="00234D08"/>
    <w:rsid w:val="00234ED4"/>
    <w:rsid w:val="00235536"/>
    <w:rsid w:val="0023553E"/>
    <w:rsid w:val="00235B6E"/>
    <w:rsid w:val="00235B87"/>
    <w:rsid w:val="00236117"/>
    <w:rsid w:val="00236305"/>
    <w:rsid w:val="002365FC"/>
    <w:rsid w:val="002366EB"/>
    <w:rsid w:val="00236756"/>
    <w:rsid w:val="002368CF"/>
    <w:rsid w:val="002372A0"/>
    <w:rsid w:val="00237347"/>
    <w:rsid w:val="002375AF"/>
    <w:rsid w:val="002377EC"/>
    <w:rsid w:val="00237A67"/>
    <w:rsid w:val="00237FE9"/>
    <w:rsid w:val="00240331"/>
    <w:rsid w:val="002404D9"/>
    <w:rsid w:val="0024063C"/>
    <w:rsid w:val="00240861"/>
    <w:rsid w:val="00241984"/>
    <w:rsid w:val="00241993"/>
    <w:rsid w:val="00241B9A"/>
    <w:rsid w:val="00241D97"/>
    <w:rsid w:val="0024217D"/>
    <w:rsid w:val="0024224D"/>
    <w:rsid w:val="00242488"/>
    <w:rsid w:val="002426F9"/>
    <w:rsid w:val="002428E1"/>
    <w:rsid w:val="00242BF7"/>
    <w:rsid w:val="00243083"/>
    <w:rsid w:val="00243477"/>
    <w:rsid w:val="00243569"/>
    <w:rsid w:val="00243B62"/>
    <w:rsid w:val="00243CF1"/>
    <w:rsid w:val="00243D35"/>
    <w:rsid w:val="00243DC4"/>
    <w:rsid w:val="00244706"/>
    <w:rsid w:val="00244ECC"/>
    <w:rsid w:val="00245505"/>
    <w:rsid w:val="0024594F"/>
    <w:rsid w:val="00245AE0"/>
    <w:rsid w:val="00245E5E"/>
    <w:rsid w:val="00246466"/>
    <w:rsid w:val="00246C73"/>
    <w:rsid w:val="002474EC"/>
    <w:rsid w:val="00247995"/>
    <w:rsid w:val="00247A50"/>
    <w:rsid w:val="00247C8C"/>
    <w:rsid w:val="00247E94"/>
    <w:rsid w:val="00247EA1"/>
    <w:rsid w:val="002505B3"/>
    <w:rsid w:val="00250BC9"/>
    <w:rsid w:val="00250CE3"/>
    <w:rsid w:val="00250E8F"/>
    <w:rsid w:val="00251151"/>
    <w:rsid w:val="00251792"/>
    <w:rsid w:val="002523C9"/>
    <w:rsid w:val="002524D7"/>
    <w:rsid w:val="002528CC"/>
    <w:rsid w:val="002529B6"/>
    <w:rsid w:val="00252C06"/>
    <w:rsid w:val="00253B48"/>
    <w:rsid w:val="0025482D"/>
    <w:rsid w:val="00254CB7"/>
    <w:rsid w:val="00254DA1"/>
    <w:rsid w:val="00255156"/>
    <w:rsid w:val="00255410"/>
    <w:rsid w:val="00256193"/>
    <w:rsid w:val="00256246"/>
    <w:rsid w:val="00256302"/>
    <w:rsid w:val="002563AB"/>
    <w:rsid w:val="00256FEC"/>
    <w:rsid w:val="0025767A"/>
    <w:rsid w:val="00257E46"/>
    <w:rsid w:val="002603CD"/>
    <w:rsid w:val="00260662"/>
    <w:rsid w:val="002607E7"/>
    <w:rsid w:val="00260B47"/>
    <w:rsid w:val="00260D4B"/>
    <w:rsid w:val="00261377"/>
    <w:rsid w:val="00261673"/>
    <w:rsid w:val="002616C0"/>
    <w:rsid w:val="00261858"/>
    <w:rsid w:val="00261AE2"/>
    <w:rsid w:val="00261D99"/>
    <w:rsid w:val="00261F4E"/>
    <w:rsid w:val="00261FBD"/>
    <w:rsid w:val="002620C7"/>
    <w:rsid w:val="00262748"/>
    <w:rsid w:val="00262AE0"/>
    <w:rsid w:val="00262D83"/>
    <w:rsid w:val="002631A8"/>
    <w:rsid w:val="002633B5"/>
    <w:rsid w:val="00263705"/>
    <w:rsid w:val="00263901"/>
    <w:rsid w:val="00263E14"/>
    <w:rsid w:val="00263E38"/>
    <w:rsid w:val="00264494"/>
    <w:rsid w:val="00264A0B"/>
    <w:rsid w:val="00264A35"/>
    <w:rsid w:val="00264D15"/>
    <w:rsid w:val="00264D70"/>
    <w:rsid w:val="00264EBE"/>
    <w:rsid w:val="002658DF"/>
    <w:rsid w:val="00265AB2"/>
    <w:rsid w:val="002666C7"/>
    <w:rsid w:val="00266891"/>
    <w:rsid w:val="00266A33"/>
    <w:rsid w:val="00266D24"/>
    <w:rsid w:val="0026743E"/>
    <w:rsid w:val="002676D4"/>
    <w:rsid w:val="00267839"/>
    <w:rsid w:val="00267921"/>
    <w:rsid w:val="00267BAE"/>
    <w:rsid w:val="00267DA5"/>
    <w:rsid w:val="00267F50"/>
    <w:rsid w:val="00270899"/>
    <w:rsid w:val="002709D7"/>
    <w:rsid w:val="002712FD"/>
    <w:rsid w:val="00271B62"/>
    <w:rsid w:val="002728B3"/>
    <w:rsid w:val="0027290E"/>
    <w:rsid w:val="00273102"/>
    <w:rsid w:val="0027378C"/>
    <w:rsid w:val="00273859"/>
    <w:rsid w:val="002744AD"/>
    <w:rsid w:val="00274AE5"/>
    <w:rsid w:val="002752EC"/>
    <w:rsid w:val="002757F4"/>
    <w:rsid w:val="00275868"/>
    <w:rsid w:val="00275ED5"/>
    <w:rsid w:val="002763C3"/>
    <w:rsid w:val="0027725D"/>
    <w:rsid w:val="002773B0"/>
    <w:rsid w:val="00277CE0"/>
    <w:rsid w:val="002801CE"/>
    <w:rsid w:val="00280471"/>
    <w:rsid w:val="0028059A"/>
    <w:rsid w:val="0028084F"/>
    <w:rsid w:val="002816B1"/>
    <w:rsid w:val="00281755"/>
    <w:rsid w:val="00281A57"/>
    <w:rsid w:val="00281AF5"/>
    <w:rsid w:val="00281C2D"/>
    <w:rsid w:val="00282174"/>
    <w:rsid w:val="00282685"/>
    <w:rsid w:val="002826F9"/>
    <w:rsid w:val="00282E05"/>
    <w:rsid w:val="0028308B"/>
    <w:rsid w:val="002833D7"/>
    <w:rsid w:val="00283772"/>
    <w:rsid w:val="00283924"/>
    <w:rsid w:val="00283F73"/>
    <w:rsid w:val="00284276"/>
    <w:rsid w:val="0028430F"/>
    <w:rsid w:val="002844ED"/>
    <w:rsid w:val="00285033"/>
    <w:rsid w:val="002852F0"/>
    <w:rsid w:val="00285969"/>
    <w:rsid w:val="00285BF3"/>
    <w:rsid w:val="002863F6"/>
    <w:rsid w:val="00286754"/>
    <w:rsid w:val="00286F14"/>
    <w:rsid w:val="00287954"/>
    <w:rsid w:val="00290220"/>
    <w:rsid w:val="00290CA0"/>
    <w:rsid w:val="002910DD"/>
    <w:rsid w:val="002911CF"/>
    <w:rsid w:val="0029163D"/>
    <w:rsid w:val="00291DCC"/>
    <w:rsid w:val="00292248"/>
    <w:rsid w:val="0029266B"/>
    <w:rsid w:val="00292790"/>
    <w:rsid w:val="002927F2"/>
    <w:rsid w:val="00292957"/>
    <w:rsid w:val="00292993"/>
    <w:rsid w:val="00292A00"/>
    <w:rsid w:val="002931ED"/>
    <w:rsid w:val="00293704"/>
    <w:rsid w:val="00293C94"/>
    <w:rsid w:val="00293D77"/>
    <w:rsid w:val="00293E0D"/>
    <w:rsid w:val="002946E7"/>
    <w:rsid w:val="00294990"/>
    <w:rsid w:val="00294AD5"/>
    <w:rsid w:val="00294BB3"/>
    <w:rsid w:val="002950C8"/>
    <w:rsid w:val="002951C2"/>
    <w:rsid w:val="0029527C"/>
    <w:rsid w:val="0029531C"/>
    <w:rsid w:val="002953E1"/>
    <w:rsid w:val="002959D6"/>
    <w:rsid w:val="00295BAF"/>
    <w:rsid w:val="002962DA"/>
    <w:rsid w:val="002963C1"/>
    <w:rsid w:val="00296B2F"/>
    <w:rsid w:val="00296C25"/>
    <w:rsid w:val="002970B3"/>
    <w:rsid w:val="002974A1"/>
    <w:rsid w:val="00297C21"/>
    <w:rsid w:val="00297EA0"/>
    <w:rsid w:val="00297ED2"/>
    <w:rsid w:val="002A023E"/>
    <w:rsid w:val="002A2260"/>
    <w:rsid w:val="002A27B1"/>
    <w:rsid w:val="002A2CB2"/>
    <w:rsid w:val="002A2DE7"/>
    <w:rsid w:val="002A3F81"/>
    <w:rsid w:val="002A410F"/>
    <w:rsid w:val="002A424A"/>
    <w:rsid w:val="002A442B"/>
    <w:rsid w:val="002A4463"/>
    <w:rsid w:val="002A4C8E"/>
    <w:rsid w:val="002A4DA4"/>
    <w:rsid w:val="002A4DBE"/>
    <w:rsid w:val="002A55C3"/>
    <w:rsid w:val="002A5734"/>
    <w:rsid w:val="002A5DB7"/>
    <w:rsid w:val="002A5EA9"/>
    <w:rsid w:val="002A611C"/>
    <w:rsid w:val="002A645F"/>
    <w:rsid w:val="002A65AC"/>
    <w:rsid w:val="002A6A2A"/>
    <w:rsid w:val="002A7145"/>
    <w:rsid w:val="002A7223"/>
    <w:rsid w:val="002A7319"/>
    <w:rsid w:val="002A74C9"/>
    <w:rsid w:val="002A74EC"/>
    <w:rsid w:val="002A774F"/>
    <w:rsid w:val="002A7D7E"/>
    <w:rsid w:val="002B040A"/>
    <w:rsid w:val="002B0478"/>
    <w:rsid w:val="002B0632"/>
    <w:rsid w:val="002B06AD"/>
    <w:rsid w:val="002B0D05"/>
    <w:rsid w:val="002B0D31"/>
    <w:rsid w:val="002B10A3"/>
    <w:rsid w:val="002B156F"/>
    <w:rsid w:val="002B18FB"/>
    <w:rsid w:val="002B1917"/>
    <w:rsid w:val="002B1E71"/>
    <w:rsid w:val="002B214F"/>
    <w:rsid w:val="002B255D"/>
    <w:rsid w:val="002B2740"/>
    <w:rsid w:val="002B2B70"/>
    <w:rsid w:val="002B2DFA"/>
    <w:rsid w:val="002B3373"/>
    <w:rsid w:val="002B3661"/>
    <w:rsid w:val="002B3D7F"/>
    <w:rsid w:val="002B480D"/>
    <w:rsid w:val="002B481B"/>
    <w:rsid w:val="002B5AC5"/>
    <w:rsid w:val="002B5F65"/>
    <w:rsid w:val="002B62B5"/>
    <w:rsid w:val="002B637D"/>
    <w:rsid w:val="002B78AD"/>
    <w:rsid w:val="002C0197"/>
    <w:rsid w:val="002C0469"/>
    <w:rsid w:val="002C0556"/>
    <w:rsid w:val="002C0758"/>
    <w:rsid w:val="002C11A5"/>
    <w:rsid w:val="002C1445"/>
    <w:rsid w:val="002C14E5"/>
    <w:rsid w:val="002C150C"/>
    <w:rsid w:val="002C1587"/>
    <w:rsid w:val="002C161C"/>
    <w:rsid w:val="002C16DB"/>
    <w:rsid w:val="002C1923"/>
    <w:rsid w:val="002C1B6A"/>
    <w:rsid w:val="002C1FAE"/>
    <w:rsid w:val="002C270D"/>
    <w:rsid w:val="002C27EE"/>
    <w:rsid w:val="002C2D32"/>
    <w:rsid w:val="002C2EEF"/>
    <w:rsid w:val="002C3C31"/>
    <w:rsid w:val="002C3E08"/>
    <w:rsid w:val="002C3F74"/>
    <w:rsid w:val="002C41DC"/>
    <w:rsid w:val="002C41EF"/>
    <w:rsid w:val="002C460D"/>
    <w:rsid w:val="002C4833"/>
    <w:rsid w:val="002C4F74"/>
    <w:rsid w:val="002C5411"/>
    <w:rsid w:val="002C58A1"/>
    <w:rsid w:val="002C62B8"/>
    <w:rsid w:val="002C64C4"/>
    <w:rsid w:val="002C66FA"/>
    <w:rsid w:val="002C6B9C"/>
    <w:rsid w:val="002C6C20"/>
    <w:rsid w:val="002C6F62"/>
    <w:rsid w:val="002C7699"/>
    <w:rsid w:val="002C7ABA"/>
    <w:rsid w:val="002C7C06"/>
    <w:rsid w:val="002D0E4D"/>
    <w:rsid w:val="002D0EC0"/>
    <w:rsid w:val="002D11E3"/>
    <w:rsid w:val="002D131F"/>
    <w:rsid w:val="002D170B"/>
    <w:rsid w:val="002D18E3"/>
    <w:rsid w:val="002D1D39"/>
    <w:rsid w:val="002D1D96"/>
    <w:rsid w:val="002D1DB5"/>
    <w:rsid w:val="002D1DE3"/>
    <w:rsid w:val="002D1F88"/>
    <w:rsid w:val="002D34C9"/>
    <w:rsid w:val="002D46E6"/>
    <w:rsid w:val="002D4BFF"/>
    <w:rsid w:val="002D528B"/>
    <w:rsid w:val="002D528D"/>
    <w:rsid w:val="002D56E4"/>
    <w:rsid w:val="002D5AC0"/>
    <w:rsid w:val="002D61E6"/>
    <w:rsid w:val="002D675A"/>
    <w:rsid w:val="002D69B1"/>
    <w:rsid w:val="002D6D6E"/>
    <w:rsid w:val="002D7192"/>
    <w:rsid w:val="002D74B6"/>
    <w:rsid w:val="002D7D18"/>
    <w:rsid w:val="002E003C"/>
    <w:rsid w:val="002E02EB"/>
    <w:rsid w:val="002E06DF"/>
    <w:rsid w:val="002E0F4D"/>
    <w:rsid w:val="002E17BB"/>
    <w:rsid w:val="002E1A8A"/>
    <w:rsid w:val="002E1C1B"/>
    <w:rsid w:val="002E2CD9"/>
    <w:rsid w:val="002E2F13"/>
    <w:rsid w:val="002E32D5"/>
    <w:rsid w:val="002E43BD"/>
    <w:rsid w:val="002E4C2E"/>
    <w:rsid w:val="002E4D85"/>
    <w:rsid w:val="002E4DC6"/>
    <w:rsid w:val="002E6231"/>
    <w:rsid w:val="002E6886"/>
    <w:rsid w:val="002E68AB"/>
    <w:rsid w:val="002E6F94"/>
    <w:rsid w:val="002E7017"/>
    <w:rsid w:val="002F0749"/>
    <w:rsid w:val="002F0C65"/>
    <w:rsid w:val="002F17FF"/>
    <w:rsid w:val="002F1B0B"/>
    <w:rsid w:val="002F1FE0"/>
    <w:rsid w:val="002F2442"/>
    <w:rsid w:val="002F288E"/>
    <w:rsid w:val="002F2B5F"/>
    <w:rsid w:val="002F30FE"/>
    <w:rsid w:val="002F347A"/>
    <w:rsid w:val="002F362F"/>
    <w:rsid w:val="002F3FCA"/>
    <w:rsid w:val="002F40DE"/>
    <w:rsid w:val="002F415F"/>
    <w:rsid w:val="002F42B4"/>
    <w:rsid w:val="002F567A"/>
    <w:rsid w:val="002F593D"/>
    <w:rsid w:val="002F5B9D"/>
    <w:rsid w:val="002F5E7B"/>
    <w:rsid w:val="002F6016"/>
    <w:rsid w:val="002F60FB"/>
    <w:rsid w:val="002F61AE"/>
    <w:rsid w:val="002F6285"/>
    <w:rsid w:val="002F6495"/>
    <w:rsid w:val="002F6ADB"/>
    <w:rsid w:val="002F6C2E"/>
    <w:rsid w:val="002F6C7F"/>
    <w:rsid w:val="002F6F77"/>
    <w:rsid w:val="002F710F"/>
    <w:rsid w:val="002F7243"/>
    <w:rsid w:val="003003D0"/>
    <w:rsid w:val="003003FE"/>
    <w:rsid w:val="00300415"/>
    <w:rsid w:val="003006B2"/>
    <w:rsid w:val="003006B6"/>
    <w:rsid w:val="003008CB"/>
    <w:rsid w:val="00300CAA"/>
    <w:rsid w:val="00300EA8"/>
    <w:rsid w:val="00301023"/>
    <w:rsid w:val="00301741"/>
    <w:rsid w:val="0030230D"/>
    <w:rsid w:val="003026AC"/>
    <w:rsid w:val="00302782"/>
    <w:rsid w:val="00302826"/>
    <w:rsid w:val="00302A2F"/>
    <w:rsid w:val="00302F7A"/>
    <w:rsid w:val="00303BA6"/>
    <w:rsid w:val="003041FD"/>
    <w:rsid w:val="00304BCC"/>
    <w:rsid w:val="00304F86"/>
    <w:rsid w:val="00305039"/>
    <w:rsid w:val="0030504B"/>
    <w:rsid w:val="00305699"/>
    <w:rsid w:val="00305742"/>
    <w:rsid w:val="003066A4"/>
    <w:rsid w:val="00306808"/>
    <w:rsid w:val="00306DD0"/>
    <w:rsid w:val="00307756"/>
    <w:rsid w:val="00307F79"/>
    <w:rsid w:val="00307F90"/>
    <w:rsid w:val="003107E1"/>
    <w:rsid w:val="00310DD7"/>
    <w:rsid w:val="00310DF4"/>
    <w:rsid w:val="003114CF"/>
    <w:rsid w:val="00311553"/>
    <w:rsid w:val="0031179A"/>
    <w:rsid w:val="003118F9"/>
    <w:rsid w:val="003122E3"/>
    <w:rsid w:val="00312974"/>
    <w:rsid w:val="00312AFC"/>
    <w:rsid w:val="00312D37"/>
    <w:rsid w:val="00313A7D"/>
    <w:rsid w:val="00313B39"/>
    <w:rsid w:val="00313ED6"/>
    <w:rsid w:val="003143C1"/>
    <w:rsid w:val="003147AD"/>
    <w:rsid w:val="00314846"/>
    <w:rsid w:val="00315428"/>
    <w:rsid w:val="00315879"/>
    <w:rsid w:val="003158A9"/>
    <w:rsid w:val="00315AC9"/>
    <w:rsid w:val="00315D55"/>
    <w:rsid w:val="003165DA"/>
    <w:rsid w:val="00316C94"/>
    <w:rsid w:val="00316CFE"/>
    <w:rsid w:val="00316DF0"/>
    <w:rsid w:val="00316E62"/>
    <w:rsid w:val="003177D1"/>
    <w:rsid w:val="00317E0B"/>
    <w:rsid w:val="00317FFE"/>
    <w:rsid w:val="003202C0"/>
    <w:rsid w:val="003209F1"/>
    <w:rsid w:val="00320CD7"/>
    <w:rsid w:val="003219B2"/>
    <w:rsid w:val="00321DEA"/>
    <w:rsid w:val="00321FB5"/>
    <w:rsid w:val="00322752"/>
    <w:rsid w:val="00323BBD"/>
    <w:rsid w:val="00323C41"/>
    <w:rsid w:val="00323CA8"/>
    <w:rsid w:val="003247D2"/>
    <w:rsid w:val="00324977"/>
    <w:rsid w:val="00324B76"/>
    <w:rsid w:val="003254F8"/>
    <w:rsid w:val="003256BD"/>
    <w:rsid w:val="003258CF"/>
    <w:rsid w:val="00325D6B"/>
    <w:rsid w:val="003260E5"/>
    <w:rsid w:val="0032615D"/>
    <w:rsid w:val="00326CBC"/>
    <w:rsid w:val="00326E4E"/>
    <w:rsid w:val="0032773A"/>
    <w:rsid w:val="003279C1"/>
    <w:rsid w:val="00330340"/>
    <w:rsid w:val="00330359"/>
    <w:rsid w:val="00330473"/>
    <w:rsid w:val="003304D1"/>
    <w:rsid w:val="003304E9"/>
    <w:rsid w:val="003309AE"/>
    <w:rsid w:val="003311EA"/>
    <w:rsid w:val="003312CE"/>
    <w:rsid w:val="00331362"/>
    <w:rsid w:val="00331642"/>
    <w:rsid w:val="003328C6"/>
    <w:rsid w:val="00332A96"/>
    <w:rsid w:val="00332C99"/>
    <w:rsid w:val="003332D4"/>
    <w:rsid w:val="0033362D"/>
    <w:rsid w:val="003342C3"/>
    <w:rsid w:val="00334B1B"/>
    <w:rsid w:val="00334F58"/>
    <w:rsid w:val="00335087"/>
    <w:rsid w:val="0033511D"/>
    <w:rsid w:val="00335757"/>
    <w:rsid w:val="00335A32"/>
    <w:rsid w:val="00335DE5"/>
    <w:rsid w:val="00335F78"/>
    <w:rsid w:val="003361A5"/>
    <w:rsid w:val="00336DAA"/>
    <w:rsid w:val="00337347"/>
    <w:rsid w:val="00337597"/>
    <w:rsid w:val="003376A3"/>
    <w:rsid w:val="00337B02"/>
    <w:rsid w:val="00337D88"/>
    <w:rsid w:val="00337DEE"/>
    <w:rsid w:val="00340930"/>
    <w:rsid w:val="00340A80"/>
    <w:rsid w:val="00340CCD"/>
    <w:rsid w:val="00340F6F"/>
    <w:rsid w:val="00341087"/>
    <w:rsid w:val="00341333"/>
    <w:rsid w:val="00341793"/>
    <w:rsid w:val="003419BB"/>
    <w:rsid w:val="00341D81"/>
    <w:rsid w:val="00342359"/>
    <w:rsid w:val="0034261D"/>
    <w:rsid w:val="00342684"/>
    <w:rsid w:val="003426F9"/>
    <w:rsid w:val="0034275F"/>
    <w:rsid w:val="00342878"/>
    <w:rsid w:val="00342A64"/>
    <w:rsid w:val="00342B25"/>
    <w:rsid w:val="003431DC"/>
    <w:rsid w:val="00343308"/>
    <w:rsid w:val="0034368E"/>
    <w:rsid w:val="00343749"/>
    <w:rsid w:val="0034425A"/>
    <w:rsid w:val="003445D5"/>
    <w:rsid w:val="00344B7B"/>
    <w:rsid w:val="00344FEE"/>
    <w:rsid w:val="00345482"/>
    <w:rsid w:val="00345783"/>
    <w:rsid w:val="00345FEC"/>
    <w:rsid w:val="003460AD"/>
    <w:rsid w:val="0034616E"/>
    <w:rsid w:val="003474F1"/>
    <w:rsid w:val="00347582"/>
    <w:rsid w:val="00347904"/>
    <w:rsid w:val="00347A1E"/>
    <w:rsid w:val="00347A69"/>
    <w:rsid w:val="00347BC7"/>
    <w:rsid w:val="003500C8"/>
    <w:rsid w:val="003502A7"/>
    <w:rsid w:val="003502C3"/>
    <w:rsid w:val="00350328"/>
    <w:rsid w:val="003509ED"/>
    <w:rsid w:val="00350C02"/>
    <w:rsid w:val="00350F9B"/>
    <w:rsid w:val="0035100E"/>
    <w:rsid w:val="00351069"/>
    <w:rsid w:val="00351435"/>
    <w:rsid w:val="003515AE"/>
    <w:rsid w:val="00351908"/>
    <w:rsid w:val="00351C5B"/>
    <w:rsid w:val="0035264A"/>
    <w:rsid w:val="0035274D"/>
    <w:rsid w:val="00352A3C"/>
    <w:rsid w:val="00353348"/>
    <w:rsid w:val="0035367E"/>
    <w:rsid w:val="003539A2"/>
    <w:rsid w:val="00353C94"/>
    <w:rsid w:val="00354069"/>
    <w:rsid w:val="003541EE"/>
    <w:rsid w:val="003542F0"/>
    <w:rsid w:val="0035443B"/>
    <w:rsid w:val="00354749"/>
    <w:rsid w:val="0035476F"/>
    <w:rsid w:val="003547FC"/>
    <w:rsid w:val="003552E5"/>
    <w:rsid w:val="003553BD"/>
    <w:rsid w:val="00355AE9"/>
    <w:rsid w:val="00356333"/>
    <w:rsid w:val="003564B4"/>
    <w:rsid w:val="00356578"/>
    <w:rsid w:val="00356B22"/>
    <w:rsid w:val="00356D47"/>
    <w:rsid w:val="00356E07"/>
    <w:rsid w:val="00357037"/>
    <w:rsid w:val="003573E1"/>
    <w:rsid w:val="00357595"/>
    <w:rsid w:val="00357C61"/>
    <w:rsid w:val="00360460"/>
    <w:rsid w:val="00360DC5"/>
    <w:rsid w:val="00361256"/>
    <w:rsid w:val="00361301"/>
    <w:rsid w:val="0036137E"/>
    <w:rsid w:val="00361450"/>
    <w:rsid w:val="00361503"/>
    <w:rsid w:val="0036178E"/>
    <w:rsid w:val="00361AD0"/>
    <w:rsid w:val="00361B7A"/>
    <w:rsid w:val="00361C6B"/>
    <w:rsid w:val="0036206D"/>
    <w:rsid w:val="00362124"/>
    <w:rsid w:val="00362CA9"/>
    <w:rsid w:val="0036334B"/>
    <w:rsid w:val="00363B45"/>
    <w:rsid w:val="00363F0A"/>
    <w:rsid w:val="00363FEF"/>
    <w:rsid w:val="00364282"/>
    <w:rsid w:val="003644E3"/>
    <w:rsid w:val="0036458A"/>
    <w:rsid w:val="00364870"/>
    <w:rsid w:val="003649D9"/>
    <w:rsid w:val="00364DCE"/>
    <w:rsid w:val="0036553E"/>
    <w:rsid w:val="003658EE"/>
    <w:rsid w:val="00365E7E"/>
    <w:rsid w:val="00366365"/>
    <w:rsid w:val="00366719"/>
    <w:rsid w:val="0036765A"/>
    <w:rsid w:val="0036781B"/>
    <w:rsid w:val="00367E20"/>
    <w:rsid w:val="00367E48"/>
    <w:rsid w:val="00370309"/>
    <w:rsid w:val="0037053E"/>
    <w:rsid w:val="0037076A"/>
    <w:rsid w:val="00370CAE"/>
    <w:rsid w:val="00371178"/>
    <w:rsid w:val="003711A0"/>
    <w:rsid w:val="003711EC"/>
    <w:rsid w:val="0037124B"/>
    <w:rsid w:val="00371475"/>
    <w:rsid w:val="0037152B"/>
    <w:rsid w:val="0037166F"/>
    <w:rsid w:val="00371716"/>
    <w:rsid w:val="00372611"/>
    <w:rsid w:val="003726BD"/>
    <w:rsid w:val="0037293B"/>
    <w:rsid w:val="00372E60"/>
    <w:rsid w:val="00372FC2"/>
    <w:rsid w:val="00373082"/>
    <w:rsid w:val="00373372"/>
    <w:rsid w:val="00373783"/>
    <w:rsid w:val="00373806"/>
    <w:rsid w:val="00373FF0"/>
    <w:rsid w:val="00374668"/>
    <w:rsid w:val="0037478B"/>
    <w:rsid w:val="00374EC7"/>
    <w:rsid w:val="00374FA2"/>
    <w:rsid w:val="00375091"/>
    <w:rsid w:val="00375917"/>
    <w:rsid w:val="00375F54"/>
    <w:rsid w:val="00376126"/>
    <w:rsid w:val="0037613D"/>
    <w:rsid w:val="00376870"/>
    <w:rsid w:val="00376ECF"/>
    <w:rsid w:val="00377058"/>
    <w:rsid w:val="00377381"/>
    <w:rsid w:val="00377ADD"/>
    <w:rsid w:val="00377DEE"/>
    <w:rsid w:val="0038056C"/>
    <w:rsid w:val="003806A1"/>
    <w:rsid w:val="00380A67"/>
    <w:rsid w:val="00380BE5"/>
    <w:rsid w:val="00380CAB"/>
    <w:rsid w:val="00381A6B"/>
    <w:rsid w:val="00381BD2"/>
    <w:rsid w:val="00381C0B"/>
    <w:rsid w:val="00381CD8"/>
    <w:rsid w:val="00381EFD"/>
    <w:rsid w:val="0038211D"/>
    <w:rsid w:val="0038212E"/>
    <w:rsid w:val="003824EC"/>
    <w:rsid w:val="00382618"/>
    <w:rsid w:val="00382682"/>
    <w:rsid w:val="003826C7"/>
    <w:rsid w:val="0038329E"/>
    <w:rsid w:val="003838F1"/>
    <w:rsid w:val="00383EE4"/>
    <w:rsid w:val="00383FED"/>
    <w:rsid w:val="00384072"/>
    <w:rsid w:val="00384755"/>
    <w:rsid w:val="00384903"/>
    <w:rsid w:val="00384B57"/>
    <w:rsid w:val="0038542A"/>
    <w:rsid w:val="0038542F"/>
    <w:rsid w:val="00385898"/>
    <w:rsid w:val="00385D98"/>
    <w:rsid w:val="00386123"/>
    <w:rsid w:val="00386B53"/>
    <w:rsid w:val="00386DF4"/>
    <w:rsid w:val="00386E7B"/>
    <w:rsid w:val="00387665"/>
    <w:rsid w:val="00387702"/>
    <w:rsid w:val="00387A3E"/>
    <w:rsid w:val="00387B59"/>
    <w:rsid w:val="00387F29"/>
    <w:rsid w:val="00387FB6"/>
    <w:rsid w:val="00390328"/>
    <w:rsid w:val="00390A71"/>
    <w:rsid w:val="003916FA"/>
    <w:rsid w:val="00391D0C"/>
    <w:rsid w:val="00392821"/>
    <w:rsid w:val="00392B4B"/>
    <w:rsid w:val="00392FF8"/>
    <w:rsid w:val="00393891"/>
    <w:rsid w:val="00393FEF"/>
    <w:rsid w:val="003940FD"/>
    <w:rsid w:val="00394606"/>
    <w:rsid w:val="00394DBC"/>
    <w:rsid w:val="00394DDC"/>
    <w:rsid w:val="003955AF"/>
    <w:rsid w:val="0039560F"/>
    <w:rsid w:val="00395A8F"/>
    <w:rsid w:val="00395CB9"/>
    <w:rsid w:val="00396135"/>
    <w:rsid w:val="003965B0"/>
    <w:rsid w:val="0039695A"/>
    <w:rsid w:val="00396D8E"/>
    <w:rsid w:val="0039725F"/>
    <w:rsid w:val="00397524"/>
    <w:rsid w:val="00397FC5"/>
    <w:rsid w:val="003A081C"/>
    <w:rsid w:val="003A09E5"/>
    <w:rsid w:val="003A0FD8"/>
    <w:rsid w:val="003A1349"/>
    <w:rsid w:val="003A21CF"/>
    <w:rsid w:val="003A2255"/>
    <w:rsid w:val="003A23D5"/>
    <w:rsid w:val="003A2809"/>
    <w:rsid w:val="003A288E"/>
    <w:rsid w:val="003A2EE7"/>
    <w:rsid w:val="003A2F29"/>
    <w:rsid w:val="003A327F"/>
    <w:rsid w:val="003A3423"/>
    <w:rsid w:val="003A3BF4"/>
    <w:rsid w:val="003A3E1E"/>
    <w:rsid w:val="003A3E8E"/>
    <w:rsid w:val="003A4F11"/>
    <w:rsid w:val="003A4F63"/>
    <w:rsid w:val="003A5398"/>
    <w:rsid w:val="003A544A"/>
    <w:rsid w:val="003A54E4"/>
    <w:rsid w:val="003A55DB"/>
    <w:rsid w:val="003A56C9"/>
    <w:rsid w:val="003A59F4"/>
    <w:rsid w:val="003A5BAE"/>
    <w:rsid w:val="003A617E"/>
    <w:rsid w:val="003A62F0"/>
    <w:rsid w:val="003A632B"/>
    <w:rsid w:val="003A65DF"/>
    <w:rsid w:val="003A65F1"/>
    <w:rsid w:val="003A662C"/>
    <w:rsid w:val="003A6CE2"/>
    <w:rsid w:val="003A6E5D"/>
    <w:rsid w:val="003A7441"/>
    <w:rsid w:val="003A795B"/>
    <w:rsid w:val="003A7AA3"/>
    <w:rsid w:val="003A7B4D"/>
    <w:rsid w:val="003B0019"/>
    <w:rsid w:val="003B0925"/>
    <w:rsid w:val="003B154C"/>
    <w:rsid w:val="003B1BC3"/>
    <w:rsid w:val="003B1ECD"/>
    <w:rsid w:val="003B25C2"/>
    <w:rsid w:val="003B2875"/>
    <w:rsid w:val="003B2A9C"/>
    <w:rsid w:val="003B2B4E"/>
    <w:rsid w:val="003B2B5D"/>
    <w:rsid w:val="003B31B9"/>
    <w:rsid w:val="003B3708"/>
    <w:rsid w:val="003B38A8"/>
    <w:rsid w:val="003B3DDA"/>
    <w:rsid w:val="003B3E0E"/>
    <w:rsid w:val="003B3F03"/>
    <w:rsid w:val="003B454A"/>
    <w:rsid w:val="003B4A3E"/>
    <w:rsid w:val="003B5219"/>
    <w:rsid w:val="003B528B"/>
    <w:rsid w:val="003B544A"/>
    <w:rsid w:val="003B5868"/>
    <w:rsid w:val="003B5A0D"/>
    <w:rsid w:val="003B6172"/>
    <w:rsid w:val="003B620A"/>
    <w:rsid w:val="003B6775"/>
    <w:rsid w:val="003B677B"/>
    <w:rsid w:val="003B6A5F"/>
    <w:rsid w:val="003B6B57"/>
    <w:rsid w:val="003B6B98"/>
    <w:rsid w:val="003B6F56"/>
    <w:rsid w:val="003B708B"/>
    <w:rsid w:val="003B7CBA"/>
    <w:rsid w:val="003B7DA7"/>
    <w:rsid w:val="003B7DC6"/>
    <w:rsid w:val="003C0434"/>
    <w:rsid w:val="003C098F"/>
    <w:rsid w:val="003C0B8A"/>
    <w:rsid w:val="003C0F08"/>
    <w:rsid w:val="003C13D0"/>
    <w:rsid w:val="003C18B5"/>
    <w:rsid w:val="003C2849"/>
    <w:rsid w:val="003C2EB0"/>
    <w:rsid w:val="003C3012"/>
    <w:rsid w:val="003C3342"/>
    <w:rsid w:val="003C36F2"/>
    <w:rsid w:val="003C387A"/>
    <w:rsid w:val="003C3BCA"/>
    <w:rsid w:val="003C3E5C"/>
    <w:rsid w:val="003C3E88"/>
    <w:rsid w:val="003C46AE"/>
    <w:rsid w:val="003C49F3"/>
    <w:rsid w:val="003C4C77"/>
    <w:rsid w:val="003C4DD3"/>
    <w:rsid w:val="003C4E2E"/>
    <w:rsid w:val="003C5A1C"/>
    <w:rsid w:val="003C5ACC"/>
    <w:rsid w:val="003C5CC7"/>
    <w:rsid w:val="003C5CF8"/>
    <w:rsid w:val="003C5DED"/>
    <w:rsid w:val="003C6188"/>
    <w:rsid w:val="003C61C3"/>
    <w:rsid w:val="003C61F8"/>
    <w:rsid w:val="003C623F"/>
    <w:rsid w:val="003C6490"/>
    <w:rsid w:val="003C64E5"/>
    <w:rsid w:val="003C68A3"/>
    <w:rsid w:val="003C6BC0"/>
    <w:rsid w:val="003C6E3A"/>
    <w:rsid w:val="003C7073"/>
    <w:rsid w:val="003C7247"/>
    <w:rsid w:val="003C734D"/>
    <w:rsid w:val="003D04DF"/>
    <w:rsid w:val="003D0548"/>
    <w:rsid w:val="003D08BF"/>
    <w:rsid w:val="003D099F"/>
    <w:rsid w:val="003D0C77"/>
    <w:rsid w:val="003D0FCA"/>
    <w:rsid w:val="003D153C"/>
    <w:rsid w:val="003D182B"/>
    <w:rsid w:val="003D18CA"/>
    <w:rsid w:val="003D2730"/>
    <w:rsid w:val="003D285F"/>
    <w:rsid w:val="003D40A9"/>
    <w:rsid w:val="003D4957"/>
    <w:rsid w:val="003D49E5"/>
    <w:rsid w:val="003D4D26"/>
    <w:rsid w:val="003D5FB1"/>
    <w:rsid w:val="003D64F1"/>
    <w:rsid w:val="003D6851"/>
    <w:rsid w:val="003D6A71"/>
    <w:rsid w:val="003D6BA4"/>
    <w:rsid w:val="003D6D11"/>
    <w:rsid w:val="003D74C4"/>
    <w:rsid w:val="003D7502"/>
    <w:rsid w:val="003D7731"/>
    <w:rsid w:val="003D7C79"/>
    <w:rsid w:val="003E01E1"/>
    <w:rsid w:val="003E0330"/>
    <w:rsid w:val="003E03DB"/>
    <w:rsid w:val="003E0B65"/>
    <w:rsid w:val="003E155B"/>
    <w:rsid w:val="003E1CCB"/>
    <w:rsid w:val="003E1D2C"/>
    <w:rsid w:val="003E2421"/>
    <w:rsid w:val="003E26E2"/>
    <w:rsid w:val="003E296D"/>
    <w:rsid w:val="003E2A17"/>
    <w:rsid w:val="003E355B"/>
    <w:rsid w:val="003E3A9A"/>
    <w:rsid w:val="003E4055"/>
    <w:rsid w:val="003E44F4"/>
    <w:rsid w:val="003E4991"/>
    <w:rsid w:val="003E52C8"/>
    <w:rsid w:val="003E5667"/>
    <w:rsid w:val="003E58D9"/>
    <w:rsid w:val="003E6845"/>
    <w:rsid w:val="003E6C53"/>
    <w:rsid w:val="003E6E74"/>
    <w:rsid w:val="003E6F2D"/>
    <w:rsid w:val="003E7095"/>
    <w:rsid w:val="003E7434"/>
    <w:rsid w:val="003E74C1"/>
    <w:rsid w:val="003E795E"/>
    <w:rsid w:val="003E79BF"/>
    <w:rsid w:val="003F002B"/>
    <w:rsid w:val="003F0064"/>
    <w:rsid w:val="003F0114"/>
    <w:rsid w:val="003F055C"/>
    <w:rsid w:val="003F06AB"/>
    <w:rsid w:val="003F0A9B"/>
    <w:rsid w:val="003F1B10"/>
    <w:rsid w:val="003F1CB7"/>
    <w:rsid w:val="003F1DC4"/>
    <w:rsid w:val="003F1E97"/>
    <w:rsid w:val="003F26E0"/>
    <w:rsid w:val="003F2750"/>
    <w:rsid w:val="003F37D7"/>
    <w:rsid w:val="003F3F0B"/>
    <w:rsid w:val="003F54C2"/>
    <w:rsid w:val="003F55E2"/>
    <w:rsid w:val="003F55E8"/>
    <w:rsid w:val="003F606E"/>
    <w:rsid w:val="003F61EF"/>
    <w:rsid w:val="003F6B4D"/>
    <w:rsid w:val="003F6CF5"/>
    <w:rsid w:val="003F71C0"/>
    <w:rsid w:val="003F79E6"/>
    <w:rsid w:val="003F7A3E"/>
    <w:rsid w:val="003F7A55"/>
    <w:rsid w:val="003F7C64"/>
    <w:rsid w:val="00400309"/>
    <w:rsid w:val="00400675"/>
    <w:rsid w:val="004007C6"/>
    <w:rsid w:val="004008BB"/>
    <w:rsid w:val="00400AEC"/>
    <w:rsid w:val="00400CD3"/>
    <w:rsid w:val="00401071"/>
    <w:rsid w:val="00401893"/>
    <w:rsid w:val="00401D11"/>
    <w:rsid w:val="00401E0B"/>
    <w:rsid w:val="00402074"/>
    <w:rsid w:val="00402297"/>
    <w:rsid w:val="00402A02"/>
    <w:rsid w:val="004030D4"/>
    <w:rsid w:val="004034C4"/>
    <w:rsid w:val="004034DA"/>
    <w:rsid w:val="004036EC"/>
    <w:rsid w:val="004046B6"/>
    <w:rsid w:val="004052E2"/>
    <w:rsid w:val="004053FF"/>
    <w:rsid w:val="004057A9"/>
    <w:rsid w:val="004057F7"/>
    <w:rsid w:val="00405B91"/>
    <w:rsid w:val="00405CC0"/>
    <w:rsid w:val="00405F0F"/>
    <w:rsid w:val="00406658"/>
    <w:rsid w:val="00410C3E"/>
    <w:rsid w:val="00411A27"/>
    <w:rsid w:val="00411A59"/>
    <w:rsid w:val="00411B73"/>
    <w:rsid w:val="00411D24"/>
    <w:rsid w:val="00411D3A"/>
    <w:rsid w:val="00412021"/>
    <w:rsid w:val="0041202B"/>
    <w:rsid w:val="00412277"/>
    <w:rsid w:val="00412BDF"/>
    <w:rsid w:val="00412C77"/>
    <w:rsid w:val="004133F0"/>
    <w:rsid w:val="0041356B"/>
    <w:rsid w:val="00413822"/>
    <w:rsid w:val="00413887"/>
    <w:rsid w:val="00413997"/>
    <w:rsid w:val="00413A78"/>
    <w:rsid w:val="00413D50"/>
    <w:rsid w:val="00413D8B"/>
    <w:rsid w:val="00413DAF"/>
    <w:rsid w:val="00414523"/>
    <w:rsid w:val="00414639"/>
    <w:rsid w:val="00414685"/>
    <w:rsid w:val="00414927"/>
    <w:rsid w:val="00414C5D"/>
    <w:rsid w:val="00414D46"/>
    <w:rsid w:val="00415491"/>
    <w:rsid w:val="0041549F"/>
    <w:rsid w:val="00415AF7"/>
    <w:rsid w:val="00415B03"/>
    <w:rsid w:val="00415D64"/>
    <w:rsid w:val="00415EEF"/>
    <w:rsid w:val="00416801"/>
    <w:rsid w:val="00416864"/>
    <w:rsid w:val="0041690F"/>
    <w:rsid w:val="004169AE"/>
    <w:rsid w:val="00417101"/>
    <w:rsid w:val="0041751A"/>
    <w:rsid w:val="004179AF"/>
    <w:rsid w:val="00417A2D"/>
    <w:rsid w:val="00420DA3"/>
    <w:rsid w:val="00420DDD"/>
    <w:rsid w:val="00421791"/>
    <w:rsid w:val="0042191D"/>
    <w:rsid w:val="00421D63"/>
    <w:rsid w:val="00422118"/>
    <w:rsid w:val="004221BB"/>
    <w:rsid w:val="0042265C"/>
    <w:rsid w:val="00422A42"/>
    <w:rsid w:val="00422B2A"/>
    <w:rsid w:val="00422F18"/>
    <w:rsid w:val="004236FA"/>
    <w:rsid w:val="00423842"/>
    <w:rsid w:val="00423B61"/>
    <w:rsid w:val="00424902"/>
    <w:rsid w:val="00424D39"/>
    <w:rsid w:val="0042526A"/>
    <w:rsid w:val="0042542B"/>
    <w:rsid w:val="00425812"/>
    <w:rsid w:val="00425A9F"/>
    <w:rsid w:val="00425D7B"/>
    <w:rsid w:val="00425DAF"/>
    <w:rsid w:val="004260CC"/>
    <w:rsid w:val="00426460"/>
    <w:rsid w:val="004266B6"/>
    <w:rsid w:val="00426B9B"/>
    <w:rsid w:val="00426D3A"/>
    <w:rsid w:val="004278EF"/>
    <w:rsid w:val="00427CB3"/>
    <w:rsid w:val="00430DF3"/>
    <w:rsid w:val="0043191A"/>
    <w:rsid w:val="0043244E"/>
    <w:rsid w:val="004327D5"/>
    <w:rsid w:val="00432C94"/>
    <w:rsid w:val="00432FCB"/>
    <w:rsid w:val="00433482"/>
    <w:rsid w:val="00434A71"/>
    <w:rsid w:val="00434CF4"/>
    <w:rsid w:val="00434D1D"/>
    <w:rsid w:val="00434DF9"/>
    <w:rsid w:val="00435771"/>
    <w:rsid w:val="0043594F"/>
    <w:rsid w:val="00435B07"/>
    <w:rsid w:val="00435CD0"/>
    <w:rsid w:val="00435CFA"/>
    <w:rsid w:val="00435D2D"/>
    <w:rsid w:val="00436FAE"/>
    <w:rsid w:val="004378E2"/>
    <w:rsid w:val="0044069C"/>
    <w:rsid w:val="00440AE6"/>
    <w:rsid w:val="00441584"/>
    <w:rsid w:val="004424F6"/>
    <w:rsid w:val="00442C0F"/>
    <w:rsid w:val="0044309A"/>
    <w:rsid w:val="004431C3"/>
    <w:rsid w:val="00443894"/>
    <w:rsid w:val="0044394A"/>
    <w:rsid w:val="00443B7E"/>
    <w:rsid w:val="00443EBF"/>
    <w:rsid w:val="004443C0"/>
    <w:rsid w:val="00444786"/>
    <w:rsid w:val="004450EB"/>
    <w:rsid w:val="00445495"/>
    <w:rsid w:val="004457D2"/>
    <w:rsid w:val="004458A9"/>
    <w:rsid w:val="00445912"/>
    <w:rsid w:val="00445A24"/>
    <w:rsid w:val="004460F6"/>
    <w:rsid w:val="00446F13"/>
    <w:rsid w:val="004477BD"/>
    <w:rsid w:val="00447C43"/>
    <w:rsid w:val="00450268"/>
    <w:rsid w:val="0045037F"/>
    <w:rsid w:val="0045046D"/>
    <w:rsid w:val="00450839"/>
    <w:rsid w:val="00450857"/>
    <w:rsid w:val="00450EC2"/>
    <w:rsid w:val="00451B60"/>
    <w:rsid w:val="0045241C"/>
    <w:rsid w:val="00452CB6"/>
    <w:rsid w:val="00452F84"/>
    <w:rsid w:val="00453250"/>
    <w:rsid w:val="00453E78"/>
    <w:rsid w:val="0045469E"/>
    <w:rsid w:val="0045494B"/>
    <w:rsid w:val="0045538E"/>
    <w:rsid w:val="004553C8"/>
    <w:rsid w:val="00455495"/>
    <w:rsid w:val="004555B7"/>
    <w:rsid w:val="004555C5"/>
    <w:rsid w:val="0045598F"/>
    <w:rsid w:val="00455DE5"/>
    <w:rsid w:val="0045610B"/>
    <w:rsid w:val="00456497"/>
    <w:rsid w:val="00456521"/>
    <w:rsid w:val="00456A66"/>
    <w:rsid w:val="00456DC9"/>
    <w:rsid w:val="00457B4D"/>
    <w:rsid w:val="004603B6"/>
    <w:rsid w:val="004609BE"/>
    <w:rsid w:val="00460B2A"/>
    <w:rsid w:val="00460D07"/>
    <w:rsid w:val="00460F00"/>
    <w:rsid w:val="004612E1"/>
    <w:rsid w:val="00461558"/>
    <w:rsid w:val="004616F5"/>
    <w:rsid w:val="00462119"/>
    <w:rsid w:val="00462311"/>
    <w:rsid w:val="004623D6"/>
    <w:rsid w:val="00462679"/>
    <w:rsid w:val="0046269A"/>
    <w:rsid w:val="00462954"/>
    <w:rsid w:val="00462A63"/>
    <w:rsid w:val="00462B07"/>
    <w:rsid w:val="00462DA9"/>
    <w:rsid w:val="00463412"/>
    <w:rsid w:val="00463908"/>
    <w:rsid w:val="004641E1"/>
    <w:rsid w:val="004645BA"/>
    <w:rsid w:val="00464602"/>
    <w:rsid w:val="00464619"/>
    <w:rsid w:val="00464DDC"/>
    <w:rsid w:val="00465412"/>
    <w:rsid w:val="00465418"/>
    <w:rsid w:val="00466534"/>
    <w:rsid w:val="00467A33"/>
    <w:rsid w:val="00470EBC"/>
    <w:rsid w:val="00471114"/>
    <w:rsid w:val="00471A0E"/>
    <w:rsid w:val="00471A8A"/>
    <w:rsid w:val="00472670"/>
    <w:rsid w:val="004730A1"/>
    <w:rsid w:val="004736D6"/>
    <w:rsid w:val="00473E43"/>
    <w:rsid w:val="00473FC8"/>
    <w:rsid w:val="004740E3"/>
    <w:rsid w:val="00474903"/>
    <w:rsid w:val="00474C6D"/>
    <w:rsid w:val="00474DD7"/>
    <w:rsid w:val="00474DD9"/>
    <w:rsid w:val="00474EFE"/>
    <w:rsid w:val="004750A4"/>
    <w:rsid w:val="00475592"/>
    <w:rsid w:val="004755B9"/>
    <w:rsid w:val="004761E3"/>
    <w:rsid w:val="0047642C"/>
    <w:rsid w:val="004767E4"/>
    <w:rsid w:val="00476CED"/>
    <w:rsid w:val="004779EF"/>
    <w:rsid w:val="00480405"/>
    <w:rsid w:val="00480806"/>
    <w:rsid w:val="004813EE"/>
    <w:rsid w:val="00482193"/>
    <w:rsid w:val="00482532"/>
    <w:rsid w:val="00482E1C"/>
    <w:rsid w:val="00482FEE"/>
    <w:rsid w:val="00483049"/>
    <w:rsid w:val="004832B6"/>
    <w:rsid w:val="0048349C"/>
    <w:rsid w:val="00483699"/>
    <w:rsid w:val="00483700"/>
    <w:rsid w:val="00483853"/>
    <w:rsid w:val="00483945"/>
    <w:rsid w:val="00483A4E"/>
    <w:rsid w:val="00483AA7"/>
    <w:rsid w:val="0048401E"/>
    <w:rsid w:val="004847A4"/>
    <w:rsid w:val="00484CDD"/>
    <w:rsid w:val="00484D0E"/>
    <w:rsid w:val="00484E7F"/>
    <w:rsid w:val="00485260"/>
    <w:rsid w:val="00485797"/>
    <w:rsid w:val="00485F74"/>
    <w:rsid w:val="0048604A"/>
    <w:rsid w:val="00486072"/>
    <w:rsid w:val="00486FFD"/>
    <w:rsid w:val="004872D9"/>
    <w:rsid w:val="00487347"/>
    <w:rsid w:val="00487486"/>
    <w:rsid w:val="00487B86"/>
    <w:rsid w:val="00487D2D"/>
    <w:rsid w:val="00487D9F"/>
    <w:rsid w:val="0049003B"/>
    <w:rsid w:val="004904CA"/>
    <w:rsid w:val="00490CAD"/>
    <w:rsid w:val="00490FC0"/>
    <w:rsid w:val="00491054"/>
    <w:rsid w:val="004914CA"/>
    <w:rsid w:val="00491C57"/>
    <w:rsid w:val="004920BA"/>
    <w:rsid w:val="00492167"/>
    <w:rsid w:val="00492452"/>
    <w:rsid w:val="00492857"/>
    <w:rsid w:val="00493563"/>
    <w:rsid w:val="00493940"/>
    <w:rsid w:val="00493A7E"/>
    <w:rsid w:val="00493AB2"/>
    <w:rsid w:val="00493B4F"/>
    <w:rsid w:val="00494E08"/>
    <w:rsid w:val="00495E33"/>
    <w:rsid w:val="00495E3F"/>
    <w:rsid w:val="0049643C"/>
    <w:rsid w:val="00496E15"/>
    <w:rsid w:val="00496E17"/>
    <w:rsid w:val="004976CF"/>
    <w:rsid w:val="00497BB0"/>
    <w:rsid w:val="00497E32"/>
    <w:rsid w:val="004A01AB"/>
    <w:rsid w:val="004A0257"/>
    <w:rsid w:val="004A1111"/>
    <w:rsid w:val="004A16F2"/>
    <w:rsid w:val="004A1A06"/>
    <w:rsid w:val="004A1A74"/>
    <w:rsid w:val="004A214A"/>
    <w:rsid w:val="004A2296"/>
    <w:rsid w:val="004A246D"/>
    <w:rsid w:val="004A25E7"/>
    <w:rsid w:val="004A2924"/>
    <w:rsid w:val="004A2A6D"/>
    <w:rsid w:val="004A2C83"/>
    <w:rsid w:val="004A334D"/>
    <w:rsid w:val="004A376B"/>
    <w:rsid w:val="004A392C"/>
    <w:rsid w:val="004A3A2F"/>
    <w:rsid w:val="004A3DBB"/>
    <w:rsid w:val="004A42DA"/>
    <w:rsid w:val="004A453D"/>
    <w:rsid w:val="004A45BC"/>
    <w:rsid w:val="004A4EFB"/>
    <w:rsid w:val="004A5171"/>
    <w:rsid w:val="004A5521"/>
    <w:rsid w:val="004A56AE"/>
    <w:rsid w:val="004A5E35"/>
    <w:rsid w:val="004A5FD8"/>
    <w:rsid w:val="004A64B7"/>
    <w:rsid w:val="004A6E68"/>
    <w:rsid w:val="004A6F04"/>
    <w:rsid w:val="004A7591"/>
    <w:rsid w:val="004A77AE"/>
    <w:rsid w:val="004A785C"/>
    <w:rsid w:val="004A785F"/>
    <w:rsid w:val="004A7EA1"/>
    <w:rsid w:val="004B064F"/>
    <w:rsid w:val="004B0E83"/>
    <w:rsid w:val="004B1731"/>
    <w:rsid w:val="004B180D"/>
    <w:rsid w:val="004B1A30"/>
    <w:rsid w:val="004B25CE"/>
    <w:rsid w:val="004B26C6"/>
    <w:rsid w:val="004B282D"/>
    <w:rsid w:val="004B2968"/>
    <w:rsid w:val="004B2A13"/>
    <w:rsid w:val="004B2CB1"/>
    <w:rsid w:val="004B4D61"/>
    <w:rsid w:val="004B4EA2"/>
    <w:rsid w:val="004B537D"/>
    <w:rsid w:val="004B545E"/>
    <w:rsid w:val="004B58FA"/>
    <w:rsid w:val="004B625D"/>
    <w:rsid w:val="004B6396"/>
    <w:rsid w:val="004B63C1"/>
    <w:rsid w:val="004B63DB"/>
    <w:rsid w:val="004B6525"/>
    <w:rsid w:val="004B6578"/>
    <w:rsid w:val="004B66D7"/>
    <w:rsid w:val="004B6A3E"/>
    <w:rsid w:val="004B6B93"/>
    <w:rsid w:val="004B6D8B"/>
    <w:rsid w:val="004B7875"/>
    <w:rsid w:val="004C012B"/>
    <w:rsid w:val="004C03B3"/>
    <w:rsid w:val="004C0F2A"/>
    <w:rsid w:val="004C1538"/>
    <w:rsid w:val="004C15F8"/>
    <w:rsid w:val="004C16CC"/>
    <w:rsid w:val="004C16FB"/>
    <w:rsid w:val="004C1C02"/>
    <w:rsid w:val="004C1F16"/>
    <w:rsid w:val="004C2B80"/>
    <w:rsid w:val="004C2CF3"/>
    <w:rsid w:val="004C2E92"/>
    <w:rsid w:val="004C30E9"/>
    <w:rsid w:val="004C36C2"/>
    <w:rsid w:val="004C37B9"/>
    <w:rsid w:val="004C3B92"/>
    <w:rsid w:val="004C3C04"/>
    <w:rsid w:val="004C3DB2"/>
    <w:rsid w:val="004C572D"/>
    <w:rsid w:val="004C5F04"/>
    <w:rsid w:val="004C651A"/>
    <w:rsid w:val="004C663F"/>
    <w:rsid w:val="004C7156"/>
    <w:rsid w:val="004C79DC"/>
    <w:rsid w:val="004C7A6F"/>
    <w:rsid w:val="004C7E5F"/>
    <w:rsid w:val="004D0011"/>
    <w:rsid w:val="004D1C73"/>
    <w:rsid w:val="004D24AC"/>
    <w:rsid w:val="004D264E"/>
    <w:rsid w:val="004D292E"/>
    <w:rsid w:val="004D2ADA"/>
    <w:rsid w:val="004D2ADC"/>
    <w:rsid w:val="004D2F8F"/>
    <w:rsid w:val="004D3301"/>
    <w:rsid w:val="004D36BB"/>
    <w:rsid w:val="004D467B"/>
    <w:rsid w:val="004D4736"/>
    <w:rsid w:val="004D50D4"/>
    <w:rsid w:val="004D580B"/>
    <w:rsid w:val="004D5ACC"/>
    <w:rsid w:val="004D6191"/>
    <w:rsid w:val="004D73C2"/>
    <w:rsid w:val="004D7647"/>
    <w:rsid w:val="004D7A01"/>
    <w:rsid w:val="004E02B3"/>
    <w:rsid w:val="004E14E1"/>
    <w:rsid w:val="004E153E"/>
    <w:rsid w:val="004E1D2B"/>
    <w:rsid w:val="004E1E7B"/>
    <w:rsid w:val="004E1F3E"/>
    <w:rsid w:val="004E2151"/>
    <w:rsid w:val="004E228C"/>
    <w:rsid w:val="004E22C5"/>
    <w:rsid w:val="004E2C93"/>
    <w:rsid w:val="004E4975"/>
    <w:rsid w:val="004E5428"/>
    <w:rsid w:val="004E57C2"/>
    <w:rsid w:val="004E5ABB"/>
    <w:rsid w:val="004E64AE"/>
    <w:rsid w:val="004E678B"/>
    <w:rsid w:val="004E7309"/>
    <w:rsid w:val="004E7AC6"/>
    <w:rsid w:val="004F01AD"/>
    <w:rsid w:val="004F05BF"/>
    <w:rsid w:val="004F0C31"/>
    <w:rsid w:val="004F1031"/>
    <w:rsid w:val="004F1630"/>
    <w:rsid w:val="004F1671"/>
    <w:rsid w:val="004F175D"/>
    <w:rsid w:val="004F1EC6"/>
    <w:rsid w:val="004F26FA"/>
    <w:rsid w:val="004F2A57"/>
    <w:rsid w:val="004F2B40"/>
    <w:rsid w:val="004F2C13"/>
    <w:rsid w:val="004F2D1A"/>
    <w:rsid w:val="004F3158"/>
    <w:rsid w:val="004F31AE"/>
    <w:rsid w:val="004F45B4"/>
    <w:rsid w:val="004F4D7C"/>
    <w:rsid w:val="004F4E99"/>
    <w:rsid w:val="004F5437"/>
    <w:rsid w:val="004F6818"/>
    <w:rsid w:val="004F694E"/>
    <w:rsid w:val="004F6997"/>
    <w:rsid w:val="004F717E"/>
    <w:rsid w:val="004F7190"/>
    <w:rsid w:val="005000E2"/>
    <w:rsid w:val="00500368"/>
    <w:rsid w:val="00500FA4"/>
    <w:rsid w:val="0050101C"/>
    <w:rsid w:val="00501F01"/>
    <w:rsid w:val="005021A8"/>
    <w:rsid w:val="005028D7"/>
    <w:rsid w:val="00502E2F"/>
    <w:rsid w:val="00502F2B"/>
    <w:rsid w:val="005036AA"/>
    <w:rsid w:val="00503DD8"/>
    <w:rsid w:val="0050415B"/>
    <w:rsid w:val="00504783"/>
    <w:rsid w:val="005048BF"/>
    <w:rsid w:val="00504C2D"/>
    <w:rsid w:val="00504CF4"/>
    <w:rsid w:val="005054EB"/>
    <w:rsid w:val="00505B27"/>
    <w:rsid w:val="00505D2B"/>
    <w:rsid w:val="00505EB2"/>
    <w:rsid w:val="00506024"/>
    <w:rsid w:val="00506074"/>
    <w:rsid w:val="0050670F"/>
    <w:rsid w:val="005068F6"/>
    <w:rsid w:val="00506A79"/>
    <w:rsid w:val="005070F8"/>
    <w:rsid w:val="00507194"/>
    <w:rsid w:val="00507C06"/>
    <w:rsid w:val="00510403"/>
    <w:rsid w:val="00510A6C"/>
    <w:rsid w:val="00510F98"/>
    <w:rsid w:val="0051129D"/>
    <w:rsid w:val="005117AD"/>
    <w:rsid w:val="00511BF4"/>
    <w:rsid w:val="00511D3E"/>
    <w:rsid w:val="0051200B"/>
    <w:rsid w:val="00512350"/>
    <w:rsid w:val="0051275F"/>
    <w:rsid w:val="00512778"/>
    <w:rsid w:val="0051300D"/>
    <w:rsid w:val="005130B3"/>
    <w:rsid w:val="00513276"/>
    <w:rsid w:val="005138C5"/>
    <w:rsid w:val="00513AE2"/>
    <w:rsid w:val="00513D2C"/>
    <w:rsid w:val="00514107"/>
    <w:rsid w:val="00514348"/>
    <w:rsid w:val="00514AA1"/>
    <w:rsid w:val="00515050"/>
    <w:rsid w:val="005154EB"/>
    <w:rsid w:val="00515A6A"/>
    <w:rsid w:val="00516476"/>
    <w:rsid w:val="00516563"/>
    <w:rsid w:val="005168DC"/>
    <w:rsid w:val="00517C03"/>
    <w:rsid w:val="00517E8E"/>
    <w:rsid w:val="00517FCA"/>
    <w:rsid w:val="00517FFC"/>
    <w:rsid w:val="005202AD"/>
    <w:rsid w:val="00520633"/>
    <w:rsid w:val="0052067A"/>
    <w:rsid w:val="00520870"/>
    <w:rsid w:val="00520D7B"/>
    <w:rsid w:val="00521119"/>
    <w:rsid w:val="0052116D"/>
    <w:rsid w:val="005221C8"/>
    <w:rsid w:val="00522412"/>
    <w:rsid w:val="00522BD3"/>
    <w:rsid w:val="00523058"/>
    <w:rsid w:val="00523D25"/>
    <w:rsid w:val="00523D67"/>
    <w:rsid w:val="00523EEC"/>
    <w:rsid w:val="00523F57"/>
    <w:rsid w:val="00524288"/>
    <w:rsid w:val="00524961"/>
    <w:rsid w:val="00524C41"/>
    <w:rsid w:val="00524D37"/>
    <w:rsid w:val="005252A3"/>
    <w:rsid w:val="00525473"/>
    <w:rsid w:val="005255C4"/>
    <w:rsid w:val="00525AA5"/>
    <w:rsid w:val="00525D87"/>
    <w:rsid w:val="00525F81"/>
    <w:rsid w:val="00526265"/>
    <w:rsid w:val="005266AF"/>
    <w:rsid w:val="00526CDB"/>
    <w:rsid w:val="0052706F"/>
    <w:rsid w:val="005277B2"/>
    <w:rsid w:val="005278DE"/>
    <w:rsid w:val="00527960"/>
    <w:rsid w:val="00527EE1"/>
    <w:rsid w:val="005304BA"/>
    <w:rsid w:val="00530E58"/>
    <w:rsid w:val="005314AE"/>
    <w:rsid w:val="0053158B"/>
    <w:rsid w:val="00531886"/>
    <w:rsid w:val="005318F5"/>
    <w:rsid w:val="00531EEA"/>
    <w:rsid w:val="00532045"/>
    <w:rsid w:val="005326C8"/>
    <w:rsid w:val="00532A49"/>
    <w:rsid w:val="00533169"/>
    <w:rsid w:val="00533578"/>
    <w:rsid w:val="005337CF"/>
    <w:rsid w:val="0053383F"/>
    <w:rsid w:val="00534631"/>
    <w:rsid w:val="00534DB0"/>
    <w:rsid w:val="0053504C"/>
    <w:rsid w:val="005350A2"/>
    <w:rsid w:val="005358A8"/>
    <w:rsid w:val="00535FFC"/>
    <w:rsid w:val="0053615F"/>
    <w:rsid w:val="00536632"/>
    <w:rsid w:val="0053683A"/>
    <w:rsid w:val="005372D1"/>
    <w:rsid w:val="00537481"/>
    <w:rsid w:val="00537615"/>
    <w:rsid w:val="00537A1E"/>
    <w:rsid w:val="00537C07"/>
    <w:rsid w:val="005402F9"/>
    <w:rsid w:val="0054030F"/>
    <w:rsid w:val="00540500"/>
    <w:rsid w:val="00540A00"/>
    <w:rsid w:val="00540F79"/>
    <w:rsid w:val="00540FA5"/>
    <w:rsid w:val="005415CE"/>
    <w:rsid w:val="00541672"/>
    <w:rsid w:val="00541799"/>
    <w:rsid w:val="0054192C"/>
    <w:rsid w:val="005427BB"/>
    <w:rsid w:val="00542FC8"/>
    <w:rsid w:val="0054302B"/>
    <w:rsid w:val="00543561"/>
    <w:rsid w:val="005435FA"/>
    <w:rsid w:val="00543627"/>
    <w:rsid w:val="00543E16"/>
    <w:rsid w:val="00543EBF"/>
    <w:rsid w:val="005442CC"/>
    <w:rsid w:val="005445F8"/>
    <w:rsid w:val="0054474D"/>
    <w:rsid w:val="0054488E"/>
    <w:rsid w:val="0054498F"/>
    <w:rsid w:val="005453CB"/>
    <w:rsid w:val="005458E7"/>
    <w:rsid w:val="00546852"/>
    <w:rsid w:val="00547988"/>
    <w:rsid w:val="00547BAC"/>
    <w:rsid w:val="00550728"/>
    <w:rsid w:val="00550E4B"/>
    <w:rsid w:val="0055102E"/>
    <w:rsid w:val="00551093"/>
    <w:rsid w:val="0055168A"/>
    <w:rsid w:val="00551E5F"/>
    <w:rsid w:val="00551EB6"/>
    <w:rsid w:val="00552671"/>
    <w:rsid w:val="00552E9B"/>
    <w:rsid w:val="00552F30"/>
    <w:rsid w:val="00554427"/>
    <w:rsid w:val="00554AC9"/>
    <w:rsid w:val="00554C84"/>
    <w:rsid w:val="00554E16"/>
    <w:rsid w:val="00555848"/>
    <w:rsid w:val="00555DAE"/>
    <w:rsid w:val="005561CE"/>
    <w:rsid w:val="0055658D"/>
    <w:rsid w:val="00556778"/>
    <w:rsid w:val="00556BBE"/>
    <w:rsid w:val="00556DA0"/>
    <w:rsid w:val="00556EC4"/>
    <w:rsid w:val="00557104"/>
    <w:rsid w:val="00557445"/>
    <w:rsid w:val="00557843"/>
    <w:rsid w:val="005578D2"/>
    <w:rsid w:val="00557B43"/>
    <w:rsid w:val="005600CA"/>
    <w:rsid w:val="00560745"/>
    <w:rsid w:val="00560A3A"/>
    <w:rsid w:val="00560C3C"/>
    <w:rsid w:val="00560DBD"/>
    <w:rsid w:val="005611EE"/>
    <w:rsid w:val="005617EB"/>
    <w:rsid w:val="00561A94"/>
    <w:rsid w:val="00562001"/>
    <w:rsid w:val="00562921"/>
    <w:rsid w:val="00562E03"/>
    <w:rsid w:val="00563E7E"/>
    <w:rsid w:val="005641FA"/>
    <w:rsid w:val="005642ED"/>
    <w:rsid w:val="005648F9"/>
    <w:rsid w:val="005649F1"/>
    <w:rsid w:val="00564AE2"/>
    <w:rsid w:val="00564B68"/>
    <w:rsid w:val="00565097"/>
    <w:rsid w:val="00565558"/>
    <w:rsid w:val="00565A52"/>
    <w:rsid w:val="00565AF4"/>
    <w:rsid w:val="00565BD0"/>
    <w:rsid w:val="00565CC8"/>
    <w:rsid w:val="00565CF3"/>
    <w:rsid w:val="005662A6"/>
    <w:rsid w:val="00566392"/>
    <w:rsid w:val="0056693C"/>
    <w:rsid w:val="00566A97"/>
    <w:rsid w:val="00566D4B"/>
    <w:rsid w:val="005677B1"/>
    <w:rsid w:val="00570AC6"/>
    <w:rsid w:val="00571761"/>
    <w:rsid w:val="005719EC"/>
    <w:rsid w:val="00571EAA"/>
    <w:rsid w:val="005723E2"/>
    <w:rsid w:val="005725BA"/>
    <w:rsid w:val="005726ED"/>
    <w:rsid w:val="00572EA4"/>
    <w:rsid w:val="00573D7C"/>
    <w:rsid w:val="005742D9"/>
    <w:rsid w:val="0057464C"/>
    <w:rsid w:val="00574893"/>
    <w:rsid w:val="00574DE1"/>
    <w:rsid w:val="00574FDF"/>
    <w:rsid w:val="005750DD"/>
    <w:rsid w:val="00575125"/>
    <w:rsid w:val="005755F5"/>
    <w:rsid w:val="00575956"/>
    <w:rsid w:val="00575DFD"/>
    <w:rsid w:val="00576A0A"/>
    <w:rsid w:val="00577106"/>
    <w:rsid w:val="00577523"/>
    <w:rsid w:val="005775EC"/>
    <w:rsid w:val="00577926"/>
    <w:rsid w:val="00577C01"/>
    <w:rsid w:val="00577F25"/>
    <w:rsid w:val="005802C0"/>
    <w:rsid w:val="005802D6"/>
    <w:rsid w:val="00580D41"/>
    <w:rsid w:val="00581197"/>
    <w:rsid w:val="00581862"/>
    <w:rsid w:val="00582B29"/>
    <w:rsid w:val="00582BFB"/>
    <w:rsid w:val="00582E93"/>
    <w:rsid w:val="005833D3"/>
    <w:rsid w:val="0058352B"/>
    <w:rsid w:val="00583646"/>
    <w:rsid w:val="00583A31"/>
    <w:rsid w:val="005840D0"/>
    <w:rsid w:val="005841C4"/>
    <w:rsid w:val="005846CC"/>
    <w:rsid w:val="005847F5"/>
    <w:rsid w:val="00584901"/>
    <w:rsid w:val="00585103"/>
    <w:rsid w:val="00585173"/>
    <w:rsid w:val="0058535C"/>
    <w:rsid w:val="00585980"/>
    <w:rsid w:val="00585993"/>
    <w:rsid w:val="00585BBB"/>
    <w:rsid w:val="00586677"/>
    <w:rsid w:val="0058669A"/>
    <w:rsid w:val="005868B6"/>
    <w:rsid w:val="005868EC"/>
    <w:rsid w:val="00586974"/>
    <w:rsid w:val="00586A85"/>
    <w:rsid w:val="00586AE7"/>
    <w:rsid w:val="00586CC0"/>
    <w:rsid w:val="00586FBC"/>
    <w:rsid w:val="00587044"/>
    <w:rsid w:val="005871C3"/>
    <w:rsid w:val="005873B4"/>
    <w:rsid w:val="0059016D"/>
    <w:rsid w:val="005906AE"/>
    <w:rsid w:val="00590AA0"/>
    <w:rsid w:val="00590BD7"/>
    <w:rsid w:val="00590CA6"/>
    <w:rsid w:val="00590F8E"/>
    <w:rsid w:val="00591C67"/>
    <w:rsid w:val="00592193"/>
    <w:rsid w:val="005922E5"/>
    <w:rsid w:val="00592395"/>
    <w:rsid w:val="00592790"/>
    <w:rsid w:val="005927E2"/>
    <w:rsid w:val="00592AF3"/>
    <w:rsid w:val="00593191"/>
    <w:rsid w:val="00593F87"/>
    <w:rsid w:val="00594200"/>
    <w:rsid w:val="0059453B"/>
    <w:rsid w:val="0059496A"/>
    <w:rsid w:val="00595264"/>
    <w:rsid w:val="00596078"/>
    <w:rsid w:val="005962D2"/>
    <w:rsid w:val="0059668A"/>
    <w:rsid w:val="005969D8"/>
    <w:rsid w:val="0059747F"/>
    <w:rsid w:val="00597533"/>
    <w:rsid w:val="005976B9"/>
    <w:rsid w:val="0059777D"/>
    <w:rsid w:val="005977C5"/>
    <w:rsid w:val="005A0095"/>
    <w:rsid w:val="005A0EDB"/>
    <w:rsid w:val="005A1017"/>
    <w:rsid w:val="005A10E5"/>
    <w:rsid w:val="005A112C"/>
    <w:rsid w:val="005A167D"/>
    <w:rsid w:val="005A1731"/>
    <w:rsid w:val="005A1AB7"/>
    <w:rsid w:val="005A2D84"/>
    <w:rsid w:val="005A3274"/>
    <w:rsid w:val="005A35D8"/>
    <w:rsid w:val="005A3C9D"/>
    <w:rsid w:val="005A3CD4"/>
    <w:rsid w:val="005A45F9"/>
    <w:rsid w:val="005A4A05"/>
    <w:rsid w:val="005A4A8E"/>
    <w:rsid w:val="005A619D"/>
    <w:rsid w:val="005A64AB"/>
    <w:rsid w:val="005A6979"/>
    <w:rsid w:val="005A6A3D"/>
    <w:rsid w:val="005A6B50"/>
    <w:rsid w:val="005A6F0F"/>
    <w:rsid w:val="005A7269"/>
    <w:rsid w:val="005A72A2"/>
    <w:rsid w:val="005A7813"/>
    <w:rsid w:val="005A7A61"/>
    <w:rsid w:val="005A7A9E"/>
    <w:rsid w:val="005A7F3C"/>
    <w:rsid w:val="005B01B2"/>
    <w:rsid w:val="005B09DF"/>
    <w:rsid w:val="005B0A22"/>
    <w:rsid w:val="005B0AA2"/>
    <w:rsid w:val="005B1056"/>
    <w:rsid w:val="005B18E1"/>
    <w:rsid w:val="005B1922"/>
    <w:rsid w:val="005B1B88"/>
    <w:rsid w:val="005B1FAC"/>
    <w:rsid w:val="005B20BF"/>
    <w:rsid w:val="005B2530"/>
    <w:rsid w:val="005B2ADF"/>
    <w:rsid w:val="005B3413"/>
    <w:rsid w:val="005B35E7"/>
    <w:rsid w:val="005B3BC1"/>
    <w:rsid w:val="005B3FD7"/>
    <w:rsid w:val="005B433E"/>
    <w:rsid w:val="005B485F"/>
    <w:rsid w:val="005B48AA"/>
    <w:rsid w:val="005B5257"/>
    <w:rsid w:val="005B5291"/>
    <w:rsid w:val="005B539D"/>
    <w:rsid w:val="005B54D0"/>
    <w:rsid w:val="005B5EE5"/>
    <w:rsid w:val="005B6508"/>
    <w:rsid w:val="005B6FA4"/>
    <w:rsid w:val="005B7540"/>
    <w:rsid w:val="005B7740"/>
    <w:rsid w:val="005B79C1"/>
    <w:rsid w:val="005B7AB2"/>
    <w:rsid w:val="005C0873"/>
    <w:rsid w:val="005C0E7D"/>
    <w:rsid w:val="005C1418"/>
    <w:rsid w:val="005C14B8"/>
    <w:rsid w:val="005C17F8"/>
    <w:rsid w:val="005C1912"/>
    <w:rsid w:val="005C1AF1"/>
    <w:rsid w:val="005C1E6B"/>
    <w:rsid w:val="005C208E"/>
    <w:rsid w:val="005C25B4"/>
    <w:rsid w:val="005C270D"/>
    <w:rsid w:val="005C2CBB"/>
    <w:rsid w:val="005C2F35"/>
    <w:rsid w:val="005C2FDB"/>
    <w:rsid w:val="005C3489"/>
    <w:rsid w:val="005C3657"/>
    <w:rsid w:val="005C3938"/>
    <w:rsid w:val="005C3A77"/>
    <w:rsid w:val="005C3F6E"/>
    <w:rsid w:val="005C5148"/>
    <w:rsid w:val="005C55F9"/>
    <w:rsid w:val="005C5AC1"/>
    <w:rsid w:val="005C6205"/>
    <w:rsid w:val="005C6BA7"/>
    <w:rsid w:val="005C6CFF"/>
    <w:rsid w:val="005C70B5"/>
    <w:rsid w:val="005C765E"/>
    <w:rsid w:val="005C7683"/>
    <w:rsid w:val="005D058E"/>
    <w:rsid w:val="005D0695"/>
    <w:rsid w:val="005D1642"/>
    <w:rsid w:val="005D179B"/>
    <w:rsid w:val="005D198E"/>
    <w:rsid w:val="005D1F09"/>
    <w:rsid w:val="005D1FFE"/>
    <w:rsid w:val="005D2A47"/>
    <w:rsid w:val="005D2CEC"/>
    <w:rsid w:val="005D2D1A"/>
    <w:rsid w:val="005D2EF5"/>
    <w:rsid w:val="005D3BB7"/>
    <w:rsid w:val="005D4022"/>
    <w:rsid w:val="005D4302"/>
    <w:rsid w:val="005D49AD"/>
    <w:rsid w:val="005D49D6"/>
    <w:rsid w:val="005D4B7C"/>
    <w:rsid w:val="005D4CC9"/>
    <w:rsid w:val="005D54B5"/>
    <w:rsid w:val="005D5BFE"/>
    <w:rsid w:val="005D70CB"/>
    <w:rsid w:val="005D718F"/>
    <w:rsid w:val="005D7606"/>
    <w:rsid w:val="005D7DA0"/>
    <w:rsid w:val="005D7DD4"/>
    <w:rsid w:val="005D7EEB"/>
    <w:rsid w:val="005D7F57"/>
    <w:rsid w:val="005E01D4"/>
    <w:rsid w:val="005E0434"/>
    <w:rsid w:val="005E07E2"/>
    <w:rsid w:val="005E1410"/>
    <w:rsid w:val="005E2807"/>
    <w:rsid w:val="005E295B"/>
    <w:rsid w:val="005E373A"/>
    <w:rsid w:val="005E3BBE"/>
    <w:rsid w:val="005E3D48"/>
    <w:rsid w:val="005E4435"/>
    <w:rsid w:val="005E4718"/>
    <w:rsid w:val="005E48EF"/>
    <w:rsid w:val="005E4B45"/>
    <w:rsid w:val="005E5010"/>
    <w:rsid w:val="005E51BD"/>
    <w:rsid w:val="005E5939"/>
    <w:rsid w:val="005E5D86"/>
    <w:rsid w:val="005E6084"/>
    <w:rsid w:val="005E61FF"/>
    <w:rsid w:val="005E63C5"/>
    <w:rsid w:val="005E685D"/>
    <w:rsid w:val="005E68DD"/>
    <w:rsid w:val="005E71FF"/>
    <w:rsid w:val="005E78C6"/>
    <w:rsid w:val="005F004A"/>
    <w:rsid w:val="005F019A"/>
    <w:rsid w:val="005F079F"/>
    <w:rsid w:val="005F07A9"/>
    <w:rsid w:val="005F0942"/>
    <w:rsid w:val="005F0B08"/>
    <w:rsid w:val="005F2594"/>
    <w:rsid w:val="005F29BD"/>
    <w:rsid w:val="005F2E6D"/>
    <w:rsid w:val="005F2EB9"/>
    <w:rsid w:val="005F3032"/>
    <w:rsid w:val="005F3201"/>
    <w:rsid w:val="005F3AFB"/>
    <w:rsid w:val="005F4465"/>
    <w:rsid w:val="005F4662"/>
    <w:rsid w:val="005F47CD"/>
    <w:rsid w:val="005F4A50"/>
    <w:rsid w:val="005F4CBC"/>
    <w:rsid w:val="005F4DD3"/>
    <w:rsid w:val="005F54FC"/>
    <w:rsid w:val="005F5896"/>
    <w:rsid w:val="005F63A2"/>
    <w:rsid w:val="005F6418"/>
    <w:rsid w:val="005F6587"/>
    <w:rsid w:val="005F6971"/>
    <w:rsid w:val="005F6EEF"/>
    <w:rsid w:val="005F7083"/>
    <w:rsid w:val="005F7406"/>
    <w:rsid w:val="005F746B"/>
    <w:rsid w:val="005F79F7"/>
    <w:rsid w:val="005F7CA7"/>
    <w:rsid w:val="006003CB"/>
    <w:rsid w:val="00600D66"/>
    <w:rsid w:val="00600E47"/>
    <w:rsid w:val="006011B8"/>
    <w:rsid w:val="00601796"/>
    <w:rsid w:val="0060190F"/>
    <w:rsid w:val="00601E8F"/>
    <w:rsid w:val="00602AD9"/>
    <w:rsid w:val="00602C33"/>
    <w:rsid w:val="00602C5B"/>
    <w:rsid w:val="00602F73"/>
    <w:rsid w:val="00602F7A"/>
    <w:rsid w:val="00603F36"/>
    <w:rsid w:val="006043FD"/>
    <w:rsid w:val="00604F44"/>
    <w:rsid w:val="00605188"/>
    <w:rsid w:val="00605817"/>
    <w:rsid w:val="006058C2"/>
    <w:rsid w:val="00605A98"/>
    <w:rsid w:val="006068C2"/>
    <w:rsid w:val="00606A20"/>
    <w:rsid w:val="00607015"/>
    <w:rsid w:val="00607358"/>
    <w:rsid w:val="006073FF"/>
    <w:rsid w:val="0060749A"/>
    <w:rsid w:val="00607598"/>
    <w:rsid w:val="006078FB"/>
    <w:rsid w:val="00607AB6"/>
    <w:rsid w:val="006100F6"/>
    <w:rsid w:val="00610198"/>
    <w:rsid w:val="0061036B"/>
    <w:rsid w:val="00610745"/>
    <w:rsid w:val="00610841"/>
    <w:rsid w:val="00610D2D"/>
    <w:rsid w:val="0061114B"/>
    <w:rsid w:val="006114EC"/>
    <w:rsid w:val="00611734"/>
    <w:rsid w:val="00611A8B"/>
    <w:rsid w:val="00611FF7"/>
    <w:rsid w:val="006120C9"/>
    <w:rsid w:val="006125FD"/>
    <w:rsid w:val="00612DE1"/>
    <w:rsid w:val="0061340C"/>
    <w:rsid w:val="00613C80"/>
    <w:rsid w:val="0061401F"/>
    <w:rsid w:val="00614133"/>
    <w:rsid w:val="00614804"/>
    <w:rsid w:val="00614A36"/>
    <w:rsid w:val="00614EB4"/>
    <w:rsid w:val="0061500B"/>
    <w:rsid w:val="00615BFF"/>
    <w:rsid w:val="00615DF8"/>
    <w:rsid w:val="00615ED1"/>
    <w:rsid w:val="00616665"/>
    <w:rsid w:val="00616888"/>
    <w:rsid w:val="00616999"/>
    <w:rsid w:val="00616C35"/>
    <w:rsid w:val="006171F5"/>
    <w:rsid w:val="00617E0E"/>
    <w:rsid w:val="00617EBD"/>
    <w:rsid w:val="006207D5"/>
    <w:rsid w:val="0062127C"/>
    <w:rsid w:val="006218C4"/>
    <w:rsid w:val="00621B65"/>
    <w:rsid w:val="00621CB3"/>
    <w:rsid w:val="00621D00"/>
    <w:rsid w:val="00621D3C"/>
    <w:rsid w:val="00622034"/>
    <w:rsid w:val="00622701"/>
    <w:rsid w:val="00622FB4"/>
    <w:rsid w:val="0062348E"/>
    <w:rsid w:val="00623F9A"/>
    <w:rsid w:val="00624120"/>
    <w:rsid w:val="00624198"/>
    <w:rsid w:val="0062453A"/>
    <w:rsid w:val="00624553"/>
    <w:rsid w:val="006246F2"/>
    <w:rsid w:val="0062484D"/>
    <w:rsid w:val="00624D4E"/>
    <w:rsid w:val="0062577B"/>
    <w:rsid w:val="0062597B"/>
    <w:rsid w:val="00625A4E"/>
    <w:rsid w:val="00625ABB"/>
    <w:rsid w:val="00625C23"/>
    <w:rsid w:val="006261DD"/>
    <w:rsid w:val="0062638F"/>
    <w:rsid w:val="0062639D"/>
    <w:rsid w:val="006263D7"/>
    <w:rsid w:val="00626958"/>
    <w:rsid w:val="00626CC7"/>
    <w:rsid w:val="00626D26"/>
    <w:rsid w:val="00626DFD"/>
    <w:rsid w:val="00626FBD"/>
    <w:rsid w:val="006277F4"/>
    <w:rsid w:val="00627BD1"/>
    <w:rsid w:val="00630208"/>
    <w:rsid w:val="00630B64"/>
    <w:rsid w:val="00630B84"/>
    <w:rsid w:val="006311ED"/>
    <w:rsid w:val="0063154C"/>
    <w:rsid w:val="00631745"/>
    <w:rsid w:val="0063191C"/>
    <w:rsid w:val="00632155"/>
    <w:rsid w:val="00632F30"/>
    <w:rsid w:val="00633030"/>
    <w:rsid w:val="00633288"/>
    <w:rsid w:val="0063359E"/>
    <w:rsid w:val="00634C5A"/>
    <w:rsid w:val="00634FE2"/>
    <w:rsid w:val="0063564E"/>
    <w:rsid w:val="00635769"/>
    <w:rsid w:val="00636025"/>
    <w:rsid w:val="00636212"/>
    <w:rsid w:val="006364B3"/>
    <w:rsid w:val="0063665B"/>
    <w:rsid w:val="00636EA4"/>
    <w:rsid w:val="0063703B"/>
    <w:rsid w:val="0063709A"/>
    <w:rsid w:val="00637C7F"/>
    <w:rsid w:val="00637CD9"/>
    <w:rsid w:val="00637CE2"/>
    <w:rsid w:val="00637CE3"/>
    <w:rsid w:val="0064011F"/>
    <w:rsid w:val="00640167"/>
    <w:rsid w:val="00640578"/>
    <w:rsid w:val="00640C5C"/>
    <w:rsid w:val="00640FAA"/>
    <w:rsid w:val="00641968"/>
    <w:rsid w:val="0064266C"/>
    <w:rsid w:val="006427D0"/>
    <w:rsid w:val="0064294C"/>
    <w:rsid w:val="00642EBD"/>
    <w:rsid w:val="0064322D"/>
    <w:rsid w:val="00643441"/>
    <w:rsid w:val="006436AD"/>
    <w:rsid w:val="006441EE"/>
    <w:rsid w:val="00644D18"/>
    <w:rsid w:val="00645806"/>
    <w:rsid w:val="00645C96"/>
    <w:rsid w:val="00645E3C"/>
    <w:rsid w:val="00645EF1"/>
    <w:rsid w:val="00646562"/>
    <w:rsid w:val="00646A02"/>
    <w:rsid w:val="00646FB1"/>
    <w:rsid w:val="0064714D"/>
    <w:rsid w:val="00647168"/>
    <w:rsid w:val="00647521"/>
    <w:rsid w:val="00650019"/>
    <w:rsid w:val="00650061"/>
    <w:rsid w:val="00650451"/>
    <w:rsid w:val="0065049D"/>
    <w:rsid w:val="0065077C"/>
    <w:rsid w:val="006514DF"/>
    <w:rsid w:val="00651921"/>
    <w:rsid w:val="006519AC"/>
    <w:rsid w:val="006522F2"/>
    <w:rsid w:val="006526FC"/>
    <w:rsid w:val="0065324F"/>
    <w:rsid w:val="006532B0"/>
    <w:rsid w:val="00653492"/>
    <w:rsid w:val="0065363C"/>
    <w:rsid w:val="0065364F"/>
    <w:rsid w:val="00653727"/>
    <w:rsid w:val="0065394F"/>
    <w:rsid w:val="00653BC6"/>
    <w:rsid w:val="00654754"/>
    <w:rsid w:val="00654774"/>
    <w:rsid w:val="0065492B"/>
    <w:rsid w:val="00654958"/>
    <w:rsid w:val="00654B54"/>
    <w:rsid w:val="006553FA"/>
    <w:rsid w:val="00655D85"/>
    <w:rsid w:val="00656227"/>
    <w:rsid w:val="0065634C"/>
    <w:rsid w:val="0065686F"/>
    <w:rsid w:val="00656938"/>
    <w:rsid w:val="00656E9A"/>
    <w:rsid w:val="00657166"/>
    <w:rsid w:val="00657344"/>
    <w:rsid w:val="00657DD1"/>
    <w:rsid w:val="00657EA5"/>
    <w:rsid w:val="00660576"/>
    <w:rsid w:val="006606D0"/>
    <w:rsid w:val="00660EFB"/>
    <w:rsid w:val="00660F38"/>
    <w:rsid w:val="00660FC8"/>
    <w:rsid w:val="00661654"/>
    <w:rsid w:val="00662355"/>
    <w:rsid w:val="00662AA8"/>
    <w:rsid w:val="00662D0A"/>
    <w:rsid w:val="00662E45"/>
    <w:rsid w:val="006637A0"/>
    <w:rsid w:val="00663BDB"/>
    <w:rsid w:val="00664048"/>
    <w:rsid w:val="006641BF"/>
    <w:rsid w:val="00664997"/>
    <w:rsid w:val="00664A11"/>
    <w:rsid w:val="00665104"/>
    <w:rsid w:val="0066578F"/>
    <w:rsid w:val="00665979"/>
    <w:rsid w:val="00665B6E"/>
    <w:rsid w:val="00665D33"/>
    <w:rsid w:val="00665ED6"/>
    <w:rsid w:val="0066618F"/>
    <w:rsid w:val="00666568"/>
    <w:rsid w:val="006665BA"/>
    <w:rsid w:val="0066695C"/>
    <w:rsid w:val="00666AC4"/>
    <w:rsid w:val="00666BEE"/>
    <w:rsid w:val="00666D1C"/>
    <w:rsid w:val="00666F08"/>
    <w:rsid w:val="0066762D"/>
    <w:rsid w:val="006676BF"/>
    <w:rsid w:val="00667B0C"/>
    <w:rsid w:val="006701B5"/>
    <w:rsid w:val="006710E3"/>
    <w:rsid w:val="00671252"/>
    <w:rsid w:val="006715C8"/>
    <w:rsid w:val="006717B1"/>
    <w:rsid w:val="00672D64"/>
    <w:rsid w:val="00673191"/>
    <w:rsid w:val="006734E0"/>
    <w:rsid w:val="00673608"/>
    <w:rsid w:val="0067372B"/>
    <w:rsid w:val="006739BE"/>
    <w:rsid w:val="00673F13"/>
    <w:rsid w:val="0067434F"/>
    <w:rsid w:val="00674E0C"/>
    <w:rsid w:val="0067549A"/>
    <w:rsid w:val="00676828"/>
    <w:rsid w:val="00676D1F"/>
    <w:rsid w:val="006772CE"/>
    <w:rsid w:val="00677513"/>
    <w:rsid w:val="00677F67"/>
    <w:rsid w:val="00680658"/>
    <w:rsid w:val="00680E18"/>
    <w:rsid w:val="00680E9F"/>
    <w:rsid w:val="00681059"/>
    <w:rsid w:val="00681526"/>
    <w:rsid w:val="006816FB"/>
    <w:rsid w:val="00681B21"/>
    <w:rsid w:val="00681C38"/>
    <w:rsid w:val="006823F6"/>
    <w:rsid w:val="0068297C"/>
    <w:rsid w:val="00682D93"/>
    <w:rsid w:val="0068393B"/>
    <w:rsid w:val="00684787"/>
    <w:rsid w:val="006849B6"/>
    <w:rsid w:val="00684B7D"/>
    <w:rsid w:val="00684D57"/>
    <w:rsid w:val="00685397"/>
    <w:rsid w:val="006861C5"/>
    <w:rsid w:val="00686383"/>
    <w:rsid w:val="00686563"/>
    <w:rsid w:val="00686725"/>
    <w:rsid w:val="006868D6"/>
    <w:rsid w:val="00687415"/>
    <w:rsid w:val="00687634"/>
    <w:rsid w:val="00687903"/>
    <w:rsid w:val="00687A18"/>
    <w:rsid w:val="00687A90"/>
    <w:rsid w:val="00687CC7"/>
    <w:rsid w:val="00687DC4"/>
    <w:rsid w:val="00687F81"/>
    <w:rsid w:val="0069020E"/>
    <w:rsid w:val="006907BC"/>
    <w:rsid w:val="00691BBF"/>
    <w:rsid w:val="00692122"/>
    <w:rsid w:val="00692A79"/>
    <w:rsid w:val="00692FEA"/>
    <w:rsid w:val="006932C5"/>
    <w:rsid w:val="00693507"/>
    <w:rsid w:val="0069391C"/>
    <w:rsid w:val="006940C3"/>
    <w:rsid w:val="00694734"/>
    <w:rsid w:val="00694B5C"/>
    <w:rsid w:val="00694C44"/>
    <w:rsid w:val="00694D0B"/>
    <w:rsid w:val="00694DFA"/>
    <w:rsid w:val="00695A30"/>
    <w:rsid w:val="00695C0A"/>
    <w:rsid w:val="00695C2C"/>
    <w:rsid w:val="0069600C"/>
    <w:rsid w:val="0069622D"/>
    <w:rsid w:val="006962E4"/>
    <w:rsid w:val="006968FC"/>
    <w:rsid w:val="00696F73"/>
    <w:rsid w:val="00696FF4"/>
    <w:rsid w:val="006971B5"/>
    <w:rsid w:val="00697266"/>
    <w:rsid w:val="006972E8"/>
    <w:rsid w:val="006978B8"/>
    <w:rsid w:val="00697A9F"/>
    <w:rsid w:val="00697C57"/>
    <w:rsid w:val="006A02F8"/>
    <w:rsid w:val="006A037B"/>
    <w:rsid w:val="006A0A5E"/>
    <w:rsid w:val="006A1217"/>
    <w:rsid w:val="006A16FF"/>
    <w:rsid w:val="006A190C"/>
    <w:rsid w:val="006A1BDE"/>
    <w:rsid w:val="006A1F94"/>
    <w:rsid w:val="006A1FF1"/>
    <w:rsid w:val="006A282D"/>
    <w:rsid w:val="006A29FB"/>
    <w:rsid w:val="006A2E81"/>
    <w:rsid w:val="006A3317"/>
    <w:rsid w:val="006A3650"/>
    <w:rsid w:val="006A3F08"/>
    <w:rsid w:val="006A4494"/>
    <w:rsid w:val="006A462F"/>
    <w:rsid w:val="006A4688"/>
    <w:rsid w:val="006A4764"/>
    <w:rsid w:val="006A4CDF"/>
    <w:rsid w:val="006A52CB"/>
    <w:rsid w:val="006A581D"/>
    <w:rsid w:val="006A5FB5"/>
    <w:rsid w:val="006A61AF"/>
    <w:rsid w:val="006A65FF"/>
    <w:rsid w:val="006A686A"/>
    <w:rsid w:val="006A6BA0"/>
    <w:rsid w:val="006A6D67"/>
    <w:rsid w:val="006A6D80"/>
    <w:rsid w:val="006A6EE6"/>
    <w:rsid w:val="006A7143"/>
    <w:rsid w:val="006A7884"/>
    <w:rsid w:val="006A799F"/>
    <w:rsid w:val="006A7C8E"/>
    <w:rsid w:val="006A7D79"/>
    <w:rsid w:val="006B02C5"/>
    <w:rsid w:val="006B0D1D"/>
    <w:rsid w:val="006B1679"/>
    <w:rsid w:val="006B1984"/>
    <w:rsid w:val="006B1BCE"/>
    <w:rsid w:val="006B1D9A"/>
    <w:rsid w:val="006B2147"/>
    <w:rsid w:val="006B2C0F"/>
    <w:rsid w:val="006B2CF1"/>
    <w:rsid w:val="006B2D3E"/>
    <w:rsid w:val="006B3647"/>
    <w:rsid w:val="006B39C6"/>
    <w:rsid w:val="006B437B"/>
    <w:rsid w:val="006B516A"/>
    <w:rsid w:val="006B5193"/>
    <w:rsid w:val="006B5411"/>
    <w:rsid w:val="006B55CC"/>
    <w:rsid w:val="006B5DB6"/>
    <w:rsid w:val="006B617C"/>
    <w:rsid w:val="006B68F3"/>
    <w:rsid w:val="006B6923"/>
    <w:rsid w:val="006B6BB1"/>
    <w:rsid w:val="006B6C17"/>
    <w:rsid w:val="006B6E94"/>
    <w:rsid w:val="006B6EDB"/>
    <w:rsid w:val="006B6EDC"/>
    <w:rsid w:val="006B6EE5"/>
    <w:rsid w:val="006B7E9F"/>
    <w:rsid w:val="006C00AD"/>
    <w:rsid w:val="006C15AD"/>
    <w:rsid w:val="006C161A"/>
    <w:rsid w:val="006C181E"/>
    <w:rsid w:val="006C1AB1"/>
    <w:rsid w:val="006C1F2F"/>
    <w:rsid w:val="006C2200"/>
    <w:rsid w:val="006C27DB"/>
    <w:rsid w:val="006C2DEE"/>
    <w:rsid w:val="006C3083"/>
    <w:rsid w:val="006C37EF"/>
    <w:rsid w:val="006C3C49"/>
    <w:rsid w:val="006C40F7"/>
    <w:rsid w:val="006C46B9"/>
    <w:rsid w:val="006C4C1B"/>
    <w:rsid w:val="006C4DF6"/>
    <w:rsid w:val="006C4EC6"/>
    <w:rsid w:val="006C535E"/>
    <w:rsid w:val="006C557B"/>
    <w:rsid w:val="006C567F"/>
    <w:rsid w:val="006C58E4"/>
    <w:rsid w:val="006C5A97"/>
    <w:rsid w:val="006C5F7C"/>
    <w:rsid w:val="006C6DC1"/>
    <w:rsid w:val="006C71BF"/>
    <w:rsid w:val="006C7B07"/>
    <w:rsid w:val="006C7BE2"/>
    <w:rsid w:val="006C7ED2"/>
    <w:rsid w:val="006D0CEA"/>
    <w:rsid w:val="006D10F5"/>
    <w:rsid w:val="006D1885"/>
    <w:rsid w:val="006D198D"/>
    <w:rsid w:val="006D1B2B"/>
    <w:rsid w:val="006D2E10"/>
    <w:rsid w:val="006D3531"/>
    <w:rsid w:val="006D42B3"/>
    <w:rsid w:val="006D5618"/>
    <w:rsid w:val="006D6790"/>
    <w:rsid w:val="006D68AA"/>
    <w:rsid w:val="006D6D61"/>
    <w:rsid w:val="006D7315"/>
    <w:rsid w:val="006D7350"/>
    <w:rsid w:val="006D791D"/>
    <w:rsid w:val="006D79B0"/>
    <w:rsid w:val="006E0083"/>
    <w:rsid w:val="006E0631"/>
    <w:rsid w:val="006E0B7C"/>
    <w:rsid w:val="006E0CAE"/>
    <w:rsid w:val="006E0F0D"/>
    <w:rsid w:val="006E1294"/>
    <w:rsid w:val="006E1555"/>
    <w:rsid w:val="006E156E"/>
    <w:rsid w:val="006E1DF4"/>
    <w:rsid w:val="006E2188"/>
    <w:rsid w:val="006E256E"/>
    <w:rsid w:val="006E2803"/>
    <w:rsid w:val="006E2F7F"/>
    <w:rsid w:val="006E318D"/>
    <w:rsid w:val="006E31BD"/>
    <w:rsid w:val="006E32DA"/>
    <w:rsid w:val="006E379F"/>
    <w:rsid w:val="006E43CD"/>
    <w:rsid w:val="006E49EC"/>
    <w:rsid w:val="006E507A"/>
    <w:rsid w:val="006E50D1"/>
    <w:rsid w:val="006E5152"/>
    <w:rsid w:val="006E66B2"/>
    <w:rsid w:val="006E6EB5"/>
    <w:rsid w:val="006E769B"/>
    <w:rsid w:val="006E7760"/>
    <w:rsid w:val="006E7839"/>
    <w:rsid w:val="006E785B"/>
    <w:rsid w:val="006E7AC3"/>
    <w:rsid w:val="006E7F22"/>
    <w:rsid w:val="006E7F5E"/>
    <w:rsid w:val="006F028A"/>
    <w:rsid w:val="006F03F0"/>
    <w:rsid w:val="006F049E"/>
    <w:rsid w:val="006F04C7"/>
    <w:rsid w:val="006F076F"/>
    <w:rsid w:val="006F088E"/>
    <w:rsid w:val="006F099F"/>
    <w:rsid w:val="006F0B92"/>
    <w:rsid w:val="006F139A"/>
    <w:rsid w:val="006F174B"/>
    <w:rsid w:val="006F1B08"/>
    <w:rsid w:val="006F1E98"/>
    <w:rsid w:val="006F217F"/>
    <w:rsid w:val="006F21DC"/>
    <w:rsid w:val="006F247D"/>
    <w:rsid w:val="006F2B91"/>
    <w:rsid w:val="006F2C9D"/>
    <w:rsid w:val="006F300E"/>
    <w:rsid w:val="006F3423"/>
    <w:rsid w:val="006F3629"/>
    <w:rsid w:val="006F3836"/>
    <w:rsid w:val="006F3959"/>
    <w:rsid w:val="006F3CF3"/>
    <w:rsid w:val="006F3D28"/>
    <w:rsid w:val="006F3D29"/>
    <w:rsid w:val="006F4215"/>
    <w:rsid w:val="006F42FA"/>
    <w:rsid w:val="006F43C7"/>
    <w:rsid w:val="006F4988"/>
    <w:rsid w:val="006F5B51"/>
    <w:rsid w:val="006F5DE3"/>
    <w:rsid w:val="006F6268"/>
    <w:rsid w:val="006F6636"/>
    <w:rsid w:val="006F6DC8"/>
    <w:rsid w:val="006F6DEB"/>
    <w:rsid w:val="006F71FD"/>
    <w:rsid w:val="006F759D"/>
    <w:rsid w:val="006F7AE5"/>
    <w:rsid w:val="006F7E44"/>
    <w:rsid w:val="006F7F25"/>
    <w:rsid w:val="00700201"/>
    <w:rsid w:val="007003EA"/>
    <w:rsid w:val="00700673"/>
    <w:rsid w:val="007006A9"/>
    <w:rsid w:val="0070131F"/>
    <w:rsid w:val="007016FA"/>
    <w:rsid w:val="0070322D"/>
    <w:rsid w:val="0070324A"/>
    <w:rsid w:val="00703299"/>
    <w:rsid w:val="00703582"/>
    <w:rsid w:val="00703A8E"/>
    <w:rsid w:val="00703DE3"/>
    <w:rsid w:val="00703F45"/>
    <w:rsid w:val="00704062"/>
    <w:rsid w:val="00704413"/>
    <w:rsid w:val="007045B3"/>
    <w:rsid w:val="007052A3"/>
    <w:rsid w:val="0070559C"/>
    <w:rsid w:val="0070579C"/>
    <w:rsid w:val="00705C69"/>
    <w:rsid w:val="00705CF0"/>
    <w:rsid w:val="00705FDF"/>
    <w:rsid w:val="007065DD"/>
    <w:rsid w:val="00706657"/>
    <w:rsid w:val="007071C1"/>
    <w:rsid w:val="0070721B"/>
    <w:rsid w:val="00707285"/>
    <w:rsid w:val="007072DF"/>
    <w:rsid w:val="007076A7"/>
    <w:rsid w:val="00707EAE"/>
    <w:rsid w:val="00710A1C"/>
    <w:rsid w:val="00710BAC"/>
    <w:rsid w:val="007113BB"/>
    <w:rsid w:val="00711442"/>
    <w:rsid w:val="007114A7"/>
    <w:rsid w:val="00711547"/>
    <w:rsid w:val="007118FE"/>
    <w:rsid w:val="007121C5"/>
    <w:rsid w:val="00712240"/>
    <w:rsid w:val="007122EC"/>
    <w:rsid w:val="007122F1"/>
    <w:rsid w:val="00712358"/>
    <w:rsid w:val="007128C5"/>
    <w:rsid w:val="00712D64"/>
    <w:rsid w:val="0071323D"/>
    <w:rsid w:val="00713844"/>
    <w:rsid w:val="0071417A"/>
    <w:rsid w:val="007141B4"/>
    <w:rsid w:val="00714616"/>
    <w:rsid w:val="00714701"/>
    <w:rsid w:val="00714DDC"/>
    <w:rsid w:val="00715843"/>
    <w:rsid w:val="00715BD7"/>
    <w:rsid w:val="00716287"/>
    <w:rsid w:val="00716CB1"/>
    <w:rsid w:val="00716CC6"/>
    <w:rsid w:val="0071710A"/>
    <w:rsid w:val="00717AB5"/>
    <w:rsid w:val="00720429"/>
    <w:rsid w:val="00720777"/>
    <w:rsid w:val="00720968"/>
    <w:rsid w:val="007209F2"/>
    <w:rsid w:val="00720F7E"/>
    <w:rsid w:val="007211C2"/>
    <w:rsid w:val="007216A8"/>
    <w:rsid w:val="0072269C"/>
    <w:rsid w:val="00722741"/>
    <w:rsid w:val="00722DA2"/>
    <w:rsid w:val="00722E01"/>
    <w:rsid w:val="00723177"/>
    <w:rsid w:val="00723514"/>
    <w:rsid w:val="00723581"/>
    <w:rsid w:val="007239FA"/>
    <w:rsid w:val="00723B94"/>
    <w:rsid w:val="00724340"/>
    <w:rsid w:val="00724D2B"/>
    <w:rsid w:val="00724EE2"/>
    <w:rsid w:val="00724F17"/>
    <w:rsid w:val="007254E0"/>
    <w:rsid w:val="00725626"/>
    <w:rsid w:val="007256E9"/>
    <w:rsid w:val="00725773"/>
    <w:rsid w:val="007257E7"/>
    <w:rsid w:val="00726343"/>
    <w:rsid w:val="00726694"/>
    <w:rsid w:val="00726A00"/>
    <w:rsid w:val="00727265"/>
    <w:rsid w:val="007273A4"/>
    <w:rsid w:val="007275A8"/>
    <w:rsid w:val="007303D9"/>
    <w:rsid w:val="00730796"/>
    <w:rsid w:val="00730E7A"/>
    <w:rsid w:val="00731936"/>
    <w:rsid w:val="0073199E"/>
    <w:rsid w:val="00731B69"/>
    <w:rsid w:val="00731E7D"/>
    <w:rsid w:val="007329B9"/>
    <w:rsid w:val="0073332F"/>
    <w:rsid w:val="00733689"/>
    <w:rsid w:val="0073424B"/>
    <w:rsid w:val="0073429C"/>
    <w:rsid w:val="007342B7"/>
    <w:rsid w:val="00734703"/>
    <w:rsid w:val="007348CB"/>
    <w:rsid w:val="00734C8D"/>
    <w:rsid w:val="00735C51"/>
    <w:rsid w:val="00735D42"/>
    <w:rsid w:val="00735F87"/>
    <w:rsid w:val="007361F2"/>
    <w:rsid w:val="00736FFD"/>
    <w:rsid w:val="007370B4"/>
    <w:rsid w:val="007373E6"/>
    <w:rsid w:val="0073775A"/>
    <w:rsid w:val="00737D9A"/>
    <w:rsid w:val="007401EE"/>
    <w:rsid w:val="007405E3"/>
    <w:rsid w:val="0074078A"/>
    <w:rsid w:val="00740BE7"/>
    <w:rsid w:val="00741A86"/>
    <w:rsid w:val="00741BFC"/>
    <w:rsid w:val="00741C63"/>
    <w:rsid w:val="0074208C"/>
    <w:rsid w:val="007439DF"/>
    <w:rsid w:val="00744915"/>
    <w:rsid w:val="00744BE8"/>
    <w:rsid w:val="00745732"/>
    <w:rsid w:val="00745F9F"/>
    <w:rsid w:val="0074605A"/>
    <w:rsid w:val="00746089"/>
    <w:rsid w:val="0074619F"/>
    <w:rsid w:val="007462DC"/>
    <w:rsid w:val="00746716"/>
    <w:rsid w:val="007468AF"/>
    <w:rsid w:val="00747020"/>
    <w:rsid w:val="0075054C"/>
    <w:rsid w:val="0075092D"/>
    <w:rsid w:val="00750ABC"/>
    <w:rsid w:val="00750F4A"/>
    <w:rsid w:val="00751D7D"/>
    <w:rsid w:val="00752299"/>
    <w:rsid w:val="00752556"/>
    <w:rsid w:val="007526FB"/>
    <w:rsid w:val="0075275C"/>
    <w:rsid w:val="00752B59"/>
    <w:rsid w:val="007534AD"/>
    <w:rsid w:val="00754131"/>
    <w:rsid w:val="007541BC"/>
    <w:rsid w:val="00754874"/>
    <w:rsid w:val="00754B0D"/>
    <w:rsid w:val="00754EF9"/>
    <w:rsid w:val="00755405"/>
    <w:rsid w:val="00755916"/>
    <w:rsid w:val="00755E51"/>
    <w:rsid w:val="007561C9"/>
    <w:rsid w:val="00757057"/>
    <w:rsid w:val="00757148"/>
    <w:rsid w:val="0075760A"/>
    <w:rsid w:val="007578A1"/>
    <w:rsid w:val="00757963"/>
    <w:rsid w:val="007603F8"/>
    <w:rsid w:val="00760737"/>
    <w:rsid w:val="007610B1"/>
    <w:rsid w:val="007613EC"/>
    <w:rsid w:val="00761510"/>
    <w:rsid w:val="00761E4C"/>
    <w:rsid w:val="00761FEB"/>
    <w:rsid w:val="0076260D"/>
    <w:rsid w:val="0076275B"/>
    <w:rsid w:val="00762B66"/>
    <w:rsid w:val="00762CA7"/>
    <w:rsid w:val="00763D93"/>
    <w:rsid w:val="0076407F"/>
    <w:rsid w:val="00764AA8"/>
    <w:rsid w:val="00765332"/>
    <w:rsid w:val="0076556B"/>
    <w:rsid w:val="0076635A"/>
    <w:rsid w:val="007664DC"/>
    <w:rsid w:val="00766876"/>
    <w:rsid w:val="00766975"/>
    <w:rsid w:val="00766F90"/>
    <w:rsid w:val="00767175"/>
    <w:rsid w:val="007700AF"/>
    <w:rsid w:val="00770760"/>
    <w:rsid w:val="007708A9"/>
    <w:rsid w:val="007712B5"/>
    <w:rsid w:val="00771CD5"/>
    <w:rsid w:val="0077271C"/>
    <w:rsid w:val="00773285"/>
    <w:rsid w:val="007738E2"/>
    <w:rsid w:val="00773923"/>
    <w:rsid w:val="00773E63"/>
    <w:rsid w:val="007741BA"/>
    <w:rsid w:val="00774346"/>
    <w:rsid w:val="00774BAC"/>
    <w:rsid w:val="00774BD7"/>
    <w:rsid w:val="0077521E"/>
    <w:rsid w:val="00775267"/>
    <w:rsid w:val="00775976"/>
    <w:rsid w:val="007759BF"/>
    <w:rsid w:val="00775DE3"/>
    <w:rsid w:val="00776085"/>
    <w:rsid w:val="00776462"/>
    <w:rsid w:val="00776747"/>
    <w:rsid w:val="007767BF"/>
    <w:rsid w:val="007768E0"/>
    <w:rsid w:val="00776DD8"/>
    <w:rsid w:val="007772CE"/>
    <w:rsid w:val="007776B4"/>
    <w:rsid w:val="00777BAD"/>
    <w:rsid w:val="00780111"/>
    <w:rsid w:val="00780759"/>
    <w:rsid w:val="00780CC9"/>
    <w:rsid w:val="00781185"/>
    <w:rsid w:val="007814E6"/>
    <w:rsid w:val="00781574"/>
    <w:rsid w:val="0078182E"/>
    <w:rsid w:val="00781909"/>
    <w:rsid w:val="0078210F"/>
    <w:rsid w:val="007824DA"/>
    <w:rsid w:val="00782AA6"/>
    <w:rsid w:val="0078304A"/>
    <w:rsid w:val="007832E9"/>
    <w:rsid w:val="00783359"/>
    <w:rsid w:val="00783528"/>
    <w:rsid w:val="00783598"/>
    <w:rsid w:val="00783A61"/>
    <w:rsid w:val="007841F8"/>
    <w:rsid w:val="007846F9"/>
    <w:rsid w:val="0078536A"/>
    <w:rsid w:val="00785398"/>
    <w:rsid w:val="00785933"/>
    <w:rsid w:val="0078641B"/>
    <w:rsid w:val="007865B9"/>
    <w:rsid w:val="00786610"/>
    <w:rsid w:val="00786D7C"/>
    <w:rsid w:val="00786D9A"/>
    <w:rsid w:val="0078733F"/>
    <w:rsid w:val="00787A0A"/>
    <w:rsid w:val="00787E0A"/>
    <w:rsid w:val="00787E0B"/>
    <w:rsid w:val="00790108"/>
    <w:rsid w:val="007901D5"/>
    <w:rsid w:val="00790BE5"/>
    <w:rsid w:val="00791491"/>
    <w:rsid w:val="00791BCB"/>
    <w:rsid w:val="00791C04"/>
    <w:rsid w:val="00791F2B"/>
    <w:rsid w:val="00792FF0"/>
    <w:rsid w:val="007935B8"/>
    <w:rsid w:val="00793BB2"/>
    <w:rsid w:val="00794108"/>
    <w:rsid w:val="007942C3"/>
    <w:rsid w:val="007943B3"/>
    <w:rsid w:val="007943F2"/>
    <w:rsid w:val="0079442B"/>
    <w:rsid w:val="00794B85"/>
    <w:rsid w:val="007956C0"/>
    <w:rsid w:val="00795863"/>
    <w:rsid w:val="007959A2"/>
    <w:rsid w:val="00795D6B"/>
    <w:rsid w:val="00796AA8"/>
    <w:rsid w:val="00797773"/>
    <w:rsid w:val="00797C91"/>
    <w:rsid w:val="007A02BB"/>
    <w:rsid w:val="007A0371"/>
    <w:rsid w:val="007A0B82"/>
    <w:rsid w:val="007A11B3"/>
    <w:rsid w:val="007A180B"/>
    <w:rsid w:val="007A19CA"/>
    <w:rsid w:val="007A1DB8"/>
    <w:rsid w:val="007A277B"/>
    <w:rsid w:val="007A3610"/>
    <w:rsid w:val="007A36FF"/>
    <w:rsid w:val="007A3737"/>
    <w:rsid w:val="007A390D"/>
    <w:rsid w:val="007A3C08"/>
    <w:rsid w:val="007A3D36"/>
    <w:rsid w:val="007A4028"/>
    <w:rsid w:val="007A4327"/>
    <w:rsid w:val="007A436A"/>
    <w:rsid w:val="007A47B9"/>
    <w:rsid w:val="007A594A"/>
    <w:rsid w:val="007A5BE3"/>
    <w:rsid w:val="007A633F"/>
    <w:rsid w:val="007A6EC6"/>
    <w:rsid w:val="007A73FD"/>
    <w:rsid w:val="007A77C2"/>
    <w:rsid w:val="007A7A32"/>
    <w:rsid w:val="007A7DAC"/>
    <w:rsid w:val="007A7FC4"/>
    <w:rsid w:val="007B0273"/>
    <w:rsid w:val="007B02B2"/>
    <w:rsid w:val="007B1531"/>
    <w:rsid w:val="007B15B1"/>
    <w:rsid w:val="007B16D1"/>
    <w:rsid w:val="007B31E9"/>
    <w:rsid w:val="007B335F"/>
    <w:rsid w:val="007B33CD"/>
    <w:rsid w:val="007B35FA"/>
    <w:rsid w:val="007B42CD"/>
    <w:rsid w:val="007B4C29"/>
    <w:rsid w:val="007B4DB2"/>
    <w:rsid w:val="007B5077"/>
    <w:rsid w:val="007B5517"/>
    <w:rsid w:val="007B5828"/>
    <w:rsid w:val="007B5989"/>
    <w:rsid w:val="007B5ACB"/>
    <w:rsid w:val="007B5F72"/>
    <w:rsid w:val="007B600F"/>
    <w:rsid w:val="007B6522"/>
    <w:rsid w:val="007B669C"/>
    <w:rsid w:val="007B676D"/>
    <w:rsid w:val="007B6AA6"/>
    <w:rsid w:val="007B6BF5"/>
    <w:rsid w:val="007B7348"/>
    <w:rsid w:val="007B7924"/>
    <w:rsid w:val="007B7B56"/>
    <w:rsid w:val="007B7C1E"/>
    <w:rsid w:val="007B7C57"/>
    <w:rsid w:val="007B7D0A"/>
    <w:rsid w:val="007C0D05"/>
    <w:rsid w:val="007C14C0"/>
    <w:rsid w:val="007C15BE"/>
    <w:rsid w:val="007C18E9"/>
    <w:rsid w:val="007C1922"/>
    <w:rsid w:val="007C1AED"/>
    <w:rsid w:val="007C1C7F"/>
    <w:rsid w:val="007C1F63"/>
    <w:rsid w:val="007C1FDC"/>
    <w:rsid w:val="007C2152"/>
    <w:rsid w:val="007C28B1"/>
    <w:rsid w:val="007C2C91"/>
    <w:rsid w:val="007C2CBC"/>
    <w:rsid w:val="007C31AF"/>
    <w:rsid w:val="007C3517"/>
    <w:rsid w:val="007C3FAA"/>
    <w:rsid w:val="007C42F0"/>
    <w:rsid w:val="007C4501"/>
    <w:rsid w:val="007C479E"/>
    <w:rsid w:val="007C4B7E"/>
    <w:rsid w:val="007C4C7C"/>
    <w:rsid w:val="007C4CC6"/>
    <w:rsid w:val="007C58F2"/>
    <w:rsid w:val="007C5B74"/>
    <w:rsid w:val="007C5B8B"/>
    <w:rsid w:val="007C5D3F"/>
    <w:rsid w:val="007C6392"/>
    <w:rsid w:val="007C6439"/>
    <w:rsid w:val="007C64E0"/>
    <w:rsid w:val="007C6860"/>
    <w:rsid w:val="007C6C67"/>
    <w:rsid w:val="007C6D65"/>
    <w:rsid w:val="007C7C43"/>
    <w:rsid w:val="007D04E2"/>
    <w:rsid w:val="007D0A3A"/>
    <w:rsid w:val="007D0B08"/>
    <w:rsid w:val="007D1546"/>
    <w:rsid w:val="007D159B"/>
    <w:rsid w:val="007D180A"/>
    <w:rsid w:val="007D1A0C"/>
    <w:rsid w:val="007D1A73"/>
    <w:rsid w:val="007D2095"/>
    <w:rsid w:val="007D2186"/>
    <w:rsid w:val="007D24D5"/>
    <w:rsid w:val="007D2B98"/>
    <w:rsid w:val="007D3C25"/>
    <w:rsid w:val="007D3CBB"/>
    <w:rsid w:val="007D3D39"/>
    <w:rsid w:val="007D3DCE"/>
    <w:rsid w:val="007D48EC"/>
    <w:rsid w:val="007D4B62"/>
    <w:rsid w:val="007D4E98"/>
    <w:rsid w:val="007D51C0"/>
    <w:rsid w:val="007D5DA3"/>
    <w:rsid w:val="007D6129"/>
    <w:rsid w:val="007D62F3"/>
    <w:rsid w:val="007D6390"/>
    <w:rsid w:val="007D6517"/>
    <w:rsid w:val="007D6684"/>
    <w:rsid w:val="007D66DD"/>
    <w:rsid w:val="007D70F6"/>
    <w:rsid w:val="007D789A"/>
    <w:rsid w:val="007D7A12"/>
    <w:rsid w:val="007D7A50"/>
    <w:rsid w:val="007D7DA2"/>
    <w:rsid w:val="007D7E23"/>
    <w:rsid w:val="007D7FAC"/>
    <w:rsid w:val="007E00D1"/>
    <w:rsid w:val="007E01B5"/>
    <w:rsid w:val="007E01DB"/>
    <w:rsid w:val="007E01FF"/>
    <w:rsid w:val="007E027C"/>
    <w:rsid w:val="007E0508"/>
    <w:rsid w:val="007E0DCE"/>
    <w:rsid w:val="007E0FB0"/>
    <w:rsid w:val="007E164F"/>
    <w:rsid w:val="007E16E6"/>
    <w:rsid w:val="007E1B1B"/>
    <w:rsid w:val="007E2B96"/>
    <w:rsid w:val="007E2D5A"/>
    <w:rsid w:val="007E2DCE"/>
    <w:rsid w:val="007E34D6"/>
    <w:rsid w:val="007E40D0"/>
    <w:rsid w:val="007E4EAE"/>
    <w:rsid w:val="007E525B"/>
    <w:rsid w:val="007E551E"/>
    <w:rsid w:val="007E5F38"/>
    <w:rsid w:val="007E5F82"/>
    <w:rsid w:val="007E65AF"/>
    <w:rsid w:val="007E66F2"/>
    <w:rsid w:val="007E6B10"/>
    <w:rsid w:val="007E6D0B"/>
    <w:rsid w:val="007E6EF5"/>
    <w:rsid w:val="007E78A7"/>
    <w:rsid w:val="007E79CA"/>
    <w:rsid w:val="007E7A20"/>
    <w:rsid w:val="007E7B72"/>
    <w:rsid w:val="007E7EB0"/>
    <w:rsid w:val="007F02F0"/>
    <w:rsid w:val="007F05BB"/>
    <w:rsid w:val="007F08EA"/>
    <w:rsid w:val="007F0CDF"/>
    <w:rsid w:val="007F0D62"/>
    <w:rsid w:val="007F1A1B"/>
    <w:rsid w:val="007F1AE0"/>
    <w:rsid w:val="007F20B5"/>
    <w:rsid w:val="007F2118"/>
    <w:rsid w:val="007F2BD3"/>
    <w:rsid w:val="007F2D0D"/>
    <w:rsid w:val="007F3316"/>
    <w:rsid w:val="007F3A13"/>
    <w:rsid w:val="007F3A7A"/>
    <w:rsid w:val="007F3C70"/>
    <w:rsid w:val="007F3DF3"/>
    <w:rsid w:val="007F4A71"/>
    <w:rsid w:val="007F5152"/>
    <w:rsid w:val="007F5247"/>
    <w:rsid w:val="007F57F9"/>
    <w:rsid w:val="007F5E32"/>
    <w:rsid w:val="007F5EE0"/>
    <w:rsid w:val="007F64D3"/>
    <w:rsid w:val="007F7011"/>
    <w:rsid w:val="007F72D0"/>
    <w:rsid w:val="007F7921"/>
    <w:rsid w:val="007F7CFD"/>
    <w:rsid w:val="00800522"/>
    <w:rsid w:val="00800C43"/>
    <w:rsid w:val="00800C93"/>
    <w:rsid w:val="00801592"/>
    <w:rsid w:val="00801725"/>
    <w:rsid w:val="0080174E"/>
    <w:rsid w:val="00801A8F"/>
    <w:rsid w:val="00801BFD"/>
    <w:rsid w:val="00801C59"/>
    <w:rsid w:val="00801D7D"/>
    <w:rsid w:val="008023B4"/>
    <w:rsid w:val="008025E1"/>
    <w:rsid w:val="0080278A"/>
    <w:rsid w:val="0080289F"/>
    <w:rsid w:val="00802F2D"/>
    <w:rsid w:val="00803EDC"/>
    <w:rsid w:val="00804896"/>
    <w:rsid w:val="00804FD2"/>
    <w:rsid w:val="008050C0"/>
    <w:rsid w:val="00805110"/>
    <w:rsid w:val="0080580C"/>
    <w:rsid w:val="00805858"/>
    <w:rsid w:val="00805948"/>
    <w:rsid w:val="00805A05"/>
    <w:rsid w:val="00805B5B"/>
    <w:rsid w:val="0080668F"/>
    <w:rsid w:val="008066CB"/>
    <w:rsid w:val="00806D62"/>
    <w:rsid w:val="00807330"/>
    <w:rsid w:val="008079BB"/>
    <w:rsid w:val="00807A4E"/>
    <w:rsid w:val="00807BDF"/>
    <w:rsid w:val="00807E55"/>
    <w:rsid w:val="008102A9"/>
    <w:rsid w:val="008102EB"/>
    <w:rsid w:val="008104DD"/>
    <w:rsid w:val="00810596"/>
    <w:rsid w:val="008106E8"/>
    <w:rsid w:val="0081093A"/>
    <w:rsid w:val="00810AAE"/>
    <w:rsid w:val="00810B93"/>
    <w:rsid w:val="00811273"/>
    <w:rsid w:val="0081128A"/>
    <w:rsid w:val="008115BD"/>
    <w:rsid w:val="008116E0"/>
    <w:rsid w:val="00812577"/>
    <w:rsid w:val="0081294E"/>
    <w:rsid w:val="00812A59"/>
    <w:rsid w:val="00812DBC"/>
    <w:rsid w:val="00813243"/>
    <w:rsid w:val="00813D88"/>
    <w:rsid w:val="00813D9C"/>
    <w:rsid w:val="008143A1"/>
    <w:rsid w:val="008146A8"/>
    <w:rsid w:val="00815116"/>
    <w:rsid w:val="00815288"/>
    <w:rsid w:val="0081594E"/>
    <w:rsid w:val="00815A2D"/>
    <w:rsid w:val="00815AD7"/>
    <w:rsid w:val="00815C41"/>
    <w:rsid w:val="00815D7D"/>
    <w:rsid w:val="00815FDB"/>
    <w:rsid w:val="0081601A"/>
    <w:rsid w:val="00816251"/>
    <w:rsid w:val="008165B7"/>
    <w:rsid w:val="008165FA"/>
    <w:rsid w:val="0081663A"/>
    <w:rsid w:val="008166B3"/>
    <w:rsid w:val="00816A82"/>
    <w:rsid w:val="008171E6"/>
    <w:rsid w:val="008202A0"/>
    <w:rsid w:val="008204DC"/>
    <w:rsid w:val="0082055E"/>
    <w:rsid w:val="0082065F"/>
    <w:rsid w:val="00820A70"/>
    <w:rsid w:val="008219AB"/>
    <w:rsid w:val="00821CBB"/>
    <w:rsid w:val="00821D5A"/>
    <w:rsid w:val="00821FC0"/>
    <w:rsid w:val="00822499"/>
    <w:rsid w:val="008229E0"/>
    <w:rsid w:val="00822DD6"/>
    <w:rsid w:val="00822ED7"/>
    <w:rsid w:val="008234FB"/>
    <w:rsid w:val="0082352A"/>
    <w:rsid w:val="00823B58"/>
    <w:rsid w:val="00824049"/>
    <w:rsid w:val="0082429A"/>
    <w:rsid w:val="0082453A"/>
    <w:rsid w:val="00824942"/>
    <w:rsid w:val="00824A28"/>
    <w:rsid w:val="00824B15"/>
    <w:rsid w:val="00824B19"/>
    <w:rsid w:val="00824FDF"/>
    <w:rsid w:val="0082615B"/>
    <w:rsid w:val="008262FB"/>
    <w:rsid w:val="00826F08"/>
    <w:rsid w:val="0082704B"/>
    <w:rsid w:val="008278C8"/>
    <w:rsid w:val="00827B27"/>
    <w:rsid w:val="00827E75"/>
    <w:rsid w:val="0083026D"/>
    <w:rsid w:val="00830326"/>
    <w:rsid w:val="00830BE8"/>
    <w:rsid w:val="00830C56"/>
    <w:rsid w:val="0083229B"/>
    <w:rsid w:val="00832761"/>
    <w:rsid w:val="008328AC"/>
    <w:rsid w:val="00832D11"/>
    <w:rsid w:val="00832E40"/>
    <w:rsid w:val="00833165"/>
    <w:rsid w:val="008336A2"/>
    <w:rsid w:val="00833AE3"/>
    <w:rsid w:val="00833D79"/>
    <w:rsid w:val="00833E1F"/>
    <w:rsid w:val="008340FA"/>
    <w:rsid w:val="00834206"/>
    <w:rsid w:val="008344F3"/>
    <w:rsid w:val="00834B16"/>
    <w:rsid w:val="00834BEB"/>
    <w:rsid w:val="00834C04"/>
    <w:rsid w:val="008351D2"/>
    <w:rsid w:val="008356C5"/>
    <w:rsid w:val="00835876"/>
    <w:rsid w:val="0083590F"/>
    <w:rsid w:val="00835BA2"/>
    <w:rsid w:val="00836345"/>
    <w:rsid w:val="00836902"/>
    <w:rsid w:val="008369AF"/>
    <w:rsid w:val="00836B35"/>
    <w:rsid w:val="00836C37"/>
    <w:rsid w:val="00836EDE"/>
    <w:rsid w:val="00837521"/>
    <w:rsid w:val="00837707"/>
    <w:rsid w:val="0083776C"/>
    <w:rsid w:val="008378ED"/>
    <w:rsid w:val="00837B23"/>
    <w:rsid w:val="008401C4"/>
    <w:rsid w:val="00840BDB"/>
    <w:rsid w:val="00840DC7"/>
    <w:rsid w:val="008411D8"/>
    <w:rsid w:val="00841AC0"/>
    <w:rsid w:val="00841F66"/>
    <w:rsid w:val="008422AD"/>
    <w:rsid w:val="008424DE"/>
    <w:rsid w:val="0084264B"/>
    <w:rsid w:val="0084296D"/>
    <w:rsid w:val="00842BC9"/>
    <w:rsid w:val="00842D60"/>
    <w:rsid w:val="00843665"/>
    <w:rsid w:val="008436F4"/>
    <w:rsid w:val="00843ACF"/>
    <w:rsid w:val="00843E64"/>
    <w:rsid w:val="008442E5"/>
    <w:rsid w:val="0084434D"/>
    <w:rsid w:val="00844874"/>
    <w:rsid w:val="008449CC"/>
    <w:rsid w:val="00844B5F"/>
    <w:rsid w:val="00844DB1"/>
    <w:rsid w:val="00845083"/>
    <w:rsid w:val="00845BDB"/>
    <w:rsid w:val="00846006"/>
    <w:rsid w:val="00846213"/>
    <w:rsid w:val="0084684B"/>
    <w:rsid w:val="00847219"/>
    <w:rsid w:val="00847AAC"/>
    <w:rsid w:val="00847AF9"/>
    <w:rsid w:val="00852853"/>
    <w:rsid w:val="00852960"/>
    <w:rsid w:val="00853701"/>
    <w:rsid w:val="008541D7"/>
    <w:rsid w:val="008543AC"/>
    <w:rsid w:val="008545C0"/>
    <w:rsid w:val="008549FD"/>
    <w:rsid w:val="00854ADE"/>
    <w:rsid w:val="00855857"/>
    <w:rsid w:val="00855A4E"/>
    <w:rsid w:val="00855AA2"/>
    <w:rsid w:val="00856964"/>
    <w:rsid w:val="00856C69"/>
    <w:rsid w:val="00856D5A"/>
    <w:rsid w:val="00856F96"/>
    <w:rsid w:val="00857587"/>
    <w:rsid w:val="00857621"/>
    <w:rsid w:val="00857722"/>
    <w:rsid w:val="008577EE"/>
    <w:rsid w:val="00857BA1"/>
    <w:rsid w:val="00860363"/>
    <w:rsid w:val="00860470"/>
    <w:rsid w:val="00860696"/>
    <w:rsid w:val="00860BDA"/>
    <w:rsid w:val="0086102A"/>
    <w:rsid w:val="0086192D"/>
    <w:rsid w:val="00861BD7"/>
    <w:rsid w:val="00861C5A"/>
    <w:rsid w:val="008626B4"/>
    <w:rsid w:val="00862842"/>
    <w:rsid w:val="008629FE"/>
    <w:rsid w:val="00862A97"/>
    <w:rsid w:val="00862EFC"/>
    <w:rsid w:val="00863214"/>
    <w:rsid w:val="0086388A"/>
    <w:rsid w:val="0086396D"/>
    <w:rsid w:val="00863FE9"/>
    <w:rsid w:val="0086459B"/>
    <w:rsid w:val="00864B07"/>
    <w:rsid w:val="00864C65"/>
    <w:rsid w:val="00864D76"/>
    <w:rsid w:val="00864FAF"/>
    <w:rsid w:val="0086577A"/>
    <w:rsid w:val="00865AB8"/>
    <w:rsid w:val="0086659D"/>
    <w:rsid w:val="00866A69"/>
    <w:rsid w:val="00866FD5"/>
    <w:rsid w:val="0086787F"/>
    <w:rsid w:val="008679C4"/>
    <w:rsid w:val="00867F46"/>
    <w:rsid w:val="0087021A"/>
    <w:rsid w:val="008702BB"/>
    <w:rsid w:val="00870656"/>
    <w:rsid w:val="00872539"/>
    <w:rsid w:val="0087270B"/>
    <w:rsid w:val="00872728"/>
    <w:rsid w:val="00872EE3"/>
    <w:rsid w:val="00872F28"/>
    <w:rsid w:val="00872FED"/>
    <w:rsid w:val="008734F1"/>
    <w:rsid w:val="00874D01"/>
    <w:rsid w:val="008750C1"/>
    <w:rsid w:val="00875260"/>
    <w:rsid w:val="00875330"/>
    <w:rsid w:val="00875B15"/>
    <w:rsid w:val="00875FB3"/>
    <w:rsid w:val="008761F9"/>
    <w:rsid w:val="0087695C"/>
    <w:rsid w:val="00876E44"/>
    <w:rsid w:val="0087707F"/>
    <w:rsid w:val="0087731E"/>
    <w:rsid w:val="00877657"/>
    <w:rsid w:val="008776AE"/>
    <w:rsid w:val="00877A1C"/>
    <w:rsid w:val="00877DAA"/>
    <w:rsid w:val="00877EC1"/>
    <w:rsid w:val="00880EF4"/>
    <w:rsid w:val="00880FA1"/>
    <w:rsid w:val="00881315"/>
    <w:rsid w:val="00881445"/>
    <w:rsid w:val="008819E0"/>
    <w:rsid w:val="0088226F"/>
    <w:rsid w:val="00882EDF"/>
    <w:rsid w:val="008830E8"/>
    <w:rsid w:val="008842B9"/>
    <w:rsid w:val="0088438E"/>
    <w:rsid w:val="00884449"/>
    <w:rsid w:val="0088449C"/>
    <w:rsid w:val="00884A8B"/>
    <w:rsid w:val="00884F5D"/>
    <w:rsid w:val="008854D1"/>
    <w:rsid w:val="00885AD4"/>
    <w:rsid w:val="00885C3C"/>
    <w:rsid w:val="00885DA0"/>
    <w:rsid w:val="0088620B"/>
    <w:rsid w:val="00886223"/>
    <w:rsid w:val="00886619"/>
    <w:rsid w:val="00886A86"/>
    <w:rsid w:val="00886B86"/>
    <w:rsid w:val="00886F87"/>
    <w:rsid w:val="00886F95"/>
    <w:rsid w:val="008871C1"/>
    <w:rsid w:val="008873DB"/>
    <w:rsid w:val="008877AE"/>
    <w:rsid w:val="008877F7"/>
    <w:rsid w:val="008903F1"/>
    <w:rsid w:val="008908A0"/>
    <w:rsid w:val="00890926"/>
    <w:rsid w:val="00890938"/>
    <w:rsid w:val="00890A40"/>
    <w:rsid w:val="00891211"/>
    <w:rsid w:val="0089184E"/>
    <w:rsid w:val="008919DB"/>
    <w:rsid w:val="008921A4"/>
    <w:rsid w:val="008921C2"/>
    <w:rsid w:val="00892C20"/>
    <w:rsid w:val="00892DD2"/>
    <w:rsid w:val="00893128"/>
    <w:rsid w:val="00893796"/>
    <w:rsid w:val="008938A6"/>
    <w:rsid w:val="008938FB"/>
    <w:rsid w:val="00893948"/>
    <w:rsid w:val="008939AB"/>
    <w:rsid w:val="00893F57"/>
    <w:rsid w:val="0089492D"/>
    <w:rsid w:val="00894A6B"/>
    <w:rsid w:val="00894DA2"/>
    <w:rsid w:val="008953AE"/>
    <w:rsid w:val="008958DB"/>
    <w:rsid w:val="00895B36"/>
    <w:rsid w:val="0089697F"/>
    <w:rsid w:val="008971EF"/>
    <w:rsid w:val="0089764E"/>
    <w:rsid w:val="00897A0A"/>
    <w:rsid w:val="00897F1F"/>
    <w:rsid w:val="008A03B9"/>
    <w:rsid w:val="008A11A5"/>
    <w:rsid w:val="008A11EA"/>
    <w:rsid w:val="008A1767"/>
    <w:rsid w:val="008A1BB9"/>
    <w:rsid w:val="008A1DEF"/>
    <w:rsid w:val="008A2FF0"/>
    <w:rsid w:val="008A35F5"/>
    <w:rsid w:val="008A37C1"/>
    <w:rsid w:val="008A38E3"/>
    <w:rsid w:val="008A3E7F"/>
    <w:rsid w:val="008A3E86"/>
    <w:rsid w:val="008A446D"/>
    <w:rsid w:val="008A4590"/>
    <w:rsid w:val="008A4773"/>
    <w:rsid w:val="008A4841"/>
    <w:rsid w:val="008A4C4A"/>
    <w:rsid w:val="008A4E3B"/>
    <w:rsid w:val="008A5315"/>
    <w:rsid w:val="008A5D3F"/>
    <w:rsid w:val="008A6015"/>
    <w:rsid w:val="008A6780"/>
    <w:rsid w:val="008A67AF"/>
    <w:rsid w:val="008A6B64"/>
    <w:rsid w:val="008A725D"/>
    <w:rsid w:val="008B020A"/>
    <w:rsid w:val="008B032E"/>
    <w:rsid w:val="008B037C"/>
    <w:rsid w:val="008B0388"/>
    <w:rsid w:val="008B0609"/>
    <w:rsid w:val="008B0B33"/>
    <w:rsid w:val="008B0DC7"/>
    <w:rsid w:val="008B12E5"/>
    <w:rsid w:val="008B1498"/>
    <w:rsid w:val="008B1789"/>
    <w:rsid w:val="008B1F34"/>
    <w:rsid w:val="008B237B"/>
    <w:rsid w:val="008B26AC"/>
    <w:rsid w:val="008B2817"/>
    <w:rsid w:val="008B2F0A"/>
    <w:rsid w:val="008B2F52"/>
    <w:rsid w:val="008B37AD"/>
    <w:rsid w:val="008B3B29"/>
    <w:rsid w:val="008B3D08"/>
    <w:rsid w:val="008B43C7"/>
    <w:rsid w:val="008B48F4"/>
    <w:rsid w:val="008B506E"/>
    <w:rsid w:val="008B515D"/>
    <w:rsid w:val="008B5186"/>
    <w:rsid w:val="008B5517"/>
    <w:rsid w:val="008B5D9B"/>
    <w:rsid w:val="008B5E9B"/>
    <w:rsid w:val="008B5ECA"/>
    <w:rsid w:val="008B62D2"/>
    <w:rsid w:val="008B67CF"/>
    <w:rsid w:val="008B68B2"/>
    <w:rsid w:val="008B6FD9"/>
    <w:rsid w:val="008B773A"/>
    <w:rsid w:val="008B7930"/>
    <w:rsid w:val="008B7C52"/>
    <w:rsid w:val="008C0277"/>
    <w:rsid w:val="008C0387"/>
    <w:rsid w:val="008C048E"/>
    <w:rsid w:val="008C0859"/>
    <w:rsid w:val="008C0CE7"/>
    <w:rsid w:val="008C14CB"/>
    <w:rsid w:val="008C2093"/>
    <w:rsid w:val="008C35F8"/>
    <w:rsid w:val="008C375C"/>
    <w:rsid w:val="008C37E5"/>
    <w:rsid w:val="008C3A85"/>
    <w:rsid w:val="008C3EC7"/>
    <w:rsid w:val="008C40AC"/>
    <w:rsid w:val="008C41BE"/>
    <w:rsid w:val="008C4B32"/>
    <w:rsid w:val="008C4DED"/>
    <w:rsid w:val="008C604F"/>
    <w:rsid w:val="008C6111"/>
    <w:rsid w:val="008C6123"/>
    <w:rsid w:val="008C6EEB"/>
    <w:rsid w:val="008C72B6"/>
    <w:rsid w:val="008C79D1"/>
    <w:rsid w:val="008C7CC3"/>
    <w:rsid w:val="008C7EC2"/>
    <w:rsid w:val="008D0506"/>
    <w:rsid w:val="008D0677"/>
    <w:rsid w:val="008D07E4"/>
    <w:rsid w:val="008D0B9A"/>
    <w:rsid w:val="008D141E"/>
    <w:rsid w:val="008D1629"/>
    <w:rsid w:val="008D26A0"/>
    <w:rsid w:val="008D2D4A"/>
    <w:rsid w:val="008D3486"/>
    <w:rsid w:val="008D372D"/>
    <w:rsid w:val="008D37BC"/>
    <w:rsid w:val="008D3844"/>
    <w:rsid w:val="008D4AB9"/>
    <w:rsid w:val="008D4B53"/>
    <w:rsid w:val="008D55D8"/>
    <w:rsid w:val="008D7D7B"/>
    <w:rsid w:val="008D7F74"/>
    <w:rsid w:val="008E03CD"/>
    <w:rsid w:val="008E09B1"/>
    <w:rsid w:val="008E0D8F"/>
    <w:rsid w:val="008E0E33"/>
    <w:rsid w:val="008E1568"/>
    <w:rsid w:val="008E156F"/>
    <w:rsid w:val="008E1981"/>
    <w:rsid w:val="008E1A0C"/>
    <w:rsid w:val="008E2464"/>
    <w:rsid w:val="008E27F0"/>
    <w:rsid w:val="008E2CE3"/>
    <w:rsid w:val="008E3712"/>
    <w:rsid w:val="008E3DE6"/>
    <w:rsid w:val="008E3E10"/>
    <w:rsid w:val="008E53AF"/>
    <w:rsid w:val="008E5A98"/>
    <w:rsid w:val="008E5FFB"/>
    <w:rsid w:val="008E6950"/>
    <w:rsid w:val="008E6A70"/>
    <w:rsid w:val="008E6B1D"/>
    <w:rsid w:val="008E7275"/>
    <w:rsid w:val="008E78F6"/>
    <w:rsid w:val="008F05F8"/>
    <w:rsid w:val="008F0F1D"/>
    <w:rsid w:val="008F0F66"/>
    <w:rsid w:val="008F120B"/>
    <w:rsid w:val="008F1D8A"/>
    <w:rsid w:val="008F20F2"/>
    <w:rsid w:val="008F2156"/>
    <w:rsid w:val="008F23F3"/>
    <w:rsid w:val="008F2459"/>
    <w:rsid w:val="008F2490"/>
    <w:rsid w:val="008F2BFB"/>
    <w:rsid w:val="008F2D7E"/>
    <w:rsid w:val="008F3886"/>
    <w:rsid w:val="008F3B8A"/>
    <w:rsid w:val="008F3CCB"/>
    <w:rsid w:val="008F3DBC"/>
    <w:rsid w:val="008F3DBD"/>
    <w:rsid w:val="008F4013"/>
    <w:rsid w:val="008F4243"/>
    <w:rsid w:val="008F4262"/>
    <w:rsid w:val="008F447E"/>
    <w:rsid w:val="008F4988"/>
    <w:rsid w:val="008F537E"/>
    <w:rsid w:val="008F5465"/>
    <w:rsid w:val="008F5A4E"/>
    <w:rsid w:val="008F5A7B"/>
    <w:rsid w:val="008F5B86"/>
    <w:rsid w:val="008F5C3E"/>
    <w:rsid w:val="008F62D7"/>
    <w:rsid w:val="008F62F9"/>
    <w:rsid w:val="008F6C75"/>
    <w:rsid w:val="008F725C"/>
    <w:rsid w:val="008F735A"/>
    <w:rsid w:val="008F7372"/>
    <w:rsid w:val="008F74B3"/>
    <w:rsid w:val="008F755B"/>
    <w:rsid w:val="008F77D1"/>
    <w:rsid w:val="00900E0A"/>
    <w:rsid w:val="009012C7"/>
    <w:rsid w:val="00901820"/>
    <w:rsid w:val="00901BC3"/>
    <w:rsid w:val="009023DC"/>
    <w:rsid w:val="0090264A"/>
    <w:rsid w:val="00902AA1"/>
    <w:rsid w:val="009032E3"/>
    <w:rsid w:val="00903687"/>
    <w:rsid w:val="00903A0D"/>
    <w:rsid w:val="00903B6E"/>
    <w:rsid w:val="00903BC1"/>
    <w:rsid w:val="00903CCD"/>
    <w:rsid w:val="00903F04"/>
    <w:rsid w:val="00904017"/>
    <w:rsid w:val="009046D1"/>
    <w:rsid w:val="009047E5"/>
    <w:rsid w:val="0090491D"/>
    <w:rsid w:val="00904E76"/>
    <w:rsid w:val="0090502A"/>
    <w:rsid w:val="00905497"/>
    <w:rsid w:val="00905C5F"/>
    <w:rsid w:val="009066D9"/>
    <w:rsid w:val="009066F9"/>
    <w:rsid w:val="009068E6"/>
    <w:rsid w:val="00906D4E"/>
    <w:rsid w:val="00906EAF"/>
    <w:rsid w:val="00907770"/>
    <w:rsid w:val="00910166"/>
    <w:rsid w:val="00910230"/>
    <w:rsid w:val="00910387"/>
    <w:rsid w:val="009105BC"/>
    <w:rsid w:val="0091060E"/>
    <w:rsid w:val="009106F0"/>
    <w:rsid w:val="009108E1"/>
    <w:rsid w:val="00910CB8"/>
    <w:rsid w:val="0091135B"/>
    <w:rsid w:val="00912EF9"/>
    <w:rsid w:val="00913045"/>
    <w:rsid w:val="00913195"/>
    <w:rsid w:val="00913354"/>
    <w:rsid w:val="00913B9C"/>
    <w:rsid w:val="00913F68"/>
    <w:rsid w:val="00914B5A"/>
    <w:rsid w:val="00914B7B"/>
    <w:rsid w:val="00915374"/>
    <w:rsid w:val="0091550F"/>
    <w:rsid w:val="00915574"/>
    <w:rsid w:val="009158F0"/>
    <w:rsid w:val="00915A20"/>
    <w:rsid w:val="00915A3C"/>
    <w:rsid w:val="00915FC6"/>
    <w:rsid w:val="009169B6"/>
    <w:rsid w:val="00916A62"/>
    <w:rsid w:val="00916C8C"/>
    <w:rsid w:val="00917390"/>
    <w:rsid w:val="0091750F"/>
    <w:rsid w:val="00917ACD"/>
    <w:rsid w:val="00917D89"/>
    <w:rsid w:val="00920E52"/>
    <w:rsid w:val="0092104F"/>
    <w:rsid w:val="009216D2"/>
    <w:rsid w:val="00921DCC"/>
    <w:rsid w:val="009220EB"/>
    <w:rsid w:val="0092223F"/>
    <w:rsid w:val="009223D7"/>
    <w:rsid w:val="00923212"/>
    <w:rsid w:val="00923472"/>
    <w:rsid w:val="00923695"/>
    <w:rsid w:val="00923EF1"/>
    <w:rsid w:val="009249E1"/>
    <w:rsid w:val="00924DCE"/>
    <w:rsid w:val="009259E7"/>
    <w:rsid w:val="00925AAF"/>
    <w:rsid w:val="00925D16"/>
    <w:rsid w:val="00926923"/>
    <w:rsid w:val="00926C02"/>
    <w:rsid w:val="00926EB2"/>
    <w:rsid w:val="00927BAF"/>
    <w:rsid w:val="009303EF"/>
    <w:rsid w:val="00930945"/>
    <w:rsid w:val="00930D9D"/>
    <w:rsid w:val="00930E13"/>
    <w:rsid w:val="0093122D"/>
    <w:rsid w:val="00931246"/>
    <w:rsid w:val="00931C60"/>
    <w:rsid w:val="00931E5F"/>
    <w:rsid w:val="0093243A"/>
    <w:rsid w:val="009325B3"/>
    <w:rsid w:val="00932884"/>
    <w:rsid w:val="00932EC8"/>
    <w:rsid w:val="009337BB"/>
    <w:rsid w:val="00933BBD"/>
    <w:rsid w:val="00933D9F"/>
    <w:rsid w:val="00934215"/>
    <w:rsid w:val="00934291"/>
    <w:rsid w:val="0093502D"/>
    <w:rsid w:val="009350D7"/>
    <w:rsid w:val="009356CD"/>
    <w:rsid w:val="009357CB"/>
    <w:rsid w:val="00935933"/>
    <w:rsid w:val="00935BCF"/>
    <w:rsid w:val="0093677C"/>
    <w:rsid w:val="009367B4"/>
    <w:rsid w:val="00936961"/>
    <w:rsid w:val="00936E7C"/>
    <w:rsid w:val="0093742C"/>
    <w:rsid w:val="00937640"/>
    <w:rsid w:val="009378B8"/>
    <w:rsid w:val="00937A09"/>
    <w:rsid w:val="00937B05"/>
    <w:rsid w:val="00937B1E"/>
    <w:rsid w:val="00937CD6"/>
    <w:rsid w:val="00937E1F"/>
    <w:rsid w:val="00937F7B"/>
    <w:rsid w:val="009402FB"/>
    <w:rsid w:val="0094085F"/>
    <w:rsid w:val="00940E14"/>
    <w:rsid w:val="00940F27"/>
    <w:rsid w:val="00940F60"/>
    <w:rsid w:val="009411C4"/>
    <w:rsid w:val="00941515"/>
    <w:rsid w:val="009416E0"/>
    <w:rsid w:val="00941CA4"/>
    <w:rsid w:val="009420A8"/>
    <w:rsid w:val="009423D3"/>
    <w:rsid w:val="009425A2"/>
    <w:rsid w:val="00942627"/>
    <w:rsid w:val="0094276E"/>
    <w:rsid w:val="00942A21"/>
    <w:rsid w:val="009430BE"/>
    <w:rsid w:val="009438AA"/>
    <w:rsid w:val="009438AB"/>
    <w:rsid w:val="009439AC"/>
    <w:rsid w:val="00943DF0"/>
    <w:rsid w:val="00943F9A"/>
    <w:rsid w:val="00944269"/>
    <w:rsid w:val="00944370"/>
    <w:rsid w:val="00944A94"/>
    <w:rsid w:val="00944D1F"/>
    <w:rsid w:val="009453D5"/>
    <w:rsid w:val="0094551B"/>
    <w:rsid w:val="0094576B"/>
    <w:rsid w:val="00945A5C"/>
    <w:rsid w:val="00945D53"/>
    <w:rsid w:val="00946164"/>
    <w:rsid w:val="00946350"/>
    <w:rsid w:val="009464A2"/>
    <w:rsid w:val="00946D23"/>
    <w:rsid w:val="00947607"/>
    <w:rsid w:val="00947B7A"/>
    <w:rsid w:val="0095071E"/>
    <w:rsid w:val="00950779"/>
    <w:rsid w:val="00950CC0"/>
    <w:rsid w:val="00950F59"/>
    <w:rsid w:val="00951012"/>
    <w:rsid w:val="009511DF"/>
    <w:rsid w:val="00951AAD"/>
    <w:rsid w:val="00952942"/>
    <w:rsid w:val="0095303F"/>
    <w:rsid w:val="009533DE"/>
    <w:rsid w:val="0095363B"/>
    <w:rsid w:val="00953E37"/>
    <w:rsid w:val="009542E6"/>
    <w:rsid w:val="0095453E"/>
    <w:rsid w:val="009549A9"/>
    <w:rsid w:val="00954A53"/>
    <w:rsid w:val="00955013"/>
    <w:rsid w:val="00955221"/>
    <w:rsid w:val="00955640"/>
    <w:rsid w:val="00955B9E"/>
    <w:rsid w:val="009563A7"/>
    <w:rsid w:val="009564BB"/>
    <w:rsid w:val="00956DF4"/>
    <w:rsid w:val="00956E84"/>
    <w:rsid w:val="00956FA5"/>
    <w:rsid w:val="0095709E"/>
    <w:rsid w:val="009570F0"/>
    <w:rsid w:val="009576B7"/>
    <w:rsid w:val="00957908"/>
    <w:rsid w:val="0095791D"/>
    <w:rsid w:val="00957CA7"/>
    <w:rsid w:val="00957E10"/>
    <w:rsid w:val="00957E43"/>
    <w:rsid w:val="009602F4"/>
    <w:rsid w:val="00960331"/>
    <w:rsid w:val="0096058D"/>
    <w:rsid w:val="00960EE0"/>
    <w:rsid w:val="00960F4A"/>
    <w:rsid w:val="0096133E"/>
    <w:rsid w:val="009621E7"/>
    <w:rsid w:val="0096257F"/>
    <w:rsid w:val="00962BF7"/>
    <w:rsid w:val="00962ECD"/>
    <w:rsid w:val="00963167"/>
    <w:rsid w:val="009632D0"/>
    <w:rsid w:val="00963748"/>
    <w:rsid w:val="00963C86"/>
    <w:rsid w:val="00964398"/>
    <w:rsid w:val="009647C6"/>
    <w:rsid w:val="0096481D"/>
    <w:rsid w:val="0096481E"/>
    <w:rsid w:val="009650F0"/>
    <w:rsid w:val="00965C30"/>
    <w:rsid w:val="00965E4E"/>
    <w:rsid w:val="00965F81"/>
    <w:rsid w:val="0096611E"/>
    <w:rsid w:val="00966646"/>
    <w:rsid w:val="00966687"/>
    <w:rsid w:val="0096684B"/>
    <w:rsid w:val="00966AD3"/>
    <w:rsid w:val="00966CCF"/>
    <w:rsid w:val="00966FF9"/>
    <w:rsid w:val="00967016"/>
    <w:rsid w:val="0096730A"/>
    <w:rsid w:val="0096771C"/>
    <w:rsid w:val="00967839"/>
    <w:rsid w:val="00967EAE"/>
    <w:rsid w:val="009707E8"/>
    <w:rsid w:val="00970A8B"/>
    <w:rsid w:val="00970BE3"/>
    <w:rsid w:val="00970CF2"/>
    <w:rsid w:val="00971374"/>
    <w:rsid w:val="0097188A"/>
    <w:rsid w:val="009719BE"/>
    <w:rsid w:val="00971B0D"/>
    <w:rsid w:val="00971D49"/>
    <w:rsid w:val="009722A8"/>
    <w:rsid w:val="00972AD3"/>
    <w:rsid w:val="00972F8F"/>
    <w:rsid w:val="00973921"/>
    <w:rsid w:val="00973AF9"/>
    <w:rsid w:val="00973B07"/>
    <w:rsid w:val="00973CAE"/>
    <w:rsid w:val="00973D98"/>
    <w:rsid w:val="00973E41"/>
    <w:rsid w:val="00974450"/>
    <w:rsid w:val="00974945"/>
    <w:rsid w:val="00974C55"/>
    <w:rsid w:val="00974C5D"/>
    <w:rsid w:val="00974F8B"/>
    <w:rsid w:val="00975ED0"/>
    <w:rsid w:val="009765E7"/>
    <w:rsid w:val="00976A40"/>
    <w:rsid w:val="009773D5"/>
    <w:rsid w:val="00980365"/>
    <w:rsid w:val="00980970"/>
    <w:rsid w:val="00980C4B"/>
    <w:rsid w:val="00980D89"/>
    <w:rsid w:val="00980E45"/>
    <w:rsid w:val="0098134E"/>
    <w:rsid w:val="00981748"/>
    <w:rsid w:val="00981AB1"/>
    <w:rsid w:val="00981B49"/>
    <w:rsid w:val="0098225E"/>
    <w:rsid w:val="00982616"/>
    <w:rsid w:val="009835C9"/>
    <w:rsid w:val="00983A59"/>
    <w:rsid w:val="00984777"/>
    <w:rsid w:val="00984905"/>
    <w:rsid w:val="00984C48"/>
    <w:rsid w:val="009858F8"/>
    <w:rsid w:val="00985B0B"/>
    <w:rsid w:val="00985F8A"/>
    <w:rsid w:val="009866EB"/>
    <w:rsid w:val="00986D06"/>
    <w:rsid w:val="00987A3E"/>
    <w:rsid w:val="00987B7B"/>
    <w:rsid w:val="009901B6"/>
    <w:rsid w:val="0099102A"/>
    <w:rsid w:val="009914F6"/>
    <w:rsid w:val="00991509"/>
    <w:rsid w:val="00991571"/>
    <w:rsid w:val="009918FD"/>
    <w:rsid w:val="00992253"/>
    <w:rsid w:val="0099278D"/>
    <w:rsid w:val="0099328D"/>
    <w:rsid w:val="00993490"/>
    <w:rsid w:val="00993991"/>
    <w:rsid w:val="00993F95"/>
    <w:rsid w:val="0099446D"/>
    <w:rsid w:val="009944D3"/>
    <w:rsid w:val="009947F6"/>
    <w:rsid w:val="00994AC3"/>
    <w:rsid w:val="00994E39"/>
    <w:rsid w:val="009951AC"/>
    <w:rsid w:val="0099523F"/>
    <w:rsid w:val="009975EB"/>
    <w:rsid w:val="00997A79"/>
    <w:rsid w:val="009A03D9"/>
    <w:rsid w:val="009A093B"/>
    <w:rsid w:val="009A0B4F"/>
    <w:rsid w:val="009A0D9D"/>
    <w:rsid w:val="009A159F"/>
    <w:rsid w:val="009A1D1F"/>
    <w:rsid w:val="009A1DFE"/>
    <w:rsid w:val="009A281A"/>
    <w:rsid w:val="009A2B6B"/>
    <w:rsid w:val="009A2C83"/>
    <w:rsid w:val="009A2D81"/>
    <w:rsid w:val="009A2D9C"/>
    <w:rsid w:val="009A3237"/>
    <w:rsid w:val="009A3588"/>
    <w:rsid w:val="009A3839"/>
    <w:rsid w:val="009A39A8"/>
    <w:rsid w:val="009A3A30"/>
    <w:rsid w:val="009A3B30"/>
    <w:rsid w:val="009A3B90"/>
    <w:rsid w:val="009A3D7A"/>
    <w:rsid w:val="009A3E66"/>
    <w:rsid w:val="009A3FA9"/>
    <w:rsid w:val="009A432B"/>
    <w:rsid w:val="009A46E2"/>
    <w:rsid w:val="009A4866"/>
    <w:rsid w:val="009A488A"/>
    <w:rsid w:val="009A4A1A"/>
    <w:rsid w:val="009A4C6E"/>
    <w:rsid w:val="009A4F16"/>
    <w:rsid w:val="009A53A6"/>
    <w:rsid w:val="009A53CD"/>
    <w:rsid w:val="009A5707"/>
    <w:rsid w:val="009A5985"/>
    <w:rsid w:val="009A5A54"/>
    <w:rsid w:val="009A5D37"/>
    <w:rsid w:val="009A6A1B"/>
    <w:rsid w:val="009A6CFF"/>
    <w:rsid w:val="009A6D5D"/>
    <w:rsid w:val="009A75F5"/>
    <w:rsid w:val="009A78BC"/>
    <w:rsid w:val="009A78F3"/>
    <w:rsid w:val="009B02CA"/>
    <w:rsid w:val="009B0BEB"/>
    <w:rsid w:val="009B0E55"/>
    <w:rsid w:val="009B28C0"/>
    <w:rsid w:val="009B28E0"/>
    <w:rsid w:val="009B2BB1"/>
    <w:rsid w:val="009B2BE2"/>
    <w:rsid w:val="009B3D7C"/>
    <w:rsid w:val="009B4348"/>
    <w:rsid w:val="009B4632"/>
    <w:rsid w:val="009B4B2C"/>
    <w:rsid w:val="009B51DA"/>
    <w:rsid w:val="009B5581"/>
    <w:rsid w:val="009B55A6"/>
    <w:rsid w:val="009B5916"/>
    <w:rsid w:val="009B5AB9"/>
    <w:rsid w:val="009B5B4F"/>
    <w:rsid w:val="009B5D1D"/>
    <w:rsid w:val="009B6083"/>
    <w:rsid w:val="009B6252"/>
    <w:rsid w:val="009B6398"/>
    <w:rsid w:val="009B64B9"/>
    <w:rsid w:val="009B6992"/>
    <w:rsid w:val="009B6A59"/>
    <w:rsid w:val="009B7872"/>
    <w:rsid w:val="009B7BDB"/>
    <w:rsid w:val="009B7FBC"/>
    <w:rsid w:val="009C1188"/>
    <w:rsid w:val="009C120C"/>
    <w:rsid w:val="009C17BB"/>
    <w:rsid w:val="009C17E7"/>
    <w:rsid w:val="009C18CD"/>
    <w:rsid w:val="009C2101"/>
    <w:rsid w:val="009C21E0"/>
    <w:rsid w:val="009C24B9"/>
    <w:rsid w:val="009C285D"/>
    <w:rsid w:val="009C2951"/>
    <w:rsid w:val="009C2F9A"/>
    <w:rsid w:val="009C3535"/>
    <w:rsid w:val="009C386A"/>
    <w:rsid w:val="009C3EB6"/>
    <w:rsid w:val="009C4343"/>
    <w:rsid w:val="009C46EC"/>
    <w:rsid w:val="009C4A48"/>
    <w:rsid w:val="009C4E9A"/>
    <w:rsid w:val="009C54E6"/>
    <w:rsid w:val="009C55A8"/>
    <w:rsid w:val="009C5910"/>
    <w:rsid w:val="009C5DAE"/>
    <w:rsid w:val="009C6D5B"/>
    <w:rsid w:val="009C703E"/>
    <w:rsid w:val="009C750D"/>
    <w:rsid w:val="009C7857"/>
    <w:rsid w:val="009D03A4"/>
    <w:rsid w:val="009D0796"/>
    <w:rsid w:val="009D1694"/>
    <w:rsid w:val="009D2166"/>
    <w:rsid w:val="009D2199"/>
    <w:rsid w:val="009D222A"/>
    <w:rsid w:val="009D30D6"/>
    <w:rsid w:val="009D33CE"/>
    <w:rsid w:val="009D3E86"/>
    <w:rsid w:val="009D486C"/>
    <w:rsid w:val="009D4B42"/>
    <w:rsid w:val="009D538F"/>
    <w:rsid w:val="009D58C0"/>
    <w:rsid w:val="009D58CA"/>
    <w:rsid w:val="009D5BA4"/>
    <w:rsid w:val="009D62CF"/>
    <w:rsid w:val="009D62E9"/>
    <w:rsid w:val="009D6382"/>
    <w:rsid w:val="009D63B6"/>
    <w:rsid w:val="009D667D"/>
    <w:rsid w:val="009D66D2"/>
    <w:rsid w:val="009D693E"/>
    <w:rsid w:val="009D7421"/>
    <w:rsid w:val="009E04AB"/>
    <w:rsid w:val="009E0659"/>
    <w:rsid w:val="009E06B3"/>
    <w:rsid w:val="009E074D"/>
    <w:rsid w:val="009E0BDE"/>
    <w:rsid w:val="009E1937"/>
    <w:rsid w:val="009E1B42"/>
    <w:rsid w:val="009E1B80"/>
    <w:rsid w:val="009E1EBA"/>
    <w:rsid w:val="009E23C5"/>
    <w:rsid w:val="009E307E"/>
    <w:rsid w:val="009E341F"/>
    <w:rsid w:val="009E3A50"/>
    <w:rsid w:val="009E59AC"/>
    <w:rsid w:val="009E6064"/>
    <w:rsid w:val="009E6C20"/>
    <w:rsid w:val="009E6EC1"/>
    <w:rsid w:val="009E71B0"/>
    <w:rsid w:val="009E7273"/>
    <w:rsid w:val="009E749B"/>
    <w:rsid w:val="009E7923"/>
    <w:rsid w:val="009F0073"/>
    <w:rsid w:val="009F09D2"/>
    <w:rsid w:val="009F0F9E"/>
    <w:rsid w:val="009F1097"/>
    <w:rsid w:val="009F1552"/>
    <w:rsid w:val="009F1F4F"/>
    <w:rsid w:val="009F21F5"/>
    <w:rsid w:val="009F23CA"/>
    <w:rsid w:val="009F2470"/>
    <w:rsid w:val="009F248F"/>
    <w:rsid w:val="009F24AF"/>
    <w:rsid w:val="009F2D28"/>
    <w:rsid w:val="009F2E58"/>
    <w:rsid w:val="009F32D0"/>
    <w:rsid w:val="009F346F"/>
    <w:rsid w:val="009F3627"/>
    <w:rsid w:val="009F3B59"/>
    <w:rsid w:val="009F3C47"/>
    <w:rsid w:val="009F45DC"/>
    <w:rsid w:val="009F4668"/>
    <w:rsid w:val="009F4DD6"/>
    <w:rsid w:val="009F518E"/>
    <w:rsid w:val="009F54A4"/>
    <w:rsid w:val="009F54B9"/>
    <w:rsid w:val="009F54F1"/>
    <w:rsid w:val="009F5649"/>
    <w:rsid w:val="009F56BD"/>
    <w:rsid w:val="009F6A26"/>
    <w:rsid w:val="009F6FA2"/>
    <w:rsid w:val="009F7C28"/>
    <w:rsid w:val="009F7C34"/>
    <w:rsid w:val="009F7EC4"/>
    <w:rsid w:val="00A004E1"/>
    <w:rsid w:val="00A00C20"/>
    <w:rsid w:val="00A011C7"/>
    <w:rsid w:val="00A015AA"/>
    <w:rsid w:val="00A01EC3"/>
    <w:rsid w:val="00A01F60"/>
    <w:rsid w:val="00A02AD4"/>
    <w:rsid w:val="00A02C80"/>
    <w:rsid w:val="00A02D9F"/>
    <w:rsid w:val="00A02FA0"/>
    <w:rsid w:val="00A03DB3"/>
    <w:rsid w:val="00A042D7"/>
    <w:rsid w:val="00A0495C"/>
    <w:rsid w:val="00A04A59"/>
    <w:rsid w:val="00A04FA2"/>
    <w:rsid w:val="00A0513B"/>
    <w:rsid w:val="00A054AF"/>
    <w:rsid w:val="00A054E0"/>
    <w:rsid w:val="00A05530"/>
    <w:rsid w:val="00A0591C"/>
    <w:rsid w:val="00A0598A"/>
    <w:rsid w:val="00A05DC2"/>
    <w:rsid w:val="00A05E30"/>
    <w:rsid w:val="00A0619D"/>
    <w:rsid w:val="00A0631C"/>
    <w:rsid w:val="00A06D35"/>
    <w:rsid w:val="00A07041"/>
    <w:rsid w:val="00A11310"/>
    <w:rsid w:val="00A11496"/>
    <w:rsid w:val="00A124EC"/>
    <w:rsid w:val="00A12A84"/>
    <w:rsid w:val="00A12AD1"/>
    <w:rsid w:val="00A12C23"/>
    <w:rsid w:val="00A13009"/>
    <w:rsid w:val="00A135F5"/>
    <w:rsid w:val="00A139DA"/>
    <w:rsid w:val="00A14110"/>
    <w:rsid w:val="00A142A9"/>
    <w:rsid w:val="00A1478F"/>
    <w:rsid w:val="00A14CF9"/>
    <w:rsid w:val="00A14F01"/>
    <w:rsid w:val="00A15626"/>
    <w:rsid w:val="00A15638"/>
    <w:rsid w:val="00A15A64"/>
    <w:rsid w:val="00A15C3A"/>
    <w:rsid w:val="00A16178"/>
    <w:rsid w:val="00A16417"/>
    <w:rsid w:val="00A16758"/>
    <w:rsid w:val="00A168FC"/>
    <w:rsid w:val="00A1697D"/>
    <w:rsid w:val="00A16AF8"/>
    <w:rsid w:val="00A172F5"/>
    <w:rsid w:val="00A17845"/>
    <w:rsid w:val="00A178FC"/>
    <w:rsid w:val="00A17AAC"/>
    <w:rsid w:val="00A17E0B"/>
    <w:rsid w:val="00A200E9"/>
    <w:rsid w:val="00A203DD"/>
    <w:rsid w:val="00A2063B"/>
    <w:rsid w:val="00A20B7A"/>
    <w:rsid w:val="00A20F64"/>
    <w:rsid w:val="00A21B01"/>
    <w:rsid w:val="00A22141"/>
    <w:rsid w:val="00A229C4"/>
    <w:rsid w:val="00A22C2E"/>
    <w:rsid w:val="00A22D6D"/>
    <w:rsid w:val="00A231DF"/>
    <w:rsid w:val="00A23340"/>
    <w:rsid w:val="00A2352B"/>
    <w:rsid w:val="00A23975"/>
    <w:rsid w:val="00A239D6"/>
    <w:rsid w:val="00A23C8B"/>
    <w:rsid w:val="00A23E08"/>
    <w:rsid w:val="00A23E2C"/>
    <w:rsid w:val="00A2403C"/>
    <w:rsid w:val="00A2429A"/>
    <w:rsid w:val="00A242E2"/>
    <w:rsid w:val="00A244F3"/>
    <w:rsid w:val="00A24AD0"/>
    <w:rsid w:val="00A25D88"/>
    <w:rsid w:val="00A26096"/>
    <w:rsid w:val="00A261E7"/>
    <w:rsid w:val="00A263A9"/>
    <w:rsid w:val="00A265E9"/>
    <w:rsid w:val="00A269BD"/>
    <w:rsid w:val="00A26DD0"/>
    <w:rsid w:val="00A27590"/>
    <w:rsid w:val="00A2760A"/>
    <w:rsid w:val="00A27E20"/>
    <w:rsid w:val="00A3001E"/>
    <w:rsid w:val="00A301F9"/>
    <w:rsid w:val="00A302AC"/>
    <w:rsid w:val="00A3070E"/>
    <w:rsid w:val="00A30B57"/>
    <w:rsid w:val="00A30D51"/>
    <w:rsid w:val="00A30DC7"/>
    <w:rsid w:val="00A30EA9"/>
    <w:rsid w:val="00A30F8E"/>
    <w:rsid w:val="00A313AD"/>
    <w:rsid w:val="00A3179E"/>
    <w:rsid w:val="00A318C7"/>
    <w:rsid w:val="00A31ACB"/>
    <w:rsid w:val="00A328A1"/>
    <w:rsid w:val="00A32C2C"/>
    <w:rsid w:val="00A32CB1"/>
    <w:rsid w:val="00A32F89"/>
    <w:rsid w:val="00A33BBB"/>
    <w:rsid w:val="00A341D4"/>
    <w:rsid w:val="00A351D3"/>
    <w:rsid w:val="00A35A0A"/>
    <w:rsid w:val="00A36044"/>
    <w:rsid w:val="00A36155"/>
    <w:rsid w:val="00A3620E"/>
    <w:rsid w:val="00A362EC"/>
    <w:rsid w:val="00A364CC"/>
    <w:rsid w:val="00A36805"/>
    <w:rsid w:val="00A36C53"/>
    <w:rsid w:val="00A36DAE"/>
    <w:rsid w:val="00A36F1C"/>
    <w:rsid w:val="00A37335"/>
    <w:rsid w:val="00A4031F"/>
    <w:rsid w:val="00A40359"/>
    <w:rsid w:val="00A403F6"/>
    <w:rsid w:val="00A4065C"/>
    <w:rsid w:val="00A4097A"/>
    <w:rsid w:val="00A40AA0"/>
    <w:rsid w:val="00A40CBC"/>
    <w:rsid w:val="00A40EE5"/>
    <w:rsid w:val="00A418E5"/>
    <w:rsid w:val="00A41AC4"/>
    <w:rsid w:val="00A4227C"/>
    <w:rsid w:val="00A423F3"/>
    <w:rsid w:val="00A424E2"/>
    <w:rsid w:val="00A42B6E"/>
    <w:rsid w:val="00A430B2"/>
    <w:rsid w:val="00A43505"/>
    <w:rsid w:val="00A436B9"/>
    <w:rsid w:val="00A43789"/>
    <w:rsid w:val="00A4383C"/>
    <w:rsid w:val="00A43D1B"/>
    <w:rsid w:val="00A441B7"/>
    <w:rsid w:val="00A443A6"/>
    <w:rsid w:val="00A44D58"/>
    <w:rsid w:val="00A4532A"/>
    <w:rsid w:val="00A458EF"/>
    <w:rsid w:val="00A45E72"/>
    <w:rsid w:val="00A46177"/>
    <w:rsid w:val="00A46196"/>
    <w:rsid w:val="00A464D8"/>
    <w:rsid w:val="00A468BE"/>
    <w:rsid w:val="00A46A06"/>
    <w:rsid w:val="00A46BF2"/>
    <w:rsid w:val="00A47930"/>
    <w:rsid w:val="00A503B8"/>
    <w:rsid w:val="00A50638"/>
    <w:rsid w:val="00A50DDA"/>
    <w:rsid w:val="00A5197C"/>
    <w:rsid w:val="00A51A21"/>
    <w:rsid w:val="00A51B02"/>
    <w:rsid w:val="00A5207E"/>
    <w:rsid w:val="00A52839"/>
    <w:rsid w:val="00A52ACE"/>
    <w:rsid w:val="00A52CA1"/>
    <w:rsid w:val="00A536AA"/>
    <w:rsid w:val="00A53E6C"/>
    <w:rsid w:val="00A54694"/>
    <w:rsid w:val="00A55370"/>
    <w:rsid w:val="00A553AB"/>
    <w:rsid w:val="00A558F6"/>
    <w:rsid w:val="00A5590D"/>
    <w:rsid w:val="00A55C67"/>
    <w:rsid w:val="00A55E8D"/>
    <w:rsid w:val="00A56070"/>
    <w:rsid w:val="00A5611A"/>
    <w:rsid w:val="00A56395"/>
    <w:rsid w:val="00A5641F"/>
    <w:rsid w:val="00A568F9"/>
    <w:rsid w:val="00A569BB"/>
    <w:rsid w:val="00A5705F"/>
    <w:rsid w:val="00A5727F"/>
    <w:rsid w:val="00A576B5"/>
    <w:rsid w:val="00A57C91"/>
    <w:rsid w:val="00A57D3A"/>
    <w:rsid w:val="00A603B7"/>
    <w:rsid w:val="00A60406"/>
    <w:rsid w:val="00A604F3"/>
    <w:rsid w:val="00A609BA"/>
    <w:rsid w:val="00A60D46"/>
    <w:rsid w:val="00A610AE"/>
    <w:rsid w:val="00A61A67"/>
    <w:rsid w:val="00A61AA2"/>
    <w:rsid w:val="00A61C61"/>
    <w:rsid w:val="00A61F02"/>
    <w:rsid w:val="00A621CA"/>
    <w:rsid w:val="00A62205"/>
    <w:rsid w:val="00A6260D"/>
    <w:rsid w:val="00A63315"/>
    <w:rsid w:val="00A634C8"/>
    <w:rsid w:val="00A63A58"/>
    <w:rsid w:val="00A63AE2"/>
    <w:rsid w:val="00A63CED"/>
    <w:rsid w:val="00A63D4C"/>
    <w:rsid w:val="00A63E4A"/>
    <w:rsid w:val="00A646F5"/>
    <w:rsid w:val="00A65537"/>
    <w:rsid w:val="00A6589B"/>
    <w:rsid w:val="00A66570"/>
    <w:rsid w:val="00A668FD"/>
    <w:rsid w:val="00A66CD2"/>
    <w:rsid w:val="00A66F42"/>
    <w:rsid w:val="00A66F60"/>
    <w:rsid w:val="00A66FE4"/>
    <w:rsid w:val="00A671A0"/>
    <w:rsid w:val="00A6740B"/>
    <w:rsid w:val="00A6753A"/>
    <w:rsid w:val="00A675B6"/>
    <w:rsid w:val="00A67637"/>
    <w:rsid w:val="00A676FB"/>
    <w:rsid w:val="00A67DA1"/>
    <w:rsid w:val="00A67DE4"/>
    <w:rsid w:val="00A700EA"/>
    <w:rsid w:val="00A71362"/>
    <w:rsid w:val="00A717BE"/>
    <w:rsid w:val="00A717CB"/>
    <w:rsid w:val="00A723E5"/>
    <w:rsid w:val="00A72E5B"/>
    <w:rsid w:val="00A72FBF"/>
    <w:rsid w:val="00A733C4"/>
    <w:rsid w:val="00A73480"/>
    <w:rsid w:val="00A73D75"/>
    <w:rsid w:val="00A7419F"/>
    <w:rsid w:val="00A74ADA"/>
    <w:rsid w:val="00A74EBE"/>
    <w:rsid w:val="00A750F7"/>
    <w:rsid w:val="00A755CA"/>
    <w:rsid w:val="00A75CEF"/>
    <w:rsid w:val="00A76049"/>
    <w:rsid w:val="00A760DB"/>
    <w:rsid w:val="00A76505"/>
    <w:rsid w:val="00A76B87"/>
    <w:rsid w:val="00A76F85"/>
    <w:rsid w:val="00A775FF"/>
    <w:rsid w:val="00A7762D"/>
    <w:rsid w:val="00A802DE"/>
    <w:rsid w:val="00A807D7"/>
    <w:rsid w:val="00A808AC"/>
    <w:rsid w:val="00A80B21"/>
    <w:rsid w:val="00A80B71"/>
    <w:rsid w:val="00A80E81"/>
    <w:rsid w:val="00A81658"/>
    <w:rsid w:val="00A81BA8"/>
    <w:rsid w:val="00A8205C"/>
    <w:rsid w:val="00A8244F"/>
    <w:rsid w:val="00A82887"/>
    <w:rsid w:val="00A82B48"/>
    <w:rsid w:val="00A82D8A"/>
    <w:rsid w:val="00A82E68"/>
    <w:rsid w:val="00A83261"/>
    <w:rsid w:val="00A83340"/>
    <w:rsid w:val="00A838D8"/>
    <w:rsid w:val="00A83930"/>
    <w:rsid w:val="00A8405A"/>
    <w:rsid w:val="00A84199"/>
    <w:rsid w:val="00A84869"/>
    <w:rsid w:val="00A84B90"/>
    <w:rsid w:val="00A84E03"/>
    <w:rsid w:val="00A8526D"/>
    <w:rsid w:val="00A85409"/>
    <w:rsid w:val="00A85587"/>
    <w:rsid w:val="00A86186"/>
    <w:rsid w:val="00A8642C"/>
    <w:rsid w:val="00A87157"/>
    <w:rsid w:val="00A87BC3"/>
    <w:rsid w:val="00A9033F"/>
    <w:rsid w:val="00A903AD"/>
    <w:rsid w:val="00A90634"/>
    <w:rsid w:val="00A9083A"/>
    <w:rsid w:val="00A90A0E"/>
    <w:rsid w:val="00A90B6B"/>
    <w:rsid w:val="00A90BE1"/>
    <w:rsid w:val="00A90EAA"/>
    <w:rsid w:val="00A910FA"/>
    <w:rsid w:val="00A9229D"/>
    <w:rsid w:val="00A922FB"/>
    <w:rsid w:val="00A92584"/>
    <w:rsid w:val="00A92ACA"/>
    <w:rsid w:val="00A92BD3"/>
    <w:rsid w:val="00A934ED"/>
    <w:rsid w:val="00A94199"/>
    <w:rsid w:val="00A94447"/>
    <w:rsid w:val="00A9449B"/>
    <w:rsid w:val="00A948FF"/>
    <w:rsid w:val="00A94912"/>
    <w:rsid w:val="00A94E8A"/>
    <w:rsid w:val="00A94EB1"/>
    <w:rsid w:val="00A95047"/>
    <w:rsid w:val="00A951FE"/>
    <w:rsid w:val="00A95378"/>
    <w:rsid w:val="00A954E2"/>
    <w:rsid w:val="00A956DC"/>
    <w:rsid w:val="00A959D0"/>
    <w:rsid w:val="00A95C93"/>
    <w:rsid w:val="00A960E9"/>
    <w:rsid w:val="00A9646F"/>
    <w:rsid w:val="00A9684E"/>
    <w:rsid w:val="00A96D0E"/>
    <w:rsid w:val="00A96EA9"/>
    <w:rsid w:val="00A97473"/>
    <w:rsid w:val="00A97705"/>
    <w:rsid w:val="00A97D6B"/>
    <w:rsid w:val="00AA01D1"/>
    <w:rsid w:val="00AA088E"/>
    <w:rsid w:val="00AA2711"/>
    <w:rsid w:val="00AA2D2B"/>
    <w:rsid w:val="00AA33EC"/>
    <w:rsid w:val="00AA39A9"/>
    <w:rsid w:val="00AA3AAE"/>
    <w:rsid w:val="00AA3DE6"/>
    <w:rsid w:val="00AA4490"/>
    <w:rsid w:val="00AA4E49"/>
    <w:rsid w:val="00AA4E89"/>
    <w:rsid w:val="00AA5350"/>
    <w:rsid w:val="00AA581D"/>
    <w:rsid w:val="00AA5E8B"/>
    <w:rsid w:val="00AA6630"/>
    <w:rsid w:val="00AA772E"/>
    <w:rsid w:val="00AB0356"/>
    <w:rsid w:val="00AB03A3"/>
    <w:rsid w:val="00AB04E1"/>
    <w:rsid w:val="00AB087B"/>
    <w:rsid w:val="00AB0D3B"/>
    <w:rsid w:val="00AB0DBE"/>
    <w:rsid w:val="00AB12EB"/>
    <w:rsid w:val="00AB1687"/>
    <w:rsid w:val="00AB1A9A"/>
    <w:rsid w:val="00AB256E"/>
    <w:rsid w:val="00AB2958"/>
    <w:rsid w:val="00AB2986"/>
    <w:rsid w:val="00AB2B22"/>
    <w:rsid w:val="00AB2EDC"/>
    <w:rsid w:val="00AB316F"/>
    <w:rsid w:val="00AB3617"/>
    <w:rsid w:val="00AB361C"/>
    <w:rsid w:val="00AB39F0"/>
    <w:rsid w:val="00AB3D1E"/>
    <w:rsid w:val="00AB3D71"/>
    <w:rsid w:val="00AB44DE"/>
    <w:rsid w:val="00AB4AAF"/>
    <w:rsid w:val="00AB4DF9"/>
    <w:rsid w:val="00AB56FC"/>
    <w:rsid w:val="00AB5FBC"/>
    <w:rsid w:val="00AB620E"/>
    <w:rsid w:val="00AB688E"/>
    <w:rsid w:val="00AB689A"/>
    <w:rsid w:val="00AB6ACC"/>
    <w:rsid w:val="00AB6D26"/>
    <w:rsid w:val="00AB7447"/>
    <w:rsid w:val="00AB747D"/>
    <w:rsid w:val="00AB794D"/>
    <w:rsid w:val="00AB7A0E"/>
    <w:rsid w:val="00AB7B3B"/>
    <w:rsid w:val="00AC054C"/>
    <w:rsid w:val="00AC077C"/>
    <w:rsid w:val="00AC08BD"/>
    <w:rsid w:val="00AC0940"/>
    <w:rsid w:val="00AC0AA3"/>
    <w:rsid w:val="00AC18D6"/>
    <w:rsid w:val="00AC18EB"/>
    <w:rsid w:val="00AC1D1A"/>
    <w:rsid w:val="00AC1F83"/>
    <w:rsid w:val="00AC21C0"/>
    <w:rsid w:val="00AC2447"/>
    <w:rsid w:val="00AC2F19"/>
    <w:rsid w:val="00AC319F"/>
    <w:rsid w:val="00AC3570"/>
    <w:rsid w:val="00AC37CF"/>
    <w:rsid w:val="00AC3A25"/>
    <w:rsid w:val="00AC3BD6"/>
    <w:rsid w:val="00AC3C2F"/>
    <w:rsid w:val="00AC57BA"/>
    <w:rsid w:val="00AC5A5E"/>
    <w:rsid w:val="00AC5AB6"/>
    <w:rsid w:val="00AC6102"/>
    <w:rsid w:val="00AC61A7"/>
    <w:rsid w:val="00AC63DC"/>
    <w:rsid w:val="00AC6482"/>
    <w:rsid w:val="00AC7393"/>
    <w:rsid w:val="00AC7565"/>
    <w:rsid w:val="00AD02C3"/>
    <w:rsid w:val="00AD0726"/>
    <w:rsid w:val="00AD0DA1"/>
    <w:rsid w:val="00AD10D4"/>
    <w:rsid w:val="00AD173C"/>
    <w:rsid w:val="00AD1A57"/>
    <w:rsid w:val="00AD1E21"/>
    <w:rsid w:val="00AD2BAC"/>
    <w:rsid w:val="00AD2E7B"/>
    <w:rsid w:val="00AD36CF"/>
    <w:rsid w:val="00AD37FD"/>
    <w:rsid w:val="00AD398F"/>
    <w:rsid w:val="00AD44C3"/>
    <w:rsid w:val="00AD4A2D"/>
    <w:rsid w:val="00AD5103"/>
    <w:rsid w:val="00AD574A"/>
    <w:rsid w:val="00AD5A5E"/>
    <w:rsid w:val="00AD636D"/>
    <w:rsid w:val="00AD6C24"/>
    <w:rsid w:val="00AD7BFF"/>
    <w:rsid w:val="00AE006A"/>
    <w:rsid w:val="00AE0120"/>
    <w:rsid w:val="00AE0553"/>
    <w:rsid w:val="00AE0693"/>
    <w:rsid w:val="00AE0EFD"/>
    <w:rsid w:val="00AE15B5"/>
    <w:rsid w:val="00AE1B39"/>
    <w:rsid w:val="00AE1DF7"/>
    <w:rsid w:val="00AE1F04"/>
    <w:rsid w:val="00AE2305"/>
    <w:rsid w:val="00AE2687"/>
    <w:rsid w:val="00AE2B16"/>
    <w:rsid w:val="00AE2C32"/>
    <w:rsid w:val="00AE2DB8"/>
    <w:rsid w:val="00AE2DE6"/>
    <w:rsid w:val="00AE2ECD"/>
    <w:rsid w:val="00AE35DD"/>
    <w:rsid w:val="00AE380C"/>
    <w:rsid w:val="00AE4475"/>
    <w:rsid w:val="00AE44B8"/>
    <w:rsid w:val="00AE5EE7"/>
    <w:rsid w:val="00AE6059"/>
    <w:rsid w:val="00AE609B"/>
    <w:rsid w:val="00AE655D"/>
    <w:rsid w:val="00AE67C0"/>
    <w:rsid w:val="00AE694A"/>
    <w:rsid w:val="00AE6E9D"/>
    <w:rsid w:val="00AE7254"/>
    <w:rsid w:val="00AE72A2"/>
    <w:rsid w:val="00AE7737"/>
    <w:rsid w:val="00AE7879"/>
    <w:rsid w:val="00AE7903"/>
    <w:rsid w:val="00AE7D8A"/>
    <w:rsid w:val="00AE7DA3"/>
    <w:rsid w:val="00AF00E0"/>
    <w:rsid w:val="00AF0E4B"/>
    <w:rsid w:val="00AF1141"/>
    <w:rsid w:val="00AF19E7"/>
    <w:rsid w:val="00AF1B96"/>
    <w:rsid w:val="00AF254A"/>
    <w:rsid w:val="00AF28B1"/>
    <w:rsid w:val="00AF2C2B"/>
    <w:rsid w:val="00AF3237"/>
    <w:rsid w:val="00AF3358"/>
    <w:rsid w:val="00AF3731"/>
    <w:rsid w:val="00AF392B"/>
    <w:rsid w:val="00AF3F72"/>
    <w:rsid w:val="00AF401B"/>
    <w:rsid w:val="00AF40D9"/>
    <w:rsid w:val="00AF427F"/>
    <w:rsid w:val="00AF52A6"/>
    <w:rsid w:val="00AF542E"/>
    <w:rsid w:val="00AF5A44"/>
    <w:rsid w:val="00AF5B0A"/>
    <w:rsid w:val="00AF642D"/>
    <w:rsid w:val="00AF65D4"/>
    <w:rsid w:val="00AF72C9"/>
    <w:rsid w:val="00AF79F8"/>
    <w:rsid w:val="00AF7B52"/>
    <w:rsid w:val="00AF7B75"/>
    <w:rsid w:val="00AF7EF6"/>
    <w:rsid w:val="00B00607"/>
    <w:rsid w:val="00B0069E"/>
    <w:rsid w:val="00B01ABC"/>
    <w:rsid w:val="00B022FA"/>
    <w:rsid w:val="00B02A59"/>
    <w:rsid w:val="00B02B64"/>
    <w:rsid w:val="00B02B69"/>
    <w:rsid w:val="00B02E8E"/>
    <w:rsid w:val="00B04305"/>
    <w:rsid w:val="00B048CA"/>
    <w:rsid w:val="00B0493F"/>
    <w:rsid w:val="00B04CC4"/>
    <w:rsid w:val="00B05230"/>
    <w:rsid w:val="00B05543"/>
    <w:rsid w:val="00B0591D"/>
    <w:rsid w:val="00B0599C"/>
    <w:rsid w:val="00B05A09"/>
    <w:rsid w:val="00B05D1B"/>
    <w:rsid w:val="00B05E93"/>
    <w:rsid w:val="00B06103"/>
    <w:rsid w:val="00B06474"/>
    <w:rsid w:val="00B072AA"/>
    <w:rsid w:val="00B07531"/>
    <w:rsid w:val="00B07637"/>
    <w:rsid w:val="00B0763F"/>
    <w:rsid w:val="00B07781"/>
    <w:rsid w:val="00B10314"/>
    <w:rsid w:val="00B104A9"/>
    <w:rsid w:val="00B10A13"/>
    <w:rsid w:val="00B1117A"/>
    <w:rsid w:val="00B11277"/>
    <w:rsid w:val="00B11286"/>
    <w:rsid w:val="00B11C5B"/>
    <w:rsid w:val="00B121DC"/>
    <w:rsid w:val="00B12282"/>
    <w:rsid w:val="00B12AB4"/>
    <w:rsid w:val="00B12B89"/>
    <w:rsid w:val="00B1328A"/>
    <w:rsid w:val="00B136BE"/>
    <w:rsid w:val="00B137A7"/>
    <w:rsid w:val="00B15396"/>
    <w:rsid w:val="00B15E26"/>
    <w:rsid w:val="00B15E3D"/>
    <w:rsid w:val="00B1602D"/>
    <w:rsid w:val="00B162DC"/>
    <w:rsid w:val="00B17D82"/>
    <w:rsid w:val="00B20A06"/>
    <w:rsid w:val="00B217D3"/>
    <w:rsid w:val="00B2198B"/>
    <w:rsid w:val="00B21B1A"/>
    <w:rsid w:val="00B21CE8"/>
    <w:rsid w:val="00B21D5E"/>
    <w:rsid w:val="00B2238B"/>
    <w:rsid w:val="00B224A6"/>
    <w:rsid w:val="00B227BD"/>
    <w:rsid w:val="00B23041"/>
    <w:rsid w:val="00B240A9"/>
    <w:rsid w:val="00B242C2"/>
    <w:rsid w:val="00B2448C"/>
    <w:rsid w:val="00B2481D"/>
    <w:rsid w:val="00B24DE4"/>
    <w:rsid w:val="00B25C8A"/>
    <w:rsid w:val="00B25CD7"/>
    <w:rsid w:val="00B260AF"/>
    <w:rsid w:val="00B26D42"/>
    <w:rsid w:val="00B278A8"/>
    <w:rsid w:val="00B27EB3"/>
    <w:rsid w:val="00B27EC2"/>
    <w:rsid w:val="00B30227"/>
    <w:rsid w:val="00B305FB"/>
    <w:rsid w:val="00B32603"/>
    <w:rsid w:val="00B3296D"/>
    <w:rsid w:val="00B32A1B"/>
    <w:rsid w:val="00B32BC4"/>
    <w:rsid w:val="00B32C6C"/>
    <w:rsid w:val="00B32E6C"/>
    <w:rsid w:val="00B32ECB"/>
    <w:rsid w:val="00B334B4"/>
    <w:rsid w:val="00B337F2"/>
    <w:rsid w:val="00B33BAE"/>
    <w:rsid w:val="00B3492F"/>
    <w:rsid w:val="00B350A9"/>
    <w:rsid w:val="00B35AA9"/>
    <w:rsid w:val="00B36084"/>
    <w:rsid w:val="00B36541"/>
    <w:rsid w:val="00B36807"/>
    <w:rsid w:val="00B36CD5"/>
    <w:rsid w:val="00B36CDE"/>
    <w:rsid w:val="00B36F43"/>
    <w:rsid w:val="00B37045"/>
    <w:rsid w:val="00B3707D"/>
    <w:rsid w:val="00B371B9"/>
    <w:rsid w:val="00B3773E"/>
    <w:rsid w:val="00B379FE"/>
    <w:rsid w:val="00B40966"/>
    <w:rsid w:val="00B40AB3"/>
    <w:rsid w:val="00B41608"/>
    <w:rsid w:val="00B4180F"/>
    <w:rsid w:val="00B41D88"/>
    <w:rsid w:val="00B41F68"/>
    <w:rsid w:val="00B42240"/>
    <w:rsid w:val="00B42EC5"/>
    <w:rsid w:val="00B43144"/>
    <w:rsid w:val="00B431D6"/>
    <w:rsid w:val="00B433F3"/>
    <w:rsid w:val="00B4353E"/>
    <w:rsid w:val="00B437BE"/>
    <w:rsid w:val="00B438D3"/>
    <w:rsid w:val="00B43CAB"/>
    <w:rsid w:val="00B43D8F"/>
    <w:rsid w:val="00B43E80"/>
    <w:rsid w:val="00B44017"/>
    <w:rsid w:val="00B44280"/>
    <w:rsid w:val="00B4430E"/>
    <w:rsid w:val="00B449E5"/>
    <w:rsid w:val="00B44CA1"/>
    <w:rsid w:val="00B45600"/>
    <w:rsid w:val="00B45AA6"/>
    <w:rsid w:val="00B45BB7"/>
    <w:rsid w:val="00B4601E"/>
    <w:rsid w:val="00B46292"/>
    <w:rsid w:val="00B46293"/>
    <w:rsid w:val="00B462A8"/>
    <w:rsid w:val="00B4656D"/>
    <w:rsid w:val="00B4685D"/>
    <w:rsid w:val="00B46A96"/>
    <w:rsid w:val="00B46B5C"/>
    <w:rsid w:val="00B46C7B"/>
    <w:rsid w:val="00B46ECE"/>
    <w:rsid w:val="00B47782"/>
    <w:rsid w:val="00B47C81"/>
    <w:rsid w:val="00B504CC"/>
    <w:rsid w:val="00B50A2D"/>
    <w:rsid w:val="00B50C9D"/>
    <w:rsid w:val="00B50D99"/>
    <w:rsid w:val="00B511E9"/>
    <w:rsid w:val="00B51ED4"/>
    <w:rsid w:val="00B5243E"/>
    <w:rsid w:val="00B5266D"/>
    <w:rsid w:val="00B526CC"/>
    <w:rsid w:val="00B531FA"/>
    <w:rsid w:val="00B53272"/>
    <w:rsid w:val="00B53AED"/>
    <w:rsid w:val="00B5442C"/>
    <w:rsid w:val="00B5446A"/>
    <w:rsid w:val="00B54498"/>
    <w:rsid w:val="00B54A6D"/>
    <w:rsid w:val="00B54FBC"/>
    <w:rsid w:val="00B55270"/>
    <w:rsid w:val="00B55490"/>
    <w:rsid w:val="00B5562A"/>
    <w:rsid w:val="00B56184"/>
    <w:rsid w:val="00B562EA"/>
    <w:rsid w:val="00B569D4"/>
    <w:rsid w:val="00B569EE"/>
    <w:rsid w:val="00B56A07"/>
    <w:rsid w:val="00B575BE"/>
    <w:rsid w:val="00B57CD8"/>
    <w:rsid w:val="00B600F3"/>
    <w:rsid w:val="00B60222"/>
    <w:rsid w:val="00B608C9"/>
    <w:rsid w:val="00B60FC2"/>
    <w:rsid w:val="00B6117A"/>
    <w:rsid w:val="00B61D6F"/>
    <w:rsid w:val="00B62482"/>
    <w:rsid w:val="00B62490"/>
    <w:rsid w:val="00B62839"/>
    <w:rsid w:val="00B62DFF"/>
    <w:rsid w:val="00B631E8"/>
    <w:rsid w:val="00B63455"/>
    <w:rsid w:val="00B635DC"/>
    <w:rsid w:val="00B63BDE"/>
    <w:rsid w:val="00B63DEE"/>
    <w:rsid w:val="00B63FD1"/>
    <w:rsid w:val="00B6402D"/>
    <w:rsid w:val="00B640EA"/>
    <w:rsid w:val="00B641E6"/>
    <w:rsid w:val="00B644E9"/>
    <w:rsid w:val="00B64AB9"/>
    <w:rsid w:val="00B64FA1"/>
    <w:rsid w:val="00B65035"/>
    <w:rsid w:val="00B656E4"/>
    <w:rsid w:val="00B6574B"/>
    <w:rsid w:val="00B65D2D"/>
    <w:rsid w:val="00B65DF6"/>
    <w:rsid w:val="00B665CD"/>
    <w:rsid w:val="00B66D87"/>
    <w:rsid w:val="00B67177"/>
    <w:rsid w:val="00B672B9"/>
    <w:rsid w:val="00B6738D"/>
    <w:rsid w:val="00B67817"/>
    <w:rsid w:val="00B67864"/>
    <w:rsid w:val="00B6794B"/>
    <w:rsid w:val="00B67BEE"/>
    <w:rsid w:val="00B67E12"/>
    <w:rsid w:val="00B701A3"/>
    <w:rsid w:val="00B70290"/>
    <w:rsid w:val="00B71071"/>
    <w:rsid w:val="00B72DBE"/>
    <w:rsid w:val="00B72DBF"/>
    <w:rsid w:val="00B7364E"/>
    <w:rsid w:val="00B74340"/>
    <w:rsid w:val="00B744F4"/>
    <w:rsid w:val="00B74749"/>
    <w:rsid w:val="00B748E3"/>
    <w:rsid w:val="00B7493F"/>
    <w:rsid w:val="00B74A15"/>
    <w:rsid w:val="00B74C87"/>
    <w:rsid w:val="00B75D75"/>
    <w:rsid w:val="00B75FD4"/>
    <w:rsid w:val="00B76196"/>
    <w:rsid w:val="00B76551"/>
    <w:rsid w:val="00B7674B"/>
    <w:rsid w:val="00B76D5A"/>
    <w:rsid w:val="00B76E84"/>
    <w:rsid w:val="00B76F26"/>
    <w:rsid w:val="00B770A0"/>
    <w:rsid w:val="00B8042B"/>
    <w:rsid w:val="00B804A4"/>
    <w:rsid w:val="00B805C4"/>
    <w:rsid w:val="00B80662"/>
    <w:rsid w:val="00B806FD"/>
    <w:rsid w:val="00B8118D"/>
    <w:rsid w:val="00B813A1"/>
    <w:rsid w:val="00B814EF"/>
    <w:rsid w:val="00B81F4E"/>
    <w:rsid w:val="00B828C5"/>
    <w:rsid w:val="00B832C4"/>
    <w:rsid w:val="00B83763"/>
    <w:rsid w:val="00B83ACC"/>
    <w:rsid w:val="00B8406B"/>
    <w:rsid w:val="00B84497"/>
    <w:rsid w:val="00B8476E"/>
    <w:rsid w:val="00B849EB"/>
    <w:rsid w:val="00B84C8D"/>
    <w:rsid w:val="00B84EC4"/>
    <w:rsid w:val="00B85812"/>
    <w:rsid w:val="00B85A1B"/>
    <w:rsid w:val="00B85D77"/>
    <w:rsid w:val="00B85F0A"/>
    <w:rsid w:val="00B86259"/>
    <w:rsid w:val="00B868B0"/>
    <w:rsid w:val="00B8740B"/>
    <w:rsid w:val="00B87430"/>
    <w:rsid w:val="00B874D5"/>
    <w:rsid w:val="00B875D8"/>
    <w:rsid w:val="00B87AFE"/>
    <w:rsid w:val="00B900DE"/>
    <w:rsid w:val="00B901AE"/>
    <w:rsid w:val="00B9049E"/>
    <w:rsid w:val="00B90816"/>
    <w:rsid w:val="00B90B0F"/>
    <w:rsid w:val="00B916BF"/>
    <w:rsid w:val="00B91A80"/>
    <w:rsid w:val="00B91D9D"/>
    <w:rsid w:val="00B92325"/>
    <w:rsid w:val="00B92DC1"/>
    <w:rsid w:val="00B936D9"/>
    <w:rsid w:val="00B938C0"/>
    <w:rsid w:val="00B93A12"/>
    <w:rsid w:val="00B93F6B"/>
    <w:rsid w:val="00B9408C"/>
    <w:rsid w:val="00B95189"/>
    <w:rsid w:val="00B952FA"/>
    <w:rsid w:val="00B9548C"/>
    <w:rsid w:val="00B95CB8"/>
    <w:rsid w:val="00B95F60"/>
    <w:rsid w:val="00B965E0"/>
    <w:rsid w:val="00B96C86"/>
    <w:rsid w:val="00B96DC8"/>
    <w:rsid w:val="00B9765B"/>
    <w:rsid w:val="00B977FA"/>
    <w:rsid w:val="00BA05C3"/>
    <w:rsid w:val="00BA0851"/>
    <w:rsid w:val="00BA1007"/>
    <w:rsid w:val="00BA1362"/>
    <w:rsid w:val="00BA194F"/>
    <w:rsid w:val="00BA298E"/>
    <w:rsid w:val="00BA2F0F"/>
    <w:rsid w:val="00BA3463"/>
    <w:rsid w:val="00BA36C6"/>
    <w:rsid w:val="00BA41C1"/>
    <w:rsid w:val="00BA423A"/>
    <w:rsid w:val="00BA4641"/>
    <w:rsid w:val="00BA51E6"/>
    <w:rsid w:val="00BA53B2"/>
    <w:rsid w:val="00BA5422"/>
    <w:rsid w:val="00BA5478"/>
    <w:rsid w:val="00BA5F29"/>
    <w:rsid w:val="00BA60CC"/>
    <w:rsid w:val="00BA690A"/>
    <w:rsid w:val="00BA6ED8"/>
    <w:rsid w:val="00BA7326"/>
    <w:rsid w:val="00BA781C"/>
    <w:rsid w:val="00BA79E5"/>
    <w:rsid w:val="00BA7B51"/>
    <w:rsid w:val="00BA7D68"/>
    <w:rsid w:val="00BB0119"/>
    <w:rsid w:val="00BB0184"/>
    <w:rsid w:val="00BB0294"/>
    <w:rsid w:val="00BB08D1"/>
    <w:rsid w:val="00BB0A4F"/>
    <w:rsid w:val="00BB0CB0"/>
    <w:rsid w:val="00BB14BA"/>
    <w:rsid w:val="00BB1503"/>
    <w:rsid w:val="00BB1B35"/>
    <w:rsid w:val="00BB1F99"/>
    <w:rsid w:val="00BB28E1"/>
    <w:rsid w:val="00BB2D57"/>
    <w:rsid w:val="00BB3201"/>
    <w:rsid w:val="00BB32C6"/>
    <w:rsid w:val="00BB3366"/>
    <w:rsid w:val="00BB339F"/>
    <w:rsid w:val="00BB39EB"/>
    <w:rsid w:val="00BB3DCD"/>
    <w:rsid w:val="00BB3E35"/>
    <w:rsid w:val="00BB44A1"/>
    <w:rsid w:val="00BB4C06"/>
    <w:rsid w:val="00BB4EC5"/>
    <w:rsid w:val="00BB56FE"/>
    <w:rsid w:val="00BB5757"/>
    <w:rsid w:val="00BB6538"/>
    <w:rsid w:val="00BB6C5E"/>
    <w:rsid w:val="00BB6F9A"/>
    <w:rsid w:val="00BB70D5"/>
    <w:rsid w:val="00BB725C"/>
    <w:rsid w:val="00BB75F3"/>
    <w:rsid w:val="00BB7D26"/>
    <w:rsid w:val="00BC01AE"/>
    <w:rsid w:val="00BC01BC"/>
    <w:rsid w:val="00BC01E9"/>
    <w:rsid w:val="00BC05FE"/>
    <w:rsid w:val="00BC06AF"/>
    <w:rsid w:val="00BC0943"/>
    <w:rsid w:val="00BC1138"/>
    <w:rsid w:val="00BC13B4"/>
    <w:rsid w:val="00BC15A9"/>
    <w:rsid w:val="00BC1AD8"/>
    <w:rsid w:val="00BC1B4F"/>
    <w:rsid w:val="00BC1BC6"/>
    <w:rsid w:val="00BC23E2"/>
    <w:rsid w:val="00BC29BE"/>
    <w:rsid w:val="00BC2D81"/>
    <w:rsid w:val="00BC2DD8"/>
    <w:rsid w:val="00BC2FB7"/>
    <w:rsid w:val="00BC368F"/>
    <w:rsid w:val="00BC395F"/>
    <w:rsid w:val="00BC3B57"/>
    <w:rsid w:val="00BC453F"/>
    <w:rsid w:val="00BC4B8C"/>
    <w:rsid w:val="00BC4BF4"/>
    <w:rsid w:val="00BC4C1A"/>
    <w:rsid w:val="00BC4ED5"/>
    <w:rsid w:val="00BC4FFB"/>
    <w:rsid w:val="00BC57F9"/>
    <w:rsid w:val="00BC5A1B"/>
    <w:rsid w:val="00BC5F4D"/>
    <w:rsid w:val="00BC684A"/>
    <w:rsid w:val="00BC6AB6"/>
    <w:rsid w:val="00BC6D71"/>
    <w:rsid w:val="00BC6F7E"/>
    <w:rsid w:val="00BC728C"/>
    <w:rsid w:val="00BC769F"/>
    <w:rsid w:val="00BC79EE"/>
    <w:rsid w:val="00BD02E7"/>
    <w:rsid w:val="00BD03E0"/>
    <w:rsid w:val="00BD0524"/>
    <w:rsid w:val="00BD05F7"/>
    <w:rsid w:val="00BD08E6"/>
    <w:rsid w:val="00BD0AB5"/>
    <w:rsid w:val="00BD0C37"/>
    <w:rsid w:val="00BD19E9"/>
    <w:rsid w:val="00BD2390"/>
    <w:rsid w:val="00BD2616"/>
    <w:rsid w:val="00BD294A"/>
    <w:rsid w:val="00BD2C8E"/>
    <w:rsid w:val="00BD2CC8"/>
    <w:rsid w:val="00BD2F08"/>
    <w:rsid w:val="00BD34F4"/>
    <w:rsid w:val="00BD367A"/>
    <w:rsid w:val="00BD3725"/>
    <w:rsid w:val="00BD492B"/>
    <w:rsid w:val="00BD5FF4"/>
    <w:rsid w:val="00BD6910"/>
    <w:rsid w:val="00BD6A84"/>
    <w:rsid w:val="00BD6BA6"/>
    <w:rsid w:val="00BD6D90"/>
    <w:rsid w:val="00BD6EAD"/>
    <w:rsid w:val="00BD78F3"/>
    <w:rsid w:val="00BD7EBB"/>
    <w:rsid w:val="00BD7FDB"/>
    <w:rsid w:val="00BE01D7"/>
    <w:rsid w:val="00BE0FD8"/>
    <w:rsid w:val="00BE1572"/>
    <w:rsid w:val="00BE161B"/>
    <w:rsid w:val="00BE175E"/>
    <w:rsid w:val="00BE1842"/>
    <w:rsid w:val="00BE278C"/>
    <w:rsid w:val="00BE2790"/>
    <w:rsid w:val="00BE284C"/>
    <w:rsid w:val="00BE2EEB"/>
    <w:rsid w:val="00BE3650"/>
    <w:rsid w:val="00BE3CDB"/>
    <w:rsid w:val="00BE3ED4"/>
    <w:rsid w:val="00BE41C1"/>
    <w:rsid w:val="00BE4FA0"/>
    <w:rsid w:val="00BE504E"/>
    <w:rsid w:val="00BE55D9"/>
    <w:rsid w:val="00BE5816"/>
    <w:rsid w:val="00BE59A6"/>
    <w:rsid w:val="00BE5A50"/>
    <w:rsid w:val="00BE625B"/>
    <w:rsid w:val="00BE6C8A"/>
    <w:rsid w:val="00BE7643"/>
    <w:rsid w:val="00BE769E"/>
    <w:rsid w:val="00BF021C"/>
    <w:rsid w:val="00BF0C3B"/>
    <w:rsid w:val="00BF10E3"/>
    <w:rsid w:val="00BF111E"/>
    <w:rsid w:val="00BF14CD"/>
    <w:rsid w:val="00BF1533"/>
    <w:rsid w:val="00BF157A"/>
    <w:rsid w:val="00BF1670"/>
    <w:rsid w:val="00BF1892"/>
    <w:rsid w:val="00BF21FD"/>
    <w:rsid w:val="00BF2A98"/>
    <w:rsid w:val="00BF2AF5"/>
    <w:rsid w:val="00BF2B8D"/>
    <w:rsid w:val="00BF3407"/>
    <w:rsid w:val="00BF3C80"/>
    <w:rsid w:val="00BF3D06"/>
    <w:rsid w:val="00BF3EED"/>
    <w:rsid w:val="00BF45C6"/>
    <w:rsid w:val="00BF4698"/>
    <w:rsid w:val="00BF479A"/>
    <w:rsid w:val="00BF4AEF"/>
    <w:rsid w:val="00BF51F4"/>
    <w:rsid w:val="00BF5DDA"/>
    <w:rsid w:val="00BF645B"/>
    <w:rsid w:val="00BF6511"/>
    <w:rsid w:val="00BF7274"/>
    <w:rsid w:val="00BF76CB"/>
    <w:rsid w:val="00BF77B1"/>
    <w:rsid w:val="00BF77E7"/>
    <w:rsid w:val="00BF7B0C"/>
    <w:rsid w:val="00BF7D95"/>
    <w:rsid w:val="00C001B4"/>
    <w:rsid w:val="00C00439"/>
    <w:rsid w:val="00C00519"/>
    <w:rsid w:val="00C00BB5"/>
    <w:rsid w:val="00C00BB7"/>
    <w:rsid w:val="00C00CC0"/>
    <w:rsid w:val="00C011B7"/>
    <w:rsid w:val="00C012CF"/>
    <w:rsid w:val="00C0178E"/>
    <w:rsid w:val="00C0194F"/>
    <w:rsid w:val="00C01FBD"/>
    <w:rsid w:val="00C02995"/>
    <w:rsid w:val="00C035FB"/>
    <w:rsid w:val="00C036DE"/>
    <w:rsid w:val="00C037E2"/>
    <w:rsid w:val="00C043AC"/>
    <w:rsid w:val="00C0484D"/>
    <w:rsid w:val="00C04EB6"/>
    <w:rsid w:val="00C0505E"/>
    <w:rsid w:val="00C05AB9"/>
    <w:rsid w:val="00C05ABB"/>
    <w:rsid w:val="00C05CB4"/>
    <w:rsid w:val="00C05FF2"/>
    <w:rsid w:val="00C064A9"/>
    <w:rsid w:val="00C066FE"/>
    <w:rsid w:val="00C06BE6"/>
    <w:rsid w:val="00C06C8E"/>
    <w:rsid w:val="00C06DB7"/>
    <w:rsid w:val="00C07403"/>
    <w:rsid w:val="00C07542"/>
    <w:rsid w:val="00C07724"/>
    <w:rsid w:val="00C07A89"/>
    <w:rsid w:val="00C10056"/>
    <w:rsid w:val="00C101EE"/>
    <w:rsid w:val="00C10483"/>
    <w:rsid w:val="00C10758"/>
    <w:rsid w:val="00C10F82"/>
    <w:rsid w:val="00C11E97"/>
    <w:rsid w:val="00C1269B"/>
    <w:rsid w:val="00C127AB"/>
    <w:rsid w:val="00C128B1"/>
    <w:rsid w:val="00C13046"/>
    <w:rsid w:val="00C1354D"/>
    <w:rsid w:val="00C13598"/>
    <w:rsid w:val="00C135B5"/>
    <w:rsid w:val="00C1364C"/>
    <w:rsid w:val="00C14018"/>
    <w:rsid w:val="00C141F6"/>
    <w:rsid w:val="00C14375"/>
    <w:rsid w:val="00C14A81"/>
    <w:rsid w:val="00C14F3B"/>
    <w:rsid w:val="00C1509A"/>
    <w:rsid w:val="00C15242"/>
    <w:rsid w:val="00C1526E"/>
    <w:rsid w:val="00C1539D"/>
    <w:rsid w:val="00C155BC"/>
    <w:rsid w:val="00C1572D"/>
    <w:rsid w:val="00C16054"/>
    <w:rsid w:val="00C16E8C"/>
    <w:rsid w:val="00C1771F"/>
    <w:rsid w:val="00C178D8"/>
    <w:rsid w:val="00C17961"/>
    <w:rsid w:val="00C17DBC"/>
    <w:rsid w:val="00C17E1E"/>
    <w:rsid w:val="00C17F75"/>
    <w:rsid w:val="00C20103"/>
    <w:rsid w:val="00C20401"/>
    <w:rsid w:val="00C2152E"/>
    <w:rsid w:val="00C217D6"/>
    <w:rsid w:val="00C218B4"/>
    <w:rsid w:val="00C21C11"/>
    <w:rsid w:val="00C21EC3"/>
    <w:rsid w:val="00C22BEA"/>
    <w:rsid w:val="00C231F9"/>
    <w:rsid w:val="00C23907"/>
    <w:rsid w:val="00C23B94"/>
    <w:rsid w:val="00C2459F"/>
    <w:rsid w:val="00C2460C"/>
    <w:rsid w:val="00C24881"/>
    <w:rsid w:val="00C24A42"/>
    <w:rsid w:val="00C252FB"/>
    <w:rsid w:val="00C25309"/>
    <w:rsid w:val="00C253E2"/>
    <w:rsid w:val="00C2551C"/>
    <w:rsid w:val="00C25644"/>
    <w:rsid w:val="00C25ABE"/>
    <w:rsid w:val="00C25F42"/>
    <w:rsid w:val="00C265F7"/>
    <w:rsid w:val="00C2681B"/>
    <w:rsid w:val="00C26F14"/>
    <w:rsid w:val="00C27046"/>
    <w:rsid w:val="00C278E6"/>
    <w:rsid w:val="00C27BC1"/>
    <w:rsid w:val="00C27D33"/>
    <w:rsid w:val="00C31770"/>
    <w:rsid w:val="00C31C4F"/>
    <w:rsid w:val="00C31D6C"/>
    <w:rsid w:val="00C31F20"/>
    <w:rsid w:val="00C326BB"/>
    <w:rsid w:val="00C32BC0"/>
    <w:rsid w:val="00C32C9A"/>
    <w:rsid w:val="00C32FE0"/>
    <w:rsid w:val="00C33706"/>
    <w:rsid w:val="00C33890"/>
    <w:rsid w:val="00C33A3A"/>
    <w:rsid w:val="00C33B0E"/>
    <w:rsid w:val="00C33B27"/>
    <w:rsid w:val="00C3485E"/>
    <w:rsid w:val="00C34BEE"/>
    <w:rsid w:val="00C3528E"/>
    <w:rsid w:val="00C353B2"/>
    <w:rsid w:val="00C354C4"/>
    <w:rsid w:val="00C35711"/>
    <w:rsid w:val="00C3591F"/>
    <w:rsid w:val="00C35B13"/>
    <w:rsid w:val="00C35B4B"/>
    <w:rsid w:val="00C35E13"/>
    <w:rsid w:val="00C35EBA"/>
    <w:rsid w:val="00C36267"/>
    <w:rsid w:val="00C3636B"/>
    <w:rsid w:val="00C36869"/>
    <w:rsid w:val="00C36E64"/>
    <w:rsid w:val="00C370EA"/>
    <w:rsid w:val="00C373E5"/>
    <w:rsid w:val="00C376F0"/>
    <w:rsid w:val="00C37BDF"/>
    <w:rsid w:val="00C37F2C"/>
    <w:rsid w:val="00C4066C"/>
    <w:rsid w:val="00C408A5"/>
    <w:rsid w:val="00C41727"/>
    <w:rsid w:val="00C4181A"/>
    <w:rsid w:val="00C41C30"/>
    <w:rsid w:val="00C41E34"/>
    <w:rsid w:val="00C42028"/>
    <w:rsid w:val="00C42168"/>
    <w:rsid w:val="00C42435"/>
    <w:rsid w:val="00C42A2E"/>
    <w:rsid w:val="00C43777"/>
    <w:rsid w:val="00C44099"/>
    <w:rsid w:val="00C440AA"/>
    <w:rsid w:val="00C443F1"/>
    <w:rsid w:val="00C44C43"/>
    <w:rsid w:val="00C44D94"/>
    <w:rsid w:val="00C44FBF"/>
    <w:rsid w:val="00C454D9"/>
    <w:rsid w:val="00C464C2"/>
    <w:rsid w:val="00C469AD"/>
    <w:rsid w:val="00C46C66"/>
    <w:rsid w:val="00C46D27"/>
    <w:rsid w:val="00C46D51"/>
    <w:rsid w:val="00C4717D"/>
    <w:rsid w:val="00C472CF"/>
    <w:rsid w:val="00C4750D"/>
    <w:rsid w:val="00C477FD"/>
    <w:rsid w:val="00C47813"/>
    <w:rsid w:val="00C4789A"/>
    <w:rsid w:val="00C50195"/>
    <w:rsid w:val="00C50440"/>
    <w:rsid w:val="00C50B3D"/>
    <w:rsid w:val="00C510BB"/>
    <w:rsid w:val="00C52113"/>
    <w:rsid w:val="00C52920"/>
    <w:rsid w:val="00C529D0"/>
    <w:rsid w:val="00C53066"/>
    <w:rsid w:val="00C540B3"/>
    <w:rsid w:val="00C54302"/>
    <w:rsid w:val="00C54508"/>
    <w:rsid w:val="00C545E4"/>
    <w:rsid w:val="00C549D3"/>
    <w:rsid w:val="00C54CBC"/>
    <w:rsid w:val="00C54DF1"/>
    <w:rsid w:val="00C551E4"/>
    <w:rsid w:val="00C551E8"/>
    <w:rsid w:val="00C55371"/>
    <w:rsid w:val="00C55A0D"/>
    <w:rsid w:val="00C55C8B"/>
    <w:rsid w:val="00C566D9"/>
    <w:rsid w:val="00C5681C"/>
    <w:rsid w:val="00C56BF7"/>
    <w:rsid w:val="00C56E3B"/>
    <w:rsid w:val="00C57B5D"/>
    <w:rsid w:val="00C57E22"/>
    <w:rsid w:val="00C60744"/>
    <w:rsid w:val="00C6075A"/>
    <w:rsid w:val="00C608DF"/>
    <w:rsid w:val="00C611F7"/>
    <w:rsid w:val="00C61202"/>
    <w:rsid w:val="00C617C1"/>
    <w:rsid w:val="00C619C4"/>
    <w:rsid w:val="00C62F66"/>
    <w:rsid w:val="00C6337E"/>
    <w:rsid w:val="00C635D3"/>
    <w:rsid w:val="00C635F6"/>
    <w:rsid w:val="00C63635"/>
    <w:rsid w:val="00C63DF1"/>
    <w:rsid w:val="00C64270"/>
    <w:rsid w:val="00C643E3"/>
    <w:rsid w:val="00C64549"/>
    <w:rsid w:val="00C64ABE"/>
    <w:rsid w:val="00C64FD3"/>
    <w:rsid w:val="00C650D5"/>
    <w:rsid w:val="00C65D56"/>
    <w:rsid w:val="00C66884"/>
    <w:rsid w:val="00C67B69"/>
    <w:rsid w:val="00C67BD7"/>
    <w:rsid w:val="00C67D05"/>
    <w:rsid w:val="00C7078A"/>
    <w:rsid w:val="00C708FB"/>
    <w:rsid w:val="00C7094C"/>
    <w:rsid w:val="00C71237"/>
    <w:rsid w:val="00C7167C"/>
    <w:rsid w:val="00C71AD4"/>
    <w:rsid w:val="00C71BAB"/>
    <w:rsid w:val="00C71F12"/>
    <w:rsid w:val="00C71F62"/>
    <w:rsid w:val="00C7227F"/>
    <w:rsid w:val="00C72365"/>
    <w:rsid w:val="00C72402"/>
    <w:rsid w:val="00C72EB1"/>
    <w:rsid w:val="00C7342C"/>
    <w:rsid w:val="00C73532"/>
    <w:rsid w:val="00C735CE"/>
    <w:rsid w:val="00C73713"/>
    <w:rsid w:val="00C73F56"/>
    <w:rsid w:val="00C74F3C"/>
    <w:rsid w:val="00C74F69"/>
    <w:rsid w:val="00C75491"/>
    <w:rsid w:val="00C756B4"/>
    <w:rsid w:val="00C76E81"/>
    <w:rsid w:val="00C770EB"/>
    <w:rsid w:val="00C77227"/>
    <w:rsid w:val="00C77296"/>
    <w:rsid w:val="00C77677"/>
    <w:rsid w:val="00C779E8"/>
    <w:rsid w:val="00C77F38"/>
    <w:rsid w:val="00C803CF"/>
    <w:rsid w:val="00C8043A"/>
    <w:rsid w:val="00C8044A"/>
    <w:rsid w:val="00C8049F"/>
    <w:rsid w:val="00C80602"/>
    <w:rsid w:val="00C806B5"/>
    <w:rsid w:val="00C81389"/>
    <w:rsid w:val="00C814C0"/>
    <w:rsid w:val="00C81577"/>
    <w:rsid w:val="00C81CCB"/>
    <w:rsid w:val="00C81F77"/>
    <w:rsid w:val="00C82114"/>
    <w:rsid w:val="00C82BDA"/>
    <w:rsid w:val="00C82D83"/>
    <w:rsid w:val="00C83167"/>
    <w:rsid w:val="00C8339C"/>
    <w:rsid w:val="00C84507"/>
    <w:rsid w:val="00C847E5"/>
    <w:rsid w:val="00C84C04"/>
    <w:rsid w:val="00C84CD9"/>
    <w:rsid w:val="00C8529A"/>
    <w:rsid w:val="00C85AAC"/>
    <w:rsid w:val="00C86927"/>
    <w:rsid w:val="00C86B16"/>
    <w:rsid w:val="00C86DA4"/>
    <w:rsid w:val="00C8701A"/>
    <w:rsid w:val="00C87439"/>
    <w:rsid w:val="00C87562"/>
    <w:rsid w:val="00C87CEF"/>
    <w:rsid w:val="00C87E3E"/>
    <w:rsid w:val="00C90723"/>
    <w:rsid w:val="00C90D64"/>
    <w:rsid w:val="00C910F1"/>
    <w:rsid w:val="00C91A46"/>
    <w:rsid w:val="00C91ADE"/>
    <w:rsid w:val="00C91BF6"/>
    <w:rsid w:val="00C9209D"/>
    <w:rsid w:val="00C9243F"/>
    <w:rsid w:val="00C9253A"/>
    <w:rsid w:val="00C92734"/>
    <w:rsid w:val="00C92F8B"/>
    <w:rsid w:val="00C933D2"/>
    <w:rsid w:val="00C93DD9"/>
    <w:rsid w:val="00C9459D"/>
    <w:rsid w:val="00C9479A"/>
    <w:rsid w:val="00C94A28"/>
    <w:rsid w:val="00C94ED2"/>
    <w:rsid w:val="00C950D4"/>
    <w:rsid w:val="00C95108"/>
    <w:rsid w:val="00C951F0"/>
    <w:rsid w:val="00C95C9C"/>
    <w:rsid w:val="00C95D5D"/>
    <w:rsid w:val="00C95EA9"/>
    <w:rsid w:val="00C96380"/>
    <w:rsid w:val="00C96702"/>
    <w:rsid w:val="00C976AE"/>
    <w:rsid w:val="00C9779B"/>
    <w:rsid w:val="00C97F58"/>
    <w:rsid w:val="00CA025D"/>
    <w:rsid w:val="00CA0704"/>
    <w:rsid w:val="00CA0B28"/>
    <w:rsid w:val="00CA1029"/>
    <w:rsid w:val="00CA1290"/>
    <w:rsid w:val="00CA141E"/>
    <w:rsid w:val="00CA1485"/>
    <w:rsid w:val="00CA15D2"/>
    <w:rsid w:val="00CA16B6"/>
    <w:rsid w:val="00CA1907"/>
    <w:rsid w:val="00CA1B14"/>
    <w:rsid w:val="00CA1B83"/>
    <w:rsid w:val="00CA1BB7"/>
    <w:rsid w:val="00CA1FE9"/>
    <w:rsid w:val="00CA2572"/>
    <w:rsid w:val="00CA266D"/>
    <w:rsid w:val="00CA2C3F"/>
    <w:rsid w:val="00CA2E85"/>
    <w:rsid w:val="00CA3031"/>
    <w:rsid w:val="00CA3AF1"/>
    <w:rsid w:val="00CA3B68"/>
    <w:rsid w:val="00CA4235"/>
    <w:rsid w:val="00CA4CC9"/>
    <w:rsid w:val="00CA5238"/>
    <w:rsid w:val="00CA53AA"/>
    <w:rsid w:val="00CA56C4"/>
    <w:rsid w:val="00CA585B"/>
    <w:rsid w:val="00CA5B51"/>
    <w:rsid w:val="00CA6080"/>
    <w:rsid w:val="00CA6714"/>
    <w:rsid w:val="00CA6CA0"/>
    <w:rsid w:val="00CA6D1A"/>
    <w:rsid w:val="00CA77FB"/>
    <w:rsid w:val="00CA7B46"/>
    <w:rsid w:val="00CA7B4F"/>
    <w:rsid w:val="00CA7DB9"/>
    <w:rsid w:val="00CA7EAC"/>
    <w:rsid w:val="00CA7FF5"/>
    <w:rsid w:val="00CB0087"/>
    <w:rsid w:val="00CB0127"/>
    <w:rsid w:val="00CB064E"/>
    <w:rsid w:val="00CB080B"/>
    <w:rsid w:val="00CB0DB1"/>
    <w:rsid w:val="00CB0E19"/>
    <w:rsid w:val="00CB0FFB"/>
    <w:rsid w:val="00CB186B"/>
    <w:rsid w:val="00CB1C4B"/>
    <w:rsid w:val="00CB24D6"/>
    <w:rsid w:val="00CB24F7"/>
    <w:rsid w:val="00CB26FB"/>
    <w:rsid w:val="00CB2B4B"/>
    <w:rsid w:val="00CB2F9A"/>
    <w:rsid w:val="00CB3156"/>
    <w:rsid w:val="00CB33D8"/>
    <w:rsid w:val="00CB3EE4"/>
    <w:rsid w:val="00CB4333"/>
    <w:rsid w:val="00CB49FC"/>
    <w:rsid w:val="00CB505E"/>
    <w:rsid w:val="00CB566E"/>
    <w:rsid w:val="00CB56BC"/>
    <w:rsid w:val="00CB5D27"/>
    <w:rsid w:val="00CB6076"/>
    <w:rsid w:val="00CB61C5"/>
    <w:rsid w:val="00CB6445"/>
    <w:rsid w:val="00CB6EA6"/>
    <w:rsid w:val="00CB6F09"/>
    <w:rsid w:val="00CB7AC4"/>
    <w:rsid w:val="00CC0BEB"/>
    <w:rsid w:val="00CC0F31"/>
    <w:rsid w:val="00CC103E"/>
    <w:rsid w:val="00CC17A9"/>
    <w:rsid w:val="00CC1A19"/>
    <w:rsid w:val="00CC1B16"/>
    <w:rsid w:val="00CC223D"/>
    <w:rsid w:val="00CC2AB4"/>
    <w:rsid w:val="00CC2FA3"/>
    <w:rsid w:val="00CC33A1"/>
    <w:rsid w:val="00CC39E9"/>
    <w:rsid w:val="00CC3CCF"/>
    <w:rsid w:val="00CC3F9F"/>
    <w:rsid w:val="00CC4256"/>
    <w:rsid w:val="00CC4C7A"/>
    <w:rsid w:val="00CC4CB7"/>
    <w:rsid w:val="00CC4E80"/>
    <w:rsid w:val="00CC53C7"/>
    <w:rsid w:val="00CC5739"/>
    <w:rsid w:val="00CC5988"/>
    <w:rsid w:val="00CC5F3D"/>
    <w:rsid w:val="00CC608C"/>
    <w:rsid w:val="00CC60D4"/>
    <w:rsid w:val="00CC6A2C"/>
    <w:rsid w:val="00CC70C6"/>
    <w:rsid w:val="00CC78D0"/>
    <w:rsid w:val="00CC7914"/>
    <w:rsid w:val="00CC7DF4"/>
    <w:rsid w:val="00CD01E9"/>
    <w:rsid w:val="00CD03DD"/>
    <w:rsid w:val="00CD05E0"/>
    <w:rsid w:val="00CD0A6F"/>
    <w:rsid w:val="00CD0CD0"/>
    <w:rsid w:val="00CD0DF2"/>
    <w:rsid w:val="00CD129D"/>
    <w:rsid w:val="00CD1811"/>
    <w:rsid w:val="00CD1823"/>
    <w:rsid w:val="00CD1B51"/>
    <w:rsid w:val="00CD20A7"/>
    <w:rsid w:val="00CD3052"/>
    <w:rsid w:val="00CD3333"/>
    <w:rsid w:val="00CD34BB"/>
    <w:rsid w:val="00CD36E5"/>
    <w:rsid w:val="00CD388C"/>
    <w:rsid w:val="00CD3A3A"/>
    <w:rsid w:val="00CD3D51"/>
    <w:rsid w:val="00CD4DCF"/>
    <w:rsid w:val="00CD503C"/>
    <w:rsid w:val="00CD56DB"/>
    <w:rsid w:val="00CD69A9"/>
    <w:rsid w:val="00CD6B75"/>
    <w:rsid w:val="00CD7215"/>
    <w:rsid w:val="00CD7583"/>
    <w:rsid w:val="00CD768A"/>
    <w:rsid w:val="00CD76FA"/>
    <w:rsid w:val="00CD7733"/>
    <w:rsid w:val="00CE0CF0"/>
    <w:rsid w:val="00CE118E"/>
    <w:rsid w:val="00CE1195"/>
    <w:rsid w:val="00CE11E2"/>
    <w:rsid w:val="00CE1297"/>
    <w:rsid w:val="00CE1BB1"/>
    <w:rsid w:val="00CE1C3D"/>
    <w:rsid w:val="00CE2013"/>
    <w:rsid w:val="00CE2752"/>
    <w:rsid w:val="00CE3659"/>
    <w:rsid w:val="00CE381C"/>
    <w:rsid w:val="00CE4ADA"/>
    <w:rsid w:val="00CE4F8F"/>
    <w:rsid w:val="00CE52F8"/>
    <w:rsid w:val="00CE571B"/>
    <w:rsid w:val="00CE5B48"/>
    <w:rsid w:val="00CE5DA4"/>
    <w:rsid w:val="00CE618D"/>
    <w:rsid w:val="00CE65B6"/>
    <w:rsid w:val="00CE6755"/>
    <w:rsid w:val="00CE6AC8"/>
    <w:rsid w:val="00CE722E"/>
    <w:rsid w:val="00CE7737"/>
    <w:rsid w:val="00CE7C24"/>
    <w:rsid w:val="00CF06BF"/>
    <w:rsid w:val="00CF0D3F"/>
    <w:rsid w:val="00CF10EF"/>
    <w:rsid w:val="00CF144B"/>
    <w:rsid w:val="00CF191A"/>
    <w:rsid w:val="00CF212D"/>
    <w:rsid w:val="00CF26E2"/>
    <w:rsid w:val="00CF2A10"/>
    <w:rsid w:val="00CF2C7C"/>
    <w:rsid w:val="00CF3CCB"/>
    <w:rsid w:val="00CF3F9A"/>
    <w:rsid w:val="00CF4562"/>
    <w:rsid w:val="00CF4568"/>
    <w:rsid w:val="00CF5299"/>
    <w:rsid w:val="00CF600B"/>
    <w:rsid w:val="00CF61EB"/>
    <w:rsid w:val="00CF657E"/>
    <w:rsid w:val="00CF6858"/>
    <w:rsid w:val="00CF6C79"/>
    <w:rsid w:val="00CF6D33"/>
    <w:rsid w:val="00CF6DCC"/>
    <w:rsid w:val="00CF6F0C"/>
    <w:rsid w:val="00CF77D4"/>
    <w:rsid w:val="00CF7846"/>
    <w:rsid w:val="00CF7903"/>
    <w:rsid w:val="00D0078C"/>
    <w:rsid w:val="00D00B38"/>
    <w:rsid w:val="00D00BF8"/>
    <w:rsid w:val="00D014A4"/>
    <w:rsid w:val="00D01BA8"/>
    <w:rsid w:val="00D01F24"/>
    <w:rsid w:val="00D0242A"/>
    <w:rsid w:val="00D02835"/>
    <w:rsid w:val="00D02BCB"/>
    <w:rsid w:val="00D02D27"/>
    <w:rsid w:val="00D02F58"/>
    <w:rsid w:val="00D02FBC"/>
    <w:rsid w:val="00D032EA"/>
    <w:rsid w:val="00D03352"/>
    <w:rsid w:val="00D0378A"/>
    <w:rsid w:val="00D03916"/>
    <w:rsid w:val="00D0397A"/>
    <w:rsid w:val="00D03B55"/>
    <w:rsid w:val="00D03E38"/>
    <w:rsid w:val="00D045B9"/>
    <w:rsid w:val="00D048AC"/>
    <w:rsid w:val="00D04941"/>
    <w:rsid w:val="00D052AB"/>
    <w:rsid w:val="00D05C1C"/>
    <w:rsid w:val="00D05DFC"/>
    <w:rsid w:val="00D06791"/>
    <w:rsid w:val="00D06C75"/>
    <w:rsid w:val="00D06D0F"/>
    <w:rsid w:val="00D06DA9"/>
    <w:rsid w:val="00D06DBF"/>
    <w:rsid w:val="00D06E62"/>
    <w:rsid w:val="00D07957"/>
    <w:rsid w:val="00D07A33"/>
    <w:rsid w:val="00D106F7"/>
    <w:rsid w:val="00D10C91"/>
    <w:rsid w:val="00D10FCF"/>
    <w:rsid w:val="00D111DB"/>
    <w:rsid w:val="00D11EFA"/>
    <w:rsid w:val="00D122F7"/>
    <w:rsid w:val="00D12CD2"/>
    <w:rsid w:val="00D13070"/>
    <w:rsid w:val="00D134C5"/>
    <w:rsid w:val="00D1393C"/>
    <w:rsid w:val="00D13943"/>
    <w:rsid w:val="00D155A5"/>
    <w:rsid w:val="00D1628C"/>
    <w:rsid w:val="00D162D3"/>
    <w:rsid w:val="00D162DF"/>
    <w:rsid w:val="00D16B42"/>
    <w:rsid w:val="00D16E8D"/>
    <w:rsid w:val="00D16F45"/>
    <w:rsid w:val="00D16F5A"/>
    <w:rsid w:val="00D1704A"/>
    <w:rsid w:val="00D174AE"/>
    <w:rsid w:val="00D17CB3"/>
    <w:rsid w:val="00D200AA"/>
    <w:rsid w:val="00D20616"/>
    <w:rsid w:val="00D206BF"/>
    <w:rsid w:val="00D207A3"/>
    <w:rsid w:val="00D208EC"/>
    <w:rsid w:val="00D20BA9"/>
    <w:rsid w:val="00D20E6B"/>
    <w:rsid w:val="00D212D6"/>
    <w:rsid w:val="00D214A9"/>
    <w:rsid w:val="00D21599"/>
    <w:rsid w:val="00D2167F"/>
    <w:rsid w:val="00D21741"/>
    <w:rsid w:val="00D21FA4"/>
    <w:rsid w:val="00D223B8"/>
    <w:rsid w:val="00D22408"/>
    <w:rsid w:val="00D22D1C"/>
    <w:rsid w:val="00D22F69"/>
    <w:rsid w:val="00D23B55"/>
    <w:rsid w:val="00D23C0C"/>
    <w:rsid w:val="00D23E13"/>
    <w:rsid w:val="00D24594"/>
    <w:rsid w:val="00D24C71"/>
    <w:rsid w:val="00D25518"/>
    <w:rsid w:val="00D2591D"/>
    <w:rsid w:val="00D25D41"/>
    <w:rsid w:val="00D265FB"/>
    <w:rsid w:val="00D26773"/>
    <w:rsid w:val="00D27604"/>
    <w:rsid w:val="00D2762F"/>
    <w:rsid w:val="00D27866"/>
    <w:rsid w:val="00D27D8F"/>
    <w:rsid w:val="00D3040C"/>
    <w:rsid w:val="00D30635"/>
    <w:rsid w:val="00D30C52"/>
    <w:rsid w:val="00D30FAE"/>
    <w:rsid w:val="00D3102E"/>
    <w:rsid w:val="00D3130C"/>
    <w:rsid w:val="00D31370"/>
    <w:rsid w:val="00D31451"/>
    <w:rsid w:val="00D3220F"/>
    <w:rsid w:val="00D32E39"/>
    <w:rsid w:val="00D33B84"/>
    <w:rsid w:val="00D33D1C"/>
    <w:rsid w:val="00D33E2A"/>
    <w:rsid w:val="00D33E54"/>
    <w:rsid w:val="00D33FFE"/>
    <w:rsid w:val="00D340BE"/>
    <w:rsid w:val="00D34B08"/>
    <w:rsid w:val="00D35177"/>
    <w:rsid w:val="00D357B9"/>
    <w:rsid w:val="00D35D80"/>
    <w:rsid w:val="00D361B4"/>
    <w:rsid w:val="00D3671B"/>
    <w:rsid w:val="00D36AED"/>
    <w:rsid w:val="00D36EC1"/>
    <w:rsid w:val="00D37384"/>
    <w:rsid w:val="00D37AAB"/>
    <w:rsid w:val="00D400D5"/>
    <w:rsid w:val="00D4013D"/>
    <w:rsid w:val="00D401B8"/>
    <w:rsid w:val="00D40DF3"/>
    <w:rsid w:val="00D418B2"/>
    <w:rsid w:val="00D419C5"/>
    <w:rsid w:val="00D41BE2"/>
    <w:rsid w:val="00D41CB3"/>
    <w:rsid w:val="00D41D07"/>
    <w:rsid w:val="00D420DC"/>
    <w:rsid w:val="00D42126"/>
    <w:rsid w:val="00D42199"/>
    <w:rsid w:val="00D421B0"/>
    <w:rsid w:val="00D431F0"/>
    <w:rsid w:val="00D43BB5"/>
    <w:rsid w:val="00D43FF7"/>
    <w:rsid w:val="00D44045"/>
    <w:rsid w:val="00D4417D"/>
    <w:rsid w:val="00D44357"/>
    <w:rsid w:val="00D446AC"/>
    <w:rsid w:val="00D44FA2"/>
    <w:rsid w:val="00D451DA"/>
    <w:rsid w:val="00D4549D"/>
    <w:rsid w:val="00D4589E"/>
    <w:rsid w:val="00D45A4C"/>
    <w:rsid w:val="00D45C38"/>
    <w:rsid w:val="00D45D56"/>
    <w:rsid w:val="00D45E09"/>
    <w:rsid w:val="00D45F78"/>
    <w:rsid w:val="00D460AD"/>
    <w:rsid w:val="00D466A5"/>
    <w:rsid w:val="00D4685A"/>
    <w:rsid w:val="00D47099"/>
    <w:rsid w:val="00D47C22"/>
    <w:rsid w:val="00D47D43"/>
    <w:rsid w:val="00D50201"/>
    <w:rsid w:val="00D502F0"/>
    <w:rsid w:val="00D508AA"/>
    <w:rsid w:val="00D51159"/>
    <w:rsid w:val="00D51196"/>
    <w:rsid w:val="00D51CEA"/>
    <w:rsid w:val="00D52826"/>
    <w:rsid w:val="00D528CC"/>
    <w:rsid w:val="00D52ADF"/>
    <w:rsid w:val="00D52B52"/>
    <w:rsid w:val="00D53657"/>
    <w:rsid w:val="00D53761"/>
    <w:rsid w:val="00D53E6C"/>
    <w:rsid w:val="00D54090"/>
    <w:rsid w:val="00D5424D"/>
    <w:rsid w:val="00D54313"/>
    <w:rsid w:val="00D54834"/>
    <w:rsid w:val="00D54D12"/>
    <w:rsid w:val="00D5503A"/>
    <w:rsid w:val="00D55415"/>
    <w:rsid w:val="00D5566C"/>
    <w:rsid w:val="00D5660A"/>
    <w:rsid w:val="00D567B4"/>
    <w:rsid w:val="00D569A6"/>
    <w:rsid w:val="00D569BD"/>
    <w:rsid w:val="00D56AEE"/>
    <w:rsid w:val="00D577A7"/>
    <w:rsid w:val="00D57E87"/>
    <w:rsid w:val="00D6045D"/>
    <w:rsid w:val="00D60652"/>
    <w:rsid w:val="00D6098B"/>
    <w:rsid w:val="00D609DD"/>
    <w:rsid w:val="00D60FE0"/>
    <w:rsid w:val="00D616E9"/>
    <w:rsid w:val="00D61CE9"/>
    <w:rsid w:val="00D61E85"/>
    <w:rsid w:val="00D623E8"/>
    <w:rsid w:val="00D62815"/>
    <w:rsid w:val="00D62B8E"/>
    <w:rsid w:val="00D62F5F"/>
    <w:rsid w:val="00D6305B"/>
    <w:rsid w:val="00D63830"/>
    <w:rsid w:val="00D63AA7"/>
    <w:rsid w:val="00D63D37"/>
    <w:rsid w:val="00D63F53"/>
    <w:rsid w:val="00D645B8"/>
    <w:rsid w:val="00D647B5"/>
    <w:rsid w:val="00D64888"/>
    <w:rsid w:val="00D6493E"/>
    <w:rsid w:val="00D649ED"/>
    <w:rsid w:val="00D64C67"/>
    <w:rsid w:val="00D64DA4"/>
    <w:rsid w:val="00D65A8D"/>
    <w:rsid w:val="00D66FE8"/>
    <w:rsid w:val="00D6751B"/>
    <w:rsid w:val="00D67DC0"/>
    <w:rsid w:val="00D67E1C"/>
    <w:rsid w:val="00D67FBA"/>
    <w:rsid w:val="00D70108"/>
    <w:rsid w:val="00D702F7"/>
    <w:rsid w:val="00D708D6"/>
    <w:rsid w:val="00D70A77"/>
    <w:rsid w:val="00D70D68"/>
    <w:rsid w:val="00D71B08"/>
    <w:rsid w:val="00D71E5D"/>
    <w:rsid w:val="00D724B0"/>
    <w:rsid w:val="00D72C87"/>
    <w:rsid w:val="00D72D68"/>
    <w:rsid w:val="00D73B91"/>
    <w:rsid w:val="00D73FA2"/>
    <w:rsid w:val="00D74101"/>
    <w:rsid w:val="00D74E5B"/>
    <w:rsid w:val="00D74EE3"/>
    <w:rsid w:val="00D75453"/>
    <w:rsid w:val="00D75508"/>
    <w:rsid w:val="00D75FCD"/>
    <w:rsid w:val="00D76198"/>
    <w:rsid w:val="00D763FD"/>
    <w:rsid w:val="00D766E9"/>
    <w:rsid w:val="00D768BF"/>
    <w:rsid w:val="00D76BDB"/>
    <w:rsid w:val="00D77114"/>
    <w:rsid w:val="00D773C1"/>
    <w:rsid w:val="00D775ED"/>
    <w:rsid w:val="00D77F96"/>
    <w:rsid w:val="00D806DE"/>
    <w:rsid w:val="00D8092B"/>
    <w:rsid w:val="00D80956"/>
    <w:rsid w:val="00D81275"/>
    <w:rsid w:val="00D8133B"/>
    <w:rsid w:val="00D813DA"/>
    <w:rsid w:val="00D81550"/>
    <w:rsid w:val="00D81662"/>
    <w:rsid w:val="00D81949"/>
    <w:rsid w:val="00D81E55"/>
    <w:rsid w:val="00D81E9F"/>
    <w:rsid w:val="00D8226C"/>
    <w:rsid w:val="00D822A7"/>
    <w:rsid w:val="00D825B1"/>
    <w:rsid w:val="00D8295A"/>
    <w:rsid w:val="00D82B50"/>
    <w:rsid w:val="00D835E8"/>
    <w:rsid w:val="00D83AA5"/>
    <w:rsid w:val="00D84295"/>
    <w:rsid w:val="00D843D9"/>
    <w:rsid w:val="00D8471A"/>
    <w:rsid w:val="00D848ED"/>
    <w:rsid w:val="00D8520E"/>
    <w:rsid w:val="00D855BE"/>
    <w:rsid w:val="00D856BB"/>
    <w:rsid w:val="00D85D09"/>
    <w:rsid w:val="00D85FDF"/>
    <w:rsid w:val="00D8626D"/>
    <w:rsid w:val="00D86699"/>
    <w:rsid w:val="00D8679F"/>
    <w:rsid w:val="00D8768A"/>
    <w:rsid w:val="00D879C3"/>
    <w:rsid w:val="00D87A4A"/>
    <w:rsid w:val="00D87C50"/>
    <w:rsid w:val="00D87CC9"/>
    <w:rsid w:val="00D87E95"/>
    <w:rsid w:val="00D907DF"/>
    <w:rsid w:val="00D90FB5"/>
    <w:rsid w:val="00D9151A"/>
    <w:rsid w:val="00D9232C"/>
    <w:rsid w:val="00D92753"/>
    <w:rsid w:val="00D9291B"/>
    <w:rsid w:val="00D92F69"/>
    <w:rsid w:val="00D939DA"/>
    <w:rsid w:val="00D93BFF"/>
    <w:rsid w:val="00D93F59"/>
    <w:rsid w:val="00D946DE"/>
    <w:rsid w:val="00D94902"/>
    <w:rsid w:val="00D94BD7"/>
    <w:rsid w:val="00D94D47"/>
    <w:rsid w:val="00D951E9"/>
    <w:rsid w:val="00D95408"/>
    <w:rsid w:val="00D95BD7"/>
    <w:rsid w:val="00D95F58"/>
    <w:rsid w:val="00D96083"/>
    <w:rsid w:val="00D966F7"/>
    <w:rsid w:val="00D96AFE"/>
    <w:rsid w:val="00D96C73"/>
    <w:rsid w:val="00D96C84"/>
    <w:rsid w:val="00D96FA8"/>
    <w:rsid w:val="00D97368"/>
    <w:rsid w:val="00D97704"/>
    <w:rsid w:val="00D97A6A"/>
    <w:rsid w:val="00D97E65"/>
    <w:rsid w:val="00DA0523"/>
    <w:rsid w:val="00DA0C3D"/>
    <w:rsid w:val="00DA1A73"/>
    <w:rsid w:val="00DA1CE1"/>
    <w:rsid w:val="00DA2318"/>
    <w:rsid w:val="00DA2768"/>
    <w:rsid w:val="00DA2AA4"/>
    <w:rsid w:val="00DA2B83"/>
    <w:rsid w:val="00DA3718"/>
    <w:rsid w:val="00DA37D9"/>
    <w:rsid w:val="00DA429F"/>
    <w:rsid w:val="00DA43DA"/>
    <w:rsid w:val="00DA44EF"/>
    <w:rsid w:val="00DA5431"/>
    <w:rsid w:val="00DA574B"/>
    <w:rsid w:val="00DA5D2C"/>
    <w:rsid w:val="00DA62FC"/>
    <w:rsid w:val="00DA63D7"/>
    <w:rsid w:val="00DA641B"/>
    <w:rsid w:val="00DA6880"/>
    <w:rsid w:val="00DA742E"/>
    <w:rsid w:val="00DA774F"/>
    <w:rsid w:val="00DA7929"/>
    <w:rsid w:val="00DA7A95"/>
    <w:rsid w:val="00DB0405"/>
    <w:rsid w:val="00DB0D63"/>
    <w:rsid w:val="00DB120C"/>
    <w:rsid w:val="00DB2B53"/>
    <w:rsid w:val="00DB2D27"/>
    <w:rsid w:val="00DB327A"/>
    <w:rsid w:val="00DB3797"/>
    <w:rsid w:val="00DB37F1"/>
    <w:rsid w:val="00DB3A89"/>
    <w:rsid w:val="00DB3B2B"/>
    <w:rsid w:val="00DB47AF"/>
    <w:rsid w:val="00DB53D3"/>
    <w:rsid w:val="00DB5E12"/>
    <w:rsid w:val="00DB607A"/>
    <w:rsid w:val="00DB607F"/>
    <w:rsid w:val="00DB6323"/>
    <w:rsid w:val="00DB6D95"/>
    <w:rsid w:val="00DB71A8"/>
    <w:rsid w:val="00DB7734"/>
    <w:rsid w:val="00DB7CAA"/>
    <w:rsid w:val="00DB7E71"/>
    <w:rsid w:val="00DC03C1"/>
    <w:rsid w:val="00DC0675"/>
    <w:rsid w:val="00DC079A"/>
    <w:rsid w:val="00DC0D66"/>
    <w:rsid w:val="00DC15BD"/>
    <w:rsid w:val="00DC224B"/>
    <w:rsid w:val="00DC239B"/>
    <w:rsid w:val="00DC262A"/>
    <w:rsid w:val="00DC2BB8"/>
    <w:rsid w:val="00DC2F13"/>
    <w:rsid w:val="00DC312D"/>
    <w:rsid w:val="00DC3502"/>
    <w:rsid w:val="00DC3D8E"/>
    <w:rsid w:val="00DC5159"/>
    <w:rsid w:val="00DC5619"/>
    <w:rsid w:val="00DC5850"/>
    <w:rsid w:val="00DC5B65"/>
    <w:rsid w:val="00DC63F3"/>
    <w:rsid w:val="00DC6426"/>
    <w:rsid w:val="00DC6613"/>
    <w:rsid w:val="00DC6A15"/>
    <w:rsid w:val="00DC6AFD"/>
    <w:rsid w:val="00DC70D3"/>
    <w:rsid w:val="00DC7B35"/>
    <w:rsid w:val="00DD0379"/>
    <w:rsid w:val="00DD097A"/>
    <w:rsid w:val="00DD0C35"/>
    <w:rsid w:val="00DD1039"/>
    <w:rsid w:val="00DD148A"/>
    <w:rsid w:val="00DD23D6"/>
    <w:rsid w:val="00DD2B61"/>
    <w:rsid w:val="00DD2FC4"/>
    <w:rsid w:val="00DD3092"/>
    <w:rsid w:val="00DD3376"/>
    <w:rsid w:val="00DD34D6"/>
    <w:rsid w:val="00DD3717"/>
    <w:rsid w:val="00DD389B"/>
    <w:rsid w:val="00DD3B32"/>
    <w:rsid w:val="00DD3C49"/>
    <w:rsid w:val="00DD40B3"/>
    <w:rsid w:val="00DD52F9"/>
    <w:rsid w:val="00DD5B2E"/>
    <w:rsid w:val="00DD61FC"/>
    <w:rsid w:val="00DD6431"/>
    <w:rsid w:val="00DD6608"/>
    <w:rsid w:val="00DD7075"/>
    <w:rsid w:val="00DD7FE8"/>
    <w:rsid w:val="00DD7FEA"/>
    <w:rsid w:val="00DE030C"/>
    <w:rsid w:val="00DE11D3"/>
    <w:rsid w:val="00DE150F"/>
    <w:rsid w:val="00DE19F1"/>
    <w:rsid w:val="00DE1F33"/>
    <w:rsid w:val="00DE1FD0"/>
    <w:rsid w:val="00DE2105"/>
    <w:rsid w:val="00DE2CB9"/>
    <w:rsid w:val="00DE30E9"/>
    <w:rsid w:val="00DE320C"/>
    <w:rsid w:val="00DE328E"/>
    <w:rsid w:val="00DE33DC"/>
    <w:rsid w:val="00DE3977"/>
    <w:rsid w:val="00DE3E9C"/>
    <w:rsid w:val="00DE4314"/>
    <w:rsid w:val="00DE4B3D"/>
    <w:rsid w:val="00DE5F12"/>
    <w:rsid w:val="00DE5F2A"/>
    <w:rsid w:val="00DE62AE"/>
    <w:rsid w:val="00DE6A5C"/>
    <w:rsid w:val="00DE7063"/>
    <w:rsid w:val="00DE74D3"/>
    <w:rsid w:val="00DE7842"/>
    <w:rsid w:val="00DE7863"/>
    <w:rsid w:val="00DE7A22"/>
    <w:rsid w:val="00DE7B11"/>
    <w:rsid w:val="00DE7F83"/>
    <w:rsid w:val="00DF05E5"/>
    <w:rsid w:val="00DF0801"/>
    <w:rsid w:val="00DF0AC3"/>
    <w:rsid w:val="00DF11BF"/>
    <w:rsid w:val="00DF19AE"/>
    <w:rsid w:val="00DF1D12"/>
    <w:rsid w:val="00DF2359"/>
    <w:rsid w:val="00DF23AF"/>
    <w:rsid w:val="00DF24C3"/>
    <w:rsid w:val="00DF2615"/>
    <w:rsid w:val="00DF2663"/>
    <w:rsid w:val="00DF2812"/>
    <w:rsid w:val="00DF28B4"/>
    <w:rsid w:val="00DF2F47"/>
    <w:rsid w:val="00DF323F"/>
    <w:rsid w:val="00DF3675"/>
    <w:rsid w:val="00DF37B9"/>
    <w:rsid w:val="00DF41BA"/>
    <w:rsid w:val="00DF46E4"/>
    <w:rsid w:val="00DF4EC1"/>
    <w:rsid w:val="00DF58B7"/>
    <w:rsid w:val="00DF5BD2"/>
    <w:rsid w:val="00DF6612"/>
    <w:rsid w:val="00DF6761"/>
    <w:rsid w:val="00DF716E"/>
    <w:rsid w:val="00DF7981"/>
    <w:rsid w:val="00DF7A68"/>
    <w:rsid w:val="00DF7D1A"/>
    <w:rsid w:val="00DF7DC9"/>
    <w:rsid w:val="00E0040F"/>
    <w:rsid w:val="00E006EC"/>
    <w:rsid w:val="00E00DCE"/>
    <w:rsid w:val="00E01BA0"/>
    <w:rsid w:val="00E03249"/>
    <w:rsid w:val="00E032A5"/>
    <w:rsid w:val="00E03332"/>
    <w:rsid w:val="00E036A3"/>
    <w:rsid w:val="00E03727"/>
    <w:rsid w:val="00E0383B"/>
    <w:rsid w:val="00E03B10"/>
    <w:rsid w:val="00E04D4D"/>
    <w:rsid w:val="00E052E0"/>
    <w:rsid w:val="00E058ED"/>
    <w:rsid w:val="00E05F4A"/>
    <w:rsid w:val="00E05FE9"/>
    <w:rsid w:val="00E06441"/>
    <w:rsid w:val="00E064AA"/>
    <w:rsid w:val="00E06753"/>
    <w:rsid w:val="00E067D4"/>
    <w:rsid w:val="00E069FC"/>
    <w:rsid w:val="00E06A57"/>
    <w:rsid w:val="00E07270"/>
    <w:rsid w:val="00E073ED"/>
    <w:rsid w:val="00E078A9"/>
    <w:rsid w:val="00E078BE"/>
    <w:rsid w:val="00E07965"/>
    <w:rsid w:val="00E07B5A"/>
    <w:rsid w:val="00E07BD1"/>
    <w:rsid w:val="00E07CAF"/>
    <w:rsid w:val="00E10097"/>
    <w:rsid w:val="00E1132E"/>
    <w:rsid w:val="00E1176F"/>
    <w:rsid w:val="00E1187F"/>
    <w:rsid w:val="00E11B3A"/>
    <w:rsid w:val="00E11DC9"/>
    <w:rsid w:val="00E11E1B"/>
    <w:rsid w:val="00E11F72"/>
    <w:rsid w:val="00E1234F"/>
    <w:rsid w:val="00E12453"/>
    <w:rsid w:val="00E12601"/>
    <w:rsid w:val="00E126F0"/>
    <w:rsid w:val="00E134AF"/>
    <w:rsid w:val="00E13641"/>
    <w:rsid w:val="00E13708"/>
    <w:rsid w:val="00E13846"/>
    <w:rsid w:val="00E13ACC"/>
    <w:rsid w:val="00E13AE6"/>
    <w:rsid w:val="00E147B6"/>
    <w:rsid w:val="00E148F6"/>
    <w:rsid w:val="00E149B6"/>
    <w:rsid w:val="00E14E9D"/>
    <w:rsid w:val="00E14F5F"/>
    <w:rsid w:val="00E1505F"/>
    <w:rsid w:val="00E15073"/>
    <w:rsid w:val="00E15328"/>
    <w:rsid w:val="00E15426"/>
    <w:rsid w:val="00E15809"/>
    <w:rsid w:val="00E1584E"/>
    <w:rsid w:val="00E15CC3"/>
    <w:rsid w:val="00E15F37"/>
    <w:rsid w:val="00E15F38"/>
    <w:rsid w:val="00E1605F"/>
    <w:rsid w:val="00E1618C"/>
    <w:rsid w:val="00E16462"/>
    <w:rsid w:val="00E1693F"/>
    <w:rsid w:val="00E16C41"/>
    <w:rsid w:val="00E16C61"/>
    <w:rsid w:val="00E17043"/>
    <w:rsid w:val="00E176AC"/>
    <w:rsid w:val="00E17D01"/>
    <w:rsid w:val="00E2000F"/>
    <w:rsid w:val="00E20521"/>
    <w:rsid w:val="00E206EF"/>
    <w:rsid w:val="00E20DED"/>
    <w:rsid w:val="00E20DF9"/>
    <w:rsid w:val="00E21198"/>
    <w:rsid w:val="00E21714"/>
    <w:rsid w:val="00E218ED"/>
    <w:rsid w:val="00E21A19"/>
    <w:rsid w:val="00E21A9E"/>
    <w:rsid w:val="00E21CC4"/>
    <w:rsid w:val="00E21E68"/>
    <w:rsid w:val="00E2293C"/>
    <w:rsid w:val="00E2302B"/>
    <w:rsid w:val="00E23AA0"/>
    <w:rsid w:val="00E23B23"/>
    <w:rsid w:val="00E23B6C"/>
    <w:rsid w:val="00E23C5D"/>
    <w:rsid w:val="00E24090"/>
    <w:rsid w:val="00E25029"/>
    <w:rsid w:val="00E25442"/>
    <w:rsid w:val="00E255C0"/>
    <w:rsid w:val="00E2589B"/>
    <w:rsid w:val="00E26638"/>
    <w:rsid w:val="00E26E9B"/>
    <w:rsid w:val="00E270BD"/>
    <w:rsid w:val="00E2791F"/>
    <w:rsid w:val="00E27A3A"/>
    <w:rsid w:val="00E27E67"/>
    <w:rsid w:val="00E30AEB"/>
    <w:rsid w:val="00E30D19"/>
    <w:rsid w:val="00E31500"/>
    <w:rsid w:val="00E315FF"/>
    <w:rsid w:val="00E318FA"/>
    <w:rsid w:val="00E319EB"/>
    <w:rsid w:val="00E321CE"/>
    <w:rsid w:val="00E32959"/>
    <w:rsid w:val="00E32E8E"/>
    <w:rsid w:val="00E333E3"/>
    <w:rsid w:val="00E33B07"/>
    <w:rsid w:val="00E34046"/>
    <w:rsid w:val="00E34458"/>
    <w:rsid w:val="00E34800"/>
    <w:rsid w:val="00E348A6"/>
    <w:rsid w:val="00E349B0"/>
    <w:rsid w:val="00E34A9A"/>
    <w:rsid w:val="00E34EDF"/>
    <w:rsid w:val="00E3519B"/>
    <w:rsid w:val="00E35302"/>
    <w:rsid w:val="00E35DD9"/>
    <w:rsid w:val="00E361B9"/>
    <w:rsid w:val="00E361C0"/>
    <w:rsid w:val="00E36FB3"/>
    <w:rsid w:val="00E37149"/>
    <w:rsid w:val="00E3726A"/>
    <w:rsid w:val="00E37BC5"/>
    <w:rsid w:val="00E37D55"/>
    <w:rsid w:val="00E37EE1"/>
    <w:rsid w:val="00E40107"/>
    <w:rsid w:val="00E40213"/>
    <w:rsid w:val="00E40298"/>
    <w:rsid w:val="00E40B9B"/>
    <w:rsid w:val="00E4102C"/>
    <w:rsid w:val="00E415AB"/>
    <w:rsid w:val="00E41AF9"/>
    <w:rsid w:val="00E41DEB"/>
    <w:rsid w:val="00E41EE2"/>
    <w:rsid w:val="00E42ADB"/>
    <w:rsid w:val="00E42CFC"/>
    <w:rsid w:val="00E42D97"/>
    <w:rsid w:val="00E43242"/>
    <w:rsid w:val="00E4381D"/>
    <w:rsid w:val="00E43DA7"/>
    <w:rsid w:val="00E43F13"/>
    <w:rsid w:val="00E43F91"/>
    <w:rsid w:val="00E44CB3"/>
    <w:rsid w:val="00E45296"/>
    <w:rsid w:val="00E455C7"/>
    <w:rsid w:val="00E45B28"/>
    <w:rsid w:val="00E461CD"/>
    <w:rsid w:val="00E46955"/>
    <w:rsid w:val="00E46B35"/>
    <w:rsid w:val="00E472D1"/>
    <w:rsid w:val="00E47420"/>
    <w:rsid w:val="00E47E10"/>
    <w:rsid w:val="00E5028B"/>
    <w:rsid w:val="00E50A40"/>
    <w:rsid w:val="00E50B7F"/>
    <w:rsid w:val="00E5196D"/>
    <w:rsid w:val="00E51CE7"/>
    <w:rsid w:val="00E52B04"/>
    <w:rsid w:val="00E53118"/>
    <w:rsid w:val="00E53528"/>
    <w:rsid w:val="00E53F40"/>
    <w:rsid w:val="00E54595"/>
    <w:rsid w:val="00E5476F"/>
    <w:rsid w:val="00E55C58"/>
    <w:rsid w:val="00E56005"/>
    <w:rsid w:val="00E56494"/>
    <w:rsid w:val="00E56603"/>
    <w:rsid w:val="00E568F4"/>
    <w:rsid w:val="00E56BEC"/>
    <w:rsid w:val="00E57019"/>
    <w:rsid w:val="00E574D4"/>
    <w:rsid w:val="00E57718"/>
    <w:rsid w:val="00E577B4"/>
    <w:rsid w:val="00E57EFC"/>
    <w:rsid w:val="00E57F18"/>
    <w:rsid w:val="00E6047F"/>
    <w:rsid w:val="00E60DEF"/>
    <w:rsid w:val="00E6101C"/>
    <w:rsid w:val="00E61584"/>
    <w:rsid w:val="00E6178D"/>
    <w:rsid w:val="00E61FA3"/>
    <w:rsid w:val="00E6215B"/>
    <w:rsid w:val="00E62211"/>
    <w:rsid w:val="00E62469"/>
    <w:rsid w:val="00E629D2"/>
    <w:rsid w:val="00E62E5F"/>
    <w:rsid w:val="00E63127"/>
    <w:rsid w:val="00E63987"/>
    <w:rsid w:val="00E63AE5"/>
    <w:rsid w:val="00E63C33"/>
    <w:rsid w:val="00E63E08"/>
    <w:rsid w:val="00E642EB"/>
    <w:rsid w:val="00E644EE"/>
    <w:rsid w:val="00E6479C"/>
    <w:rsid w:val="00E649F4"/>
    <w:rsid w:val="00E653CC"/>
    <w:rsid w:val="00E6540D"/>
    <w:rsid w:val="00E65510"/>
    <w:rsid w:val="00E6602B"/>
    <w:rsid w:val="00E66625"/>
    <w:rsid w:val="00E66A88"/>
    <w:rsid w:val="00E66C15"/>
    <w:rsid w:val="00E675DB"/>
    <w:rsid w:val="00E67A6C"/>
    <w:rsid w:val="00E67E58"/>
    <w:rsid w:val="00E70A80"/>
    <w:rsid w:val="00E70B39"/>
    <w:rsid w:val="00E71314"/>
    <w:rsid w:val="00E71849"/>
    <w:rsid w:val="00E71A7D"/>
    <w:rsid w:val="00E71ACE"/>
    <w:rsid w:val="00E72252"/>
    <w:rsid w:val="00E72EF2"/>
    <w:rsid w:val="00E7312F"/>
    <w:rsid w:val="00E731FE"/>
    <w:rsid w:val="00E7444A"/>
    <w:rsid w:val="00E745C9"/>
    <w:rsid w:val="00E74742"/>
    <w:rsid w:val="00E74971"/>
    <w:rsid w:val="00E74EB4"/>
    <w:rsid w:val="00E75016"/>
    <w:rsid w:val="00E7571D"/>
    <w:rsid w:val="00E75F7A"/>
    <w:rsid w:val="00E7678D"/>
    <w:rsid w:val="00E77235"/>
    <w:rsid w:val="00E774AB"/>
    <w:rsid w:val="00E77B21"/>
    <w:rsid w:val="00E77CC9"/>
    <w:rsid w:val="00E801BB"/>
    <w:rsid w:val="00E802B2"/>
    <w:rsid w:val="00E8041A"/>
    <w:rsid w:val="00E80613"/>
    <w:rsid w:val="00E806BA"/>
    <w:rsid w:val="00E80E7C"/>
    <w:rsid w:val="00E810B7"/>
    <w:rsid w:val="00E8167B"/>
    <w:rsid w:val="00E8175D"/>
    <w:rsid w:val="00E8176F"/>
    <w:rsid w:val="00E81D21"/>
    <w:rsid w:val="00E81E96"/>
    <w:rsid w:val="00E827E2"/>
    <w:rsid w:val="00E828E7"/>
    <w:rsid w:val="00E82DE6"/>
    <w:rsid w:val="00E830AF"/>
    <w:rsid w:val="00E83125"/>
    <w:rsid w:val="00E832BA"/>
    <w:rsid w:val="00E834D7"/>
    <w:rsid w:val="00E8354B"/>
    <w:rsid w:val="00E8409D"/>
    <w:rsid w:val="00E84CAC"/>
    <w:rsid w:val="00E851EA"/>
    <w:rsid w:val="00E851F7"/>
    <w:rsid w:val="00E853DF"/>
    <w:rsid w:val="00E855A0"/>
    <w:rsid w:val="00E855C8"/>
    <w:rsid w:val="00E85964"/>
    <w:rsid w:val="00E859FF"/>
    <w:rsid w:val="00E872C6"/>
    <w:rsid w:val="00E877D2"/>
    <w:rsid w:val="00E87E1E"/>
    <w:rsid w:val="00E90010"/>
    <w:rsid w:val="00E90459"/>
    <w:rsid w:val="00E90809"/>
    <w:rsid w:val="00E9081E"/>
    <w:rsid w:val="00E90AAA"/>
    <w:rsid w:val="00E90E73"/>
    <w:rsid w:val="00E91104"/>
    <w:rsid w:val="00E9128F"/>
    <w:rsid w:val="00E91A29"/>
    <w:rsid w:val="00E92308"/>
    <w:rsid w:val="00E9257E"/>
    <w:rsid w:val="00E928A5"/>
    <w:rsid w:val="00E92C7E"/>
    <w:rsid w:val="00E93BB4"/>
    <w:rsid w:val="00E93E58"/>
    <w:rsid w:val="00E93EBB"/>
    <w:rsid w:val="00E9425D"/>
    <w:rsid w:val="00E9428B"/>
    <w:rsid w:val="00E94732"/>
    <w:rsid w:val="00E94929"/>
    <w:rsid w:val="00E9517D"/>
    <w:rsid w:val="00E962CE"/>
    <w:rsid w:val="00E96831"/>
    <w:rsid w:val="00E96FA8"/>
    <w:rsid w:val="00E97323"/>
    <w:rsid w:val="00E973B6"/>
    <w:rsid w:val="00E97A6B"/>
    <w:rsid w:val="00EA03CE"/>
    <w:rsid w:val="00EA05A6"/>
    <w:rsid w:val="00EA06BF"/>
    <w:rsid w:val="00EA08D1"/>
    <w:rsid w:val="00EA0948"/>
    <w:rsid w:val="00EA0AFD"/>
    <w:rsid w:val="00EA0B2D"/>
    <w:rsid w:val="00EA0CE1"/>
    <w:rsid w:val="00EA12B5"/>
    <w:rsid w:val="00EA140B"/>
    <w:rsid w:val="00EA1566"/>
    <w:rsid w:val="00EA231B"/>
    <w:rsid w:val="00EA25A7"/>
    <w:rsid w:val="00EA286E"/>
    <w:rsid w:val="00EA2FA0"/>
    <w:rsid w:val="00EA3074"/>
    <w:rsid w:val="00EA3B02"/>
    <w:rsid w:val="00EA3C5A"/>
    <w:rsid w:val="00EA5202"/>
    <w:rsid w:val="00EA52A3"/>
    <w:rsid w:val="00EA5740"/>
    <w:rsid w:val="00EA5D66"/>
    <w:rsid w:val="00EA6187"/>
    <w:rsid w:val="00EA64C5"/>
    <w:rsid w:val="00EA6834"/>
    <w:rsid w:val="00EA6962"/>
    <w:rsid w:val="00EA6D43"/>
    <w:rsid w:val="00EA7075"/>
    <w:rsid w:val="00EA70C5"/>
    <w:rsid w:val="00EA770E"/>
    <w:rsid w:val="00EA78B7"/>
    <w:rsid w:val="00EB000C"/>
    <w:rsid w:val="00EB02C8"/>
    <w:rsid w:val="00EB04CC"/>
    <w:rsid w:val="00EB068D"/>
    <w:rsid w:val="00EB0B22"/>
    <w:rsid w:val="00EB0B2C"/>
    <w:rsid w:val="00EB18BC"/>
    <w:rsid w:val="00EB19FB"/>
    <w:rsid w:val="00EB2902"/>
    <w:rsid w:val="00EB2CA3"/>
    <w:rsid w:val="00EB2E96"/>
    <w:rsid w:val="00EB3287"/>
    <w:rsid w:val="00EB3450"/>
    <w:rsid w:val="00EB356C"/>
    <w:rsid w:val="00EB3619"/>
    <w:rsid w:val="00EB3852"/>
    <w:rsid w:val="00EB4833"/>
    <w:rsid w:val="00EB4D76"/>
    <w:rsid w:val="00EB5606"/>
    <w:rsid w:val="00EB5789"/>
    <w:rsid w:val="00EB59BD"/>
    <w:rsid w:val="00EB5C59"/>
    <w:rsid w:val="00EB608A"/>
    <w:rsid w:val="00EB7AD2"/>
    <w:rsid w:val="00EB7BF0"/>
    <w:rsid w:val="00EC04EA"/>
    <w:rsid w:val="00EC0AD8"/>
    <w:rsid w:val="00EC1019"/>
    <w:rsid w:val="00EC113B"/>
    <w:rsid w:val="00EC13AA"/>
    <w:rsid w:val="00EC1A49"/>
    <w:rsid w:val="00EC2147"/>
    <w:rsid w:val="00EC2AE9"/>
    <w:rsid w:val="00EC3734"/>
    <w:rsid w:val="00EC3A0D"/>
    <w:rsid w:val="00EC3DE4"/>
    <w:rsid w:val="00EC41D2"/>
    <w:rsid w:val="00EC4900"/>
    <w:rsid w:val="00EC4BCA"/>
    <w:rsid w:val="00EC4F19"/>
    <w:rsid w:val="00EC4FD6"/>
    <w:rsid w:val="00EC5026"/>
    <w:rsid w:val="00EC5052"/>
    <w:rsid w:val="00EC533D"/>
    <w:rsid w:val="00EC59AB"/>
    <w:rsid w:val="00EC5E3F"/>
    <w:rsid w:val="00EC5F12"/>
    <w:rsid w:val="00EC63E0"/>
    <w:rsid w:val="00EC6B79"/>
    <w:rsid w:val="00EC710A"/>
    <w:rsid w:val="00EC721A"/>
    <w:rsid w:val="00EC7441"/>
    <w:rsid w:val="00EC74A2"/>
    <w:rsid w:val="00EC7CEA"/>
    <w:rsid w:val="00EC7D55"/>
    <w:rsid w:val="00ED0E6C"/>
    <w:rsid w:val="00ED18EE"/>
    <w:rsid w:val="00ED1FF2"/>
    <w:rsid w:val="00ED220A"/>
    <w:rsid w:val="00ED225B"/>
    <w:rsid w:val="00ED2D55"/>
    <w:rsid w:val="00ED2DA7"/>
    <w:rsid w:val="00ED334D"/>
    <w:rsid w:val="00ED34BE"/>
    <w:rsid w:val="00ED35EE"/>
    <w:rsid w:val="00ED38E0"/>
    <w:rsid w:val="00ED3CD8"/>
    <w:rsid w:val="00ED3DA4"/>
    <w:rsid w:val="00ED4A43"/>
    <w:rsid w:val="00ED4B2D"/>
    <w:rsid w:val="00ED4CE1"/>
    <w:rsid w:val="00ED4E91"/>
    <w:rsid w:val="00ED57C8"/>
    <w:rsid w:val="00ED58E9"/>
    <w:rsid w:val="00ED5A8D"/>
    <w:rsid w:val="00ED6269"/>
    <w:rsid w:val="00ED6661"/>
    <w:rsid w:val="00ED680B"/>
    <w:rsid w:val="00ED69A4"/>
    <w:rsid w:val="00ED73A2"/>
    <w:rsid w:val="00ED77E9"/>
    <w:rsid w:val="00ED7870"/>
    <w:rsid w:val="00EE0399"/>
    <w:rsid w:val="00EE0B89"/>
    <w:rsid w:val="00EE14E8"/>
    <w:rsid w:val="00EE1C02"/>
    <w:rsid w:val="00EE1E86"/>
    <w:rsid w:val="00EE2371"/>
    <w:rsid w:val="00EE2C6A"/>
    <w:rsid w:val="00EE3871"/>
    <w:rsid w:val="00EE3A7D"/>
    <w:rsid w:val="00EE3C7E"/>
    <w:rsid w:val="00EE4074"/>
    <w:rsid w:val="00EE5467"/>
    <w:rsid w:val="00EE5965"/>
    <w:rsid w:val="00EE5AF0"/>
    <w:rsid w:val="00EE6062"/>
    <w:rsid w:val="00EE614D"/>
    <w:rsid w:val="00EE648E"/>
    <w:rsid w:val="00EE71FF"/>
    <w:rsid w:val="00EE78FA"/>
    <w:rsid w:val="00EF01D8"/>
    <w:rsid w:val="00EF0440"/>
    <w:rsid w:val="00EF04D9"/>
    <w:rsid w:val="00EF0611"/>
    <w:rsid w:val="00EF06D6"/>
    <w:rsid w:val="00EF07DC"/>
    <w:rsid w:val="00EF0A14"/>
    <w:rsid w:val="00EF0EAE"/>
    <w:rsid w:val="00EF0F3B"/>
    <w:rsid w:val="00EF1504"/>
    <w:rsid w:val="00EF15B4"/>
    <w:rsid w:val="00EF1931"/>
    <w:rsid w:val="00EF1E7A"/>
    <w:rsid w:val="00EF2217"/>
    <w:rsid w:val="00EF2284"/>
    <w:rsid w:val="00EF24AD"/>
    <w:rsid w:val="00EF285D"/>
    <w:rsid w:val="00EF2D83"/>
    <w:rsid w:val="00EF2E1E"/>
    <w:rsid w:val="00EF2EFD"/>
    <w:rsid w:val="00EF30E2"/>
    <w:rsid w:val="00EF3353"/>
    <w:rsid w:val="00EF36B1"/>
    <w:rsid w:val="00EF39F0"/>
    <w:rsid w:val="00EF3D27"/>
    <w:rsid w:val="00EF4208"/>
    <w:rsid w:val="00EF4BE4"/>
    <w:rsid w:val="00EF50BF"/>
    <w:rsid w:val="00EF50D5"/>
    <w:rsid w:val="00EF58A1"/>
    <w:rsid w:val="00EF6141"/>
    <w:rsid w:val="00EF64BC"/>
    <w:rsid w:val="00EF6A28"/>
    <w:rsid w:val="00EF6E1C"/>
    <w:rsid w:val="00F00118"/>
    <w:rsid w:val="00F0050D"/>
    <w:rsid w:val="00F00526"/>
    <w:rsid w:val="00F00865"/>
    <w:rsid w:val="00F00C74"/>
    <w:rsid w:val="00F00CBE"/>
    <w:rsid w:val="00F010C9"/>
    <w:rsid w:val="00F0186E"/>
    <w:rsid w:val="00F01AB8"/>
    <w:rsid w:val="00F01DCF"/>
    <w:rsid w:val="00F02358"/>
    <w:rsid w:val="00F02B8C"/>
    <w:rsid w:val="00F02EB1"/>
    <w:rsid w:val="00F03925"/>
    <w:rsid w:val="00F039F4"/>
    <w:rsid w:val="00F03A2A"/>
    <w:rsid w:val="00F03C19"/>
    <w:rsid w:val="00F04121"/>
    <w:rsid w:val="00F04567"/>
    <w:rsid w:val="00F04613"/>
    <w:rsid w:val="00F0469E"/>
    <w:rsid w:val="00F04DA3"/>
    <w:rsid w:val="00F0547E"/>
    <w:rsid w:val="00F06194"/>
    <w:rsid w:val="00F0659C"/>
    <w:rsid w:val="00F06B39"/>
    <w:rsid w:val="00F075E6"/>
    <w:rsid w:val="00F07CD4"/>
    <w:rsid w:val="00F07CDB"/>
    <w:rsid w:val="00F07F0C"/>
    <w:rsid w:val="00F07F77"/>
    <w:rsid w:val="00F106AD"/>
    <w:rsid w:val="00F10BCD"/>
    <w:rsid w:val="00F10D78"/>
    <w:rsid w:val="00F10DDC"/>
    <w:rsid w:val="00F1111E"/>
    <w:rsid w:val="00F1116D"/>
    <w:rsid w:val="00F11C48"/>
    <w:rsid w:val="00F1231C"/>
    <w:rsid w:val="00F123DD"/>
    <w:rsid w:val="00F12432"/>
    <w:rsid w:val="00F12573"/>
    <w:rsid w:val="00F12589"/>
    <w:rsid w:val="00F13415"/>
    <w:rsid w:val="00F1375C"/>
    <w:rsid w:val="00F141CF"/>
    <w:rsid w:val="00F141F7"/>
    <w:rsid w:val="00F147D0"/>
    <w:rsid w:val="00F15333"/>
    <w:rsid w:val="00F153B5"/>
    <w:rsid w:val="00F15980"/>
    <w:rsid w:val="00F15AF5"/>
    <w:rsid w:val="00F16356"/>
    <w:rsid w:val="00F16844"/>
    <w:rsid w:val="00F178E5"/>
    <w:rsid w:val="00F200C7"/>
    <w:rsid w:val="00F201D0"/>
    <w:rsid w:val="00F202C9"/>
    <w:rsid w:val="00F204F4"/>
    <w:rsid w:val="00F20C18"/>
    <w:rsid w:val="00F20EB8"/>
    <w:rsid w:val="00F21273"/>
    <w:rsid w:val="00F219D1"/>
    <w:rsid w:val="00F21EE4"/>
    <w:rsid w:val="00F236C1"/>
    <w:rsid w:val="00F23876"/>
    <w:rsid w:val="00F23CBB"/>
    <w:rsid w:val="00F23D6D"/>
    <w:rsid w:val="00F241AB"/>
    <w:rsid w:val="00F24420"/>
    <w:rsid w:val="00F248BE"/>
    <w:rsid w:val="00F248C6"/>
    <w:rsid w:val="00F24904"/>
    <w:rsid w:val="00F249F0"/>
    <w:rsid w:val="00F24E47"/>
    <w:rsid w:val="00F24FAF"/>
    <w:rsid w:val="00F2524B"/>
    <w:rsid w:val="00F256C9"/>
    <w:rsid w:val="00F26122"/>
    <w:rsid w:val="00F2616B"/>
    <w:rsid w:val="00F2638A"/>
    <w:rsid w:val="00F26397"/>
    <w:rsid w:val="00F26982"/>
    <w:rsid w:val="00F26ABB"/>
    <w:rsid w:val="00F26B3F"/>
    <w:rsid w:val="00F26C28"/>
    <w:rsid w:val="00F26D9E"/>
    <w:rsid w:val="00F272A9"/>
    <w:rsid w:val="00F27384"/>
    <w:rsid w:val="00F27556"/>
    <w:rsid w:val="00F27A25"/>
    <w:rsid w:val="00F30075"/>
    <w:rsid w:val="00F30968"/>
    <w:rsid w:val="00F30DA6"/>
    <w:rsid w:val="00F3132D"/>
    <w:rsid w:val="00F31777"/>
    <w:rsid w:val="00F31862"/>
    <w:rsid w:val="00F31AA1"/>
    <w:rsid w:val="00F31AF4"/>
    <w:rsid w:val="00F31C2D"/>
    <w:rsid w:val="00F338FB"/>
    <w:rsid w:val="00F34833"/>
    <w:rsid w:val="00F34D17"/>
    <w:rsid w:val="00F35119"/>
    <w:rsid w:val="00F35369"/>
    <w:rsid w:val="00F35910"/>
    <w:rsid w:val="00F359F8"/>
    <w:rsid w:val="00F35ADA"/>
    <w:rsid w:val="00F35C45"/>
    <w:rsid w:val="00F365E9"/>
    <w:rsid w:val="00F36793"/>
    <w:rsid w:val="00F36EE3"/>
    <w:rsid w:val="00F36FF3"/>
    <w:rsid w:val="00F37119"/>
    <w:rsid w:val="00F374A7"/>
    <w:rsid w:val="00F3755E"/>
    <w:rsid w:val="00F402AA"/>
    <w:rsid w:val="00F40328"/>
    <w:rsid w:val="00F403F9"/>
    <w:rsid w:val="00F40CD6"/>
    <w:rsid w:val="00F40FCD"/>
    <w:rsid w:val="00F41283"/>
    <w:rsid w:val="00F415C1"/>
    <w:rsid w:val="00F417CA"/>
    <w:rsid w:val="00F418B0"/>
    <w:rsid w:val="00F41C90"/>
    <w:rsid w:val="00F4207F"/>
    <w:rsid w:val="00F42198"/>
    <w:rsid w:val="00F42959"/>
    <w:rsid w:val="00F43085"/>
    <w:rsid w:val="00F4331D"/>
    <w:rsid w:val="00F43CC2"/>
    <w:rsid w:val="00F43CC6"/>
    <w:rsid w:val="00F43E6B"/>
    <w:rsid w:val="00F43EFD"/>
    <w:rsid w:val="00F44202"/>
    <w:rsid w:val="00F44426"/>
    <w:rsid w:val="00F448D1"/>
    <w:rsid w:val="00F44BD5"/>
    <w:rsid w:val="00F45060"/>
    <w:rsid w:val="00F452BE"/>
    <w:rsid w:val="00F454AB"/>
    <w:rsid w:val="00F45747"/>
    <w:rsid w:val="00F46497"/>
    <w:rsid w:val="00F468BF"/>
    <w:rsid w:val="00F46A01"/>
    <w:rsid w:val="00F473D4"/>
    <w:rsid w:val="00F47519"/>
    <w:rsid w:val="00F47C4E"/>
    <w:rsid w:val="00F47E1C"/>
    <w:rsid w:val="00F512D7"/>
    <w:rsid w:val="00F517AA"/>
    <w:rsid w:val="00F51FF4"/>
    <w:rsid w:val="00F52713"/>
    <w:rsid w:val="00F5279D"/>
    <w:rsid w:val="00F52BD0"/>
    <w:rsid w:val="00F52DD2"/>
    <w:rsid w:val="00F52E5C"/>
    <w:rsid w:val="00F5316D"/>
    <w:rsid w:val="00F53276"/>
    <w:rsid w:val="00F536C8"/>
    <w:rsid w:val="00F53FF2"/>
    <w:rsid w:val="00F55945"/>
    <w:rsid w:val="00F55F71"/>
    <w:rsid w:val="00F5620B"/>
    <w:rsid w:val="00F56374"/>
    <w:rsid w:val="00F56517"/>
    <w:rsid w:val="00F565FE"/>
    <w:rsid w:val="00F56824"/>
    <w:rsid w:val="00F568D8"/>
    <w:rsid w:val="00F5690D"/>
    <w:rsid w:val="00F56CA5"/>
    <w:rsid w:val="00F573CB"/>
    <w:rsid w:val="00F576F0"/>
    <w:rsid w:val="00F579A8"/>
    <w:rsid w:val="00F60BFF"/>
    <w:rsid w:val="00F61473"/>
    <w:rsid w:val="00F61AE8"/>
    <w:rsid w:val="00F61C5B"/>
    <w:rsid w:val="00F62095"/>
    <w:rsid w:val="00F6244C"/>
    <w:rsid w:val="00F62952"/>
    <w:rsid w:val="00F62B54"/>
    <w:rsid w:val="00F62CBD"/>
    <w:rsid w:val="00F63365"/>
    <w:rsid w:val="00F64823"/>
    <w:rsid w:val="00F64959"/>
    <w:rsid w:val="00F64BE2"/>
    <w:rsid w:val="00F65445"/>
    <w:rsid w:val="00F65A0B"/>
    <w:rsid w:val="00F65F4B"/>
    <w:rsid w:val="00F65F7C"/>
    <w:rsid w:val="00F66401"/>
    <w:rsid w:val="00F665F6"/>
    <w:rsid w:val="00F66F77"/>
    <w:rsid w:val="00F67A9E"/>
    <w:rsid w:val="00F67BA9"/>
    <w:rsid w:val="00F70FA1"/>
    <w:rsid w:val="00F71458"/>
    <w:rsid w:val="00F7208D"/>
    <w:rsid w:val="00F727DF"/>
    <w:rsid w:val="00F72D09"/>
    <w:rsid w:val="00F740C3"/>
    <w:rsid w:val="00F74370"/>
    <w:rsid w:val="00F746FC"/>
    <w:rsid w:val="00F7503A"/>
    <w:rsid w:val="00F7526A"/>
    <w:rsid w:val="00F755F0"/>
    <w:rsid w:val="00F758C6"/>
    <w:rsid w:val="00F75BE6"/>
    <w:rsid w:val="00F75C02"/>
    <w:rsid w:val="00F762BD"/>
    <w:rsid w:val="00F76C97"/>
    <w:rsid w:val="00F76DD8"/>
    <w:rsid w:val="00F77EFE"/>
    <w:rsid w:val="00F80499"/>
    <w:rsid w:val="00F80647"/>
    <w:rsid w:val="00F80651"/>
    <w:rsid w:val="00F80C75"/>
    <w:rsid w:val="00F80D58"/>
    <w:rsid w:val="00F80D80"/>
    <w:rsid w:val="00F80F00"/>
    <w:rsid w:val="00F81B5D"/>
    <w:rsid w:val="00F81CB9"/>
    <w:rsid w:val="00F82492"/>
    <w:rsid w:val="00F82723"/>
    <w:rsid w:val="00F830A6"/>
    <w:rsid w:val="00F83293"/>
    <w:rsid w:val="00F8369C"/>
    <w:rsid w:val="00F83CEA"/>
    <w:rsid w:val="00F84544"/>
    <w:rsid w:val="00F84F07"/>
    <w:rsid w:val="00F8558C"/>
    <w:rsid w:val="00F8592F"/>
    <w:rsid w:val="00F86719"/>
    <w:rsid w:val="00F86B4A"/>
    <w:rsid w:val="00F86E1E"/>
    <w:rsid w:val="00F87812"/>
    <w:rsid w:val="00F900E0"/>
    <w:rsid w:val="00F90375"/>
    <w:rsid w:val="00F9073E"/>
    <w:rsid w:val="00F908B1"/>
    <w:rsid w:val="00F91077"/>
    <w:rsid w:val="00F9133F"/>
    <w:rsid w:val="00F9140C"/>
    <w:rsid w:val="00F91D1C"/>
    <w:rsid w:val="00F92245"/>
    <w:rsid w:val="00F925B4"/>
    <w:rsid w:val="00F929BB"/>
    <w:rsid w:val="00F92CBE"/>
    <w:rsid w:val="00F93695"/>
    <w:rsid w:val="00F93EED"/>
    <w:rsid w:val="00F949DC"/>
    <w:rsid w:val="00F9532D"/>
    <w:rsid w:val="00F95814"/>
    <w:rsid w:val="00F95854"/>
    <w:rsid w:val="00F962AD"/>
    <w:rsid w:val="00F96D01"/>
    <w:rsid w:val="00F97007"/>
    <w:rsid w:val="00F97666"/>
    <w:rsid w:val="00FA0382"/>
    <w:rsid w:val="00FA0C5D"/>
    <w:rsid w:val="00FA0D71"/>
    <w:rsid w:val="00FA177C"/>
    <w:rsid w:val="00FA183C"/>
    <w:rsid w:val="00FA2321"/>
    <w:rsid w:val="00FA23FD"/>
    <w:rsid w:val="00FA24B9"/>
    <w:rsid w:val="00FA2618"/>
    <w:rsid w:val="00FA2917"/>
    <w:rsid w:val="00FA2E50"/>
    <w:rsid w:val="00FA31B8"/>
    <w:rsid w:val="00FA3546"/>
    <w:rsid w:val="00FA37E9"/>
    <w:rsid w:val="00FA3BD9"/>
    <w:rsid w:val="00FA3E10"/>
    <w:rsid w:val="00FA465C"/>
    <w:rsid w:val="00FA48F6"/>
    <w:rsid w:val="00FA4917"/>
    <w:rsid w:val="00FA4BDB"/>
    <w:rsid w:val="00FA4EF8"/>
    <w:rsid w:val="00FA4F18"/>
    <w:rsid w:val="00FA586B"/>
    <w:rsid w:val="00FA5E19"/>
    <w:rsid w:val="00FA5E23"/>
    <w:rsid w:val="00FA5FBA"/>
    <w:rsid w:val="00FA60CE"/>
    <w:rsid w:val="00FA63FE"/>
    <w:rsid w:val="00FA642F"/>
    <w:rsid w:val="00FA6AD9"/>
    <w:rsid w:val="00FA7023"/>
    <w:rsid w:val="00FA75EB"/>
    <w:rsid w:val="00FA7D57"/>
    <w:rsid w:val="00FA7E43"/>
    <w:rsid w:val="00FB0733"/>
    <w:rsid w:val="00FB1D8B"/>
    <w:rsid w:val="00FB1E15"/>
    <w:rsid w:val="00FB2332"/>
    <w:rsid w:val="00FB2484"/>
    <w:rsid w:val="00FB2CA9"/>
    <w:rsid w:val="00FB33FF"/>
    <w:rsid w:val="00FB391A"/>
    <w:rsid w:val="00FB3BFA"/>
    <w:rsid w:val="00FB3ED2"/>
    <w:rsid w:val="00FB435C"/>
    <w:rsid w:val="00FB445D"/>
    <w:rsid w:val="00FB4529"/>
    <w:rsid w:val="00FB487D"/>
    <w:rsid w:val="00FB4CFC"/>
    <w:rsid w:val="00FB4D27"/>
    <w:rsid w:val="00FB4D6E"/>
    <w:rsid w:val="00FB4EDE"/>
    <w:rsid w:val="00FB4F81"/>
    <w:rsid w:val="00FB548C"/>
    <w:rsid w:val="00FB5A0B"/>
    <w:rsid w:val="00FB6957"/>
    <w:rsid w:val="00FB6BF9"/>
    <w:rsid w:val="00FB75FE"/>
    <w:rsid w:val="00FB785D"/>
    <w:rsid w:val="00FB7A37"/>
    <w:rsid w:val="00FB7CC9"/>
    <w:rsid w:val="00FC01C8"/>
    <w:rsid w:val="00FC0287"/>
    <w:rsid w:val="00FC057C"/>
    <w:rsid w:val="00FC0628"/>
    <w:rsid w:val="00FC0B9F"/>
    <w:rsid w:val="00FC1206"/>
    <w:rsid w:val="00FC137C"/>
    <w:rsid w:val="00FC15B3"/>
    <w:rsid w:val="00FC1B91"/>
    <w:rsid w:val="00FC25FD"/>
    <w:rsid w:val="00FC2734"/>
    <w:rsid w:val="00FC2C67"/>
    <w:rsid w:val="00FC306B"/>
    <w:rsid w:val="00FC32C1"/>
    <w:rsid w:val="00FC32F2"/>
    <w:rsid w:val="00FC3DD8"/>
    <w:rsid w:val="00FC4716"/>
    <w:rsid w:val="00FC4775"/>
    <w:rsid w:val="00FC47BE"/>
    <w:rsid w:val="00FC4B7E"/>
    <w:rsid w:val="00FC5691"/>
    <w:rsid w:val="00FC59C3"/>
    <w:rsid w:val="00FC5E85"/>
    <w:rsid w:val="00FC6178"/>
    <w:rsid w:val="00FC6FB1"/>
    <w:rsid w:val="00FC7146"/>
    <w:rsid w:val="00FC74F5"/>
    <w:rsid w:val="00FC796F"/>
    <w:rsid w:val="00FD009B"/>
    <w:rsid w:val="00FD0233"/>
    <w:rsid w:val="00FD058B"/>
    <w:rsid w:val="00FD0612"/>
    <w:rsid w:val="00FD0EA0"/>
    <w:rsid w:val="00FD0F36"/>
    <w:rsid w:val="00FD14B8"/>
    <w:rsid w:val="00FD16ED"/>
    <w:rsid w:val="00FD1762"/>
    <w:rsid w:val="00FD1A48"/>
    <w:rsid w:val="00FD1AA2"/>
    <w:rsid w:val="00FD1AFC"/>
    <w:rsid w:val="00FD2767"/>
    <w:rsid w:val="00FD28C7"/>
    <w:rsid w:val="00FD2D63"/>
    <w:rsid w:val="00FD2FD8"/>
    <w:rsid w:val="00FD3023"/>
    <w:rsid w:val="00FD32A1"/>
    <w:rsid w:val="00FD3B59"/>
    <w:rsid w:val="00FD3E32"/>
    <w:rsid w:val="00FD3EF9"/>
    <w:rsid w:val="00FD4049"/>
    <w:rsid w:val="00FD4EE9"/>
    <w:rsid w:val="00FD508B"/>
    <w:rsid w:val="00FD50BD"/>
    <w:rsid w:val="00FD5102"/>
    <w:rsid w:val="00FD51FE"/>
    <w:rsid w:val="00FD54D7"/>
    <w:rsid w:val="00FD5A1C"/>
    <w:rsid w:val="00FD68C8"/>
    <w:rsid w:val="00FD6A8D"/>
    <w:rsid w:val="00FD6AE7"/>
    <w:rsid w:val="00FD73E4"/>
    <w:rsid w:val="00FD7D1B"/>
    <w:rsid w:val="00FD7DF4"/>
    <w:rsid w:val="00FE04ED"/>
    <w:rsid w:val="00FE0831"/>
    <w:rsid w:val="00FE1197"/>
    <w:rsid w:val="00FE18A3"/>
    <w:rsid w:val="00FE191F"/>
    <w:rsid w:val="00FE2820"/>
    <w:rsid w:val="00FE2DBE"/>
    <w:rsid w:val="00FE3418"/>
    <w:rsid w:val="00FE36CD"/>
    <w:rsid w:val="00FE3AEE"/>
    <w:rsid w:val="00FE3C39"/>
    <w:rsid w:val="00FE3D15"/>
    <w:rsid w:val="00FE3D52"/>
    <w:rsid w:val="00FE3E8E"/>
    <w:rsid w:val="00FE4425"/>
    <w:rsid w:val="00FE443B"/>
    <w:rsid w:val="00FE47A9"/>
    <w:rsid w:val="00FE480E"/>
    <w:rsid w:val="00FE4E1C"/>
    <w:rsid w:val="00FE4EA8"/>
    <w:rsid w:val="00FE5342"/>
    <w:rsid w:val="00FE535C"/>
    <w:rsid w:val="00FE5732"/>
    <w:rsid w:val="00FE5A90"/>
    <w:rsid w:val="00FE5C6D"/>
    <w:rsid w:val="00FE5D61"/>
    <w:rsid w:val="00FE5ED5"/>
    <w:rsid w:val="00FE619B"/>
    <w:rsid w:val="00FE6540"/>
    <w:rsid w:val="00FE66A0"/>
    <w:rsid w:val="00FE6EB6"/>
    <w:rsid w:val="00FE74BD"/>
    <w:rsid w:val="00FE768F"/>
    <w:rsid w:val="00FF018A"/>
    <w:rsid w:val="00FF0245"/>
    <w:rsid w:val="00FF066E"/>
    <w:rsid w:val="00FF0938"/>
    <w:rsid w:val="00FF10AF"/>
    <w:rsid w:val="00FF1157"/>
    <w:rsid w:val="00FF1331"/>
    <w:rsid w:val="00FF1796"/>
    <w:rsid w:val="00FF1AC8"/>
    <w:rsid w:val="00FF2224"/>
    <w:rsid w:val="00FF241C"/>
    <w:rsid w:val="00FF2790"/>
    <w:rsid w:val="00FF34D9"/>
    <w:rsid w:val="00FF36C1"/>
    <w:rsid w:val="00FF3A4E"/>
    <w:rsid w:val="00FF3CAF"/>
    <w:rsid w:val="00FF3D13"/>
    <w:rsid w:val="00FF4770"/>
    <w:rsid w:val="00FF47C7"/>
    <w:rsid w:val="00FF5746"/>
    <w:rsid w:val="00FF5CD9"/>
    <w:rsid w:val="00FF5D19"/>
    <w:rsid w:val="00FF5F6F"/>
    <w:rsid w:val="00FF6015"/>
    <w:rsid w:val="00FF62F0"/>
    <w:rsid w:val="00FF6714"/>
    <w:rsid w:val="00FF6952"/>
    <w:rsid w:val="00FF6BD5"/>
    <w:rsid w:val="00FF704E"/>
    <w:rsid w:val="00FF7287"/>
    <w:rsid w:val="00FF743A"/>
    <w:rsid w:val="00FF74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BDC575"/>
  <w15:chartTrackingRefBased/>
  <w15:docId w15:val="{194530E8-4D9D-4C89-B408-FA2BD8EA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E44B8"/>
  </w:style>
  <w:style w:type="paragraph" w:styleId="Nadpis1">
    <w:name w:val="heading 1"/>
    <w:basedOn w:val="Normln"/>
    <w:next w:val="Normln"/>
    <w:link w:val="Nadpis1Char"/>
    <w:uiPriority w:val="9"/>
    <w:qFormat/>
    <w:rsid w:val="005E68DD"/>
    <w:pPr>
      <w:keepNext/>
      <w:spacing w:before="600" w:after="240" w:line="240" w:lineRule="auto"/>
      <w:jc w:val="center"/>
      <w:outlineLvl w:val="0"/>
    </w:pPr>
    <w:rPr>
      <w:b/>
      <w:sz w:val="28"/>
    </w:rPr>
  </w:style>
  <w:style w:type="paragraph" w:styleId="Nadpis2">
    <w:name w:val="heading 2"/>
    <w:basedOn w:val="kurzva"/>
    <w:next w:val="Normln"/>
    <w:link w:val="Nadpis2Char"/>
    <w:unhideWhenUsed/>
    <w:qFormat/>
    <w:rsid w:val="004D3301"/>
    <w:pPr>
      <w:keepNext/>
      <w:spacing w:after="0" w:line="240" w:lineRule="auto"/>
      <w:outlineLvl w:val="1"/>
    </w:pPr>
    <w:rPr>
      <w:sz w:val="24"/>
      <w:szCs w:val="24"/>
    </w:rPr>
  </w:style>
  <w:style w:type="paragraph" w:styleId="Nadpis3">
    <w:name w:val="heading 3"/>
    <w:basedOn w:val="Normln"/>
    <w:next w:val="Normln"/>
    <w:link w:val="Nadpis3Char"/>
    <w:uiPriority w:val="9"/>
    <w:unhideWhenUsed/>
    <w:qFormat/>
    <w:rsid w:val="005E68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4F01A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Dot pt,List Paragraph1,List Paragraph2,List Paragraph_0,Nad,Nad1,Nad2,Nadpis pro KZ,Odstavec_muj,Odstavec_muj1,Odstavec_muj10,Odstavec_muj2,Odstavec_muj3,Odstavec_muj4,Odstavec_muj5,Odstavec_muj6,Odstavec_muj7,Odstavec_muj8,odrážky"/>
    <w:basedOn w:val="Normln"/>
    <w:link w:val="OdstavecseseznamemChar"/>
    <w:uiPriority w:val="1"/>
    <w:qFormat/>
    <w:rsid w:val="00C2551C"/>
    <w:pPr>
      <w:ind w:left="720"/>
      <w:contextualSpacing/>
    </w:pPr>
  </w:style>
  <w:style w:type="paragraph" w:styleId="Textpoznpodarou">
    <w:name w:val="footnote text"/>
    <w:aliases w:val="Footnote,Footnote Text Char,Footnote Text Char Char,Footnote Text Char Char Char Char Char Char,Footnote Text Char1,Footnote Text Char1 Char Char Char Char,Footnote Text Char2 Char Char Char,Footnote Text Char3 Char Char,Podrozdział"/>
    <w:basedOn w:val="Normln"/>
    <w:link w:val="TextpoznpodarouChar"/>
    <w:autoRedefine/>
    <w:uiPriority w:val="99"/>
    <w:unhideWhenUsed/>
    <w:qFormat/>
    <w:rsid w:val="001D5191"/>
    <w:pPr>
      <w:spacing w:after="0" w:line="240" w:lineRule="auto"/>
      <w:ind w:left="284" w:hanging="284"/>
      <w:jc w:val="both"/>
    </w:pPr>
    <w:rPr>
      <w:sz w:val="20"/>
      <w:szCs w:val="20"/>
    </w:rPr>
  </w:style>
  <w:style w:type="character" w:customStyle="1" w:styleId="TextpoznpodarouChar">
    <w:name w:val="Text pozn. pod čarou Char"/>
    <w:aliases w:val="Footnote Char,Footnote Text Char Char1,Footnote Text Char Char Char,Footnote Text Char Char Char Char Char Char Char,Footnote Text Char1 Char,Footnote Text Char1 Char Char Char Char Char,Footnote Text Char2 Char Char Char Char"/>
    <w:basedOn w:val="Standardnpsmoodstavce"/>
    <w:link w:val="Textpoznpodarou"/>
    <w:uiPriority w:val="99"/>
    <w:rsid w:val="001D5191"/>
    <w:rPr>
      <w:sz w:val="20"/>
      <w:szCs w:val="20"/>
    </w:rPr>
  </w:style>
  <w:style w:type="character" w:styleId="Znakapoznpodarou">
    <w:name w:val="footnote reference"/>
    <w:aliases w:val="12 b.,Appel note de bas de p,Appel note de bas de page,BVI fnr,Char Car Car Car Car,FR,Footnote Reference Superscript,Footnote symbol,Légende,PGI Fußnote Ziffer,PGI Fußnote Ziffer + Times New Roman,Voetnootverwijzing,Zúžené o ..."/>
    <w:basedOn w:val="Standardnpsmoodstavce"/>
    <w:uiPriority w:val="99"/>
    <w:unhideWhenUsed/>
    <w:qFormat/>
    <w:rsid w:val="00FA586B"/>
    <w:rPr>
      <w:vertAlign w:val="superscript"/>
    </w:rPr>
  </w:style>
  <w:style w:type="paragraph" w:styleId="Textbubliny">
    <w:name w:val="Balloon Text"/>
    <w:basedOn w:val="Normln"/>
    <w:link w:val="TextbublinyChar"/>
    <w:uiPriority w:val="99"/>
    <w:semiHidden/>
    <w:unhideWhenUsed/>
    <w:rsid w:val="0079442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442B"/>
    <w:rPr>
      <w:rFonts w:ascii="Segoe UI" w:hAnsi="Segoe UI" w:cs="Segoe UI"/>
      <w:sz w:val="18"/>
      <w:szCs w:val="18"/>
    </w:rPr>
  </w:style>
  <w:style w:type="table" w:styleId="Mkatabulky">
    <w:name w:val="Table Grid"/>
    <w:basedOn w:val="Normlntabulka"/>
    <w:uiPriority w:val="39"/>
    <w:rsid w:val="00A53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Dot pt Char,List Paragraph1 Char,List Paragraph2 Char,List Paragraph_0 Char,Nad Char,Nad1 Char,Nad2 Char,Nadpis pro KZ Char,Odstavec_muj Char,Odstavec_muj1 Char,Odstavec_muj10 Char,Odstavec_muj2 Char,Odstavec_muj3 Char"/>
    <w:basedOn w:val="Standardnpsmoodstavce"/>
    <w:link w:val="Odstavecseseznamem"/>
    <w:uiPriority w:val="34"/>
    <w:qFormat/>
    <w:locked/>
    <w:rsid w:val="00212BC1"/>
  </w:style>
  <w:style w:type="paragraph" w:styleId="Titulek">
    <w:name w:val="caption"/>
    <w:aliases w:val="Caption Char Char Char Char,Caption Char Char Char1,Caption Char Char1 Char,Caption Char Char2,Caption Char1 Char Char,Caption Char1 Char1,Caption Char2 Char,Caption Char3,KP_titulek,Titulek Char"/>
    <w:basedOn w:val="Normln"/>
    <w:next w:val="Normln"/>
    <w:uiPriority w:val="35"/>
    <w:unhideWhenUsed/>
    <w:qFormat/>
    <w:rsid w:val="00241984"/>
    <w:pPr>
      <w:spacing w:after="200" w:line="240" w:lineRule="auto"/>
    </w:pPr>
    <w:rPr>
      <w:i/>
      <w:iCs/>
      <w:color w:val="44546A" w:themeColor="text2"/>
      <w:sz w:val="18"/>
      <w:szCs w:val="18"/>
    </w:rPr>
  </w:style>
  <w:style w:type="paragraph" w:styleId="Zhlav">
    <w:name w:val="header"/>
    <w:basedOn w:val="Normln"/>
    <w:link w:val="ZhlavChar"/>
    <w:uiPriority w:val="99"/>
    <w:unhideWhenUsed/>
    <w:rsid w:val="008576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7621"/>
  </w:style>
  <w:style w:type="paragraph" w:styleId="Zpat">
    <w:name w:val="footer"/>
    <w:basedOn w:val="Normln"/>
    <w:link w:val="ZpatChar"/>
    <w:uiPriority w:val="99"/>
    <w:unhideWhenUsed/>
    <w:rsid w:val="00857621"/>
    <w:pPr>
      <w:tabs>
        <w:tab w:val="center" w:pos="4536"/>
        <w:tab w:val="right" w:pos="9072"/>
      </w:tabs>
      <w:spacing w:after="0" w:line="240" w:lineRule="auto"/>
    </w:pPr>
  </w:style>
  <w:style w:type="character" w:customStyle="1" w:styleId="ZpatChar">
    <w:name w:val="Zápatí Char"/>
    <w:basedOn w:val="Standardnpsmoodstavce"/>
    <w:link w:val="Zpat"/>
    <w:uiPriority w:val="99"/>
    <w:rsid w:val="00857621"/>
  </w:style>
  <w:style w:type="character" w:styleId="Hypertextovodkaz">
    <w:name w:val="Hyperlink"/>
    <w:basedOn w:val="Standardnpsmoodstavce"/>
    <w:uiPriority w:val="99"/>
    <w:unhideWhenUsed/>
    <w:rsid w:val="00297C21"/>
    <w:rPr>
      <w:color w:val="0563C1" w:themeColor="hyperlink"/>
      <w:u w:val="single"/>
    </w:rPr>
  </w:style>
  <w:style w:type="character" w:styleId="Siln">
    <w:name w:val="Strong"/>
    <w:basedOn w:val="Standardnpsmoodstavce"/>
    <w:uiPriority w:val="22"/>
    <w:qFormat/>
    <w:rsid w:val="00A90BE1"/>
    <w:rPr>
      <w:b/>
      <w:bCs/>
    </w:rPr>
  </w:style>
  <w:style w:type="paragraph" w:customStyle="1" w:styleId="JK3">
    <w:name w:val="JK3"/>
    <w:basedOn w:val="Odstavecseseznamem"/>
    <w:autoRedefine/>
    <w:qFormat/>
    <w:rsid w:val="002D675A"/>
    <w:pPr>
      <w:numPr>
        <w:numId w:val="9"/>
      </w:numPr>
      <w:tabs>
        <w:tab w:val="left" w:pos="482"/>
      </w:tabs>
      <w:spacing w:before="120" w:after="0" w:line="240" w:lineRule="auto"/>
      <w:ind w:left="0" w:firstLine="0"/>
      <w:contextualSpacing w:val="0"/>
      <w:jc w:val="both"/>
    </w:pPr>
    <w:rPr>
      <w:sz w:val="24"/>
    </w:rPr>
  </w:style>
  <w:style w:type="paragraph" w:customStyle="1" w:styleId="JK4">
    <w:name w:val="JK4"/>
    <w:basedOn w:val="JK3"/>
    <w:qFormat/>
    <w:rsid w:val="006E379F"/>
    <w:pPr>
      <w:numPr>
        <w:numId w:val="5"/>
      </w:numPr>
      <w:spacing w:after="120"/>
    </w:pPr>
  </w:style>
  <w:style w:type="character" w:styleId="Odkaznakoment">
    <w:name w:val="annotation reference"/>
    <w:basedOn w:val="Standardnpsmoodstavce"/>
    <w:uiPriority w:val="99"/>
    <w:semiHidden/>
    <w:unhideWhenUsed/>
    <w:rsid w:val="008E5A98"/>
    <w:rPr>
      <w:sz w:val="16"/>
      <w:szCs w:val="16"/>
    </w:rPr>
  </w:style>
  <w:style w:type="paragraph" w:styleId="Textkomente">
    <w:name w:val="annotation text"/>
    <w:basedOn w:val="Normln"/>
    <w:link w:val="TextkomenteChar"/>
    <w:uiPriority w:val="99"/>
    <w:unhideWhenUsed/>
    <w:rsid w:val="008E5A98"/>
    <w:pPr>
      <w:spacing w:line="240" w:lineRule="auto"/>
    </w:pPr>
    <w:rPr>
      <w:sz w:val="20"/>
      <w:szCs w:val="20"/>
    </w:rPr>
  </w:style>
  <w:style w:type="character" w:customStyle="1" w:styleId="TextkomenteChar">
    <w:name w:val="Text komentáře Char"/>
    <w:basedOn w:val="Standardnpsmoodstavce"/>
    <w:link w:val="Textkomente"/>
    <w:uiPriority w:val="99"/>
    <w:rsid w:val="008E5A98"/>
    <w:rPr>
      <w:sz w:val="20"/>
      <w:szCs w:val="20"/>
    </w:rPr>
  </w:style>
  <w:style w:type="paragraph" w:styleId="Pedmtkomente">
    <w:name w:val="annotation subject"/>
    <w:basedOn w:val="Textkomente"/>
    <w:next w:val="Textkomente"/>
    <w:link w:val="PedmtkomenteChar"/>
    <w:uiPriority w:val="99"/>
    <w:semiHidden/>
    <w:unhideWhenUsed/>
    <w:rsid w:val="008E5A98"/>
    <w:rPr>
      <w:b/>
      <w:bCs/>
    </w:rPr>
  </w:style>
  <w:style w:type="character" w:customStyle="1" w:styleId="PedmtkomenteChar">
    <w:name w:val="Předmět komentáře Char"/>
    <w:basedOn w:val="TextkomenteChar"/>
    <w:link w:val="Pedmtkomente"/>
    <w:uiPriority w:val="99"/>
    <w:semiHidden/>
    <w:rsid w:val="008E5A98"/>
    <w:rPr>
      <w:b/>
      <w:bCs/>
      <w:sz w:val="20"/>
      <w:szCs w:val="20"/>
    </w:rPr>
  </w:style>
  <w:style w:type="paragraph" w:customStyle="1" w:styleId="KPseznamcislo">
    <w:name w:val="KP_seznam_cislo"/>
    <w:basedOn w:val="Normln"/>
    <w:uiPriority w:val="3"/>
    <w:qFormat/>
    <w:rsid w:val="009438AB"/>
    <w:pPr>
      <w:numPr>
        <w:numId w:val="1"/>
      </w:numPr>
      <w:spacing w:before="60" w:after="60" w:line="276" w:lineRule="auto"/>
      <w:jc w:val="both"/>
    </w:pPr>
    <w:rPr>
      <w:rFonts w:ascii="Calibri" w:eastAsia="Times New Roman" w:hAnsi="Calibri" w:cs="Times New Roman"/>
      <w:sz w:val="24"/>
      <w:szCs w:val="24"/>
      <w:lang w:eastAsia="cs-CZ"/>
    </w:rPr>
  </w:style>
  <w:style w:type="paragraph" w:customStyle="1" w:styleId="KPnormal">
    <w:name w:val="KP_normal"/>
    <w:basedOn w:val="Normln"/>
    <w:link w:val="KPnormalChar"/>
    <w:qFormat/>
    <w:rsid w:val="007C58F2"/>
    <w:pPr>
      <w:spacing w:before="160" w:after="0" w:line="276" w:lineRule="auto"/>
      <w:ind w:firstLine="720"/>
      <w:jc w:val="both"/>
    </w:pPr>
    <w:rPr>
      <w:rFonts w:ascii="Calibri" w:eastAsia="Times New Roman" w:hAnsi="Calibri" w:cs="Times New Roman"/>
      <w:color w:val="000000"/>
      <w:sz w:val="24"/>
      <w:lang w:eastAsia="cs-CZ"/>
    </w:rPr>
  </w:style>
  <w:style w:type="character" w:customStyle="1" w:styleId="KPnormalChar">
    <w:name w:val="KP_normal Char"/>
    <w:basedOn w:val="Standardnpsmoodstavce"/>
    <w:link w:val="KPnormal"/>
    <w:rsid w:val="007C58F2"/>
    <w:rPr>
      <w:rFonts w:ascii="Calibri" w:eastAsia="Times New Roman" w:hAnsi="Calibri" w:cs="Times New Roman"/>
      <w:color w:val="000000"/>
      <w:sz w:val="24"/>
      <w:lang w:eastAsia="cs-CZ"/>
    </w:rPr>
  </w:style>
  <w:style w:type="paragraph" w:customStyle="1" w:styleId="KPodrazka1">
    <w:name w:val="KP_odrazka1"/>
    <w:basedOn w:val="Odstavecseseznamem"/>
    <w:autoRedefine/>
    <w:uiPriority w:val="2"/>
    <w:qFormat/>
    <w:rsid w:val="009A3FA9"/>
    <w:pPr>
      <w:numPr>
        <w:numId w:val="6"/>
      </w:numPr>
      <w:spacing w:before="60" w:after="0" w:line="240" w:lineRule="auto"/>
      <w:contextualSpacing w:val="0"/>
      <w:jc w:val="both"/>
    </w:pPr>
    <w:rPr>
      <w:rFonts w:ascii="Calibri" w:eastAsia="Calibri" w:hAnsi="Calibri" w:cs="Calibri"/>
      <w:sz w:val="24"/>
      <w:szCs w:val="24"/>
      <w:lang w:eastAsia="cs-CZ"/>
    </w:rPr>
  </w:style>
  <w:style w:type="paragraph" w:customStyle="1" w:styleId="KPodrazka1posl">
    <w:name w:val="KP_odrazka1_posl"/>
    <w:basedOn w:val="KPodrazka1"/>
    <w:next w:val="KPnormal"/>
    <w:uiPriority w:val="2"/>
    <w:qFormat/>
    <w:rsid w:val="002256E5"/>
    <w:pPr>
      <w:numPr>
        <w:numId w:val="0"/>
      </w:numPr>
      <w:spacing w:after="160"/>
      <w:ind w:left="1004" w:hanging="360"/>
    </w:pPr>
  </w:style>
  <w:style w:type="table" w:customStyle="1" w:styleId="Mkatabulky1">
    <w:name w:val="Mřížka tabulky1"/>
    <w:basedOn w:val="Normlntabulka"/>
    <w:next w:val="Mkatabulky"/>
    <w:uiPriority w:val="39"/>
    <w:rsid w:val="00815FDB"/>
    <w:pPr>
      <w:spacing w:before="160" w:after="0" w:line="276"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Pzdroj">
    <w:name w:val="KP_zdroj"/>
    <w:basedOn w:val="KPnormal"/>
    <w:next w:val="KPnormal"/>
    <w:uiPriority w:val="4"/>
    <w:qFormat/>
    <w:rsid w:val="00815FDB"/>
    <w:pPr>
      <w:tabs>
        <w:tab w:val="left" w:pos="709"/>
      </w:tabs>
      <w:spacing w:before="60" w:after="160"/>
      <w:ind w:left="709" w:hanging="709"/>
      <w:contextualSpacing/>
    </w:pPr>
    <w:rPr>
      <w:rFonts w:eastAsiaTheme="minorHAnsi"/>
      <w:sz w:val="20"/>
    </w:rPr>
  </w:style>
  <w:style w:type="paragraph" w:customStyle="1" w:styleId="KPsvazany">
    <w:name w:val="KP_svazany"/>
    <w:basedOn w:val="KPnormal"/>
    <w:next w:val="Normln"/>
    <w:qFormat/>
    <w:rsid w:val="00815FDB"/>
    <w:pPr>
      <w:keepNext/>
    </w:pPr>
  </w:style>
  <w:style w:type="character" w:styleId="slodku">
    <w:name w:val="line number"/>
    <w:basedOn w:val="Standardnpsmoodstavce"/>
    <w:uiPriority w:val="99"/>
    <w:semiHidden/>
    <w:unhideWhenUsed/>
    <w:rsid w:val="00E859FF"/>
  </w:style>
  <w:style w:type="paragraph" w:styleId="Revize">
    <w:name w:val="Revision"/>
    <w:hidden/>
    <w:uiPriority w:val="99"/>
    <w:semiHidden/>
    <w:rsid w:val="00B12AB4"/>
    <w:pPr>
      <w:spacing w:after="0" w:line="240" w:lineRule="auto"/>
    </w:pPr>
  </w:style>
  <w:style w:type="paragraph" w:customStyle="1" w:styleId="JK1">
    <w:name w:val="JK1"/>
    <w:basedOn w:val="KPnormal"/>
    <w:qFormat/>
    <w:rsid w:val="00E349B0"/>
    <w:pPr>
      <w:numPr>
        <w:numId w:val="2"/>
      </w:numPr>
      <w:tabs>
        <w:tab w:val="left" w:pos="567"/>
      </w:tabs>
      <w:spacing w:before="120" w:line="240" w:lineRule="auto"/>
    </w:pPr>
    <w:rPr>
      <w:szCs w:val="24"/>
    </w:rPr>
  </w:style>
  <w:style w:type="paragraph" w:customStyle="1" w:styleId="JK2">
    <w:name w:val="JK2"/>
    <w:basedOn w:val="JK1"/>
    <w:qFormat/>
    <w:rsid w:val="006E156E"/>
    <w:pPr>
      <w:numPr>
        <w:numId w:val="4"/>
      </w:numPr>
      <w:spacing w:after="120"/>
    </w:pPr>
  </w:style>
  <w:style w:type="paragraph" w:customStyle="1" w:styleId="Mluvcnadpis">
    <w:name w:val="Mluvící nadpis"/>
    <w:basedOn w:val="Nadpis2"/>
    <w:next w:val="JK4"/>
    <w:link w:val="MluvcnadpisChar"/>
    <w:qFormat/>
    <w:rsid w:val="0078641B"/>
    <w:pPr>
      <w:spacing w:before="120" w:after="120"/>
      <w:ind w:left="284" w:hanging="284"/>
      <w:jc w:val="both"/>
    </w:pPr>
    <w:rPr>
      <w:rFonts w:cstheme="minorHAnsi"/>
      <w:bCs/>
      <w:color w:val="FF0000"/>
    </w:rPr>
  </w:style>
  <w:style w:type="paragraph" w:customStyle="1" w:styleId="Nadpismsk">
    <w:name w:val="Nadpis římská"/>
    <w:basedOn w:val="Nadpis1"/>
    <w:link w:val="NadpismskChar"/>
    <w:qFormat/>
    <w:rsid w:val="006978B8"/>
    <w:pPr>
      <w:numPr>
        <w:numId w:val="3"/>
      </w:numPr>
      <w:spacing w:line="276" w:lineRule="auto"/>
    </w:pPr>
    <w:rPr>
      <w:b w:val="0"/>
    </w:rPr>
  </w:style>
  <w:style w:type="paragraph" w:customStyle="1" w:styleId="Default">
    <w:name w:val="Default"/>
    <w:rsid w:val="003B7DC6"/>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mskChar">
    <w:name w:val="Nadpis římská Char"/>
    <w:basedOn w:val="Standardnpsmoodstavce"/>
    <w:link w:val="Nadpismsk"/>
    <w:rsid w:val="006978B8"/>
    <w:rPr>
      <w:sz w:val="28"/>
    </w:rPr>
  </w:style>
  <w:style w:type="character" w:customStyle="1" w:styleId="Nadpis1Char">
    <w:name w:val="Nadpis 1 Char"/>
    <w:basedOn w:val="Standardnpsmoodstavce"/>
    <w:link w:val="Nadpis1"/>
    <w:uiPriority w:val="9"/>
    <w:rsid w:val="005E68DD"/>
    <w:rPr>
      <w:b/>
      <w:sz w:val="28"/>
    </w:rPr>
  </w:style>
  <w:style w:type="paragraph" w:customStyle="1" w:styleId="EZvraznn">
    <w:name w:val="E_Zvýraznění"/>
    <w:basedOn w:val="Normln"/>
    <w:uiPriority w:val="4"/>
    <w:qFormat/>
    <w:rsid w:val="008106E8"/>
    <w:pPr>
      <w:spacing w:line="276" w:lineRule="auto"/>
      <w:jc w:val="both"/>
    </w:pPr>
    <w:rPr>
      <w:sz w:val="24"/>
      <w:szCs w:val="24"/>
    </w:rPr>
  </w:style>
  <w:style w:type="character" w:customStyle="1" w:styleId="Bodytext2">
    <w:name w:val="Body text|2_"/>
    <w:basedOn w:val="Standardnpsmoodstavce"/>
    <w:link w:val="Bodytext20"/>
    <w:uiPriority w:val="99"/>
    <w:rsid w:val="00DA574B"/>
    <w:rPr>
      <w:rFonts w:ascii="Calibri" w:eastAsia="Calibri" w:hAnsi="Calibri" w:cs="Calibri"/>
      <w:sz w:val="19"/>
      <w:szCs w:val="19"/>
      <w:shd w:val="clear" w:color="auto" w:fill="FFFFFF"/>
    </w:rPr>
  </w:style>
  <w:style w:type="paragraph" w:customStyle="1" w:styleId="Bodytext20">
    <w:name w:val="Body text|2"/>
    <w:basedOn w:val="Normln"/>
    <w:link w:val="Bodytext2"/>
    <w:uiPriority w:val="99"/>
    <w:qFormat/>
    <w:rsid w:val="00C05CB4"/>
    <w:pPr>
      <w:widowControl w:val="0"/>
      <w:shd w:val="clear" w:color="auto" w:fill="FFFFFF"/>
      <w:spacing w:before="100" w:after="100" w:line="293" w:lineRule="exact"/>
      <w:ind w:hanging="360"/>
      <w:jc w:val="both"/>
    </w:pPr>
    <w:rPr>
      <w:rFonts w:ascii="Calibri" w:eastAsia="Calibri" w:hAnsi="Calibri" w:cs="Calibri"/>
      <w:sz w:val="19"/>
      <w:szCs w:val="19"/>
    </w:rPr>
  </w:style>
  <w:style w:type="character" w:customStyle="1" w:styleId="Bodytext4">
    <w:name w:val="Body text|4_"/>
    <w:basedOn w:val="Standardnpsmoodstavce"/>
    <w:link w:val="Bodytext40"/>
    <w:uiPriority w:val="99"/>
    <w:rsid w:val="00DA574B"/>
    <w:rPr>
      <w:rFonts w:ascii="Calibri" w:eastAsia="Calibri" w:hAnsi="Calibri" w:cs="Calibri"/>
      <w:b/>
      <w:sz w:val="20"/>
      <w:shd w:val="clear" w:color="auto" w:fill="FFFFFF"/>
    </w:rPr>
  </w:style>
  <w:style w:type="paragraph" w:customStyle="1" w:styleId="Bodytext40">
    <w:name w:val="Body text|4"/>
    <w:basedOn w:val="Normln"/>
    <w:link w:val="Bodytext4"/>
    <w:uiPriority w:val="99"/>
    <w:rsid w:val="00C05CB4"/>
    <w:pPr>
      <w:widowControl w:val="0"/>
      <w:shd w:val="clear" w:color="auto" w:fill="FFFFFF"/>
      <w:spacing w:before="140" w:after="0" w:line="244" w:lineRule="exact"/>
      <w:jc w:val="both"/>
    </w:pPr>
    <w:rPr>
      <w:rFonts w:ascii="Calibri" w:eastAsia="Calibri" w:hAnsi="Calibri" w:cs="Calibri"/>
      <w:b/>
      <w:sz w:val="20"/>
    </w:rPr>
  </w:style>
  <w:style w:type="character" w:customStyle="1" w:styleId="Bodytext6">
    <w:name w:val="Body text|6_"/>
    <w:basedOn w:val="Standardnpsmoodstavce"/>
    <w:link w:val="Bodytext60"/>
    <w:uiPriority w:val="99"/>
    <w:rsid w:val="00DA574B"/>
    <w:rPr>
      <w:rFonts w:ascii="Calibri" w:eastAsia="Calibri" w:hAnsi="Calibri" w:cs="Calibri"/>
      <w:i/>
      <w:sz w:val="18"/>
      <w:shd w:val="clear" w:color="auto" w:fill="FFFFFF"/>
    </w:rPr>
  </w:style>
  <w:style w:type="paragraph" w:customStyle="1" w:styleId="Bodytext60">
    <w:name w:val="Body text|6"/>
    <w:basedOn w:val="Normln"/>
    <w:link w:val="Bodytext6"/>
    <w:uiPriority w:val="99"/>
    <w:rsid w:val="00C05CB4"/>
    <w:pPr>
      <w:widowControl w:val="0"/>
      <w:shd w:val="clear" w:color="auto" w:fill="FFFFFF"/>
      <w:spacing w:before="320" w:after="200" w:line="220" w:lineRule="exact"/>
      <w:jc w:val="both"/>
    </w:pPr>
    <w:rPr>
      <w:rFonts w:ascii="Calibri" w:eastAsia="Calibri" w:hAnsi="Calibri" w:cs="Calibri"/>
      <w:i/>
      <w:sz w:val="18"/>
    </w:rPr>
  </w:style>
  <w:style w:type="character" w:styleId="Sledovanodkaz">
    <w:name w:val="FollowedHyperlink"/>
    <w:basedOn w:val="Standardnpsmoodstavce"/>
    <w:uiPriority w:val="99"/>
    <w:semiHidden/>
    <w:unhideWhenUsed/>
    <w:rsid w:val="002E32D5"/>
    <w:rPr>
      <w:color w:val="954F72" w:themeColor="followedHyperlink"/>
      <w:u w:val="single"/>
    </w:rPr>
  </w:style>
  <w:style w:type="paragraph" w:styleId="Obsah1">
    <w:name w:val="toc 1"/>
    <w:basedOn w:val="Normln"/>
    <w:next w:val="Normln"/>
    <w:autoRedefine/>
    <w:uiPriority w:val="39"/>
    <w:semiHidden/>
    <w:unhideWhenUsed/>
    <w:rsid w:val="007824DA"/>
    <w:pPr>
      <w:spacing w:after="100"/>
    </w:pPr>
  </w:style>
  <w:style w:type="paragraph" w:styleId="Rejstk1">
    <w:name w:val="index 1"/>
    <w:basedOn w:val="Normln"/>
    <w:next w:val="Normln"/>
    <w:autoRedefine/>
    <w:uiPriority w:val="99"/>
    <w:semiHidden/>
    <w:unhideWhenUsed/>
    <w:rsid w:val="007824DA"/>
    <w:pPr>
      <w:spacing w:after="0" w:line="240" w:lineRule="auto"/>
      <w:ind w:left="220" w:hanging="220"/>
    </w:pPr>
  </w:style>
  <w:style w:type="character" w:customStyle="1" w:styleId="Nadpis2Char">
    <w:name w:val="Nadpis 2 Char"/>
    <w:basedOn w:val="Standardnpsmoodstavce"/>
    <w:link w:val="Nadpis2"/>
    <w:rsid w:val="004D3301"/>
    <w:rPr>
      <w:b/>
      <w:i/>
      <w:sz w:val="24"/>
      <w:szCs w:val="24"/>
    </w:rPr>
  </w:style>
  <w:style w:type="character" w:customStyle="1" w:styleId="A5">
    <w:name w:val="A5"/>
    <w:uiPriority w:val="99"/>
    <w:rsid w:val="00C80602"/>
    <w:rPr>
      <w:b/>
      <w:bCs/>
      <w:color w:val="000000"/>
      <w:sz w:val="40"/>
      <w:szCs w:val="40"/>
    </w:rPr>
  </w:style>
  <w:style w:type="paragraph" w:customStyle="1" w:styleId="KPnormalni">
    <w:name w:val="KP_normalni"/>
    <w:basedOn w:val="Normln"/>
    <w:qFormat/>
    <w:rsid w:val="00241D97"/>
    <w:pPr>
      <w:spacing w:after="0" w:line="240" w:lineRule="auto"/>
      <w:jc w:val="both"/>
    </w:pPr>
    <w:rPr>
      <w:rFonts w:ascii="Calibri" w:hAnsi="Calibri" w:cs="Calibri"/>
      <w:sz w:val="24"/>
      <w:szCs w:val="24"/>
    </w:rPr>
  </w:style>
  <w:style w:type="paragraph" w:customStyle="1" w:styleId="KP-normlntext">
    <w:name w:val="KP-normální text"/>
    <w:basedOn w:val="Normln"/>
    <w:link w:val="KP-normlntextChar"/>
    <w:qFormat/>
    <w:rsid w:val="00D2591D"/>
    <w:pPr>
      <w:spacing w:after="120" w:line="240" w:lineRule="auto"/>
      <w:jc w:val="both"/>
    </w:pPr>
    <w:rPr>
      <w:rFonts w:eastAsia="Times New Roman" w:cs="Calibri"/>
      <w:sz w:val="24"/>
      <w:szCs w:val="24"/>
    </w:rPr>
  </w:style>
  <w:style w:type="character" w:customStyle="1" w:styleId="KP-normlntextChar">
    <w:name w:val="KP-normální text Char"/>
    <w:link w:val="KP-normlntext"/>
    <w:rsid w:val="00D2591D"/>
    <w:rPr>
      <w:rFonts w:eastAsia="Times New Roman" w:cs="Calibri"/>
      <w:sz w:val="24"/>
      <w:szCs w:val="24"/>
    </w:rPr>
  </w:style>
  <w:style w:type="character" w:styleId="Nevyeenzmnka">
    <w:name w:val="Unresolved Mention"/>
    <w:basedOn w:val="Standardnpsmoodstavce"/>
    <w:uiPriority w:val="99"/>
    <w:semiHidden/>
    <w:unhideWhenUsed/>
    <w:rsid w:val="0086659D"/>
    <w:rPr>
      <w:color w:val="605E5C"/>
      <w:shd w:val="clear" w:color="auto" w:fill="E1DFDD"/>
    </w:rPr>
  </w:style>
  <w:style w:type="paragraph" w:customStyle="1" w:styleId="KP-normlnbezodsazen">
    <w:name w:val="KP-normální bez odsazení"/>
    <w:basedOn w:val="KP-normlntext"/>
    <w:qFormat/>
    <w:rsid w:val="00C06C8E"/>
    <w:pPr>
      <w:spacing w:after="0"/>
    </w:pPr>
    <w:rPr>
      <w:rFonts w:cstheme="minorHAnsi"/>
    </w:rPr>
  </w:style>
  <w:style w:type="paragraph" w:customStyle="1" w:styleId="KP-normlntun">
    <w:name w:val="KP-normální tučně"/>
    <w:basedOn w:val="KP-normlntext"/>
    <w:qFormat/>
    <w:rsid w:val="00EB3619"/>
    <w:pPr>
      <w:keepNext/>
      <w:spacing w:before="120" w:after="0"/>
    </w:pPr>
    <w:rPr>
      <w:rFonts w:cstheme="minorHAnsi"/>
      <w:b/>
    </w:rPr>
  </w:style>
  <w:style w:type="table" w:customStyle="1" w:styleId="Mkatabulky2">
    <w:name w:val="Mřížka tabulky2"/>
    <w:basedOn w:val="Normlntabulka"/>
    <w:next w:val="Mkatabulky"/>
    <w:uiPriority w:val="39"/>
    <w:rsid w:val="00F31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AB2986"/>
    <w:pPr>
      <w:spacing w:after="0" w:line="240" w:lineRule="auto"/>
    </w:pPr>
    <w:rPr>
      <w:rFonts w:eastAsia="Times New Roman"/>
      <w:lang w:eastAsia="cs-CZ"/>
    </w:rPr>
    <w:tblPr>
      <w:tblCellMar>
        <w:top w:w="0" w:type="dxa"/>
        <w:left w:w="0" w:type="dxa"/>
        <w:bottom w:w="0" w:type="dxa"/>
        <w:right w:w="0" w:type="dxa"/>
      </w:tblCellMar>
    </w:tblPr>
  </w:style>
  <w:style w:type="paragraph" w:customStyle="1" w:styleId="footnotedescription">
    <w:name w:val="footnote description"/>
    <w:next w:val="Normln"/>
    <w:link w:val="footnotedescriptionChar"/>
    <w:hidden/>
    <w:rsid w:val="0063703B"/>
    <w:pPr>
      <w:spacing w:after="0" w:line="286" w:lineRule="auto"/>
      <w:ind w:left="283" w:firstLine="41"/>
    </w:pPr>
    <w:rPr>
      <w:rFonts w:ascii="Calibri" w:eastAsia="Calibri" w:hAnsi="Calibri" w:cs="Calibri"/>
      <w:color w:val="000000"/>
      <w:sz w:val="18"/>
      <w:lang w:eastAsia="cs-CZ"/>
    </w:rPr>
  </w:style>
  <w:style w:type="character" w:customStyle="1" w:styleId="footnotedescriptionChar">
    <w:name w:val="footnote description Char"/>
    <w:link w:val="footnotedescription"/>
    <w:rsid w:val="0063703B"/>
    <w:rPr>
      <w:rFonts w:ascii="Calibri" w:eastAsia="Calibri" w:hAnsi="Calibri" w:cs="Calibri"/>
      <w:color w:val="000000"/>
      <w:sz w:val="18"/>
      <w:lang w:eastAsia="cs-CZ"/>
    </w:rPr>
  </w:style>
  <w:style w:type="character" w:customStyle="1" w:styleId="footnotemark">
    <w:name w:val="footnote mark"/>
    <w:hidden/>
    <w:rsid w:val="0063703B"/>
    <w:rPr>
      <w:rFonts w:ascii="Calibri" w:eastAsia="Calibri" w:hAnsi="Calibri" w:cs="Calibri"/>
      <w:color w:val="000000"/>
      <w:sz w:val="18"/>
      <w:vertAlign w:val="superscript"/>
    </w:rPr>
  </w:style>
  <w:style w:type="table" w:customStyle="1" w:styleId="TableGrid1">
    <w:name w:val="TableGrid1"/>
    <w:rsid w:val="0063703B"/>
    <w:pPr>
      <w:spacing w:after="0" w:line="240" w:lineRule="auto"/>
    </w:pPr>
    <w:rPr>
      <w:rFonts w:eastAsia="Times New Roman"/>
      <w:lang w:eastAsia="cs-CZ"/>
    </w:rPr>
    <w:tblPr>
      <w:tblCellMar>
        <w:top w:w="0" w:type="dxa"/>
        <w:left w:w="0" w:type="dxa"/>
        <w:bottom w:w="0" w:type="dxa"/>
        <w:right w:w="0" w:type="dxa"/>
      </w:tblCellMar>
    </w:tblPr>
  </w:style>
  <w:style w:type="paragraph" w:customStyle="1" w:styleId="Pa18">
    <w:name w:val="Pa18"/>
    <w:basedOn w:val="Normln"/>
    <w:next w:val="Normln"/>
    <w:uiPriority w:val="99"/>
    <w:rsid w:val="003B1BC3"/>
    <w:pPr>
      <w:autoSpaceDE w:val="0"/>
      <w:autoSpaceDN w:val="0"/>
      <w:adjustRightInd w:val="0"/>
      <w:spacing w:after="0" w:line="211" w:lineRule="atLeast"/>
    </w:pPr>
    <w:rPr>
      <w:rFonts w:ascii="Calibri" w:eastAsia="Times New Roman" w:hAnsi="Calibri" w:cs="Times New Roman"/>
      <w:sz w:val="24"/>
      <w:szCs w:val="24"/>
      <w:lang w:eastAsia="cs-CZ"/>
    </w:rPr>
  </w:style>
  <w:style w:type="paragraph" w:customStyle="1" w:styleId="Pa19">
    <w:name w:val="Pa19"/>
    <w:basedOn w:val="Normln"/>
    <w:next w:val="Normln"/>
    <w:uiPriority w:val="99"/>
    <w:rsid w:val="003B1BC3"/>
    <w:pPr>
      <w:autoSpaceDE w:val="0"/>
      <w:autoSpaceDN w:val="0"/>
      <w:adjustRightInd w:val="0"/>
      <w:spacing w:after="0" w:line="211" w:lineRule="atLeast"/>
    </w:pPr>
    <w:rPr>
      <w:rFonts w:ascii="Calibri" w:eastAsia="Times New Roman" w:hAnsi="Calibri" w:cs="Times New Roman"/>
      <w:sz w:val="24"/>
      <w:szCs w:val="24"/>
      <w:lang w:eastAsia="cs-CZ"/>
    </w:rPr>
  </w:style>
  <w:style w:type="character" w:customStyle="1" w:styleId="A14">
    <w:name w:val="A14"/>
    <w:uiPriority w:val="99"/>
    <w:rsid w:val="003B1BC3"/>
    <w:rPr>
      <w:b/>
      <w:bCs w:val="0"/>
      <w:color w:val="000000"/>
      <w:sz w:val="54"/>
    </w:rPr>
  </w:style>
  <w:style w:type="paragraph" w:customStyle="1" w:styleId="kurzva">
    <w:name w:val="kurzíva"/>
    <w:basedOn w:val="Normln"/>
    <w:qFormat/>
    <w:rsid w:val="00757057"/>
    <w:pPr>
      <w:spacing w:before="240" w:after="60"/>
    </w:pPr>
    <w:rPr>
      <w:b/>
      <w:i/>
    </w:rPr>
  </w:style>
  <w:style w:type="character" w:customStyle="1" w:styleId="A4">
    <w:name w:val="A4"/>
    <w:uiPriority w:val="99"/>
    <w:rsid w:val="000E1B3B"/>
    <w:rPr>
      <w:color w:val="000000"/>
      <w:sz w:val="60"/>
      <w:szCs w:val="60"/>
    </w:rPr>
  </w:style>
  <w:style w:type="paragraph" w:customStyle="1" w:styleId="Pkladyvrmeku">
    <w:name w:val="Příklady v rámečku"/>
    <w:basedOn w:val="Normln"/>
    <w:qFormat/>
    <w:rsid w:val="00EB3619"/>
    <w:pPr>
      <w:keepLines/>
      <w:pBdr>
        <w:top w:val="single" w:sz="4" w:space="1" w:color="auto"/>
        <w:left w:val="single" w:sz="4" w:space="0" w:color="auto"/>
        <w:bottom w:val="single" w:sz="4" w:space="1" w:color="auto"/>
        <w:right w:val="single" w:sz="4" w:space="4" w:color="auto"/>
      </w:pBdr>
      <w:spacing w:after="0" w:line="280" w:lineRule="atLeast"/>
      <w:ind w:right="142"/>
      <w:jc w:val="both"/>
    </w:pPr>
    <w:rPr>
      <w:i/>
      <w:sz w:val="24"/>
      <w:szCs w:val="24"/>
    </w:rPr>
  </w:style>
  <w:style w:type="character" w:customStyle="1" w:styleId="MluvcnadpisChar">
    <w:name w:val="Mluvící nadpis Char"/>
    <w:basedOn w:val="Nadpis2Char"/>
    <w:link w:val="Mluvcnadpis"/>
    <w:rsid w:val="004D3301"/>
    <w:rPr>
      <w:rFonts w:cstheme="minorHAnsi"/>
      <w:b/>
      <w:bCs/>
      <w:i/>
      <w:color w:val="FF0000"/>
      <w:sz w:val="24"/>
      <w:szCs w:val="24"/>
    </w:rPr>
  </w:style>
  <w:style w:type="paragraph" w:customStyle="1" w:styleId="Nadpistabulkynebografu">
    <w:name w:val="Nadpis tabulky nebo grafu"/>
    <w:basedOn w:val="KPnormalni"/>
    <w:next w:val="KPnormalni"/>
    <w:qFormat/>
    <w:rsid w:val="005E68DD"/>
    <w:pPr>
      <w:keepNext/>
      <w:keepLines/>
      <w:tabs>
        <w:tab w:val="right" w:pos="9070"/>
      </w:tabs>
      <w:spacing w:after="40"/>
      <w:ind w:left="1418" w:hanging="1418"/>
    </w:pPr>
    <w:rPr>
      <w:b/>
    </w:rPr>
  </w:style>
  <w:style w:type="paragraph" w:customStyle="1" w:styleId="Zdrojnebovysvtlivkapodtabulkou">
    <w:name w:val="Zdroj nebo vysvětlivka pod tabulkou"/>
    <w:aliases w:val="grafem"/>
    <w:basedOn w:val="KPnormalni"/>
    <w:next w:val="JK4"/>
    <w:qFormat/>
    <w:rsid w:val="005E68DD"/>
    <w:pPr>
      <w:keepNext/>
      <w:keepLines/>
      <w:contextualSpacing/>
    </w:pPr>
    <w:rPr>
      <w:sz w:val="20"/>
      <w:szCs w:val="20"/>
    </w:rPr>
  </w:style>
  <w:style w:type="paragraph" w:customStyle="1" w:styleId="PodkapitolystiIVKZ">
    <w:name w:val="Podkapitoly části IV. KZ"/>
    <w:basedOn w:val="Nadpis2"/>
    <w:next w:val="JK4"/>
    <w:link w:val="PodkapitolystiIVKZChar"/>
    <w:qFormat/>
    <w:rsid w:val="00973E41"/>
    <w:pPr>
      <w:numPr>
        <w:numId w:val="8"/>
      </w:numPr>
      <w:spacing w:before="360"/>
      <w:jc w:val="both"/>
    </w:pPr>
    <w:rPr>
      <w:rFonts w:cstheme="minorHAnsi"/>
      <w:color w:val="1F4E79" w:themeColor="accent1" w:themeShade="80"/>
      <w:szCs w:val="28"/>
    </w:rPr>
  </w:style>
  <w:style w:type="character" w:customStyle="1" w:styleId="PodkapitolystiIVKZChar">
    <w:name w:val="Podkapitoly části IV. KZ Char"/>
    <w:basedOn w:val="Nadpis3Char"/>
    <w:link w:val="PodkapitolystiIVKZ"/>
    <w:rsid w:val="00973E41"/>
    <w:rPr>
      <w:rFonts w:asciiTheme="majorHAnsi" w:eastAsiaTheme="majorEastAsia" w:hAnsiTheme="majorHAnsi" w:cstheme="minorHAnsi"/>
      <w:b/>
      <w:i/>
      <w:color w:val="1F4E79" w:themeColor="accent1" w:themeShade="80"/>
      <w:sz w:val="24"/>
      <w:szCs w:val="28"/>
    </w:rPr>
  </w:style>
  <w:style w:type="character" w:customStyle="1" w:styleId="Nadpis3Char">
    <w:name w:val="Nadpis 3 Char"/>
    <w:basedOn w:val="Standardnpsmoodstavce"/>
    <w:link w:val="Nadpis3"/>
    <w:uiPriority w:val="9"/>
    <w:rsid w:val="005E68DD"/>
    <w:rPr>
      <w:rFonts w:asciiTheme="majorHAnsi" w:eastAsiaTheme="majorEastAsia" w:hAnsiTheme="majorHAnsi" w:cstheme="majorBidi"/>
      <w:color w:val="1F4D78" w:themeColor="accent1" w:themeShade="7F"/>
      <w:sz w:val="24"/>
      <w:szCs w:val="24"/>
    </w:rPr>
  </w:style>
  <w:style w:type="paragraph" w:customStyle="1" w:styleId="Poznmkapodtabulkou">
    <w:name w:val="Poznámka pod tabulkou"/>
    <w:basedOn w:val="Normln"/>
    <w:qFormat/>
    <w:rsid w:val="00B938C0"/>
    <w:pPr>
      <w:tabs>
        <w:tab w:val="left" w:pos="1134"/>
      </w:tabs>
      <w:spacing w:after="120" w:line="240" w:lineRule="auto"/>
      <w:ind w:left="1134" w:hanging="1134"/>
      <w:contextualSpacing/>
      <w:jc w:val="both"/>
    </w:pPr>
    <w:rPr>
      <w:rFonts w:eastAsia="Times New Roman" w:cstheme="minorHAnsi"/>
      <w:bCs/>
      <w:i/>
      <w:iCs/>
      <w:sz w:val="20"/>
      <w:szCs w:val="20"/>
    </w:rPr>
  </w:style>
  <w:style w:type="paragraph" w:customStyle="1" w:styleId="Nzevtabulky">
    <w:name w:val="Název tabulky"/>
    <w:aliases w:val="grafu"/>
    <w:basedOn w:val="Normln"/>
    <w:next w:val="KP-normlnbezodsazen"/>
    <w:qFormat/>
    <w:rsid w:val="00B938C0"/>
    <w:pPr>
      <w:keepNext/>
      <w:tabs>
        <w:tab w:val="left" w:pos="1418"/>
      </w:tabs>
      <w:spacing w:after="60" w:line="240" w:lineRule="auto"/>
      <w:ind w:left="1418" w:hanging="1418"/>
      <w:jc w:val="both"/>
    </w:pPr>
    <w:rPr>
      <w:rFonts w:ascii="Calibri" w:eastAsia="Times New Roman" w:hAnsi="Calibri" w:cs="Times New Roman"/>
      <w:color w:val="000000"/>
      <w:sz w:val="24"/>
      <w:szCs w:val="24"/>
    </w:rPr>
  </w:style>
  <w:style w:type="character" w:customStyle="1" w:styleId="Nadpis4Char">
    <w:name w:val="Nadpis 4 Char"/>
    <w:basedOn w:val="Standardnpsmoodstavce"/>
    <w:link w:val="Nadpis4"/>
    <w:uiPriority w:val="9"/>
    <w:rsid w:val="004F01AD"/>
    <w:rPr>
      <w:rFonts w:asciiTheme="majorHAnsi" w:eastAsiaTheme="majorEastAsia" w:hAnsiTheme="majorHAnsi" w:cstheme="majorBidi"/>
      <w:i/>
      <w:iCs/>
      <w:color w:val="2E74B5" w:themeColor="accent1" w:themeShade="BF"/>
    </w:rPr>
  </w:style>
  <w:style w:type="paragraph" w:styleId="Zkladntext2">
    <w:name w:val="Body Text 2"/>
    <w:basedOn w:val="Normln"/>
    <w:link w:val="Zkladntext2Char"/>
    <w:uiPriority w:val="99"/>
    <w:semiHidden/>
    <w:unhideWhenUsed/>
    <w:rsid w:val="0074208C"/>
    <w:pPr>
      <w:spacing w:after="120" w:line="480" w:lineRule="auto"/>
      <w:jc w:val="both"/>
    </w:pPr>
    <w:rPr>
      <w:rFonts w:eastAsia="Times New Roman" w:cstheme="minorHAnsi"/>
      <w:sz w:val="24"/>
      <w:szCs w:val="24"/>
    </w:rPr>
  </w:style>
  <w:style w:type="character" w:customStyle="1" w:styleId="Zkladntext2Char">
    <w:name w:val="Základní text 2 Char"/>
    <w:basedOn w:val="Standardnpsmoodstavce"/>
    <w:link w:val="Zkladntext2"/>
    <w:uiPriority w:val="99"/>
    <w:semiHidden/>
    <w:rsid w:val="0074208C"/>
    <w:rPr>
      <w:rFonts w:eastAsia="Times New Roman" w:cstheme="minorHAnsi"/>
      <w:sz w:val="24"/>
      <w:szCs w:val="24"/>
    </w:rPr>
  </w:style>
  <w:style w:type="paragraph" w:customStyle="1" w:styleId="Nadpispklad">
    <w:name w:val="Nadpis příkladů"/>
    <w:basedOn w:val="KP-normlntun"/>
    <w:qFormat/>
    <w:rsid w:val="00E40B9B"/>
    <w:rPr>
      <w:color w:val="1F4E79" w:themeColor="accent1" w:themeShade="80"/>
    </w:rPr>
  </w:style>
  <w:style w:type="paragraph" w:styleId="Textvysvtlivek">
    <w:name w:val="endnote text"/>
    <w:basedOn w:val="Normln"/>
    <w:link w:val="TextvysvtlivekChar"/>
    <w:uiPriority w:val="99"/>
    <w:semiHidden/>
    <w:unhideWhenUsed/>
    <w:rsid w:val="009C285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9C285D"/>
    <w:rPr>
      <w:sz w:val="20"/>
      <w:szCs w:val="20"/>
    </w:rPr>
  </w:style>
  <w:style w:type="character" w:styleId="Odkaznavysvtlivky">
    <w:name w:val="endnote reference"/>
    <w:basedOn w:val="Standardnpsmoodstavce"/>
    <w:uiPriority w:val="99"/>
    <w:semiHidden/>
    <w:unhideWhenUsed/>
    <w:rsid w:val="009C285D"/>
    <w:rPr>
      <w:vertAlign w:val="superscript"/>
    </w:rPr>
  </w:style>
  <w:style w:type="paragraph" w:styleId="Normlnweb">
    <w:name w:val="Normal (Web)"/>
    <w:basedOn w:val="Normln"/>
    <w:uiPriority w:val="99"/>
    <w:semiHidden/>
    <w:unhideWhenUsed/>
    <w:rsid w:val="00CA7DB9"/>
    <w:pPr>
      <w:spacing w:after="0" w:line="240" w:lineRule="auto"/>
    </w:pPr>
    <w:rPr>
      <w:rFonts w:ascii="Times New Roman" w:eastAsia="Times New Roman" w:hAnsi="Times New Roman" w:cs="Times New Roman"/>
      <w:sz w:val="24"/>
      <w:szCs w:val="24"/>
    </w:rPr>
  </w:style>
  <w:style w:type="table" w:customStyle="1" w:styleId="Mkatabulky13">
    <w:name w:val="Mřížka tabulky13"/>
    <w:basedOn w:val="Normlntabulka"/>
    <w:uiPriority w:val="39"/>
    <w:rsid w:val="00CA7D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8478">
      <w:bodyDiv w:val="1"/>
      <w:marLeft w:val="0"/>
      <w:marRight w:val="0"/>
      <w:marTop w:val="0"/>
      <w:marBottom w:val="0"/>
      <w:divBdr>
        <w:top w:val="none" w:sz="0" w:space="0" w:color="auto"/>
        <w:left w:val="none" w:sz="0" w:space="0" w:color="auto"/>
        <w:bottom w:val="none" w:sz="0" w:space="0" w:color="auto"/>
        <w:right w:val="none" w:sz="0" w:space="0" w:color="auto"/>
      </w:divBdr>
    </w:div>
    <w:div w:id="28798213">
      <w:bodyDiv w:val="1"/>
      <w:marLeft w:val="0"/>
      <w:marRight w:val="0"/>
      <w:marTop w:val="0"/>
      <w:marBottom w:val="0"/>
      <w:divBdr>
        <w:top w:val="none" w:sz="0" w:space="0" w:color="auto"/>
        <w:left w:val="none" w:sz="0" w:space="0" w:color="auto"/>
        <w:bottom w:val="none" w:sz="0" w:space="0" w:color="auto"/>
        <w:right w:val="none" w:sz="0" w:space="0" w:color="auto"/>
      </w:divBdr>
    </w:div>
    <w:div w:id="133915318">
      <w:bodyDiv w:val="1"/>
      <w:marLeft w:val="0"/>
      <w:marRight w:val="0"/>
      <w:marTop w:val="0"/>
      <w:marBottom w:val="0"/>
      <w:divBdr>
        <w:top w:val="none" w:sz="0" w:space="0" w:color="auto"/>
        <w:left w:val="none" w:sz="0" w:space="0" w:color="auto"/>
        <w:bottom w:val="none" w:sz="0" w:space="0" w:color="auto"/>
        <w:right w:val="none" w:sz="0" w:space="0" w:color="auto"/>
      </w:divBdr>
    </w:div>
    <w:div w:id="148597184">
      <w:bodyDiv w:val="1"/>
      <w:marLeft w:val="0"/>
      <w:marRight w:val="0"/>
      <w:marTop w:val="0"/>
      <w:marBottom w:val="0"/>
      <w:divBdr>
        <w:top w:val="none" w:sz="0" w:space="0" w:color="auto"/>
        <w:left w:val="none" w:sz="0" w:space="0" w:color="auto"/>
        <w:bottom w:val="none" w:sz="0" w:space="0" w:color="auto"/>
        <w:right w:val="none" w:sz="0" w:space="0" w:color="auto"/>
      </w:divBdr>
    </w:div>
    <w:div w:id="221909609">
      <w:bodyDiv w:val="1"/>
      <w:marLeft w:val="0"/>
      <w:marRight w:val="0"/>
      <w:marTop w:val="0"/>
      <w:marBottom w:val="0"/>
      <w:divBdr>
        <w:top w:val="none" w:sz="0" w:space="0" w:color="auto"/>
        <w:left w:val="none" w:sz="0" w:space="0" w:color="auto"/>
        <w:bottom w:val="none" w:sz="0" w:space="0" w:color="auto"/>
        <w:right w:val="none" w:sz="0" w:space="0" w:color="auto"/>
      </w:divBdr>
    </w:div>
    <w:div w:id="237054795">
      <w:bodyDiv w:val="1"/>
      <w:marLeft w:val="0"/>
      <w:marRight w:val="0"/>
      <w:marTop w:val="0"/>
      <w:marBottom w:val="0"/>
      <w:divBdr>
        <w:top w:val="none" w:sz="0" w:space="0" w:color="auto"/>
        <w:left w:val="none" w:sz="0" w:space="0" w:color="auto"/>
        <w:bottom w:val="none" w:sz="0" w:space="0" w:color="auto"/>
        <w:right w:val="none" w:sz="0" w:space="0" w:color="auto"/>
      </w:divBdr>
    </w:div>
    <w:div w:id="276258889">
      <w:bodyDiv w:val="1"/>
      <w:marLeft w:val="0"/>
      <w:marRight w:val="0"/>
      <w:marTop w:val="0"/>
      <w:marBottom w:val="0"/>
      <w:divBdr>
        <w:top w:val="none" w:sz="0" w:space="0" w:color="auto"/>
        <w:left w:val="none" w:sz="0" w:space="0" w:color="auto"/>
        <w:bottom w:val="none" w:sz="0" w:space="0" w:color="auto"/>
        <w:right w:val="none" w:sz="0" w:space="0" w:color="auto"/>
      </w:divBdr>
    </w:div>
    <w:div w:id="298074565">
      <w:bodyDiv w:val="1"/>
      <w:marLeft w:val="0"/>
      <w:marRight w:val="0"/>
      <w:marTop w:val="0"/>
      <w:marBottom w:val="0"/>
      <w:divBdr>
        <w:top w:val="none" w:sz="0" w:space="0" w:color="auto"/>
        <w:left w:val="none" w:sz="0" w:space="0" w:color="auto"/>
        <w:bottom w:val="none" w:sz="0" w:space="0" w:color="auto"/>
        <w:right w:val="none" w:sz="0" w:space="0" w:color="auto"/>
      </w:divBdr>
    </w:div>
    <w:div w:id="371879119">
      <w:bodyDiv w:val="1"/>
      <w:marLeft w:val="0"/>
      <w:marRight w:val="0"/>
      <w:marTop w:val="0"/>
      <w:marBottom w:val="0"/>
      <w:divBdr>
        <w:top w:val="none" w:sz="0" w:space="0" w:color="auto"/>
        <w:left w:val="none" w:sz="0" w:space="0" w:color="auto"/>
        <w:bottom w:val="none" w:sz="0" w:space="0" w:color="auto"/>
        <w:right w:val="none" w:sz="0" w:space="0" w:color="auto"/>
      </w:divBdr>
    </w:div>
    <w:div w:id="459299975">
      <w:bodyDiv w:val="1"/>
      <w:marLeft w:val="0"/>
      <w:marRight w:val="0"/>
      <w:marTop w:val="0"/>
      <w:marBottom w:val="0"/>
      <w:divBdr>
        <w:top w:val="none" w:sz="0" w:space="0" w:color="auto"/>
        <w:left w:val="none" w:sz="0" w:space="0" w:color="auto"/>
        <w:bottom w:val="none" w:sz="0" w:space="0" w:color="auto"/>
        <w:right w:val="none" w:sz="0" w:space="0" w:color="auto"/>
      </w:divBdr>
    </w:div>
    <w:div w:id="473646344">
      <w:bodyDiv w:val="1"/>
      <w:marLeft w:val="0"/>
      <w:marRight w:val="0"/>
      <w:marTop w:val="0"/>
      <w:marBottom w:val="0"/>
      <w:divBdr>
        <w:top w:val="none" w:sz="0" w:space="0" w:color="auto"/>
        <w:left w:val="none" w:sz="0" w:space="0" w:color="auto"/>
        <w:bottom w:val="none" w:sz="0" w:space="0" w:color="auto"/>
        <w:right w:val="none" w:sz="0" w:space="0" w:color="auto"/>
      </w:divBdr>
    </w:div>
    <w:div w:id="505632349">
      <w:bodyDiv w:val="1"/>
      <w:marLeft w:val="0"/>
      <w:marRight w:val="0"/>
      <w:marTop w:val="0"/>
      <w:marBottom w:val="0"/>
      <w:divBdr>
        <w:top w:val="none" w:sz="0" w:space="0" w:color="auto"/>
        <w:left w:val="none" w:sz="0" w:space="0" w:color="auto"/>
        <w:bottom w:val="none" w:sz="0" w:space="0" w:color="auto"/>
        <w:right w:val="none" w:sz="0" w:space="0" w:color="auto"/>
      </w:divBdr>
    </w:div>
    <w:div w:id="507672665">
      <w:bodyDiv w:val="1"/>
      <w:marLeft w:val="0"/>
      <w:marRight w:val="0"/>
      <w:marTop w:val="0"/>
      <w:marBottom w:val="0"/>
      <w:divBdr>
        <w:top w:val="none" w:sz="0" w:space="0" w:color="auto"/>
        <w:left w:val="none" w:sz="0" w:space="0" w:color="auto"/>
        <w:bottom w:val="none" w:sz="0" w:space="0" w:color="auto"/>
        <w:right w:val="none" w:sz="0" w:space="0" w:color="auto"/>
      </w:divBdr>
    </w:div>
    <w:div w:id="594024034">
      <w:bodyDiv w:val="1"/>
      <w:marLeft w:val="0"/>
      <w:marRight w:val="0"/>
      <w:marTop w:val="0"/>
      <w:marBottom w:val="0"/>
      <w:divBdr>
        <w:top w:val="none" w:sz="0" w:space="0" w:color="auto"/>
        <w:left w:val="none" w:sz="0" w:space="0" w:color="auto"/>
        <w:bottom w:val="none" w:sz="0" w:space="0" w:color="auto"/>
        <w:right w:val="none" w:sz="0" w:space="0" w:color="auto"/>
      </w:divBdr>
    </w:div>
    <w:div w:id="639849497">
      <w:bodyDiv w:val="1"/>
      <w:marLeft w:val="0"/>
      <w:marRight w:val="0"/>
      <w:marTop w:val="0"/>
      <w:marBottom w:val="0"/>
      <w:divBdr>
        <w:top w:val="none" w:sz="0" w:space="0" w:color="auto"/>
        <w:left w:val="none" w:sz="0" w:space="0" w:color="auto"/>
        <w:bottom w:val="none" w:sz="0" w:space="0" w:color="auto"/>
        <w:right w:val="none" w:sz="0" w:space="0" w:color="auto"/>
      </w:divBdr>
    </w:div>
    <w:div w:id="684138650">
      <w:bodyDiv w:val="1"/>
      <w:marLeft w:val="0"/>
      <w:marRight w:val="0"/>
      <w:marTop w:val="0"/>
      <w:marBottom w:val="0"/>
      <w:divBdr>
        <w:top w:val="none" w:sz="0" w:space="0" w:color="auto"/>
        <w:left w:val="none" w:sz="0" w:space="0" w:color="auto"/>
        <w:bottom w:val="none" w:sz="0" w:space="0" w:color="auto"/>
        <w:right w:val="none" w:sz="0" w:space="0" w:color="auto"/>
      </w:divBdr>
    </w:div>
    <w:div w:id="696809172">
      <w:bodyDiv w:val="1"/>
      <w:marLeft w:val="0"/>
      <w:marRight w:val="0"/>
      <w:marTop w:val="0"/>
      <w:marBottom w:val="0"/>
      <w:divBdr>
        <w:top w:val="none" w:sz="0" w:space="0" w:color="auto"/>
        <w:left w:val="none" w:sz="0" w:space="0" w:color="auto"/>
        <w:bottom w:val="none" w:sz="0" w:space="0" w:color="auto"/>
        <w:right w:val="none" w:sz="0" w:space="0" w:color="auto"/>
      </w:divBdr>
    </w:div>
    <w:div w:id="737285135">
      <w:bodyDiv w:val="1"/>
      <w:marLeft w:val="0"/>
      <w:marRight w:val="0"/>
      <w:marTop w:val="0"/>
      <w:marBottom w:val="0"/>
      <w:divBdr>
        <w:top w:val="none" w:sz="0" w:space="0" w:color="auto"/>
        <w:left w:val="none" w:sz="0" w:space="0" w:color="auto"/>
        <w:bottom w:val="none" w:sz="0" w:space="0" w:color="auto"/>
        <w:right w:val="none" w:sz="0" w:space="0" w:color="auto"/>
      </w:divBdr>
    </w:div>
    <w:div w:id="834881278">
      <w:bodyDiv w:val="1"/>
      <w:marLeft w:val="0"/>
      <w:marRight w:val="0"/>
      <w:marTop w:val="0"/>
      <w:marBottom w:val="0"/>
      <w:divBdr>
        <w:top w:val="none" w:sz="0" w:space="0" w:color="auto"/>
        <w:left w:val="none" w:sz="0" w:space="0" w:color="auto"/>
        <w:bottom w:val="none" w:sz="0" w:space="0" w:color="auto"/>
        <w:right w:val="none" w:sz="0" w:space="0" w:color="auto"/>
      </w:divBdr>
    </w:div>
    <w:div w:id="963269303">
      <w:bodyDiv w:val="1"/>
      <w:marLeft w:val="0"/>
      <w:marRight w:val="0"/>
      <w:marTop w:val="0"/>
      <w:marBottom w:val="0"/>
      <w:divBdr>
        <w:top w:val="none" w:sz="0" w:space="0" w:color="auto"/>
        <w:left w:val="none" w:sz="0" w:space="0" w:color="auto"/>
        <w:bottom w:val="none" w:sz="0" w:space="0" w:color="auto"/>
        <w:right w:val="none" w:sz="0" w:space="0" w:color="auto"/>
      </w:divBdr>
    </w:div>
    <w:div w:id="1073089663">
      <w:bodyDiv w:val="1"/>
      <w:marLeft w:val="0"/>
      <w:marRight w:val="0"/>
      <w:marTop w:val="0"/>
      <w:marBottom w:val="0"/>
      <w:divBdr>
        <w:top w:val="none" w:sz="0" w:space="0" w:color="auto"/>
        <w:left w:val="none" w:sz="0" w:space="0" w:color="auto"/>
        <w:bottom w:val="none" w:sz="0" w:space="0" w:color="auto"/>
        <w:right w:val="none" w:sz="0" w:space="0" w:color="auto"/>
      </w:divBdr>
    </w:div>
    <w:div w:id="1208182236">
      <w:bodyDiv w:val="1"/>
      <w:marLeft w:val="0"/>
      <w:marRight w:val="0"/>
      <w:marTop w:val="0"/>
      <w:marBottom w:val="0"/>
      <w:divBdr>
        <w:top w:val="none" w:sz="0" w:space="0" w:color="auto"/>
        <w:left w:val="none" w:sz="0" w:space="0" w:color="auto"/>
        <w:bottom w:val="none" w:sz="0" w:space="0" w:color="auto"/>
        <w:right w:val="none" w:sz="0" w:space="0" w:color="auto"/>
      </w:divBdr>
    </w:div>
    <w:div w:id="1260675339">
      <w:bodyDiv w:val="1"/>
      <w:marLeft w:val="0"/>
      <w:marRight w:val="0"/>
      <w:marTop w:val="0"/>
      <w:marBottom w:val="0"/>
      <w:divBdr>
        <w:top w:val="none" w:sz="0" w:space="0" w:color="auto"/>
        <w:left w:val="none" w:sz="0" w:space="0" w:color="auto"/>
        <w:bottom w:val="none" w:sz="0" w:space="0" w:color="auto"/>
        <w:right w:val="none" w:sz="0" w:space="0" w:color="auto"/>
      </w:divBdr>
    </w:div>
    <w:div w:id="1297754900">
      <w:bodyDiv w:val="1"/>
      <w:marLeft w:val="0"/>
      <w:marRight w:val="0"/>
      <w:marTop w:val="0"/>
      <w:marBottom w:val="0"/>
      <w:divBdr>
        <w:top w:val="none" w:sz="0" w:space="0" w:color="auto"/>
        <w:left w:val="none" w:sz="0" w:space="0" w:color="auto"/>
        <w:bottom w:val="none" w:sz="0" w:space="0" w:color="auto"/>
        <w:right w:val="none" w:sz="0" w:space="0" w:color="auto"/>
      </w:divBdr>
    </w:div>
    <w:div w:id="1357273638">
      <w:bodyDiv w:val="1"/>
      <w:marLeft w:val="0"/>
      <w:marRight w:val="0"/>
      <w:marTop w:val="0"/>
      <w:marBottom w:val="0"/>
      <w:divBdr>
        <w:top w:val="none" w:sz="0" w:space="0" w:color="auto"/>
        <w:left w:val="none" w:sz="0" w:space="0" w:color="auto"/>
        <w:bottom w:val="none" w:sz="0" w:space="0" w:color="auto"/>
        <w:right w:val="none" w:sz="0" w:space="0" w:color="auto"/>
      </w:divBdr>
    </w:div>
    <w:div w:id="1460682642">
      <w:bodyDiv w:val="1"/>
      <w:marLeft w:val="0"/>
      <w:marRight w:val="0"/>
      <w:marTop w:val="0"/>
      <w:marBottom w:val="0"/>
      <w:divBdr>
        <w:top w:val="none" w:sz="0" w:space="0" w:color="auto"/>
        <w:left w:val="none" w:sz="0" w:space="0" w:color="auto"/>
        <w:bottom w:val="none" w:sz="0" w:space="0" w:color="auto"/>
        <w:right w:val="none" w:sz="0" w:space="0" w:color="auto"/>
      </w:divBdr>
    </w:div>
    <w:div w:id="1468475931">
      <w:bodyDiv w:val="1"/>
      <w:marLeft w:val="0"/>
      <w:marRight w:val="0"/>
      <w:marTop w:val="0"/>
      <w:marBottom w:val="0"/>
      <w:divBdr>
        <w:top w:val="none" w:sz="0" w:space="0" w:color="auto"/>
        <w:left w:val="none" w:sz="0" w:space="0" w:color="auto"/>
        <w:bottom w:val="none" w:sz="0" w:space="0" w:color="auto"/>
        <w:right w:val="none" w:sz="0" w:space="0" w:color="auto"/>
      </w:divBdr>
    </w:div>
    <w:div w:id="1512335138">
      <w:bodyDiv w:val="1"/>
      <w:marLeft w:val="0"/>
      <w:marRight w:val="0"/>
      <w:marTop w:val="0"/>
      <w:marBottom w:val="0"/>
      <w:divBdr>
        <w:top w:val="none" w:sz="0" w:space="0" w:color="auto"/>
        <w:left w:val="none" w:sz="0" w:space="0" w:color="auto"/>
        <w:bottom w:val="none" w:sz="0" w:space="0" w:color="auto"/>
        <w:right w:val="none" w:sz="0" w:space="0" w:color="auto"/>
      </w:divBdr>
    </w:div>
    <w:div w:id="1651012528">
      <w:bodyDiv w:val="1"/>
      <w:marLeft w:val="0"/>
      <w:marRight w:val="0"/>
      <w:marTop w:val="0"/>
      <w:marBottom w:val="0"/>
      <w:divBdr>
        <w:top w:val="none" w:sz="0" w:space="0" w:color="auto"/>
        <w:left w:val="none" w:sz="0" w:space="0" w:color="auto"/>
        <w:bottom w:val="none" w:sz="0" w:space="0" w:color="auto"/>
        <w:right w:val="none" w:sz="0" w:space="0" w:color="auto"/>
      </w:divBdr>
    </w:div>
    <w:div w:id="1706324228">
      <w:bodyDiv w:val="1"/>
      <w:marLeft w:val="0"/>
      <w:marRight w:val="0"/>
      <w:marTop w:val="0"/>
      <w:marBottom w:val="0"/>
      <w:divBdr>
        <w:top w:val="none" w:sz="0" w:space="0" w:color="auto"/>
        <w:left w:val="none" w:sz="0" w:space="0" w:color="auto"/>
        <w:bottom w:val="none" w:sz="0" w:space="0" w:color="auto"/>
        <w:right w:val="none" w:sz="0" w:space="0" w:color="auto"/>
      </w:divBdr>
    </w:div>
    <w:div w:id="1940218368">
      <w:bodyDiv w:val="1"/>
      <w:marLeft w:val="0"/>
      <w:marRight w:val="0"/>
      <w:marTop w:val="0"/>
      <w:marBottom w:val="0"/>
      <w:divBdr>
        <w:top w:val="none" w:sz="0" w:space="0" w:color="auto"/>
        <w:left w:val="none" w:sz="0" w:space="0" w:color="auto"/>
        <w:bottom w:val="none" w:sz="0" w:space="0" w:color="auto"/>
        <w:right w:val="none" w:sz="0" w:space="0" w:color="auto"/>
      </w:divBdr>
    </w:div>
    <w:div w:id="2005936252">
      <w:bodyDiv w:val="1"/>
      <w:marLeft w:val="0"/>
      <w:marRight w:val="0"/>
      <w:marTop w:val="0"/>
      <w:marBottom w:val="0"/>
      <w:divBdr>
        <w:top w:val="none" w:sz="0" w:space="0" w:color="auto"/>
        <w:left w:val="none" w:sz="0" w:space="0" w:color="auto"/>
        <w:bottom w:val="none" w:sz="0" w:space="0" w:color="auto"/>
        <w:right w:val="none" w:sz="0" w:space="0" w:color="auto"/>
      </w:divBdr>
    </w:div>
    <w:div w:id="2029407029">
      <w:bodyDiv w:val="1"/>
      <w:marLeft w:val="0"/>
      <w:marRight w:val="0"/>
      <w:marTop w:val="0"/>
      <w:marBottom w:val="0"/>
      <w:divBdr>
        <w:top w:val="none" w:sz="0" w:space="0" w:color="auto"/>
        <w:left w:val="none" w:sz="0" w:space="0" w:color="auto"/>
        <w:bottom w:val="none" w:sz="0" w:space="0" w:color="auto"/>
        <w:right w:val="none" w:sz="0" w:space="0" w:color="auto"/>
      </w:divBdr>
    </w:div>
    <w:div w:id="209331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yperlink" Target="http://sykrik.vectormap.cz/"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www.kdebourame.cz"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hyperlink" Target="http://www.audit-bezpecnosti.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ideko.cdv.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header" Target="head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spsd.cz/storage/files/Uplne_zneni_Zrizovaci_listiny.pdf" TargetMode="External"/><Relationship Id="rId2" Type="http://schemas.openxmlformats.org/officeDocument/2006/relationships/hyperlink" Target="http://www.mdcr.cz/Ministerstvo/Vedeni-ministerstva" TargetMode="External"/><Relationship Id="rId1" Type="http://schemas.openxmlformats.org/officeDocument/2006/relationships/hyperlink" Target="https://www.policie.cz/clanek/statistika-nehodovosti-900835.aspx" TargetMode="External"/><Relationship Id="rId4" Type="http://schemas.openxmlformats.org/officeDocument/2006/relationships/hyperlink" Target="https://www.czrso.cz/clanek/hloubkova-analyza-silnicnich-dopravnich-nehod-hlavni-priciny-vzniku-nehod/?id=1654"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D:\Plocha\AKTIVITY%20AP.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Plocha\AKTIVITY%20AP.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100" b="1">
                <a:solidFill>
                  <a:sysClr val="windowText" lastClr="000000"/>
                </a:solidFill>
              </a:rPr>
              <a:t>AP 2011–2020</a:t>
            </a:r>
            <a:endParaRPr lang="en-US" sz="1100" b="1">
              <a:solidFill>
                <a:sysClr val="windowText" lastClr="000000"/>
              </a:solidFill>
            </a:endParaRPr>
          </a:p>
        </c:rich>
      </c:tx>
      <c:layout>
        <c:manualLayout>
          <c:xMode val="edge"/>
          <c:yMode val="edge"/>
          <c:x val="0.23414001821200922"/>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doughnutChart>
        <c:varyColors val="1"/>
        <c:ser>
          <c:idx val="0"/>
          <c:order val="0"/>
          <c:tx>
            <c:strRef>
              <c:f>List1!$B$1</c:f>
              <c:strCache>
                <c:ptCount val="1"/>
                <c:pt idx="0">
                  <c:v>Prodej</c:v>
                </c:pt>
              </c:strCache>
            </c:strRef>
          </c:tx>
          <c:dPt>
            <c:idx val="0"/>
            <c:bubble3D val="0"/>
            <c:spPr>
              <a:solidFill>
                <a:srgbClr val="2EB3A1"/>
              </a:solidFill>
              <a:ln w="19050">
                <a:solidFill>
                  <a:schemeClr val="lt1"/>
                </a:solidFill>
              </a:ln>
              <a:effectLst/>
            </c:spPr>
            <c:extLst>
              <c:ext xmlns:c16="http://schemas.microsoft.com/office/drawing/2014/chart" uri="{C3380CC4-5D6E-409C-BE32-E72D297353CC}">
                <c16:uniqueId val="{00000001-2998-4545-A197-5B4D4650C7B1}"/>
              </c:ext>
            </c:extLst>
          </c:dPt>
          <c:dPt>
            <c:idx val="1"/>
            <c:bubble3D val="0"/>
            <c:spPr>
              <a:solidFill>
                <a:srgbClr val="AF2D53"/>
              </a:solidFill>
              <a:ln w="19050">
                <a:solidFill>
                  <a:schemeClr val="lt1"/>
                </a:solidFill>
              </a:ln>
              <a:effectLst/>
            </c:spPr>
            <c:extLst>
              <c:ext xmlns:c16="http://schemas.microsoft.com/office/drawing/2014/chart" uri="{C3380CC4-5D6E-409C-BE32-E72D297353CC}">
                <c16:uniqueId val="{00000003-2998-4545-A197-5B4D4650C7B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998-4545-A197-5B4D4650C7B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998-4545-A197-5B4D4650C7B1}"/>
              </c:ext>
            </c:extLst>
          </c:dPt>
          <c:dLbls>
            <c:dLbl>
              <c:idx val="0"/>
              <c:layout>
                <c:manualLayout>
                  <c:x val="8.4440516364025928E-2"/>
                  <c:y val="-0.1620984756713103"/>
                </c:manualLayout>
              </c:layout>
              <c:tx>
                <c:rich>
                  <a:bodyPr/>
                  <a:lstStyle/>
                  <a:p>
                    <a:r>
                      <a:rPr lang="en-US" sz="800">
                        <a:solidFill>
                          <a:sysClr val="windowText" lastClr="000000"/>
                        </a:solidFill>
                      </a:rPr>
                      <a:t>jednoznačná kritéria </a:t>
                    </a:r>
                  </a:p>
                  <a:p>
                    <a:fld id="{7F7A1D96-ED3E-4734-B77B-75D3826E38AA}" type="VALUE">
                      <a:rPr lang="en-US" sz="800">
                        <a:solidFill>
                          <a:sysClr val="windowText" lastClr="000000"/>
                        </a:solidFill>
                      </a:rPr>
                      <a:pPr/>
                      <a:t>[HODNOTA]</a:t>
                    </a:fld>
                    <a:r>
                      <a:rPr lang="en-US" sz="800">
                        <a:solidFill>
                          <a:sysClr val="windowText" lastClr="000000"/>
                        </a:solidFill>
                      </a:rPr>
                      <a:t> %</a:t>
                    </a:r>
                  </a:p>
                </c:rich>
              </c:tx>
              <c:showLegendKey val="0"/>
              <c:showVal val="1"/>
              <c:showCatName val="0"/>
              <c:showSerName val="0"/>
              <c:showPercent val="0"/>
              <c:showBubbleSize val="0"/>
              <c:extLst>
                <c:ext xmlns:c15="http://schemas.microsoft.com/office/drawing/2012/chart" uri="{CE6537A1-D6FC-4f65-9D91-7224C49458BB}">
                  <c15:layout>
                    <c:manualLayout>
                      <c:w val="0.33622743585623227"/>
                      <c:h val="0.21568140520896423"/>
                    </c:manualLayout>
                  </c15:layout>
                  <c15:dlblFieldTable/>
                  <c15:showDataLabelsRange val="0"/>
                </c:ext>
                <c:ext xmlns:c16="http://schemas.microsoft.com/office/drawing/2014/chart" uri="{C3380CC4-5D6E-409C-BE32-E72D297353CC}">
                  <c16:uniqueId val="{00000001-2998-4545-A197-5B4D4650C7B1}"/>
                </c:ext>
              </c:extLst>
            </c:dLbl>
            <c:dLbl>
              <c:idx val="1"/>
              <c:layout>
                <c:manualLayout>
                  <c:x val="-8.0832128126841291E-2"/>
                  <c:y val="0.1946133656369877"/>
                </c:manualLayout>
              </c:layout>
              <c:tx>
                <c:rich>
                  <a:bodyPr/>
                  <a:lstStyle/>
                  <a:p>
                    <a:r>
                      <a:rPr lang="en-US" sz="800">
                        <a:solidFill>
                          <a:sysClr val="windowText" lastClr="000000"/>
                        </a:solidFill>
                      </a:rPr>
                      <a:t>bez kritérií </a:t>
                    </a:r>
                  </a:p>
                  <a:p>
                    <a:fld id="{ADE30305-C67A-4995-94CE-7BDAF2409A0F}" type="VALUE">
                      <a:rPr lang="en-US" sz="800">
                        <a:solidFill>
                          <a:sysClr val="windowText" lastClr="000000"/>
                        </a:solidFill>
                      </a:rPr>
                      <a:pPr/>
                      <a:t>[HODNOTA]</a:t>
                    </a:fld>
                    <a:r>
                      <a:rPr lang="en-US" sz="800">
                        <a:solidFill>
                          <a:sysClr val="windowText" lastClr="000000"/>
                        </a:solidFill>
                      </a:rPr>
                      <a:t> %</a:t>
                    </a:r>
                  </a:p>
                </c:rich>
              </c:tx>
              <c:showLegendKey val="0"/>
              <c:showVal val="1"/>
              <c:showCatName val="0"/>
              <c:showSerName val="0"/>
              <c:showPercent val="0"/>
              <c:showBubbleSize val="0"/>
              <c:extLst>
                <c:ext xmlns:c15="http://schemas.microsoft.com/office/drawing/2012/chart" uri="{CE6537A1-D6FC-4f65-9D91-7224C49458BB}">
                  <c15:layout>
                    <c:manualLayout>
                      <c:w val="0.32204456585783914"/>
                      <c:h val="0.15621492025035333"/>
                    </c:manualLayout>
                  </c15:layout>
                  <c15:dlblFieldTable/>
                  <c15:showDataLabelsRange val="0"/>
                </c:ext>
                <c:ext xmlns:c16="http://schemas.microsoft.com/office/drawing/2014/chart" uri="{C3380CC4-5D6E-409C-BE32-E72D297353CC}">
                  <c16:uniqueId val="{00000003-2998-4545-A197-5B4D4650C7B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List1!$A$2:$A$5</c:f>
              <c:strCache>
                <c:ptCount val="2"/>
                <c:pt idx="0">
                  <c:v>1. čtvrt.</c:v>
                </c:pt>
                <c:pt idx="1">
                  <c:v>2. čtvrt.</c:v>
                </c:pt>
              </c:strCache>
            </c:strRef>
          </c:cat>
          <c:val>
            <c:numRef>
              <c:f>List1!$B$2:$B$5</c:f>
              <c:numCache>
                <c:formatCode>General</c:formatCode>
                <c:ptCount val="4"/>
                <c:pt idx="0">
                  <c:v>32</c:v>
                </c:pt>
                <c:pt idx="1">
                  <c:v>68</c:v>
                </c:pt>
              </c:numCache>
            </c:numRef>
          </c:val>
          <c:extLst>
            <c:ext xmlns:c16="http://schemas.microsoft.com/office/drawing/2014/chart" uri="{C3380CC4-5D6E-409C-BE32-E72D297353CC}">
              <c16:uniqueId val="{00000008-2998-4545-A197-5B4D4650C7B1}"/>
            </c:ext>
          </c:extLst>
        </c:ser>
        <c:dLbls>
          <c:showLegendKey val="0"/>
          <c:showVal val="0"/>
          <c:showCatName val="0"/>
          <c:showSerName val="0"/>
          <c:showPercent val="0"/>
          <c:showBubbleSize val="0"/>
          <c:showLeaderLines val="0"/>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100" b="1" i="0" baseline="0">
                <a:solidFill>
                  <a:sysClr val="windowText" lastClr="000000"/>
                </a:solidFill>
                <a:effectLst/>
              </a:rPr>
              <a:t>AP 2021–2022</a:t>
            </a:r>
            <a:endParaRPr lang="cs-CZ" sz="1100">
              <a:solidFill>
                <a:sysClr val="windowText" lastClr="000000"/>
              </a:solidFill>
              <a:effectLst/>
            </a:endParaRPr>
          </a:p>
        </c:rich>
      </c:tx>
      <c:layout>
        <c:manualLayout>
          <c:xMode val="edge"/>
          <c:yMode val="edge"/>
          <c:x val="0.3060118800939356"/>
          <c:y val="7.129108861392325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doughnutChart>
        <c:varyColors val="1"/>
        <c:ser>
          <c:idx val="0"/>
          <c:order val="0"/>
          <c:tx>
            <c:strRef>
              <c:f>List1!$B$1</c:f>
              <c:strCache>
                <c:ptCount val="1"/>
                <c:pt idx="0">
                  <c:v>Prodej</c:v>
                </c:pt>
              </c:strCache>
            </c:strRef>
          </c:tx>
          <c:dPt>
            <c:idx val="0"/>
            <c:bubble3D val="0"/>
            <c:spPr>
              <a:solidFill>
                <a:srgbClr val="2EB3A1"/>
              </a:solidFill>
              <a:ln w="19050">
                <a:solidFill>
                  <a:schemeClr val="lt1"/>
                </a:solidFill>
              </a:ln>
              <a:effectLst/>
            </c:spPr>
            <c:extLst>
              <c:ext xmlns:c16="http://schemas.microsoft.com/office/drawing/2014/chart" uri="{C3380CC4-5D6E-409C-BE32-E72D297353CC}">
                <c16:uniqueId val="{00000001-FE4E-4FCC-A78F-32B9CCDD7BC2}"/>
              </c:ext>
            </c:extLst>
          </c:dPt>
          <c:dPt>
            <c:idx val="1"/>
            <c:bubble3D val="0"/>
            <c:spPr>
              <a:solidFill>
                <a:srgbClr val="FDC300"/>
              </a:solidFill>
              <a:ln w="19050">
                <a:solidFill>
                  <a:schemeClr val="lt1"/>
                </a:solidFill>
              </a:ln>
              <a:effectLst/>
            </c:spPr>
            <c:extLst>
              <c:ext xmlns:c16="http://schemas.microsoft.com/office/drawing/2014/chart" uri="{C3380CC4-5D6E-409C-BE32-E72D297353CC}">
                <c16:uniqueId val="{00000003-FE4E-4FCC-A78F-32B9CCDD7BC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E4E-4FCC-A78F-32B9CCDD7BC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E4E-4FCC-A78F-32B9CCDD7BC2}"/>
              </c:ext>
            </c:extLst>
          </c:dPt>
          <c:dLbls>
            <c:dLbl>
              <c:idx val="0"/>
              <c:layout>
                <c:manualLayout>
                  <c:x val="0.1407551687617995"/>
                  <c:y val="0.17948756405449318"/>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sz="800" b="0" i="0" u="none" strike="noStrike" kern="1200" baseline="0">
                        <a:solidFill>
                          <a:sysClr val="windowText" lastClr="000000"/>
                        </a:solidFill>
                      </a:rPr>
                      <a:t>jednoznačná kritéria </a:t>
                    </a:r>
                  </a:p>
                  <a:p>
                    <a:pPr>
                      <a:defRPr/>
                    </a:pPr>
                    <a:fld id="{0DA4E0B1-2DB2-4853-A5C9-8FFE98A5043D}" type="VALUE">
                      <a:rPr lang="en-US" sz="800">
                        <a:solidFill>
                          <a:sysClr val="windowText" lastClr="000000"/>
                        </a:solidFill>
                      </a:rPr>
                      <a:pPr>
                        <a:defRPr/>
                      </a:pPr>
                      <a:t>[HODNOTA]</a:t>
                    </a:fld>
                    <a:r>
                      <a:rPr lang="en-US" sz="800">
                        <a:solidFill>
                          <a:sysClr val="windowText" lastClr="000000"/>
                        </a:solidFill>
                      </a:rPr>
                      <a:t> %</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7549986038979168"/>
                      <c:h val="0.21115384615384614"/>
                    </c:manualLayout>
                  </c15:layout>
                  <c15:dlblFieldTable/>
                  <c15:showDataLabelsRange val="0"/>
                </c:ext>
                <c:ext xmlns:c16="http://schemas.microsoft.com/office/drawing/2014/chart" uri="{C3380CC4-5D6E-409C-BE32-E72D297353CC}">
                  <c16:uniqueId val="{00000001-FE4E-4FCC-A78F-32B9CCDD7BC2}"/>
                </c:ext>
              </c:extLst>
            </c:dLbl>
            <c:dLbl>
              <c:idx val="1"/>
              <c:layout>
                <c:manualLayout>
                  <c:x val="-0.11011557765805591"/>
                  <c:y val="-0.15396850393700787"/>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sz="800">
                        <a:solidFill>
                          <a:sysClr val="windowText" lastClr="000000"/>
                        </a:solidFill>
                      </a:rPr>
                      <a:t>bez cílové hodnoty </a:t>
                    </a:r>
                    <a:fld id="{924EB02C-F545-4F5A-B391-3098723129FC}" type="VALUE">
                      <a:rPr lang="en-US" sz="800">
                        <a:solidFill>
                          <a:sysClr val="windowText" lastClr="000000"/>
                        </a:solidFill>
                      </a:rPr>
                      <a:pPr>
                        <a:defRPr/>
                      </a:pPr>
                      <a:t>[HODNOTA]</a:t>
                    </a:fld>
                    <a:r>
                      <a:rPr lang="en-US" sz="800">
                        <a:solidFill>
                          <a:sysClr val="windowText" lastClr="000000"/>
                        </a:solidFill>
                      </a:rPr>
                      <a:t> %</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2943742670464065"/>
                      <c:h val="0.22018978396931149"/>
                    </c:manualLayout>
                  </c15:layout>
                  <c15:dlblFieldTable/>
                  <c15:showDataLabelsRange val="0"/>
                </c:ext>
                <c:ext xmlns:c16="http://schemas.microsoft.com/office/drawing/2014/chart" uri="{C3380CC4-5D6E-409C-BE32-E72D297353CC}">
                  <c16:uniqueId val="{00000003-FE4E-4FCC-A78F-32B9CCDD7BC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extLst>
          </c:dLbls>
          <c:cat>
            <c:strRef>
              <c:f>List1!$A$2:$A$5</c:f>
              <c:strCache>
                <c:ptCount val="2"/>
                <c:pt idx="0">
                  <c:v>1. čtvrt.</c:v>
                </c:pt>
                <c:pt idx="1">
                  <c:v>2. čtvrt.</c:v>
                </c:pt>
              </c:strCache>
            </c:strRef>
          </c:cat>
          <c:val>
            <c:numRef>
              <c:f>List1!$B$2:$B$5</c:f>
              <c:numCache>
                <c:formatCode>General</c:formatCode>
                <c:ptCount val="4"/>
                <c:pt idx="0">
                  <c:v>67</c:v>
                </c:pt>
                <c:pt idx="1">
                  <c:v>33</c:v>
                </c:pt>
              </c:numCache>
            </c:numRef>
          </c:val>
          <c:extLst>
            <c:ext xmlns:c16="http://schemas.microsoft.com/office/drawing/2014/chart" uri="{C3380CC4-5D6E-409C-BE32-E72D297353CC}">
              <c16:uniqueId val="{00000008-FE4E-4FCC-A78F-32B9CCDD7BC2}"/>
            </c:ext>
          </c:extLst>
        </c:ser>
        <c:dLbls>
          <c:showLegendKey val="0"/>
          <c:showVal val="0"/>
          <c:showCatName val="0"/>
          <c:showSerName val="0"/>
          <c:showPercent val="0"/>
          <c:showBubbleSize val="0"/>
          <c:showLeaderLines val="0"/>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100" b="1" i="0" baseline="0">
                <a:solidFill>
                  <a:sysClr val="windowText" lastClr="000000"/>
                </a:solidFill>
                <a:effectLst/>
              </a:rPr>
              <a:t>AP 2023–2024</a:t>
            </a:r>
            <a:endParaRPr lang="cs-CZ" sz="1100">
              <a:solidFill>
                <a:sysClr val="windowText" lastClr="000000"/>
              </a:solidFill>
              <a:effectLst/>
            </a:endParaRPr>
          </a:p>
        </c:rich>
      </c:tx>
      <c:layout>
        <c:manualLayout>
          <c:xMode val="edge"/>
          <c:yMode val="edge"/>
          <c:x val="0.36283229959383562"/>
          <c:y val="3.907164382229998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doughnutChart>
        <c:varyColors val="1"/>
        <c:ser>
          <c:idx val="0"/>
          <c:order val="0"/>
          <c:tx>
            <c:strRef>
              <c:f>List1!$B$1</c:f>
              <c:strCache>
                <c:ptCount val="1"/>
                <c:pt idx="0">
                  <c:v>Prodej</c:v>
                </c:pt>
              </c:strCache>
            </c:strRef>
          </c:tx>
          <c:dPt>
            <c:idx val="0"/>
            <c:bubble3D val="0"/>
            <c:spPr>
              <a:solidFill>
                <a:srgbClr val="2EB3A1"/>
              </a:solidFill>
              <a:ln w="19050">
                <a:solidFill>
                  <a:schemeClr val="lt1"/>
                </a:solidFill>
              </a:ln>
              <a:effectLst/>
            </c:spPr>
            <c:extLst>
              <c:ext xmlns:c16="http://schemas.microsoft.com/office/drawing/2014/chart" uri="{C3380CC4-5D6E-409C-BE32-E72D297353CC}">
                <c16:uniqueId val="{00000001-942F-4230-BB32-81BBE45A287E}"/>
              </c:ext>
            </c:extLst>
          </c:dPt>
          <c:dPt>
            <c:idx val="1"/>
            <c:bubble3D val="0"/>
            <c:spPr>
              <a:solidFill>
                <a:srgbClr val="FDC300"/>
              </a:solidFill>
              <a:ln w="19050">
                <a:solidFill>
                  <a:schemeClr val="lt1"/>
                </a:solidFill>
              </a:ln>
              <a:effectLst/>
            </c:spPr>
            <c:extLst>
              <c:ext xmlns:c16="http://schemas.microsoft.com/office/drawing/2014/chart" uri="{C3380CC4-5D6E-409C-BE32-E72D297353CC}">
                <c16:uniqueId val="{00000003-942F-4230-BB32-81BBE45A287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42F-4230-BB32-81BBE45A287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42F-4230-BB32-81BBE45A287E}"/>
              </c:ext>
            </c:extLst>
          </c:dPt>
          <c:dLbls>
            <c:dLbl>
              <c:idx val="0"/>
              <c:layout>
                <c:manualLayout>
                  <c:x val="-1.4897579143389267E-2"/>
                  <c:y val="0.30751093613298325"/>
                </c:manualLayout>
              </c:layout>
              <c:tx>
                <c:rich>
                  <a:bodyPr rot="0" spcFirstLastPara="1" vertOverflow="clip" horzOverflow="clip" vert="horz" wrap="square" lIns="36576" tIns="18288" rIns="36576" bIns="18288"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65000"/>
                            <a:lumOff val="35000"/>
                          </a:sysClr>
                        </a:solidFill>
                        <a:latin typeface="+mn-lt"/>
                        <a:ea typeface="+mn-ea"/>
                        <a:cs typeface="+mn-cs"/>
                      </a:defRPr>
                    </a:pPr>
                    <a:r>
                      <a:rPr lang="en-US" sz="800" b="0" i="0" u="none" strike="noStrike" kern="1200" baseline="0">
                        <a:solidFill>
                          <a:sysClr val="windowText" lastClr="000000"/>
                        </a:solidFill>
                      </a:rPr>
                      <a:t>jednoznačná kritéria </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fld id="{3BBE8F5C-E477-4F5E-B931-613E9B64DA37}" type="VALUE">
                      <a:rPr lang="en-US" sz="800">
                        <a:solidFill>
                          <a:sysClr val="windowText" lastClr="000000"/>
                        </a:solidFill>
                      </a:rPr>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t>[HODNOTA]</a:t>
                    </a:fld>
                    <a:r>
                      <a:rPr lang="en-US" sz="800">
                        <a:solidFill>
                          <a:sysClr val="windowText" lastClr="000000"/>
                        </a:solidFill>
                      </a:rPr>
                      <a:t> %</a:t>
                    </a:r>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0">
                  <a:sp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65000"/>
                          <a:lumOff val="35000"/>
                        </a:sys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36477191747679583"/>
                      <c:h val="0.22183824244191699"/>
                    </c:manualLayout>
                  </c15:layout>
                  <c15:dlblFieldTable/>
                  <c15:showDataLabelsRange val="0"/>
                </c:ext>
                <c:ext xmlns:c16="http://schemas.microsoft.com/office/drawing/2014/chart" uri="{C3380CC4-5D6E-409C-BE32-E72D297353CC}">
                  <c16:uniqueId val="{00000001-942F-4230-BB32-81BBE45A287E}"/>
                </c:ext>
              </c:extLst>
            </c:dLbl>
            <c:dLbl>
              <c:idx val="1"/>
              <c:layout>
                <c:manualLayout>
                  <c:x val="-2.7424384451943506E-2"/>
                  <c:y val="-0.30469268515348624"/>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sz="800" b="0" i="0" u="none" strike="noStrike" kern="1200" baseline="0">
                        <a:solidFill>
                          <a:sysClr val="windowText" lastClr="000000"/>
                        </a:solidFill>
                      </a:rPr>
                      <a:t>bez cílové </a:t>
                    </a:r>
                    <a:br>
                      <a:rPr lang="en-US" sz="800" b="0" i="0" u="none" strike="noStrike" kern="1200" baseline="0">
                        <a:solidFill>
                          <a:sysClr val="windowText" lastClr="000000"/>
                        </a:solidFill>
                      </a:rPr>
                    </a:br>
                    <a:r>
                      <a:rPr lang="en-US" sz="800" b="0" i="0" u="none" strike="noStrike" kern="1200" baseline="0">
                        <a:solidFill>
                          <a:sysClr val="windowText" lastClr="000000"/>
                        </a:solidFill>
                      </a:rPr>
                      <a:t>hodnoty</a:t>
                    </a:r>
                    <a:br>
                      <a:rPr lang="en-US" sz="800" b="0" i="0" u="none" strike="noStrike" kern="1200" baseline="0">
                        <a:solidFill>
                          <a:sysClr val="windowText" lastClr="000000"/>
                        </a:solidFill>
                      </a:rPr>
                    </a:br>
                    <a:r>
                      <a:rPr lang="en-US" sz="800" b="0" i="0" u="none" strike="noStrike" kern="1200" baseline="0">
                        <a:solidFill>
                          <a:sysClr val="windowText" lastClr="000000"/>
                        </a:solidFill>
                      </a:rPr>
                      <a:t> </a:t>
                    </a:r>
                    <a:fld id="{BB905CA2-2273-427F-879D-8611109F4A16}" type="VALUE">
                      <a:rPr lang="en-US" sz="800">
                        <a:solidFill>
                          <a:sysClr val="windowText" lastClr="000000"/>
                        </a:solidFill>
                      </a:rPr>
                      <a:pPr>
                        <a:defRPr/>
                      </a:pPr>
                      <a:t>[HODNOTA]</a:t>
                    </a:fld>
                    <a:r>
                      <a:rPr lang="en-US" sz="800">
                        <a:solidFill>
                          <a:sysClr val="windowText" lastClr="000000"/>
                        </a:solidFill>
                      </a:rPr>
                      <a:t> %</a:t>
                    </a:r>
                  </a:p>
                </c:rich>
              </c:tx>
              <c:spPr>
                <a:xfrm>
                  <a:off x="12699" y="326238"/>
                  <a:ext cx="506355" cy="472566"/>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9850"/>
                        <a:gd name="adj2" fmla="val 76439"/>
                      </a:avLst>
                    </a:prstGeom>
                    <a:noFill/>
                    <a:ln>
                      <a:noFill/>
                    </a:ln>
                  </c15:spPr>
                  <c15:layout>
                    <c:manualLayout>
                      <c:w val="0.31643294588176474"/>
                      <c:h val="0.21571014492753621"/>
                    </c:manualLayout>
                  </c15:layout>
                  <c15:dlblFieldTable/>
                  <c15:showDataLabelsRange val="0"/>
                </c:ext>
                <c:ext xmlns:c16="http://schemas.microsoft.com/office/drawing/2014/chart" uri="{C3380CC4-5D6E-409C-BE32-E72D297353CC}">
                  <c16:uniqueId val="{00000003-942F-4230-BB32-81BBE45A287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List1!$A$2:$A$5</c:f>
              <c:strCache>
                <c:ptCount val="2"/>
                <c:pt idx="0">
                  <c:v>1. čtvrt.</c:v>
                </c:pt>
                <c:pt idx="1">
                  <c:v>2. čtvrt.</c:v>
                </c:pt>
              </c:strCache>
            </c:strRef>
          </c:cat>
          <c:val>
            <c:numRef>
              <c:f>List1!$B$2:$B$5</c:f>
              <c:numCache>
                <c:formatCode>General</c:formatCode>
                <c:ptCount val="4"/>
                <c:pt idx="0">
                  <c:v>50</c:v>
                </c:pt>
                <c:pt idx="1">
                  <c:v>50</c:v>
                </c:pt>
              </c:numCache>
            </c:numRef>
          </c:val>
          <c:extLst>
            <c:ext xmlns:c16="http://schemas.microsoft.com/office/drawing/2014/chart" uri="{C3380CC4-5D6E-409C-BE32-E72D297353CC}">
              <c16:uniqueId val="{00000008-942F-4230-BB32-81BBE45A287E}"/>
            </c:ext>
          </c:extLst>
        </c:ser>
        <c:dLbls>
          <c:showLegendKey val="0"/>
          <c:showVal val="0"/>
          <c:showCatName val="0"/>
          <c:showSerName val="0"/>
          <c:showPercent val="0"/>
          <c:showBubbleSize val="0"/>
          <c:showLeaderLines val="0"/>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cs-CZ" sz="1100" b="1" i="0" u="none" strike="noStrike" baseline="0">
                <a:solidFill>
                  <a:schemeClr val="tx1"/>
                </a:solidFill>
                <a:effectLst/>
              </a:rPr>
              <a:t>Plnění AP 2021–2022 dle MD</a:t>
            </a:r>
            <a:endParaRPr lang="cs-CZ" sz="1100" b="1" i="0" u="none" strike="noStrike" kern="1200" baseline="0">
              <a:solidFill>
                <a:schemeClr val="tx1"/>
              </a:solidFill>
              <a:effectLst/>
              <a:latin typeface="+mn-lt"/>
              <a:ea typeface="+mn-ea"/>
              <a:cs typeface="+mn-cs"/>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cs-CZ"/>
        </a:p>
      </c:txPr>
    </c:title>
    <c:autoTitleDeleted val="0"/>
    <c:plotArea>
      <c:layout/>
      <c:doughnutChart>
        <c:varyColors val="1"/>
        <c:ser>
          <c:idx val="0"/>
          <c:order val="0"/>
          <c:spPr>
            <a:ln w="19050">
              <a:solidFill>
                <a:schemeClr val="bg1"/>
              </a:solidFill>
            </a:ln>
            <a:effectLst>
              <a:outerShdw blurRad="317500" algn="ctr" rotWithShape="0">
                <a:schemeClr val="bg1">
                  <a:alpha val="25000"/>
                </a:schemeClr>
              </a:outerShdw>
            </a:effectLst>
          </c:spPr>
          <c:dPt>
            <c:idx val="0"/>
            <c:bubble3D val="0"/>
            <c:spPr>
              <a:solidFill>
                <a:srgbClr val="2EB3A1"/>
              </a:solidFill>
              <a:ln w="19050">
                <a:solidFill>
                  <a:schemeClr val="bg1"/>
                </a:solidFill>
              </a:ln>
              <a:effectLst>
                <a:outerShdw blurRad="317500" algn="ctr" rotWithShape="0">
                  <a:schemeClr val="bg1">
                    <a:alpha val="25000"/>
                  </a:schemeClr>
                </a:outerShdw>
              </a:effectLst>
            </c:spPr>
            <c:extLst>
              <c:ext xmlns:c16="http://schemas.microsoft.com/office/drawing/2014/chart" uri="{C3380CC4-5D6E-409C-BE32-E72D297353CC}">
                <c16:uniqueId val="{00000001-5718-4140-A0BB-8C752F0E7382}"/>
              </c:ext>
            </c:extLst>
          </c:dPt>
          <c:dPt>
            <c:idx val="1"/>
            <c:bubble3D val="0"/>
            <c:spPr>
              <a:solidFill>
                <a:srgbClr val="AF2D53"/>
              </a:solidFill>
              <a:ln w="19050">
                <a:solidFill>
                  <a:schemeClr val="bg1"/>
                </a:solidFill>
              </a:ln>
              <a:effectLst>
                <a:outerShdw blurRad="317500" algn="ctr" rotWithShape="0">
                  <a:schemeClr val="bg1">
                    <a:alpha val="25000"/>
                  </a:schemeClr>
                </a:outerShdw>
              </a:effectLst>
            </c:spPr>
            <c:extLst>
              <c:ext xmlns:c16="http://schemas.microsoft.com/office/drawing/2014/chart" uri="{C3380CC4-5D6E-409C-BE32-E72D297353CC}">
                <c16:uniqueId val="{00000003-5718-4140-A0BB-8C752F0E7382}"/>
              </c:ext>
            </c:extLst>
          </c:dPt>
          <c:dPt>
            <c:idx val="2"/>
            <c:bubble3D val="0"/>
            <c:spPr>
              <a:solidFill>
                <a:srgbClr val="FDC300"/>
              </a:solidFill>
              <a:ln w="19050">
                <a:solidFill>
                  <a:schemeClr val="bg1"/>
                </a:solidFill>
              </a:ln>
              <a:effectLst>
                <a:outerShdw blurRad="317500" algn="ctr" rotWithShape="0">
                  <a:schemeClr val="bg1">
                    <a:alpha val="25000"/>
                  </a:schemeClr>
                </a:outerShdw>
              </a:effectLst>
            </c:spPr>
            <c:extLst>
              <c:ext xmlns:c16="http://schemas.microsoft.com/office/drawing/2014/chart" uri="{C3380CC4-5D6E-409C-BE32-E72D297353CC}">
                <c16:uniqueId val="{00000005-5718-4140-A0BB-8C752F0E7382}"/>
              </c:ext>
            </c:extLst>
          </c:dPt>
          <c:dPt>
            <c:idx val="3"/>
            <c:bubble3D val="0"/>
            <c:spPr>
              <a:solidFill>
                <a:srgbClr val="C3C5C6"/>
              </a:solidFill>
              <a:ln w="19050">
                <a:solidFill>
                  <a:schemeClr val="bg1"/>
                </a:solidFill>
              </a:ln>
              <a:effectLst>
                <a:outerShdw blurRad="317500" algn="ctr" rotWithShape="0">
                  <a:schemeClr val="bg1">
                    <a:alpha val="25000"/>
                  </a:schemeClr>
                </a:outerShdw>
              </a:effectLst>
            </c:spPr>
            <c:extLst>
              <c:ext xmlns:c16="http://schemas.microsoft.com/office/drawing/2014/chart" uri="{C3380CC4-5D6E-409C-BE32-E72D297353CC}">
                <c16:uniqueId val="{00000007-5718-4140-A0BB-8C752F0E7382}"/>
              </c:ext>
            </c:extLst>
          </c:dPt>
          <c:dLbls>
            <c:dLbl>
              <c:idx val="0"/>
              <c:layout>
                <c:manualLayout>
                  <c:x val="3.0512626867321035E-2"/>
                  <c:y val="-0.48569138761139907"/>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rgbClr val="002850"/>
                        </a:solidFill>
                        <a:latin typeface="+mn-lt"/>
                        <a:ea typeface="+mn-ea"/>
                        <a:cs typeface="+mn-cs"/>
                      </a:defRPr>
                    </a:pPr>
                    <a:r>
                      <a:rPr lang="en-US">
                        <a:solidFill>
                          <a:schemeClr val="tx1"/>
                        </a:solidFill>
                      </a:rPr>
                      <a:t>splněno 64 %</a:t>
                    </a:r>
                  </a:p>
                </c:rich>
              </c:tx>
              <c:spPr>
                <a:solidFill>
                  <a:sysClr val="window" lastClr="FFFFFF">
                    <a:alpha val="75000"/>
                  </a:sysClr>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rgbClr val="002850"/>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07055"/>
                        <a:gd name="adj2" fmla="val 97168"/>
                      </a:avLst>
                    </a:prstGeom>
                    <a:noFill/>
                    <a:ln>
                      <a:noFill/>
                    </a:ln>
                  </c15:spPr>
                </c:ext>
                <c:ext xmlns:c16="http://schemas.microsoft.com/office/drawing/2014/chart" uri="{C3380CC4-5D6E-409C-BE32-E72D297353CC}">
                  <c16:uniqueId val="{00000001-5718-4140-A0BB-8C752F0E7382}"/>
                </c:ext>
              </c:extLst>
            </c:dLbl>
            <c:dLbl>
              <c:idx val="1"/>
              <c:layout>
                <c:manualLayout>
                  <c:x val="-0.12580427446569178"/>
                  <c:y val="0.15468400027709148"/>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rgbClr val="002850"/>
                        </a:solidFill>
                        <a:latin typeface="+mn-lt"/>
                        <a:ea typeface="+mn-ea"/>
                        <a:cs typeface="+mn-cs"/>
                      </a:defRPr>
                    </a:pPr>
                    <a:r>
                      <a:rPr lang="en-US">
                        <a:solidFill>
                          <a:schemeClr val="tx1"/>
                        </a:solidFill>
                      </a:rPr>
                      <a:t>nesplněno 7 %</a:t>
                    </a:r>
                  </a:p>
                </c:rich>
              </c:tx>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rgbClr val="002850"/>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2095577896512936"/>
                      <c:h val="0.16377591632186164"/>
                    </c:manualLayout>
                  </c15:layout>
                </c:ext>
                <c:ext xmlns:c16="http://schemas.microsoft.com/office/drawing/2014/chart" uri="{C3380CC4-5D6E-409C-BE32-E72D297353CC}">
                  <c16:uniqueId val="{00000003-5718-4140-A0BB-8C752F0E7382}"/>
                </c:ext>
              </c:extLst>
            </c:dLbl>
            <c:dLbl>
              <c:idx val="2"/>
              <c:layout>
                <c:manualLayout>
                  <c:x val="-0.13941031200743112"/>
                  <c:y val="-1.8658519642193658E-2"/>
                </c:manualLayout>
              </c:layout>
              <c:tx>
                <c:rich>
                  <a:bodyPr/>
                  <a:lstStyle/>
                  <a:p>
                    <a:r>
                      <a:rPr lang="en-US">
                        <a:solidFill>
                          <a:schemeClr val="tx1"/>
                        </a:solidFill>
                      </a:rPr>
                      <a:t>splněno částečně 16 %</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718-4140-A0BB-8C752F0E7382}"/>
                </c:ext>
              </c:extLst>
            </c:dLbl>
            <c:dLbl>
              <c:idx val="3"/>
              <c:layout>
                <c:manualLayout>
                  <c:x val="-0.20332610418259842"/>
                  <c:y val="-7.4493802878701221E-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rgbClr val="002850"/>
                        </a:solidFill>
                        <a:latin typeface="+mn-lt"/>
                        <a:ea typeface="+mn-ea"/>
                        <a:cs typeface="+mn-cs"/>
                      </a:defRPr>
                    </a:pPr>
                    <a:r>
                      <a:rPr lang="en-US">
                        <a:solidFill>
                          <a:schemeClr val="tx1"/>
                        </a:solidFill>
                      </a:rPr>
                      <a:t>nevyhodnotitelné</a:t>
                    </a:r>
                    <a:r>
                      <a:rPr lang="en-US" baseline="0">
                        <a:solidFill>
                          <a:schemeClr val="tx1"/>
                        </a:solidFill>
                      </a:rPr>
                      <a:t> 13 %</a:t>
                    </a:r>
                    <a:endParaRPr lang="en-US">
                      <a:solidFill>
                        <a:schemeClr val="tx1"/>
                      </a:solidFill>
                    </a:endParaRPr>
                  </a:p>
                </c:rich>
              </c:tx>
              <c:spPr>
                <a:xfrm>
                  <a:off x="99135" y="359583"/>
                  <a:ext cx="940053" cy="364435"/>
                </a:xfrm>
                <a:solidFill>
                  <a:sysClr val="window" lastClr="FFFFFF">
                    <a:alpha val="75000"/>
                  </a:sysClr>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rgbClr val="002850"/>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51839"/>
                        <a:gd name="adj2" fmla="val 90397"/>
                      </a:avLst>
                    </a:prstGeom>
                    <a:noFill/>
                    <a:ln>
                      <a:noFill/>
                    </a:ln>
                  </c15:spPr>
                  <c15:layout>
                    <c:manualLayout>
                      <c:w val="0.34542147075365581"/>
                      <c:h val="0.12984454202821025"/>
                    </c:manualLayout>
                  </c15:layout>
                </c:ext>
                <c:ext xmlns:c16="http://schemas.microsoft.com/office/drawing/2014/chart" uri="{C3380CC4-5D6E-409C-BE32-E72D297353CC}">
                  <c16:uniqueId val="{00000007-5718-4140-A0BB-8C752F0E7382}"/>
                </c:ext>
              </c:extLst>
            </c:dLbl>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'[AKTIVITY AP.xlsx]KZ GRAF 2'!$A$8:$A$11</c:f>
              <c:strCache>
                <c:ptCount val="4"/>
                <c:pt idx="0">
                  <c:v>Splněno</c:v>
                </c:pt>
                <c:pt idx="1">
                  <c:v>Nesplněno</c:v>
                </c:pt>
                <c:pt idx="2">
                  <c:v>Splněno částečně</c:v>
                </c:pt>
                <c:pt idx="3">
                  <c:v>Nevyhodnotitelné</c:v>
                </c:pt>
              </c:strCache>
            </c:strRef>
          </c:cat>
          <c:val>
            <c:numRef>
              <c:f>'[AKTIVITY AP.xlsx]KZ GRAF 2'!$C$8:$C$11</c:f>
              <c:numCache>
                <c:formatCode>General</c:formatCode>
                <c:ptCount val="4"/>
                <c:pt idx="0">
                  <c:v>29</c:v>
                </c:pt>
                <c:pt idx="1">
                  <c:v>3</c:v>
                </c:pt>
                <c:pt idx="2">
                  <c:v>7</c:v>
                </c:pt>
                <c:pt idx="3">
                  <c:v>6</c:v>
                </c:pt>
              </c:numCache>
            </c:numRef>
          </c:val>
          <c:extLst>
            <c:ext xmlns:c16="http://schemas.microsoft.com/office/drawing/2014/chart" uri="{C3380CC4-5D6E-409C-BE32-E72D297353CC}">
              <c16:uniqueId val="{00000008-5718-4140-A0BB-8C752F0E7382}"/>
            </c:ext>
          </c:extLst>
        </c:ser>
        <c:dLbls>
          <c:showLegendKey val="0"/>
          <c:showVal val="0"/>
          <c:showCatName val="0"/>
          <c:showSerName val="0"/>
          <c:showPercent val="0"/>
          <c:showBubbleSize val="0"/>
          <c:showLeaderLines val="0"/>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cs-CZ" sz="1100" b="1" i="0" u="none" strike="noStrike" kern="1200" baseline="0">
                <a:solidFill>
                  <a:sysClr val="windowText" lastClr="000000">
                    <a:lumMod val="65000"/>
                    <a:lumOff val="35000"/>
                  </a:sysClr>
                </a:solidFill>
                <a:effectLst/>
                <a:latin typeface="+mn-lt"/>
                <a:ea typeface="+mn-ea"/>
                <a:cs typeface="+mn-cs"/>
              </a:defRPr>
            </a:pPr>
            <a:r>
              <a:rPr lang="cs-CZ" sz="1100" b="1" i="0" u="none" strike="noStrike" kern="1200" baseline="0">
                <a:solidFill>
                  <a:schemeClr val="tx1"/>
                </a:solidFill>
                <a:effectLst/>
                <a:latin typeface="+mn-lt"/>
                <a:ea typeface="+mn-ea"/>
                <a:cs typeface="+mn-cs"/>
              </a:rPr>
              <a:t>Plnění AP 2021–2022 dle NKÚ</a:t>
            </a:r>
          </a:p>
        </c:rich>
      </c:tx>
      <c:overlay val="0"/>
      <c:spPr>
        <a:noFill/>
        <a:ln>
          <a:noFill/>
        </a:ln>
        <a:effectLst/>
      </c:spPr>
      <c:txPr>
        <a:bodyPr rot="0" spcFirstLastPara="1" vertOverflow="ellipsis" vert="horz" wrap="square" anchor="ctr" anchorCtr="1"/>
        <a:lstStyle/>
        <a:p>
          <a:pPr>
            <a:defRPr lang="cs-CZ" sz="1100" b="1" i="0" u="none" strike="noStrike" kern="1200" baseline="0">
              <a:solidFill>
                <a:sysClr val="windowText" lastClr="000000">
                  <a:lumMod val="65000"/>
                  <a:lumOff val="35000"/>
                </a:sysClr>
              </a:solidFill>
              <a:effectLst/>
              <a:latin typeface="+mn-lt"/>
              <a:ea typeface="+mn-ea"/>
              <a:cs typeface="+mn-cs"/>
            </a:defRPr>
          </a:pPr>
          <a:endParaRPr lang="cs-CZ"/>
        </a:p>
      </c:txPr>
    </c:title>
    <c:autoTitleDeleted val="0"/>
    <c:plotArea>
      <c:layout/>
      <c:doughnutChart>
        <c:varyColors val="1"/>
        <c:ser>
          <c:idx val="0"/>
          <c:order val="0"/>
          <c:spPr>
            <a:ln w="19050">
              <a:solidFill>
                <a:schemeClr val="bg1"/>
              </a:solidFill>
            </a:ln>
            <a:effectLst>
              <a:outerShdw blurRad="317500" algn="ctr" rotWithShape="0">
                <a:schemeClr val="bg1">
                  <a:alpha val="25000"/>
                </a:schemeClr>
              </a:outerShdw>
            </a:effectLst>
          </c:spPr>
          <c:dPt>
            <c:idx val="0"/>
            <c:bubble3D val="0"/>
            <c:spPr>
              <a:solidFill>
                <a:srgbClr val="2EB3A1"/>
              </a:solidFill>
              <a:ln w="19050">
                <a:solidFill>
                  <a:schemeClr val="bg1"/>
                </a:solidFill>
              </a:ln>
              <a:effectLst>
                <a:outerShdw blurRad="317500" algn="ctr" rotWithShape="0">
                  <a:schemeClr val="bg1">
                    <a:alpha val="25000"/>
                  </a:schemeClr>
                </a:outerShdw>
              </a:effectLst>
            </c:spPr>
            <c:extLst>
              <c:ext xmlns:c16="http://schemas.microsoft.com/office/drawing/2014/chart" uri="{C3380CC4-5D6E-409C-BE32-E72D297353CC}">
                <c16:uniqueId val="{00000001-EF29-4187-9B99-95A64C1DD16D}"/>
              </c:ext>
            </c:extLst>
          </c:dPt>
          <c:dPt>
            <c:idx val="1"/>
            <c:bubble3D val="0"/>
            <c:spPr>
              <a:solidFill>
                <a:srgbClr val="AF2D53"/>
              </a:solidFill>
              <a:ln w="19050">
                <a:solidFill>
                  <a:schemeClr val="bg1"/>
                </a:solidFill>
              </a:ln>
              <a:effectLst>
                <a:outerShdw blurRad="317500" algn="ctr" rotWithShape="0">
                  <a:schemeClr val="bg1">
                    <a:alpha val="25000"/>
                  </a:schemeClr>
                </a:outerShdw>
              </a:effectLst>
            </c:spPr>
            <c:extLst>
              <c:ext xmlns:c16="http://schemas.microsoft.com/office/drawing/2014/chart" uri="{C3380CC4-5D6E-409C-BE32-E72D297353CC}">
                <c16:uniqueId val="{00000003-EF29-4187-9B99-95A64C1DD16D}"/>
              </c:ext>
            </c:extLst>
          </c:dPt>
          <c:dPt>
            <c:idx val="2"/>
            <c:bubble3D val="0"/>
            <c:spPr>
              <a:solidFill>
                <a:srgbClr val="FDC300"/>
              </a:solidFill>
              <a:ln w="19050">
                <a:solidFill>
                  <a:schemeClr val="bg1"/>
                </a:solidFill>
              </a:ln>
              <a:effectLst>
                <a:outerShdw blurRad="317500" algn="ctr" rotWithShape="0">
                  <a:schemeClr val="bg1">
                    <a:alpha val="25000"/>
                  </a:schemeClr>
                </a:outerShdw>
              </a:effectLst>
            </c:spPr>
            <c:extLst>
              <c:ext xmlns:c16="http://schemas.microsoft.com/office/drawing/2014/chart" uri="{C3380CC4-5D6E-409C-BE32-E72D297353CC}">
                <c16:uniqueId val="{00000005-EF29-4187-9B99-95A64C1DD16D}"/>
              </c:ext>
            </c:extLst>
          </c:dPt>
          <c:dPt>
            <c:idx val="3"/>
            <c:bubble3D val="0"/>
            <c:spPr>
              <a:solidFill>
                <a:srgbClr val="C3C5C6"/>
              </a:solidFill>
              <a:ln w="19050">
                <a:solidFill>
                  <a:schemeClr val="bg1"/>
                </a:solidFill>
              </a:ln>
              <a:effectLst>
                <a:outerShdw blurRad="317500" algn="ctr" rotWithShape="0">
                  <a:schemeClr val="bg1">
                    <a:alpha val="25000"/>
                  </a:schemeClr>
                </a:outerShdw>
              </a:effectLst>
            </c:spPr>
            <c:extLst>
              <c:ext xmlns:c16="http://schemas.microsoft.com/office/drawing/2014/chart" uri="{C3380CC4-5D6E-409C-BE32-E72D297353CC}">
                <c16:uniqueId val="{00000007-EF29-4187-9B99-95A64C1DD16D}"/>
              </c:ext>
            </c:extLst>
          </c:dPt>
          <c:dLbls>
            <c:dLbl>
              <c:idx val="0"/>
              <c:layout>
                <c:manualLayout>
                  <c:x val="2.500467607131255E-2"/>
                  <c:y val="-0.3425925925925926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r>
                      <a:rPr lang="en-US">
                        <a:solidFill>
                          <a:schemeClr val="tx1"/>
                        </a:solidFill>
                      </a:rPr>
                      <a:t>splněno 49 %</a:t>
                    </a:r>
                  </a:p>
                </c:rich>
              </c:tx>
              <c:spPr>
                <a:solidFill>
                  <a:sysClr val="window" lastClr="FFFFFF">
                    <a:alpha val="75000"/>
                  </a:sysClr>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12617"/>
                        <a:gd name="adj2" fmla="val 79321"/>
                      </a:avLst>
                    </a:prstGeom>
                    <a:noFill/>
                    <a:ln>
                      <a:noFill/>
                    </a:ln>
                  </c15:spPr>
                </c:ext>
                <c:ext xmlns:c16="http://schemas.microsoft.com/office/drawing/2014/chart" uri="{C3380CC4-5D6E-409C-BE32-E72D297353CC}">
                  <c16:uniqueId val="{00000001-EF29-4187-9B99-95A64C1DD16D}"/>
                </c:ext>
              </c:extLst>
            </c:dLbl>
            <c:dLbl>
              <c:idx val="1"/>
              <c:layout>
                <c:manualLayout>
                  <c:x val="0.37989454754962726"/>
                  <c:y val="3.7722575920372481E-2"/>
                </c:manualLayout>
              </c:layout>
              <c:tx>
                <c:rich>
                  <a:bodyPr/>
                  <a:lstStyle/>
                  <a:p>
                    <a:r>
                      <a:rPr lang="en-US" baseline="0">
                        <a:solidFill>
                          <a:schemeClr val="tx1"/>
                        </a:solidFill>
                      </a:rPr>
                      <a:t>nesplněno 7 %</a:t>
                    </a:r>
                    <a:endParaRPr lang="en-US">
                      <a:solidFill>
                        <a:schemeClr val="tx1"/>
                      </a:solidFill>
                    </a:endParaRPr>
                  </a:p>
                </c:rich>
              </c:tx>
              <c:showLegendKey val="0"/>
              <c:showVal val="0"/>
              <c:showCatName val="1"/>
              <c:showSerName val="0"/>
              <c:showPercent val="1"/>
              <c:showBubbleSize val="0"/>
              <c:extLst>
                <c:ext xmlns:c15="http://schemas.microsoft.com/office/drawing/2012/chart" uri="{CE6537A1-D6FC-4f65-9D91-7224C49458BB}">
                  <c15:layout>
                    <c:manualLayout>
                      <c:w val="0.21255350048525726"/>
                      <c:h val="0.16429634544250174"/>
                    </c:manualLayout>
                  </c15:layout>
                </c:ext>
                <c:ext xmlns:c16="http://schemas.microsoft.com/office/drawing/2014/chart" uri="{C3380CC4-5D6E-409C-BE32-E72D297353CC}">
                  <c16:uniqueId val="{00000003-EF29-4187-9B99-95A64C1DD16D}"/>
                </c:ext>
              </c:extLst>
            </c:dLbl>
            <c:dLbl>
              <c:idx val="2"/>
              <c:layout>
                <c:manualLayout>
                  <c:x val="-0.18410947735102856"/>
                  <c:y val="5.8649673205417731E-2"/>
                </c:manualLayout>
              </c:layout>
              <c:tx>
                <c:rich>
                  <a:bodyPr/>
                  <a:lstStyle/>
                  <a:p>
                    <a:r>
                      <a:rPr lang="en-US">
                        <a:solidFill>
                          <a:schemeClr val="tx1"/>
                        </a:solidFill>
                      </a:rPr>
                      <a:t>splněno částečně 11 %</a:t>
                    </a:r>
                  </a:p>
                </c:rich>
              </c:tx>
              <c:showLegendKey val="0"/>
              <c:showVal val="0"/>
              <c:showCatName val="1"/>
              <c:showSerName val="0"/>
              <c:showPercent val="1"/>
              <c:showBubbleSize val="0"/>
              <c:extLst>
                <c:ext xmlns:c15="http://schemas.microsoft.com/office/drawing/2012/chart" uri="{CE6537A1-D6FC-4f65-9D91-7224C49458BB}">
                  <c15:layout>
                    <c:manualLayout>
                      <c:w val="0.18883196697883162"/>
                      <c:h val="0.16480483468690557"/>
                    </c:manualLayout>
                  </c15:layout>
                </c:ext>
                <c:ext xmlns:c16="http://schemas.microsoft.com/office/drawing/2014/chart" uri="{C3380CC4-5D6E-409C-BE32-E72D297353CC}">
                  <c16:uniqueId val="{00000005-EF29-4187-9B99-95A64C1DD16D}"/>
                </c:ext>
              </c:extLst>
            </c:dLbl>
            <c:dLbl>
              <c:idx val="3"/>
              <c:layout>
                <c:manualLayout>
                  <c:x val="-7.7288940241768592E-2"/>
                  <c:y val="-0.18010410477380201"/>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r>
                      <a:rPr lang="en-US">
                        <a:solidFill>
                          <a:schemeClr val="tx1"/>
                        </a:solidFill>
                      </a:rPr>
                      <a:t>nevyhodnotitelné 33 %</a:t>
                    </a:r>
                  </a:p>
                </c:rich>
              </c:tx>
              <c:spPr>
                <a:solidFill>
                  <a:sysClr val="window" lastClr="FFFFFF">
                    <a:alpha val="75000"/>
                  </a:sysClr>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cs-CZ"/>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70188"/>
                        <a:gd name="adj2" fmla="val 41643"/>
                      </a:avLst>
                    </a:prstGeom>
                    <a:noFill/>
                    <a:ln>
                      <a:noFill/>
                    </a:ln>
                  </c15:spPr>
                  <c15:layout>
                    <c:manualLayout>
                      <c:w val="0.34100423814610786"/>
                      <c:h val="0.16480481862971641"/>
                    </c:manualLayout>
                  </c15:layout>
                </c:ext>
                <c:ext xmlns:c16="http://schemas.microsoft.com/office/drawing/2014/chart" uri="{C3380CC4-5D6E-409C-BE32-E72D297353CC}">
                  <c16:uniqueId val="{00000007-EF29-4187-9B99-95A64C1DD16D}"/>
                </c:ext>
              </c:extLst>
            </c:dLbl>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'[AKTIVITY AP.xlsx]KZ GRAF 2'!$A$8:$A$11</c:f>
              <c:strCache>
                <c:ptCount val="4"/>
                <c:pt idx="0">
                  <c:v>Splněno</c:v>
                </c:pt>
                <c:pt idx="1">
                  <c:v>Nesplněno</c:v>
                </c:pt>
                <c:pt idx="2">
                  <c:v>Splněno částečně</c:v>
                </c:pt>
                <c:pt idx="3">
                  <c:v>Nevyhodnotitelné</c:v>
                </c:pt>
              </c:strCache>
            </c:strRef>
          </c:cat>
          <c:val>
            <c:numRef>
              <c:f>'[AKTIVITY AP.xlsx]KZ GRAF 2'!$B$8:$B$11</c:f>
              <c:numCache>
                <c:formatCode>General</c:formatCode>
                <c:ptCount val="4"/>
                <c:pt idx="0">
                  <c:v>22</c:v>
                </c:pt>
                <c:pt idx="1">
                  <c:v>3</c:v>
                </c:pt>
                <c:pt idx="2">
                  <c:v>5</c:v>
                </c:pt>
                <c:pt idx="3">
                  <c:v>15</c:v>
                </c:pt>
              </c:numCache>
            </c:numRef>
          </c:val>
          <c:extLst>
            <c:ext xmlns:c16="http://schemas.microsoft.com/office/drawing/2014/chart" uri="{C3380CC4-5D6E-409C-BE32-E72D297353CC}">
              <c16:uniqueId val="{00000008-EF29-4187-9B99-95A64C1DD16D}"/>
            </c:ext>
          </c:extLst>
        </c:ser>
        <c:dLbls>
          <c:showLegendKey val="0"/>
          <c:showVal val="0"/>
          <c:showCatName val="0"/>
          <c:showSerName val="0"/>
          <c:showPercent val="0"/>
          <c:showBubbleSize val="0"/>
          <c:showLeaderLines val="0"/>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0.31633</cdr:x>
      <cdr:y>0.47115</cdr:y>
    </cdr:from>
    <cdr:to>
      <cdr:x>0.68367</cdr:x>
      <cdr:y>0.69231</cdr:y>
    </cdr:to>
    <cdr:sp macro="" textlink="">
      <cdr:nvSpPr>
        <cdr:cNvPr id="2" name="Obdélník 1"/>
        <cdr:cNvSpPr/>
      </cdr:nvSpPr>
      <cdr:spPr>
        <a:xfrm xmlns:a="http://schemas.openxmlformats.org/drawingml/2006/main">
          <a:off x="590551" y="933450"/>
          <a:ext cx="685800" cy="438150"/>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cs-CZ" sz="1050" b="1">
              <a:solidFill>
                <a:sysClr val="windowText" lastClr="000000"/>
              </a:solidFill>
            </a:rPr>
            <a:t>116 </a:t>
          </a:r>
        </a:p>
        <a:p xmlns:a="http://schemas.openxmlformats.org/drawingml/2006/main">
          <a:pPr algn="ctr"/>
          <a:r>
            <a:rPr lang="cs-CZ" sz="1050" b="1">
              <a:solidFill>
                <a:sysClr val="windowText" lastClr="000000"/>
              </a:solidFill>
            </a:rPr>
            <a:t>aktivit</a:t>
          </a:r>
          <a:endParaRPr lang="cs-CZ" sz="1050" b="1"/>
        </a:p>
      </cdr:txBody>
    </cdr:sp>
  </cdr:relSizeAnchor>
</c:userShapes>
</file>

<file path=word/drawings/drawing2.xml><?xml version="1.0" encoding="utf-8"?>
<c:userShapes xmlns:c="http://schemas.openxmlformats.org/drawingml/2006/chart">
  <cdr:relSizeAnchor xmlns:cdr="http://schemas.openxmlformats.org/drawingml/2006/chartDrawing">
    <cdr:from>
      <cdr:x>0.33918</cdr:x>
      <cdr:y>0.45873</cdr:y>
    </cdr:from>
    <cdr:to>
      <cdr:x>0.65497</cdr:x>
      <cdr:y>0.67778</cdr:y>
    </cdr:to>
    <cdr:sp macro="" textlink="">
      <cdr:nvSpPr>
        <cdr:cNvPr id="2" name="Obdélník 1"/>
        <cdr:cNvSpPr/>
      </cdr:nvSpPr>
      <cdr:spPr>
        <a:xfrm xmlns:a="http://schemas.openxmlformats.org/drawingml/2006/main">
          <a:off x="736601" y="917575"/>
          <a:ext cx="685800" cy="438150"/>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cs-CZ" sz="1050" b="1">
              <a:solidFill>
                <a:sysClr val="windowText" lastClr="000000"/>
              </a:solidFill>
            </a:rPr>
            <a:t>45 </a:t>
          </a:r>
        </a:p>
        <a:p xmlns:a="http://schemas.openxmlformats.org/drawingml/2006/main">
          <a:pPr algn="ctr"/>
          <a:r>
            <a:rPr lang="cs-CZ" sz="1050" b="1">
              <a:solidFill>
                <a:sysClr val="windowText" lastClr="000000"/>
              </a:solidFill>
            </a:rPr>
            <a:t>aktivit</a:t>
          </a:r>
          <a:endParaRPr lang="cs-CZ" sz="1050" b="1"/>
        </a:p>
      </cdr:txBody>
    </cdr:sp>
  </cdr:relSizeAnchor>
</c:userShapes>
</file>

<file path=word/drawings/drawing3.xml><?xml version="1.0" encoding="utf-8"?>
<c:userShapes xmlns:c="http://schemas.openxmlformats.org/drawingml/2006/chart">
  <cdr:relSizeAnchor xmlns:cdr="http://schemas.openxmlformats.org/drawingml/2006/chartDrawing">
    <cdr:from>
      <cdr:x>0.30354</cdr:x>
      <cdr:y>0.4784</cdr:y>
    </cdr:from>
    <cdr:to>
      <cdr:x>0.70577</cdr:x>
      <cdr:y>0.69136</cdr:y>
    </cdr:to>
    <cdr:sp macro="" textlink="">
      <cdr:nvSpPr>
        <cdr:cNvPr id="2" name="Obdélník 1"/>
        <cdr:cNvSpPr/>
      </cdr:nvSpPr>
      <cdr:spPr>
        <a:xfrm xmlns:a="http://schemas.openxmlformats.org/drawingml/2006/main">
          <a:off x="517526" y="984250"/>
          <a:ext cx="685800" cy="438150"/>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cs-CZ" sz="1050" b="1">
              <a:solidFill>
                <a:sysClr val="windowText" lastClr="000000"/>
              </a:solidFill>
            </a:rPr>
            <a:t>40 </a:t>
          </a:r>
        </a:p>
        <a:p xmlns:a="http://schemas.openxmlformats.org/drawingml/2006/main">
          <a:pPr algn="ctr"/>
          <a:r>
            <a:rPr lang="cs-CZ" sz="1050" b="1">
              <a:solidFill>
                <a:sysClr val="windowText" lastClr="000000"/>
              </a:solidFill>
            </a:rPr>
            <a:t>aktivit</a:t>
          </a:r>
          <a:endParaRPr lang="cs-CZ" sz="1050" b="1"/>
        </a:p>
      </cdr:txBody>
    </cdr:sp>
  </cdr:relSizeAnchor>
</c:userShape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03158662CDE14791420788E1C41D99" ma:contentTypeVersion="1" ma:contentTypeDescription="Vytvoří nový dokument" ma:contentTypeScope="" ma:versionID="2f63ca2d4cbb099b072eb0f4552be953">
  <xsd:schema xmlns:xsd="http://www.w3.org/2001/XMLSchema" xmlns:xs="http://www.w3.org/2001/XMLSchema" xmlns:p="http://schemas.microsoft.com/office/2006/metadata/properties" xmlns:ns1="http://schemas.microsoft.com/sharepoint/v3" targetNamespace="http://schemas.microsoft.com/office/2006/metadata/properties" ma:root="true" ma:fieldsID="04ff3139d6f164adeb8f28ede371ab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00F27-835A-4924-8A0B-36D524211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30B12F-4A0F-48D5-B368-EF5CF9FBC2FF}">
  <ds:schemaRef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sharepoint/v3"/>
    <ds:schemaRef ds:uri="http://www.w3.org/XML/1998/namespace"/>
    <ds:schemaRef ds:uri="http://purl.org/dc/elements/1.1/"/>
  </ds:schemaRefs>
</ds:datastoreItem>
</file>

<file path=customXml/itemProps3.xml><?xml version="1.0" encoding="utf-8"?>
<ds:datastoreItem xmlns:ds="http://schemas.openxmlformats.org/officeDocument/2006/customXml" ds:itemID="{5D9EA464-FFE9-4F0E-967A-38F46429A4E7}">
  <ds:schemaRefs>
    <ds:schemaRef ds:uri="http://schemas.microsoft.com/sharepoint/v3/contenttype/forms"/>
  </ds:schemaRefs>
</ds:datastoreItem>
</file>

<file path=customXml/itemProps4.xml><?xml version="1.0" encoding="utf-8"?>
<ds:datastoreItem xmlns:ds="http://schemas.openxmlformats.org/officeDocument/2006/customXml" ds:itemID="{3E70D15E-1CF1-4F97-9369-62E9AECD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12953</Words>
  <Characters>76424</Characters>
  <Application>Microsoft Office Word</Application>
  <DocSecurity>0</DocSecurity>
  <Lines>636</Lines>
  <Paragraphs>178</Paragraphs>
  <ScaleCrop>false</ScaleCrop>
  <HeadingPairs>
    <vt:vector size="2" baseType="variant">
      <vt:variant>
        <vt:lpstr>Název</vt:lpstr>
      </vt:variant>
      <vt:variant>
        <vt:i4>1</vt:i4>
      </vt:variant>
    </vt:vector>
  </HeadingPairs>
  <TitlesOfParts>
    <vt:vector size="1" baseType="lpstr">
      <vt:lpstr>Kontrolní závěr z kontrolní akce NKÚ č. 22/26 - Peněžní prostředky vynakládané na zvýšení bezpečnosti silničního provozu</vt:lpstr>
    </vt:vector>
  </TitlesOfParts>
  <Company>NKU</Company>
  <LinksUpToDate>false</LinksUpToDate>
  <CharactersWithSpaces>89199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22/26 - Peněžní prostředky vynakládané na zvýšení bezpečnosti silničního provozu</dc:title>
  <dc:subject>Kontrolní závěr z kontrolní akce NKÚ č. 22/26 - Peněžní prostředky vynakládané na zvýšení bezpečnosti silničního provozu</dc:subject>
  <dc:creator>Nejvyšší kontrolní úřad</dc:creator>
  <cp:keywords>kontrolní závěr; BESIP; bezpečnost silničního provozu</cp:keywords>
  <cp:lastModifiedBy>KOKRDA Daniel</cp:lastModifiedBy>
  <cp:revision>4</cp:revision>
  <cp:lastPrinted>2023-10-04T05:34:00Z</cp:lastPrinted>
  <dcterms:created xsi:type="dcterms:W3CDTF">2023-10-04T05:30:00Z</dcterms:created>
  <dcterms:modified xsi:type="dcterms:W3CDTF">2023-10-04T05:36:00Z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179/22-NKU200/614/22</vt:lpwstr>
  </property>
  <property fmtid="{D5CDD505-2E9C-101B-9397-08002B2CF9AE}" pid="5" name="CJ_PostaDoruc_PisemnostOdpovedNa_Pisemnost">
    <vt:lpwstr>XXX-XXX-XXX</vt:lpwstr>
  </property>
  <property fmtid="{D5CDD505-2E9C-101B-9397-08002B2CF9AE}" pid="6" name="CJ_Spis_Pisemnost">
    <vt:lpwstr>200/3/22</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Id">
    <vt:lpwstr>0x010100C603158662CDE14791420788E1C41D99</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10.11.2022</vt:lpwstr>
  </property>
  <property fmtid="{D5CDD505-2E9C-101B-9397-08002B2CF9AE}" pid="13" name="DisplayName_CisloObalky_PostaOdes">
    <vt:lpwstr>ČÍSLO OBÁLKY</vt:lpwstr>
  </property>
  <property fmtid="{D5CDD505-2E9C-101B-9397-08002B2CF9AE}" pid="14" name="DisplayName_CJCol">
    <vt:lpwstr>&lt;TABLE&gt;&lt;TR&gt;&lt;TD&gt;Č.j.:&lt;/TD&gt;&lt;TD&gt;179/22-NKU200/614/22&lt;/TD&gt;&lt;/TR&gt;&lt;TR&gt;&lt;TD&gt;&lt;/TD&gt;&lt;TD&gt;&lt;/TD&gt;&lt;/TR&gt;&lt;/TABLE&gt;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Sekce kontrolní</vt:lpwstr>
  </property>
  <property fmtid="{D5CDD505-2E9C-101B-9397-08002B2CF9AE}" pid="17" name="DisplayName_UserPoriz_Pisemnost">
    <vt:lpwstr>Ivana Růžičková</vt:lpwstr>
  </property>
  <property fmtid="{D5CDD505-2E9C-101B-9397-08002B2CF9AE}" pid="18" name="DuvodZmeny_SlozkaStupenUtajeniCollection_Slozka_Pisemnost">
    <vt:lpwstr/>
  </property>
  <property fmtid="{D5CDD505-2E9C-101B-9397-08002B2CF9AE}" pid="19" name="EC_Pisemnost">
    <vt:lpwstr>22-15292/NKU</vt:lpwstr>
  </property>
  <property fmtid="{D5CDD505-2E9C-101B-9397-08002B2CF9AE}" pid="20" name="Key_BarCode_Pisemnost">
    <vt:lpwstr>*B000422646*</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NameAddress_Contact_SpisovyUzel_PoziceZodpo_Pisemnost">
    <vt:lpwstr>ADRESÁT SU...</vt:lpwstr>
  </property>
  <property fmtid="{D5CDD505-2E9C-101B-9397-08002B2CF9AE}" pid="24" name="NamePostalAddress_Contact_PostaOdes">
    <vt:lpwstr>{NameAddress_Contact_PostaOdes}
{PostalAddress_Contact_PostaOdes}</vt:lpwstr>
  </property>
  <property fmtid="{D5CDD505-2E9C-101B-9397-08002B2CF9AE}" pid="25" name="Odkaz">
    <vt:lpwstr>ODKAZ</vt:lpwstr>
  </property>
  <property fmtid="{D5CDD505-2E9C-101B-9397-08002B2CF9AE}" pid="26" name="Password_PisemnostTypZpristupneniInformaciZOSZ_Pisemnost">
    <vt:lpwstr>ZOSZ_Password</vt:lpwstr>
  </property>
  <property fmtid="{D5CDD505-2E9C-101B-9397-08002B2CF9AE}" pid="27" name="PocetListuDokumentu_Pisemnost">
    <vt:lpwstr>1</vt:lpwstr>
  </property>
  <property fmtid="{D5CDD505-2E9C-101B-9397-08002B2CF9AE}" pid="28" name="PocetListu_Pisemnost">
    <vt:lpwstr>1</vt:lpwstr>
  </property>
  <property fmtid="{D5CDD505-2E9C-101B-9397-08002B2CF9AE}" pid="29" name="PocetPriloh_Pisemnost">
    <vt:lpwstr>POČET PŘÍLOH</vt:lpwstr>
  </property>
  <property fmtid="{D5CDD505-2E9C-101B-9397-08002B2CF9AE}" pid="30" name="Podpis">
    <vt:lpwstr/>
  </property>
  <property fmtid="{D5CDD505-2E9C-101B-9397-08002B2CF9AE}" pid="31" name="PoleVlastnost">
    <vt:lpwstr/>
  </property>
  <property fmtid="{D5CDD505-2E9C-101B-9397-08002B2CF9AE}" pid="32" name="PostalAddress_Contact_SpisovyUzel_PoziceZodpo_Pisemnost">
    <vt:lpwstr>ADRESA SU...</vt:lpwstr>
  </property>
  <property fmtid="{D5CDD505-2E9C-101B-9397-08002B2CF9AE}" pid="33" name="QREC_Pisemnost">
    <vt:lpwstr>22-15292/NKU</vt:lpwstr>
  </property>
  <property fmtid="{D5CDD505-2E9C-101B-9397-08002B2CF9AE}" pid="34" name="RC">
    <vt:lpwstr/>
  </property>
  <property fmtid="{D5CDD505-2E9C-101B-9397-08002B2CF9AE}" pid="35" name="SkartacniZnakLhuta_PisemnostZnak">
    <vt:lpwstr>?/?</vt:lpwstr>
  </property>
  <property fmtid="{D5CDD505-2E9C-101B-9397-08002B2CF9AE}" pid="36" name="SmlouvaCislo">
    <vt:lpwstr>ČÍSLO SMLOUVY</vt:lpwstr>
  </property>
  <property fmtid="{D5CDD505-2E9C-101B-9397-08002B2CF9AE}" pid="37" name="SZ_Spis_Pisemnost">
    <vt:lpwstr>179/22</vt:lpwstr>
  </property>
  <property fmtid="{D5CDD505-2E9C-101B-9397-08002B2CF9AE}" pid="38" name="TEST">
    <vt:lpwstr>testovací pole</vt:lpwstr>
  </property>
  <property fmtid="{D5CDD505-2E9C-101B-9397-08002B2CF9AE}" pid="39" name="TypPrilohy_Pisemnost">
    <vt:lpwstr>TYP PŘÍLOHY</vt:lpwstr>
  </property>
  <property fmtid="{D5CDD505-2E9C-101B-9397-08002B2CF9AE}" pid="40" name="UserName_PisemnostTypZpristupneniInformaciZOSZ_Pisemnost">
    <vt:lpwstr>ZOSZ_UserName</vt:lpwstr>
  </property>
  <property fmtid="{D5CDD505-2E9C-101B-9397-08002B2CF9AE}" pid="41" name="Vec_Pisemnost">
    <vt:lpwstr>KZ 22/04 - připomínkové řízení</vt:lpwstr>
  </property>
  <property fmtid="{D5CDD505-2E9C-101B-9397-08002B2CF9AE}" pid="42" name="Zkratka_SpisovyUzel_PoziceZodpo_Pisemnost">
    <vt:lpwstr>200</vt:lpwstr>
  </property>
</Properties>
</file>