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30E51" w14:textId="77777777" w:rsidR="0035630D" w:rsidRPr="00026857" w:rsidRDefault="00026857" w:rsidP="00026857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69391C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2088C7C" wp14:editId="7D024F9A">
            <wp:simplePos x="0" y="0"/>
            <wp:positionH relativeFrom="margin">
              <wp:posOffset>2457780</wp:posOffset>
            </wp:positionH>
            <wp:positionV relativeFrom="paragraph">
              <wp:posOffset>162</wp:posOffset>
            </wp:positionV>
            <wp:extent cx="792480" cy="559435"/>
            <wp:effectExtent l="0" t="0" r="7620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892AB8" w14:textId="77777777" w:rsidR="0035630D" w:rsidRPr="00026857" w:rsidRDefault="0035630D" w:rsidP="00026857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</w:p>
    <w:p w14:paraId="6838A0E5" w14:textId="77777777" w:rsidR="0035630D" w:rsidRPr="00026857" w:rsidRDefault="0035630D" w:rsidP="00026857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</w:p>
    <w:p w14:paraId="5F81590A" w14:textId="77777777" w:rsidR="0035630D" w:rsidRPr="008E6616" w:rsidRDefault="00624106" w:rsidP="00026857">
      <w:pPr>
        <w:pStyle w:val="Nzev"/>
        <w:outlineLvl w:val="0"/>
        <w:rPr>
          <w:rFonts w:asciiTheme="minorHAnsi" w:hAnsiTheme="minorHAnsi" w:cstheme="minorHAnsi"/>
          <w:sz w:val="28"/>
          <w:szCs w:val="28"/>
        </w:rPr>
      </w:pPr>
      <w:r w:rsidRPr="008E6616">
        <w:rPr>
          <w:rFonts w:asciiTheme="minorHAnsi" w:hAnsiTheme="minorHAnsi" w:cstheme="minorHAnsi"/>
          <w:sz w:val="28"/>
          <w:szCs w:val="28"/>
        </w:rPr>
        <w:t>Kontrolní závěr z kontrolní akce</w:t>
      </w:r>
    </w:p>
    <w:p w14:paraId="0041CB66" w14:textId="77777777" w:rsidR="0035630D" w:rsidRPr="009A0492" w:rsidRDefault="0035630D" w:rsidP="00026857">
      <w:pPr>
        <w:pStyle w:val="Nzev"/>
        <w:outlineLvl w:val="0"/>
        <w:rPr>
          <w:rFonts w:asciiTheme="minorHAnsi" w:hAnsiTheme="minorHAnsi" w:cstheme="minorHAnsi"/>
          <w:szCs w:val="22"/>
        </w:rPr>
      </w:pPr>
    </w:p>
    <w:p w14:paraId="7724B7B5" w14:textId="77777777" w:rsidR="0035630D" w:rsidRPr="005F4996" w:rsidRDefault="00624106" w:rsidP="0002685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F4996">
        <w:rPr>
          <w:rFonts w:cstheme="minorHAnsi"/>
          <w:b/>
          <w:sz w:val="28"/>
          <w:szCs w:val="28"/>
        </w:rPr>
        <w:t>23/01</w:t>
      </w:r>
    </w:p>
    <w:p w14:paraId="56A888AD" w14:textId="77777777" w:rsidR="00026857" w:rsidRPr="009A0492" w:rsidRDefault="00026857" w:rsidP="00026857">
      <w:pPr>
        <w:pStyle w:val="Nzev"/>
        <w:outlineLvl w:val="0"/>
        <w:rPr>
          <w:rFonts w:asciiTheme="minorHAnsi" w:hAnsiTheme="minorHAnsi" w:cstheme="minorHAnsi"/>
          <w:szCs w:val="22"/>
        </w:rPr>
      </w:pPr>
    </w:p>
    <w:p w14:paraId="1A9028B2" w14:textId="77777777" w:rsidR="0035630D" w:rsidRPr="005F4996" w:rsidRDefault="00624106" w:rsidP="0002685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F4996">
        <w:rPr>
          <w:rFonts w:cstheme="minorHAnsi"/>
          <w:b/>
          <w:sz w:val="28"/>
          <w:szCs w:val="28"/>
        </w:rPr>
        <w:t>Peněžní prostředky státu určené na odstraňování starých ekologických zátěží vzniklých před privatizací</w:t>
      </w:r>
    </w:p>
    <w:p w14:paraId="2775F1F5" w14:textId="77777777" w:rsidR="00C165F8" w:rsidRPr="00EB47D1" w:rsidRDefault="00C165F8" w:rsidP="00026857">
      <w:pPr>
        <w:tabs>
          <w:tab w:val="left" w:pos="7988"/>
        </w:tabs>
        <w:spacing w:after="0" w:line="240" w:lineRule="auto"/>
        <w:jc w:val="both"/>
        <w:rPr>
          <w:rFonts w:ascii="Calibri" w:hAnsi="Calibri" w:cs="Calibri"/>
          <w:strike/>
          <w:sz w:val="24"/>
          <w:szCs w:val="24"/>
          <w:highlight w:val="yellow"/>
        </w:rPr>
      </w:pPr>
    </w:p>
    <w:p w14:paraId="72D00DCE" w14:textId="77777777" w:rsidR="00397B16" w:rsidRDefault="00397B16" w:rsidP="0002685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2AE94D1" w14:textId="77777777" w:rsidR="008E6616" w:rsidRPr="008A1F80" w:rsidRDefault="00624106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Kontrolní akce byla zařazena do plánu kontrolní činnosti Nejvyššího kontrolního úřa</w:t>
      </w:r>
      <w:r w:rsidR="00C14910">
        <w:rPr>
          <w:rFonts w:ascii="Calibri" w:hAnsi="Calibri" w:cs="Calibri"/>
          <w:sz w:val="24"/>
          <w:szCs w:val="24"/>
        </w:rPr>
        <w:t xml:space="preserve">du (dále také „NKÚ“) </w:t>
      </w:r>
      <w:r w:rsidR="00C14910" w:rsidRPr="005F4996">
        <w:rPr>
          <w:rFonts w:ascii="Calibri" w:hAnsi="Calibri" w:cs="Calibri"/>
          <w:sz w:val="24"/>
          <w:szCs w:val="24"/>
        </w:rPr>
        <w:t xml:space="preserve">na rok </w:t>
      </w:r>
      <w:r w:rsidR="00EB47D1" w:rsidRPr="005F4996">
        <w:rPr>
          <w:rFonts w:ascii="Calibri" w:hAnsi="Calibri" w:cs="Calibri"/>
          <w:sz w:val="24"/>
          <w:szCs w:val="24"/>
        </w:rPr>
        <w:t>202</w:t>
      </w:r>
      <w:r w:rsidR="005F4996" w:rsidRPr="005F4996">
        <w:rPr>
          <w:rFonts w:ascii="Calibri" w:hAnsi="Calibri" w:cs="Calibri"/>
          <w:sz w:val="24"/>
          <w:szCs w:val="24"/>
        </w:rPr>
        <w:t>3</w:t>
      </w:r>
      <w:r w:rsidRPr="008A1F80">
        <w:rPr>
          <w:rFonts w:ascii="Calibri" w:hAnsi="Calibri" w:cs="Calibri"/>
          <w:sz w:val="24"/>
          <w:szCs w:val="24"/>
        </w:rPr>
        <w:t xml:space="preserve"> pod </w:t>
      </w:r>
      <w:r w:rsidRPr="005F4996">
        <w:rPr>
          <w:rFonts w:ascii="Calibri" w:hAnsi="Calibri" w:cs="Calibri"/>
          <w:sz w:val="24"/>
          <w:szCs w:val="24"/>
        </w:rPr>
        <w:t xml:space="preserve">číslem </w:t>
      </w:r>
      <w:r w:rsidR="00EB47D1" w:rsidRPr="005F4996">
        <w:rPr>
          <w:rFonts w:ascii="Calibri" w:hAnsi="Calibri" w:cs="Calibri"/>
          <w:sz w:val="24"/>
          <w:szCs w:val="24"/>
        </w:rPr>
        <w:t>2</w:t>
      </w:r>
      <w:r w:rsidR="005F4996" w:rsidRPr="005F4996">
        <w:rPr>
          <w:rFonts w:ascii="Calibri" w:hAnsi="Calibri" w:cs="Calibri"/>
          <w:sz w:val="24"/>
          <w:szCs w:val="24"/>
        </w:rPr>
        <w:t>3</w:t>
      </w:r>
      <w:r w:rsidR="00EB47D1" w:rsidRPr="005F4996">
        <w:rPr>
          <w:rFonts w:ascii="Calibri" w:hAnsi="Calibri" w:cs="Calibri"/>
          <w:sz w:val="24"/>
          <w:szCs w:val="24"/>
        </w:rPr>
        <w:t>/0</w:t>
      </w:r>
      <w:r w:rsidR="005F4996" w:rsidRPr="005F4996">
        <w:rPr>
          <w:rFonts w:ascii="Calibri" w:hAnsi="Calibri" w:cs="Calibri"/>
          <w:sz w:val="24"/>
          <w:szCs w:val="24"/>
        </w:rPr>
        <w:t>1</w:t>
      </w:r>
      <w:r w:rsidR="00C14910" w:rsidRPr="005F4996">
        <w:rPr>
          <w:rFonts w:ascii="Calibri" w:hAnsi="Calibri" w:cs="Calibri"/>
          <w:sz w:val="24"/>
          <w:szCs w:val="24"/>
        </w:rPr>
        <w:t>.</w:t>
      </w:r>
      <w:r w:rsidR="00C14910">
        <w:rPr>
          <w:rFonts w:ascii="Calibri" w:hAnsi="Calibri" w:cs="Calibri"/>
          <w:sz w:val="24"/>
          <w:szCs w:val="24"/>
        </w:rPr>
        <w:t xml:space="preserve"> Kontrolní akci řídil a kontrolní závěr vypracoval člen</w:t>
      </w:r>
      <w:r w:rsidRPr="008A1F80">
        <w:rPr>
          <w:rFonts w:ascii="Calibri" w:hAnsi="Calibri" w:cs="Calibri"/>
          <w:sz w:val="24"/>
          <w:szCs w:val="24"/>
        </w:rPr>
        <w:t xml:space="preserve"> NKÚ </w:t>
      </w:r>
      <w:r w:rsidRPr="005F4996">
        <w:rPr>
          <w:rFonts w:ascii="Calibri" w:hAnsi="Calibri" w:cs="Calibri"/>
          <w:sz w:val="24"/>
          <w:szCs w:val="24"/>
        </w:rPr>
        <w:t>Ing. </w:t>
      </w:r>
      <w:r w:rsidR="00C14910" w:rsidRPr="005F4996">
        <w:rPr>
          <w:rFonts w:ascii="Calibri" w:hAnsi="Calibri" w:cs="Calibri"/>
          <w:sz w:val="24"/>
          <w:szCs w:val="24"/>
        </w:rPr>
        <w:t>Pavel Hrnčíř</w:t>
      </w:r>
      <w:r w:rsidR="00C14910">
        <w:rPr>
          <w:rFonts w:ascii="Calibri" w:hAnsi="Calibri" w:cs="Calibri"/>
          <w:sz w:val="24"/>
          <w:szCs w:val="24"/>
        </w:rPr>
        <w:t>.</w:t>
      </w:r>
    </w:p>
    <w:p w14:paraId="6E8FEEDD" w14:textId="77777777" w:rsidR="008E6616" w:rsidRPr="008E6616" w:rsidRDefault="008E6616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22CB856E" w14:textId="77777777" w:rsidR="008E6616" w:rsidRPr="005F4996" w:rsidRDefault="00624106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Cílem kontroly</w:t>
      </w:r>
      <w:r w:rsidR="00C165F8">
        <w:rPr>
          <w:rFonts w:ascii="Calibri" w:hAnsi="Calibri" w:cs="Calibri"/>
          <w:sz w:val="24"/>
          <w:szCs w:val="24"/>
        </w:rPr>
        <w:t xml:space="preserve"> bylo p</w:t>
      </w:r>
      <w:r w:rsidR="00C165F8" w:rsidRPr="00C165F8">
        <w:rPr>
          <w:rFonts w:ascii="Calibri" w:hAnsi="Calibri" w:cs="Calibri"/>
          <w:sz w:val="24"/>
          <w:szCs w:val="24"/>
        </w:rPr>
        <w:t>rověřit</w:t>
      </w:r>
      <w:r w:rsidR="005F4996">
        <w:rPr>
          <w:rFonts w:ascii="Calibri" w:hAnsi="Calibri" w:cs="Calibri"/>
          <w:sz w:val="24"/>
          <w:szCs w:val="24"/>
        </w:rPr>
        <w:t>,</w:t>
      </w:r>
      <w:r w:rsidR="00397B16">
        <w:rPr>
          <w:rFonts w:ascii="Calibri" w:hAnsi="Calibri" w:cs="Calibri"/>
          <w:sz w:val="24"/>
          <w:szCs w:val="24"/>
        </w:rPr>
        <w:t xml:space="preserve"> </w:t>
      </w:r>
      <w:r w:rsidR="005F4996" w:rsidRPr="005F4996">
        <w:rPr>
          <w:rFonts w:ascii="Calibri" w:hAnsi="Calibri" w:cs="Calibri"/>
          <w:sz w:val="24"/>
          <w:szCs w:val="24"/>
        </w:rPr>
        <w:t>zda došlo k urychlení odstraňování starých ekologických zátěží vzniklých před privatizací a zda peněžní prostředky státu určené na odstraňování těchto zátěží jsou vynakládány hospodárně a v souladu s právními předpisy.</w:t>
      </w:r>
    </w:p>
    <w:p w14:paraId="74CA8B39" w14:textId="77777777" w:rsidR="00583F64" w:rsidRDefault="00583F64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194C07BD" w14:textId="77777777" w:rsidR="008E6616" w:rsidRPr="008A1F80" w:rsidRDefault="00624106" w:rsidP="001E2E4C">
      <w:pPr>
        <w:keepNext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Kontrolovan</w:t>
      </w:r>
      <w:r w:rsidR="005F4996">
        <w:rPr>
          <w:rFonts w:ascii="Calibri" w:hAnsi="Calibri" w:cs="Calibri"/>
          <w:sz w:val="24"/>
          <w:szCs w:val="24"/>
        </w:rPr>
        <w:t>é</w:t>
      </w:r>
      <w:r w:rsidRPr="008A1F80">
        <w:rPr>
          <w:rFonts w:ascii="Calibri" w:hAnsi="Calibri" w:cs="Calibri"/>
          <w:sz w:val="24"/>
          <w:szCs w:val="24"/>
        </w:rPr>
        <w:t xml:space="preserve"> osob</w:t>
      </w:r>
      <w:r w:rsidR="005F4996">
        <w:rPr>
          <w:rFonts w:ascii="Calibri" w:hAnsi="Calibri" w:cs="Calibri"/>
          <w:sz w:val="24"/>
          <w:szCs w:val="24"/>
        </w:rPr>
        <w:t>y</w:t>
      </w:r>
      <w:r w:rsidRPr="008A1F80">
        <w:rPr>
          <w:rFonts w:ascii="Calibri" w:hAnsi="Calibri" w:cs="Calibri"/>
          <w:sz w:val="24"/>
          <w:szCs w:val="24"/>
        </w:rPr>
        <w:t>:</w:t>
      </w:r>
    </w:p>
    <w:p w14:paraId="14D1A538" w14:textId="77777777" w:rsidR="008E6616" w:rsidRPr="005F4996" w:rsidRDefault="00624106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4996">
        <w:rPr>
          <w:rFonts w:ascii="Calibri" w:hAnsi="Calibri" w:cs="Calibri"/>
          <w:sz w:val="24"/>
          <w:szCs w:val="24"/>
        </w:rPr>
        <w:t>Ministerstvo financí</w:t>
      </w:r>
      <w:r w:rsidR="00397B16" w:rsidRPr="005F4996">
        <w:rPr>
          <w:rFonts w:ascii="Calibri" w:hAnsi="Calibri" w:cs="Calibri"/>
          <w:sz w:val="24"/>
          <w:szCs w:val="24"/>
        </w:rPr>
        <w:t xml:space="preserve"> (dále také „</w:t>
      </w:r>
      <w:r w:rsidRPr="005F4996">
        <w:rPr>
          <w:rFonts w:ascii="Calibri" w:hAnsi="Calibri" w:cs="Calibri"/>
          <w:sz w:val="24"/>
          <w:szCs w:val="24"/>
        </w:rPr>
        <w:t>MF</w:t>
      </w:r>
      <w:r w:rsidR="00397B16" w:rsidRPr="005F4996">
        <w:rPr>
          <w:rFonts w:ascii="Calibri" w:hAnsi="Calibri" w:cs="Calibri"/>
          <w:sz w:val="24"/>
          <w:szCs w:val="24"/>
        </w:rPr>
        <w:t>“)</w:t>
      </w:r>
      <w:r w:rsidR="001E2E4C">
        <w:rPr>
          <w:rFonts w:ascii="Calibri" w:hAnsi="Calibri" w:cs="Calibri"/>
          <w:sz w:val="24"/>
          <w:szCs w:val="24"/>
        </w:rPr>
        <w:t>,</w:t>
      </w:r>
    </w:p>
    <w:p w14:paraId="49BC1ABA" w14:textId="77777777" w:rsidR="005C4E17" w:rsidRPr="005F4996" w:rsidRDefault="00624106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4996">
        <w:rPr>
          <w:rFonts w:ascii="Calibri" w:hAnsi="Calibri" w:cs="Calibri"/>
          <w:sz w:val="24"/>
          <w:szCs w:val="24"/>
        </w:rPr>
        <w:t>Ministerstvo životního prostředí (dále také „MŽP“)</w:t>
      </w:r>
      <w:r w:rsidR="001E2E4C">
        <w:rPr>
          <w:rFonts w:ascii="Calibri" w:hAnsi="Calibri" w:cs="Calibri"/>
          <w:sz w:val="24"/>
          <w:szCs w:val="24"/>
        </w:rPr>
        <w:t>.</w:t>
      </w:r>
    </w:p>
    <w:p w14:paraId="505A330D" w14:textId="77777777" w:rsidR="005F4996" w:rsidRDefault="005F4996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655FA0" w14:textId="77777777" w:rsidR="005C4E17" w:rsidRDefault="00624106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Kontrolováno bylo období </w:t>
      </w:r>
      <w:r w:rsidRPr="005F4996">
        <w:rPr>
          <w:rFonts w:ascii="Calibri" w:hAnsi="Calibri" w:cs="Calibri"/>
          <w:sz w:val="24"/>
          <w:szCs w:val="24"/>
        </w:rPr>
        <w:t>od roku 201</w:t>
      </w:r>
      <w:r w:rsidR="00397B16" w:rsidRPr="005F4996">
        <w:rPr>
          <w:rFonts w:ascii="Calibri" w:hAnsi="Calibri" w:cs="Calibri"/>
          <w:sz w:val="24"/>
          <w:szCs w:val="24"/>
        </w:rPr>
        <w:t>8</w:t>
      </w:r>
      <w:r w:rsidRPr="005F4996">
        <w:rPr>
          <w:rFonts w:ascii="Calibri" w:hAnsi="Calibri" w:cs="Calibri"/>
          <w:sz w:val="24"/>
          <w:szCs w:val="24"/>
        </w:rPr>
        <w:t xml:space="preserve"> do roku 202</w:t>
      </w:r>
      <w:r w:rsidR="00397B16" w:rsidRPr="005F4996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, v případě věcných souvislostí i období předcházející</w:t>
      </w:r>
      <w:r w:rsidR="005F4996">
        <w:rPr>
          <w:rFonts w:ascii="Calibri" w:hAnsi="Calibri" w:cs="Calibri"/>
          <w:sz w:val="24"/>
          <w:szCs w:val="24"/>
        </w:rPr>
        <w:t xml:space="preserve"> a následující</w:t>
      </w:r>
      <w:r>
        <w:rPr>
          <w:rFonts w:ascii="Calibri" w:hAnsi="Calibri" w:cs="Calibri"/>
          <w:sz w:val="24"/>
          <w:szCs w:val="24"/>
        </w:rPr>
        <w:t>.</w:t>
      </w:r>
    </w:p>
    <w:p w14:paraId="5F125829" w14:textId="77777777" w:rsidR="005C4E17" w:rsidRDefault="005C4E17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DCD1155" w14:textId="77777777" w:rsidR="005C4E17" w:rsidRDefault="00624106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Kontrola </w:t>
      </w:r>
      <w:r w:rsidR="000E1B93">
        <w:rPr>
          <w:rFonts w:ascii="Calibri" w:hAnsi="Calibri" w:cs="Calibri"/>
          <w:sz w:val="24"/>
          <w:szCs w:val="24"/>
        </w:rPr>
        <w:t xml:space="preserve">byla </w:t>
      </w:r>
      <w:r>
        <w:rPr>
          <w:rFonts w:ascii="Calibri" w:hAnsi="Calibri" w:cs="Calibri"/>
          <w:sz w:val="24"/>
          <w:szCs w:val="24"/>
        </w:rPr>
        <w:t>u kontrolovaných osob</w:t>
      </w:r>
      <w:r w:rsidR="000E1B93">
        <w:rPr>
          <w:rFonts w:ascii="Calibri" w:hAnsi="Calibri" w:cs="Calibri"/>
          <w:sz w:val="24"/>
          <w:szCs w:val="24"/>
        </w:rPr>
        <w:t xml:space="preserve"> prováděna</w:t>
      </w:r>
      <w:r>
        <w:rPr>
          <w:rFonts w:ascii="Calibri" w:hAnsi="Calibri" w:cs="Calibri"/>
          <w:sz w:val="24"/>
          <w:szCs w:val="24"/>
        </w:rPr>
        <w:t xml:space="preserve"> v době </w:t>
      </w:r>
      <w:r w:rsidRPr="005F4996">
        <w:rPr>
          <w:rFonts w:ascii="Calibri" w:hAnsi="Calibri" w:cs="Calibri"/>
          <w:sz w:val="24"/>
          <w:szCs w:val="24"/>
        </w:rPr>
        <w:t xml:space="preserve">od </w:t>
      </w:r>
      <w:r w:rsidR="00397B16" w:rsidRPr="005F4996">
        <w:rPr>
          <w:rFonts w:ascii="Calibri" w:hAnsi="Calibri" w:cs="Calibri"/>
          <w:sz w:val="24"/>
          <w:szCs w:val="24"/>
        </w:rPr>
        <w:t xml:space="preserve">ledna do </w:t>
      </w:r>
      <w:r w:rsidR="005F4996" w:rsidRPr="005F4996">
        <w:rPr>
          <w:rFonts w:ascii="Calibri" w:hAnsi="Calibri" w:cs="Calibri"/>
          <w:sz w:val="24"/>
          <w:szCs w:val="24"/>
        </w:rPr>
        <w:t>července</w:t>
      </w:r>
      <w:r w:rsidR="00397B16" w:rsidRPr="005F4996">
        <w:rPr>
          <w:rFonts w:ascii="Calibri" w:hAnsi="Calibri" w:cs="Calibri"/>
          <w:sz w:val="24"/>
          <w:szCs w:val="24"/>
        </w:rPr>
        <w:t xml:space="preserve"> 202</w:t>
      </w:r>
      <w:r w:rsidR="005F4996" w:rsidRPr="005F4996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</w:t>
      </w:r>
    </w:p>
    <w:p w14:paraId="1F1ECE0F" w14:textId="77777777" w:rsidR="005C4E17" w:rsidRDefault="005C4E17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7BD3E9AA" w14:textId="77777777" w:rsidR="00492D41" w:rsidRPr="008E6616" w:rsidRDefault="00492D41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0BB82542" w14:textId="77777777" w:rsidR="008E6616" w:rsidRPr="00891158" w:rsidRDefault="00624106" w:rsidP="003D6A4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0431">
        <w:rPr>
          <w:rFonts w:ascii="Calibri" w:hAnsi="Calibri" w:cs="Calibri"/>
          <w:b/>
          <w:bCs/>
          <w:i/>
          <w:iCs/>
          <w:sz w:val="24"/>
          <w:szCs w:val="24"/>
        </w:rPr>
        <w:t xml:space="preserve">K o l e g i u m   N K Ú </w:t>
      </w:r>
      <w:r w:rsidR="00D13526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A4043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676973">
        <w:rPr>
          <w:rFonts w:ascii="Calibri" w:hAnsi="Calibri" w:cs="Calibri"/>
          <w:sz w:val="24"/>
          <w:szCs w:val="24"/>
        </w:rPr>
        <w:t xml:space="preserve">na </w:t>
      </w:r>
      <w:r w:rsidR="00676973" w:rsidRPr="00891158">
        <w:rPr>
          <w:rFonts w:ascii="Calibri" w:hAnsi="Calibri" w:cs="Calibri"/>
          <w:sz w:val="24"/>
          <w:szCs w:val="24"/>
        </w:rPr>
        <w:t xml:space="preserve">svém </w:t>
      </w:r>
      <w:r w:rsidR="00F97698">
        <w:rPr>
          <w:rFonts w:ascii="Calibri" w:hAnsi="Calibri" w:cs="Calibri"/>
          <w:sz w:val="24"/>
          <w:szCs w:val="24"/>
        </w:rPr>
        <w:t>XVI.</w:t>
      </w:r>
      <w:r w:rsidR="00676973" w:rsidRPr="00891158">
        <w:rPr>
          <w:rFonts w:ascii="Calibri" w:hAnsi="Calibri" w:cs="Calibri"/>
          <w:sz w:val="24"/>
          <w:szCs w:val="24"/>
        </w:rPr>
        <w:t xml:space="preserve"> jednání, které se konalo dne </w:t>
      </w:r>
      <w:r w:rsidR="00F97698">
        <w:rPr>
          <w:rFonts w:ascii="Calibri" w:hAnsi="Calibri" w:cs="Calibri"/>
          <w:sz w:val="24"/>
          <w:szCs w:val="24"/>
        </w:rPr>
        <w:t>13. listopadu 2023</w:t>
      </w:r>
      <w:r w:rsidR="00D13526">
        <w:rPr>
          <w:rFonts w:ascii="Calibri" w:hAnsi="Calibri" w:cs="Calibri"/>
          <w:sz w:val="24"/>
          <w:szCs w:val="24"/>
        </w:rPr>
        <w:t>,</w:t>
      </w:r>
    </w:p>
    <w:p w14:paraId="327A0A40" w14:textId="77777777" w:rsidR="008E6616" w:rsidRPr="00A40431" w:rsidRDefault="00624106" w:rsidP="003D6A4F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  <w:r w:rsidRPr="00891158">
        <w:rPr>
          <w:rFonts w:ascii="Calibri" w:hAnsi="Calibri" w:cs="Calibri"/>
          <w:b/>
          <w:bCs/>
          <w:i/>
          <w:iCs/>
          <w:sz w:val="24"/>
        </w:rPr>
        <w:t xml:space="preserve">s c h v á l i l o </w:t>
      </w:r>
      <w:r w:rsidR="00D13526">
        <w:rPr>
          <w:rFonts w:ascii="Calibri" w:hAnsi="Calibri" w:cs="Calibri"/>
          <w:b/>
          <w:bCs/>
          <w:i/>
          <w:iCs/>
          <w:sz w:val="24"/>
        </w:rPr>
        <w:t xml:space="preserve"> </w:t>
      </w:r>
      <w:r w:rsidRPr="00891158">
        <w:rPr>
          <w:rFonts w:ascii="Calibri" w:hAnsi="Calibri" w:cs="Calibri"/>
          <w:b/>
          <w:bCs/>
          <w:i/>
          <w:iCs/>
          <w:sz w:val="24"/>
        </w:rPr>
        <w:t xml:space="preserve"> </w:t>
      </w:r>
      <w:r w:rsidR="0074474A" w:rsidRPr="00891158">
        <w:rPr>
          <w:rFonts w:ascii="Calibri" w:hAnsi="Calibri" w:cs="Calibri"/>
          <w:sz w:val="24"/>
        </w:rPr>
        <w:t xml:space="preserve">usnesením č. </w:t>
      </w:r>
      <w:r w:rsidR="00F97698">
        <w:rPr>
          <w:rFonts w:ascii="Calibri" w:hAnsi="Calibri" w:cs="Calibri"/>
          <w:sz w:val="24"/>
        </w:rPr>
        <w:t>5/XVI/2023</w:t>
      </w:r>
    </w:p>
    <w:p w14:paraId="0EE818B6" w14:textId="1399E32F" w:rsidR="003C20A4" w:rsidRDefault="00624106" w:rsidP="008607B4">
      <w:pPr>
        <w:pStyle w:val="NormlnKZ"/>
        <w:spacing w:after="0" w:line="360" w:lineRule="auto"/>
        <w:ind w:firstLine="0"/>
        <w:rPr>
          <w:rFonts w:asciiTheme="minorHAnsi" w:hAnsiTheme="minorHAnsi" w:cs="Calibri"/>
          <w:color w:val="000000"/>
          <w:sz w:val="24"/>
        </w:rPr>
      </w:pPr>
      <w:r w:rsidRPr="00A40431">
        <w:rPr>
          <w:rFonts w:ascii="Calibri" w:hAnsi="Calibri" w:cs="Calibri"/>
          <w:b/>
          <w:bCs/>
          <w:i/>
          <w:iCs/>
          <w:sz w:val="24"/>
        </w:rPr>
        <w:t>k o n t r o l n í   z á v ě r</w:t>
      </w:r>
      <w:r w:rsidRPr="00A40431">
        <w:rPr>
          <w:rFonts w:ascii="Calibri" w:hAnsi="Calibri" w:cs="Calibri"/>
          <w:sz w:val="24"/>
        </w:rPr>
        <w:t xml:space="preserve">   </w:t>
      </w:r>
      <w:r w:rsidR="00044C5D" w:rsidRPr="00BE2CEF">
        <w:rPr>
          <w:rFonts w:asciiTheme="minorHAnsi" w:hAnsiTheme="minorHAnsi" w:cs="Calibri"/>
          <w:color w:val="000000"/>
          <w:sz w:val="24"/>
        </w:rPr>
        <w:t>v tomto znění</w:t>
      </w:r>
      <w:r w:rsidR="00394879">
        <w:rPr>
          <w:rFonts w:asciiTheme="minorHAnsi" w:hAnsiTheme="minorHAnsi" w:cs="Calibri"/>
          <w:color w:val="000000"/>
          <w:sz w:val="24"/>
        </w:rPr>
        <w:t>:</w:t>
      </w:r>
    </w:p>
    <w:p w14:paraId="7908C153" w14:textId="77777777" w:rsidR="00D43DDA" w:rsidRDefault="00D43DDA" w:rsidP="008607B4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</w:p>
    <w:p w14:paraId="5FED8ABB" w14:textId="77777777" w:rsidR="00D43DDA" w:rsidRDefault="00D43DDA" w:rsidP="008607B4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  <w:sectPr w:rsidR="00D43DDA" w:rsidSect="003D6A4F">
          <w:footerReference w:type="default" r:id="rId12"/>
          <w:footerReference w:type="first" r:id="rId13"/>
          <w:pgSz w:w="11906" w:h="16838"/>
          <w:pgMar w:top="1560" w:right="1417" w:bottom="1276" w:left="1417" w:header="708" w:footer="708" w:gutter="0"/>
          <w:cols w:space="708"/>
          <w:titlePg/>
          <w:docGrid w:linePitch="360"/>
        </w:sectPr>
      </w:pPr>
    </w:p>
    <w:p w14:paraId="36F01242" w14:textId="77777777" w:rsidR="003D4348" w:rsidRPr="00C97B65" w:rsidRDefault="004965D4" w:rsidP="004965D4">
      <w:pPr>
        <w:spacing w:after="360" w:line="240" w:lineRule="auto"/>
        <w:jc w:val="center"/>
        <w:rPr>
          <w:rFonts w:ascii="Calibri" w:hAnsi="Calibri" w:cs="Calibri"/>
          <w:b/>
          <w:spacing w:val="10"/>
          <w:sz w:val="40"/>
          <w:szCs w:val="40"/>
        </w:rPr>
      </w:pPr>
      <w:bookmarkStart w:id="1" w:name="_Hlk147304504"/>
      <w:bookmarkStart w:id="2" w:name="_Hlk147305915"/>
      <w:bookmarkStart w:id="3" w:name="_Hlk85636686"/>
      <w:r w:rsidRPr="00C97B65">
        <w:rPr>
          <w:rStyle w:val="A4"/>
          <w:rFonts w:ascii="Calibri" w:hAnsi="Calibri" w:cs="Calibri"/>
          <w:b/>
          <w:color w:val="000000" w:themeColor="text1"/>
          <w:spacing w:val="10"/>
          <w:sz w:val="36"/>
          <w:szCs w:val="40"/>
        </w:rPr>
        <w:lastRenderedPageBreak/>
        <w:t>Odstraňování starých ekologických zátěží</w:t>
      </w:r>
    </w:p>
    <w:p w14:paraId="32F93E27" w14:textId="0C25678A" w:rsidR="0016034B" w:rsidRPr="00D13526" w:rsidRDefault="00624106" w:rsidP="00C97B65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before="120" w:after="120" w:line="264" w:lineRule="auto"/>
        <w:jc w:val="both"/>
        <w:rPr>
          <w:rFonts w:ascii="Calibri" w:hAnsi="Calibri" w:cs="Calibri"/>
          <w:spacing w:val="4"/>
          <w:sz w:val="24"/>
          <w:szCs w:val="24"/>
        </w:rPr>
      </w:pPr>
      <w:r w:rsidRPr="00D13526">
        <w:rPr>
          <w:rFonts w:ascii="Calibri" w:hAnsi="Calibri" w:cs="Calibri"/>
          <w:spacing w:val="4"/>
          <w:sz w:val="24"/>
          <w:szCs w:val="24"/>
        </w:rPr>
        <w:t>Staré ekologické zátěže vzniklé před privatizací představují závažné škody na životním prostředí způsobené v minulosti zejména průmyslovou výrobou. Nevhodným nakládáním s nebezpečnými látkami docházelo dlouhodobě k jejich pronikání do horninového prostředí, podzemních a</w:t>
      </w:r>
      <w:r w:rsidR="009A6B45" w:rsidRPr="00D13526">
        <w:rPr>
          <w:rFonts w:ascii="Calibri" w:hAnsi="Calibri" w:cs="Calibri"/>
          <w:spacing w:val="4"/>
          <w:sz w:val="24"/>
          <w:szCs w:val="24"/>
        </w:rPr>
        <w:t> </w:t>
      </w:r>
      <w:r w:rsidRPr="00D13526">
        <w:rPr>
          <w:rFonts w:ascii="Calibri" w:hAnsi="Calibri" w:cs="Calibri"/>
          <w:spacing w:val="4"/>
          <w:sz w:val="24"/>
          <w:szCs w:val="24"/>
        </w:rPr>
        <w:t xml:space="preserve">povrchových vod, zemin a do stavebních konstrukcí v areálech bývalých státních podniků. Nevyřešené </w:t>
      </w:r>
      <w:r w:rsidR="00EA3BD1" w:rsidRPr="00D13526">
        <w:rPr>
          <w:rFonts w:ascii="Calibri" w:hAnsi="Calibri" w:cs="Calibri"/>
          <w:spacing w:val="4"/>
          <w:sz w:val="24"/>
          <w:szCs w:val="24"/>
        </w:rPr>
        <w:t xml:space="preserve">staré ekologické </w:t>
      </w:r>
      <w:r w:rsidRPr="00D13526">
        <w:rPr>
          <w:rFonts w:ascii="Calibri" w:hAnsi="Calibri" w:cs="Calibri"/>
          <w:spacing w:val="4"/>
          <w:sz w:val="24"/>
          <w:szCs w:val="24"/>
        </w:rPr>
        <w:t xml:space="preserve">zátěže </w:t>
      </w:r>
      <w:r w:rsidR="000443E1" w:rsidRPr="00D13526">
        <w:rPr>
          <w:rFonts w:ascii="Calibri" w:hAnsi="Calibri" w:cs="Calibri"/>
          <w:spacing w:val="4"/>
          <w:sz w:val="24"/>
          <w:szCs w:val="24"/>
        </w:rPr>
        <w:t xml:space="preserve">stále </w:t>
      </w:r>
      <w:r w:rsidRPr="00D13526">
        <w:rPr>
          <w:rFonts w:ascii="Calibri" w:hAnsi="Calibri" w:cs="Calibri"/>
          <w:spacing w:val="4"/>
          <w:sz w:val="24"/>
          <w:szCs w:val="24"/>
        </w:rPr>
        <w:t>představují rizika pro přírodu a</w:t>
      </w:r>
      <w:r w:rsidR="00C97B65" w:rsidRPr="00D13526">
        <w:rPr>
          <w:rFonts w:ascii="Calibri" w:hAnsi="Calibri" w:cs="Calibri"/>
          <w:spacing w:val="4"/>
          <w:sz w:val="24"/>
          <w:szCs w:val="24"/>
        </w:rPr>
        <w:t> </w:t>
      </w:r>
      <w:r w:rsidRPr="00D13526">
        <w:rPr>
          <w:rFonts w:ascii="Calibri" w:hAnsi="Calibri" w:cs="Calibri"/>
          <w:spacing w:val="4"/>
          <w:sz w:val="24"/>
          <w:szCs w:val="24"/>
        </w:rPr>
        <w:t>zdraví obyvatel a jejich odstraňování je nákladné.</w:t>
      </w:r>
    </w:p>
    <w:p w14:paraId="1ED21F48" w14:textId="77777777" w:rsidR="003D4348" w:rsidRPr="00AD17B8" w:rsidRDefault="00624106" w:rsidP="003D4348">
      <w:pPr>
        <w:tabs>
          <w:tab w:val="left" w:pos="1115"/>
        </w:tabs>
        <w:ind w:left="1416" w:hanging="1416"/>
        <w:jc w:val="center"/>
        <w:rPr>
          <w:caps/>
        </w:rPr>
      </w:pP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17002" wp14:editId="6622CC13">
                <wp:simplePos x="0" y="0"/>
                <wp:positionH relativeFrom="margin">
                  <wp:posOffset>-30480</wp:posOffset>
                </wp:positionH>
                <wp:positionV relativeFrom="paragraph">
                  <wp:posOffset>273050</wp:posOffset>
                </wp:positionV>
                <wp:extent cx="575770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7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E9932" id="Přímá spojnic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pt,21.5pt" to="450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pPr w:leftFromText="141" w:rightFromText="141" w:vertAnchor="text" w:horzAnchor="margin" w:tblpY="265"/>
        <w:tblOverlap w:val="never"/>
        <w:tblW w:w="5078" w:type="pct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262"/>
        <w:gridCol w:w="2834"/>
        <w:gridCol w:w="3118"/>
      </w:tblGrid>
      <w:tr w:rsidR="00AD17B8" w:rsidRPr="00AD17B8" w14:paraId="57E35250" w14:textId="77777777" w:rsidTr="00193DA7">
        <w:trPr>
          <w:trHeight w:val="1730"/>
        </w:trPr>
        <w:tc>
          <w:tcPr>
            <w:tcW w:w="1770" w:type="pct"/>
          </w:tcPr>
          <w:p w14:paraId="7E06E113" w14:textId="77777777" w:rsidR="003D4348" w:rsidRPr="00AD17B8" w:rsidRDefault="00624106" w:rsidP="000A24F9">
            <w:pPr>
              <w:spacing w:line="360" w:lineRule="auto"/>
              <w:jc w:val="center"/>
              <w:rPr>
                <w:rFonts w:eastAsia="MS Gothic"/>
                <w:b/>
                <w:sz w:val="36"/>
                <w:szCs w:val="36"/>
              </w:rPr>
            </w:pPr>
            <w:bookmarkStart w:id="4" w:name="_Hlk129164814"/>
            <w:r w:rsidRPr="00AD17B8">
              <w:rPr>
                <w:rFonts w:eastAsia="MS Gothic"/>
                <w:b/>
                <w:bCs/>
                <w:sz w:val="36"/>
                <w:szCs w:val="36"/>
              </w:rPr>
              <w:t>66,2 mld. Kč</w:t>
            </w:r>
          </w:p>
          <w:p w14:paraId="68F58086" w14:textId="77777777" w:rsidR="003D4348" w:rsidRPr="00AD17B8" w:rsidRDefault="00624106" w:rsidP="000A24F9">
            <w:pPr>
              <w:jc w:val="center"/>
              <w:rPr>
                <w:rStyle w:val="A1"/>
                <w:color w:val="auto"/>
                <w:sz w:val="22"/>
                <w:szCs w:val="22"/>
              </w:rPr>
            </w:pPr>
            <w:r w:rsidRPr="00AD17B8">
              <w:t>peněžní prostředky státu</w:t>
            </w:r>
            <w:r w:rsidR="00EA147D" w:rsidRPr="00AD17B8">
              <w:t xml:space="preserve"> uhrazené k 30. dubnu 2023 </w:t>
            </w:r>
            <w:r w:rsidR="00193DA7">
              <w:br/>
            </w:r>
            <w:r w:rsidRPr="00AD17B8">
              <w:t>na odstra</w:t>
            </w:r>
            <w:r w:rsidR="00EA147D" w:rsidRPr="00AD17B8">
              <w:t>nění</w:t>
            </w:r>
            <w:r w:rsidRPr="00AD17B8">
              <w:t xml:space="preserve"> </w:t>
            </w:r>
            <w:r w:rsidR="00EA147D" w:rsidRPr="00AD17B8">
              <w:t xml:space="preserve">starých ekologických </w:t>
            </w:r>
            <w:r w:rsidRPr="00AD17B8">
              <w:t>zátěží</w:t>
            </w:r>
            <w:bookmarkEnd w:id="4"/>
          </w:p>
        </w:tc>
        <w:tc>
          <w:tcPr>
            <w:tcW w:w="1538" w:type="pct"/>
          </w:tcPr>
          <w:p w14:paraId="2D5080CD" w14:textId="77777777" w:rsidR="003D4348" w:rsidRPr="00AD17B8" w:rsidRDefault="00EA147D" w:rsidP="000A24F9">
            <w:pPr>
              <w:spacing w:line="36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D17B8">
              <w:rPr>
                <w:rFonts w:cstheme="minorHAnsi"/>
                <w:b/>
                <w:sz w:val="36"/>
                <w:szCs w:val="36"/>
              </w:rPr>
              <w:t>32 let</w:t>
            </w:r>
          </w:p>
          <w:p w14:paraId="046A1670" w14:textId="77777777" w:rsidR="003D4348" w:rsidRPr="00AD17B8" w:rsidRDefault="00EA147D" w:rsidP="000A24F9">
            <w:pPr>
              <w:jc w:val="center"/>
            </w:pPr>
            <w:r w:rsidRPr="00AD17B8">
              <w:t xml:space="preserve">trvání procesu odstraňování starých ekologických zátěží </w:t>
            </w:r>
          </w:p>
        </w:tc>
        <w:tc>
          <w:tcPr>
            <w:tcW w:w="1692" w:type="pct"/>
          </w:tcPr>
          <w:p w14:paraId="74EB719E" w14:textId="77777777" w:rsidR="003D4348" w:rsidRPr="00AD17B8" w:rsidRDefault="00AF55DC" w:rsidP="000A24F9">
            <w:pPr>
              <w:spacing w:line="36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D17B8">
              <w:rPr>
                <w:rFonts w:cstheme="minorHAnsi"/>
                <w:b/>
                <w:sz w:val="36"/>
                <w:szCs w:val="36"/>
              </w:rPr>
              <w:t>37 %</w:t>
            </w:r>
          </w:p>
          <w:p w14:paraId="0772BDAD" w14:textId="77777777" w:rsidR="003D4348" w:rsidRPr="00AD17B8" w:rsidRDefault="00AF55DC" w:rsidP="00AF55DC">
            <w:pPr>
              <w:jc w:val="center"/>
            </w:pPr>
            <w:bookmarkStart w:id="5" w:name="_Hlk149031167"/>
            <w:r w:rsidRPr="00AD17B8">
              <w:t xml:space="preserve">ekologických smluv s neukončenými ekologickými závazky státu </w:t>
            </w:r>
            <w:r w:rsidR="00193DA7">
              <w:br/>
            </w:r>
            <w:r w:rsidRPr="00AD17B8">
              <w:t>k 30. dubnu 2023</w:t>
            </w:r>
            <w:r w:rsidR="001A149D" w:rsidRPr="00AD17B8">
              <w:t xml:space="preserve"> </w:t>
            </w:r>
            <w:bookmarkEnd w:id="5"/>
          </w:p>
        </w:tc>
      </w:tr>
    </w:tbl>
    <w:p w14:paraId="46D9B74E" w14:textId="77777777" w:rsidR="003D4348" w:rsidRPr="00E06AAB" w:rsidRDefault="00B122EE" w:rsidP="003D4348">
      <w:pPr>
        <w:rPr>
          <w:b/>
        </w:rPr>
      </w:pP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07E58" wp14:editId="298BB6C9">
                <wp:simplePos x="0" y="0"/>
                <wp:positionH relativeFrom="margin">
                  <wp:posOffset>7620</wp:posOffset>
                </wp:positionH>
                <wp:positionV relativeFrom="paragraph">
                  <wp:posOffset>1794510</wp:posOffset>
                </wp:positionV>
                <wp:extent cx="5727065" cy="0"/>
                <wp:effectExtent l="0" t="0" r="0" b="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5C008" id="Přímá spojnic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41.3pt" to="451.5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95A08EC" w14:textId="77777777" w:rsidR="003D4348" w:rsidRPr="00E06AAB" w:rsidRDefault="003D4348" w:rsidP="00F13EBB">
      <w:pPr>
        <w:tabs>
          <w:tab w:val="left" w:pos="1747"/>
          <w:tab w:val="center" w:pos="4536"/>
        </w:tabs>
        <w:spacing w:after="240"/>
        <w:rPr>
          <w:caps/>
        </w:rPr>
      </w:pPr>
    </w:p>
    <w:p w14:paraId="7E151A8D" w14:textId="77777777" w:rsidR="00F13EBB" w:rsidRPr="00396F3B" w:rsidRDefault="00624106" w:rsidP="00E31D26">
      <w:pPr>
        <w:jc w:val="both"/>
        <w:rPr>
          <w:b/>
          <w:sz w:val="28"/>
          <w:szCs w:val="28"/>
        </w:rPr>
      </w:pPr>
      <w:r w:rsidRPr="00396F3B">
        <w:rPr>
          <w:b/>
          <w:sz w:val="28"/>
          <w:szCs w:val="28"/>
        </w:rPr>
        <w:t xml:space="preserve">V letech 2018 až 2022 nedošlo k urychlení odstraňování starých ekologických zátěží vzniklých před privatizací. </w:t>
      </w:r>
    </w:p>
    <w:p w14:paraId="0AA884BE" w14:textId="7259AEC2" w:rsidR="00B85D3A" w:rsidRDefault="005F545B" w:rsidP="00DC20A0">
      <w:pPr>
        <w:tabs>
          <w:tab w:val="left" w:pos="709"/>
          <w:tab w:val="left" w:pos="1418"/>
        </w:tabs>
        <w:ind w:hanging="142"/>
      </w:pPr>
      <w:r>
        <w:rPr>
          <w:noProof/>
        </w:rPr>
        <w:drawing>
          <wp:inline distT="0" distB="0" distL="0" distR="0" wp14:anchorId="30834734" wp14:editId="53D46BC6">
            <wp:extent cx="5760720" cy="2923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AF1B" w14:textId="77777777" w:rsidR="009E2EA3" w:rsidRDefault="009E2EA3">
      <w:pPr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bookmarkStart w:id="6" w:name="_Hlk145070127"/>
      <w:bookmarkEnd w:id="1"/>
      <w:bookmarkEnd w:id="2"/>
      <w:r>
        <w:rPr>
          <w:sz w:val="28"/>
          <w:szCs w:val="28"/>
        </w:rPr>
        <w:br w:type="page"/>
      </w:r>
    </w:p>
    <w:p w14:paraId="5A7493C1" w14:textId="3B843554" w:rsidR="00D5794D" w:rsidRDefault="00624106" w:rsidP="00BB11F8">
      <w:pPr>
        <w:pStyle w:val="Nadpis1"/>
        <w:numPr>
          <w:ilvl w:val="0"/>
          <w:numId w:val="0"/>
        </w:numPr>
        <w:spacing w:before="240" w:after="240"/>
        <w:ind w:left="357" w:hanging="357"/>
        <w:rPr>
          <w:sz w:val="28"/>
          <w:szCs w:val="28"/>
        </w:rPr>
      </w:pPr>
      <w:r w:rsidRPr="007D3809">
        <w:rPr>
          <w:sz w:val="28"/>
          <w:szCs w:val="28"/>
        </w:rPr>
        <w:t>I. Shrnutí a vyhodnocení</w:t>
      </w:r>
    </w:p>
    <w:bookmarkEnd w:id="6"/>
    <w:p w14:paraId="45554707" w14:textId="59840919" w:rsidR="00AC5884" w:rsidRPr="00AD17B8" w:rsidRDefault="00624106" w:rsidP="00BB11F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NKÚ provedl kontrolu peněžních prostředků státu vynakládaných na odstraňování starých ekologických zátěží vzniklých před privatizací. Cílem kontroly bylo prověřit, zda došlo k urychlení odstraňování starých ekologických zátěží vzniklých před privatizací</w:t>
      </w:r>
      <w:r w:rsidR="00164AEA">
        <w:rPr>
          <w:rFonts w:cstheme="minorHAnsi"/>
          <w:sz w:val="24"/>
          <w:szCs w:val="24"/>
        </w:rPr>
        <w:t xml:space="preserve"> </w:t>
      </w:r>
      <w:r w:rsidR="00833ECA" w:rsidRPr="00CB68DA">
        <w:rPr>
          <w:sz w:val="24"/>
          <w:szCs w:val="24"/>
        </w:rPr>
        <w:t xml:space="preserve">(dále také „SEZ“) </w:t>
      </w:r>
      <w:r>
        <w:rPr>
          <w:rFonts w:cstheme="minorHAnsi"/>
          <w:sz w:val="24"/>
          <w:szCs w:val="24"/>
        </w:rPr>
        <w:t>a</w:t>
      </w:r>
      <w:r w:rsidR="00C92530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zda peněžní prostředky státu určené na odstraňování těchto zátěží byly vynakládány hospodárně a v souladu s </w:t>
      </w:r>
      <w:r w:rsidRPr="00AD17B8">
        <w:rPr>
          <w:rFonts w:cstheme="minorHAnsi"/>
          <w:sz w:val="24"/>
          <w:szCs w:val="24"/>
        </w:rPr>
        <w:t>právními předpisy.</w:t>
      </w:r>
      <w:r w:rsidR="00347C31" w:rsidRPr="00AD17B8">
        <w:rPr>
          <w:rFonts w:cstheme="minorHAnsi"/>
          <w:sz w:val="24"/>
          <w:szCs w:val="24"/>
        </w:rPr>
        <w:t xml:space="preserve"> </w:t>
      </w:r>
    </w:p>
    <w:p w14:paraId="7392B14E" w14:textId="1171116C" w:rsidR="00AC5884" w:rsidRPr="00AD17B8" w:rsidRDefault="00624106" w:rsidP="00193DA7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D17B8">
        <w:rPr>
          <w:rFonts w:cstheme="minorHAnsi"/>
          <w:b/>
          <w:sz w:val="24"/>
          <w:szCs w:val="24"/>
        </w:rPr>
        <w:t xml:space="preserve">Odstraňování starých ekologických zátěží vzniklých před privatizací probíhá </w:t>
      </w:r>
      <w:r w:rsidR="00A75E42" w:rsidRPr="00AD17B8">
        <w:rPr>
          <w:rFonts w:cstheme="minorHAnsi"/>
          <w:b/>
          <w:sz w:val="24"/>
          <w:szCs w:val="24"/>
        </w:rPr>
        <w:t xml:space="preserve">již </w:t>
      </w:r>
      <w:r w:rsidRPr="00AD17B8">
        <w:rPr>
          <w:rFonts w:cstheme="minorHAnsi"/>
          <w:b/>
          <w:sz w:val="24"/>
          <w:szCs w:val="24"/>
        </w:rPr>
        <w:t>3</w:t>
      </w:r>
      <w:r w:rsidR="00347C31" w:rsidRPr="00AD17B8">
        <w:rPr>
          <w:rFonts w:cstheme="minorHAnsi"/>
          <w:b/>
          <w:sz w:val="24"/>
          <w:szCs w:val="24"/>
        </w:rPr>
        <w:t>2</w:t>
      </w:r>
      <w:r w:rsidRPr="00AD17B8">
        <w:rPr>
          <w:rFonts w:cstheme="minorHAnsi"/>
          <w:b/>
          <w:sz w:val="24"/>
          <w:szCs w:val="24"/>
        </w:rPr>
        <w:t xml:space="preserve"> let a stát na ně vynaložil 66,2 mld. Kč. </w:t>
      </w:r>
      <w:r w:rsidR="009A6B45" w:rsidRPr="00AD17B8">
        <w:rPr>
          <w:rFonts w:cstheme="minorHAnsi"/>
          <w:b/>
          <w:sz w:val="24"/>
          <w:szCs w:val="24"/>
        </w:rPr>
        <w:t>K </w:t>
      </w:r>
      <w:r w:rsidR="009A6B45" w:rsidRPr="0006031E">
        <w:rPr>
          <w:rFonts w:cstheme="minorHAnsi"/>
          <w:b/>
          <w:sz w:val="24"/>
          <w:szCs w:val="24"/>
        </w:rPr>
        <w:t>urychlení odstraňování SEZ nedošlo</w:t>
      </w:r>
      <w:r w:rsidR="00C92530">
        <w:rPr>
          <w:rFonts w:cstheme="minorHAnsi"/>
          <w:b/>
          <w:sz w:val="24"/>
          <w:szCs w:val="24"/>
        </w:rPr>
        <w:t>;</w:t>
      </w:r>
      <w:r w:rsidR="001B7BFA" w:rsidRPr="0006031E">
        <w:rPr>
          <w:rFonts w:cstheme="minorHAnsi"/>
          <w:b/>
          <w:sz w:val="24"/>
          <w:szCs w:val="24"/>
        </w:rPr>
        <w:t xml:space="preserve"> v době kontroly stále nebylo ukončeno 37 % ekologických smluv, přitom </w:t>
      </w:r>
      <w:r w:rsidRPr="0006031E">
        <w:rPr>
          <w:rFonts w:cstheme="minorHAnsi"/>
          <w:b/>
          <w:sz w:val="24"/>
          <w:szCs w:val="24"/>
        </w:rPr>
        <w:t>NKÚ v minulosti opakovaně upozorňoval na skutečnost, že proces odstraňování</w:t>
      </w:r>
      <w:r w:rsidR="00CF3546">
        <w:rPr>
          <w:rFonts w:cstheme="minorHAnsi"/>
          <w:b/>
          <w:sz w:val="24"/>
          <w:szCs w:val="24"/>
        </w:rPr>
        <w:t xml:space="preserve"> SEZ</w:t>
      </w:r>
      <w:r w:rsidRPr="0006031E">
        <w:rPr>
          <w:rFonts w:cstheme="minorHAnsi"/>
          <w:b/>
          <w:sz w:val="24"/>
          <w:szCs w:val="24"/>
        </w:rPr>
        <w:t xml:space="preserve"> je pomalý a málo účinný. </w:t>
      </w:r>
      <w:r w:rsidRPr="00AD17B8">
        <w:rPr>
          <w:rFonts w:cstheme="minorHAnsi"/>
          <w:b/>
          <w:sz w:val="24"/>
          <w:szCs w:val="24"/>
        </w:rPr>
        <w:t>M</w:t>
      </w:r>
      <w:r w:rsidR="007350E3" w:rsidRPr="00AD17B8">
        <w:rPr>
          <w:rFonts w:cstheme="minorHAnsi"/>
          <w:b/>
          <w:sz w:val="24"/>
          <w:szCs w:val="24"/>
        </w:rPr>
        <w:t>inisterstvo financí</w:t>
      </w:r>
      <w:r w:rsidRPr="00AD17B8">
        <w:rPr>
          <w:rFonts w:cstheme="minorHAnsi"/>
          <w:b/>
          <w:sz w:val="24"/>
          <w:szCs w:val="24"/>
        </w:rPr>
        <w:t xml:space="preserve"> </w:t>
      </w:r>
      <w:r w:rsidR="007350E3" w:rsidRPr="00AD17B8">
        <w:rPr>
          <w:rFonts w:cstheme="minorHAnsi"/>
          <w:b/>
          <w:sz w:val="24"/>
          <w:szCs w:val="24"/>
        </w:rPr>
        <w:t xml:space="preserve">nepřijalo </w:t>
      </w:r>
      <w:r w:rsidRPr="00AD17B8">
        <w:rPr>
          <w:rFonts w:cstheme="minorHAnsi"/>
          <w:b/>
          <w:sz w:val="24"/>
          <w:szCs w:val="24"/>
        </w:rPr>
        <w:t>ani do doby ukončení kontroly</w:t>
      </w:r>
      <w:r w:rsidR="007350E3" w:rsidRPr="00AD17B8">
        <w:rPr>
          <w:rFonts w:cstheme="minorHAnsi"/>
          <w:b/>
          <w:sz w:val="24"/>
          <w:szCs w:val="24"/>
        </w:rPr>
        <w:t xml:space="preserve"> NKÚ</w:t>
      </w:r>
      <w:r w:rsidRPr="00AD17B8">
        <w:rPr>
          <w:rFonts w:cstheme="minorHAnsi"/>
          <w:b/>
          <w:sz w:val="24"/>
          <w:szCs w:val="24"/>
        </w:rPr>
        <w:t xml:space="preserve"> </w:t>
      </w:r>
      <w:r w:rsidR="00730465" w:rsidRPr="00AD17B8">
        <w:rPr>
          <w:rFonts w:cstheme="minorHAnsi"/>
          <w:b/>
          <w:sz w:val="24"/>
          <w:szCs w:val="24"/>
        </w:rPr>
        <w:t xml:space="preserve">účinná opatření k urychlení odstraňování SEZ </w:t>
      </w:r>
      <w:r w:rsidRPr="00AD17B8">
        <w:rPr>
          <w:rFonts w:cstheme="minorHAnsi"/>
          <w:b/>
          <w:sz w:val="24"/>
          <w:szCs w:val="24"/>
        </w:rPr>
        <w:t>a podle předpokladu MF bude tento proces probíhat nejméně dalších 20</w:t>
      </w:r>
      <w:r w:rsidR="00CF3546">
        <w:rPr>
          <w:rFonts w:cstheme="minorHAnsi"/>
          <w:b/>
          <w:sz w:val="24"/>
          <w:szCs w:val="24"/>
        </w:rPr>
        <w:t> </w:t>
      </w:r>
      <w:r w:rsidRPr="00AD17B8">
        <w:rPr>
          <w:rFonts w:cstheme="minorHAnsi"/>
          <w:b/>
          <w:sz w:val="24"/>
          <w:szCs w:val="24"/>
        </w:rPr>
        <w:t xml:space="preserve">let. </w:t>
      </w:r>
      <w:r w:rsidR="00333370">
        <w:rPr>
          <w:rFonts w:cstheme="minorHAnsi"/>
          <w:b/>
          <w:sz w:val="24"/>
          <w:szCs w:val="24"/>
        </w:rPr>
        <w:t>Důsledkem pomalého odstraňování SEZ je růst výdajů stát</w:t>
      </w:r>
      <w:r w:rsidR="00F97698">
        <w:rPr>
          <w:rFonts w:cstheme="minorHAnsi"/>
          <w:b/>
          <w:sz w:val="24"/>
          <w:szCs w:val="24"/>
        </w:rPr>
        <w:t>u</w:t>
      </w:r>
      <w:r w:rsidR="00333370">
        <w:rPr>
          <w:rFonts w:cstheme="minorHAnsi"/>
          <w:b/>
          <w:sz w:val="24"/>
          <w:szCs w:val="24"/>
        </w:rPr>
        <w:t xml:space="preserve"> na jejich odstranění. </w:t>
      </w:r>
      <w:r w:rsidRPr="00AD17B8">
        <w:rPr>
          <w:rFonts w:cstheme="minorHAnsi"/>
          <w:b/>
          <w:sz w:val="24"/>
          <w:szCs w:val="24"/>
        </w:rPr>
        <w:t xml:space="preserve">Odstraňování </w:t>
      </w:r>
      <w:r w:rsidR="00EB4673" w:rsidRPr="00AD17B8">
        <w:rPr>
          <w:rFonts w:cstheme="minorHAnsi"/>
          <w:b/>
          <w:sz w:val="24"/>
          <w:szCs w:val="24"/>
        </w:rPr>
        <w:t>SEZ</w:t>
      </w:r>
      <w:r w:rsidRPr="00AD17B8">
        <w:rPr>
          <w:rFonts w:cstheme="minorHAnsi"/>
          <w:b/>
          <w:sz w:val="24"/>
          <w:szCs w:val="24"/>
        </w:rPr>
        <w:t xml:space="preserve"> prodražuje povinné ochranné sanační čerpání</w:t>
      </w:r>
      <w:r w:rsidR="00E55AB9" w:rsidRPr="00AD17B8">
        <w:rPr>
          <w:rStyle w:val="Znakapoznpodarou"/>
          <w:rFonts w:cstheme="minorHAnsi"/>
          <w:b/>
          <w:sz w:val="24"/>
          <w:szCs w:val="24"/>
        </w:rPr>
        <w:footnoteReference w:id="2"/>
      </w:r>
      <w:r w:rsidRPr="00AD17B8">
        <w:rPr>
          <w:rFonts w:cstheme="minorHAnsi"/>
          <w:b/>
          <w:sz w:val="24"/>
          <w:szCs w:val="24"/>
        </w:rPr>
        <w:t xml:space="preserve">, které k samotnému odstranění </w:t>
      </w:r>
      <w:r w:rsidR="00EB4673" w:rsidRPr="00AD17B8">
        <w:rPr>
          <w:rFonts w:cstheme="minorHAnsi"/>
          <w:b/>
          <w:sz w:val="24"/>
          <w:szCs w:val="24"/>
        </w:rPr>
        <w:t xml:space="preserve">staré ekologické </w:t>
      </w:r>
      <w:r w:rsidRPr="00AD17B8">
        <w:rPr>
          <w:rFonts w:cstheme="minorHAnsi"/>
          <w:b/>
          <w:sz w:val="24"/>
          <w:szCs w:val="24"/>
        </w:rPr>
        <w:t xml:space="preserve">zátěže nevede. V lokalitách, kde není </w:t>
      </w:r>
      <w:r w:rsidR="003A5102" w:rsidRPr="00AD17B8">
        <w:rPr>
          <w:rFonts w:cstheme="minorHAnsi"/>
          <w:b/>
          <w:sz w:val="24"/>
          <w:szCs w:val="24"/>
        </w:rPr>
        <w:t xml:space="preserve">ukončena </w:t>
      </w:r>
      <w:r w:rsidR="00BE35C3" w:rsidRPr="00AD17B8">
        <w:rPr>
          <w:rFonts w:cstheme="minorHAnsi"/>
          <w:b/>
          <w:sz w:val="24"/>
          <w:szCs w:val="24"/>
        </w:rPr>
        <w:t>sanace</w:t>
      </w:r>
      <w:r w:rsidRPr="00AD17B8">
        <w:rPr>
          <w:rFonts w:cstheme="minorHAnsi"/>
          <w:b/>
          <w:sz w:val="24"/>
          <w:szCs w:val="24"/>
        </w:rPr>
        <w:t xml:space="preserve">, přetrvává riziko šíření kontaminace, a to opětovně i do území, jejichž sanaci stát již uhradil. </w:t>
      </w:r>
      <w:r w:rsidR="00044B94" w:rsidRPr="00AD17B8">
        <w:rPr>
          <w:rFonts w:cstheme="minorHAnsi"/>
          <w:b/>
          <w:sz w:val="24"/>
          <w:szCs w:val="24"/>
        </w:rPr>
        <w:t xml:space="preserve">NKÚ </w:t>
      </w:r>
      <w:r w:rsidR="007F332F" w:rsidRPr="00AD17B8">
        <w:rPr>
          <w:rFonts w:cstheme="minorHAnsi"/>
          <w:b/>
          <w:sz w:val="24"/>
          <w:szCs w:val="24"/>
        </w:rPr>
        <w:t xml:space="preserve">nezjistil </w:t>
      </w:r>
      <w:r w:rsidR="00076875" w:rsidRPr="00AD17B8">
        <w:rPr>
          <w:rFonts w:cstheme="minorHAnsi"/>
          <w:b/>
          <w:sz w:val="24"/>
          <w:szCs w:val="24"/>
        </w:rPr>
        <w:t>porušení právních předpisů.</w:t>
      </w:r>
    </w:p>
    <w:p w14:paraId="5DA8EE67" w14:textId="77777777" w:rsidR="00DF370E" w:rsidRPr="00AD17B8" w:rsidRDefault="00624106" w:rsidP="00193DA7">
      <w:pPr>
        <w:keepNext/>
        <w:spacing w:before="480" w:after="240" w:line="240" w:lineRule="auto"/>
        <w:jc w:val="both"/>
        <w:rPr>
          <w:sz w:val="24"/>
          <w:szCs w:val="23"/>
        </w:rPr>
      </w:pPr>
      <w:r w:rsidRPr="00AD17B8">
        <w:rPr>
          <w:sz w:val="24"/>
          <w:szCs w:val="23"/>
        </w:rPr>
        <w:t>Výše uvedené celkové vyhodnocení vyplývá z následujícíh</w:t>
      </w:r>
      <w:r w:rsidR="00347C31" w:rsidRPr="00AD17B8">
        <w:rPr>
          <w:sz w:val="24"/>
          <w:szCs w:val="23"/>
        </w:rPr>
        <w:t>o</w:t>
      </w:r>
      <w:r w:rsidRPr="00AD17B8">
        <w:rPr>
          <w:sz w:val="24"/>
          <w:szCs w:val="23"/>
        </w:rPr>
        <w:t>:</w:t>
      </w:r>
    </w:p>
    <w:p w14:paraId="34CEC301" w14:textId="39B61FD2" w:rsidR="00AC5884" w:rsidRPr="00AD17B8" w:rsidRDefault="00624106" w:rsidP="00193DA7">
      <w:pPr>
        <w:pStyle w:val="Odstavecseseznamem"/>
        <w:keepNext/>
        <w:spacing w:before="120" w:after="120" w:line="240" w:lineRule="auto"/>
        <w:ind w:left="0"/>
        <w:contextualSpacing w:val="0"/>
        <w:jc w:val="both"/>
        <w:rPr>
          <w:b/>
          <w:sz w:val="24"/>
          <w:szCs w:val="23"/>
        </w:rPr>
      </w:pPr>
      <w:r w:rsidRPr="00AD17B8">
        <w:rPr>
          <w:b/>
          <w:sz w:val="24"/>
          <w:szCs w:val="23"/>
        </w:rPr>
        <w:t>1. O</w:t>
      </w:r>
      <w:r w:rsidRPr="00AD17B8">
        <w:rPr>
          <w:rFonts w:cstheme="minorHAnsi"/>
          <w:b/>
          <w:sz w:val="24"/>
          <w:szCs w:val="24"/>
          <w:lang w:eastAsia="cs-CZ"/>
        </w:rPr>
        <w:t>dstraňování starých ekologických zátěží MF neurychlilo</w:t>
      </w:r>
    </w:p>
    <w:p w14:paraId="7B1BD22E" w14:textId="48CC16C4" w:rsidR="00AC5884" w:rsidRDefault="005A0A35" w:rsidP="00BB11F8">
      <w:pPr>
        <w:pStyle w:val="Odstavecseseznamem"/>
        <w:spacing w:before="120" w:after="120" w:line="240" w:lineRule="auto"/>
        <w:ind w:left="0"/>
        <w:contextualSpacing w:val="0"/>
        <w:jc w:val="both"/>
        <w:rPr>
          <w:sz w:val="24"/>
          <w:szCs w:val="23"/>
        </w:rPr>
      </w:pPr>
      <w:r w:rsidRPr="00AD17B8">
        <w:rPr>
          <w:sz w:val="24"/>
          <w:szCs w:val="23"/>
        </w:rPr>
        <w:t>P</w:t>
      </w:r>
      <w:r w:rsidR="008B01AE" w:rsidRPr="00AD17B8">
        <w:rPr>
          <w:sz w:val="24"/>
          <w:szCs w:val="23"/>
        </w:rPr>
        <w:t>roces odstranění SEZ byl</w:t>
      </w:r>
      <w:r w:rsidRPr="00AD17B8">
        <w:rPr>
          <w:sz w:val="24"/>
          <w:szCs w:val="23"/>
        </w:rPr>
        <w:t xml:space="preserve"> zahájen v roce 1991. V roce 2006 předpokládalo MF odstranění SEZ do roku 2015. Následně MF ve strategickém dokumentu schváleném vládou v roce 2017</w:t>
      </w:r>
      <w:r w:rsidRPr="00AD17B8">
        <w:rPr>
          <w:rStyle w:val="Znakapoznpodarou"/>
          <w:sz w:val="24"/>
          <w:szCs w:val="23"/>
        </w:rPr>
        <w:footnoteReference w:id="3"/>
      </w:r>
      <w:r w:rsidRPr="00AD17B8">
        <w:rPr>
          <w:sz w:val="24"/>
          <w:szCs w:val="23"/>
        </w:rPr>
        <w:t xml:space="preserve"> svůj odhad revidovalo na rok 2028 za předpokladu urychlení procesu odstraňování SEZ.</w:t>
      </w:r>
      <w:r w:rsidR="008B01AE" w:rsidRPr="00AD17B8">
        <w:rPr>
          <w:sz w:val="24"/>
          <w:szCs w:val="23"/>
        </w:rPr>
        <w:t xml:space="preserve"> </w:t>
      </w:r>
      <w:r w:rsidRPr="00AD17B8">
        <w:rPr>
          <w:sz w:val="24"/>
          <w:szCs w:val="23"/>
        </w:rPr>
        <w:t>MF přijal</w:t>
      </w:r>
      <w:r w:rsidR="00722EAA" w:rsidRPr="00AD17B8">
        <w:rPr>
          <w:sz w:val="24"/>
          <w:szCs w:val="23"/>
        </w:rPr>
        <w:t>o</w:t>
      </w:r>
      <w:r w:rsidRPr="00AD17B8">
        <w:rPr>
          <w:sz w:val="24"/>
          <w:szCs w:val="23"/>
        </w:rPr>
        <w:t xml:space="preserve"> o</w:t>
      </w:r>
      <w:r w:rsidR="00624106" w:rsidRPr="00AD17B8">
        <w:rPr>
          <w:sz w:val="24"/>
          <w:szCs w:val="23"/>
        </w:rPr>
        <w:t xml:space="preserve">patření, která však k zamýšlenému urychlení nevedla. Po </w:t>
      </w:r>
      <w:r w:rsidR="00347C31" w:rsidRPr="00AD17B8">
        <w:rPr>
          <w:sz w:val="24"/>
          <w:szCs w:val="23"/>
        </w:rPr>
        <w:t>32</w:t>
      </w:r>
      <w:r w:rsidR="00624106" w:rsidRPr="00AD17B8">
        <w:rPr>
          <w:sz w:val="24"/>
          <w:szCs w:val="23"/>
        </w:rPr>
        <w:t xml:space="preserve"> letech odstraňování SEZ zůstává stále 37 % ekologických smluv neukončených</w:t>
      </w:r>
      <w:r w:rsidR="001A149D" w:rsidRPr="00AD17B8">
        <w:rPr>
          <w:rStyle w:val="Znakapoznpodarou"/>
          <w:sz w:val="24"/>
          <w:szCs w:val="23"/>
        </w:rPr>
        <w:footnoteReference w:id="4"/>
      </w:r>
      <w:r w:rsidR="00624106" w:rsidRPr="00AD17B8">
        <w:rPr>
          <w:sz w:val="24"/>
          <w:szCs w:val="23"/>
        </w:rPr>
        <w:t xml:space="preserve">. </w:t>
      </w:r>
      <w:r w:rsidR="00CA0AD1" w:rsidRPr="00AD17B8">
        <w:rPr>
          <w:sz w:val="24"/>
          <w:szCs w:val="23"/>
        </w:rPr>
        <w:t>Z 504 lokalit</w:t>
      </w:r>
      <w:r w:rsidR="00926814" w:rsidRPr="00AD17B8">
        <w:rPr>
          <w:sz w:val="24"/>
          <w:szCs w:val="23"/>
        </w:rPr>
        <w:t xml:space="preserve"> evidovaných</w:t>
      </w:r>
      <w:r w:rsidR="00CA0AD1" w:rsidRPr="00AD17B8">
        <w:rPr>
          <w:sz w:val="24"/>
          <w:szCs w:val="23"/>
        </w:rPr>
        <w:t xml:space="preserve"> pod neukončenými </w:t>
      </w:r>
      <w:r w:rsidR="008B3B72" w:rsidRPr="00AD17B8">
        <w:rPr>
          <w:sz w:val="24"/>
          <w:szCs w:val="23"/>
        </w:rPr>
        <w:t xml:space="preserve">ekologickými </w:t>
      </w:r>
      <w:r w:rsidR="00CA0AD1" w:rsidRPr="00AD17B8">
        <w:rPr>
          <w:sz w:val="24"/>
          <w:szCs w:val="23"/>
        </w:rPr>
        <w:t xml:space="preserve">smlouvami </w:t>
      </w:r>
      <w:r w:rsidR="00EE031F" w:rsidRPr="00AD17B8">
        <w:rPr>
          <w:sz w:val="24"/>
          <w:szCs w:val="23"/>
        </w:rPr>
        <w:t xml:space="preserve">nezahájilo </w:t>
      </w:r>
      <w:r w:rsidR="00842847" w:rsidRPr="00DE2377">
        <w:rPr>
          <w:sz w:val="24"/>
          <w:szCs w:val="23"/>
        </w:rPr>
        <w:t xml:space="preserve">MF </w:t>
      </w:r>
      <w:r w:rsidR="0045284C" w:rsidRPr="00DE2377">
        <w:rPr>
          <w:sz w:val="24"/>
          <w:szCs w:val="23"/>
        </w:rPr>
        <w:t xml:space="preserve">sanaci </w:t>
      </w:r>
      <w:r w:rsidR="00CA0AD1" w:rsidRPr="00DE2377">
        <w:rPr>
          <w:sz w:val="24"/>
          <w:szCs w:val="23"/>
        </w:rPr>
        <w:t xml:space="preserve">u 25 % </w:t>
      </w:r>
      <w:r w:rsidR="00CA0AD1" w:rsidRPr="00AD17B8">
        <w:rPr>
          <w:sz w:val="24"/>
          <w:szCs w:val="23"/>
        </w:rPr>
        <w:t xml:space="preserve">z nich. </w:t>
      </w:r>
      <w:r w:rsidR="00624106" w:rsidRPr="00AD17B8">
        <w:rPr>
          <w:sz w:val="24"/>
          <w:szCs w:val="23"/>
        </w:rPr>
        <w:t xml:space="preserve">V případě, že MF nepřijme účinná opatření k urychlení odstraňování SEZ, </w:t>
      </w:r>
      <w:r w:rsidR="00624106" w:rsidRPr="005E0B84">
        <w:rPr>
          <w:sz w:val="24"/>
          <w:szCs w:val="23"/>
        </w:rPr>
        <w:t xml:space="preserve">potrvá </w:t>
      </w:r>
      <w:r w:rsidR="00EB4673" w:rsidRPr="005E0B84">
        <w:rPr>
          <w:sz w:val="24"/>
          <w:szCs w:val="23"/>
        </w:rPr>
        <w:t xml:space="preserve">jejich </w:t>
      </w:r>
      <w:r w:rsidR="00624106" w:rsidRPr="005E0B84">
        <w:rPr>
          <w:sz w:val="24"/>
          <w:szCs w:val="23"/>
        </w:rPr>
        <w:t xml:space="preserve">odstraňování nejméně dalších </w:t>
      </w:r>
      <w:r w:rsidR="00624106" w:rsidRPr="00AD17B8">
        <w:rPr>
          <w:sz w:val="24"/>
          <w:szCs w:val="23"/>
        </w:rPr>
        <w:t>20 let</w:t>
      </w:r>
      <w:r w:rsidR="00624106" w:rsidRPr="00AD17B8">
        <w:rPr>
          <w:rStyle w:val="Znakapoznpodarou"/>
          <w:sz w:val="24"/>
          <w:szCs w:val="23"/>
        </w:rPr>
        <w:footnoteReference w:id="5"/>
      </w:r>
      <w:r w:rsidR="00624106" w:rsidRPr="00AD17B8">
        <w:rPr>
          <w:sz w:val="24"/>
          <w:szCs w:val="23"/>
        </w:rPr>
        <w:t>, tj.</w:t>
      </w:r>
      <w:r w:rsidR="00CF3546">
        <w:rPr>
          <w:sz w:val="24"/>
          <w:szCs w:val="23"/>
        </w:rPr>
        <w:t> </w:t>
      </w:r>
      <w:r w:rsidR="00624106" w:rsidRPr="00AD17B8">
        <w:rPr>
          <w:sz w:val="24"/>
          <w:szCs w:val="23"/>
        </w:rPr>
        <w:t xml:space="preserve">nejméně do roku 2042. </w:t>
      </w:r>
    </w:p>
    <w:p w14:paraId="755B2039" w14:textId="5CC9A6DA" w:rsidR="00225501" w:rsidRPr="00AD17B8" w:rsidRDefault="00AE7A76" w:rsidP="00B122EE">
      <w:pPr>
        <w:keepNext/>
        <w:spacing w:before="240" w:after="120" w:line="240" w:lineRule="auto"/>
        <w:jc w:val="both"/>
        <w:rPr>
          <w:b/>
          <w:sz w:val="24"/>
          <w:szCs w:val="23"/>
        </w:rPr>
      </w:pPr>
      <w:r>
        <w:rPr>
          <w:b/>
          <w:sz w:val="24"/>
          <w:szCs w:val="23"/>
        </w:rPr>
        <w:t>2</w:t>
      </w:r>
      <w:r w:rsidR="00225501" w:rsidRPr="00AD17B8">
        <w:rPr>
          <w:b/>
          <w:sz w:val="24"/>
          <w:szCs w:val="23"/>
        </w:rPr>
        <w:t xml:space="preserve">. Dlouhý proces odstraňování SEZ má dopad na </w:t>
      </w:r>
      <w:r w:rsidR="00333370">
        <w:rPr>
          <w:b/>
          <w:sz w:val="24"/>
          <w:szCs w:val="23"/>
        </w:rPr>
        <w:t xml:space="preserve">růst </w:t>
      </w:r>
      <w:r w:rsidR="00225501" w:rsidRPr="00AD17B8">
        <w:rPr>
          <w:b/>
          <w:sz w:val="24"/>
          <w:szCs w:val="23"/>
        </w:rPr>
        <w:t>výdajů státu</w:t>
      </w:r>
    </w:p>
    <w:p w14:paraId="43F0321A" w14:textId="734D2F43" w:rsidR="00225501" w:rsidRPr="00AD17B8" w:rsidRDefault="00225501" w:rsidP="00BB11F8">
      <w:pPr>
        <w:spacing w:before="120" w:after="120" w:line="240" w:lineRule="auto"/>
        <w:jc w:val="both"/>
        <w:rPr>
          <w:sz w:val="24"/>
          <w:szCs w:val="23"/>
        </w:rPr>
      </w:pPr>
      <w:r w:rsidRPr="00AD17B8">
        <w:rPr>
          <w:sz w:val="24"/>
          <w:szCs w:val="23"/>
        </w:rPr>
        <w:t xml:space="preserve">Pomalé tempo odstraňování SEZ prodlužuje dobu potřebnou k odstranění zbylých ekologických zátěží. V dosud nesanovaných lokalitách existuje riziko šíření kontaminace s důsledkem rozsáhlejšího a finančně nákladnějšího zásahu. V kontrolovaném období hradilo MF v devíti lokalitách ochranné sanační čerpání, které trvalo více než 10 let, v jednom případě dokonce 25 let. Na dalších 10 lokalitách bylo ochranné sanační čerpání zahájeno. Jedná se přitom o provizorní opatření, které odstranění SEZ neřeší. Od ledna 2018 do dubna 2023 MF vynaložilo na ochranné sanační čerpání celkem 130,7 mil. Kč.  </w:t>
      </w:r>
    </w:p>
    <w:p w14:paraId="70BEF1F9" w14:textId="711E3CB1" w:rsidR="00225501" w:rsidRPr="00AD17B8" w:rsidRDefault="00AE7A76" w:rsidP="00B122EE">
      <w:pPr>
        <w:keepNext/>
        <w:spacing w:before="240" w:after="120" w:line="240" w:lineRule="auto"/>
        <w:ind w:left="284" w:hanging="284"/>
        <w:rPr>
          <w:sz w:val="24"/>
          <w:szCs w:val="24"/>
        </w:rPr>
      </w:pPr>
      <w:r>
        <w:rPr>
          <w:b/>
          <w:sz w:val="24"/>
          <w:szCs w:val="23"/>
        </w:rPr>
        <w:t>3</w:t>
      </w:r>
      <w:r w:rsidR="00225501" w:rsidRPr="00AD17B8">
        <w:rPr>
          <w:b/>
          <w:sz w:val="24"/>
          <w:szCs w:val="23"/>
        </w:rPr>
        <w:t>.</w:t>
      </w:r>
      <w:r w:rsidR="00225501" w:rsidRPr="00AD17B8">
        <w:rPr>
          <w:b/>
          <w:sz w:val="24"/>
          <w:szCs w:val="24"/>
        </w:rPr>
        <w:t xml:space="preserve"> </w:t>
      </w:r>
      <w:r w:rsidR="00193DA7">
        <w:rPr>
          <w:b/>
          <w:sz w:val="24"/>
          <w:szCs w:val="24"/>
        </w:rPr>
        <w:tab/>
      </w:r>
      <w:r w:rsidR="00225501" w:rsidRPr="00AD17B8">
        <w:rPr>
          <w:b/>
          <w:sz w:val="24"/>
          <w:szCs w:val="24"/>
        </w:rPr>
        <w:t>NKÚ upozorňuje na riziko nedokončení sanací z důvodu vyčerpání státem poskytnuté garance s důsledkem nehospodárnosti dosud vynaložených peněžních prostředků státu</w:t>
      </w:r>
    </w:p>
    <w:p w14:paraId="6855D830" w14:textId="77777777" w:rsidR="00225501" w:rsidRDefault="00225501" w:rsidP="00BB11F8">
      <w:pPr>
        <w:spacing w:before="120" w:after="120" w:line="240" w:lineRule="auto"/>
        <w:jc w:val="both"/>
        <w:rPr>
          <w:sz w:val="24"/>
          <w:szCs w:val="23"/>
        </w:rPr>
      </w:pPr>
      <w:r w:rsidRPr="00AD17B8">
        <w:rPr>
          <w:sz w:val="24"/>
          <w:szCs w:val="23"/>
        </w:rPr>
        <w:t xml:space="preserve">Podle stavu k dubnu 2023 nepostačovala u 15 ekologických smluv v 16 lokalitách </w:t>
      </w:r>
      <w:r>
        <w:rPr>
          <w:sz w:val="24"/>
          <w:szCs w:val="23"/>
        </w:rPr>
        <w:t>výše garance na pokrytí výdajů potřebných na odstranění SEZ. V 15 případech byly z důvodu nedostatečné garance sanační práce zastaveny, jen v jednom případě hradil pokračování sanace lokality sám nabyvatel. Za odstranění SEZ sice odpovídá nabyvatel privatizovaného majetku, ale podle platné legislativy u ekologických smluv ukončených z důvodu nedostatečné garance nemůže stát dokončení sanace po nabyvateli vymáhat. V případě zastavených sanací hrozí riziko opětovné kontaminace již sanovaných území a tím i nehospodárnost peněžních prostředků již státem vynaložených na sanaci.</w:t>
      </w:r>
    </w:p>
    <w:p w14:paraId="405397A8" w14:textId="300B3954" w:rsidR="00AC5884" w:rsidRPr="00AD17B8" w:rsidRDefault="00AE7A76" w:rsidP="00B122EE">
      <w:pPr>
        <w:keepNext/>
        <w:spacing w:before="240" w:after="120" w:line="240" w:lineRule="auto"/>
        <w:ind w:left="284" w:hanging="284"/>
        <w:rPr>
          <w:b/>
          <w:sz w:val="24"/>
          <w:szCs w:val="23"/>
        </w:rPr>
      </w:pPr>
      <w:r>
        <w:rPr>
          <w:b/>
          <w:sz w:val="24"/>
          <w:szCs w:val="23"/>
        </w:rPr>
        <w:t>4</w:t>
      </w:r>
      <w:r w:rsidR="00624106" w:rsidRPr="00AD17B8">
        <w:rPr>
          <w:b/>
          <w:sz w:val="24"/>
          <w:szCs w:val="23"/>
        </w:rPr>
        <w:t xml:space="preserve">. </w:t>
      </w:r>
      <w:r w:rsidR="00193DA7">
        <w:rPr>
          <w:b/>
          <w:sz w:val="24"/>
          <w:szCs w:val="23"/>
        </w:rPr>
        <w:tab/>
      </w:r>
      <w:r w:rsidR="00997CE7" w:rsidRPr="00AD17B8">
        <w:rPr>
          <w:b/>
          <w:sz w:val="24"/>
          <w:szCs w:val="23"/>
        </w:rPr>
        <w:t xml:space="preserve">MF využilo disponibilní peněžní prostředky </w:t>
      </w:r>
      <w:r w:rsidR="001D1BD9" w:rsidRPr="00AD17B8">
        <w:rPr>
          <w:b/>
          <w:sz w:val="24"/>
          <w:szCs w:val="23"/>
        </w:rPr>
        <w:t xml:space="preserve">zvláštních účtů privatizace </w:t>
      </w:r>
      <w:r w:rsidR="00997CE7" w:rsidRPr="00AD17B8">
        <w:rPr>
          <w:b/>
          <w:sz w:val="24"/>
          <w:szCs w:val="23"/>
        </w:rPr>
        <w:t>pouze ze 35 %, v budoucnu hrozí riziko jejich nedostatku</w:t>
      </w:r>
    </w:p>
    <w:p w14:paraId="61EDE949" w14:textId="77777777" w:rsidR="00AC5884" w:rsidRPr="00AD17B8" w:rsidRDefault="00624106" w:rsidP="00BB11F8">
      <w:pPr>
        <w:spacing w:before="120" w:after="12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D17B8">
        <w:rPr>
          <w:rFonts w:cstheme="minorHAnsi"/>
          <w:sz w:val="24"/>
          <w:szCs w:val="24"/>
          <w:lang w:eastAsia="cs-CZ"/>
        </w:rPr>
        <w:t xml:space="preserve">Disponibilní prostředky zvláštních účtů privatizace byly v kontrolovaném období pro odstraňování </w:t>
      </w:r>
      <w:r w:rsidR="00EB4673" w:rsidRPr="00AD17B8">
        <w:rPr>
          <w:rFonts w:cstheme="minorHAnsi"/>
          <w:sz w:val="24"/>
          <w:szCs w:val="24"/>
          <w:lang w:eastAsia="cs-CZ"/>
        </w:rPr>
        <w:t>SEZ</w:t>
      </w:r>
      <w:r w:rsidRPr="00AD17B8">
        <w:rPr>
          <w:rFonts w:cstheme="minorHAnsi"/>
          <w:sz w:val="24"/>
          <w:szCs w:val="24"/>
          <w:lang w:eastAsia="cs-CZ"/>
        </w:rPr>
        <w:t xml:space="preserve"> i pro zamýšlené urychlení procesu dostatečné. MF vynakládalo v průměru pouze 35 % zamýšlených výdajů, které měly k urychlení vést. NKÚ ale poukazuje na riziko nedostatku disponibilních prostředků zvláštní</w:t>
      </w:r>
      <w:r w:rsidR="002357B2" w:rsidRPr="00AD17B8">
        <w:rPr>
          <w:rFonts w:cstheme="minorHAnsi"/>
          <w:sz w:val="24"/>
          <w:szCs w:val="24"/>
          <w:lang w:eastAsia="cs-CZ"/>
        </w:rPr>
        <w:t>ch</w:t>
      </w:r>
      <w:r w:rsidRPr="00AD17B8">
        <w:rPr>
          <w:rFonts w:cstheme="minorHAnsi"/>
          <w:sz w:val="24"/>
          <w:szCs w:val="24"/>
          <w:lang w:eastAsia="cs-CZ"/>
        </w:rPr>
        <w:t xml:space="preserve"> účt</w:t>
      </w:r>
      <w:r w:rsidR="008641ED" w:rsidRPr="00AD17B8">
        <w:rPr>
          <w:rFonts w:cstheme="minorHAnsi"/>
          <w:sz w:val="24"/>
          <w:szCs w:val="24"/>
          <w:lang w:eastAsia="cs-CZ"/>
        </w:rPr>
        <w:t>ů</w:t>
      </w:r>
      <w:r w:rsidR="002357B2" w:rsidRPr="00AD17B8">
        <w:rPr>
          <w:rFonts w:cstheme="minorHAnsi"/>
          <w:sz w:val="24"/>
          <w:szCs w:val="24"/>
          <w:lang w:eastAsia="cs-CZ"/>
        </w:rPr>
        <w:t xml:space="preserve"> privatizace</w:t>
      </w:r>
      <w:r w:rsidR="002044B0" w:rsidRPr="00AD17B8">
        <w:rPr>
          <w:rStyle w:val="Znakapoznpodarou"/>
          <w:rFonts w:cstheme="minorHAnsi"/>
          <w:sz w:val="24"/>
          <w:szCs w:val="24"/>
          <w:lang w:eastAsia="cs-CZ"/>
        </w:rPr>
        <w:footnoteReference w:id="6"/>
      </w:r>
      <w:r w:rsidR="00997CE7" w:rsidRPr="00AD17B8">
        <w:rPr>
          <w:rFonts w:cstheme="minorHAnsi"/>
          <w:sz w:val="24"/>
          <w:szCs w:val="24"/>
          <w:lang w:eastAsia="cs-CZ"/>
        </w:rPr>
        <w:t xml:space="preserve"> v budoucnu z důvodu nestabilních a kolísavých zdrojů příjmů a každoročního převádění peněžních prostředků </w:t>
      </w:r>
      <w:r w:rsidR="00BA1C10" w:rsidRPr="00AD17B8">
        <w:rPr>
          <w:rFonts w:cstheme="minorHAnsi"/>
          <w:sz w:val="24"/>
          <w:szCs w:val="24"/>
          <w:lang w:eastAsia="cs-CZ"/>
        </w:rPr>
        <w:t>z</w:t>
      </w:r>
      <w:r w:rsidR="00293789" w:rsidRPr="00AD17B8">
        <w:rPr>
          <w:rFonts w:cstheme="minorHAnsi"/>
          <w:sz w:val="24"/>
          <w:szCs w:val="24"/>
          <w:lang w:eastAsia="cs-CZ"/>
        </w:rPr>
        <w:t> </w:t>
      </w:r>
      <w:r w:rsidR="00997CE7" w:rsidRPr="00AD17B8">
        <w:rPr>
          <w:rFonts w:cstheme="minorHAnsi"/>
          <w:sz w:val="24"/>
          <w:szCs w:val="24"/>
          <w:lang w:eastAsia="cs-CZ"/>
        </w:rPr>
        <w:t>těchto účtů do státního rozpočtu</w:t>
      </w:r>
      <w:r w:rsidRPr="00AD17B8">
        <w:rPr>
          <w:rFonts w:cstheme="minorHAnsi"/>
          <w:sz w:val="24"/>
          <w:szCs w:val="24"/>
          <w:lang w:eastAsia="cs-CZ"/>
        </w:rPr>
        <w:t xml:space="preserve">. </w:t>
      </w:r>
    </w:p>
    <w:p w14:paraId="7F1B8CE0" w14:textId="280E33AF" w:rsidR="00E6620E" w:rsidRPr="00AD17B8" w:rsidRDefault="00AE7A76" w:rsidP="00B122EE">
      <w:pPr>
        <w:keepNext/>
        <w:spacing w:before="240" w:after="120" w:line="240" w:lineRule="auto"/>
        <w:ind w:left="284" w:hanging="284"/>
        <w:rPr>
          <w:b/>
          <w:sz w:val="20"/>
          <w:szCs w:val="20"/>
          <w:lang w:eastAsia="cs-CZ"/>
        </w:rPr>
      </w:pPr>
      <w:r>
        <w:rPr>
          <w:b/>
          <w:sz w:val="24"/>
          <w:szCs w:val="23"/>
        </w:rPr>
        <w:t>5</w:t>
      </w:r>
      <w:r w:rsidR="00E6620E" w:rsidRPr="00AD17B8">
        <w:rPr>
          <w:b/>
          <w:sz w:val="24"/>
          <w:szCs w:val="23"/>
        </w:rPr>
        <w:t xml:space="preserve">. </w:t>
      </w:r>
      <w:r w:rsidR="00BB11F8">
        <w:rPr>
          <w:b/>
          <w:sz w:val="24"/>
          <w:szCs w:val="23"/>
        </w:rPr>
        <w:tab/>
      </w:r>
      <w:r w:rsidR="00E6620E" w:rsidRPr="00AD17B8">
        <w:rPr>
          <w:b/>
          <w:sz w:val="24"/>
        </w:rPr>
        <w:t>Garance státu vyplývající z ekologických smluv nevyjadřují reálnou výši peněžních prostředků potřebných na odstranění zbylých SEZ, MF nedisponuje jejím aktuálním odhadem</w:t>
      </w:r>
    </w:p>
    <w:p w14:paraId="5EF87B23" w14:textId="77777777" w:rsidR="00E6620E" w:rsidRDefault="00E6620E" w:rsidP="00193DA7">
      <w:pPr>
        <w:spacing w:before="120" w:after="720" w:line="240" w:lineRule="auto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Na odstranění SEZ bylo vynaloženo od roku 1991 celkem 66,2 mld. Kč. </w:t>
      </w:r>
      <w:r>
        <w:rPr>
          <w:rFonts w:eastAsia="Calibri" w:cstheme="minorHAnsi"/>
          <w:sz w:val="24"/>
          <w:szCs w:val="24"/>
        </w:rPr>
        <w:t xml:space="preserve">Výše garancí státu, o kterých MF pravidelně informuje </w:t>
      </w:r>
      <w:r w:rsidRPr="00AD17B8">
        <w:rPr>
          <w:rFonts w:eastAsia="Calibri" w:cstheme="minorHAnsi"/>
          <w:sz w:val="24"/>
          <w:szCs w:val="24"/>
        </w:rPr>
        <w:t xml:space="preserve">vládu, nevyjadřuje reálnou potřebu peněžních prostředků na odstranění SEZ. </w:t>
      </w:r>
      <w:r w:rsidRPr="00AD17B8">
        <w:rPr>
          <w:sz w:val="24"/>
          <w:szCs w:val="23"/>
        </w:rPr>
        <w:t>Počátkem roku 2023 MF odhadovalo, že na odstranění zbylých SEZ bude potřeba vynaložit dalších 25 až 30 mld. Kč, ale do odhadu nezahrnulo DPH. MF vycházelo z více než 10 let starých odhadů, přičemž ceny stavebních prací se ke konci roku 2022 navýšily oproti roku 2015 o 40,7 %</w:t>
      </w:r>
      <w:r w:rsidRPr="00AD17B8">
        <w:rPr>
          <w:rStyle w:val="Znakapoznpodarou"/>
          <w:sz w:val="24"/>
          <w:szCs w:val="23"/>
        </w:rPr>
        <w:footnoteReference w:id="7"/>
      </w:r>
      <w:r w:rsidRPr="00AD17B8">
        <w:rPr>
          <w:sz w:val="24"/>
          <w:szCs w:val="23"/>
        </w:rPr>
        <w:t>, v polovině roku 2023 pak byly vyšší o 43,7 %</w:t>
      </w:r>
      <w:r w:rsidRPr="00AD17B8">
        <w:rPr>
          <w:rStyle w:val="Znakapoznpodarou"/>
          <w:sz w:val="24"/>
          <w:szCs w:val="23"/>
        </w:rPr>
        <w:footnoteReference w:id="8"/>
      </w:r>
      <w:r w:rsidRPr="00AD17B8">
        <w:rPr>
          <w:sz w:val="24"/>
          <w:szCs w:val="23"/>
        </w:rPr>
        <w:t>.</w:t>
      </w:r>
    </w:p>
    <w:bookmarkEnd w:id="3"/>
    <w:p w14:paraId="7D98E107" w14:textId="77777777" w:rsidR="00193DA7" w:rsidRDefault="00193DA7">
      <w:pPr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>
        <w:rPr>
          <w:sz w:val="28"/>
          <w:szCs w:val="28"/>
        </w:rPr>
        <w:br w:type="page"/>
      </w:r>
    </w:p>
    <w:p w14:paraId="6CFDB849" w14:textId="77777777" w:rsidR="003869EF" w:rsidRDefault="00624106" w:rsidP="00BB11F8">
      <w:pPr>
        <w:pStyle w:val="Nadpis1"/>
        <w:numPr>
          <w:ilvl w:val="0"/>
          <w:numId w:val="0"/>
        </w:numPr>
        <w:spacing w:before="240" w:after="240"/>
        <w:rPr>
          <w:sz w:val="28"/>
          <w:szCs w:val="28"/>
        </w:rPr>
      </w:pPr>
      <w:r w:rsidRPr="00891AA7">
        <w:rPr>
          <w:sz w:val="28"/>
          <w:szCs w:val="28"/>
        </w:rPr>
        <w:t>II. Informace o kontrolované oblasti</w:t>
      </w:r>
    </w:p>
    <w:p w14:paraId="5C93B457" w14:textId="77777777" w:rsidR="004004C1" w:rsidRDefault="00624106" w:rsidP="00BB11F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448BF">
        <w:rPr>
          <w:rFonts w:cstheme="minorHAnsi"/>
          <w:b/>
          <w:sz w:val="24"/>
          <w:szCs w:val="24"/>
          <w:lang w:eastAsia="cs-CZ"/>
        </w:rPr>
        <w:t xml:space="preserve">Starými ekologickými </w:t>
      </w:r>
      <w:r w:rsidRPr="00CB68DA">
        <w:rPr>
          <w:rFonts w:cstheme="minorHAnsi"/>
          <w:b/>
          <w:sz w:val="24"/>
          <w:szCs w:val="24"/>
          <w:lang w:eastAsia="cs-CZ"/>
        </w:rPr>
        <w:t>zátěžemi</w:t>
      </w:r>
      <w:r w:rsidR="00C448BF" w:rsidRPr="00CB68DA">
        <w:rPr>
          <w:rFonts w:cstheme="minorHAnsi"/>
          <w:b/>
          <w:sz w:val="24"/>
          <w:szCs w:val="24"/>
          <w:lang w:eastAsia="cs-CZ"/>
        </w:rPr>
        <w:t xml:space="preserve"> vzniklými před privatizací</w:t>
      </w:r>
      <w:r w:rsidRPr="00CB68DA">
        <w:rPr>
          <w:rFonts w:cstheme="minorHAnsi"/>
          <w:sz w:val="24"/>
          <w:szCs w:val="24"/>
          <w:lang w:eastAsia="cs-CZ"/>
        </w:rPr>
        <w:t xml:space="preserve"> se rozumí škody na životním prostředí způsobené činností bývalých státních podniků v období před jejich privatizací. Při privatizaci přešly na nabyvatele </w:t>
      </w:r>
      <w:r w:rsidR="00F620E9" w:rsidRPr="00CB68DA">
        <w:rPr>
          <w:rFonts w:cstheme="minorHAnsi"/>
          <w:sz w:val="24"/>
          <w:szCs w:val="24"/>
          <w:lang w:eastAsia="cs-CZ"/>
        </w:rPr>
        <w:t>privatizovaného majetku</w:t>
      </w:r>
      <w:r w:rsidR="002C03BD" w:rsidRPr="00CB68DA">
        <w:rPr>
          <w:rFonts w:cstheme="minorHAnsi"/>
          <w:sz w:val="24"/>
          <w:szCs w:val="24"/>
          <w:lang w:eastAsia="cs-CZ"/>
        </w:rPr>
        <w:t xml:space="preserve"> a </w:t>
      </w:r>
      <w:r w:rsidR="006B4E97" w:rsidRPr="00CB68DA">
        <w:rPr>
          <w:rFonts w:cstheme="minorHAnsi"/>
          <w:sz w:val="24"/>
          <w:szCs w:val="24"/>
          <w:lang w:eastAsia="cs-CZ"/>
        </w:rPr>
        <w:t xml:space="preserve">případně později </w:t>
      </w:r>
      <w:r w:rsidR="002C03BD" w:rsidRPr="00CB68DA">
        <w:rPr>
          <w:rFonts w:cstheme="minorHAnsi"/>
          <w:sz w:val="24"/>
          <w:szCs w:val="24"/>
          <w:lang w:eastAsia="cs-CZ"/>
        </w:rPr>
        <w:t>na jejich právní nástupce</w:t>
      </w:r>
      <w:r w:rsidR="00F620E9" w:rsidRPr="00CB68DA">
        <w:rPr>
          <w:rFonts w:cstheme="minorHAnsi"/>
          <w:sz w:val="24"/>
          <w:szCs w:val="24"/>
          <w:lang w:eastAsia="cs-CZ"/>
        </w:rPr>
        <w:t xml:space="preserve"> </w:t>
      </w:r>
      <w:r w:rsidR="006B4E97" w:rsidRPr="00CB68DA">
        <w:rPr>
          <w:rFonts w:cstheme="minorHAnsi"/>
          <w:sz w:val="24"/>
          <w:szCs w:val="24"/>
          <w:lang w:eastAsia="cs-CZ"/>
        </w:rPr>
        <w:t xml:space="preserve">(dále jen „nabyvatelé“) </w:t>
      </w:r>
      <w:r w:rsidRPr="00CB68DA">
        <w:rPr>
          <w:rFonts w:cstheme="minorHAnsi"/>
          <w:sz w:val="24"/>
          <w:szCs w:val="24"/>
          <w:lang w:eastAsia="cs-CZ"/>
        </w:rPr>
        <w:t>spolu s</w:t>
      </w:r>
      <w:r w:rsidR="0052533A" w:rsidRPr="00CB68DA">
        <w:rPr>
          <w:rFonts w:cstheme="minorHAnsi"/>
          <w:sz w:val="24"/>
          <w:szCs w:val="24"/>
          <w:lang w:eastAsia="cs-CZ"/>
        </w:rPr>
        <w:t xml:space="preserve"> </w:t>
      </w:r>
      <w:r w:rsidRPr="00CB68DA">
        <w:rPr>
          <w:rFonts w:cstheme="minorHAnsi"/>
          <w:sz w:val="24"/>
          <w:szCs w:val="24"/>
          <w:lang w:eastAsia="cs-CZ"/>
        </w:rPr>
        <w:t xml:space="preserve">vlastnickým právem rovněž </w:t>
      </w:r>
      <w:r w:rsidR="00C070D8" w:rsidRPr="00CB68DA">
        <w:rPr>
          <w:rFonts w:cstheme="minorHAnsi"/>
          <w:sz w:val="24"/>
          <w:szCs w:val="24"/>
          <w:lang w:eastAsia="cs-CZ"/>
        </w:rPr>
        <w:t xml:space="preserve">ekologické </w:t>
      </w:r>
      <w:r w:rsidRPr="00CB68DA">
        <w:rPr>
          <w:rFonts w:cstheme="minorHAnsi"/>
          <w:sz w:val="24"/>
          <w:szCs w:val="24"/>
          <w:lang w:eastAsia="cs-CZ"/>
        </w:rPr>
        <w:t>závazky</w:t>
      </w:r>
      <w:r w:rsidR="00CD4999" w:rsidRPr="00CB68DA">
        <w:rPr>
          <w:rFonts w:cstheme="minorHAnsi"/>
          <w:sz w:val="24"/>
          <w:szCs w:val="24"/>
          <w:lang w:eastAsia="cs-CZ"/>
        </w:rPr>
        <w:t xml:space="preserve"> spojené s odstraněním SEZ</w:t>
      </w:r>
      <w:r w:rsidRPr="00CB68DA">
        <w:rPr>
          <w:rFonts w:cstheme="minorHAnsi"/>
          <w:sz w:val="24"/>
          <w:szCs w:val="24"/>
          <w:lang w:eastAsia="cs-CZ"/>
        </w:rPr>
        <w:t xml:space="preserve">. </w:t>
      </w:r>
      <w:r w:rsidR="00CD4999" w:rsidRPr="00CB68DA">
        <w:rPr>
          <w:rFonts w:cstheme="minorHAnsi"/>
          <w:sz w:val="24"/>
          <w:szCs w:val="24"/>
          <w:lang w:eastAsia="cs-CZ"/>
        </w:rPr>
        <w:t>Stát n</w:t>
      </w:r>
      <w:r w:rsidRPr="00CB68DA">
        <w:rPr>
          <w:rFonts w:cstheme="minorHAnsi"/>
          <w:sz w:val="24"/>
          <w:szCs w:val="24"/>
          <w:lang w:eastAsia="cs-CZ"/>
        </w:rPr>
        <w:t xml:space="preserve">abyvatelům </w:t>
      </w:r>
      <w:r w:rsidR="00947AD2" w:rsidRPr="00CB68DA">
        <w:rPr>
          <w:rFonts w:cstheme="minorHAnsi"/>
          <w:sz w:val="24"/>
          <w:szCs w:val="24"/>
          <w:lang w:eastAsia="cs-CZ"/>
        </w:rPr>
        <w:t xml:space="preserve">takto zatíženého majetku </w:t>
      </w:r>
      <w:r w:rsidRPr="00CB68DA">
        <w:rPr>
          <w:rFonts w:cstheme="minorHAnsi"/>
          <w:sz w:val="24"/>
          <w:szCs w:val="24"/>
          <w:lang w:eastAsia="cs-CZ"/>
        </w:rPr>
        <w:t>s</w:t>
      </w:r>
      <w:r w:rsidR="008655A0" w:rsidRPr="00CB68DA">
        <w:rPr>
          <w:rFonts w:cstheme="minorHAnsi"/>
          <w:sz w:val="24"/>
          <w:szCs w:val="24"/>
          <w:lang w:eastAsia="cs-CZ"/>
        </w:rPr>
        <w:t xml:space="preserve"> </w:t>
      </w:r>
      <w:r w:rsidRPr="00CB68DA">
        <w:rPr>
          <w:rFonts w:cstheme="minorHAnsi"/>
          <w:sz w:val="24"/>
          <w:szCs w:val="24"/>
          <w:lang w:eastAsia="cs-CZ"/>
        </w:rPr>
        <w:t xml:space="preserve">ohledem na nejasný rozsah SEZ </w:t>
      </w:r>
      <w:r w:rsidR="00947AD2" w:rsidRPr="00CB68DA">
        <w:rPr>
          <w:rFonts w:cstheme="minorHAnsi"/>
          <w:sz w:val="24"/>
          <w:szCs w:val="24"/>
          <w:lang w:eastAsia="cs-CZ"/>
        </w:rPr>
        <w:t xml:space="preserve">neposkytl </w:t>
      </w:r>
      <w:r w:rsidRPr="00CB68DA">
        <w:rPr>
          <w:rFonts w:cstheme="minorHAnsi"/>
          <w:sz w:val="24"/>
          <w:szCs w:val="24"/>
          <w:lang w:eastAsia="cs-CZ"/>
        </w:rPr>
        <w:t>žádné slevy z kupní ceny nebo jiné formy zvýhodnění</w:t>
      </w:r>
      <w:r w:rsidR="00947AD2" w:rsidRPr="00CB68DA">
        <w:rPr>
          <w:rFonts w:cstheme="minorHAnsi"/>
          <w:sz w:val="24"/>
          <w:szCs w:val="24"/>
          <w:lang w:eastAsia="cs-CZ"/>
        </w:rPr>
        <w:t>, ale</w:t>
      </w:r>
      <w:r w:rsidRPr="00CB68DA">
        <w:rPr>
          <w:rFonts w:cstheme="minorHAnsi"/>
          <w:sz w:val="24"/>
          <w:szCs w:val="24"/>
          <w:lang w:eastAsia="cs-CZ"/>
        </w:rPr>
        <w:t xml:space="preserve"> převzal odpovědnost za </w:t>
      </w:r>
      <w:r w:rsidRPr="00AD17B8">
        <w:rPr>
          <w:rFonts w:cstheme="minorHAnsi"/>
          <w:sz w:val="24"/>
          <w:szCs w:val="24"/>
          <w:lang w:eastAsia="cs-CZ"/>
        </w:rPr>
        <w:t>odstranění ekologických zátěží na privatizovaném majetku. Příslušnými usneseními vlády byla každému z</w:t>
      </w:r>
      <w:r w:rsidR="0052533A" w:rsidRPr="00AD17B8">
        <w:rPr>
          <w:rFonts w:cstheme="minorHAnsi"/>
          <w:sz w:val="24"/>
          <w:szCs w:val="24"/>
          <w:lang w:eastAsia="cs-CZ"/>
        </w:rPr>
        <w:t xml:space="preserve"> </w:t>
      </w:r>
      <w:r w:rsidRPr="00AD17B8">
        <w:rPr>
          <w:rFonts w:cstheme="minorHAnsi"/>
          <w:sz w:val="24"/>
          <w:szCs w:val="24"/>
          <w:lang w:eastAsia="cs-CZ"/>
        </w:rPr>
        <w:t xml:space="preserve">nabyvatelů schválena tzv. </w:t>
      </w:r>
      <w:r w:rsidRPr="00AD17B8">
        <w:rPr>
          <w:rFonts w:cstheme="minorHAnsi"/>
          <w:b/>
          <w:sz w:val="24"/>
          <w:szCs w:val="24"/>
          <w:lang w:eastAsia="cs-CZ"/>
        </w:rPr>
        <w:t>garance</w:t>
      </w:r>
      <w:r w:rsidRPr="00052C41">
        <w:rPr>
          <w:rFonts w:cstheme="minorHAnsi"/>
          <w:b/>
          <w:sz w:val="24"/>
          <w:szCs w:val="24"/>
          <w:lang w:eastAsia="cs-CZ"/>
        </w:rPr>
        <w:t>,</w:t>
      </w:r>
      <w:r w:rsidRPr="00AD17B8">
        <w:rPr>
          <w:rFonts w:cstheme="minorHAnsi"/>
          <w:sz w:val="24"/>
          <w:szCs w:val="24"/>
          <w:lang w:eastAsia="cs-CZ"/>
        </w:rPr>
        <w:t xml:space="preserve"> tj. státem garantovaná maximální částka, do jejíž výše </w:t>
      </w:r>
      <w:r w:rsidR="00355D9B" w:rsidRPr="00AD17B8">
        <w:rPr>
          <w:rFonts w:cstheme="minorHAnsi"/>
          <w:sz w:val="24"/>
          <w:szCs w:val="24"/>
          <w:lang w:eastAsia="cs-CZ"/>
        </w:rPr>
        <w:t>se stát zavázal</w:t>
      </w:r>
      <w:r w:rsidRPr="00AD17B8">
        <w:rPr>
          <w:rFonts w:cstheme="minorHAnsi"/>
          <w:sz w:val="24"/>
          <w:szCs w:val="24"/>
          <w:lang w:eastAsia="cs-CZ"/>
        </w:rPr>
        <w:t xml:space="preserve"> hradit účelně vynaložené náklady na splnění ekologických závazků </w:t>
      </w:r>
      <w:r w:rsidR="001D551A" w:rsidRPr="00AD17B8">
        <w:rPr>
          <w:rFonts w:cstheme="minorHAnsi"/>
          <w:sz w:val="24"/>
          <w:szCs w:val="24"/>
          <w:lang w:eastAsia="cs-CZ"/>
        </w:rPr>
        <w:t>vzniklých před privatizací</w:t>
      </w:r>
      <w:r w:rsidRPr="00AD17B8">
        <w:rPr>
          <w:rFonts w:cstheme="minorHAnsi"/>
          <w:sz w:val="24"/>
          <w:szCs w:val="24"/>
        </w:rPr>
        <w:t xml:space="preserve">. </w:t>
      </w:r>
      <w:r w:rsidRPr="00AD17B8">
        <w:rPr>
          <w:rFonts w:cstheme="minorHAnsi"/>
          <w:sz w:val="24"/>
          <w:szCs w:val="24"/>
          <w:lang w:eastAsia="cs-CZ"/>
        </w:rPr>
        <w:t xml:space="preserve">Garanci stanovovala vláda </w:t>
      </w:r>
      <w:r w:rsidR="00947AD2" w:rsidRPr="00AD17B8">
        <w:rPr>
          <w:rFonts w:cstheme="minorHAnsi"/>
          <w:sz w:val="24"/>
          <w:szCs w:val="24"/>
          <w:lang w:eastAsia="cs-CZ"/>
        </w:rPr>
        <w:t>max</w:t>
      </w:r>
      <w:r w:rsidR="009F24CB" w:rsidRPr="00AD17B8">
        <w:rPr>
          <w:rFonts w:cstheme="minorHAnsi"/>
          <w:sz w:val="24"/>
          <w:szCs w:val="24"/>
          <w:lang w:eastAsia="cs-CZ"/>
        </w:rPr>
        <w:t>imálně</w:t>
      </w:r>
      <w:r w:rsidR="00947AD2" w:rsidRPr="00AD17B8">
        <w:rPr>
          <w:rFonts w:cstheme="minorHAnsi"/>
          <w:sz w:val="24"/>
          <w:szCs w:val="24"/>
          <w:lang w:eastAsia="cs-CZ"/>
        </w:rPr>
        <w:t xml:space="preserve"> do </w:t>
      </w:r>
      <w:r w:rsidRPr="00AD17B8">
        <w:rPr>
          <w:rFonts w:cstheme="minorHAnsi"/>
          <w:sz w:val="24"/>
          <w:szCs w:val="24"/>
          <w:lang w:eastAsia="cs-CZ"/>
        </w:rPr>
        <w:t>výš</w:t>
      </w:r>
      <w:r w:rsidR="00947AD2" w:rsidRPr="00AD17B8">
        <w:rPr>
          <w:rFonts w:cstheme="minorHAnsi"/>
          <w:sz w:val="24"/>
          <w:szCs w:val="24"/>
          <w:lang w:eastAsia="cs-CZ"/>
        </w:rPr>
        <w:t>e</w:t>
      </w:r>
      <w:r w:rsidRPr="00AD17B8">
        <w:rPr>
          <w:rFonts w:cstheme="minorHAnsi"/>
          <w:sz w:val="24"/>
          <w:szCs w:val="24"/>
          <w:lang w:eastAsia="cs-CZ"/>
        </w:rPr>
        <w:t xml:space="preserve"> kupní ceny privatizovaného majetku, případně </w:t>
      </w:r>
      <w:r w:rsidRPr="00CB68DA">
        <w:rPr>
          <w:rFonts w:cstheme="minorHAnsi"/>
          <w:sz w:val="24"/>
          <w:szCs w:val="24"/>
          <w:lang w:eastAsia="cs-CZ"/>
        </w:rPr>
        <w:t>do výše základního jmění společnost</w:t>
      </w:r>
      <w:r w:rsidR="006B4E97" w:rsidRPr="00CB68DA">
        <w:rPr>
          <w:rFonts w:cstheme="minorHAnsi"/>
          <w:sz w:val="24"/>
          <w:szCs w:val="24"/>
          <w:lang w:eastAsia="cs-CZ"/>
        </w:rPr>
        <w:t>i</w:t>
      </w:r>
      <w:r w:rsidRPr="00CB68DA">
        <w:rPr>
          <w:rFonts w:cstheme="minorHAnsi"/>
          <w:sz w:val="24"/>
          <w:szCs w:val="24"/>
          <w:lang w:eastAsia="cs-CZ"/>
        </w:rPr>
        <w:t>. S</w:t>
      </w:r>
      <w:r w:rsidR="00BD79A9">
        <w:rPr>
          <w:rFonts w:cstheme="minorHAnsi"/>
          <w:sz w:val="24"/>
          <w:szCs w:val="24"/>
          <w:lang w:eastAsia="cs-CZ"/>
        </w:rPr>
        <w:t> </w:t>
      </w:r>
      <w:r w:rsidRPr="00CB68DA">
        <w:rPr>
          <w:rFonts w:cstheme="minorHAnsi"/>
          <w:sz w:val="24"/>
          <w:szCs w:val="24"/>
          <w:lang w:eastAsia="cs-CZ"/>
        </w:rPr>
        <w:t xml:space="preserve">nabyvateli privatizovaného majetku </w:t>
      </w:r>
      <w:r w:rsidR="001D551A" w:rsidRPr="00CB68DA">
        <w:rPr>
          <w:rFonts w:cstheme="minorHAnsi"/>
          <w:sz w:val="24"/>
          <w:szCs w:val="24"/>
          <w:lang w:eastAsia="cs-CZ"/>
        </w:rPr>
        <w:t xml:space="preserve">následně </w:t>
      </w:r>
      <w:r w:rsidRPr="00CB68DA">
        <w:rPr>
          <w:rFonts w:cstheme="minorHAnsi"/>
          <w:sz w:val="24"/>
          <w:szCs w:val="24"/>
          <w:lang w:eastAsia="cs-CZ"/>
        </w:rPr>
        <w:t xml:space="preserve">uzavíral Fond národního majetku České republiky </w:t>
      </w:r>
      <w:r w:rsidR="001D551A" w:rsidRPr="00CB68DA">
        <w:rPr>
          <w:rFonts w:cstheme="minorHAnsi"/>
          <w:sz w:val="24"/>
          <w:szCs w:val="24"/>
          <w:lang w:eastAsia="cs-CZ"/>
        </w:rPr>
        <w:t xml:space="preserve">(po jeho zrušení </w:t>
      </w:r>
      <w:r w:rsidR="0052533A" w:rsidRPr="00CB68DA">
        <w:rPr>
          <w:rFonts w:cstheme="minorHAnsi"/>
          <w:sz w:val="24"/>
          <w:szCs w:val="24"/>
          <w:lang w:eastAsia="cs-CZ"/>
        </w:rPr>
        <w:t xml:space="preserve">pak </w:t>
      </w:r>
      <w:r w:rsidRPr="00CB68DA">
        <w:rPr>
          <w:rFonts w:cstheme="minorHAnsi"/>
          <w:sz w:val="24"/>
          <w:szCs w:val="24"/>
          <w:lang w:eastAsia="cs-CZ"/>
        </w:rPr>
        <w:t>MF</w:t>
      </w:r>
      <w:r w:rsidR="001D551A" w:rsidRPr="00CB68DA">
        <w:rPr>
          <w:rFonts w:cstheme="minorHAnsi"/>
          <w:sz w:val="24"/>
          <w:szCs w:val="24"/>
          <w:lang w:eastAsia="cs-CZ"/>
        </w:rPr>
        <w:t>)</w:t>
      </w:r>
      <w:r w:rsidRPr="00CB68DA">
        <w:rPr>
          <w:rFonts w:cstheme="minorHAnsi"/>
          <w:sz w:val="24"/>
          <w:szCs w:val="24"/>
          <w:lang w:eastAsia="cs-CZ"/>
        </w:rPr>
        <w:t xml:space="preserve"> smlouvy o vypořádání ekologických závazků vzniklých před privatizací</w:t>
      </w:r>
      <w:r w:rsidR="008A2667" w:rsidRPr="00CB68DA">
        <w:rPr>
          <w:rFonts w:cstheme="minorHAnsi"/>
          <w:sz w:val="24"/>
          <w:szCs w:val="24"/>
          <w:lang w:eastAsia="cs-CZ"/>
        </w:rPr>
        <w:t>, tzv</w:t>
      </w:r>
      <w:r w:rsidR="008A2667">
        <w:rPr>
          <w:rFonts w:cstheme="minorHAnsi"/>
          <w:sz w:val="24"/>
          <w:szCs w:val="24"/>
          <w:lang w:eastAsia="cs-CZ"/>
        </w:rPr>
        <w:t>.</w:t>
      </w:r>
      <w:r w:rsidR="0010262D">
        <w:rPr>
          <w:rFonts w:cstheme="minorHAnsi"/>
          <w:sz w:val="24"/>
          <w:szCs w:val="24"/>
          <w:lang w:eastAsia="cs-CZ"/>
        </w:rPr>
        <w:t> </w:t>
      </w:r>
      <w:r w:rsidRPr="008A2667">
        <w:rPr>
          <w:rFonts w:cstheme="minorHAnsi"/>
          <w:b/>
          <w:sz w:val="24"/>
          <w:szCs w:val="24"/>
          <w:lang w:eastAsia="cs-CZ"/>
        </w:rPr>
        <w:t>ekologické smlouvy</w:t>
      </w:r>
      <w:r w:rsidRPr="00052C41">
        <w:rPr>
          <w:rFonts w:cstheme="minorHAnsi"/>
          <w:b/>
          <w:sz w:val="24"/>
          <w:szCs w:val="24"/>
          <w:lang w:eastAsia="cs-CZ"/>
        </w:rPr>
        <w:t>.</w:t>
      </w:r>
      <w:r w:rsidRPr="0025732B">
        <w:rPr>
          <w:rFonts w:cstheme="minorHAnsi"/>
          <w:sz w:val="24"/>
          <w:szCs w:val="24"/>
        </w:rPr>
        <w:t xml:space="preserve"> </w:t>
      </w:r>
    </w:p>
    <w:p w14:paraId="297A5622" w14:textId="1A90859D" w:rsidR="009778F0" w:rsidRDefault="00624106" w:rsidP="00BB11F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25732B">
        <w:rPr>
          <w:rFonts w:cstheme="minorHAnsi"/>
          <w:sz w:val="24"/>
          <w:szCs w:val="24"/>
          <w:lang w:eastAsia="cs-CZ"/>
        </w:rPr>
        <w:t>Výdaje na odstraňování SEZ hradí MF z</w:t>
      </w:r>
      <w:r w:rsidR="0052533A" w:rsidRPr="0025732B">
        <w:rPr>
          <w:rFonts w:cstheme="minorHAnsi"/>
          <w:sz w:val="24"/>
          <w:szCs w:val="24"/>
          <w:lang w:eastAsia="cs-CZ"/>
        </w:rPr>
        <w:t xml:space="preserve"> </w:t>
      </w:r>
      <w:r w:rsidRPr="0025732B">
        <w:rPr>
          <w:rFonts w:cstheme="minorHAnsi"/>
          <w:sz w:val="24"/>
          <w:szCs w:val="24"/>
          <w:lang w:eastAsia="cs-CZ"/>
        </w:rPr>
        <w:t>peněžních prostředků zvláštních účt</w:t>
      </w:r>
      <w:r w:rsidR="00F0200F" w:rsidRPr="0025732B">
        <w:rPr>
          <w:rFonts w:cstheme="minorHAnsi"/>
          <w:sz w:val="24"/>
          <w:szCs w:val="24"/>
          <w:lang w:eastAsia="cs-CZ"/>
        </w:rPr>
        <w:t>ů</w:t>
      </w:r>
      <w:r w:rsidRPr="0025732B">
        <w:rPr>
          <w:rFonts w:cstheme="minorHAnsi"/>
          <w:sz w:val="24"/>
          <w:szCs w:val="24"/>
          <w:lang w:eastAsia="cs-CZ"/>
        </w:rPr>
        <w:t>, na kter</w:t>
      </w:r>
      <w:r w:rsidR="00B31C7D">
        <w:rPr>
          <w:rFonts w:cstheme="minorHAnsi"/>
          <w:sz w:val="24"/>
          <w:szCs w:val="24"/>
          <w:lang w:eastAsia="cs-CZ"/>
        </w:rPr>
        <w:t>ých jsou soustředěny</w:t>
      </w:r>
      <w:r w:rsidRPr="0025732B">
        <w:rPr>
          <w:rFonts w:cstheme="minorHAnsi"/>
          <w:sz w:val="24"/>
          <w:szCs w:val="24"/>
          <w:lang w:eastAsia="cs-CZ"/>
        </w:rPr>
        <w:t xml:space="preserve"> peněžní prostředky z výnosu</w:t>
      </w:r>
      <w:r w:rsidR="00074929">
        <w:rPr>
          <w:rFonts w:cstheme="minorHAnsi"/>
          <w:sz w:val="24"/>
          <w:szCs w:val="24"/>
          <w:lang w:eastAsia="cs-CZ"/>
        </w:rPr>
        <w:t xml:space="preserve"> </w:t>
      </w:r>
      <w:r w:rsidRPr="0025732B">
        <w:rPr>
          <w:rFonts w:cstheme="minorHAnsi"/>
          <w:sz w:val="24"/>
          <w:szCs w:val="24"/>
          <w:lang w:eastAsia="cs-CZ"/>
        </w:rPr>
        <w:t>prodeje privatizovaného majetku</w:t>
      </w:r>
      <w:r>
        <w:rPr>
          <w:rStyle w:val="Znakapoznpodarou"/>
          <w:rFonts w:cstheme="minorHAnsi"/>
          <w:sz w:val="24"/>
          <w:szCs w:val="24"/>
          <w:lang w:eastAsia="cs-CZ"/>
        </w:rPr>
        <w:footnoteReference w:id="9"/>
      </w:r>
      <w:r w:rsidRPr="0025732B">
        <w:rPr>
          <w:rFonts w:cstheme="minorHAnsi"/>
          <w:sz w:val="24"/>
          <w:szCs w:val="24"/>
          <w:lang w:eastAsia="cs-CZ"/>
        </w:rPr>
        <w:t xml:space="preserve"> a ze zisku z účastí</w:t>
      </w:r>
      <w:r w:rsidRPr="001D551A">
        <w:rPr>
          <w:rFonts w:cstheme="minorHAnsi"/>
          <w:sz w:val="24"/>
          <w:szCs w:val="24"/>
          <w:lang w:eastAsia="cs-CZ"/>
        </w:rPr>
        <w:t xml:space="preserve"> státu v</w:t>
      </w:r>
      <w:r w:rsidR="0010262D">
        <w:rPr>
          <w:rFonts w:cstheme="minorHAnsi"/>
          <w:sz w:val="24"/>
          <w:szCs w:val="24"/>
          <w:lang w:eastAsia="cs-CZ"/>
        </w:rPr>
        <w:t> </w:t>
      </w:r>
      <w:r w:rsidRPr="001D551A">
        <w:rPr>
          <w:rFonts w:cstheme="minorHAnsi"/>
          <w:sz w:val="24"/>
          <w:szCs w:val="24"/>
          <w:lang w:eastAsia="cs-CZ"/>
        </w:rPr>
        <w:t>obchodních společnostech (dále jen „</w:t>
      </w:r>
      <w:r w:rsidRPr="0087360A">
        <w:rPr>
          <w:rFonts w:cstheme="minorHAnsi"/>
          <w:b/>
          <w:sz w:val="24"/>
          <w:szCs w:val="24"/>
          <w:lang w:eastAsia="cs-CZ"/>
        </w:rPr>
        <w:t>zvláštní účty privatizace</w:t>
      </w:r>
      <w:r w:rsidRPr="001D551A">
        <w:rPr>
          <w:rFonts w:cstheme="minorHAnsi"/>
          <w:sz w:val="24"/>
          <w:szCs w:val="24"/>
          <w:lang w:eastAsia="cs-CZ"/>
        </w:rPr>
        <w:t xml:space="preserve">“). Peněžní prostředky zvláštních účtů privatizace jsou mimorozpočtovými </w:t>
      </w:r>
      <w:r w:rsidRPr="00947AD2">
        <w:rPr>
          <w:rFonts w:cstheme="minorHAnsi"/>
          <w:sz w:val="24"/>
          <w:szCs w:val="24"/>
          <w:lang w:eastAsia="cs-CZ"/>
        </w:rPr>
        <w:t>prostředky</w:t>
      </w:r>
      <w:r w:rsidR="006D266D" w:rsidRPr="00947AD2">
        <w:rPr>
          <w:rFonts w:cstheme="minorHAnsi"/>
          <w:sz w:val="24"/>
          <w:szCs w:val="24"/>
          <w:lang w:eastAsia="cs-CZ"/>
        </w:rPr>
        <w:t>,</w:t>
      </w:r>
      <w:r w:rsidRPr="00947AD2">
        <w:rPr>
          <w:rFonts w:cstheme="minorHAnsi"/>
          <w:sz w:val="24"/>
          <w:szCs w:val="24"/>
          <w:lang w:eastAsia="cs-CZ"/>
        </w:rPr>
        <w:t xml:space="preserve"> </w:t>
      </w:r>
      <w:r w:rsidR="006D266D" w:rsidRPr="00947AD2">
        <w:rPr>
          <w:rFonts w:cstheme="minorHAnsi"/>
          <w:sz w:val="24"/>
          <w:szCs w:val="24"/>
          <w:lang w:eastAsia="cs-CZ"/>
        </w:rPr>
        <w:t>které jsou</w:t>
      </w:r>
      <w:r w:rsidRPr="00947AD2">
        <w:rPr>
          <w:rFonts w:cstheme="minorHAnsi"/>
          <w:sz w:val="24"/>
          <w:szCs w:val="24"/>
          <w:lang w:eastAsia="cs-CZ"/>
        </w:rPr>
        <w:t xml:space="preserve"> podřízeny souhrnnému účtu státní pokladny</w:t>
      </w:r>
      <w:r w:rsidR="006D266D" w:rsidRPr="00947AD2">
        <w:rPr>
          <w:rFonts w:cstheme="minorHAnsi"/>
          <w:sz w:val="24"/>
          <w:szCs w:val="24"/>
          <w:lang w:eastAsia="cs-CZ"/>
        </w:rPr>
        <w:t xml:space="preserve"> a nakládání s nimi se řídí zák</w:t>
      </w:r>
      <w:r w:rsidR="006D266D" w:rsidRPr="006D266D">
        <w:rPr>
          <w:rFonts w:cstheme="minorHAnsi"/>
          <w:sz w:val="24"/>
          <w:szCs w:val="24"/>
          <w:lang w:eastAsia="cs-CZ"/>
        </w:rPr>
        <w:t>onem č. 178/2005 Sb</w:t>
      </w:r>
      <w:r w:rsidR="009E2EA3">
        <w:rPr>
          <w:rFonts w:cstheme="minorHAnsi"/>
          <w:sz w:val="24"/>
          <w:szCs w:val="24"/>
          <w:lang w:eastAsia="cs-CZ"/>
        </w:rPr>
        <w:t>.</w:t>
      </w:r>
      <w:r>
        <w:rPr>
          <w:rStyle w:val="Znakapoznpodarou"/>
          <w:rFonts w:cstheme="minorHAnsi"/>
          <w:sz w:val="24"/>
          <w:szCs w:val="24"/>
          <w:lang w:eastAsia="cs-CZ"/>
        </w:rPr>
        <w:footnoteReference w:id="10"/>
      </w:r>
      <w:r w:rsidR="006D266D" w:rsidRPr="006D266D">
        <w:rPr>
          <w:rFonts w:cstheme="minorHAnsi"/>
          <w:sz w:val="24"/>
          <w:szCs w:val="24"/>
          <w:lang w:eastAsia="cs-CZ"/>
        </w:rPr>
        <w:t>.</w:t>
      </w:r>
      <w:r w:rsidRPr="001D551A">
        <w:rPr>
          <w:rFonts w:cstheme="minorHAnsi"/>
          <w:sz w:val="24"/>
          <w:szCs w:val="24"/>
          <w:lang w:eastAsia="cs-CZ"/>
        </w:rPr>
        <w:t xml:space="preserve"> </w:t>
      </w:r>
      <w:r w:rsidR="00F217B4">
        <w:rPr>
          <w:rFonts w:cstheme="minorHAnsi"/>
          <w:sz w:val="24"/>
          <w:szCs w:val="24"/>
          <w:lang w:eastAsia="cs-CZ"/>
        </w:rPr>
        <w:t xml:space="preserve">V souvislosti s odstraňováním SEZ hradí </w:t>
      </w:r>
      <w:r w:rsidRPr="001D551A">
        <w:rPr>
          <w:rFonts w:cstheme="minorHAnsi"/>
          <w:sz w:val="24"/>
          <w:szCs w:val="24"/>
          <w:lang w:eastAsia="cs-CZ"/>
        </w:rPr>
        <w:t xml:space="preserve">MF </w:t>
      </w:r>
      <w:r w:rsidR="006474C9">
        <w:rPr>
          <w:rFonts w:cstheme="minorHAnsi"/>
          <w:sz w:val="24"/>
          <w:szCs w:val="24"/>
          <w:lang w:eastAsia="cs-CZ"/>
        </w:rPr>
        <w:t xml:space="preserve">ze zvláštních účtů privatizace </w:t>
      </w:r>
      <w:r w:rsidR="00F0200F" w:rsidRPr="001D551A">
        <w:rPr>
          <w:rFonts w:cstheme="minorHAnsi"/>
          <w:sz w:val="24"/>
          <w:szCs w:val="24"/>
          <w:lang w:eastAsia="cs-CZ"/>
        </w:rPr>
        <w:t>zejm</w:t>
      </w:r>
      <w:r w:rsidR="00B51F2B">
        <w:rPr>
          <w:rFonts w:cstheme="minorHAnsi"/>
          <w:sz w:val="24"/>
          <w:szCs w:val="24"/>
          <w:lang w:eastAsia="cs-CZ"/>
        </w:rPr>
        <w:t>éna</w:t>
      </w:r>
      <w:r w:rsidR="00F0200F" w:rsidRPr="001D551A">
        <w:rPr>
          <w:rFonts w:cstheme="minorHAnsi"/>
          <w:sz w:val="24"/>
          <w:szCs w:val="24"/>
          <w:lang w:eastAsia="cs-CZ"/>
        </w:rPr>
        <w:t xml:space="preserve"> </w:t>
      </w:r>
      <w:r w:rsidRPr="001D551A">
        <w:rPr>
          <w:rFonts w:cstheme="minorHAnsi"/>
          <w:sz w:val="24"/>
          <w:szCs w:val="24"/>
          <w:lang w:eastAsia="cs-CZ"/>
        </w:rPr>
        <w:t>náklad</w:t>
      </w:r>
      <w:r w:rsidR="00F0200F" w:rsidRPr="001D551A">
        <w:rPr>
          <w:rFonts w:cstheme="minorHAnsi"/>
          <w:sz w:val="24"/>
          <w:szCs w:val="24"/>
          <w:lang w:eastAsia="cs-CZ"/>
        </w:rPr>
        <w:t>y</w:t>
      </w:r>
      <w:r w:rsidRPr="001D551A">
        <w:rPr>
          <w:rFonts w:cstheme="minorHAnsi"/>
          <w:sz w:val="24"/>
          <w:szCs w:val="24"/>
          <w:lang w:eastAsia="cs-CZ"/>
        </w:rPr>
        <w:t xml:space="preserve"> na realizaci nápravných opatření</w:t>
      </w:r>
      <w:r w:rsidR="00F0200F" w:rsidRPr="001D551A">
        <w:rPr>
          <w:rFonts w:cstheme="minorHAnsi"/>
          <w:sz w:val="24"/>
          <w:szCs w:val="24"/>
          <w:lang w:eastAsia="cs-CZ"/>
        </w:rPr>
        <w:t>,</w:t>
      </w:r>
      <w:r w:rsidRPr="001D551A">
        <w:rPr>
          <w:rFonts w:cstheme="minorHAnsi"/>
          <w:sz w:val="24"/>
          <w:szCs w:val="24"/>
          <w:lang w:eastAsia="cs-CZ"/>
        </w:rPr>
        <w:t xml:space="preserve"> na průzkumy, </w:t>
      </w:r>
      <w:r w:rsidR="00524F20">
        <w:rPr>
          <w:rFonts w:cstheme="minorHAnsi"/>
          <w:sz w:val="24"/>
          <w:szCs w:val="24"/>
          <w:lang w:eastAsia="cs-CZ"/>
        </w:rPr>
        <w:t xml:space="preserve">na </w:t>
      </w:r>
      <w:r w:rsidRPr="001D551A">
        <w:rPr>
          <w:rFonts w:cstheme="minorHAnsi"/>
          <w:sz w:val="24"/>
          <w:szCs w:val="24"/>
          <w:lang w:eastAsia="cs-CZ"/>
        </w:rPr>
        <w:t xml:space="preserve">zpracování analýz rizik a jejich aktualizací, </w:t>
      </w:r>
      <w:r w:rsidR="00524F20">
        <w:rPr>
          <w:rFonts w:cstheme="minorHAnsi"/>
          <w:sz w:val="24"/>
          <w:szCs w:val="24"/>
          <w:lang w:eastAsia="cs-CZ"/>
        </w:rPr>
        <w:t xml:space="preserve">na zpracování </w:t>
      </w:r>
      <w:r w:rsidRPr="001D551A">
        <w:rPr>
          <w:rFonts w:cstheme="minorHAnsi"/>
          <w:sz w:val="24"/>
          <w:szCs w:val="24"/>
          <w:lang w:eastAsia="cs-CZ"/>
        </w:rPr>
        <w:t>studi</w:t>
      </w:r>
      <w:r w:rsidR="00524F20">
        <w:rPr>
          <w:rFonts w:cstheme="minorHAnsi"/>
          <w:sz w:val="24"/>
          <w:szCs w:val="24"/>
          <w:lang w:eastAsia="cs-CZ"/>
        </w:rPr>
        <w:t>í</w:t>
      </w:r>
      <w:r w:rsidRPr="001D551A">
        <w:rPr>
          <w:rFonts w:cstheme="minorHAnsi"/>
          <w:sz w:val="24"/>
          <w:szCs w:val="24"/>
          <w:lang w:eastAsia="cs-CZ"/>
        </w:rPr>
        <w:t xml:space="preserve"> proveditelnosti</w:t>
      </w:r>
      <w:r w:rsidR="00F0200F" w:rsidRPr="001D551A">
        <w:rPr>
          <w:rFonts w:cstheme="minorHAnsi"/>
          <w:sz w:val="24"/>
          <w:szCs w:val="24"/>
          <w:lang w:eastAsia="cs-CZ"/>
        </w:rPr>
        <w:t xml:space="preserve"> a</w:t>
      </w:r>
      <w:r w:rsidRPr="001D551A">
        <w:rPr>
          <w:rFonts w:cstheme="minorHAnsi"/>
          <w:sz w:val="24"/>
          <w:szCs w:val="24"/>
          <w:lang w:eastAsia="cs-CZ"/>
        </w:rPr>
        <w:t xml:space="preserve"> projektových dokumentací</w:t>
      </w:r>
      <w:r w:rsidR="00F0200F" w:rsidRPr="001D551A">
        <w:rPr>
          <w:rFonts w:cstheme="minorHAnsi"/>
          <w:sz w:val="24"/>
          <w:szCs w:val="24"/>
          <w:lang w:eastAsia="cs-CZ"/>
        </w:rPr>
        <w:t xml:space="preserve"> a</w:t>
      </w:r>
      <w:r w:rsidRPr="001D551A">
        <w:rPr>
          <w:rFonts w:cstheme="minorHAnsi"/>
          <w:sz w:val="24"/>
          <w:szCs w:val="24"/>
          <w:lang w:eastAsia="cs-CZ"/>
        </w:rPr>
        <w:t xml:space="preserve"> náklady na supervizní činnost. </w:t>
      </w:r>
    </w:p>
    <w:p w14:paraId="554718BD" w14:textId="77777777" w:rsidR="009778F0" w:rsidRDefault="00624106" w:rsidP="00BB11F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368CC">
        <w:rPr>
          <w:rFonts w:cstheme="minorHAnsi"/>
          <w:sz w:val="24"/>
          <w:szCs w:val="24"/>
          <w:lang w:eastAsia="cs-CZ"/>
        </w:rPr>
        <w:t xml:space="preserve">Za odstranění SEZ a splnění limitů v oblasti životního </w:t>
      </w:r>
      <w:r w:rsidRPr="0052533A">
        <w:rPr>
          <w:rFonts w:cstheme="minorHAnsi"/>
          <w:sz w:val="24"/>
          <w:szCs w:val="24"/>
          <w:lang w:eastAsia="cs-CZ"/>
        </w:rPr>
        <w:t>prostředí odpovídá nabyvatel.</w:t>
      </w:r>
      <w:r w:rsidRPr="00A368CC">
        <w:rPr>
          <w:rFonts w:cstheme="minorHAnsi"/>
          <w:sz w:val="24"/>
          <w:szCs w:val="24"/>
          <w:lang w:eastAsia="cs-CZ"/>
        </w:rPr>
        <w:t xml:space="preserve"> </w:t>
      </w:r>
      <w:r>
        <w:rPr>
          <w:rFonts w:cstheme="minorHAnsi"/>
          <w:sz w:val="24"/>
          <w:szCs w:val="24"/>
          <w:lang w:eastAsia="cs-CZ"/>
        </w:rPr>
        <w:t xml:space="preserve">Tomu </w:t>
      </w:r>
      <w:r w:rsidRPr="00A368CC">
        <w:rPr>
          <w:rFonts w:cstheme="minorHAnsi"/>
          <w:sz w:val="24"/>
          <w:szCs w:val="24"/>
          <w:lang w:eastAsia="cs-CZ"/>
        </w:rPr>
        <w:t>je rozhodnutím příslušného orgánu státní správy uložena povinnost odstranit závadný stav a je stanoven rozsah nápravných opatření, cílové limity znečištění a lhůty k plnění nápravných opatření. Správní rozhodnutí k nápravě ekologických závazků zpravidla vydává Česká inspekce životního prostředí (dále také „ČIŽP“)</w:t>
      </w:r>
      <w:r>
        <w:rPr>
          <w:rFonts w:cstheme="minorHAnsi"/>
          <w:sz w:val="24"/>
          <w:szCs w:val="24"/>
          <w:vertAlign w:val="superscript"/>
          <w:lang w:eastAsia="cs-CZ"/>
        </w:rPr>
        <w:footnoteReference w:id="11"/>
      </w:r>
      <w:r w:rsidRPr="00A368CC">
        <w:rPr>
          <w:rFonts w:cstheme="minorHAnsi"/>
          <w:sz w:val="24"/>
          <w:szCs w:val="24"/>
          <w:lang w:eastAsia="cs-CZ"/>
        </w:rPr>
        <w:t xml:space="preserve">, s výjimkou např. SEZ laguny </w:t>
      </w:r>
      <w:proofErr w:type="spellStart"/>
      <w:r w:rsidRPr="00A368CC">
        <w:rPr>
          <w:rFonts w:cstheme="minorHAnsi"/>
          <w:sz w:val="24"/>
          <w:szCs w:val="24"/>
          <w:lang w:eastAsia="cs-CZ"/>
        </w:rPr>
        <w:t>Ostramo</w:t>
      </w:r>
      <w:proofErr w:type="spellEnd"/>
      <w:r w:rsidRPr="00A368CC">
        <w:rPr>
          <w:rFonts w:cstheme="minorHAnsi"/>
          <w:sz w:val="24"/>
          <w:szCs w:val="24"/>
          <w:lang w:eastAsia="cs-CZ"/>
        </w:rPr>
        <w:t xml:space="preserve">, kdy stanoví nápravná opatření MŽP. Rozhodnutí příslušného správního orgánu je podmínkou pro úhradu nákladů na </w:t>
      </w:r>
      <w:r w:rsidRPr="00CB68DA">
        <w:rPr>
          <w:rFonts w:cstheme="minorHAnsi"/>
          <w:sz w:val="24"/>
          <w:szCs w:val="24"/>
          <w:lang w:eastAsia="cs-CZ"/>
        </w:rPr>
        <w:t xml:space="preserve">odstranění SEZ. </w:t>
      </w:r>
      <w:r w:rsidRPr="00080725">
        <w:rPr>
          <w:rFonts w:cstheme="minorHAnsi"/>
          <w:b/>
          <w:sz w:val="24"/>
          <w:szCs w:val="24"/>
        </w:rPr>
        <w:t>Nápravným opatřením</w:t>
      </w:r>
      <w:r w:rsidRPr="00CB68DA">
        <w:rPr>
          <w:rFonts w:cstheme="minorHAnsi"/>
          <w:sz w:val="24"/>
          <w:szCs w:val="24"/>
        </w:rPr>
        <w:t xml:space="preserve"> se rozumí jakékoliv opatření vedoucí k eliminaci či snížení rizik plynoucích z </w:t>
      </w:r>
      <w:r w:rsidRPr="00A62038">
        <w:rPr>
          <w:rFonts w:cstheme="minorHAnsi"/>
          <w:sz w:val="24"/>
          <w:szCs w:val="24"/>
        </w:rPr>
        <w:t xml:space="preserve">kontaminace pro zdraví obyvatel a/nebo pro životní prostředí. </w:t>
      </w:r>
      <w:r w:rsidR="00947AD2" w:rsidRPr="00A62038">
        <w:rPr>
          <w:rFonts w:cstheme="minorHAnsi"/>
          <w:sz w:val="24"/>
          <w:szCs w:val="24"/>
        </w:rPr>
        <w:t xml:space="preserve">Mezi </w:t>
      </w:r>
      <w:r w:rsidRPr="00A62038">
        <w:rPr>
          <w:rFonts w:cstheme="minorHAnsi"/>
          <w:sz w:val="24"/>
          <w:szCs w:val="24"/>
        </w:rPr>
        <w:t>nápravn</w:t>
      </w:r>
      <w:r w:rsidR="00947AD2" w:rsidRPr="00A62038">
        <w:rPr>
          <w:rFonts w:cstheme="minorHAnsi"/>
          <w:sz w:val="24"/>
          <w:szCs w:val="24"/>
        </w:rPr>
        <w:t>á</w:t>
      </w:r>
      <w:r w:rsidRPr="00A62038">
        <w:rPr>
          <w:rFonts w:cstheme="minorHAnsi"/>
          <w:sz w:val="24"/>
          <w:szCs w:val="24"/>
        </w:rPr>
        <w:t xml:space="preserve"> opatření </w:t>
      </w:r>
      <w:r w:rsidR="00947AD2" w:rsidRPr="00A62038">
        <w:rPr>
          <w:rFonts w:cstheme="minorHAnsi"/>
          <w:sz w:val="24"/>
          <w:szCs w:val="24"/>
        </w:rPr>
        <w:t>patří</w:t>
      </w:r>
      <w:r w:rsidRPr="00A62038">
        <w:rPr>
          <w:rFonts w:cstheme="minorHAnsi"/>
          <w:sz w:val="24"/>
          <w:szCs w:val="24"/>
        </w:rPr>
        <w:t xml:space="preserve"> </w:t>
      </w:r>
      <w:r w:rsidR="00947AD2" w:rsidRPr="00A62038">
        <w:rPr>
          <w:rFonts w:cstheme="minorHAnsi"/>
          <w:sz w:val="24"/>
          <w:szCs w:val="24"/>
        </w:rPr>
        <w:t xml:space="preserve">např. </w:t>
      </w:r>
      <w:r w:rsidRPr="00A62038">
        <w:rPr>
          <w:rFonts w:cstheme="minorHAnsi"/>
          <w:sz w:val="24"/>
          <w:szCs w:val="24"/>
        </w:rPr>
        <w:t>sanace</w:t>
      </w:r>
      <w:r w:rsidR="00947AD2" w:rsidRPr="00A62038">
        <w:rPr>
          <w:rFonts w:cstheme="minorHAnsi"/>
          <w:sz w:val="24"/>
          <w:szCs w:val="24"/>
        </w:rPr>
        <w:t xml:space="preserve"> a</w:t>
      </w:r>
      <w:r w:rsidR="002E554E" w:rsidRPr="00A62038">
        <w:rPr>
          <w:rFonts w:cstheme="minorHAnsi"/>
          <w:sz w:val="24"/>
          <w:szCs w:val="24"/>
        </w:rPr>
        <w:t xml:space="preserve"> ochranné sanační čerpání</w:t>
      </w:r>
      <w:r w:rsidR="00947AD2" w:rsidRPr="00A62038">
        <w:rPr>
          <w:rFonts w:cstheme="minorHAnsi"/>
          <w:sz w:val="24"/>
          <w:szCs w:val="24"/>
        </w:rPr>
        <w:t>.</w:t>
      </w:r>
      <w:r w:rsidR="00947AD2" w:rsidRPr="00CB68DA">
        <w:rPr>
          <w:rFonts w:cstheme="minorHAnsi"/>
          <w:sz w:val="24"/>
          <w:szCs w:val="24"/>
        </w:rPr>
        <w:t xml:space="preserve"> </w:t>
      </w:r>
      <w:r w:rsidRPr="00CB68DA">
        <w:rPr>
          <w:rFonts w:cstheme="minorHAnsi"/>
          <w:sz w:val="24"/>
          <w:szCs w:val="24"/>
        </w:rPr>
        <w:t>Nápravná opatření jsou realizována na základě zpracovaného realizačního projektu.</w:t>
      </w:r>
      <w:r w:rsidR="003705B4">
        <w:rPr>
          <w:rFonts w:cstheme="minorHAnsi"/>
          <w:sz w:val="24"/>
          <w:szCs w:val="24"/>
        </w:rPr>
        <w:t xml:space="preserve"> </w:t>
      </w:r>
    </w:p>
    <w:p w14:paraId="238CE1F4" w14:textId="77777777" w:rsidR="009778F0" w:rsidRDefault="00624106" w:rsidP="00BB11F8">
      <w:pPr>
        <w:spacing w:before="120" w:after="12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8A2667">
        <w:rPr>
          <w:rFonts w:cstheme="minorHAnsi"/>
          <w:b/>
          <w:sz w:val="24"/>
          <w:szCs w:val="24"/>
          <w:lang w:eastAsia="cs-CZ"/>
        </w:rPr>
        <w:t>Ministerstvo financí</w:t>
      </w:r>
      <w:r w:rsidRPr="0025732B">
        <w:rPr>
          <w:rFonts w:cstheme="minorHAnsi"/>
          <w:sz w:val="24"/>
          <w:szCs w:val="24"/>
          <w:lang w:eastAsia="cs-CZ"/>
        </w:rPr>
        <w:t xml:space="preserve"> </w:t>
      </w:r>
      <w:r>
        <w:rPr>
          <w:rFonts w:cstheme="minorHAnsi"/>
          <w:sz w:val="24"/>
          <w:szCs w:val="24"/>
          <w:lang w:eastAsia="cs-CZ"/>
        </w:rPr>
        <w:t xml:space="preserve">převzalo k 1. lednu 2006 </w:t>
      </w:r>
      <w:r w:rsidRPr="00365510">
        <w:rPr>
          <w:rFonts w:cstheme="minorHAnsi"/>
          <w:sz w:val="24"/>
          <w:szCs w:val="24"/>
          <w:lang w:eastAsia="cs-CZ"/>
        </w:rPr>
        <w:t xml:space="preserve">majetek a závazky </w:t>
      </w:r>
      <w:r w:rsidR="00F04317">
        <w:rPr>
          <w:rFonts w:cstheme="minorHAnsi"/>
          <w:sz w:val="24"/>
          <w:szCs w:val="24"/>
          <w:lang w:eastAsia="cs-CZ"/>
        </w:rPr>
        <w:t xml:space="preserve">zrušeného </w:t>
      </w:r>
      <w:r>
        <w:rPr>
          <w:rFonts w:cstheme="minorHAnsi"/>
          <w:sz w:val="24"/>
          <w:szCs w:val="24"/>
          <w:lang w:eastAsia="cs-CZ"/>
        </w:rPr>
        <w:t>Fondu národního majetku včetně a</w:t>
      </w:r>
      <w:r w:rsidRPr="001D551A">
        <w:rPr>
          <w:rFonts w:cstheme="minorHAnsi"/>
          <w:sz w:val="24"/>
          <w:szCs w:val="24"/>
          <w:lang w:eastAsia="cs-CZ"/>
        </w:rPr>
        <w:t>gend</w:t>
      </w:r>
      <w:r>
        <w:rPr>
          <w:rFonts w:cstheme="minorHAnsi"/>
          <w:sz w:val="24"/>
          <w:szCs w:val="24"/>
          <w:lang w:eastAsia="cs-CZ"/>
        </w:rPr>
        <w:t>y</w:t>
      </w:r>
      <w:r w:rsidRPr="001D551A">
        <w:rPr>
          <w:rFonts w:cstheme="minorHAnsi"/>
          <w:sz w:val="24"/>
          <w:szCs w:val="24"/>
          <w:lang w:eastAsia="cs-CZ"/>
        </w:rPr>
        <w:t xml:space="preserve"> odstraňování </w:t>
      </w:r>
      <w:r w:rsidR="0010262D">
        <w:rPr>
          <w:rFonts w:cstheme="minorHAnsi"/>
          <w:sz w:val="24"/>
          <w:szCs w:val="24"/>
          <w:lang w:eastAsia="cs-CZ"/>
        </w:rPr>
        <w:t>SEZ</w:t>
      </w:r>
      <w:r w:rsidRPr="0025732B">
        <w:rPr>
          <w:sz w:val="24"/>
          <w:szCs w:val="24"/>
          <w:lang w:eastAsia="cs-CZ"/>
        </w:rPr>
        <w:t xml:space="preserve">. </w:t>
      </w:r>
      <w:r w:rsidRPr="00B31A98">
        <w:rPr>
          <w:rFonts w:cstheme="minorHAnsi"/>
          <w:sz w:val="24"/>
          <w:szCs w:val="24"/>
          <w:lang w:eastAsia="cs-CZ"/>
        </w:rPr>
        <w:t>M</w:t>
      </w:r>
      <w:r w:rsidR="00644E73" w:rsidRPr="00B31A98">
        <w:rPr>
          <w:rFonts w:cstheme="minorHAnsi"/>
          <w:sz w:val="24"/>
          <w:szCs w:val="24"/>
          <w:lang w:eastAsia="cs-CZ"/>
        </w:rPr>
        <w:t>inisterstvo financí</w:t>
      </w:r>
      <w:r w:rsidR="00644E73" w:rsidRPr="0025732B">
        <w:rPr>
          <w:rFonts w:cstheme="minorHAnsi"/>
          <w:sz w:val="24"/>
          <w:szCs w:val="24"/>
          <w:lang w:eastAsia="cs-CZ"/>
        </w:rPr>
        <w:t xml:space="preserve"> </w:t>
      </w:r>
      <w:r w:rsidRPr="0025732B">
        <w:rPr>
          <w:rFonts w:cstheme="minorHAnsi"/>
          <w:sz w:val="24"/>
          <w:szCs w:val="24"/>
          <w:lang w:eastAsia="cs-CZ"/>
        </w:rPr>
        <w:t>je zadavatelem veřejných zakázek na realizaci opatření k odstranění SEZ, uzavírá příslušné smlouvy s</w:t>
      </w:r>
      <w:r w:rsidR="0010262D">
        <w:rPr>
          <w:rFonts w:cstheme="minorHAnsi"/>
          <w:sz w:val="24"/>
          <w:szCs w:val="24"/>
          <w:lang w:eastAsia="cs-CZ"/>
        </w:rPr>
        <w:t> </w:t>
      </w:r>
      <w:r w:rsidRPr="0025732B">
        <w:rPr>
          <w:rFonts w:cstheme="minorHAnsi"/>
          <w:sz w:val="24"/>
          <w:szCs w:val="24"/>
          <w:lang w:eastAsia="cs-CZ"/>
        </w:rPr>
        <w:t xml:space="preserve">vybranými dodavateli, ve spolupráci s MŽP stanovuje prioritní akce určené k zadávání veřejných zakázek na následující rok a aktualizuje jejich střednědobý výhled. MF zajišťuje průběžnou kontrolu sanačních prací </w:t>
      </w:r>
      <w:r w:rsidR="003E3DF6" w:rsidRPr="0025732B">
        <w:rPr>
          <w:rFonts w:cstheme="minorHAnsi"/>
          <w:sz w:val="24"/>
          <w:szCs w:val="24"/>
          <w:lang w:eastAsia="cs-CZ"/>
        </w:rPr>
        <w:t>zejm</w:t>
      </w:r>
      <w:r w:rsidR="00B51F2B">
        <w:rPr>
          <w:rFonts w:cstheme="minorHAnsi"/>
          <w:sz w:val="24"/>
          <w:szCs w:val="24"/>
          <w:lang w:eastAsia="cs-CZ"/>
        </w:rPr>
        <w:t>éna</w:t>
      </w:r>
      <w:r w:rsidR="003E3DF6" w:rsidRPr="0025732B">
        <w:rPr>
          <w:rFonts w:cstheme="minorHAnsi"/>
          <w:sz w:val="24"/>
          <w:szCs w:val="24"/>
          <w:lang w:eastAsia="cs-CZ"/>
        </w:rPr>
        <w:t xml:space="preserve"> </w:t>
      </w:r>
      <w:r w:rsidRPr="0025732B">
        <w:rPr>
          <w:rFonts w:cstheme="minorHAnsi"/>
          <w:sz w:val="24"/>
          <w:szCs w:val="24"/>
          <w:lang w:eastAsia="cs-CZ"/>
        </w:rPr>
        <w:t>prostřednictvím supervize. Je správcem zvláštních účtů privatizace.</w:t>
      </w:r>
    </w:p>
    <w:p w14:paraId="6EC51891" w14:textId="2A6339D2" w:rsidR="009778F0" w:rsidRPr="00AD17B8" w:rsidRDefault="00624106" w:rsidP="00BB11F8">
      <w:pPr>
        <w:spacing w:before="120" w:after="12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8A2667">
        <w:rPr>
          <w:rFonts w:cstheme="minorHAnsi"/>
          <w:b/>
          <w:sz w:val="24"/>
          <w:szCs w:val="24"/>
        </w:rPr>
        <w:t>M</w:t>
      </w:r>
      <w:r w:rsidR="00644E73" w:rsidRPr="008A2667">
        <w:rPr>
          <w:rFonts w:cstheme="minorHAnsi"/>
          <w:b/>
          <w:sz w:val="24"/>
          <w:szCs w:val="24"/>
        </w:rPr>
        <w:t>inisterstvo životního prostředí</w:t>
      </w:r>
      <w:r w:rsidR="00644E73" w:rsidRPr="0025732B">
        <w:rPr>
          <w:rFonts w:cstheme="minorHAnsi"/>
          <w:sz w:val="24"/>
          <w:szCs w:val="24"/>
        </w:rPr>
        <w:t xml:space="preserve"> </w:t>
      </w:r>
      <w:r w:rsidRPr="0025732B">
        <w:rPr>
          <w:rFonts w:cstheme="minorHAnsi"/>
          <w:sz w:val="24"/>
          <w:szCs w:val="24"/>
        </w:rPr>
        <w:t>jakožto orgán vrchního státního dozoru ve věcech životního prostředí</w:t>
      </w:r>
      <w:r w:rsidRPr="0025732B">
        <w:rPr>
          <w:rFonts w:cstheme="minorHAnsi"/>
          <w:sz w:val="24"/>
          <w:szCs w:val="24"/>
          <w:lang w:eastAsia="cs-CZ"/>
        </w:rPr>
        <w:t xml:space="preserve"> je v procesu odstraňování</w:t>
      </w:r>
      <w:r w:rsidRPr="00365510">
        <w:rPr>
          <w:rFonts w:cstheme="minorHAnsi"/>
          <w:sz w:val="24"/>
          <w:szCs w:val="24"/>
          <w:lang w:eastAsia="cs-CZ"/>
        </w:rPr>
        <w:t xml:space="preserve"> </w:t>
      </w:r>
      <w:r>
        <w:rPr>
          <w:rFonts w:cstheme="minorHAnsi"/>
          <w:sz w:val="24"/>
          <w:szCs w:val="24"/>
          <w:lang w:eastAsia="cs-CZ"/>
        </w:rPr>
        <w:t>SEZ</w:t>
      </w:r>
      <w:r w:rsidRPr="00365510">
        <w:rPr>
          <w:rFonts w:cstheme="minorHAnsi"/>
          <w:sz w:val="24"/>
          <w:szCs w:val="24"/>
          <w:lang w:eastAsia="cs-CZ"/>
        </w:rPr>
        <w:t xml:space="preserve"> odborným garantem vydávajícím závazná stanoviska </w:t>
      </w:r>
      <w:r w:rsidRPr="009B22BF">
        <w:rPr>
          <w:rFonts w:cstheme="minorHAnsi"/>
          <w:sz w:val="24"/>
          <w:szCs w:val="24"/>
          <w:lang w:eastAsia="cs-CZ"/>
        </w:rPr>
        <w:t>k</w:t>
      </w:r>
      <w:r w:rsidR="00A057F0">
        <w:rPr>
          <w:rFonts w:cstheme="minorHAnsi"/>
          <w:sz w:val="24"/>
          <w:szCs w:val="24"/>
          <w:lang w:eastAsia="cs-CZ"/>
        </w:rPr>
        <w:t> </w:t>
      </w:r>
      <w:r w:rsidRPr="009B22BF">
        <w:rPr>
          <w:rFonts w:cstheme="minorHAnsi"/>
          <w:sz w:val="24"/>
          <w:szCs w:val="24"/>
          <w:lang w:eastAsia="cs-CZ"/>
        </w:rPr>
        <w:t>jednotlivým procesním krokům</w:t>
      </w:r>
      <w:r>
        <w:rPr>
          <w:rFonts w:cstheme="minorHAnsi"/>
          <w:sz w:val="24"/>
          <w:szCs w:val="24"/>
          <w:lang w:eastAsia="cs-CZ"/>
        </w:rPr>
        <w:t>. P</w:t>
      </w:r>
      <w:r w:rsidRPr="009B22BF">
        <w:rPr>
          <w:rFonts w:cstheme="minorHAnsi"/>
          <w:sz w:val="24"/>
          <w:szCs w:val="24"/>
          <w:lang w:eastAsia="cs-CZ"/>
        </w:rPr>
        <w:t>riority odstraňování SEZ</w:t>
      </w:r>
      <w:r>
        <w:rPr>
          <w:rFonts w:cstheme="minorHAnsi"/>
          <w:sz w:val="24"/>
          <w:szCs w:val="24"/>
          <w:lang w:eastAsia="cs-CZ"/>
        </w:rPr>
        <w:t xml:space="preserve"> má posuzovat</w:t>
      </w:r>
      <w:r w:rsidRPr="009B22BF">
        <w:rPr>
          <w:rFonts w:cstheme="minorHAnsi"/>
          <w:sz w:val="24"/>
          <w:szCs w:val="24"/>
          <w:lang w:eastAsia="cs-CZ"/>
        </w:rPr>
        <w:t xml:space="preserve"> z</w:t>
      </w:r>
      <w:r w:rsidR="00A057F0">
        <w:rPr>
          <w:rFonts w:cstheme="minorHAnsi"/>
          <w:sz w:val="24"/>
          <w:szCs w:val="24"/>
          <w:lang w:eastAsia="cs-CZ"/>
        </w:rPr>
        <w:t> </w:t>
      </w:r>
      <w:r w:rsidRPr="009B22BF">
        <w:rPr>
          <w:rFonts w:cstheme="minorHAnsi"/>
          <w:sz w:val="24"/>
          <w:szCs w:val="24"/>
          <w:lang w:eastAsia="cs-CZ"/>
        </w:rPr>
        <w:t xml:space="preserve">hlediska environmentální naléhavosti. MŽP </w:t>
      </w:r>
      <w:r w:rsidRPr="00AD17B8">
        <w:rPr>
          <w:rFonts w:cstheme="minorHAnsi"/>
          <w:sz w:val="24"/>
          <w:szCs w:val="24"/>
          <w:lang w:eastAsia="cs-CZ"/>
        </w:rPr>
        <w:t>zabezpečuje a</w:t>
      </w:r>
      <w:r w:rsidR="00A057F0">
        <w:rPr>
          <w:rFonts w:cstheme="minorHAnsi"/>
          <w:sz w:val="24"/>
          <w:szCs w:val="24"/>
          <w:lang w:eastAsia="cs-CZ"/>
        </w:rPr>
        <w:t> </w:t>
      </w:r>
      <w:r w:rsidRPr="00AD17B8">
        <w:rPr>
          <w:rFonts w:cstheme="minorHAnsi"/>
          <w:sz w:val="24"/>
          <w:szCs w:val="24"/>
          <w:lang w:eastAsia="cs-CZ"/>
        </w:rPr>
        <w:t>řídí jednotný informační systém o</w:t>
      </w:r>
      <w:r w:rsidR="00A057F0">
        <w:rPr>
          <w:rFonts w:cstheme="minorHAnsi"/>
          <w:sz w:val="24"/>
          <w:szCs w:val="24"/>
          <w:lang w:eastAsia="cs-CZ"/>
        </w:rPr>
        <w:t> </w:t>
      </w:r>
      <w:r w:rsidRPr="00AD17B8">
        <w:rPr>
          <w:rFonts w:cstheme="minorHAnsi"/>
          <w:sz w:val="24"/>
          <w:szCs w:val="24"/>
          <w:lang w:eastAsia="cs-CZ"/>
        </w:rPr>
        <w:t>životním prostředí, v</w:t>
      </w:r>
      <w:r w:rsidR="00A057F0">
        <w:rPr>
          <w:rFonts w:cstheme="minorHAnsi"/>
          <w:sz w:val="24"/>
          <w:szCs w:val="24"/>
          <w:lang w:eastAsia="cs-CZ"/>
        </w:rPr>
        <w:t> jehož</w:t>
      </w:r>
      <w:r w:rsidRPr="00AD17B8">
        <w:rPr>
          <w:rFonts w:cstheme="minorHAnsi"/>
          <w:sz w:val="24"/>
          <w:szCs w:val="24"/>
          <w:lang w:eastAsia="cs-CZ"/>
        </w:rPr>
        <w:t xml:space="preserve"> rámci jsou mj. evidovány i SEZ. Zástupci MŽP se účastní </w:t>
      </w:r>
      <w:r w:rsidR="00A00679" w:rsidRPr="00AD17B8">
        <w:rPr>
          <w:rFonts w:cstheme="minorHAnsi"/>
          <w:sz w:val="24"/>
          <w:szCs w:val="24"/>
          <w:lang w:eastAsia="cs-CZ"/>
        </w:rPr>
        <w:t>zadávacích</w:t>
      </w:r>
      <w:r w:rsidR="003E3DF6" w:rsidRPr="00AD17B8">
        <w:rPr>
          <w:rFonts w:cstheme="minorHAnsi"/>
          <w:sz w:val="24"/>
          <w:szCs w:val="24"/>
          <w:lang w:eastAsia="cs-CZ"/>
        </w:rPr>
        <w:t xml:space="preserve"> řízení, </w:t>
      </w:r>
      <w:r w:rsidRPr="00AD17B8">
        <w:rPr>
          <w:rFonts w:cstheme="minorHAnsi"/>
          <w:sz w:val="24"/>
          <w:szCs w:val="24"/>
          <w:lang w:eastAsia="cs-CZ"/>
        </w:rPr>
        <w:t xml:space="preserve">oponentních řízení a provádí kontrolu průběhu procesu odstraňování SEZ. </w:t>
      </w:r>
    </w:p>
    <w:p w14:paraId="1A4C6518" w14:textId="4AD9B158" w:rsidR="00254EA1" w:rsidRPr="00CB68DA" w:rsidRDefault="00624106" w:rsidP="00BB11F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9269C1">
        <w:rPr>
          <w:rFonts w:cstheme="minorHAnsi"/>
          <w:b/>
          <w:sz w:val="24"/>
          <w:szCs w:val="24"/>
          <w:lang w:eastAsia="cs-CZ"/>
        </w:rPr>
        <w:t>Proces odstraňování SEZ</w:t>
      </w:r>
      <w:r>
        <w:rPr>
          <w:rFonts w:cstheme="minorHAnsi"/>
          <w:sz w:val="24"/>
          <w:szCs w:val="24"/>
          <w:lang w:eastAsia="cs-CZ"/>
        </w:rPr>
        <w:t xml:space="preserve"> není upraven </w:t>
      </w:r>
      <w:r w:rsidRPr="00A00679">
        <w:rPr>
          <w:rFonts w:cstheme="minorHAnsi"/>
          <w:sz w:val="24"/>
          <w:szCs w:val="24"/>
          <w:lang w:eastAsia="cs-CZ"/>
        </w:rPr>
        <w:t xml:space="preserve">žádným právním </w:t>
      </w:r>
      <w:r>
        <w:rPr>
          <w:rFonts w:cstheme="minorHAnsi"/>
          <w:sz w:val="24"/>
          <w:szCs w:val="24"/>
          <w:lang w:eastAsia="cs-CZ"/>
        </w:rPr>
        <w:t>předpisem</w:t>
      </w:r>
      <w:r w:rsidR="00C70C67">
        <w:rPr>
          <w:rFonts w:cstheme="minorHAnsi"/>
          <w:sz w:val="24"/>
          <w:szCs w:val="24"/>
          <w:lang w:eastAsia="cs-CZ"/>
        </w:rPr>
        <w:t xml:space="preserve">. Zásady a postupy tohoto procesu </w:t>
      </w:r>
      <w:r w:rsidR="009778F0" w:rsidRPr="00E6519C">
        <w:rPr>
          <w:rFonts w:cstheme="minorHAnsi"/>
          <w:sz w:val="24"/>
          <w:szCs w:val="24"/>
          <w:lang w:eastAsia="cs-CZ"/>
        </w:rPr>
        <w:t>byl</w:t>
      </w:r>
      <w:r w:rsidR="00C70C67">
        <w:rPr>
          <w:rFonts w:cstheme="minorHAnsi"/>
          <w:sz w:val="24"/>
          <w:szCs w:val="24"/>
          <w:lang w:eastAsia="cs-CZ"/>
        </w:rPr>
        <w:t>y</w:t>
      </w:r>
      <w:r w:rsidR="009778F0" w:rsidRPr="00E6519C">
        <w:rPr>
          <w:rFonts w:cstheme="minorHAnsi"/>
          <w:sz w:val="24"/>
          <w:szCs w:val="24"/>
          <w:lang w:eastAsia="cs-CZ"/>
        </w:rPr>
        <w:t xml:space="preserve"> v kontrolovaném období </w:t>
      </w:r>
      <w:r w:rsidR="00C70C67">
        <w:rPr>
          <w:rFonts w:cstheme="minorHAnsi"/>
          <w:sz w:val="24"/>
          <w:szCs w:val="24"/>
          <w:lang w:eastAsia="cs-CZ"/>
        </w:rPr>
        <w:t>vymezeny</w:t>
      </w:r>
      <w:r w:rsidR="009778F0" w:rsidRPr="00E6519C">
        <w:rPr>
          <w:rFonts w:cstheme="minorHAnsi"/>
          <w:sz w:val="24"/>
          <w:szCs w:val="24"/>
          <w:lang w:eastAsia="cs-CZ"/>
        </w:rPr>
        <w:t xml:space="preserve"> vládou schválenými </w:t>
      </w:r>
      <w:r w:rsidR="00C46AFC">
        <w:rPr>
          <w:rFonts w:cstheme="minorHAnsi"/>
          <w:i/>
          <w:sz w:val="24"/>
          <w:szCs w:val="24"/>
        </w:rPr>
        <w:t>z</w:t>
      </w:r>
      <w:r w:rsidR="009778F0" w:rsidRPr="00E6519C">
        <w:rPr>
          <w:rFonts w:cstheme="minorHAnsi"/>
          <w:i/>
          <w:sz w:val="24"/>
          <w:szCs w:val="24"/>
        </w:rPr>
        <w:t xml:space="preserve">ásadami vypořádání ekologických </w:t>
      </w:r>
      <w:r w:rsidR="009778F0" w:rsidRPr="00CB68DA">
        <w:rPr>
          <w:rFonts w:cstheme="minorHAnsi"/>
          <w:i/>
          <w:sz w:val="24"/>
          <w:szCs w:val="24"/>
        </w:rPr>
        <w:t>závazků vzniklých před privatizací</w:t>
      </w:r>
      <w:r>
        <w:rPr>
          <w:rStyle w:val="Znakapoznpodarou"/>
          <w:rFonts w:cstheme="minorHAnsi"/>
          <w:sz w:val="24"/>
          <w:szCs w:val="24"/>
          <w:lang w:eastAsia="cs-CZ"/>
        </w:rPr>
        <w:footnoteReference w:id="12"/>
      </w:r>
      <w:r w:rsidR="009778F0" w:rsidRPr="00CB68DA">
        <w:rPr>
          <w:rFonts w:cstheme="minorHAnsi"/>
          <w:i/>
          <w:sz w:val="24"/>
          <w:szCs w:val="24"/>
        </w:rPr>
        <w:t xml:space="preserve"> </w:t>
      </w:r>
      <w:r w:rsidR="009778F0" w:rsidRPr="00CB68DA">
        <w:rPr>
          <w:rFonts w:cstheme="minorHAnsi"/>
          <w:sz w:val="24"/>
          <w:szCs w:val="24"/>
        </w:rPr>
        <w:t xml:space="preserve">(dále </w:t>
      </w:r>
      <w:r w:rsidR="0010262D">
        <w:rPr>
          <w:rFonts w:cstheme="minorHAnsi"/>
          <w:sz w:val="24"/>
          <w:szCs w:val="24"/>
        </w:rPr>
        <w:t>jen</w:t>
      </w:r>
      <w:r w:rsidR="009778F0" w:rsidRPr="00CB68DA">
        <w:rPr>
          <w:rFonts w:cstheme="minorHAnsi"/>
          <w:sz w:val="24"/>
          <w:szCs w:val="24"/>
        </w:rPr>
        <w:t xml:space="preserve"> „Zásady“)</w:t>
      </w:r>
      <w:r w:rsidR="009778F0" w:rsidRPr="00CB68DA">
        <w:rPr>
          <w:rFonts w:cstheme="minorHAnsi"/>
          <w:sz w:val="24"/>
          <w:szCs w:val="24"/>
          <w:lang w:eastAsia="cs-CZ"/>
        </w:rPr>
        <w:t xml:space="preserve"> a </w:t>
      </w:r>
      <w:r w:rsidR="00411AA9">
        <w:rPr>
          <w:rFonts w:cstheme="minorHAnsi"/>
          <w:i/>
          <w:sz w:val="24"/>
          <w:szCs w:val="24"/>
        </w:rPr>
        <w:t>s</w:t>
      </w:r>
      <w:r w:rsidR="009778F0" w:rsidRPr="00CB68DA">
        <w:rPr>
          <w:rFonts w:cstheme="minorHAnsi"/>
          <w:i/>
          <w:sz w:val="24"/>
          <w:szCs w:val="24"/>
        </w:rPr>
        <w:t>měrnicí MF a MŽP pro přípravu a realizaci zakázek řešících ekologické závazky vzniklé při privatizaci č. 4/2017</w:t>
      </w:r>
      <w:r w:rsidR="009778F0" w:rsidRPr="00CB68DA">
        <w:rPr>
          <w:rFonts w:cstheme="minorHAnsi"/>
          <w:sz w:val="24"/>
          <w:szCs w:val="24"/>
        </w:rPr>
        <w:t>.</w:t>
      </w:r>
      <w:r w:rsidR="009778F0" w:rsidRPr="00CB68DA">
        <w:rPr>
          <w:rFonts w:cstheme="minorHAnsi"/>
          <w:i/>
          <w:sz w:val="24"/>
          <w:szCs w:val="24"/>
        </w:rPr>
        <w:t xml:space="preserve"> </w:t>
      </w:r>
      <w:r w:rsidR="003E3DF6" w:rsidRPr="00CB68DA">
        <w:rPr>
          <w:rFonts w:cstheme="minorHAnsi"/>
          <w:sz w:val="24"/>
          <w:szCs w:val="24"/>
        </w:rPr>
        <w:t xml:space="preserve">Proces odstraňování SEZ </w:t>
      </w:r>
      <w:r w:rsidR="00947AD2" w:rsidRPr="00CB68DA">
        <w:rPr>
          <w:rFonts w:cstheme="minorHAnsi"/>
          <w:sz w:val="24"/>
          <w:szCs w:val="24"/>
        </w:rPr>
        <w:t xml:space="preserve">na lokalitě </w:t>
      </w:r>
      <w:r w:rsidR="003E3DF6" w:rsidRPr="00CB68DA">
        <w:rPr>
          <w:rFonts w:cstheme="minorHAnsi"/>
          <w:sz w:val="24"/>
          <w:szCs w:val="24"/>
        </w:rPr>
        <w:t xml:space="preserve">probíhá v několika </w:t>
      </w:r>
      <w:r w:rsidRPr="00CB68DA">
        <w:rPr>
          <w:rFonts w:cstheme="minorHAnsi"/>
          <w:sz w:val="24"/>
          <w:szCs w:val="24"/>
        </w:rPr>
        <w:t xml:space="preserve">fázích. </w:t>
      </w:r>
      <w:r w:rsidR="00C70C67" w:rsidRPr="00CB68DA">
        <w:rPr>
          <w:rFonts w:cstheme="minorHAnsi"/>
          <w:sz w:val="24"/>
          <w:szCs w:val="24"/>
        </w:rPr>
        <w:t>Zahájení sanačních prací předchází zpracování analýzy rizik</w:t>
      </w:r>
      <w:r w:rsidR="00F908E3" w:rsidRPr="00CB68DA">
        <w:rPr>
          <w:rFonts w:cstheme="minorHAnsi"/>
          <w:sz w:val="24"/>
          <w:szCs w:val="24"/>
        </w:rPr>
        <w:t xml:space="preserve"> (resp. její aktualizace)</w:t>
      </w:r>
      <w:r w:rsidR="00190CAC" w:rsidRPr="00CB68DA">
        <w:rPr>
          <w:rFonts w:cstheme="minorHAnsi"/>
          <w:sz w:val="24"/>
          <w:szCs w:val="24"/>
        </w:rPr>
        <w:t>, ve které js</w:t>
      </w:r>
      <w:r w:rsidRPr="00CB68DA">
        <w:rPr>
          <w:rFonts w:cstheme="minorHAnsi"/>
          <w:sz w:val="24"/>
          <w:szCs w:val="24"/>
        </w:rPr>
        <w:t xml:space="preserve">ou </w:t>
      </w:r>
      <w:r w:rsidR="008925D2" w:rsidRPr="00CB68DA">
        <w:rPr>
          <w:rFonts w:cstheme="minorHAnsi"/>
          <w:sz w:val="24"/>
          <w:szCs w:val="24"/>
        </w:rPr>
        <w:t xml:space="preserve">na základě průzkumu </w:t>
      </w:r>
      <w:r w:rsidRPr="00CB68DA">
        <w:rPr>
          <w:rFonts w:cstheme="minorHAnsi"/>
          <w:sz w:val="24"/>
          <w:szCs w:val="24"/>
        </w:rPr>
        <w:t xml:space="preserve">vyhodnocena zdravotní a ekologická rizika a navrženy cílové parametry nápravných opatření. </w:t>
      </w:r>
      <w:r w:rsidR="008925D2" w:rsidRPr="00CB68DA">
        <w:rPr>
          <w:rFonts w:cstheme="minorHAnsi"/>
          <w:sz w:val="24"/>
          <w:szCs w:val="24"/>
        </w:rPr>
        <w:t xml:space="preserve">Analýza rizik dotčené lokality je podkladem pro vydání správního rozhodnutí. </w:t>
      </w:r>
      <w:r w:rsidRPr="00CB68DA">
        <w:rPr>
          <w:rFonts w:cstheme="minorHAnsi"/>
          <w:sz w:val="24"/>
          <w:szCs w:val="24"/>
        </w:rPr>
        <w:t xml:space="preserve">V případě starých ekologických zátěží velkého rozsahu nebo v případě problematických způsobů sanace, bývá za účelem výběru optimální varianty zpracována studie proveditelnosti. Následuje </w:t>
      </w:r>
      <w:proofErr w:type="spellStart"/>
      <w:r w:rsidRPr="00CB68DA">
        <w:rPr>
          <w:rFonts w:cstheme="minorHAnsi"/>
          <w:sz w:val="24"/>
          <w:szCs w:val="24"/>
        </w:rPr>
        <w:t>předsanační</w:t>
      </w:r>
      <w:proofErr w:type="spellEnd"/>
      <w:r w:rsidRPr="00CB68DA">
        <w:rPr>
          <w:rFonts w:cstheme="minorHAnsi"/>
          <w:sz w:val="24"/>
          <w:szCs w:val="24"/>
        </w:rPr>
        <w:t xml:space="preserve"> </w:t>
      </w:r>
      <w:proofErr w:type="spellStart"/>
      <w:r w:rsidRPr="00CB68DA">
        <w:rPr>
          <w:rFonts w:cstheme="minorHAnsi"/>
          <w:sz w:val="24"/>
          <w:szCs w:val="24"/>
        </w:rPr>
        <w:t>doprůzkum</w:t>
      </w:r>
      <w:proofErr w:type="spellEnd"/>
      <w:r w:rsidR="00F3424E" w:rsidRPr="00CB68DA">
        <w:rPr>
          <w:rFonts w:cstheme="minorHAnsi"/>
          <w:sz w:val="24"/>
          <w:szCs w:val="24"/>
        </w:rPr>
        <w:t xml:space="preserve"> </w:t>
      </w:r>
      <w:r w:rsidRPr="00CB68DA">
        <w:rPr>
          <w:rFonts w:cstheme="minorHAnsi"/>
          <w:sz w:val="24"/>
          <w:szCs w:val="24"/>
        </w:rPr>
        <w:t xml:space="preserve">a zpracování projektové dokumentace sanace. Cílem sanace je dosáhnout cílových limitů kontaminantů a věcných cílů stanovených ve vydaném správním rozhodnutí. Kontrola dosažení závazných limitů ukazatelů kontaminantů a jejich udržitelnosti po stanovenou dobu od ukončení sanačního zásahu je předmětem </w:t>
      </w:r>
      <w:proofErr w:type="spellStart"/>
      <w:r w:rsidRPr="00CB68DA">
        <w:rPr>
          <w:rFonts w:cstheme="minorHAnsi"/>
          <w:sz w:val="24"/>
          <w:szCs w:val="24"/>
        </w:rPr>
        <w:t>postsanačního</w:t>
      </w:r>
      <w:proofErr w:type="spellEnd"/>
      <w:r w:rsidRPr="00CB68DA">
        <w:rPr>
          <w:rFonts w:cstheme="minorHAnsi"/>
          <w:sz w:val="24"/>
          <w:szCs w:val="24"/>
        </w:rPr>
        <w:t xml:space="preserve"> monitoringu. </w:t>
      </w:r>
    </w:p>
    <w:p w14:paraId="7FCF0B47" w14:textId="77777777" w:rsidR="000D2A80" w:rsidRPr="00CB68DA" w:rsidRDefault="00624106" w:rsidP="00BB11F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B68DA">
        <w:rPr>
          <w:rFonts w:cstheme="minorHAnsi"/>
          <w:sz w:val="24"/>
          <w:szCs w:val="24"/>
          <w:lang w:eastAsia="cs-CZ"/>
        </w:rPr>
        <w:t xml:space="preserve">Proces odstraňování </w:t>
      </w:r>
      <w:r w:rsidR="00947AD2" w:rsidRPr="00CB68DA">
        <w:rPr>
          <w:rFonts w:cstheme="minorHAnsi"/>
          <w:sz w:val="24"/>
          <w:szCs w:val="24"/>
          <w:lang w:eastAsia="cs-CZ"/>
        </w:rPr>
        <w:t>SEZ</w:t>
      </w:r>
      <w:r w:rsidRPr="00CB68DA">
        <w:rPr>
          <w:rFonts w:cstheme="minorHAnsi"/>
          <w:sz w:val="24"/>
          <w:szCs w:val="24"/>
          <w:lang w:eastAsia="cs-CZ"/>
        </w:rPr>
        <w:t xml:space="preserve"> probíhá od roku 1991. </w:t>
      </w:r>
      <w:r w:rsidR="00BB71BD" w:rsidRPr="00CB68DA">
        <w:rPr>
          <w:rFonts w:cstheme="minorHAnsi"/>
          <w:sz w:val="24"/>
          <w:szCs w:val="24"/>
        </w:rPr>
        <w:t xml:space="preserve">K uzavírání ekologických smluv docházelo </w:t>
      </w:r>
      <w:r w:rsidR="00947AD2" w:rsidRPr="00CB68DA">
        <w:rPr>
          <w:rFonts w:cstheme="minorHAnsi"/>
          <w:sz w:val="24"/>
          <w:szCs w:val="24"/>
        </w:rPr>
        <w:t xml:space="preserve">postupně až </w:t>
      </w:r>
      <w:r w:rsidR="00EA3CAD" w:rsidRPr="00CB68DA">
        <w:rPr>
          <w:rFonts w:cstheme="minorHAnsi"/>
          <w:sz w:val="24"/>
          <w:szCs w:val="24"/>
        </w:rPr>
        <w:t xml:space="preserve">do roku </w:t>
      </w:r>
      <w:r w:rsidR="00BB71BD" w:rsidRPr="00CB68DA">
        <w:rPr>
          <w:rFonts w:cstheme="minorHAnsi"/>
          <w:sz w:val="24"/>
          <w:szCs w:val="24"/>
        </w:rPr>
        <w:t xml:space="preserve">2011. </w:t>
      </w:r>
      <w:r w:rsidRPr="00CB68DA">
        <w:rPr>
          <w:rFonts w:cstheme="minorHAnsi"/>
          <w:sz w:val="24"/>
          <w:szCs w:val="24"/>
        </w:rPr>
        <w:t xml:space="preserve">K 30. dubnu 2023 evidovalo MF celkem 327 smluv s celkovými ekologickými závazky státu ve formě garancí ve výši </w:t>
      </w:r>
      <w:r w:rsidR="00DE6B08" w:rsidRPr="00DE6B08">
        <w:rPr>
          <w:rFonts w:cstheme="minorHAnsi"/>
          <w:sz w:val="24"/>
          <w:szCs w:val="24"/>
        </w:rPr>
        <w:t>175,</w:t>
      </w:r>
      <w:r w:rsidR="004A7A4B">
        <w:rPr>
          <w:rFonts w:cstheme="minorHAnsi"/>
          <w:sz w:val="24"/>
          <w:szCs w:val="24"/>
        </w:rPr>
        <w:t>7</w:t>
      </w:r>
      <w:r w:rsidR="00DE6B08" w:rsidRPr="00DE6B08">
        <w:rPr>
          <w:rFonts w:cstheme="minorHAnsi"/>
          <w:sz w:val="24"/>
          <w:szCs w:val="24"/>
        </w:rPr>
        <w:t xml:space="preserve"> </w:t>
      </w:r>
      <w:r w:rsidRPr="00CB68DA">
        <w:rPr>
          <w:rFonts w:cstheme="minorHAnsi"/>
          <w:sz w:val="24"/>
          <w:szCs w:val="24"/>
        </w:rPr>
        <w:t xml:space="preserve">mld. Kč. </w:t>
      </w:r>
    </w:p>
    <w:p w14:paraId="44F0A086" w14:textId="5D33ED7F" w:rsidR="009778F0" w:rsidRDefault="00624106" w:rsidP="00BB11F8">
      <w:pPr>
        <w:autoSpaceDE w:val="0"/>
        <w:autoSpaceDN w:val="0"/>
        <w:adjustRightInd w:val="0"/>
        <w:spacing w:before="120" w:after="720" w:line="240" w:lineRule="auto"/>
        <w:jc w:val="both"/>
        <w:rPr>
          <w:rFonts w:ascii="Calibri" w:hAnsi="Calibri" w:cs="Calibri"/>
          <w:sz w:val="24"/>
          <w:szCs w:val="24"/>
          <w:lang w:eastAsia="cs-CZ"/>
        </w:rPr>
      </w:pPr>
      <w:r w:rsidRPr="00CB68DA">
        <w:rPr>
          <w:rFonts w:ascii="Calibri" w:hAnsi="Calibri" w:cs="Calibri"/>
          <w:sz w:val="24"/>
          <w:szCs w:val="24"/>
          <w:lang w:eastAsia="cs-CZ"/>
        </w:rPr>
        <w:t xml:space="preserve">Od roku 1991 do </w:t>
      </w:r>
      <w:r w:rsidRPr="00AD17B8">
        <w:rPr>
          <w:rFonts w:ascii="Calibri" w:hAnsi="Calibri" w:cs="Calibri"/>
          <w:sz w:val="24"/>
          <w:szCs w:val="24"/>
          <w:lang w:eastAsia="cs-CZ"/>
        </w:rPr>
        <w:t>konce dubna 2023 bylo na</w:t>
      </w:r>
      <w:r w:rsidR="007838D3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AD17B8">
        <w:rPr>
          <w:rFonts w:ascii="Calibri" w:hAnsi="Calibri" w:cs="Calibri"/>
          <w:sz w:val="24"/>
          <w:szCs w:val="24"/>
          <w:lang w:eastAsia="cs-CZ"/>
        </w:rPr>
        <w:t xml:space="preserve">odstraňování starých ekologických zátěží vzniklých před privatizací vynaloženo </w:t>
      </w:r>
      <w:r w:rsidRPr="00AD17B8">
        <w:rPr>
          <w:rFonts w:cstheme="minorHAnsi"/>
          <w:sz w:val="24"/>
          <w:szCs w:val="24"/>
          <w:lang w:eastAsia="cs-CZ"/>
        </w:rPr>
        <w:t>z výnosu</w:t>
      </w:r>
      <w:r w:rsidR="007838D3">
        <w:rPr>
          <w:rFonts w:cstheme="minorHAnsi"/>
          <w:sz w:val="24"/>
          <w:szCs w:val="24"/>
          <w:lang w:eastAsia="cs-CZ"/>
        </w:rPr>
        <w:t xml:space="preserve"> </w:t>
      </w:r>
      <w:r w:rsidRPr="00AD17B8">
        <w:rPr>
          <w:rFonts w:cstheme="minorHAnsi"/>
          <w:sz w:val="24"/>
          <w:szCs w:val="24"/>
          <w:lang w:eastAsia="cs-CZ"/>
        </w:rPr>
        <w:t xml:space="preserve">prodeje </w:t>
      </w:r>
      <w:r w:rsidRPr="00AD17B8">
        <w:rPr>
          <w:rFonts w:ascii="Calibri" w:hAnsi="Calibri" w:cs="Calibri"/>
          <w:sz w:val="24"/>
          <w:szCs w:val="24"/>
          <w:lang w:eastAsia="cs-CZ"/>
        </w:rPr>
        <w:t>privatizovaného majetku a ze zisku z účastí státu v obchodních společnostech celkem 66,2 mld. Kč, z toho v</w:t>
      </w:r>
      <w:r w:rsidR="006721D5">
        <w:rPr>
          <w:rFonts w:ascii="Calibri" w:hAnsi="Calibri" w:cs="Calibri"/>
          <w:sz w:val="24"/>
          <w:szCs w:val="24"/>
          <w:lang w:eastAsia="cs-CZ"/>
        </w:rPr>
        <w:t xml:space="preserve"> kontrolovaném </w:t>
      </w:r>
      <w:r w:rsidRPr="00AD17B8">
        <w:rPr>
          <w:rFonts w:ascii="Calibri" w:hAnsi="Calibri" w:cs="Calibri"/>
          <w:sz w:val="24"/>
          <w:szCs w:val="24"/>
          <w:lang w:eastAsia="cs-CZ"/>
        </w:rPr>
        <w:t>období od ledna 2018 do dubna 2023 celkem 4,</w:t>
      </w:r>
      <w:r w:rsidR="004A7A4B" w:rsidRPr="00AD17B8">
        <w:rPr>
          <w:rFonts w:ascii="Calibri" w:hAnsi="Calibri" w:cs="Calibri"/>
          <w:sz w:val="24"/>
          <w:szCs w:val="24"/>
          <w:lang w:eastAsia="cs-CZ"/>
        </w:rPr>
        <w:t>6</w:t>
      </w:r>
      <w:r w:rsidRPr="00AD17B8">
        <w:rPr>
          <w:rFonts w:ascii="Calibri" w:hAnsi="Calibri" w:cs="Calibri"/>
          <w:sz w:val="24"/>
          <w:szCs w:val="24"/>
          <w:lang w:eastAsia="cs-CZ"/>
        </w:rPr>
        <w:t xml:space="preserve"> mld. Kč. </w:t>
      </w:r>
    </w:p>
    <w:p w14:paraId="5E4B06BA" w14:textId="77777777" w:rsidR="003869EF" w:rsidRDefault="00624106" w:rsidP="00BB11F8">
      <w:pPr>
        <w:pStyle w:val="Nadpis1"/>
        <w:numPr>
          <w:ilvl w:val="0"/>
          <w:numId w:val="0"/>
        </w:numPr>
        <w:spacing w:before="0" w:after="240"/>
        <w:rPr>
          <w:sz w:val="28"/>
          <w:szCs w:val="28"/>
        </w:rPr>
      </w:pPr>
      <w:r>
        <w:rPr>
          <w:sz w:val="28"/>
          <w:szCs w:val="28"/>
        </w:rPr>
        <w:t>I</w:t>
      </w:r>
      <w:r w:rsidRPr="00891AA7">
        <w:rPr>
          <w:sz w:val="28"/>
          <w:szCs w:val="28"/>
        </w:rPr>
        <w:t>II. Rozsah kontroly</w:t>
      </w:r>
    </w:p>
    <w:p w14:paraId="7F4DE36F" w14:textId="77777777" w:rsidR="00F55586" w:rsidRPr="0025732B" w:rsidRDefault="00624106" w:rsidP="00BB11F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8690C">
        <w:rPr>
          <w:rFonts w:cstheme="minorHAnsi"/>
          <w:b/>
          <w:sz w:val="24"/>
          <w:szCs w:val="24"/>
        </w:rPr>
        <w:t>Cílem kontroly</w:t>
      </w:r>
      <w:r w:rsidRPr="00C8690C">
        <w:rPr>
          <w:rFonts w:cstheme="minorHAnsi"/>
          <w:sz w:val="24"/>
          <w:szCs w:val="24"/>
        </w:rPr>
        <w:t xml:space="preserve"> bylo prověřit, zda</w:t>
      </w:r>
      <w:r w:rsidR="00B75EDA" w:rsidRPr="00C8690C">
        <w:rPr>
          <w:rFonts w:cstheme="minorHAnsi"/>
          <w:sz w:val="24"/>
          <w:szCs w:val="24"/>
        </w:rPr>
        <w:t xml:space="preserve"> došlo k</w:t>
      </w:r>
      <w:r w:rsidR="00A50A4E" w:rsidRPr="00C8690C">
        <w:rPr>
          <w:rFonts w:cstheme="minorHAnsi"/>
          <w:sz w:val="24"/>
          <w:szCs w:val="24"/>
        </w:rPr>
        <w:t xml:space="preserve"> </w:t>
      </w:r>
      <w:r w:rsidR="00B75EDA" w:rsidRPr="00C8690C">
        <w:rPr>
          <w:rFonts w:cstheme="minorHAnsi"/>
          <w:sz w:val="24"/>
          <w:szCs w:val="24"/>
        </w:rPr>
        <w:t xml:space="preserve">urychlení odstraňování starých ekologických zátěží vzniklých před privatizací a zda peněžní prostředky státu určené na odstraňování těchto zátěží </w:t>
      </w:r>
      <w:r w:rsidR="00DE6B08" w:rsidRPr="00C8690C">
        <w:rPr>
          <w:rFonts w:cstheme="minorHAnsi"/>
          <w:sz w:val="24"/>
          <w:szCs w:val="24"/>
        </w:rPr>
        <w:t>byly</w:t>
      </w:r>
      <w:r w:rsidR="00B75EDA" w:rsidRPr="00C8690C">
        <w:rPr>
          <w:rFonts w:cstheme="minorHAnsi"/>
          <w:sz w:val="24"/>
          <w:szCs w:val="24"/>
        </w:rPr>
        <w:t xml:space="preserve"> vynakládány</w:t>
      </w:r>
      <w:r w:rsidR="00B75EDA" w:rsidRPr="0025732B">
        <w:rPr>
          <w:rFonts w:cstheme="minorHAnsi"/>
          <w:sz w:val="24"/>
          <w:szCs w:val="24"/>
        </w:rPr>
        <w:t xml:space="preserve"> hospodárně a v</w:t>
      </w:r>
      <w:r w:rsidR="00A50A4E">
        <w:rPr>
          <w:rFonts w:cstheme="minorHAnsi"/>
          <w:sz w:val="24"/>
          <w:szCs w:val="24"/>
        </w:rPr>
        <w:t xml:space="preserve"> </w:t>
      </w:r>
      <w:r w:rsidR="00B75EDA" w:rsidRPr="0025732B">
        <w:rPr>
          <w:rFonts w:cstheme="minorHAnsi"/>
          <w:sz w:val="24"/>
          <w:szCs w:val="24"/>
        </w:rPr>
        <w:t>souladu s</w:t>
      </w:r>
      <w:r w:rsidR="00A50A4E">
        <w:rPr>
          <w:rFonts w:cstheme="minorHAnsi"/>
          <w:sz w:val="24"/>
          <w:szCs w:val="24"/>
        </w:rPr>
        <w:t xml:space="preserve"> </w:t>
      </w:r>
      <w:r w:rsidR="00B75EDA" w:rsidRPr="0025732B">
        <w:rPr>
          <w:rFonts w:cstheme="minorHAnsi"/>
          <w:sz w:val="24"/>
          <w:szCs w:val="24"/>
        </w:rPr>
        <w:t>právními předpisy</w:t>
      </w:r>
      <w:r w:rsidRPr="0025732B">
        <w:rPr>
          <w:rFonts w:cstheme="minorHAnsi"/>
          <w:sz w:val="24"/>
          <w:szCs w:val="24"/>
        </w:rPr>
        <w:t>.</w:t>
      </w:r>
    </w:p>
    <w:p w14:paraId="6A1B1FAB" w14:textId="77777777" w:rsidR="00846846" w:rsidRPr="00AD17B8" w:rsidRDefault="00624106" w:rsidP="00BB11F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87360A">
        <w:rPr>
          <w:rFonts w:cstheme="minorHAnsi"/>
          <w:b/>
          <w:sz w:val="24"/>
          <w:szCs w:val="24"/>
        </w:rPr>
        <w:t>U MF</w:t>
      </w:r>
      <w:r w:rsidRPr="0087360A">
        <w:rPr>
          <w:rFonts w:cstheme="minorHAnsi"/>
          <w:sz w:val="24"/>
          <w:szCs w:val="24"/>
        </w:rPr>
        <w:t xml:space="preserve"> byla kontrole podrobena </w:t>
      </w:r>
      <w:r w:rsidRPr="00AD17B8">
        <w:rPr>
          <w:rFonts w:cstheme="minorHAnsi"/>
          <w:sz w:val="24"/>
          <w:szCs w:val="24"/>
        </w:rPr>
        <w:t>účinnost opatření přijatých k</w:t>
      </w:r>
      <w:r w:rsidR="00A50A4E" w:rsidRPr="00AD17B8">
        <w:rPr>
          <w:rFonts w:cstheme="minorHAnsi"/>
          <w:sz w:val="24"/>
          <w:szCs w:val="24"/>
        </w:rPr>
        <w:t xml:space="preserve"> </w:t>
      </w:r>
      <w:r w:rsidRPr="00AD17B8">
        <w:rPr>
          <w:rFonts w:cstheme="minorHAnsi"/>
          <w:sz w:val="24"/>
          <w:szCs w:val="24"/>
        </w:rPr>
        <w:t xml:space="preserve">urychlení odstranění </w:t>
      </w:r>
      <w:r w:rsidR="00DE6B08" w:rsidRPr="00AD17B8">
        <w:rPr>
          <w:rFonts w:cstheme="minorHAnsi"/>
          <w:sz w:val="24"/>
          <w:szCs w:val="24"/>
        </w:rPr>
        <w:t>SEZ</w:t>
      </w:r>
      <w:r w:rsidRPr="00AD17B8">
        <w:rPr>
          <w:rFonts w:cstheme="minorHAnsi"/>
          <w:sz w:val="24"/>
          <w:szCs w:val="24"/>
        </w:rPr>
        <w:t xml:space="preserve">, zajištění peněžních prostředků na </w:t>
      </w:r>
      <w:r w:rsidR="00DE6B08" w:rsidRPr="00AD17B8">
        <w:rPr>
          <w:rFonts w:cstheme="minorHAnsi"/>
          <w:sz w:val="24"/>
          <w:szCs w:val="24"/>
        </w:rPr>
        <w:t xml:space="preserve">jejich </w:t>
      </w:r>
      <w:r w:rsidRPr="00AD17B8">
        <w:rPr>
          <w:rFonts w:cstheme="minorHAnsi"/>
          <w:sz w:val="24"/>
          <w:szCs w:val="24"/>
        </w:rPr>
        <w:t xml:space="preserve">odstraňování, </w:t>
      </w:r>
      <w:r w:rsidR="00A317BD" w:rsidRPr="00AD17B8">
        <w:rPr>
          <w:rFonts w:cstheme="minorHAnsi"/>
          <w:sz w:val="24"/>
          <w:szCs w:val="24"/>
        </w:rPr>
        <w:t xml:space="preserve">postup při </w:t>
      </w:r>
      <w:r w:rsidRPr="00AD17B8">
        <w:rPr>
          <w:rFonts w:cstheme="minorHAnsi"/>
          <w:sz w:val="24"/>
          <w:szCs w:val="24"/>
        </w:rPr>
        <w:t xml:space="preserve">stanovování priorit pro zadávání veřejných zakázek, postup při řešení navyšování garancí, zajištění kontroly odstraňování starých ekologických zátěží vzniklých před privatizací. Kontrole byl dále podroben soulad postupu MF dle Zásad a hospodárnost výdajů vynakládaných na odstraňování </w:t>
      </w:r>
      <w:r w:rsidR="004B6D81" w:rsidRPr="00AD17B8">
        <w:rPr>
          <w:rFonts w:cstheme="minorHAnsi"/>
          <w:sz w:val="24"/>
          <w:szCs w:val="24"/>
        </w:rPr>
        <w:t>SEZ</w:t>
      </w:r>
      <w:r w:rsidRPr="00AD17B8">
        <w:rPr>
          <w:rFonts w:cstheme="minorHAnsi"/>
          <w:sz w:val="24"/>
          <w:szCs w:val="24"/>
        </w:rPr>
        <w:t>, a to jak na úrovni systému</w:t>
      </w:r>
      <w:r w:rsidR="003D335B" w:rsidRPr="00AD17B8">
        <w:rPr>
          <w:rFonts w:cstheme="minorHAnsi"/>
          <w:sz w:val="24"/>
          <w:szCs w:val="24"/>
        </w:rPr>
        <w:t>,</w:t>
      </w:r>
      <w:r w:rsidRPr="00AD17B8">
        <w:rPr>
          <w:rFonts w:cstheme="minorHAnsi"/>
          <w:sz w:val="24"/>
          <w:szCs w:val="24"/>
        </w:rPr>
        <w:t xml:space="preserve"> tak u vzorku dvou lokalit vybraných ke kontrole</w:t>
      </w:r>
      <w:r w:rsidR="004F6BC6">
        <w:rPr>
          <w:rFonts w:cstheme="minorHAnsi"/>
          <w:sz w:val="24"/>
          <w:szCs w:val="24"/>
        </w:rPr>
        <w:t xml:space="preserve"> – </w:t>
      </w:r>
      <w:r w:rsidR="00BC4A51" w:rsidRPr="00AD17B8">
        <w:rPr>
          <w:rFonts w:cstheme="minorHAnsi"/>
          <w:sz w:val="24"/>
          <w:szCs w:val="24"/>
        </w:rPr>
        <w:t>laguny</w:t>
      </w:r>
      <w:r w:rsidR="004F6BC6">
        <w:rPr>
          <w:rFonts w:cstheme="minorHAnsi"/>
          <w:sz w:val="24"/>
          <w:szCs w:val="24"/>
        </w:rPr>
        <w:t xml:space="preserve"> </w:t>
      </w:r>
      <w:proofErr w:type="spellStart"/>
      <w:r w:rsidR="00BC4A51" w:rsidRPr="00AD17B8">
        <w:rPr>
          <w:rFonts w:cstheme="minorHAnsi"/>
          <w:sz w:val="24"/>
          <w:szCs w:val="24"/>
        </w:rPr>
        <w:t>Ostramo</w:t>
      </w:r>
      <w:proofErr w:type="spellEnd"/>
      <w:r w:rsidR="00BC4A51" w:rsidRPr="00AD17B8">
        <w:rPr>
          <w:rFonts w:cstheme="minorHAnsi"/>
          <w:sz w:val="24"/>
          <w:szCs w:val="24"/>
        </w:rPr>
        <w:t xml:space="preserve"> a Koksovna Jan </w:t>
      </w:r>
      <w:proofErr w:type="spellStart"/>
      <w:r w:rsidR="00BC4A51" w:rsidRPr="00AD17B8">
        <w:rPr>
          <w:rFonts w:cstheme="minorHAnsi"/>
          <w:sz w:val="24"/>
          <w:szCs w:val="24"/>
        </w:rPr>
        <w:t>Šverma</w:t>
      </w:r>
      <w:proofErr w:type="spellEnd"/>
      <w:r w:rsidRPr="00AD17B8">
        <w:rPr>
          <w:rFonts w:cstheme="minorHAnsi"/>
          <w:sz w:val="24"/>
          <w:szCs w:val="24"/>
        </w:rPr>
        <w:t>.</w:t>
      </w:r>
      <w:r w:rsidR="0087360A" w:rsidRPr="00AD17B8">
        <w:rPr>
          <w:rFonts w:cstheme="minorHAnsi"/>
          <w:sz w:val="24"/>
          <w:szCs w:val="24"/>
        </w:rPr>
        <w:t xml:space="preserve"> </w:t>
      </w:r>
      <w:r w:rsidR="00B75EDA" w:rsidRPr="00AD17B8">
        <w:rPr>
          <w:rFonts w:cstheme="minorHAnsi"/>
          <w:b/>
          <w:sz w:val="24"/>
          <w:szCs w:val="24"/>
        </w:rPr>
        <w:t>U MŽP</w:t>
      </w:r>
      <w:r w:rsidR="00B75EDA" w:rsidRPr="00AD17B8">
        <w:rPr>
          <w:rFonts w:cstheme="minorHAnsi"/>
          <w:sz w:val="24"/>
          <w:szCs w:val="24"/>
        </w:rPr>
        <w:t xml:space="preserve"> bylo kontrole podrobeno v</w:t>
      </w:r>
      <w:r w:rsidR="005D4420" w:rsidRPr="00AD17B8">
        <w:rPr>
          <w:rFonts w:cstheme="minorHAnsi"/>
          <w:sz w:val="24"/>
          <w:szCs w:val="24"/>
        </w:rPr>
        <w:t xml:space="preserve">edení evidence </w:t>
      </w:r>
      <w:r w:rsidR="004D59C8" w:rsidRPr="00AD17B8">
        <w:rPr>
          <w:rFonts w:cstheme="minorHAnsi"/>
          <w:sz w:val="24"/>
          <w:szCs w:val="24"/>
        </w:rPr>
        <w:t>SEZ</w:t>
      </w:r>
      <w:r w:rsidR="005D4420" w:rsidRPr="00AD17B8">
        <w:rPr>
          <w:rFonts w:cstheme="minorHAnsi"/>
          <w:sz w:val="24"/>
          <w:szCs w:val="24"/>
        </w:rPr>
        <w:t xml:space="preserve">, </w:t>
      </w:r>
      <w:r w:rsidR="00E40059" w:rsidRPr="00AD17B8">
        <w:rPr>
          <w:rFonts w:cstheme="minorHAnsi"/>
          <w:sz w:val="24"/>
          <w:szCs w:val="24"/>
        </w:rPr>
        <w:t xml:space="preserve">zajištění </w:t>
      </w:r>
      <w:r w:rsidR="004D59C8" w:rsidRPr="00AD17B8">
        <w:rPr>
          <w:rFonts w:cstheme="minorHAnsi"/>
          <w:sz w:val="24"/>
          <w:szCs w:val="24"/>
        </w:rPr>
        <w:t xml:space="preserve">inventarizace kontaminovaných míst, </w:t>
      </w:r>
      <w:r w:rsidR="005D4420" w:rsidRPr="00AD17B8">
        <w:rPr>
          <w:rFonts w:cstheme="minorHAnsi"/>
          <w:sz w:val="24"/>
          <w:szCs w:val="24"/>
        </w:rPr>
        <w:t>postup MŽP při stanovování priorit pro zadávání veřejných zakázek na jejich odstraňování, kontrolní činnost MŽP</w:t>
      </w:r>
      <w:r w:rsidR="00E40059" w:rsidRPr="00AD17B8">
        <w:rPr>
          <w:rFonts w:cstheme="minorHAnsi"/>
          <w:sz w:val="24"/>
          <w:szCs w:val="24"/>
        </w:rPr>
        <w:t xml:space="preserve"> u </w:t>
      </w:r>
      <w:r w:rsidR="008A4C31" w:rsidRPr="00AD17B8">
        <w:rPr>
          <w:rFonts w:cstheme="minorHAnsi"/>
          <w:sz w:val="24"/>
          <w:szCs w:val="24"/>
        </w:rPr>
        <w:t xml:space="preserve">téhož </w:t>
      </w:r>
      <w:r w:rsidR="00E40059" w:rsidRPr="00AD17B8">
        <w:rPr>
          <w:rFonts w:cstheme="minorHAnsi"/>
          <w:sz w:val="24"/>
          <w:szCs w:val="24"/>
        </w:rPr>
        <w:t>vzorku dvou lokalit SEZ.</w:t>
      </w:r>
      <w:r w:rsidR="006143DA" w:rsidRPr="00AD17B8">
        <w:rPr>
          <w:rFonts w:cstheme="minorHAnsi"/>
          <w:sz w:val="24"/>
          <w:szCs w:val="24"/>
        </w:rPr>
        <w:t xml:space="preserve"> </w:t>
      </w:r>
      <w:r w:rsidR="000B6D20" w:rsidRPr="00AD17B8">
        <w:rPr>
          <w:rFonts w:cstheme="minorHAnsi"/>
          <w:sz w:val="24"/>
          <w:szCs w:val="24"/>
        </w:rPr>
        <w:t>NKÚ v rámci kontrolní akce č. 23/01 prověřil účinnost přijatých opatření ke zjištěním z</w:t>
      </w:r>
      <w:r w:rsidR="000D2A80" w:rsidRPr="00AD17B8">
        <w:rPr>
          <w:rFonts w:cstheme="minorHAnsi"/>
          <w:sz w:val="24"/>
          <w:szCs w:val="24"/>
        </w:rPr>
        <w:t> </w:t>
      </w:r>
      <w:r w:rsidRPr="00AD17B8">
        <w:rPr>
          <w:rFonts w:cstheme="minorHAnsi"/>
          <w:b/>
          <w:sz w:val="24"/>
          <w:szCs w:val="24"/>
        </w:rPr>
        <w:t>kontrolní akc</w:t>
      </w:r>
      <w:r w:rsidR="000B6D20" w:rsidRPr="00AD17B8">
        <w:rPr>
          <w:rFonts w:cstheme="minorHAnsi"/>
          <w:b/>
          <w:sz w:val="24"/>
          <w:szCs w:val="24"/>
        </w:rPr>
        <w:t>e</w:t>
      </w:r>
      <w:r w:rsidRPr="00AD17B8">
        <w:rPr>
          <w:rFonts w:cstheme="minorHAnsi"/>
          <w:b/>
          <w:sz w:val="24"/>
          <w:szCs w:val="24"/>
        </w:rPr>
        <w:t xml:space="preserve"> č.</w:t>
      </w:r>
      <w:r w:rsidR="00044B94" w:rsidRPr="00AD17B8">
        <w:rPr>
          <w:rFonts w:cstheme="minorHAnsi"/>
          <w:b/>
          <w:sz w:val="24"/>
          <w:szCs w:val="24"/>
        </w:rPr>
        <w:t> </w:t>
      </w:r>
      <w:r w:rsidRPr="00AD17B8">
        <w:rPr>
          <w:rFonts w:cstheme="minorHAnsi"/>
          <w:b/>
          <w:sz w:val="24"/>
          <w:szCs w:val="24"/>
        </w:rPr>
        <w:t>17/04</w:t>
      </w:r>
      <w:r w:rsidRPr="00AD17B8">
        <w:rPr>
          <w:rStyle w:val="Znakapoznpodarou"/>
          <w:rFonts w:cstheme="minorHAnsi"/>
          <w:sz w:val="24"/>
          <w:szCs w:val="24"/>
        </w:rPr>
        <w:footnoteReference w:id="13"/>
      </w:r>
      <w:r w:rsidR="000B6D20" w:rsidRPr="00AD17B8">
        <w:rPr>
          <w:rFonts w:cstheme="minorHAnsi"/>
          <w:b/>
          <w:sz w:val="24"/>
          <w:szCs w:val="24"/>
        </w:rPr>
        <w:t>.</w:t>
      </w:r>
      <w:r w:rsidRPr="00AD17B8">
        <w:rPr>
          <w:rFonts w:cstheme="minorHAnsi"/>
          <w:sz w:val="24"/>
          <w:szCs w:val="24"/>
        </w:rPr>
        <w:t xml:space="preserve"> </w:t>
      </w:r>
    </w:p>
    <w:p w14:paraId="2D9AD730" w14:textId="77777777" w:rsidR="00E73630" w:rsidRPr="00AD17B8" w:rsidRDefault="00624106" w:rsidP="00BB11F8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D17B8">
        <w:rPr>
          <w:rFonts w:ascii="Calibri" w:hAnsi="Calibri" w:cs="Calibri"/>
          <w:sz w:val="24"/>
          <w:szCs w:val="24"/>
        </w:rPr>
        <w:t xml:space="preserve">Za </w:t>
      </w:r>
      <w:r w:rsidRPr="00AD17B8">
        <w:rPr>
          <w:rFonts w:ascii="Calibri" w:hAnsi="Calibri" w:cs="Calibri"/>
          <w:b/>
          <w:sz w:val="24"/>
          <w:szCs w:val="24"/>
        </w:rPr>
        <w:t>hospodárné</w:t>
      </w:r>
      <w:r w:rsidRPr="00AD17B8">
        <w:rPr>
          <w:rFonts w:ascii="Calibri" w:hAnsi="Calibri" w:cs="Calibri"/>
          <w:sz w:val="24"/>
          <w:szCs w:val="24"/>
        </w:rPr>
        <w:t xml:space="preserve"> považuje NKÚ použití peněžních prostředků zvláštních účtů privatizace k zajištění odstranění SEZ s co nejnižším vynaložením peněžních prostředků a </w:t>
      </w:r>
      <w:r w:rsidR="009269BA" w:rsidRPr="00AD17B8">
        <w:rPr>
          <w:rFonts w:ascii="Calibri" w:hAnsi="Calibri" w:cs="Calibri"/>
          <w:sz w:val="24"/>
          <w:szCs w:val="24"/>
        </w:rPr>
        <w:t>směřující k</w:t>
      </w:r>
      <w:r w:rsidR="0010262D" w:rsidRPr="00AD17B8">
        <w:rPr>
          <w:rFonts w:ascii="Calibri" w:hAnsi="Calibri" w:cs="Calibri"/>
          <w:sz w:val="24"/>
          <w:szCs w:val="24"/>
        </w:rPr>
        <w:t> </w:t>
      </w:r>
      <w:r w:rsidRPr="00AD17B8">
        <w:rPr>
          <w:rFonts w:ascii="Calibri" w:hAnsi="Calibri" w:cs="Calibri"/>
          <w:sz w:val="24"/>
          <w:szCs w:val="24"/>
        </w:rPr>
        <w:t xml:space="preserve">dosažení stanovených limitů kontaminantů. </w:t>
      </w:r>
    </w:p>
    <w:p w14:paraId="283E0DC7" w14:textId="77777777" w:rsidR="009D060A" w:rsidRPr="0025732B" w:rsidRDefault="00624106" w:rsidP="00BB11F8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126B57">
        <w:rPr>
          <w:rFonts w:ascii="Calibri" w:hAnsi="Calibri" w:cs="Calibri"/>
          <w:b/>
          <w:sz w:val="24"/>
          <w:szCs w:val="24"/>
        </w:rPr>
        <w:t>Kontrolovaným období</w:t>
      </w:r>
      <w:r w:rsidR="00D6732B" w:rsidRPr="00126B57">
        <w:rPr>
          <w:rFonts w:ascii="Calibri" w:hAnsi="Calibri" w:cs="Calibri"/>
          <w:b/>
          <w:sz w:val="24"/>
          <w:szCs w:val="24"/>
        </w:rPr>
        <w:t>m</w:t>
      </w:r>
      <w:r w:rsidRPr="00126B57">
        <w:rPr>
          <w:rFonts w:ascii="Calibri" w:hAnsi="Calibri" w:cs="Calibri"/>
          <w:sz w:val="24"/>
          <w:szCs w:val="24"/>
        </w:rPr>
        <w:t xml:space="preserve"> byly roky 2018 až 2022, v</w:t>
      </w:r>
      <w:r w:rsidR="00A50A4E" w:rsidRPr="00126B57">
        <w:rPr>
          <w:rFonts w:ascii="Calibri" w:hAnsi="Calibri" w:cs="Calibri"/>
          <w:sz w:val="24"/>
          <w:szCs w:val="24"/>
        </w:rPr>
        <w:t xml:space="preserve"> </w:t>
      </w:r>
      <w:r w:rsidRPr="00126B57">
        <w:rPr>
          <w:rFonts w:ascii="Calibri" w:hAnsi="Calibri" w:cs="Calibri"/>
          <w:sz w:val="24"/>
          <w:szCs w:val="24"/>
        </w:rPr>
        <w:t>případě věcných souvislostí i období předcházející a následující do</w:t>
      </w:r>
      <w:r w:rsidRPr="0025732B">
        <w:rPr>
          <w:rFonts w:ascii="Calibri" w:hAnsi="Calibri" w:cs="Calibri"/>
          <w:sz w:val="24"/>
          <w:szCs w:val="24"/>
        </w:rPr>
        <w:t xml:space="preserve"> doby ukončení kontroly.</w:t>
      </w:r>
    </w:p>
    <w:p w14:paraId="6FA34DC0" w14:textId="77777777" w:rsidR="00B71E93" w:rsidRPr="009D71F5" w:rsidRDefault="00624106" w:rsidP="00BB11F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8921F7">
        <w:rPr>
          <w:rFonts w:cstheme="minorHAnsi"/>
          <w:b/>
          <w:bCs/>
          <w:sz w:val="24"/>
          <w:szCs w:val="24"/>
        </w:rPr>
        <w:t>Kontrolovaný objem</w:t>
      </w:r>
      <w:r w:rsidRPr="0025732B">
        <w:rPr>
          <w:rFonts w:cstheme="minorHAnsi"/>
          <w:bCs/>
          <w:sz w:val="24"/>
          <w:szCs w:val="24"/>
        </w:rPr>
        <w:t xml:space="preserve"> </w:t>
      </w:r>
      <w:r w:rsidR="00B75EDA" w:rsidRPr="0025732B">
        <w:rPr>
          <w:rFonts w:cstheme="minorHAnsi"/>
          <w:bCs/>
          <w:sz w:val="24"/>
          <w:szCs w:val="24"/>
        </w:rPr>
        <w:t xml:space="preserve">na úrovni systému </w:t>
      </w:r>
      <w:r w:rsidRPr="0025732B">
        <w:rPr>
          <w:rFonts w:cstheme="minorHAnsi"/>
          <w:bCs/>
          <w:sz w:val="24"/>
          <w:szCs w:val="24"/>
        </w:rPr>
        <w:t xml:space="preserve">činil </w:t>
      </w:r>
      <w:r w:rsidRPr="00FC666B">
        <w:rPr>
          <w:rFonts w:cstheme="minorHAnsi"/>
          <w:bCs/>
          <w:sz w:val="24"/>
          <w:szCs w:val="24"/>
        </w:rPr>
        <w:t>4</w:t>
      </w:r>
      <w:r w:rsidR="00FC666B" w:rsidRPr="00FC666B">
        <w:rPr>
          <w:rFonts w:cstheme="minorHAnsi"/>
          <w:bCs/>
          <w:sz w:val="24"/>
          <w:szCs w:val="24"/>
        </w:rPr>
        <w:t xml:space="preserve"> 577</w:t>
      </w:r>
      <w:r w:rsidRPr="00FC666B">
        <w:rPr>
          <w:rFonts w:cstheme="minorHAnsi"/>
          <w:bCs/>
          <w:sz w:val="24"/>
          <w:szCs w:val="24"/>
        </w:rPr>
        <w:t> m</w:t>
      </w:r>
      <w:r w:rsidR="00FC666B" w:rsidRPr="00FC666B">
        <w:rPr>
          <w:rFonts w:cstheme="minorHAnsi"/>
          <w:bCs/>
          <w:sz w:val="24"/>
          <w:szCs w:val="24"/>
        </w:rPr>
        <w:t>il</w:t>
      </w:r>
      <w:r w:rsidRPr="0025732B">
        <w:rPr>
          <w:rFonts w:cstheme="minorHAnsi"/>
          <w:bCs/>
          <w:sz w:val="24"/>
          <w:szCs w:val="24"/>
        </w:rPr>
        <w:t>. Kč, přičemž byl stanoven jako úhrn výdajů vynaložených ze zvláštních účtů privatizace na odstraňování starých ekologických zátěží vzniklých před privatizací</w:t>
      </w:r>
      <w:r w:rsidRPr="005D4420">
        <w:rPr>
          <w:rFonts w:cstheme="minorHAnsi"/>
          <w:bCs/>
          <w:sz w:val="24"/>
          <w:szCs w:val="24"/>
        </w:rPr>
        <w:t xml:space="preserve"> v období od </w:t>
      </w:r>
      <w:r w:rsidRPr="00FC666B">
        <w:rPr>
          <w:rFonts w:cstheme="minorHAnsi"/>
          <w:bCs/>
          <w:sz w:val="24"/>
          <w:szCs w:val="24"/>
        </w:rPr>
        <w:t>ledna 2018 do dubna</w:t>
      </w:r>
      <w:r w:rsidRPr="00FC666B">
        <w:rPr>
          <w:rFonts w:cstheme="minorHAnsi"/>
          <w:sz w:val="24"/>
          <w:szCs w:val="24"/>
        </w:rPr>
        <w:t xml:space="preserve"> 2023.</w:t>
      </w:r>
      <w:r w:rsidR="003D335B" w:rsidRPr="00FC666B">
        <w:rPr>
          <w:rFonts w:cstheme="minorHAnsi"/>
          <w:sz w:val="24"/>
          <w:szCs w:val="24"/>
        </w:rPr>
        <w:t xml:space="preserve"> </w:t>
      </w:r>
      <w:r w:rsidRPr="005D4420">
        <w:rPr>
          <w:rFonts w:cstheme="minorHAnsi"/>
          <w:sz w:val="24"/>
          <w:szCs w:val="24"/>
        </w:rPr>
        <w:t>Kontrolovaný objem kontrolovaného vzorku</w:t>
      </w:r>
      <w:r w:rsidR="00B75EDA">
        <w:rPr>
          <w:rFonts w:cstheme="minorHAnsi"/>
          <w:sz w:val="24"/>
          <w:szCs w:val="24"/>
        </w:rPr>
        <w:t xml:space="preserve"> dvou lokalit SEZ</w:t>
      </w:r>
      <w:r w:rsidR="003D335B" w:rsidRPr="009D71F5">
        <w:rPr>
          <w:rFonts w:cstheme="minorHAnsi"/>
          <w:sz w:val="24"/>
          <w:szCs w:val="24"/>
        </w:rPr>
        <w:t xml:space="preserve"> </w:t>
      </w:r>
      <w:r w:rsidRPr="009D71F5">
        <w:rPr>
          <w:rFonts w:cstheme="minorHAnsi"/>
          <w:sz w:val="24"/>
          <w:szCs w:val="24"/>
        </w:rPr>
        <w:t xml:space="preserve">činil </w:t>
      </w:r>
      <w:r w:rsidRPr="00FC666B">
        <w:rPr>
          <w:rFonts w:cstheme="minorHAnsi"/>
          <w:sz w:val="24"/>
          <w:szCs w:val="24"/>
        </w:rPr>
        <w:t>990 m</w:t>
      </w:r>
      <w:r w:rsidR="002D439E" w:rsidRPr="00FC666B">
        <w:rPr>
          <w:rFonts w:cstheme="minorHAnsi"/>
          <w:sz w:val="24"/>
          <w:szCs w:val="24"/>
        </w:rPr>
        <w:t>il</w:t>
      </w:r>
      <w:r w:rsidRPr="00FC666B">
        <w:rPr>
          <w:rFonts w:cstheme="minorHAnsi"/>
          <w:sz w:val="24"/>
          <w:szCs w:val="24"/>
        </w:rPr>
        <w:t>. Kč</w:t>
      </w:r>
      <w:r w:rsidRPr="009D71F5">
        <w:rPr>
          <w:rFonts w:cstheme="minorHAnsi"/>
          <w:sz w:val="24"/>
          <w:szCs w:val="24"/>
        </w:rPr>
        <w:t xml:space="preserve"> a byl stanoven jako úhrn výdajů vynaložených </w:t>
      </w:r>
      <w:r w:rsidR="00E40059" w:rsidRPr="009D71F5">
        <w:rPr>
          <w:rFonts w:cstheme="minorHAnsi"/>
          <w:sz w:val="24"/>
          <w:szCs w:val="24"/>
        </w:rPr>
        <w:t xml:space="preserve">v období od ledna 2018 do dubna 2023 </w:t>
      </w:r>
      <w:r w:rsidRPr="009D71F5">
        <w:rPr>
          <w:rFonts w:cstheme="minorHAnsi"/>
          <w:sz w:val="24"/>
          <w:szCs w:val="24"/>
        </w:rPr>
        <w:t xml:space="preserve">ze zvláštních účtů privatizace na </w:t>
      </w:r>
      <w:r w:rsidR="00E40059" w:rsidRPr="009D71F5">
        <w:rPr>
          <w:rFonts w:cstheme="minorHAnsi"/>
          <w:sz w:val="24"/>
          <w:szCs w:val="24"/>
        </w:rPr>
        <w:t xml:space="preserve">realizaci nápravných opatření </w:t>
      </w:r>
      <w:r w:rsidR="009D71F5" w:rsidRPr="009D71F5">
        <w:rPr>
          <w:rFonts w:cstheme="minorHAnsi"/>
          <w:sz w:val="24"/>
          <w:szCs w:val="24"/>
        </w:rPr>
        <w:t xml:space="preserve">v obou lokalitách vč. výdajů na supervizi prováděných prací, výdajů na ochranné sanační čerpání v lokalitě Koksovna Jan </w:t>
      </w:r>
      <w:proofErr w:type="spellStart"/>
      <w:r w:rsidR="009D71F5" w:rsidRPr="009D71F5">
        <w:rPr>
          <w:rFonts w:cstheme="minorHAnsi"/>
          <w:sz w:val="24"/>
          <w:szCs w:val="24"/>
        </w:rPr>
        <w:t>Šverma</w:t>
      </w:r>
      <w:proofErr w:type="spellEnd"/>
      <w:r w:rsidR="009D71F5" w:rsidRPr="009D71F5">
        <w:rPr>
          <w:rFonts w:cstheme="minorHAnsi"/>
          <w:sz w:val="24"/>
          <w:szCs w:val="24"/>
        </w:rPr>
        <w:t xml:space="preserve"> a výdajů vynaložených na předprojektovou přípravu sanace nesaturované zóny v</w:t>
      </w:r>
      <w:r w:rsidR="00A50A4E">
        <w:rPr>
          <w:rFonts w:cstheme="minorHAnsi"/>
          <w:sz w:val="24"/>
          <w:szCs w:val="24"/>
        </w:rPr>
        <w:t xml:space="preserve"> </w:t>
      </w:r>
      <w:r w:rsidR="009D71F5" w:rsidRPr="009D71F5">
        <w:rPr>
          <w:rFonts w:cstheme="minorHAnsi"/>
          <w:sz w:val="24"/>
          <w:szCs w:val="24"/>
        </w:rPr>
        <w:t xml:space="preserve">lokalitě laguny </w:t>
      </w:r>
      <w:proofErr w:type="spellStart"/>
      <w:r w:rsidR="009D71F5" w:rsidRPr="009D71F5">
        <w:rPr>
          <w:rFonts w:cstheme="minorHAnsi"/>
          <w:sz w:val="24"/>
          <w:szCs w:val="24"/>
        </w:rPr>
        <w:t>Ostramo</w:t>
      </w:r>
      <w:proofErr w:type="spellEnd"/>
      <w:r w:rsidR="009D71F5" w:rsidRPr="009D71F5">
        <w:rPr>
          <w:rFonts w:cstheme="minorHAnsi"/>
          <w:sz w:val="24"/>
          <w:szCs w:val="24"/>
        </w:rPr>
        <w:t>.</w:t>
      </w:r>
    </w:p>
    <w:p w14:paraId="66EAC35F" w14:textId="77777777" w:rsidR="00BB0A26" w:rsidRDefault="00624106" w:rsidP="00BB11F8">
      <w:pPr>
        <w:spacing w:before="480" w:after="72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891AA7">
        <w:rPr>
          <w:rFonts w:cstheme="minorHAnsi"/>
          <w:b/>
          <w:sz w:val="20"/>
          <w:szCs w:val="20"/>
        </w:rPr>
        <w:t>Pozn.:</w:t>
      </w:r>
      <w:r w:rsidRPr="00891AA7">
        <w:rPr>
          <w:rFonts w:cstheme="minorHAnsi"/>
          <w:sz w:val="20"/>
          <w:szCs w:val="20"/>
        </w:rPr>
        <w:tab/>
        <w:t>Právní předpisy uvedené v tomto kontrolním závěru jsou aplikovány ve znění účinném pro kontrolované období</w:t>
      </w:r>
      <w:r w:rsidR="00F04317">
        <w:rPr>
          <w:rFonts w:cstheme="minorHAnsi"/>
          <w:sz w:val="20"/>
          <w:szCs w:val="20"/>
        </w:rPr>
        <w:t>.</w:t>
      </w:r>
    </w:p>
    <w:p w14:paraId="575600D5" w14:textId="77777777" w:rsidR="00D65D7D" w:rsidRDefault="00624106" w:rsidP="00BB11F8">
      <w:pPr>
        <w:pStyle w:val="Nadpis1"/>
        <w:numPr>
          <w:ilvl w:val="0"/>
          <w:numId w:val="0"/>
        </w:numPr>
        <w:spacing w:before="240" w:after="240"/>
        <w:rPr>
          <w:sz w:val="28"/>
          <w:szCs w:val="28"/>
        </w:rPr>
      </w:pPr>
      <w:r w:rsidRPr="00D64F39">
        <w:rPr>
          <w:sz w:val="28"/>
          <w:szCs w:val="28"/>
        </w:rPr>
        <w:t>IV. Podrobné skutečnosti zjištěné kontrolou</w:t>
      </w:r>
    </w:p>
    <w:p w14:paraId="196AC5BF" w14:textId="2C2B1C2C" w:rsidR="002E0A50" w:rsidRPr="00E605DC" w:rsidRDefault="00E605DC" w:rsidP="00E605DC">
      <w:pPr>
        <w:keepNext/>
        <w:spacing w:before="240" w:after="120" w:line="240" w:lineRule="auto"/>
        <w:jc w:val="both"/>
        <w:rPr>
          <w:b/>
          <w:sz w:val="24"/>
          <w:szCs w:val="23"/>
        </w:rPr>
      </w:pPr>
      <w:r>
        <w:rPr>
          <w:b/>
          <w:sz w:val="24"/>
          <w:szCs w:val="23"/>
        </w:rPr>
        <w:t xml:space="preserve">1. </w:t>
      </w:r>
      <w:r w:rsidR="00624106" w:rsidRPr="00E605DC">
        <w:rPr>
          <w:b/>
          <w:sz w:val="24"/>
          <w:szCs w:val="23"/>
        </w:rPr>
        <w:t>O</w:t>
      </w:r>
      <w:r w:rsidR="00624106" w:rsidRPr="00E605DC">
        <w:rPr>
          <w:rFonts w:cstheme="minorHAnsi"/>
          <w:b/>
          <w:sz w:val="24"/>
          <w:szCs w:val="24"/>
          <w:lang w:eastAsia="cs-CZ"/>
        </w:rPr>
        <w:t>dstraňování starých ekologických zátěží MF neurychlilo</w:t>
      </w:r>
    </w:p>
    <w:p w14:paraId="3030E61D" w14:textId="3EFA7B44" w:rsidR="00AB2F53" w:rsidRPr="00F43B05" w:rsidRDefault="00624106" w:rsidP="00435FA0">
      <w:pPr>
        <w:pStyle w:val="Styl1-kapitola"/>
        <w:numPr>
          <w:ilvl w:val="0"/>
          <w:numId w:val="0"/>
        </w:numPr>
        <w:spacing w:before="120" w:after="120"/>
        <w:contextualSpacing w:val="0"/>
        <w:rPr>
          <w:rFonts w:asciiTheme="minorHAnsi" w:hAnsiTheme="minorHAnsi" w:cstheme="minorHAnsi"/>
          <w:b w:val="0"/>
          <w:u w:val="none"/>
          <w:lang w:eastAsia="cs-CZ"/>
        </w:rPr>
      </w:pPr>
      <w:r w:rsidRPr="00CB68DA">
        <w:rPr>
          <w:rFonts w:asciiTheme="minorHAnsi" w:hAnsiTheme="minorHAnsi" w:cstheme="minorHAnsi"/>
          <w:b w:val="0"/>
          <w:u w:val="none"/>
          <w:lang w:eastAsia="cs-CZ"/>
        </w:rPr>
        <w:t xml:space="preserve">Proces </w:t>
      </w:r>
      <w:r w:rsidRPr="007977ED">
        <w:rPr>
          <w:rFonts w:asciiTheme="minorHAnsi" w:hAnsiTheme="minorHAnsi" w:cstheme="minorHAnsi"/>
          <w:b w:val="0"/>
          <w:u w:val="none"/>
          <w:lang w:eastAsia="cs-CZ"/>
        </w:rPr>
        <w:t xml:space="preserve">odstraňování starých ekologických zátěží vzniklých před privatizací probíhá </w:t>
      </w:r>
      <w:r w:rsidR="00B74403" w:rsidRPr="007977ED">
        <w:rPr>
          <w:rFonts w:asciiTheme="minorHAnsi" w:hAnsiTheme="minorHAnsi" w:cstheme="minorHAnsi"/>
          <w:b w:val="0"/>
          <w:u w:val="none"/>
          <w:lang w:eastAsia="cs-CZ"/>
        </w:rPr>
        <w:t>od roku 1991</w:t>
      </w:r>
      <w:r w:rsidR="00F04317">
        <w:rPr>
          <w:rFonts w:asciiTheme="minorHAnsi" w:hAnsiTheme="minorHAnsi" w:cstheme="minorHAnsi"/>
          <w:b w:val="0"/>
          <w:u w:val="none"/>
          <w:lang w:eastAsia="cs-CZ"/>
        </w:rPr>
        <w:t xml:space="preserve">, </w:t>
      </w:r>
      <w:r w:rsidR="00B74403" w:rsidRPr="007977ED">
        <w:rPr>
          <w:rFonts w:asciiTheme="minorHAnsi" w:hAnsiTheme="minorHAnsi" w:cstheme="minorHAnsi"/>
          <w:b w:val="0"/>
          <w:u w:val="none"/>
          <w:lang w:eastAsia="cs-CZ"/>
        </w:rPr>
        <w:t xml:space="preserve">tj. </w:t>
      </w:r>
      <w:r w:rsidRPr="007977ED">
        <w:rPr>
          <w:rFonts w:asciiTheme="minorHAnsi" w:hAnsiTheme="minorHAnsi" w:cstheme="minorHAnsi"/>
          <w:b w:val="0"/>
          <w:u w:val="none"/>
          <w:lang w:eastAsia="cs-CZ"/>
        </w:rPr>
        <w:t>32 let</w:t>
      </w:r>
      <w:r w:rsidR="00262582" w:rsidRPr="007977ED">
        <w:rPr>
          <w:rFonts w:asciiTheme="minorHAnsi" w:hAnsiTheme="minorHAnsi" w:cstheme="minorHAnsi"/>
          <w:b w:val="0"/>
          <w:u w:val="none"/>
          <w:lang w:eastAsia="cs-CZ"/>
        </w:rPr>
        <w:t xml:space="preserve">. </w:t>
      </w:r>
      <w:r w:rsidR="006B4790" w:rsidRPr="007977ED">
        <w:rPr>
          <w:rFonts w:asciiTheme="minorHAnsi" w:hAnsiTheme="minorHAnsi" w:cstheme="minorHAnsi"/>
          <w:b w:val="0"/>
          <w:u w:val="none"/>
          <w:lang w:eastAsia="cs-CZ"/>
        </w:rPr>
        <w:t xml:space="preserve">Na jejich odstranění stát ke dni 30. dubna 2023 </w:t>
      </w:r>
      <w:r w:rsidR="0074689D" w:rsidRPr="007977ED">
        <w:rPr>
          <w:rFonts w:asciiTheme="minorHAnsi" w:hAnsiTheme="minorHAnsi" w:cstheme="minorHAnsi"/>
          <w:b w:val="0"/>
          <w:u w:val="none"/>
          <w:lang w:eastAsia="cs-CZ"/>
        </w:rPr>
        <w:t xml:space="preserve">již </w:t>
      </w:r>
      <w:r w:rsidR="006B4790" w:rsidRPr="007977ED">
        <w:rPr>
          <w:rFonts w:asciiTheme="minorHAnsi" w:hAnsiTheme="minorHAnsi" w:cstheme="minorHAnsi"/>
          <w:b w:val="0"/>
          <w:u w:val="none"/>
          <w:lang w:eastAsia="cs-CZ"/>
        </w:rPr>
        <w:t xml:space="preserve">vynaložil 66,2 mld. Kč. </w:t>
      </w:r>
      <w:r w:rsidRPr="007977ED">
        <w:rPr>
          <w:rFonts w:asciiTheme="minorHAnsi" w:hAnsiTheme="minorHAnsi" w:cstheme="minorHAnsi"/>
          <w:b w:val="0"/>
          <w:u w:val="none"/>
          <w:lang w:eastAsia="cs-CZ"/>
        </w:rPr>
        <w:t>V</w:t>
      </w:r>
      <w:r w:rsidR="0010262D">
        <w:rPr>
          <w:rFonts w:asciiTheme="minorHAnsi" w:hAnsiTheme="minorHAnsi" w:cstheme="minorHAnsi"/>
          <w:b w:val="0"/>
          <w:u w:val="none"/>
          <w:lang w:eastAsia="cs-CZ"/>
        </w:rPr>
        <w:t> </w:t>
      </w:r>
      <w:r w:rsidRPr="007977ED">
        <w:rPr>
          <w:rFonts w:asciiTheme="minorHAnsi" w:hAnsiTheme="minorHAnsi" w:cstheme="minorHAnsi"/>
          <w:b w:val="0"/>
          <w:u w:val="none"/>
          <w:lang w:eastAsia="cs-CZ"/>
        </w:rPr>
        <w:t>roce 2006 předpokládalo MF odstranění veškerých SEZ do roku 2015</w:t>
      </w:r>
      <w:r>
        <w:rPr>
          <w:rStyle w:val="Znakapoznpodarou"/>
          <w:rFonts w:asciiTheme="minorHAnsi" w:eastAsiaTheme="majorEastAsia" w:hAnsiTheme="minorHAnsi" w:cstheme="minorHAnsi"/>
          <w:b w:val="0"/>
          <w:u w:val="none"/>
          <w:lang w:eastAsia="cs-CZ"/>
        </w:rPr>
        <w:footnoteReference w:id="14"/>
      </w:r>
      <w:r w:rsidRPr="007977ED">
        <w:rPr>
          <w:rFonts w:asciiTheme="minorHAnsi" w:hAnsiTheme="minorHAnsi" w:cstheme="minorHAnsi"/>
          <w:b w:val="0"/>
          <w:u w:val="none"/>
          <w:lang w:eastAsia="cs-CZ"/>
        </w:rPr>
        <w:t>. Následně v roce 2017 MF v</w:t>
      </w:r>
      <w:r w:rsidR="00923450" w:rsidRPr="007977ED">
        <w:rPr>
          <w:rFonts w:asciiTheme="minorHAnsi" w:hAnsiTheme="minorHAnsi" w:cstheme="minorHAnsi"/>
          <w:b w:val="0"/>
          <w:u w:val="none"/>
          <w:lang w:eastAsia="cs-CZ"/>
        </w:rPr>
        <w:t>e strategickém dokumentu</w:t>
      </w:r>
      <w:r w:rsidR="007C7476"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  <w:r w:rsidRPr="00052C41">
        <w:rPr>
          <w:rFonts w:asciiTheme="minorHAnsi" w:hAnsiTheme="minorHAnsi" w:cstheme="minorHAnsi"/>
          <w:b w:val="0"/>
          <w:i/>
          <w:u w:val="none"/>
          <w:lang w:eastAsia="cs-CZ"/>
        </w:rPr>
        <w:t>Koncepc</w:t>
      </w:r>
      <w:r w:rsidR="00923450" w:rsidRPr="00052C41">
        <w:rPr>
          <w:rFonts w:asciiTheme="minorHAnsi" w:hAnsiTheme="minorHAnsi" w:cstheme="minorHAnsi"/>
          <w:b w:val="0"/>
          <w:i/>
          <w:u w:val="none"/>
          <w:lang w:eastAsia="cs-CZ"/>
        </w:rPr>
        <w:t>e</w:t>
      </w:r>
      <w:r w:rsidRPr="00052C41">
        <w:rPr>
          <w:rFonts w:asciiTheme="minorHAnsi" w:hAnsiTheme="minorHAnsi" w:cstheme="minorHAnsi"/>
          <w:b w:val="0"/>
          <w:i/>
          <w:u w:val="none"/>
          <w:lang w:eastAsia="cs-CZ"/>
        </w:rPr>
        <w:t xml:space="preserve"> stabilizace</w:t>
      </w:r>
      <w:r w:rsidR="003F5677" w:rsidRPr="00052C41">
        <w:rPr>
          <w:rFonts w:asciiTheme="minorHAnsi" w:hAnsiTheme="minorHAnsi" w:cstheme="minorHAnsi"/>
          <w:b w:val="0"/>
          <w:i/>
          <w:u w:val="none"/>
          <w:lang w:eastAsia="cs-CZ"/>
        </w:rPr>
        <w:t xml:space="preserve"> </w:t>
      </w:r>
      <w:r w:rsidR="003F5677" w:rsidRPr="00052C41">
        <w:rPr>
          <w:rFonts w:cstheme="minorHAnsi"/>
          <w:b w:val="0"/>
          <w:i/>
          <w:u w:val="none"/>
        </w:rPr>
        <w:t>finančního stavu zvláštních účtů privatizace</w:t>
      </w:r>
      <w:r>
        <w:rPr>
          <w:rStyle w:val="Znakapoznpodarou"/>
          <w:rFonts w:asciiTheme="minorHAnsi" w:eastAsiaTheme="majorEastAsia" w:hAnsiTheme="minorHAnsi" w:cstheme="minorHAnsi"/>
          <w:b w:val="0"/>
          <w:u w:val="none"/>
          <w:lang w:eastAsia="cs-CZ"/>
        </w:rPr>
        <w:footnoteReference w:id="15"/>
      </w:r>
      <w:r w:rsidRPr="007977ED"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  <w:r w:rsidRPr="00F43B05">
        <w:rPr>
          <w:rFonts w:asciiTheme="minorHAnsi" w:hAnsiTheme="minorHAnsi" w:cstheme="minorHAnsi"/>
          <w:b w:val="0"/>
          <w:u w:val="none"/>
          <w:lang w:eastAsia="cs-CZ"/>
        </w:rPr>
        <w:t>svůj odhad revidovalo a dobu potřebnou k dokončení odstranění SEZ odhadlo na 10 let</w:t>
      </w:r>
      <w:r w:rsidR="00C53037"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 od roku 2018</w:t>
      </w:r>
      <w:r w:rsidR="000A21BB"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, a to </w:t>
      </w:r>
      <w:r w:rsidR="00C8642E" w:rsidRPr="00F43B05">
        <w:rPr>
          <w:rFonts w:asciiTheme="minorHAnsi" w:hAnsiTheme="minorHAnsi" w:cstheme="minorHAnsi"/>
          <w:b w:val="0"/>
          <w:u w:val="none"/>
          <w:lang w:eastAsia="cs-CZ"/>
        </w:rPr>
        <w:t>za předpokladu</w:t>
      </w:r>
      <w:r w:rsidR="000A21BB"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  <w:r w:rsidR="00C8642E"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urychlení procesu v závislosti na </w:t>
      </w:r>
      <w:r w:rsidR="000A21BB" w:rsidRPr="00F43B05">
        <w:rPr>
          <w:rFonts w:asciiTheme="minorHAnsi" w:hAnsiTheme="minorHAnsi" w:cstheme="minorHAnsi"/>
          <w:b w:val="0"/>
          <w:u w:val="none"/>
          <w:lang w:eastAsia="cs-CZ"/>
        </w:rPr>
        <w:t>předpokládané výši proinvestovaných peněžních prostřed</w:t>
      </w:r>
      <w:r w:rsidR="00D6732B" w:rsidRPr="00F43B05">
        <w:rPr>
          <w:rFonts w:asciiTheme="minorHAnsi" w:hAnsiTheme="minorHAnsi" w:cstheme="minorHAnsi"/>
          <w:b w:val="0"/>
          <w:u w:val="none"/>
          <w:lang w:eastAsia="cs-CZ"/>
        </w:rPr>
        <w:t>ků</w:t>
      </w:r>
      <w:r w:rsidR="000A21BB"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 v následujících letech</w:t>
      </w:r>
      <w:r w:rsidR="00B678D4"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. K naplnění záměru urychlení procesu a odstranění SEZ do roku 2028 MF navrhlo od roku 2018 navýšit výdaje na jejich odstraňování na 2,5 mld. Kč ročně, po ukončení programu </w:t>
      </w:r>
      <w:r w:rsidR="00B678D4" w:rsidRPr="00052C41">
        <w:rPr>
          <w:rFonts w:asciiTheme="minorHAnsi" w:hAnsiTheme="minorHAnsi" w:cstheme="minorHAnsi"/>
          <w:b w:val="0"/>
          <w:i/>
          <w:u w:val="none"/>
          <w:lang w:eastAsia="cs-CZ"/>
        </w:rPr>
        <w:t>Revitalizace</w:t>
      </w:r>
      <w:r>
        <w:rPr>
          <w:rStyle w:val="Znakapoznpodarou"/>
          <w:rFonts w:asciiTheme="minorHAnsi" w:eastAsiaTheme="majorEastAsia" w:hAnsiTheme="minorHAnsi" w:cstheme="minorHAnsi"/>
          <w:b w:val="0"/>
          <w:u w:val="none"/>
          <w:lang w:eastAsia="cs-CZ"/>
        </w:rPr>
        <w:footnoteReference w:id="16"/>
      </w:r>
      <w:r w:rsidR="00B678D4"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 pak navýšit výdaje na 4,5 mld. Kč ročně. </w:t>
      </w:r>
      <w:r w:rsidR="0074689D"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Počátkem května 2023 </w:t>
      </w:r>
      <w:r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MF odhadovalo, že k dokončení odstraňování SEZ bude potřeba zadat dalších 176 veřejných zakázek v otevřeném řízení a 733 veřejných zakázek malého rozsahu. Dobu </w:t>
      </w:r>
      <w:r w:rsidRPr="00F43B05">
        <w:rPr>
          <w:b w:val="0"/>
          <w:u w:val="none"/>
        </w:rPr>
        <w:t>potřebnou k dokončení procesu</w:t>
      </w:r>
      <w:r w:rsidR="00535111">
        <w:rPr>
          <w:b w:val="0"/>
          <w:u w:val="none"/>
        </w:rPr>
        <w:t xml:space="preserve"> </w:t>
      </w:r>
      <w:r w:rsidRPr="00F43B05">
        <w:rPr>
          <w:b w:val="0"/>
          <w:u w:val="none"/>
        </w:rPr>
        <w:t>zadávání veřejných zakázek</w:t>
      </w:r>
      <w:r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  <w:r w:rsidRPr="00F43B05">
        <w:rPr>
          <w:b w:val="0"/>
          <w:u w:val="none"/>
        </w:rPr>
        <w:t>odhadlo</w:t>
      </w:r>
      <w:r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 MF na 14 až 18 let. </w:t>
      </w:r>
      <w:r w:rsidR="0074689D" w:rsidRPr="00F43B05">
        <w:rPr>
          <w:rFonts w:asciiTheme="minorHAnsi" w:hAnsiTheme="minorHAnsi" w:cstheme="minorHAnsi"/>
          <w:b w:val="0"/>
          <w:u w:val="none"/>
          <w:lang w:eastAsia="cs-CZ"/>
        </w:rPr>
        <w:t>Rovněž s</w:t>
      </w:r>
      <w:r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amotná realizace sanačních prací je časově náročná a pohybuje se v řádu několika let. </w:t>
      </w:r>
      <w:r w:rsidR="005C52B0"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Záměr urychlit odstraňování SEZ se MF v letech 2018 až 2022 nepodařilo naplnit a k odstranění zbývajících SEZ do roku 2028 nedojde. </w:t>
      </w:r>
      <w:r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V případě, že MF nepřijme účinná opatření k urychlení procesu odstraňování SEZ, potrvá odstraňování nejméně dalších 20 let, tj. nejméně do roku 2042. </w:t>
      </w:r>
    </w:p>
    <w:p w14:paraId="5EF8A313" w14:textId="24134C9D" w:rsidR="007977ED" w:rsidRDefault="00624106" w:rsidP="00435FA0">
      <w:pPr>
        <w:pStyle w:val="Styl1-kapitola"/>
        <w:numPr>
          <w:ilvl w:val="0"/>
          <w:numId w:val="0"/>
        </w:numPr>
        <w:spacing w:before="120" w:after="120"/>
        <w:contextualSpacing w:val="0"/>
        <w:rPr>
          <w:b w:val="0"/>
          <w:u w:val="none"/>
        </w:rPr>
      </w:pPr>
      <w:r w:rsidRPr="00F43B05">
        <w:rPr>
          <w:rFonts w:asciiTheme="minorHAnsi" w:hAnsiTheme="minorHAnsi" w:cstheme="minorHAnsi"/>
          <w:b w:val="0"/>
          <w:u w:val="none"/>
          <w:lang w:eastAsia="cs-CZ"/>
        </w:rPr>
        <w:t>Na pomalé tempo odstraňování SEZ v</w:t>
      </w:r>
      <w:r w:rsidR="00A50A4E"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  <w:r w:rsidRPr="00F43B05">
        <w:rPr>
          <w:rFonts w:asciiTheme="minorHAnsi" w:hAnsiTheme="minorHAnsi" w:cstheme="minorHAnsi"/>
          <w:b w:val="0"/>
          <w:u w:val="none"/>
          <w:lang w:eastAsia="cs-CZ"/>
        </w:rPr>
        <w:t>důsledku d</w:t>
      </w:r>
      <w:r w:rsidRPr="00F43B05">
        <w:rPr>
          <w:b w:val="0"/>
          <w:u w:val="none"/>
        </w:rPr>
        <w:t xml:space="preserve">očasného pozastavení či omezení zadávání veřejných zakázek </w:t>
      </w:r>
      <w:r w:rsidRPr="00F43B05">
        <w:rPr>
          <w:rFonts w:asciiTheme="minorHAnsi" w:hAnsiTheme="minorHAnsi" w:cstheme="minorHAnsi"/>
          <w:b w:val="0"/>
          <w:u w:val="none"/>
          <w:lang w:eastAsia="cs-CZ"/>
        </w:rPr>
        <w:t>upozorňoval NKÚ v</w:t>
      </w:r>
      <w:r w:rsidR="00A50A4E" w:rsidRPr="00F43B05"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  <w:r w:rsidRPr="00F43B05">
        <w:rPr>
          <w:rFonts w:asciiTheme="minorHAnsi" w:hAnsiTheme="minorHAnsi" w:cstheme="minorHAnsi"/>
          <w:b w:val="0"/>
          <w:u w:val="none"/>
          <w:lang w:eastAsia="cs-CZ"/>
        </w:rPr>
        <w:t>minulosti opakovaně</w:t>
      </w:r>
      <w:r>
        <w:rPr>
          <w:rStyle w:val="Znakapoznpodarou"/>
          <w:rFonts w:asciiTheme="minorHAnsi" w:eastAsiaTheme="majorEastAsia" w:hAnsiTheme="minorHAnsi" w:cstheme="minorHAnsi"/>
          <w:b w:val="0"/>
          <w:u w:val="none"/>
          <w:lang w:eastAsia="cs-CZ"/>
        </w:rPr>
        <w:footnoteReference w:id="17"/>
      </w:r>
      <w:r w:rsidRPr="00F43B05">
        <w:rPr>
          <w:rFonts w:asciiTheme="minorHAnsi" w:hAnsiTheme="minorHAnsi" w:cstheme="minorHAnsi"/>
          <w:b w:val="0"/>
          <w:u w:val="none"/>
          <w:lang w:eastAsia="cs-CZ"/>
        </w:rPr>
        <w:t>, naposledy v</w:t>
      </w:r>
      <w:r w:rsidRPr="00F43B05">
        <w:rPr>
          <w:b w:val="0"/>
          <w:u w:val="none"/>
        </w:rPr>
        <w:t xml:space="preserve"> roce 2017, kdy NKÚ konstatoval, že proces </w:t>
      </w:r>
      <w:r w:rsidRPr="0009489C">
        <w:rPr>
          <w:b w:val="0"/>
          <w:u w:val="none"/>
        </w:rPr>
        <w:t xml:space="preserve">likvidace SEZ </w:t>
      </w:r>
      <w:r w:rsidR="0024241A" w:rsidRPr="0009489C">
        <w:rPr>
          <w:b w:val="0"/>
          <w:u w:val="none"/>
        </w:rPr>
        <w:t>byl</w:t>
      </w:r>
      <w:r w:rsidRPr="0009489C">
        <w:rPr>
          <w:b w:val="0"/>
          <w:u w:val="none"/>
        </w:rPr>
        <w:t xml:space="preserve"> pomalý a neúčinný.</w:t>
      </w:r>
      <w:r w:rsidR="00B1455B" w:rsidRPr="0009489C">
        <w:rPr>
          <w:b w:val="0"/>
          <w:u w:val="none"/>
        </w:rPr>
        <w:t xml:space="preserve"> </w:t>
      </w:r>
      <w:r w:rsidR="009921A5" w:rsidRPr="0009489C">
        <w:rPr>
          <w:b w:val="0"/>
          <w:u w:val="none"/>
        </w:rPr>
        <w:t>K</w:t>
      </w:r>
      <w:r w:rsidR="00A50A4E" w:rsidRPr="0009489C">
        <w:rPr>
          <w:b w:val="0"/>
          <w:u w:val="none"/>
        </w:rPr>
        <w:t xml:space="preserve"> </w:t>
      </w:r>
      <w:r w:rsidR="009921A5" w:rsidRPr="0009489C">
        <w:rPr>
          <w:b w:val="0"/>
          <w:u w:val="none"/>
        </w:rPr>
        <w:t xml:space="preserve">tomuto zjištění </w:t>
      </w:r>
      <w:r w:rsidR="00B1455B" w:rsidRPr="0009489C">
        <w:rPr>
          <w:b w:val="0"/>
          <w:u w:val="none"/>
        </w:rPr>
        <w:t xml:space="preserve">uložila </w:t>
      </w:r>
      <w:r w:rsidR="009921A5" w:rsidRPr="0009489C">
        <w:rPr>
          <w:b w:val="0"/>
          <w:u w:val="none"/>
        </w:rPr>
        <w:t xml:space="preserve">vláda </w:t>
      </w:r>
      <w:r w:rsidR="00B1455B" w:rsidRPr="0009489C">
        <w:rPr>
          <w:b w:val="0"/>
          <w:u w:val="none"/>
        </w:rPr>
        <w:t xml:space="preserve">realizovat opatření </w:t>
      </w:r>
      <w:r w:rsidR="0009489C" w:rsidRPr="0009489C">
        <w:rPr>
          <w:b w:val="0"/>
          <w:u w:val="none"/>
        </w:rPr>
        <w:t>k odstranění nedostatků</w:t>
      </w:r>
      <w:r w:rsidR="0009489C">
        <w:rPr>
          <w:b w:val="0"/>
          <w:u w:val="none"/>
        </w:rPr>
        <w:t xml:space="preserve"> uvedených v </w:t>
      </w:r>
      <w:r w:rsidR="009921A5" w:rsidRPr="00F43B05">
        <w:rPr>
          <w:b w:val="0"/>
          <w:u w:val="none"/>
        </w:rPr>
        <w:t>kontrolnímu závěru</w:t>
      </w:r>
      <w:r w:rsidR="00C30506" w:rsidRPr="00F43B05">
        <w:rPr>
          <w:b w:val="0"/>
          <w:u w:val="none"/>
        </w:rPr>
        <w:t xml:space="preserve"> </w:t>
      </w:r>
      <w:r w:rsidR="00D6732B" w:rsidRPr="00F43B05">
        <w:rPr>
          <w:b w:val="0"/>
          <w:u w:val="none"/>
        </w:rPr>
        <w:t xml:space="preserve">z kontrolní akce </w:t>
      </w:r>
      <w:r w:rsidR="00C30506" w:rsidRPr="00F43B05">
        <w:rPr>
          <w:b w:val="0"/>
          <w:u w:val="none"/>
        </w:rPr>
        <w:t>č. 17/04</w:t>
      </w:r>
      <w:r>
        <w:rPr>
          <w:rStyle w:val="Znakapoznpodarou"/>
          <w:b w:val="0"/>
          <w:u w:val="none"/>
        </w:rPr>
        <w:footnoteReference w:id="18"/>
      </w:r>
      <w:r w:rsidR="00B1455B" w:rsidRPr="00F43B05">
        <w:rPr>
          <w:b w:val="0"/>
          <w:u w:val="none"/>
        </w:rPr>
        <w:t xml:space="preserve">, a to </w:t>
      </w:r>
      <w:r w:rsidRPr="00F43B05">
        <w:rPr>
          <w:b w:val="0"/>
          <w:u w:val="none"/>
        </w:rPr>
        <w:t xml:space="preserve">zajistit plynulé zadávání veřejných zakázek. MF </w:t>
      </w:r>
      <w:r w:rsidR="009921A5" w:rsidRPr="00F43B05">
        <w:rPr>
          <w:b w:val="0"/>
          <w:u w:val="none"/>
        </w:rPr>
        <w:t>v</w:t>
      </w:r>
      <w:r w:rsidR="00A50A4E" w:rsidRPr="00F43B05">
        <w:rPr>
          <w:b w:val="0"/>
          <w:u w:val="none"/>
        </w:rPr>
        <w:t xml:space="preserve"> </w:t>
      </w:r>
      <w:r w:rsidR="009921A5" w:rsidRPr="00F43B05">
        <w:rPr>
          <w:b w:val="0"/>
          <w:u w:val="none"/>
        </w:rPr>
        <w:t xml:space="preserve">kontrolovaném období plynulost tohoto procesu </w:t>
      </w:r>
      <w:r w:rsidRPr="00F43B05">
        <w:rPr>
          <w:b w:val="0"/>
          <w:u w:val="none"/>
        </w:rPr>
        <w:t>zajistilo</w:t>
      </w:r>
      <w:r w:rsidR="007C34D4" w:rsidRPr="00F43B05">
        <w:rPr>
          <w:b w:val="0"/>
          <w:u w:val="none"/>
        </w:rPr>
        <w:t>. Z</w:t>
      </w:r>
      <w:r w:rsidRPr="00F43B05">
        <w:rPr>
          <w:b w:val="0"/>
          <w:u w:val="none"/>
        </w:rPr>
        <w:t>ahajovalo každoročně v</w:t>
      </w:r>
      <w:r w:rsidR="00A50A4E" w:rsidRPr="00F43B05">
        <w:rPr>
          <w:b w:val="0"/>
          <w:u w:val="none"/>
        </w:rPr>
        <w:t xml:space="preserve"> </w:t>
      </w:r>
      <w:r w:rsidRPr="00F43B05">
        <w:rPr>
          <w:b w:val="0"/>
          <w:u w:val="none"/>
        </w:rPr>
        <w:t>průměru 16 zadávacích řízení, což představ</w:t>
      </w:r>
      <w:r w:rsidR="00C30506" w:rsidRPr="00F43B05">
        <w:rPr>
          <w:b w:val="0"/>
          <w:u w:val="none"/>
        </w:rPr>
        <w:t>ovalo</w:t>
      </w:r>
      <w:r w:rsidRPr="00F43B05">
        <w:rPr>
          <w:b w:val="0"/>
          <w:u w:val="none"/>
        </w:rPr>
        <w:t xml:space="preserve"> </w:t>
      </w:r>
      <w:r w:rsidR="009921A5" w:rsidRPr="00F43B05">
        <w:rPr>
          <w:b w:val="0"/>
          <w:u w:val="none"/>
        </w:rPr>
        <w:t xml:space="preserve">oproti období </w:t>
      </w:r>
      <w:r w:rsidR="009921A5" w:rsidRPr="00AD17B8">
        <w:rPr>
          <w:b w:val="0"/>
          <w:u w:val="none"/>
        </w:rPr>
        <w:t xml:space="preserve">2011 až 2016 </w:t>
      </w:r>
      <w:r w:rsidRPr="00AD17B8">
        <w:rPr>
          <w:b w:val="0"/>
          <w:u w:val="none"/>
        </w:rPr>
        <w:t>nárůst</w:t>
      </w:r>
      <w:r w:rsidR="007C7631" w:rsidRPr="00AD17B8">
        <w:rPr>
          <w:b w:val="0"/>
          <w:u w:val="none"/>
        </w:rPr>
        <w:t xml:space="preserve"> </w:t>
      </w:r>
      <w:r w:rsidR="00405EE4" w:rsidRPr="00AD17B8">
        <w:rPr>
          <w:b w:val="0"/>
          <w:u w:val="none"/>
        </w:rPr>
        <w:t xml:space="preserve">počtu zadávacích řízení </w:t>
      </w:r>
      <w:r w:rsidR="007C7631" w:rsidRPr="00AD17B8">
        <w:rPr>
          <w:b w:val="0"/>
          <w:u w:val="none"/>
        </w:rPr>
        <w:t>o 60 </w:t>
      </w:r>
      <w:r w:rsidR="007C7631" w:rsidRPr="00F43B05">
        <w:rPr>
          <w:b w:val="0"/>
          <w:u w:val="none"/>
        </w:rPr>
        <w:t>%</w:t>
      </w:r>
      <w:r w:rsidRPr="00F43B05">
        <w:rPr>
          <w:b w:val="0"/>
          <w:u w:val="none"/>
        </w:rPr>
        <w:t>. V letech 2018 až 2022 MF zadávalo veřejné zakázky v hodnotě 0,</w:t>
      </w:r>
      <w:r w:rsidR="004C5CAF">
        <w:rPr>
          <w:b w:val="0"/>
          <w:u w:val="none"/>
        </w:rPr>
        <w:t>4</w:t>
      </w:r>
      <w:r w:rsidRPr="00F43B05">
        <w:rPr>
          <w:b w:val="0"/>
          <w:u w:val="none"/>
        </w:rPr>
        <w:t xml:space="preserve"> až 1,3 mld. Kč bez DPH</w:t>
      </w:r>
      <w:r w:rsidRPr="00CB68DA">
        <w:rPr>
          <w:b w:val="0"/>
          <w:u w:val="none"/>
        </w:rPr>
        <w:t xml:space="preserve"> ročně, což však nebylo dostačující k</w:t>
      </w:r>
      <w:r w:rsidR="00A50A4E" w:rsidRPr="00CB68DA">
        <w:rPr>
          <w:b w:val="0"/>
          <w:u w:val="none"/>
        </w:rPr>
        <w:t xml:space="preserve"> </w:t>
      </w:r>
      <w:r w:rsidRPr="00CB68DA">
        <w:rPr>
          <w:b w:val="0"/>
          <w:u w:val="none"/>
        </w:rPr>
        <w:t xml:space="preserve">tomu, aby </w:t>
      </w:r>
      <w:r w:rsidR="00966866">
        <w:rPr>
          <w:b w:val="0"/>
          <w:u w:val="none"/>
        </w:rPr>
        <w:t xml:space="preserve">to </w:t>
      </w:r>
      <w:r w:rsidRPr="00CB68DA">
        <w:rPr>
          <w:b w:val="0"/>
          <w:u w:val="none"/>
        </w:rPr>
        <w:t>vedlo k zamýšlenému urychlení procesu odstraňování SEZ.</w:t>
      </w:r>
      <w:r w:rsidR="0024241A" w:rsidRPr="00CB68DA">
        <w:rPr>
          <w:b w:val="0"/>
          <w:u w:val="none"/>
        </w:rPr>
        <w:t xml:space="preserve"> </w:t>
      </w:r>
      <w:r w:rsidRPr="00CB68DA">
        <w:rPr>
          <w:b w:val="0"/>
          <w:u w:val="none"/>
        </w:rPr>
        <w:t>K urychlení nevedlo ani opatření přijaté k zajištění dostatku peněžních prostředků na</w:t>
      </w:r>
      <w:r w:rsidR="00535111">
        <w:rPr>
          <w:b w:val="0"/>
          <w:u w:val="none"/>
        </w:rPr>
        <w:t xml:space="preserve"> </w:t>
      </w:r>
      <w:r w:rsidRPr="00CB68DA">
        <w:rPr>
          <w:b w:val="0"/>
          <w:u w:val="none"/>
        </w:rPr>
        <w:t xml:space="preserve">zvláštních účtech privatizace. </w:t>
      </w:r>
      <w:r w:rsidR="007C7631" w:rsidRPr="00CB68DA">
        <w:rPr>
          <w:b w:val="0"/>
          <w:u w:val="none"/>
        </w:rPr>
        <w:t xml:space="preserve">Personální kapacitu příslušné agendy </w:t>
      </w:r>
      <w:r w:rsidRPr="00CB68DA">
        <w:rPr>
          <w:b w:val="0"/>
          <w:u w:val="none"/>
        </w:rPr>
        <w:t>MF neposílilo</w:t>
      </w:r>
      <w:r w:rsidR="00617D2C" w:rsidRPr="00CB68DA">
        <w:rPr>
          <w:b w:val="0"/>
          <w:u w:val="none"/>
        </w:rPr>
        <w:t xml:space="preserve">, </w:t>
      </w:r>
      <w:r w:rsidR="009504C4" w:rsidRPr="00CB68DA">
        <w:rPr>
          <w:b w:val="0"/>
          <w:u w:val="none"/>
        </w:rPr>
        <w:t xml:space="preserve">přestože nedostatečnou personální kapacitu považovalo </w:t>
      </w:r>
      <w:r w:rsidR="00C30506" w:rsidRPr="00CB68DA">
        <w:rPr>
          <w:b w:val="0"/>
          <w:u w:val="none"/>
        </w:rPr>
        <w:t xml:space="preserve">v předchozím kontrolovaném období </w:t>
      </w:r>
      <w:r w:rsidR="009504C4" w:rsidRPr="00CB68DA">
        <w:rPr>
          <w:b w:val="0"/>
          <w:u w:val="none"/>
        </w:rPr>
        <w:t>za</w:t>
      </w:r>
      <w:r w:rsidR="00435FA0">
        <w:rPr>
          <w:b w:val="0"/>
          <w:u w:val="none"/>
        </w:rPr>
        <w:t xml:space="preserve"> </w:t>
      </w:r>
      <w:r w:rsidR="009504C4" w:rsidRPr="00CB68DA">
        <w:rPr>
          <w:b w:val="0"/>
          <w:u w:val="none"/>
        </w:rPr>
        <w:t xml:space="preserve">limitující faktor urychlení procesu. MF </w:t>
      </w:r>
      <w:r w:rsidRPr="00AB2F53">
        <w:rPr>
          <w:b w:val="0"/>
          <w:u w:val="none"/>
        </w:rPr>
        <w:t xml:space="preserve">neučinilo </w:t>
      </w:r>
      <w:r w:rsidR="009504C4" w:rsidRPr="00AB2F53">
        <w:rPr>
          <w:b w:val="0"/>
          <w:u w:val="none"/>
        </w:rPr>
        <w:t xml:space="preserve">ani </w:t>
      </w:r>
      <w:r w:rsidRPr="00AB2F53">
        <w:rPr>
          <w:b w:val="0"/>
          <w:u w:val="none"/>
        </w:rPr>
        <w:t>kroky, které by vedly ke snížení časové a</w:t>
      </w:r>
      <w:r w:rsidR="00535111">
        <w:rPr>
          <w:b w:val="0"/>
          <w:u w:val="none"/>
        </w:rPr>
        <w:t> </w:t>
      </w:r>
      <w:r w:rsidRPr="00AB2F53">
        <w:rPr>
          <w:b w:val="0"/>
          <w:u w:val="none"/>
        </w:rPr>
        <w:t xml:space="preserve">administrativní náročnosti procesu. </w:t>
      </w:r>
    </w:p>
    <w:p w14:paraId="0395071E" w14:textId="7FB832DA" w:rsidR="003D0930" w:rsidRDefault="00624106" w:rsidP="00435FA0">
      <w:pPr>
        <w:pStyle w:val="Styl1-kapitola"/>
        <w:numPr>
          <w:ilvl w:val="0"/>
          <w:numId w:val="0"/>
        </w:numPr>
        <w:spacing w:before="120" w:after="120"/>
        <w:contextualSpacing w:val="0"/>
        <w:rPr>
          <w:b w:val="0"/>
          <w:u w:val="none"/>
        </w:rPr>
      </w:pPr>
      <w:r w:rsidRPr="007977ED">
        <w:rPr>
          <w:u w:val="none"/>
        </w:rPr>
        <w:t>Přijatá opatření nevedla k</w:t>
      </w:r>
      <w:r w:rsidR="00A50A4E" w:rsidRPr="007977ED">
        <w:rPr>
          <w:u w:val="none"/>
        </w:rPr>
        <w:t xml:space="preserve"> </w:t>
      </w:r>
      <w:r w:rsidRPr="007977ED">
        <w:rPr>
          <w:u w:val="none"/>
        </w:rPr>
        <w:t>zamýšlenému urychlení procesu odstraňování SEZ</w:t>
      </w:r>
      <w:r w:rsidR="002A21EE" w:rsidRPr="007977ED">
        <w:rPr>
          <w:u w:val="none"/>
        </w:rPr>
        <w:t xml:space="preserve">, </w:t>
      </w:r>
      <w:r w:rsidRPr="007977ED">
        <w:rPr>
          <w:u w:val="none"/>
        </w:rPr>
        <w:t>předpokl</w:t>
      </w:r>
      <w:r w:rsidR="00535111">
        <w:rPr>
          <w:u w:val="none"/>
        </w:rPr>
        <w:t>ádaného termínu</w:t>
      </w:r>
      <w:r w:rsidRPr="007977ED">
        <w:rPr>
          <w:u w:val="none"/>
        </w:rPr>
        <w:t xml:space="preserve"> odstranění </w:t>
      </w:r>
      <w:r w:rsidR="007C34D4" w:rsidRPr="007977ED">
        <w:rPr>
          <w:u w:val="none"/>
        </w:rPr>
        <w:t xml:space="preserve">zbývajících </w:t>
      </w:r>
      <w:r w:rsidRPr="007977ED">
        <w:rPr>
          <w:u w:val="none"/>
        </w:rPr>
        <w:t>SEZ do roku 2028 nebude dosaženo</w:t>
      </w:r>
      <w:r w:rsidR="003B0E60" w:rsidRPr="007977ED">
        <w:rPr>
          <w:u w:val="none"/>
        </w:rPr>
        <w:t xml:space="preserve">. </w:t>
      </w:r>
      <w:r w:rsidR="007C34D4" w:rsidRPr="007977ED">
        <w:rPr>
          <w:u w:val="none"/>
        </w:rPr>
        <w:t xml:space="preserve">NKÚ </w:t>
      </w:r>
      <w:r w:rsidR="00C30506" w:rsidRPr="007977ED">
        <w:rPr>
          <w:u w:val="none"/>
        </w:rPr>
        <w:t xml:space="preserve">tak </w:t>
      </w:r>
      <w:r w:rsidR="007C34D4" w:rsidRPr="007977ED">
        <w:rPr>
          <w:u w:val="none"/>
        </w:rPr>
        <w:t xml:space="preserve">hodnotí opatření </w:t>
      </w:r>
      <w:r w:rsidR="003B0E60" w:rsidRPr="007977ED">
        <w:rPr>
          <w:u w:val="none"/>
        </w:rPr>
        <w:t>přijatá M</w:t>
      </w:r>
      <w:r w:rsidR="007C7631" w:rsidRPr="007977ED">
        <w:rPr>
          <w:u w:val="none"/>
        </w:rPr>
        <w:t>inisterstvem financí</w:t>
      </w:r>
      <w:r w:rsidR="003B0E60" w:rsidRPr="007977ED">
        <w:rPr>
          <w:u w:val="none"/>
        </w:rPr>
        <w:t xml:space="preserve"> </w:t>
      </w:r>
      <w:r w:rsidR="007C34D4" w:rsidRPr="007977ED">
        <w:rPr>
          <w:u w:val="none"/>
        </w:rPr>
        <w:t>k urychlení procesu jako neúčinná</w:t>
      </w:r>
      <w:r w:rsidR="002A21EE" w:rsidRPr="00AB2F53">
        <w:rPr>
          <w:b w:val="0"/>
          <w:u w:val="none"/>
        </w:rPr>
        <w:t>.</w:t>
      </w:r>
      <w:r w:rsidR="007C34D4">
        <w:rPr>
          <w:b w:val="0"/>
          <w:u w:val="none"/>
        </w:rPr>
        <w:t xml:space="preserve"> </w:t>
      </w:r>
    </w:p>
    <w:p w14:paraId="073EBD01" w14:textId="77777777" w:rsidR="00B729B7" w:rsidRDefault="00624106" w:rsidP="00435FA0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3B6526">
        <w:rPr>
          <w:rFonts w:cstheme="minorHAnsi"/>
          <w:sz w:val="24"/>
          <w:szCs w:val="24"/>
        </w:rPr>
        <w:t>Počet uzavřených ekologických smluv činil k 30</w:t>
      </w:r>
      <w:r w:rsidRPr="00126B57">
        <w:rPr>
          <w:rFonts w:cstheme="minorHAnsi"/>
          <w:sz w:val="24"/>
          <w:szCs w:val="24"/>
        </w:rPr>
        <w:t>. dubnu 2023 celkem 327 s celkovými ekologickými závazky státu ve formě garancí ve výši 175,</w:t>
      </w:r>
      <w:r w:rsidR="00126B57">
        <w:rPr>
          <w:rFonts w:cstheme="minorHAnsi"/>
          <w:sz w:val="24"/>
          <w:szCs w:val="24"/>
        </w:rPr>
        <w:t>7</w:t>
      </w:r>
      <w:r w:rsidRPr="00126B57">
        <w:rPr>
          <w:rFonts w:cstheme="minorHAnsi"/>
          <w:sz w:val="24"/>
          <w:szCs w:val="24"/>
        </w:rPr>
        <w:t xml:space="preserve"> mld. Kč</w:t>
      </w:r>
      <w:r w:rsidRPr="00A50A4E">
        <w:rPr>
          <w:rFonts w:cstheme="minorHAnsi"/>
          <w:sz w:val="24"/>
          <w:szCs w:val="24"/>
        </w:rPr>
        <w:t>.</w:t>
      </w:r>
    </w:p>
    <w:p w14:paraId="0CE57E32" w14:textId="77777777" w:rsidR="00D66125" w:rsidRPr="00435FA0" w:rsidRDefault="00624106" w:rsidP="00435FA0">
      <w:pPr>
        <w:pStyle w:val="Styl1-kapitola"/>
        <w:numPr>
          <w:ilvl w:val="0"/>
          <w:numId w:val="0"/>
        </w:numPr>
        <w:spacing w:before="120" w:after="40"/>
        <w:contextualSpacing w:val="0"/>
        <w:rPr>
          <w:rFonts w:asciiTheme="minorHAnsi" w:hAnsiTheme="minorHAnsi" w:cstheme="minorHAnsi"/>
          <w:u w:val="none"/>
        </w:rPr>
      </w:pPr>
      <w:r w:rsidRPr="00435FA0">
        <w:rPr>
          <w:rFonts w:asciiTheme="minorHAnsi" w:hAnsiTheme="minorHAnsi" w:cstheme="minorHAnsi"/>
          <w:u w:val="none"/>
        </w:rPr>
        <w:t xml:space="preserve">Tabulka č. </w:t>
      </w:r>
      <w:r w:rsidR="0057489A" w:rsidRPr="00435FA0">
        <w:rPr>
          <w:rFonts w:asciiTheme="minorHAnsi" w:hAnsiTheme="minorHAnsi" w:cstheme="minorHAnsi"/>
          <w:u w:val="none"/>
        </w:rPr>
        <w:t>1</w:t>
      </w:r>
      <w:r w:rsidRPr="00435FA0">
        <w:rPr>
          <w:rFonts w:asciiTheme="minorHAnsi" w:hAnsiTheme="minorHAnsi" w:cstheme="minorHAnsi"/>
          <w:u w:val="none"/>
        </w:rPr>
        <w:t>: Stav smluvních závazků ke dni 30. dubna 2023</w:t>
      </w:r>
      <w:r w:rsidR="00E63F3C" w:rsidRPr="00435FA0">
        <w:rPr>
          <w:rFonts w:asciiTheme="minorHAnsi" w:hAnsiTheme="minorHAnsi" w:cstheme="minorHAnsi"/>
          <w:u w:val="none"/>
        </w:rPr>
        <w:t xml:space="preserve"> </w:t>
      </w:r>
    </w:p>
    <w:tbl>
      <w:tblPr>
        <w:tblStyle w:val="Mkatabulky"/>
        <w:tblW w:w="901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1208"/>
        <w:gridCol w:w="1796"/>
        <w:gridCol w:w="1587"/>
        <w:gridCol w:w="1587"/>
      </w:tblGrid>
      <w:tr w:rsidR="0049291F" w14:paraId="5006CE2C" w14:textId="77777777" w:rsidTr="005655EF">
        <w:trPr>
          <w:trHeight w:val="283"/>
          <w:jc w:val="center"/>
        </w:trPr>
        <w:tc>
          <w:tcPr>
            <w:tcW w:w="2835" w:type="dxa"/>
            <w:shd w:val="clear" w:color="auto" w:fill="E5F1FF"/>
            <w:vAlign w:val="center"/>
          </w:tcPr>
          <w:p w14:paraId="5B270BCB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>Ekologické smlouvy</w:t>
            </w:r>
          </w:p>
        </w:tc>
        <w:tc>
          <w:tcPr>
            <w:tcW w:w="1208" w:type="dxa"/>
            <w:shd w:val="clear" w:color="auto" w:fill="E5F1FF"/>
            <w:vAlign w:val="center"/>
          </w:tcPr>
          <w:p w14:paraId="03FC5D77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>Počet</w:t>
            </w:r>
          </w:p>
        </w:tc>
        <w:tc>
          <w:tcPr>
            <w:tcW w:w="1796" w:type="dxa"/>
            <w:shd w:val="clear" w:color="auto" w:fill="E5F1FF"/>
            <w:vAlign w:val="center"/>
          </w:tcPr>
          <w:p w14:paraId="039A553B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>Podíl na celkovém počtu smluv</w:t>
            </w:r>
          </w:p>
        </w:tc>
        <w:tc>
          <w:tcPr>
            <w:tcW w:w="1587" w:type="dxa"/>
            <w:shd w:val="clear" w:color="auto" w:fill="E5F1FF"/>
            <w:vAlign w:val="center"/>
          </w:tcPr>
          <w:p w14:paraId="52C47859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>Garance</w:t>
            </w:r>
          </w:p>
          <w:p w14:paraId="5649C5D9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>(v mld. Kč)</w:t>
            </w:r>
          </w:p>
        </w:tc>
        <w:tc>
          <w:tcPr>
            <w:tcW w:w="1587" w:type="dxa"/>
            <w:shd w:val="clear" w:color="auto" w:fill="E5F1FF"/>
            <w:vAlign w:val="center"/>
          </w:tcPr>
          <w:p w14:paraId="6737F5AA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>Čerpáno</w:t>
            </w:r>
          </w:p>
          <w:p w14:paraId="68D860CF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>(v mld. Kč)</w:t>
            </w:r>
          </w:p>
        </w:tc>
      </w:tr>
      <w:tr w:rsidR="0049291F" w14:paraId="4E456F6C" w14:textId="77777777" w:rsidTr="005655EF">
        <w:trPr>
          <w:trHeight w:val="283"/>
          <w:jc w:val="center"/>
        </w:trPr>
        <w:tc>
          <w:tcPr>
            <w:tcW w:w="2835" w:type="dxa"/>
            <w:vAlign w:val="center"/>
          </w:tcPr>
          <w:p w14:paraId="30205A2F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contextualSpacing w:val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Uzavřené smlouvy celkem</w:t>
            </w:r>
          </w:p>
        </w:tc>
        <w:tc>
          <w:tcPr>
            <w:tcW w:w="1208" w:type="dxa"/>
            <w:vAlign w:val="center"/>
          </w:tcPr>
          <w:p w14:paraId="64307BA3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ind w:right="227"/>
              <w:contextualSpacing w:val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327</w:t>
            </w:r>
          </w:p>
        </w:tc>
        <w:tc>
          <w:tcPr>
            <w:tcW w:w="1796" w:type="dxa"/>
            <w:vAlign w:val="center"/>
          </w:tcPr>
          <w:p w14:paraId="33040FC1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ind w:right="548"/>
              <w:contextualSpacing w:val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---</w:t>
            </w:r>
          </w:p>
        </w:tc>
        <w:tc>
          <w:tcPr>
            <w:tcW w:w="1587" w:type="dxa"/>
            <w:vAlign w:val="center"/>
          </w:tcPr>
          <w:p w14:paraId="3DDD3C66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ind w:right="403"/>
              <w:contextualSpacing w:val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175,</w:t>
            </w:r>
            <w:r w:rsid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7</w:t>
            </w:r>
          </w:p>
        </w:tc>
        <w:tc>
          <w:tcPr>
            <w:tcW w:w="1587" w:type="dxa"/>
            <w:vAlign w:val="center"/>
          </w:tcPr>
          <w:p w14:paraId="6B62F45C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ind w:right="403"/>
              <w:contextualSpacing w:val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66,2</w:t>
            </w:r>
          </w:p>
        </w:tc>
      </w:tr>
      <w:tr w:rsidR="0049291F" w14:paraId="0025037D" w14:textId="77777777" w:rsidTr="005655EF">
        <w:trPr>
          <w:trHeight w:val="283"/>
          <w:jc w:val="center"/>
        </w:trPr>
        <w:tc>
          <w:tcPr>
            <w:tcW w:w="2835" w:type="dxa"/>
            <w:vAlign w:val="center"/>
          </w:tcPr>
          <w:p w14:paraId="58D061C4" w14:textId="77777777" w:rsidR="002C1CCE" w:rsidRPr="00126B57" w:rsidRDefault="00624106" w:rsidP="005655EF">
            <w:pPr>
              <w:pStyle w:val="Styl1-kapitola"/>
              <w:numPr>
                <w:ilvl w:val="0"/>
                <w:numId w:val="3"/>
              </w:numPr>
              <w:spacing w:before="20" w:after="20"/>
              <w:ind w:left="171" w:hanging="142"/>
              <w:contextualSpacing w:val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z toho:</w:t>
            </w:r>
            <w:r w:rsidR="00AD79F5" w:rsidRP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 u</w:t>
            </w:r>
            <w:r w:rsidRP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končené </w:t>
            </w:r>
            <w:r w:rsidR="00AD44DA" w:rsidRP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smlouvy</w:t>
            </w:r>
          </w:p>
        </w:tc>
        <w:tc>
          <w:tcPr>
            <w:tcW w:w="1208" w:type="dxa"/>
            <w:vAlign w:val="center"/>
          </w:tcPr>
          <w:p w14:paraId="4D438CBF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ind w:right="227"/>
              <w:contextualSpacing w:val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207</w:t>
            </w:r>
          </w:p>
        </w:tc>
        <w:tc>
          <w:tcPr>
            <w:tcW w:w="1796" w:type="dxa"/>
            <w:vAlign w:val="center"/>
          </w:tcPr>
          <w:p w14:paraId="337B4E7C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ind w:right="548"/>
              <w:contextualSpacing w:val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63 %</w:t>
            </w:r>
          </w:p>
        </w:tc>
        <w:tc>
          <w:tcPr>
            <w:tcW w:w="1587" w:type="dxa"/>
            <w:vAlign w:val="center"/>
          </w:tcPr>
          <w:p w14:paraId="1C7EAF62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ind w:right="403"/>
              <w:contextualSpacing w:val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41,2</w:t>
            </w:r>
          </w:p>
        </w:tc>
        <w:tc>
          <w:tcPr>
            <w:tcW w:w="1587" w:type="dxa"/>
            <w:vAlign w:val="center"/>
          </w:tcPr>
          <w:p w14:paraId="431B0F41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ind w:right="403"/>
              <w:contextualSpacing w:val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24,2</w:t>
            </w:r>
          </w:p>
        </w:tc>
      </w:tr>
      <w:tr w:rsidR="0049291F" w14:paraId="68E5A623" w14:textId="77777777" w:rsidTr="005655EF">
        <w:trPr>
          <w:trHeight w:val="283"/>
          <w:jc w:val="center"/>
        </w:trPr>
        <w:tc>
          <w:tcPr>
            <w:tcW w:w="2835" w:type="dxa"/>
            <w:vAlign w:val="center"/>
          </w:tcPr>
          <w:p w14:paraId="270381D7" w14:textId="77777777" w:rsidR="002C1CCE" w:rsidRPr="00126B57" w:rsidRDefault="00624106" w:rsidP="005655EF">
            <w:pPr>
              <w:pStyle w:val="Styl1-kapitola"/>
              <w:numPr>
                <w:ilvl w:val="0"/>
                <w:numId w:val="3"/>
              </w:numPr>
              <w:spacing w:before="20" w:after="20"/>
              <w:ind w:left="171" w:hanging="142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z toho: neukončené </w:t>
            </w:r>
            <w:r w:rsidR="00AD44DA" w:rsidRP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>smlouvy</w:t>
            </w:r>
          </w:p>
        </w:tc>
        <w:tc>
          <w:tcPr>
            <w:tcW w:w="1208" w:type="dxa"/>
            <w:vAlign w:val="center"/>
          </w:tcPr>
          <w:p w14:paraId="4C98EE1F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ind w:right="227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>120</w:t>
            </w:r>
          </w:p>
        </w:tc>
        <w:tc>
          <w:tcPr>
            <w:tcW w:w="1796" w:type="dxa"/>
            <w:vAlign w:val="center"/>
          </w:tcPr>
          <w:p w14:paraId="21F3FB66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ind w:right="548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>37 %</w:t>
            </w:r>
          </w:p>
        </w:tc>
        <w:tc>
          <w:tcPr>
            <w:tcW w:w="1587" w:type="dxa"/>
            <w:vAlign w:val="center"/>
          </w:tcPr>
          <w:p w14:paraId="28002D41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ind w:right="403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>134,</w:t>
            </w:r>
            <w:r w:rsid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>5</w:t>
            </w:r>
          </w:p>
        </w:tc>
        <w:tc>
          <w:tcPr>
            <w:tcW w:w="1587" w:type="dxa"/>
            <w:vAlign w:val="center"/>
          </w:tcPr>
          <w:p w14:paraId="29D4EF1B" w14:textId="77777777" w:rsidR="002C1CCE" w:rsidRPr="00126B57" w:rsidRDefault="00624106" w:rsidP="005655EF">
            <w:pPr>
              <w:pStyle w:val="Styl1-kapitola"/>
              <w:numPr>
                <w:ilvl w:val="0"/>
                <w:numId w:val="0"/>
              </w:numPr>
              <w:spacing w:before="20" w:after="20"/>
              <w:ind w:right="403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26B57">
              <w:rPr>
                <w:rFonts w:asciiTheme="minorHAnsi" w:hAnsiTheme="minorHAnsi" w:cstheme="minorHAnsi"/>
                <w:sz w:val="20"/>
                <w:szCs w:val="20"/>
                <w:u w:val="none"/>
              </w:rPr>
              <w:t>42,0</w:t>
            </w:r>
          </w:p>
        </w:tc>
      </w:tr>
    </w:tbl>
    <w:p w14:paraId="4D2389EB" w14:textId="4860DE4F" w:rsidR="002C1CCE" w:rsidRPr="00D66125" w:rsidRDefault="00624106" w:rsidP="0042422E">
      <w:pPr>
        <w:pStyle w:val="Styl1-kapitola"/>
        <w:numPr>
          <w:ilvl w:val="0"/>
          <w:numId w:val="0"/>
        </w:numPr>
        <w:spacing w:before="40" w:after="120"/>
        <w:contextualSpacing w:val="0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42422E">
        <w:rPr>
          <w:rFonts w:asciiTheme="minorHAnsi" w:hAnsiTheme="minorHAnsi" w:cstheme="minorHAnsi"/>
          <w:sz w:val="20"/>
          <w:szCs w:val="20"/>
          <w:u w:val="none"/>
        </w:rPr>
        <w:t xml:space="preserve">Zdroj: </w:t>
      </w:r>
      <w:r w:rsidRPr="00D66125">
        <w:rPr>
          <w:rFonts w:asciiTheme="minorHAnsi" w:hAnsiTheme="minorHAnsi" w:cstheme="minorHAnsi"/>
          <w:b w:val="0"/>
          <w:sz w:val="20"/>
          <w:szCs w:val="20"/>
          <w:u w:val="none"/>
        </w:rPr>
        <w:t>data MF</w:t>
      </w:r>
      <w:r w:rsidR="00535111">
        <w:rPr>
          <w:rFonts w:asciiTheme="minorHAnsi" w:hAnsiTheme="minorHAnsi" w:cstheme="minorHAnsi"/>
          <w:b w:val="0"/>
          <w:sz w:val="20"/>
          <w:szCs w:val="20"/>
          <w:u w:val="none"/>
        </w:rPr>
        <w:t>.</w:t>
      </w:r>
    </w:p>
    <w:p w14:paraId="676EEA37" w14:textId="5A7A56E4" w:rsidR="00F37618" w:rsidRPr="00AD17B8" w:rsidRDefault="00624106" w:rsidP="00C97B65">
      <w:pPr>
        <w:pStyle w:val="Styl1-kapitola"/>
        <w:keepNext/>
        <w:numPr>
          <w:ilvl w:val="0"/>
          <w:numId w:val="0"/>
        </w:numPr>
        <w:spacing w:before="120"/>
        <w:contextualSpacing w:val="0"/>
        <w:rPr>
          <w:rFonts w:asciiTheme="minorHAnsi" w:hAnsiTheme="minorHAnsi" w:cstheme="minorHAnsi"/>
          <w:b w:val="0"/>
          <w:u w:val="none"/>
          <w:lang w:eastAsia="cs-CZ"/>
        </w:rPr>
      </w:pPr>
      <w:bookmarkStart w:id="7" w:name="_Hlk144489758"/>
      <w:r w:rsidRPr="00C46017">
        <w:rPr>
          <w:rFonts w:cstheme="minorHAnsi"/>
          <w:b w:val="0"/>
          <w:u w:val="none"/>
          <w:lang w:eastAsia="cs-CZ"/>
        </w:rPr>
        <w:t xml:space="preserve">Po </w:t>
      </w:r>
      <w:r w:rsidRPr="003735FA">
        <w:rPr>
          <w:rFonts w:cstheme="minorHAnsi"/>
          <w:b w:val="0"/>
          <w:u w:val="none"/>
          <w:lang w:eastAsia="cs-CZ"/>
        </w:rPr>
        <w:t xml:space="preserve">32 letech </w:t>
      </w:r>
      <w:r w:rsidRPr="00AD17B8">
        <w:rPr>
          <w:rFonts w:cstheme="minorHAnsi"/>
          <w:b w:val="0"/>
          <w:u w:val="none"/>
          <w:lang w:eastAsia="cs-CZ"/>
        </w:rPr>
        <w:t>likvidace zůstáv</w:t>
      </w:r>
      <w:r w:rsidR="004E466A" w:rsidRPr="00AD17B8">
        <w:rPr>
          <w:rFonts w:cstheme="minorHAnsi"/>
          <w:b w:val="0"/>
          <w:u w:val="none"/>
          <w:lang w:eastAsia="cs-CZ"/>
        </w:rPr>
        <w:t>alo</w:t>
      </w:r>
      <w:r w:rsidRPr="00AD17B8">
        <w:rPr>
          <w:rFonts w:cstheme="minorHAnsi"/>
          <w:b w:val="0"/>
          <w:u w:val="none"/>
          <w:lang w:eastAsia="cs-CZ"/>
        </w:rPr>
        <w:t xml:space="preserve"> </w:t>
      </w:r>
      <w:r w:rsidR="007977ED" w:rsidRPr="00AD17B8">
        <w:rPr>
          <w:rFonts w:cstheme="minorHAnsi"/>
          <w:b w:val="0"/>
          <w:u w:val="none"/>
          <w:lang w:eastAsia="cs-CZ"/>
        </w:rPr>
        <w:t xml:space="preserve">ze 327 uzavřených ekologických smluv </w:t>
      </w:r>
      <w:r w:rsidRPr="00AD17B8">
        <w:rPr>
          <w:rFonts w:cstheme="minorHAnsi"/>
          <w:b w:val="0"/>
          <w:u w:val="none"/>
          <w:lang w:eastAsia="cs-CZ"/>
        </w:rPr>
        <w:t>120 neukončeno (tj.</w:t>
      </w:r>
      <w:r w:rsidR="009E2EA3">
        <w:rPr>
          <w:rFonts w:cstheme="minorHAnsi"/>
          <w:b w:val="0"/>
          <w:u w:val="none"/>
          <w:lang w:eastAsia="cs-CZ"/>
        </w:rPr>
        <w:t> </w:t>
      </w:r>
      <w:r w:rsidRPr="00AD17B8">
        <w:rPr>
          <w:rFonts w:cstheme="minorHAnsi"/>
          <w:b w:val="0"/>
          <w:u w:val="none"/>
          <w:lang w:eastAsia="cs-CZ"/>
        </w:rPr>
        <w:t>37</w:t>
      </w:r>
      <w:r w:rsidR="009E2EA3">
        <w:rPr>
          <w:rFonts w:cstheme="minorHAnsi"/>
          <w:b w:val="0"/>
          <w:u w:val="none"/>
          <w:lang w:eastAsia="cs-CZ"/>
        </w:rPr>
        <w:t> </w:t>
      </w:r>
      <w:r w:rsidRPr="00AD17B8">
        <w:rPr>
          <w:rFonts w:cstheme="minorHAnsi"/>
          <w:b w:val="0"/>
          <w:u w:val="none"/>
          <w:lang w:eastAsia="cs-CZ"/>
        </w:rPr>
        <w:t>%)</w:t>
      </w:r>
      <w:r w:rsidR="00E075F4" w:rsidRPr="00AD17B8">
        <w:rPr>
          <w:rFonts w:cstheme="minorHAnsi"/>
          <w:b w:val="0"/>
          <w:u w:val="none"/>
          <w:lang w:eastAsia="cs-CZ"/>
        </w:rPr>
        <w:t>. V</w:t>
      </w:r>
      <w:r w:rsidR="00FA61D7" w:rsidRPr="00AD17B8">
        <w:rPr>
          <w:rFonts w:cstheme="minorHAnsi"/>
          <w:b w:val="0"/>
          <w:u w:val="none"/>
          <w:lang w:eastAsia="cs-CZ"/>
        </w:rPr>
        <w:t xml:space="preserve"> nich bylo </w:t>
      </w:r>
      <w:r w:rsidR="00535111">
        <w:rPr>
          <w:rFonts w:cstheme="minorHAnsi"/>
          <w:b w:val="0"/>
          <w:u w:val="none"/>
          <w:lang w:eastAsia="cs-CZ"/>
        </w:rPr>
        <w:t xml:space="preserve">stále </w:t>
      </w:r>
      <w:r w:rsidR="00FA61D7" w:rsidRPr="00AD17B8">
        <w:rPr>
          <w:rFonts w:cstheme="minorHAnsi"/>
          <w:b w:val="0"/>
          <w:u w:val="none"/>
          <w:lang w:eastAsia="cs-CZ"/>
        </w:rPr>
        <w:t>vázáno 92,</w:t>
      </w:r>
      <w:r w:rsidR="002961F6" w:rsidRPr="00AD17B8">
        <w:rPr>
          <w:rFonts w:cstheme="minorHAnsi"/>
          <w:b w:val="0"/>
          <w:u w:val="none"/>
          <w:lang w:eastAsia="cs-CZ"/>
        </w:rPr>
        <w:t>5</w:t>
      </w:r>
      <w:r w:rsidR="00FA61D7" w:rsidRPr="00AD17B8">
        <w:rPr>
          <w:rFonts w:cstheme="minorHAnsi"/>
          <w:b w:val="0"/>
          <w:u w:val="none"/>
          <w:lang w:eastAsia="cs-CZ"/>
        </w:rPr>
        <w:t xml:space="preserve"> mld. Kč, což představ</w:t>
      </w:r>
      <w:r w:rsidR="00F051E2" w:rsidRPr="00AD17B8">
        <w:rPr>
          <w:rFonts w:cstheme="minorHAnsi"/>
          <w:b w:val="0"/>
          <w:u w:val="none"/>
          <w:lang w:eastAsia="cs-CZ"/>
        </w:rPr>
        <w:t>ovalo</w:t>
      </w:r>
      <w:r w:rsidR="00FA61D7" w:rsidRPr="00AD17B8">
        <w:rPr>
          <w:rFonts w:cstheme="minorHAnsi"/>
          <w:b w:val="0"/>
          <w:u w:val="none"/>
          <w:lang w:eastAsia="cs-CZ"/>
        </w:rPr>
        <w:t xml:space="preserve"> nečerpanou část garance</w:t>
      </w:r>
      <w:r w:rsidR="00C30506" w:rsidRPr="00AD17B8">
        <w:rPr>
          <w:rFonts w:cstheme="minorHAnsi"/>
          <w:b w:val="0"/>
          <w:u w:val="none"/>
          <w:lang w:eastAsia="cs-CZ"/>
        </w:rPr>
        <w:t xml:space="preserve"> těchto smluv</w:t>
      </w:r>
      <w:r w:rsidR="00FA61D7" w:rsidRPr="00AD17B8">
        <w:rPr>
          <w:rFonts w:cstheme="minorHAnsi"/>
          <w:b w:val="0"/>
          <w:u w:val="none"/>
          <w:lang w:eastAsia="cs-CZ"/>
        </w:rPr>
        <w:t xml:space="preserve"> ke dni 30. dubna 2023. </w:t>
      </w:r>
      <w:r w:rsidR="00364632" w:rsidRPr="00AD17B8">
        <w:rPr>
          <w:rFonts w:cstheme="minorHAnsi"/>
          <w:b w:val="0"/>
          <w:u w:val="none"/>
          <w:lang w:eastAsia="cs-CZ"/>
        </w:rPr>
        <w:t>V některých případech MF pod ekologickou smlouvou evid</w:t>
      </w:r>
      <w:r w:rsidR="004E79DF" w:rsidRPr="00AD17B8">
        <w:rPr>
          <w:rFonts w:cstheme="minorHAnsi"/>
          <w:b w:val="0"/>
          <w:u w:val="none"/>
          <w:lang w:eastAsia="cs-CZ"/>
        </w:rPr>
        <w:t>ovalo</w:t>
      </w:r>
      <w:r w:rsidR="00364632" w:rsidRPr="00AD17B8">
        <w:rPr>
          <w:rFonts w:cstheme="minorHAnsi"/>
          <w:b w:val="0"/>
          <w:u w:val="none"/>
          <w:lang w:eastAsia="cs-CZ"/>
        </w:rPr>
        <w:t xml:space="preserve"> více než jednu lokalitu. </w:t>
      </w:r>
      <w:r w:rsidR="00364632" w:rsidRPr="00B1252D">
        <w:rPr>
          <w:rFonts w:cstheme="minorHAnsi"/>
          <w:u w:val="none"/>
          <w:lang w:eastAsia="cs-CZ"/>
        </w:rPr>
        <w:t xml:space="preserve">Celkem </w:t>
      </w:r>
      <w:r w:rsidR="00C8177C" w:rsidRPr="00B1252D">
        <w:rPr>
          <w:rFonts w:cstheme="minorHAnsi"/>
          <w:u w:val="none"/>
          <w:lang w:eastAsia="cs-CZ"/>
        </w:rPr>
        <w:t xml:space="preserve">tak </w:t>
      </w:r>
      <w:r w:rsidR="00364632" w:rsidRPr="00B1252D">
        <w:rPr>
          <w:rFonts w:cstheme="minorHAnsi"/>
          <w:u w:val="none"/>
          <w:lang w:eastAsia="cs-CZ"/>
        </w:rPr>
        <w:t xml:space="preserve">MF </w:t>
      </w:r>
      <w:r w:rsidR="004E79DF" w:rsidRPr="00B1252D">
        <w:rPr>
          <w:rFonts w:cstheme="minorHAnsi"/>
          <w:u w:val="none"/>
          <w:lang w:eastAsia="cs-CZ"/>
        </w:rPr>
        <w:t xml:space="preserve">k 30. dubnu 2023 </w:t>
      </w:r>
      <w:r w:rsidR="00364632" w:rsidRPr="00B1252D">
        <w:rPr>
          <w:rFonts w:cstheme="minorHAnsi"/>
          <w:u w:val="none"/>
          <w:lang w:eastAsia="cs-CZ"/>
        </w:rPr>
        <w:t>evidovalo p</w:t>
      </w:r>
      <w:r w:rsidRPr="00B1252D">
        <w:rPr>
          <w:rFonts w:cstheme="minorHAnsi"/>
          <w:u w:val="none"/>
          <w:lang w:eastAsia="cs-CZ"/>
        </w:rPr>
        <w:t xml:space="preserve">od neukončenými </w:t>
      </w:r>
      <w:r w:rsidR="00CE5B90" w:rsidRPr="00B1252D">
        <w:rPr>
          <w:rFonts w:cstheme="minorHAnsi"/>
          <w:u w:val="none"/>
          <w:lang w:eastAsia="cs-CZ"/>
        </w:rPr>
        <w:t xml:space="preserve">ekologickými </w:t>
      </w:r>
      <w:r w:rsidR="00364632" w:rsidRPr="00B1252D">
        <w:rPr>
          <w:rFonts w:cstheme="minorHAnsi"/>
          <w:u w:val="none"/>
          <w:lang w:eastAsia="cs-CZ"/>
        </w:rPr>
        <w:t xml:space="preserve">smlouvami </w:t>
      </w:r>
      <w:r w:rsidRPr="00B1252D">
        <w:rPr>
          <w:rFonts w:cstheme="minorHAnsi"/>
          <w:u w:val="none"/>
          <w:lang w:eastAsia="cs-CZ"/>
        </w:rPr>
        <w:t>504 lokalit, v tom:</w:t>
      </w:r>
      <w:r w:rsidRPr="00AD17B8">
        <w:rPr>
          <w:rFonts w:cstheme="minorHAnsi"/>
          <w:b w:val="0"/>
          <w:u w:val="none"/>
          <w:lang w:eastAsia="cs-CZ"/>
        </w:rPr>
        <w:t xml:space="preserve"> </w:t>
      </w:r>
    </w:p>
    <w:p w14:paraId="251C24C3" w14:textId="77777777" w:rsidR="00F37618" w:rsidRPr="009F11AB" w:rsidRDefault="00624106" w:rsidP="0002685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  <w:lang w:eastAsia="cs-CZ"/>
        </w:rPr>
      </w:pPr>
      <w:r w:rsidRPr="00AD17B8">
        <w:rPr>
          <w:rFonts w:cstheme="minorHAnsi"/>
          <w:sz w:val="24"/>
          <w:szCs w:val="24"/>
          <w:lang w:eastAsia="cs-CZ"/>
        </w:rPr>
        <w:t xml:space="preserve">u 258 lokalit byly </w:t>
      </w:r>
      <w:r w:rsidRPr="009F11AB">
        <w:rPr>
          <w:rFonts w:cstheme="minorHAnsi"/>
          <w:sz w:val="24"/>
          <w:szCs w:val="24"/>
          <w:lang w:eastAsia="cs-CZ"/>
        </w:rPr>
        <w:t>ekologické závazky ukončeny, tj. na příslušné lokalitě byla naplněna nápravná opatření uložená příslušným správním rozhodnutí</w:t>
      </w:r>
      <w:r w:rsidR="002961F6" w:rsidRPr="009F11AB">
        <w:rPr>
          <w:rFonts w:cstheme="minorHAnsi"/>
          <w:sz w:val="24"/>
          <w:szCs w:val="24"/>
          <w:lang w:eastAsia="cs-CZ"/>
        </w:rPr>
        <w:t>m</w:t>
      </w:r>
      <w:r w:rsidRPr="009F11AB">
        <w:rPr>
          <w:rFonts w:cstheme="minorHAnsi"/>
          <w:sz w:val="24"/>
          <w:szCs w:val="24"/>
          <w:lang w:eastAsia="cs-CZ"/>
        </w:rPr>
        <w:t xml:space="preserve">, </w:t>
      </w:r>
      <w:r w:rsidR="00467458" w:rsidRPr="009F11AB">
        <w:rPr>
          <w:rFonts w:cstheme="minorHAnsi"/>
          <w:sz w:val="24"/>
          <w:szCs w:val="24"/>
          <w:lang w:eastAsia="cs-CZ"/>
        </w:rPr>
        <w:t>případně</w:t>
      </w:r>
      <w:r w:rsidRPr="009F11AB">
        <w:rPr>
          <w:rFonts w:cstheme="minorHAnsi"/>
          <w:sz w:val="24"/>
          <w:szCs w:val="24"/>
          <w:lang w:eastAsia="cs-CZ"/>
        </w:rPr>
        <w:t xml:space="preserve"> na lokalitě nebyla prokázána potřeba sanace; </w:t>
      </w:r>
    </w:p>
    <w:p w14:paraId="43BB0C14" w14:textId="77777777" w:rsidR="00F37618" w:rsidRPr="009F11AB" w:rsidRDefault="00624106" w:rsidP="0002685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  <w:lang w:eastAsia="cs-CZ"/>
        </w:rPr>
      </w:pPr>
      <w:r w:rsidRPr="009F11AB">
        <w:rPr>
          <w:rFonts w:cstheme="minorHAnsi"/>
          <w:sz w:val="24"/>
          <w:szCs w:val="24"/>
          <w:lang w:eastAsia="cs-CZ"/>
        </w:rPr>
        <w:t xml:space="preserve">na 90 lokalitách probíhala sanace nebo příprava další etapy sanace; </w:t>
      </w:r>
    </w:p>
    <w:p w14:paraId="79CB40CA" w14:textId="77777777" w:rsidR="00F37618" w:rsidRPr="009F11AB" w:rsidRDefault="00624106" w:rsidP="0002685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  <w:lang w:eastAsia="cs-CZ"/>
        </w:rPr>
      </w:pPr>
      <w:r w:rsidRPr="009F11AB">
        <w:rPr>
          <w:rFonts w:cstheme="minorHAnsi"/>
          <w:sz w:val="24"/>
          <w:szCs w:val="24"/>
          <w:lang w:eastAsia="cs-CZ"/>
        </w:rPr>
        <w:t xml:space="preserve">na 30 lokalitách </w:t>
      </w:r>
      <w:r w:rsidR="0045284C" w:rsidRPr="009F11AB">
        <w:rPr>
          <w:rFonts w:cstheme="minorHAnsi"/>
          <w:sz w:val="24"/>
          <w:szCs w:val="24"/>
          <w:lang w:eastAsia="cs-CZ"/>
        </w:rPr>
        <w:t xml:space="preserve">sanace </w:t>
      </w:r>
      <w:r w:rsidRPr="009F11AB">
        <w:rPr>
          <w:rFonts w:cstheme="minorHAnsi"/>
          <w:sz w:val="24"/>
          <w:szCs w:val="24"/>
          <w:lang w:eastAsia="cs-CZ"/>
        </w:rPr>
        <w:t xml:space="preserve">neprobíhala </w:t>
      </w:r>
      <w:r w:rsidR="00467458" w:rsidRPr="009F11AB">
        <w:rPr>
          <w:rFonts w:cstheme="minorHAnsi"/>
          <w:sz w:val="24"/>
          <w:szCs w:val="24"/>
          <w:lang w:eastAsia="cs-CZ"/>
        </w:rPr>
        <w:t>nebo</w:t>
      </w:r>
      <w:r w:rsidRPr="009F11AB">
        <w:rPr>
          <w:rFonts w:cstheme="minorHAnsi"/>
          <w:sz w:val="24"/>
          <w:szCs w:val="24"/>
          <w:lang w:eastAsia="cs-CZ"/>
        </w:rPr>
        <w:t xml:space="preserve"> byla realizována jen v omezeném rozsahu</w:t>
      </w:r>
      <w:r w:rsidR="001E4202" w:rsidRPr="009F11AB">
        <w:rPr>
          <w:rFonts w:cstheme="minorHAnsi"/>
          <w:sz w:val="24"/>
          <w:szCs w:val="24"/>
          <w:lang w:eastAsia="cs-CZ"/>
        </w:rPr>
        <w:t xml:space="preserve"> </w:t>
      </w:r>
      <w:r w:rsidRPr="009F11AB">
        <w:rPr>
          <w:rFonts w:cstheme="minorHAnsi"/>
          <w:sz w:val="24"/>
          <w:szCs w:val="24"/>
          <w:lang w:eastAsia="cs-CZ"/>
        </w:rPr>
        <w:t>z důvodu nedostatečné garance nebo nečinnosti nabyvatele;</w:t>
      </w:r>
    </w:p>
    <w:p w14:paraId="05818A4F" w14:textId="7F7D5C54" w:rsidR="004668DD" w:rsidRDefault="00624106" w:rsidP="00026857">
      <w:pPr>
        <w:pStyle w:val="Odstavecseseznamem"/>
        <w:numPr>
          <w:ilvl w:val="0"/>
          <w:numId w:val="4"/>
        </w:numPr>
        <w:spacing w:after="24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  <w:lang w:eastAsia="cs-CZ"/>
        </w:rPr>
      </w:pPr>
      <w:r w:rsidRPr="009F11AB">
        <w:rPr>
          <w:rFonts w:cstheme="minorHAnsi"/>
          <w:sz w:val="24"/>
          <w:szCs w:val="24"/>
          <w:lang w:eastAsia="cs-CZ"/>
        </w:rPr>
        <w:t xml:space="preserve">na 126 lokalitách </w:t>
      </w:r>
      <w:r w:rsidR="00AB6CF2" w:rsidRPr="009F11AB">
        <w:rPr>
          <w:rFonts w:cstheme="minorHAnsi"/>
          <w:sz w:val="24"/>
          <w:szCs w:val="24"/>
          <w:lang w:eastAsia="cs-CZ"/>
        </w:rPr>
        <w:t xml:space="preserve">(tj. na 25 % z celkového počtu 504 lokalit) </w:t>
      </w:r>
      <w:r w:rsidRPr="009F11AB">
        <w:rPr>
          <w:rFonts w:cstheme="minorHAnsi"/>
          <w:sz w:val="24"/>
          <w:szCs w:val="24"/>
          <w:lang w:eastAsia="cs-CZ"/>
        </w:rPr>
        <w:t xml:space="preserve">nebyla </w:t>
      </w:r>
      <w:r w:rsidR="00523254" w:rsidRPr="009F11AB">
        <w:rPr>
          <w:rFonts w:cstheme="minorHAnsi"/>
          <w:sz w:val="24"/>
          <w:szCs w:val="24"/>
          <w:lang w:eastAsia="cs-CZ"/>
        </w:rPr>
        <w:t xml:space="preserve">sanace </w:t>
      </w:r>
      <w:r w:rsidRPr="009F11AB">
        <w:rPr>
          <w:rFonts w:cstheme="minorHAnsi"/>
          <w:sz w:val="24"/>
          <w:szCs w:val="24"/>
          <w:lang w:eastAsia="cs-CZ"/>
        </w:rPr>
        <w:t>zahájena, přičemž u</w:t>
      </w:r>
      <w:r w:rsidR="00A50A4E" w:rsidRPr="009F11AB">
        <w:rPr>
          <w:rFonts w:cstheme="minorHAnsi"/>
          <w:sz w:val="24"/>
          <w:szCs w:val="24"/>
          <w:lang w:eastAsia="cs-CZ"/>
        </w:rPr>
        <w:t xml:space="preserve"> </w:t>
      </w:r>
      <w:r w:rsidRPr="009F11AB">
        <w:rPr>
          <w:rFonts w:cstheme="minorHAnsi"/>
          <w:sz w:val="24"/>
          <w:szCs w:val="24"/>
          <w:lang w:eastAsia="cs-CZ"/>
        </w:rPr>
        <w:t xml:space="preserve">některých z nich MF </w:t>
      </w:r>
      <w:r w:rsidR="00B74403" w:rsidRPr="009F11AB">
        <w:rPr>
          <w:rFonts w:cstheme="minorHAnsi"/>
          <w:sz w:val="24"/>
          <w:szCs w:val="24"/>
          <w:lang w:eastAsia="cs-CZ"/>
        </w:rPr>
        <w:t xml:space="preserve">ani po 32 letech </w:t>
      </w:r>
      <w:r w:rsidR="0028246B">
        <w:rPr>
          <w:rFonts w:cstheme="minorHAnsi"/>
          <w:sz w:val="24"/>
          <w:szCs w:val="24"/>
          <w:lang w:eastAsia="cs-CZ"/>
        </w:rPr>
        <w:t>nevědělo</w:t>
      </w:r>
      <w:r w:rsidRPr="009F11AB">
        <w:rPr>
          <w:rFonts w:cstheme="minorHAnsi"/>
          <w:sz w:val="24"/>
          <w:szCs w:val="24"/>
          <w:lang w:eastAsia="cs-CZ"/>
        </w:rPr>
        <w:t xml:space="preserve">, zda </w:t>
      </w:r>
      <w:r w:rsidR="003E4326" w:rsidRPr="009F11AB">
        <w:rPr>
          <w:rFonts w:cstheme="minorHAnsi"/>
          <w:sz w:val="24"/>
          <w:szCs w:val="24"/>
          <w:lang w:eastAsia="cs-CZ"/>
        </w:rPr>
        <w:t xml:space="preserve">jejich </w:t>
      </w:r>
      <w:r w:rsidRPr="009F11AB">
        <w:rPr>
          <w:rFonts w:cstheme="minorHAnsi"/>
          <w:sz w:val="24"/>
          <w:szCs w:val="24"/>
          <w:lang w:eastAsia="cs-CZ"/>
        </w:rPr>
        <w:t xml:space="preserve">sanace bude nutná. </w:t>
      </w:r>
      <w:r w:rsidR="008D0FC9" w:rsidRPr="009F11AB">
        <w:rPr>
          <w:rFonts w:cstheme="minorHAnsi"/>
          <w:sz w:val="24"/>
          <w:szCs w:val="24"/>
          <w:lang w:eastAsia="cs-CZ"/>
        </w:rPr>
        <w:t xml:space="preserve">Z tohoto počtu bude dle vyjádření MF sanace finančně, technicky </w:t>
      </w:r>
      <w:r w:rsidR="008D0FC9" w:rsidRPr="00CB68DA">
        <w:rPr>
          <w:rFonts w:cstheme="minorHAnsi"/>
          <w:sz w:val="24"/>
          <w:szCs w:val="24"/>
          <w:lang w:eastAsia="cs-CZ"/>
        </w:rPr>
        <w:t>a časově náročná u</w:t>
      </w:r>
      <w:r w:rsidR="00777B6B">
        <w:rPr>
          <w:rFonts w:cstheme="minorHAnsi"/>
          <w:sz w:val="24"/>
          <w:szCs w:val="24"/>
          <w:lang w:eastAsia="cs-CZ"/>
        </w:rPr>
        <w:t> </w:t>
      </w:r>
      <w:r w:rsidRPr="00CB68DA">
        <w:rPr>
          <w:rFonts w:cstheme="minorHAnsi"/>
          <w:sz w:val="24"/>
          <w:szCs w:val="24"/>
          <w:lang w:eastAsia="cs-CZ"/>
        </w:rPr>
        <w:t>21</w:t>
      </w:r>
      <w:r w:rsidR="00777B6B">
        <w:rPr>
          <w:rFonts w:cstheme="minorHAnsi"/>
          <w:sz w:val="24"/>
          <w:szCs w:val="24"/>
          <w:lang w:eastAsia="cs-CZ"/>
        </w:rPr>
        <w:t> </w:t>
      </w:r>
      <w:r w:rsidR="008D0FC9" w:rsidRPr="00CB68DA">
        <w:rPr>
          <w:rFonts w:cstheme="minorHAnsi"/>
          <w:sz w:val="24"/>
          <w:szCs w:val="24"/>
          <w:lang w:eastAsia="cs-CZ"/>
        </w:rPr>
        <w:t>lokalit</w:t>
      </w:r>
      <w:r w:rsidR="002A21EE" w:rsidRPr="00CB68DA">
        <w:rPr>
          <w:rFonts w:cstheme="minorHAnsi"/>
          <w:sz w:val="24"/>
          <w:szCs w:val="24"/>
          <w:lang w:eastAsia="cs-CZ"/>
        </w:rPr>
        <w:t>, přičemž projektová příprava byla k 30. dubnu 2023 zahájena pouze u šesti z</w:t>
      </w:r>
      <w:r w:rsidR="0010262D">
        <w:rPr>
          <w:rFonts w:cstheme="minorHAnsi"/>
          <w:sz w:val="24"/>
          <w:szCs w:val="24"/>
          <w:lang w:eastAsia="cs-CZ"/>
        </w:rPr>
        <w:t> </w:t>
      </w:r>
      <w:r w:rsidR="002A21EE" w:rsidRPr="00CB68DA">
        <w:rPr>
          <w:rFonts w:cstheme="minorHAnsi"/>
          <w:sz w:val="24"/>
          <w:szCs w:val="24"/>
          <w:lang w:eastAsia="cs-CZ"/>
        </w:rPr>
        <w:t xml:space="preserve">nich. </w:t>
      </w:r>
    </w:p>
    <w:p w14:paraId="55A3B52A" w14:textId="4BEE79F3" w:rsidR="004668DD" w:rsidRPr="0042422E" w:rsidRDefault="00624106" w:rsidP="00E605DC">
      <w:pPr>
        <w:keepNext/>
        <w:spacing w:after="120"/>
        <w:ind w:left="992" w:hanging="992"/>
        <w:jc w:val="both"/>
        <w:rPr>
          <w:rFonts w:cstheme="minorHAnsi"/>
          <w:b/>
          <w:sz w:val="24"/>
          <w:szCs w:val="24"/>
          <w:lang w:eastAsia="cs-CZ"/>
        </w:rPr>
      </w:pPr>
      <w:r w:rsidRPr="0042422E">
        <w:rPr>
          <w:rFonts w:cstheme="minorHAnsi"/>
          <w:b/>
          <w:sz w:val="24"/>
          <w:szCs w:val="24"/>
          <w:lang w:eastAsia="cs-CZ"/>
        </w:rPr>
        <w:t xml:space="preserve">Graf č. 1: </w:t>
      </w:r>
      <w:r w:rsidR="0042422E">
        <w:rPr>
          <w:rFonts w:cstheme="minorHAnsi"/>
          <w:b/>
          <w:sz w:val="24"/>
          <w:szCs w:val="24"/>
          <w:lang w:eastAsia="cs-CZ"/>
        </w:rPr>
        <w:tab/>
      </w:r>
      <w:r w:rsidRPr="0042422E">
        <w:rPr>
          <w:rFonts w:cstheme="minorHAnsi"/>
          <w:b/>
          <w:sz w:val="24"/>
          <w:szCs w:val="24"/>
          <w:lang w:eastAsia="cs-CZ"/>
        </w:rPr>
        <w:t xml:space="preserve">Stav </w:t>
      </w:r>
      <w:r w:rsidR="007A56C2" w:rsidRPr="0042422E">
        <w:rPr>
          <w:rFonts w:cstheme="minorHAnsi"/>
          <w:b/>
          <w:sz w:val="24"/>
          <w:szCs w:val="24"/>
          <w:lang w:eastAsia="cs-CZ"/>
        </w:rPr>
        <w:t xml:space="preserve">odstraňování SEZ </w:t>
      </w:r>
      <w:r w:rsidRPr="0042422E">
        <w:rPr>
          <w:rFonts w:cstheme="minorHAnsi"/>
          <w:b/>
          <w:sz w:val="24"/>
          <w:szCs w:val="24"/>
          <w:lang w:eastAsia="cs-CZ"/>
        </w:rPr>
        <w:t xml:space="preserve">na lokalitách evidovaných pod neukončenými ekologickými smlouvami </w:t>
      </w:r>
      <w:r w:rsidR="00824E3E" w:rsidRPr="0042422E">
        <w:rPr>
          <w:rFonts w:cstheme="minorHAnsi"/>
          <w:b/>
          <w:sz w:val="24"/>
          <w:szCs w:val="24"/>
          <w:lang w:eastAsia="cs-CZ"/>
        </w:rPr>
        <w:t>uvedený v procentech</w:t>
      </w:r>
    </w:p>
    <w:p w14:paraId="0469FC81" w14:textId="2B983FAB" w:rsidR="007977ED" w:rsidRDefault="00AE389B" w:rsidP="00E605DC">
      <w:pPr>
        <w:spacing w:after="120"/>
        <w:jc w:val="center"/>
        <w:rPr>
          <w:rFonts w:cstheme="minorHAnsi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0ACF4489" wp14:editId="6555A738">
            <wp:extent cx="5760720" cy="3042285"/>
            <wp:effectExtent l="0" t="0" r="0" b="571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50949B00-8D62-445E-8893-46323D7376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1089815" w14:textId="0C9A2D2C" w:rsidR="007977ED" w:rsidRPr="009D7A18" w:rsidRDefault="00624106" w:rsidP="007977ED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42422E">
        <w:rPr>
          <w:b/>
          <w:sz w:val="20"/>
          <w:szCs w:val="20"/>
          <w:lang w:eastAsia="cs-CZ"/>
        </w:rPr>
        <w:t>Zdroj:</w:t>
      </w:r>
      <w:r w:rsidRPr="00345DEF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d</w:t>
      </w:r>
      <w:r w:rsidRPr="00345DEF">
        <w:rPr>
          <w:sz w:val="20"/>
          <w:szCs w:val="20"/>
          <w:lang w:eastAsia="cs-CZ"/>
        </w:rPr>
        <w:t>ata MF</w:t>
      </w:r>
      <w:r>
        <w:rPr>
          <w:sz w:val="20"/>
          <w:szCs w:val="20"/>
          <w:lang w:eastAsia="cs-CZ"/>
        </w:rPr>
        <w:t xml:space="preserve">, </w:t>
      </w:r>
      <w:r w:rsidR="0028246B">
        <w:rPr>
          <w:sz w:val="20"/>
          <w:szCs w:val="20"/>
          <w:lang w:eastAsia="cs-CZ"/>
        </w:rPr>
        <w:t>vypracoval</w:t>
      </w:r>
      <w:r>
        <w:rPr>
          <w:sz w:val="20"/>
          <w:szCs w:val="20"/>
          <w:lang w:eastAsia="cs-CZ"/>
        </w:rPr>
        <w:t xml:space="preserve"> NKÚ</w:t>
      </w:r>
      <w:r w:rsidRPr="00345DEF">
        <w:rPr>
          <w:sz w:val="20"/>
          <w:szCs w:val="20"/>
          <w:lang w:eastAsia="cs-CZ"/>
        </w:rPr>
        <w:t>.</w:t>
      </w:r>
    </w:p>
    <w:p w14:paraId="71BF58CF" w14:textId="11C3B6E5" w:rsidR="00263915" w:rsidRPr="004F6BC6" w:rsidRDefault="00624106" w:rsidP="00C97B65">
      <w:pPr>
        <w:spacing w:before="240" w:after="24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7977ED">
        <w:rPr>
          <w:rFonts w:cstheme="minorHAnsi"/>
          <w:sz w:val="24"/>
          <w:szCs w:val="24"/>
          <w:lang w:eastAsia="cs-CZ"/>
        </w:rPr>
        <w:t xml:space="preserve">Včasné zahájení předprojektové a projektové </w:t>
      </w:r>
      <w:r w:rsidRPr="003735FA">
        <w:rPr>
          <w:rFonts w:cstheme="minorHAnsi"/>
          <w:sz w:val="24"/>
          <w:szCs w:val="24"/>
          <w:lang w:eastAsia="cs-CZ"/>
        </w:rPr>
        <w:t xml:space="preserve">přípravy </w:t>
      </w:r>
      <w:r w:rsidR="00D6732B" w:rsidRPr="003735FA">
        <w:rPr>
          <w:rFonts w:cstheme="minorHAnsi"/>
          <w:sz w:val="24"/>
          <w:szCs w:val="24"/>
          <w:lang w:eastAsia="cs-CZ"/>
        </w:rPr>
        <w:t>finančně, technicky a časově náročných</w:t>
      </w:r>
      <w:r w:rsidRPr="003735FA">
        <w:rPr>
          <w:rFonts w:cstheme="minorHAnsi"/>
          <w:sz w:val="24"/>
          <w:szCs w:val="24"/>
          <w:lang w:eastAsia="cs-CZ"/>
        </w:rPr>
        <w:t xml:space="preserve"> sanací je nezbytné k</w:t>
      </w:r>
      <w:r w:rsidR="00A50A4E" w:rsidRPr="003735FA">
        <w:rPr>
          <w:rFonts w:cstheme="minorHAnsi"/>
          <w:sz w:val="24"/>
          <w:szCs w:val="24"/>
          <w:lang w:eastAsia="cs-CZ"/>
        </w:rPr>
        <w:t xml:space="preserve"> </w:t>
      </w:r>
      <w:r w:rsidRPr="003735FA">
        <w:rPr>
          <w:rFonts w:cstheme="minorHAnsi"/>
          <w:sz w:val="24"/>
          <w:szCs w:val="24"/>
          <w:lang w:eastAsia="cs-CZ"/>
        </w:rPr>
        <w:t>tomu, aby nedocházelo</w:t>
      </w:r>
      <w:r w:rsidR="008D0FC9" w:rsidRPr="003735FA">
        <w:rPr>
          <w:rFonts w:cstheme="minorHAnsi"/>
          <w:sz w:val="24"/>
          <w:szCs w:val="24"/>
          <w:lang w:eastAsia="cs-CZ"/>
        </w:rPr>
        <w:t xml:space="preserve"> k dalšímu</w:t>
      </w:r>
      <w:r w:rsidR="0028246B">
        <w:rPr>
          <w:rFonts w:cstheme="minorHAnsi"/>
          <w:sz w:val="24"/>
          <w:szCs w:val="24"/>
          <w:lang w:eastAsia="cs-CZ"/>
        </w:rPr>
        <w:t xml:space="preserve"> </w:t>
      </w:r>
      <w:r w:rsidRPr="007977ED">
        <w:rPr>
          <w:rFonts w:cstheme="minorHAnsi"/>
          <w:sz w:val="24"/>
          <w:szCs w:val="24"/>
          <w:lang w:eastAsia="cs-CZ"/>
        </w:rPr>
        <w:t xml:space="preserve">prodlužování procesu odstraňování SEZ jako celku. </w:t>
      </w:r>
      <w:r w:rsidR="002A21EE" w:rsidRPr="007977ED">
        <w:rPr>
          <w:rFonts w:cstheme="minorHAnsi"/>
          <w:sz w:val="24"/>
          <w:szCs w:val="24"/>
          <w:lang w:eastAsia="cs-CZ"/>
        </w:rPr>
        <w:t>Ř</w:t>
      </w:r>
      <w:r w:rsidR="00F37618" w:rsidRPr="007977ED">
        <w:rPr>
          <w:rFonts w:cstheme="minorHAnsi"/>
          <w:sz w:val="24"/>
          <w:szCs w:val="24"/>
          <w:lang w:eastAsia="cs-CZ"/>
        </w:rPr>
        <w:t xml:space="preserve">ešení problematiky </w:t>
      </w:r>
      <w:r w:rsidR="004B6D81">
        <w:rPr>
          <w:rFonts w:cstheme="minorHAnsi"/>
          <w:sz w:val="24"/>
          <w:szCs w:val="24"/>
          <w:lang w:eastAsia="cs-CZ"/>
        </w:rPr>
        <w:t xml:space="preserve">starých </w:t>
      </w:r>
      <w:r w:rsidR="00F37618" w:rsidRPr="007977ED">
        <w:rPr>
          <w:rFonts w:cstheme="minorHAnsi"/>
          <w:sz w:val="24"/>
          <w:szCs w:val="24"/>
          <w:lang w:eastAsia="cs-CZ"/>
        </w:rPr>
        <w:t xml:space="preserve">ekologických zátěží v lokalitách </w:t>
      </w:r>
      <w:r w:rsidRPr="007977ED">
        <w:rPr>
          <w:rFonts w:cstheme="minorHAnsi"/>
          <w:sz w:val="24"/>
          <w:szCs w:val="24"/>
          <w:lang w:eastAsia="cs-CZ"/>
        </w:rPr>
        <w:t xml:space="preserve">s technicky a finančně náročnou sanací </w:t>
      </w:r>
      <w:r w:rsidR="00F37618" w:rsidRPr="007977ED">
        <w:rPr>
          <w:rFonts w:cstheme="minorHAnsi"/>
          <w:sz w:val="24"/>
          <w:szCs w:val="24"/>
          <w:lang w:eastAsia="cs-CZ"/>
        </w:rPr>
        <w:t xml:space="preserve">může trvat </w:t>
      </w:r>
      <w:r w:rsidR="00EE64B1" w:rsidRPr="007977ED">
        <w:rPr>
          <w:rFonts w:cstheme="minorHAnsi"/>
          <w:sz w:val="24"/>
          <w:szCs w:val="24"/>
          <w:lang w:eastAsia="cs-CZ"/>
        </w:rPr>
        <w:t>až</w:t>
      </w:r>
      <w:r w:rsidR="00F37618" w:rsidRPr="007977ED">
        <w:rPr>
          <w:rFonts w:cstheme="minorHAnsi"/>
          <w:sz w:val="24"/>
          <w:szCs w:val="24"/>
          <w:lang w:eastAsia="cs-CZ"/>
        </w:rPr>
        <w:t xml:space="preserve"> 20</w:t>
      </w:r>
      <w:r w:rsidR="00C71538" w:rsidRPr="007977ED">
        <w:rPr>
          <w:rFonts w:cstheme="minorHAnsi"/>
          <w:sz w:val="24"/>
          <w:szCs w:val="24"/>
          <w:lang w:eastAsia="cs-CZ"/>
        </w:rPr>
        <w:t>, případně</w:t>
      </w:r>
      <w:r w:rsidR="00EE64B1" w:rsidRPr="007977ED">
        <w:rPr>
          <w:rFonts w:cstheme="minorHAnsi"/>
          <w:sz w:val="24"/>
          <w:szCs w:val="24"/>
          <w:lang w:eastAsia="cs-CZ"/>
        </w:rPr>
        <w:t xml:space="preserve"> i</w:t>
      </w:r>
      <w:r w:rsidR="00C71538" w:rsidRPr="007977ED">
        <w:rPr>
          <w:rFonts w:cstheme="minorHAnsi"/>
          <w:sz w:val="24"/>
          <w:szCs w:val="24"/>
          <w:lang w:eastAsia="cs-CZ"/>
        </w:rPr>
        <w:t xml:space="preserve"> </w:t>
      </w:r>
      <w:r w:rsidR="00F37618" w:rsidRPr="007977ED">
        <w:rPr>
          <w:rFonts w:cstheme="minorHAnsi"/>
          <w:sz w:val="24"/>
          <w:szCs w:val="24"/>
          <w:lang w:eastAsia="cs-CZ"/>
        </w:rPr>
        <w:t>více let</w:t>
      </w:r>
      <w:r w:rsidR="00756FE2" w:rsidRPr="007977ED">
        <w:rPr>
          <w:rFonts w:cstheme="minorHAnsi"/>
          <w:sz w:val="24"/>
          <w:szCs w:val="24"/>
          <w:lang w:eastAsia="cs-CZ"/>
        </w:rPr>
        <w:t xml:space="preserve">, </w:t>
      </w:r>
      <w:r w:rsidR="00756FE2" w:rsidRPr="004F6BC6">
        <w:rPr>
          <w:rFonts w:cstheme="minorHAnsi"/>
          <w:sz w:val="24"/>
          <w:szCs w:val="24"/>
          <w:lang w:eastAsia="cs-CZ"/>
        </w:rPr>
        <w:t>což doklád</w:t>
      </w:r>
      <w:r w:rsidR="00EE64B1" w:rsidRPr="004F6BC6">
        <w:rPr>
          <w:rFonts w:cstheme="minorHAnsi"/>
          <w:sz w:val="24"/>
          <w:szCs w:val="24"/>
          <w:lang w:eastAsia="cs-CZ"/>
        </w:rPr>
        <w:t>ají</w:t>
      </w:r>
      <w:r w:rsidR="00756FE2" w:rsidRPr="004F6BC6">
        <w:rPr>
          <w:rFonts w:cstheme="minorHAnsi"/>
          <w:sz w:val="24"/>
          <w:szCs w:val="24"/>
          <w:lang w:eastAsia="cs-CZ"/>
        </w:rPr>
        <w:t xml:space="preserve"> níže uveden</w:t>
      </w:r>
      <w:r w:rsidR="00EE64B1" w:rsidRPr="004F6BC6">
        <w:rPr>
          <w:rFonts w:cstheme="minorHAnsi"/>
          <w:sz w:val="24"/>
          <w:szCs w:val="24"/>
          <w:lang w:eastAsia="cs-CZ"/>
        </w:rPr>
        <w:t>é</w:t>
      </w:r>
      <w:r w:rsidR="00756FE2" w:rsidRPr="004F6BC6">
        <w:rPr>
          <w:rFonts w:cstheme="minorHAnsi"/>
          <w:sz w:val="24"/>
          <w:szCs w:val="24"/>
          <w:lang w:eastAsia="cs-CZ"/>
        </w:rPr>
        <w:t xml:space="preserve"> příklad</w:t>
      </w:r>
      <w:r w:rsidR="00EE64B1" w:rsidRPr="004F6BC6">
        <w:rPr>
          <w:rFonts w:cstheme="minorHAnsi"/>
          <w:sz w:val="24"/>
          <w:szCs w:val="24"/>
          <w:lang w:eastAsia="cs-CZ"/>
        </w:rPr>
        <w:t>y</w:t>
      </w:r>
      <w:r w:rsidR="00E63F3C" w:rsidRPr="004F6BC6">
        <w:rPr>
          <w:rFonts w:cstheme="minorHAnsi"/>
          <w:sz w:val="24"/>
          <w:szCs w:val="24"/>
          <w:lang w:eastAsia="cs-CZ"/>
        </w:rPr>
        <w:t xml:space="preserve"> </w:t>
      </w:r>
      <w:r w:rsidR="00756FE2" w:rsidRPr="004F6BC6">
        <w:rPr>
          <w:rFonts w:cstheme="minorHAnsi"/>
          <w:sz w:val="24"/>
          <w:szCs w:val="24"/>
          <w:lang w:eastAsia="cs-CZ"/>
        </w:rPr>
        <w:t>již zahájen</w:t>
      </w:r>
      <w:r w:rsidR="00EE64B1" w:rsidRPr="004F6BC6">
        <w:rPr>
          <w:rFonts w:cstheme="minorHAnsi"/>
          <w:sz w:val="24"/>
          <w:szCs w:val="24"/>
          <w:lang w:eastAsia="cs-CZ"/>
        </w:rPr>
        <w:t>ých</w:t>
      </w:r>
      <w:r w:rsidR="00756FE2" w:rsidRPr="004F6BC6">
        <w:rPr>
          <w:rFonts w:cstheme="minorHAnsi"/>
          <w:sz w:val="24"/>
          <w:szCs w:val="24"/>
          <w:lang w:eastAsia="cs-CZ"/>
        </w:rPr>
        <w:t xml:space="preserve"> sanac</w:t>
      </w:r>
      <w:r w:rsidR="00EE64B1" w:rsidRPr="004F6BC6">
        <w:rPr>
          <w:rFonts w:cstheme="minorHAnsi"/>
          <w:sz w:val="24"/>
          <w:szCs w:val="24"/>
          <w:lang w:eastAsia="cs-CZ"/>
        </w:rPr>
        <w:t>í</w:t>
      </w:r>
      <w:r w:rsidR="00756FE2" w:rsidRPr="004F6BC6">
        <w:rPr>
          <w:rFonts w:cstheme="minorHAnsi"/>
          <w:sz w:val="24"/>
          <w:szCs w:val="24"/>
          <w:lang w:eastAsia="cs-CZ"/>
        </w:rPr>
        <w:t xml:space="preserve"> v</w:t>
      </w:r>
      <w:r w:rsidR="00EE64B1" w:rsidRPr="004F6BC6">
        <w:rPr>
          <w:rFonts w:cstheme="minorHAnsi"/>
          <w:sz w:val="24"/>
          <w:szCs w:val="24"/>
          <w:lang w:eastAsia="cs-CZ"/>
        </w:rPr>
        <w:t> </w:t>
      </w:r>
      <w:r w:rsidR="00756FE2" w:rsidRPr="004F6BC6">
        <w:rPr>
          <w:rFonts w:cstheme="minorHAnsi"/>
          <w:sz w:val="24"/>
          <w:szCs w:val="24"/>
          <w:lang w:eastAsia="cs-CZ"/>
        </w:rPr>
        <w:t>lokalit</w:t>
      </w:r>
      <w:r w:rsidR="00EE64B1" w:rsidRPr="004F6BC6">
        <w:rPr>
          <w:rFonts w:cstheme="minorHAnsi"/>
          <w:sz w:val="24"/>
          <w:szCs w:val="24"/>
          <w:lang w:eastAsia="cs-CZ"/>
        </w:rPr>
        <w:t xml:space="preserve">ách laguny </w:t>
      </w:r>
      <w:proofErr w:type="spellStart"/>
      <w:r w:rsidR="00EE64B1" w:rsidRPr="004F6BC6">
        <w:rPr>
          <w:rFonts w:cstheme="minorHAnsi"/>
          <w:sz w:val="24"/>
          <w:szCs w:val="24"/>
          <w:lang w:eastAsia="cs-CZ"/>
        </w:rPr>
        <w:t>Ostramo</w:t>
      </w:r>
      <w:proofErr w:type="spellEnd"/>
      <w:r w:rsidR="00EE64B1" w:rsidRPr="004F6BC6">
        <w:rPr>
          <w:rFonts w:cstheme="minorHAnsi"/>
          <w:sz w:val="24"/>
          <w:szCs w:val="24"/>
          <w:lang w:eastAsia="cs-CZ"/>
        </w:rPr>
        <w:t xml:space="preserve"> a Koksovna Jan </w:t>
      </w:r>
      <w:proofErr w:type="spellStart"/>
      <w:r w:rsidR="00EE64B1" w:rsidRPr="004F6BC6">
        <w:rPr>
          <w:rFonts w:cstheme="minorHAnsi"/>
          <w:sz w:val="24"/>
          <w:szCs w:val="24"/>
          <w:lang w:eastAsia="cs-CZ"/>
        </w:rPr>
        <w:t>Šverma</w:t>
      </w:r>
      <w:proofErr w:type="spellEnd"/>
      <w:r w:rsidR="00EE64B1" w:rsidRPr="004F6BC6">
        <w:rPr>
          <w:rFonts w:cstheme="minorHAnsi"/>
          <w:sz w:val="24"/>
          <w:szCs w:val="24"/>
          <w:lang w:eastAsia="cs-CZ"/>
        </w:rPr>
        <w:t>.</w:t>
      </w:r>
      <w:r w:rsidR="002A21EE" w:rsidRPr="004F6BC6">
        <w:rPr>
          <w:rFonts w:cstheme="minorHAnsi"/>
          <w:sz w:val="24"/>
          <w:szCs w:val="24"/>
          <w:lang w:eastAsia="cs-CZ"/>
        </w:rPr>
        <w:t xml:space="preserve"> </w:t>
      </w:r>
      <w:bookmarkEnd w:id="7"/>
    </w:p>
    <w:p w14:paraId="54BEEEB7" w14:textId="77777777" w:rsidR="00153075" w:rsidRPr="00153075" w:rsidRDefault="00624106" w:rsidP="00063646">
      <w:pPr>
        <w:keepNext/>
        <w:pBdr>
          <w:top w:val="single" w:sz="8" w:space="1" w:color="auto"/>
          <w:bottom w:val="single" w:sz="8" w:space="1" w:color="auto"/>
        </w:pBdr>
        <w:shd w:val="clear" w:color="auto" w:fill="F2F2F2" w:themeFill="background1" w:themeFillShade="F2"/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153075">
        <w:rPr>
          <w:rFonts w:cstheme="minorHAnsi"/>
          <w:b/>
          <w:sz w:val="24"/>
          <w:szCs w:val="24"/>
        </w:rPr>
        <w:t xml:space="preserve">Příklad č. </w:t>
      </w:r>
      <w:r w:rsidR="000E0100" w:rsidRPr="00153075">
        <w:rPr>
          <w:rFonts w:cstheme="minorHAnsi"/>
          <w:b/>
          <w:sz w:val="24"/>
          <w:szCs w:val="24"/>
        </w:rPr>
        <w:t>1</w:t>
      </w:r>
    </w:p>
    <w:p w14:paraId="3BD8C383" w14:textId="1CCC9DC5" w:rsidR="002C1CCE" w:rsidRPr="00EB4673" w:rsidRDefault="00624106" w:rsidP="00C97B65">
      <w:pPr>
        <w:pStyle w:val="Styl1-kapitola"/>
        <w:numPr>
          <w:ilvl w:val="0"/>
          <w:numId w:val="0"/>
        </w:numPr>
        <w:pBdr>
          <w:top w:val="single" w:sz="8" w:space="1" w:color="auto"/>
          <w:bottom w:val="single" w:sz="8" w:space="1" w:color="auto"/>
        </w:pBdr>
        <w:shd w:val="clear" w:color="auto" w:fill="F2F2F2" w:themeFill="background1" w:themeFillShade="F2"/>
        <w:spacing w:before="120" w:after="360"/>
        <w:contextualSpacing w:val="0"/>
        <w:rPr>
          <w:rFonts w:asciiTheme="minorHAnsi" w:hAnsiTheme="minorHAnsi" w:cstheme="minorHAnsi"/>
          <w:u w:val="none"/>
          <w:lang w:eastAsia="cs-CZ"/>
        </w:rPr>
      </w:pPr>
      <w:r w:rsidRPr="003735FA">
        <w:rPr>
          <w:rFonts w:asciiTheme="minorHAnsi" w:hAnsiTheme="minorHAnsi" w:cstheme="minorHAnsi"/>
          <w:u w:val="none"/>
          <w:lang w:eastAsia="cs-CZ"/>
        </w:rPr>
        <w:t xml:space="preserve">SEZ laguny </w:t>
      </w:r>
      <w:proofErr w:type="spellStart"/>
      <w:r w:rsidRPr="003735FA">
        <w:rPr>
          <w:rFonts w:asciiTheme="minorHAnsi" w:hAnsiTheme="minorHAnsi" w:cstheme="minorHAnsi"/>
          <w:u w:val="none"/>
          <w:lang w:eastAsia="cs-CZ"/>
        </w:rPr>
        <w:t>Ostramo</w:t>
      </w:r>
      <w:proofErr w:type="spellEnd"/>
      <w:r w:rsidRPr="00515118"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  <w:r w:rsidR="00BC609F">
        <w:rPr>
          <w:rFonts w:asciiTheme="minorHAnsi" w:hAnsiTheme="minorHAnsi" w:cstheme="minorHAnsi"/>
          <w:b w:val="0"/>
          <w:u w:val="none"/>
          <w:lang w:eastAsia="cs-CZ"/>
        </w:rPr>
        <w:t xml:space="preserve">byla </w:t>
      </w:r>
      <w:r w:rsidRPr="00515118">
        <w:rPr>
          <w:rFonts w:asciiTheme="minorHAnsi" w:hAnsiTheme="minorHAnsi" w:cstheme="minorHAnsi"/>
          <w:b w:val="0"/>
          <w:u w:val="none"/>
          <w:lang w:eastAsia="cs-CZ"/>
        </w:rPr>
        <w:t>skládk</w:t>
      </w:r>
      <w:r w:rsidR="00BC609F">
        <w:rPr>
          <w:rFonts w:asciiTheme="minorHAnsi" w:hAnsiTheme="minorHAnsi" w:cstheme="minorHAnsi"/>
          <w:b w:val="0"/>
          <w:u w:val="none"/>
          <w:lang w:eastAsia="cs-CZ"/>
        </w:rPr>
        <w:t>ou</w:t>
      </w:r>
      <w:r w:rsidRPr="00515118">
        <w:rPr>
          <w:rFonts w:asciiTheme="minorHAnsi" w:hAnsiTheme="minorHAnsi" w:cstheme="minorHAnsi"/>
          <w:b w:val="0"/>
          <w:u w:val="none"/>
          <w:lang w:eastAsia="cs-CZ"/>
        </w:rPr>
        <w:t xml:space="preserve"> nebezpečných odpadů</w:t>
      </w:r>
      <w:r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  <w:r w:rsidRPr="00515118">
        <w:rPr>
          <w:rFonts w:asciiTheme="minorHAnsi" w:hAnsiTheme="minorHAnsi" w:cstheme="minorHAnsi"/>
          <w:b w:val="0"/>
          <w:u w:val="none"/>
          <w:lang w:eastAsia="cs-CZ"/>
        </w:rPr>
        <w:t xml:space="preserve">z rafinérské výroby a z regenerace upotřebených </w:t>
      </w:r>
      <w:r w:rsidRPr="00AD17B8">
        <w:rPr>
          <w:rFonts w:asciiTheme="minorHAnsi" w:hAnsiTheme="minorHAnsi" w:cstheme="minorHAnsi"/>
          <w:b w:val="0"/>
          <w:u w:val="none"/>
          <w:lang w:eastAsia="cs-CZ"/>
        </w:rPr>
        <w:t xml:space="preserve">mazacích olejů (dále jen „kaly“). Ekologická smlouva </w:t>
      </w:r>
      <w:r w:rsidR="000E0100" w:rsidRPr="00AD17B8">
        <w:rPr>
          <w:rFonts w:asciiTheme="minorHAnsi" w:hAnsiTheme="minorHAnsi" w:cstheme="minorHAnsi"/>
          <w:b w:val="0"/>
          <w:u w:val="none"/>
          <w:lang w:eastAsia="cs-CZ"/>
        </w:rPr>
        <w:t xml:space="preserve">č. 0193/97/01 </w:t>
      </w:r>
      <w:r w:rsidRPr="00AD17B8">
        <w:rPr>
          <w:rFonts w:asciiTheme="minorHAnsi" w:hAnsiTheme="minorHAnsi" w:cstheme="minorHAnsi"/>
          <w:b w:val="0"/>
          <w:u w:val="none"/>
          <w:lang w:eastAsia="cs-CZ"/>
        </w:rPr>
        <w:t>byla uzavřena mezi F</w:t>
      </w:r>
      <w:r w:rsidR="004B0016" w:rsidRPr="00AD17B8">
        <w:rPr>
          <w:rFonts w:asciiTheme="minorHAnsi" w:hAnsiTheme="minorHAnsi" w:cstheme="minorHAnsi"/>
          <w:b w:val="0"/>
          <w:u w:val="none"/>
          <w:lang w:eastAsia="cs-CZ"/>
        </w:rPr>
        <w:t>ondem národního majetku</w:t>
      </w:r>
      <w:r w:rsidRPr="00AD17B8">
        <w:rPr>
          <w:rFonts w:asciiTheme="minorHAnsi" w:hAnsiTheme="minorHAnsi" w:cstheme="minorHAnsi"/>
          <w:b w:val="0"/>
          <w:u w:val="none"/>
          <w:lang w:eastAsia="cs-CZ"/>
        </w:rPr>
        <w:t xml:space="preserve"> a státním podnikem DIAMO </w:t>
      </w:r>
      <w:r w:rsidR="00BC609F" w:rsidRPr="00AD17B8">
        <w:rPr>
          <w:rFonts w:asciiTheme="minorHAnsi" w:hAnsiTheme="minorHAnsi" w:cstheme="minorHAnsi"/>
          <w:b w:val="0"/>
          <w:u w:val="none"/>
          <w:lang w:eastAsia="cs-CZ"/>
        </w:rPr>
        <w:t>v roce</w:t>
      </w:r>
      <w:r w:rsidRPr="00AD17B8"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  <w:r w:rsidRPr="00AD17B8">
        <w:rPr>
          <w:rFonts w:asciiTheme="minorHAnsi" w:hAnsiTheme="minorHAnsi" w:cstheme="minorHAnsi"/>
          <w:u w:val="none"/>
          <w:lang w:eastAsia="cs-CZ"/>
        </w:rPr>
        <w:t>1997</w:t>
      </w:r>
      <w:r w:rsidRPr="00052C41">
        <w:rPr>
          <w:rFonts w:asciiTheme="minorHAnsi" w:hAnsiTheme="minorHAnsi" w:cstheme="minorHAnsi"/>
          <w:u w:val="none"/>
          <w:lang w:eastAsia="cs-CZ"/>
        </w:rPr>
        <w:t>.</w:t>
      </w:r>
      <w:r w:rsidRPr="00AD17B8">
        <w:rPr>
          <w:rFonts w:asciiTheme="minorHAnsi" w:hAnsiTheme="minorHAnsi" w:cstheme="minorHAnsi"/>
          <w:b w:val="0"/>
          <w:u w:val="none"/>
          <w:lang w:eastAsia="cs-CZ"/>
        </w:rPr>
        <w:t xml:space="preserve"> Řešení problematiky kalů (tj.</w:t>
      </w:r>
      <w:r w:rsidR="00895736" w:rsidRPr="00AD17B8">
        <w:rPr>
          <w:rFonts w:asciiTheme="minorHAnsi" w:hAnsiTheme="minorHAnsi" w:cstheme="minorHAnsi"/>
          <w:b w:val="0"/>
          <w:u w:val="none"/>
          <w:lang w:eastAsia="cs-CZ"/>
        </w:rPr>
        <w:t> </w:t>
      </w:r>
      <w:r w:rsidRPr="00AD17B8">
        <w:rPr>
          <w:rFonts w:asciiTheme="minorHAnsi" w:hAnsiTheme="minorHAnsi" w:cstheme="minorHAnsi"/>
          <w:b w:val="0"/>
          <w:u w:val="none"/>
          <w:lang w:eastAsia="cs-CZ"/>
        </w:rPr>
        <w:t xml:space="preserve">jejich </w:t>
      </w:r>
      <w:proofErr w:type="spellStart"/>
      <w:r w:rsidRPr="00AD17B8">
        <w:rPr>
          <w:rFonts w:asciiTheme="minorHAnsi" w:hAnsiTheme="minorHAnsi" w:cstheme="minorHAnsi"/>
          <w:b w:val="0"/>
          <w:u w:val="none"/>
          <w:lang w:eastAsia="cs-CZ"/>
        </w:rPr>
        <w:t>odtěžba</w:t>
      </w:r>
      <w:proofErr w:type="spellEnd"/>
      <w:r w:rsidRPr="00AD17B8">
        <w:rPr>
          <w:rFonts w:asciiTheme="minorHAnsi" w:hAnsiTheme="minorHAnsi" w:cstheme="minorHAnsi"/>
          <w:b w:val="0"/>
          <w:u w:val="none"/>
          <w:lang w:eastAsia="cs-CZ"/>
        </w:rPr>
        <w:t xml:space="preserve"> z prostor lagun </w:t>
      </w:r>
      <w:proofErr w:type="spellStart"/>
      <w:r w:rsidRPr="00AD17B8">
        <w:rPr>
          <w:rFonts w:asciiTheme="minorHAnsi" w:hAnsiTheme="minorHAnsi" w:cstheme="minorHAnsi"/>
          <w:b w:val="0"/>
          <w:u w:val="none"/>
          <w:lang w:eastAsia="cs-CZ"/>
        </w:rPr>
        <w:t>Ostramo</w:t>
      </w:r>
      <w:proofErr w:type="spellEnd"/>
      <w:r w:rsidRPr="00AD17B8">
        <w:rPr>
          <w:rFonts w:asciiTheme="minorHAnsi" w:hAnsiTheme="minorHAnsi" w:cstheme="minorHAnsi"/>
          <w:b w:val="0"/>
          <w:u w:val="none"/>
          <w:lang w:eastAsia="cs-CZ"/>
        </w:rPr>
        <w:t xml:space="preserve"> a likvidace) bylo zahájeno </w:t>
      </w:r>
      <w:r w:rsidR="00D6732B" w:rsidRPr="00AD17B8">
        <w:rPr>
          <w:rFonts w:asciiTheme="minorHAnsi" w:hAnsiTheme="minorHAnsi" w:cstheme="minorHAnsi"/>
          <w:b w:val="0"/>
          <w:u w:val="none"/>
          <w:lang w:eastAsia="cs-CZ"/>
        </w:rPr>
        <w:t>v srpnu</w:t>
      </w:r>
      <w:r w:rsidRPr="00AD17B8">
        <w:rPr>
          <w:rFonts w:asciiTheme="minorHAnsi" w:hAnsiTheme="minorHAnsi" w:cstheme="minorHAnsi"/>
          <w:b w:val="0"/>
          <w:u w:val="none"/>
          <w:lang w:eastAsia="cs-CZ"/>
        </w:rPr>
        <w:t xml:space="preserve"> roku 2004 a trvalo 18 let do konce roku 2022. </w:t>
      </w:r>
      <w:r w:rsidR="00843647" w:rsidRPr="00AD17B8">
        <w:rPr>
          <w:rFonts w:asciiTheme="minorHAnsi" w:hAnsiTheme="minorHAnsi" w:cstheme="minorHAnsi"/>
          <w:b w:val="0"/>
          <w:u w:val="none"/>
          <w:lang w:eastAsia="cs-CZ"/>
        </w:rPr>
        <w:t>Navazující s</w:t>
      </w:r>
      <w:r w:rsidRPr="00AD17B8">
        <w:rPr>
          <w:rFonts w:asciiTheme="minorHAnsi" w:hAnsiTheme="minorHAnsi" w:cstheme="minorHAnsi"/>
          <w:b w:val="0"/>
          <w:u w:val="none"/>
          <w:lang w:eastAsia="cs-CZ"/>
        </w:rPr>
        <w:t xml:space="preserve">anace kontaminovaných zemin, navážek a horninového prostředí v bezprostřední </w:t>
      </w:r>
      <w:r w:rsidRPr="00517D79">
        <w:rPr>
          <w:rFonts w:asciiTheme="minorHAnsi" w:hAnsiTheme="minorHAnsi" w:cstheme="minorHAnsi"/>
          <w:b w:val="0"/>
          <w:u w:val="none"/>
          <w:lang w:eastAsia="cs-CZ"/>
        </w:rPr>
        <w:t xml:space="preserve">blízkosti </w:t>
      </w:r>
      <w:r w:rsidR="00BC609F">
        <w:rPr>
          <w:rFonts w:asciiTheme="minorHAnsi" w:hAnsiTheme="minorHAnsi" w:cstheme="minorHAnsi"/>
          <w:b w:val="0"/>
          <w:u w:val="none"/>
          <w:lang w:eastAsia="cs-CZ"/>
        </w:rPr>
        <w:t>lagun</w:t>
      </w:r>
      <w:r w:rsidRPr="00517D79">
        <w:rPr>
          <w:rFonts w:asciiTheme="minorHAnsi" w:hAnsiTheme="minorHAnsi" w:cstheme="minorHAnsi"/>
          <w:b w:val="0"/>
          <w:u w:val="none"/>
          <w:lang w:eastAsia="cs-CZ"/>
        </w:rPr>
        <w:t xml:space="preserve"> nebyla do doby ukončení kontroly NKÚ zahájena a nacházela se čtvrtým rokem v přípravné fázi. Závazný pevný termín pro ukončení sanace </w:t>
      </w:r>
      <w:r>
        <w:rPr>
          <w:rFonts w:asciiTheme="minorHAnsi" w:hAnsiTheme="minorHAnsi" w:cstheme="minorHAnsi"/>
          <w:b w:val="0"/>
          <w:u w:val="none"/>
          <w:lang w:eastAsia="cs-CZ"/>
        </w:rPr>
        <w:t xml:space="preserve">lagun </w:t>
      </w:r>
      <w:proofErr w:type="spellStart"/>
      <w:r>
        <w:rPr>
          <w:rFonts w:asciiTheme="minorHAnsi" w:hAnsiTheme="minorHAnsi" w:cstheme="minorHAnsi"/>
          <w:b w:val="0"/>
          <w:u w:val="none"/>
          <w:lang w:eastAsia="cs-CZ"/>
        </w:rPr>
        <w:t>Ostramo</w:t>
      </w:r>
      <w:proofErr w:type="spellEnd"/>
      <w:r w:rsidRPr="002E7FC1">
        <w:rPr>
          <w:rFonts w:asciiTheme="minorHAnsi" w:hAnsiTheme="minorHAnsi" w:cstheme="minorHAnsi"/>
          <w:b w:val="0"/>
          <w:u w:val="none"/>
          <w:lang w:eastAsia="cs-CZ"/>
        </w:rPr>
        <w:t xml:space="preserve"> nebyl </w:t>
      </w:r>
      <w:r w:rsidR="00BC609F">
        <w:rPr>
          <w:rFonts w:asciiTheme="minorHAnsi" w:hAnsiTheme="minorHAnsi" w:cstheme="minorHAnsi"/>
          <w:b w:val="0"/>
          <w:u w:val="none"/>
          <w:lang w:eastAsia="cs-CZ"/>
        </w:rPr>
        <w:t>Stanoviskem MŽP z roku 2018</w:t>
      </w:r>
      <w:r>
        <w:rPr>
          <w:rStyle w:val="Znakapoznpodarou"/>
          <w:rFonts w:asciiTheme="minorHAnsi" w:hAnsiTheme="minorHAnsi" w:cstheme="minorHAnsi"/>
          <w:b w:val="0"/>
          <w:u w:val="none"/>
          <w:lang w:eastAsia="cs-CZ"/>
        </w:rPr>
        <w:footnoteReference w:id="19"/>
      </w:r>
      <w:r w:rsidR="00BC609F">
        <w:rPr>
          <w:rFonts w:asciiTheme="minorHAnsi" w:hAnsiTheme="minorHAnsi" w:cstheme="minorHAnsi"/>
          <w:b w:val="0"/>
          <w:u w:val="none"/>
          <w:lang w:eastAsia="cs-CZ"/>
        </w:rPr>
        <w:t xml:space="preserve"> stanoven</w:t>
      </w:r>
      <w:r w:rsidR="002E7FC1">
        <w:rPr>
          <w:rFonts w:asciiTheme="minorHAnsi" w:hAnsiTheme="minorHAnsi" w:cstheme="minorHAnsi"/>
          <w:b w:val="0"/>
          <w:u w:val="none"/>
          <w:lang w:eastAsia="cs-CZ"/>
        </w:rPr>
        <w:t>.</w:t>
      </w:r>
      <w:r w:rsidRPr="00517D79"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  <w:r w:rsidR="002E7FC1">
        <w:rPr>
          <w:rFonts w:asciiTheme="minorHAnsi" w:hAnsiTheme="minorHAnsi" w:cstheme="minorHAnsi"/>
          <w:b w:val="0"/>
          <w:u w:val="none"/>
          <w:lang w:eastAsia="cs-CZ"/>
        </w:rPr>
        <w:t>D</w:t>
      </w:r>
      <w:r w:rsidRPr="00517D79">
        <w:rPr>
          <w:rFonts w:asciiTheme="minorHAnsi" w:hAnsiTheme="minorHAnsi" w:cstheme="minorHAnsi"/>
          <w:b w:val="0"/>
          <w:u w:val="none"/>
          <w:lang w:eastAsia="cs-CZ"/>
        </w:rPr>
        <w:t>le pracovní verze harmonogramu</w:t>
      </w:r>
      <w:r>
        <w:rPr>
          <w:rFonts w:asciiTheme="minorHAnsi" w:hAnsiTheme="minorHAnsi" w:cstheme="minorHAnsi"/>
          <w:b w:val="0"/>
          <w:u w:val="none"/>
          <w:lang w:eastAsia="cs-CZ"/>
        </w:rPr>
        <w:t xml:space="preserve"> z </w:t>
      </w:r>
      <w:r w:rsidR="002C18FA">
        <w:rPr>
          <w:rFonts w:asciiTheme="minorHAnsi" w:hAnsiTheme="minorHAnsi" w:cstheme="minorHAnsi"/>
          <w:b w:val="0"/>
          <w:u w:val="none"/>
          <w:lang w:eastAsia="cs-CZ"/>
        </w:rPr>
        <w:t>dubna</w:t>
      </w:r>
      <w:r>
        <w:rPr>
          <w:rFonts w:asciiTheme="minorHAnsi" w:hAnsiTheme="minorHAnsi" w:cstheme="minorHAnsi"/>
          <w:b w:val="0"/>
          <w:u w:val="none"/>
          <w:lang w:eastAsia="cs-CZ"/>
        </w:rPr>
        <w:t xml:space="preserve"> 2023</w:t>
      </w:r>
      <w:r w:rsidRPr="00517D79"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  <w:r w:rsidR="002C18FA" w:rsidRPr="002C1CCE">
        <w:rPr>
          <w:rFonts w:asciiTheme="minorHAnsi" w:hAnsiTheme="minorHAnsi" w:cstheme="minorHAnsi"/>
          <w:u w:val="none"/>
          <w:lang w:eastAsia="cs-CZ"/>
        </w:rPr>
        <w:t>má dojít k</w:t>
      </w:r>
      <w:r w:rsidRPr="002C1CCE">
        <w:rPr>
          <w:rFonts w:asciiTheme="minorHAnsi" w:hAnsiTheme="minorHAnsi" w:cstheme="minorHAnsi"/>
          <w:u w:val="none"/>
          <w:lang w:eastAsia="cs-CZ"/>
        </w:rPr>
        <w:t xml:space="preserve"> ukončení této fáze sanace až v roce 2032</w:t>
      </w:r>
      <w:r w:rsidRPr="00D648A5">
        <w:rPr>
          <w:rFonts w:asciiTheme="minorHAnsi" w:hAnsiTheme="minorHAnsi" w:cstheme="minorHAnsi"/>
          <w:u w:val="none"/>
          <w:lang w:eastAsia="cs-CZ"/>
        </w:rPr>
        <w:t xml:space="preserve">, tj. </w:t>
      </w:r>
      <w:r w:rsidR="00DF370E" w:rsidRPr="00D648A5">
        <w:rPr>
          <w:rFonts w:asciiTheme="minorHAnsi" w:hAnsiTheme="minorHAnsi" w:cstheme="minorHAnsi"/>
          <w:u w:val="none"/>
          <w:lang w:eastAsia="cs-CZ"/>
        </w:rPr>
        <w:t>po 35 letech od uzavření ekologické smlouvy</w:t>
      </w:r>
      <w:r w:rsidRPr="00052C41">
        <w:rPr>
          <w:rFonts w:asciiTheme="minorHAnsi" w:hAnsiTheme="minorHAnsi" w:cstheme="minorHAnsi"/>
          <w:u w:val="none"/>
          <w:lang w:eastAsia="cs-CZ"/>
        </w:rPr>
        <w:t>.</w:t>
      </w:r>
      <w:r w:rsidRPr="00517D79"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  <w:r w:rsidR="00426053">
        <w:rPr>
          <w:rFonts w:asciiTheme="minorHAnsi" w:hAnsiTheme="minorHAnsi" w:cstheme="minorHAnsi"/>
          <w:b w:val="0"/>
          <w:u w:val="none"/>
          <w:lang w:eastAsia="cs-CZ"/>
        </w:rPr>
        <w:t xml:space="preserve">Dle </w:t>
      </w:r>
      <w:r w:rsidR="00887206">
        <w:rPr>
          <w:rFonts w:asciiTheme="minorHAnsi" w:hAnsiTheme="minorHAnsi" w:cstheme="minorHAnsi"/>
          <w:b w:val="0"/>
          <w:u w:val="none"/>
          <w:lang w:eastAsia="cs-CZ"/>
        </w:rPr>
        <w:t>s</w:t>
      </w:r>
      <w:r w:rsidR="00426053">
        <w:rPr>
          <w:rFonts w:asciiTheme="minorHAnsi" w:hAnsiTheme="minorHAnsi" w:cstheme="minorHAnsi"/>
          <w:b w:val="0"/>
          <w:u w:val="none"/>
          <w:lang w:eastAsia="cs-CZ"/>
        </w:rPr>
        <w:t>tanoviska MŽP z roku 2018</w:t>
      </w:r>
      <w:r w:rsidRPr="00517D79">
        <w:rPr>
          <w:rFonts w:asciiTheme="minorHAnsi" w:hAnsiTheme="minorHAnsi" w:cstheme="minorHAnsi"/>
          <w:b w:val="0"/>
          <w:u w:val="none"/>
          <w:lang w:eastAsia="cs-CZ"/>
        </w:rPr>
        <w:t xml:space="preserve"> bude </w:t>
      </w:r>
      <w:r w:rsidR="00426053">
        <w:rPr>
          <w:rFonts w:asciiTheme="minorHAnsi" w:hAnsiTheme="minorHAnsi" w:cstheme="minorHAnsi"/>
          <w:b w:val="0"/>
          <w:u w:val="none"/>
          <w:lang w:eastAsia="cs-CZ"/>
        </w:rPr>
        <w:t xml:space="preserve">dále </w:t>
      </w:r>
      <w:r w:rsidRPr="00517D79">
        <w:rPr>
          <w:rFonts w:asciiTheme="minorHAnsi" w:hAnsiTheme="minorHAnsi" w:cstheme="minorHAnsi"/>
          <w:b w:val="0"/>
          <w:u w:val="none"/>
          <w:lang w:eastAsia="cs-CZ"/>
        </w:rPr>
        <w:t xml:space="preserve">realizována rekultivace </w:t>
      </w:r>
      <w:r w:rsidRPr="00D648A5">
        <w:rPr>
          <w:rFonts w:asciiTheme="minorHAnsi" w:hAnsiTheme="minorHAnsi" w:cstheme="minorHAnsi"/>
          <w:b w:val="0"/>
          <w:u w:val="none"/>
          <w:lang w:eastAsia="cs-CZ"/>
        </w:rPr>
        <w:t xml:space="preserve">sanovaného území a na základě výsledku vyhodnocení zbytkových rizik pro podzemní vody </w:t>
      </w:r>
      <w:r w:rsidR="00D6732B" w:rsidRPr="00D648A5">
        <w:rPr>
          <w:rFonts w:asciiTheme="minorHAnsi" w:hAnsiTheme="minorHAnsi" w:cstheme="minorHAnsi"/>
          <w:b w:val="0"/>
          <w:u w:val="none"/>
          <w:lang w:eastAsia="cs-CZ"/>
        </w:rPr>
        <w:t xml:space="preserve">případně </w:t>
      </w:r>
      <w:r w:rsidRPr="00D648A5">
        <w:rPr>
          <w:rFonts w:asciiTheme="minorHAnsi" w:hAnsiTheme="minorHAnsi" w:cstheme="minorHAnsi"/>
          <w:b w:val="0"/>
          <w:u w:val="none"/>
          <w:lang w:eastAsia="cs-CZ"/>
        </w:rPr>
        <w:t>sanace</w:t>
      </w:r>
      <w:r w:rsidRPr="00517D79">
        <w:rPr>
          <w:rFonts w:asciiTheme="minorHAnsi" w:hAnsiTheme="minorHAnsi" w:cstheme="minorHAnsi"/>
          <w:b w:val="0"/>
          <w:u w:val="none"/>
          <w:lang w:eastAsia="cs-CZ"/>
        </w:rPr>
        <w:t xml:space="preserve"> podzemních vod. </w:t>
      </w:r>
      <w:r w:rsidR="00F37618" w:rsidRPr="002C1CCE">
        <w:rPr>
          <w:rFonts w:asciiTheme="minorHAnsi" w:hAnsiTheme="minorHAnsi" w:cstheme="minorHAnsi"/>
          <w:u w:val="none"/>
          <w:lang w:eastAsia="cs-CZ"/>
        </w:rPr>
        <w:t>Konečný termín ukončení sanace MF neznalo</w:t>
      </w:r>
      <w:r w:rsidR="00F37618" w:rsidRPr="00052C41">
        <w:rPr>
          <w:rFonts w:asciiTheme="minorHAnsi" w:hAnsiTheme="minorHAnsi" w:cstheme="minorHAnsi"/>
          <w:u w:val="none"/>
          <w:lang w:eastAsia="cs-CZ"/>
        </w:rPr>
        <w:t>.</w:t>
      </w:r>
      <w:r w:rsidR="00F37618" w:rsidRPr="00517D79"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  <w:r w:rsidRPr="00517D79">
        <w:rPr>
          <w:rFonts w:asciiTheme="minorHAnsi" w:hAnsiTheme="minorHAnsi" w:cstheme="minorHAnsi"/>
          <w:b w:val="0"/>
          <w:u w:val="none"/>
          <w:lang w:eastAsia="cs-CZ"/>
        </w:rPr>
        <w:t xml:space="preserve"> </w:t>
      </w:r>
    </w:p>
    <w:p w14:paraId="05D15B0D" w14:textId="77777777" w:rsidR="00183848" w:rsidRPr="002D6144" w:rsidRDefault="00624106" w:rsidP="00C97B65">
      <w:pPr>
        <w:keepNext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2D6144">
        <w:rPr>
          <w:rFonts w:cstheme="minorHAnsi"/>
          <w:b/>
          <w:sz w:val="24"/>
          <w:szCs w:val="24"/>
        </w:rPr>
        <w:t xml:space="preserve">Příklad č. </w:t>
      </w:r>
      <w:r w:rsidR="000E0100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 </w:t>
      </w:r>
    </w:p>
    <w:p w14:paraId="4B9EA8C3" w14:textId="27ABF4BB" w:rsidR="00183848" w:rsidRPr="001A518F" w:rsidRDefault="00624106" w:rsidP="00063646">
      <w:pPr>
        <w:pStyle w:val="Styl1-kapitola"/>
        <w:numPr>
          <w:ilvl w:val="0"/>
          <w:numId w:val="0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contextualSpacing w:val="0"/>
        <w:rPr>
          <w:rFonts w:cstheme="minorHAnsi"/>
          <w:b w:val="0"/>
          <w:u w:val="none"/>
        </w:rPr>
      </w:pPr>
      <w:r w:rsidRPr="00017AA0">
        <w:rPr>
          <w:rFonts w:cstheme="minorHAnsi"/>
          <w:u w:val="none"/>
        </w:rPr>
        <w:t xml:space="preserve">SEZ v lokalitě Koksovna Jan </w:t>
      </w:r>
      <w:proofErr w:type="spellStart"/>
      <w:r w:rsidRPr="00017AA0">
        <w:rPr>
          <w:rFonts w:cstheme="minorHAnsi"/>
          <w:u w:val="none"/>
        </w:rPr>
        <w:t>Šverma</w:t>
      </w:r>
      <w:proofErr w:type="spellEnd"/>
      <w:r w:rsidRPr="001A518F">
        <w:rPr>
          <w:rFonts w:cstheme="minorHAnsi"/>
          <w:b w:val="0"/>
          <w:u w:val="none"/>
        </w:rPr>
        <w:t xml:space="preserve"> byla způsobena dlouhodobým provozem koksárenských </w:t>
      </w:r>
      <w:r w:rsidRPr="00AD17B8">
        <w:rPr>
          <w:rFonts w:cstheme="minorHAnsi"/>
          <w:b w:val="0"/>
          <w:u w:val="none"/>
        </w:rPr>
        <w:t xml:space="preserve">technologií. Je jednou z lokalit </w:t>
      </w:r>
      <w:r w:rsidR="00887206">
        <w:rPr>
          <w:rFonts w:cstheme="minorHAnsi"/>
          <w:b w:val="0"/>
          <w:u w:val="none"/>
        </w:rPr>
        <w:t>uvedených v </w:t>
      </w:r>
      <w:r w:rsidRPr="00AD17B8">
        <w:rPr>
          <w:rFonts w:cstheme="minorHAnsi"/>
          <w:b w:val="0"/>
          <w:u w:val="none"/>
        </w:rPr>
        <w:t>e</w:t>
      </w:r>
      <w:r w:rsidR="00183848" w:rsidRPr="00AD17B8">
        <w:rPr>
          <w:rFonts w:cstheme="minorHAnsi"/>
          <w:b w:val="0"/>
          <w:u w:val="none"/>
        </w:rPr>
        <w:t>kologick</w:t>
      </w:r>
      <w:r w:rsidR="00887206">
        <w:rPr>
          <w:rFonts w:cstheme="minorHAnsi"/>
          <w:b w:val="0"/>
          <w:u w:val="none"/>
        </w:rPr>
        <w:t>é</w:t>
      </w:r>
      <w:r w:rsidR="00183848" w:rsidRPr="00AD17B8">
        <w:rPr>
          <w:rFonts w:cstheme="minorHAnsi"/>
          <w:b w:val="0"/>
          <w:u w:val="none"/>
        </w:rPr>
        <w:t xml:space="preserve"> smlouv</w:t>
      </w:r>
      <w:r w:rsidR="00887206">
        <w:rPr>
          <w:rFonts w:cstheme="minorHAnsi"/>
          <w:b w:val="0"/>
          <w:u w:val="none"/>
        </w:rPr>
        <w:t>ě</w:t>
      </w:r>
      <w:r w:rsidR="00183848" w:rsidRPr="00AD17B8">
        <w:rPr>
          <w:rFonts w:cstheme="minorHAnsi"/>
          <w:b w:val="0"/>
          <w:u w:val="none"/>
        </w:rPr>
        <w:t xml:space="preserve"> č. 0131/96/01 uzavř</w:t>
      </w:r>
      <w:r w:rsidRPr="00AD17B8">
        <w:rPr>
          <w:rFonts w:cstheme="minorHAnsi"/>
          <w:b w:val="0"/>
          <w:u w:val="none"/>
        </w:rPr>
        <w:t>en</w:t>
      </w:r>
      <w:r w:rsidR="00887206">
        <w:rPr>
          <w:rFonts w:cstheme="minorHAnsi"/>
          <w:b w:val="0"/>
          <w:u w:val="none"/>
        </w:rPr>
        <w:t>é</w:t>
      </w:r>
      <w:r w:rsidRPr="00AD17B8">
        <w:rPr>
          <w:rFonts w:cstheme="minorHAnsi"/>
          <w:b w:val="0"/>
          <w:u w:val="none"/>
        </w:rPr>
        <w:t xml:space="preserve"> mezi</w:t>
      </w:r>
      <w:r w:rsidR="00183848" w:rsidRPr="00AD17B8">
        <w:rPr>
          <w:rFonts w:cstheme="minorHAnsi"/>
          <w:b w:val="0"/>
          <w:u w:val="none"/>
        </w:rPr>
        <w:t xml:space="preserve"> F</w:t>
      </w:r>
      <w:r w:rsidR="004B0016" w:rsidRPr="00AD17B8">
        <w:rPr>
          <w:rFonts w:cstheme="minorHAnsi"/>
          <w:b w:val="0"/>
          <w:u w:val="none"/>
        </w:rPr>
        <w:t>ondem národního majetku</w:t>
      </w:r>
      <w:r w:rsidR="00183848" w:rsidRPr="00AD17B8">
        <w:rPr>
          <w:rFonts w:cstheme="minorHAnsi"/>
          <w:b w:val="0"/>
          <w:u w:val="none"/>
        </w:rPr>
        <w:t xml:space="preserve"> </w:t>
      </w:r>
      <w:r w:rsidRPr="00AD17B8">
        <w:rPr>
          <w:rFonts w:cstheme="minorHAnsi"/>
          <w:b w:val="0"/>
          <w:u w:val="none"/>
        </w:rPr>
        <w:t>a</w:t>
      </w:r>
      <w:r w:rsidR="00183848" w:rsidRPr="00AD17B8">
        <w:rPr>
          <w:rFonts w:cstheme="minorHAnsi"/>
          <w:b w:val="0"/>
          <w:u w:val="none"/>
        </w:rPr>
        <w:t xml:space="preserve"> nabyvatelem v roce </w:t>
      </w:r>
      <w:r w:rsidR="00183848" w:rsidRPr="00AD17B8">
        <w:rPr>
          <w:rFonts w:cstheme="minorHAnsi"/>
          <w:u w:val="none"/>
        </w:rPr>
        <w:t>1996</w:t>
      </w:r>
      <w:r w:rsidR="00183848" w:rsidRPr="00052C41">
        <w:rPr>
          <w:rFonts w:cstheme="minorHAnsi"/>
          <w:u w:val="none"/>
        </w:rPr>
        <w:t>.</w:t>
      </w:r>
      <w:r w:rsidR="00183848" w:rsidRPr="00AD17B8">
        <w:rPr>
          <w:rFonts w:cstheme="minorHAnsi"/>
          <w:b w:val="0"/>
          <w:u w:val="none"/>
        </w:rPr>
        <w:t xml:space="preserve"> K ukončení provozu koksovny došlo v roce 2010, následně MF zajistilo realizaci činností předprojektové přípravy. Na základě výsledku této fáze stanovila ČIŽP v roce 2013 správním rozhodnutím nápravná opatření a</w:t>
      </w:r>
      <w:r w:rsidR="0010262D" w:rsidRPr="00AD17B8">
        <w:rPr>
          <w:rFonts w:cstheme="minorHAnsi"/>
          <w:b w:val="0"/>
          <w:u w:val="none"/>
        </w:rPr>
        <w:t> </w:t>
      </w:r>
      <w:r w:rsidR="00183848" w:rsidRPr="00AD17B8">
        <w:rPr>
          <w:rFonts w:cstheme="minorHAnsi"/>
          <w:b w:val="0"/>
          <w:u w:val="none"/>
        </w:rPr>
        <w:t xml:space="preserve">cílové hodnoty kontaminantů. </w:t>
      </w:r>
      <w:r w:rsidR="00137539" w:rsidRPr="00AD17B8">
        <w:rPr>
          <w:rFonts w:asciiTheme="minorHAnsi" w:hAnsiTheme="minorHAnsi" w:cstheme="minorHAnsi"/>
          <w:b w:val="0"/>
          <w:u w:val="none"/>
        </w:rPr>
        <w:t xml:space="preserve">Závazný </w:t>
      </w:r>
      <w:r w:rsidR="00137539" w:rsidRPr="001A518F">
        <w:rPr>
          <w:rFonts w:asciiTheme="minorHAnsi" w:hAnsiTheme="minorHAnsi" w:cstheme="minorHAnsi"/>
          <w:b w:val="0"/>
          <w:u w:val="none"/>
        </w:rPr>
        <w:t xml:space="preserve">pevný termín pro ukončení sanace lokality nebyl správním </w:t>
      </w:r>
      <w:r w:rsidR="002E7FC1" w:rsidRPr="001A518F">
        <w:rPr>
          <w:rFonts w:cstheme="minorHAnsi"/>
          <w:b w:val="0"/>
          <w:u w:val="none"/>
        </w:rPr>
        <w:t>rozhodnutím</w:t>
      </w:r>
      <w:r w:rsidR="00137539" w:rsidRPr="001A518F">
        <w:rPr>
          <w:rFonts w:asciiTheme="minorHAnsi" w:hAnsiTheme="minorHAnsi" w:cstheme="minorHAnsi"/>
          <w:b w:val="0"/>
          <w:u w:val="none"/>
        </w:rPr>
        <w:t xml:space="preserve"> stanoven</w:t>
      </w:r>
      <w:r w:rsidR="00137539" w:rsidRPr="001A518F">
        <w:rPr>
          <w:rFonts w:cstheme="minorHAnsi"/>
          <w:b w:val="0"/>
          <w:u w:val="none"/>
        </w:rPr>
        <w:t xml:space="preserve">. </w:t>
      </w:r>
      <w:r w:rsidRPr="001A518F">
        <w:rPr>
          <w:rFonts w:cstheme="minorHAnsi"/>
          <w:b w:val="0"/>
          <w:u w:val="none"/>
        </w:rPr>
        <w:t>Od zahájení přípravy podkladů zadávací</w:t>
      </w:r>
      <w:r w:rsidR="00EA0277" w:rsidRPr="001A518F">
        <w:rPr>
          <w:rFonts w:cstheme="minorHAnsi"/>
          <w:b w:val="0"/>
          <w:u w:val="none"/>
        </w:rPr>
        <w:t>ho</w:t>
      </w:r>
      <w:r w:rsidRPr="001A518F">
        <w:rPr>
          <w:rFonts w:cstheme="minorHAnsi"/>
          <w:b w:val="0"/>
          <w:u w:val="none"/>
        </w:rPr>
        <w:t xml:space="preserve"> řízení na výběr dodavatele projektové dokumentace sanačního zásahu </w:t>
      </w:r>
      <w:r w:rsidR="00EA0277" w:rsidRPr="001A518F">
        <w:rPr>
          <w:rFonts w:cstheme="minorHAnsi"/>
          <w:b w:val="0"/>
          <w:u w:val="none"/>
        </w:rPr>
        <w:t>v listopadu</w:t>
      </w:r>
      <w:r w:rsidRPr="001A518F">
        <w:rPr>
          <w:rFonts w:cstheme="minorHAnsi"/>
          <w:b w:val="0"/>
          <w:u w:val="none"/>
        </w:rPr>
        <w:t xml:space="preserve"> 2014</w:t>
      </w:r>
      <w:r w:rsidR="00EA0277" w:rsidRPr="001A518F">
        <w:rPr>
          <w:rFonts w:cstheme="minorHAnsi"/>
          <w:b w:val="0"/>
          <w:u w:val="none"/>
        </w:rPr>
        <w:t xml:space="preserve">, přes samotné zpracování projektové dokumentace a její schválení </w:t>
      </w:r>
      <w:r w:rsidRPr="001A518F">
        <w:rPr>
          <w:rFonts w:cstheme="minorHAnsi"/>
          <w:b w:val="0"/>
          <w:u w:val="none"/>
        </w:rPr>
        <w:t>účastník</w:t>
      </w:r>
      <w:r w:rsidR="00EA0277" w:rsidRPr="001A518F">
        <w:rPr>
          <w:rFonts w:cstheme="minorHAnsi"/>
          <w:b w:val="0"/>
          <w:u w:val="none"/>
        </w:rPr>
        <w:t>y</w:t>
      </w:r>
      <w:r w:rsidRPr="001A518F">
        <w:rPr>
          <w:rFonts w:cstheme="minorHAnsi"/>
          <w:b w:val="0"/>
          <w:u w:val="none"/>
        </w:rPr>
        <w:t xml:space="preserve"> procesu (MF, MŽP, ČIŽP, supervizor, nabyvatel)</w:t>
      </w:r>
      <w:r w:rsidR="00EA0277" w:rsidRPr="001A518F">
        <w:rPr>
          <w:rFonts w:cstheme="minorHAnsi"/>
          <w:b w:val="0"/>
          <w:u w:val="none"/>
        </w:rPr>
        <w:t xml:space="preserve"> </w:t>
      </w:r>
      <w:r w:rsidRPr="001A518F">
        <w:rPr>
          <w:rFonts w:cstheme="minorHAnsi"/>
          <w:b w:val="0"/>
          <w:u w:val="none"/>
        </w:rPr>
        <w:t xml:space="preserve">až po uzavření smlouvy </w:t>
      </w:r>
      <w:r w:rsidR="00453DC3" w:rsidRPr="001A518F">
        <w:rPr>
          <w:rFonts w:cstheme="minorHAnsi"/>
          <w:b w:val="0"/>
          <w:u w:val="none"/>
        </w:rPr>
        <w:t xml:space="preserve">s vybraným dodavatelem </w:t>
      </w:r>
      <w:r w:rsidR="00EA0277" w:rsidRPr="001A518F">
        <w:rPr>
          <w:rFonts w:cstheme="minorHAnsi"/>
          <w:b w:val="0"/>
          <w:u w:val="none"/>
        </w:rPr>
        <w:t xml:space="preserve">sanačních prací </w:t>
      </w:r>
      <w:r w:rsidRPr="001A518F">
        <w:rPr>
          <w:rFonts w:cstheme="minorHAnsi"/>
          <w:b w:val="0"/>
          <w:u w:val="none"/>
        </w:rPr>
        <w:t xml:space="preserve">v říjnu 2020 uplynulo šest let. </w:t>
      </w:r>
      <w:r w:rsidR="00550281" w:rsidRPr="001A518F">
        <w:rPr>
          <w:rFonts w:cstheme="minorHAnsi"/>
          <w:b w:val="0"/>
          <w:u w:val="none"/>
        </w:rPr>
        <w:t>V době kontroly NKÚ probíhala I. etapa sanace (odstranění kontaminovaných stavebních konstrukcí</w:t>
      </w:r>
      <w:r w:rsidR="00EA0277" w:rsidRPr="001A518F">
        <w:rPr>
          <w:rFonts w:cstheme="minorHAnsi"/>
          <w:b w:val="0"/>
          <w:u w:val="none"/>
        </w:rPr>
        <w:t xml:space="preserve"> vč. následného </w:t>
      </w:r>
      <w:proofErr w:type="spellStart"/>
      <w:r w:rsidR="00550281" w:rsidRPr="001A518F">
        <w:rPr>
          <w:rFonts w:cstheme="minorHAnsi"/>
          <w:b w:val="0"/>
          <w:u w:val="none"/>
        </w:rPr>
        <w:t>doprůzkumu</w:t>
      </w:r>
      <w:proofErr w:type="spellEnd"/>
      <w:r w:rsidR="00550281" w:rsidRPr="001A518F">
        <w:rPr>
          <w:rFonts w:cstheme="minorHAnsi"/>
          <w:b w:val="0"/>
          <w:u w:val="none"/>
        </w:rPr>
        <w:t>)</w:t>
      </w:r>
      <w:r w:rsidR="00EA0277" w:rsidRPr="001A518F">
        <w:rPr>
          <w:rFonts w:cstheme="minorHAnsi"/>
          <w:b w:val="0"/>
          <w:u w:val="none"/>
        </w:rPr>
        <w:t>, jejíž č</w:t>
      </w:r>
      <w:r w:rsidR="00453DC3" w:rsidRPr="001A518F">
        <w:rPr>
          <w:rFonts w:cstheme="minorHAnsi"/>
          <w:b w:val="0"/>
          <w:u w:val="none"/>
        </w:rPr>
        <w:t>asov</w:t>
      </w:r>
      <w:r w:rsidR="00887206">
        <w:rPr>
          <w:rFonts w:cstheme="minorHAnsi"/>
          <w:b w:val="0"/>
          <w:u w:val="none"/>
        </w:rPr>
        <w:t>ý</w:t>
      </w:r>
      <w:r w:rsidR="00453DC3" w:rsidRPr="001A518F">
        <w:rPr>
          <w:rFonts w:cstheme="minorHAnsi"/>
          <w:b w:val="0"/>
          <w:u w:val="none"/>
        </w:rPr>
        <w:t xml:space="preserve"> </w:t>
      </w:r>
      <w:r w:rsidR="00887206">
        <w:rPr>
          <w:rFonts w:cstheme="minorHAnsi"/>
          <w:b w:val="0"/>
          <w:u w:val="none"/>
        </w:rPr>
        <w:t>průběh</w:t>
      </w:r>
      <w:r w:rsidR="00453DC3" w:rsidRPr="001A518F">
        <w:rPr>
          <w:rFonts w:cstheme="minorHAnsi"/>
          <w:b w:val="0"/>
          <w:u w:val="none"/>
        </w:rPr>
        <w:t xml:space="preserve"> </w:t>
      </w:r>
      <w:r w:rsidR="0041363F">
        <w:rPr>
          <w:rFonts w:cstheme="minorHAnsi"/>
          <w:b w:val="0"/>
          <w:u w:val="none"/>
        </w:rPr>
        <w:t xml:space="preserve">má </w:t>
      </w:r>
      <w:r w:rsidR="00550281" w:rsidRPr="001A518F">
        <w:rPr>
          <w:rFonts w:cstheme="minorHAnsi"/>
          <w:b w:val="0"/>
          <w:u w:val="none"/>
        </w:rPr>
        <w:t>čin</w:t>
      </w:r>
      <w:r w:rsidR="0041363F">
        <w:rPr>
          <w:rFonts w:cstheme="minorHAnsi"/>
          <w:b w:val="0"/>
          <w:u w:val="none"/>
        </w:rPr>
        <w:t>it</w:t>
      </w:r>
      <w:r w:rsidR="00453DC3" w:rsidRPr="001A518F">
        <w:rPr>
          <w:rFonts w:cstheme="minorHAnsi"/>
          <w:b w:val="0"/>
          <w:u w:val="none"/>
        </w:rPr>
        <w:t xml:space="preserve"> čtyři roky. </w:t>
      </w:r>
      <w:r w:rsidR="001A518F" w:rsidRPr="001A518F">
        <w:rPr>
          <w:rFonts w:cstheme="minorHAnsi"/>
          <w:b w:val="0"/>
          <w:u w:val="none"/>
        </w:rPr>
        <w:t>Bude n</w:t>
      </w:r>
      <w:r w:rsidRPr="001A518F">
        <w:rPr>
          <w:rFonts w:cstheme="minorHAnsi"/>
          <w:b w:val="0"/>
          <w:u w:val="none"/>
        </w:rPr>
        <w:t xml:space="preserve">ásledovat </w:t>
      </w:r>
      <w:r w:rsidR="000879ED" w:rsidRPr="001A518F">
        <w:rPr>
          <w:rFonts w:cstheme="minorHAnsi"/>
          <w:b w:val="0"/>
          <w:u w:val="none"/>
        </w:rPr>
        <w:t>II. etap</w:t>
      </w:r>
      <w:r w:rsidR="00DD505B" w:rsidRPr="001A518F">
        <w:rPr>
          <w:rFonts w:cstheme="minorHAnsi"/>
          <w:b w:val="0"/>
          <w:u w:val="none"/>
        </w:rPr>
        <w:t>a</w:t>
      </w:r>
      <w:r w:rsidR="000879ED" w:rsidRPr="001A518F">
        <w:rPr>
          <w:rFonts w:cstheme="minorHAnsi"/>
          <w:b w:val="0"/>
          <w:u w:val="none"/>
        </w:rPr>
        <w:t xml:space="preserve"> </w:t>
      </w:r>
      <w:r w:rsidRPr="001A518F">
        <w:rPr>
          <w:rFonts w:cstheme="minorHAnsi"/>
          <w:b w:val="0"/>
          <w:u w:val="none"/>
        </w:rPr>
        <w:t>sanace</w:t>
      </w:r>
      <w:r w:rsidR="001A518F" w:rsidRPr="001A518F">
        <w:rPr>
          <w:rFonts w:cstheme="minorHAnsi"/>
          <w:b w:val="0"/>
          <w:u w:val="none"/>
        </w:rPr>
        <w:t xml:space="preserve"> </w:t>
      </w:r>
      <w:r w:rsidR="001A518F">
        <w:rPr>
          <w:rFonts w:cstheme="minorHAnsi"/>
          <w:b w:val="0"/>
          <w:u w:val="none"/>
        </w:rPr>
        <w:t>zahrnující sanaci</w:t>
      </w:r>
      <w:r w:rsidR="00DD505B" w:rsidRPr="001A518F">
        <w:rPr>
          <w:rFonts w:cstheme="minorHAnsi"/>
          <w:b w:val="0"/>
          <w:u w:val="none"/>
        </w:rPr>
        <w:t xml:space="preserve"> </w:t>
      </w:r>
      <w:r w:rsidR="00F745A1" w:rsidRPr="001A518F">
        <w:rPr>
          <w:rFonts w:cstheme="minorHAnsi"/>
          <w:b w:val="0"/>
          <w:u w:val="none"/>
        </w:rPr>
        <w:t>zemin a podzemních vod</w:t>
      </w:r>
      <w:r w:rsidR="001A518F">
        <w:rPr>
          <w:rFonts w:cstheme="minorHAnsi"/>
          <w:b w:val="0"/>
          <w:u w:val="none"/>
        </w:rPr>
        <w:t xml:space="preserve"> s odhadovanou </w:t>
      </w:r>
      <w:r w:rsidRPr="001A518F">
        <w:rPr>
          <w:rFonts w:cstheme="minorHAnsi"/>
          <w:b w:val="0"/>
          <w:u w:val="none"/>
        </w:rPr>
        <w:t>časov</w:t>
      </w:r>
      <w:r w:rsidR="001A518F">
        <w:rPr>
          <w:rFonts w:cstheme="minorHAnsi"/>
          <w:b w:val="0"/>
          <w:u w:val="none"/>
        </w:rPr>
        <w:t>ou</w:t>
      </w:r>
      <w:r w:rsidRPr="001A518F">
        <w:rPr>
          <w:rFonts w:cstheme="minorHAnsi"/>
          <w:b w:val="0"/>
          <w:u w:val="none"/>
        </w:rPr>
        <w:t xml:space="preserve"> náročnost</w:t>
      </w:r>
      <w:r w:rsidR="001A518F">
        <w:rPr>
          <w:rFonts w:cstheme="minorHAnsi"/>
          <w:b w:val="0"/>
          <w:u w:val="none"/>
        </w:rPr>
        <w:t>í</w:t>
      </w:r>
      <w:r w:rsidRPr="001A518F">
        <w:rPr>
          <w:rFonts w:cstheme="minorHAnsi"/>
          <w:b w:val="0"/>
          <w:u w:val="none"/>
        </w:rPr>
        <w:t xml:space="preserve"> </w:t>
      </w:r>
      <w:r w:rsidRPr="002E7FC1">
        <w:rPr>
          <w:rFonts w:cstheme="minorHAnsi"/>
          <w:b w:val="0"/>
          <w:u w:val="none"/>
        </w:rPr>
        <w:t>4,5 roku</w:t>
      </w:r>
      <w:r w:rsidR="002C1CCE">
        <w:rPr>
          <w:rFonts w:cstheme="minorHAnsi"/>
          <w:b w:val="0"/>
          <w:u w:val="none"/>
        </w:rPr>
        <w:t xml:space="preserve"> a rozhodnutí o nutnosti III.</w:t>
      </w:r>
      <w:r w:rsidR="00887206">
        <w:rPr>
          <w:rFonts w:cstheme="minorHAnsi"/>
          <w:b w:val="0"/>
          <w:u w:val="none"/>
        </w:rPr>
        <w:t> </w:t>
      </w:r>
      <w:r w:rsidR="002C1CCE">
        <w:rPr>
          <w:rFonts w:cstheme="minorHAnsi"/>
          <w:b w:val="0"/>
          <w:u w:val="none"/>
        </w:rPr>
        <w:t>etapy</w:t>
      </w:r>
      <w:r w:rsidRPr="002E7FC1">
        <w:rPr>
          <w:rFonts w:cstheme="minorHAnsi"/>
          <w:b w:val="0"/>
          <w:u w:val="none"/>
        </w:rPr>
        <w:t>.</w:t>
      </w:r>
      <w:r w:rsidR="00137539" w:rsidRPr="002E7FC1">
        <w:rPr>
          <w:rFonts w:cstheme="minorHAnsi"/>
          <w:b w:val="0"/>
          <w:u w:val="none"/>
        </w:rPr>
        <w:t xml:space="preserve"> </w:t>
      </w:r>
      <w:r w:rsidR="002E7FC1" w:rsidRPr="002C1CCE">
        <w:rPr>
          <w:rFonts w:asciiTheme="minorHAnsi" w:hAnsiTheme="minorHAnsi" w:cstheme="minorHAnsi"/>
          <w:u w:val="none"/>
          <w:lang w:eastAsia="cs-CZ"/>
        </w:rPr>
        <w:t>Konečný termín ukončení sanace MF neznalo.</w:t>
      </w:r>
      <w:r w:rsidR="002E7FC1" w:rsidRPr="002E7FC1">
        <w:rPr>
          <w:rFonts w:asciiTheme="minorHAnsi" w:hAnsiTheme="minorHAnsi" w:cstheme="minorHAnsi"/>
          <w:b w:val="0"/>
          <w:u w:val="none"/>
          <w:lang w:eastAsia="cs-CZ"/>
        </w:rPr>
        <w:t xml:space="preserve">  </w:t>
      </w:r>
    </w:p>
    <w:p w14:paraId="20BD0CAB" w14:textId="0AD87ED5" w:rsidR="00225501" w:rsidRPr="009D30BF" w:rsidRDefault="004D0FA2" w:rsidP="00063646">
      <w:pPr>
        <w:keepNext/>
        <w:spacing w:before="240" w:after="120" w:line="240" w:lineRule="auto"/>
        <w:jc w:val="both"/>
        <w:rPr>
          <w:rFonts w:cstheme="minorHAnsi"/>
          <w:sz w:val="24"/>
          <w:szCs w:val="24"/>
          <w:highlight w:val="lightGray"/>
        </w:rPr>
      </w:pPr>
      <w:r>
        <w:rPr>
          <w:b/>
          <w:sz w:val="24"/>
          <w:szCs w:val="23"/>
        </w:rPr>
        <w:t>2</w:t>
      </w:r>
      <w:r w:rsidR="00225501">
        <w:rPr>
          <w:b/>
          <w:sz w:val="24"/>
          <w:szCs w:val="23"/>
        </w:rPr>
        <w:t>. </w:t>
      </w:r>
      <w:r w:rsidR="00225501" w:rsidRPr="009D30BF">
        <w:rPr>
          <w:b/>
          <w:sz w:val="24"/>
          <w:szCs w:val="23"/>
        </w:rPr>
        <w:t xml:space="preserve">Dlouhý proces odstraňování </w:t>
      </w:r>
      <w:r w:rsidR="00225501">
        <w:rPr>
          <w:b/>
          <w:sz w:val="24"/>
          <w:szCs w:val="23"/>
        </w:rPr>
        <w:t xml:space="preserve">SEZ </w:t>
      </w:r>
      <w:r w:rsidR="00225501" w:rsidRPr="009D30BF">
        <w:rPr>
          <w:b/>
          <w:sz w:val="24"/>
          <w:szCs w:val="23"/>
        </w:rPr>
        <w:t xml:space="preserve">má dopad na </w:t>
      </w:r>
      <w:r w:rsidR="00333370">
        <w:rPr>
          <w:b/>
          <w:sz w:val="24"/>
          <w:szCs w:val="23"/>
        </w:rPr>
        <w:t>růst</w:t>
      </w:r>
      <w:r w:rsidR="00333370" w:rsidRPr="009D30BF">
        <w:rPr>
          <w:b/>
          <w:sz w:val="24"/>
          <w:szCs w:val="23"/>
        </w:rPr>
        <w:t xml:space="preserve"> </w:t>
      </w:r>
      <w:r w:rsidR="00225501" w:rsidRPr="009D30BF">
        <w:rPr>
          <w:b/>
          <w:sz w:val="24"/>
          <w:szCs w:val="23"/>
        </w:rPr>
        <w:t>výdajů státu</w:t>
      </w:r>
    </w:p>
    <w:p w14:paraId="0F9BCF12" w14:textId="77777777" w:rsidR="00225501" w:rsidRPr="00AD17B8" w:rsidRDefault="00225501" w:rsidP="00063646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9972B2">
        <w:rPr>
          <w:rFonts w:cstheme="minorHAnsi"/>
          <w:sz w:val="24"/>
          <w:szCs w:val="24"/>
        </w:rPr>
        <w:t xml:space="preserve">Pomalé </w:t>
      </w:r>
      <w:r w:rsidRPr="00AD17B8">
        <w:rPr>
          <w:rFonts w:cstheme="minorHAnsi"/>
          <w:sz w:val="24"/>
          <w:szCs w:val="24"/>
        </w:rPr>
        <w:t xml:space="preserve">tempo odstraňování SEZ prodlužuje dobu potřebnou k odstranění zbylých ekologických zátěží. V době kontroly NKÚ stále existovaly lokality, u nichž MF sanaci nezahájilo. V této souvislosti </w:t>
      </w:r>
      <w:r w:rsidRPr="00C52340">
        <w:rPr>
          <w:rFonts w:cstheme="minorHAnsi"/>
          <w:sz w:val="24"/>
          <w:szCs w:val="24"/>
        </w:rPr>
        <w:t xml:space="preserve">NKÚ upozorňuje na existenci rizika šíření kontaminace v dosud </w:t>
      </w:r>
      <w:r w:rsidRPr="00AD17B8">
        <w:rPr>
          <w:rFonts w:cstheme="minorHAnsi"/>
          <w:sz w:val="24"/>
          <w:szCs w:val="24"/>
        </w:rPr>
        <w:t>nesanovaných lokalitách s důsledkem rozsáhlejšího sanačního zásahu a tím i dalších nároků na</w:t>
      </w:r>
      <w:r w:rsidR="00063646">
        <w:rPr>
          <w:rFonts w:cstheme="minorHAnsi"/>
          <w:sz w:val="24"/>
          <w:szCs w:val="24"/>
        </w:rPr>
        <w:t xml:space="preserve"> </w:t>
      </w:r>
      <w:r w:rsidRPr="00AD17B8">
        <w:rPr>
          <w:rFonts w:cstheme="minorHAnsi"/>
          <w:sz w:val="24"/>
          <w:szCs w:val="24"/>
        </w:rPr>
        <w:t>výdaje státu.</w:t>
      </w:r>
    </w:p>
    <w:p w14:paraId="67639BEF" w14:textId="77777777" w:rsidR="00225501" w:rsidRDefault="00225501" w:rsidP="00063646">
      <w:pPr>
        <w:spacing w:before="120" w:after="240" w:line="240" w:lineRule="auto"/>
        <w:jc w:val="both"/>
        <w:rPr>
          <w:sz w:val="24"/>
          <w:szCs w:val="24"/>
        </w:rPr>
      </w:pPr>
      <w:r w:rsidRPr="00AD17B8">
        <w:rPr>
          <w:sz w:val="24"/>
          <w:szCs w:val="24"/>
        </w:rPr>
        <w:t>Pomalé tempo odstraňování navyšuje rovněž výdaje na odstraňování SEZ o výdaje na</w:t>
      </w:r>
      <w:r w:rsidR="00063646">
        <w:rPr>
          <w:sz w:val="24"/>
          <w:szCs w:val="24"/>
        </w:rPr>
        <w:t xml:space="preserve"> </w:t>
      </w:r>
      <w:r w:rsidRPr="00AD17B8">
        <w:rPr>
          <w:sz w:val="24"/>
          <w:szCs w:val="24"/>
        </w:rPr>
        <w:t>ochranné sanační čerpání, které brání šíření kontaminace podzemními vodami a je uloženo rozhodnutím ČIŽP. Stav udržuje nebo ho jen mírně zlepšuje, ke snížení kontaminace na úroveň stanovených limitů vede až sanační zásah. V období od ledna 2018 do dubna 2023 bylo nově zahájeno ochranné sanační čerpání na 10 lokalitách, na kterých v minulosti nebylo realizováno. Na dalších devíti lokalitách</w:t>
      </w:r>
      <w:r w:rsidRPr="00AD17B8">
        <w:rPr>
          <w:rStyle w:val="Znakapoznpodarou"/>
          <w:sz w:val="24"/>
          <w:szCs w:val="24"/>
        </w:rPr>
        <w:footnoteReference w:id="20"/>
      </w:r>
      <w:r w:rsidRPr="00AD17B8">
        <w:rPr>
          <w:sz w:val="24"/>
          <w:szCs w:val="24"/>
        </w:rPr>
        <w:t xml:space="preserve"> probíhalo ochranné sanační čerpání dlouhodobě (více než 10 let, v jednom případě 25 let – viz příklad č. 3), z toho </w:t>
      </w:r>
      <w:r w:rsidRPr="00AD17B8">
        <w:rPr>
          <w:rFonts w:cstheme="minorHAnsi"/>
          <w:bCs/>
          <w:sz w:val="24"/>
          <w:szCs w:val="24"/>
        </w:rPr>
        <w:t>na čtyřech z nich byla sanace do konce dubna 2023 zahájena. Na pěti z nich pak sanace zahájena nebyla, a to</w:t>
      </w:r>
      <w:r w:rsidRPr="00AD17B8">
        <w:rPr>
          <w:rFonts w:ascii="Calibri" w:hAnsi="Calibri" w:cs="Calibri"/>
          <w:bCs/>
          <w:i/>
        </w:rPr>
        <w:t xml:space="preserve"> </w:t>
      </w:r>
      <w:r w:rsidRPr="00AD17B8">
        <w:rPr>
          <w:rFonts w:cstheme="minorHAnsi"/>
          <w:sz w:val="24"/>
          <w:szCs w:val="24"/>
        </w:rPr>
        <w:t xml:space="preserve">vlivem objektivních příčin, např. probíhající projektová příprava, zahájení sanace neumožnil vlastník nemovitosti nacházející se na kontaminovaném území. Na ochranné sanační čerpání MF v období od ledna 2018 do dubna 2023 vynaložilo </w:t>
      </w:r>
      <w:r w:rsidRPr="00AD17B8">
        <w:rPr>
          <w:rFonts w:cstheme="minorHAnsi"/>
          <w:b/>
          <w:sz w:val="24"/>
          <w:szCs w:val="24"/>
        </w:rPr>
        <w:t>130,7 mil. Kč</w:t>
      </w:r>
      <w:r w:rsidRPr="00052C41">
        <w:rPr>
          <w:b/>
          <w:sz w:val="24"/>
          <w:szCs w:val="24"/>
        </w:rPr>
        <w:t>.</w:t>
      </w:r>
      <w:r w:rsidRPr="00AD17B8">
        <w:rPr>
          <w:sz w:val="24"/>
          <w:szCs w:val="24"/>
        </w:rPr>
        <w:t xml:space="preserve"> V roce 2018 činily výdaje na ochranné sanační čerpání 11,8 mil. Kč. V roce 2022 </w:t>
      </w:r>
      <w:r w:rsidRPr="00336A06">
        <w:rPr>
          <w:sz w:val="24"/>
          <w:szCs w:val="24"/>
        </w:rPr>
        <w:t>se výdaje oproti roku 2018 téměř ztrojnásobily</w:t>
      </w:r>
      <w:r>
        <w:rPr>
          <w:sz w:val="24"/>
          <w:szCs w:val="24"/>
        </w:rPr>
        <w:t>, když</w:t>
      </w:r>
      <w:r w:rsidRPr="00336A06">
        <w:rPr>
          <w:sz w:val="24"/>
          <w:szCs w:val="24"/>
        </w:rPr>
        <w:t xml:space="preserve"> dosáhly 32,0 mil. Kč.</w:t>
      </w:r>
    </w:p>
    <w:p w14:paraId="73621B14" w14:textId="77777777" w:rsidR="00225501" w:rsidRPr="00AD17B8" w:rsidRDefault="00225501" w:rsidP="00063646">
      <w:pPr>
        <w:keepNext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240" w:lineRule="auto"/>
        <w:jc w:val="both"/>
        <w:rPr>
          <w:b/>
          <w:sz w:val="24"/>
          <w:szCs w:val="24"/>
        </w:rPr>
      </w:pPr>
      <w:r w:rsidRPr="00AD17B8">
        <w:rPr>
          <w:b/>
          <w:sz w:val="24"/>
          <w:szCs w:val="24"/>
        </w:rPr>
        <w:t>Příklad č. 3</w:t>
      </w:r>
    </w:p>
    <w:p w14:paraId="15B5C6C1" w14:textId="4E650724" w:rsidR="00225501" w:rsidRPr="00AD17B8" w:rsidRDefault="00225501" w:rsidP="00063646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both"/>
        <w:rPr>
          <w:sz w:val="24"/>
          <w:szCs w:val="24"/>
        </w:rPr>
      </w:pPr>
      <w:r w:rsidRPr="00AD17B8">
        <w:rPr>
          <w:b/>
          <w:sz w:val="24"/>
          <w:szCs w:val="24"/>
        </w:rPr>
        <w:t xml:space="preserve">ČIŽP uložila provádět ochranné sanační čerpání na lokalitě Koksovna Jan </w:t>
      </w:r>
      <w:proofErr w:type="spellStart"/>
      <w:r w:rsidRPr="00AD17B8">
        <w:rPr>
          <w:b/>
          <w:sz w:val="24"/>
          <w:szCs w:val="24"/>
        </w:rPr>
        <w:t>Šverma</w:t>
      </w:r>
      <w:proofErr w:type="spellEnd"/>
      <w:r w:rsidRPr="00AD17B8">
        <w:rPr>
          <w:b/>
          <w:sz w:val="24"/>
          <w:szCs w:val="24"/>
        </w:rPr>
        <w:t xml:space="preserve"> v roce 1997. V době kontroly realiz</w:t>
      </w:r>
      <w:r w:rsidR="00070BE2">
        <w:rPr>
          <w:b/>
          <w:sz w:val="24"/>
          <w:szCs w:val="24"/>
        </w:rPr>
        <w:t>ace probíhala</w:t>
      </w:r>
      <w:r w:rsidRPr="00AD17B8">
        <w:rPr>
          <w:b/>
          <w:sz w:val="24"/>
          <w:szCs w:val="24"/>
        </w:rPr>
        <w:t xml:space="preserve"> nepřetržitě již 25 let</w:t>
      </w:r>
      <w:r w:rsidRPr="00052C41">
        <w:rPr>
          <w:b/>
          <w:sz w:val="24"/>
          <w:szCs w:val="24"/>
        </w:rPr>
        <w:t>.</w:t>
      </w:r>
      <w:r w:rsidRPr="00AD17B8">
        <w:rPr>
          <w:sz w:val="24"/>
          <w:szCs w:val="24"/>
        </w:rPr>
        <w:t xml:space="preserve"> Za tuto dobu dosáhly výdaje na ochranné sanační čerpání úhrnné výše 187,3 mil. Kč (stav k 30. dubnu 2023). MF v roce 2019 </w:t>
      </w:r>
      <w:proofErr w:type="spellStart"/>
      <w:r w:rsidRPr="00AD17B8">
        <w:rPr>
          <w:sz w:val="24"/>
          <w:szCs w:val="24"/>
        </w:rPr>
        <w:t>vysoutěžilo</w:t>
      </w:r>
      <w:proofErr w:type="spellEnd"/>
      <w:r w:rsidRPr="00AD17B8">
        <w:rPr>
          <w:sz w:val="24"/>
          <w:szCs w:val="24"/>
        </w:rPr>
        <w:t xml:space="preserve"> nového dodavatele ochranného sanačního čerpání. To vedlo ke snížení výdajů na cca poloviční úroveň oproti výši výdajů hrazen</w:t>
      </w:r>
      <w:r w:rsidR="00070BE2">
        <w:rPr>
          <w:sz w:val="24"/>
          <w:szCs w:val="24"/>
        </w:rPr>
        <w:t>ých</w:t>
      </w:r>
      <w:r w:rsidRPr="00AD17B8">
        <w:rPr>
          <w:sz w:val="24"/>
          <w:szCs w:val="24"/>
        </w:rPr>
        <w:t xml:space="preserve"> MF na základě předchozí smlouvy uzavřené mezi nabyvatelem a dodavatelem. Celkové výdaje však budou i nadále narůstat, neboť ochranné sanační čerpání v této lokalitě bude probíhat až</w:t>
      </w:r>
      <w:r w:rsidRPr="00AD17B8">
        <w:rPr>
          <w:rFonts w:cstheme="minorHAnsi"/>
          <w:sz w:val="24"/>
          <w:szCs w:val="24"/>
        </w:rPr>
        <w:t xml:space="preserve"> </w:t>
      </w:r>
      <w:r w:rsidRPr="00AD17B8">
        <w:rPr>
          <w:rFonts w:cstheme="minorHAnsi"/>
          <w:sz w:val="24"/>
          <w:szCs w:val="24"/>
          <w:lang w:eastAsia="cs-CZ"/>
        </w:rPr>
        <w:t>do doby zahájení sanace vod v rámci II. etapy sanace.</w:t>
      </w:r>
      <w:r w:rsidRPr="00AD17B8">
        <w:rPr>
          <w:sz w:val="24"/>
          <w:szCs w:val="24"/>
        </w:rPr>
        <w:t xml:space="preserve"> V dubnu roku 2023 probíhala na lokalitě I. etapa sanace (podrobnosti viz příklad č. 2). </w:t>
      </w:r>
    </w:p>
    <w:p w14:paraId="79969095" w14:textId="77777777" w:rsidR="00225501" w:rsidRPr="00E74F97" w:rsidRDefault="00225501" w:rsidP="00063646">
      <w:pPr>
        <w:spacing w:before="240" w:after="120" w:line="240" w:lineRule="auto"/>
        <w:jc w:val="both"/>
        <w:rPr>
          <w:b/>
          <w:sz w:val="24"/>
          <w:szCs w:val="24"/>
        </w:rPr>
      </w:pPr>
      <w:r w:rsidRPr="00AD17B8">
        <w:rPr>
          <w:rFonts w:cstheme="minorHAnsi"/>
          <w:b/>
          <w:sz w:val="24"/>
          <w:szCs w:val="24"/>
        </w:rPr>
        <w:t xml:space="preserve">Dlouhý proces odstraňování SEZ, riziko šíření kontaminace a ochranné sanační čerpání mají dopad na </w:t>
      </w:r>
      <w:r w:rsidR="00333370">
        <w:rPr>
          <w:rFonts w:cstheme="minorHAnsi"/>
          <w:b/>
          <w:sz w:val="24"/>
          <w:szCs w:val="24"/>
        </w:rPr>
        <w:t>růst</w:t>
      </w:r>
      <w:r w:rsidR="00333370" w:rsidRPr="00AD17B8">
        <w:rPr>
          <w:rFonts w:cstheme="minorHAnsi"/>
          <w:b/>
          <w:sz w:val="24"/>
          <w:szCs w:val="24"/>
        </w:rPr>
        <w:t xml:space="preserve"> </w:t>
      </w:r>
      <w:r w:rsidRPr="00AD17B8">
        <w:rPr>
          <w:rFonts w:cstheme="minorHAnsi"/>
          <w:b/>
          <w:sz w:val="24"/>
          <w:szCs w:val="24"/>
        </w:rPr>
        <w:t>výdajů</w:t>
      </w:r>
      <w:r w:rsidRPr="00E74F97">
        <w:rPr>
          <w:rFonts w:cstheme="minorHAnsi"/>
          <w:b/>
          <w:sz w:val="24"/>
          <w:szCs w:val="24"/>
        </w:rPr>
        <w:t xml:space="preserve"> státu.</w:t>
      </w:r>
    </w:p>
    <w:p w14:paraId="2035A65B" w14:textId="14CFDB3B" w:rsidR="00225501" w:rsidRPr="00AD17B8" w:rsidRDefault="004D0FA2" w:rsidP="00063646">
      <w:pPr>
        <w:keepNext/>
        <w:spacing w:before="240" w:after="120" w:line="240" w:lineRule="auto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225501">
        <w:rPr>
          <w:b/>
          <w:sz w:val="24"/>
          <w:szCs w:val="24"/>
        </w:rPr>
        <w:t xml:space="preserve">. </w:t>
      </w:r>
      <w:r w:rsidR="002A21A2">
        <w:rPr>
          <w:b/>
          <w:sz w:val="24"/>
          <w:szCs w:val="24"/>
        </w:rPr>
        <w:tab/>
      </w:r>
      <w:r w:rsidR="00225501">
        <w:rPr>
          <w:b/>
          <w:sz w:val="24"/>
          <w:szCs w:val="24"/>
        </w:rPr>
        <w:t xml:space="preserve">NKÚ upozorňuje </w:t>
      </w:r>
      <w:r w:rsidR="00225501" w:rsidRPr="00AD17B8">
        <w:rPr>
          <w:b/>
          <w:sz w:val="24"/>
          <w:szCs w:val="24"/>
        </w:rPr>
        <w:t>na riziko nedokončení sanací z důvodu vyčerpání státem poskytnuté garance s důsledkem nehospodárnosti dosud vynaložených peněžních prostředků státu</w:t>
      </w:r>
    </w:p>
    <w:p w14:paraId="453BBF35" w14:textId="53EB2221" w:rsidR="00225501" w:rsidRPr="00AD17B8" w:rsidRDefault="00225501" w:rsidP="002A21A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D17B8">
        <w:rPr>
          <w:sz w:val="24"/>
          <w:lang w:eastAsia="cs-CZ"/>
        </w:rPr>
        <w:t>U některých ekologických smluv se ukázalo, že náklady na odstranění SEZ poskytnutou garanci nebo její zůstatek převýšily a nelze za ni sanaci zahájit nebo dokončit. Již v roce 2017 NKÚ upozornil na skutečnost, že dokončení sanace příslušných SEZ s vyčerpanou garancí nebylo do doby ukončení kontroly dořešeno</w:t>
      </w:r>
      <w:r w:rsidRPr="00AD17B8">
        <w:rPr>
          <w:rStyle w:val="Znakapoznpodarou"/>
          <w:rFonts w:cstheme="minorHAnsi"/>
          <w:sz w:val="24"/>
          <w:szCs w:val="24"/>
        </w:rPr>
        <w:footnoteReference w:id="21"/>
      </w:r>
      <w:r w:rsidRPr="00AD17B8">
        <w:rPr>
          <w:sz w:val="24"/>
          <w:lang w:eastAsia="cs-CZ"/>
        </w:rPr>
        <w:t>. V </w:t>
      </w:r>
      <w:r w:rsidRPr="00E74F97">
        <w:rPr>
          <w:sz w:val="24"/>
          <w:lang w:eastAsia="cs-CZ"/>
        </w:rPr>
        <w:t>roce</w:t>
      </w:r>
      <w:r w:rsidRPr="00506251">
        <w:rPr>
          <w:rFonts w:cstheme="minorHAnsi"/>
          <w:sz w:val="24"/>
          <w:szCs w:val="24"/>
        </w:rPr>
        <w:t xml:space="preserve"> 2017 se jednalo o 12 </w:t>
      </w:r>
      <w:r>
        <w:rPr>
          <w:rFonts w:cstheme="minorHAnsi"/>
          <w:sz w:val="24"/>
          <w:szCs w:val="24"/>
        </w:rPr>
        <w:t>ekologických</w:t>
      </w:r>
      <w:r w:rsidRPr="00506251">
        <w:rPr>
          <w:rFonts w:cstheme="minorHAnsi"/>
          <w:sz w:val="24"/>
          <w:szCs w:val="24"/>
        </w:rPr>
        <w:t xml:space="preserve"> smluv</w:t>
      </w:r>
      <w:r>
        <w:rPr>
          <w:rFonts w:cstheme="minorHAnsi"/>
          <w:sz w:val="24"/>
          <w:szCs w:val="24"/>
        </w:rPr>
        <w:t xml:space="preserve"> s </w:t>
      </w:r>
      <w:r w:rsidRPr="00AD17B8">
        <w:rPr>
          <w:rFonts w:cstheme="minorHAnsi"/>
          <w:sz w:val="24"/>
          <w:szCs w:val="24"/>
        </w:rPr>
        <w:t xml:space="preserve">nedostatečnou garancí, v dubnu roku 2023 již o 15 ekologických smluv s 16 dotčenými lokalitami. V tomto počtu nebyla zahrnuta lokalita laguny </w:t>
      </w:r>
      <w:proofErr w:type="spellStart"/>
      <w:r w:rsidRPr="00AD17B8">
        <w:rPr>
          <w:rFonts w:cstheme="minorHAnsi"/>
          <w:sz w:val="24"/>
          <w:szCs w:val="24"/>
        </w:rPr>
        <w:t>Ostramo</w:t>
      </w:r>
      <w:proofErr w:type="spellEnd"/>
      <w:r w:rsidRPr="00AD17B8">
        <w:rPr>
          <w:rFonts w:cstheme="minorHAnsi"/>
          <w:sz w:val="24"/>
          <w:szCs w:val="24"/>
        </w:rPr>
        <w:t>, u které variantní odhady nákladů na dokončení sanace z roku 2016 překračovaly disponibilní garanci o 0,5 až 1,4</w:t>
      </w:r>
      <w:r w:rsidR="00BD79A9">
        <w:rPr>
          <w:rFonts w:cstheme="minorHAnsi"/>
          <w:sz w:val="24"/>
          <w:szCs w:val="24"/>
        </w:rPr>
        <w:t> </w:t>
      </w:r>
      <w:r w:rsidRPr="00AD17B8">
        <w:rPr>
          <w:rFonts w:cstheme="minorHAnsi"/>
          <w:sz w:val="24"/>
          <w:szCs w:val="24"/>
        </w:rPr>
        <w:t>mld.</w:t>
      </w:r>
      <w:r w:rsidR="00BD79A9">
        <w:rPr>
          <w:rFonts w:cstheme="minorHAnsi"/>
          <w:sz w:val="24"/>
          <w:szCs w:val="24"/>
        </w:rPr>
        <w:t> </w:t>
      </w:r>
      <w:r w:rsidRPr="00AD17B8">
        <w:rPr>
          <w:rFonts w:cstheme="minorHAnsi"/>
          <w:sz w:val="24"/>
          <w:szCs w:val="24"/>
        </w:rPr>
        <w:t>Kč. V budoucnu může dle MF obdobná situace nastat u dalších až 13 ekologických smluv, a to v závislosti např. na výši nákladů na dokončení sanace jiné lokality</w:t>
      </w:r>
      <w:r w:rsidR="00F642C0">
        <w:rPr>
          <w:rFonts w:cstheme="minorHAnsi"/>
          <w:sz w:val="24"/>
          <w:szCs w:val="24"/>
        </w:rPr>
        <w:t>/</w:t>
      </w:r>
      <w:r w:rsidRPr="00AD17B8">
        <w:rPr>
          <w:rFonts w:cstheme="minorHAnsi"/>
          <w:sz w:val="24"/>
          <w:szCs w:val="24"/>
        </w:rPr>
        <w:t>lokalit evidované</w:t>
      </w:r>
      <w:r w:rsidR="00F642C0">
        <w:rPr>
          <w:rFonts w:cstheme="minorHAnsi"/>
          <w:sz w:val="24"/>
          <w:szCs w:val="24"/>
        </w:rPr>
        <w:t>/evidovaných</w:t>
      </w:r>
      <w:r w:rsidRPr="00AD17B8">
        <w:rPr>
          <w:rFonts w:cstheme="minorHAnsi"/>
          <w:sz w:val="24"/>
          <w:szCs w:val="24"/>
        </w:rPr>
        <w:t xml:space="preserve"> pod danou ekologickou smlouvou a na vyčíslení nákladů na základě zpracované projektové dokumentace. NKÚ poukazuje na riziko dalšího nárůstu počtu ekologických smluv s nedostatečnou garancí, a tedy i riziko nárůstu počtu lokalit, u nichž dokončení sanace může být pozastaveno.</w:t>
      </w:r>
    </w:p>
    <w:p w14:paraId="20233F67" w14:textId="6E380ACA" w:rsidR="00225501" w:rsidRPr="00AD17B8" w:rsidRDefault="00225501" w:rsidP="002A21A2">
      <w:pPr>
        <w:pStyle w:val="bntext2"/>
        <w:spacing w:before="120" w:after="240"/>
        <w:ind w:left="0"/>
      </w:pPr>
      <w:r w:rsidRPr="00AD17B8">
        <w:t>Smluvní podmínky ekologických smluv stanoví, že pokud náklady na odstranění SEZ převýší poskytnutou garanci, hradí rozdíl nabyvatel. U některých nabyvatelů však pokračování sanac</w:t>
      </w:r>
      <w:r w:rsidR="00F642C0">
        <w:t>e</w:t>
      </w:r>
      <w:r w:rsidRPr="00AD17B8">
        <w:t xml:space="preserve"> z vlastních peněžních zdrojů může být problematické nebo nemožné, což dokládá příklad č. 4.</w:t>
      </w:r>
    </w:p>
    <w:p w14:paraId="03442285" w14:textId="77777777" w:rsidR="00225501" w:rsidRPr="00AD17B8" w:rsidRDefault="00225501" w:rsidP="002A21A2">
      <w:pPr>
        <w:keepNext/>
        <w:pBdr>
          <w:top w:val="single" w:sz="8" w:space="1" w:color="auto"/>
          <w:bottom w:val="single" w:sz="8" w:space="1" w:color="auto"/>
        </w:pBdr>
        <w:shd w:val="clear" w:color="auto" w:fill="F2F2F2" w:themeFill="background1" w:themeFillShade="F2"/>
        <w:spacing w:after="120" w:line="240" w:lineRule="auto"/>
        <w:jc w:val="both"/>
        <w:rPr>
          <w:sz w:val="24"/>
          <w:szCs w:val="24"/>
        </w:rPr>
      </w:pPr>
      <w:r w:rsidRPr="00AD17B8">
        <w:rPr>
          <w:b/>
          <w:sz w:val="24"/>
          <w:szCs w:val="24"/>
        </w:rPr>
        <w:t>Příklad č. 4</w:t>
      </w:r>
    </w:p>
    <w:p w14:paraId="67ED0275" w14:textId="053DA4B0" w:rsidR="00225501" w:rsidRPr="00C31C18" w:rsidRDefault="00225501" w:rsidP="002A21A2">
      <w:pPr>
        <w:pBdr>
          <w:top w:val="single" w:sz="8" w:space="1" w:color="auto"/>
          <w:bottom w:val="single" w:sz="8" w:space="1" w:color="auto"/>
        </w:pBdr>
        <w:shd w:val="clear" w:color="auto" w:fill="F2F2F2" w:themeFill="background1" w:themeFillShade="F2"/>
        <w:spacing w:after="0" w:line="240" w:lineRule="auto"/>
        <w:jc w:val="both"/>
        <w:rPr>
          <w:strike/>
          <w:sz w:val="24"/>
          <w:szCs w:val="24"/>
        </w:rPr>
      </w:pPr>
      <w:r w:rsidRPr="00AD17B8">
        <w:rPr>
          <w:rFonts w:cstheme="minorHAnsi"/>
          <w:b/>
          <w:sz w:val="24"/>
          <w:szCs w:val="24"/>
          <w:lang w:eastAsia="cs-CZ"/>
        </w:rPr>
        <w:t>Ekologickou smlouvu č. 9003/95/01 uzavřel Fond národního majetku s nabyvatelem v roce 1995</w:t>
      </w:r>
      <w:r w:rsidRPr="00AD17B8">
        <w:rPr>
          <w:rFonts w:cstheme="minorHAnsi"/>
          <w:sz w:val="24"/>
          <w:szCs w:val="24"/>
          <w:lang w:eastAsia="cs-CZ"/>
        </w:rPr>
        <w:t xml:space="preserve"> s výší garance 69,422 mil. Kč. Navýšení garance na základě rozhodnutí vlády v roce 1999 do výše 351 mil. Kč však nepostačovalo na dokončení sanace lokality. Náklady na dokončení sanace byly na základě projektu zpracovaného </w:t>
      </w:r>
      <w:r w:rsidRPr="00811AB3">
        <w:rPr>
          <w:rFonts w:cstheme="minorHAnsi"/>
          <w:sz w:val="24"/>
          <w:szCs w:val="24"/>
          <w:lang w:eastAsia="cs-CZ"/>
        </w:rPr>
        <w:t>v roce 2013 vyčísleny na dalších 235 mil. Kč včetně DPH. Žádost nabyvatele o navýšení garance na 586 mil. Kč včetně DPH vláda v</w:t>
      </w:r>
      <w:r>
        <w:rPr>
          <w:rFonts w:cstheme="minorHAnsi"/>
          <w:sz w:val="24"/>
          <w:szCs w:val="24"/>
          <w:lang w:eastAsia="cs-CZ"/>
        </w:rPr>
        <w:t xml:space="preserve"> roce </w:t>
      </w:r>
      <w:r w:rsidRPr="00811AB3">
        <w:rPr>
          <w:rFonts w:cstheme="minorHAnsi"/>
          <w:sz w:val="24"/>
          <w:szCs w:val="24"/>
          <w:lang w:eastAsia="cs-CZ"/>
        </w:rPr>
        <w:t xml:space="preserve">2015 na základě nedoporučujícího stanoviska MF </w:t>
      </w:r>
      <w:r w:rsidRPr="00F21408">
        <w:rPr>
          <w:rFonts w:cstheme="minorHAnsi"/>
          <w:sz w:val="24"/>
          <w:szCs w:val="24"/>
          <w:lang w:eastAsia="cs-CZ"/>
        </w:rPr>
        <w:t xml:space="preserve">zamítla. Garance této ekologické smlouvy byla již v době kontroly NKÚ zcela vyčerpána. </w:t>
      </w:r>
      <w:r w:rsidRPr="00BA6562">
        <w:rPr>
          <w:rFonts w:cstheme="minorHAnsi"/>
          <w:b/>
          <w:sz w:val="24"/>
          <w:szCs w:val="24"/>
          <w:lang w:eastAsia="cs-CZ"/>
        </w:rPr>
        <w:t>Sanační práce byly zastaveny a nepokračují ani z vlastních peněžních prostředků nabyvatele.</w:t>
      </w:r>
      <w:r w:rsidRPr="00F21408">
        <w:rPr>
          <w:rFonts w:cstheme="minorHAnsi"/>
          <w:sz w:val="24"/>
          <w:szCs w:val="24"/>
          <w:lang w:eastAsia="cs-CZ"/>
        </w:rPr>
        <w:t xml:space="preserve"> Dle údajů</w:t>
      </w:r>
      <w:r w:rsidRPr="00C31C18">
        <w:rPr>
          <w:rFonts w:cstheme="minorHAnsi"/>
          <w:sz w:val="24"/>
          <w:szCs w:val="24"/>
          <w:lang w:eastAsia="cs-CZ"/>
        </w:rPr>
        <w:t xml:space="preserve"> </w:t>
      </w:r>
      <w:r w:rsidRPr="00C31C18">
        <w:rPr>
          <w:sz w:val="24"/>
          <w:szCs w:val="24"/>
        </w:rPr>
        <w:t>ve zveřejněných</w:t>
      </w:r>
      <w:r w:rsidR="00A75D07">
        <w:rPr>
          <w:sz w:val="24"/>
          <w:szCs w:val="24"/>
        </w:rPr>
        <w:t xml:space="preserve"> v</w:t>
      </w:r>
      <w:r w:rsidRPr="00C31C18">
        <w:rPr>
          <w:sz w:val="24"/>
          <w:szCs w:val="24"/>
        </w:rPr>
        <w:t xml:space="preserve"> účetních závěrkách za roky 2017 až 2021 dosahoval nabyvatel hospodářského výsledku po zdanění řádově v jednotkách milionů korun. </w:t>
      </w:r>
    </w:p>
    <w:p w14:paraId="0A8440EA" w14:textId="09685E11" w:rsidR="00225501" w:rsidRDefault="00225501" w:rsidP="002A21A2">
      <w:pPr>
        <w:pStyle w:val="bntext2"/>
        <w:spacing w:before="240" w:after="120"/>
        <w:ind w:left="0"/>
      </w:pPr>
      <w:r w:rsidRPr="00506251">
        <w:t xml:space="preserve">V </w:t>
      </w:r>
      <w:r w:rsidRPr="00CA1001">
        <w:t xml:space="preserve">době kontroly NKÚ pokračoval dle informací MF v sanaci z vlastních zdrojů jeden nabyvatel. Podporu na sanaci lokality zatížené SEZ mohli získat pouze jejich následní vlastníci, kteří </w:t>
      </w:r>
      <w:r w:rsidR="00A75D07">
        <w:t xml:space="preserve">dosud neuzavřeli </w:t>
      </w:r>
      <w:r w:rsidRPr="00CA1001">
        <w:t>ekologickou smlouvu s MF, a to z OPŽP 2014</w:t>
      </w:r>
      <w:r w:rsidR="00A75D07">
        <w:t>–</w:t>
      </w:r>
      <w:r w:rsidRPr="00CA1001">
        <w:t>2020</w:t>
      </w:r>
      <w:r w:rsidRPr="00CA1001">
        <w:rPr>
          <w:rStyle w:val="Znakapoznpodarou"/>
        </w:rPr>
        <w:footnoteReference w:id="22"/>
      </w:r>
      <w:r w:rsidRPr="00CA1001">
        <w:t xml:space="preserve"> a OPŽP2021</w:t>
      </w:r>
      <w:r w:rsidR="00A75D07">
        <w:t>–</w:t>
      </w:r>
      <w:r w:rsidRPr="00CA1001">
        <w:t>2027</w:t>
      </w:r>
      <w:r w:rsidRPr="00CA1001">
        <w:rPr>
          <w:rStyle w:val="Znakapoznpodarou"/>
        </w:rPr>
        <w:footnoteReference w:id="23"/>
      </w:r>
      <w:r w:rsidRPr="00CA1001">
        <w:t>. Z peněžních prostředků OPŽP 2014</w:t>
      </w:r>
      <w:r w:rsidR="00A75D07">
        <w:t>–</w:t>
      </w:r>
      <w:r w:rsidRPr="00CA1001">
        <w:t xml:space="preserve">2020 poskytlo MŽP podporu na odstranění SEZ v jednom případě, a to v lokalitě, kde garance v minulosti nepostačovala k jejímu odstranění. Příjemcem byl nový vlastník této lokality.  </w:t>
      </w:r>
    </w:p>
    <w:p w14:paraId="0EBB0589" w14:textId="77777777" w:rsidR="00225501" w:rsidRPr="00AD17B8" w:rsidRDefault="00225501" w:rsidP="002A21A2">
      <w:pPr>
        <w:pStyle w:val="bntext2"/>
        <w:spacing w:before="120" w:after="120"/>
        <w:ind w:left="0"/>
        <w:rPr>
          <w:lang w:eastAsia="cs-CZ"/>
        </w:rPr>
      </w:pPr>
      <w:r w:rsidRPr="000C4A33">
        <w:rPr>
          <w:lang w:eastAsia="cs-CZ"/>
        </w:rPr>
        <w:t xml:space="preserve">Za odstranění SEZ a splnění </w:t>
      </w:r>
      <w:r w:rsidRPr="00F21408">
        <w:rPr>
          <w:lang w:eastAsia="cs-CZ"/>
        </w:rPr>
        <w:t xml:space="preserve">limitů v oblasti životního prostředí odpovídají nabyvatelé, kterým byla uložena nápravná opatření. </w:t>
      </w:r>
      <w:r w:rsidRPr="00F21408">
        <w:t>ČIŽP</w:t>
      </w:r>
      <w:r>
        <w:t xml:space="preserve"> </w:t>
      </w:r>
      <w:r w:rsidRPr="000C4A33">
        <w:t xml:space="preserve">s účinností od 1. února 2021 na základě novelizace zákona č. </w:t>
      </w:r>
      <w:r w:rsidRPr="00AD17B8">
        <w:t>254/2001 Sb.</w:t>
      </w:r>
      <w:r w:rsidRPr="00AD17B8">
        <w:rPr>
          <w:rStyle w:val="Znakapoznpodarou"/>
        </w:rPr>
        <w:footnoteReference w:id="24"/>
      </w:r>
      <w:r w:rsidRPr="00AD17B8">
        <w:t xml:space="preserve"> nemůže v případě neplnění uložených nápravných opatření zahájit, nařídit nebo provést výkon rozhodnutí. NKÚ upozorňuje, že v situaci, kdy dojde k ukončení ekologické smlouvy z důvodu nedostatečné garance a nabyvatel nebude pokračovat v realizaci nápravných opatření,</w:t>
      </w:r>
      <w:r w:rsidRPr="002A21A2">
        <w:t xml:space="preserve"> </w:t>
      </w:r>
      <w:r w:rsidRPr="00AD17B8">
        <w:t xml:space="preserve">bude vymáhání plnění nápravných opatření ze strany ČIŽP vůči nabyvateli nemožné. </w:t>
      </w:r>
      <w:r w:rsidRPr="00AD17B8">
        <w:rPr>
          <w:szCs w:val="23"/>
        </w:rPr>
        <w:t>Za odstranění SEZ sice odpovídá nabyvatel privatizovaného majetku, ale podle platné legislativy u ekologických smluv ukončených z důvodu nedostatečné garance nemůže stát dokončení sanace po nabyvateli vymáhat.</w:t>
      </w:r>
    </w:p>
    <w:p w14:paraId="37D018E9" w14:textId="77777777" w:rsidR="00225501" w:rsidRPr="00AD17B8" w:rsidRDefault="00225501" w:rsidP="002A21A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D17B8">
        <w:rPr>
          <w:rFonts w:cstheme="minorHAnsi"/>
          <w:sz w:val="24"/>
          <w:szCs w:val="24"/>
        </w:rPr>
        <w:t xml:space="preserve">Na 15 lokalitách z důvodu nedostatečné garance sanační práce v kontrolovaném období nepokračovaly nebo pokračovaly jen v omezeném rozsahu, případně nebyly zahájeny, neboť projektem kalkulované náklady převyšovaly garanci. Pouze v jednom případě hradil pokračování sanačních prací nabyvatel. V 15 lokalitách tak ekologická a zdravotní rizika přetrvávají. </w:t>
      </w:r>
    </w:p>
    <w:p w14:paraId="455868B4" w14:textId="77777777" w:rsidR="00225501" w:rsidRPr="00AD17B8" w:rsidRDefault="00225501" w:rsidP="002A21A2">
      <w:pPr>
        <w:spacing w:before="120" w:after="120" w:line="240" w:lineRule="auto"/>
        <w:jc w:val="both"/>
        <w:rPr>
          <w:b/>
          <w:sz w:val="24"/>
          <w:szCs w:val="23"/>
        </w:rPr>
      </w:pPr>
      <w:r w:rsidRPr="00AD17B8">
        <w:rPr>
          <w:rFonts w:cstheme="minorHAnsi"/>
          <w:b/>
          <w:sz w:val="24"/>
          <w:szCs w:val="24"/>
        </w:rPr>
        <w:t xml:space="preserve">Hrozí riziko opětovné kontaminace již částečně sanovaných lokalit, možné částečné nebo úplné znehodnocení provedených sanačních prací </w:t>
      </w:r>
      <w:r w:rsidRPr="00AD17B8">
        <w:rPr>
          <w:b/>
          <w:sz w:val="24"/>
          <w:szCs w:val="23"/>
        </w:rPr>
        <w:t>s negativním dopadem na hospodárnost vynaložených peněžních prostředků státu.</w:t>
      </w:r>
    </w:p>
    <w:p w14:paraId="6BB594DC" w14:textId="03ED5FA9" w:rsidR="003F0A07" w:rsidRPr="004668DD" w:rsidRDefault="004D0FA2" w:rsidP="00063646">
      <w:pPr>
        <w:keepNext/>
        <w:spacing w:before="240" w:after="120" w:line="240" w:lineRule="auto"/>
        <w:ind w:left="284" w:hanging="284"/>
        <w:rPr>
          <w:b/>
          <w:sz w:val="24"/>
          <w:szCs w:val="23"/>
        </w:rPr>
      </w:pPr>
      <w:r>
        <w:rPr>
          <w:b/>
          <w:sz w:val="24"/>
        </w:rPr>
        <w:t>4</w:t>
      </w:r>
      <w:r w:rsidR="00624106" w:rsidRPr="004668DD">
        <w:rPr>
          <w:b/>
          <w:sz w:val="24"/>
        </w:rPr>
        <w:t>.</w:t>
      </w:r>
      <w:r w:rsidR="002A21A2">
        <w:rPr>
          <w:b/>
          <w:sz w:val="24"/>
        </w:rPr>
        <w:tab/>
      </w:r>
      <w:r w:rsidR="00515242" w:rsidRPr="004668DD">
        <w:rPr>
          <w:b/>
          <w:sz w:val="24"/>
          <w:szCs w:val="23"/>
        </w:rPr>
        <w:t>MF využilo disponibilní peněžní prostředky zvláštních účtů privatizace pouze ze 35 %, v budoucnu hrozí riziko jejich nedostatku</w:t>
      </w:r>
    </w:p>
    <w:p w14:paraId="301CA319" w14:textId="76069FA3" w:rsidR="00225501" w:rsidRDefault="00624106" w:rsidP="002C6DF0">
      <w:pPr>
        <w:spacing w:before="120" w:after="240" w:line="240" w:lineRule="auto"/>
        <w:jc w:val="both"/>
        <w:rPr>
          <w:sz w:val="24"/>
          <w:szCs w:val="24"/>
        </w:rPr>
      </w:pPr>
      <w:r w:rsidRPr="004668DD">
        <w:rPr>
          <w:rFonts w:cstheme="minorHAnsi"/>
          <w:sz w:val="24"/>
          <w:szCs w:val="24"/>
        </w:rPr>
        <w:t xml:space="preserve">NKÚ v roce 2017 upozornil, že nebyl dlouhodobě zajištěn dostatečný zdroj </w:t>
      </w:r>
      <w:r w:rsidR="008A787C">
        <w:rPr>
          <w:rFonts w:cstheme="minorHAnsi"/>
          <w:sz w:val="24"/>
          <w:szCs w:val="24"/>
        </w:rPr>
        <w:t>peněž</w:t>
      </w:r>
      <w:r w:rsidRPr="004668DD">
        <w:rPr>
          <w:rFonts w:cstheme="minorHAnsi"/>
          <w:sz w:val="24"/>
          <w:szCs w:val="24"/>
        </w:rPr>
        <w:t xml:space="preserve">ních prostředků pro odstraňování </w:t>
      </w:r>
      <w:r w:rsidR="004B6D81">
        <w:rPr>
          <w:rFonts w:cstheme="minorHAnsi"/>
          <w:sz w:val="24"/>
          <w:szCs w:val="24"/>
        </w:rPr>
        <w:t>SEZ</w:t>
      </w:r>
      <w:r w:rsidRPr="004668DD">
        <w:rPr>
          <w:rFonts w:cstheme="minorHAnsi"/>
          <w:sz w:val="24"/>
          <w:szCs w:val="24"/>
        </w:rPr>
        <w:t xml:space="preserve">. </w:t>
      </w:r>
      <w:r w:rsidR="003F0A07" w:rsidRPr="004668DD">
        <w:rPr>
          <w:sz w:val="24"/>
          <w:szCs w:val="24"/>
        </w:rPr>
        <w:t xml:space="preserve">Na základě usnesení vlády </w:t>
      </w:r>
      <w:r w:rsidR="00B95735">
        <w:rPr>
          <w:sz w:val="24"/>
          <w:szCs w:val="24"/>
        </w:rPr>
        <w:t xml:space="preserve">ČR </w:t>
      </w:r>
      <w:r w:rsidR="003F0A07" w:rsidRPr="004668DD">
        <w:rPr>
          <w:rFonts w:cstheme="minorHAnsi"/>
          <w:sz w:val="24"/>
          <w:szCs w:val="24"/>
        </w:rPr>
        <w:t>ze dne 4. září 2017 č. 610 a</w:t>
      </w:r>
      <w:r w:rsidR="0010262D">
        <w:rPr>
          <w:rFonts w:cstheme="minorHAnsi"/>
          <w:sz w:val="24"/>
          <w:szCs w:val="24"/>
        </w:rPr>
        <w:t> </w:t>
      </w:r>
      <w:r w:rsidR="003F0A07" w:rsidRPr="004668DD">
        <w:rPr>
          <w:rFonts w:cstheme="minorHAnsi"/>
          <w:sz w:val="24"/>
          <w:szCs w:val="24"/>
        </w:rPr>
        <w:t>novelizací zákona č. 178/2005 Sb. v roce 2018</w:t>
      </w:r>
      <w:r>
        <w:rPr>
          <w:rStyle w:val="Znakapoznpodarou"/>
          <w:rFonts w:cstheme="minorHAnsi"/>
          <w:sz w:val="24"/>
          <w:szCs w:val="24"/>
        </w:rPr>
        <w:footnoteReference w:id="25"/>
      </w:r>
      <w:r w:rsidR="003F0A07" w:rsidRPr="004668DD">
        <w:rPr>
          <w:rFonts w:cstheme="minorHAnsi"/>
          <w:sz w:val="24"/>
          <w:szCs w:val="24"/>
        </w:rPr>
        <w:t xml:space="preserve"> </w:t>
      </w:r>
      <w:r w:rsidR="003F0A07" w:rsidRPr="004668DD">
        <w:rPr>
          <w:sz w:val="24"/>
          <w:szCs w:val="24"/>
        </w:rPr>
        <w:t xml:space="preserve">došlo </w:t>
      </w:r>
      <w:r w:rsidR="00A940F4" w:rsidRPr="004668DD">
        <w:rPr>
          <w:rFonts w:cstheme="minorHAnsi"/>
          <w:sz w:val="24"/>
          <w:szCs w:val="24"/>
        </w:rPr>
        <w:t xml:space="preserve">mj. </w:t>
      </w:r>
      <w:r w:rsidR="003F0A07" w:rsidRPr="004668DD">
        <w:rPr>
          <w:sz w:val="24"/>
          <w:szCs w:val="24"/>
        </w:rPr>
        <w:t>k ukončení financování některých výdajů</w:t>
      </w:r>
      <w:r>
        <w:rPr>
          <w:rStyle w:val="Znakapoznpodarou"/>
          <w:sz w:val="24"/>
          <w:szCs w:val="24"/>
        </w:rPr>
        <w:footnoteReference w:id="26"/>
      </w:r>
      <w:r w:rsidR="003F0A07" w:rsidRPr="004668DD">
        <w:rPr>
          <w:sz w:val="24"/>
          <w:szCs w:val="24"/>
        </w:rPr>
        <w:t xml:space="preserve">, které zvláštní </w:t>
      </w:r>
      <w:r w:rsidR="003F0A07" w:rsidRPr="00AD17B8">
        <w:rPr>
          <w:sz w:val="24"/>
          <w:szCs w:val="24"/>
        </w:rPr>
        <w:t>účet přetěžovaly a ohrožovaly plnění ekologických závazků státu. Disponibilní peněžní prostředky zvláštních účtů privatizace dostačovaly v kontrolovaném období k pokrytí výdajů státu na odstraňování SEZ a rovněž byly k dispozici v dostatečné výši pro urychlení odstraňování</w:t>
      </w:r>
      <w:r w:rsidR="00A07383" w:rsidRPr="00AD17B8">
        <w:rPr>
          <w:sz w:val="24"/>
          <w:szCs w:val="24"/>
        </w:rPr>
        <w:t xml:space="preserve"> SEZ</w:t>
      </w:r>
      <w:r w:rsidR="003F0A07" w:rsidRPr="00AD17B8">
        <w:rPr>
          <w:sz w:val="24"/>
          <w:szCs w:val="24"/>
        </w:rPr>
        <w:t xml:space="preserve">. </w:t>
      </w:r>
      <w:r w:rsidR="005878A6" w:rsidRPr="00AD17B8">
        <w:rPr>
          <w:sz w:val="24"/>
          <w:szCs w:val="24"/>
        </w:rPr>
        <w:t xml:space="preserve">Tím </w:t>
      </w:r>
      <w:r w:rsidR="00194B49" w:rsidRPr="00AD17B8">
        <w:rPr>
          <w:sz w:val="24"/>
          <w:szCs w:val="24"/>
        </w:rPr>
        <w:t xml:space="preserve">byl vytvořen finanční předpoklad pro urychlení odstraňování </w:t>
      </w:r>
      <w:r w:rsidR="004B6D81" w:rsidRPr="00AD17B8">
        <w:rPr>
          <w:sz w:val="24"/>
          <w:szCs w:val="24"/>
        </w:rPr>
        <w:t>SEZ</w:t>
      </w:r>
      <w:r w:rsidR="001F5155" w:rsidRPr="00AD17B8">
        <w:rPr>
          <w:sz w:val="24"/>
          <w:szCs w:val="24"/>
        </w:rPr>
        <w:t xml:space="preserve">, který však </w:t>
      </w:r>
      <w:r w:rsidR="00AB2F53" w:rsidRPr="00AD17B8">
        <w:rPr>
          <w:sz w:val="24"/>
          <w:szCs w:val="24"/>
        </w:rPr>
        <w:t>v</w:t>
      </w:r>
      <w:r w:rsidR="00663B3B" w:rsidRPr="00AD17B8">
        <w:rPr>
          <w:sz w:val="24"/>
          <w:szCs w:val="24"/>
        </w:rPr>
        <w:t xml:space="preserve"> kontrolovaném </w:t>
      </w:r>
      <w:r w:rsidR="00663B3B" w:rsidRPr="004668DD">
        <w:rPr>
          <w:sz w:val="24"/>
          <w:szCs w:val="24"/>
        </w:rPr>
        <w:t>období</w:t>
      </w:r>
      <w:r w:rsidR="00AB2F53" w:rsidRPr="004668DD">
        <w:rPr>
          <w:sz w:val="24"/>
          <w:szCs w:val="24"/>
        </w:rPr>
        <w:t xml:space="preserve"> nebyl využit</w:t>
      </w:r>
      <w:r w:rsidR="00194B49" w:rsidRPr="004668DD">
        <w:rPr>
          <w:sz w:val="24"/>
          <w:szCs w:val="24"/>
        </w:rPr>
        <w:t xml:space="preserve">. </w:t>
      </w:r>
      <w:r w:rsidR="003F0A07" w:rsidRPr="004668DD">
        <w:rPr>
          <w:sz w:val="24"/>
          <w:szCs w:val="24"/>
        </w:rPr>
        <w:t>Výdaje vynaložené na</w:t>
      </w:r>
      <w:r w:rsidR="0010262D">
        <w:rPr>
          <w:sz w:val="24"/>
          <w:szCs w:val="24"/>
        </w:rPr>
        <w:t> </w:t>
      </w:r>
      <w:r w:rsidR="003F0A07" w:rsidRPr="004668DD">
        <w:rPr>
          <w:sz w:val="24"/>
          <w:szCs w:val="24"/>
        </w:rPr>
        <w:t xml:space="preserve">odstranění SEZ </w:t>
      </w:r>
      <w:r w:rsidR="003F0A07" w:rsidRPr="008A5CF1">
        <w:rPr>
          <w:sz w:val="24"/>
          <w:szCs w:val="24"/>
        </w:rPr>
        <w:t>byly v letech 2018 až 2022 výrazně nižší</w:t>
      </w:r>
      <w:r w:rsidR="00046966" w:rsidRPr="008A5CF1">
        <w:rPr>
          <w:sz w:val="24"/>
          <w:szCs w:val="24"/>
        </w:rPr>
        <w:t xml:space="preserve"> </w:t>
      </w:r>
      <w:r w:rsidR="003F0A07" w:rsidRPr="008A5CF1">
        <w:rPr>
          <w:sz w:val="24"/>
          <w:szCs w:val="24"/>
        </w:rPr>
        <w:t>než částka 2,5 mld. Kč</w:t>
      </w:r>
      <w:r w:rsidR="002634C8">
        <w:rPr>
          <w:sz w:val="24"/>
          <w:szCs w:val="24"/>
        </w:rPr>
        <w:t xml:space="preserve"> (viz graf č. 2)</w:t>
      </w:r>
      <w:r w:rsidR="003F0A07" w:rsidRPr="008A5CF1">
        <w:rPr>
          <w:sz w:val="24"/>
          <w:szCs w:val="24"/>
        </w:rPr>
        <w:t>, která dle předpokladu uvedené</w:t>
      </w:r>
      <w:r w:rsidR="00FD0BA8" w:rsidRPr="008A5CF1">
        <w:rPr>
          <w:sz w:val="24"/>
          <w:szCs w:val="24"/>
        </w:rPr>
        <w:t>ho</w:t>
      </w:r>
      <w:r w:rsidR="003F0A07" w:rsidRPr="008A5CF1">
        <w:rPr>
          <w:sz w:val="24"/>
          <w:szCs w:val="24"/>
        </w:rPr>
        <w:t xml:space="preserve"> Ministerstvem financí v </w:t>
      </w:r>
      <w:r w:rsidR="003F0A07" w:rsidRPr="00052C41">
        <w:rPr>
          <w:i/>
          <w:sz w:val="24"/>
          <w:szCs w:val="24"/>
        </w:rPr>
        <w:t xml:space="preserve">Koncepci stabilizace </w:t>
      </w:r>
      <w:r w:rsidR="00610997" w:rsidRPr="00052C41">
        <w:rPr>
          <w:i/>
          <w:sz w:val="24"/>
          <w:szCs w:val="24"/>
        </w:rPr>
        <w:t>finančního stavu zvláštních účtů privatizace</w:t>
      </w:r>
      <w:r w:rsidR="00610997" w:rsidRPr="008A5CF1">
        <w:rPr>
          <w:sz w:val="24"/>
          <w:szCs w:val="24"/>
        </w:rPr>
        <w:t xml:space="preserve"> </w:t>
      </w:r>
      <w:r w:rsidR="003F0A07" w:rsidRPr="008A5CF1">
        <w:rPr>
          <w:sz w:val="24"/>
          <w:szCs w:val="24"/>
        </w:rPr>
        <w:t>měla</w:t>
      </w:r>
      <w:r w:rsidR="003F0A07" w:rsidRPr="004668DD">
        <w:rPr>
          <w:sz w:val="24"/>
          <w:szCs w:val="24"/>
        </w:rPr>
        <w:t xml:space="preserve"> k urychlení vést. </w:t>
      </w:r>
      <w:r w:rsidR="000F3FD9" w:rsidRPr="004668DD">
        <w:rPr>
          <w:rFonts w:cstheme="minorHAnsi"/>
          <w:sz w:val="24"/>
          <w:szCs w:val="24"/>
          <w:lang w:eastAsia="cs-CZ"/>
        </w:rPr>
        <w:t>Výše výdajů</w:t>
      </w:r>
      <w:r w:rsidR="003F0A07" w:rsidRPr="004668DD">
        <w:rPr>
          <w:sz w:val="24"/>
          <w:szCs w:val="24"/>
        </w:rPr>
        <w:t xml:space="preserve"> se pohyboval</w:t>
      </w:r>
      <w:r w:rsidR="000F3FD9" w:rsidRPr="004668DD">
        <w:rPr>
          <w:sz w:val="24"/>
          <w:szCs w:val="24"/>
        </w:rPr>
        <w:t>a</w:t>
      </w:r>
      <w:r w:rsidR="003F0A07" w:rsidRPr="004668DD">
        <w:rPr>
          <w:sz w:val="24"/>
          <w:szCs w:val="24"/>
        </w:rPr>
        <w:t xml:space="preserve"> v průměru na úrovni </w:t>
      </w:r>
      <w:r w:rsidR="00AB49F8" w:rsidRPr="004668DD">
        <w:rPr>
          <w:sz w:val="24"/>
          <w:szCs w:val="24"/>
        </w:rPr>
        <w:t xml:space="preserve">pouze </w:t>
      </w:r>
      <w:r w:rsidR="003F0A07" w:rsidRPr="004668DD">
        <w:rPr>
          <w:sz w:val="24"/>
          <w:szCs w:val="24"/>
        </w:rPr>
        <w:t>35 % tohoto předpokladu</w:t>
      </w:r>
      <w:r w:rsidR="004668DD">
        <w:rPr>
          <w:sz w:val="24"/>
          <w:szCs w:val="24"/>
        </w:rPr>
        <w:t xml:space="preserve"> </w:t>
      </w:r>
      <w:r w:rsidR="004668DD" w:rsidRPr="004668DD">
        <w:rPr>
          <w:sz w:val="24"/>
          <w:szCs w:val="24"/>
        </w:rPr>
        <w:t>(viz tabulka č. 2)</w:t>
      </w:r>
      <w:r w:rsidR="003F0A07" w:rsidRPr="00AB49F8">
        <w:rPr>
          <w:sz w:val="24"/>
          <w:szCs w:val="24"/>
        </w:rPr>
        <w:t>.</w:t>
      </w:r>
      <w:r w:rsidR="003F0A07">
        <w:rPr>
          <w:sz w:val="24"/>
          <w:szCs w:val="24"/>
        </w:rPr>
        <w:t xml:space="preserve"> </w:t>
      </w:r>
    </w:p>
    <w:p w14:paraId="55A9D491" w14:textId="77777777" w:rsidR="004668DD" w:rsidRPr="002A21A2" w:rsidRDefault="00624106" w:rsidP="0042422E">
      <w:pPr>
        <w:keepNext/>
        <w:autoSpaceDE w:val="0"/>
        <w:autoSpaceDN w:val="0"/>
        <w:adjustRightInd w:val="0"/>
        <w:spacing w:after="0" w:line="240" w:lineRule="auto"/>
        <w:ind w:left="992" w:hanging="992"/>
        <w:jc w:val="both"/>
        <w:rPr>
          <w:b/>
          <w:sz w:val="24"/>
          <w:szCs w:val="24"/>
        </w:rPr>
      </w:pPr>
      <w:r w:rsidRPr="002A21A2">
        <w:rPr>
          <w:b/>
          <w:sz w:val="24"/>
          <w:szCs w:val="24"/>
        </w:rPr>
        <w:t xml:space="preserve">Graf č. 2: </w:t>
      </w:r>
      <w:r w:rsidR="002A21A2">
        <w:rPr>
          <w:b/>
          <w:sz w:val="24"/>
          <w:szCs w:val="24"/>
        </w:rPr>
        <w:tab/>
      </w:r>
      <w:r w:rsidRPr="002A21A2">
        <w:rPr>
          <w:b/>
          <w:sz w:val="24"/>
          <w:szCs w:val="24"/>
        </w:rPr>
        <w:t>Výše výdajů na odstraňování SEZ vzhledem k předpokládané výši peněžních prostředků k urychlení procesu</w:t>
      </w:r>
    </w:p>
    <w:p w14:paraId="6F4C9A63" w14:textId="0DC31BC5" w:rsidR="00CB1254" w:rsidRPr="00472B09" w:rsidRDefault="005655EF" w:rsidP="00E605DC">
      <w:pPr>
        <w:ind w:left="993" w:hanging="993"/>
        <w:jc w:val="center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E9E5E" wp14:editId="070E3E4C">
                <wp:simplePos x="0" y="0"/>
                <wp:positionH relativeFrom="column">
                  <wp:posOffset>3595687</wp:posOffset>
                </wp:positionH>
                <wp:positionV relativeFrom="paragraph">
                  <wp:posOffset>381319</wp:posOffset>
                </wp:positionV>
                <wp:extent cx="276225" cy="342900"/>
                <wp:effectExtent l="23813" t="14287" r="0" b="33338"/>
                <wp:wrapNone/>
                <wp:docPr id="3" name="Šipka: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3429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9FC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3" o:spid="_x0000_s1026" type="#_x0000_t67" style="position:absolute;margin-left:283.1pt;margin-top:30.05pt;width:21.75pt;height:27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" adj="12900" fillcolor="#d8d8d8 [2732]" strokecolor="#d8d8d8 [2732]" strokeweight="1pt"/>
            </w:pict>
          </mc:Fallback>
        </mc:AlternateContent>
      </w:r>
      <w:r w:rsidR="0062410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BAC64" wp14:editId="12934AEF">
                <wp:simplePos x="0" y="0"/>
                <wp:positionH relativeFrom="column">
                  <wp:posOffset>3956877</wp:posOffset>
                </wp:positionH>
                <wp:positionV relativeFrom="paragraph">
                  <wp:posOffset>41718</wp:posOffset>
                </wp:positionV>
                <wp:extent cx="1798320" cy="1009291"/>
                <wp:effectExtent l="0" t="0" r="11430" b="19685"/>
                <wp:wrapNone/>
                <wp:docPr id="18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00929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14F23" w14:textId="77777777" w:rsidR="006B1AF2" w:rsidRPr="00472B09" w:rsidRDefault="006B1AF2" w:rsidP="00CB1254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472B09">
                              <w:rPr>
                                <w:sz w:val="20"/>
                              </w:rPr>
                              <w:t>Výše peněžních prostředků k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472B09">
                              <w:rPr>
                                <w:sz w:val="20"/>
                              </w:rPr>
                              <w:t xml:space="preserve">urychlení odstraňování SEZ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Pr="00472B09">
                              <w:rPr>
                                <w:sz w:val="20"/>
                              </w:rPr>
                              <w:t xml:space="preserve">předpoklad dle </w:t>
                            </w:r>
                            <w:r w:rsidRPr="00052C41">
                              <w:rPr>
                                <w:i/>
                                <w:sz w:val="20"/>
                              </w:rPr>
                              <w:t>Koncepce stabilizace finančního stavu zvláštních účtů privatizace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BAC64" id="Obdélník: se zakulacenými rohy 2" o:spid="_x0000_s1026" style="position:absolute;left:0;text-align:left;margin-left:311.55pt;margin-top:3.3pt;width:141.6pt;height:7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" fillcolor="#f2f2f2 [3052]" strokecolor="#bfbfbf [2412]" strokeweight="1pt">
                <v:stroke joinstyle="miter"/>
                <v:textbox>
                  <w:txbxContent>
                    <w:p w14:paraId="4A814F23" w14:textId="77777777" w:rsidR="006B1AF2" w:rsidRPr="00472B09" w:rsidRDefault="006B1AF2" w:rsidP="00CB1254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472B09">
                        <w:rPr>
                          <w:sz w:val="20"/>
                        </w:rPr>
                        <w:t>Výše peněžních prostředků k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472B09">
                        <w:rPr>
                          <w:sz w:val="20"/>
                        </w:rPr>
                        <w:t xml:space="preserve">urychlení odstraňování SEZ </w:t>
                      </w:r>
                      <w:r>
                        <w:rPr>
                          <w:sz w:val="20"/>
                        </w:rPr>
                        <w:t>(</w:t>
                      </w:r>
                      <w:r w:rsidRPr="00472B09">
                        <w:rPr>
                          <w:sz w:val="20"/>
                        </w:rPr>
                        <w:t xml:space="preserve">předpoklad dle </w:t>
                      </w:r>
                      <w:r w:rsidRPr="00052C41">
                        <w:rPr>
                          <w:i/>
                          <w:sz w:val="20"/>
                        </w:rPr>
                        <w:t>Koncepce stabilizace finančního stavu zvláštních účtů privatizace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624106">
        <w:rPr>
          <w:noProof/>
          <w:lang w:eastAsia="cs-CZ"/>
        </w:rPr>
        <w:drawing>
          <wp:inline distT="0" distB="0" distL="0" distR="0" wp14:anchorId="57AD13AC" wp14:editId="68EE4885">
            <wp:extent cx="5686425" cy="2250831"/>
            <wp:effectExtent l="0" t="0" r="0" b="0"/>
            <wp:docPr id="15" name="Graf 15">
              <a:extLst xmlns:a="http://schemas.openxmlformats.org/drawingml/2006/main">
                <a:ext uri="{FF2B5EF4-FFF2-40B4-BE49-F238E27FC236}">
                  <a16:creationId xmlns:a16="http://schemas.microsoft.com/office/drawing/2014/main" id="{F651C6B1-B7BB-49BB-A93F-CA19188417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8CBAE64" w14:textId="77272F84" w:rsidR="00BE483B" w:rsidRPr="009D7A18" w:rsidRDefault="00624106" w:rsidP="006650B1">
      <w:pPr>
        <w:spacing w:after="120" w:line="240" w:lineRule="auto"/>
        <w:jc w:val="both"/>
        <w:rPr>
          <w:sz w:val="20"/>
          <w:szCs w:val="20"/>
          <w:lang w:eastAsia="cs-CZ"/>
        </w:rPr>
      </w:pPr>
      <w:r w:rsidRPr="006650B1">
        <w:rPr>
          <w:b/>
          <w:sz w:val="20"/>
          <w:szCs w:val="20"/>
          <w:lang w:eastAsia="cs-CZ"/>
        </w:rPr>
        <w:t>Zdroj:</w:t>
      </w:r>
      <w:r w:rsidRPr="00345DEF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d</w:t>
      </w:r>
      <w:r w:rsidRPr="00345DEF">
        <w:rPr>
          <w:sz w:val="20"/>
          <w:szCs w:val="20"/>
          <w:lang w:eastAsia="cs-CZ"/>
        </w:rPr>
        <w:t>ata MF</w:t>
      </w:r>
      <w:r>
        <w:rPr>
          <w:sz w:val="20"/>
          <w:szCs w:val="20"/>
          <w:lang w:eastAsia="cs-CZ"/>
        </w:rPr>
        <w:t xml:space="preserve">, </w:t>
      </w:r>
      <w:r w:rsidR="005778DC">
        <w:rPr>
          <w:sz w:val="20"/>
          <w:szCs w:val="20"/>
          <w:lang w:eastAsia="cs-CZ"/>
        </w:rPr>
        <w:t>vypracoval</w:t>
      </w:r>
      <w:r>
        <w:rPr>
          <w:sz w:val="20"/>
          <w:szCs w:val="20"/>
          <w:lang w:eastAsia="cs-CZ"/>
        </w:rPr>
        <w:t xml:space="preserve"> NKÚ</w:t>
      </w:r>
      <w:r w:rsidRPr="00345DEF">
        <w:rPr>
          <w:sz w:val="20"/>
          <w:szCs w:val="20"/>
          <w:lang w:eastAsia="cs-CZ"/>
        </w:rPr>
        <w:t>.</w:t>
      </w:r>
    </w:p>
    <w:p w14:paraId="68EE17DB" w14:textId="77777777" w:rsidR="00225501" w:rsidRPr="00385177" w:rsidRDefault="00225501" w:rsidP="002C6DF0">
      <w:pPr>
        <w:autoSpaceDE w:val="0"/>
        <w:autoSpaceDN w:val="0"/>
        <w:adjustRightInd w:val="0"/>
        <w:spacing w:before="120" w:after="40" w:line="240" w:lineRule="auto"/>
        <w:ind w:left="1304" w:hanging="1304"/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385177">
        <w:rPr>
          <w:rFonts w:ascii="Calibri" w:hAnsi="Calibri" w:cs="Calibri"/>
          <w:b/>
          <w:sz w:val="24"/>
          <w:szCs w:val="24"/>
          <w:lang w:eastAsia="cs-CZ"/>
        </w:rPr>
        <w:t xml:space="preserve">Tabulka č. 2: </w:t>
      </w:r>
      <w:r w:rsidR="00385177">
        <w:rPr>
          <w:rFonts w:ascii="Calibri" w:hAnsi="Calibri" w:cs="Calibri"/>
          <w:b/>
          <w:sz w:val="24"/>
          <w:szCs w:val="24"/>
          <w:lang w:eastAsia="cs-CZ"/>
        </w:rPr>
        <w:tab/>
      </w:r>
      <w:r w:rsidRPr="00385177">
        <w:rPr>
          <w:rFonts w:ascii="Calibri" w:hAnsi="Calibri" w:cs="Calibri"/>
          <w:b/>
          <w:sz w:val="24"/>
          <w:szCs w:val="24"/>
          <w:lang w:eastAsia="cs-CZ"/>
        </w:rPr>
        <w:t xml:space="preserve">Podíl výdajů na odstraňování SEZ k předpokladu dle </w:t>
      </w:r>
      <w:r w:rsidRPr="00052C41">
        <w:rPr>
          <w:rFonts w:ascii="Calibri" w:hAnsi="Calibri" w:cs="Calibri"/>
          <w:b/>
          <w:i/>
          <w:sz w:val="24"/>
          <w:szCs w:val="24"/>
          <w:lang w:eastAsia="cs-CZ"/>
        </w:rPr>
        <w:t>Koncepce stabilizace finančního stavu zvláštních účtů privatizace</w:t>
      </w:r>
      <w:r w:rsidRPr="00385177">
        <w:rPr>
          <w:rFonts w:ascii="Calibri" w:hAnsi="Calibri" w:cs="Calibri"/>
          <w:b/>
          <w:sz w:val="24"/>
          <w:szCs w:val="24"/>
          <w:lang w:eastAsia="cs-CZ"/>
        </w:rPr>
        <w:t xml:space="preserve"> </w:t>
      </w:r>
    </w:p>
    <w:tbl>
      <w:tblPr>
        <w:tblStyle w:val="Mkatabulky"/>
        <w:tblW w:w="9014" w:type="dxa"/>
        <w:jc w:val="center"/>
        <w:tblLook w:val="04A0" w:firstRow="1" w:lastRow="0" w:firstColumn="1" w:lastColumn="0" w:noHBand="0" w:noVBand="1"/>
      </w:tblPr>
      <w:tblGrid>
        <w:gridCol w:w="4082"/>
        <w:gridCol w:w="737"/>
        <w:gridCol w:w="737"/>
        <w:gridCol w:w="737"/>
        <w:gridCol w:w="737"/>
        <w:gridCol w:w="737"/>
        <w:gridCol w:w="1247"/>
      </w:tblGrid>
      <w:tr w:rsidR="006650B1" w14:paraId="0E93BBEF" w14:textId="77777777" w:rsidTr="00E420EA">
        <w:trPr>
          <w:trHeight w:val="283"/>
          <w:jc w:val="center"/>
        </w:trPr>
        <w:tc>
          <w:tcPr>
            <w:tcW w:w="4082" w:type="dxa"/>
            <w:shd w:val="clear" w:color="auto" w:fill="E5F1FF"/>
            <w:vAlign w:val="center"/>
          </w:tcPr>
          <w:p w14:paraId="11160B1F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4443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737" w:type="dxa"/>
            <w:shd w:val="clear" w:color="auto" w:fill="E5F1FF"/>
            <w:vAlign w:val="center"/>
          </w:tcPr>
          <w:p w14:paraId="15B56095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4443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737" w:type="dxa"/>
            <w:shd w:val="clear" w:color="auto" w:fill="E5F1FF"/>
            <w:vAlign w:val="center"/>
          </w:tcPr>
          <w:p w14:paraId="6A46F012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4443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737" w:type="dxa"/>
            <w:shd w:val="clear" w:color="auto" w:fill="E5F1FF"/>
            <w:vAlign w:val="center"/>
          </w:tcPr>
          <w:p w14:paraId="3E74C85E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4443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737" w:type="dxa"/>
            <w:shd w:val="clear" w:color="auto" w:fill="E5F1FF"/>
            <w:vAlign w:val="center"/>
          </w:tcPr>
          <w:p w14:paraId="21379238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4443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737" w:type="dxa"/>
            <w:shd w:val="clear" w:color="auto" w:fill="E5F1FF"/>
            <w:vAlign w:val="center"/>
          </w:tcPr>
          <w:p w14:paraId="6BF1408A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4443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247" w:type="dxa"/>
            <w:shd w:val="clear" w:color="auto" w:fill="E5F1FF"/>
            <w:vAlign w:val="center"/>
          </w:tcPr>
          <w:p w14:paraId="2145D1F1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 xml:space="preserve">2018 – </w:t>
            </w:r>
            <w:r w:rsidRPr="0014443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2022</w:t>
            </w:r>
          </w:p>
        </w:tc>
      </w:tr>
      <w:tr w:rsidR="00225501" w14:paraId="00910C7E" w14:textId="77777777" w:rsidTr="00E420EA">
        <w:trPr>
          <w:trHeight w:val="283"/>
          <w:jc w:val="center"/>
        </w:trPr>
        <w:tc>
          <w:tcPr>
            <w:tcW w:w="4082" w:type="dxa"/>
            <w:vAlign w:val="center"/>
          </w:tcPr>
          <w:p w14:paraId="549D67D6" w14:textId="3556CC2C" w:rsidR="00225501" w:rsidRPr="00ED4F90" w:rsidRDefault="00225501" w:rsidP="00E420EA">
            <w:pPr>
              <w:autoSpaceDE w:val="0"/>
              <w:autoSpaceDN w:val="0"/>
              <w:adjustRightInd w:val="0"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Výše peněžních prostředků k </w:t>
            </w:r>
            <w:r w:rsidRPr="00AD17B8">
              <w:rPr>
                <w:rFonts w:ascii="Calibri" w:hAnsi="Calibri" w:cs="Calibri"/>
                <w:sz w:val="20"/>
                <w:szCs w:val="20"/>
              </w:rPr>
              <w:t xml:space="preserve">urychlení odstraňování SEZ </w:t>
            </w:r>
            <w:r w:rsidR="005778DC">
              <w:rPr>
                <w:rFonts w:ascii="Calibri" w:hAnsi="Calibri" w:cs="Calibri"/>
                <w:sz w:val="20"/>
                <w:szCs w:val="20"/>
              </w:rPr>
              <w:t>–</w:t>
            </w:r>
            <w:r w:rsidRPr="00AD17B8">
              <w:rPr>
                <w:rFonts w:ascii="Calibri" w:hAnsi="Calibri" w:cs="Calibri"/>
                <w:sz w:val="20"/>
                <w:szCs w:val="20"/>
              </w:rPr>
              <w:t xml:space="preserve"> předpoklad dle </w:t>
            </w:r>
            <w:r w:rsidRPr="00052C41">
              <w:rPr>
                <w:rFonts w:ascii="Calibri" w:hAnsi="Calibri" w:cs="Calibri"/>
                <w:i/>
                <w:sz w:val="20"/>
                <w:szCs w:val="20"/>
              </w:rPr>
              <w:t>Koncepce stabilizace finančního stavu zvláštních účtů privatizace</w:t>
            </w:r>
            <w:r w:rsidRPr="00AD17B8">
              <w:rPr>
                <w:rFonts w:ascii="Calibri" w:hAnsi="Calibri" w:cs="Calibri"/>
                <w:sz w:val="20"/>
                <w:szCs w:val="20"/>
              </w:rPr>
              <w:t xml:space="preserve"> (v mil. Kč)</w:t>
            </w:r>
          </w:p>
        </w:tc>
        <w:tc>
          <w:tcPr>
            <w:tcW w:w="737" w:type="dxa"/>
            <w:vAlign w:val="center"/>
          </w:tcPr>
          <w:p w14:paraId="35A5566F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2 500</w:t>
            </w:r>
          </w:p>
        </w:tc>
        <w:tc>
          <w:tcPr>
            <w:tcW w:w="737" w:type="dxa"/>
            <w:vAlign w:val="center"/>
          </w:tcPr>
          <w:p w14:paraId="22F1A410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2 500</w:t>
            </w:r>
          </w:p>
        </w:tc>
        <w:tc>
          <w:tcPr>
            <w:tcW w:w="737" w:type="dxa"/>
            <w:vAlign w:val="center"/>
          </w:tcPr>
          <w:p w14:paraId="2B2FB515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2 500</w:t>
            </w:r>
          </w:p>
        </w:tc>
        <w:tc>
          <w:tcPr>
            <w:tcW w:w="737" w:type="dxa"/>
            <w:vAlign w:val="center"/>
          </w:tcPr>
          <w:p w14:paraId="6042B41A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2 500</w:t>
            </w:r>
          </w:p>
        </w:tc>
        <w:tc>
          <w:tcPr>
            <w:tcW w:w="737" w:type="dxa"/>
            <w:vAlign w:val="center"/>
          </w:tcPr>
          <w:p w14:paraId="7A04429A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2 500</w:t>
            </w:r>
          </w:p>
        </w:tc>
        <w:tc>
          <w:tcPr>
            <w:tcW w:w="1247" w:type="dxa"/>
            <w:vAlign w:val="center"/>
          </w:tcPr>
          <w:p w14:paraId="107C0323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12 500</w:t>
            </w:r>
          </w:p>
        </w:tc>
      </w:tr>
      <w:tr w:rsidR="00225501" w14:paraId="2D6AA9CB" w14:textId="77777777" w:rsidTr="00E420EA">
        <w:trPr>
          <w:trHeight w:val="283"/>
          <w:jc w:val="center"/>
        </w:trPr>
        <w:tc>
          <w:tcPr>
            <w:tcW w:w="4082" w:type="dxa"/>
            <w:vAlign w:val="center"/>
          </w:tcPr>
          <w:p w14:paraId="5798E8C8" w14:textId="77777777" w:rsidR="00225501" w:rsidRPr="00ED4F90" w:rsidRDefault="00225501" w:rsidP="00E420EA">
            <w:pPr>
              <w:autoSpaceDE w:val="0"/>
              <w:autoSpaceDN w:val="0"/>
              <w:adjustRightInd w:val="0"/>
              <w:spacing w:before="20" w:after="2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Výše v</w:t>
            </w:r>
            <w:r w:rsidRPr="00ED4F90">
              <w:rPr>
                <w:rFonts w:ascii="Calibri" w:hAnsi="Calibri" w:cs="Calibri"/>
                <w:sz w:val="20"/>
                <w:szCs w:val="20"/>
              </w:rPr>
              <w:t>ýdaj</w:t>
            </w:r>
            <w:r>
              <w:rPr>
                <w:rFonts w:ascii="Calibri" w:hAnsi="Calibri" w:cs="Calibri"/>
                <w:sz w:val="20"/>
                <w:szCs w:val="20"/>
              </w:rPr>
              <w:t>ů</w:t>
            </w:r>
            <w:r w:rsidRPr="00ED4F90">
              <w:rPr>
                <w:rFonts w:ascii="Calibri" w:hAnsi="Calibri" w:cs="Calibri"/>
                <w:sz w:val="20"/>
                <w:szCs w:val="20"/>
              </w:rPr>
              <w:t xml:space="preserve"> na odstraňování SEZ </w:t>
            </w:r>
            <w:r>
              <w:rPr>
                <w:rFonts w:ascii="Calibri" w:hAnsi="Calibri" w:cs="Calibri"/>
                <w:sz w:val="20"/>
                <w:szCs w:val="20"/>
              </w:rPr>
              <w:t>(v mil. Kč)</w:t>
            </w:r>
          </w:p>
        </w:tc>
        <w:tc>
          <w:tcPr>
            <w:tcW w:w="737" w:type="dxa"/>
            <w:vAlign w:val="center"/>
          </w:tcPr>
          <w:p w14:paraId="2027248A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144437">
              <w:rPr>
                <w:rFonts w:ascii="Calibri" w:hAnsi="Calibri" w:cs="Calibri"/>
                <w:bCs/>
                <w:sz w:val="20"/>
                <w:szCs w:val="20"/>
              </w:rPr>
              <w:t>976</w:t>
            </w:r>
          </w:p>
        </w:tc>
        <w:tc>
          <w:tcPr>
            <w:tcW w:w="737" w:type="dxa"/>
            <w:vAlign w:val="center"/>
          </w:tcPr>
          <w:p w14:paraId="18B185F2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144437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144437">
              <w:rPr>
                <w:rFonts w:ascii="Calibri" w:hAnsi="Calibri" w:cs="Calibri"/>
                <w:bCs/>
                <w:sz w:val="20"/>
                <w:szCs w:val="20"/>
              </w:rPr>
              <w:t>080</w:t>
            </w:r>
          </w:p>
        </w:tc>
        <w:tc>
          <w:tcPr>
            <w:tcW w:w="737" w:type="dxa"/>
            <w:vAlign w:val="center"/>
          </w:tcPr>
          <w:p w14:paraId="6D6C5726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144437">
              <w:rPr>
                <w:rFonts w:ascii="Calibri" w:hAnsi="Calibri" w:cs="Calibri"/>
                <w:bCs/>
                <w:sz w:val="20"/>
                <w:szCs w:val="20"/>
              </w:rPr>
              <w:t>917</w:t>
            </w:r>
          </w:p>
        </w:tc>
        <w:tc>
          <w:tcPr>
            <w:tcW w:w="737" w:type="dxa"/>
            <w:vAlign w:val="center"/>
          </w:tcPr>
          <w:p w14:paraId="70583C85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144437"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14:paraId="0416B3EE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144437">
              <w:rPr>
                <w:rFonts w:ascii="Calibri" w:hAnsi="Calibri" w:cs="Calibri"/>
                <w:bCs/>
                <w:sz w:val="20"/>
                <w:szCs w:val="20"/>
              </w:rPr>
              <w:t>77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47" w:type="dxa"/>
            <w:vAlign w:val="center"/>
          </w:tcPr>
          <w:p w14:paraId="76015D71" w14:textId="77777777" w:rsidR="00225501" w:rsidRPr="00144437" w:rsidRDefault="00225501" w:rsidP="00E420EA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4 421</w:t>
            </w:r>
          </w:p>
        </w:tc>
      </w:tr>
      <w:tr w:rsidR="00225501" w14:paraId="2E6187E0" w14:textId="77777777" w:rsidTr="00E420EA">
        <w:trPr>
          <w:trHeight w:val="283"/>
          <w:jc w:val="center"/>
        </w:trPr>
        <w:tc>
          <w:tcPr>
            <w:tcW w:w="4082" w:type="dxa"/>
            <w:vAlign w:val="center"/>
          </w:tcPr>
          <w:p w14:paraId="7000A064" w14:textId="77777777" w:rsidR="00225501" w:rsidRPr="00A07861" w:rsidRDefault="00225501" w:rsidP="00E420EA">
            <w:pPr>
              <w:autoSpaceDE w:val="0"/>
              <w:autoSpaceDN w:val="0"/>
              <w:adjustRightInd w:val="0"/>
              <w:spacing w:before="20" w:after="20"/>
              <w:rPr>
                <w:rFonts w:ascii="Calibri" w:hAnsi="Calibri" w:cs="Calibri"/>
                <w:b/>
                <w:sz w:val="20"/>
                <w:szCs w:val="20"/>
              </w:rPr>
            </w:pPr>
            <w:r w:rsidRPr="00A07861">
              <w:rPr>
                <w:rFonts w:ascii="Calibri" w:hAnsi="Calibri" w:cs="Calibri"/>
                <w:b/>
                <w:sz w:val="20"/>
                <w:szCs w:val="20"/>
              </w:rPr>
              <w:t>Podíl</w:t>
            </w:r>
          </w:p>
        </w:tc>
        <w:tc>
          <w:tcPr>
            <w:tcW w:w="737" w:type="dxa"/>
            <w:vAlign w:val="center"/>
          </w:tcPr>
          <w:p w14:paraId="63161FC0" w14:textId="77777777" w:rsidR="00225501" w:rsidRPr="00A07861" w:rsidRDefault="00225501" w:rsidP="00E420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7861">
              <w:rPr>
                <w:rFonts w:ascii="Calibri" w:hAnsi="Calibri" w:cs="Calibri"/>
                <w:b/>
                <w:bCs/>
                <w:sz w:val="20"/>
                <w:szCs w:val="20"/>
              </w:rPr>
              <w:t>39 %</w:t>
            </w:r>
          </w:p>
        </w:tc>
        <w:tc>
          <w:tcPr>
            <w:tcW w:w="737" w:type="dxa"/>
            <w:vAlign w:val="center"/>
          </w:tcPr>
          <w:p w14:paraId="62CCF9AA" w14:textId="77777777" w:rsidR="00225501" w:rsidRPr="00A07861" w:rsidRDefault="00225501" w:rsidP="00E420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7861">
              <w:rPr>
                <w:rFonts w:ascii="Calibri" w:hAnsi="Calibri" w:cs="Calibri"/>
                <w:b/>
                <w:bCs/>
                <w:sz w:val="20"/>
                <w:szCs w:val="20"/>
              </w:rPr>
              <w:t>43 %</w:t>
            </w:r>
          </w:p>
        </w:tc>
        <w:tc>
          <w:tcPr>
            <w:tcW w:w="737" w:type="dxa"/>
            <w:vAlign w:val="center"/>
          </w:tcPr>
          <w:p w14:paraId="6C92E4B1" w14:textId="77777777" w:rsidR="00225501" w:rsidRPr="00A07861" w:rsidRDefault="00225501" w:rsidP="00E420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7861">
              <w:rPr>
                <w:rFonts w:ascii="Calibri" w:hAnsi="Calibri" w:cs="Calibri"/>
                <w:b/>
                <w:bCs/>
                <w:sz w:val="20"/>
                <w:szCs w:val="20"/>
              </w:rPr>
              <w:t>37 %</w:t>
            </w:r>
          </w:p>
        </w:tc>
        <w:tc>
          <w:tcPr>
            <w:tcW w:w="737" w:type="dxa"/>
            <w:vAlign w:val="center"/>
          </w:tcPr>
          <w:p w14:paraId="5A5C56C1" w14:textId="77777777" w:rsidR="00225501" w:rsidRPr="00A07861" w:rsidRDefault="00225501" w:rsidP="00E420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7861">
              <w:rPr>
                <w:rFonts w:ascii="Calibri" w:hAnsi="Calibri" w:cs="Calibri"/>
                <w:b/>
                <w:bCs/>
                <w:sz w:val="20"/>
                <w:szCs w:val="20"/>
              </w:rPr>
              <w:t>27 %</w:t>
            </w:r>
          </w:p>
        </w:tc>
        <w:tc>
          <w:tcPr>
            <w:tcW w:w="737" w:type="dxa"/>
            <w:vAlign w:val="center"/>
          </w:tcPr>
          <w:p w14:paraId="23791F14" w14:textId="77777777" w:rsidR="00225501" w:rsidRPr="00A07861" w:rsidRDefault="00225501" w:rsidP="00E420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7861">
              <w:rPr>
                <w:rFonts w:ascii="Calibri" w:hAnsi="Calibri" w:cs="Calibri"/>
                <w:b/>
                <w:bCs/>
                <w:sz w:val="20"/>
                <w:szCs w:val="20"/>
              </w:rPr>
              <w:t>31 %</w:t>
            </w:r>
          </w:p>
        </w:tc>
        <w:tc>
          <w:tcPr>
            <w:tcW w:w="1247" w:type="dxa"/>
            <w:vAlign w:val="center"/>
          </w:tcPr>
          <w:p w14:paraId="78AA0A7E" w14:textId="77777777" w:rsidR="00225501" w:rsidRPr="00A07861" w:rsidRDefault="00225501" w:rsidP="00E420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7861">
              <w:rPr>
                <w:rFonts w:ascii="Calibri" w:hAnsi="Calibri" w:cs="Calibri"/>
                <w:b/>
                <w:bCs/>
                <w:sz w:val="20"/>
                <w:szCs w:val="20"/>
              </w:rPr>
              <w:t>35 %</w:t>
            </w:r>
          </w:p>
        </w:tc>
      </w:tr>
    </w:tbl>
    <w:p w14:paraId="6EA658D7" w14:textId="5DE37924" w:rsidR="00225501" w:rsidRDefault="00225501" w:rsidP="00385177">
      <w:pPr>
        <w:spacing w:before="40" w:after="0" w:line="240" w:lineRule="auto"/>
        <w:ind w:left="567" w:hanging="567"/>
        <w:jc w:val="both"/>
        <w:rPr>
          <w:rFonts w:ascii="Calibri" w:hAnsi="Calibri" w:cs="Calibri"/>
          <w:sz w:val="20"/>
          <w:szCs w:val="20"/>
          <w:lang w:eastAsia="cs-CZ"/>
        </w:rPr>
      </w:pPr>
      <w:r w:rsidRPr="00385177">
        <w:rPr>
          <w:rFonts w:ascii="Calibri" w:hAnsi="Calibri" w:cs="Calibri"/>
          <w:b/>
          <w:sz w:val="20"/>
          <w:szCs w:val="20"/>
          <w:lang w:eastAsia="cs-CZ"/>
        </w:rPr>
        <w:t xml:space="preserve">Zdroj: </w:t>
      </w:r>
      <w:r w:rsidR="00385177">
        <w:rPr>
          <w:rFonts w:ascii="Calibri" w:hAnsi="Calibri" w:cs="Calibri"/>
          <w:sz w:val="20"/>
          <w:szCs w:val="20"/>
          <w:lang w:eastAsia="cs-CZ"/>
        </w:rPr>
        <w:tab/>
      </w:r>
      <w:r w:rsidR="005778DC">
        <w:rPr>
          <w:rFonts w:ascii="Calibri" w:hAnsi="Calibri" w:cs="Calibri"/>
          <w:sz w:val="20"/>
          <w:szCs w:val="20"/>
          <w:lang w:eastAsia="cs-CZ"/>
        </w:rPr>
        <w:t>p</w:t>
      </w:r>
      <w:r w:rsidRPr="00144437">
        <w:rPr>
          <w:rFonts w:ascii="Calibri" w:hAnsi="Calibri" w:cs="Calibri"/>
          <w:sz w:val="20"/>
          <w:szCs w:val="20"/>
          <w:lang w:eastAsia="cs-CZ"/>
        </w:rPr>
        <w:t xml:space="preserve">ravidelná </w:t>
      </w:r>
      <w:r>
        <w:rPr>
          <w:rFonts w:ascii="Calibri" w:hAnsi="Calibri" w:cs="Calibri"/>
          <w:sz w:val="20"/>
          <w:szCs w:val="20"/>
          <w:lang w:eastAsia="cs-CZ"/>
        </w:rPr>
        <w:t xml:space="preserve">pololetní informace a od roku 2019 pravidelná </w:t>
      </w:r>
      <w:r w:rsidRPr="00144437">
        <w:rPr>
          <w:rFonts w:ascii="Calibri" w:hAnsi="Calibri" w:cs="Calibri"/>
          <w:sz w:val="20"/>
          <w:szCs w:val="20"/>
          <w:lang w:eastAsia="cs-CZ"/>
        </w:rPr>
        <w:t xml:space="preserve">roční informace pro členy vlády České </w:t>
      </w:r>
      <w:r w:rsidRPr="00DD5F03">
        <w:rPr>
          <w:rFonts w:ascii="Calibri" w:hAnsi="Calibri" w:cs="Calibri"/>
          <w:sz w:val="20"/>
          <w:szCs w:val="20"/>
          <w:lang w:eastAsia="cs-CZ"/>
        </w:rPr>
        <w:t>republiky o stavu smluvního zabezpečení a čerpání privatizačních prostředků Ministerstva financí k řešení ekologických závazků při privatizaci (za roky 2018 až 2022)</w:t>
      </w:r>
      <w:r>
        <w:rPr>
          <w:rFonts w:ascii="Calibri" w:hAnsi="Calibri" w:cs="Calibri"/>
          <w:sz w:val="20"/>
          <w:szCs w:val="20"/>
          <w:lang w:eastAsia="cs-CZ"/>
        </w:rPr>
        <w:t xml:space="preserve">, </w:t>
      </w:r>
      <w:r w:rsidRPr="00052C41">
        <w:rPr>
          <w:rFonts w:ascii="Calibri" w:hAnsi="Calibri" w:cs="Calibri"/>
          <w:i/>
          <w:sz w:val="20"/>
          <w:szCs w:val="20"/>
          <w:lang w:eastAsia="cs-CZ"/>
        </w:rPr>
        <w:t>Koncepce stabilizace finančního stavu zvláštních účtů privatizace</w:t>
      </w:r>
      <w:r>
        <w:rPr>
          <w:rFonts w:ascii="Calibri" w:hAnsi="Calibri" w:cs="Calibri"/>
          <w:sz w:val="20"/>
          <w:szCs w:val="20"/>
          <w:lang w:eastAsia="cs-CZ"/>
        </w:rPr>
        <w:t>.</w:t>
      </w:r>
    </w:p>
    <w:p w14:paraId="7EAB2058" w14:textId="18B684B9" w:rsidR="00205253" w:rsidRPr="00AD17B8" w:rsidRDefault="00624106" w:rsidP="00385177">
      <w:pPr>
        <w:spacing w:before="120" w:after="120" w:line="240" w:lineRule="auto"/>
        <w:jc w:val="both"/>
        <w:rPr>
          <w:sz w:val="24"/>
          <w:szCs w:val="24"/>
        </w:rPr>
      </w:pPr>
      <w:r w:rsidRPr="00D66125">
        <w:rPr>
          <w:sz w:val="24"/>
          <w:szCs w:val="24"/>
          <w:shd w:val="clear" w:color="auto" w:fill="FFFFFF"/>
        </w:rPr>
        <w:t xml:space="preserve">Základním zdrojem </w:t>
      </w:r>
      <w:r w:rsidRPr="008A5CF1">
        <w:rPr>
          <w:sz w:val="24"/>
          <w:szCs w:val="24"/>
          <w:shd w:val="clear" w:color="auto" w:fill="FFFFFF"/>
        </w:rPr>
        <w:t xml:space="preserve">financování odstraňování SEZ </w:t>
      </w:r>
      <w:r w:rsidR="00E65FC1" w:rsidRPr="008A5CF1">
        <w:rPr>
          <w:sz w:val="24"/>
          <w:szCs w:val="24"/>
          <w:shd w:val="clear" w:color="auto" w:fill="FFFFFF"/>
        </w:rPr>
        <w:t>jsou</w:t>
      </w:r>
      <w:r w:rsidRPr="008A5CF1">
        <w:rPr>
          <w:sz w:val="24"/>
          <w:szCs w:val="24"/>
          <w:shd w:val="clear" w:color="auto" w:fill="FFFFFF"/>
        </w:rPr>
        <w:t xml:space="preserve"> </w:t>
      </w:r>
      <w:r w:rsidR="00850D4B" w:rsidRPr="008A5CF1">
        <w:rPr>
          <w:sz w:val="24"/>
          <w:szCs w:val="24"/>
          <w:shd w:val="clear" w:color="auto" w:fill="FFFFFF"/>
        </w:rPr>
        <w:t>od roku</w:t>
      </w:r>
      <w:r w:rsidRPr="008A5CF1">
        <w:rPr>
          <w:sz w:val="24"/>
          <w:szCs w:val="24"/>
          <w:shd w:val="clear" w:color="auto" w:fill="FFFFFF"/>
        </w:rPr>
        <w:t xml:space="preserve"> 2009 příjmy z účastí státu v obchodních společnostech, </w:t>
      </w:r>
      <w:r w:rsidR="00E65FC1" w:rsidRPr="008A5CF1">
        <w:rPr>
          <w:sz w:val="24"/>
          <w:szCs w:val="24"/>
          <w:shd w:val="clear" w:color="auto" w:fill="FFFFFF"/>
        </w:rPr>
        <w:t xml:space="preserve">jejichž podíl na celkových příjmech zvláštních účtů privatizace dosáhl v letech 2018 až 2022 v průměru 95 %. Výše příjmů z účastí státu v obchodních společnostech </w:t>
      </w:r>
      <w:r w:rsidRPr="008A5CF1">
        <w:rPr>
          <w:sz w:val="24"/>
          <w:szCs w:val="24"/>
          <w:shd w:val="clear" w:color="auto" w:fill="FFFFFF"/>
        </w:rPr>
        <w:t>není stabilní</w:t>
      </w:r>
      <w:r w:rsidR="00076875" w:rsidRPr="008A5CF1">
        <w:rPr>
          <w:sz w:val="24"/>
          <w:szCs w:val="24"/>
          <w:shd w:val="clear" w:color="auto" w:fill="FFFFFF"/>
        </w:rPr>
        <w:t xml:space="preserve"> a v čase kolísá</w:t>
      </w:r>
      <w:r w:rsidR="00A07861" w:rsidRPr="008A5CF1">
        <w:rPr>
          <w:sz w:val="24"/>
          <w:szCs w:val="24"/>
          <w:shd w:val="clear" w:color="auto" w:fill="FFFFFF"/>
        </w:rPr>
        <w:t xml:space="preserve"> (viz</w:t>
      </w:r>
      <w:r w:rsidR="00C46AFC">
        <w:rPr>
          <w:sz w:val="24"/>
          <w:szCs w:val="24"/>
          <w:shd w:val="clear" w:color="auto" w:fill="FFFFFF"/>
        </w:rPr>
        <w:t xml:space="preserve"> </w:t>
      </w:r>
      <w:r w:rsidR="00A07861" w:rsidRPr="008A5CF1">
        <w:rPr>
          <w:sz w:val="24"/>
          <w:szCs w:val="24"/>
          <w:shd w:val="clear" w:color="auto" w:fill="FFFFFF"/>
        </w:rPr>
        <w:t>tabulka</w:t>
      </w:r>
      <w:r w:rsidR="00C46AFC">
        <w:rPr>
          <w:sz w:val="24"/>
          <w:szCs w:val="24"/>
          <w:shd w:val="clear" w:color="auto" w:fill="FFFFFF"/>
        </w:rPr>
        <w:t xml:space="preserve"> </w:t>
      </w:r>
      <w:r w:rsidR="00A07861" w:rsidRPr="008A5CF1">
        <w:rPr>
          <w:sz w:val="24"/>
          <w:szCs w:val="24"/>
          <w:shd w:val="clear" w:color="auto" w:fill="FFFFFF"/>
        </w:rPr>
        <w:t>č. 3)</w:t>
      </w:r>
      <w:r w:rsidR="00E65FC1" w:rsidRPr="008A5CF1">
        <w:rPr>
          <w:sz w:val="24"/>
          <w:szCs w:val="24"/>
          <w:shd w:val="clear" w:color="auto" w:fill="FFFFFF"/>
        </w:rPr>
        <w:t xml:space="preserve">, přičemž je odvislá především od příjmů z dividend společnosti ČEZ, a. s. </w:t>
      </w:r>
      <w:r w:rsidR="00A07861" w:rsidRPr="008A5CF1">
        <w:rPr>
          <w:sz w:val="24"/>
          <w:szCs w:val="24"/>
        </w:rPr>
        <w:t>Existuje např. riziko poklesu</w:t>
      </w:r>
      <w:r w:rsidR="00A07861" w:rsidRPr="00A07861">
        <w:rPr>
          <w:sz w:val="24"/>
          <w:szCs w:val="24"/>
        </w:rPr>
        <w:t xml:space="preserve"> příjmů z dividend společnosti ČEZ, a. s.</w:t>
      </w:r>
      <w:r w:rsidR="00C46AFC">
        <w:rPr>
          <w:sz w:val="24"/>
          <w:szCs w:val="24"/>
        </w:rPr>
        <w:t>,</w:t>
      </w:r>
      <w:r w:rsidR="00A07861" w:rsidRPr="00A07861">
        <w:rPr>
          <w:sz w:val="24"/>
          <w:szCs w:val="24"/>
        </w:rPr>
        <w:t xml:space="preserve"> v souvislosti s</w:t>
      </w:r>
      <w:r w:rsidR="00544F7D">
        <w:rPr>
          <w:sz w:val="24"/>
          <w:szCs w:val="24"/>
        </w:rPr>
        <w:t> </w:t>
      </w:r>
      <w:r w:rsidR="00A07861" w:rsidRPr="00A07861">
        <w:rPr>
          <w:sz w:val="24"/>
          <w:szCs w:val="24"/>
        </w:rPr>
        <w:t>jej</w:t>
      </w:r>
      <w:r w:rsidR="00544F7D">
        <w:rPr>
          <w:sz w:val="24"/>
          <w:szCs w:val="24"/>
        </w:rPr>
        <w:t>í i</w:t>
      </w:r>
      <w:r w:rsidR="00A07861" w:rsidRPr="00A07861">
        <w:rPr>
          <w:sz w:val="24"/>
          <w:szCs w:val="24"/>
        </w:rPr>
        <w:t>nvestiční politikou</w:t>
      </w:r>
      <w:r w:rsidR="00A07861">
        <w:rPr>
          <w:sz w:val="24"/>
          <w:szCs w:val="24"/>
        </w:rPr>
        <w:t>.</w:t>
      </w:r>
      <w:r w:rsidRPr="00A07861">
        <w:rPr>
          <w:sz w:val="24"/>
          <w:szCs w:val="24"/>
          <w:shd w:val="clear" w:color="auto" w:fill="FFFFFF"/>
        </w:rPr>
        <w:t xml:space="preserve"> </w:t>
      </w:r>
      <w:r w:rsidRPr="00A07861">
        <w:rPr>
          <w:sz w:val="24"/>
          <w:szCs w:val="24"/>
        </w:rPr>
        <w:t>V souladu</w:t>
      </w:r>
      <w:r w:rsidRPr="00CB68DA">
        <w:rPr>
          <w:sz w:val="24"/>
          <w:szCs w:val="24"/>
        </w:rPr>
        <w:t xml:space="preserve"> s usnesením vlády </w:t>
      </w:r>
      <w:r w:rsidR="000231F9">
        <w:rPr>
          <w:sz w:val="24"/>
          <w:szCs w:val="24"/>
        </w:rPr>
        <w:t xml:space="preserve">ČR </w:t>
      </w:r>
      <w:r w:rsidRPr="00CB68DA">
        <w:rPr>
          <w:sz w:val="24"/>
          <w:szCs w:val="24"/>
        </w:rPr>
        <w:t>ze</w:t>
      </w:r>
      <w:r w:rsidR="00C46AFC">
        <w:rPr>
          <w:sz w:val="24"/>
          <w:szCs w:val="24"/>
        </w:rPr>
        <w:t xml:space="preserve"> </w:t>
      </w:r>
      <w:r w:rsidRPr="00CB68DA">
        <w:rPr>
          <w:sz w:val="24"/>
          <w:szCs w:val="24"/>
        </w:rPr>
        <w:t>dne 4. září 2017 č. 610 vytvář</w:t>
      </w:r>
      <w:r w:rsidR="00875B80" w:rsidRPr="00CB68DA">
        <w:rPr>
          <w:sz w:val="24"/>
          <w:szCs w:val="24"/>
        </w:rPr>
        <w:t>elo</w:t>
      </w:r>
      <w:r w:rsidRPr="00CB68DA">
        <w:rPr>
          <w:sz w:val="24"/>
          <w:szCs w:val="24"/>
        </w:rPr>
        <w:t xml:space="preserve"> </w:t>
      </w:r>
      <w:r w:rsidR="009548FA" w:rsidRPr="00CB68DA">
        <w:rPr>
          <w:sz w:val="24"/>
          <w:szCs w:val="24"/>
        </w:rPr>
        <w:t xml:space="preserve">MF </w:t>
      </w:r>
      <w:r w:rsidRPr="00CB68DA">
        <w:rPr>
          <w:sz w:val="24"/>
          <w:szCs w:val="24"/>
        </w:rPr>
        <w:t>na zvláštních účtech privatizace tzv.</w:t>
      </w:r>
      <w:r w:rsidR="00C50B24">
        <w:rPr>
          <w:sz w:val="24"/>
          <w:szCs w:val="24"/>
        </w:rPr>
        <w:t> </w:t>
      </w:r>
      <w:r w:rsidRPr="00CB68DA">
        <w:rPr>
          <w:sz w:val="24"/>
          <w:szCs w:val="24"/>
        </w:rPr>
        <w:t xml:space="preserve">vázané prostředky na plnění ekologických závazků. </w:t>
      </w:r>
      <w:r w:rsidR="00850D4B">
        <w:rPr>
          <w:sz w:val="24"/>
          <w:szCs w:val="24"/>
        </w:rPr>
        <w:t xml:space="preserve">Způsob jejich výpočtu </w:t>
      </w:r>
      <w:r w:rsidR="00823306">
        <w:rPr>
          <w:sz w:val="24"/>
          <w:szCs w:val="24"/>
        </w:rPr>
        <w:t>byl</w:t>
      </w:r>
      <w:r w:rsidR="00850D4B">
        <w:rPr>
          <w:sz w:val="24"/>
          <w:szCs w:val="24"/>
        </w:rPr>
        <w:t xml:space="preserve"> nastaven </w:t>
      </w:r>
      <w:r w:rsidR="00850D4B" w:rsidRPr="00305DCD">
        <w:rPr>
          <w:sz w:val="24"/>
          <w:szCs w:val="24"/>
        </w:rPr>
        <w:t xml:space="preserve">tak, aby </w:t>
      </w:r>
      <w:r w:rsidR="004D6426" w:rsidRPr="00305DCD">
        <w:rPr>
          <w:sz w:val="24"/>
          <w:szCs w:val="24"/>
        </w:rPr>
        <w:t>ve vztahu k </w:t>
      </w:r>
      <w:r w:rsidR="004D6426" w:rsidRPr="00AD17B8">
        <w:rPr>
          <w:sz w:val="24"/>
          <w:szCs w:val="24"/>
        </w:rPr>
        <w:t xml:space="preserve">ekologickým závazkům státu </w:t>
      </w:r>
      <w:r w:rsidRPr="00AD17B8">
        <w:rPr>
          <w:sz w:val="24"/>
          <w:szCs w:val="24"/>
        </w:rPr>
        <w:t>postač</w:t>
      </w:r>
      <w:r w:rsidR="00875B80" w:rsidRPr="00AD17B8">
        <w:rPr>
          <w:sz w:val="24"/>
          <w:szCs w:val="24"/>
        </w:rPr>
        <w:t>ovala</w:t>
      </w:r>
      <w:r w:rsidRPr="00AD17B8">
        <w:rPr>
          <w:sz w:val="24"/>
          <w:szCs w:val="24"/>
        </w:rPr>
        <w:t xml:space="preserve"> </w:t>
      </w:r>
      <w:r w:rsidR="00850D4B" w:rsidRPr="00AD17B8">
        <w:rPr>
          <w:sz w:val="24"/>
          <w:szCs w:val="24"/>
        </w:rPr>
        <w:t xml:space="preserve">jejich výše k </w:t>
      </w:r>
      <w:r w:rsidRPr="00AD17B8">
        <w:rPr>
          <w:sz w:val="24"/>
          <w:szCs w:val="24"/>
        </w:rPr>
        <w:t>pokrytí peněžních závazků vyplývajících z uzavřených smluvních vztahů s</w:t>
      </w:r>
      <w:r w:rsidR="00B95AA3" w:rsidRPr="00AD17B8">
        <w:rPr>
          <w:sz w:val="24"/>
          <w:szCs w:val="24"/>
        </w:rPr>
        <w:t> </w:t>
      </w:r>
      <w:r w:rsidRPr="00AD17B8">
        <w:rPr>
          <w:sz w:val="24"/>
          <w:szCs w:val="24"/>
        </w:rPr>
        <w:t>dodavateli</w:t>
      </w:r>
      <w:r w:rsidR="00B95AA3" w:rsidRPr="00AD17B8">
        <w:rPr>
          <w:sz w:val="24"/>
          <w:szCs w:val="24"/>
        </w:rPr>
        <w:t>, s</w:t>
      </w:r>
      <w:r w:rsidR="00BD1D78" w:rsidRPr="00AD17B8">
        <w:rPr>
          <w:sz w:val="24"/>
          <w:szCs w:val="24"/>
        </w:rPr>
        <w:t xml:space="preserve"> </w:t>
      </w:r>
      <w:r w:rsidR="004D6426" w:rsidRPr="00AD17B8">
        <w:rPr>
          <w:sz w:val="24"/>
          <w:szCs w:val="24"/>
        </w:rPr>
        <w:t xml:space="preserve">významnější rezervou </w:t>
      </w:r>
      <w:r w:rsidR="002B2345" w:rsidRPr="00AD17B8">
        <w:rPr>
          <w:sz w:val="24"/>
          <w:szCs w:val="24"/>
        </w:rPr>
        <w:t xml:space="preserve">však </w:t>
      </w:r>
      <w:r w:rsidR="00B95AA3" w:rsidRPr="00AD17B8">
        <w:rPr>
          <w:sz w:val="24"/>
          <w:szCs w:val="24"/>
        </w:rPr>
        <w:t xml:space="preserve">nastavený způsob jejich tvorby </w:t>
      </w:r>
      <w:r w:rsidR="004D6426" w:rsidRPr="00AD17B8">
        <w:rPr>
          <w:sz w:val="24"/>
          <w:szCs w:val="24"/>
        </w:rPr>
        <w:t>nepočít</w:t>
      </w:r>
      <w:r w:rsidR="00823306" w:rsidRPr="00AD17B8">
        <w:rPr>
          <w:sz w:val="24"/>
          <w:szCs w:val="24"/>
        </w:rPr>
        <w:t>á</w:t>
      </w:r>
      <w:r w:rsidRPr="00AD17B8">
        <w:rPr>
          <w:sz w:val="24"/>
          <w:szCs w:val="24"/>
        </w:rPr>
        <w:t xml:space="preserve">. </w:t>
      </w:r>
    </w:p>
    <w:p w14:paraId="0604D412" w14:textId="77777777" w:rsidR="00875B80" w:rsidRDefault="00A07383" w:rsidP="00385177">
      <w:pPr>
        <w:spacing w:before="120" w:after="120" w:line="240" w:lineRule="auto"/>
        <w:jc w:val="both"/>
        <w:rPr>
          <w:sz w:val="24"/>
          <w:szCs w:val="24"/>
        </w:rPr>
      </w:pPr>
      <w:r w:rsidRPr="00AD17B8">
        <w:rPr>
          <w:sz w:val="24"/>
          <w:szCs w:val="24"/>
        </w:rPr>
        <w:t xml:space="preserve">Na základě novely zákona č. 178/2005 Sb. byla od roku 2019 </w:t>
      </w:r>
      <w:r w:rsidR="00624106" w:rsidRPr="00AD17B8">
        <w:rPr>
          <w:sz w:val="24"/>
          <w:szCs w:val="24"/>
        </w:rPr>
        <w:t xml:space="preserve">zajištěna možnost navýšit peněžní prostředky zvláštních účtů privatizace převodem ze státního rozpočtu v případě, že nebudou postačovat k pokrytí </w:t>
      </w:r>
      <w:r w:rsidR="00205253" w:rsidRPr="00AD17B8">
        <w:rPr>
          <w:sz w:val="24"/>
          <w:szCs w:val="24"/>
        </w:rPr>
        <w:t xml:space="preserve">jejich </w:t>
      </w:r>
      <w:r w:rsidR="00624106" w:rsidRPr="00AD17B8">
        <w:rPr>
          <w:sz w:val="24"/>
          <w:szCs w:val="24"/>
        </w:rPr>
        <w:t xml:space="preserve">výdajů. </w:t>
      </w:r>
      <w:r w:rsidR="008855FB" w:rsidRPr="00AD17B8">
        <w:rPr>
          <w:rFonts w:cstheme="minorHAnsi"/>
          <w:sz w:val="24"/>
          <w:szCs w:val="24"/>
          <w:lang w:eastAsia="cs-CZ"/>
        </w:rPr>
        <w:t xml:space="preserve">Státní rozpočet se však v letech 2020 až 2022 potýkal s vysokými deficity přesahujícími 350 mld. Kč ročně. Na rok 2023 </w:t>
      </w:r>
      <w:r w:rsidR="00564262" w:rsidRPr="00AD17B8">
        <w:rPr>
          <w:rFonts w:cstheme="minorHAnsi"/>
          <w:sz w:val="24"/>
          <w:szCs w:val="24"/>
          <w:lang w:eastAsia="cs-CZ"/>
        </w:rPr>
        <w:t>byl</w:t>
      </w:r>
      <w:r w:rsidR="008855FB" w:rsidRPr="00AD17B8">
        <w:rPr>
          <w:rFonts w:cstheme="minorHAnsi"/>
          <w:sz w:val="24"/>
          <w:szCs w:val="24"/>
          <w:lang w:eastAsia="cs-CZ"/>
        </w:rPr>
        <w:t xml:space="preserve"> </w:t>
      </w:r>
      <w:r w:rsidRPr="00AD17B8">
        <w:rPr>
          <w:rFonts w:cstheme="minorHAnsi"/>
          <w:sz w:val="24"/>
          <w:szCs w:val="24"/>
          <w:lang w:eastAsia="cs-CZ"/>
        </w:rPr>
        <w:t>plánován</w:t>
      </w:r>
      <w:r w:rsidR="008855FB" w:rsidRPr="00AD17B8">
        <w:rPr>
          <w:rFonts w:cstheme="minorHAnsi"/>
          <w:sz w:val="24"/>
          <w:szCs w:val="24"/>
          <w:lang w:eastAsia="cs-CZ"/>
        </w:rPr>
        <w:t xml:space="preserve"> schodek státního rozpočtu ve výši 295 mld. Kč</w:t>
      </w:r>
      <w:r w:rsidR="00624106" w:rsidRPr="00AD17B8">
        <w:rPr>
          <w:rStyle w:val="Znakapoznpodarou"/>
          <w:rFonts w:cstheme="minorHAnsi"/>
          <w:sz w:val="24"/>
          <w:szCs w:val="24"/>
          <w:lang w:eastAsia="cs-CZ"/>
        </w:rPr>
        <w:footnoteReference w:id="27"/>
      </w:r>
      <w:r w:rsidR="000C67A6">
        <w:rPr>
          <w:rFonts w:cstheme="minorHAnsi"/>
          <w:sz w:val="24"/>
          <w:szCs w:val="24"/>
          <w:lang w:eastAsia="cs-CZ"/>
        </w:rPr>
        <w:t>.</w:t>
      </w:r>
      <w:r w:rsidR="008855FB" w:rsidRPr="00AD17B8">
        <w:rPr>
          <w:rFonts w:cstheme="minorHAnsi"/>
          <w:sz w:val="24"/>
          <w:szCs w:val="24"/>
          <w:lang w:eastAsia="cs-CZ"/>
        </w:rPr>
        <w:t xml:space="preserve"> </w:t>
      </w:r>
      <w:r w:rsidR="000C67A6">
        <w:rPr>
          <w:rFonts w:cstheme="minorHAnsi"/>
          <w:sz w:val="24"/>
          <w:szCs w:val="24"/>
          <w:lang w:eastAsia="cs-CZ"/>
        </w:rPr>
        <w:t>S</w:t>
      </w:r>
      <w:r w:rsidR="00564262" w:rsidRPr="00AD17B8">
        <w:rPr>
          <w:rFonts w:cstheme="minorHAnsi"/>
          <w:sz w:val="24"/>
          <w:szCs w:val="24"/>
          <w:lang w:eastAsia="cs-CZ"/>
        </w:rPr>
        <w:t xml:space="preserve"> vysokými schodky </w:t>
      </w:r>
      <w:r w:rsidR="00B001F7" w:rsidRPr="00AD17B8">
        <w:rPr>
          <w:rFonts w:cstheme="minorHAnsi"/>
          <w:sz w:val="24"/>
          <w:szCs w:val="24"/>
          <w:lang w:eastAsia="cs-CZ"/>
        </w:rPr>
        <w:t>překračující</w:t>
      </w:r>
      <w:r w:rsidR="00C33FF9" w:rsidRPr="00AD17B8">
        <w:rPr>
          <w:rFonts w:cstheme="minorHAnsi"/>
          <w:sz w:val="24"/>
          <w:szCs w:val="24"/>
          <w:lang w:eastAsia="cs-CZ"/>
        </w:rPr>
        <w:t xml:space="preserve">mi </w:t>
      </w:r>
      <w:r w:rsidR="00B001F7" w:rsidRPr="00AD17B8">
        <w:rPr>
          <w:rFonts w:cstheme="minorHAnsi"/>
          <w:sz w:val="24"/>
          <w:szCs w:val="24"/>
          <w:lang w:eastAsia="cs-CZ"/>
        </w:rPr>
        <w:t xml:space="preserve">200 mld. Kč </w:t>
      </w:r>
      <w:r w:rsidR="00564262" w:rsidRPr="00AD17B8">
        <w:rPr>
          <w:rFonts w:cstheme="minorHAnsi"/>
          <w:sz w:val="24"/>
          <w:szCs w:val="24"/>
          <w:lang w:eastAsia="cs-CZ"/>
        </w:rPr>
        <w:t xml:space="preserve">počítá </w:t>
      </w:r>
      <w:r w:rsidR="000C67A6">
        <w:rPr>
          <w:rFonts w:cstheme="minorHAnsi"/>
          <w:sz w:val="24"/>
          <w:szCs w:val="24"/>
          <w:lang w:eastAsia="cs-CZ"/>
        </w:rPr>
        <w:t xml:space="preserve">i </w:t>
      </w:r>
      <w:r w:rsidR="00564262" w:rsidRPr="00AD17B8">
        <w:rPr>
          <w:rFonts w:cstheme="minorHAnsi"/>
          <w:sz w:val="24"/>
          <w:szCs w:val="24"/>
          <w:lang w:eastAsia="cs-CZ"/>
        </w:rPr>
        <w:t xml:space="preserve">návrh </w:t>
      </w:r>
      <w:r w:rsidR="004B5F55" w:rsidRPr="00AD17B8">
        <w:rPr>
          <w:rFonts w:cstheme="minorHAnsi"/>
          <w:sz w:val="24"/>
          <w:szCs w:val="24"/>
          <w:lang w:eastAsia="cs-CZ"/>
        </w:rPr>
        <w:t xml:space="preserve">zákona o státním rozpočtu na rok 2024 </w:t>
      </w:r>
      <w:r w:rsidR="006239E5" w:rsidRPr="00AD17B8">
        <w:rPr>
          <w:rFonts w:cstheme="minorHAnsi"/>
          <w:sz w:val="24"/>
          <w:szCs w:val="24"/>
          <w:lang w:eastAsia="cs-CZ"/>
        </w:rPr>
        <w:t xml:space="preserve">a návrh </w:t>
      </w:r>
      <w:r w:rsidR="00564262" w:rsidRPr="00AD17B8">
        <w:rPr>
          <w:rFonts w:cstheme="minorHAnsi"/>
          <w:sz w:val="24"/>
          <w:szCs w:val="24"/>
          <w:lang w:eastAsia="cs-CZ"/>
        </w:rPr>
        <w:t xml:space="preserve">střednědobého výhledu státního rozpočtu </w:t>
      </w:r>
      <w:r w:rsidR="006239E5" w:rsidRPr="00AD17B8">
        <w:rPr>
          <w:rFonts w:cstheme="minorHAnsi"/>
          <w:sz w:val="24"/>
          <w:szCs w:val="24"/>
          <w:lang w:eastAsia="cs-CZ"/>
        </w:rPr>
        <w:t>na léta</w:t>
      </w:r>
      <w:r w:rsidR="00564262" w:rsidRPr="00AD17B8">
        <w:rPr>
          <w:rFonts w:cstheme="minorHAnsi"/>
          <w:sz w:val="24"/>
          <w:szCs w:val="24"/>
          <w:lang w:eastAsia="cs-CZ"/>
        </w:rPr>
        <w:t xml:space="preserve"> 202</w:t>
      </w:r>
      <w:r w:rsidR="006239E5" w:rsidRPr="00AD17B8">
        <w:rPr>
          <w:rFonts w:cstheme="minorHAnsi"/>
          <w:sz w:val="24"/>
          <w:szCs w:val="24"/>
          <w:lang w:eastAsia="cs-CZ"/>
        </w:rPr>
        <w:t>5</w:t>
      </w:r>
      <w:r w:rsidR="00564262" w:rsidRPr="00AD17B8">
        <w:rPr>
          <w:rFonts w:cstheme="minorHAnsi"/>
          <w:sz w:val="24"/>
          <w:szCs w:val="24"/>
          <w:lang w:eastAsia="cs-CZ"/>
        </w:rPr>
        <w:t xml:space="preserve"> a 202</w:t>
      </w:r>
      <w:r w:rsidR="006239E5" w:rsidRPr="00AD17B8">
        <w:rPr>
          <w:rFonts w:cstheme="minorHAnsi"/>
          <w:sz w:val="24"/>
          <w:szCs w:val="24"/>
          <w:lang w:eastAsia="cs-CZ"/>
        </w:rPr>
        <w:t>6</w:t>
      </w:r>
      <w:r w:rsidR="00624106" w:rsidRPr="00AD17B8">
        <w:rPr>
          <w:rStyle w:val="Znakapoznpodarou"/>
          <w:rFonts w:cstheme="minorHAnsi"/>
          <w:sz w:val="24"/>
          <w:szCs w:val="24"/>
          <w:lang w:eastAsia="cs-CZ"/>
        </w:rPr>
        <w:footnoteReference w:id="28"/>
      </w:r>
      <w:r w:rsidR="008855FB" w:rsidRPr="00AD17B8">
        <w:rPr>
          <w:rFonts w:cstheme="minorHAnsi"/>
          <w:sz w:val="24"/>
          <w:szCs w:val="24"/>
          <w:lang w:eastAsia="cs-CZ"/>
        </w:rPr>
        <w:t xml:space="preserve">. </w:t>
      </w:r>
      <w:r w:rsidR="002169EB" w:rsidRPr="00AD17B8">
        <w:rPr>
          <w:rFonts w:cstheme="minorHAnsi"/>
          <w:sz w:val="24"/>
          <w:szCs w:val="24"/>
        </w:rPr>
        <w:t>Novelizace zákona č. 178/2005 Sb. v roce 2018 rovněž umožnila na základě rozhodnutí vlády přev</w:t>
      </w:r>
      <w:r w:rsidR="005B2BBD" w:rsidRPr="00AD17B8">
        <w:rPr>
          <w:rFonts w:cstheme="minorHAnsi"/>
          <w:sz w:val="24"/>
          <w:szCs w:val="24"/>
        </w:rPr>
        <w:t>ádět</w:t>
      </w:r>
      <w:r w:rsidR="002169EB" w:rsidRPr="00AD17B8">
        <w:rPr>
          <w:rFonts w:cstheme="minorHAnsi"/>
          <w:sz w:val="24"/>
          <w:szCs w:val="24"/>
        </w:rPr>
        <w:t xml:space="preserve"> peněžní prostředky zvláštních účtů privatizace do státního roz</w:t>
      </w:r>
      <w:r w:rsidR="002169EB" w:rsidRPr="00AD17B8">
        <w:rPr>
          <w:sz w:val="24"/>
          <w:szCs w:val="24"/>
          <w:lang w:eastAsia="cs-CZ"/>
        </w:rPr>
        <w:t>počtu bez účelového určení použití převedených peněžních prostředků. Tímto způsobem bylo v</w:t>
      </w:r>
      <w:r w:rsidR="002169EB" w:rsidRPr="00AD17B8">
        <w:rPr>
          <w:sz w:val="24"/>
          <w:szCs w:val="24"/>
          <w:shd w:val="clear" w:color="auto" w:fill="FFFFFF"/>
        </w:rPr>
        <w:t xml:space="preserve"> </w:t>
      </w:r>
      <w:r w:rsidR="002169EB" w:rsidRPr="00AD17B8">
        <w:rPr>
          <w:sz w:val="24"/>
          <w:szCs w:val="24"/>
          <w:lang w:eastAsia="cs-CZ"/>
        </w:rPr>
        <w:t xml:space="preserve">letech 2019 až 2022 do </w:t>
      </w:r>
      <w:r w:rsidR="002169EB" w:rsidRPr="00AD17B8">
        <w:rPr>
          <w:sz w:val="24"/>
          <w:szCs w:val="24"/>
        </w:rPr>
        <w:t>státního rozpočtu převedeno celkem 68,5 mld. Kč. Jak je patrné z tabulky č</w:t>
      </w:r>
      <w:r w:rsidR="00850D4B" w:rsidRPr="00AD17B8">
        <w:rPr>
          <w:sz w:val="24"/>
          <w:szCs w:val="24"/>
        </w:rPr>
        <w:t>. 3,</w:t>
      </w:r>
      <w:r w:rsidR="002169EB" w:rsidRPr="00AD17B8">
        <w:rPr>
          <w:sz w:val="24"/>
          <w:szCs w:val="24"/>
        </w:rPr>
        <w:t xml:space="preserve"> </w:t>
      </w:r>
      <w:r w:rsidR="005C1DEE" w:rsidRPr="00AD17B8">
        <w:rPr>
          <w:sz w:val="24"/>
          <w:szCs w:val="24"/>
        </w:rPr>
        <w:t>příjmy zvláštních účtů privatizace v roce 2019 a v roce 202</w:t>
      </w:r>
      <w:r w:rsidR="00A64FAD" w:rsidRPr="00AD17B8">
        <w:rPr>
          <w:sz w:val="24"/>
          <w:szCs w:val="24"/>
        </w:rPr>
        <w:t>2</w:t>
      </w:r>
      <w:r w:rsidR="005C1DEE" w:rsidRPr="00AC726F">
        <w:rPr>
          <w:sz w:val="24"/>
          <w:szCs w:val="24"/>
        </w:rPr>
        <w:t xml:space="preserve"> byly</w:t>
      </w:r>
      <w:r w:rsidR="005C1DEE" w:rsidRPr="00CB68DA">
        <w:rPr>
          <w:sz w:val="24"/>
          <w:szCs w:val="24"/>
        </w:rPr>
        <w:t xml:space="preserve"> nižší než výše peněžních prostředků převedená z těchto účtů do státního</w:t>
      </w:r>
      <w:r w:rsidR="00873A84">
        <w:rPr>
          <w:sz w:val="24"/>
          <w:szCs w:val="24"/>
        </w:rPr>
        <w:t xml:space="preserve"> rozpočtu</w:t>
      </w:r>
      <w:r w:rsidR="005C1DEE" w:rsidRPr="00CB68DA">
        <w:rPr>
          <w:sz w:val="24"/>
          <w:szCs w:val="24"/>
        </w:rPr>
        <w:t>. V</w:t>
      </w:r>
      <w:r w:rsidR="002169EB" w:rsidRPr="00CB68DA">
        <w:rPr>
          <w:sz w:val="24"/>
          <w:szCs w:val="24"/>
        </w:rPr>
        <w:t xml:space="preserve"> roce 2020 </w:t>
      </w:r>
      <w:r w:rsidR="005C1DEE" w:rsidRPr="00CB68DA">
        <w:rPr>
          <w:sz w:val="24"/>
          <w:szCs w:val="24"/>
        </w:rPr>
        <w:t xml:space="preserve">bylo do státního rozpočtu převedeno 97 % příjmů </w:t>
      </w:r>
      <w:r w:rsidR="002169EB" w:rsidRPr="00CB68DA">
        <w:rPr>
          <w:sz w:val="24"/>
          <w:szCs w:val="24"/>
        </w:rPr>
        <w:t xml:space="preserve">tohoto roku. Zůstatek zvláštních účtů privatizace na konci roku 2022 klesl ve srovnání s koncem roku 2018 o 38 %. Převod prostředků do státního rozpočtu schválila vláda i v roce 2023, a to </w:t>
      </w:r>
      <w:r w:rsidR="002169EB" w:rsidRPr="00CB68DA">
        <w:rPr>
          <w:sz w:val="24"/>
          <w:szCs w:val="24"/>
          <w:lang w:eastAsia="cs-CZ"/>
        </w:rPr>
        <w:t xml:space="preserve">ve výši </w:t>
      </w:r>
      <w:r w:rsidR="002169EB" w:rsidRPr="00CB68DA">
        <w:rPr>
          <w:rFonts w:cstheme="minorHAnsi"/>
          <w:sz w:val="24"/>
          <w:szCs w:val="24"/>
          <w:lang w:eastAsia="cs-CZ"/>
        </w:rPr>
        <w:t>54 mld. Kč</w:t>
      </w:r>
      <w:r w:rsidR="00624106">
        <w:rPr>
          <w:rStyle w:val="Znakapoznpodarou"/>
          <w:rFonts w:cstheme="minorHAnsi"/>
          <w:sz w:val="24"/>
          <w:szCs w:val="24"/>
          <w:lang w:eastAsia="cs-CZ"/>
        </w:rPr>
        <w:footnoteReference w:id="29"/>
      </w:r>
      <w:r w:rsidR="002169EB" w:rsidRPr="00CB68DA">
        <w:rPr>
          <w:sz w:val="24"/>
          <w:szCs w:val="24"/>
          <w:lang w:eastAsia="cs-CZ"/>
        </w:rPr>
        <w:t>. Pokud bude</w:t>
      </w:r>
      <w:r w:rsidR="002169EB" w:rsidRPr="00CB68DA">
        <w:rPr>
          <w:sz w:val="24"/>
          <w:szCs w:val="24"/>
        </w:rPr>
        <w:t xml:space="preserve"> tento trend v budoucnu pokračovat, hrozí postupný pokles zůstatku peněžních</w:t>
      </w:r>
      <w:r w:rsidR="002169EB" w:rsidRPr="00205253">
        <w:rPr>
          <w:sz w:val="24"/>
          <w:szCs w:val="24"/>
        </w:rPr>
        <w:t xml:space="preserve"> prostředků zvláštních účtů privatizace.</w:t>
      </w:r>
      <w:r w:rsidR="002169EB" w:rsidRPr="009139FC">
        <w:rPr>
          <w:sz w:val="24"/>
          <w:szCs w:val="24"/>
        </w:rPr>
        <w:t xml:space="preserve"> </w:t>
      </w:r>
    </w:p>
    <w:p w14:paraId="02487303" w14:textId="77777777" w:rsidR="00875B80" w:rsidRPr="00AF1710" w:rsidRDefault="00624106" w:rsidP="002C6DF0">
      <w:pPr>
        <w:spacing w:after="40" w:line="240" w:lineRule="auto"/>
        <w:ind w:left="1304" w:hanging="1304"/>
        <w:jc w:val="both"/>
        <w:rPr>
          <w:rFonts w:cstheme="minorHAnsi"/>
          <w:b/>
          <w:sz w:val="24"/>
          <w:szCs w:val="24"/>
        </w:rPr>
      </w:pPr>
      <w:r w:rsidRPr="00AF1710">
        <w:rPr>
          <w:rFonts w:cstheme="minorHAnsi"/>
          <w:b/>
          <w:sz w:val="24"/>
          <w:szCs w:val="24"/>
        </w:rPr>
        <w:t xml:space="preserve">Tabulka č. </w:t>
      </w:r>
      <w:r w:rsidR="00FE0648" w:rsidRPr="00AF1710">
        <w:rPr>
          <w:rFonts w:cstheme="minorHAnsi"/>
          <w:b/>
          <w:sz w:val="24"/>
          <w:szCs w:val="24"/>
        </w:rPr>
        <w:t>3</w:t>
      </w:r>
      <w:r w:rsidRPr="00AF1710">
        <w:rPr>
          <w:rFonts w:cstheme="minorHAnsi"/>
          <w:b/>
          <w:sz w:val="24"/>
          <w:szCs w:val="24"/>
        </w:rPr>
        <w:t xml:space="preserve">: </w:t>
      </w:r>
      <w:r w:rsidR="00AF1710">
        <w:rPr>
          <w:rFonts w:cstheme="minorHAnsi"/>
          <w:b/>
          <w:sz w:val="24"/>
          <w:szCs w:val="24"/>
        </w:rPr>
        <w:tab/>
      </w:r>
      <w:r w:rsidR="00CB68DA" w:rsidRPr="00AF1710">
        <w:rPr>
          <w:rFonts w:cstheme="minorHAnsi"/>
          <w:b/>
          <w:sz w:val="24"/>
          <w:szCs w:val="24"/>
        </w:rPr>
        <w:t>Příjmy, výdaje a stav peněžních prostředků na zvláštních účtech privatizace</w:t>
      </w:r>
      <w:r w:rsidRPr="00AF1710">
        <w:rPr>
          <w:rFonts w:cstheme="minorHAnsi"/>
          <w:b/>
          <w:sz w:val="24"/>
          <w:szCs w:val="24"/>
        </w:rPr>
        <w:t xml:space="preserve"> (v m</w:t>
      </w:r>
      <w:r w:rsidR="00126B57" w:rsidRPr="00AF1710">
        <w:rPr>
          <w:rFonts w:cstheme="minorHAnsi"/>
          <w:b/>
          <w:sz w:val="24"/>
          <w:szCs w:val="24"/>
        </w:rPr>
        <w:t>il</w:t>
      </w:r>
      <w:r w:rsidRPr="00AF1710">
        <w:rPr>
          <w:rFonts w:cstheme="minorHAnsi"/>
          <w:b/>
          <w:sz w:val="24"/>
          <w:szCs w:val="24"/>
        </w:rPr>
        <w:t>.</w:t>
      </w:r>
      <w:r w:rsidR="00126B57" w:rsidRPr="00AF1710">
        <w:rPr>
          <w:rFonts w:cstheme="minorHAnsi"/>
          <w:b/>
          <w:sz w:val="24"/>
          <w:szCs w:val="24"/>
        </w:rPr>
        <w:t> </w:t>
      </w:r>
      <w:r w:rsidRPr="00AF1710">
        <w:rPr>
          <w:rFonts w:cstheme="minorHAnsi"/>
          <w:b/>
          <w:sz w:val="24"/>
          <w:szCs w:val="24"/>
        </w:rPr>
        <w:t>Kč)</w:t>
      </w:r>
      <w:r w:rsidR="00AC726F" w:rsidRPr="00AF1710">
        <w:rPr>
          <w:rFonts w:cstheme="minorHAnsi"/>
          <w:b/>
          <w:sz w:val="24"/>
          <w:szCs w:val="24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1028"/>
        <w:gridCol w:w="1031"/>
        <w:gridCol w:w="1037"/>
        <w:gridCol w:w="1015"/>
        <w:gridCol w:w="917"/>
      </w:tblGrid>
      <w:tr w:rsidR="0049291F" w:rsidRPr="00E420EA" w14:paraId="2E1FC0FE" w14:textId="77777777" w:rsidTr="002C6DF0">
        <w:trPr>
          <w:trHeight w:val="283"/>
        </w:trPr>
        <w:tc>
          <w:tcPr>
            <w:tcW w:w="4044" w:type="dxa"/>
            <w:shd w:val="clear" w:color="auto" w:fill="E5F1FF"/>
            <w:noWrap/>
            <w:vAlign w:val="center"/>
            <w:hideMark/>
          </w:tcPr>
          <w:p w14:paraId="3070DD9B" w14:textId="77777777" w:rsidR="00875B80" w:rsidRPr="00E420EA" w:rsidRDefault="00624106" w:rsidP="00E420EA">
            <w:pPr>
              <w:spacing w:before="20" w:after="2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028" w:type="dxa"/>
            <w:shd w:val="clear" w:color="auto" w:fill="E5F1FF"/>
            <w:noWrap/>
            <w:vAlign w:val="center"/>
            <w:hideMark/>
          </w:tcPr>
          <w:p w14:paraId="74F260E5" w14:textId="77777777" w:rsidR="00875B80" w:rsidRPr="00E420EA" w:rsidRDefault="00624106" w:rsidP="00E420EA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031" w:type="dxa"/>
            <w:shd w:val="clear" w:color="auto" w:fill="E5F1FF"/>
            <w:noWrap/>
            <w:vAlign w:val="center"/>
            <w:hideMark/>
          </w:tcPr>
          <w:p w14:paraId="117C1D04" w14:textId="77777777" w:rsidR="00875B80" w:rsidRPr="00E420EA" w:rsidRDefault="00624106" w:rsidP="00E420EA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037" w:type="dxa"/>
            <w:shd w:val="clear" w:color="auto" w:fill="E5F1FF"/>
            <w:noWrap/>
            <w:vAlign w:val="center"/>
            <w:hideMark/>
          </w:tcPr>
          <w:p w14:paraId="6171E49D" w14:textId="77777777" w:rsidR="00875B80" w:rsidRPr="00E420EA" w:rsidRDefault="00624106" w:rsidP="00E420EA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015" w:type="dxa"/>
            <w:shd w:val="clear" w:color="auto" w:fill="E5F1FF"/>
            <w:noWrap/>
            <w:vAlign w:val="center"/>
            <w:hideMark/>
          </w:tcPr>
          <w:p w14:paraId="695C43C8" w14:textId="77777777" w:rsidR="00875B80" w:rsidRPr="00E420EA" w:rsidRDefault="00624106" w:rsidP="00E420EA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917" w:type="dxa"/>
            <w:shd w:val="clear" w:color="auto" w:fill="E5F1FF"/>
            <w:vAlign w:val="center"/>
          </w:tcPr>
          <w:p w14:paraId="13A14D50" w14:textId="77777777" w:rsidR="00875B80" w:rsidRPr="00E420EA" w:rsidRDefault="00624106" w:rsidP="00E420EA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2022</w:t>
            </w:r>
          </w:p>
        </w:tc>
      </w:tr>
      <w:tr w:rsidR="0049291F" w:rsidRPr="00E420EA" w14:paraId="105168DD" w14:textId="77777777" w:rsidTr="002C6DF0">
        <w:trPr>
          <w:trHeight w:val="283"/>
        </w:trPr>
        <w:tc>
          <w:tcPr>
            <w:tcW w:w="4044" w:type="dxa"/>
            <w:shd w:val="clear" w:color="auto" w:fill="auto"/>
            <w:noWrap/>
            <w:vAlign w:val="center"/>
          </w:tcPr>
          <w:p w14:paraId="133B9C54" w14:textId="77777777" w:rsidR="00875B80" w:rsidRPr="00E420EA" w:rsidRDefault="00624106" w:rsidP="00E420EA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14:paraId="70E90400" w14:textId="77777777" w:rsidR="00875B80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12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043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64B6AC3" w14:textId="77777777" w:rsidR="00875B80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9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703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64B90F0" w14:textId="77777777" w:rsidR="00875B80" w:rsidRPr="00E420EA" w:rsidRDefault="00624106" w:rsidP="00E420EA">
            <w:pPr>
              <w:spacing w:before="20" w:after="20" w:line="240" w:lineRule="auto"/>
              <w:ind w:right="170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16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935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1C03EF5A" w14:textId="77777777" w:rsidR="00875B80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21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809</w:t>
            </w:r>
          </w:p>
        </w:tc>
        <w:tc>
          <w:tcPr>
            <w:tcW w:w="917" w:type="dxa"/>
            <w:vAlign w:val="center"/>
          </w:tcPr>
          <w:p w14:paraId="5E0210F5" w14:textId="77777777" w:rsidR="00875B80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20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366</w:t>
            </w:r>
          </w:p>
        </w:tc>
      </w:tr>
      <w:tr w:rsidR="0049291F" w:rsidRPr="00E420EA" w14:paraId="310D0DE6" w14:textId="77777777" w:rsidTr="002C6DF0">
        <w:trPr>
          <w:trHeight w:val="283"/>
        </w:trPr>
        <w:tc>
          <w:tcPr>
            <w:tcW w:w="4044" w:type="dxa"/>
            <w:shd w:val="clear" w:color="auto" w:fill="auto"/>
            <w:noWrap/>
            <w:vAlign w:val="center"/>
          </w:tcPr>
          <w:p w14:paraId="1E30A24E" w14:textId="77777777" w:rsidR="00850D4B" w:rsidRPr="00E420EA" w:rsidRDefault="00EB43F1" w:rsidP="00E420EA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- </w:t>
            </w:r>
            <w:r w:rsidR="00624106"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>z toho: dividendy</w:t>
            </w:r>
            <w:r w:rsidR="00624106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14:paraId="4ACF50C5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11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844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E5A6585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8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859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CF54B86" w14:textId="77777777" w:rsidR="00850D4B" w:rsidRPr="00E420EA" w:rsidRDefault="00624106" w:rsidP="00E420EA">
            <w:pPr>
              <w:spacing w:before="20" w:after="20" w:line="240" w:lineRule="auto"/>
              <w:ind w:right="170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14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894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295F33F7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21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917" w:type="dxa"/>
            <w:vAlign w:val="center"/>
          </w:tcPr>
          <w:p w14:paraId="44594DDE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20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166</w:t>
            </w:r>
          </w:p>
        </w:tc>
      </w:tr>
      <w:tr w:rsidR="0049291F" w:rsidRPr="00E420EA" w14:paraId="25EC3781" w14:textId="77777777" w:rsidTr="002C6DF0">
        <w:trPr>
          <w:trHeight w:val="283"/>
        </w:trPr>
        <w:tc>
          <w:tcPr>
            <w:tcW w:w="4044" w:type="dxa"/>
            <w:shd w:val="clear" w:color="auto" w:fill="auto"/>
            <w:noWrap/>
            <w:vAlign w:val="center"/>
          </w:tcPr>
          <w:p w14:paraId="5CDAF8A2" w14:textId="77777777" w:rsidR="00A07861" w:rsidRPr="00E420EA" w:rsidRDefault="00EB43F1" w:rsidP="00E420EA">
            <w:pPr>
              <w:spacing w:before="20" w:after="20" w:line="240" w:lineRule="auto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- </w:t>
            </w:r>
            <w:r w:rsidR="00624106"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>podíl dividend na celkových příjmech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14:paraId="57815503" w14:textId="77777777" w:rsidR="00A07861" w:rsidRPr="00E420EA" w:rsidRDefault="00624106" w:rsidP="00E420EA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98 %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7A73F17" w14:textId="77777777" w:rsidR="00A07861" w:rsidRPr="00E420EA" w:rsidRDefault="00624106" w:rsidP="00E420EA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91 %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62C1785" w14:textId="77777777" w:rsidR="00A07861" w:rsidRPr="00E420EA" w:rsidRDefault="00624106" w:rsidP="00E420EA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88 %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648F0BB3" w14:textId="77777777" w:rsidR="00A07861" w:rsidRPr="00E420EA" w:rsidRDefault="00624106" w:rsidP="00E420EA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98 %</w:t>
            </w:r>
          </w:p>
        </w:tc>
        <w:tc>
          <w:tcPr>
            <w:tcW w:w="917" w:type="dxa"/>
            <w:vAlign w:val="center"/>
          </w:tcPr>
          <w:p w14:paraId="5EC0CFAE" w14:textId="77777777" w:rsidR="00A07861" w:rsidRPr="00E420EA" w:rsidRDefault="00624106" w:rsidP="00E420EA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99 %</w:t>
            </w:r>
          </w:p>
        </w:tc>
      </w:tr>
      <w:tr w:rsidR="0049291F" w:rsidRPr="00E420EA" w14:paraId="4670FD16" w14:textId="77777777" w:rsidTr="002C6DF0">
        <w:trPr>
          <w:trHeight w:val="283"/>
        </w:trPr>
        <w:tc>
          <w:tcPr>
            <w:tcW w:w="4044" w:type="dxa"/>
            <w:shd w:val="clear" w:color="auto" w:fill="auto"/>
            <w:noWrap/>
            <w:vAlign w:val="center"/>
            <w:hideMark/>
          </w:tcPr>
          <w:p w14:paraId="721A1BEA" w14:textId="77777777" w:rsidR="00850D4B" w:rsidRPr="00E420EA" w:rsidRDefault="00624106" w:rsidP="00E420EA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EADC7DB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4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004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BD91379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21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048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71CCC69F" w14:textId="77777777" w:rsidR="00850D4B" w:rsidRPr="00E420EA" w:rsidRDefault="00624106" w:rsidP="00E420EA">
            <w:pPr>
              <w:spacing w:before="20" w:after="20" w:line="240" w:lineRule="auto"/>
              <w:ind w:right="170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19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589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57ECAE68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13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724</w:t>
            </w:r>
          </w:p>
        </w:tc>
        <w:tc>
          <w:tcPr>
            <w:tcW w:w="917" w:type="dxa"/>
            <w:vAlign w:val="center"/>
          </w:tcPr>
          <w:p w14:paraId="2DEBB44F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26</w:t>
            </w:r>
            <w:r w:rsidR="004B7D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151</w:t>
            </w:r>
          </w:p>
        </w:tc>
      </w:tr>
      <w:tr w:rsidR="0049291F" w:rsidRPr="00E420EA" w14:paraId="7BEFD993" w14:textId="77777777" w:rsidTr="002C6DF0">
        <w:trPr>
          <w:trHeight w:val="283"/>
        </w:trPr>
        <w:tc>
          <w:tcPr>
            <w:tcW w:w="4044" w:type="dxa"/>
            <w:shd w:val="clear" w:color="auto" w:fill="auto"/>
            <w:noWrap/>
            <w:vAlign w:val="center"/>
          </w:tcPr>
          <w:p w14:paraId="77AA0C48" w14:textId="77777777" w:rsidR="00850D4B" w:rsidRPr="00E420EA" w:rsidRDefault="00EB43F1" w:rsidP="00E420EA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- </w:t>
            </w:r>
            <w:r w:rsidR="00624106"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>z toho: převod do státního rozpočtu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14:paraId="51A61772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BDE62D4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18</w:t>
            </w:r>
            <w:r w:rsidR="00126B57" w:rsidRPr="00E420EA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000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D8246DE" w14:textId="77777777" w:rsidR="00850D4B" w:rsidRPr="00E420EA" w:rsidRDefault="00624106" w:rsidP="00E420EA">
            <w:pPr>
              <w:spacing w:before="20" w:after="20" w:line="240" w:lineRule="auto"/>
              <w:ind w:right="17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16</w:t>
            </w:r>
            <w:r w:rsidR="00126B57" w:rsidRPr="00E420EA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19E58333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10</w:t>
            </w:r>
            <w:r w:rsidR="00126B57" w:rsidRPr="00E420EA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000</w:t>
            </w:r>
          </w:p>
        </w:tc>
        <w:tc>
          <w:tcPr>
            <w:tcW w:w="917" w:type="dxa"/>
            <w:vAlign w:val="center"/>
          </w:tcPr>
          <w:p w14:paraId="14E6F91F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24</w:t>
            </w:r>
            <w:r w:rsidR="004B7D57" w:rsidRPr="00E420EA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000</w:t>
            </w:r>
          </w:p>
        </w:tc>
      </w:tr>
      <w:tr w:rsidR="0049291F" w:rsidRPr="00E420EA" w14:paraId="02DEBB2B" w14:textId="77777777" w:rsidTr="002C6DF0">
        <w:trPr>
          <w:trHeight w:val="283"/>
        </w:trPr>
        <w:tc>
          <w:tcPr>
            <w:tcW w:w="4044" w:type="dxa"/>
            <w:shd w:val="clear" w:color="auto" w:fill="auto"/>
            <w:noWrap/>
            <w:vAlign w:val="center"/>
          </w:tcPr>
          <w:p w14:paraId="3B7AC8E6" w14:textId="77777777" w:rsidR="00850D4B" w:rsidRPr="00E420EA" w:rsidRDefault="00EB43F1" w:rsidP="00E420EA">
            <w:pPr>
              <w:spacing w:before="20" w:after="20" w:line="240" w:lineRule="auto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- </w:t>
            </w:r>
            <w:r w:rsidR="00624106"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>z toho: výdaje na odstraňování SEZ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14:paraId="7079F9FE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</w:rPr>
              <w:t>976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2786855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126B57" w:rsidRPr="00E420E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</w:rPr>
              <w:t>080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0473D73" w14:textId="77777777" w:rsidR="00850D4B" w:rsidRPr="00E420EA" w:rsidRDefault="00624106" w:rsidP="00E420EA">
            <w:pPr>
              <w:spacing w:before="20" w:after="20" w:line="240" w:lineRule="auto"/>
              <w:ind w:right="17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</w:rPr>
              <w:t>917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380D43F0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</w:rPr>
              <w:t>676</w:t>
            </w:r>
          </w:p>
        </w:tc>
        <w:tc>
          <w:tcPr>
            <w:tcW w:w="917" w:type="dxa"/>
            <w:vAlign w:val="center"/>
          </w:tcPr>
          <w:p w14:paraId="6FF41BE3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</w:rPr>
              <w:t>772</w:t>
            </w:r>
          </w:p>
        </w:tc>
      </w:tr>
      <w:tr w:rsidR="0049291F" w:rsidRPr="00E420EA" w14:paraId="0BFDDD01" w14:textId="77777777" w:rsidTr="002C6DF0">
        <w:trPr>
          <w:trHeight w:val="283"/>
        </w:trPr>
        <w:tc>
          <w:tcPr>
            <w:tcW w:w="40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BF2315" w14:textId="77777777" w:rsidR="00850D4B" w:rsidRPr="00E420EA" w:rsidRDefault="00EB43F1" w:rsidP="00E420EA">
            <w:pPr>
              <w:spacing w:before="20" w:after="20" w:line="240" w:lineRule="auto"/>
              <w:ind w:left="113" w:hanging="113"/>
              <w:jc w:val="both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- </w:t>
            </w:r>
            <w:r w:rsidR="00624106"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>ostatní výdaje (zejména výdaje na revitalizaci území po těžbě nerostů a výdaje na řešení důsledků po chemické těžbě uranu)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14:paraId="00B1BAE5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3</w:t>
            </w:r>
            <w:r w:rsidR="00126B57"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  <w:t>028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D5B9AA4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>1</w:t>
            </w:r>
            <w:r w:rsidR="00126B57"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>968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E4848F0" w14:textId="77777777" w:rsidR="00850D4B" w:rsidRPr="00E420EA" w:rsidRDefault="00624106" w:rsidP="00E420EA">
            <w:pPr>
              <w:spacing w:before="20" w:after="20" w:line="240" w:lineRule="auto"/>
              <w:ind w:right="17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>2</w:t>
            </w:r>
            <w:r w:rsidR="00126B57"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36230FCE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>3</w:t>
            </w:r>
            <w:r w:rsidR="00126B57"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>048</w:t>
            </w:r>
          </w:p>
        </w:tc>
        <w:tc>
          <w:tcPr>
            <w:tcW w:w="917" w:type="dxa"/>
            <w:vAlign w:val="center"/>
          </w:tcPr>
          <w:p w14:paraId="7A222BF9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>1</w:t>
            </w:r>
            <w:r w:rsidR="00126B57"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sz w:val="20"/>
                <w:szCs w:val="20"/>
                <w:lang w:eastAsia="cs-CZ"/>
              </w:rPr>
              <w:t>379</w:t>
            </w:r>
          </w:p>
        </w:tc>
      </w:tr>
      <w:tr w:rsidR="0049291F" w:rsidRPr="00E420EA" w14:paraId="0C244BBB" w14:textId="77777777" w:rsidTr="002C6DF0">
        <w:trPr>
          <w:trHeight w:val="283"/>
        </w:trPr>
        <w:tc>
          <w:tcPr>
            <w:tcW w:w="4044" w:type="dxa"/>
            <w:shd w:val="clear" w:color="auto" w:fill="auto"/>
            <w:noWrap/>
            <w:vAlign w:val="center"/>
          </w:tcPr>
          <w:p w14:paraId="2514386C" w14:textId="77777777" w:rsidR="00850D4B" w:rsidRPr="00E420EA" w:rsidRDefault="00624106" w:rsidP="00E420EA">
            <w:pPr>
              <w:spacing w:before="20" w:after="20" w:line="240" w:lineRule="auto"/>
              <w:jc w:val="both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cs-CZ"/>
              </w:rPr>
              <w:t>Stav peněžních prostředků na zvláštních účtech privatizace k 31. prosinci daného roku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14:paraId="13C53E89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  <w:r w:rsidR="00126B57" w:rsidRPr="00E420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420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0FCC332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</w:t>
            </w:r>
            <w:r w:rsidR="00126B57" w:rsidRPr="00E420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420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BD91C32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</w:t>
            </w:r>
            <w:r w:rsidR="00126B57" w:rsidRPr="00E420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420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712</w:t>
            </w:r>
            <w:r w:rsidR="00044B94" w:rsidRPr="00E420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631B8B7E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cs-CZ"/>
              </w:rPr>
              <w:t>24</w:t>
            </w:r>
            <w:r w:rsidR="00126B57" w:rsidRPr="00E420EA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cs-CZ"/>
              </w:rPr>
              <w:t>797</w:t>
            </w:r>
          </w:p>
        </w:tc>
        <w:tc>
          <w:tcPr>
            <w:tcW w:w="917" w:type="dxa"/>
            <w:vAlign w:val="center"/>
          </w:tcPr>
          <w:p w14:paraId="32C35F1B" w14:textId="77777777" w:rsidR="00850D4B" w:rsidRPr="00E420EA" w:rsidRDefault="00624106" w:rsidP="00E420EA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420EA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cs-CZ"/>
              </w:rPr>
              <w:t>19</w:t>
            </w:r>
            <w:r w:rsidR="00126B57" w:rsidRPr="00E420EA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E420EA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cs-CZ"/>
              </w:rPr>
              <w:t>012</w:t>
            </w:r>
          </w:p>
        </w:tc>
      </w:tr>
    </w:tbl>
    <w:p w14:paraId="6779EBE5" w14:textId="596A80D4" w:rsidR="00875B80" w:rsidRPr="00AD17B8" w:rsidRDefault="00624106" w:rsidP="00146757">
      <w:pPr>
        <w:autoSpaceDE w:val="0"/>
        <w:autoSpaceDN w:val="0"/>
        <w:adjustRightInd w:val="0"/>
        <w:spacing w:before="40" w:after="0" w:line="240" w:lineRule="auto"/>
        <w:ind w:left="567" w:hanging="567"/>
        <w:jc w:val="both"/>
        <w:rPr>
          <w:rFonts w:cstheme="minorHAnsi"/>
          <w:sz w:val="20"/>
          <w:szCs w:val="20"/>
          <w:lang w:eastAsia="cs-CZ"/>
        </w:rPr>
      </w:pPr>
      <w:r w:rsidRPr="00EB43F1">
        <w:rPr>
          <w:rFonts w:cstheme="minorHAnsi"/>
          <w:b/>
          <w:sz w:val="20"/>
          <w:szCs w:val="20"/>
          <w:lang w:eastAsia="cs-CZ"/>
        </w:rPr>
        <w:t>Zdroj:</w:t>
      </w:r>
      <w:r w:rsidRPr="00144437">
        <w:rPr>
          <w:rFonts w:cstheme="minorHAnsi"/>
          <w:sz w:val="20"/>
          <w:szCs w:val="20"/>
          <w:lang w:eastAsia="cs-CZ"/>
        </w:rPr>
        <w:t xml:space="preserve"> </w:t>
      </w:r>
      <w:r w:rsidR="00E83155">
        <w:rPr>
          <w:rFonts w:cstheme="minorHAnsi"/>
          <w:sz w:val="20"/>
          <w:szCs w:val="20"/>
          <w:lang w:eastAsia="cs-CZ"/>
        </w:rPr>
        <w:t>d</w:t>
      </w:r>
      <w:r w:rsidR="00693BC5">
        <w:rPr>
          <w:rFonts w:cstheme="minorHAnsi"/>
          <w:sz w:val="20"/>
          <w:szCs w:val="20"/>
          <w:lang w:eastAsia="cs-CZ"/>
        </w:rPr>
        <w:t>ata MF</w:t>
      </w:r>
      <w:r w:rsidR="00E83155">
        <w:rPr>
          <w:rFonts w:cstheme="minorHAnsi"/>
          <w:sz w:val="20"/>
          <w:szCs w:val="20"/>
          <w:lang w:eastAsia="cs-CZ"/>
        </w:rPr>
        <w:t>,</w:t>
      </w:r>
      <w:r w:rsidR="00693BC5">
        <w:rPr>
          <w:rFonts w:cstheme="minorHAnsi"/>
          <w:sz w:val="20"/>
          <w:szCs w:val="20"/>
          <w:lang w:eastAsia="cs-CZ"/>
        </w:rPr>
        <w:t xml:space="preserve"> </w:t>
      </w:r>
      <w:r w:rsidR="00533FD4">
        <w:rPr>
          <w:rFonts w:cstheme="minorHAnsi"/>
          <w:sz w:val="20"/>
          <w:szCs w:val="20"/>
          <w:lang w:eastAsia="cs-CZ"/>
        </w:rPr>
        <w:t>s</w:t>
      </w:r>
      <w:r w:rsidRPr="00144437">
        <w:rPr>
          <w:rFonts w:cstheme="minorHAnsi"/>
          <w:sz w:val="20"/>
          <w:szCs w:val="20"/>
          <w:lang w:eastAsia="cs-CZ"/>
        </w:rPr>
        <w:t>tátní závěrečn</w:t>
      </w:r>
      <w:r w:rsidR="00533FD4">
        <w:rPr>
          <w:rFonts w:cstheme="minorHAnsi"/>
          <w:sz w:val="20"/>
          <w:szCs w:val="20"/>
          <w:lang w:eastAsia="cs-CZ"/>
        </w:rPr>
        <w:t>é</w:t>
      </w:r>
      <w:r w:rsidRPr="00144437">
        <w:rPr>
          <w:rFonts w:cstheme="minorHAnsi"/>
          <w:sz w:val="20"/>
          <w:szCs w:val="20"/>
          <w:lang w:eastAsia="cs-CZ"/>
        </w:rPr>
        <w:t xml:space="preserve"> účt</w:t>
      </w:r>
      <w:r w:rsidR="00533FD4">
        <w:rPr>
          <w:rFonts w:cstheme="minorHAnsi"/>
          <w:sz w:val="20"/>
          <w:szCs w:val="20"/>
          <w:lang w:eastAsia="cs-CZ"/>
        </w:rPr>
        <w:t>y</w:t>
      </w:r>
      <w:r w:rsidRPr="00144437">
        <w:rPr>
          <w:rFonts w:cstheme="minorHAnsi"/>
          <w:sz w:val="20"/>
          <w:szCs w:val="20"/>
          <w:lang w:eastAsia="cs-CZ"/>
        </w:rPr>
        <w:t xml:space="preserve"> České republiky za jednotlivé roky 2018 až 2021, </w:t>
      </w:r>
      <w:r w:rsidR="00533FD4">
        <w:rPr>
          <w:rFonts w:cstheme="minorHAnsi"/>
          <w:sz w:val="20"/>
          <w:szCs w:val="20"/>
          <w:lang w:eastAsia="cs-CZ"/>
        </w:rPr>
        <w:t>s</w:t>
      </w:r>
      <w:r w:rsidRPr="00144437">
        <w:rPr>
          <w:rFonts w:cstheme="minorHAnsi"/>
          <w:sz w:val="20"/>
          <w:szCs w:val="20"/>
          <w:lang w:eastAsia="cs-CZ"/>
        </w:rPr>
        <w:t xml:space="preserve">ešit </w:t>
      </w:r>
      <w:r w:rsidRPr="00CE4DB2">
        <w:rPr>
          <w:rFonts w:cstheme="minorHAnsi"/>
          <w:sz w:val="20"/>
          <w:szCs w:val="20"/>
          <w:lang w:eastAsia="cs-CZ"/>
        </w:rPr>
        <w:t>I „Informace o</w:t>
      </w:r>
      <w:r w:rsidR="00BD79A9">
        <w:rPr>
          <w:rFonts w:cstheme="minorHAnsi"/>
          <w:sz w:val="20"/>
          <w:szCs w:val="20"/>
          <w:lang w:eastAsia="cs-CZ"/>
        </w:rPr>
        <w:t> </w:t>
      </w:r>
      <w:r w:rsidRPr="00CE4DB2">
        <w:rPr>
          <w:rFonts w:cstheme="minorHAnsi"/>
          <w:sz w:val="20"/>
          <w:szCs w:val="20"/>
          <w:lang w:eastAsia="cs-CZ"/>
        </w:rPr>
        <w:t xml:space="preserve">postupu </w:t>
      </w:r>
      <w:r w:rsidRPr="00AD17B8">
        <w:rPr>
          <w:rFonts w:cstheme="minorHAnsi"/>
          <w:sz w:val="20"/>
          <w:szCs w:val="20"/>
          <w:lang w:eastAsia="cs-CZ"/>
        </w:rPr>
        <w:t>privatizace a o stavu a použití prostředků vedených na zvláštních účtech (dle zákona č.</w:t>
      </w:r>
      <w:r w:rsidR="00146757">
        <w:rPr>
          <w:rFonts w:cstheme="minorHAnsi"/>
          <w:sz w:val="20"/>
          <w:szCs w:val="20"/>
          <w:lang w:eastAsia="cs-CZ"/>
        </w:rPr>
        <w:t> </w:t>
      </w:r>
      <w:r w:rsidRPr="00AD17B8">
        <w:rPr>
          <w:rFonts w:cstheme="minorHAnsi"/>
          <w:sz w:val="20"/>
          <w:szCs w:val="20"/>
          <w:lang w:eastAsia="cs-CZ"/>
        </w:rPr>
        <w:t xml:space="preserve">178/2005 Sb.)“. Návrh </w:t>
      </w:r>
      <w:r w:rsidR="00533FD4">
        <w:rPr>
          <w:rFonts w:cstheme="minorHAnsi"/>
          <w:sz w:val="20"/>
          <w:szCs w:val="20"/>
          <w:lang w:eastAsia="cs-CZ"/>
        </w:rPr>
        <w:t>s</w:t>
      </w:r>
      <w:r w:rsidRPr="00AD17B8">
        <w:rPr>
          <w:rFonts w:cstheme="minorHAnsi"/>
          <w:sz w:val="20"/>
          <w:szCs w:val="20"/>
          <w:lang w:eastAsia="cs-CZ"/>
        </w:rPr>
        <w:t xml:space="preserve">tátního závěrečného účtu České republiky za rok 2022 schválený usnesením vlády České republiky ze dne 26. dubna 2023 č. 277, </w:t>
      </w:r>
      <w:r w:rsidRPr="00052C41">
        <w:rPr>
          <w:rFonts w:cstheme="minorHAnsi"/>
          <w:i/>
          <w:sz w:val="20"/>
          <w:szCs w:val="20"/>
          <w:lang w:eastAsia="cs-CZ"/>
        </w:rPr>
        <w:t>o státním závěrečném účtu České republiky za rok 2022</w:t>
      </w:r>
      <w:r w:rsidRPr="00AD17B8">
        <w:rPr>
          <w:rFonts w:cstheme="minorHAnsi"/>
          <w:sz w:val="20"/>
          <w:szCs w:val="20"/>
          <w:lang w:eastAsia="cs-CZ"/>
        </w:rPr>
        <w:t xml:space="preserve">, </w:t>
      </w:r>
      <w:r w:rsidR="00533FD4">
        <w:rPr>
          <w:rFonts w:cstheme="minorHAnsi"/>
          <w:sz w:val="20"/>
          <w:szCs w:val="20"/>
          <w:lang w:eastAsia="cs-CZ"/>
        </w:rPr>
        <w:t>s</w:t>
      </w:r>
      <w:r w:rsidRPr="00AD17B8">
        <w:rPr>
          <w:rFonts w:cstheme="minorHAnsi"/>
          <w:sz w:val="20"/>
          <w:szCs w:val="20"/>
          <w:lang w:eastAsia="cs-CZ"/>
        </w:rPr>
        <w:t xml:space="preserve">ešit I „Informace o postupu privatizace a o stavu a použití prostředků vedených na zvláštních účtech (dle zákona č. 178/2005 Sb.)“. </w:t>
      </w:r>
    </w:p>
    <w:p w14:paraId="4B5B9B6A" w14:textId="1CF868C8" w:rsidR="00044B94" w:rsidRPr="00AD17B8" w:rsidRDefault="00044B94" w:rsidP="00146757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  <w:lang w:eastAsia="cs-CZ"/>
        </w:rPr>
      </w:pPr>
      <w:r w:rsidRPr="00AD17B8">
        <w:rPr>
          <w:rFonts w:cstheme="minorHAnsi"/>
          <w:sz w:val="20"/>
          <w:szCs w:val="20"/>
        </w:rPr>
        <w:t>*</w:t>
      </w:r>
      <w:r w:rsidRPr="00AD17B8">
        <w:rPr>
          <w:rFonts w:ascii="Calibri" w:hAnsi="Calibri" w:cs="Calibri"/>
          <w:bCs/>
          <w:i/>
        </w:rPr>
        <w:t xml:space="preserve"> </w:t>
      </w:r>
      <w:r w:rsidR="00146757">
        <w:rPr>
          <w:rFonts w:ascii="Calibri" w:hAnsi="Calibri" w:cs="Calibri"/>
          <w:bCs/>
          <w:i/>
        </w:rPr>
        <w:tab/>
      </w:r>
      <w:r w:rsidRPr="00AD17B8">
        <w:rPr>
          <w:rFonts w:cstheme="minorHAnsi"/>
          <w:sz w:val="20"/>
          <w:szCs w:val="20"/>
          <w:lang w:eastAsia="cs-CZ"/>
        </w:rPr>
        <w:t>K drobnému rozdílu mezi výší peněžních prostředků na zvláštních účtech privatizace k 31. prosinci 2020 (</w:t>
      </w:r>
      <w:r w:rsidR="005654D9" w:rsidRPr="00AD17B8">
        <w:rPr>
          <w:rFonts w:cstheme="minorHAnsi"/>
          <w:sz w:val="20"/>
          <w:szCs w:val="20"/>
          <w:lang w:eastAsia="cs-CZ"/>
        </w:rPr>
        <w:t xml:space="preserve">částka </w:t>
      </w:r>
      <w:r w:rsidRPr="00AD17B8">
        <w:rPr>
          <w:rFonts w:cstheme="minorHAnsi"/>
          <w:sz w:val="20"/>
          <w:szCs w:val="20"/>
          <w:lang w:eastAsia="cs-CZ"/>
        </w:rPr>
        <w:t>16</w:t>
      </w:r>
      <w:r w:rsidR="00714E94">
        <w:rPr>
          <w:rFonts w:cstheme="minorHAnsi"/>
          <w:sz w:val="20"/>
          <w:szCs w:val="20"/>
          <w:lang w:eastAsia="cs-CZ"/>
        </w:rPr>
        <w:t> </w:t>
      </w:r>
      <w:r w:rsidRPr="00AD17B8">
        <w:rPr>
          <w:rFonts w:cstheme="minorHAnsi"/>
          <w:sz w:val="20"/>
          <w:szCs w:val="20"/>
          <w:lang w:eastAsia="cs-CZ"/>
        </w:rPr>
        <w:t>712</w:t>
      </w:r>
      <w:r w:rsidR="00714E94">
        <w:rPr>
          <w:rFonts w:cstheme="minorHAnsi"/>
          <w:sz w:val="20"/>
          <w:szCs w:val="20"/>
          <w:lang w:eastAsia="cs-CZ"/>
        </w:rPr>
        <w:t> </w:t>
      </w:r>
      <w:r w:rsidRPr="00AD17B8">
        <w:rPr>
          <w:rFonts w:cstheme="minorHAnsi"/>
          <w:sz w:val="20"/>
          <w:szCs w:val="20"/>
          <w:lang w:eastAsia="cs-CZ"/>
        </w:rPr>
        <w:t>mil.</w:t>
      </w:r>
      <w:r w:rsidR="00714E94">
        <w:rPr>
          <w:rFonts w:cstheme="minorHAnsi"/>
          <w:sz w:val="20"/>
          <w:szCs w:val="20"/>
          <w:lang w:eastAsia="cs-CZ"/>
        </w:rPr>
        <w:t> </w:t>
      </w:r>
      <w:r w:rsidRPr="00AD17B8">
        <w:rPr>
          <w:rFonts w:cstheme="minorHAnsi"/>
          <w:sz w:val="20"/>
          <w:szCs w:val="20"/>
          <w:lang w:eastAsia="cs-CZ"/>
        </w:rPr>
        <w:t>Kč) a součtem zůstatku peněžních prostředků k 31. prosinci 2019, příjmů a výdajů na těchto účtech v roce 2020 (</w:t>
      </w:r>
      <w:r w:rsidR="005654D9" w:rsidRPr="00AD17B8">
        <w:rPr>
          <w:rFonts w:cstheme="minorHAnsi"/>
          <w:sz w:val="20"/>
          <w:szCs w:val="20"/>
          <w:lang w:eastAsia="cs-CZ"/>
        </w:rPr>
        <w:t>úhrnně</w:t>
      </w:r>
      <w:r w:rsidRPr="00AD17B8">
        <w:rPr>
          <w:rFonts w:cstheme="minorHAnsi"/>
          <w:sz w:val="20"/>
          <w:szCs w:val="20"/>
          <w:lang w:eastAsia="cs-CZ"/>
        </w:rPr>
        <w:t xml:space="preserve"> ve výši 16</w:t>
      </w:r>
      <w:r w:rsidR="00714E94">
        <w:rPr>
          <w:rFonts w:cstheme="minorHAnsi"/>
          <w:sz w:val="20"/>
          <w:szCs w:val="20"/>
          <w:lang w:eastAsia="cs-CZ"/>
        </w:rPr>
        <w:t> </w:t>
      </w:r>
      <w:r w:rsidRPr="00AD17B8">
        <w:rPr>
          <w:rFonts w:cstheme="minorHAnsi"/>
          <w:sz w:val="20"/>
          <w:szCs w:val="20"/>
          <w:lang w:eastAsia="cs-CZ"/>
        </w:rPr>
        <w:t>711</w:t>
      </w:r>
      <w:r w:rsidR="00714E94">
        <w:rPr>
          <w:rFonts w:cstheme="minorHAnsi"/>
          <w:sz w:val="20"/>
          <w:szCs w:val="20"/>
          <w:lang w:eastAsia="cs-CZ"/>
        </w:rPr>
        <w:t> </w:t>
      </w:r>
      <w:r w:rsidRPr="00AD17B8">
        <w:rPr>
          <w:rFonts w:cstheme="minorHAnsi"/>
          <w:sz w:val="20"/>
          <w:szCs w:val="20"/>
          <w:lang w:eastAsia="cs-CZ"/>
        </w:rPr>
        <w:t>mil.</w:t>
      </w:r>
      <w:r w:rsidR="00714E94">
        <w:rPr>
          <w:rFonts w:cstheme="minorHAnsi"/>
          <w:sz w:val="20"/>
          <w:szCs w:val="20"/>
          <w:lang w:eastAsia="cs-CZ"/>
        </w:rPr>
        <w:t> </w:t>
      </w:r>
      <w:r w:rsidRPr="00AD17B8">
        <w:rPr>
          <w:rFonts w:cstheme="minorHAnsi"/>
          <w:sz w:val="20"/>
          <w:szCs w:val="20"/>
          <w:lang w:eastAsia="cs-CZ"/>
        </w:rPr>
        <w:t>Kč) došlo z důvodu zaokrouhlení.</w:t>
      </w:r>
    </w:p>
    <w:p w14:paraId="14660894" w14:textId="643A0614" w:rsidR="003F0A07" w:rsidRPr="00CB68DA" w:rsidRDefault="00624106" w:rsidP="00AF1710">
      <w:pPr>
        <w:spacing w:before="120" w:after="120" w:line="240" w:lineRule="auto"/>
        <w:jc w:val="both"/>
        <w:rPr>
          <w:sz w:val="24"/>
          <w:szCs w:val="24"/>
          <w:shd w:val="clear" w:color="auto" w:fill="FFFFFF"/>
        </w:rPr>
      </w:pPr>
      <w:r w:rsidRPr="007B1A3E">
        <w:rPr>
          <w:rFonts w:cstheme="minorHAnsi"/>
          <w:b/>
          <w:sz w:val="24"/>
          <w:szCs w:val="24"/>
          <w:lang w:eastAsia="cs-CZ"/>
        </w:rPr>
        <w:t>NKÚ poukazuje na riziko nedostatku disponibilních prostředků zvláštních účtů privatizace</w:t>
      </w:r>
      <w:r w:rsidR="0092256D" w:rsidRPr="007B1A3E">
        <w:rPr>
          <w:rFonts w:cstheme="minorHAnsi"/>
          <w:b/>
          <w:sz w:val="24"/>
          <w:szCs w:val="24"/>
          <w:lang w:eastAsia="cs-CZ"/>
        </w:rPr>
        <w:t xml:space="preserve"> do</w:t>
      </w:r>
      <w:r w:rsidR="00533FD4">
        <w:rPr>
          <w:rFonts w:cstheme="minorHAnsi"/>
          <w:b/>
          <w:sz w:val="24"/>
          <w:szCs w:val="24"/>
          <w:lang w:eastAsia="cs-CZ"/>
        </w:rPr>
        <w:t xml:space="preserve"> </w:t>
      </w:r>
      <w:r w:rsidR="0092256D" w:rsidRPr="007B1A3E">
        <w:rPr>
          <w:rFonts w:cstheme="minorHAnsi"/>
          <w:b/>
          <w:sz w:val="24"/>
          <w:szCs w:val="24"/>
          <w:lang w:eastAsia="cs-CZ"/>
        </w:rPr>
        <w:t>budoucna</w:t>
      </w:r>
      <w:r w:rsidRPr="007B1A3E">
        <w:rPr>
          <w:rFonts w:cstheme="minorHAnsi"/>
          <w:b/>
          <w:sz w:val="24"/>
          <w:szCs w:val="24"/>
          <w:lang w:eastAsia="cs-CZ"/>
        </w:rPr>
        <w:t>.</w:t>
      </w:r>
      <w:r w:rsidR="008855FB" w:rsidRPr="007B1A3E">
        <w:rPr>
          <w:b/>
          <w:sz w:val="24"/>
          <w:szCs w:val="24"/>
          <w:shd w:val="clear" w:color="auto" w:fill="FFFFFF"/>
        </w:rPr>
        <w:t xml:space="preserve"> Je</w:t>
      </w:r>
      <w:r w:rsidR="008855FB" w:rsidRPr="000346C3">
        <w:rPr>
          <w:b/>
          <w:sz w:val="24"/>
          <w:szCs w:val="24"/>
          <w:shd w:val="clear" w:color="auto" w:fill="FFFFFF"/>
        </w:rPr>
        <w:t xml:space="preserve"> nezbytné zajistit na zvláštních účtech privatizace takový stav peněžních prostředků, který </w:t>
      </w:r>
      <w:r w:rsidR="00892CBA" w:rsidRPr="000346C3">
        <w:rPr>
          <w:b/>
          <w:sz w:val="24"/>
          <w:szCs w:val="24"/>
          <w:shd w:val="clear" w:color="auto" w:fill="FFFFFF"/>
        </w:rPr>
        <w:t>umožní</w:t>
      </w:r>
      <w:r w:rsidR="008855FB" w:rsidRPr="000346C3">
        <w:rPr>
          <w:b/>
          <w:sz w:val="24"/>
          <w:szCs w:val="24"/>
          <w:shd w:val="clear" w:color="auto" w:fill="FFFFFF"/>
        </w:rPr>
        <w:t xml:space="preserve"> urychlení procesu odstraňování SEZ.</w:t>
      </w:r>
    </w:p>
    <w:p w14:paraId="2963CBCA" w14:textId="21080B27" w:rsidR="00225501" w:rsidRPr="00AD17B8" w:rsidRDefault="004D0FA2" w:rsidP="00E605DC">
      <w:pPr>
        <w:keepNext/>
        <w:spacing w:before="240" w:after="120" w:line="240" w:lineRule="auto"/>
        <w:ind w:left="284" w:hanging="284"/>
        <w:rPr>
          <w:b/>
          <w:sz w:val="24"/>
        </w:rPr>
      </w:pPr>
      <w:r>
        <w:rPr>
          <w:b/>
          <w:sz w:val="24"/>
        </w:rPr>
        <w:t xml:space="preserve">5. </w:t>
      </w:r>
      <w:r w:rsidR="00AF1710">
        <w:rPr>
          <w:b/>
          <w:sz w:val="24"/>
        </w:rPr>
        <w:tab/>
      </w:r>
      <w:r w:rsidR="00225501" w:rsidRPr="00AD17B8">
        <w:rPr>
          <w:b/>
          <w:sz w:val="24"/>
        </w:rPr>
        <w:t>Garance státu vyplývající z ekologických smluv nevyjadřují reálnou výši peněžních prostředků potřebných na odstranění zbylých SEZ, MF nedisponuje jejím aktuálním odhadem</w:t>
      </w:r>
    </w:p>
    <w:p w14:paraId="748DDCCC" w14:textId="57255654" w:rsidR="00225501" w:rsidRPr="00C46017" w:rsidRDefault="00225501" w:rsidP="00385177">
      <w:pPr>
        <w:spacing w:before="120" w:after="120" w:line="240" w:lineRule="auto"/>
        <w:jc w:val="both"/>
        <w:rPr>
          <w:sz w:val="24"/>
        </w:rPr>
      </w:pPr>
      <w:r w:rsidRPr="00AD17B8">
        <w:rPr>
          <w:sz w:val="24"/>
          <w:lang w:eastAsia="cs-CZ"/>
        </w:rPr>
        <w:t>Při uzavírání ekologických smluv byla s ohledem na neznalost skutečného rozsahu SEZ na</w:t>
      </w:r>
      <w:r w:rsidR="006B1AF2">
        <w:rPr>
          <w:sz w:val="24"/>
          <w:lang w:eastAsia="cs-CZ"/>
        </w:rPr>
        <w:t xml:space="preserve"> </w:t>
      </w:r>
      <w:r w:rsidRPr="00AD17B8">
        <w:rPr>
          <w:sz w:val="24"/>
          <w:lang w:eastAsia="cs-CZ"/>
        </w:rPr>
        <w:t xml:space="preserve">privatizovaném majetku </w:t>
      </w:r>
      <w:r w:rsidRPr="00CB68DA">
        <w:rPr>
          <w:sz w:val="24"/>
          <w:lang w:eastAsia="cs-CZ"/>
        </w:rPr>
        <w:t>stanoven</w:t>
      </w:r>
      <w:r>
        <w:rPr>
          <w:sz w:val="24"/>
          <w:lang w:eastAsia="cs-CZ"/>
        </w:rPr>
        <w:t>a</w:t>
      </w:r>
      <w:r w:rsidRPr="00CB68DA">
        <w:rPr>
          <w:sz w:val="24"/>
          <w:lang w:eastAsia="cs-CZ"/>
        </w:rPr>
        <w:t xml:space="preserve"> garance </w:t>
      </w:r>
      <w:r>
        <w:rPr>
          <w:sz w:val="24"/>
          <w:lang w:eastAsia="cs-CZ"/>
        </w:rPr>
        <w:t xml:space="preserve">maximálně do </w:t>
      </w:r>
      <w:r w:rsidRPr="00CB68DA">
        <w:rPr>
          <w:sz w:val="24"/>
          <w:lang w:eastAsia="cs-CZ"/>
        </w:rPr>
        <w:t>výš</w:t>
      </w:r>
      <w:r>
        <w:rPr>
          <w:sz w:val="24"/>
          <w:lang w:eastAsia="cs-CZ"/>
        </w:rPr>
        <w:t>e</w:t>
      </w:r>
      <w:r w:rsidRPr="00CB68DA">
        <w:rPr>
          <w:rFonts w:cstheme="minorHAnsi"/>
          <w:sz w:val="24"/>
          <w:szCs w:val="24"/>
          <w:lang w:eastAsia="cs-CZ"/>
        </w:rPr>
        <w:t xml:space="preserve"> kupní ceny privatizovaného majetku nebo </w:t>
      </w:r>
      <w:r>
        <w:rPr>
          <w:rFonts w:cstheme="minorHAnsi"/>
          <w:sz w:val="24"/>
          <w:szCs w:val="24"/>
          <w:lang w:eastAsia="cs-CZ"/>
        </w:rPr>
        <w:t>do</w:t>
      </w:r>
      <w:r w:rsidRPr="00CB68DA">
        <w:rPr>
          <w:rFonts w:cstheme="minorHAnsi"/>
          <w:sz w:val="24"/>
          <w:szCs w:val="24"/>
          <w:lang w:eastAsia="cs-CZ"/>
        </w:rPr>
        <w:t xml:space="preserve"> výš</w:t>
      </w:r>
      <w:r>
        <w:rPr>
          <w:rFonts w:cstheme="minorHAnsi"/>
          <w:sz w:val="24"/>
          <w:szCs w:val="24"/>
          <w:lang w:eastAsia="cs-CZ"/>
        </w:rPr>
        <w:t>e</w:t>
      </w:r>
      <w:r w:rsidRPr="00CB68DA">
        <w:rPr>
          <w:rFonts w:cstheme="minorHAnsi"/>
          <w:sz w:val="24"/>
          <w:szCs w:val="24"/>
          <w:lang w:eastAsia="cs-CZ"/>
        </w:rPr>
        <w:t xml:space="preserve"> základního jmění společnosti.</w:t>
      </w:r>
      <w:r w:rsidRPr="00CB68DA">
        <w:rPr>
          <w:sz w:val="24"/>
          <w:lang w:eastAsia="cs-CZ"/>
        </w:rPr>
        <w:t xml:space="preserve"> Na základě Zásad schválených vládou v roce 2001 mělo dojít ke</w:t>
      </w:r>
      <w:r w:rsidR="006B1AF2">
        <w:rPr>
          <w:sz w:val="24"/>
          <w:lang w:eastAsia="cs-CZ"/>
        </w:rPr>
        <w:t xml:space="preserve"> </w:t>
      </w:r>
      <w:r w:rsidRPr="00CB68DA">
        <w:rPr>
          <w:sz w:val="24"/>
          <w:lang w:eastAsia="cs-CZ"/>
        </w:rPr>
        <w:t xml:space="preserve">zreálnění výše poskytnutých garancí na úroveň předpokládaných nákladů na celý sanační zásah vč. započítání 30% rezervy. K tomu však došlo jen v ojedinělých případech. Důvodem byla neochota nabyvatelů uzavřít dodatek k ekologické smlouvě s upravenou výší garance. </w:t>
      </w:r>
      <w:r w:rsidRPr="00CB68DA">
        <w:rPr>
          <w:sz w:val="24"/>
        </w:rPr>
        <w:t xml:space="preserve">Rozdíly v čerpání poskytnutých garancí </w:t>
      </w:r>
      <w:r>
        <w:rPr>
          <w:sz w:val="24"/>
        </w:rPr>
        <w:t>byly</w:t>
      </w:r>
      <w:r w:rsidRPr="00CB68DA">
        <w:rPr>
          <w:sz w:val="24"/>
        </w:rPr>
        <w:t xml:space="preserve"> přitom značné. Zatímco na odstranění SEZ u některých ekologických smluv postačovalo méně než 5 % poskytnuté garance, v některých případech to bylo více než 95 %, případně poskytnutá garance na odstranění SEZ nepostačovala. </w:t>
      </w:r>
      <w:r w:rsidRPr="00C46017">
        <w:rPr>
          <w:b/>
          <w:sz w:val="24"/>
          <w:szCs w:val="24"/>
          <w:lang w:eastAsia="cs-CZ"/>
        </w:rPr>
        <w:t>V</w:t>
      </w:r>
      <w:r w:rsidRPr="00C46017">
        <w:rPr>
          <w:b/>
          <w:sz w:val="24"/>
          <w:szCs w:val="24"/>
        </w:rPr>
        <w:t xml:space="preserve">ýše garancí, o kterých MF každoročně v letech 2018 až 2023 informovalo vládu, </w:t>
      </w:r>
      <w:r>
        <w:rPr>
          <w:b/>
          <w:sz w:val="24"/>
          <w:szCs w:val="24"/>
        </w:rPr>
        <w:t xml:space="preserve">stále </w:t>
      </w:r>
      <w:r w:rsidRPr="00C46017">
        <w:rPr>
          <w:b/>
          <w:sz w:val="24"/>
          <w:szCs w:val="24"/>
        </w:rPr>
        <w:t>nevyjadřovala reálnou potřebu peněžních prostředků na</w:t>
      </w:r>
      <w:r w:rsidR="006B1AF2">
        <w:rPr>
          <w:b/>
          <w:sz w:val="24"/>
          <w:szCs w:val="24"/>
        </w:rPr>
        <w:t xml:space="preserve"> </w:t>
      </w:r>
      <w:r w:rsidRPr="00C46017">
        <w:rPr>
          <w:b/>
          <w:sz w:val="24"/>
          <w:szCs w:val="24"/>
        </w:rPr>
        <w:t>odstranění zbylých SEZ.</w:t>
      </w:r>
      <w:r>
        <w:rPr>
          <w:b/>
          <w:sz w:val="24"/>
          <w:szCs w:val="24"/>
        </w:rPr>
        <w:t xml:space="preserve"> </w:t>
      </w:r>
    </w:p>
    <w:p w14:paraId="015C64D7" w14:textId="7980D996" w:rsidR="00225501" w:rsidRPr="00C46017" w:rsidRDefault="00225501" w:rsidP="00385177">
      <w:pPr>
        <w:spacing w:before="120" w:after="120" w:line="240" w:lineRule="auto"/>
        <w:jc w:val="both"/>
        <w:rPr>
          <w:sz w:val="24"/>
        </w:rPr>
      </w:pPr>
      <w:r w:rsidRPr="00C46017">
        <w:rPr>
          <w:sz w:val="24"/>
        </w:rPr>
        <w:t>Na odstranění SEZ stát vynaložil ke dni 30. dubna 2023 již 66,2 mld. Kč.</w:t>
      </w:r>
      <w:r>
        <w:rPr>
          <w:rFonts w:cstheme="minorHAnsi"/>
          <w:lang w:eastAsia="cs-CZ"/>
        </w:rPr>
        <w:t xml:space="preserve"> </w:t>
      </w:r>
      <w:r w:rsidRPr="00CB68DA">
        <w:rPr>
          <w:sz w:val="24"/>
        </w:rPr>
        <w:t xml:space="preserve">V lednu 2023 MF odhadovalo, že na dokončení odstranění zbylých SEZ bude potřeba vynaložit z peněžních prostředků zvláštních účtů privatizace 25 až 30 mld. Kč. Při tomto vyčíslení MF vycházelo z odhadů, které byly počátkem roku 2023 již více než 10 let staré. Do odhadu nezahrnulo DPH, nezohlednilo nárůst cenové hladiny v ekonomice za posledních 10 let ani budoucí očekávanou míru inflace. MF pouze odečetlo výdaje vynaložené na odstraňování SEZ v meziobdobí </w:t>
      </w:r>
      <w:r>
        <w:rPr>
          <w:sz w:val="24"/>
        </w:rPr>
        <w:t xml:space="preserve">od ledna </w:t>
      </w:r>
      <w:r w:rsidRPr="00CB68DA">
        <w:rPr>
          <w:sz w:val="24"/>
        </w:rPr>
        <w:t xml:space="preserve">2012 </w:t>
      </w:r>
      <w:r>
        <w:rPr>
          <w:sz w:val="24"/>
        </w:rPr>
        <w:t>do ledna</w:t>
      </w:r>
      <w:r w:rsidRPr="00CB68DA">
        <w:rPr>
          <w:sz w:val="24"/>
        </w:rPr>
        <w:t xml:space="preserve"> </w:t>
      </w:r>
      <w:r w:rsidRPr="00C46017">
        <w:rPr>
          <w:sz w:val="24"/>
        </w:rPr>
        <w:t xml:space="preserve">2023. Přesto MF předpokládalo, že odhad ve výši 25 až 30 mld. Kč byl stále platný. Přitom např. ve srovnání s průměrem roku 2015 byly dle údajů ČSÚ ceny stavebních prací a děl ve čtvrtém čtvrtletí roku 2022 vyšší o 40,7 %. Ve druhém čtvrtletí roku 2023 pak došlo k dalšímu nárůstu cen stavebních prací a děl o další </w:t>
      </w:r>
      <w:r>
        <w:rPr>
          <w:sz w:val="24"/>
        </w:rPr>
        <w:t>tři</w:t>
      </w:r>
      <w:r w:rsidRPr="00C46017">
        <w:rPr>
          <w:sz w:val="24"/>
        </w:rPr>
        <w:t xml:space="preserve"> procentní body, tj</w:t>
      </w:r>
      <w:r w:rsidRPr="008A5CF1">
        <w:rPr>
          <w:sz w:val="24"/>
        </w:rPr>
        <w:t>. k nárůstu o 43,7</w:t>
      </w:r>
      <w:r w:rsidRPr="00C46017">
        <w:rPr>
          <w:sz w:val="24"/>
        </w:rPr>
        <w:t xml:space="preserve"> % oproti roku 2015. </w:t>
      </w:r>
      <w:r w:rsidRPr="00C46017">
        <w:rPr>
          <w:b/>
          <w:sz w:val="24"/>
        </w:rPr>
        <w:t xml:space="preserve">Již v roce 2017 NKÚ upozornil, že MF nezajistilo ucelený aktuální odhad peněžních prostředků potřebných na odstranění zbylých </w:t>
      </w:r>
      <w:r>
        <w:rPr>
          <w:b/>
          <w:sz w:val="24"/>
        </w:rPr>
        <w:t>SEZ</w:t>
      </w:r>
      <w:r w:rsidR="00FB54CF">
        <w:rPr>
          <w:b/>
          <w:sz w:val="24"/>
        </w:rPr>
        <w:t>,</w:t>
      </w:r>
      <w:r w:rsidRPr="00C46017">
        <w:rPr>
          <w:b/>
          <w:sz w:val="24"/>
        </w:rPr>
        <w:t xml:space="preserve"> a toto zjištění přetrvávalo i v kontrolovaném období let 2018 až 2022. </w:t>
      </w:r>
    </w:p>
    <w:p w14:paraId="509540C8" w14:textId="123C6214" w:rsidR="00837226" w:rsidRPr="00FB54CF" w:rsidRDefault="00624106" w:rsidP="002C6DF0">
      <w:pPr>
        <w:keepNext/>
        <w:autoSpaceDE w:val="0"/>
        <w:autoSpaceDN w:val="0"/>
        <w:adjustRightInd w:val="0"/>
        <w:spacing w:before="600" w:after="120" w:line="240" w:lineRule="auto"/>
        <w:rPr>
          <w:rFonts w:ascii="Calibri" w:hAnsi="Calibri" w:cs="Calibri"/>
          <w:sz w:val="24"/>
          <w:szCs w:val="24"/>
        </w:rPr>
      </w:pPr>
      <w:r w:rsidRPr="00FB54CF">
        <w:rPr>
          <w:rFonts w:ascii="Calibri" w:hAnsi="Calibri" w:cs="Calibri"/>
          <w:b/>
          <w:sz w:val="24"/>
          <w:szCs w:val="24"/>
        </w:rPr>
        <w:t>Seznam zkratek</w:t>
      </w:r>
    </w:p>
    <w:p w14:paraId="08E306BD" w14:textId="77777777" w:rsidR="00385177" w:rsidRPr="00FB54CF" w:rsidRDefault="00385177" w:rsidP="00FB54CF">
      <w:pPr>
        <w:keepNext/>
        <w:spacing w:after="120" w:line="240" w:lineRule="auto"/>
        <w:ind w:left="2552" w:hanging="2552"/>
        <w:rPr>
          <w:rFonts w:ascii="Calibri" w:hAnsi="Calibri" w:cs="Calibri"/>
          <w:sz w:val="24"/>
          <w:szCs w:val="24"/>
        </w:rPr>
      </w:pPr>
      <w:r w:rsidRPr="00FB54CF">
        <w:rPr>
          <w:rFonts w:ascii="Calibri" w:hAnsi="Calibri" w:cs="Calibri"/>
          <w:sz w:val="24"/>
          <w:szCs w:val="24"/>
        </w:rPr>
        <w:t>ČIŽP</w:t>
      </w:r>
      <w:r w:rsidRPr="00FB54CF">
        <w:rPr>
          <w:rFonts w:ascii="Calibri" w:hAnsi="Calibri" w:cs="Calibri"/>
          <w:sz w:val="24"/>
          <w:szCs w:val="24"/>
        </w:rPr>
        <w:tab/>
        <w:t>Česká inspekce životního prostředí</w:t>
      </w:r>
    </w:p>
    <w:p w14:paraId="08862395" w14:textId="77777777" w:rsidR="00385177" w:rsidRPr="00FB54CF" w:rsidRDefault="00385177" w:rsidP="00FB54CF">
      <w:pPr>
        <w:keepNext/>
        <w:spacing w:after="120" w:line="240" w:lineRule="auto"/>
        <w:ind w:left="2552" w:hanging="2552"/>
        <w:rPr>
          <w:rFonts w:ascii="Calibri" w:hAnsi="Calibri" w:cs="Calibri"/>
          <w:sz w:val="24"/>
          <w:szCs w:val="24"/>
        </w:rPr>
      </w:pPr>
      <w:r w:rsidRPr="00FB54CF">
        <w:rPr>
          <w:rFonts w:ascii="Calibri" w:hAnsi="Calibri" w:cs="Calibri"/>
          <w:sz w:val="24"/>
          <w:szCs w:val="24"/>
        </w:rPr>
        <w:t>ČSÚ</w:t>
      </w:r>
      <w:r w:rsidRPr="00FB54CF">
        <w:rPr>
          <w:rFonts w:ascii="Calibri" w:hAnsi="Calibri" w:cs="Calibri"/>
          <w:sz w:val="24"/>
          <w:szCs w:val="24"/>
        </w:rPr>
        <w:tab/>
        <w:t>Český statistický úřad</w:t>
      </w:r>
    </w:p>
    <w:p w14:paraId="1D0FB0F8" w14:textId="77777777" w:rsidR="00385177" w:rsidRPr="00FB54CF" w:rsidRDefault="00385177" w:rsidP="00FB54CF">
      <w:pPr>
        <w:keepNext/>
        <w:tabs>
          <w:tab w:val="left" w:pos="3047"/>
        </w:tabs>
        <w:spacing w:after="120" w:line="240" w:lineRule="auto"/>
        <w:ind w:left="2552" w:hanging="2552"/>
        <w:rPr>
          <w:rFonts w:ascii="Calibri" w:hAnsi="Calibri" w:cs="Calibri"/>
          <w:sz w:val="24"/>
          <w:szCs w:val="24"/>
        </w:rPr>
      </w:pPr>
      <w:r w:rsidRPr="00FB54CF">
        <w:rPr>
          <w:rFonts w:ascii="Calibri" w:hAnsi="Calibri" w:cs="Calibri"/>
          <w:sz w:val="24"/>
          <w:szCs w:val="24"/>
        </w:rPr>
        <w:t>MF</w:t>
      </w:r>
      <w:r w:rsidRPr="00FB54CF">
        <w:rPr>
          <w:rFonts w:ascii="Calibri" w:hAnsi="Calibri" w:cs="Calibri"/>
          <w:sz w:val="24"/>
          <w:szCs w:val="24"/>
        </w:rPr>
        <w:tab/>
        <w:t>Ministerstvo financí</w:t>
      </w:r>
    </w:p>
    <w:p w14:paraId="7E04E984" w14:textId="77777777" w:rsidR="00385177" w:rsidRPr="00FB54CF" w:rsidRDefault="00385177" w:rsidP="00FB54CF">
      <w:pPr>
        <w:keepNext/>
        <w:tabs>
          <w:tab w:val="left" w:pos="3047"/>
        </w:tabs>
        <w:spacing w:after="120" w:line="240" w:lineRule="auto"/>
        <w:ind w:left="2552" w:hanging="2552"/>
        <w:rPr>
          <w:rFonts w:ascii="Calibri" w:hAnsi="Calibri" w:cs="Calibri"/>
          <w:sz w:val="24"/>
          <w:szCs w:val="24"/>
        </w:rPr>
      </w:pPr>
      <w:r w:rsidRPr="00FB54CF">
        <w:rPr>
          <w:rFonts w:ascii="Calibri" w:hAnsi="Calibri" w:cs="Calibri"/>
          <w:sz w:val="24"/>
          <w:szCs w:val="24"/>
        </w:rPr>
        <w:t>MŽP</w:t>
      </w:r>
      <w:r w:rsidRPr="00FB54CF">
        <w:rPr>
          <w:rFonts w:ascii="Calibri" w:hAnsi="Calibri" w:cs="Calibri"/>
          <w:sz w:val="24"/>
          <w:szCs w:val="24"/>
        </w:rPr>
        <w:tab/>
        <w:t>Ministerstvo životního prostředí</w:t>
      </w:r>
    </w:p>
    <w:p w14:paraId="1D7F5B7A" w14:textId="77777777" w:rsidR="00385177" w:rsidRPr="00FB54CF" w:rsidRDefault="00385177" w:rsidP="00FB54CF">
      <w:pPr>
        <w:keepNext/>
        <w:tabs>
          <w:tab w:val="left" w:pos="3047"/>
        </w:tabs>
        <w:spacing w:after="120" w:line="240" w:lineRule="auto"/>
        <w:ind w:left="2552" w:hanging="2552"/>
        <w:rPr>
          <w:rFonts w:ascii="Calibri" w:hAnsi="Calibri" w:cs="Calibri"/>
          <w:sz w:val="24"/>
          <w:szCs w:val="24"/>
        </w:rPr>
      </w:pPr>
      <w:r w:rsidRPr="00FB54CF">
        <w:rPr>
          <w:rFonts w:ascii="Calibri" w:hAnsi="Calibri" w:cs="Calibri"/>
          <w:sz w:val="24"/>
          <w:szCs w:val="24"/>
        </w:rPr>
        <w:t>nabyvatelé</w:t>
      </w:r>
      <w:r w:rsidRPr="00FB54CF">
        <w:rPr>
          <w:rFonts w:ascii="Calibri" w:hAnsi="Calibri" w:cs="Calibri"/>
          <w:sz w:val="24"/>
          <w:szCs w:val="24"/>
        </w:rPr>
        <w:tab/>
      </w:r>
      <w:proofErr w:type="spellStart"/>
      <w:r w:rsidRPr="00FB54CF">
        <w:rPr>
          <w:rFonts w:ascii="Calibri" w:hAnsi="Calibri" w:cs="Calibri"/>
          <w:sz w:val="24"/>
          <w:szCs w:val="24"/>
        </w:rPr>
        <w:t>nabyvatelé</w:t>
      </w:r>
      <w:proofErr w:type="spellEnd"/>
      <w:r w:rsidRPr="00FB54CF">
        <w:rPr>
          <w:rFonts w:ascii="Calibri" w:hAnsi="Calibri" w:cs="Calibri"/>
          <w:sz w:val="24"/>
          <w:szCs w:val="24"/>
        </w:rPr>
        <w:t xml:space="preserve"> privatizovaného majetku nebo jejich právní nástupci</w:t>
      </w:r>
    </w:p>
    <w:p w14:paraId="39E507CD" w14:textId="77777777" w:rsidR="00385177" w:rsidRPr="00FB54CF" w:rsidRDefault="00385177" w:rsidP="00FB54CF">
      <w:pPr>
        <w:keepNext/>
        <w:tabs>
          <w:tab w:val="left" w:pos="3047"/>
        </w:tabs>
        <w:spacing w:after="120" w:line="240" w:lineRule="auto"/>
        <w:ind w:left="2552" w:hanging="2552"/>
        <w:rPr>
          <w:rFonts w:ascii="Calibri" w:hAnsi="Calibri" w:cs="Calibri"/>
          <w:sz w:val="24"/>
          <w:szCs w:val="24"/>
        </w:rPr>
      </w:pPr>
      <w:r w:rsidRPr="00FB54CF">
        <w:rPr>
          <w:rFonts w:ascii="Calibri" w:hAnsi="Calibri" w:cs="Calibri"/>
          <w:sz w:val="24"/>
          <w:szCs w:val="24"/>
        </w:rPr>
        <w:t>NKÚ</w:t>
      </w:r>
      <w:r w:rsidRPr="00FB54CF">
        <w:rPr>
          <w:rFonts w:ascii="Calibri" w:hAnsi="Calibri" w:cs="Calibri"/>
          <w:sz w:val="24"/>
          <w:szCs w:val="24"/>
        </w:rPr>
        <w:tab/>
        <w:t>Nejvyšší kontrolní úřad</w:t>
      </w:r>
    </w:p>
    <w:p w14:paraId="22690AF5" w14:textId="77777777" w:rsidR="00385177" w:rsidRPr="00FB54CF" w:rsidRDefault="00385177" w:rsidP="00FB54CF">
      <w:pPr>
        <w:keepNext/>
        <w:tabs>
          <w:tab w:val="left" w:pos="3047"/>
        </w:tabs>
        <w:spacing w:after="120" w:line="240" w:lineRule="auto"/>
        <w:ind w:left="2552" w:hanging="2552"/>
        <w:rPr>
          <w:rFonts w:ascii="Calibri" w:hAnsi="Calibri" w:cs="Calibri"/>
          <w:sz w:val="24"/>
          <w:szCs w:val="24"/>
        </w:rPr>
      </w:pPr>
      <w:r w:rsidRPr="00FB54CF">
        <w:rPr>
          <w:rFonts w:ascii="Calibri" w:hAnsi="Calibri" w:cs="Calibri"/>
          <w:sz w:val="24"/>
          <w:szCs w:val="24"/>
        </w:rPr>
        <w:t>SEZ</w:t>
      </w:r>
      <w:r w:rsidRPr="00FB54CF">
        <w:rPr>
          <w:rFonts w:ascii="Calibri" w:hAnsi="Calibri" w:cs="Calibri"/>
          <w:sz w:val="24"/>
          <w:szCs w:val="24"/>
        </w:rPr>
        <w:tab/>
        <w:t>staré ekologické zátěže vzniklé před privatizací</w:t>
      </w:r>
    </w:p>
    <w:p w14:paraId="32D6176C" w14:textId="318B66AB" w:rsidR="00385177" w:rsidRPr="00FB54CF" w:rsidRDefault="00385177" w:rsidP="00FB54CF">
      <w:pPr>
        <w:keepNext/>
        <w:tabs>
          <w:tab w:val="left" w:pos="3047"/>
        </w:tabs>
        <w:spacing w:after="120" w:line="240" w:lineRule="auto"/>
        <w:ind w:left="2552" w:hanging="2552"/>
        <w:rPr>
          <w:rFonts w:ascii="Calibri" w:hAnsi="Calibri" w:cs="Calibri"/>
          <w:sz w:val="24"/>
          <w:szCs w:val="24"/>
        </w:rPr>
      </w:pPr>
      <w:r w:rsidRPr="00FB54CF">
        <w:rPr>
          <w:rFonts w:ascii="Calibri" w:hAnsi="Calibri" w:cs="Calibri"/>
          <w:sz w:val="24"/>
          <w:szCs w:val="24"/>
        </w:rPr>
        <w:t>Zásady</w:t>
      </w:r>
      <w:r w:rsidRPr="00FB54CF">
        <w:rPr>
          <w:rFonts w:ascii="Calibri" w:hAnsi="Calibri" w:cs="Calibri"/>
          <w:sz w:val="24"/>
          <w:szCs w:val="24"/>
        </w:rPr>
        <w:tab/>
      </w:r>
      <w:proofErr w:type="spellStart"/>
      <w:r w:rsidR="00C46AFC" w:rsidRPr="00FB54CF">
        <w:rPr>
          <w:rFonts w:ascii="Calibri" w:hAnsi="Calibri" w:cs="Calibri"/>
          <w:sz w:val="24"/>
          <w:szCs w:val="24"/>
        </w:rPr>
        <w:t>z</w:t>
      </w:r>
      <w:r w:rsidRPr="00FB54CF">
        <w:rPr>
          <w:rFonts w:ascii="Calibri" w:hAnsi="Calibri" w:cs="Calibri"/>
          <w:sz w:val="24"/>
          <w:szCs w:val="24"/>
        </w:rPr>
        <w:t>ásady</w:t>
      </w:r>
      <w:proofErr w:type="spellEnd"/>
      <w:r w:rsidRPr="00FB54CF">
        <w:rPr>
          <w:rFonts w:ascii="Calibri" w:hAnsi="Calibri" w:cs="Calibri"/>
          <w:sz w:val="24"/>
          <w:szCs w:val="24"/>
        </w:rPr>
        <w:t xml:space="preserve"> vypořádání ekologických závazků vzniklých před privatizací</w:t>
      </w:r>
    </w:p>
    <w:p w14:paraId="5A4D4979" w14:textId="5F284CFF" w:rsidR="00837226" w:rsidRPr="00FB54CF" w:rsidRDefault="00385177" w:rsidP="00FB54CF">
      <w:pPr>
        <w:keepNext/>
        <w:tabs>
          <w:tab w:val="left" w:pos="3047"/>
        </w:tabs>
        <w:spacing w:after="120" w:line="240" w:lineRule="auto"/>
        <w:ind w:left="2552" w:hanging="2552"/>
        <w:rPr>
          <w:rFonts w:ascii="Calibri" w:hAnsi="Calibri" w:cs="Calibri"/>
          <w:sz w:val="24"/>
          <w:szCs w:val="24"/>
          <w:lang w:eastAsia="cs-CZ"/>
        </w:rPr>
      </w:pPr>
      <w:r w:rsidRPr="00FB54CF">
        <w:rPr>
          <w:rFonts w:ascii="Calibri" w:hAnsi="Calibri" w:cs="Calibri"/>
          <w:sz w:val="24"/>
          <w:szCs w:val="24"/>
        </w:rPr>
        <w:t>zvláštní účty privatizace</w:t>
      </w:r>
      <w:r w:rsidRPr="00FB54CF">
        <w:rPr>
          <w:rFonts w:ascii="Calibri" w:hAnsi="Calibri" w:cs="Calibri"/>
          <w:sz w:val="24"/>
          <w:szCs w:val="24"/>
        </w:rPr>
        <w:tab/>
      </w:r>
      <w:r w:rsidRPr="00FB54CF">
        <w:rPr>
          <w:rFonts w:ascii="Calibri" w:hAnsi="Calibri" w:cs="Calibri"/>
          <w:sz w:val="24"/>
          <w:szCs w:val="24"/>
          <w:lang w:eastAsia="cs-CZ"/>
        </w:rPr>
        <w:t>peněžní prostředky vedené na zvláštních účtech MF dle zákona č. 178/2005 Sb.</w:t>
      </w:r>
    </w:p>
    <w:p w14:paraId="281EB611" w14:textId="77777777" w:rsidR="00FB54CF" w:rsidRPr="00C31C18" w:rsidRDefault="00FB54CF" w:rsidP="00FB54CF">
      <w:pPr>
        <w:tabs>
          <w:tab w:val="left" w:pos="3047"/>
        </w:tabs>
        <w:spacing w:after="80" w:line="240" w:lineRule="auto"/>
        <w:ind w:left="2552" w:hanging="2552"/>
        <w:rPr>
          <w:rFonts w:cstheme="minorHAnsi"/>
          <w:sz w:val="24"/>
          <w:szCs w:val="24"/>
        </w:rPr>
      </w:pPr>
    </w:p>
    <w:sectPr w:rsidR="00FB54CF" w:rsidRPr="00C31C18" w:rsidSect="00C830F9">
      <w:footerReference w:type="first" r:id="rId17"/>
      <w:pgSz w:w="11906" w:h="16838"/>
      <w:pgMar w:top="1418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93550" w14:textId="77777777" w:rsidR="006B1AF2" w:rsidRDefault="006B1AF2">
      <w:pPr>
        <w:spacing w:after="0" w:line="240" w:lineRule="auto"/>
      </w:pPr>
      <w:r>
        <w:separator/>
      </w:r>
    </w:p>
  </w:endnote>
  <w:endnote w:type="continuationSeparator" w:id="0">
    <w:p w14:paraId="1086FE53" w14:textId="77777777" w:rsidR="006B1AF2" w:rsidRDefault="006B1AF2">
      <w:pPr>
        <w:spacing w:after="0" w:line="240" w:lineRule="auto"/>
      </w:pPr>
      <w:r>
        <w:continuationSeparator/>
      </w:r>
    </w:p>
  </w:endnote>
  <w:endnote w:type="continuationNotice" w:id="1">
    <w:p w14:paraId="19D25016" w14:textId="77777777" w:rsidR="00023321" w:rsidRDefault="000233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5348657"/>
      <w:docPartObj>
        <w:docPartGallery w:val="Page Numbers (Bottom of Page)"/>
        <w:docPartUnique/>
      </w:docPartObj>
    </w:sdtPr>
    <w:sdtEndPr/>
    <w:sdtContent>
      <w:p w14:paraId="53BCDA01" w14:textId="77777777" w:rsidR="006B1AF2" w:rsidRDefault="006B1AF2" w:rsidP="0012538D">
        <w:pPr>
          <w:pStyle w:val="Zpat"/>
          <w:jc w:val="center"/>
        </w:pPr>
        <w:r w:rsidRPr="00464D52">
          <w:rPr>
            <w:sz w:val="24"/>
            <w:szCs w:val="24"/>
          </w:rPr>
          <w:fldChar w:fldCharType="begin"/>
        </w:r>
        <w:r w:rsidRPr="00464D52">
          <w:rPr>
            <w:sz w:val="24"/>
            <w:szCs w:val="24"/>
          </w:rPr>
          <w:instrText>PAGE   \* MERGEFORMAT</w:instrText>
        </w:r>
        <w:r w:rsidRPr="00464D5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18</w:t>
        </w:r>
        <w:r w:rsidRPr="00464D52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C2F49" w14:textId="37569EA0" w:rsidR="006B1AF2" w:rsidRPr="004E177B" w:rsidRDefault="006B1AF2" w:rsidP="004E177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630890"/>
      <w:docPartObj>
        <w:docPartGallery w:val="Page Numbers (Bottom of Page)"/>
        <w:docPartUnique/>
      </w:docPartObj>
    </w:sdtPr>
    <w:sdtEndPr/>
    <w:sdtContent>
      <w:p w14:paraId="1C6F3DD1" w14:textId="77777777" w:rsidR="006B1AF2" w:rsidRPr="004E177B" w:rsidRDefault="006B1AF2" w:rsidP="004E177B">
        <w:pPr>
          <w:pStyle w:val="Zpat"/>
          <w:jc w:val="center"/>
        </w:pPr>
        <w:r w:rsidRPr="00464D52">
          <w:rPr>
            <w:sz w:val="24"/>
            <w:szCs w:val="24"/>
          </w:rPr>
          <w:fldChar w:fldCharType="begin"/>
        </w:r>
        <w:r w:rsidRPr="00464D52">
          <w:rPr>
            <w:sz w:val="24"/>
            <w:szCs w:val="24"/>
          </w:rPr>
          <w:instrText>PAGE   \* MERGEFORMAT</w:instrText>
        </w:r>
        <w:r w:rsidRPr="00464D52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 w:rsidRPr="00464D5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E5EFF" w14:textId="77777777" w:rsidR="006B1AF2" w:rsidRDefault="006B1AF2" w:rsidP="001E1138">
      <w:pPr>
        <w:spacing w:after="0" w:line="240" w:lineRule="auto"/>
      </w:pPr>
      <w:r>
        <w:separator/>
      </w:r>
    </w:p>
  </w:footnote>
  <w:footnote w:type="continuationSeparator" w:id="0">
    <w:p w14:paraId="46F47AC8" w14:textId="77777777" w:rsidR="006B1AF2" w:rsidRDefault="006B1AF2" w:rsidP="001E1138">
      <w:pPr>
        <w:spacing w:after="0" w:line="240" w:lineRule="auto"/>
      </w:pPr>
      <w:r>
        <w:continuationSeparator/>
      </w:r>
    </w:p>
  </w:footnote>
  <w:footnote w:type="continuationNotice" w:id="1">
    <w:p w14:paraId="1E5B8CB6" w14:textId="77777777" w:rsidR="00023321" w:rsidRDefault="00023321">
      <w:pPr>
        <w:spacing w:after="0" w:line="240" w:lineRule="auto"/>
      </w:pPr>
    </w:p>
  </w:footnote>
  <w:footnote w:id="2">
    <w:p w14:paraId="7C8BA591" w14:textId="77777777" w:rsidR="006B1AF2" w:rsidRPr="00AD17B8" w:rsidRDefault="006B1AF2" w:rsidP="00193DA7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AD17B8">
        <w:rPr>
          <w:rFonts w:cstheme="minorHAnsi"/>
        </w:rPr>
        <w:t>Ochranné sanační čerpání je nápravné opatření uložené Českou inspekcí životního prostředí za účelem zabránění šíření kontaminace podzemními vodami mimo kontaminované území do doby odstranění zdroje kontaminace. Má povahu dočasného řešení</w:t>
      </w:r>
      <w:r w:rsidRPr="00AD17B8">
        <w:rPr>
          <w:rFonts w:cstheme="minorHAnsi"/>
          <w:i/>
        </w:rPr>
        <w:t>.</w:t>
      </w:r>
    </w:p>
  </w:footnote>
  <w:footnote w:id="3">
    <w:p w14:paraId="145BAA4F" w14:textId="77777777" w:rsidR="006B1AF2" w:rsidRPr="00AD17B8" w:rsidRDefault="006B1AF2" w:rsidP="00193DA7">
      <w:pPr>
        <w:pStyle w:val="Textpoznpodarou"/>
        <w:ind w:left="284" w:hanging="284"/>
        <w:jc w:val="both"/>
      </w:pPr>
      <w:r w:rsidRPr="00AD17B8">
        <w:rPr>
          <w:rStyle w:val="Znakapoznpodarou"/>
        </w:rPr>
        <w:footnoteRef/>
      </w:r>
      <w:r w:rsidRPr="00AD17B8">
        <w:t xml:space="preserve"> </w:t>
      </w:r>
      <w:r w:rsidRPr="00AD17B8">
        <w:tab/>
      </w:r>
      <w:r w:rsidRPr="00AD17B8">
        <w:rPr>
          <w:rFonts w:cstheme="minorHAnsi"/>
        </w:rPr>
        <w:t xml:space="preserve">Usnesení vlády České republiky ze dne 4. září 2017 č. 610, </w:t>
      </w:r>
      <w:r w:rsidRPr="00052C41">
        <w:rPr>
          <w:rFonts w:cstheme="minorHAnsi"/>
          <w:i/>
        </w:rPr>
        <w:t>ke Koncepci stabilizace finančního stavu zvláštních účtů privatizace</w:t>
      </w:r>
      <w:r w:rsidRPr="00AD17B8">
        <w:rPr>
          <w:rFonts w:cstheme="minorHAnsi"/>
        </w:rPr>
        <w:t xml:space="preserve">. </w:t>
      </w:r>
    </w:p>
  </w:footnote>
  <w:footnote w:id="4">
    <w:p w14:paraId="1BA14B47" w14:textId="77777777" w:rsidR="006B1AF2" w:rsidRPr="00AD17B8" w:rsidRDefault="006B1AF2" w:rsidP="00193DA7">
      <w:pPr>
        <w:pStyle w:val="Textpoznpodarou"/>
        <w:ind w:left="284" w:hanging="284"/>
        <w:jc w:val="both"/>
      </w:pPr>
      <w:r w:rsidRPr="00AD17B8">
        <w:rPr>
          <w:rStyle w:val="Znakapoznpodarou"/>
        </w:rPr>
        <w:footnoteRef/>
      </w:r>
      <w:r w:rsidRPr="00AD17B8">
        <w:t xml:space="preserve"> </w:t>
      </w:r>
      <w:r w:rsidRPr="00AD17B8">
        <w:tab/>
        <w:t xml:space="preserve">Ekologické smlouvy, u nichž k datu 30. dubna 2023 nedošlo k ukončení ekologických závazků státu, tj. ekologická smlouva byla účinná. </w:t>
      </w:r>
    </w:p>
  </w:footnote>
  <w:footnote w:id="5">
    <w:p w14:paraId="15D1AD93" w14:textId="731B15BF" w:rsidR="006B1AF2" w:rsidRPr="00AD17B8" w:rsidRDefault="006B1AF2" w:rsidP="00193DA7">
      <w:pPr>
        <w:pStyle w:val="Textpoznpodarou"/>
        <w:ind w:left="284" w:hanging="284"/>
        <w:jc w:val="both"/>
      </w:pPr>
      <w:r w:rsidRPr="00AD17B8">
        <w:rPr>
          <w:rStyle w:val="Znakapoznpodarou"/>
        </w:rPr>
        <w:footnoteRef/>
      </w:r>
      <w:r w:rsidRPr="00AD17B8">
        <w:t xml:space="preserve"> </w:t>
      </w:r>
      <w:r w:rsidRPr="00AD17B8">
        <w:tab/>
        <w:t>NKÚ vychází z písemného sdělení MF, ve kterém odhadlo dobu potřebnou k dokončení procesu</w:t>
      </w:r>
      <w:r>
        <w:t xml:space="preserve"> </w:t>
      </w:r>
      <w:r w:rsidRPr="00AD17B8">
        <w:t>zadávání veřejných zakázek a časovou náročnost sanací.</w:t>
      </w:r>
    </w:p>
  </w:footnote>
  <w:footnote w:id="6">
    <w:p w14:paraId="27FC9E85" w14:textId="43E17A45" w:rsidR="006B1AF2" w:rsidRPr="00193DA7" w:rsidRDefault="006B1AF2" w:rsidP="00193DA7">
      <w:pPr>
        <w:pStyle w:val="Textpoznpodarou"/>
        <w:ind w:left="284" w:hanging="284"/>
        <w:jc w:val="both"/>
        <w:rPr>
          <w:rFonts w:ascii="Calibri" w:hAnsi="Calibri" w:cs="Calibri"/>
          <w:lang w:eastAsia="cs-CZ"/>
        </w:rPr>
      </w:pPr>
      <w:r w:rsidRPr="00AD17B8">
        <w:rPr>
          <w:rStyle w:val="Znakapoznpodarou"/>
          <w:rFonts w:cstheme="minorHAnsi"/>
        </w:rPr>
        <w:footnoteRef/>
      </w:r>
      <w:r w:rsidRPr="00AD17B8">
        <w:rPr>
          <w:rFonts w:cstheme="minorHAnsi"/>
        </w:rPr>
        <w:t xml:space="preserve"> </w:t>
      </w:r>
      <w:r w:rsidRPr="00AD17B8">
        <w:rPr>
          <w:rFonts w:cstheme="minorHAnsi"/>
        </w:rPr>
        <w:tab/>
      </w:r>
      <w:r w:rsidRPr="00193DA7">
        <w:rPr>
          <w:rFonts w:ascii="Calibri" w:hAnsi="Calibri" w:cs="Calibri"/>
        </w:rPr>
        <w:t>Zvláštní účty vedené Ministerstvem financí dle ustanovení § 4 zákona č. 178/2005 Sb., o zrušení Fondu národního majetku České republiky</w:t>
      </w:r>
      <w:r>
        <w:rPr>
          <w:rFonts w:ascii="Calibri" w:hAnsi="Calibri" w:cs="Calibri"/>
        </w:rPr>
        <w:t xml:space="preserve"> </w:t>
      </w:r>
      <w:r w:rsidRPr="00193DA7">
        <w:rPr>
          <w:rFonts w:ascii="Calibri" w:hAnsi="Calibri" w:cs="Calibri"/>
        </w:rPr>
        <w:t>a o působnosti Ministerstva financí při privatizaci majetku České republiky (zákon o zrušení Fondu národního majetku).</w:t>
      </w:r>
    </w:p>
  </w:footnote>
  <w:footnote w:id="7">
    <w:p w14:paraId="215A1E0C" w14:textId="2C0D9902" w:rsidR="006B1AF2" w:rsidRPr="00193DA7" w:rsidRDefault="006B1AF2" w:rsidP="00193DA7">
      <w:p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93DA7">
        <w:rPr>
          <w:rStyle w:val="Znakapoznpodarou"/>
          <w:rFonts w:ascii="Calibri" w:hAnsi="Calibri" w:cs="Calibri"/>
          <w:sz w:val="20"/>
          <w:szCs w:val="20"/>
        </w:rPr>
        <w:footnoteRef/>
      </w:r>
      <w:r w:rsidRPr="00193DA7">
        <w:rPr>
          <w:rFonts w:ascii="Calibri" w:hAnsi="Calibri" w:cs="Calibri"/>
          <w:sz w:val="20"/>
          <w:szCs w:val="20"/>
        </w:rPr>
        <w:tab/>
        <w:t xml:space="preserve">Indexy cen stavebních prací a děl za 4. čtvrtletí 2022 dostupné na: </w:t>
      </w:r>
      <w:hyperlink r:id="rId1" w:history="1">
        <w:r w:rsidRPr="00193DA7">
          <w:rPr>
            <w:rStyle w:val="Hypertextovodkaz"/>
            <w:rFonts w:ascii="Calibri" w:hAnsi="Calibri" w:cs="Calibri"/>
            <w:sz w:val="20"/>
            <w:szCs w:val="20"/>
          </w:rPr>
          <w:t>https://www.czso.cz/csu/czso/indexy-cen-stavebnich-praci-indexy-cen-stavebnich-del-a-indexy-nakladu-stavebni-vyroby-ctvrtletni-casove-rady-4-ctvrtleti-2022</w:t>
        </w:r>
      </w:hyperlink>
      <w:r w:rsidRPr="00193DA7">
        <w:rPr>
          <w:rFonts w:ascii="Calibri" w:hAnsi="Calibri" w:cs="Calibri"/>
          <w:sz w:val="20"/>
          <w:szCs w:val="20"/>
        </w:rPr>
        <w:t xml:space="preserve">, viz </w:t>
      </w:r>
      <w:r>
        <w:rPr>
          <w:rFonts w:ascii="Calibri" w:hAnsi="Calibri" w:cs="Calibri"/>
          <w:sz w:val="20"/>
          <w:szCs w:val="20"/>
        </w:rPr>
        <w:t>s</w:t>
      </w:r>
      <w:r w:rsidRPr="00193DA7">
        <w:rPr>
          <w:rFonts w:ascii="Calibri" w:hAnsi="Calibri" w:cs="Calibri"/>
          <w:sz w:val="20"/>
          <w:szCs w:val="20"/>
        </w:rPr>
        <w:t xml:space="preserve">tručný komentář a </w:t>
      </w:r>
      <w:r>
        <w:rPr>
          <w:rFonts w:ascii="Calibri" w:hAnsi="Calibri" w:cs="Calibri"/>
          <w:sz w:val="20"/>
          <w:szCs w:val="20"/>
        </w:rPr>
        <w:t>t</w:t>
      </w:r>
      <w:r w:rsidRPr="00193DA7">
        <w:rPr>
          <w:rFonts w:ascii="Calibri" w:hAnsi="Calibri" w:cs="Calibri"/>
          <w:sz w:val="20"/>
          <w:szCs w:val="20"/>
        </w:rPr>
        <w:t>abulka č. 3.</w:t>
      </w:r>
    </w:p>
  </w:footnote>
  <w:footnote w:id="8">
    <w:p w14:paraId="193F8203" w14:textId="275B1BF1" w:rsidR="006B1AF2" w:rsidRPr="00193DA7" w:rsidRDefault="006B1AF2" w:rsidP="00193DA7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93DA7">
        <w:rPr>
          <w:rStyle w:val="Znakapoznpodarou"/>
          <w:rFonts w:ascii="Calibri" w:hAnsi="Calibri" w:cs="Calibri"/>
        </w:rPr>
        <w:footnoteRef/>
      </w:r>
      <w:r w:rsidRPr="00193DA7">
        <w:rPr>
          <w:rFonts w:ascii="Calibri" w:hAnsi="Calibri" w:cs="Calibri"/>
        </w:rPr>
        <w:tab/>
        <w:t xml:space="preserve">Indexy cen stavebních prací a děl za 2. čtvrtletí 2023 dostupné na: </w:t>
      </w:r>
      <w:hyperlink r:id="rId2" w:history="1">
        <w:r w:rsidRPr="00193DA7">
          <w:rPr>
            <w:rStyle w:val="Hypertextovodkaz"/>
            <w:rFonts w:ascii="Calibri" w:hAnsi="Calibri" w:cs="Calibri"/>
          </w:rPr>
          <w:t>https://www.czso.cz/csu/czso/indexy-cen-stavebnich-praci-indexy-cen-stavebnich-del-a-indexy-nakladu-stavebni-vyroby-ctvrtletni-casove-rady-2-ctvrtleti-2023</w:t>
        </w:r>
      </w:hyperlink>
      <w:r w:rsidRPr="00193DA7">
        <w:rPr>
          <w:rFonts w:ascii="Calibri" w:hAnsi="Calibri" w:cs="Calibri"/>
        </w:rPr>
        <w:t xml:space="preserve">, viz </w:t>
      </w:r>
      <w:r>
        <w:rPr>
          <w:rFonts w:ascii="Calibri" w:hAnsi="Calibri" w:cs="Calibri"/>
        </w:rPr>
        <w:t>s</w:t>
      </w:r>
      <w:r w:rsidRPr="00193DA7">
        <w:rPr>
          <w:rFonts w:ascii="Calibri" w:hAnsi="Calibri" w:cs="Calibri"/>
        </w:rPr>
        <w:t xml:space="preserve">tručný komentář a </w:t>
      </w:r>
      <w:r>
        <w:rPr>
          <w:rFonts w:ascii="Calibri" w:hAnsi="Calibri" w:cs="Calibri"/>
        </w:rPr>
        <w:t>t</w:t>
      </w:r>
      <w:r w:rsidRPr="00193DA7">
        <w:rPr>
          <w:rFonts w:ascii="Calibri" w:hAnsi="Calibri" w:cs="Calibri"/>
        </w:rPr>
        <w:t>abulka č. 3.</w:t>
      </w:r>
    </w:p>
  </w:footnote>
  <w:footnote w:id="9">
    <w:p w14:paraId="346B63CA" w14:textId="099D3A57" w:rsidR="006B1AF2" w:rsidRPr="00446C1C" w:rsidRDefault="006B1AF2" w:rsidP="006D266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Jedná se o výnosy z tzv. velké </w:t>
      </w:r>
      <w:r w:rsidRPr="006D266D">
        <w:t xml:space="preserve">privatizace, tj. </w:t>
      </w:r>
      <w:r w:rsidRPr="006D266D">
        <w:rPr>
          <w:rFonts w:cstheme="minorHAnsi"/>
          <w:lang w:eastAsia="cs-CZ"/>
        </w:rPr>
        <w:t>privatizace majetku státu v režimu zákona č. 92/1991 Sb., o </w:t>
      </w:r>
      <w:r w:rsidRPr="00446C1C">
        <w:rPr>
          <w:rFonts w:cstheme="minorHAnsi"/>
          <w:lang w:eastAsia="cs-CZ"/>
        </w:rPr>
        <w:t>podmínkách převodu majetku státu na jiné osoby.</w:t>
      </w:r>
    </w:p>
  </w:footnote>
  <w:footnote w:id="10">
    <w:p w14:paraId="16E006CA" w14:textId="6FD3C616" w:rsidR="006B1AF2" w:rsidRDefault="006B1AF2" w:rsidP="006D266D">
      <w:pPr>
        <w:pStyle w:val="Textpoznpodarou"/>
        <w:ind w:left="284" w:hanging="284"/>
        <w:jc w:val="both"/>
      </w:pPr>
      <w:r w:rsidRPr="006D266D">
        <w:rPr>
          <w:rStyle w:val="Znakapoznpodarou"/>
        </w:rPr>
        <w:footnoteRef/>
      </w:r>
      <w:r w:rsidRPr="006D266D">
        <w:t xml:space="preserve">  </w:t>
      </w:r>
      <w:r w:rsidRPr="006D266D">
        <w:tab/>
        <w:t>Zákon č. 178/2005 Sb., o zrušení Fondu národního majetku České republiky</w:t>
      </w:r>
      <w:r>
        <w:t xml:space="preserve"> </w:t>
      </w:r>
      <w:r w:rsidRPr="006D266D">
        <w:t>a o působnosti Ministerstva financí při privatizaci majetku České republiky (zákon o zrušení Fondu národního majetku).</w:t>
      </w:r>
    </w:p>
  </w:footnote>
  <w:footnote w:id="11">
    <w:p w14:paraId="2B713506" w14:textId="77777777" w:rsidR="006B1AF2" w:rsidRPr="004857AC" w:rsidRDefault="006B1AF2" w:rsidP="00D37BEA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857AC">
        <w:t>Česká inspekce životního prostředí je orgánem státní správy, který je podřízen MŽP, je organizační složkou státu. Působnost inspekce v jednotlivých složkách životního prostředí stanoví příslušné zákony.</w:t>
      </w:r>
    </w:p>
  </w:footnote>
  <w:footnote w:id="12">
    <w:p w14:paraId="310BDF27" w14:textId="462A9EE3" w:rsidR="006B1AF2" w:rsidRPr="0069302D" w:rsidRDefault="006B1AF2" w:rsidP="00BB11F8">
      <w:pPr>
        <w:pStyle w:val="Textpoznpodarou"/>
        <w:ind w:left="284" w:hanging="284"/>
        <w:jc w:val="both"/>
        <w:rPr>
          <w:rFonts w:cstheme="minorHAnsi"/>
        </w:rPr>
      </w:pPr>
      <w:r w:rsidRPr="005F79B8">
        <w:rPr>
          <w:rStyle w:val="Znakapoznpodarou"/>
        </w:rPr>
        <w:footnoteRef/>
      </w:r>
      <w:r w:rsidRPr="005F79B8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5F79B8">
        <w:rPr>
          <w:rFonts w:cstheme="minorHAnsi"/>
        </w:rPr>
        <w:t xml:space="preserve">Usnesení </w:t>
      </w:r>
      <w:r w:rsidRPr="0069302D">
        <w:rPr>
          <w:rFonts w:cstheme="minorHAnsi"/>
        </w:rPr>
        <w:t>vlády České republiky ze dne 10. ledna 2001 č. 51</w:t>
      </w:r>
      <w:r>
        <w:rPr>
          <w:rFonts w:cstheme="minorHAnsi"/>
        </w:rPr>
        <w:t xml:space="preserve"> + P</w:t>
      </w:r>
      <w:r w:rsidRPr="0069302D">
        <w:rPr>
          <w:rFonts w:cstheme="minorHAnsi"/>
        </w:rPr>
        <w:t xml:space="preserve">, </w:t>
      </w:r>
      <w:r w:rsidRPr="00052C41">
        <w:rPr>
          <w:rFonts w:cstheme="minorHAnsi"/>
          <w:i/>
        </w:rPr>
        <w:t>o Zásadách vypořádání ekologických závazků vzniklých před privatizací</w:t>
      </w:r>
      <w:r>
        <w:rPr>
          <w:rFonts w:cstheme="minorHAnsi"/>
        </w:rPr>
        <w:t>,</w:t>
      </w:r>
      <w:r w:rsidRPr="0069302D">
        <w:rPr>
          <w:rFonts w:cstheme="minorHAnsi"/>
        </w:rPr>
        <w:t xml:space="preserve"> a usnesení vlády České republiky ze dne 30. července 2019 č. 556, </w:t>
      </w:r>
      <w:r w:rsidRPr="00052C41">
        <w:rPr>
          <w:rFonts w:cstheme="minorHAnsi"/>
          <w:i/>
        </w:rPr>
        <w:t>k návrhu na změnu některých usnesení vlád</w:t>
      </w:r>
      <w:r w:rsidRPr="0069302D">
        <w:rPr>
          <w:rFonts w:cstheme="minorHAnsi"/>
        </w:rPr>
        <w:t>.</w:t>
      </w:r>
    </w:p>
  </w:footnote>
  <w:footnote w:id="13">
    <w:p w14:paraId="2F7CA8F2" w14:textId="452737A5" w:rsidR="006B1AF2" w:rsidRDefault="006B1AF2" w:rsidP="00435FA0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B0A26">
        <w:t>Kontrolní závěr z kontrolní akce č. 17/04</w:t>
      </w:r>
      <w:r>
        <w:t> –</w:t>
      </w:r>
      <w:r w:rsidRPr="00BB0A26">
        <w:t xml:space="preserve"> </w:t>
      </w:r>
      <w:r w:rsidRPr="00052C41">
        <w:rPr>
          <w:i/>
        </w:rPr>
        <w:t>Odstraňování starých ekologických zátěží vzniklých před privatizací</w:t>
      </w:r>
      <w:r w:rsidRPr="00BB0A26">
        <w:t>.</w:t>
      </w:r>
    </w:p>
  </w:footnote>
  <w:footnote w:id="14">
    <w:p w14:paraId="5C6A1438" w14:textId="353D6ABA" w:rsidR="006B1AF2" w:rsidRPr="00CB68DA" w:rsidRDefault="006B1AF2" w:rsidP="00183848">
      <w:pPr>
        <w:pStyle w:val="Textpoznpodarou"/>
        <w:ind w:left="284" w:hanging="284"/>
        <w:jc w:val="both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2C42C9">
        <w:rPr>
          <w:rFonts w:cstheme="minorHAnsi"/>
        </w:rPr>
        <w:t>Materiál čj. 863/06 ze dne 7. čer</w:t>
      </w:r>
      <w:r>
        <w:rPr>
          <w:rFonts w:cstheme="minorHAnsi"/>
        </w:rPr>
        <w:t>v</w:t>
      </w:r>
      <w:r w:rsidRPr="002C42C9">
        <w:rPr>
          <w:rFonts w:cstheme="minorHAnsi"/>
        </w:rPr>
        <w:t>na 2006 předložený MF v návaznosti na usnesení vlády</w:t>
      </w:r>
      <w:r>
        <w:rPr>
          <w:rFonts w:cstheme="minorHAnsi"/>
        </w:rPr>
        <w:t xml:space="preserve"> České republiky</w:t>
      </w:r>
      <w:r w:rsidRPr="002C42C9">
        <w:rPr>
          <w:rFonts w:cstheme="minorHAnsi"/>
        </w:rPr>
        <w:t xml:space="preserve"> ze</w:t>
      </w:r>
      <w:r>
        <w:rPr>
          <w:rFonts w:cstheme="minorHAnsi"/>
        </w:rPr>
        <w:t> </w:t>
      </w:r>
      <w:r w:rsidRPr="002C42C9">
        <w:rPr>
          <w:rFonts w:cstheme="minorHAnsi"/>
        </w:rPr>
        <w:t xml:space="preserve">dne 22. února </w:t>
      </w:r>
      <w:r w:rsidRPr="002322BC">
        <w:rPr>
          <w:rFonts w:cstheme="minorHAnsi"/>
        </w:rPr>
        <w:t xml:space="preserve">2006 č. 182, kterým vláda vzala na vědomí </w:t>
      </w:r>
      <w:r>
        <w:rPr>
          <w:rFonts w:cstheme="minorHAnsi"/>
        </w:rPr>
        <w:t>k</w:t>
      </w:r>
      <w:r w:rsidRPr="002322BC">
        <w:rPr>
          <w:rFonts w:cstheme="minorHAnsi"/>
        </w:rPr>
        <w:t xml:space="preserve">ontrolní závěr Nejvyššího kontrolního úřadu z kontrolní akce č. 05/11 a uložila ministru financí zpracovat a předložit vládě podložený odhad, o kolik bude v rámci </w:t>
      </w:r>
      <w:r w:rsidRPr="00CB68DA">
        <w:rPr>
          <w:rFonts w:cstheme="minorHAnsi"/>
        </w:rPr>
        <w:t>sanace SEZ čerpáno méně finančních prostředků, než jsou smluvní garance související s privatizací a dále předpokládaný harmonogram vynakládání těchto finančních prostředků.</w:t>
      </w:r>
    </w:p>
  </w:footnote>
  <w:footnote w:id="15">
    <w:p w14:paraId="6C968D0C" w14:textId="77777777" w:rsidR="006B1AF2" w:rsidRPr="002322BC" w:rsidRDefault="006B1AF2" w:rsidP="00183848">
      <w:pPr>
        <w:pStyle w:val="Textpoznpodarou"/>
        <w:ind w:left="284" w:hanging="284"/>
        <w:jc w:val="both"/>
        <w:rPr>
          <w:rFonts w:cstheme="minorHAnsi"/>
        </w:rPr>
      </w:pPr>
      <w:r w:rsidRPr="00CB68DA">
        <w:rPr>
          <w:rStyle w:val="Znakapoznpodarou"/>
        </w:rPr>
        <w:footnoteRef/>
      </w:r>
      <w:r w:rsidRPr="00CB68DA">
        <w:t xml:space="preserve"> </w:t>
      </w:r>
      <w:r w:rsidRPr="00CB68DA">
        <w:tab/>
        <w:t xml:space="preserve">Dokument </w:t>
      </w:r>
      <w:r w:rsidRPr="00CB68DA">
        <w:rPr>
          <w:rFonts w:cstheme="minorHAnsi"/>
        </w:rPr>
        <w:t xml:space="preserve">byl schválen usnesením vlády České </w:t>
      </w:r>
      <w:r>
        <w:rPr>
          <w:rFonts w:cstheme="minorHAnsi"/>
        </w:rPr>
        <w:t>r</w:t>
      </w:r>
      <w:r w:rsidRPr="00CB68DA">
        <w:rPr>
          <w:rFonts w:cstheme="minorHAnsi"/>
        </w:rPr>
        <w:t xml:space="preserve">epubliky ze dne 4. září 2017 č. 610, </w:t>
      </w:r>
      <w:r w:rsidRPr="00052C41">
        <w:rPr>
          <w:rFonts w:cstheme="minorHAnsi"/>
          <w:i/>
        </w:rPr>
        <w:t>ke Koncepci stabilizace finančního stavu zvláštních účtů privatizace</w:t>
      </w:r>
      <w:r w:rsidRPr="00C8642E">
        <w:rPr>
          <w:rFonts w:cstheme="minorHAnsi"/>
        </w:rPr>
        <w:t>.</w:t>
      </w:r>
    </w:p>
  </w:footnote>
  <w:footnote w:id="16">
    <w:p w14:paraId="66ADE3FE" w14:textId="77777777" w:rsidR="006B1AF2" w:rsidRPr="002322BC" w:rsidRDefault="006B1AF2" w:rsidP="00B678D4">
      <w:pPr>
        <w:pStyle w:val="Textpoznpodarou"/>
        <w:ind w:left="284" w:hanging="284"/>
        <w:jc w:val="both"/>
      </w:pPr>
      <w:r w:rsidRPr="002322BC">
        <w:rPr>
          <w:rStyle w:val="Znakapoznpodarou"/>
        </w:rPr>
        <w:footnoteRef/>
      </w:r>
      <w:r w:rsidRPr="002322BC">
        <w:t xml:space="preserve"> </w:t>
      </w:r>
      <w:r w:rsidRPr="002322BC">
        <w:tab/>
        <w:t xml:space="preserve">V rámci programu </w:t>
      </w:r>
      <w:r w:rsidRPr="00052C41">
        <w:rPr>
          <w:i/>
        </w:rPr>
        <w:t>Revitalizace</w:t>
      </w:r>
      <w:r w:rsidRPr="002322BC">
        <w:t xml:space="preserve"> je řešena n</w:t>
      </w:r>
      <w:r w:rsidRPr="002322BC">
        <w:rPr>
          <w:rFonts w:cstheme="minorHAnsi"/>
        </w:rPr>
        <w:t>áprava ekologických škod způsobených těžbou nerostů a</w:t>
      </w:r>
      <w:r>
        <w:rPr>
          <w:rFonts w:cstheme="minorHAnsi"/>
        </w:rPr>
        <w:t> </w:t>
      </w:r>
      <w:r w:rsidRPr="002322BC">
        <w:rPr>
          <w:rFonts w:cstheme="minorHAnsi"/>
        </w:rPr>
        <w:t>revitalizace dotčených území na základě příslušných usnesení vlády. Zdrojem financování jsou rovněž peněžní prostředky zvláštních účtů privatizace. Agendu tohoto programu zajišťuje MF.</w:t>
      </w:r>
    </w:p>
  </w:footnote>
  <w:footnote w:id="17">
    <w:p w14:paraId="38107100" w14:textId="4BD42A6F" w:rsidR="006B1AF2" w:rsidRPr="00D05AA5" w:rsidRDefault="006B1AF2" w:rsidP="00183848">
      <w:pPr>
        <w:pStyle w:val="Textpoznpodarou"/>
        <w:ind w:left="284" w:hanging="284"/>
        <w:jc w:val="both"/>
      </w:pPr>
      <w:r w:rsidRPr="002322BC">
        <w:rPr>
          <w:rStyle w:val="Znakapoznpodarou"/>
        </w:rPr>
        <w:footnoteRef/>
      </w:r>
      <w:r w:rsidRPr="002322BC">
        <w:t xml:space="preserve"> </w:t>
      </w:r>
      <w:r w:rsidRPr="002322BC">
        <w:tab/>
        <w:t>Kontrolní závěr z kontrolní akce č. 05/11</w:t>
      </w:r>
      <w:r>
        <w:t> –</w:t>
      </w:r>
      <w:r w:rsidRPr="002322BC">
        <w:t xml:space="preserve"> </w:t>
      </w:r>
      <w:r w:rsidRPr="00052C41">
        <w:rPr>
          <w:i/>
        </w:rPr>
        <w:t xml:space="preserve">Finanční prostředky poskytované z Fondu národního majetku </w:t>
      </w:r>
      <w:r w:rsidR="00265371">
        <w:rPr>
          <w:i/>
        </w:rPr>
        <w:br/>
      </w:r>
      <w:r w:rsidRPr="00052C41">
        <w:rPr>
          <w:i/>
        </w:rPr>
        <w:t>České republiky k odstranění starých ekologických zátěží</w:t>
      </w:r>
      <w:r>
        <w:t>;</w:t>
      </w:r>
      <w:r w:rsidRPr="00D05AA5">
        <w:t xml:space="preserve"> </w:t>
      </w:r>
      <w:r>
        <w:t xml:space="preserve">kontrolní závěr z kontrolní akce č. 09/18 – </w:t>
      </w:r>
      <w:r w:rsidRPr="00052C41">
        <w:rPr>
          <w:i/>
        </w:rPr>
        <w:t>Peněžní prostředky určené na odstraňování starých ekologických zátěží</w:t>
      </w:r>
      <w:r>
        <w:t xml:space="preserve">; kontrolní závěr z kontrolní akce </w:t>
      </w:r>
      <w:r w:rsidR="003B7B74">
        <w:br/>
      </w:r>
      <w:r>
        <w:t>č.</w:t>
      </w:r>
      <w:r w:rsidR="003B7B74">
        <w:t> </w:t>
      </w:r>
      <w:r>
        <w:t>17/04 –</w:t>
      </w:r>
      <w:r w:rsidRPr="00D05AA5">
        <w:rPr>
          <w:rFonts w:cstheme="minorHAnsi"/>
        </w:rPr>
        <w:t xml:space="preserve"> </w:t>
      </w:r>
      <w:r w:rsidRPr="00052C41">
        <w:rPr>
          <w:rFonts w:cstheme="minorHAnsi"/>
          <w:i/>
        </w:rPr>
        <w:t>Odstraňování starých ekologických zátěží vzniklých před privatizací</w:t>
      </w:r>
      <w:r>
        <w:rPr>
          <w:rFonts w:cstheme="minorHAnsi"/>
        </w:rPr>
        <w:t>.</w:t>
      </w:r>
    </w:p>
  </w:footnote>
  <w:footnote w:id="18">
    <w:p w14:paraId="69CBCBCA" w14:textId="5BBC7DA7" w:rsidR="006B1AF2" w:rsidRPr="00B15AE5" w:rsidRDefault="006B1AF2" w:rsidP="00B15AE5">
      <w:pPr>
        <w:pStyle w:val="Textpoznpodarou"/>
        <w:ind w:left="284" w:hanging="284"/>
        <w:jc w:val="both"/>
        <w:rPr>
          <w:rFonts w:cstheme="minorHAnsi"/>
        </w:rPr>
      </w:pPr>
      <w:r w:rsidRPr="00B15AE5">
        <w:rPr>
          <w:rStyle w:val="Znakapoznpodarou"/>
        </w:rPr>
        <w:footnoteRef/>
      </w:r>
      <w:r w:rsidRPr="00B15AE5">
        <w:t xml:space="preserve"> </w:t>
      </w:r>
      <w:r>
        <w:tab/>
      </w:r>
      <w:r w:rsidRPr="00B15AE5">
        <w:rPr>
          <w:rFonts w:cstheme="minorHAnsi"/>
        </w:rPr>
        <w:t xml:space="preserve">Stanovisko </w:t>
      </w:r>
      <w:r w:rsidRPr="00F43B05">
        <w:rPr>
          <w:rFonts w:cstheme="minorHAnsi"/>
        </w:rPr>
        <w:t xml:space="preserve">Ministerstva financí a Ministerstva životního prostředí ke </w:t>
      </w:r>
      <w:r>
        <w:rPr>
          <w:rFonts w:cstheme="minorHAnsi"/>
        </w:rPr>
        <w:t>k</w:t>
      </w:r>
      <w:r w:rsidRPr="00F43B05">
        <w:rPr>
          <w:rFonts w:cstheme="minorHAnsi"/>
        </w:rPr>
        <w:t>ontrolnímu závěru Nejvyššího kontrolního úřadu z kontrolní akce č. 17/04</w:t>
      </w:r>
      <w:r>
        <w:t> –</w:t>
      </w:r>
      <w:r w:rsidRPr="00F43B05">
        <w:rPr>
          <w:rFonts w:cstheme="minorHAnsi"/>
        </w:rPr>
        <w:t xml:space="preserve"> </w:t>
      </w:r>
      <w:r w:rsidRPr="00052C41">
        <w:rPr>
          <w:rFonts w:cstheme="minorHAnsi"/>
          <w:i/>
        </w:rPr>
        <w:t>Odstraňování starých ekologických zátěží vzniklých před privatizací</w:t>
      </w:r>
      <w:r w:rsidRPr="00F43B05">
        <w:rPr>
          <w:rFonts w:cstheme="minorHAnsi"/>
        </w:rPr>
        <w:t>, které vzala vláda na vědomí usnesením ze dne 19. června 2018 č. 384 a uložila ministryni financí a ministru životního prostředí realizovat opatření obsažená v tomto stanovisku.</w:t>
      </w:r>
    </w:p>
  </w:footnote>
  <w:footnote w:id="19">
    <w:p w14:paraId="4A55E677" w14:textId="77777777" w:rsidR="006B1AF2" w:rsidRDefault="006B1AF2" w:rsidP="00063646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Stanovisko Ministerstva životního prostředí k realizaci nápravných opatření vedoucích k odstranění staré </w:t>
      </w:r>
      <w:r w:rsidRPr="0047137B">
        <w:t xml:space="preserve">ekologické zátěže „Laguny </w:t>
      </w:r>
      <w:r w:rsidRPr="0047137B">
        <w:t>Ostramo“ v Ostravě – Mariánských Horách</w:t>
      </w:r>
      <w:r>
        <w:t xml:space="preserve"> </w:t>
      </w:r>
      <w:r w:rsidRPr="00247D00">
        <w:rPr>
          <w:rFonts w:ascii="Calibri" w:hAnsi="Calibri" w:cs="Calibri"/>
          <w:lang w:eastAsia="cs-CZ"/>
        </w:rPr>
        <w:t>ze dne 10. dubna 2018</w:t>
      </w:r>
      <w:r>
        <w:rPr>
          <w:rFonts w:ascii="Calibri" w:hAnsi="Calibri" w:cs="Calibri"/>
          <w:lang w:eastAsia="cs-CZ"/>
        </w:rPr>
        <w:t>.</w:t>
      </w:r>
    </w:p>
  </w:footnote>
  <w:footnote w:id="20">
    <w:p w14:paraId="5C773427" w14:textId="77777777" w:rsidR="006B1AF2" w:rsidRDefault="006B1AF2" w:rsidP="00225501">
      <w:pPr>
        <w:pStyle w:val="Textpoznpodarou"/>
        <w:ind w:left="284" w:hanging="284"/>
        <w:jc w:val="both"/>
      </w:pPr>
      <w:r w:rsidRPr="00E74F97">
        <w:rPr>
          <w:rStyle w:val="Znakapoznpodarou"/>
        </w:rPr>
        <w:footnoteRef/>
      </w:r>
      <w:r w:rsidRPr="00E74F97">
        <w:t xml:space="preserve"> </w:t>
      </w:r>
      <w:r>
        <w:tab/>
      </w:r>
      <w:r w:rsidRPr="00E74F97">
        <w:t>V roce 2018 se jednalo o devět lokalit s dlouhodobým ochranným sanačním čerpáním, na které bylo vynaloženo 11,</w:t>
      </w:r>
      <w:r>
        <w:t xml:space="preserve">5 </w:t>
      </w:r>
      <w:r w:rsidRPr="00E74F97">
        <w:t>mil. Kč, v roce 2022 jejich počet poklesl na sedm s úhrnnou výší výdajů 8,6 mil. Kč.</w:t>
      </w:r>
    </w:p>
  </w:footnote>
  <w:footnote w:id="21">
    <w:p w14:paraId="64189C99" w14:textId="5708B373" w:rsidR="006B1AF2" w:rsidRDefault="006B1AF2" w:rsidP="00F642C0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Kontrolní závěr z kontrolní akce č. 17/04 – </w:t>
      </w:r>
      <w:r w:rsidRPr="00052C41">
        <w:rPr>
          <w:rFonts w:cstheme="minorHAnsi"/>
          <w:i/>
        </w:rPr>
        <w:t>Odstraňování starých ekologických zátěží vzniklých před privatizací</w:t>
      </w:r>
      <w:r>
        <w:t>.</w:t>
      </w:r>
    </w:p>
  </w:footnote>
  <w:footnote w:id="22">
    <w:p w14:paraId="1F3C9105" w14:textId="447B93B0" w:rsidR="006B1AF2" w:rsidRPr="00546C16" w:rsidRDefault="006B1AF2" w:rsidP="0022550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46C16">
        <w:t xml:space="preserve">Operační program </w:t>
      </w:r>
      <w:r w:rsidRPr="00052C41">
        <w:rPr>
          <w:i/>
        </w:rPr>
        <w:t>Životní prostředí 2014–2020</w:t>
      </w:r>
      <w:r>
        <w:t>.</w:t>
      </w:r>
    </w:p>
  </w:footnote>
  <w:footnote w:id="23">
    <w:p w14:paraId="719434D2" w14:textId="53DD90BE" w:rsidR="006B1AF2" w:rsidRDefault="006B1AF2" w:rsidP="00225501">
      <w:pPr>
        <w:pStyle w:val="Textpoznpodarou"/>
        <w:ind w:left="284" w:hanging="284"/>
      </w:pPr>
      <w:r w:rsidRPr="00546C16">
        <w:rPr>
          <w:rStyle w:val="Znakapoznpodarou"/>
        </w:rPr>
        <w:footnoteRef/>
      </w:r>
      <w:r w:rsidRPr="00546C16">
        <w:t xml:space="preserve"> </w:t>
      </w:r>
      <w:r>
        <w:tab/>
      </w:r>
      <w:r w:rsidRPr="00546C16">
        <w:t xml:space="preserve">Operační program </w:t>
      </w:r>
      <w:r w:rsidRPr="00052C41">
        <w:rPr>
          <w:i/>
        </w:rPr>
        <w:t>Životní prostředí 2021–2027</w:t>
      </w:r>
      <w:r>
        <w:t>.</w:t>
      </w:r>
    </w:p>
  </w:footnote>
  <w:footnote w:id="24">
    <w:p w14:paraId="5DBB4B7B" w14:textId="77777777" w:rsidR="006B1AF2" w:rsidRDefault="006B1AF2" w:rsidP="00225501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C497E">
        <w:t>Zákon č. 544/2020 Sb., kterým se mění zákon č. 254/2001 Sb., o vodách a o změně některých zákonů (vodní zákon), ve znění pozdějších předpisů, a další související zákony.</w:t>
      </w:r>
    </w:p>
  </w:footnote>
  <w:footnote w:id="25">
    <w:p w14:paraId="754B9CCD" w14:textId="77777777" w:rsidR="006B1AF2" w:rsidRDefault="006B1AF2" w:rsidP="00C9553A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031654">
        <w:rPr>
          <w:rFonts w:cstheme="minorHAnsi"/>
        </w:rPr>
        <w:t>Zákon č. 308/2018</w:t>
      </w:r>
      <w:r>
        <w:rPr>
          <w:rFonts w:cstheme="minorHAnsi"/>
        </w:rPr>
        <w:t xml:space="preserve"> Sb.</w:t>
      </w:r>
      <w:r w:rsidRPr="00031654">
        <w:rPr>
          <w:rFonts w:cstheme="minorHAnsi"/>
        </w:rPr>
        <w:t>, kterým se mění zákon č. 178/2005 Sb., o zrušení Fondu národního majetku České</w:t>
      </w:r>
      <w:r>
        <w:rPr>
          <w:rFonts w:cstheme="minorHAnsi"/>
        </w:rPr>
        <w:t xml:space="preserve"> </w:t>
      </w:r>
      <w:r w:rsidRPr="00031654">
        <w:rPr>
          <w:rFonts w:cstheme="minorHAnsi"/>
        </w:rPr>
        <w:t>republiky a o působnosti Ministerstva financí při privatizaci majetku České republiky (zákon o zrušení Fondu národního majetku), ve znění pozdějších předpisů, a některé další související zákony.</w:t>
      </w:r>
    </w:p>
  </w:footnote>
  <w:footnote w:id="26">
    <w:p w14:paraId="70CB4C9F" w14:textId="77777777" w:rsidR="006B1AF2" w:rsidRDefault="006B1AF2" w:rsidP="00C9553A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P</w:t>
      </w:r>
      <w:r w:rsidRPr="00C9553A">
        <w:t xml:space="preserve">řevod peněžních prostředků do státního rozpočtu na úhradu schodku </w:t>
      </w:r>
      <w:r>
        <w:t xml:space="preserve">systému </w:t>
      </w:r>
      <w:r w:rsidRPr="00C9553A">
        <w:t xml:space="preserve">důchodového </w:t>
      </w:r>
      <w:r>
        <w:t>pojištění</w:t>
      </w:r>
      <w:r w:rsidRPr="00C9553A">
        <w:t>, výdaje na podporu průmyslových zón a kulturních zařízení</w:t>
      </w:r>
      <w:r>
        <w:t>.</w:t>
      </w:r>
    </w:p>
  </w:footnote>
  <w:footnote w:id="27">
    <w:p w14:paraId="42475C2F" w14:textId="77777777" w:rsidR="006B1AF2" w:rsidRPr="00AD17B8" w:rsidRDefault="006B1AF2" w:rsidP="008855FB">
      <w:pPr>
        <w:pStyle w:val="Textpoznpodarou"/>
        <w:ind w:left="284" w:hanging="284"/>
      </w:pPr>
      <w:r w:rsidRPr="004F64A8">
        <w:rPr>
          <w:rStyle w:val="Znakapoznpodarou"/>
        </w:rPr>
        <w:footnoteRef/>
      </w:r>
      <w:r w:rsidRPr="004F64A8">
        <w:t xml:space="preserve"> </w:t>
      </w:r>
      <w:r w:rsidRPr="004F64A8">
        <w:tab/>
        <w:t xml:space="preserve">Zákon č. </w:t>
      </w:r>
      <w:r w:rsidRPr="00AD17B8">
        <w:t>449/2022 Sb., o státním rozpočtu České republiky na rok 2023.</w:t>
      </w:r>
    </w:p>
  </w:footnote>
  <w:footnote w:id="28">
    <w:p w14:paraId="46A84A9F" w14:textId="77777777" w:rsidR="006B1AF2" w:rsidRPr="00456146" w:rsidRDefault="006B1AF2" w:rsidP="009F0690">
      <w:pPr>
        <w:pStyle w:val="Styl1-Nzevmaterilu"/>
        <w:ind w:left="284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AD17B8">
        <w:rPr>
          <w:rStyle w:val="Znakapoznpodarou"/>
          <w:rFonts w:asciiTheme="minorHAnsi" w:hAnsiTheme="minorHAnsi"/>
          <w:b w:val="0"/>
          <w:sz w:val="20"/>
          <w:szCs w:val="20"/>
        </w:rPr>
        <w:footnoteRef/>
      </w:r>
      <w:r w:rsidRPr="00AD17B8">
        <w:rPr>
          <w:rFonts w:asciiTheme="minorHAnsi" w:hAnsiTheme="minorHAnsi"/>
          <w:b w:val="0"/>
          <w:sz w:val="20"/>
          <w:szCs w:val="20"/>
        </w:rPr>
        <w:t xml:space="preserve"> </w:t>
      </w:r>
      <w:r w:rsidRPr="00AD17B8">
        <w:rPr>
          <w:rFonts w:asciiTheme="minorHAnsi" w:hAnsiTheme="minorHAnsi"/>
          <w:b w:val="0"/>
          <w:sz w:val="20"/>
          <w:szCs w:val="20"/>
        </w:rPr>
        <w:tab/>
        <w:t>U</w:t>
      </w:r>
      <w:r w:rsidRPr="00AD17B8">
        <w:rPr>
          <w:rFonts w:asciiTheme="minorHAnsi" w:hAnsiTheme="minorHAnsi" w:cstheme="minorHAnsi"/>
          <w:b w:val="0"/>
          <w:sz w:val="20"/>
          <w:szCs w:val="20"/>
        </w:rPr>
        <w:t>snesení vlády České republiky ze dne</w:t>
      </w:r>
      <w:r w:rsidRPr="00AD17B8">
        <w:rPr>
          <w:rFonts w:asciiTheme="minorHAnsi" w:hAnsiTheme="minorHAnsi"/>
          <w:b w:val="0"/>
          <w:sz w:val="20"/>
          <w:szCs w:val="20"/>
        </w:rPr>
        <w:t xml:space="preserve"> ze dne 27. září 2023 č. 703, </w:t>
      </w:r>
      <w:r w:rsidRPr="00052C41">
        <w:rPr>
          <w:rFonts w:asciiTheme="minorHAnsi" w:hAnsiTheme="minorHAnsi"/>
          <w:b w:val="0"/>
          <w:i/>
          <w:sz w:val="20"/>
          <w:szCs w:val="20"/>
        </w:rPr>
        <w:t>k návrhu zákona o státním rozpočtu České republiky na rok 2024 a střednědobého výhledu státního rozpočtu České republiky na léta 2025 a 2026</w:t>
      </w:r>
      <w:r w:rsidRPr="00AD17B8">
        <w:rPr>
          <w:rFonts w:asciiTheme="minorHAnsi" w:hAnsiTheme="minorHAnsi"/>
          <w:b w:val="0"/>
          <w:sz w:val="20"/>
          <w:szCs w:val="20"/>
        </w:rPr>
        <w:t>.</w:t>
      </w:r>
      <w:r>
        <w:rPr>
          <w:rFonts w:asciiTheme="minorHAnsi" w:hAnsiTheme="minorHAnsi"/>
          <w:b w:val="0"/>
          <w:sz w:val="20"/>
          <w:szCs w:val="20"/>
        </w:rPr>
        <w:t xml:space="preserve"> </w:t>
      </w:r>
    </w:p>
  </w:footnote>
  <w:footnote w:id="29">
    <w:p w14:paraId="41437D8B" w14:textId="7093769B" w:rsidR="006B1AF2" w:rsidRDefault="006B1AF2" w:rsidP="002169E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Usnesení vlády České republiky ze dne 26. září 2022 č. 808, </w:t>
      </w:r>
      <w:r w:rsidRPr="00052C41">
        <w:rPr>
          <w:i/>
        </w:rPr>
        <w:t>k návrhu zákona o státním rozpočtu České republiky na rok 2023 a střednědobého výhledu státního rozpočtu České republiky na léta 2024 a 2025</w:t>
      </w:r>
      <w:r>
        <w:t xml:space="preserve">, usnesení vlády České republiky ze dne 26. července 2023 č. 572, </w:t>
      </w:r>
      <w:r w:rsidRPr="00052C41">
        <w:rPr>
          <w:i/>
        </w:rPr>
        <w:t>o převodu peněžních prostředků do příjmů státního rozpočtu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E7380"/>
    <w:multiLevelType w:val="hybridMultilevel"/>
    <w:tmpl w:val="2EE0A036"/>
    <w:lvl w:ilvl="0" w:tplc="C5806CF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54E6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24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8B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E2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E5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A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00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68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71CD6"/>
    <w:multiLevelType w:val="multilevel"/>
    <w:tmpl w:val="6B5039CA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E746586"/>
    <w:multiLevelType w:val="hybridMultilevel"/>
    <w:tmpl w:val="29EEF65E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7CB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984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EC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8A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61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E9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C0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C9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C1DAF"/>
    <w:multiLevelType w:val="multilevel"/>
    <w:tmpl w:val="12DA93EE"/>
    <w:lvl w:ilvl="0">
      <w:start w:val="1"/>
      <w:numFmt w:val="decimal"/>
      <w:pStyle w:val="Styl1-kapitol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-podkapitola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38"/>
    <w:rsid w:val="000022F1"/>
    <w:rsid w:val="0000274E"/>
    <w:rsid w:val="00002A70"/>
    <w:rsid w:val="00003D0C"/>
    <w:rsid w:val="00004007"/>
    <w:rsid w:val="00005062"/>
    <w:rsid w:val="000051E0"/>
    <w:rsid w:val="00005D7E"/>
    <w:rsid w:val="0000615B"/>
    <w:rsid w:val="00006832"/>
    <w:rsid w:val="00006A2B"/>
    <w:rsid w:val="00006AFC"/>
    <w:rsid w:val="00007407"/>
    <w:rsid w:val="0001003B"/>
    <w:rsid w:val="0001117D"/>
    <w:rsid w:val="0001144E"/>
    <w:rsid w:val="00012005"/>
    <w:rsid w:val="000139F8"/>
    <w:rsid w:val="00013AD9"/>
    <w:rsid w:val="00014469"/>
    <w:rsid w:val="00014B8E"/>
    <w:rsid w:val="00015741"/>
    <w:rsid w:val="00017AA0"/>
    <w:rsid w:val="00020851"/>
    <w:rsid w:val="00021208"/>
    <w:rsid w:val="000220B6"/>
    <w:rsid w:val="000231F9"/>
    <w:rsid w:val="00023321"/>
    <w:rsid w:val="0002373A"/>
    <w:rsid w:val="00023FA9"/>
    <w:rsid w:val="000257A5"/>
    <w:rsid w:val="00025B04"/>
    <w:rsid w:val="00026857"/>
    <w:rsid w:val="00026A44"/>
    <w:rsid w:val="00026B85"/>
    <w:rsid w:val="00027D3E"/>
    <w:rsid w:val="00027F7F"/>
    <w:rsid w:val="00030037"/>
    <w:rsid w:val="00030432"/>
    <w:rsid w:val="0003059E"/>
    <w:rsid w:val="0003099B"/>
    <w:rsid w:val="00030B18"/>
    <w:rsid w:val="00031294"/>
    <w:rsid w:val="00031492"/>
    <w:rsid w:val="00031654"/>
    <w:rsid w:val="00031A3F"/>
    <w:rsid w:val="00032830"/>
    <w:rsid w:val="000336A6"/>
    <w:rsid w:val="000336E5"/>
    <w:rsid w:val="000346C3"/>
    <w:rsid w:val="00034B78"/>
    <w:rsid w:val="0003520D"/>
    <w:rsid w:val="00035BB0"/>
    <w:rsid w:val="0003607D"/>
    <w:rsid w:val="00036397"/>
    <w:rsid w:val="00036DFC"/>
    <w:rsid w:val="000374BF"/>
    <w:rsid w:val="00037886"/>
    <w:rsid w:val="00037F5C"/>
    <w:rsid w:val="000411EE"/>
    <w:rsid w:val="00041535"/>
    <w:rsid w:val="000419DF"/>
    <w:rsid w:val="00041D09"/>
    <w:rsid w:val="00042809"/>
    <w:rsid w:val="00042CB2"/>
    <w:rsid w:val="00043548"/>
    <w:rsid w:val="000443E1"/>
    <w:rsid w:val="00044429"/>
    <w:rsid w:val="00044B94"/>
    <w:rsid w:val="00044C5D"/>
    <w:rsid w:val="000456F8"/>
    <w:rsid w:val="00045D7C"/>
    <w:rsid w:val="00045F16"/>
    <w:rsid w:val="00046183"/>
    <w:rsid w:val="0004622E"/>
    <w:rsid w:val="00046774"/>
    <w:rsid w:val="00046966"/>
    <w:rsid w:val="00046C1A"/>
    <w:rsid w:val="00047252"/>
    <w:rsid w:val="00050085"/>
    <w:rsid w:val="00051375"/>
    <w:rsid w:val="0005140D"/>
    <w:rsid w:val="0005143D"/>
    <w:rsid w:val="000524AF"/>
    <w:rsid w:val="00052C41"/>
    <w:rsid w:val="00053478"/>
    <w:rsid w:val="00053678"/>
    <w:rsid w:val="0005401B"/>
    <w:rsid w:val="00055153"/>
    <w:rsid w:val="000553E2"/>
    <w:rsid w:val="00055E62"/>
    <w:rsid w:val="00056987"/>
    <w:rsid w:val="00056DEC"/>
    <w:rsid w:val="00056EAD"/>
    <w:rsid w:val="000573EB"/>
    <w:rsid w:val="0006031E"/>
    <w:rsid w:val="00061CD9"/>
    <w:rsid w:val="000623CD"/>
    <w:rsid w:val="00062D77"/>
    <w:rsid w:val="00062E08"/>
    <w:rsid w:val="00063646"/>
    <w:rsid w:val="0006475B"/>
    <w:rsid w:val="0006513D"/>
    <w:rsid w:val="00066D71"/>
    <w:rsid w:val="00066F92"/>
    <w:rsid w:val="00067131"/>
    <w:rsid w:val="000702D9"/>
    <w:rsid w:val="00070BE2"/>
    <w:rsid w:val="000719B5"/>
    <w:rsid w:val="00071FB4"/>
    <w:rsid w:val="000721E9"/>
    <w:rsid w:val="0007261F"/>
    <w:rsid w:val="00072C10"/>
    <w:rsid w:val="000730B6"/>
    <w:rsid w:val="000746BA"/>
    <w:rsid w:val="00074902"/>
    <w:rsid w:val="00074929"/>
    <w:rsid w:val="00074E5F"/>
    <w:rsid w:val="0007508A"/>
    <w:rsid w:val="000751A0"/>
    <w:rsid w:val="00075929"/>
    <w:rsid w:val="00075C73"/>
    <w:rsid w:val="00076875"/>
    <w:rsid w:val="000776E0"/>
    <w:rsid w:val="00077A2A"/>
    <w:rsid w:val="00077CDD"/>
    <w:rsid w:val="00077F69"/>
    <w:rsid w:val="00080725"/>
    <w:rsid w:val="00080BD1"/>
    <w:rsid w:val="00082491"/>
    <w:rsid w:val="0008267D"/>
    <w:rsid w:val="00082BF3"/>
    <w:rsid w:val="00082D3A"/>
    <w:rsid w:val="0008535E"/>
    <w:rsid w:val="00085502"/>
    <w:rsid w:val="00085C88"/>
    <w:rsid w:val="00085E9E"/>
    <w:rsid w:val="00086969"/>
    <w:rsid w:val="00086D8C"/>
    <w:rsid w:val="000879ED"/>
    <w:rsid w:val="00087C93"/>
    <w:rsid w:val="00090CA6"/>
    <w:rsid w:val="00092575"/>
    <w:rsid w:val="000926B1"/>
    <w:rsid w:val="0009332D"/>
    <w:rsid w:val="00093365"/>
    <w:rsid w:val="0009489C"/>
    <w:rsid w:val="00095CCB"/>
    <w:rsid w:val="00096456"/>
    <w:rsid w:val="00096805"/>
    <w:rsid w:val="00096989"/>
    <w:rsid w:val="00096A0B"/>
    <w:rsid w:val="000978EE"/>
    <w:rsid w:val="000A11AE"/>
    <w:rsid w:val="000A21BB"/>
    <w:rsid w:val="000A24F9"/>
    <w:rsid w:val="000A49F8"/>
    <w:rsid w:val="000A5836"/>
    <w:rsid w:val="000A5D5E"/>
    <w:rsid w:val="000A5DBA"/>
    <w:rsid w:val="000A6177"/>
    <w:rsid w:val="000A6643"/>
    <w:rsid w:val="000A77DA"/>
    <w:rsid w:val="000B107E"/>
    <w:rsid w:val="000B12C5"/>
    <w:rsid w:val="000B12E9"/>
    <w:rsid w:val="000B1645"/>
    <w:rsid w:val="000B168F"/>
    <w:rsid w:val="000B16F9"/>
    <w:rsid w:val="000B2C73"/>
    <w:rsid w:val="000B4A8E"/>
    <w:rsid w:val="000B5134"/>
    <w:rsid w:val="000B5EDD"/>
    <w:rsid w:val="000B6920"/>
    <w:rsid w:val="000B6D20"/>
    <w:rsid w:val="000C15AE"/>
    <w:rsid w:val="000C3BE9"/>
    <w:rsid w:val="000C3E09"/>
    <w:rsid w:val="000C410B"/>
    <w:rsid w:val="000C4615"/>
    <w:rsid w:val="000C4A33"/>
    <w:rsid w:val="000C4BCE"/>
    <w:rsid w:val="000C5599"/>
    <w:rsid w:val="000C67A6"/>
    <w:rsid w:val="000C7CBC"/>
    <w:rsid w:val="000D03A2"/>
    <w:rsid w:val="000D042D"/>
    <w:rsid w:val="000D061F"/>
    <w:rsid w:val="000D0DCD"/>
    <w:rsid w:val="000D1090"/>
    <w:rsid w:val="000D15FD"/>
    <w:rsid w:val="000D2930"/>
    <w:rsid w:val="000D2A80"/>
    <w:rsid w:val="000D2C38"/>
    <w:rsid w:val="000D3B0A"/>
    <w:rsid w:val="000D3C75"/>
    <w:rsid w:val="000D3EFD"/>
    <w:rsid w:val="000D5288"/>
    <w:rsid w:val="000D52C7"/>
    <w:rsid w:val="000D64A5"/>
    <w:rsid w:val="000D6AC8"/>
    <w:rsid w:val="000D70D3"/>
    <w:rsid w:val="000D7A69"/>
    <w:rsid w:val="000D7D5C"/>
    <w:rsid w:val="000E0100"/>
    <w:rsid w:val="000E0415"/>
    <w:rsid w:val="000E0DF8"/>
    <w:rsid w:val="000E13AC"/>
    <w:rsid w:val="000E1B29"/>
    <w:rsid w:val="000E1B93"/>
    <w:rsid w:val="000E1BD6"/>
    <w:rsid w:val="000E1D9D"/>
    <w:rsid w:val="000E272E"/>
    <w:rsid w:val="000E2809"/>
    <w:rsid w:val="000E2CF9"/>
    <w:rsid w:val="000E3BBE"/>
    <w:rsid w:val="000E4603"/>
    <w:rsid w:val="000E4634"/>
    <w:rsid w:val="000E587F"/>
    <w:rsid w:val="000E5E20"/>
    <w:rsid w:val="000E611B"/>
    <w:rsid w:val="000E705D"/>
    <w:rsid w:val="000E71BD"/>
    <w:rsid w:val="000F00DC"/>
    <w:rsid w:val="000F020B"/>
    <w:rsid w:val="000F07AC"/>
    <w:rsid w:val="000F0948"/>
    <w:rsid w:val="000F0AB5"/>
    <w:rsid w:val="000F0AB8"/>
    <w:rsid w:val="000F2ACA"/>
    <w:rsid w:val="000F33CD"/>
    <w:rsid w:val="000F3FD9"/>
    <w:rsid w:val="000F50C8"/>
    <w:rsid w:val="000F5391"/>
    <w:rsid w:val="000F5B49"/>
    <w:rsid w:val="000F7CFE"/>
    <w:rsid w:val="0010032B"/>
    <w:rsid w:val="00100712"/>
    <w:rsid w:val="00100B92"/>
    <w:rsid w:val="00100C02"/>
    <w:rsid w:val="00101FFB"/>
    <w:rsid w:val="0010262D"/>
    <w:rsid w:val="00104701"/>
    <w:rsid w:val="00105FCF"/>
    <w:rsid w:val="00110253"/>
    <w:rsid w:val="00110848"/>
    <w:rsid w:val="00110C7E"/>
    <w:rsid w:val="00111622"/>
    <w:rsid w:val="0011167A"/>
    <w:rsid w:val="0011250E"/>
    <w:rsid w:val="00112821"/>
    <w:rsid w:val="0011347E"/>
    <w:rsid w:val="00113E3E"/>
    <w:rsid w:val="00115B7A"/>
    <w:rsid w:val="001165D1"/>
    <w:rsid w:val="00117912"/>
    <w:rsid w:val="00120BF2"/>
    <w:rsid w:val="00122AE5"/>
    <w:rsid w:val="00123B16"/>
    <w:rsid w:val="00124251"/>
    <w:rsid w:val="0012434E"/>
    <w:rsid w:val="00124B61"/>
    <w:rsid w:val="001252D9"/>
    <w:rsid w:val="0012538D"/>
    <w:rsid w:val="00126319"/>
    <w:rsid w:val="00126453"/>
    <w:rsid w:val="00126B57"/>
    <w:rsid w:val="00127C33"/>
    <w:rsid w:val="00130242"/>
    <w:rsid w:val="001310E4"/>
    <w:rsid w:val="00131231"/>
    <w:rsid w:val="0013185B"/>
    <w:rsid w:val="00131D28"/>
    <w:rsid w:val="00132A57"/>
    <w:rsid w:val="00132F00"/>
    <w:rsid w:val="0013397D"/>
    <w:rsid w:val="00134FCA"/>
    <w:rsid w:val="0013510D"/>
    <w:rsid w:val="00135242"/>
    <w:rsid w:val="00135A82"/>
    <w:rsid w:val="00135B28"/>
    <w:rsid w:val="00137539"/>
    <w:rsid w:val="00140825"/>
    <w:rsid w:val="0014309F"/>
    <w:rsid w:val="00143869"/>
    <w:rsid w:val="001438DE"/>
    <w:rsid w:val="00144437"/>
    <w:rsid w:val="00146177"/>
    <w:rsid w:val="00146757"/>
    <w:rsid w:val="00150138"/>
    <w:rsid w:val="00150245"/>
    <w:rsid w:val="0015065E"/>
    <w:rsid w:val="001508A4"/>
    <w:rsid w:val="00150BA6"/>
    <w:rsid w:val="00151B8F"/>
    <w:rsid w:val="001527D8"/>
    <w:rsid w:val="00153075"/>
    <w:rsid w:val="0015347E"/>
    <w:rsid w:val="00153F36"/>
    <w:rsid w:val="001547C2"/>
    <w:rsid w:val="0015492D"/>
    <w:rsid w:val="00154955"/>
    <w:rsid w:val="00156C16"/>
    <w:rsid w:val="00157758"/>
    <w:rsid w:val="0016034B"/>
    <w:rsid w:val="0016077E"/>
    <w:rsid w:val="0016089E"/>
    <w:rsid w:val="00161F9F"/>
    <w:rsid w:val="0016200D"/>
    <w:rsid w:val="0016213B"/>
    <w:rsid w:val="00163129"/>
    <w:rsid w:val="001631B9"/>
    <w:rsid w:val="00164A20"/>
    <w:rsid w:val="00164AEA"/>
    <w:rsid w:val="00165C5D"/>
    <w:rsid w:val="00165FB9"/>
    <w:rsid w:val="00166677"/>
    <w:rsid w:val="00167623"/>
    <w:rsid w:val="00167C00"/>
    <w:rsid w:val="00167C92"/>
    <w:rsid w:val="001716FE"/>
    <w:rsid w:val="00171F21"/>
    <w:rsid w:val="0017205D"/>
    <w:rsid w:val="001724FD"/>
    <w:rsid w:val="001738E2"/>
    <w:rsid w:val="00174DCA"/>
    <w:rsid w:val="00176040"/>
    <w:rsid w:val="00176309"/>
    <w:rsid w:val="0017666F"/>
    <w:rsid w:val="00176E3C"/>
    <w:rsid w:val="00176EA4"/>
    <w:rsid w:val="0017775C"/>
    <w:rsid w:val="00177C5D"/>
    <w:rsid w:val="001800A8"/>
    <w:rsid w:val="00180F33"/>
    <w:rsid w:val="001815BE"/>
    <w:rsid w:val="00181980"/>
    <w:rsid w:val="001819E1"/>
    <w:rsid w:val="00182B0E"/>
    <w:rsid w:val="00183848"/>
    <w:rsid w:val="00184094"/>
    <w:rsid w:val="00184678"/>
    <w:rsid w:val="00184CF3"/>
    <w:rsid w:val="001852CE"/>
    <w:rsid w:val="0018573B"/>
    <w:rsid w:val="00185951"/>
    <w:rsid w:val="0018599A"/>
    <w:rsid w:val="00186552"/>
    <w:rsid w:val="00186682"/>
    <w:rsid w:val="001867FA"/>
    <w:rsid w:val="00186C93"/>
    <w:rsid w:val="00186CA0"/>
    <w:rsid w:val="0018758D"/>
    <w:rsid w:val="00187F5B"/>
    <w:rsid w:val="00190CAC"/>
    <w:rsid w:val="0019105A"/>
    <w:rsid w:val="00191170"/>
    <w:rsid w:val="001911FB"/>
    <w:rsid w:val="00191D5C"/>
    <w:rsid w:val="0019294A"/>
    <w:rsid w:val="00193157"/>
    <w:rsid w:val="0019356F"/>
    <w:rsid w:val="00193724"/>
    <w:rsid w:val="00193DA7"/>
    <w:rsid w:val="00194026"/>
    <w:rsid w:val="00194B49"/>
    <w:rsid w:val="00194F3F"/>
    <w:rsid w:val="001952B2"/>
    <w:rsid w:val="00195373"/>
    <w:rsid w:val="00195981"/>
    <w:rsid w:val="00195E62"/>
    <w:rsid w:val="0019621A"/>
    <w:rsid w:val="00196E1D"/>
    <w:rsid w:val="00196F61"/>
    <w:rsid w:val="001972CC"/>
    <w:rsid w:val="00197E88"/>
    <w:rsid w:val="001A0AD7"/>
    <w:rsid w:val="001A149D"/>
    <w:rsid w:val="001A18FB"/>
    <w:rsid w:val="001A1E60"/>
    <w:rsid w:val="001A2010"/>
    <w:rsid w:val="001A36DC"/>
    <w:rsid w:val="001A3C81"/>
    <w:rsid w:val="001A40E2"/>
    <w:rsid w:val="001A4370"/>
    <w:rsid w:val="001A518F"/>
    <w:rsid w:val="001A6982"/>
    <w:rsid w:val="001A6BA6"/>
    <w:rsid w:val="001A71EA"/>
    <w:rsid w:val="001A7D7D"/>
    <w:rsid w:val="001A7F3C"/>
    <w:rsid w:val="001B015D"/>
    <w:rsid w:val="001B1251"/>
    <w:rsid w:val="001B1E9B"/>
    <w:rsid w:val="001B1FD3"/>
    <w:rsid w:val="001B2BD8"/>
    <w:rsid w:val="001B30A9"/>
    <w:rsid w:val="001B36FB"/>
    <w:rsid w:val="001B3C0A"/>
    <w:rsid w:val="001B4F6B"/>
    <w:rsid w:val="001B508D"/>
    <w:rsid w:val="001B6E8B"/>
    <w:rsid w:val="001B7BFA"/>
    <w:rsid w:val="001C01FB"/>
    <w:rsid w:val="001C0C8F"/>
    <w:rsid w:val="001C10BC"/>
    <w:rsid w:val="001C1DAC"/>
    <w:rsid w:val="001C28B9"/>
    <w:rsid w:val="001C2D95"/>
    <w:rsid w:val="001C32D3"/>
    <w:rsid w:val="001C4703"/>
    <w:rsid w:val="001C5FEF"/>
    <w:rsid w:val="001C6023"/>
    <w:rsid w:val="001C6229"/>
    <w:rsid w:val="001C630C"/>
    <w:rsid w:val="001C6B47"/>
    <w:rsid w:val="001C7244"/>
    <w:rsid w:val="001D0161"/>
    <w:rsid w:val="001D053A"/>
    <w:rsid w:val="001D138D"/>
    <w:rsid w:val="001D1592"/>
    <w:rsid w:val="001D15B7"/>
    <w:rsid w:val="001D1BD9"/>
    <w:rsid w:val="001D1BE1"/>
    <w:rsid w:val="001D3CA9"/>
    <w:rsid w:val="001D3D96"/>
    <w:rsid w:val="001D4E1E"/>
    <w:rsid w:val="001D551A"/>
    <w:rsid w:val="001D5F68"/>
    <w:rsid w:val="001D7862"/>
    <w:rsid w:val="001E0B4B"/>
    <w:rsid w:val="001E1138"/>
    <w:rsid w:val="001E172D"/>
    <w:rsid w:val="001E1D6C"/>
    <w:rsid w:val="001E2E4C"/>
    <w:rsid w:val="001E4202"/>
    <w:rsid w:val="001E4455"/>
    <w:rsid w:val="001E4BA5"/>
    <w:rsid w:val="001E5371"/>
    <w:rsid w:val="001E69F9"/>
    <w:rsid w:val="001E6B49"/>
    <w:rsid w:val="001E719C"/>
    <w:rsid w:val="001F00F6"/>
    <w:rsid w:val="001F0BEC"/>
    <w:rsid w:val="001F196C"/>
    <w:rsid w:val="001F22B0"/>
    <w:rsid w:val="001F26FF"/>
    <w:rsid w:val="001F35DA"/>
    <w:rsid w:val="001F4145"/>
    <w:rsid w:val="001F448D"/>
    <w:rsid w:val="001F49E2"/>
    <w:rsid w:val="001F5155"/>
    <w:rsid w:val="001F5FFB"/>
    <w:rsid w:val="001F600B"/>
    <w:rsid w:val="001F6B71"/>
    <w:rsid w:val="001F6B7B"/>
    <w:rsid w:val="001F74DD"/>
    <w:rsid w:val="002006A2"/>
    <w:rsid w:val="002008D4"/>
    <w:rsid w:val="00201977"/>
    <w:rsid w:val="00202821"/>
    <w:rsid w:val="00203046"/>
    <w:rsid w:val="002044B0"/>
    <w:rsid w:val="002048ED"/>
    <w:rsid w:val="00205253"/>
    <w:rsid w:val="00205500"/>
    <w:rsid w:val="00205659"/>
    <w:rsid w:val="00206108"/>
    <w:rsid w:val="00206552"/>
    <w:rsid w:val="00206947"/>
    <w:rsid w:val="00206A15"/>
    <w:rsid w:val="00207BCC"/>
    <w:rsid w:val="00210A07"/>
    <w:rsid w:val="00210E87"/>
    <w:rsid w:val="00211394"/>
    <w:rsid w:val="00211D17"/>
    <w:rsid w:val="00212822"/>
    <w:rsid w:val="00212CD9"/>
    <w:rsid w:val="00214C7E"/>
    <w:rsid w:val="00215554"/>
    <w:rsid w:val="002169EB"/>
    <w:rsid w:val="00217124"/>
    <w:rsid w:val="002172FA"/>
    <w:rsid w:val="0022074E"/>
    <w:rsid w:val="00222B8B"/>
    <w:rsid w:val="0022300A"/>
    <w:rsid w:val="002231E4"/>
    <w:rsid w:val="0022381E"/>
    <w:rsid w:val="00223915"/>
    <w:rsid w:val="00223E04"/>
    <w:rsid w:val="00224EEA"/>
    <w:rsid w:val="00224F20"/>
    <w:rsid w:val="00225501"/>
    <w:rsid w:val="002255A2"/>
    <w:rsid w:val="0022589F"/>
    <w:rsid w:val="00225968"/>
    <w:rsid w:val="00225BFA"/>
    <w:rsid w:val="00226407"/>
    <w:rsid w:val="00226478"/>
    <w:rsid w:val="002273CF"/>
    <w:rsid w:val="00227D7B"/>
    <w:rsid w:val="00230A43"/>
    <w:rsid w:val="00232293"/>
    <w:rsid w:val="002322BC"/>
    <w:rsid w:val="0023263D"/>
    <w:rsid w:val="00233959"/>
    <w:rsid w:val="00233D8D"/>
    <w:rsid w:val="00234529"/>
    <w:rsid w:val="002357B2"/>
    <w:rsid w:val="00235B42"/>
    <w:rsid w:val="00235E6F"/>
    <w:rsid w:val="00236C95"/>
    <w:rsid w:val="0023715F"/>
    <w:rsid w:val="0023722C"/>
    <w:rsid w:val="00237D5F"/>
    <w:rsid w:val="00240B36"/>
    <w:rsid w:val="0024180B"/>
    <w:rsid w:val="0024241A"/>
    <w:rsid w:val="002440B7"/>
    <w:rsid w:val="00244DE2"/>
    <w:rsid w:val="00245B40"/>
    <w:rsid w:val="00247AE8"/>
    <w:rsid w:val="00247D00"/>
    <w:rsid w:val="00250C65"/>
    <w:rsid w:val="0025147A"/>
    <w:rsid w:val="002517FC"/>
    <w:rsid w:val="00252432"/>
    <w:rsid w:val="002528D0"/>
    <w:rsid w:val="00252C43"/>
    <w:rsid w:val="002538C1"/>
    <w:rsid w:val="00254239"/>
    <w:rsid w:val="002545EA"/>
    <w:rsid w:val="00254621"/>
    <w:rsid w:val="002549E1"/>
    <w:rsid w:val="00254EA1"/>
    <w:rsid w:val="00256B9D"/>
    <w:rsid w:val="0025732B"/>
    <w:rsid w:val="00257420"/>
    <w:rsid w:val="00257FE6"/>
    <w:rsid w:val="002604CF"/>
    <w:rsid w:val="0026066F"/>
    <w:rsid w:val="0026092B"/>
    <w:rsid w:val="00262582"/>
    <w:rsid w:val="00263319"/>
    <w:rsid w:val="002634C8"/>
    <w:rsid w:val="00263915"/>
    <w:rsid w:val="00263D76"/>
    <w:rsid w:val="00265371"/>
    <w:rsid w:val="00265BB9"/>
    <w:rsid w:val="00266A03"/>
    <w:rsid w:val="00266A52"/>
    <w:rsid w:val="00267DCA"/>
    <w:rsid w:val="002702BB"/>
    <w:rsid w:val="002710ED"/>
    <w:rsid w:val="002711FC"/>
    <w:rsid w:val="00272340"/>
    <w:rsid w:val="0027356A"/>
    <w:rsid w:val="00273DA3"/>
    <w:rsid w:val="00274FE6"/>
    <w:rsid w:val="0027584B"/>
    <w:rsid w:val="00275AF0"/>
    <w:rsid w:val="00275BA8"/>
    <w:rsid w:val="00275F75"/>
    <w:rsid w:val="0027615A"/>
    <w:rsid w:val="0027654F"/>
    <w:rsid w:val="00277773"/>
    <w:rsid w:val="002809E5"/>
    <w:rsid w:val="0028246B"/>
    <w:rsid w:val="00282CDB"/>
    <w:rsid w:val="002840F1"/>
    <w:rsid w:val="00284901"/>
    <w:rsid w:val="00284FD3"/>
    <w:rsid w:val="00285D18"/>
    <w:rsid w:val="00285D71"/>
    <w:rsid w:val="00286760"/>
    <w:rsid w:val="0028713E"/>
    <w:rsid w:val="00287BA6"/>
    <w:rsid w:val="00290730"/>
    <w:rsid w:val="00291508"/>
    <w:rsid w:val="00291CEB"/>
    <w:rsid w:val="0029229F"/>
    <w:rsid w:val="0029269A"/>
    <w:rsid w:val="0029349E"/>
    <w:rsid w:val="00293789"/>
    <w:rsid w:val="002940B6"/>
    <w:rsid w:val="00294D8A"/>
    <w:rsid w:val="00294FAA"/>
    <w:rsid w:val="00295BDC"/>
    <w:rsid w:val="002961F6"/>
    <w:rsid w:val="00296419"/>
    <w:rsid w:val="0029644E"/>
    <w:rsid w:val="0029647B"/>
    <w:rsid w:val="00297531"/>
    <w:rsid w:val="002A01D6"/>
    <w:rsid w:val="002A058A"/>
    <w:rsid w:val="002A21A2"/>
    <w:rsid w:val="002A21EE"/>
    <w:rsid w:val="002A2972"/>
    <w:rsid w:val="002A44F3"/>
    <w:rsid w:val="002A47AA"/>
    <w:rsid w:val="002A7A86"/>
    <w:rsid w:val="002A7B23"/>
    <w:rsid w:val="002B0A10"/>
    <w:rsid w:val="002B1FCC"/>
    <w:rsid w:val="002B2345"/>
    <w:rsid w:val="002B2D97"/>
    <w:rsid w:val="002B3111"/>
    <w:rsid w:val="002B44BE"/>
    <w:rsid w:val="002B5E2E"/>
    <w:rsid w:val="002C03BD"/>
    <w:rsid w:val="002C0801"/>
    <w:rsid w:val="002C0BBB"/>
    <w:rsid w:val="002C11AC"/>
    <w:rsid w:val="002C18FA"/>
    <w:rsid w:val="002C1CCE"/>
    <w:rsid w:val="002C2058"/>
    <w:rsid w:val="002C2CFC"/>
    <w:rsid w:val="002C424A"/>
    <w:rsid w:val="002C42C9"/>
    <w:rsid w:val="002C4686"/>
    <w:rsid w:val="002C614E"/>
    <w:rsid w:val="002C61FF"/>
    <w:rsid w:val="002C6DF0"/>
    <w:rsid w:val="002D06F5"/>
    <w:rsid w:val="002D17F6"/>
    <w:rsid w:val="002D357D"/>
    <w:rsid w:val="002D4226"/>
    <w:rsid w:val="002D439E"/>
    <w:rsid w:val="002D54D4"/>
    <w:rsid w:val="002D597E"/>
    <w:rsid w:val="002D6110"/>
    <w:rsid w:val="002D6144"/>
    <w:rsid w:val="002D6F4F"/>
    <w:rsid w:val="002E0A4E"/>
    <w:rsid w:val="002E0A50"/>
    <w:rsid w:val="002E0AC1"/>
    <w:rsid w:val="002E0D93"/>
    <w:rsid w:val="002E0FD4"/>
    <w:rsid w:val="002E128B"/>
    <w:rsid w:val="002E1ECD"/>
    <w:rsid w:val="002E2D79"/>
    <w:rsid w:val="002E3F4C"/>
    <w:rsid w:val="002E4D3A"/>
    <w:rsid w:val="002E540A"/>
    <w:rsid w:val="002E554E"/>
    <w:rsid w:val="002E5724"/>
    <w:rsid w:val="002E646B"/>
    <w:rsid w:val="002E6787"/>
    <w:rsid w:val="002E7FC1"/>
    <w:rsid w:val="002F0719"/>
    <w:rsid w:val="002F0ED2"/>
    <w:rsid w:val="002F0F89"/>
    <w:rsid w:val="002F122F"/>
    <w:rsid w:val="002F172B"/>
    <w:rsid w:val="002F1D82"/>
    <w:rsid w:val="002F3C9C"/>
    <w:rsid w:val="002F45DC"/>
    <w:rsid w:val="002F5483"/>
    <w:rsid w:val="002F5D11"/>
    <w:rsid w:val="002F6FCF"/>
    <w:rsid w:val="002F7919"/>
    <w:rsid w:val="002F7CE2"/>
    <w:rsid w:val="003000E5"/>
    <w:rsid w:val="00302A85"/>
    <w:rsid w:val="00302AC7"/>
    <w:rsid w:val="00302E0B"/>
    <w:rsid w:val="00303CB1"/>
    <w:rsid w:val="00304028"/>
    <w:rsid w:val="003040D0"/>
    <w:rsid w:val="003042E6"/>
    <w:rsid w:val="003046F6"/>
    <w:rsid w:val="00304732"/>
    <w:rsid w:val="00305DCD"/>
    <w:rsid w:val="00306261"/>
    <w:rsid w:val="00306294"/>
    <w:rsid w:val="0030634A"/>
    <w:rsid w:val="00306658"/>
    <w:rsid w:val="00306B66"/>
    <w:rsid w:val="00310FBE"/>
    <w:rsid w:val="00311021"/>
    <w:rsid w:val="0031254E"/>
    <w:rsid w:val="003132E2"/>
    <w:rsid w:val="00313761"/>
    <w:rsid w:val="00314955"/>
    <w:rsid w:val="00314A68"/>
    <w:rsid w:val="00314B80"/>
    <w:rsid w:val="003153CF"/>
    <w:rsid w:val="003162B9"/>
    <w:rsid w:val="003174BE"/>
    <w:rsid w:val="00317740"/>
    <w:rsid w:val="00317FB3"/>
    <w:rsid w:val="00320ABC"/>
    <w:rsid w:val="003219B2"/>
    <w:rsid w:val="0032315E"/>
    <w:rsid w:val="003233F9"/>
    <w:rsid w:val="00324034"/>
    <w:rsid w:val="0032560E"/>
    <w:rsid w:val="0032588A"/>
    <w:rsid w:val="00325A05"/>
    <w:rsid w:val="00325E95"/>
    <w:rsid w:val="003279AF"/>
    <w:rsid w:val="003300A5"/>
    <w:rsid w:val="0033098D"/>
    <w:rsid w:val="00330A8F"/>
    <w:rsid w:val="00330BD8"/>
    <w:rsid w:val="00330D5F"/>
    <w:rsid w:val="003312A0"/>
    <w:rsid w:val="00331A67"/>
    <w:rsid w:val="00331BF4"/>
    <w:rsid w:val="00332C29"/>
    <w:rsid w:val="00332DE4"/>
    <w:rsid w:val="003331BC"/>
    <w:rsid w:val="00333370"/>
    <w:rsid w:val="0033418E"/>
    <w:rsid w:val="0033431E"/>
    <w:rsid w:val="00334A2E"/>
    <w:rsid w:val="00335798"/>
    <w:rsid w:val="00335AE8"/>
    <w:rsid w:val="00336A06"/>
    <w:rsid w:val="0033732A"/>
    <w:rsid w:val="00337BAB"/>
    <w:rsid w:val="0034037D"/>
    <w:rsid w:val="00340FEE"/>
    <w:rsid w:val="0034143D"/>
    <w:rsid w:val="00341AB0"/>
    <w:rsid w:val="003428D4"/>
    <w:rsid w:val="00342C50"/>
    <w:rsid w:val="00342E32"/>
    <w:rsid w:val="00343C5A"/>
    <w:rsid w:val="003447EE"/>
    <w:rsid w:val="00345DEF"/>
    <w:rsid w:val="00346177"/>
    <w:rsid w:val="003464BA"/>
    <w:rsid w:val="00346E5D"/>
    <w:rsid w:val="00347873"/>
    <w:rsid w:val="00347954"/>
    <w:rsid w:val="00347A03"/>
    <w:rsid w:val="00347C31"/>
    <w:rsid w:val="00347DEC"/>
    <w:rsid w:val="0035001F"/>
    <w:rsid w:val="00350C5D"/>
    <w:rsid w:val="00350F89"/>
    <w:rsid w:val="00351621"/>
    <w:rsid w:val="00351B81"/>
    <w:rsid w:val="0035274E"/>
    <w:rsid w:val="00355A46"/>
    <w:rsid w:val="00355D9B"/>
    <w:rsid w:val="00355F45"/>
    <w:rsid w:val="0035630D"/>
    <w:rsid w:val="0035741C"/>
    <w:rsid w:val="003577CC"/>
    <w:rsid w:val="00361A46"/>
    <w:rsid w:val="00361B11"/>
    <w:rsid w:val="00362113"/>
    <w:rsid w:val="003624F5"/>
    <w:rsid w:val="00362845"/>
    <w:rsid w:val="00363004"/>
    <w:rsid w:val="00363517"/>
    <w:rsid w:val="00363B5F"/>
    <w:rsid w:val="0036438E"/>
    <w:rsid w:val="00364593"/>
    <w:rsid w:val="00364632"/>
    <w:rsid w:val="003649DB"/>
    <w:rsid w:val="00364CD6"/>
    <w:rsid w:val="00364F50"/>
    <w:rsid w:val="00365510"/>
    <w:rsid w:val="003705B4"/>
    <w:rsid w:val="00370E8C"/>
    <w:rsid w:val="00371098"/>
    <w:rsid w:val="003716F2"/>
    <w:rsid w:val="0037178B"/>
    <w:rsid w:val="00371EAD"/>
    <w:rsid w:val="00371EBF"/>
    <w:rsid w:val="0037306F"/>
    <w:rsid w:val="003735FA"/>
    <w:rsid w:val="003736A7"/>
    <w:rsid w:val="0037388A"/>
    <w:rsid w:val="00373900"/>
    <w:rsid w:val="0037463C"/>
    <w:rsid w:val="00375133"/>
    <w:rsid w:val="00375FC2"/>
    <w:rsid w:val="00375FD1"/>
    <w:rsid w:val="00380851"/>
    <w:rsid w:val="003812F0"/>
    <w:rsid w:val="003838FE"/>
    <w:rsid w:val="003849C8"/>
    <w:rsid w:val="00385141"/>
    <w:rsid w:val="00385177"/>
    <w:rsid w:val="003852AA"/>
    <w:rsid w:val="00386120"/>
    <w:rsid w:val="003866E5"/>
    <w:rsid w:val="003867A4"/>
    <w:rsid w:val="003869EF"/>
    <w:rsid w:val="00386CFD"/>
    <w:rsid w:val="00387358"/>
    <w:rsid w:val="00387674"/>
    <w:rsid w:val="00390685"/>
    <w:rsid w:val="0039157B"/>
    <w:rsid w:val="00391960"/>
    <w:rsid w:val="00392184"/>
    <w:rsid w:val="0039381B"/>
    <w:rsid w:val="0039470C"/>
    <w:rsid w:val="00394879"/>
    <w:rsid w:val="00395A68"/>
    <w:rsid w:val="00396F3B"/>
    <w:rsid w:val="003970EB"/>
    <w:rsid w:val="00397A0B"/>
    <w:rsid w:val="00397B16"/>
    <w:rsid w:val="003A0BB2"/>
    <w:rsid w:val="003A0F33"/>
    <w:rsid w:val="003A16AE"/>
    <w:rsid w:val="003A224D"/>
    <w:rsid w:val="003A241D"/>
    <w:rsid w:val="003A2EC6"/>
    <w:rsid w:val="003A3528"/>
    <w:rsid w:val="003A38BA"/>
    <w:rsid w:val="003A4C7C"/>
    <w:rsid w:val="003A5102"/>
    <w:rsid w:val="003A6192"/>
    <w:rsid w:val="003A7D2A"/>
    <w:rsid w:val="003B0084"/>
    <w:rsid w:val="003B0E36"/>
    <w:rsid w:val="003B0E60"/>
    <w:rsid w:val="003B157A"/>
    <w:rsid w:val="003B1F1D"/>
    <w:rsid w:val="003B22F5"/>
    <w:rsid w:val="003B35C6"/>
    <w:rsid w:val="003B377D"/>
    <w:rsid w:val="003B3DEC"/>
    <w:rsid w:val="003B4519"/>
    <w:rsid w:val="003B5A04"/>
    <w:rsid w:val="003B5E56"/>
    <w:rsid w:val="003B5ED1"/>
    <w:rsid w:val="003B651A"/>
    <w:rsid w:val="003B6526"/>
    <w:rsid w:val="003B66E4"/>
    <w:rsid w:val="003B6D66"/>
    <w:rsid w:val="003B6EE0"/>
    <w:rsid w:val="003B75D3"/>
    <w:rsid w:val="003B7610"/>
    <w:rsid w:val="003B7B2D"/>
    <w:rsid w:val="003B7B74"/>
    <w:rsid w:val="003C20A4"/>
    <w:rsid w:val="003C2423"/>
    <w:rsid w:val="003C38ED"/>
    <w:rsid w:val="003C42C5"/>
    <w:rsid w:val="003C46BB"/>
    <w:rsid w:val="003C51E2"/>
    <w:rsid w:val="003C622E"/>
    <w:rsid w:val="003C6D5D"/>
    <w:rsid w:val="003D0930"/>
    <w:rsid w:val="003D0C44"/>
    <w:rsid w:val="003D0D9A"/>
    <w:rsid w:val="003D19FD"/>
    <w:rsid w:val="003D1EAB"/>
    <w:rsid w:val="003D29F1"/>
    <w:rsid w:val="003D2C09"/>
    <w:rsid w:val="003D335B"/>
    <w:rsid w:val="003D3ADE"/>
    <w:rsid w:val="003D3FFA"/>
    <w:rsid w:val="003D4348"/>
    <w:rsid w:val="003D44D6"/>
    <w:rsid w:val="003D4E04"/>
    <w:rsid w:val="003D549C"/>
    <w:rsid w:val="003D6048"/>
    <w:rsid w:val="003D6A4F"/>
    <w:rsid w:val="003D7A7A"/>
    <w:rsid w:val="003D7EE6"/>
    <w:rsid w:val="003E0291"/>
    <w:rsid w:val="003E0AA1"/>
    <w:rsid w:val="003E0AC9"/>
    <w:rsid w:val="003E0DF0"/>
    <w:rsid w:val="003E13E7"/>
    <w:rsid w:val="003E298A"/>
    <w:rsid w:val="003E2A50"/>
    <w:rsid w:val="003E3B78"/>
    <w:rsid w:val="003E3DF6"/>
    <w:rsid w:val="003E4105"/>
    <w:rsid w:val="003E4326"/>
    <w:rsid w:val="003E7AE2"/>
    <w:rsid w:val="003F0504"/>
    <w:rsid w:val="003F08BE"/>
    <w:rsid w:val="003F0A07"/>
    <w:rsid w:val="003F0F28"/>
    <w:rsid w:val="003F0F8B"/>
    <w:rsid w:val="003F1B6A"/>
    <w:rsid w:val="003F3B12"/>
    <w:rsid w:val="003F42B4"/>
    <w:rsid w:val="003F442B"/>
    <w:rsid w:val="003F45FF"/>
    <w:rsid w:val="003F4CFC"/>
    <w:rsid w:val="003F50D0"/>
    <w:rsid w:val="003F5652"/>
    <w:rsid w:val="003F5677"/>
    <w:rsid w:val="003F595E"/>
    <w:rsid w:val="003F6B7A"/>
    <w:rsid w:val="003F6E09"/>
    <w:rsid w:val="004004C1"/>
    <w:rsid w:val="0040093A"/>
    <w:rsid w:val="004015A8"/>
    <w:rsid w:val="004015E0"/>
    <w:rsid w:val="00401E0F"/>
    <w:rsid w:val="004021DC"/>
    <w:rsid w:val="00403209"/>
    <w:rsid w:val="004035E6"/>
    <w:rsid w:val="00403FBB"/>
    <w:rsid w:val="00404713"/>
    <w:rsid w:val="00404D30"/>
    <w:rsid w:val="00405EE0"/>
    <w:rsid w:val="00405EE4"/>
    <w:rsid w:val="004060FE"/>
    <w:rsid w:val="00406171"/>
    <w:rsid w:val="00407449"/>
    <w:rsid w:val="00410196"/>
    <w:rsid w:val="00410697"/>
    <w:rsid w:val="00411AA9"/>
    <w:rsid w:val="00411D3B"/>
    <w:rsid w:val="00411E70"/>
    <w:rsid w:val="00412A0B"/>
    <w:rsid w:val="0041363F"/>
    <w:rsid w:val="00413957"/>
    <w:rsid w:val="00413EF7"/>
    <w:rsid w:val="004140D0"/>
    <w:rsid w:val="00415558"/>
    <w:rsid w:val="0041586D"/>
    <w:rsid w:val="00416D09"/>
    <w:rsid w:val="004178E8"/>
    <w:rsid w:val="00420588"/>
    <w:rsid w:val="00421067"/>
    <w:rsid w:val="00421BDA"/>
    <w:rsid w:val="00421F7D"/>
    <w:rsid w:val="004220E6"/>
    <w:rsid w:val="00422963"/>
    <w:rsid w:val="00422AA0"/>
    <w:rsid w:val="0042422E"/>
    <w:rsid w:val="004251EF"/>
    <w:rsid w:val="00425344"/>
    <w:rsid w:val="00425BF6"/>
    <w:rsid w:val="00425E16"/>
    <w:rsid w:val="00426053"/>
    <w:rsid w:val="00426196"/>
    <w:rsid w:val="004271DA"/>
    <w:rsid w:val="00430434"/>
    <w:rsid w:val="00430A06"/>
    <w:rsid w:val="00430FF5"/>
    <w:rsid w:val="004312C7"/>
    <w:rsid w:val="0043340B"/>
    <w:rsid w:val="004339B3"/>
    <w:rsid w:val="00435FA0"/>
    <w:rsid w:val="00436077"/>
    <w:rsid w:val="00436095"/>
    <w:rsid w:val="00437C16"/>
    <w:rsid w:val="00440955"/>
    <w:rsid w:val="0044129D"/>
    <w:rsid w:val="00441734"/>
    <w:rsid w:val="004423C0"/>
    <w:rsid w:val="00442D0A"/>
    <w:rsid w:val="00442D16"/>
    <w:rsid w:val="0044396D"/>
    <w:rsid w:val="00443B09"/>
    <w:rsid w:val="00444FC4"/>
    <w:rsid w:val="00445527"/>
    <w:rsid w:val="004458A4"/>
    <w:rsid w:val="004459EB"/>
    <w:rsid w:val="0044604C"/>
    <w:rsid w:val="00446349"/>
    <w:rsid w:val="00446C1C"/>
    <w:rsid w:val="00447767"/>
    <w:rsid w:val="004479BD"/>
    <w:rsid w:val="004500D9"/>
    <w:rsid w:val="00450961"/>
    <w:rsid w:val="00450D8E"/>
    <w:rsid w:val="004515AC"/>
    <w:rsid w:val="0045216A"/>
    <w:rsid w:val="004524F7"/>
    <w:rsid w:val="0045284C"/>
    <w:rsid w:val="00452F5C"/>
    <w:rsid w:val="00453DC3"/>
    <w:rsid w:val="00453DF7"/>
    <w:rsid w:val="00453F86"/>
    <w:rsid w:val="00454467"/>
    <w:rsid w:val="004555F2"/>
    <w:rsid w:val="004556CA"/>
    <w:rsid w:val="00455903"/>
    <w:rsid w:val="00456146"/>
    <w:rsid w:val="004561DB"/>
    <w:rsid w:val="0045638D"/>
    <w:rsid w:val="004564AB"/>
    <w:rsid w:val="0045673B"/>
    <w:rsid w:val="00457936"/>
    <w:rsid w:val="00457F41"/>
    <w:rsid w:val="004607F8"/>
    <w:rsid w:val="004615E8"/>
    <w:rsid w:val="0046234B"/>
    <w:rsid w:val="00463567"/>
    <w:rsid w:val="004638B6"/>
    <w:rsid w:val="00463E73"/>
    <w:rsid w:val="0046433E"/>
    <w:rsid w:val="004643F4"/>
    <w:rsid w:val="004647BE"/>
    <w:rsid w:val="00464D52"/>
    <w:rsid w:val="00465360"/>
    <w:rsid w:val="00465829"/>
    <w:rsid w:val="00466169"/>
    <w:rsid w:val="004661AE"/>
    <w:rsid w:val="00466618"/>
    <w:rsid w:val="004668DD"/>
    <w:rsid w:val="00467458"/>
    <w:rsid w:val="00467A5F"/>
    <w:rsid w:val="00467D19"/>
    <w:rsid w:val="00470E46"/>
    <w:rsid w:val="0047137B"/>
    <w:rsid w:val="004719CB"/>
    <w:rsid w:val="00471B31"/>
    <w:rsid w:val="00471E13"/>
    <w:rsid w:val="00472B09"/>
    <w:rsid w:val="00474AF0"/>
    <w:rsid w:val="00475EDF"/>
    <w:rsid w:val="00476403"/>
    <w:rsid w:val="00477647"/>
    <w:rsid w:val="00477A20"/>
    <w:rsid w:val="00481C40"/>
    <w:rsid w:val="00482B5F"/>
    <w:rsid w:val="00484AED"/>
    <w:rsid w:val="00484CCB"/>
    <w:rsid w:val="004857AC"/>
    <w:rsid w:val="00487299"/>
    <w:rsid w:val="00487692"/>
    <w:rsid w:val="00487E87"/>
    <w:rsid w:val="004907FC"/>
    <w:rsid w:val="00490AB8"/>
    <w:rsid w:val="00491260"/>
    <w:rsid w:val="0049186A"/>
    <w:rsid w:val="0049291F"/>
    <w:rsid w:val="00492D41"/>
    <w:rsid w:val="00493128"/>
    <w:rsid w:val="0049382C"/>
    <w:rsid w:val="004938FA"/>
    <w:rsid w:val="00495611"/>
    <w:rsid w:val="00495B98"/>
    <w:rsid w:val="00495C19"/>
    <w:rsid w:val="00495ED7"/>
    <w:rsid w:val="004965D4"/>
    <w:rsid w:val="004968D4"/>
    <w:rsid w:val="00496FA5"/>
    <w:rsid w:val="0049722B"/>
    <w:rsid w:val="00497844"/>
    <w:rsid w:val="00497D4B"/>
    <w:rsid w:val="00497F89"/>
    <w:rsid w:val="00497F91"/>
    <w:rsid w:val="004A0AAB"/>
    <w:rsid w:val="004A132B"/>
    <w:rsid w:val="004A2102"/>
    <w:rsid w:val="004A2F5B"/>
    <w:rsid w:val="004A3A6C"/>
    <w:rsid w:val="004A3C62"/>
    <w:rsid w:val="004A3D65"/>
    <w:rsid w:val="004A4697"/>
    <w:rsid w:val="004A645E"/>
    <w:rsid w:val="004A64CA"/>
    <w:rsid w:val="004A6BBD"/>
    <w:rsid w:val="004A7375"/>
    <w:rsid w:val="004A7A4B"/>
    <w:rsid w:val="004A7EBB"/>
    <w:rsid w:val="004B0016"/>
    <w:rsid w:val="004B10CE"/>
    <w:rsid w:val="004B11DA"/>
    <w:rsid w:val="004B133E"/>
    <w:rsid w:val="004B1B1D"/>
    <w:rsid w:val="004B27B4"/>
    <w:rsid w:val="004B3374"/>
    <w:rsid w:val="004B3F47"/>
    <w:rsid w:val="004B500D"/>
    <w:rsid w:val="004B5EEB"/>
    <w:rsid w:val="004B5F55"/>
    <w:rsid w:val="004B6051"/>
    <w:rsid w:val="004B6366"/>
    <w:rsid w:val="004B6D81"/>
    <w:rsid w:val="004B70D5"/>
    <w:rsid w:val="004B7D57"/>
    <w:rsid w:val="004C0904"/>
    <w:rsid w:val="004C168B"/>
    <w:rsid w:val="004C1AA7"/>
    <w:rsid w:val="004C3982"/>
    <w:rsid w:val="004C3F2F"/>
    <w:rsid w:val="004C5024"/>
    <w:rsid w:val="004C57C9"/>
    <w:rsid w:val="004C5CAF"/>
    <w:rsid w:val="004C6333"/>
    <w:rsid w:val="004C655B"/>
    <w:rsid w:val="004C68DA"/>
    <w:rsid w:val="004C6C53"/>
    <w:rsid w:val="004C6D94"/>
    <w:rsid w:val="004C759B"/>
    <w:rsid w:val="004C75BB"/>
    <w:rsid w:val="004C7DB0"/>
    <w:rsid w:val="004D0FA2"/>
    <w:rsid w:val="004D2C89"/>
    <w:rsid w:val="004D3338"/>
    <w:rsid w:val="004D3645"/>
    <w:rsid w:val="004D3BD0"/>
    <w:rsid w:val="004D59C8"/>
    <w:rsid w:val="004D62EF"/>
    <w:rsid w:val="004D6426"/>
    <w:rsid w:val="004D6534"/>
    <w:rsid w:val="004D6609"/>
    <w:rsid w:val="004D6FDB"/>
    <w:rsid w:val="004D7053"/>
    <w:rsid w:val="004D75A3"/>
    <w:rsid w:val="004E07EF"/>
    <w:rsid w:val="004E177B"/>
    <w:rsid w:val="004E368D"/>
    <w:rsid w:val="004E40BA"/>
    <w:rsid w:val="004E466A"/>
    <w:rsid w:val="004E4B71"/>
    <w:rsid w:val="004E4BF6"/>
    <w:rsid w:val="004E5FB8"/>
    <w:rsid w:val="004E6873"/>
    <w:rsid w:val="004E6FCA"/>
    <w:rsid w:val="004E7818"/>
    <w:rsid w:val="004E79DF"/>
    <w:rsid w:val="004F0482"/>
    <w:rsid w:val="004F1042"/>
    <w:rsid w:val="004F112D"/>
    <w:rsid w:val="004F115B"/>
    <w:rsid w:val="004F1581"/>
    <w:rsid w:val="004F17C3"/>
    <w:rsid w:val="004F1FFD"/>
    <w:rsid w:val="004F3015"/>
    <w:rsid w:val="004F424D"/>
    <w:rsid w:val="004F4D30"/>
    <w:rsid w:val="004F54CD"/>
    <w:rsid w:val="004F5CCA"/>
    <w:rsid w:val="004F600F"/>
    <w:rsid w:val="004F64A8"/>
    <w:rsid w:val="004F69D8"/>
    <w:rsid w:val="004F6B3B"/>
    <w:rsid w:val="004F6BC6"/>
    <w:rsid w:val="004F77B9"/>
    <w:rsid w:val="00500015"/>
    <w:rsid w:val="005011E2"/>
    <w:rsid w:val="005012E1"/>
    <w:rsid w:val="005028C8"/>
    <w:rsid w:val="0050294A"/>
    <w:rsid w:val="00502D6E"/>
    <w:rsid w:val="0050328F"/>
    <w:rsid w:val="00503789"/>
    <w:rsid w:val="00504272"/>
    <w:rsid w:val="00504DD4"/>
    <w:rsid w:val="00504E17"/>
    <w:rsid w:val="00505AD7"/>
    <w:rsid w:val="00506071"/>
    <w:rsid w:val="00506251"/>
    <w:rsid w:val="00506CBC"/>
    <w:rsid w:val="00506F26"/>
    <w:rsid w:val="00507034"/>
    <w:rsid w:val="00507DC1"/>
    <w:rsid w:val="00507EBF"/>
    <w:rsid w:val="00510110"/>
    <w:rsid w:val="00510AF3"/>
    <w:rsid w:val="00512340"/>
    <w:rsid w:val="005123CB"/>
    <w:rsid w:val="00512619"/>
    <w:rsid w:val="00512DB5"/>
    <w:rsid w:val="0051442A"/>
    <w:rsid w:val="00515118"/>
    <w:rsid w:val="00515242"/>
    <w:rsid w:val="00515A63"/>
    <w:rsid w:val="00515C3A"/>
    <w:rsid w:val="00515FF3"/>
    <w:rsid w:val="005165D0"/>
    <w:rsid w:val="005165E9"/>
    <w:rsid w:val="00516CC7"/>
    <w:rsid w:val="00517D79"/>
    <w:rsid w:val="00520AF4"/>
    <w:rsid w:val="00520DB1"/>
    <w:rsid w:val="005226C0"/>
    <w:rsid w:val="00522B5E"/>
    <w:rsid w:val="00522CD0"/>
    <w:rsid w:val="00523254"/>
    <w:rsid w:val="00524F20"/>
    <w:rsid w:val="0052533A"/>
    <w:rsid w:val="00525C60"/>
    <w:rsid w:val="00526466"/>
    <w:rsid w:val="005265F2"/>
    <w:rsid w:val="00526985"/>
    <w:rsid w:val="00527342"/>
    <w:rsid w:val="0052798E"/>
    <w:rsid w:val="0053006C"/>
    <w:rsid w:val="005302B3"/>
    <w:rsid w:val="00530AB6"/>
    <w:rsid w:val="00530F5D"/>
    <w:rsid w:val="00531884"/>
    <w:rsid w:val="00531D02"/>
    <w:rsid w:val="00531F38"/>
    <w:rsid w:val="00532200"/>
    <w:rsid w:val="00532556"/>
    <w:rsid w:val="00533D81"/>
    <w:rsid w:val="00533FD4"/>
    <w:rsid w:val="00534576"/>
    <w:rsid w:val="00534AE6"/>
    <w:rsid w:val="00535111"/>
    <w:rsid w:val="005362D5"/>
    <w:rsid w:val="00536CCD"/>
    <w:rsid w:val="005371C8"/>
    <w:rsid w:val="00537E1C"/>
    <w:rsid w:val="00540DDF"/>
    <w:rsid w:val="0054171B"/>
    <w:rsid w:val="00541EF4"/>
    <w:rsid w:val="0054249B"/>
    <w:rsid w:val="0054268E"/>
    <w:rsid w:val="00542759"/>
    <w:rsid w:val="00542F88"/>
    <w:rsid w:val="005437AE"/>
    <w:rsid w:val="00543CCB"/>
    <w:rsid w:val="00543CD3"/>
    <w:rsid w:val="00544AB4"/>
    <w:rsid w:val="00544F7D"/>
    <w:rsid w:val="00545201"/>
    <w:rsid w:val="005463FB"/>
    <w:rsid w:val="00546C16"/>
    <w:rsid w:val="00546FAB"/>
    <w:rsid w:val="0054752F"/>
    <w:rsid w:val="00547FDC"/>
    <w:rsid w:val="00550281"/>
    <w:rsid w:val="0055064A"/>
    <w:rsid w:val="00551BA0"/>
    <w:rsid w:val="00552253"/>
    <w:rsid w:val="00552517"/>
    <w:rsid w:val="00552F7D"/>
    <w:rsid w:val="005530EB"/>
    <w:rsid w:val="00553CF9"/>
    <w:rsid w:val="005552F0"/>
    <w:rsid w:val="00555595"/>
    <w:rsid w:val="00556036"/>
    <w:rsid w:val="005560C8"/>
    <w:rsid w:val="00556F99"/>
    <w:rsid w:val="0055721C"/>
    <w:rsid w:val="005575E1"/>
    <w:rsid w:val="00557D31"/>
    <w:rsid w:val="0056029E"/>
    <w:rsid w:val="00560D04"/>
    <w:rsid w:val="005624FC"/>
    <w:rsid w:val="0056262A"/>
    <w:rsid w:val="0056343A"/>
    <w:rsid w:val="00564262"/>
    <w:rsid w:val="00564582"/>
    <w:rsid w:val="00564FD1"/>
    <w:rsid w:val="0056527E"/>
    <w:rsid w:val="005654D9"/>
    <w:rsid w:val="005655EF"/>
    <w:rsid w:val="0056644D"/>
    <w:rsid w:val="005668B8"/>
    <w:rsid w:val="00567D6E"/>
    <w:rsid w:val="00570230"/>
    <w:rsid w:val="00571842"/>
    <w:rsid w:val="00571853"/>
    <w:rsid w:val="00572D60"/>
    <w:rsid w:val="00573008"/>
    <w:rsid w:val="005730EC"/>
    <w:rsid w:val="0057316D"/>
    <w:rsid w:val="005731A1"/>
    <w:rsid w:val="00573C9F"/>
    <w:rsid w:val="0057455C"/>
    <w:rsid w:val="005747C2"/>
    <w:rsid w:val="0057489A"/>
    <w:rsid w:val="00574F45"/>
    <w:rsid w:val="00575982"/>
    <w:rsid w:val="00576987"/>
    <w:rsid w:val="005778DC"/>
    <w:rsid w:val="0058020B"/>
    <w:rsid w:val="005803D9"/>
    <w:rsid w:val="005806A1"/>
    <w:rsid w:val="00580752"/>
    <w:rsid w:val="005811B5"/>
    <w:rsid w:val="00582FB3"/>
    <w:rsid w:val="005837FB"/>
    <w:rsid w:val="00583AEE"/>
    <w:rsid w:val="00583F64"/>
    <w:rsid w:val="00584334"/>
    <w:rsid w:val="00584CBF"/>
    <w:rsid w:val="005851F5"/>
    <w:rsid w:val="00585C87"/>
    <w:rsid w:val="00586754"/>
    <w:rsid w:val="0058730B"/>
    <w:rsid w:val="005878A6"/>
    <w:rsid w:val="005879CA"/>
    <w:rsid w:val="00587AD7"/>
    <w:rsid w:val="00590425"/>
    <w:rsid w:val="00590456"/>
    <w:rsid w:val="00590C5B"/>
    <w:rsid w:val="00591C27"/>
    <w:rsid w:val="00591E7F"/>
    <w:rsid w:val="00592108"/>
    <w:rsid w:val="005921D2"/>
    <w:rsid w:val="00592562"/>
    <w:rsid w:val="0059319E"/>
    <w:rsid w:val="00593C52"/>
    <w:rsid w:val="0059570B"/>
    <w:rsid w:val="00595EEE"/>
    <w:rsid w:val="00596C95"/>
    <w:rsid w:val="00597C05"/>
    <w:rsid w:val="00597EAA"/>
    <w:rsid w:val="005A0392"/>
    <w:rsid w:val="005A0A35"/>
    <w:rsid w:val="005A0C4F"/>
    <w:rsid w:val="005A11AB"/>
    <w:rsid w:val="005A1984"/>
    <w:rsid w:val="005A1B0A"/>
    <w:rsid w:val="005A1E98"/>
    <w:rsid w:val="005A26B6"/>
    <w:rsid w:val="005A26BC"/>
    <w:rsid w:val="005A26EC"/>
    <w:rsid w:val="005A3B7A"/>
    <w:rsid w:val="005A692A"/>
    <w:rsid w:val="005A7791"/>
    <w:rsid w:val="005A77C9"/>
    <w:rsid w:val="005A7EAF"/>
    <w:rsid w:val="005B05DF"/>
    <w:rsid w:val="005B064C"/>
    <w:rsid w:val="005B0FCE"/>
    <w:rsid w:val="005B1875"/>
    <w:rsid w:val="005B251A"/>
    <w:rsid w:val="005B2BBD"/>
    <w:rsid w:val="005B2DF5"/>
    <w:rsid w:val="005B3531"/>
    <w:rsid w:val="005B3614"/>
    <w:rsid w:val="005B39AF"/>
    <w:rsid w:val="005B3F13"/>
    <w:rsid w:val="005B4D7F"/>
    <w:rsid w:val="005B4D86"/>
    <w:rsid w:val="005B70B6"/>
    <w:rsid w:val="005B7BE0"/>
    <w:rsid w:val="005C0652"/>
    <w:rsid w:val="005C08D1"/>
    <w:rsid w:val="005C12D3"/>
    <w:rsid w:val="005C17D2"/>
    <w:rsid w:val="005C1DEE"/>
    <w:rsid w:val="005C1E52"/>
    <w:rsid w:val="005C4E17"/>
    <w:rsid w:val="005C52B0"/>
    <w:rsid w:val="005C5A87"/>
    <w:rsid w:val="005C609A"/>
    <w:rsid w:val="005C6C5D"/>
    <w:rsid w:val="005C6E73"/>
    <w:rsid w:val="005C7A47"/>
    <w:rsid w:val="005D0286"/>
    <w:rsid w:val="005D0B00"/>
    <w:rsid w:val="005D0F45"/>
    <w:rsid w:val="005D12B3"/>
    <w:rsid w:val="005D150D"/>
    <w:rsid w:val="005D2476"/>
    <w:rsid w:val="005D24D2"/>
    <w:rsid w:val="005D2E95"/>
    <w:rsid w:val="005D31CC"/>
    <w:rsid w:val="005D34BA"/>
    <w:rsid w:val="005D3807"/>
    <w:rsid w:val="005D3A30"/>
    <w:rsid w:val="005D3AA8"/>
    <w:rsid w:val="005D42F0"/>
    <w:rsid w:val="005D4420"/>
    <w:rsid w:val="005D44EA"/>
    <w:rsid w:val="005D471D"/>
    <w:rsid w:val="005D4DB0"/>
    <w:rsid w:val="005D6243"/>
    <w:rsid w:val="005D646D"/>
    <w:rsid w:val="005D7A10"/>
    <w:rsid w:val="005E0B84"/>
    <w:rsid w:val="005E1B8B"/>
    <w:rsid w:val="005E1F18"/>
    <w:rsid w:val="005E2B45"/>
    <w:rsid w:val="005E2E0D"/>
    <w:rsid w:val="005E3EDF"/>
    <w:rsid w:val="005E4164"/>
    <w:rsid w:val="005E55F3"/>
    <w:rsid w:val="005E5ABF"/>
    <w:rsid w:val="005E606D"/>
    <w:rsid w:val="005E69BC"/>
    <w:rsid w:val="005E6EF9"/>
    <w:rsid w:val="005E71A7"/>
    <w:rsid w:val="005E7CDF"/>
    <w:rsid w:val="005E7E83"/>
    <w:rsid w:val="005F01B2"/>
    <w:rsid w:val="005F090B"/>
    <w:rsid w:val="005F09CE"/>
    <w:rsid w:val="005F0D6B"/>
    <w:rsid w:val="005F0ECC"/>
    <w:rsid w:val="005F16FE"/>
    <w:rsid w:val="005F1F0A"/>
    <w:rsid w:val="005F2F92"/>
    <w:rsid w:val="005F376F"/>
    <w:rsid w:val="005F3B81"/>
    <w:rsid w:val="005F4260"/>
    <w:rsid w:val="005F45A0"/>
    <w:rsid w:val="005F4996"/>
    <w:rsid w:val="005F4C5F"/>
    <w:rsid w:val="005F52BC"/>
    <w:rsid w:val="005F545B"/>
    <w:rsid w:val="005F5517"/>
    <w:rsid w:val="005F5609"/>
    <w:rsid w:val="005F5DF9"/>
    <w:rsid w:val="005F6247"/>
    <w:rsid w:val="005F6C5C"/>
    <w:rsid w:val="005F7836"/>
    <w:rsid w:val="005F79B8"/>
    <w:rsid w:val="00600236"/>
    <w:rsid w:val="00600858"/>
    <w:rsid w:val="00601052"/>
    <w:rsid w:val="006015D4"/>
    <w:rsid w:val="00602127"/>
    <w:rsid w:val="00602787"/>
    <w:rsid w:val="0060293F"/>
    <w:rsid w:val="00602CF8"/>
    <w:rsid w:val="00602ECB"/>
    <w:rsid w:val="00602F6A"/>
    <w:rsid w:val="00603119"/>
    <w:rsid w:val="00604193"/>
    <w:rsid w:val="0060425F"/>
    <w:rsid w:val="0060434A"/>
    <w:rsid w:val="00606F0C"/>
    <w:rsid w:val="0060706C"/>
    <w:rsid w:val="00607AB0"/>
    <w:rsid w:val="00607C06"/>
    <w:rsid w:val="00607CCB"/>
    <w:rsid w:val="00607F82"/>
    <w:rsid w:val="00610419"/>
    <w:rsid w:val="00610997"/>
    <w:rsid w:val="0061141B"/>
    <w:rsid w:val="006116EC"/>
    <w:rsid w:val="006119D0"/>
    <w:rsid w:val="00611F1D"/>
    <w:rsid w:val="00612027"/>
    <w:rsid w:val="00613CBD"/>
    <w:rsid w:val="00613DA3"/>
    <w:rsid w:val="006143DA"/>
    <w:rsid w:val="006144B7"/>
    <w:rsid w:val="00614546"/>
    <w:rsid w:val="00614C70"/>
    <w:rsid w:val="00614E6B"/>
    <w:rsid w:val="006165FB"/>
    <w:rsid w:val="00616755"/>
    <w:rsid w:val="006170F5"/>
    <w:rsid w:val="006178E0"/>
    <w:rsid w:val="00617D2C"/>
    <w:rsid w:val="00620489"/>
    <w:rsid w:val="00620FC0"/>
    <w:rsid w:val="00621D4C"/>
    <w:rsid w:val="006235AA"/>
    <w:rsid w:val="006239E5"/>
    <w:rsid w:val="00624106"/>
    <w:rsid w:val="00624215"/>
    <w:rsid w:val="00625ADD"/>
    <w:rsid w:val="00625AF2"/>
    <w:rsid w:val="00625F1A"/>
    <w:rsid w:val="00626081"/>
    <w:rsid w:val="006260BB"/>
    <w:rsid w:val="006267DF"/>
    <w:rsid w:val="00627321"/>
    <w:rsid w:val="00631CB8"/>
    <w:rsid w:val="00631F3D"/>
    <w:rsid w:val="006328F4"/>
    <w:rsid w:val="00632BF1"/>
    <w:rsid w:val="00635540"/>
    <w:rsid w:val="00636551"/>
    <w:rsid w:val="006374F5"/>
    <w:rsid w:val="0064074D"/>
    <w:rsid w:val="006410D9"/>
    <w:rsid w:val="006419D6"/>
    <w:rsid w:val="00642749"/>
    <w:rsid w:val="006431E7"/>
    <w:rsid w:val="00643D00"/>
    <w:rsid w:val="00644C5D"/>
    <w:rsid w:val="00644E73"/>
    <w:rsid w:val="006455BF"/>
    <w:rsid w:val="00646196"/>
    <w:rsid w:val="00646D85"/>
    <w:rsid w:val="006471E1"/>
    <w:rsid w:val="006474C9"/>
    <w:rsid w:val="00647555"/>
    <w:rsid w:val="006479B7"/>
    <w:rsid w:val="0065020F"/>
    <w:rsid w:val="006505D2"/>
    <w:rsid w:val="00650CD2"/>
    <w:rsid w:val="00652B09"/>
    <w:rsid w:val="006538AA"/>
    <w:rsid w:val="0065424E"/>
    <w:rsid w:val="006544C7"/>
    <w:rsid w:val="006544EA"/>
    <w:rsid w:val="006546A1"/>
    <w:rsid w:val="0065483A"/>
    <w:rsid w:val="00654A80"/>
    <w:rsid w:val="0065536D"/>
    <w:rsid w:val="00655D5F"/>
    <w:rsid w:val="00656649"/>
    <w:rsid w:val="006574AB"/>
    <w:rsid w:val="0065750D"/>
    <w:rsid w:val="006577DD"/>
    <w:rsid w:val="00660147"/>
    <w:rsid w:val="00661304"/>
    <w:rsid w:val="00661AAD"/>
    <w:rsid w:val="00663250"/>
    <w:rsid w:val="006635C2"/>
    <w:rsid w:val="00663B3B"/>
    <w:rsid w:val="00664151"/>
    <w:rsid w:val="0066454C"/>
    <w:rsid w:val="006650B1"/>
    <w:rsid w:val="00665ABD"/>
    <w:rsid w:val="00666091"/>
    <w:rsid w:val="0066609B"/>
    <w:rsid w:val="006666F7"/>
    <w:rsid w:val="00666A3C"/>
    <w:rsid w:val="00666AD9"/>
    <w:rsid w:val="00666C23"/>
    <w:rsid w:val="00667EE3"/>
    <w:rsid w:val="006705F4"/>
    <w:rsid w:val="00672127"/>
    <w:rsid w:val="006721D5"/>
    <w:rsid w:val="0067286F"/>
    <w:rsid w:val="00672A18"/>
    <w:rsid w:val="00673446"/>
    <w:rsid w:val="00674934"/>
    <w:rsid w:val="0067505C"/>
    <w:rsid w:val="00675073"/>
    <w:rsid w:val="00675626"/>
    <w:rsid w:val="00675884"/>
    <w:rsid w:val="00675EF2"/>
    <w:rsid w:val="00675FBF"/>
    <w:rsid w:val="00676075"/>
    <w:rsid w:val="006764DB"/>
    <w:rsid w:val="006765C9"/>
    <w:rsid w:val="00676793"/>
    <w:rsid w:val="0067691D"/>
    <w:rsid w:val="00676973"/>
    <w:rsid w:val="00676D5D"/>
    <w:rsid w:val="00676F21"/>
    <w:rsid w:val="00677AD0"/>
    <w:rsid w:val="00680535"/>
    <w:rsid w:val="00680D66"/>
    <w:rsid w:val="00681131"/>
    <w:rsid w:val="006812B1"/>
    <w:rsid w:val="00681344"/>
    <w:rsid w:val="00681419"/>
    <w:rsid w:val="00681BCD"/>
    <w:rsid w:val="00682BC7"/>
    <w:rsid w:val="00684406"/>
    <w:rsid w:val="00685F80"/>
    <w:rsid w:val="006861D9"/>
    <w:rsid w:val="006866F3"/>
    <w:rsid w:val="006872A4"/>
    <w:rsid w:val="006875B6"/>
    <w:rsid w:val="00691384"/>
    <w:rsid w:val="00691B25"/>
    <w:rsid w:val="00692855"/>
    <w:rsid w:val="0069302D"/>
    <w:rsid w:val="006930ED"/>
    <w:rsid w:val="006936DF"/>
    <w:rsid w:val="006937F3"/>
    <w:rsid w:val="00693BC5"/>
    <w:rsid w:val="00693BF0"/>
    <w:rsid w:val="00693C66"/>
    <w:rsid w:val="00694411"/>
    <w:rsid w:val="00694F5B"/>
    <w:rsid w:val="00696BCD"/>
    <w:rsid w:val="0069724E"/>
    <w:rsid w:val="006979CF"/>
    <w:rsid w:val="006A08D2"/>
    <w:rsid w:val="006A0AB6"/>
    <w:rsid w:val="006A173E"/>
    <w:rsid w:val="006A1D3E"/>
    <w:rsid w:val="006A431B"/>
    <w:rsid w:val="006A4839"/>
    <w:rsid w:val="006A4FBF"/>
    <w:rsid w:val="006A55C7"/>
    <w:rsid w:val="006A5D24"/>
    <w:rsid w:val="006A673A"/>
    <w:rsid w:val="006A68C8"/>
    <w:rsid w:val="006A6986"/>
    <w:rsid w:val="006A6A75"/>
    <w:rsid w:val="006A7138"/>
    <w:rsid w:val="006B027E"/>
    <w:rsid w:val="006B047E"/>
    <w:rsid w:val="006B0B71"/>
    <w:rsid w:val="006B1AF2"/>
    <w:rsid w:val="006B1CB3"/>
    <w:rsid w:val="006B23D9"/>
    <w:rsid w:val="006B23DE"/>
    <w:rsid w:val="006B2A11"/>
    <w:rsid w:val="006B2E48"/>
    <w:rsid w:val="006B4045"/>
    <w:rsid w:val="006B4790"/>
    <w:rsid w:val="006B4E97"/>
    <w:rsid w:val="006B536E"/>
    <w:rsid w:val="006B54E6"/>
    <w:rsid w:val="006B5CF7"/>
    <w:rsid w:val="006B7272"/>
    <w:rsid w:val="006B7F03"/>
    <w:rsid w:val="006C01FC"/>
    <w:rsid w:val="006C04EF"/>
    <w:rsid w:val="006C06C0"/>
    <w:rsid w:val="006C2552"/>
    <w:rsid w:val="006C353B"/>
    <w:rsid w:val="006C380A"/>
    <w:rsid w:val="006C4039"/>
    <w:rsid w:val="006C44BA"/>
    <w:rsid w:val="006C5F62"/>
    <w:rsid w:val="006C63A2"/>
    <w:rsid w:val="006D0CA3"/>
    <w:rsid w:val="006D1CB2"/>
    <w:rsid w:val="006D2066"/>
    <w:rsid w:val="006D2172"/>
    <w:rsid w:val="006D2582"/>
    <w:rsid w:val="006D266D"/>
    <w:rsid w:val="006D4633"/>
    <w:rsid w:val="006D5242"/>
    <w:rsid w:val="006D604C"/>
    <w:rsid w:val="006D78D4"/>
    <w:rsid w:val="006D7C2C"/>
    <w:rsid w:val="006D7EA1"/>
    <w:rsid w:val="006D7EC6"/>
    <w:rsid w:val="006E0E96"/>
    <w:rsid w:val="006E19E2"/>
    <w:rsid w:val="006E2573"/>
    <w:rsid w:val="006E2D2A"/>
    <w:rsid w:val="006E3AF5"/>
    <w:rsid w:val="006E3B8D"/>
    <w:rsid w:val="006E4666"/>
    <w:rsid w:val="006E4CCF"/>
    <w:rsid w:val="006E4EE9"/>
    <w:rsid w:val="006E56EE"/>
    <w:rsid w:val="006E5854"/>
    <w:rsid w:val="006E5929"/>
    <w:rsid w:val="006E59A2"/>
    <w:rsid w:val="006E7044"/>
    <w:rsid w:val="006E749B"/>
    <w:rsid w:val="006E7E5E"/>
    <w:rsid w:val="006F0B5D"/>
    <w:rsid w:val="006F0B8D"/>
    <w:rsid w:val="006F1758"/>
    <w:rsid w:val="006F2403"/>
    <w:rsid w:val="006F2615"/>
    <w:rsid w:val="006F2A53"/>
    <w:rsid w:val="006F2BF2"/>
    <w:rsid w:val="006F3FB3"/>
    <w:rsid w:val="006F513D"/>
    <w:rsid w:val="006F5AD3"/>
    <w:rsid w:val="006F66C3"/>
    <w:rsid w:val="006F672E"/>
    <w:rsid w:val="0070036E"/>
    <w:rsid w:val="007008A5"/>
    <w:rsid w:val="00700B02"/>
    <w:rsid w:val="00700B1F"/>
    <w:rsid w:val="0070115B"/>
    <w:rsid w:val="0070230E"/>
    <w:rsid w:val="00703920"/>
    <w:rsid w:val="00704173"/>
    <w:rsid w:val="00704D22"/>
    <w:rsid w:val="00705388"/>
    <w:rsid w:val="00705744"/>
    <w:rsid w:val="00705DF8"/>
    <w:rsid w:val="0070699B"/>
    <w:rsid w:val="00707AEA"/>
    <w:rsid w:val="00707BFA"/>
    <w:rsid w:val="00710879"/>
    <w:rsid w:val="00711005"/>
    <w:rsid w:val="007119CB"/>
    <w:rsid w:val="00711AC9"/>
    <w:rsid w:val="007121FE"/>
    <w:rsid w:val="0071244C"/>
    <w:rsid w:val="007128A9"/>
    <w:rsid w:val="007131B9"/>
    <w:rsid w:val="00714E94"/>
    <w:rsid w:val="007154E5"/>
    <w:rsid w:val="00715634"/>
    <w:rsid w:val="007156FB"/>
    <w:rsid w:val="00715AE5"/>
    <w:rsid w:val="007163B6"/>
    <w:rsid w:val="00717F23"/>
    <w:rsid w:val="007219A2"/>
    <w:rsid w:val="00722EAA"/>
    <w:rsid w:val="00723A1D"/>
    <w:rsid w:val="00723D75"/>
    <w:rsid w:val="00724843"/>
    <w:rsid w:val="00725393"/>
    <w:rsid w:val="00725CF5"/>
    <w:rsid w:val="00726011"/>
    <w:rsid w:val="00726105"/>
    <w:rsid w:val="0072650C"/>
    <w:rsid w:val="00726EC4"/>
    <w:rsid w:val="00727259"/>
    <w:rsid w:val="00730465"/>
    <w:rsid w:val="0073047D"/>
    <w:rsid w:val="00730AF3"/>
    <w:rsid w:val="00730C93"/>
    <w:rsid w:val="00730DFE"/>
    <w:rsid w:val="00733D12"/>
    <w:rsid w:val="007350E3"/>
    <w:rsid w:val="007350FD"/>
    <w:rsid w:val="00735745"/>
    <w:rsid w:val="00736D50"/>
    <w:rsid w:val="00737510"/>
    <w:rsid w:val="00737529"/>
    <w:rsid w:val="00740D7D"/>
    <w:rsid w:val="0074110D"/>
    <w:rsid w:val="00741ABF"/>
    <w:rsid w:val="00741E27"/>
    <w:rsid w:val="007423F7"/>
    <w:rsid w:val="007424CE"/>
    <w:rsid w:val="00742753"/>
    <w:rsid w:val="00742AFC"/>
    <w:rsid w:val="00743321"/>
    <w:rsid w:val="00743848"/>
    <w:rsid w:val="00743D6C"/>
    <w:rsid w:val="00744376"/>
    <w:rsid w:val="0074454F"/>
    <w:rsid w:val="0074474A"/>
    <w:rsid w:val="00744F6A"/>
    <w:rsid w:val="0074522A"/>
    <w:rsid w:val="007462C7"/>
    <w:rsid w:val="0074689D"/>
    <w:rsid w:val="00747327"/>
    <w:rsid w:val="00747D2B"/>
    <w:rsid w:val="00750293"/>
    <w:rsid w:val="007505FB"/>
    <w:rsid w:val="007509AA"/>
    <w:rsid w:val="0075121B"/>
    <w:rsid w:val="00751CEC"/>
    <w:rsid w:val="00753D47"/>
    <w:rsid w:val="007543CE"/>
    <w:rsid w:val="007557D4"/>
    <w:rsid w:val="00755C96"/>
    <w:rsid w:val="007566C5"/>
    <w:rsid w:val="0075678C"/>
    <w:rsid w:val="00756FE2"/>
    <w:rsid w:val="007573D4"/>
    <w:rsid w:val="00757607"/>
    <w:rsid w:val="00757EEB"/>
    <w:rsid w:val="0076010F"/>
    <w:rsid w:val="00760170"/>
    <w:rsid w:val="007604E8"/>
    <w:rsid w:val="00761C15"/>
    <w:rsid w:val="007621C3"/>
    <w:rsid w:val="00762D29"/>
    <w:rsid w:val="00763018"/>
    <w:rsid w:val="007630EA"/>
    <w:rsid w:val="00763D16"/>
    <w:rsid w:val="0076463F"/>
    <w:rsid w:val="00767158"/>
    <w:rsid w:val="007676D1"/>
    <w:rsid w:val="0076774A"/>
    <w:rsid w:val="00767D13"/>
    <w:rsid w:val="00770097"/>
    <w:rsid w:val="00770162"/>
    <w:rsid w:val="00770732"/>
    <w:rsid w:val="0077160B"/>
    <w:rsid w:val="0077192E"/>
    <w:rsid w:val="007720F7"/>
    <w:rsid w:val="0077314E"/>
    <w:rsid w:val="007731A0"/>
    <w:rsid w:val="00773E69"/>
    <w:rsid w:val="00773EB1"/>
    <w:rsid w:val="00774D56"/>
    <w:rsid w:val="0077552D"/>
    <w:rsid w:val="0077553B"/>
    <w:rsid w:val="007755D7"/>
    <w:rsid w:val="00775CD2"/>
    <w:rsid w:val="0077641B"/>
    <w:rsid w:val="00776A38"/>
    <w:rsid w:val="00776C34"/>
    <w:rsid w:val="00776F3F"/>
    <w:rsid w:val="0077771C"/>
    <w:rsid w:val="00777AF7"/>
    <w:rsid w:val="00777B6B"/>
    <w:rsid w:val="00777FEA"/>
    <w:rsid w:val="00780971"/>
    <w:rsid w:val="0078189C"/>
    <w:rsid w:val="00781F03"/>
    <w:rsid w:val="007823EA"/>
    <w:rsid w:val="00782746"/>
    <w:rsid w:val="007838D3"/>
    <w:rsid w:val="00783DBE"/>
    <w:rsid w:val="007848E4"/>
    <w:rsid w:val="00785093"/>
    <w:rsid w:val="00785416"/>
    <w:rsid w:val="00785A9D"/>
    <w:rsid w:val="00785B22"/>
    <w:rsid w:val="00785C2F"/>
    <w:rsid w:val="00786314"/>
    <w:rsid w:val="0078697B"/>
    <w:rsid w:val="00786F62"/>
    <w:rsid w:val="00786F92"/>
    <w:rsid w:val="00787279"/>
    <w:rsid w:val="0078771F"/>
    <w:rsid w:val="00787788"/>
    <w:rsid w:val="00787963"/>
    <w:rsid w:val="007913ED"/>
    <w:rsid w:val="00791606"/>
    <w:rsid w:val="007918B3"/>
    <w:rsid w:val="007919DA"/>
    <w:rsid w:val="00791A4C"/>
    <w:rsid w:val="00791C12"/>
    <w:rsid w:val="00792FAC"/>
    <w:rsid w:val="00793480"/>
    <w:rsid w:val="0079458E"/>
    <w:rsid w:val="00794F47"/>
    <w:rsid w:val="00794F83"/>
    <w:rsid w:val="00795298"/>
    <w:rsid w:val="00795ED3"/>
    <w:rsid w:val="007977ED"/>
    <w:rsid w:val="007A0466"/>
    <w:rsid w:val="007A0958"/>
    <w:rsid w:val="007A0B4A"/>
    <w:rsid w:val="007A0D45"/>
    <w:rsid w:val="007A0F1D"/>
    <w:rsid w:val="007A1B39"/>
    <w:rsid w:val="007A3332"/>
    <w:rsid w:val="007A3A4B"/>
    <w:rsid w:val="007A3F93"/>
    <w:rsid w:val="007A56C2"/>
    <w:rsid w:val="007A5703"/>
    <w:rsid w:val="007A5BFB"/>
    <w:rsid w:val="007A6146"/>
    <w:rsid w:val="007A7317"/>
    <w:rsid w:val="007B0133"/>
    <w:rsid w:val="007B04D0"/>
    <w:rsid w:val="007B1635"/>
    <w:rsid w:val="007B1A3E"/>
    <w:rsid w:val="007B27D8"/>
    <w:rsid w:val="007B3246"/>
    <w:rsid w:val="007B406C"/>
    <w:rsid w:val="007B5143"/>
    <w:rsid w:val="007B5E5E"/>
    <w:rsid w:val="007B6E83"/>
    <w:rsid w:val="007B7469"/>
    <w:rsid w:val="007B797D"/>
    <w:rsid w:val="007C031B"/>
    <w:rsid w:val="007C1DA5"/>
    <w:rsid w:val="007C34D4"/>
    <w:rsid w:val="007C442B"/>
    <w:rsid w:val="007C497E"/>
    <w:rsid w:val="007C4CC4"/>
    <w:rsid w:val="007C4E6B"/>
    <w:rsid w:val="007C714F"/>
    <w:rsid w:val="007C746E"/>
    <w:rsid w:val="007C7476"/>
    <w:rsid w:val="007C754B"/>
    <w:rsid w:val="007C7631"/>
    <w:rsid w:val="007C7911"/>
    <w:rsid w:val="007D0372"/>
    <w:rsid w:val="007D0415"/>
    <w:rsid w:val="007D0FC7"/>
    <w:rsid w:val="007D1D55"/>
    <w:rsid w:val="007D2C14"/>
    <w:rsid w:val="007D36C0"/>
    <w:rsid w:val="007D3809"/>
    <w:rsid w:val="007D58CF"/>
    <w:rsid w:val="007D6A2A"/>
    <w:rsid w:val="007D6A4C"/>
    <w:rsid w:val="007D704E"/>
    <w:rsid w:val="007D7A7B"/>
    <w:rsid w:val="007D7FEA"/>
    <w:rsid w:val="007E0C76"/>
    <w:rsid w:val="007E25B3"/>
    <w:rsid w:val="007E2C3E"/>
    <w:rsid w:val="007E3306"/>
    <w:rsid w:val="007E3E2E"/>
    <w:rsid w:val="007E40C3"/>
    <w:rsid w:val="007E4979"/>
    <w:rsid w:val="007E4F6A"/>
    <w:rsid w:val="007E4FAD"/>
    <w:rsid w:val="007E5194"/>
    <w:rsid w:val="007E519C"/>
    <w:rsid w:val="007E5F94"/>
    <w:rsid w:val="007E72DC"/>
    <w:rsid w:val="007F0AEB"/>
    <w:rsid w:val="007F2194"/>
    <w:rsid w:val="007F23A3"/>
    <w:rsid w:val="007F332F"/>
    <w:rsid w:val="007F4DEF"/>
    <w:rsid w:val="007F6859"/>
    <w:rsid w:val="007F757A"/>
    <w:rsid w:val="007F760B"/>
    <w:rsid w:val="007F7A36"/>
    <w:rsid w:val="00800095"/>
    <w:rsid w:val="00800C5D"/>
    <w:rsid w:val="00800DC4"/>
    <w:rsid w:val="008014F2"/>
    <w:rsid w:val="008015E3"/>
    <w:rsid w:val="008017BF"/>
    <w:rsid w:val="0080281F"/>
    <w:rsid w:val="00802CB9"/>
    <w:rsid w:val="008036C9"/>
    <w:rsid w:val="00803F57"/>
    <w:rsid w:val="00804682"/>
    <w:rsid w:val="008046B0"/>
    <w:rsid w:val="00804733"/>
    <w:rsid w:val="00806BEF"/>
    <w:rsid w:val="00806FD9"/>
    <w:rsid w:val="008079AA"/>
    <w:rsid w:val="00810205"/>
    <w:rsid w:val="008105A7"/>
    <w:rsid w:val="00810804"/>
    <w:rsid w:val="00811177"/>
    <w:rsid w:val="00811AB3"/>
    <w:rsid w:val="00811BE3"/>
    <w:rsid w:val="00812699"/>
    <w:rsid w:val="008126CE"/>
    <w:rsid w:val="00812DB7"/>
    <w:rsid w:val="008133A1"/>
    <w:rsid w:val="00814422"/>
    <w:rsid w:val="00815893"/>
    <w:rsid w:val="00816BA0"/>
    <w:rsid w:val="00817AC3"/>
    <w:rsid w:val="00820641"/>
    <w:rsid w:val="0082101D"/>
    <w:rsid w:val="00821FCD"/>
    <w:rsid w:val="00822718"/>
    <w:rsid w:val="0082315D"/>
    <w:rsid w:val="0082317B"/>
    <w:rsid w:val="00823306"/>
    <w:rsid w:val="008245DF"/>
    <w:rsid w:val="00824635"/>
    <w:rsid w:val="00824719"/>
    <w:rsid w:val="00824E3E"/>
    <w:rsid w:val="008253E1"/>
    <w:rsid w:val="00825FFA"/>
    <w:rsid w:val="008267EF"/>
    <w:rsid w:val="00826C68"/>
    <w:rsid w:val="00827773"/>
    <w:rsid w:val="008278DD"/>
    <w:rsid w:val="00827FBE"/>
    <w:rsid w:val="008303B8"/>
    <w:rsid w:val="00832041"/>
    <w:rsid w:val="00832FEF"/>
    <w:rsid w:val="0083303D"/>
    <w:rsid w:val="00833575"/>
    <w:rsid w:val="00833EB5"/>
    <w:rsid w:val="00833ECA"/>
    <w:rsid w:val="00834420"/>
    <w:rsid w:val="008355C7"/>
    <w:rsid w:val="008359A7"/>
    <w:rsid w:val="00836D06"/>
    <w:rsid w:val="008370F0"/>
    <w:rsid w:val="00837226"/>
    <w:rsid w:val="008374B4"/>
    <w:rsid w:val="00837894"/>
    <w:rsid w:val="0084015A"/>
    <w:rsid w:val="0084095B"/>
    <w:rsid w:val="00840B0E"/>
    <w:rsid w:val="00840D27"/>
    <w:rsid w:val="00841F4F"/>
    <w:rsid w:val="00842412"/>
    <w:rsid w:val="00842847"/>
    <w:rsid w:val="00843647"/>
    <w:rsid w:val="0084378C"/>
    <w:rsid w:val="00843864"/>
    <w:rsid w:val="00844BF1"/>
    <w:rsid w:val="00844EBC"/>
    <w:rsid w:val="008451B1"/>
    <w:rsid w:val="00846846"/>
    <w:rsid w:val="00847CC7"/>
    <w:rsid w:val="0085077D"/>
    <w:rsid w:val="00850D4B"/>
    <w:rsid w:val="0085109B"/>
    <w:rsid w:val="00851B88"/>
    <w:rsid w:val="0085315C"/>
    <w:rsid w:val="008542C0"/>
    <w:rsid w:val="00854A93"/>
    <w:rsid w:val="00856424"/>
    <w:rsid w:val="00856B2F"/>
    <w:rsid w:val="00857703"/>
    <w:rsid w:val="008602CA"/>
    <w:rsid w:val="0086053B"/>
    <w:rsid w:val="008607B4"/>
    <w:rsid w:val="00860B85"/>
    <w:rsid w:val="00861B12"/>
    <w:rsid w:val="008626B3"/>
    <w:rsid w:val="008629AD"/>
    <w:rsid w:val="008638FC"/>
    <w:rsid w:val="00863C5E"/>
    <w:rsid w:val="008641ED"/>
    <w:rsid w:val="00864604"/>
    <w:rsid w:val="008655A0"/>
    <w:rsid w:val="00865D64"/>
    <w:rsid w:val="00866146"/>
    <w:rsid w:val="00866D1A"/>
    <w:rsid w:val="00866FC7"/>
    <w:rsid w:val="00867BAF"/>
    <w:rsid w:val="0087079A"/>
    <w:rsid w:val="00871242"/>
    <w:rsid w:val="00871641"/>
    <w:rsid w:val="00871AB6"/>
    <w:rsid w:val="00871C11"/>
    <w:rsid w:val="00872C9A"/>
    <w:rsid w:val="00872E04"/>
    <w:rsid w:val="008731F1"/>
    <w:rsid w:val="0087360A"/>
    <w:rsid w:val="00873A84"/>
    <w:rsid w:val="008744C8"/>
    <w:rsid w:val="008745CD"/>
    <w:rsid w:val="00874C24"/>
    <w:rsid w:val="00875158"/>
    <w:rsid w:val="00875B80"/>
    <w:rsid w:val="00875C42"/>
    <w:rsid w:val="00876CAD"/>
    <w:rsid w:val="00877924"/>
    <w:rsid w:val="00877EAB"/>
    <w:rsid w:val="00880947"/>
    <w:rsid w:val="00880A24"/>
    <w:rsid w:val="00881B8E"/>
    <w:rsid w:val="00881FD3"/>
    <w:rsid w:val="0088229D"/>
    <w:rsid w:val="008824B8"/>
    <w:rsid w:val="00882F6F"/>
    <w:rsid w:val="0088353E"/>
    <w:rsid w:val="00883814"/>
    <w:rsid w:val="00885395"/>
    <w:rsid w:val="008855FB"/>
    <w:rsid w:val="00886681"/>
    <w:rsid w:val="00886E32"/>
    <w:rsid w:val="008871AA"/>
    <w:rsid w:val="00887206"/>
    <w:rsid w:val="00890683"/>
    <w:rsid w:val="00890B1C"/>
    <w:rsid w:val="00891158"/>
    <w:rsid w:val="00891550"/>
    <w:rsid w:val="0089180E"/>
    <w:rsid w:val="00891AA7"/>
    <w:rsid w:val="0089215D"/>
    <w:rsid w:val="008921F7"/>
    <w:rsid w:val="008925D2"/>
    <w:rsid w:val="00892832"/>
    <w:rsid w:val="00892888"/>
    <w:rsid w:val="00892A70"/>
    <w:rsid w:val="00892CBA"/>
    <w:rsid w:val="00892CCC"/>
    <w:rsid w:val="00892D9D"/>
    <w:rsid w:val="0089393F"/>
    <w:rsid w:val="00894296"/>
    <w:rsid w:val="00894E91"/>
    <w:rsid w:val="00895628"/>
    <w:rsid w:val="00895736"/>
    <w:rsid w:val="008968D5"/>
    <w:rsid w:val="008A0691"/>
    <w:rsid w:val="008A0B77"/>
    <w:rsid w:val="008A0E0D"/>
    <w:rsid w:val="008A10B2"/>
    <w:rsid w:val="008A153B"/>
    <w:rsid w:val="008A1AB1"/>
    <w:rsid w:val="008A1F80"/>
    <w:rsid w:val="008A2667"/>
    <w:rsid w:val="008A2A6D"/>
    <w:rsid w:val="008A3AEB"/>
    <w:rsid w:val="008A48D0"/>
    <w:rsid w:val="008A4C31"/>
    <w:rsid w:val="008A5CF1"/>
    <w:rsid w:val="008A5D9C"/>
    <w:rsid w:val="008A5F03"/>
    <w:rsid w:val="008A6303"/>
    <w:rsid w:val="008A71DE"/>
    <w:rsid w:val="008A787C"/>
    <w:rsid w:val="008B01AE"/>
    <w:rsid w:val="008B096E"/>
    <w:rsid w:val="008B13E7"/>
    <w:rsid w:val="008B22A3"/>
    <w:rsid w:val="008B2A47"/>
    <w:rsid w:val="008B3490"/>
    <w:rsid w:val="008B34B9"/>
    <w:rsid w:val="008B3B72"/>
    <w:rsid w:val="008B45A5"/>
    <w:rsid w:val="008B49F2"/>
    <w:rsid w:val="008B52D8"/>
    <w:rsid w:val="008B7321"/>
    <w:rsid w:val="008C04E2"/>
    <w:rsid w:val="008C1978"/>
    <w:rsid w:val="008C22C5"/>
    <w:rsid w:val="008C26C2"/>
    <w:rsid w:val="008C26E4"/>
    <w:rsid w:val="008C2899"/>
    <w:rsid w:val="008C33F4"/>
    <w:rsid w:val="008C43F3"/>
    <w:rsid w:val="008C604E"/>
    <w:rsid w:val="008C6384"/>
    <w:rsid w:val="008C668A"/>
    <w:rsid w:val="008C6A24"/>
    <w:rsid w:val="008C7574"/>
    <w:rsid w:val="008C77D9"/>
    <w:rsid w:val="008D0913"/>
    <w:rsid w:val="008D0A18"/>
    <w:rsid w:val="008D0FC9"/>
    <w:rsid w:val="008D11F1"/>
    <w:rsid w:val="008D2043"/>
    <w:rsid w:val="008D20E4"/>
    <w:rsid w:val="008D35BF"/>
    <w:rsid w:val="008D48A7"/>
    <w:rsid w:val="008D4C09"/>
    <w:rsid w:val="008D56E0"/>
    <w:rsid w:val="008D61DA"/>
    <w:rsid w:val="008D633F"/>
    <w:rsid w:val="008D670E"/>
    <w:rsid w:val="008D67B4"/>
    <w:rsid w:val="008D6CE4"/>
    <w:rsid w:val="008D70B7"/>
    <w:rsid w:val="008D7113"/>
    <w:rsid w:val="008D77C5"/>
    <w:rsid w:val="008E032B"/>
    <w:rsid w:val="008E03D1"/>
    <w:rsid w:val="008E05F7"/>
    <w:rsid w:val="008E1239"/>
    <w:rsid w:val="008E1742"/>
    <w:rsid w:val="008E1B07"/>
    <w:rsid w:val="008E2469"/>
    <w:rsid w:val="008E25BE"/>
    <w:rsid w:val="008E390B"/>
    <w:rsid w:val="008E41B0"/>
    <w:rsid w:val="008E4380"/>
    <w:rsid w:val="008E48EC"/>
    <w:rsid w:val="008E4A40"/>
    <w:rsid w:val="008E4C96"/>
    <w:rsid w:val="008E56B8"/>
    <w:rsid w:val="008E5960"/>
    <w:rsid w:val="008E59FF"/>
    <w:rsid w:val="008E5A18"/>
    <w:rsid w:val="008E627F"/>
    <w:rsid w:val="008E6332"/>
    <w:rsid w:val="008E6616"/>
    <w:rsid w:val="008E6C09"/>
    <w:rsid w:val="008F03EC"/>
    <w:rsid w:val="008F13A2"/>
    <w:rsid w:val="008F2224"/>
    <w:rsid w:val="008F2573"/>
    <w:rsid w:val="008F437F"/>
    <w:rsid w:val="008F548D"/>
    <w:rsid w:val="008F61AB"/>
    <w:rsid w:val="008F6922"/>
    <w:rsid w:val="008F6C5A"/>
    <w:rsid w:val="008F715D"/>
    <w:rsid w:val="008F7428"/>
    <w:rsid w:val="00900A3C"/>
    <w:rsid w:val="00901325"/>
    <w:rsid w:val="00901772"/>
    <w:rsid w:val="00901D7C"/>
    <w:rsid w:val="009026E6"/>
    <w:rsid w:val="00902AF4"/>
    <w:rsid w:val="009035C6"/>
    <w:rsid w:val="009043FF"/>
    <w:rsid w:val="00904CD4"/>
    <w:rsid w:val="009074DE"/>
    <w:rsid w:val="009077EB"/>
    <w:rsid w:val="0090793E"/>
    <w:rsid w:val="00907BF9"/>
    <w:rsid w:val="00911D4E"/>
    <w:rsid w:val="0091278E"/>
    <w:rsid w:val="00912999"/>
    <w:rsid w:val="0091333D"/>
    <w:rsid w:val="009139FC"/>
    <w:rsid w:val="00914A71"/>
    <w:rsid w:val="0091554E"/>
    <w:rsid w:val="009170EB"/>
    <w:rsid w:val="009176A2"/>
    <w:rsid w:val="00917904"/>
    <w:rsid w:val="00917D74"/>
    <w:rsid w:val="00920B94"/>
    <w:rsid w:val="00920F83"/>
    <w:rsid w:val="00921999"/>
    <w:rsid w:val="0092256D"/>
    <w:rsid w:val="0092315E"/>
    <w:rsid w:val="00923450"/>
    <w:rsid w:val="009253A6"/>
    <w:rsid w:val="009255A1"/>
    <w:rsid w:val="009256EA"/>
    <w:rsid w:val="00926814"/>
    <w:rsid w:val="009269BA"/>
    <w:rsid w:val="009269C1"/>
    <w:rsid w:val="00930151"/>
    <w:rsid w:val="00930331"/>
    <w:rsid w:val="009312B8"/>
    <w:rsid w:val="00931399"/>
    <w:rsid w:val="00931F80"/>
    <w:rsid w:val="00932342"/>
    <w:rsid w:val="009342F2"/>
    <w:rsid w:val="00935957"/>
    <w:rsid w:val="0093611D"/>
    <w:rsid w:val="00937AF5"/>
    <w:rsid w:val="00940648"/>
    <w:rsid w:val="0094143A"/>
    <w:rsid w:val="00941526"/>
    <w:rsid w:val="009424FB"/>
    <w:rsid w:val="0094252E"/>
    <w:rsid w:val="009425CE"/>
    <w:rsid w:val="009429FF"/>
    <w:rsid w:val="009434D1"/>
    <w:rsid w:val="009448CD"/>
    <w:rsid w:val="00944BF5"/>
    <w:rsid w:val="00944C20"/>
    <w:rsid w:val="009455F6"/>
    <w:rsid w:val="00946679"/>
    <w:rsid w:val="00946D33"/>
    <w:rsid w:val="009475F5"/>
    <w:rsid w:val="009476E3"/>
    <w:rsid w:val="00947AD2"/>
    <w:rsid w:val="009504C4"/>
    <w:rsid w:val="009507A6"/>
    <w:rsid w:val="00951795"/>
    <w:rsid w:val="00951F7E"/>
    <w:rsid w:val="00952259"/>
    <w:rsid w:val="00952B41"/>
    <w:rsid w:val="00953355"/>
    <w:rsid w:val="009548FA"/>
    <w:rsid w:val="00954FE8"/>
    <w:rsid w:val="00955315"/>
    <w:rsid w:val="00955C74"/>
    <w:rsid w:val="0095675A"/>
    <w:rsid w:val="00956E7B"/>
    <w:rsid w:val="00956E7E"/>
    <w:rsid w:val="00957C3E"/>
    <w:rsid w:val="00957DB1"/>
    <w:rsid w:val="009602AA"/>
    <w:rsid w:val="009604C7"/>
    <w:rsid w:val="0096075A"/>
    <w:rsid w:val="00961603"/>
    <w:rsid w:val="00961964"/>
    <w:rsid w:val="00962DAD"/>
    <w:rsid w:val="0096304B"/>
    <w:rsid w:val="00964244"/>
    <w:rsid w:val="009643D6"/>
    <w:rsid w:val="009650C8"/>
    <w:rsid w:val="00965287"/>
    <w:rsid w:val="00965771"/>
    <w:rsid w:val="00965DB2"/>
    <w:rsid w:val="00966076"/>
    <w:rsid w:val="00966082"/>
    <w:rsid w:val="00966264"/>
    <w:rsid w:val="00966866"/>
    <w:rsid w:val="00967E86"/>
    <w:rsid w:val="00967FDD"/>
    <w:rsid w:val="00970893"/>
    <w:rsid w:val="00971407"/>
    <w:rsid w:val="00971D5C"/>
    <w:rsid w:val="00971E34"/>
    <w:rsid w:val="00971ED2"/>
    <w:rsid w:val="00972727"/>
    <w:rsid w:val="0097308F"/>
    <w:rsid w:val="00973B0A"/>
    <w:rsid w:val="00974AFA"/>
    <w:rsid w:val="00974F81"/>
    <w:rsid w:val="00975109"/>
    <w:rsid w:val="009767D1"/>
    <w:rsid w:val="009771EE"/>
    <w:rsid w:val="009778F0"/>
    <w:rsid w:val="00980407"/>
    <w:rsid w:val="00980475"/>
    <w:rsid w:val="00980CE1"/>
    <w:rsid w:val="0098288C"/>
    <w:rsid w:val="009834D0"/>
    <w:rsid w:val="00984905"/>
    <w:rsid w:val="00984AB9"/>
    <w:rsid w:val="009854FB"/>
    <w:rsid w:val="009866FF"/>
    <w:rsid w:val="009869E0"/>
    <w:rsid w:val="00986D02"/>
    <w:rsid w:val="009873FC"/>
    <w:rsid w:val="0098781D"/>
    <w:rsid w:val="0099041C"/>
    <w:rsid w:val="00990698"/>
    <w:rsid w:val="009913CF"/>
    <w:rsid w:val="00991E5E"/>
    <w:rsid w:val="00991EF4"/>
    <w:rsid w:val="009921A5"/>
    <w:rsid w:val="00992B94"/>
    <w:rsid w:val="00993331"/>
    <w:rsid w:val="00993655"/>
    <w:rsid w:val="009941B4"/>
    <w:rsid w:val="009952E4"/>
    <w:rsid w:val="009958CB"/>
    <w:rsid w:val="00995E52"/>
    <w:rsid w:val="009967A1"/>
    <w:rsid w:val="00996B4A"/>
    <w:rsid w:val="00996E19"/>
    <w:rsid w:val="00997239"/>
    <w:rsid w:val="009972B2"/>
    <w:rsid w:val="00997565"/>
    <w:rsid w:val="00997971"/>
    <w:rsid w:val="00997CE7"/>
    <w:rsid w:val="00997F6B"/>
    <w:rsid w:val="009A0492"/>
    <w:rsid w:val="009A079B"/>
    <w:rsid w:val="009A0B19"/>
    <w:rsid w:val="009A0B81"/>
    <w:rsid w:val="009A2098"/>
    <w:rsid w:val="009A239B"/>
    <w:rsid w:val="009A2706"/>
    <w:rsid w:val="009A52DA"/>
    <w:rsid w:val="009A5EE7"/>
    <w:rsid w:val="009A65F6"/>
    <w:rsid w:val="009A6B45"/>
    <w:rsid w:val="009A71A9"/>
    <w:rsid w:val="009B042D"/>
    <w:rsid w:val="009B0A1D"/>
    <w:rsid w:val="009B15AC"/>
    <w:rsid w:val="009B19C7"/>
    <w:rsid w:val="009B223C"/>
    <w:rsid w:val="009B22BF"/>
    <w:rsid w:val="009B3215"/>
    <w:rsid w:val="009B3831"/>
    <w:rsid w:val="009B3C3E"/>
    <w:rsid w:val="009B3DA1"/>
    <w:rsid w:val="009B4560"/>
    <w:rsid w:val="009B4669"/>
    <w:rsid w:val="009B564D"/>
    <w:rsid w:val="009B6675"/>
    <w:rsid w:val="009B7364"/>
    <w:rsid w:val="009B74BB"/>
    <w:rsid w:val="009B7A4E"/>
    <w:rsid w:val="009C4136"/>
    <w:rsid w:val="009C4981"/>
    <w:rsid w:val="009C568C"/>
    <w:rsid w:val="009C583C"/>
    <w:rsid w:val="009C61E3"/>
    <w:rsid w:val="009C762B"/>
    <w:rsid w:val="009D060A"/>
    <w:rsid w:val="009D0909"/>
    <w:rsid w:val="009D1696"/>
    <w:rsid w:val="009D1B17"/>
    <w:rsid w:val="009D2566"/>
    <w:rsid w:val="009D2E6B"/>
    <w:rsid w:val="009D30BF"/>
    <w:rsid w:val="009D3C27"/>
    <w:rsid w:val="009D3C4A"/>
    <w:rsid w:val="009D47D1"/>
    <w:rsid w:val="009D5422"/>
    <w:rsid w:val="009D5620"/>
    <w:rsid w:val="009D5B33"/>
    <w:rsid w:val="009D5DA1"/>
    <w:rsid w:val="009D681D"/>
    <w:rsid w:val="009D71F5"/>
    <w:rsid w:val="009D7A18"/>
    <w:rsid w:val="009E08A3"/>
    <w:rsid w:val="009E139D"/>
    <w:rsid w:val="009E14CB"/>
    <w:rsid w:val="009E161E"/>
    <w:rsid w:val="009E2124"/>
    <w:rsid w:val="009E26D6"/>
    <w:rsid w:val="009E2A6D"/>
    <w:rsid w:val="009E2EA3"/>
    <w:rsid w:val="009E3093"/>
    <w:rsid w:val="009E3105"/>
    <w:rsid w:val="009E455B"/>
    <w:rsid w:val="009E51F6"/>
    <w:rsid w:val="009E5808"/>
    <w:rsid w:val="009E59D8"/>
    <w:rsid w:val="009E5C7A"/>
    <w:rsid w:val="009E6265"/>
    <w:rsid w:val="009E6B8F"/>
    <w:rsid w:val="009E7020"/>
    <w:rsid w:val="009F0690"/>
    <w:rsid w:val="009F0AC7"/>
    <w:rsid w:val="009F0EE8"/>
    <w:rsid w:val="009F113E"/>
    <w:rsid w:val="009F11AB"/>
    <w:rsid w:val="009F219A"/>
    <w:rsid w:val="009F24CB"/>
    <w:rsid w:val="009F4A2B"/>
    <w:rsid w:val="009F4A6B"/>
    <w:rsid w:val="009F58C7"/>
    <w:rsid w:val="009F6944"/>
    <w:rsid w:val="009F6EFD"/>
    <w:rsid w:val="009F7156"/>
    <w:rsid w:val="009F7219"/>
    <w:rsid w:val="009F770E"/>
    <w:rsid w:val="00A00313"/>
    <w:rsid w:val="00A00679"/>
    <w:rsid w:val="00A006C0"/>
    <w:rsid w:val="00A0081E"/>
    <w:rsid w:val="00A00A8A"/>
    <w:rsid w:val="00A00CCF"/>
    <w:rsid w:val="00A0199F"/>
    <w:rsid w:val="00A01CF1"/>
    <w:rsid w:val="00A02121"/>
    <w:rsid w:val="00A022F4"/>
    <w:rsid w:val="00A02415"/>
    <w:rsid w:val="00A037BD"/>
    <w:rsid w:val="00A03FCE"/>
    <w:rsid w:val="00A0419A"/>
    <w:rsid w:val="00A044CA"/>
    <w:rsid w:val="00A04E5F"/>
    <w:rsid w:val="00A050DE"/>
    <w:rsid w:val="00A05303"/>
    <w:rsid w:val="00A0561E"/>
    <w:rsid w:val="00A057F0"/>
    <w:rsid w:val="00A063D5"/>
    <w:rsid w:val="00A06575"/>
    <w:rsid w:val="00A065F6"/>
    <w:rsid w:val="00A06CDD"/>
    <w:rsid w:val="00A06F95"/>
    <w:rsid w:val="00A07383"/>
    <w:rsid w:val="00A075A6"/>
    <w:rsid w:val="00A07785"/>
    <w:rsid w:val="00A077B0"/>
    <w:rsid w:val="00A07861"/>
    <w:rsid w:val="00A103E6"/>
    <w:rsid w:val="00A10D60"/>
    <w:rsid w:val="00A10FF7"/>
    <w:rsid w:val="00A130AF"/>
    <w:rsid w:val="00A132B9"/>
    <w:rsid w:val="00A13692"/>
    <w:rsid w:val="00A15034"/>
    <w:rsid w:val="00A150A0"/>
    <w:rsid w:val="00A15DCF"/>
    <w:rsid w:val="00A16829"/>
    <w:rsid w:val="00A171BD"/>
    <w:rsid w:val="00A17949"/>
    <w:rsid w:val="00A17952"/>
    <w:rsid w:val="00A20998"/>
    <w:rsid w:val="00A20DEB"/>
    <w:rsid w:val="00A2108A"/>
    <w:rsid w:val="00A217B5"/>
    <w:rsid w:val="00A22AB9"/>
    <w:rsid w:val="00A22EB6"/>
    <w:rsid w:val="00A23180"/>
    <w:rsid w:val="00A24436"/>
    <w:rsid w:val="00A245F6"/>
    <w:rsid w:val="00A24AAD"/>
    <w:rsid w:val="00A2514F"/>
    <w:rsid w:val="00A255D0"/>
    <w:rsid w:val="00A27B8E"/>
    <w:rsid w:val="00A317BD"/>
    <w:rsid w:val="00A3244A"/>
    <w:rsid w:val="00A32C1E"/>
    <w:rsid w:val="00A33201"/>
    <w:rsid w:val="00A3374E"/>
    <w:rsid w:val="00A3422A"/>
    <w:rsid w:val="00A348C0"/>
    <w:rsid w:val="00A368CC"/>
    <w:rsid w:val="00A36B0B"/>
    <w:rsid w:val="00A373A5"/>
    <w:rsid w:val="00A40431"/>
    <w:rsid w:val="00A41657"/>
    <w:rsid w:val="00A43FF5"/>
    <w:rsid w:val="00A44E62"/>
    <w:rsid w:val="00A4513D"/>
    <w:rsid w:val="00A461A7"/>
    <w:rsid w:val="00A47397"/>
    <w:rsid w:val="00A4764D"/>
    <w:rsid w:val="00A5030F"/>
    <w:rsid w:val="00A50A4E"/>
    <w:rsid w:val="00A50B94"/>
    <w:rsid w:val="00A50FA4"/>
    <w:rsid w:val="00A5159C"/>
    <w:rsid w:val="00A5183F"/>
    <w:rsid w:val="00A521C0"/>
    <w:rsid w:val="00A5290F"/>
    <w:rsid w:val="00A52D82"/>
    <w:rsid w:val="00A538F9"/>
    <w:rsid w:val="00A543B0"/>
    <w:rsid w:val="00A55153"/>
    <w:rsid w:val="00A55271"/>
    <w:rsid w:val="00A55D91"/>
    <w:rsid w:val="00A560FA"/>
    <w:rsid w:val="00A564C2"/>
    <w:rsid w:val="00A565AD"/>
    <w:rsid w:val="00A6090F"/>
    <w:rsid w:val="00A60C28"/>
    <w:rsid w:val="00A613E8"/>
    <w:rsid w:val="00A61DE0"/>
    <w:rsid w:val="00A62038"/>
    <w:rsid w:val="00A62529"/>
    <w:rsid w:val="00A625B1"/>
    <w:rsid w:val="00A62762"/>
    <w:rsid w:val="00A62C6B"/>
    <w:rsid w:val="00A630A8"/>
    <w:rsid w:val="00A64FAD"/>
    <w:rsid w:val="00A65784"/>
    <w:rsid w:val="00A65D4D"/>
    <w:rsid w:val="00A65D50"/>
    <w:rsid w:val="00A66E24"/>
    <w:rsid w:val="00A67174"/>
    <w:rsid w:val="00A6724D"/>
    <w:rsid w:val="00A6735E"/>
    <w:rsid w:val="00A67E4E"/>
    <w:rsid w:val="00A7161D"/>
    <w:rsid w:val="00A717F8"/>
    <w:rsid w:val="00A7320A"/>
    <w:rsid w:val="00A7339F"/>
    <w:rsid w:val="00A7351A"/>
    <w:rsid w:val="00A75D07"/>
    <w:rsid w:val="00A75E42"/>
    <w:rsid w:val="00A75E87"/>
    <w:rsid w:val="00A75FFA"/>
    <w:rsid w:val="00A7646B"/>
    <w:rsid w:val="00A772A2"/>
    <w:rsid w:val="00A80441"/>
    <w:rsid w:val="00A80A2E"/>
    <w:rsid w:val="00A8112A"/>
    <w:rsid w:val="00A824C8"/>
    <w:rsid w:val="00A85E96"/>
    <w:rsid w:val="00A86A67"/>
    <w:rsid w:val="00A90623"/>
    <w:rsid w:val="00A90A91"/>
    <w:rsid w:val="00A9119E"/>
    <w:rsid w:val="00A91283"/>
    <w:rsid w:val="00A913AB"/>
    <w:rsid w:val="00A913EE"/>
    <w:rsid w:val="00A91779"/>
    <w:rsid w:val="00A92140"/>
    <w:rsid w:val="00A922D4"/>
    <w:rsid w:val="00A925B5"/>
    <w:rsid w:val="00A929CA"/>
    <w:rsid w:val="00A92F70"/>
    <w:rsid w:val="00A93089"/>
    <w:rsid w:val="00A940F4"/>
    <w:rsid w:val="00A947E4"/>
    <w:rsid w:val="00A94AC5"/>
    <w:rsid w:val="00A94CC9"/>
    <w:rsid w:val="00A95AE6"/>
    <w:rsid w:val="00A95CCC"/>
    <w:rsid w:val="00A97250"/>
    <w:rsid w:val="00A9748F"/>
    <w:rsid w:val="00AA20E2"/>
    <w:rsid w:val="00AA23B3"/>
    <w:rsid w:val="00AA2CC1"/>
    <w:rsid w:val="00AA3566"/>
    <w:rsid w:val="00AA3B40"/>
    <w:rsid w:val="00AA3C83"/>
    <w:rsid w:val="00AA3E2E"/>
    <w:rsid w:val="00AA4457"/>
    <w:rsid w:val="00AA497D"/>
    <w:rsid w:val="00AA70C4"/>
    <w:rsid w:val="00AA79C1"/>
    <w:rsid w:val="00AA7FF0"/>
    <w:rsid w:val="00AB0D5E"/>
    <w:rsid w:val="00AB2751"/>
    <w:rsid w:val="00AB2780"/>
    <w:rsid w:val="00AB2F53"/>
    <w:rsid w:val="00AB32EC"/>
    <w:rsid w:val="00AB3E68"/>
    <w:rsid w:val="00AB400C"/>
    <w:rsid w:val="00AB49F8"/>
    <w:rsid w:val="00AB5085"/>
    <w:rsid w:val="00AB62CA"/>
    <w:rsid w:val="00AB6CF2"/>
    <w:rsid w:val="00AB712C"/>
    <w:rsid w:val="00AB7E61"/>
    <w:rsid w:val="00AC1330"/>
    <w:rsid w:val="00AC1F7C"/>
    <w:rsid w:val="00AC22E8"/>
    <w:rsid w:val="00AC26A8"/>
    <w:rsid w:val="00AC32F9"/>
    <w:rsid w:val="00AC3805"/>
    <w:rsid w:val="00AC4059"/>
    <w:rsid w:val="00AC48F7"/>
    <w:rsid w:val="00AC4BD1"/>
    <w:rsid w:val="00AC536B"/>
    <w:rsid w:val="00AC5884"/>
    <w:rsid w:val="00AC6678"/>
    <w:rsid w:val="00AC6975"/>
    <w:rsid w:val="00AC726F"/>
    <w:rsid w:val="00AC7718"/>
    <w:rsid w:val="00AD0185"/>
    <w:rsid w:val="00AD08C4"/>
    <w:rsid w:val="00AD0B69"/>
    <w:rsid w:val="00AD1495"/>
    <w:rsid w:val="00AD17B8"/>
    <w:rsid w:val="00AD31BE"/>
    <w:rsid w:val="00AD3451"/>
    <w:rsid w:val="00AD3FFC"/>
    <w:rsid w:val="00AD44DA"/>
    <w:rsid w:val="00AD612B"/>
    <w:rsid w:val="00AD6BB7"/>
    <w:rsid w:val="00AD7043"/>
    <w:rsid w:val="00AD746E"/>
    <w:rsid w:val="00AD79F5"/>
    <w:rsid w:val="00AE1E01"/>
    <w:rsid w:val="00AE21E0"/>
    <w:rsid w:val="00AE27A6"/>
    <w:rsid w:val="00AE2D1B"/>
    <w:rsid w:val="00AE389B"/>
    <w:rsid w:val="00AE39BE"/>
    <w:rsid w:val="00AE3D12"/>
    <w:rsid w:val="00AE3DE0"/>
    <w:rsid w:val="00AE43D6"/>
    <w:rsid w:val="00AE53D1"/>
    <w:rsid w:val="00AE58AE"/>
    <w:rsid w:val="00AE5A04"/>
    <w:rsid w:val="00AE5D30"/>
    <w:rsid w:val="00AE75EE"/>
    <w:rsid w:val="00AE7A76"/>
    <w:rsid w:val="00AF1153"/>
    <w:rsid w:val="00AF1710"/>
    <w:rsid w:val="00AF1F0F"/>
    <w:rsid w:val="00AF1F4C"/>
    <w:rsid w:val="00AF234A"/>
    <w:rsid w:val="00AF277B"/>
    <w:rsid w:val="00AF2F91"/>
    <w:rsid w:val="00AF320A"/>
    <w:rsid w:val="00AF33B4"/>
    <w:rsid w:val="00AF363A"/>
    <w:rsid w:val="00AF418C"/>
    <w:rsid w:val="00AF4A9C"/>
    <w:rsid w:val="00AF5224"/>
    <w:rsid w:val="00AF55DC"/>
    <w:rsid w:val="00AF5D15"/>
    <w:rsid w:val="00AF68D6"/>
    <w:rsid w:val="00B001F7"/>
    <w:rsid w:val="00B009CA"/>
    <w:rsid w:val="00B033BC"/>
    <w:rsid w:val="00B03624"/>
    <w:rsid w:val="00B03E2F"/>
    <w:rsid w:val="00B044DA"/>
    <w:rsid w:val="00B06C53"/>
    <w:rsid w:val="00B06D50"/>
    <w:rsid w:val="00B06D64"/>
    <w:rsid w:val="00B070EA"/>
    <w:rsid w:val="00B07498"/>
    <w:rsid w:val="00B1101E"/>
    <w:rsid w:val="00B11D0E"/>
    <w:rsid w:val="00B11DB6"/>
    <w:rsid w:val="00B11E13"/>
    <w:rsid w:val="00B11FB3"/>
    <w:rsid w:val="00B120C8"/>
    <w:rsid w:val="00B121E2"/>
    <w:rsid w:val="00B122EE"/>
    <w:rsid w:val="00B1252D"/>
    <w:rsid w:val="00B129B8"/>
    <w:rsid w:val="00B13418"/>
    <w:rsid w:val="00B1455B"/>
    <w:rsid w:val="00B14A1D"/>
    <w:rsid w:val="00B14D8C"/>
    <w:rsid w:val="00B1547B"/>
    <w:rsid w:val="00B15AE5"/>
    <w:rsid w:val="00B15D01"/>
    <w:rsid w:val="00B164E0"/>
    <w:rsid w:val="00B16548"/>
    <w:rsid w:val="00B168F2"/>
    <w:rsid w:val="00B16C01"/>
    <w:rsid w:val="00B1757F"/>
    <w:rsid w:val="00B175F2"/>
    <w:rsid w:val="00B17F84"/>
    <w:rsid w:val="00B20E2C"/>
    <w:rsid w:val="00B20F5C"/>
    <w:rsid w:val="00B2127B"/>
    <w:rsid w:val="00B217EE"/>
    <w:rsid w:val="00B23523"/>
    <w:rsid w:val="00B23AF6"/>
    <w:rsid w:val="00B24003"/>
    <w:rsid w:val="00B24219"/>
    <w:rsid w:val="00B25279"/>
    <w:rsid w:val="00B25812"/>
    <w:rsid w:val="00B25CEA"/>
    <w:rsid w:val="00B25D85"/>
    <w:rsid w:val="00B26988"/>
    <w:rsid w:val="00B274C9"/>
    <w:rsid w:val="00B27C33"/>
    <w:rsid w:val="00B3025F"/>
    <w:rsid w:val="00B302EC"/>
    <w:rsid w:val="00B30957"/>
    <w:rsid w:val="00B30D21"/>
    <w:rsid w:val="00B31A98"/>
    <w:rsid w:val="00B31C7D"/>
    <w:rsid w:val="00B32C0E"/>
    <w:rsid w:val="00B32ED5"/>
    <w:rsid w:val="00B33488"/>
    <w:rsid w:val="00B34024"/>
    <w:rsid w:val="00B344AB"/>
    <w:rsid w:val="00B34D09"/>
    <w:rsid w:val="00B35B2F"/>
    <w:rsid w:val="00B35B5C"/>
    <w:rsid w:val="00B36152"/>
    <w:rsid w:val="00B361B7"/>
    <w:rsid w:val="00B37975"/>
    <w:rsid w:val="00B412B0"/>
    <w:rsid w:val="00B41630"/>
    <w:rsid w:val="00B41A13"/>
    <w:rsid w:val="00B45581"/>
    <w:rsid w:val="00B46194"/>
    <w:rsid w:val="00B46FE6"/>
    <w:rsid w:val="00B47016"/>
    <w:rsid w:val="00B50B22"/>
    <w:rsid w:val="00B511D2"/>
    <w:rsid w:val="00B51923"/>
    <w:rsid w:val="00B51C78"/>
    <w:rsid w:val="00B51F2B"/>
    <w:rsid w:val="00B52864"/>
    <w:rsid w:val="00B52F1E"/>
    <w:rsid w:val="00B540B6"/>
    <w:rsid w:val="00B542F2"/>
    <w:rsid w:val="00B54870"/>
    <w:rsid w:val="00B549AC"/>
    <w:rsid w:val="00B56BB0"/>
    <w:rsid w:val="00B57426"/>
    <w:rsid w:val="00B57549"/>
    <w:rsid w:val="00B57625"/>
    <w:rsid w:val="00B57CDD"/>
    <w:rsid w:val="00B57DFB"/>
    <w:rsid w:val="00B6006A"/>
    <w:rsid w:val="00B606C6"/>
    <w:rsid w:val="00B60C52"/>
    <w:rsid w:val="00B61D96"/>
    <w:rsid w:val="00B62451"/>
    <w:rsid w:val="00B64125"/>
    <w:rsid w:val="00B64750"/>
    <w:rsid w:val="00B65753"/>
    <w:rsid w:val="00B65CE7"/>
    <w:rsid w:val="00B678D4"/>
    <w:rsid w:val="00B700A7"/>
    <w:rsid w:val="00B71E86"/>
    <w:rsid w:val="00B71E93"/>
    <w:rsid w:val="00B729B7"/>
    <w:rsid w:val="00B73715"/>
    <w:rsid w:val="00B7379B"/>
    <w:rsid w:val="00B74403"/>
    <w:rsid w:val="00B74419"/>
    <w:rsid w:val="00B74EBF"/>
    <w:rsid w:val="00B75151"/>
    <w:rsid w:val="00B75EDA"/>
    <w:rsid w:val="00B77234"/>
    <w:rsid w:val="00B77279"/>
    <w:rsid w:val="00B77962"/>
    <w:rsid w:val="00B8001A"/>
    <w:rsid w:val="00B800FC"/>
    <w:rsid w:val="00B80877"/>
    <w:rsid w:val="00B80ADF"/>
    <w:rsid w:val="00B82C1E"/>
    <w:rsid w:val="00B8362C"/>
    <w:rsid w:val="00B843C7"/>
    <w:rsid w:val="00B85A74"/>
    <w:rsid w:val="00B85D3A"/>
    <w:rsid w:val="00B86323"/>
    <w:rsid w:val="00B869E3"/>
    <w:rsid w:val="00B9037E"/>
    <w:rsid w:val="00B903E3"/>
    <w:rsid w:val="00B9348C"/>
    <w:rsid w:val="00B934FA"/>
    <w:rsid w:val="00B93A95"/>
    <w:rsid w:val="00B940E2"/>
    <w:rsid w:val="00B949D5"/>
    <w:rsid w:val="00B94DEA"/>
    <w:rsid w:val="00B95735"/>
    <w:rsid w:val="00B958A1"/>
    <w:rsid w:val="00B95AA3"/>
    <w:rsid w:val="00B9651D"/>
    <w:rsid w:val="00B967B4"/>
    <w:rsid w:val="00B978BA"/>
    <w:rsid w:val="00B97B4C"/>
    <w:rsid w:val="00B97BF5"/>
    <w:rsid w:val="00BA0096"/>
    <w:rsid w:val="00BA07C7"/>
    <w:rsid w:val="00BA0800"/>
    <w:rsid w:val="00BA0D34"/>
    <w:rsid w:val="00BA1701"/>
    <w:rsid w:val="00BA1C10"/>
    <w:rsid w:val="00BA21E4"/>
    <w:rsid w:val="00BA28B1"/>
    <w:rsid w:val="00BA442D"/>
    <w:rsid w:val="00BA5042"/>
    <w:rsid w:val="00BA531E"/>
    <w:rsid w:val="00BA54C0"/>
    <w:rsid w:val="00BA5526"/>
    <w:rsid w:val="00BA5A5C"/>
    <w:rsid w:val="00BA5AA5"/>
    <w:rsid w:val="00BA5C50"/>
    <w:rsid w:val="00BA6562"/>
    <w:rsid w:val="00BA7423"/>
    <w:rsid w:val="00BB03C0"/>
    <w:rsid w:val="00BB04E0"/>
    <w:rsid w:val="00BB0A26"/>
    <w:rsid w:val="00BB0B7C"/>
    <w:rsid w:val="00BB11F8"/>
    <w:rsid w:val="00BB1471"/>
    <w:rsid w:val="00BB173B"/>
    <w:rsid w:val="00BB1C6D"/>
    <w:rsid w:val="00BB3AD0"/>
    <w:rsid w:val="00BB3DD7"/>
    <w:rsid w:val="00BB4345"/>
    <w:rsid w:val="00BB530D"/>
    <w:rsid w:val="00BB5AF9"/>
    <w:rsid w:val="00BB5B00"/>
    <w:rsid w:val="00BB5DEF"/>
    <w:rsid w:val="00BB71BD"/>
    <w:rsid w:val="00BB735D"/>
    <w:rsid w:val="00BB767B"/>
    <w:rsid w:val="00BC0589"/>
    <w:rsid w:val="00BC0A41"/>
    <w:rsid w:val="00BC16D6"/>
    <w:rsid w:val="00BC186C"/>
    <w:rsid w:val="00BC1DD3"/>
    <w:rsid w:val="00BC28EA"/>
    <w:rsid w:val="00BC2C05"/>
    <w:rsid w:val="00BC4471"/>
    <w:rsid w:val="00BC4616"/>
    <w:rsid w:val="00BC4861"/>
    <w:rsid w:val="00BC4A51"/>
    <w:rsid w:val="00BC5603"/>
    <w:rsid w:val="00BC609F"/>
    <w:rsid w:val="00BC616B"/>
    <w:rsid w:val="00BC7CA2"/>
    <w:rsid w:val="00BD1376"/>
    <w:rsid w:val="00BD1636"/>
    <w:rsid w:val="00BD1D78"/>
    <w:rsid w:val="00BD208D"/>
    <w:rsid w:val="00BD222C"/>
    <w:rsid w:val="00BD2738"/>
    <w:rsid w:val="00BD296F"/>
    <w:rsid w:val="00BD4252"/>
    <w:rsid w:val="00BD45B5"/>
    <w:rsid w:val="00BD4E84"/>
    <w:rsid w:val="00BD578B"/>
    <w:rsid w:val="00BD58AA"/>
    <w:rsid w:val="00BD605F"/>
    <w:rsid w:val="00BD6417"/>
    <w:rsid w:val="00BD6566"/>
    <w:rsid w:val="00BD6894"/>
    <w:rsid w:val="00BD79A9"/>
    <w:rsid w:val="00BE048B"/>
    <w:rsid w:val="00BE0C00"/>
    <w:rsid w:val="00BE1224"/>
    <w:rsid w:val="00BE204E"/>
    <w:rsid w:val="00BE2CEF"/>
    <w:rsid w:val="00BE2FCC"/>
    <w:rsid w:val="00BE3361"/>
    <w:rsid w:val="00BE33DC"/>
    <w:rsid w:val="00BE35C3"/>
    <w:rsid w:val="00BE483B"/>
    <w:rsid w:val="00BE4944"/>
    <w:rsid w:val="00BE4DD4"/>
    <w:rsid w:val="00BE52F4"/>
    <w:rsid w:val="00BE6A6D"/>
    <w:rsid w:val="00BE78B2"/>
    <w:rsid w:val="00BF04B4"/>
    <w:rsid w:val="00BF0B74"/>
    <w:rsid w:val="00BF0B76"/>
    <w:rsid w:val="00BF0EC6"/>
    <w:rsid w:val="00BF16DF"/>
    <w:rsid w:val="00BF24F1"/>
    <w:rsid w:val="00BF41A5"/>
    <w:rsid w:val="00BF4896"/>
    <w:rsid w:val="00BF4B48"/>
    <w:rsid w:val="00BF6BE7"/>
    <w:rsid w:val="00C0004E"/>
    <w:rsid w:val="00C00E05"/>
    <w:rsid w:val="00C010F1"/>
    <w:rsid w:val="00C018E5"/>
    <w:rsid w:val="00C030B1"/>
    <w:rsid w:val="00C03413"/>
    <w:rsid w:val="00C03D0D"/>
    <w:rsid w:val="00C06378"/>
    <w:rsid w:val="00C06818"/>
    <w:rsid w:val="00C070D8"/>
    <w:rsid w:val="00C077C4"/>
    <w:rsid w:val="00C07851"/>
    <w:rsid w:val="00C10176"/>
    <w:rsid w:val="00C10250"/>
    <w:rsid w:val="00C1062E"/>
    <w:rsid w:val="00C10FF2"/>
    <w:rsid w:val="00C11D69"/>
    <w:rsid w:val="00C1313D"/>
    <w:rsid w:val="00C1399A"/>
    <w:rsid w:val="00C13AAA"/>
    <w:rsid w:val="00C1408F"/>
    <w:rsid w:val="00C141C7"/>
    <w:rsid w:val="00C1440D"/>
    <w:rsid w:val="00C14910"/>
    <w:rsid w:val="00C15B95"/>
    <w:rsid w:val="00C16396"/>
    <w:rsid w:val="00C165F8"/>
    <w:rsid w:val="00C16ADB"/>
    <w:rsid w:val="00C16B1A"/>
    <w:rsid w:val="00C17033"/>
    <w:rsid w:val="00C20060"/>
    <w:rsid w:val="00C205F0"/>
    <w:rsid w:val="00C210A4"/>
    <w:rsid w:val="00C211F2"/>
    <w:rsid w:val="00C213F9"/>
    <w:rsid w:val="00C216B8"/>
    <w:rsid w:val="00C21AB5"/>
    <w:rsid w:val="00C21E8B"/>
    <w:rsid w:val="00C21FD4"/>
    <w:rsid w:val="00C22108"/>
    <w:rsid w:val="00C22E01"/>
    <w:rsid w:val="00C22EC5"/>
    <w:rsid w:val="00C2300D"/>
    <w:rsid w:val="00C24CA3"/>
    <w:rsid w:val="00C267DC"/>
    <w:rsid w:val="00C271A9"/>
    <w:rsid w:val="00C30506"/>
    <w:rsid w:val="00C30832"/>
    <w:rsid w:val="00C30DD9"/>
    <w:rsid w:val="00C31C18"/>
    <w:rsid w:val="00C31E2A"/>
    <w:rsid w:val="00C3228B"/>
    <w:rsid w:val="00C322C3"/>
    <w:rsid w:val="00C32E79"/>
    <w:rsid w:val="00C33C6C"/>
    <w:rsid w:val="00C33FF9"/>
    <w:rsid w:val="00C340F8"/>
    <w:rsid w:val="00C3585B"/>
    <w:rsid w:val="00C3612D"/>
    <w:rsid w:val="00C36492"/>
    <w:rsid w:val="00C367E5"/>
    <w:rsid w:val="00C3684E"/>
    <w:rsid w:val="00C36B76"/>
    <w:rsid w:val="00C371E6"/>
    <w:rsid w:val="00C37964"/>
    <w:rsid w:val="00C40224"/>
    <w:rsid w:val="00C40685"/>
    <w:rsid w:val="00C407B6"/>
    <w:rsid w:val="00C40C28"/>
    <w:rsid w:val="00C411EC"/>
    <w:rsid w:val="00C41401"/>
    <w:rsid w:val="00C4327E"/>
    <w:rsid w:val="00C448BF"/>
    <w:rsid w:val="00C45503"/>
    <w:rsid w:val="00C46017"/>
    <w:rsid w:val="00C46AAD"/>
    <w:rsid w:val="00C46AFC"/>
    <w:rsid w:val="00C47615"/>
    <w:rsid w:val="00C47F9C"/>
    <w:rsid w:val="00C50574"/>
    <w:rsid w:val="00C50B24"/>
    <w:rsid w:val="00C5104B"/>
    <w:rsid w:val="00C52340"/>
    <w:rsid w:val="00C526C5"/>
    <w:rsid w:val="00C53037"/>
    <w:rsid w:val="00C53E2B"/>
    <w:rsid w:val="00C53EEB"/>
    <w:rsid w:val="00C5411B"/>
    <w:rsid w:val="00C55347"/>
    <w:rsid w:val="00C55C2B"/>
    <w:rsid w:val="00C564A3"/>
    <w:rsid w:val="00C568C5"/>
    <w:rsid w:val="00C56D20"/>
    <w:rsid w:val="00C57297"/>
    <w:rsid w:val="00C57B50"/>
    <w:rsid w:val="00C603D8"/>
    <w:rsid w:val="00C60992"/>
    <w:rsid w:val="00C6099C"/>
    <w:rsid w:val="00C60E1A"/>
    <w:rsid w:val="00C612FB"/>
    <w:rsid w:val="00C618D0"/>
    <w:rsid w:val="00C622DE"/>
    <w:rsid w:val="00C62442"/>
    <w:rsid w:val="00C6260F"/>
    <w:rsid w:val="00C628C2"/>
    <w:rsid w:val="00C62D99"/>
    <w:rsid w:val="00C63A82"/>
    <w:rsid w:val="00C6441C"/>
    <w:rsid w:val="00C66AF3"/>
    <w:rsid w:val="00C70C67"/>
    <w:rsid w:val="00C70EFD"/>
    <w:rsid w:val="00C71491"/>
    <w:rsid w:val="00C71538"/>
    <w:rsid w:val="00C7189F"/>
    <w:rsid w:val="00C718C5"/>
    <w:rsid w:val="00C71CE0"/>
    <w:rsid w:val="00C7253A"/>
    <w:rsid w:val="00C72F8D"/>
    <w:rsid w:val="00C73681"/>
    <w:rsid w:val="00C73EE3"/>
    <w:rsid w:val="00C743CB"/>
    <w:rsid w:val="00C74AC9"/>
    <w:rsid w:val="00C750A9"/>
    <w:rsid w:val="00C75162"/>
    <w:rsid w:val="00C754D1"/>
    <w:rsid w:val="00C76258"/>
    <w:rsid w:val="00C7704C"/>
    <w:rsid w:val="00C773E0"/>
    <w:rsid w:val="00C77981"/>
    <w:rsid w:val="00C77E98"/>
    <w:rsid w:val="00C8177C"/>
    <w:rsid w:val="00C81FD2"/>
    <w:rsid w:val="00C82350"/>
    <w:rsid w:val="00C8238C"/>
    <w:rsid w:val="00C826BA"/>
    <w:rsid w:val="00C82A8D"/>
    <w:rsid w:val="00C830F9"/>
    <w:rsid w:val="00C854BB"/>
    <w:rsid w:val="00C8642E"/>
    <w:rsid w:val="00C8690C"/>
    <w:rsid w:val="00C91422"/>
    <w:rsid w:val="00C9180D"/>
    <w:rsid w:val="00C91F98"/>
    <w:rsid w:val="00C92530"/>
    <w:rsid w:val="00C92B20"/>
    <w:rsid w:val="00C93BBC"/>
    <w:rsid w:val="00C93E46"/>
    <w:rsid w:val="00C94809"/>
    <w:rsid w:val="00C948BA"/>
    <w:rsid w:val="00C94A14"/>
    <w:rsid w:val="00C94C47"/>
    <w:rsid w:val="00C9553A"/>
    <w:rsid w:val="00C955D9"/>
    <w:rsid w:val="00C95DD5"/>
    <w:rsid w:val="00C95EE7"/>
    <w:rsid w:val="00C96C59"/>
    <w:rsid w:val="00C97B65"/>
    <w:rsid w:val="00C97CF1"/>
    <w:rsid w:val="00CA0AD1"/>
    <w:rsid w:val="00CA1001"/>
    <w:rsid w:val="00CA36A8"/>
    <w:rsid w:val="00CA37C6"/>
    <w:rsid w:val="00CA3FBD"/>
    <w:rsid w:val="00CA4242"/>
    <w:rsid w:val="00CA5C67"/>
    <w:rsid w:val="00CA64D7"/>
    <w:rsid w:val="00CA6700"/>
    <w:rsid w:val="00CA7992"/>
    <w:rsid w:val="00CA7DE2"/>
    <w:rsid w:val="00CB106A"/>
    <w:rsid w:val="00CB1254"/>
    <w:rsid w:val="00CB1B3F"/>
    <w:rsid w:val="00CB274C"/>
    <w:rsid w:val="00CB2BBA"/>
    <w:rsid w:val="00CB3AD3"/>
    <w:rsid w:val="00CB3B8B"/>
    <w:rsid w:val="00CB3F6F"/>
    <w:rsid w:val="00CB4280"/>
    <w:rsid w:val="00CB4E40"/>
    <w:rsid w:val="00CB54C1"/>
    <w:rsid w:val="00CB5608"/>
    <w:rsid w:val="00CB5FB2"/>
    <w:rsid w:val="00CB6858"/>
    <w:rsid w:val="00CB68DA"/>
    <w:rsid w:val="00CB6BD9"/>
    <w:rsid w:val="00CB6DA7"/>
    <w:rsid w:val="00CC0934"/>
    <w:rsid w:val="00CC09F4"/>
    <w:rsid w:val="00CC15DF"/>
    <w:rsid w:val="00CC1A0A"/>
    <w:rsid w:val="00CC1B71"/>
    <w:rsid w:val="00CC28D1"/>
    <w:rsid w:val="00CC2A47"/>
    <w:rsid w:val="00CC2BB5"/>
    <w:rsid w:val="00CC2BE3"/>
    <w:rsid w:val="00CC3488"/>
    <w:rsid w:val="00CC35EA"/>
    <w:rsid w:val="00CC5774"/>
    <w:rsid w:val="00CC5D38"/>
    <w:rsid w:val="00CC63FD"/>
    <w:rsid w:val="00CC6AC6"/>
    <w:rsid w:val="00CC6D5C"/>
    <w:rsid w:val="00CD0907"/>
    <w:rsid w:val="00CD0BCC"/>
    <w:rsid w:val="00CD10D9"/>
    <w:rsid w:val="00CD3231"/>
    <w:rsid w:val="00CD464C"/>
    <w:rsid w:val="00CD4999"/>
    <w:rsid w:val="00CD4AFB"/>
    <w:rsid w:val="00CD5197"/>
    <w:rsid w:val="00CD59F6"/>
    <w:rsid w:val="00CD629F"/>
    <w:rsid w:val="00CD68B9"/>
    <w:rsid w:val="00CD71A1"/>
    <w:rsid w:val="00CE0ADB"/>
    <w:rsid w:val="00CE11A6"/>
    <w:rsid w:val="00CE1487"/>
    <w:rsid w:val="00CE2614"/>
    <w:rsid w:val="00CE264F"/>
    <w:rsid w:val="00CE3146"/>
    <w:rsid w:val="00CE374F"/>
    <w:rsid w:val="00CE447E"/>
    <w:rsid w:val="00CE4DB2"/>
    <w:rsid w:val="00CE51AA"/>
    <w:rsid w:val="00CE56AC"/>
    <w:rsid w:val="00CE5B90"/>
    <w:rsid w:val="00CE5F51"/>
    <w:rsid w:val="00CE6108"/>
    <w:rsid w:val="00CE6662"/>
    <w:rsid w:val="00CE70D2"/>
    <w:rsid w:val="00CE7BE8"/>
    <w:rsid w:val="00CF0163"/>
    <w:rsid w:val="00CF02FC"/>
    <w:rsid w:val="00CF14B5"/>
    <w:rsid w:val="00CF1740"/>
    <w:rsid w:val="00CF264C"/>
    <w:rsid w:val="00CF2BB5"/>
    <w:rsid w:val="00CF3546"/>
    <w:rsid w:val="00CF3CFF"/>
    <w:rsid w:val="00CF505B"/>
    <w:rsid w:val="00D00183"/>
    <w:rsid w:val="00D004D3"/>
    <w:rsid w:val="00D00A4F"/>
    <w:rsid w:val="00D00AAD"/>
    <w:rsid w:val="00D036CC"/>
    <w:rsid w:val="00D03EC2"/>
    <w:rsid w:val="00D04B65"/>
    <w:rsid w:val="00D05298"/>
    <w:rsid w:val="00D0577F"/>
    <w:rsid w:val="00D05AA5"/>
    <w:rsid w:val="00D05CB7"/>
    <w:rsid w:val="00D067D2"/>
    <w:rsid w:val="00D06EF1"/>
    <w:rsid w:val="00D073D1"/>
    <w:rsid w:val="00D0755F"/>
    <w:rsid w:val="00D07B83"/>
    <w:rsid w:val="00D07E40"/>
    <w:rsid w:val="00D07E4C"/>
    <w:rsid w:val="00D1052A"/>
    <w:rsid w:val="00D12761"/>
    <w:rsid w:val="00D134DD"/>
    <w:rsid w:val="00D13526"/>
    <w:rsid w:val="00D13AF0"/>
    <w:rsid w:val="00D14BBC"/>
    <w:rsid w:val="00D14FE5"/>
    <w:rsid w:val="00D15A34"/>
    <w:rsid w:val="00D17CC0"/>
    <w:rsid w:val="00D202B3"/>
    <w:rsid w:val="00D203F1"/>
    <w:rsid w:val="00D209FC"/>
    <w:rsid w:val="00D20A56"/>
    <w:rsid w:val="00D21CD1"/>
    <w:rsid w:val="00D21E2F"/>
    <w:rsid w:val="00D22DB7"/>
    <w:rsid w:val="00D234D0"/>
    <w:rsid w:val="00D23A3C"/>
    <w:rsid w:val="00D23BEE"/>
    <w:rsid w:val="00D25326"/>
    <w:rsid w:val="00D255CD"/>
    <w:rsid w:val="00D2670C"/>
    <w:rsid w:val="00D26921"/>
    <w:rsid w:val="00D26AB8"/>
    <w:rsid w:val="00D26ACF"/>
    <w:rsid w:val="00D27AEC"/>
    <w:rsid w:val="00D27E32"/>
    <w:rsid w:val="00D27E92"/>
    <w:rsid w:val="00D300B6"/>
    <w:rsid w:val="00D316DD"/>
    <w:rsid w:val="00D31796"/>
    <w:rsid w:val="00D317B4"/>
    <w:rsid w:val="00D32295"/>
    <w:rsid w:val="00D33368"/>
    <w:rsid w:val="00D3438A"/>
    <w:rsid w:val="00D343B5"/>
    <w:rsid w:val="00D344CF"/>
    <w:rsid w:val="00D35038"/>
    <w:rsid w:val="00D3650C"/>
    <w:rsid w:val="00D367EF"/>
    <w:rsid w:val="00D36E2E"/>
    <w:rsid w:val="00D36EDB"/>
    <w:rsid w:val="00D37363"/>
    <w:rsid w:val="00D37BEA"/>
    <w:rsid w:val="00D408B5"/>
    <w:rsid w:val="00D41842"/>
    <w:rsid w:val="00D42040"/>
    <w:rsid w:val="00D420AD"/>
    <w:rsid w:val="00D42A3C"/>
    <w:rsid w:val="00D42C65"/>
    <w:rsid w:val="00D43104"/>
    <w:rsid w:val="00D43841"/>
    <w:rsid w:val="00D43A38"/>
    <w:rsid w:val="00D43DDA"/>
    <w:rsid w:val="00D44E92"/>
    <w:rsid w:val="00D4553C"/>
    <w:rsid w:val="00D45C26"/>
    <w:rsid w:val="00D5052B"/>
    <w:rsid w:val="00D50940"/>
    <w:rsid w:val="00D51726"/>
    <w:rsid w:val="00D522EE"/>
    <w:rsid w:val="00D53C6A"/>
    <w:rsid w:val="00D54053"/>
    <w:rsid w:val="00D5471A"/>
    <w:rsid w:val="00D547A7"/>
    <w:rsid w:val="00D54BFC"/>
    <w:rsid w:val="00D54FC0"/>
    <w:rsid w:val="00D55DC3"/>
    <w:rsid w:val="00D55EB6"/>
    <w:rsid w:val="00D5786F"/>
    <w:rsid w:val="00D5794D"/>
    <w:rsid w:val="00D6023D"/>
    <w:rsid w:val="00D609E9"/>
    <w:rsid w:val="00D61134"/>
    <w:rsid w:val="00D6152F"/>
    <w:rsid w:val="00D61AFF"/>
    <w:rsid w:val="00D63D1A"/>
    <w:rsid w:val="00D63D7F"/>
    <w:rsid w:val="00D648A5"/>
    <w:rsid w:val="00D64CB3"/>
    <w:rsid w:val="00D64F39"/>
    <w:rsid w:val="00D65D7D"/>
    <w:rsid w:val="00D66125"/>
    <w:rsid w:val="00D66855"/>
    <w:rsid w:val="00D6732B"/>
    <w:rsid w:val="00D67792"/>
    <w:rsid w:val="00D70002"/>
    <w:rsid w:val="00D71097"/>
    <w:rsid w:val="00D7478B"/>
    <w:rsid w:val="00D74D58"/>
    <w:rsid w:val="00D7630D"/>
    <w:rsid w:val="00D770E5"/>
    <w:rsid w:val="00D815B1"/>
    <w:rsid w:val="00D81D16"/>
    <w:rsid w:val="00D822F2"/>
    <w:rsid w:val="00D83845"/>
    <w:rsid w:val="00D843A0"/>
    <w:rsid w:val="00D845DD"/>
    <w:rsid w:val="00D847BF"/>
    <w:rsid w:val="00D84DAD"/>
    <w:rsid w:val="00D8520C"/>
    <w:rsid w:val="00D8597F"/>
    <w:rsid w:val="00D85D64"/>
    <w:rsid w:val="00D870ED"/>
    <w:rsid w:val="00D87A87"/>
    <w:rsid w:val="00D87C3B"/>
    <w:rsid w:val="00D90862"/>
    <w:rsid w:val="00D9195E"/>
    <w:rsid w:val="00D919A7"/>
    <w:rsid w:val="00D91B7E"/>
    <w:rsid w:val="00D929AD"/>
    <w:rsid w:val="00D930A3"/>
    <w:rsid w:val="00D9312D"/>
    <w:rsid w:val="00D93660"/>
    <w:rsid w:val="00D940E9"/>
    <w:rsid w:val="00D948B3"/>
    <w:rsid w:val="00D964FD"/>
    <w:rsid w:val="00D9718D"/>
    <w:rsid w:val="00D973DD"/>
    <w:rsid w:val="00D97D77"/>
    <w:rsid w:val="00DA000A"/>
    <w:rsid w:val="00DA092E"/>
    <w:rsid w:val="00DA11C3"/>
    <w:rsid w:val="00DA15DF"/>
    <w:rsid w:val="00DA1767"/>
    <w:rsid w:val="00DA1AF4"/>
    <w:rsid w:val="00DA1AF6"/>
    <w:rsid w:val="00DA1E44"/>
    <w:rsid w:val="00DA2E00"/>
    <w:rsid w:val="00DA321E"/>
    <w:rsid w:val="00DA3677"/>
    <w:rsid w:val="00DA3EBA"/>
    <w:rsid w:val="00DA463D"/>
    <w:rsid w:val="00DA4F50"/>
    <w:rsid w:val="00DA52CE"/>
    <w:rsid w:val="00DA69A3"/>
    <w:rsid w:val="00DA71A2"/>
    <w:rsid w:val="00DB0FEB"/>
    <w:rsid w:val="00DB28DE"/>
    <w:rsid w:val="00DB2ADF"/>
    <w:rsid w:val="00DB37ED"/>
    <w:rsid w:val="00DB3E36"/>
    <w:rsid w:val="00DB3FDD"/>
    <w:rsid w:val="00DB40C3"/>
    <w:rsid w:val="00DB43B4"/>
    <w:rsid w:val="00DB4CE6"/>
    <w:rsid w:val="00DB507E"/>
    <w:rsid w:val="00DB5F7C"/>
    <w:rsid w:val="00DB6646"/>
    <w:rsid w:val="00DB6A21"/>
    <w:rsid w:val="00DB6A43"/>
    <w:rsid w:val="00DB7230"/>
    <w:rsid w:val="00DC031F"/>
    <w:rsid w:val="00DC1298"/>
    <w:rsid w:val="00DC1F8D"/>
    <w:rsid w:val="00DC20A0"/>
    <w:rsid w:val="00DC2951"/>
    <w:rsid w:val="00DC34AB"/>
    <w:rsid w:val="00DC620F"/>
    <w:rsid w:val="00DC6C75"/>
    <w:rsid w:val="00DC7003"/>
    <w:rsid w:val="00DC719D"/>
    <w:rsid w:val="00DC729D"/>
    <w:rsid w:val="00DD13AE"/>
    <w:rsid w:val="00DD262D"/>
    <w:rsid w:val="00DD2770"/>
    <w:rsid w:val="00DD28FD"/>
    <w:rsid w:val="00DD505B"/>
    <w:rsid w:val="00DD50DB"/>
    <w:rsid w:val="00DD5F03"/>
    <w:rsid w:val="00DD6075"/>
    <w:rsid w:val="00DD6E95"/>
    <w:rsid w:val="00DD75DC"/>
    <w:rsid w:val="00DD7AF9"/>
    <w:rsid w:val="00DE2377"/>
    <w:rsid w:val="00DE339B"/>
    <w:rsid w:val="00DE34C4"/>
    <w:rsid w:val="00DE43BD"/>
    <w:rsid w:val="00DE47C7"/>
    <w:rsid w:val="00DE6B08"/>
    <w:rsid w:val="00DE7209"/>
    <w:rsid w:val="00DE7897"/>
    <w:rsid w:val="00DE7FAC"/>
    <w:rsid w:val="00DF0CD2"/>
    <w:rsid w:val="00DF0D5E"/>
    <w:rsid w:val="00DF1768"/>
    <w:rsid w:val="00DF202C"/>
    <w:rsid w:val="00DF209B"/>
    <w:rsid w:val="00DF2899"/>
    <w:rsid w:val="00DF370E"/>
    <w:rsid w:val="00DF3916"/>
    <w:rsid w:val="00DF3B29"/>
    <w:rsid w:val="00DF3F32"/>
    <w:rsid w:val="00DF400D"/>
    <w:rsid w:val="00DF4B9A"/>
    <w:rsid w:val="00DF529A"/>
    <w:rsid w:val="00DF5B89"/>
    <w:rsid w:val="00E008BB"/>
    <w:rsid w:val="00E01278"/>
    <w:rsid w:val="00E02DC1"/>
    <w:rsid w:val="00E04421"/>
    <w:rsid w:val="00E0485E"/>
    <w:rsid w:val="00E0498C"/>
    <w:rsid w:val="00E054D2"/>
    <w:rsid w:val="00E05826"/>
    <w:rsid w:val="00E05D82"/>
    <w:rsid w:val="00E06495"/>
    <w:rsid w:val="00E06AAB"/>
    <w:rsid w:val="00E0738B"/>
    <w:rsid w:val="00E07515"/>
    <w:rsid w:val="00E075F4"/>
    <w:rsid w:val="00E07642"/>
    <w:rsid w:val="00E07768"/>
    <w:rsid w:val="00E07C36"/>
    <w:rsid w:val="00E10314"/>
    <w:rsid w:val="00E10C82"/>
    <w:rsid w:val="00E110CC"/>
    <w:rsid w:val="00E11B65"/>
    <w:rsid w:val="00E13341"/>
    <w:rsid w:val="00E15925"/>
    <w:rsid w:val="00E15A2B"/>
    <w:rsid w:val="00E162FF"/>
    <w:rsid w:val="00E16B38"/>
    <w:rsid w:val="00E171E4"/>
    <w:rsid w:val="00E20B6E"/>
    <w:rsid w:val="00E21697"/>
    <w:rsid w:val="00E21FE2"/>
    <w:rsid w:val="00E22CA7"/>
    <w:rsid w:val="00E23ECA"/>
    <w:rsid w:val="00E252FC"/>
    <w:rsid w:val="00E25E62"/>
    <w:rsid w:val="00E25EDC"/>
    <w:rsid w:val="00E26256"/>
    <w:rsid w:val="00E2638D"/>
    <w:rsid w:val="00E26889"/>
    <w:rsid w:val="00E26BAF"/>
    <w:rsid w:val="00E2757B"/>
    <w:rsid w:val="00E275A6"/>
    <w:rsid w:val="00E302FB"/>
    <w:rsid w:val="00E3119F"/>
    <w:rsid w:val="00E31D26"/>
    <w:rsid w:val="00E321C9"/>
    <w:rsid w:val="00E32221"/>
    <w:rsid w:val="00E32AA8"/>
    <w:rsid w:val="00E32B99"/>
    <w:rsid w:val="00E32D5E"/>
    <w:rsid w:val="00E33331"/>
    <w:rsid w:val="00E339F4"/>
    <w:rsid w:val="00E33D79"/>
    <w:rsid w:val="00E33F4F"/>
    <w:rsid w:val="00E346B1"/>
    <w:rsid w:val="00E3532B"/>
    <w:rsid w:val="00E35352"/>
    <w:rsid w:val="00E36594"/>
    <w:rsid w:val="00E367AA"/>
    <w:rsid w:val="00E36899"/>
    <w:rsid w:val="00E40059"/>
    <w:rsid w:val="00E40C7D"/>
    <w:rsid w:val="00E40EFE"/>
    <w:rsid w:val="00E415CC"/>
    <w:rsid w:val="00E420EA"/>
    <w:rsid w:val="00E429C9"/>
    <w:rsid w:val="00E43414"/>
    <w:rsid w:val="00E43E3F"/>
    <w:rsid w:val="00E44711"/>
    <w:rsid w:val="00E46C37"/>
    <w:rsid w:val="00E46DEB"/>
    <w:rsid w:val="00E46E73"/>
    <w:rsid w:val="00E50E15"/>
    <w:rsid w:val="00E5100B"/>
    <w:rsid w:val="00E51032"/>
    <w:rsid w:val="00E51982"/>
    <w:rsid w:val="00E51B3B"/>
    <w:rsid w:val="00E51E8A"/>
    <w:rsid w:val="00E52793"/>
    <w:rsid w:val="00E5280A"/>
    <w:rsid w:val="00E53891"/>
    <w:rsid w:val="00E53AFA"/>
    <w:rsid w:val="00E54B15"/>
    <w:rsid w:val="00E55374"/>
    <w:rsid w:val="00E55AB9"/>
    <w:rsid w:val="00E562A7"/>
    <w:rsid w:val="00E56B78"/>
    <w:rsid w:val="00E57AEC"/>
    <w:rsid w:val="00E60289"/>
    <w:rsid w:val="00E605DC"/>
    <w:rsid w:val="00E60A3B"/>
    <w:rsid w:val="00E611BA"/>
    <w:rsid w:val="00E62153"/>
    <w:rsid w:val="00E626FC"/>
    <w:rsid w:val="00E6307E"/>
    <w:rsid w:val="00E6326C"/>
    <w:rsid w:val="00E63853"/>
    <w:rsid w:val="00E63CC1"/>
    <w:rsid w:val="00E63F3C"/>
    <w:rsid w:val="00E6519C"/>
    <w:rsid w:val="00E65FC1"/>
    <w:rsid w:val="00E6615A"/>
    <w:rsid w:val="00E6620E"/>
    <w:rsid w:val="00E66A88"/>
    <w:rsid w:val="00E673EA"/>
    <w:rsid w:val="00E709E2"/>
    <w:rsid w:val="00E70C58"/>
    <w:rsid w:val="00E7139B"/>
    <w:rsid w:val="00E71F2B"/>
    <w:rsid w:val="00E72F4F"/>
    <w:rsid w:val="00E72F8E"/>
    <w:rsid w:val="00E73630"/>
    <w:rsid w:val="00E73AF1"/>
    <w:rsid w:val="00E73C64"/>
    <w:rsid w:val="00E746A6"/>
    <w:rsid w:val="00E7484C"/>
    <w:rsid w:val="00E74E7F"/>
    <w:rsid w:val="00E74F97"/>
    <w:rsid w:val="00E7521A"/>
    <w:rsid w:val="00E77FB6"/>
    <w:rsid w:val="00E80444"/>
    <w:rsid w:val="00E81028"/>
    <w:rsid w:val="00E81A3A"/>
    <w:rsid w:val="00E8205B"/>
    <w:rsid w:val="00E83155"/>
    <w:rsid w:val="00E83364"/>
    <w:rsid w:val="00E83D70"/>
    <w:rsid w:val="00E83F16"/>
    <w:rsid w:val="00E857AB"/>
    <w:rsid w:val="00E8584D"/>
    <w:rsid w:val="00E86053"/>
    <w:rsid w:val="00E8738B"/>
    <w:rsid w:val="00E90155"/>
    <w:rsid w:val="00E90764"/>
    <w:rsid w:val="00E929A2"/>
    <w:rsid w:val="00E93DFE"/>
    <w:rsid w:val="00E9568F"/>
    <w:rsid w:val="00E95793"/>
    <w:rsid w:val="00E95F59"/>
    <w:rsid w:val="00E960E5"/>
    <w:rsid w:val="00E96B32"/>
    <w:rsid w:val="00E96B9A"/>
    <w:rsid w:val="00E96D10"/>
    <w:rsid w:val="00E97882"/>
    <w:rsid w:val="00E97BAA"/>
    <w:rsid w:val="00E97E03"/>
    <w:rsid w:val="00E97F52"/>
    <w:rsid w:val="00EA0035"/>
    <w:rsid w:val="00EA0277"/>
    <w:rsid w:val="00EA0331"/>
    <w:rsid w:val="00EA147D"/>
    <w:rsid w:val="00EA1757"/>
    <w:rsid w:val="00EA25C2"/>
    <w:rsid w:val="00EA281F"/>
    <w:rsid w:val="00EA350F"/>
    <w:rsid w:val="00EA38C4"/>
    <w:rsid w:val="00EA3BD1"/>
    <w:rsid w:val="00EA3CAD"/>
    <w:rsid w:val="00EA47AD"/>
    <w:rsid w:val="00EA48FA"/>
    <w:rsid w:val="00EA4E75"/>
    <w:rsid w:val="00EA6224"/>
    <w:rsid w:val="00EA7062"/>
    <w:rsid w:val="00EA792A"/>
    <w:rsid w:val="00EA7EB6"/>
    <w:rsid w:val="00EB06B3"/>
    <w:rsid w:val="00EB2307"/>
    <w:rsid w:val="00EB24E6"/>
    <w:rsid w:val="00EB25C1"/>
    <w:rsid w:val="00EB2A7D"/>
    <w:rsid w:val="00EB34F0"/>
    <w:rsid w:val="00EB3BCB"/>
    <w:rsid w:val="00EB42D7"/>
    <w:rsid w:val="00EB43F1"/>
    <w:rsid w:val="00EB4673"/>
    <w:rsid w:val="00EB47D1"/>
    <w:rsid w:val="00EB53AB"/>
    <w:rsid w:val="00EB5419"/>
    <w:rsid w:val="00EB5650"/>
    <w:rsid w:val="00EB6BBF"/>
    <w:rsid w:val="00EC07A0"/>
    <w:rsid w:val="00EC1F13"/>
    <w:rsid w:val="00EC276C"/>
    <w:rsid w:val="00EC2C74"/>
    <w:rsid w:val="00EC36CA"/>
    <w:rsid w:val="00EC5C29"/>
    <w:rsid w:val="00EC796A"/>
    <w:rsid w:val="00ED0121"/>
    <w:rsid w:val="00ED07CB"/>
    <w:rsid w:val="00ED1314"/>
    <w:rsid w:val="00ED1F50"/>
    <w:rsid w:val="00ED2809"/>
    <w:rsid w:val="00ED2D07"/>
    <w:rsid w:val="00ED33A7"/>
    <w:rsid w:val="00ED364B"/>
    <w:rsid w:val="00ED4F90"/>
    <w:rsid w:val="00ED5AE0"/>
    <w:rsid w:val="00ED5BDA"/>
    <w:rsid w:val="00ED66B9"/>
    <w:rsid w:val="00ED6D96"/>
    <w:rsid w:val="00ED73A2"/>
    <w:rsid w:val="00ED7B52"/>
    <w:rsid w:val="00EE031F"/>
    <w:rsid w:val="00EE0E3D"/>
    <w:rsid w:val="00EE1AE8"/>
    <w:rsid w:val="00EE29EA"/>
    <w:rsid w:val="00EE348F"/>
    <w:rsid w:val="00EE359B"/>
    <w:rsid w:val="00EE5239"/>
    <w:rsid w:val="00EE552B"/>
    <w:rsid w:val="00EE64B1"/>
    <w:rsid w:val="00EF0284"/>
    <w:rsid w:val="00EF06DA"/>
    <w:rsid w:val="00EF24A1"/>
    <w:rsid w:val="00EF306D"/>
    <w:rsid w:val="00EF3551"/>
    <w:rsid w:val="00EF3852"/>
    <w:rsid w:val="00EF40EF"/>
    <w:rsid w:val="00EF4207"/>
    <w:rsid w:val="00EF4289"/>
    <w:rsid w:val="00EF574F"/>
    <w:rsid w:val="00EF61BF"/>
    <w:rsid w:val="00EF68DA"/>
    <w:rsid w:val="00EF6EF3"/>
    <w:rsid w:val="00EF70B7"/>
    <w:rsid w:val="00EF7410"/>
    <w:rsid w:val="00EF754F"/>
    <w:rsid w:val="00EF7998"/>
    <w:rsid w:val="00F00B1E"/>
    <w:rsid w:val="00F0182A"/>
    <w:rsid w:val="00F01975"/>
    <w:rsid w:val="00F0200F"/>
    <w:rsid w:val="00F02EB9"/>
    <w:rsid w:val="00F03732"/>
    <w:rsid w:val="00F03E44"/>
    <w:rsid w:val="00F03FBF"/>
    <w:rsid w:val="00F040C2"/>
    <w:rsid w:val="00F04317"/>
    <w:rsid w:val="00F04409"/>
    <w:rsid w:val="00F04A28"/>
    <w:rsid w:val="00F04B34"/>
    <w:rsid w:val="00F04EFF"/>
    <w:rsid w:val="00F051E2"/>
    <w:rsid w:val="00F073DA"/>
    <w:rsid w:val="00F106C5"/>
    <w:rsid w:val="00F10E43"/>
    <w:rsid w:val="00F118CF"/>
    <w:rsid w:val="00F12074"/>
    <w:rsid w:val="00F124D6"/>
    <w:rsid w:val="00F124F8"/>
    <w:rsid w:val="00F12B11"/>
    <w:rsid w:val="00F13EBB"/>
    <w:rsid w:val="00F1461A"/>
    <w:rsid w:val="00F149F8"/>
    <w:rsid w:val="00F15092"/>
    <w:rsid w:val="00F15527"/>
    <w:rsid w:val="00F15A46"/>
    <w:rsid w:val="00F16330"/>
    <w:rsid w:val="00F1787B"/>
    <w:rsid w:val="00F17AC0"/>
    <w:rsid w:val="00F20D4F"/>
    <w:rsid w:val="00F21408"/>
    <w:rsid w:val="00F217B4"/>
    <w:rsid w:val="00F217E4"/>
    <w:rsid w:val="00F22624"/>
    <w:rsid w:val="00F22C5B"/>
    <w:rsid w:val="00F2311D"/>
    <w:rsid w:val="00F2331A"/>
    <w:rsid w:val="00F23837"/>
    <w:rsid w:val="00F24A60"/>
    <w:rsid w:val="00F2540B"/>
    <w:rsid w:val="00F27787"/>
    <w:rsid w:val="00F27EBE"/>
    <w:rsid w:val="00F30E3E"/>
    <w:rsid w:val="00F31633"/>
    <w:rsid w:val="00F3181F"/>
    <w:rsid w:val="00F32383"/>
    <w:rsid w:val="00F32991"/>
    <w:rsid w:val="00F33A2E"/>
    <w:rsid w:val="00F33BBD"/>
    <w:rsid w:val="00F3424E"/>
    <w:rsid w:val="00F34580"/>
    <w:rsid w:val="00F35619"/>
    <w:rsid w:val="00F35B6F"/>
    <w:rsid w:val="00F35D9F"/>
    <w:rsid w:val="00F37618"/>
    <w:rsid w:val="00F37B27"/>
    <w:rsid w:val="00F4065E"/>
    <w:rsid w:val="00F41A98"/>
    <w:rsid w:val="00F42079"/>
    <w:rsid w:val="00F429DC"/>
    <w:rsid w:val="00F42BB6"/>
    <w:rsid w:val="00F43558"/>
    <w:rsid w:val="00F43850"/>
    <w:rsid w:val="00F43B05"/>
    <w:rsid w:val="00F44A71"/>
    <w:rsid w:val="00F45469"/>
    <w:rsid w:val="00F46E3E"/>
    <w:rsid w:val="00F47536"/>
    <w:rsid w:val="00F50814"/>
    <w:rsid w:val="00F50A2C"/>
    <w:rsid w:val="00F50D39"/>
    <w:rsid w:val="00F54AD9"/>
    <w:rsid w:val="00F55586"/>
    <w:rsid w:val="00F556FD"/>
    <w:rsid w:val="00F56056"/>
    <w:rsid w:val="00F566A8"/>
    <w:rsid w:val="00F56E2D"/>
    <w:rsid w:val="00F56F7D"/>
    <w:rsid w:val="00F576EC"/>
    <w:rsid w:val="00F57F71"/>
    <w:rsid w:val="00F610EE"/>
    <w:rsid w:val="00F6183D"/>
    <w:rsid w:val="00F620E9"/>
    <w:rsid w:val="00F62134"/>
    <w:rsid w:val="00F6248A"/>
    <w:rsid w:val="00F63B1C"/>
    <w:rsid w:val="00F642AC"/>
    <w:rsid w:val="00F642C0"/>
    <w:rsid w:val="00F64B61"/>
    <w:rsid w:val="00F65722"/>
    <w:rsid w:val="00F6701A"/>
    <w:rsid w:val="00F67A33"/>
    <w:rsid w:val="00F7080A"/>
    <w:rsid w:val="00F709EC"/>
    <w:rsid w:val="00F70EFE"/>
    <w:rsid w:val="00F71302"/>
    <w:rsid w:val="00F717D5"/>
    <w:rsid w:val="00F732C5"/>
    <w:rsid w:val="00F7345A"/>
    <w:rsid w:val="00F73BFB"/>
    <w:rsid w:val="00F73E2E"/>
    <w:rsid w:val="00F745A1"/>
    <w:rsid w:val="00F74AEE"/>
    <w:rsid w:val="00F74B10"/>
    <w:rsid w:val="00F7558B"/>
    <w:rsid w:val="00F75AEA"/>
    <w:rsid w:val="00F75EF1"/>
    <w:rsid w:val="00F76AC1"/>
    <w:rsid w:val="00F77497"/>
    <w:rsid w:val="00F800B0"/>
    <w:rsid w:val="00F80937"/>
    <w:rsid w:val="00F81033"/>
    <w:rsid w:val="00F8235E"/>
    <w:rsid w:val="00F82401"/>
    <w:rsid w:val="00F82B24"/>
    <w:rsid w:val="00F83482"/>
    <w:rsid w:val="00F838EB"/>
    <w:rsid w:val="00F8391D"/>
    <w:rsid w:val="00F8463E"/>
    <w:rsid w:val="00F84A3B"/>
    <w:rsid w:val="00F857A3"/>
    <w:rsid w:val="00F85B09"/>
    <w:rsid w:val="00F85E7A"/>
    <w:rsid w:val="00F866B0"/>
    <w:rsid w:val="00F878CB"/>
    <w:rsid w:val="00F87E1F"/>
    <w:rsid w:val="00F902B6"/>
    <w:rsid w:val="00F908E3"/>
    <w:rsid w:val="00F90F9C"/>
    <w:rsid w:val="00F9105C"/>
    <w:rsid w:val="00F911A6"/>
    <w:rsid w:val="00F915F6"/>
    <w:rsid w:val="00F91E99"/>
    <w:rsid w:val="00F928C4"/>
    <w:rsid w:val="00F95186"/>
    <w:rsid w:val="00F95372"/>
    <w:rsid w:val="00F9585F"/>
    <w:rsid w:val="00F96128"/>
    <w:rsid w:val="00F96AB1"/>
    <w:rsid w:val="00F96E94"/>
    <w:rsid w:val="00F97698"/>
    <w:rsid w:val="00F97AF7"/>
    <w:rsid w:val="00F97AFB"/>
    <w:rsid w:val="00FA081F"/>
    <w:rsid w:val="00FA2A9A"/>
    <w:rsid w:val="00FA2C26"/>
    <w:rsid w:val="00FA35E4"/>
    <w:rsid w:val="00FA49F6"/>
    <w:rsid w:val="00FA562A"/>
    <w:rsid w:val="00FA595C"/>
    <w:rsid w:val="00FA5BB5"/>
    <w:rsid w:val="00FA60D6"/>
    <w:rsid w:val="00FA61D7"/>
    <w:rsid w:val="00FA689E"/>
    <w:rsid w:val="00FA7793"/>
    <w:rsid w:val="00FB02D4"/>
    <w:rsid w:val="00FB0363"/>
    <w:rsid w:val="00FB09C7"/>
    <w:rsid w:val="00FB114E"/>
    <w:rsid w:val="00FB17F9"/>
    <w:rsid w:val="00FB1ACE"/>
    <w:rsid w:val="00FB1E59"/>
    <w:rsid w:val="00FB22C8"/>
    <w:rsid w:val="00FB2781"/>
    <w:rsid w:val="00FB27AF"/>
    <w:rsid w:val="00FB3DA2"/>
    <w:rsid w:val="00FB4278"/>
    <w:rsid w:val="00FB5108"/>
    <w:rsid w:val="00FB510E"/>
    <w:rsid w:val="00FB54CF"/>
    <w:rsid w:val="00FB5873"/>
    <w:rsid w:val="00FB5A3A"/>
    <w:rsid w:val="00FB5EC5"/>
    <w:rsid w:val="00FB5F33"/>
    <w:rsid w:val="00FB6450"/>
    <w:rsid w:val="00FB6618"/>
    <w:rsid w:val="00FB6B16"/>
    <w:rsid w:val="00FB6B5B"/>
    <w:rsid w:val="00FB6CE4"/>
    <w:rsid w:val="00FC11C8"/>
    <w:rsid w:val="00FC1442"/>
    <w:rsid w:val="00FC212E"/>
    <w:rsid w:val="00FC2630"/>
    <w:rsid w:val="00FC2FF4"/>
    <w:rsid w:val="00FC31F7"/>
    <w:rsid w:val="00FC376D"/>
    <w:rsid w:val="00FC3ABB"/>
    <w:rsid w:val="00FC4433"/>
    <w:rsid w:val="00FC46DE"/>
    <w:rsid w:val="00FC4CB6"/>
    <w:rsid w:val="00FC511D"/>
    <w:rsid w:val="00FC57F1"/>
    <w:rsid w:val="00FC5B8B"/>
    <w:rsid w:val="00FC5FEC"/>
    <w:rsid w:val="00FC60C2"/>
    <w:rsid w:val="00FC6317"/>
    <w:rsid w:val="00FC666B"/>
    <w:rsid w:val="00FC700A"/>
    <w:rsid w:val="00FC7764"/>
    <w:rsid w:val="00FC787F"/>
    <w:rsid w:val="00FD0BA8"/>
    <w:rsid w:val="00FD0F04"/>
    <w:rsid w:val="00FD0F40"/>
    <w:rsid w:val="00FD32A0"/>
    <w:rsid w:val="00FD5DB3"/>
    <w:rsid w:val="00FD7930"/>
    <w:rsid w:val="00FE0177"/>
    <w:rsid w:val="00FE0648"/>
    <w:rsid w:val="00FE0843"/>
    <w:rsid w:val="00FE0DC5"/>
    <w:rsid w:val="00FE2010"/>
    <w:rsid w:val="00FE2D87"/>
    <w:rsid w:val="00FE3101"/>
    <w:rsid w:val="00FE34AD"/>
    <w:rsid w:val="00FE3D2C"/>
    <w:rsid w:val="00FE6695"/>
    <w:rsid w:val="00FE7B43"/>
    <w:rsid w:val="00FE7DDE"/>
    <w:rsid w:val="00FF0146"/>
    <w:rsid w:val="00FF04EB"/>
    <w:rsid w:val="00FF064E"/>
    <w:rsid w:val="00FF08B0"/>
    <w:rsid w:val="00FF10AB"/>
    <w:rsid w:val="00FF1C54"/>
    <w:rsid w:val="00FF2CEF"/>
    <w:rsid w:val="00FF30D8"/>
    <w:rsid w:val="00FF38B9"/>
    <w:rsid w:val="00FF4227"/>
    <w:rsid w:val="00FF4B4A"/>
    <w:rsid w:val="00FF4C63"/>
    <w:rsid w:val="00FF4D17"/>
    <w:rsid w:val="00FF514A"/>
    <w:rsid w:val="00FF5969"/>
    <w:rsid w:val="00FF67E3"/>
    <w:rsid w:val="00FF78B2"/>
    <w:rsid w:val="00FF7934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7B38D"/>
  <w15:chartTrackingRefBased/>
  <w15:docId w15:val="{F74EB260-9D4F-499A-9457-E41F0367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138"/>
  </w:style>
  <w:style w:type="paragraph" w:styleId="Nadpis1">
    <w:name w:val="heading 1"/>
    <w:basedOn w:val="Normln"/>
    <w:next w:val="Normln"/>
    <w:link w:val="Nadpis1Char"/>
    <w:uiPriority w:val="9"/>
    <w:qFormat/>
    <w:rsid w:val="001E1138"/>
    <w:pPr>
      <w:keepNext/>
      <w:numPr>
        <w:numId w:val="1"/>
      </w:numPr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  <w:outlineLvl w:val="0"/>
    </w:pPr>
    <w:rPr>
      <w:rFonts w:eastAsia="Times New Roman" w:cstheme="minorHAnsi"/>
      <w:b/>
      <w:color w:val="000000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1138"/>
    <w:pPr>
      <w:keepNext/>
      <w:keepLines/>
      <w:numPr>
        <w:ilvl w:val="2"/>
        <w:numId w:val="1"/>
      </w:numPr>
      <w:spacing w:before="40" w:after="120" w:line="240" w:lineRule="auto"/>
      <w:jc w:val="both"/>
      <w:outlineLvl w:val="2"/>
    </w:pPr>
    <w:rPr>
      <w:rFonts w:eastAsiaTheme="majorEastAsia" w:cstheme="majorBidi"/>
      <w:bCs/>
      <w:color w:val="000000"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E1138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138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138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138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138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138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138"/>
    <w:rPr>
      <w:rFonts w:eastAsia="Times New Roman" w:cstheme="minorHAnsi"/>
      <w:b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1138"/>
    <w:rPr>
      <w:rFonts w:eastAsiaTheme="majorEastAsia" w:cstheme="majorBidi"/>
      <w:bCs/>
      <w:color w:val="000000"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E1138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13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1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1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1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1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aliases w:val="Boston 10,Char,Char Char Char Char,Char1,Font: Geneva 9,Fußnotentextf,Geneva 9,Podrozdzia3,Podrozdział,Schriftart: 10 pt,Schriftart: 8 pt,Schriftart: 9 pt,Text pozn. pod čarou1,Text poznámky pod čiarou 007,f,fn,ft,o,pozn. pod čarou"/>
    <w:basedOn w:val="Normln"/>
    <w:link w:val="TextpoznpodarouChar"/>
    <w:uiPriority w:val="99"/>
    <w:unhideWhenUsed/>
    <w:qFormat/>
    <w:rsid w:val="001E11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Char Char,Char Char Char Char Char,Char1 Char,Font: Geneva 9 Char,Fußnotentextf Char,Geneva 9 Char,Podrozdzia3 Char,Podrozdział Char,Schriftart: 10 pt Char,Schriftart: 8 pt Char,Schriftart: 9 pt Char,f Char"/>
    <w:basedOn w:val="Standardnpsmoodstavce"/>
    <w:link w:val="Textpoznpodarou"/>
    <w:uiPriority w:val="99"/>
    <w:rsid w:val="001E1138"/>
    <w:rPr>
      <w:sz w:val="20"/>
      <w:szCs w:val="20"/>
    </w:rPr>
  </w:style>
  <w:style w:type="character" w:styleId="Znakapoznpodarou">
    <w:name w:val="footnote reference"/>
    <w:aliases w:val="12 b.,Appel note de bas de p,Appel note de bas de page,BVI fnr,Footnote,Footnote Reference Number,Footnote Reference Superscript,Footnote call,Footnote symbol,PGI Fußnote Ziffer,PGI Fußnote Ziffer + Times New Roman,Zúžené o ...,fr"/>
    <w:basedOn w:val="Standardnpsmoodstavce"/>
    <w:uiPriority w:val="99"/>
    <w:unhideWhenUsed/>
    <w:rsid w:val="001E1138"/>
    <w:rPr>
      <w:vertAlign w:val="superscript"/>
    </w:rPr>
  </w:style>
  <w:style w:type="paragraph" w:styleId="Odstavecseseznamem">
    <w:name w:val="List Paragraph"/>
    <w:aliases w:val="List Paragraph1,List Paragraph2,List Paragraph_0,List Paragraph_0_0,List Paragraph_1,Nad,Nad1,Nad2,Nadpis pro KZ,Odstavec se seznamem1,Odstavec se seznamem2,Odstavec_muj,Odstavec_muj1,Odstavec_muj2,Odstavec_muj3,Odstavec_muj4"/>
    <w:basedOn w:val="Normln"/>
    <w:link w:val="OdstavecseseznamemChar"/>
    <w:uiPriority w:val="34"/>
    <w:qFormat/>
    <w:rsid w:val="001E1138"/>
    <w:pPr>
      <w:ind w:left="720"/>
      <w:contextualSpacing/>
    </w:pPr>
  </w:style>
  <w:style w:type="character" w:customStyle="1" w:styleId="OdstavecseseznamemChar">
    <w:name w:val="Odstavec se seznamem Char"/>
    <w:aliases w:val="List Paragraph1 Char,List Paragraph2 Char,List Paragraph_0 Char,List Paragraph_0_0 Char,List Paragraph_1 Char,Nad Char,Nad1 Char,Nad2 Char,Nadpis pro KZ Char,Odstavec se seznamem1 Char,Odstavec se seznamem2 Char"/>
    <w:basedOn w:val="Standardnpsmoodstavce"/>
    <w:link w:val="Odstavecseseznamem"/>
    <w:uiPriority w:val="34"/>
    <w:qFormat/>
    <w:rsid w:val="001E1138"/>
  </w:style>
  <w:style w:type="paragraph" w:customStyle="1" w:styleId="KPnormln">
    <w:name w:val="KP normální"/>
    <w:basedOn w:val="Normln"/>
    <w:link w:val="KPnormlnChar"/>
    <w:qFormat/>
    <w:rsid w:val="001E1138"/>
    <w:pPr>
      <w:spacing w:before="120" w:after="120" w:line="240" w:lineRule="auto"/>
      <w:ind w:firstLine="720"/>
      <w:jc w:val="both"/>
    </w:pPr>
    <w:rPr>
      <w:rFonts w:eastAsia="Times New Roman" w:cstheme="minorHAnsi"/>
      <w:color w:val="000000"/>
      <w:sz w:val="24"/>
    </w:rPr>
  </w:style>
  <w:style w:type="character" w:customStyle="1" w:styleId="KPnormlnChar">
    <w:name w:val="KP normální Char"/>
    <w:basedOn w:val="Standardnpsmoodstavce"/>
    <w:link w:val="KPnormln"/>
    <w:rsid w:val="001E1138"/>
    <w:rPr>
      <w:rFonts w:eastAsia="Times New Roman" w:cstheme="minorHAnsi"/>
      <w:color w:val="000000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1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1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138"/>
    <w:rPr>
      <w:vertAlign w:val="superscript"/>
    </w:rPr>
  </w:style>
  <w:style w:type="paragraph" w:styleId="Nzev">
    <w:name w:val="Title"/>
    <w:basedOn w:val="Normln"/>
    <w:link w:val="NzevChar"/>
    <w:qFormat/>
    <w:rsid w:val="008E6616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E6616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KZ">
    <w:name w:val="Normální KZ"/>
    <w:basedOn w:val="Normln"/>
    <w:rsid w:val="008E6616"/>
    <w:pPr>
      <w:spacing w:after="120" w:line="240" w:lineRule="auto"/>
      <w:ind w:firstLine="425"/>
      <w:jc w:val="both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D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P-normlntext">
    <w:name w:val="KP-normální text"/>
    <w:basedOn w:val="Normln"/>
    <w:link w:val="KP-normlntextChar"/>
    <w:qFormat/>
    <w:rsid w:val="00650CD2"/>
    <w:pPr>
      <w:spacing w:after="120" w:line="240" w:lineRule="auto"/>
      <w:jc w:val="both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KP-normlntextChar">
    <w:name w:val="KP-normální text Char"/>
    <w:link w:val="KP-normlntext"/>
    <w:rsid w:val="00650CD2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Poznmkapodarou">
    <w:name w:val="Poznámka pod čarou"/>
    <w:basedOn w:val="Textpoznpodarou"/>
    <w:link w:val="PoznmkapodarouChar"/>
    <w:qFormat/>
    <w:rsid w:val="00650CD2"/>
    <w:pPr>
      <w:tabs>
        <w:tab w:val="left" w:pos="284"/>
      </w:tabs>
      <w:ind w:left="284" w:hanging="284"/>
      <w:jc w:val="both"/>
    </w:pPr>
    <w:rPr>
      <w:rFonts w:eastAsia="Times New Roman" w:cs="Times New Roman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650CD2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B8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51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B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B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B8F"/>
    <w:rPr>
      <w:b/>
      <w:bCs/>
      <w:sz w:val="20"/>
      <w:szCs w:val="20"/>
    </w:rPr>
  </w:style>
  <w:style w:type="paragraph" w:customStyle="1" w:styleId="Default">
    <w:name w:val="Default"/>
    <w:rsid w:val="00FD79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0A4"/>
  </w:style>
  <w:style w:type="paragraph" w:styleId="Zpat">
    <w:name w:val="footer"/>
    <w:basedOn w:val="Normln"/>
    <w:link w:val="ZpatChar"/>
    <w:uiPriority w:val="99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0A4"/>
  </w:style>
  <w:style w:type="paragraph" w:styleId="Normlnweb">
    <w:name w:val="Normal (Web)"/>
    <w:basedOn w:val="Normln"/>
    <w:uiPriority w:val="99"/>
    <w:semiHidden/>
    <w:unhideWhenUsed/>
    <w:rsid w:val="008F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0E0D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rsid w:val="009D3C27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TabulkaChar">
    <w:name w:val="Tabulka Char"/>
    <w:link w:val="Tabulka"/>
    <w:rsid w:val="009D3C27"/>
    <w:rPr>
      <w:rFonts w:ascii="Times New Roman" w:eastAsia="Times New Roman" w:hAnsi="Times New Roman" w:cs="Times New Roman"/>
      <w:lang w:eastAsia="cs-CZ"/>
    </w:rPr>
  </w:style>
  <w:style w:type="character" w:customStyle="1" w:styleId="PoznmkapodarouChar">
    <w:name w:val="Poznámka pod čarou Char"/>
    <w:link w:val="Poznmkapodarou"/>
    <w:rsid w:val="009D3C27"/>
    <w:rPr>
      <w:rFonts w:eastAsia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DB28DE"/>
    <w:rPr>
      <w:color w:val="0000FF"/>
      <w:u w:val="single"/>
    </w:rPr>
  </w:style>
  <w:style w:type="table" w:customStyle="1" w:styleId="Mkatabulky21">
    <w:name w:val="Mřížka tabulky21"/>
    <w:basedOn w:val="Normlntabulka"/>
    <w:next w:val="Mkatabulky"/>
    <w:uiPriority w:val="39"/>
    <w:rsid w:val="00693B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693B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A20DEB"/>
    <w:rPr>
      <w:color w:val="000000"/>
      <w:sz w:val="60"/>
      <w:szCs w:val="60"/>
    </w:rPr>
  </w:style>
  <w:style w:type="character" w:customStyle="1" w:styleId="A1">
    <w:name w:val="A1"/>
    <w:uiPriority w:val="99"/>
    <w:rsid w:val="00291CEB"/>
    <w:rPr>
      <w:color w:val="000000"/>
      <w:sz w:val="28"/>
      <w:szCs w:val="28"/>
    </w:rPr>
  </w:style>
  <w:style w:type="character" w:customStyle="1" w:styleId="A5">
    <w:name w:val="A5"/>
    <w:uiPriority w:val="99"/>
    <w:rsid w:val="00291CEB"/>
    <w:rPr>
      <w:b/>
      <w:bCs/>
      <w:color w:val="000000"/>
      <w:sz w:val="40"/>
      <w:szCs w:val="40"/>
    </w:rPr>
  </w:style>
  <w:style w:type="paragraph" w:customStyle="1" w:styleId="Text">
    <w:name w:val="Text"/>
    <w:basedOn w:val="Normln"/>
    <w:link w:val="TextChar"/>
    <w:qFormat/>
    <w:rsid w:val="00291CEB"/>
    <w:pPr>
      <w:spacing w:before="120" w:after="0" w:line="240" w:lineRule="auto"/>
      <w:jc w:val="both"/>
    </w:pPr>
    <w:rPr>
      <w:rFonts w:cstheme="minorHAnsi"/>
      <w:sz w:val="24"/>
      <w:szCs w:val="24"/>
    </w:rPr>
  </w:style>
  <w:style w:type="character" w:customStyle="1" w:styleId="TextChar">
    <w:name w:val="Text Char"/>
    <w:basedOn w:val="Standardnpsmoodstavce"/>
    <w:link w:val="Text"/>
    <w:rsid w:val="00291CEB"/>
    <w:rPr>
      <w:rFonts w:cstheme="minorHAnsi"/>
      <w:sz w:val="24"/>
      <w:szCs w:val="24"/>
    </w:rPr>
  </w:style>
  <w:style w:type="paragraph" w:styleId="Revize">
    <w:name w:val="Revision"/>
    <w:hidden/>
    <w:uiPriority w:val="99"/>
    <w:semiHidden/>
    <w:rsid w:val="00787788"/>
    <w:pPr>
      <w:spacing w:after="0" w:line="240" w:lineRule="auto"/>
    </w:pPr>
  </w:style>
  <w:style w:type="paragraph" w:styleId="Bezmezer">
    <w:name w:val="No Spacing"/>
    <w:basedOn w:val="Normln"/>
    <w:uiPriority w:val="1"/>
    <w:qFormat/>
    <w:rsid w:val="004D7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Jin">
    <w:name w:val="Jiné_"/>
    <w:basedOn w:val="Standardnpsmoodstavce"/>
    <w:link w:val="Jin0"/>
    <w:rsid w:val="004D75A3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4D75A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Jin0">
    <w:name w:val="Jiné"/>
    <w:basedOn w:val="Normln"/>
    <w:link w:val="Jin"/>
    <w:rsid w:val="004D75A3"/>
    <w:pPr>
      <w:widowControl w:val="0"/>
      <w:shd w:val="clear" w:color="auto" w:fill="FFFFFF"/>
      <w:spacing w:after="0" w:line="240" w:lineRule="auto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4D75A3"/>
    <w:pPr>
      <w:widowControl w:val="0"/>
      <w:shd w:val="clear" w:color="auto" w:fill="FFFFFF"/>
      <w:spacing w:after="0" w:line="298" w:lineRule="auto"/>
      <w:jc w:val="right"/>
    </w:pPr>
    <w:rPr>
      <w:rFonts w:ascii="Calibri" w:eastAsia="Calibri" w:hAnsi="Calibri" w:cs="Calibri"/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86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nadpisrovn11">
    <w:name w:val="Mů - nadpis úrovně 1.1"/>
    <w:basedOn w:val="Normln"/>
    <w:link w:val="M-nadpisrovn11Char"/>
    <w:qFormat/>
    <w:rsid w:val="00214C7E"/>
    <w:pPr>
      <w:spacing w:after="0" w:line="240" w:lineRule="auto"/>
      <w:jc w:val="both"/>
    </w:pPr>
    <w:rPr>
      <w:rFonts w:cstheme="minorHAnsi"/>
      <w:b/>
      <w:sz w:val="24"/>
      <w:szCs w:val="24"/>
      <w:u w:val="single"/>
    </w:rPr>
  </w:style>
  <w:style w:type="character" w:customStyle="1" w:styleId="M-nadpisrovn11Char">
    <w:name w:val="Mů - nadpis úrovně 1.1 Char"/>
    <w:basedOn w:val="Standardnpsmoodstavce"/>
    <w:link w:val="M-nadpisrovn11"/>
    <w:rsid w:val="00214C7E"/>
    <w:rPr>
      <w:rFonts w:cstheme="minorHAnsi"/>
      <w:b/>
      <w:sz w:val="24"/>
      <w:szCs w:val="24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031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5E96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034B7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034B78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sz w:val="28"/>
      <w:szCs w:val="28"/>
    </w:rPr>
  </w:style>
  <w:style w:type="paragraph" w:customStyle="1" w:styleId="Styl1-kapitola">
    <w:name w:val="Styl1-kapitola"/>
    <w:basedOn w:val="Odstavecseseznamem"/>
    <w:link w:val="Styl1-kapitolaChar"/>
    <w:qFormat/>
    <w:rsid w:val="006C06C0"/>
    <w:pPr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b/>
      <w:sz w:val="24"/>
      <w:szCs w:val="24"/>
      <w:u w:val="single"/>
    </w:rPr>
  </w:style>
  <w:style w:type="paragraph" w:customStyle="1" w:styleId="Styl1-podkapitola">
    <w:name w:val="Styl1-podkapitola"/>
    <w:basedOn w:val="Normln"/>
    <w:link w:val="Styl1-podkapitolaChar"/>
    <w:qFormat/>
    <w:rsid w:val="006C06C0"/>
    <w:pPr>
      <w:numPr>
        <w:ilvl w:val="1"/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eastAsia="Times New Roman" w:cstheme="minorHAnsi"/>
      <w:b/>
      <w:sz w:val="24"/>
      <w:szCs w:val="24"/>
    </w:rPr>
  </w:style>
  <w:style w:type="character" w:customStyle="1" w:styleId="Styl1-kapitolaChar">
    <w:name w:val="Styl1-kapitola Char"/>
    <w:basedOn w:val="Standardnpsmoodstavce"/>
    <w:link w:val="Styl1-kapitola"/>
    <w:rsid w:val="006C06C0"/>
    <w:rPr>
      <w:rFonts w:ascii="Calibri" w:eastAsia="Times New Roman" w:hAnsi="Calibri" w:cs="Times New Roman"/>
      <w:b/>
      <w:sz w:val="24"/>
      <w:szCs w:val="24"/>
      <w:u w:val="single"/>
    </w:rPr>
  </w:style>
  <w:style w:type="character" w:customStyle="1" w:styleId="Styl1-NzevmateriluChar">
    <w:name w:val="Styl1 - Název materiálu Char"/>
    <w:link w:val="Styl1-Nzevmaterilu"/>
    <w:locked/>
    <w:rsid w:val="0091333D"/>
    <w:rPr>
      <w:rFonts w:ascii="Arial" w:hAnsi="Arial" w:cs="Arial"/>
      <w:b/>
      <w:noProof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91333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Cs w:val="24"/>
    </w:rPr>
  </w:style>
  <w:style w:type="paragraph" w:customStyle="1" w:styleId="bntext2">
    <w:name w:val="běžná text2"/>
    <w:basedOn w:val="Normln"/>
    <w:link w:val="bntext2Char"/>
    <w:qFormat/>
    <w:rsid w:val="0071244C"/>
    <w:pPr>
      <w:spacing w:after="0" w:line="240" w:lineRule="auto"/>
      <w:ind w:left="426"/>
      <w:jc w:val="both"/>
    </w:pPr>
    <w:rPr>
      <w:rFonts w:eastAsia="Times New Roman" w:cstheme="minorHAnsi"/>
      <w:sz w:val="24"/>
      <w:szCs w:val="24"/>
    </w:rPr>
  </w:style>
  <w:style w:type="character" w:customStyle="1" w:styleId="bntext2Char">
    <w:name w:val="běžná text2 Char"/>
    <w:basedOn w:val="Standardnpsmoodstavce"/>
    <w:link w:val="bntext2"/>
    <w:rsid w:val="0071244C"/>
    <w:rPr>
      <w:rFonts w:eastAsia="Times New Roman" w:cstheme="minorHAnsi"/>
      <w:sz w:val="24"/>
      <w:szCs w:val="24"/>
    </w:rPr>
  </w:style>
  <w:style w:type="character" w:customStyle="1" w:styleId="Styl1-podkapitolaChar">
    <w:name w:val="Styl1-podkapitola Char"/>
    <w:basedOn w:val="Standardnpsmoodstavce"/>
    <w:link w:val="Styl1-podkapitola"/>
    <w:rsid w:val="00854A93"/>
    <w:rPr>
      <w:rFonts w:eastAsia="Times New Roman" w:cstheme="minorHAnsi"/>
      <w:b/>
      <w:sz w:val="24"/>
      <w:szCs w:val="24"/>
    </w:rPr>
  </w:style>
  <w:style w:type="character" w:styleId="Nevyeenzmnka">
    <w:name w:val="Unresolved Mention"/>
    <w:basedOn w:val="Standardnpsmoodstavce"/>
    <w:uiPriority w:val="99"/>
    <w:rsid w:val="00C10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zso.cz/csu/czso/indexy-cen-stavebnich-praci-indexy-cen-stavebnich-del-a-indexy-nakladu-stavebni-vyroby-ctvrtletni-casove-rady-2-ctvrtleti-2023" TargetMode="External"/><Relationship Id="rId1" Type="http://schemas.openxmlformats.org/officeDocument/2006/relationships/hyperlink" Target="https://www.czso.cz/csu/czso/indexy-cen-stavebnich-praci-indexy-cen-stavebnich-del-a-indexy-nakladu-stavebni-vyroby-ctvrtletni-casove-rady-4-ctvrtleti-202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VARHULIKOVA\KONTROLN&#205;%20AKCE\KONTROLA%2023-01%20(ekologick&#233;%20z&#225;t&#283;&#382;e)\KONTROLN&#205;%20Z&#193;V&#282;R\Se&#353;it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623074893416106E-2"/>
          <c:y val="0.10841916519984159"/>
          <c:w val="0.41359430765598743"/>
          <c:h val="0.78316166960031686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2EB3A1"/>
              </a:solidFill>
              <a:ln w="3175">
                <a:solidFill>
                  <a:srgbClr val="2EB3A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BF-4C0C-A350-6322E0160C82}"/>
              </c:ext>
            </c:extLst>
          </c:dPt>
          <c:dPt>
            <c:idx val="1"/>
            <c:bubble3D val="0"/>
            <c:spPr>
              <a:solidFill>
                <a:srgbClr val="71C3B4">
                  <a:alpha val="60000"/>
                </a:srgbClr>
              </a:solidFill>
              <a:ln w="3175">
                <a:solidFill>
                  <a:srgbClr val="71C3B4">
                    <a:alpha val="60000"/>
                  </a:srgb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BF-4C0C-A350-6322E0160C82}"/>
              </c:ext>
            </c:extLst>
          </c:dPt>
          <c:dPt>
            <c:idx val="2"/>
            <c:bubble3D val="0"/>
            <c:spPr>
              <a:solidFill>
                <a:srgbClr val="AF1953"/>
              </a:solidFill>
              <a:ln w="19050">
                <a:solidFill>
                  <a:srgbClr val="AF1953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BBF-4C0C-A350-6322E0160C82}"/>
              </c:ext>
            </c:extLst>
          </c:dPt>
          <c:dPt>
            <c:idx val="3"/>
            <c:bubble3D val="0"/>
            <c:spPr>
              <a:solidFill>
                <a:srgbClr val="BD4C6D">
                  <a:alpha val="60000"/>
                </a:srgbClr>
              </a:solidFill>
              <a:ln w="3175">
                <a:solidFill>
                  <a:srgbClr val="BD4C6D">
                    <a:alpha val="60000"/>
                  </a:srgb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BBF-4C0C-A350-6322E0160C82}"/>
              </c:ext>
            </c:extLst>
          </c:dPt>
          <c:dLbls>
            <c:numFmt formatCode="0\ 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'koláčový graf - lokality'!$B$6:$B$9</c:f>
              <c:strCache>
                <c:ptCount val="4"/>
                <c:pt idx="0">
                  <c:v>Lokality s ukončenými ekologickými závazky </c:v>
                </c:pt>
                <c:pt idx="1">
                  <c:v>Lokality s probíhající sanací nebo s probíhající přípravou na další etapu sanace</c:v>
                </c:pt>
                <c:pt idx="2">
                  <c:v>Lokality, u nichž sanace nebyla zahájena</c:v>
                </c:pt>
                <c:pt idx="3">
                  <c:v>Lokality, u nichž sanace neprobíhala nebo probíhala v omezeném rozsahu (nedostatečná garance, nečinnost nabyvatele)</c:v>
                </c:pt>
              </c:strCache>
            </c:strRef>
          </c:cat>
          <c:val>
            <c:numRef>
              <c:f>'koláčový graf - lokality'!$C$6:$C$9</c:f>
              <c:numCache>
                <c:formatCode>General</c:formatCode>
                <c:ptCount val="4"/>
                <c:pt idx="0">
                  <c:v>258</c:v>
                </c:pt>
                <c:pt idx="1">
                  <c:v>90</c:v>
                </c:pt>
                <c:pt idx="2">
                  <c:v>126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BBF-4C0C-A350-6322E0160C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2559523809523812"/>
          <c:y val="0.11105665642765224"/>
          <c:w val="0.44664902998236333"/>
          <c:h val="0.8045817379357094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205388271189715E-2"/>
          <c:y val="9.3500706742835657E-2"/>
          <c:w val="0.56578623651943005"/>
          <c:h val="0.80678944792917839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'plnění ročního rámce'!$B$6</c:f>
              <c:strCache>
                <c:ptCount val="1"/>
                <c:pt idx="0">
                  <c:v>Výdaje vynaložené na odstraňování SEZ  </c:v>
                </c:pt>
              </c:strCache>
            </c:strRef>
          </c:tx>
          <c:spPr>
            <a:solidFill>
              <a:srgbClr val="2EB3A1">
                <a:alpha val="60000"/>
              </a:srgbClr>
            </a:solidFill>
            <a:ln w="9525">
              <a:noFill/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2EB3A1">
                  <a:alpha val="60000"/>
                </a:srgbClr>
              </a:solidFill>
              <a:ln w="9525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2103-4E24-86FA-16E96481ECCB}"/>
              </c:ext>
            </c:extLst>
          </c:dPt>
          <c:dPt>
            <c:idx val="1"/>
            <c:invertIfNegative val="0"/>
            <c:bubble3D val="0"/>
            <c:spPr>
              <a:solidFill>
                <a:srgbClr val="2EB3A1">
                  <a:alpha val="60000"/>
                </a:srgbClr>
              </a:solidFill>
              <a:ln w="9525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2103-4E24-86FA-16E96481ECCB}"/>
              </c:ext>
            </c:extLst>
          </c:dPt>
          <c:dPt>
            <c:idx val="2"/>
            <c:invertIfNegative val="0"/>
            <c:bubble3D val="0"/>
            <c:spPr>
              <a:solidFill>
                <a:srgbClr val="2EB3A1">
                  <a:alpha val="60000"/>
                </a:srgbClr>
              </a:solidFill>
              <a:ln w="9525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2103-4E24-86FA-16E96481ECCB}"/>
              </c:ext>
            </c:extLst>
          </c:dPt>
          <c:dPt>
            <c:idx val="3"/>
            <c:invertIfNegative val="0"/>
            <c:bubble3D val="0"/>
            <c:spPr>
              <a:solidFill>
                <a:srgbClr val="2EB3A1">
                  <a:alpha val="60000"/>
                </a:srgbClr>
              </a:solidFill>
              <a:ln w="9525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2103-4E24-86FA-16E96481ECCB}"/>
              </c:ext>
            </c:extLst>
          </c:dPt>
          <c:dPt>
            <c:idx val="4"/>
            <c:invertIfNegative val="0"/>
            <c:bubble3D val="0"/>
            <c:spPr>
              <a:solidFill>
                <a:srgbClr val="2EB3A1">
                  <a:alpha val="60000"/>
                </a:srgbClr>
              </a:solidFill>
              <a:ln w="9525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2103-4E24-86FA-16E96481EC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'plnění ročního rámce'!$C$4:$H$4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'plnění ročního rámce'!$C$6:$H$6</c:f>
              <c:numCache>
                <c:formatCode>General</c:formatCode>
                <c:ptCount val="5"/>
                <c:pt idx="0">
                  <c:v>0.97599999999999998</c:v>
                </c:pt>
                <c:pt idx="1">
                  <c:v>1.08</c:v>
                </c:pt>
                <c:pt idx="2">
                  <c:v>0.91700000000000004</c:v>
                </c:pt>
                <c:pt idx="3">
                  <c:v>0.67600000000000005</c:v>
                </c:pt>
                <c:pt idx="4">
                  <c:v>0.77200000000000002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103-4E24-86FA-16E96481EC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2"/>
        <c:axId val="1373233071"/>
        <c:axId val="1296583727"/>
      </c:barChart>
      <c:lineChart>
        <c:grouping val="standard"/>
        <c:varyColors val="0"/>
        <c:ser>
          <c:idx val="0"/>
          <c:order val="0"/>
          <c:tx>
            <c:strRef>
              <c:f>'plnění ročního rámce'!$B$5</c:f>
              <c:strCache>
                <c:ptCount val="1"/>
                <c:pt idx="0">
                  <c:v>Výše peněžních prostředků k urychlení odstraňování SEZ - předpoklad dle Koncepce stabilizace </c:v>
                </c:pt>
              </c:strCache>
            </c:strRef>
          </c:tx>
          <c:spPr>
            <a:ln w="254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'plnění ročního rámce'!$C$4:$H$4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'plnění ročního rámce'!$C$5:$H$5</c:f>
              <c:numCache>
                <c:formatCode>General</c:formatCode>
                <c:ptCount val="5"/>
                <c:pt idx="0">
                  <c:v>2.5</c:v>
                </c:pt>
                <c:pt idx="1">
                  <c:v>2.5</c:v>
                </c:pt>
                <c:pt idx="2">
                  <c:v>2.5</c:v>
                </c:pt>
                <c:pt idx="3">
                  <c:v>2.5</c:v>
                </c:pt>
                <c:pt idx="4">
                  <c:v>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2103-4E24-86FA-16E96481EC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3233071"/>
        <c:axId val="1296583727"/>
      </c:lineChart>
      <c:catAx>
        <c:axId val="1373233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96583727"/>
        <c:crosses val="autoZero"/>
        <c:auto val="1"/>
        <c:lblAlgn val="ctr"/>
        <c:lblOffset val="100"/>
        <c:noMultiLvlLbl val="0"/>
      </c:catAx>
      <c:valAx>
        <c:axId val="1296583727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prstDash val="lgDashDot"/>
              <a:round/>
            </a:ln>
            <a:effectLst/>
          </c:spPr>
        </c:majorGridlines>
        <c:title>
          <c:tx>
            <c:rich>
              <a:bodyPr rot="-5400000" spcFirstLastPara="1" vertOverflow="clip" vert="horz" wrap="square" anchor="ctr" anchorCtr="1"/>
              <a:lstStyle/>
              <a:p>
                <a:pPr>
                  <a:defRPr sz="1000" b="0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000" cap="none" baseline="0">
                    <a:solidFill>
                      <a:sysClr val="windowText" lastClr="000000"/>
                    </a:solidFill>
                  </a:rPr>
                  <a:t>mld. Kč</a:t>
                </a:r>
              </a:p>
            </c:rich>
          </c:tx>
          <c:layout>
            <c:manualLayout>
              <c:xMode val="edge"/>
              <c:yMode val="edge"/>
              <c:x val="1.2961043186184641E-2"/>
              <c:y val="0.3702024111392855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clip" vert="horz" wrap="square" anchor="ctr" anchorCtr="1"/>
            <a:lstStyle/>
            <a:p>
              <a:pPr>
                <a:defRPr sz="1000" b="0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3233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0.15221</cdr:x>
      <cdr:y>0.30628</cdr:y>
    </cdr:from>
    <cdr:to>
      <cdr:x>0.38387</cdr:x>
      <cdr:y>0.7113</cdr:y>
    </cdr:to>
    <cdr:sp macro="" textlink="">
      <cdr:nvSpPr>
        <cdr:cNvPr id="2" name="Obdélník 1">
          <a:extLst xmlns:a="http://schemas.openxmlformats.org/drawingml/2006/main">
            <a:ext uri="{FF2B5EF4-FFF2-40B4-BE49-F238E27FC236}">
              <a16:creationId xmlns:a16="http://schemas.microsoft.com/office/drawing/2014/main" id="{732EA031-0DB6-4762-AED4-2FED2472E3F3}"/>
            </a:ext>
          </a:extLst>
        </cdr:cNvPr>
        <cdr:cNvSpPr/>
      </cdr:nvSpPr>
      <cdr:spPr>
        <a:xfrm xmlns:a="http://schemas.openxmlformats.org/drawingml/2006/main">
          <a:off x="876835" y="931803"/>
          <a:ext cx="1334529" cy="12321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cs-CZ" sz="1100" b="1">
              <a:solidFill>
                <a:sysClr val="windowText" lastClr="000000"/>
              </a:solidFill>
            </a:rPr>
            <a:t>504</a:t>
          </a:r>
          <a:r>
            <a:rPr lang="cs-CZ" sz="1100" baseline="0">
              <a:solidFill>
                <a:sysClr val="windowText" lastClr="000000"/>
              </a:solidFill>
            </a:rPr>
            <a:t> lokalit </a:t>
          </a:r>
        </a:p>
        <a:p xmlns:a="http://schemas.openxmlformats.org/drawingml/2006/main">
          <a:pPr algn="ctr"/>
          <a:r>
            <a:rPr lang="cs-CZ" sz="1100" baseline="0">
              <a:solidFill>
                <a:sysClr val="windowText" lastClr="000000"/>
              </a:solidFill>
            </a:rPr>
            <a:t>evidovaných </a:t>
          </a:r>
        </a:p>
        <a:p xmlns:a="http://schemas.openxmlformats.org/drawingml/2006/main">
          <a:pPr algn="ctr"/>
          <a:r>
            <a:rPr lang="cs-CZ" sz="1100" baseline="0">
              <a:solidFill>
                <a:sysClr val="windowText" lastClr="000000"/>
              </a:solidFill>
            </a:rPr>
            <a:t>pod </a:t>
          </a:r>
          <a:r>
            <a:rPr lang="cs-CZ" sz="1100" b="1" baseline="0">
              <a:solidFill>
                <a:sysClr val="windowText" lastClr="000000"/>
              </a:solidFill>
            </a:rPr>
            <a:t>120</a:t>
          </a:r>
          <a:r>
            <a:rPr lang="cs-CZ" sz="1100" baseline="0">
              <a:solidFill>
                <a:sysClr val="windowText" lastClr="000000"/>
              </a:solidFill>
            </a:rPr>
            <a:t> neukončenými ekologickými smlouvami</a:t>
          </a:r>
          <a:endParaRPr lang="cs-CZ" sz="110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DF46-9909-4FD3-9718-8E6251527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26003-3A99-40EC-BDC2-08B8608B4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0E46C-1E80-402A-A2A8-E663701728A7}">
  <ds:schemaRefs>
    <ds:schemaRef ds:uri="http://schemas.microsoft.com/sharepoint/v3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0983DF3-C0AA-4C34-A1A0-42197FC5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5550</Words>
  <Characters>32747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23/01 - Peněžní prostředky státu určené na odstraňování starých ekologických zátěží vzniklých před privatizací</vt:lpstr>
    </vt:vector>
  </TitlesOfParts>
  <Company>NKU</Company>
  <LinksUpToDate>false</LinksUpToDate>
  <CharactersWithSpaces>38221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23/01 - Peněžní prostředky státu určené na odstraňování starých ekologických zátěží vzniklých před privatizací</dc:title>
  <dc:subject>Kontrolní závěr z kontrolní akce NKÚ č. 23/01 - Peněžní prostředky státu určené na odstraňování starých ekologických zátěží vzniklých před privatizací</dc:subject>
  <dc:creator>nku@NKU.cz</dc:creator>
  <cp:keywords>kontrolní závěr; staré ekologické zátěže; privatizace</cp:keywords>
  <cp:lastModifiedBy>KOKRDA Daniel</cp:lastModifiedBy>
  <cp:revision>3</cp:revision>
  <cp:lastPrinted>2023-11-13T09:37:00Z</cp:lastPrinted>
  <dcterms:created xsi:type="dcterms:W3CDTF">2023-11-29T09:52:00Z</dcterms:created>
  <dcterms:modified xsi:type="dcterms:W3CDTF">2023-11-29T09:53:00Z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23/01-NKU30/844/23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30/1055/22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0x0101002F7A625AE9F5AB4A939F92BCAA7FEC02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5.10.2023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&lt;TABLE&gt;&lt;TR&gt;&lt;TD&gt;Č.j.:&lt;/TD&gt;&lt;TD&gt;23/01-NKU30/844/23&lt;/TD&gt;&lt;/TR&gt;&lt;TR&gt;&lt;TD&gt;&lt;/TD&gt;&lt;TD&gt;&lt;/TD&gt;&lt;/TR&gt;&lt;/TABLE&gt;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Členové Úřadu</vt:lpwstr>
  </property>
  <property fmtid="{D5CDD505-2E9C-101B-9397-08002B2CF9AE}" pid="17" name="DisplayName_UserPoriz_Pisemnost">
    <vt:lpwstr>Bc. Monika Hoffmannová, DiS.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23-13053/NKU</vt:lpwstr>
  </property>
  <property fmtid="{D5CDD505-2E9C-101B-9397-08002B2CF9AE}" pid="20" name="Key_BarCode_Pisemnost">
    <vt:lpwstr>*B000456861*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23-13053/NKU</vt:lpwstr>
  </property>
  <property fmtid="{D5CDD505-2E9C-101B-9397-08002B2CF9AE}" pid="34" name="RC">
    <vt:lpwstr/>
  </property>
  <property fmtid="{D5CDD505-2E9C-101B-9397-08002B2CF9AE}" pid="35" name="SkartacniZnakLhuta_PisemnostZnak">
    <vt:lpwstr>?/?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23/01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Návrh kontrolního závěru z KA č. 23/01 do PŘ </vt:lpwstr>
  </property>
  <property fmtid="{D5CDD505-2E9C-101B-9397-08002B2CF9AE}" pid="42" name="Zkratka_SpisovyUzel_PoziceZodpo_Pisemnost">
    <vt:lpwstr>30</vt:lpwstr>
  </property>
  <property fmtid="{D5CDD505-2E9C-101B-9397-08002B2CF9AE}" pid="43" name="_DocHome">
    <vt:i4>-1657478421</vt:i4>
  </property>
</Properties>
</file>